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1F560F" w:rsidRPr="001F560F" w14:paraId="31D43602" w14:textId="77777777" w:rsidTr="00037EAF">
        <w:trPr>
          <w:cantSplit/>
        </w:trPr>
        <w:tc>
          <w:tcPr>
            <w:tcW w:w="6911" w:type="dxa"/>
          </w:tcPr>
          <w:p w14:paraId="486083F6" w14:textId="77777777" w:rsidR="001F560F" w:rsidRPr="001F560F" w:rsidRDefault="001F560F" w:rsidP="001F560F">
            <w:pPr>
              <w:tabs>
                <w:tab w:val="left" w:pos="794"/>
                <w:tab w:val="left" w:pos="1191"/>
                <w:tab w:val="left" w:pos="1588"/>
                <w:tab w:val="left" w:pos="1985"/>
              </w:tabs>
              <w:overflowPunct w:val="0"/>
              <w:autoSpaceDE w:val="0"/>
              <w:autoSpaceDN w:val="0"/>
              <w:adjustRightInd w:val="0"/>
              <w:spacing w:before="360" w:after="48"/>
              <w:textAlignment w:val="baseline"/>
              <w:rPr>
                <w:rFonts w:ascii="Calibri" w:eastAsia="Times New Roman" w:hAnsi="Calibri" w:cs="Times New Roman"/>
                <w:color w:val="auto"/>
                <w:position w:val="6"/>
                <w:sz w:val="22"/>
                <w:lang w:val="ru-RU"/>
              </w:rPr>
            </w:pPr>
            <w:r w:rsidRPr="001F560F">
              <w:rPr>
                <w:rFonts w:ascii="Calibri" w:eastAsia="Times New Roman" w:hAnsi="Calibri" w:cs="Times New Roman"/>
                <w:b/>
                <w:smallCaps/>
                <w:color w:val="auto"/>
                <w:sz w:val="28"/>
                <w:szCs w:val="28"/>
                <w:lang w:val="ru-RU"/>
              </w:rPr>
              <w:t>СОВЕТ 2021</w:t>
            </w:r>
            <w:r w:rsidRPr="001F560F">
              <w:rPr>
                <w:rFonts w:ascii="Calibri" w:eastAsia="Times New Roman" w:hAnsi="Calibri" w:cs="Times New Roman"/>
                <w:b/>
                <w:smallCaps/>
                <w:color w:val="auto"/>
                <w:sz w:val="24"/>
                <w:szCs w:val="24"/>
                <w:lang w:val="ru-RU"/>
              </w:rPr>
              <w:br/>
            </w:r>
            <w:r w:rsidRPr="001F560F">
              <w:rPr>
                <w:rFonts w:ascii="Calibri" w:eastAsia="Times New Roman" w:hAnsi="Calibri" w:cs="Arial"/>
                <w:b/>
                <w:bCs/>
                <w:color w:val="auto"/>
                <w:sz w:val="24"/>
                <w:szCs w:val="24"/>
                <w:lang w:val="ru-RU"/>
              </w:rPr>
              <w:t>Виртуальные консультации Советников</w:t>
            </w:r>
            <w:r w:rsidRPr="001F560F">
              <w:rPr>
                <w:rFonts w:ascii="Calibri" w:eastAsia="Times New Roman" w:hAnsi="Calibri" w:cs="Times New Roman"/>
                <w:b/>
                <w:bCs/>
                <w:color w:val="auto"/>
                <w:sz w:val="24"/>
                <w:szCs w:val="24"/>
                <w:lang w:val="ru-RU"/>
              </w:rPr>
              <w:t>, 8–18 июня 2021 года</w:t>
            </w:r>
          </w:p>
        </w:tc>
        <w:tc>
          <w:tcPr>
            <w:tcW w:w="3120" w:type="dxa"/>
          </w:tcPr>
          <w:p w14:paraId="39B36270" w14:textId="77777777" w:rsidR="001F560F" w:rsidRPr="001F560F" w:rsidRDefault="001F560F" w:rsidP="001F560F">
            <w:pPr>
              <w:tabs>
                <w:tab w:val="left" w:pos="794"/>
                <w:tab w:val="left" w:pos="1191"/>
                <w:tab w:val="left" w:pos="1588"/>
                <w:tab w:val="left" w:pos="1985"/>
              </w:tabs>
              <w:overflowPunct w:val="0"/>
              <w:autoSpaceDE w:val="0"/>
              <w:autoSpaceDN w:val="0"/>
              <w:adjustRightInd w:val="0"/>
              <w:spacing w:after="0" w:line="240" w:lineRule="atLeast"/>
              <w:textAlignment w:val="baseline"/>
              <w:rPr>
                <w:rFonts w:ascii="Calibri" w:eastAsia="Times New Roman" w:hAnsi="Calibri" w:cs="Times New Roman"/>
                <w:color w:val="auto"/>
                <w:sz w:val="22"/>
                <w:lang w:val="ru-RU"/>
              </w:rPr>
            </w:pPr>
            <w:bookmarkStart w:id="0" w:name="ditulogo"/>
            <w:bookmarkEnd w:id="0"/>
            <w:r w:rsidRPr="001F560F">
              <w:rPr>
                <w:rFonts w:ascii="Calibri" w:eastAsia="Times New Roman" w:hAnsi="Calibri" w:cs="Times New Roman"/>
                <w:noProof/>
                <w:color w:val="auto"/>
                <w:sz w:val="22"/>
                <w:lang w:val="ru-RU"/>
              </w:rPr>
              <w:drawing>
                <wp:inline distT="0" distB="0" distL="0" distR="0" wp14:anchorId="7B71A52F" wp14:editId="51DAE366">
                  <wp:extent cx="682625" cy="719455"/>
                  <wp:effectExtent l="0" t="0" r="3175"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2625" cy="719455"/>
                          </a:xfrm>
                          <a:prstGeom prst="rect">
                            <a:avLst/>
                          </a:prstGeom>
                          <a:noFill/>
                        </pic:spPr>
                      </pic:pic>
                    </a:graphicData>
                  </a:graphic>
                </wp:inline>
              </w:drawing>
            </w:r>
          </w:p>
        </w:tc>
      </w:tr>
      <w:tr w:rsidR="001F560F" w:rsidRPr="001F560F" w14:paraId="36F1A099" w14:textId="77777777" w:rsidTr="00037EAF">
        <w:trPr>
          <w:cantSplit/>
        </w:trPr>
        <w:tc>
          <w:tcPr>
            <w:tcW w:w="6911" w:type="dxa"/>
            <w:tcBorders>
              <w:bottom w:val="single" w:sz="12" w:space="0" w:color="auto"/>
            </w:tcBorders>
          </w:tcPr>
          <w:p w14:paraId="3528C3F8" w14:textId="77777777" w:rsidR="001F560F" w:rsidRPr="001F560F" w:rsidRDefault="001F560F" w:rsidP="001F560F">
            <w:pPr>
              <w:tabs>
                <w:tab w:val="left" w:pos="794"/>
                <w:tab w:val="left" w:pos="1191"/>
                <w:tab w:val="left" w:pos="1588"/>
                <w:tab w:val="left" w:pos="1985"/>
              </w:tabs>
              <w:overflowPunct w:val="0"/>
              <w:autoSpaceDE w:val="0"/>
              <w:autoSpaceDN w:val="0"/>
              <w:adjustRightInd w:val="0"/>
              <w:spacing w:after="48" w:line="240" w:lineRule="atLeast"/>
              <w:textAlignment w:val="baseline"/>
              <w:rPr>
                <w:rFonts w:ascii="Calibri" w:eastAsia="Times New Roman" w:hAnsi="Calibri" w:cs="Times New Roman"/>
                <w:b/>
                <w:smallCaps/>
                <w:color w:val="auto"/>
                <w:sz w:val="22"/>
                <w:lang w:val="ru-RU"/>
              </w:rPr>
            </w:pPr>
          </w:p>
        </w:tc>
        <w:tc>
          <w:tcPr>
            <w:tcW w:w="3120" w:type="dxa"/>
            <w:tcBorders>
              <w:bottom w:val="single" w:sz="12" w:space="0" w:color="auto"/>
            </w:tcBorders>
          </w:tcPr>
          <w:p w14:paraId="77F2C161" w14:textId="77777777" w:rsidR="001F560F" w:rsidRPr="001F560F" w:rsidRDefault="001F560F" w:rsidP="001F560F">
            <w:pPr>
              <w:tabs>
                <w:tab w:val="left" w:pos="794"/>
                <w:tab w:val="left" w:pos="1191"/>
                <w:tab w:val="left" w:pos="1588"/>
                <w:tab w:val="left" w:pos="1985"/>
              </w:tabs>
              <w:overflowPunct w:val="0"/>
              <w:autoSpaceDE w:val="0"/>
              <w:autoSpaceDN w:val="0"/>
              <w:adjustRightInd w:val="0"/>
              <w:spacing w:after="0" w:line="240" w:lineRule="atLeast"/>
              <w:textAlignment w:val="baseline"/>
              <w:rPr>
                <w:rFonts w:ascii="Calibri" w:eastAsia="Times New Roman" w:hAnsi="Calibri" w:cs="Times New Roman"/>
                <w:color w:val="auto"/>
                <w:sz w:val="22"/>
                <w:lang w:val="ru-RU"/>
              </w:rPr>
            </w:pPr>
          </w:p>
        </w:tc>
      </w:tr>
      <w:tr w:rsidR="001F560F" w:rsidRPr="001F560F" w14:paraId="1B16BDE2" w14:textId="77777777" w:rsidTr="00037EAF">
        <w:trPr>
          <w:cantSplit/>
        </w:trPr>
        <w:tc>
          <w:tcPr>
            <w:tcW w:w="6911" w:type="dxa"/>
            <w:tcBorders>
              <w:top w:val="single" w:sz="12" w:space="0" w:color="auto"/>
            </w:tcBorders>
          </w:tcPr>
          <w:p w14:paraId="6EAAD8E2" w14:textId="77777777" w:rsidR="001F560F" w:rsidRPr="001F560F" w:rsidRDefault="001F560F" w:rsidP="001F560F">
            <w:pPr>
              <w:tabs>
                <w:tab w:val="left" w:pos="794"/>
                <w:tab w:val="left" w:pos="1191"/>
                <w:tab w:val="left" w:pos="1588"/>
                <w:tab w:val="left" w:pos="1985"/>
              </w:tabs>
              <w:overflowPunct w:val="0"/>
              <w:autoSpaceDE w:val="0"/>
              <w:autoSpaceDN w:val="0"/>
              <w:adjustRightInd w:val="0"/>
              <w:spacing w:after="0" w:line="240" w:lineRule="atLeast"/>
              <w:textAlignment w:val="baseline"/>
              <w:rPr>
                <w:rFonts w:ascii="Calibri" w:eastAsia="Times New Roman" w:hAnsi="Calibri" w:cs="Times New Roman"/>
                <w:b/>
                <w:smallCaps/>
                <w:color w:val="auto"/>
                <w:sz w:val="22"/>
                <w:lang w:val="ru-RU"/>
              </w:rPr>
            </w:pPr>
          </w:p>
        </w:tc>
        <w:tc>
          <w:tcPr>
            <w:tcW w:w="3120" w:type="dxa"/>
            <w:tcBorders>
              <w:top w:val="single" w:sz="12" w:space="0" w:color="auto"/>
            </w:tcBorders>
          </w:tcPr>
          <w:p w14:paraId="2B4F44FF" w14:textId="77777777" w:rsidR="001F560F" w:rsidRPr="001F560F" w:rsidRDefault="001F560F" w:rsidP="001F560F">
            <w:pPr>
              <w:tabs>
                <w:tab w:val="left" w:pos="794"/>
                <w:tab w:val="left" w:pos="1191"/>
                <w:tab w:val="left" w:pos="1588"/>
                <w:tab w:val="left" w:pos="1985"/>
              </w:tabs>
              <w:overflowPunct w:val="0"/>
              <w:autoSpaceDE w:val="0"/>
              <w:autoSpaceDN w:val="0"/>
              <w:adjustRightInd w:val="0"/>
              <w:spacing w:after="0" w:line="240" w:lineRule="atLeast"/>
              <w:textAlignment w:val="baseline"/>
              <w:rPr>
                <w:rFonts w:ascii="Calibri" w:eastAsia="Times New Roman" w:hAnsi="Calibri" w:cs="Times New Roman"/>
                <w:color w:val="auto"/>
                <w:sz w:val="22"/>
                <w:lang w:val="ru-RU"/>
              </w:rPr>
            </w:pPr>
          </w:p>
        </w:tc>
      </w:tr>
      <w:tr w:rsidR="001F560F" w:rsidRPr="001F560F" w14:paraId="2D70D024" w14:textId="77777777" w:rsidTr="00037EAF">
        <w:trPr>
          <w:cantSplit/>
          <w:trHeight w:val="23"/>
        </w:trPr>
        <w:tc>
          <w:tcPr>
            <w:tcW w:w="6911" w:type="dxa"/>
            <w:vMerge w:val="restart"/>
          </w:tcPr>
          <w:p w14:paraId="527F595F" w14:textId="77777777" w:rsidR="001F560F" w:rsidRPr="001F560F" w:rsidRDefault="001F560F" w:rsidP="001F560F">
            <w:pPr>
              <w:tabs>
                <w:tab w:val="left" w:pos="794"/>
                <w:tab w:val="left" w:pos="851"/>
                <w:tab w:val="left" w:pos="1191"/>
                <w:tab w:val="left" w:pos="1588"/>
                <w:tab w:val="left" w:pos="1985"/>
              </w:tabs>
              <w:overflowPunct w:val="0"/>
              <w:autoSpaceDE w:val="0"/>
              <w:autoSpaceDN w:val="0"/>
              <w:adjustRightInd w:val="0"/>
              <w:spacing w:after="0" w:line="240" w:lineRule="atLeast"/>
              <w:textAlignment w:val="baseline"/>
              <w:rPr>
                <w:rFonts w:ascii="Calibri" w:eastAsia="Times New Roman" w:hAnsi="Calibri" w:cs="Times New Roman"/>
                <w:b/>
                <w:color w:val="auto"/>
                <w:sz w:val="22"/>
                <w:lang w:val="ru-RU"/>
              </w:rPr>
            </w:pPr>
            <w:r w:rsidRPr="001F560F">
              <w:rPr>
                <w:rFonts w:ascii="Calibri" w:eastAsia="Times New Roman" w:hAnsi="Calibri" w:cs="Times New Roman"/>
                <w:b/>
                <w:bCs/>
                <w:color w:val="auto"/>
                <w:sz w:val="22"/>
                <w:lang w:val="ru-RU"/>
              </w:rPr>
              <w:t>Пункт повестки дня:</w:t>
            </w:r>
            <w:r w:rsidRPr="001F560F">
              <w:rPr>
                <w:rFonts w:ascii="Calibri" w:eastAsia="Times New Roman" w:hAnsi="Calibri" w:cs="Times New Roman"/>
                <w:b/>
                <w:bCs/>
                <w:caps/>
                <w:color w:val="auto"/>
                <w:sz w:val="22"/>
                <w:lang w:val="ru-RU"/>
              </w:rPr>
              <w:t xml:space="preserve"> ADM 21.00</w:t>
            </w:r>
          </w:p>
        </w:tc>
        <w:tc>
          <w:tcPr>
            <w:tcW w:w="3120" w:type="dxa"/>
          </w:tcPr>
          <w:p w14:paraId="7A947C48" w14:textId="77777777" w:rsidR="001F560F" w:rsidRPr="001F560F" w:rsidRDefault="001F560F" w:rsidP="001F560F">
            <w:pPr>
              <w:tabs>
                <w:tab w:val="left" w:pos="794"/>
                <w:tab w:val="left" w:pos="851"/>
                <w:tab w:val="left" w:pos="1191"/>
                <w:tab w:val="left" w:pos="1588"/>
                <w:tab w:val="left" w:pos="1985"/>
              </w:tabs>
              <w:overflowPunct w:val="0"/>
              <w:autoSpaceDE w:val="0"/>
              <w:autoSpaceDN w:val="0"/>
              <w:adjustRightInd w:val="0"/>
              <w:spacing w:after="0" w:line="240" w:lineRule="atLeast"/>
              <w:textAlignment w:val="baseline"/>
              <w:rPr>
                <w:rFonts w:ascii="Calibri" w:eastAsia="Times New Roman" w:hAnsi="Calibri" w:cs="Times New Roman"/>
                <w:b/>
                <w:bCs/>
                <w:color w:val="auto"/>
                <w:sz w:val="22"/>
                <w:lang w:val="ru-RU"/>
              </w:rPr>
            </w:pPr>
            <w:r w:rsidRPr="001F560F">
              <w:rPr>
                <w:rFonts w:ascii="Calibri" w:eastAsia="Times New Roman" w:hAnsi="Calibri" w:cs="Times New Roman"/>
                <w:b/>
                <w:bCs/>
                <w:color w:val="auto"/>
                <w:sz w:val="22"/>
                <w:lang w:val="ru-RU"/>
              </w:rPr>
              <w:t>Документ C21/32-R</w:t>
            </w:r>
          </w:p>
        </w:tc>
      </w:tr>
      <w:tr w:rsidR="001F560F" w:rsidRPr="001F560F" w14:paraId="4CEF4A91" w14:textId="77777777" w:rsidTr="00037EAF">
        <w:trPr>
          <w:cantSplit/>
          <w:trHeight w:val="23"/>
        </w:trPr>
        <w:tc>
          <w:tcPr>
            <w:tcW w:w="6911" w:type="dxa"/>
            <w:vMerge/>
          </w:tcPr>
          <w:p w14:paraId="5BEDC3D4" w14:textId="77777777" w:rsidR="001F560F" w:rsidRPr="001F560F" w:rsidRDefault="001F560F" w:rsidP="001F560F">
            <w:pPr>
              <w:tabs>
                <w:tab w:val="left" w:pos="794"/>
                <w:tab w:val="left" w:pos="851"/>
                <w:tab w:val="left" w:pos="1191"/>
                <w:tab w:val="left" w:pos="1588"/>
                <w:tab w:val="left" w:pos="1985"/>
              </w:tabs>
              <w:overflowPunct w:val="0"/>
              <w:autoSpaceDE w:val="0"/>
              <w:autoSpaceDN w:val="0"/>
              <w:adjustRightInd w:val="0"/>
              <w:spacing w:before="120" w:after="0" w:line="240" w:lineRule="atLeast"/>
              <w:textAlignment w:val="baseline"/>
              <w:rPr>
                <w:rFonts w:ascii="Calibri" w:eastAsia="Times New Roman" w:hAnsi="Calibri" w:cs="Times New Roman"/>
                <w:b/>
                <w:color w:val="auto"/>
                <w:sz w:val="22"/>
                <w:lang w:val="ru-RU"/>
              </w:rPr>
            </w:pPr>
          </w:p>
        </w:tc>
        <w:tc>
          <w:tcPr>
            <w:tcW w:w="3120" w:type="dxa"/>
          </w:tcPr>
          <w:p w14:paraId="4B7E722F" w14:textId="77777777" w:rsidR="001F560F" w:rsidRPr="001F560F" w:rsidRDefault="001F560F" w:rsidP="001F560F">
            <w:pPr>
              <w:tabs>
                <w:tab w:val="left" w:pos="794"/>
                <w:tab w:val="left" w:pos="993"/>
                <w:tab w:val="left" w:pos="1191"/>
                <w:tab w:val="left" w:pos="1588"/>
                <w:tab w:val="left" w:pos="1985"/>
              </w:tabs>
              <w:overflowPunct w:val="0"/>
              <w:autoSpaceDE w:val="0"/>
              <w:autoSpaceDN w:val="0"/>
              <w:adjustRightInd w:val="0"/>
              <w:spacing w:after="0"/>
              <w:textAlignment w:val="baseline"/>
              <w:rPr>
                <w:rFonts w:ascii="Calibri" w:eastAsia="Times New Roman" w:hAnsi="Calibri" w:cs="Times New Roman"/>
                <w:b/>
                <w:bCs/>
                <w:color w:val="auto"/>
                <w:sz w:val="22"/>
                <w:lang w:val="ru-RU"/>
              </w:rPr>
            </w:pPr>
            <w:r w:rsidRPr="001F560F">
              <w:rPr>
                <w:rFonts w:ascii="Calibri" w:eastAsia="Times New Roman" w:hAnsi="Calibri" w:cs="Times New Roman"/>
                <w:b/>
                <w:bCs/>
                <w:color w:val="auto"/>
                <w:sz w:val="22"/>
                <w:lang w:val="ru-RU"/>
              </w:rPr>
              <w:t>22 апреля 2021 года</w:t>
            </w:r>
          </w:p>
        </w:tc>
      </w:tr>
      <w:tr w:rsidR="001F560F" w:rsidRPr="001F560F" w14:paraId="10146A6A" w14:textId="77777777" w:rsidTr="00037EAF">
        <w:trPr>
          <w:cantSplit/>
          <w:trHeight w:val="23"/>
        </w:trPr>
        <w:tc>
          <w:tcPr>
            <w:tcW w:w="6911" w:type="dxa"/>
            <w:vMerge/>
          </w:tcPr>
          <w:p w14:paraId="130C802F" w14:textId="77777777" w:rsidR="001F560F" w:rsidRPr="001F560F" w:rsidRDefault="001F560F" w:rsidP="001F560F">
            <w:pPr>
              <w:tabs>
                <w:tab w:val="left" w:pos="794"/>
                <w:tab w:val="left" w:pos="851"/>
                <w:tab w:val="left" w:pos="1191"/>
                <w:tab w:val="left" w:pos="1588"/>
                <w:tab w:val="left" w:pos="1985"/>
              </w:tabs>
              <w:overflowPunct w:val="0"/>
              <w:autoSpaceDE w:val="0"/>
              <w:autoSpaceDN w:val="0"/>
              <w:adjustRightInd w:val="0"/>
              <w:spacing w:before="120" w:after="0" w:line="240" w:lineRule="atLeast"/>
              <w:textAlignment w:val="baseline"/>
              <w:rPr>
                <w:rFonts w:ascii="Calibri" w:eastAsia="Times New Roman" w:hAnsi="Calibri" w:cs="Times New Roman"/>
                <w:b/>
                <w:color w:val="auto"/>
                <w:sz w:val="22"/>
                <w:lang w:val="ru-RU"/>
              </w:rPr>
            </w:pPr>
          </w:p>
        </w:tc>
        <w:tc>
          <w:tcPr>
            <w:tcW w:w="3120" w:type="dxa"/>
          </w:tcPr>
          <w:p w14:paraId="619E46F1" w14:textId="77777777" w:rsidR="001F560F" w:rsidRPr="001F560F" w:rsidRDefault="001F560F" w:rsidP="001F560F">
            <w:pPr>
              <w:tabs>
                <w:tab w:val="left" w:pos="794"/>
                <w:tab w:val="left" w:pos="993"/>
                <w:tab w:val="left" w:pos="1191"/>
                <w:tab w:val="left" w:pos="1588"/>
                <w:tab w:val="left" w:pos="1985"/>
              </w:tabs>
              <w:overflowPunct w:val="0"/>
              <w:autoSpaceDE w:val="0"/>
              <w:autoSpaceDN w:val="0"/>
              <w:adjustRightInd w:val="0"/>
              <w:spacing w:after="0"/>
              <w:textAlignment w:val="baseline"/>
              <w:rPr>
                <w:rFonts w:ascii="Calibri" w:eastAsia="Times New Roman" w:hAnsi="Calibri" w:cs="Times New Roman"/>
                <w:b/>
                <w:bCs/>
                <w:color w:val="auto"/>
                <w:sz w:val="22"/>
                <w:lang w:val="ru-RU"/>
              </w:rPr>
            </w:pPr>
            <w:r w:rsidRPr="001F560F">
              <w:rPr>
                <w:rFonts w:ascii="Calibri" w:eastAsia="Times New Roman" w:hAnsi="Calibri" w:cs="Times New Roman"/>
                <w:b/>
                <w:bCs/>
                <w:color w:val="auto"/>
                <w:sz w:val="22"/>
                <w:lang w:val="ru-RU"/>
              </w:rPr>
              <w:t>Оригинал: английский</w:t>
            </w:r>
          </w:p>
        </w:tc>
      </w:tr>
      <w:tr w:rsidR="001F560F" w:rsidRPr="001F560F" w14:paraId="7ABCB310" w14:textId="77777777" w:rsidTr="00037EAF">
        <w:trPr>
          <w:cantSplit/>
        </w:trPr>
        <w:tc>
          <w:tcPr>
            <w:tcW w:w="10031" w:type="dxa"/>
            <w:gridSpan w:val="2"/>
          </w:tcPr>
          <w:p w14:paraId="7A431655" w14:textId="77777777" w:rsidR="001F560F" w:rsidRPr="001F560F" w:rsidRDefault="001F560F" w:rsidP="001F560F">
            <w:pPr>
              <w:tabs>
                <w:tab w:val="left" w:pos="794"/>
                <w:tab w:val="left" w:pos="1191"/>
                <w:tab w:val="left" w:pos="1588"/>
                <w:tab w:val="left" w:pos="1985"/>
              </w:tabs>
              <w:overflowPunct w:val="0"/>
              <w:autoSpaceDE w:val="0"/>
              <w:autoSpaceDN w:val="0"/>
              <w:adjustRightInd w:val="0"/>
              <w:spacing w:before="720" w:after="0"/>
              <w:jc w:val="center"/>
              <w:textAlignment w:val="baseline"/>
              <w:rPr>
                <w:rFonts w:ascii="Calibri" w:eastAsia="Times New Roman" w:hAnsi="Calibri" w:cs="Times New Roman"/>
                <w:b/>
                <w:color w:val="auto"/>
                <w:sz w:val="26"/>
                <w:lang w:val="ru-RU"/>
              </w:rPr>
            </w:pPr>
            <w:bookmarkStart w:id="1" w:name="dtitle2" w:colFirst="0" w:colLast="0"/>
            <w:r w:rsidRPr="001F560F">
              <w:rPr>
                <w:rFonts w:ascii="Calibri" w:eastAsia="Times New Roman" w:hAnsi="Calibri" w:cs="Times New Roman"/>
                <w:b/>
                <w:color w:val="auto"/>
                <w:sz w:val="26"/>
                <w:szCs w:val="20"/>
                <w:lang w:val="ru-RU"/>
              </w:rPr>
              <w:t>Отчет Генерального секретаря</w:t>
            </w:r>
          </w:p>
        </w:tc>
      </w:tr>
      <w:tr w:rsidR="001F560F" w:rsidRPr="00627280" w14:paraId="705EAF22" w14:textId="77777777" w:rsidTr="00037EAF">
        <w:trPr>
          <w:cantSplit/>
        </w:trPr>
        <w:tc>
          <w:tcPr>
            <w:tcW w:w="10031" w:type="dxa"/>
            <w:gridSpan w:val="2"/>
          </w:tcPr>
          <w:p w14:paraId="342E5424" w14:textId="5B787F98" w:rsidR="001F560F" w:rsidRPr="00627280" w:rsidRDefault="001F560F" w:rsidP="001F560F">
            <w:pPr>
              <w:tabs>
                <w:tab w:val="left" w:pos="567"/>
                <w:tab w:val="left" w:pos="1134"/>
                <w:tab w:val="left" w:pos="1701"/>
                <w:tab w:val="left" w:pos="2268"/>
                <w:tab w:val="left" w:pos="2835"/>
              </w:tabs>
              <w:overflowPunct w:val="0"/>
              <w:autoSpaceDE w:val="0"/>
              <w:autoSpaceDN w:val="0"/>
              <w:adjustRightInd w:val="0"/>
              <w:spacing w:before="240" w:after="0"/>
              <w:jc w:val="center"/>
              <w:textAlignment w:val="baseline"/>
              <w:rPr>
                <w:rFonts w:ascii="Calibri" w:eastAsia="Times New Roman" w:hAnsi="Calibri" w:cs="Times New Roman"/>
                <w:caps/>
                <w:color w:val="auto"/>
                <w:sz w:val="26"/>
                <w:szCs w:val="20"/>
                <w:lang w:val="ru-RU"/>
              </w:rPr>
            </w:pPr>
            <w:bookmarkStart w:id="2" w:name="dtitle3" w:colFirst="0" w:colLast="0"/>
            <w:bookmarkEnd w:id="1"/>
            <w:r w:rsidRPr="001F560F">
              <w:rPr>
                <w:rFonts w:ascii="Calibri" w:eastAsia="Times New Roman" w:hAnsi="Calibri" w:cs="Times New Roman"/>
                <w:caps/>
                <w:color w:val="auto"/>
                <w:sz w:val="26"/>
                <w:szCs w:val="20"/>
                <w:lang w:val="ru-RU"/>
              </w:rPr>
              <w:t xml:space="preserve">Технико-экономическое обоснование создания в МСЭ </w:t>
            </w:r>
            <w:r w:rsidRPr="001F560F">
              <w:rPr>
                <w:rFonts w:ascii="Calibri" w:eastAsia="Times New Roman" w:hAnsi="Calibri" w:cs="Times New Roman"/>
                <w:caps/>
                <w:color w:val="auto"/>
                <w:sz w:val="26"/>
                <w:szCs w:val="20"/>
                <w:lang w:val="ru-RU"/>
              </w:rPr>
              <w:br/>
              <w:t>института профессиональной подготовки</w:t>
            </w:r>
            <w:r w:rsidR="00627280">
              <w:rPr>
                <w:rFonts w:ascii="Calibri" w:eastAsia="Times New Roman" w:hAnsi="Calibri" w:cs="Times New Roman"/>
                <w:caps/>
                <w:color w:val="auto"/>
                <w:sz w:val="26"/>
                <w:szCs w:val="20"/>
                <w:lang w:val="ru-RU"/>
              </w:rPr>
              <w:t xml:space="preserve">, выполненное компанией </w:t>
            </w:r>
            <w:r w:rsidR="00627280">
              <w:rPr>
                <w:rFonts w:ascii="Calibri" w:eastAsia="Times New Roman" w:hAnsi="Calibri" w:cs="Times New Roman"/>
                <w:caps/>
                <w:color w:val="auto"/>
                <w:sz w:val="26"/>
                <w:szCs w:val="20"/>
                <w:lang w:val="en-US"/>
              </w:rPr>
              <w:t>JIGSAW</w:t>
            </w:r>
          </w:p>
        </w:tc>
      </w:tr>
      <w:bookmarkEnd w:id="2"/>
    </w:tbl>
    <w:p w14:paraId="1B805A1B" w14:textId="77777777" w:rsidR="001F560F" w:rsidRPr="001F560F" w:rsidRDefault="001F560F" w:rsidP="001F560F">
      <w:pPr>
        <w:tabs>
          <w:tab w:val="left" w:pos="794"/>
          <w:tab w:val="left" w:pos="1191"/>
          <w:tab w:val="left" w:pos="1588"/>
          <w:tab w:val="left" w:pos="1985"/>
        </w:tabs>
        <w:overflowPunct w:val="0"/>
        <w:autoSpaceDE w:val="0"/>
        <w:autoSpaceDN w:val="0"/>
        <w:adjustRightInd w:val="0"/>
        <w:spacing w:before="120" w:after="0"/>
        <w:textAlignment w:val="baseline"/>
        <w:rPr>
          <w:rFonts w:ascii="Calibri" w:eastAsia="Times New Roman" w:hAnsi="Calibri" w:cs="Times New Roman"/>
          <w:color w:val="auto"/>
          <w:sz w:val="22"/>
          <w:szCs w:val="20"/>
          <w:lang w:val="ru-RU"/>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1F560F" w:rsidRPr="00D577E1" w14:paraId="2441BE07" w14:textId="77777777" w:rsidTr="00037EAF">
        <w:trPr>
          <w:trHeight w:val="1862"/>
        </w:trPr>
        <w:tc>
          <w:tcPr>
            <w:tcW w:w="8080" w:type="dxa"/>
            <w:tcBorders>
              <w:top w:val="single" w:sz="12" w:space="0" w:color="auto"/>
              <w:left w:val="single" w:sz="12" w:space="0" w:color="auto"/>
              <w:bottom w:val="single" w:sz="12" w:space="0" w:color="auto"/>
              <w:right w:val="single" w:sz="12" w:space="0" w:color="auto"/>
            </w:tcBorders>
          </w:tcPr>
          <w:p w14:paraId="260D7FE6" w14:textId="77777777" w:rsidR="001F560F" w:rsidRPr="00D577E1" w:rsidRDefault="001F560F" w:rsidP="001F560F">
            <w:pPr>
              <w:keepNext/>
              <w:keepLines/>
              <w:tabs>
                <w:tab w:val="left" w:pos="794"/>
                <w:tab w:val="left" w:pos="2127"/>
                <w:tab w:val="left" w:pos="2410"/>
                <w:tab w:val="left" w:pos="2921"/>
                <w:tab w:val="left" w:pos="3261"/>
              </w:tabs>
              <w:spacing w:before="160" w:after="0"/>
              <w:rPr>
                <w:rFonts w:ascii="Calibri" w:eastAsia="Times New Roman" w:hAnsi="Calibri" w:cs="Times New Roman"/>
                <w:b/>
                <w:color w:val="auto"/>
                <w:sz w:val="22"/>
                <w:lang w:val="ru-RU"/>
              </w:rPr>
            </w:pPr>
            <w:r w:rsidRPr="001F560F">
              <w:rPr>
                <w:rFonts w:ascii="Calibri" w:eastAsia="Times New Roman" w:hAnsi="Calibri" w:cs="Times New Roman"/>
                <w:b/>
                <w:color w:val="auto"/>
                <w:sz w:val="22"/>
                <w:lang w:val="ru-RU"/>
              </w:rPr>
              <w:t>Резюме</w:t>
            </w:r>
          </w:p>
          <w:p w14:paraId="6EF055F8" w14:textId="596C638C" w:rsidR="001F560F" w:rsidRPr="001F560F" w:rsidRDefault="00627280" w:rsidP="001F560F">
            <w:pPr>
              <w:tabs>
                <w:tab w:val="left" w:pos="794"/>
                <w:tab w:val="left" w:pos="1191"/>
                <w:tab w:val="left" w:pos="1588"/>
                <w:tab w:val="left" w:pos="1985"/>
              </w:tabs>
              <w:overflowPunct w:val="0"/>
              <w:autoSpaceDE w:val="0"/>
              <w:autoSpaceDN w:val="0"/>
              <w:adjustRightInd w:val="0"/>
              <w:spacing w:before="120" w:after="0"/>
              <w:textAlignment w:val="baseline"/>
              <w:rPr>
                <w:rFonts w:ascii="Calibri" w:eastAsia="Times New Roman" w:hAnsi="Calibri" w:cs="Times New Roman"/>
                <w:color w:val="auto"/>
                <w:sz w:val="22"/>
                <w:szCs w:val="20"/>
                <w:lang w:val="ru-RU"/>
              </w:rPr>
            </w:pPr>
            <w:r w:rsidRPr="00627280">
              <w:rPr>
                <w:rFonts w:ascii="Calibri" w:eastAsia="Times New Roman" w:hAnsi="Calibri" w:cs="Times New Roman"/>
                <w:color w:val="auto"/>
                <w:sz w:val="22"/>
                <w:szCs w:val="20"/>
                <w:lang w:val="ru-RU"/>
              </w:rPr>
              <w:t xml:space="preserve">В </w:t>
            </w:r>
            <w:r>
              <w:rPr>
                <w:rFonts w:ascii="Calibri" w:eastAsia="Times New Roman" w:hAnsi="Calibri" w:cs="Times New Roman"/>
                <w:color w:val="auto"/>
                <w:sz w:val="22"/>
                <w:szCs w:val="20"/>
                <w:lang w:val="ru-RU"/>
              </w:rPr>
              <w:t>настоящем</w:t>
            </w:r>
            <w:r w:rsidRPr="00627280">
              <w:rPr>
                <w:rFonts w:ascii="Calibri" w:eastAsia="Times New Roman" w:hAnsi="Calibri" w:cs="Times New Roman"/>
                <w:color w:val="auto"/>
                <w:sz w:val="22"/>
                <w:szCs w:val="20"/>
                <w:lang w:val="ru-RU"/>
              </w:rPr>
              <w:t xml:space="preserve"> документе представлен заключительный отчет о технико-экономическом обосновании создания в МСЭ института</w:t>
            </w:r>
            <w:r>
              <w:rPr>
                <w:rFonts w:ascii="Calibri" w:eastAsia="Times New Roman" w:hAnsi="Calibri" w:cs="Times New Roman"/>
                <w:color w:val="auto"/>
                <w:sz w:val="22"/>
                <w:szCs w:val="20"/>
                <w:lang w:val="ru-RU"/>
              </w:rPr>
              <w:t xml:space="preserve"> профессиональной подготовки</w:t>
            </w:r>
            <w:r w:rsidRPr="00627280">
              <w:rPr>
                <w:rFonts w:ascii="Calibri" w:eastAsia="Times New Roman" w:hAnsi="Calibri" w:cs="Times New Roman"/>
                <w:color w:val="auto"/>
                <w:sz w:val="22"/>
                <w:szCs w:val="20"/>
                <w:lang w:val="ru-RU"/>
              </w:rPr>
              <w:t xml:space="preserve">. </w:t>
            </w:r>
            <w:r w:rsidR="001F560F" w:rsidRPr="001F560F">
              <w:rPr>
                <w:rFonts w:ascii="Calibri" w:eastAsia="Times New Roman" w:hAnsi="Calibri" w:cs="Times New Roman"/>
                <w:color w:val="auto"/>
                <w:sz w:val="22"/>
                <w:szCs w:val="20"/>
                <w:lang w:val="ru-RU"/>
              </w:rPr>
              <w:t>Совет МСЭ на своей сессии в июне 2019 года поручил Директору БРЭ "провести подробный анализ и обзор текущих мероприятий в области профессиональной подготовки и создания потенциала, проводимых Группой по инициативам в области создания потенциала, Академией МСЭ и центрами профессионального мастерства, и представить Совету 2020 года отчет о результатах исследования и о возможности учреждения института по созданию потенциала в МСЭ".</w:t>
            </w:r>
            <w:r w:rsidRPr="00627280">
              <w:rPr>
                <w:lang w:val="ru-RU"/>
              </w:rPr>
              <w:t xml:space="preserve"> </w:t>
            </w:r>
            <w:r w:rsidRPr="00627280">
              <w:rPr>
                <w:rFonts w:ascii="Calibri" w:eastAsia="Times New Roman" w:hAnsi="Calibri" w:cs="Times New Roman"/>
                <w:color w:val="auto"/>
                <w:sz w:val="22"/>
                <w:szCs w:val="20"/>
                <w:lang w:val="ru-RU"/>
              </w:rPr>
              <w:t xml:space="preserve">Секретариат хотел бы выразить свою признательность Королевству Саудовская Аравия за поддержку в покрытии </w:t>
            </w:r>
            <w:r>
              <w:rPr>
                <w:rFonts w:ascii="Calibri" w:eastAsia="Times New Roman" w:hAnsi="Calibri" w:cs="Times New Roman"/>
                <w:color w:val="auto"/>
                <w:sz w:val="22"/>
                <w:szCs w:val="20"/>
                <w:lang w:val="ru-RU"/>
              </w:rPr>
              <w:t>затрат</w:t>
            </w:r>
            <w:r w:rsidRPr="00627280">
              <w:rPr>
                <w:rFonts w:ascii="Calibri" w:eastAsia="Times New Roman" w:hAnsi="Calibri" w:cs="Times New Roman"/>
                <w:color w:val="auto"/>
                <w:sz w:val="22"/>
                <w:szCs w:val="20"/>
                <w:lang w:val="ru-RU"/>
              </w:rPr>
              <w:t xml:space="preserve"> на данное исследование.</w:t>
            </w:r>
          </w:p>
          <w:p w14:paraId="633D9190" w14:textId="3B8E37D9" w:rsidR="001F560F" w:rsidRPr="00627280" w:rsidRDefault="00627280" w:rsidP="001F560F">
            <w:pPr>
              <w:tabs>
                <w:tab w:val="left" w:pos="794"/>
                <w:tab w:val="left" w:pos="1191"/>
                <w:tab w:val="left" w:pos="1588"/>
                <w:tab w:val="left" w:pos="1985"/>
              </w:tabs>
              <w:overflowPunct w:val="0"/>
              <w:autoSpaceDE w:val="0"/>
              <w:autoSpaceDN w:val="0"/>
              <w:adjustRightInd w:val="0"/>
              <w:spacing w:before="120" w:after="0"/>
              <w:textAlignment w:val="baseline"/>
              <w:rPr>
                <w:rFonts w:ascii="Calibri" w:eastAsia="Times New Roman" w:hAnsi="Calibri" w:cs="Times New Roman"/>
                <w:color w:val="auto"/>
                <w:sz w:val="22"/>
                <w:lang w:val="ru-RU"/>
              </w:rPr>
            </w:pPr>
            <w:r w:rsidRPr="00627280">
              <w:rPr>
                <w:rFonts w:ascii="Calibri" w:eastAsia="Times New Roman" w:hAnsi="Calibri" w:cs="Times New Roman"/>
                <w:color w:val="auto"/>
                <w:sz w:val="22"/>
                <w:lang w:val="ru-RU"/>
              </w:rPr>
              <w:t xml:space="preserve">Отчет был подготовлен независимой внешней консалтинговой компанией </w:t>
            </w:r>
            <w:r w:rsidRPr="00627280">
              <w:rPr>
                <w:rFonts w:ascii="Calibri" w:eastAsia="Times New Roman" w:hAnsi="Calibri" w:cs="Times New Roman"/>
                <w:color w:val="auto"/>
                <w:sz w:val="22"/>
                <w:lang w:val="en-US"/>
              </w:rPr>
              <w:t>Jigsaw</w:t>
            </w:r>
            <w:r w:rsidRPr="00627280">
              <w:rPr>
                <w:rFonts w:ascii="Calibri" w:eastAsia="Times New Roman" w:hAnsi="Calibri" w:cs="Times New Roman"/>
                <w:color w:val="auto"/>
                <w:sz w:val="22"/>
                <w:lang w:val="ru-RU"/>
              </w:rPr>
              <w:t xml:space="preserve"> </w:t>
            </w:r>
            <w:r w:rsidRPr="00627280">
              <w:rPr>
                <w:rFonts w:ascii="Calibri" w:eastAsia="Times New Roman" w:hAnsi="Calibri" w:cs="Times New Roman"/>
                <w:color w:val="auto"/>
                <w:sz w:val="22"/>
                <w:lang w:val="en-US"/>
              </w:rPr>
              <w:t>Consult</w:t>
            </w:r>
            <w:r w:rsidRPr="00627280">
              <w:rPr>
                <w:rFonts w:ascii="Calibri" w:eastAsia="Times New Roman" w:hAnsi="Calibri" w:cs="Times New Roman"/>
                <w:color w:val="auto"/>
                <w:sz w:val="22"/>
                <w:lang w:val="ru-RU"/>
              </w:rPr>
              <w:t>.</w:t>
            </w:r>
          </w:p>
          <w:p w14:paraId="4C063740" w14:textId="77777777" w:rsidR="001F560F" w:rsidRPr="00D577E1" w:rsidRDefault="001F560F" w:rsidP="001F560F">
            <w:pPr>
              <w:keepNext/>
              <w:keepLines/>
              <w:tabs>
                <w:tab w:val="left" w:pos="794"/>
                <w:tab w:val="left" w:pos="2127"/>
                <w:tab w:val="left" w:pos="2410"/>
                <w:tab w:val="left" w:pos="2921"/>
                <w:tab w:val="left" w:pos="3261"/>
              </w:tabs>
              <w:spacing w:before="160" w:after="0"/>
              <w:rPr>
                <w:rFonts w:ascii="Calibri" w:eastAsia="Times New Roman" w:hAnsi="Calibri" w:cs="Times New Roman"/>
                <w:b/>
                <w:color w:val="auto"/>
                <w:sz w:val="22"/>
                <w:szCs w:val="20"/>
                <w:lang w:val="ru-RU"/>
              </w:rPr>
            </w:pPr>
            <w:r w:rsidRPr="001F560F">
              <w:rPr>
                <w:rFonts w:ascii="Calibri" w:eastAsia="Times New Roman" w:hAnsi="Calibri" w:cs="Times New Roman"/>
                <w:b/>
                <w:color w:val="auto"/>
                <w:sz w:val="22"/>
                <w:szCs w:val="20"/>
                <w:lang w:val="ru-RU"/>
              </w:rPr>
              <w:t>Необходимые</w:t>
            </w:r>
            <w:r w:rsidRPr="00D577E1">
              <w:rPr>
                <w:rFonts w:ascii="Calibri" w:eastAsia="Times New Roman" w:hAnsi="Calibri" w:cs="Times New Roman"/>
                <w:b/>
                <w:color w:val="auto"/>
                <w:sz w:val="22"/>
                <w:szCs w:val="20"/>
                <w:lang w:val="ru-RU"/>
              </w:rPr>
              <w:t xml:space="preserve"> </w:t>
            </w:r>
            <w:r w:rsidRPr="001F560F">
              <w:rPr>
                <w:rFonts w:ascii="Calibri" w:eastAsia="Times New Roman" w:hAnsi="Calibri" w:cs="Times New Roman"/>
                <w:b/>
                <w:color w:val="auto"/>
                <w:sz w:val="22"/>
                <w:szCs w:val="20"/>
                <w:lang w:val="ru-RU"/>
              </w:rPr>
              <w:t>действия</w:t>
            </w:r>
          </w:p>
          <w:p w14:paraId="25826858" w14:textId="4F3E0440" w:rsidR="001F560F" w:rsidRPr="00627280" w:rsidRDefault="00627280" w:rsidP="00A579EF">
            <w:pPr>
              <w:tabs>
                <w:tab w:val="left" w:pos="794"/>
                <w:tab w:val="left" w:pos="1191"/>
                <w:tab w:val="left" w:pos="1588"/>
                <w:tab w:val="left" w:pos="1985"/>
              </w:tabs>
              <w:overflowPunct w:val="0"/>
              <w:autoSpaceDE w:val="0"/>
              <w:autoSpaceDN w:val="0"/>
              <w:adjustRightInd w:val="0"/>
              <w:spacing w:before="120" w:after="0"/>
              <w:textAlignment w:val="baseline"/>
              <w:rPr>
                <w:rFonts w:ascii="Calibri" w:eastAsia="Times New Roman" w:hAnsi="Calibri" w:cs="Times New Roman"/>
                <w:color w:val="auto"/>
                <w:sz w:val="22"/>
                <w:szCs w:val="20"/>
                <w:lang w:val="ru-RU"/>
              </w:rPr>
            </w:pPr>
            <w:r>
              <w:rPr>
                <w:rFonts w:ascii="Calibri" w:eastAsia="Times New Roman" w:hAnsi="Calibri" w:cs="Times New Roman"/>
                <w:color w:val="auto"/>
                <w:sz w:val="22"/>
                <w:szCs w:val="20"/>
                <w:lang w:val="ru-RU"/>
              </w:rPr>
              <w:t xml:space="preserve">Отчет представляется на </w:t>
            </w:r>
            <w:r w:rsidRPr="00627280">
              <w:rPr>
                <w:rFonts w:ascii="Calibri" w:eastAsia="Times New Roman" w:hAnsi="Calibri" w:cs="Times New Roman"/>
                <w:b/>
                <w:bCs/>
                <w:color w:val="auto"/>
                <w:sz w:val="22"/>
                <w:szCs w:val="20"/>
                <w:lang w:val="ru-RU"/>
              </w:rPr>
              <w:t>рассмотрение</w:t>
            </w:r>
            <w:r>
              <w:rPr>
                <w:rFonts w:ascii="Calibri" w:eastAsia="Times New Roman" w:hAnsi="Calibri" w:cs="Times New Roman"/>
                <w:color w:val="auto"/>
                <w:sz w:val="22"/>
                <w:szCs w:val="20"/>
                <w:lang w:val="ru-RU"/>
              </w:rPr>
              <w:t xml:space="preserve"> Совета.</w:t>
            </w:r>
          </w:p>
          <w:p w14:paraId="16E9C67F" w14:textId="77777777" w:rsidR="001F560F" w:rsidRPr="001F560F" w:rsidRDefault="001F560F" w:rsidP="001F560F">
            <w:pPr>
              <w:tabs>
                <w:tab w:val="left" w:pos="794"/>
                <w:tab w:val="left" w:pos="1191"/>
                <w:tab w:val="left" w:pos="1588"/>
                <w:tab w:val="left" w:pos="1985"/>
              </w:tabs>
              <w:overflowPunct w:val="0"/>
              <w:autoSpaceDE w:val="0"/>
              <w:autoSpaceDN w:val="0"/>
              <w:adjustRightInd w:val="0"/>
              <w:spacing w:before="120" w:after="0"/>
              <w:jc w:val="center"/>
              <w:textAlignment w:val="baseline"/>
              <w:rPr>
                <w:rFonts w:ascii="Calibri" w:eastAsia="Times New Roman" w:hAnsi="Calibri" w:cs="Times New Roman"/>
                <w:caps/>
                <w:color w:val="auto"/>
                <w:sz w:val="22"/>
                <w:lang w:val="ru-RU"/>
              </w:rPr>
            </w:pPr>
            <w:r w:rsidRPr="001F560F">
              <w:rPr>
                <w:rFonts w:ascii="Calibri" w:eastAsia="Times New Roman" w:hAnsi="Calibri" w:cs="Times New Roman"/>
                <w:caps/>
                <w:color w:val="auto"/>
                <w:sz w:val="22"/>
                <w:lang w:val="ru-RU"/>
              </w:rPr>
              <w:t>____________</w:t>
            </w:r>
          </w:p>
          <w:p w14:paraId="2170B767" w14:textId="77777777" w:rsidR="001F560F" w:rsidRPr="001F560F" w:rsidRDefault="001F560F" w:rsidP="001F560F">
            <w:pPr>
              <w:keepNext/>
              <w:keepLines/>
              <w:tabs>
                <w:tab w:val="left" w:pos="794"/>
                <w:tab w:val="left" w:pos="2127"/>
                <w:tab w:val="left" w:pos="2410"/>
                <w:tab w:val="left" w:pos="2921"/>
                <w:tab w:val="left" w:pos="3261"/>
              </w:tabs>
              <w:spacing w:before="160" w:after="0"/>
              <w:rPr>
                <w:rFonts w:ascii="Calibri" w:eastAsia="Times New Roman" w:hAnsi="Calibri" w:cs="Times New Roman"/>
                <w:b/>
                <w:color w:val="auto"/>
                <w:sz w:val="22"/>
                <w:lang w:val="ru-RU"/>
              </w:rPr>
            </w:pPr>
            <w:r w:rsidRPr="001F560F">
              <w:rPr>
                <w:rFonts w:ascii="Calibri" w:eastAsia="Times New Roman" w:hAnsi="Calibri" w:cs="Times New Roman"/>
                <w:b/>
                <w:color w:val="auto"/>
                <w:sz w:val="22"/>
                <w:lang w:val="ru-RU"/>
              </w:rPr>
              <w:t>Справочные материалы</w:t>
            </w:r>
          </w:p>
          <w:p w14:paraId="7C38A5E8" w14:textId="77777777" w:rsidR="001F560F" w:rsidRPr="001F560F" w:rsidRDefault="001F560F" w:rsidP="001F560F">
            <w:pPr>
              <w:tabs>
                <w:tab w:val="left" w:pos="794"/>
                <w:tab w:val="left" w:pos="1191"/>
                <w:tab w:val="left" w:pos="1588"/>
                <w:tab w:val="left" w:pos="1985"/>
              </w:tabs>
              <w:overflowPunct w:val="0"/>
              <w:autoSpaceDE w:val="0"/>
              <w:autoSpaceDN w:val="0"/>
              <w:adjustRightInd w:val="0"/>
              <w:spacing w:before="120" w:after="240"/>
              <w:textAlignment w:val="baseline"/>
              <w:rPr>
                <w:rFonts w:ascii="Calibri" w:eastAsia="Times New Roman" w:hAnsi="Calibri" w:cs="Times New Roman"/>
                <w:i/>
                <w:iCs/>
                <w:color w:val="auto"/>
                <w:sz w:val="22"/>
                <w:lang w:val="ru-RU"/>
              </w:rPr>
            </w:pPr>
            <w:r w:rsidRPr="001F560F">
              <w:rPr>
                <w:rFonts w:ascii="Calibri" w:eastAsia="Times New Roman" w:hAnsi="Calibri" w:cs="Times New Roman"/>
                <w:i/>
                <w:iCs/>
                <w:color w:val="auto"/>
                <w:sz w:val="22"/>
                <w:lang w:val="ru-RU"/>
              </w:rPr>
              <w:t xml:space="preserve">Документы </w:t>
            </w:r>
            <w:hyperlink r:id="rId9" w:history="1">
              <w:r w:rsidRPr="001F560F">
                <w:rPr>
                  <w:rFonts w:ascii="Calibri" w:eastAsia="Times New Roman" w:hAnsi="Calibri" w:cs="Times New Roman"/>
                  <w:i/>
                  <w:iCs/>
                  <w:color w:val="0000FF"/>
                  <w:sz w:val="22"/>
                  <w:u w:val="single"/>
                  <w:lang w:val="ru-RU"/>
                </w:rPr>
                <w:t>C19/98</w:t>
              </w:r>
            </w:hyperlink>
            <w:r w:rsidRPr="001F560F">
              <w:rPr>
                <w:rFonts w:ascii="Calibri" w:eastAsia="Times New Roman" w:hAnsi="Calibri" w:cs="Times New Roman"/>
                <w:i/>
                <w:iCs/>
                <w:color w:val="auto"/>
                <w:sz w:val="22"/>
                <w:lang w:val="ru-RU"/>
              </w:rPr>
              <w:t xml:space="preserve"> и </w:t>
            </w:r>
            <w:hyperlink r:id="rId10" w:history="1">
              <w:r w:rsidRPr="001F560F">
                <w:rPr>
                  <w:rFonts w:ascii="Calibri" w:eastAsia="Times New Roman" w:hAnsi="Calibri" w:cs="Times New Roman"/>
                  <w:i/>
                  <w:iCs/>
                  <w:color w:val="0000FF"/>
                  <w:sz w:val="22"/>
                  <w:u w:val="single"/>
                  <w:lang w:val="ru-RU"/>
                </w:rPr>
                <w:t>C19/115</w:t>
              </w:r>
            </w:hyperlink>
            <w:r w:rsidRPr="001F560F">
              <w:rPr>
                <w:rFonts w:ascii="Calibri" w:eastAsia="Times New Roman" w:hAnsi="Calibri" w:cs="Times New Roman"/>
                <w:i/>
                <w:iCs/>
                <w:color w:val="auto"/>
                <w:sz w:val="22"/>
                <w:lang w:val="ru-RU"/>
              </w:rPr>
              <w:t xml:space="preserve">, </w:t>
            </w:r>
            <w:hyperlink r:id="rId11" w:history="1">
              <w:r w:rsidRPr="001F560F">
                <w:rPr>
                  <w:rFonts w:ascii="Calibri" w:eastAsia="Times New Roman" w:hAnsi="Calibri" w:cs="Times New Roman"/>
                  <w:i/>
                  <w:iCs/>
                  <w:color w:val="0000FF"/>
                  <w:sz w:val="22"/>
                  <w:u w:val="single"/>
                  <w:lang w:val="ru-RU"/>
                </w:rPr>
                <w:t>C20/32</w:t>
              </w:r>
            </w:hyperlink>
            <w:r w:rsidRPr="001F560F">
              <w:rPr>
                <w:rFonts w:ascii="Calibri" w:eastAsia="Times New Roman" w:hAnsi="Calibri" w:cs="Times New Roman"/>
                <w:i/>
                <w:iCs/>
                <w:color w:val="0000FF"/>
                <w:sz w:val="22"/>
                <w:lang w:val="ru-RU"/>
              </w:rPr>
              <w:t xml:space="preserve"> </w:t>
            </w:r>
            <w:r w:rsidRPr="001F560F">
              <w:rPr>
                <w:rFonts w:ascii="Calibri" w:eastAsia="Times New Roman" w:hAnsi="Calibri" w:cs="Times New Roman"/>
                <w:i/>
                <w:iCs/>
                <w:color w:val="auto"/>
                <w:sz w:val="22"/>
                <w:szCs w:val="20"/>
                <w:lang w:val="ru-RU"/>
              </w:rPr>
              <w:t>Совета</w:t>
            </w:r>
          </w:p>
        </w:tc>
      </w:tr>
    </w:tbl>
    <w:p w14:paraId="0923D90E" w14:textId="77777777" w:rsidR="001F560F" w:rsidRPr="001F560F" w:rsidRDefault="001F560F" w:rsidP="001F560F">
      <w:pPr>
        <w:keepNext/>
        <w:keepLines/>
        <w:tabs>
          <w:tab w:val="left" w:pos="794"/>
          <w:tab w:val="left" w:pos="2127"/>
          <w:tab w:val="left" w:pos="2410"/>
          <w:tab w:val="left" w:pos="2921"/>
          <w:tab w:val="left" w:pos="3261"/>
        </w:tabs>
        <w:spacing w:before="480" w:after="0"/>
        <w:rPr>
          <w:rFonts w:ascii="Calibri" w:eastAsia="Times New Roman" w:hAnsi="Calibri" w:cs="Times New Roman"/>
          <w:b/>
          <w:color w:val="auto"/>
          <w:sz w:val="22"/>
          <w:szCs w:val="20"/>
          <w:lang w:val="ru-RU"/>
        </w:rPr>
      </w:pPr>
      <w:r w:rsidRPr="001F560F">
        <w:rPr>
          <w:rFonts w:ascii="Calibri" w:eastAsia="Times New Roman" w:hAnsi="Calibri" w:cs="Times New Roman"/>
          <w:b/>
          <w:color w:val="auto"/>
          <w:sz w:val="22"/>
          <w:szCs w:val="20"/>
          <w:lang w:val="ru-RU"/>
        </w:rPr>
        <w:t>Введение</w:t>
      </w:r>
    </w:p>
    <w:p w14:paraId="3F4A9EA4" w14:textId="77777777" w:rsidR="001F560F" w:rsidRPr="001F560F" w:rsidRDefault="001F560F" w:rsidP="001F560F">
      <w:pPr>
        <w:tabs>
          <w:tab w:val="left" w:pos="794"/>
          <w:tab w:val="left" w:pos="1191"/>
          <w:tab w:val="left" w:pos="1588"/>
          <w:tab w:val="left" w:pos="1985"/>
        </w:tabs>
        <w:overflowPunct w:val="0"/>
        <w:autoSpaceDE w:val="0"/>
        <w:autoSpaceDN w:val="0"/>
        <w:adjustRightInd w:val="0"/>
        <w:spacing w:before="120" w:after="0"/>
        <w:textAlignment w:val="baseline"/>
        <w:rPr>
          <w:rFonts w:ascii="Calibri" w:eastAsia="Times New Roman" w:hAnsi="Calibri" w:cs="Times New Roman"/>
          <w:color w:val="auto"/>
          <w:sz w:val="22"/>
          <w:szCs w:val="20"/>
          <w:lang w:val="ru-RU"/>
        </w:rPr>
      </w:pPr>
      <w:r w:rsidRPr="001F560F">
        <w:rPr>
          <w:rFonts w:ascii="Calibri" w:eastAsia="Times New Roman" w:hAnsi="Calibri" w:cs="Times New Roman"/>
          <w:color w:val="auto"/>
          <w:sz w:val="22"/>
          <w:szCs w:val="20"/>
          <w:lang w:val="ru-RU"/>
        </w:rPr>
        <w:t>Совет МСЭ на своей сессии в июне 2019 года поручил Директору БРЭ "провести подробный анализ и обзор текущих мероприятий в области профессиональной подготовки и создания потенциала, проводимых Группой по инициативам в области создания потенциала, Академией МСЭ и центрами профессионального мастерства, и представить Совету 2020 года отчет о результатах исследования и о возможности учреждения института по созданию потенциала в МСЭ".</w:t>
      </w:r>
    </w:p>
    <w:p w14:paraId="2CB4C808" w14:textId="48ADBDEA" w:rsidR="001F560F" w:rsidRPr="001F560F" w:rsidRDefault="00627280" w:rsidP="00A579EF">
      <w:pPr>
        <w:keepNext/>
        <w:tabs>
          <w:tab w:val="left" w:pos="794"/>
          <w:tab w:val="left" w:pos="1191"/>
          <w:tab w:val="left" w:pos="1588"/>
          <w:tab w:val="left" w:pos="1985"/>
        </w:tabs>
        <w:overflowPunct w:val="0"/>
        <w:autoSpaceDE w:val="0"/>
        <w:autoSpaceDN w:val="0"/>
        <w:adjustRightInd w:val="0"/>
        <w:spacing w:before="120" w:after="0"/>
        <w:textAlignment w:val="baseline"/>
        <w:rPr>
          <w:rFonts w:ascii="Calibri" w:eastAsia="Times New Roman" w:hAnsi="Calibri" w:cs="Times New Roman"/>
          <w:color w:val="auto"/>
          <w:sz w:val="22"/>
          <w:szCs w:val="20"/>
          <w:lang w:val="ru-RU"/>
        </w:rPr>
      </w:pPr>
      <w:r w:rsidRPr="00627280">
        <w:rPr>
          <w:rFonts w:ascii="Calibri" w:eastAsia="Times New Roman" w:hAnsi="Calibri" w:cs="Times New Roman"/>
          <w:color w:val="auto"/>
          <w:sz w:val="22"/>
          <w:szCs w:val="20"/>
          <w:lang w:val="ru-RU"/>
        </w:rPr>
        <w:lastRenderedPageBreak/>
        <w:t xml:space="preserve">Впоследствии МСЭ заключил контракт на проведение исследования с независимой внешней консалтинговой компанией </w:t>
      </w:r>
      <w:r w:rsidRPr="00627280">
        <w:rPr>
          <w:rFonts w:ascii="Calibri" w:eastAsia="Times New Roman" w:hAnsi="Calibri" w:cs="Times New Roman"/>
          <w:color w:val="auto"/>
          <w:sz w:val="22"/>
          <w:szCs w:val="20"/>
          <w:lang w:val="en-US"/>
        </w:rPr>
        <w:t>Jigsaw</w:t>
      </w:r>
      <w:r w:rsidRPr="00627280">
        <w:rPr>
          <w:rFonts w:ascii="Calibri" w:eastAsia="Times New Roman" w:hAnsi="Calibri" w:cs="Times New Roman"/>
          <w:color w:val="auto"/>
          <w:sz w:val="22"/>
          <w:szCs w:val="20"/>
          <w:lang w:val="ru-RU"/>
        </w:rPr>
        <w:t xml:space="preserve"> </w:t>
      </w:r>
      <w:r w:rsidRPr="00627280">
        <w:rPr>
          <w:rFonts w:ascii="Calibri" w:eastAsia="Times New Roman" w:hAnsi="Calibri" w:cs="Times New Roman"/>
          <w:color w:val="auto"/>
          <w:sz w:val="22"/>
          <w:szCs w:val="20"/>
          <w:lang w:val="en-US"/>
        </w:rPr>
        <w:t>Consult</w:t>
      </w:r>
      <w:r w:rsidRPr="00627280">
        <w:rPr>
          <w:rFonts w:ascii="Calibri" w:eastAsia="Times New Roman" w:hAnsi="Calibri" w:cs="Times New Roman"/>
          <w:color w:val="auto"/>
          <w:sz w:val="22"/>
          <w:szCs w:val="20"/>
          <w:lang w:val="ru-RU"/>
        </w:rPr>
        <w:t xml:space="preserve">. </w:t>
      </w:r>
      <w:r>
        <w:rPr>
          <w:rFonts w:ascii="Calibri" w:eastAsia="Times New Roman" w:hAnsi="Calibri" w:cs="Times New Roman"/>
          <w:color w:val="auto"/>
          <w:sz w:val="22"/>
          <w:szCs w:val="20"/>
          <w:lang w:val="ru-RU"/>
        </w:rPr>
        <w:t>Круг ведения</w:t>
      </w:r>
      <w:r w:rsidRPr="00627280">
        <w:rPr>
          <w:rFonts w:ascii="Calibri" w:eastAsia="Times New Roman" w:hAnsi="Calibri" w:cs="Times New Roman"/>
          <w:color w:val="auto"/>
          <w:sz w:val="22"/>
          <w:szCs w:val="20"/>
          <w:lang w:val="ru-RU"/>
        </w:rPr>
        <w:t xml:space="preserve"> включал следующие элементы:</w:t>
      </w:r>
    </w:p>
    <w:p w14:paraId="2E6A9534" w14:textId="77777777" w:rsidR="001F560F" w:rsidRPr="001F560F" w:rsidRDefault="001F560F" w:rsidP="001F560F">
      <w:pPr>
        <w:tabs>
          <w:tab w:val="left" w:pos="794"/>
          <w:tab w:val="left" w:pos="1191"/>
          <w:tab w:val="left" w:pos="1588"/>
          <w:tab w:val="left" w:pos="1985"/>
          <w:tab w:val="left" w:pos="2608"/>
          <w:tab w:val="left" w:pos="3345"/>
        </w:tabs>
        <w:overflowPunct w:val="0"/>
        <w:autoSpaceDE w:val="0"/>
        <w:autoSpaceDN w:val="0"/>
        <w:adjustRightInd w:val="0"/>
        <w:spacing w:before="80" w:after="0"/>
        <w:ind w:left="794" w:hanging="794"/>
        <w:textAlignment w:val="baseline"/>
        <w:rPr>
          <w:rFonts w:ascii="Calibri" w:eastAsia="Times New Roman" w:hAnsi="Calibri" w:cs="Times New Roman"/>
          <w:color w:val="auto"/>
          <w:sz w:val="22"/>
          <w:szCs w:val="20"/>
          <w:lang w:val="ru-RU"/>
        </w:rPr>
      </w:pPr>
      <w:r w:rsidRPr="001F560F">
        <w:rPr>
          <w:rFonts w:ascii="Calibri" w:eastAsia="Times New Roman" w:hAnsi="Calibri" w:cs="Times New Roman"/>
          <w:color w:val="auto"/>
          <w:sz w:val="22"/>
          <w:szCs w:val="20"/>
          <w:lang w:val="ru-RU"/>
        </w:rPr>
        <w:t>•</w:t>
      </w:r>
      <w:r w:rsidRPr="001F560F">
        <w:rPr>
          <w:rFonts w:ascii="Calibri" w:eastAsia="Times New Roman" w:hAnsi="Calibri" w:cs="Times New Roman"/>
          <w:color w:val="auto"/>
          <w:sz w:val="22"/>
          <w:szCs w:val="20"/>
          <w:lang w:val="ru-RU"/>
        </w:rPr>
        <w:tab/>
        <w:t>провести обзор существующих в мире программ развития потенциала в области цифровых технологий;</w:t>
      </w:r>
    </w:p>
    <w:p w14:paraId="49EAAB81" w14:textId="77777777" w:rsidR="001F560F" w:rsidRPr="001F560F" w:rsidRDefault="001F560F" w:rsidP="001F560F">
      <w:pPr>
        <w:tabs>
          <w:tab w:val="left" w:pos="794"/>
          <w:tab w:val="left" w:pos="1191"/>
          <w:tab w:val="left" w:pos="1588"/>
          <w:tab w:val="left" w:pos="1985"/>
          <w:tab w:val="left" w:pos="2608"/>
          <w:tab w:val="left" w:pos="3345"/>
        </w:tabs>
        <w:overflowPunct w:val="0"/>
        <w:autoSpaceDE w:val="0"/>
        <w:autoSpaceDN w:val="0"/>
        <w:adjustRightInd w:val="0"/>
        <w:spacing w:before="80" w:after="0"/>
        <w:ind w:left="794" w:hanging="794"/>
        <w:textAlignment w:val="baseline"/>
        <w:rPr>
          <w:rFonts w:ascii="Calibri" w:eastAsia="Times New Roman" w:hAnsi="Calibri" w:cs="Times New Roman"/>
          <w:color w:val="auto"/>
          <w:sz w:val="22"/>
          <w:szCs w:val="20"/>
          <w:lang w:val="ru-RU"/>
        </w:rPr>
      </w:pPr>
      <w:r w:rsidRPr="001F560F">
        <w:rPr>
          <w:rFonts w:ascii="Calibri" w:eastAsia="Times New Roman" w:hAnsi="Calibri" w:cs="Times New Roman"/>
          <w:color w:val="auto"/>
          <w:sz w:val="22"/>
          <w:szCs w:val="20"/>
          <w:lang w:val="ru-RU"/>
        </w:rPr>
        <w:t>•</w:t>
      </w:r>
      <w:r w:rsidRPr="001F560F">
        <w:rPr>
          <w:rFonts w:ascii="Calibri" w:eastAsia="Times New Roman" w:hAnsi="Calibri" w:cs="Times New Roman"/>
          <w:color w:val="auto"/>
          <w:sz w:val="22"/>
          <w:szCs w:val="20"/>
          <w:lang w:val="ru-RU"/>
        </w:rPr>
        <w:tab/>
        <w:t>провести анализ осуществляемой МСЭ деятельности по развитию потенциала;</w:t>
      </w:r>
    </w:p>
    <w:p w14:paraId="4AC255DF" w14:textId="77777777" w:rsidR="001F560F" w:rsidRPr="001F560F" w:rsidRDefault="001F560F" w:rsidP="001F560F">
      <w:pPr>
        <w:tabs>
          <w:tab w:val="left" w:pos="794"/>
          <w:tab w:val="left" w:pos="1191"/>
          <w:tab w:val="left" w:pos="1588"/>
          <w:tab w:val="left" w:pos="1985"/>
          <w:tab w:val="left" w:pos="2608"/>
          <w:tab w:val="left" w:pos="3345"/>
        </w:tabs>
        <w:overflowPunct w:val="0"/>
        <w:autoSpaceDE w:val="0"/>
        <w:autoSpaceDN w:val="0"/>
        <w:adjustRightInd w:val="0"/>
        <w:spacing w:before="80" w:after="0"/>
        <w:ind w:left="794" w:hanging="794"/>
        <w:textAlignment w:val="baseline"/>
        <w:rPr>
          <w:rFonts w:ascii="Calibri" w:eastAsia="Times New Roman" w:hAnsi="Calibri" w:cs="Times New Roman"/>
          <w:color w:val="auto"/>
          <w:sz w:val="22"/>
          <w:szCs w:val="20"/>
          <w:lang w:val="ru-RU"/>
        </w:rPr>
      </w:pPr>
      <w:r w:rsidRPr="001F560F">
        <w:rPr>
          <w:rFonts w:ascii="Calibri" w:eastAsia="Times New Roman" w:hAnsi="Calibri" w:cs="Times New Roman"/>
          <w:color w:val="auto"/>
          <w:sz w:val="22"/>
          <w:szCs w:val="20"/>
          <w:lang w:val="ru-RU"/>
        </w:rPr>
        <w:t>•</w:t>
      </w:r>
      <w:r w:rsidRPr="001F560F">
        <w:rPr>
          <w:rFonts w:ascii="Calibri" w:eastAsia="Times New Roman" w:hAnsi="Calibri" w:cs="Times New Roman"/>
          <w:color w:val="auto"/>
          <w:sz w:val="22"/>
          <w:szCs w:val="20"/>
          <w:lang w:val="ru-RU"/>
        </w:rPr>
        <w:tab/>
        <w:t>определить существующие проблемы и направления, требующие совершенствования;</w:t>
      </w:r>
    </w:p>
    <w:p w14:paraId="1C6515F8" w14:textId="77777777" w:rsidR="001F560F" w:rsidRPr="001F560F" w:rsidRDefault="001F560F" w:rsidP="001F560F">
      <w:pPr>
        <w:tabs>
          <w:tab w:val="left" w:pos="794"/>
          <w:tab w:val="left" w:pos="1191"/>
          <w:tab w:val="left" w:pos="1588"/>
          <w:tab w:val="left" w:pos="1985"/>
          <w:tab w:val="left" w:pos="2608"/>
          <w:tab w:val="left" w:pos="3345"/>
        </w:tabs>
        <w:overflowPunct w:val="0"/>
        <w:autoSpaceDE w:val="0"/>
        <w:autoSpaceDN w:val="0"/>
        <w:adjustRightInd w:val="0"/>
        <w:spacing w:before="80" w:after="0"/>
        <w:ind w:left="794" w:hanging="794"/>
        <w:textAlignment w:val="baseline"/>
        <w:rPr>
          <w:rFonts w:ascii="Calibri" w:eastAsia="Times New Roman" w:hAnsi="Calibri" w:cs="Times New Roman"/>
          <w:color w:val="auto"/>
          <w:sz w:val="22"/>
          <w:szCs w:val="20"/>
          <w:lang w:val="ru-RU"/>
        </w:rPr>
      </w:pPr>
      <w:r w:rsidRPr="001F560F">
        <w:rPr>
          <w:rFonts w:ascii="Calibri" w:eastAsia="Times New Roman" w:hAnsi="Calibri" w:cs="Times New Roman"/>
          <w:color w:val="auto"/>
          <w:sz w:val="22"/>
          <w:szCs w:val="20"/>
          <w:lang w:val="ru-RU"/>
        </w:rPr>
        <w:t>•</w:t>
      </w:r>
      <w:r w:rsidRPr="001F560F">
        <w:rPr>
          <w:rFonts w:ascii="Calibri" w:eastAsia="Times New Roman" w:hAnsi="Calibri" w:cs="Times New Roman"/>
          <w:color w:val="auto"/>
          <w:sz w:val="22"/>
          <w:szCs w:val="20"/>
          <w:lang w:val="ru-RU"/>
        </w:rPr>
        <w:tab/>
        <w:t>провести оценку потребностей в новом институте профессиональной подготовки;</w:t>
      </w:r>
    </w:p>
    <w:p w14:paraId="6D088948" w14:textId="77777777" w:rsidR="001F560F" w:rsidRPr="001F560F" w:rsidRDefault="001F560F" w:rsidP="001F560F">
      <w:pPr>
        <w:tabs>
          <w:tab w:val="left" w:pos="794"/>
          <w:tab w:val="left" w:pos="1191"/>
          <w:tab w:val="left" w:pos="1588"/>
          <w:tab w:val="left" w:pos="1985"/>
          <w:tab w:val="left" w:pos="2608"/>
          <w:tab w:val="left" w:pos="3345"/>
        </w:tabs>
        <w:overflowPunct w:val="0"/>
        <w:autoSpaceDE w:val="0"/>
        <w:autoSpaceDN w:val="0"/>
        <w:adjustRightInd w:val="0"/>
        <w:spacing w:before="80" w:after="0"/>
        <w:ind w:left="794" w:hanging="794"/>
        <w:textAlignment w:val="baseline"/>
        <w:rPr>
          <w:rFonts w:ascii="Calibri" w:eastAsia="Times New Roman" w:hAnsi="Calibri" w:cs="Times New Roman"/>
          <w:color w:val="auto"/>
          <w:sz w:val="22"/>
          <w:szCs w:val="20"/>
          <w:lang w:val="ru-RU"/>
        </w:rPr>
      </w:pPr>
      <w:r w:rsidRPr="001F560F">
        <w:rPr>
          <w:rFonts w:ascii="Calibri" w:eastAsia="Times New Roman" w:hAnsi="Calibri" w:cs="Times New Roman"/>
          <w:color w:val="auto"/>
          <w:sz w:val="22"/>
          <w:szCs w:val="20"/>
          <w:lang w:val="ru-RU"/>
        </w:rPr>
        <w:t>•</w:t>
      </w:r>
      <w:r w:rsidRPr="001F560F">
        <w:rPr>
          <w:rFonts w:ascii="Calibri" w:eastAsia="Times New Roman" w:hAnsi="Calibri" w:cs="Times New Roman"/>
          <w:color w:val="auto"/>
          <w:sz w:val="22"/>
          <w:szCs w:val="20"/>
          <w:lang w:val="ru-RU"/>
        </w:rPr>
        <w:tab/>
        <w:t>определить потребности в ресурсах и структуру управления для нового института профессиональной подготовки;</w:t>
      </w:r>
    </w:p>
    <w:p w14:paraId="7B878637" w14:textId="77777777" w:rsidR="001F560F" w:rsidRPr="001F560F" w:rsidRDefault="001F560F" w:rsidP="001F560F">
      <w:pPr>
        <w:tabs>
          <w:tab w:val="left" w:pos="794"/>
          <w:tab w:val="left" w:pos="1191"/>
          <w:tab w:val="left" w:pos="1588"/>
          <w:tab w:val="left" w:pos="1985"/>
          <w:tab w:val="left" w:pos="2608"/>
          <w:tab w:val="left" w:pos="3345"/>
        </w:tabs>
        <w:overflowPunct w:val="0"/>
        <w:autoSpaceDE w:val="0"/>
        <w:autoSpaceDN w:val="0"/>
        <w:adjustRightInd w:val="0"/>
        <w:spacing w:before="80" w:after="0"/>
        <w:ind w:left="794" w:hanging="794"/>
        <w:textAlignment w:val="baseline"/>
        <w:rPr>
          <w:rFonts w:ascii="Calibri" w:eastAsia="Times New Roman" w:hAnsi="Calibri" w:cs="Times New Roman"/>
          <w:color w:val="auto"/>
          <w:sz w:val="22"/>
          <w:szCs w:val="20"/>
          <w:lang w:val="ru-RU"/>
        </w:rPr>
      </w:pPr>
      <w:r w:rsidRPr="001F560F">
        <w:rPr>
          <w:rFonts w:ascii="Calibri" w:eastAsia="Times New Roman" w:hAnsi="Calibri" w:cs="Times New Roman"/>
          <w:color w:val="auto"/>
          <w:sz w:val="22"/>
          <w:szCs w:val="20"/>
          <w:lang w:val="ru-RU"/>
        </w:rPr>
        <w:t>•</w:t>
      </w:r>
      <w:r w:rsidRPr="001F560F">
        <w:rPr>
          <w:rFonts w:ascii="Calibri" w:eastAsia="Times New Roman" w:hAnsi="Calibri" w:cs="Times New Roman"/>
          <w:color w:val="auto"/>
          <w:sz w:val="22"/>
          <w:szCs w:val="20"/>
          <w:lang w:val="ru-RU"/>
        </w:rPr>
        <w:tab/>
        <w:t>определить альтернативные варианты совершенствования работы МСЭ в области развития потенциала;</w:t>
      </w:r>
    </w:p>
    <w:p w14:paraId="1934DDF3" w14:textId="77777777" w:rsidR="001F560F" w:rsidRPr="001F560F" w:rsidRDefault="001F560F" w:rsidP="001F560F">
      <w:pPr>
        <w:tabs>
          <w:tab w:val="left" w:pos="794"/>
          <w:tab w:val="left" w:pos="1191"/>
          <w:tab w:val="left" w:pos="1588"/>
          <w:tab w:val="left" w:pos="1985"/>
          <w:tab w:val="left" w:pos="2608"/>
          <w:tab w:val="left" w:pos="3345"/>
        </w:tabs>
        <w:overflowPunct w:val="0"/>
        <w:autoSpaceDE w:val="0"/>
        <w:autoSpaceDN w:val="0"/>
        <w:adjustRightInd w:val="0"/>
        <w:spacing w:before="80" w:after="0"/>
        <w:ind w:left="794" w:hanging="794"/>
        <w:textAlignment w:val="baseline"/>
        <w:rPr>
          <w:rFonts w:ascii="Calibri" w:eastAsia="Times New Roman" w:hAnsi="Calibri" w:cs="Times New Roman"/>
          <w:color w:val="auto"/>
          <w:sz w:val="22"/>
          <w:szCs w:val="20"/>
          <w:lang w:val="ru-RU"/>
        </w:rPr>
      </w:pPr>
      <w:r w:rsidRPr="001F560F">
        <w:rPr>
          <w:rFonts w:ascii="Calibri" w:eastAsia="Times New Roman" w:hAnsi="Calibri" w:cs="Times New Roman"/>
          <w:color w:val="auto"/>
          <w:sz w:val="22"/>
          <w:szCs w:val="20"/>
          <w:lang w:val="ru-RU"/>
        </w:rPr>
        <w:t>•</w:t>
      </w:r>
      <w:r w:rsidRPr="001F560F">
        <w:rPr>
          <w:rFonts w:ascii="Calibri" w:eastAsia="Times New Roman" w:hAnsi="Calibri" w:cs="Times New Roman"/>
          <w:color w:val="auto"/>
          <w:sz w:val="22"/>
          <w:szCs w:val="20"/>
          <w:lang w:val="ru-RU"/>
        </w:rPr>
        <w:tab/>
        <w:t>выработать рекомендации, касающиеся дальнейших мер.</w:t>
      </w:r>
    </w:p>
    <w:p w14:paraId="1C337165" w14:textId="57C16CE2" w:rsidR="001F560F" w:rsidRPr="00627280" w:rsidRDefault="00627280" w:rsidP="001F560F">
      <w:pPr>
        <w:tabs>
          <w:tab w:val="left" w:pos="794"/>
          <w:tab w:val="left" w:pos="1191"/>
          <w:tab w:val="left" w:pos="1588"/>
          <w:tab w:val="left" w:pos="1985"/>
        </w:tabs>
        <w:overflowPunct w:val="0"/>
        <w:autoSpaceDE w:val="0"/>
        <w:autoSpaceDN w:val="0"/>
        <w:adjustRightInd w:val="0"/>
        <w:spacing w:before="120" w:after="0"/>
        <w:textAlignment w:val="baseline"/>
        <w:rPr>
          <w:rFonts w:ascii="Calibri" w:eastAsia="Times New Roman" w:hAnsi="Calibri" w:cs="Times New Roman"/>
          <w:color w:val="auto"/>
          <w:sz w:val="22"/>
          <w:szCs w:val="20"/>
          <w:lang w:val="ru-RU"/>
        </w:rPr>
      </w:pPr>
      <w:r>
        <w:rPr>
          <w:rFonts w:ascii="Calibri" w:eastAsia="Times New Roman" w:hAnsi="Calibri" w:cs="Times New Roman"/>
          <w:color w:val="auto"/>
          <w:sz w:val="22"/>
          <w:szCs w:val="20"/>
          <w:lang w:val="ru-RU"/>
        </w:rPr>
        <w:t>Исследование</w:t>
      </w:r>
      <w:r w:rsidRPr="00627280">
        <w:rPr>
          <w:rFonts w:ascii="Calibri" w:eastAsia="Times New Roman" w:hAnsi="Calibri" w:cs="Times New Roman"/>
          <w:color w:val="auto"/>
          <w:sz w:val="22"/>
          <w:szCs w:val="20"/>
          <w:lang w:val="ru-RU"/>
        </w:rPr>
        <w:t xml:space="preserve"> проводил</w:t>
      </w:r>
      <w:r>
        <w:rPr>
          <w:rFonts w:ascii="Calibri" w:eastAsia="Times New Roman" w:hAnsi="Calibri" w:cs="Times New Roman"/>
          <w:color w:val="auto"/>
          <w:sz w:val="22"/>
          <w:szCs w:val="20"/>
          <w:lang w:val="ru-RU"/>
        </w:rPr>
        <w:t>о</w:t>
      </w:r>
      <w:r w:rsidRPr="00627280">
        <w:rPr>
          <w:rFonts w:ascii="Calibri" w:eastAsia="Times New Roman" w:hAnsi="Calibri" w:cs="Times New Roman"/>
          <w:color w:val="auto"/>
          <w:sz w:val="22"/>
          <w:szCs w:val="20"/>
          <w:lang w:val="ru-RU"/>
        </w:rPr>
        <w:t xml:space="preserve">сь с июля по декабрь 2020 года, </w:t>
      </w:r>
      <w:r>
        <w:rPr>
          <w:rFonts w:ascii="Calibri" w:eastAsia="Times New Roman" w:hAnsi="Calibri" w:cs="Times New Roman"/>
          <w:color w:val="auto"/>
          <w:sz w:val="22"/>
          <w:szCs w:val="20"/>
          <w:lang w:val="ru-RU"/>
        </w:rPr>
        <w:t>и</w:t>
      </w:r>
      <w:r w:rsidRPr="00627280">
        <w:rPr>
          <w:rFonts w:ascii="Calibri" w:eastAsia="Times New Roman" w:hAnsi="Calibri" w:cs="Times New Roman"/>
          <w:color w:val="auto"/>
          <w:sz w:val="22"/>
          <w:szCs w:val="20"/>
          <w:lang w:val="ru-RU"/>
        </w:rPr>
        <w:t xml:space="preserve"> </w:t>
      </w:r>
      <w:r>
        <w:rPr>
          <w:rFonts w:ascii="Calibri" w:eastAsia="Times New Roman" w:hAnsi="Calibri" w:cs="Times New Roman"/>
          <w:color w:val="auto"/>
          <w:sz w:val="22"/>
          <w:szCs w:val="20"/>
          <w:lang w:val="ru-RU"/>
        </w:rPr>
        <w:t>заключительный</w:t>
      </w:r>
      <w:r w:rsidRPr="00627280">
        <w:rPr>
          <w:rFonts w:ascii="Calibri" w:eastAsia="Times New Roman" w:hAnsi="Calibri" w:cs="Times New Roman"/>
          <w:color w:val="auto"/>
          <w:sz w:val="22"/>
          <w:szCs w:val="20"/>
          <w:lang w:val="ru-RU"/>
        </w:rPr>
        <w:t xml:space="preserve"> отчет был представлен компанией </w:t>
      </w:r>
      <w:r w:rsidRPr="00627280">
        <w:rPr>
          <w:rFonts w:ascii="Calibri" w:eastAsia="Times New Roman" w:hAnsi="Calibri" w:cs="Times New Roman"/>
          <w:color w:val="auto"/>
          <w:sz w:val="22"/>
          <w:szCs w:val="20"/>
          <w:lang w:val="en-US"/>
        </w:rPr>
        <w:t>Jigsaw</w:t>
      </w:r>
      <w:r w:rsidRPr="00627280">
        <w:rPr>
          <w:rFonts w:ascii="Calibri" w:eastAsia="Times New Roman" w:hAnsi="Calibri" w:cs="Times New Roman"/>
          <w:color w:val="auto"/>
          <w:sz w:val="22"/>
          <w:szCs w:val="20"/>
          <w:lang w:val="ru-RU"/>
        </w:rPr>
        <w:t xml:space="preserve"> </w:t>
      </w:r>
      <w:r w:rsidRPr="00627280">
        <w:rPr>
          <w:rFonts w:ascii="Calibri" w:eastAsia="Times New Roman" w:hAnsi="Calibri" w:cs="Times New Roman"/>
          <w:color w:val="auto"/>
          <w:sz w:val="22"/>
          <w:szCs w:val="20"/>
          <w:lang w:val="en-US"/>
        </w:rPr>
        <w:t>Consult</w:t>
      </w:r>
      <w:r w:rsidRPr="00627280">
        <w:rPr>
          <w:rFonts w:ascii="Calibri" w:eastAsia="Times New Roman" w:hAnsi="Calibri" w:cs="Times New Roman"/>
          <w:color w:val="auto"/>
          <w:sz w:val="22"/>
          <w:szCs w:val="20"/>
          <w:lang w:val="ru-RU"/>
        </w:rPr>
        <w:t xml:space="preserve"> в марте 2021 года. Полный текст отчета представл</w:t>
      </w:r>
      <w:r w:rsidR="00C277A6">
        <w:rPr>
          <w:rFonts w:ascii="Calibri" w:eastAsia="Times New Roman" w:hAnsi="Calibri" w:cs="Times New Roman"/>
          <w:color w:val="auto"/>
          <w:sz w:val="22"/>
          <w:szCs w:val="20"/>
          <w:lang w:val="ru-RU"/>
        </w:rPr>
        <w:t xml:space="preserve">яется </w:t>
      </w:r>
      <w:r w:rsidRPr="00627280">
        <w:rPr>
          <w:rFonts w:ascii="Calibri" w:eastAsia="Times New Roman" w:hAnsi="Calibri" w:cs="Times New Roman"/>
          <w:color w:val="auto"/>
          <w:sz w:val="22"/>
          <w:szCs w:val="20"/>
          <w:lang w:val="ru-RU"/>
        </w:rPr>
        <w:t>на рассмотрение Совета-21 (см. Приложение к настоящему документу).</w:t>
      </w:r>
    </w:p>
    <w:p w14:paraId="7C91F96B" w14:textId="3AE365AC" w:rsidR="001F560F" w:rsidRPr="00627280" w:rsidRDefault="00627280" w:rsidP="001F560F">
      <w:pPr>
        <w:tabs>
          <w:tab w:val="left" w:pos="794"/>
          <w:tab w:val="left" w:pos="1191"/>
          <w:tab w:val="left" w:pos="1588"/>
          <w:tab w:val="left" w:pos="1985"/>
        </w:tabs>
        <w:overflowPunct w:val="0"/>
        <w:autoSpaceDE w:val="0"/>
        <w:autoSpaceDN w:val="0"/>
        <w:adjustRightInd w:val="0"/>
        <w:spacing w:before="120" w:after="0"/>
        <w:textAlignment w:val="baseline"/>
        <w:rPr>
          <w:rFonts w:ascii="Calibri" w:eastAsia="Times New Roman" w:hAnsi="Calibri" w:cs="Times New Roman"/>
          <w:color w:val="auto"/>
          <w:sz w:val="22"/>
          <w:szCs w:val="20"/>
          <w:lang w:val="ru-RU"/>
        </w:rPr>
      </w:pPr>
      <w:r w:rsidRPr="00627280">
        <w:rPr>
          <w:rFonts w:ascii="Calibri" w:eastAsia="Times New Roman" w:hAnsi="Calibri" w:cs="Times New Roman"/>
          <w:color w:val="auto"/>
          <w:sz w:val="22"/>
          <w:szCs w:val="20"/>
          <w:lang w:val="ru-RU"/>
        </w:rPr>
        <w:t>В отчете рекомендуется реализовать один из следующих трех вариантов:</w:t>
      </w:r>
    </w:p>
    <w:p w14:paraId="071A73E3" w14:textId="40C05AFD" w:rsidR="001F560F" w:rsidRPr="001F560F" w:rsidRDefault="001F560F" w:rsidP="001F560F">
      <w:pPr>
        <w:tabs>
          <w:tab w:val="left" w:pos="794"/>
          <w:tab w:val="left" w:pos="1191"/>
          <w:tab w:val="left" w:pos="1588"/>
          <w:tab w:val="left" w:pos="1985"/>
          <w:tab w:val="left" w:pos="2608"/>
          <w:tab w:val="left" w:pos="3345"/>
        </w:tabs>
        <w:overflowPunct w:val="0"/>
        <w:autoSpaceDE w:val="0"/>
        <w:autoSpaceDN w:val="0"/>
        <w:adjustRightInd w:val="0"/>
        <w:spacing w:before="80" w:after="0"/>
        <w:ind w:left="794" w:hanging="794"/>
        <w:textAlignment w:val="baseline"/>
        <w:rPr>
          <w:rFonts w:ascii="Calibri" w:eastAsia="Times New Roman" w:hAnsi="Calibri" w:cs="Times New Roman"/>
          <w:color w:val="auto"/>
          <w:sz w:val="22"/>
          <w:szCs w:val="20"/>
          <w:lang w:val="ru-RU"/>
        </w:rPr>
      </w:pPr>
      <w:r w:rsidRPr="001F560F">
        <w:rPr>
          <w:rFonts w:ascii="Calibri" w:eastAsia="Times New Roman" w:hAnsi="Calibri" w:cs="Times New Roman"/>
          <w:color w:val="auto"/>
          <w:sz w:val="22"/>
          <w:szCs w:val="20"/>
          <w:lang w:val="ru-RU"/>
        </w:rPr>
        <w:t>•</w:t>
      </w:r>
      <w:r w:rsidRPr="001F560F">
        <w:rPr>
          <w:rFonts w:ascii="Calibri" w:eastAsia="Times New Roman" w:hAnsi="Calibri" w:cs="Times New Roman"/>
          <w:color w:val="auto"/>
          <w:sz w:val="22"/>
          <w:szCs w:val="20"/>
          <w:lang w:val="ru-RU"/>
        </w:rPr>
        <w:tab/>
        <w:t>вариант 1: создание в рамках Секретариата МСЭ централизованного подразделения по вопросам развития потенциала и профессиональной подготовки кадров, описание которого приведено в отчете (пункты 173−193);</w:t>
      </w:r>
    </w:p>
    <w:p w14:paraId="1CDC823D" w14:textId="327B11A7" w:rsidR="001F560F" w:rsidRPr="001F560F" w:rsidRDefault="001F560F" w:rsidP="001F560F">
      <w:pPr>
        <w:tabs>
          <w:tab w:val="left" w:pos="794"/>
          <w:tab w:val="left" w:pos="1191"/>
          <w:tab w:val="left" w:pos="1588"/>
          <w:tab w:val="left" w:pos="1985"/>
          <w:tab w:val="left" w:pos="2608"/>
          <w:tab w:val="left" w:pos="3345"/>
        </w:tabs>
        <w:overflowPunct w:val="0"/>
        <w:autoSpaceDE w:val="0"/>
        <w:autoSpaceDN w:val="0"/>
        <w:adjustRightInd w:val="0"/>
        <w:spacing w:before="80" w:after="0"/>
        <w:ind w:left="794" w:hanging="794"/>
        <w:textAlignment w:val="baseline"/>
        <w:rPr>
          <w:rFonts w:ascii="Calibri" w:eastAsia="Times New Roman" w:hAnsi="Calibri" w:cs="Times New Roman"/>
          <w:color w:val="auto"/>
          <w:sz w:val="22"/>
          <w:szCs w:val="20"/>
          <w:lang w:val="ru-RU"/>
        </w:rPr>
      </w:pPr>
      <w:r w:rsidRPr="001F560F">
        <w:rPr>
          <w:rFonts w:ascii="Calibri" w:eastAsia="Times New Roman" w:hAnsi="Calibri" w:cs="Times New Roman"/>
          <w:color w:val="auto"/>
          <w:sz w:val="22"/>
          <w:szCs w:val="20"/>
          <w:lang w:val="ru-RU"/>
        </w:rPr>
        <w:t>•</w:t>
      </w:r>
      <w:r w:rsidRPr="001F560F">
        <w:rPr>
          <w:rFonts w:ascii="Calibri" w:eastAsia="Times New Roman" w:hAnsi="Calibri" w:cs="Times New Roman"/>
          <w:color w:val="auto"/>
          <w:sz w:val="22"/>
          <w:szCs w:val="20"/>
          <w:lang w:val="ru-RU"/>
        </w:rPr>
        <w:tab/>
        <w:t xml:space="preserve">вариант 2: создание в МСЭ института профессиональной подготовки на основе структуры, представленной в отчете (пункты 91−159); </w:t>
      </w:r>
    </w:p>
    <w:p w14:paraId="527D2F88" w14:textId="2DA589C8" w:rsidR="001F560F" w:rsidRPr="001F560F" w:rsidRDefault="001F560F" w:rsidP="001F560F">
      <w:pPr>
        <w:tabs>
          <w:tab w:val="left" w:pos="794"/>
          <w:tab w:val="left" w:pos="1191"/>
          <w:tab w:val="left" w:pos="1588"/>
          <w:tab w:val="left" w:pos="1985"/>
          <w:tab w:val="left" w:pos="2608"/>
          <w:tab w:val="left" w:pos="3345"/>
        </w:tabs>
        <w:overflowPunct w:val="0"/>
        <w:autoSpaceDE w:val="0"/>
        <w:autoSpaceDN w:val="0"/>
        <w:adjustRightInd w:val="0"/>
        <w:spacing w:before="80" w:after="0"/>
        <w:ind w:left="794" w:hanging="794"/>
        <w:textAlignment w:val="baseline"/>
        <w:rPr>
          <w:rFonts w:ascii="Calibri" w:eastAsia="Times New Roman" w:hAnsi="Calibri" w:cs="Times New Roman"/>
          <w:color w:val="auto"/>
          <w:sz w:val="22"/>
          <w:szCs w:val="20"/>
          <w:lang w:val="ru-RU"/>
        </w:rPr>
      </w:pPr>
      <w:r w:rsidRPr="001F560F">
        <w:rPr>
          <w:rFonts w:ascii="Calibri" w:eastAsia="Times New Roman" w:hAnsi="Calibri" w:cs="Times New Roman"/>
          <w:color w:val="auto"/>
          <w:sz w:val="22"/>
          <w:szCs w:val="20"/>
          <w:lang w:val="ru-RU"/>
        </w:rPr>
        <w:t>•</w:t>
      </w:r>
      <w:r w:rsidRPr="001F560F">
        <w:rPr>
          <w:rFonts w:ascii="Calibri" w:eastAsia="Times New Roman" w:hAnsi="Calibri" w:cs="Times New Roman"/>
          <w:color w:val="auto"/>
          <w:sz w:val="22"/>
          <w:szCs w:val="20"/>
          <w:lang w:val="ru-RU"/>
        </w:rPr>
        <w:tab/>
        <w:t>вариант 3: дальнейшее поступательное повышение качества предоставляемых МСЭ услуг по развитию потенциала и профессиональной подготовке за счет реализации только краткосрочных рекомендаций, резюме которых содержится в пункте 6</w:t>
      </w:r>
      <w:r w:rsidR="00C277A6">
        <w:rPr>
          <w:rFonts w:ascii="Calibri" w:eastAsia="Times New Roman" w:hAnsi="Calibri" w:cs="Times New Roman"/>
          <w:color w:val="auto"/>
          <w:sz w:val="22"/>
          <w:szCs w:val="20"/>
          <w:lang w:val="ru-RU"/>
        </w:rPr>
        <w:t xml:space="preserve"> отчета</w:t>
      </w:r>
      <w:r w:rsidRPr="001F560F">
        <w:rPr>
          <w:rFonts w:ascii="Calibri" w:eastAsia="Times New Roman" w:hAnsi="Calibri" w:cs="Times New Roman"/>
          <w:color w:val="auto"/>
          <w:sz w:val="22"/>
          <w:szCs w:val="20"/>
          <w:lang w:val="ru-RU"/>
        </w:rPr>
        <w:t>.</w:t>
      </w:r>
    </w:p>
    <w:p w14:paraId="2795584A" w14:textId="77777777" w:rsidR="001F560F" w:rsidRPr="001F560F" w:rsidRDefault="001F560F" w:rsidP="001F560F">
      <w:pPr>
        <w:tabs>
          <w:tab w:val="left" w:pos="794"/>
          <w:tab w:val="left" w:pos="1191"/>
          <w:tab w:val="left" w:pos="1588"/>
          <w:tab w:val="left" w:pos="1985"/>
          <w:tab w:val="left" w:pos="2608"/>
          <w:tab w:val="left" w:pos="3345"/>
        </w:tabs>
        <w:overflowPunct w:val="0"/>
        <w:autoSpaceDE w:val="0"/>
        <w:autoSpaceDN w:val="0"/>
        <w:adjustRightInd w:val="0"/>
        <w:spacing w:before="1080" w:after="0"/>
        <w:ind w:left="794" w:hanging="794"/>
        <w:textAlignment w:val="baseline"/>
        <w:rPr>
          <w:rFonts w:ascii="Calibri" w:eastAsia="Times New Roman" w:hAnsi="Calibri" w:cs="Times New Roman"/>
          <w:color w:val="auto"/>
          <w:sz w:val="22"/>
          <w:szCs w:val="20"/>
          <w:lang w:val="ru-RU"/>
        </w:rPr>
      </w:pPr>
      <w:r w:rsidRPr="001F560F">
        <w:rPr>
          <w:rFonts w:ascii="Calibri" w:eastAsia="Times New Roman" w:hAnsi="Calibri" w:cs="Times New Roman"/>
          <w:b/>
          <w:bCs/>
          <w:color w:val="auto"/>
          <w:sz w:val="22"/>
          <w:szCs w:val="20"/>
          <w:lang w:val="ru-RU"/>
        </w:rPr>
        <w:t>Приложение</w:t>
      </w:r>
      <w:r w:rsidRPr="001F560F">
        <w:rPr>
          <w:rFonts w:ascii="Calibri" w:eastAsia="Times New Roman" w:hAnsi="Calibri" w:cs="Times New Roman"/>
          <w:color w:val="auto"/>
          <w:sz w:val="22"/>
          <w:szCs w:val="20"/>
          <w:lang w:val="ru-RU"/>
        </w:rPr>
        <w:t>: 1</w:t>
      </w:r>
    </w:p>
    <w:p w14:paraId="5969BD84" w14:textId="77777777" w:rsidR="001F560F" w:rsidRPr="00627280" w:rsidRDefault="001F560F" w:rsidP="001F560F">
      <w:pPr>
        <w:rPr>
          <w:lang w:val="ru-RU"/>
        </w:rPr>
      </w:pPr>
    </w:p>
    <w:p w14:paraId="24AB391D" w14:textId="56B17C82" w:rsidR="001F560F" w:rsidRPr="00627280" w:rsidRDefault="001F560F" w:rsidP="001F560F">
      <w:pPr>
        <w:rPr>
          <w:lang w:val="ru-RU"/>
        </w:rPr>
        <w:sectPr w:rsidR="001F560F" w:rsidRPr="00627280" w:rsidSect="00A579EF">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276" w:right="1133" w:bottom="1418" w:left="1134" w:header="720" w:footer="561" w:gutter="0"/>
          <w:cols w:space="720" w:equalWidth="0">
            <w:col w:w="9333" w:space="720"/>
          </w:cols>
          <w:titlePg/>
          <w:docGrid w:linePitch="299"/>
        </w:sectPr>
      </w:pPr>
    </w:p>
    <w:p w14:paraId="25CBC823" w14:textId="2E524198" w:rsidR="00A71769" w:rsidRPr="00627280" w:rsidRDefault="00A71769" w:rsidP="00954B6A">
      <w:pPr>
        <w:pStyle w:val="Title"/>
        <w:rPr>
          <w:lang w:val="ru-RU"/>
        </w:rPr>
      </w:pPr>
    </w:p>
    <w:p w14:paraId="4A8C72A5" w14:textId="77777777" w:rsidR="00A71769" w:rsidRPr="00694ACA" w:rsidRDefault="00A71769" w:rsidP="00954B6A">
      <w:pPr>
        <w:pStyle w:val="Title"/>
        <w:rPr>
          <w:lang w:val="ru-RU"/>
        </w:rPr>
      </w:pPr>
      <w:bookmarkStart w:id="3" w:name="_pt1b4yfkbffv" w:colFirst="0" w:colLast="0"/>
      <w:bookmarkEnd w:id="3"/>
    </w:p>
    <w:p w14:paraId="0917044E" w14:textId="34362518" w:rsidR="00A71769" w:rsidRPr="00694ACA" w:rsidRDefault="009957A3" w:rsidP="00954B6A">
      <w:pPr>
        <w:pStyle w:val="Title"/>
        <w:rPr>
          <w:lang w:val="ru-RU"/>
        </w:rPr>
      </w:pPr>
      <w:bookmarkStart w:id="4" w:name="_uve7u29o856f" w:colFirst="0" w:colLast="0"/>
      <w:bookmarkEnd w:id="4"/>
      <w:r w:rsidRPr="00694ACA">
        <w:rPr>
          <w:lang w:val="ru-RU"/>
        </w:rPr>
        <w:t>Технико-экономическое обоснование создания</w:t>
      </w:r>
      <w:r w:rsidR="009C2CFD" w:rsidRPr="00694ACA">
        <w:rPr>
          <w:lang w:val="ru-RU"/>
        </w:rPr>
        <w:t xml:space="preserve"> в</w:t>
      </w:r>
      <w:r w:rsidR="002836AB" w:rsidRPr="00694ACA">
        <w:rPr>
          <w:lang w:val="ru-RU"/>
        </w:rPr>
        <w:t> </w:t>
      </w:r>
      <w:r w:rsidR="009C2CFD" w:rsidRPr="00694ACA">
        <w:rPr>
          <w:lang w:val="ru-RU"/>
        </w:rPr>
        <w:t>МСЭ института профессиональной подготовки</w:t>
      </w:r>
      <w:r w:rsidRPr="00694ACA">
        <w:rPr>
          <w:lang w:val="ru-RU"/>
        </w:rPr>
        <w:t xml:space="preserve">: заключительный </w:t>
      </w:r>
      <w:r w:rsidR="009C2CFD" w:rsidRPr="00694ACA">
        <w:rPr>
          <w:lang w:val="ru-RU"/>
        </w:rPr>
        <w:t>отчет</w:t>
      </w:r>
    </w:p>
    <w:p w14:paraId="525CD306" w14:textId="1C39E822" w:rsidR="00FF4179" w:rsidRPr="00694ACA" w:rsidRDefault="009957A3" w:rsidP="00CF7A1F">
      <w:pPr>
        <w:pStyle w:val="Heading4"/>
        <w:ind w:firstLine="284"/>
        <w:rPr>
          <w:lang w:val="ru-RU"/>
        </w:rPr>
      </w:pPr>
      <w:bookmarkStart w:id="5" w:name="_i8704hffmhg9" w:colFirst="0" w:colLast="0"/>
      <w:bookmarkEnd w:id="5"/>
      <w:r w:rsidRPr="00694ACA">
        <w:rPr>
          <w:lang w:val="ru-RU"/>
        </w:rPr>
        <w:t>Номер договора</w:t>
      </w:r>
      <w:r w:rsidR="00FF4179" w:rsidRPr="00694ACA">
        <w:rPr>
          <w:lang w:val="ru-RU"/>
        </w:rPr>
        <w:t>: CTR-S-BDT-2020-007</w:t>
      </w:r>
    </w:p>
    <w:p w14:paraId="24ABB226" w14:textId="77777777" w:rsidR="00954B6A" w:rsidRPr="00694ACA" w:rsidRDefault="00954B6A" w:rsidP="00954B6A">
      <w:pPr>
        <w:rPr>
          <w:lang w:val="ru-RU"/>
        </w:rPr>
      </w:pPr>
    </w:p>
    <w:p w14:paraId="69DE2814" w14:textId="77777777" w:rsidR="00954B6A" w:rsidRPr="00694ACA" w:rsidRDefault="00954B6A" w:rsidP="00954B6A">
      <w:pPr>
        <w:rPr>
          <w:lang w:val="ru-RU"/>
        </w:rPr>
      </w:pPr>
    </w:p>
    <w:p w14:paraId="0AB48406" w14:textId="77777777" w:rsidR="00954B6A" w:rsidRPr="00694ACA" w:rsidRDefault="00954B6A" w:rsidP="00954B6A">
      <w:pPr>
        <w:rPr>
          <w:lang w:val="ru-RU"/>
        </w:rPr>
      </w:pPr>
    </w:p>
    <w:p w14:paraId="4A399E37" w14:textId="77777777" w:rsidR="00954B6A" w:rsidRPr="00694ACA" w:rsidRDefault="00954B6A" w:rsidP="00954B6A">
      <w:pPr>
        <w:rPr>
          <w:lang w:val="ru-RU"/>
        </w:rPr>
      </w:pPr>
    </w:p>
    <w:p w14:paraId="1F777B20" w14:textId="77777777" w:rsidR="00954B6A" w:rsidRPr="00694ACA" w:rsidRDefault="00954B6A" w:rsidP="00954B6A">
      <w:pPr>
        <w:rPr>
          <w:lang w:val="ru-RU"/>
        </w:rPr>
      </w:pPr>
    </w:p>
    <w:p w14:paraId="45BB379E" w14:textId="77777777" w:rsidR="00954B6A" w:rsidRPr="00694ACA" w:rsidRDefault="00954B6A" w:rsidP="00954B6A">
      <w:pPr>
        <w:rPr>
          <w:lang w:val="ru-RU"/>
        </w:rPr>
      </w:pPr>
    </w:p>
    <w:p w14:paraId="3A517CB2" w14:textId="77777777" w:rsidR="00954B6A" w:rsidRPr="00694ACA" w:rsidRDefault="00954B6A" w:rsidP="00954B6A">
      <w:pPr>
        <w:rPr>
          <w:lang w:val="ru-RU"/>
        </w:rPr>
      </w:pPr>
    </w:p>
    <w:p w14:paraId="63297966" w14:textId="77777777" w:rsidR="00954B6A" w:rsidRPr="00694ACA" w:rsidRDefault="00954B6A" w:rsidP="00954B6A">
      <w:pPr>
        <w:spacing w:after="0"/>
        <w:rPr>
          <w:rFonts w:ascii="Times New Roman" w:eastAsia="Times New Roman" w:hAnsi="Times New Roman" w:cs="Times New Roman"/>
          <w:color w:val="auto"/>
          <w:sz w:val="24"/>
          <w:szCs w:val="24"/>
          <w:lang w:val="ru-RU"/>
        </w:rPr>
      </w:pPr>
      <w:bookmarkStart w:id="6" w:name="_9ksltb4tiib2" w:colFirst="0" w:colLast="0"/>
      <w:bookmarkEnd w:id="6"/>
    </w:p>
    <w:tbl>
      <w:tblPr>
        <w:tblW w:w="0" w:type="auto"/>
        <w:tblCellMar>
          <w:top w:w="15" w:type="dxa"/>
          <w:left w:w="15" w:type="dxa"/>
          <w:bottom w:w="15" w:type="dxa"/>
          <w:right w:w="15" w:type="dxa"/>
        </w:tblCellMar>
        <w:tblLook w:val="04A0" w:firstRow="1" w:lastRow="0" w:firstColumn="1" w:lastColumn="0" w:noHBand="0" w:noVBand="1"/>
      </w:tblPr>
      <w:tblGrid>
        <w:gridCol w:w="1686"/>
        <w:gridCol w:w="6946"/>
      </w:tblGrid>
      <w:tr w:rsidR="00954B6A" w:rsidRPr="00694ACA" w14:paraId="3BE7EC32" w14:textId="77777777" w:rsidTr="001F22BC">
        <w:trPr>
          <w:trHeight w:val="310"/>
        </w:trPr>
        <w:tc>
          <w:tcPr>
            <w:tcW w:w="1686" w:type="dxa"/>
            <w:tcBorders>
              <w:top w:val="single" w:sz="12" w:space="0" w:color="FFFFFF"/>
              <w:left w:val="single" w:sz="12" w:space="0" w:color="FFFFFF"/>
              <w:bottom w:val="single" w:sz="12" w:space="0" w:color="FFFFFF"/>
              <w:right w:val="single" w:sz="12" w:space="0" w:color="FFFFFF"/>
            </w:tcBorders>
            <w:shd w:val="clear" w:color="auto" w:fill="407C9B"/>
            <w:tcMar>
              <w:top w:w="85" w:type="dxa"/>
              <w:left w:w="170" w:type="dxa"/>
              <w:bottom w:w="85" w:type="dxa"/>
              <w:right w:w="170" w:type="dxa"/>
            </w:tcMar>
            <w:hideMark/>
          </w:tcPr>
          <w:p w14:paraId="49233BDC" w14:textId="7FA3D4C7" w:rsidR="00954B6A" w:rsidRPr="00694ACA" w:rsidRDefault="009957A3" w:rsidP="00954B6A">
            <w:pPr>
              <w:spacing w:after="0"/>
              <w:ind w:right="165"/>
              <w:rPr>
                <w:rFonts w:ascii="Times New Roman" w:eastAsia="Times New Roman" w:hAnsi="Times New Roman" w:cs="Times New Roman"/>
                <w:color w:val="auto"/>
                <w:sz w:val="24"/>
                <w:szCs w:val="24"/>
                <w:lang w:val="ru-RU"/>
              </w:rPr>
            </w:pPr>
            <w:r w:rsidRPr="00694ACA">
              <w:rPr>
                <w:rFonts w:eastAsia="Times New Roman" w:cs="Times New Roman"/>
                <w:color w:val="FFFFFF"/>
                <w:lang w:val="ru-RU"/>
              </w:rPr>
              <w:t>Дата</w:t>
            </w:r>
          </w:p>
        </w:tc>
        <w:tc>
          <w:tcPr>
            <w:tcW w:w="6946" w:type="dxa"/>
            <w:tcBorders>
              <w:top w:val="single" w:sz="12" w:space="0" w:color="FFFFFF"/>
              <w:left w:val="single" w:sz="12" w:space="0" w:color="FFFFFF"/>
              <w:bottom w:val="single" w:sz="12" w:space="0" w:color="FFFFFF"/>
              <w:right w:val="single" w:sz="12" w:space="0" w:color="FFFFFF"/>
            </w:tcBorders>
            <w:shd w:val="clear" w:color="auto" w:fill="F3F3F3"/>
            <w:tcMar>
              <w:top w:w="85" w:type="dxa"/>
              <w:left w:w="170" w:type="dxa"/>
              <w:bottom w:w="85" w:type="dxa"/>
              <w:right w:w="170" w:type="dxa"/>
            </w:tcMar>
            <w:hideMark/>
          </w:tcPr>
          <w:p w14:paraId="67BC3FC9" w14:textId="3A8ACB89" w:rsidR="00954B6A" w:rsidRPr="00694ACA" w:rsidRDefault="0083715F" w:rsidP="00954B6A">
            <w:pPr>
              <w:spacing w:after="0"/>
              <w:rPr>
                <w:rFonts w:eastAsia="Times New Roman" w:cs="Times New Roman"/>
                <w:color w:val="407C9B"/>
                <w:lang w:val="ru-RU"/>
              </w:rPr>
            </w:pPr>
            <w:r w:rsidRPr="00694ACA">
              <w:rPr>
                <w:rFonts w:eastAsia="Times New Roman" w:cs="Times New Roman"/>
                <w:color w:val="407C9B"/>
                <w:lang w:val="ru-RU"/>
              </w:rPr>
              <w:t xml:space="preserve">9 </w:t>
            </w:r>
            <w:r w:rsidR="009957A3" w:rsidRPr="00694ACA">
              <w:rPr>
                <w:rFonts w:eastAsia="Times New Roman" w:cs="Times New Roman"/>
                <w:color w:val="407C9B"/>
                <w:lang w:val="ru-RU"/>
              </w:rPr>
              <w:t>марта</w:t>
            </w:r>
            <w:r w:rsidRPr="00694ACA">
              <w:rPr>
                <w:rFonts w:eastAsia="Times New Roman" w:cs="Times New Roman"/>
                <w:color w:val="407C9B"/>
                <w:lang w:val="ru-RU"/>
              </w:rPr>
              <w:t xml:space="preserve"> </w:t>
            </w:r>
            <w:r w:rsidR="007B0174" w:rsidRPr="00694ACA">
              <w:rPr>
                <w:rFonts w:eastAsia="Times New Roman" w:cs="Times New Roman"/>
                <w:color w:val="407C9B"/>
                <w:lang w:val="ru-RU"/>
              </w:rPr>
              <w:t>2021</w:t>
            </w:r>
            <w:r w:rsidR="001F22BC" w:rsidRPr="00694ACA">
              <w:rPr>
                <w:rFonts w:eastAsia="Times New Roman" w:cs="Times New Roman"/>
                <w:color w:val="407C9B"/>
                <w:lang w:val="ru-RU"/>
              </w:rPr>
              <w:t xml:space="preserve"> </w:t>
            </w:r>
            <w:r w:rsidR="009957A3" w:rsidRPr="00694ACA">
              <w:rPr>
                <w:rFonts w:eastAsia="Times New Roman" w:cs="Times New Roman"/>
                <w:color w:val="407C9B"/>
                <w:lang w:val="ru-RU"/>
              </w:rPr>
              <w:t>года</w:t>
            </w:r>
          </w:p>
        </w:tc>
      </w:tr>
      <w:tr w:rsidR="001F22BC" w:rsidRPr="00694ACA" w14:paraId="7AC8B319" w14:textId="77777777" w:rsidTr="001F22BC">
        <w:trPr>
          <w:trHeight w:val="310"/>
        </w:trPr>
        <w:tc>
          <w:tcPr>
            <w:tcW w:w="1686" w:type="dxa"/>
            <w:tcBorders>
              <w:top w:val="single" w:sz="12" w:space="0" w:color="FFFFFF"/>
              <w:left w:val="single" w:sz="12" w:space="0" w:color="FFFFFF"/>
              <w:bottom w:val="single" w:sz="12" w:space="0" w:color="FFFFFF"/>
              <w:right w:val="single" w:sz="12" w:space="0" w:color="FFFFFF"/>
            </w:tcBorders>
            <w:shd w:val="clear" w:color="auto" w:fill="407C9B"/>
            <w:tcMar>
              <w:top w:w="85" w:type="dxa"/>
              <w:left w:w="170" w:type="dxa"/>
              <w:bottom w:w="85" w:type="dxa"/>
              <w:right w:w="170" w:type="dxa"/>
            </w:tcMar>
            <w:hideMark/>
          </w:tcPr>
          <w:p w14:paraId="4B5CFC66" w14:textId="67BF2165" w:rsidR="001F22BC" w:rsidRPr="00694ACA" w:rsidRDefault="009957A3" w:rsidP="001F22BC">
            <w:pPr>
              <w:spacing w:after="0"/>
              <w:rPr>
                <w:rFonts w:ascii="Times New Roman" w:eastAsia="Times New Roman" w:hAnsi="Times New Roman" w:cs="Times New Roman"/>
                <w:color w:val="auto"/>
                <w:sz w:val="24"/>
                <w:szCs w:val="24"/>
                <w:lang w:val="ru-RU"/>
              </w:rPr>
            </w:pPr>
            <w:r w:rsidRPr="00694ACA">
              <w:rPr>
                <w:rFonts w:eastAsia="Times New Roman" w:cs="Times New Roman"/>
                <w:color w:val="FFFFFF"/>
                <w:lang w:val="ru-RU"/>
              </w:rPr>
              <w:t>Вариант</w:t>
            </w:r>
          </w:p>
        </w:tc>
        <w:tc>
          <w:tcPr>
            <w:tcW w:w="6946" w:type="dxa"/>
            <w:tcBorders>
              <w:top w:val="single" w:sz="12" w:space="0" w:color="FFFFFF"/>
              <w:left w:val="single" w:sz="12" w:space="0" w:color="FFFFFF"/>
              <w:bottom w:val="single" w:sz="12" w:space="0" w:color="FFFFFF"/>
              <w:right w:val="single" w:sz="12" w:space="0" w:color="FFFFFF"/>
            </w:tcBorders>
            <w:shd w:val="clear" w:color="auto" w:fill="F3F3F3"/>
            <w:tcMar>
              <w:top w:w="85" w:type="dxa"/>
              <w:left w:w="170" w:type="dxa"/>
              <w:bottom w:w="85" w:type="dxa"/>
              <w:right w:w="170" w:type="dxa"/>
            </w:tcMar>
            <w:hideMark/>
          </w:tcPr>
          <w:p w14:paraId="494BC4C6" w14:textId="48AA696F" w:rsidR="001F22BC" w:rsidRPr="00694ACA" w:rsidRDefault="009957A3" w:rsidP="001F22BC">
            <w:pPr>
              <w:spacing w:after="0"/>
              <w:rPr>
                <w:rFonts w:ascii="Times New Roman" w:eastAsia="Times New Roman" w:hAnsi="Times New Roman" w:cs="Times New Roman"/>
                <w:color w:val="auto"/>
                <w:sz w:val="24"/>
                <w:szCs w:val="24"/>
                <w:lang w:val="ru-RU"/>
              </w:rPr>
            </w:pPr>
            <w:r w:rsidRPr="00694ACA">
              <w:rPr>
                <w:rFonts w:eastAsia="Times New Roman" w:cs="Times New Roman"/>
                <w:color w:val="407C9B"/>
                <w:lang w:val="ru-RU"/>
              </w:rPr>
              <w:t>Окончательный</w:t>
            </w:r>
            <w:r w:rsidR="007B0174" w:rsidRPr="00694ACA">
              <w:rPr>
                <w:rFonts w:eastAsia="Times New Roman" w:cs="Times New Roman"/>
                <w:color w:val="407C9B"/>
                <w:lang w:val="ru-RU"/>
              </w:rPr>
              <w:t xml:space="preserve"> </w:t>
            </w:r>
          </w:p>
        </w:tc>
      </w:tr>
      <w:tr w:rsidR="001F22BC" w:rsidRPr="00694ACA" w14:paraId="4114C246" w14:textId="77777777" w:rsidTr="001F22BC">
        <w:trPr>
          <w:trHeight w:val="310"/>
        </w:trPr>
        <w:tc>
          <w:tcPr>
            <w:tcW w:w="1686" w:type="dxa"/>
            <w:tcBorders>
              <w:top w:val="single" w:sz="12" w:space="0" w:color="FFFFFF"/>
              <w:left w:val="single" w:sz="12" w:space="0" w:color="FFFFFF"/>
              <w:bottom w:val="single" w:sz="12" w:space="0" w:color="FFFFFF"/>
              <w:right w:val="single" w:sz="12" w:space="0" w:color="FFFFFF"/>
            </w:tcBorders>
            <w:shd w:val="clear" w:color="auto" w:fill="407C9B"/>
            <w:tcMar>
              <w:top w:w="85" w:type="dxa"/>
              <w:left w:w="170" w:type="dxa"/>
              <w:bottom w:w="85" w:type="dxa"/>
              <w:right w:w="170" w:type="dxa"/>
            </w:tcMar>
            <w:hideMark/>
          </w:tcPr>
          <w:p w14:paraId="008BB7C1" w14:textId="65A1A8F9" w:rsidR="001F22BC" w:rsidRPr="00694ACA" w:rsidRDefault="009957A3" w:rsidP="001F22BC">
            <w:pPr>
              <w:spacing w:after="0"/>
              <w:rPr>
                <w:rFonts w:ascii="Times New Roman" w:eastAsia="Times New Roman" w:hAnsi="Times New Roman" w:cs="Times New Roman"/>
                <w:color w:val="auto"/>
                <w:sz w:val="24"/>
                <w:szCs w:val="24"/>
                <w:lang w:val="ru-RU"/>
              </w:rPr>
            </w:pPr>
            <w:r w:rsidRPr="00694ACA">
              <w:rPr>
                <w:rFonts w:eastAsia="Times New Roman" w:cs="Times New Roman"/>
                <w:color w:val="FFFFFF"/>
                <w:lang w:val="ru-RU"/>
              </w:rPr>
              <w:t>Автор</w:t>
            </w:r>
          </w:p>
        </w:tc>
        <w:tc>
          <w:tcPr>
            <w:tcW w:w="6946" w:type="dxa"/>
            <w:tcBorders>
              <w:top w:val="single" w:sz="12" w:space="0" w:color="FFFFFF"/>
              <w:left w:val="single" w:sz="12" w:space="0" w:color="FFFFFF"/>
              <w:bottom w:val="single" w:sz="12" w:space="0" w:color="FFFFFF"/>
              <w:right w:val="single" w:sz="12" w:space="0" w:color="FFFFFF"/>
            </w:tcBorders>
            <w:shd w:val="clear" w:color="auto" w:fill="F3F3F3"/>
            <w:tcMar>
              <w:top w:w="85" w:type="dxa"/>
              <w:left w:w="170" w:type="dxa"/>
              <w:bottom w:w="85" w:type="dxa"/>
              <w:right w:w="170" w:type="dxa"/>
            </w:tcMar>
            <w:hideMark/>
          </w:tcPr>
          <w:p w14:paraId="0B15095C" w14:textId="5B955F10" w:rsidR="001F22BC" w:rsidRPr="00694ACA" w:rsidRDefault="009957A3" w:rsidP="001F22BC">
            <w:pPr>
              <w:spacing w:after="0"/>
              <w:rPr>
                <w:rFonts w:ascii="Times New Roman" w:eastAsia="Times New Roman" w:hAnsi="Times New Roman" w:cs="Times New Roman"/>
                <w:color w:val="auto"/>
                <w:sz w:val="24"/>
                <w:szCs w:val="24"/>
                <w:lang w:val="ru-RU"/>
              </w:rPr>
            </w:pPr>
            <w:r w:rsidRPr="00694ACA">
              <w:rPr>
                <w:rFonts w:eastAsia="Times New Roman" w:cs="Times New Roman"/>
                <w:color w:val="407C9B"/>
                <w:lang w:val="ru-RU"/>
              </w:rPr>
              <w:t xml:space="preserve">Дэвид </w:t>
            </w:r>
            <w:proofErr w:type="spellStart"/>
            <w:r w:rsidRPr="00694ACA">
              <w:rPr>
                <w:rFonts w:eastAsia="Times New Roman" w:cs="Times New Roman"/>
                <w:color w:val="407C9B"/>
                <w:lang w:val="ru-RU"/>
              </w:rPr>
              <w:t>Холлоу</w:t>
            </w:r>
            <w:proofErr w:type="spellEnd"/>
          </w:p>
        </w:tc>
      </w:tr>
      <w:tr w:rsidR="001F22BC" w:rsidRPr="00694ACA" w14:paraId="779680FC" w14:textId="77777777" w:rsidTr="001F22BC">
        <w:trPr>
          <w:trHeight w:val="310"/>
        </w:trPr>
        <w:tc>
          <w:tcPr>
            <w:tcW w:w="1686" w:type="dxa"/>
            <w:tcBorders>
              <w:top w:val="single" w:sz="12" w:space="0" w:color="FFFFFF"/>
              <w:left w:val="single" w:sz="12" w:space="0" w:color="FFFFFF"/>
              <w:bottom w:val="single" w:sz="12" w:space="0" w:color="FFFFFF"/>
              <w:right w:val="single" w:sz="12" w:space="0" w:color="FFFFFF"/>
            </w:tcBorders>
            <w:shd w:val="clear" w:color="auto" w:fill="407C9B"/>
            <w:tcMar>
              <w:top w:w="85" w:type="dxa"/>
              <w:left w:w="170" w:type="dxa"/>
              <w:bottom w:w="85" w:type="dxa"/>
              <w:right w:w="170" w:type="dxa"/>
            </w:tcMar>
            <w:hideMark/>
          </w:tcPr>
          <w:p w14:paraId="49EFA8EC" w14:textId="1361135D" w:rsidR="001F22BC" w:rsidRPr="00694ACA" w:rsidRDefault="009957A3" w:rsidP="001F22BC">
            <w:pPr>
              <w:spacing w:after="0"/>
              <w:rPr>
                <w:rFonts w:ascii="Times New Roman" w:eastAsia="Times New Roman" w:hAnsi="Times New Roman" w:cs="Times New Roman"/>
                <w:color w:val="auto"/>
                <w:sz w:val="24"/>
                <w:szCs w:val="24"/>
                <w:lang w:val="ru-RU"/>
              </w:rPr>
            </w:pPr>
            <w:r w:rsidRPr="00694ACA">
              <w:rPr>
                <w:rFonts w:eastAsia="Times New Roman" w:cs="Times New Roman"/>
                <w:color w:val="FFFFFF"/>
                <w:lang w:val="ru-RU"/>
              </w:rPr>
              <w:t>Эл. почта</w:t>
            </w:r>
          </w:p>
        </w:tc>
        <w:tc>
          <w:tcPr>
            <w:tcW w:w="6946" w:type="dxa"/>
            <w:tcBorders>
              <w:top w:val="single" w:sz="12" w:space="0" w:color="FFFFFF"/>
              <w:left w:val="single" w:sz="12" w:space="0" w:color="FFFFFF"/>
              <w:bottom w:val="single" w:sz="12" w:space="0" w:color="FFFFFF"/>
              <w:right w:val="single" w:sz="12" w:space="0" w:color="FFFFFF"/>
            </w:tcBorders>
            <w:shd w:val="clear" w:color="auto" w:fill="F3F3F3"/>
            <w:tcMar>
              <w:top w:w="85" w:type="dxa"/>
              <w:left w:w="170" w:type="dxa"/>
              <w:bottom w:w="85" w:type="dxa"/>
              <w:right w:w="170" w:type="dxa"/>
            </w:tcMar>
            <w:hideMark/>
          </w:tcPr>
          <w:p w14:paraId="0A303CBB" w14:textId="1D0F8E52" w:rsidR="001F22BC" w:rsidRPr="00694ACA" w:rsidRDefault="00D577E1" w:rsidP="001F22BC">
            <w:pPr>
              <w:spacing w:after="0"/>
              <w:rPr>
                <w:rFonts w:ascii="Times New Roman" w:eastAsia="Times New Roman" w:hAnsi="Times New Roman" w:cs="Times New Roman"/>
                <w:color w:val="auto"/>
                <w:sz w:val="24"/>
                <w:szCs w:val="24"/>
                <w:lang w:val="ru-RU"/>
              </w:rPr>
            </w:pPr>
            <w:hyperlink r:id="rId18" w:history="1">
              <w:r w:rsidR="006F30D8" w:rsidRPr="00694ACA">
                <w:rPr>
                  <w:rStyle w:val="Hyperlink"/>
                  <w:rFonts w:eastAsia="Times New Roman" w:cs="Times New Roman"/>
                  <w:lang w:val="ru-RU"/>
                </w:rPr>
                <w:t>d.hollow@jigsawconsult.com</w:t>
              </w:r>
            </w:hyperlink>
          </w:p>
        </w:tc>
      </w:tr>
    </w:tbl>
    <w:p w14:paraId="73EF97CA" w14:textId="77777777" w:rsidR="0001446B" w:rsidRPr="00694ACA" w:rsidRDefault="00121531" w:rsidP="006B629F">
      <w:pPr>
        <w:pStyle w:val="Heading1"/>
        <w:rPr>
          <w:lang w:val="ru-RU"/>
        </w:rPr>
      </w:pPr>
      <w:bookmarkStart w:id="7" w:name="_uqwevx24ivb2" w:colFirst="0" w:colLast="0"/>
      <w:bookmarkStart w:id="8" w:name="_tzeoy2w6iw56" w:colFirst="0" w:colLast="0"/>
      <w:bookmarkStart w:id="9" w:name="_aqkdkulm1wdy" w:colFirst="0" w:colLast="0"/>
      <w:bookmarkStart w:id="10" w:name="_Toc70456573"/>
      <w:bookmarkStart w:id="11" w:name="_Toc71060735"/>
      <w:bookmarkStart w:id="12" w:name="_Toc57297304"/>
      <w:bookmarkStart w:id="13" w:name="_Toc58244079"/>
      <w:bookmarkStart w:id="14" w:name="_Toc58273401"/>
      <w:bookmarkStart w:id="15" w:name="_Toc58273630"/>
      <w:bookmarkStart w:id="16" w:name="_Toc58273704"/>
      <w:bookmarkStart w:id="17" w:name="_Toc58275232"/>
      <w:bookmarkStart w:id="18" w:name="_Toc58277293"/>
      <w:bookmarkStart w:id="19" w:name="_Toc58277339"/>
      <w:bookmarkStart w:id="20" w:name="_Toc61633856"/>
      <w:bookmarkStart w:id="21" w:name="_Toc58244082"/>
      <w:bookmarkStart w:id="22" w:name="_Toc58273404"/>
      <w:bookmarkStart w:id="23" w:name="_Toc58273633"/>
      <w:bookmarkStart w:id="24" w:name="_Toc58275235"/>
      <w:bookmarkStart w:id="25" w:name="_Toc58277296"/>
      <w:bookmarkStart w:id="26" w:name="_Toc61633859"/>
      <w:bookmarkStart w:id="27" w:name="_Toc57297305"/>
      <w:bookmarkEnd w:id="7"/>
      <w:bookmarkEnd w:id="8"/>
      <w:bookmarkEnd w:id="9"/>
      <w:r w:rsidRPr="00694ACA">
        <w:rPr>
          <w:lang w:val="ru-RU"/>
        </w:rPr>
        <w:lastRenderedPageBreak/>
        <w:t>Содержание</w:t>
      </w:r>
      <w:bookmarkEnd w:id="10"/>
      <w:bookmarkEnd w:id="11"/>
      <w:r w:rsidR="00700BE8" w:rsidRPr="00694ACA">
        <w:rPr>
          <w:lang w:val="ru-RU"/>
        </w:rPr>
        <w:fldChar w:fldCharType="begin"/>
      </w:r>
      <w:r w:rsidR="00700BE8" w:rsidRPr="00694ACA">
        <w:rPr>
          <w:lang w:val="ru-RU"/>
        </w:rPr>
        <w:instrText xml:space="preserve"> TOC \o "1-1" \h \z \u </w:instrText>
      </w:r>
      <w:r w:rsidR="00700BE8" w:rsidRPr="00694ACA">
        <w:rPr>
          <w:lang w:val="ru-RU"/>
        </w:rPr>
        <w:fldChar w:fldCharType="separate"/>
      </w:r>
    </w:p>
    <w:p w14:paraId="6AAF6E5E" w14:textId="4F2BDE0F" w:rsidR="0001446B" w:rsidRPr="00694ACA" w:rsidRDefault="00D577E1">
      <w:pPr>
        <w:pStyle w:val="TOC1"/>
        <w:rPr>
          <w:rFonts w:asciiTheme="minorHAnsi" w:eastAsiaTheme="minorEastAsia" w:hAnsiTheme="minorHAnsi" w:cstheme="minorBidi"/>
          <w:noProof w:val="0"/>
          <w:color w:val="auto"/>
          <w:sz w:val="22"/>
          <w:szCs w:val="22"/>
          <w:lang w:val="ru-RU"/>
        </w:rPr>
      </w:pPr>
      <w:hyperlink w:anchor="_Toc71060737" w:history="1">
        <w:r w:rsidR="0001446B" w:rsidRPr="00694ACA">
          <w:rPr>
            <w:rStyle w:val="Hyperlink"/>
            <w:noProof w:val="0"/>
            <w:lang w:val="ru-RU"/>
          </w:rPr>
          <w:t>Резюме</w:t>
        </w:r>
        <w:r w:rsidR="0001446B" w:rsidRPr="00694ACA">
          <w:rPr>
            <w:noProof w:val="0"/>
            <w:webHidden/>
            <w:lang w:val="ru-RU"/>
          </w:rPr>
          <w:tab/>
        </w:r>
        <w:r w:rsidR="0001446B" w:rsidRPr="00694ACA">
          <w:rPr>
            <w:noProof w:val="0"/>
            <w:webHidden/>
            <w:lang w:val="ru-RU"/>
          </w:rPr>
          <w:fldChar w:fldCharType="begin"/>
        </w:r>
        <w:r w:rsidR="0001446B" w:rsidRPr="00694ACA">
          <w:rPr>
            <w:noProof w:val="0"/>
            <w:webHidden/>
            <w:lang w:val="ru-RU"/>
          </w:rPr>
          <w:instrText xml:space="preserve"> PAGEREF _Toc71060737 \h </w:instrText>
        </w:r>
        <w:r w:rsidR="0001446B" w:rsidRPr="00694ACA">
          <w:rPr>
            <w:noProof w:val="0"/>
            <w:webHidden/>
            <w:lang w:val="ru-RU"/>
          </w:rPr>
        </w:r>
        <w:r w:rsidR="0001446B" w:rsidRPr="00694ACA">
          <w:rPr>
            <w:noProof w:val="0"/>
            <w:webHidden/>
            <w:lang w:val="ru-RU"/>
          </w:rPr>
          <w:fldChar w:fldCharType="separate"/>
        </w:r>
        <w:r w:rsidR="0001446B" w:rsidRPr="00694ACA">
          <w:rPr>
            <w:noProof w:val="0"/>
            <w:webHidden/>
            <w:lang w:val="ru-RU"/>
          </w:rPr>
          <w:t>4</w:t>
        </w:r>
        <w:r w:rsidR="0001446B" w:rsidRPr="00694ACA">
          <w:rPr>
            <w:noProof w:val="0"/>
            <w:webHidden/>
            <w:lang w:val="ru-RU"/>
          </w:rPr>
          <w:fldChar w:fldCharType="end"/>
        </w:r>
      </w:hyperlink>
    </w:p>
    <w:p w14:paraId="672A03A8" w14:textId="268328AC" w:rsidR="0001446B" w:rsidRPr="00694ACA" w:rsidRDefault="00D577E1">
      <w:pPr>
        <w:pStyle w:val="TOC1"/>
        <w:rPr>
          <w:rFonts w:asciiTheme="minorHAnsi" w:eastAsiaTheme="minorEastAsia" w:hAnsiTheme="minorHAnsi" w:cstheme="minorBidi"/>
          <w:noProof w:val="0"/>
          <w:color w:val="auto"/>
          <w:sz w:val="22"/>
          <w:szCs w:val="22"/>
          <w:lang w:val="ru-RU"/>
        </w:rPr>
      </w:pPr>
      <w:hyperlink w:anchor="_Toc71060738" w:history="1">
        <w:r w:rsidR="0001446B" w:rsidRPr="00694ACA">
          <w:rPr>
            <w:rStyle w:val="Hyperlink"/>
            <w:noProof w:val="0"/>
            <w:lang w:val="ru-RU"/>
          </w:rPr>
          <w:t>Раздел 1: Введение</w:t>
        </w:r>
        <w:r w:rsidR="0001446B" w:rsidRPr="00694ACA">
          <w:rPr>
            <w:noProof w:val="0"/>
            <w:webHidden/>
            <w:lang w:val="ru-RU"/>
          </w:rPr>
          <w:tab/>
        </w:r>
        <w:r w:rsidR="0001446B" w:rsidRPr="00694ACA">
          <w:rPr>
            <w:noProof w:val="0"/>
            <w:webHidden/>
            <w:lang w:val="ru-RU"/>
          </w:rPr>
          <w:fldChar w:fldCharType="begin"/>
        </w:r>
        <w:r w:rsidR="0001446B" w:rsidRPr="00694ACA">
          <w:rPr>
            <w:noProof w:val="0"/>
            <w:webHidden/>
            <w:lang w:val="ru-RU"/>
          </w:rPr>
          <w:instrText xml:space="preserve"> PAGEREF _Toc71060738 \h </w:instrText>
        </w:r>
        <w:r w:rsidR="0001446B" w:rsidRPr="00694ACA">
          <w:rPr>
            <w:noProof w:val="0"/>
            <w:webHidden/>
            <w:lang w:val="ru-RU"/>
          </w:rPr>
        </w:r>
        <w:r w:rsidR="0001446B" w:rsidRPr="00694ACA">
          <w:rPr>
            <w:noProof w:val="0"/>
            <w:webHidden/>
            <w:lang w:val="ru-RU"/>
          </w:rPr>
          <w:fldChar w:fldCharType="separate"/>
        </w:r>
        <w:r w:rsidR="0001446B" w:rsidRPr="00694ACA">
          <w:rPr>
            <w:noProof w:val="0"/>
            <w:webHidden/>
            <w:lang w:val="ru-RU"/>
          </w:rPr>
          <w:t>8</w:t>
        </w:r>
        <w:r w:rsidR="0001446B" w:rsidRPr="00694ACA">
          <w:rPr>
            <w:noProof w:val="0"/>
            <w:webHidden/>
            <w:lang w:val="ru-RU"/>
          </w:rPr>
          <w:fldChar w:fldCharType="end"/>
        </w:r>
      </w:hyperlink>
    </w:p>
    <w:p w14:paraId="51DB395E" w14:textId="74D96F6A" w:rsidR="0001446B" w:rsidRPr="00694ACA" w:rsidRDefault="00D577E1">
      <w:pPr>
        <w:pStyle w:val="TOC1"/>
        <w:rPr>
          <w:rFonts w:asciiTheme="minorHAnsi" w:eastAsiaTheme="minorEastAsia" w:hAnsiTheme="minorHAnsi" w:cstheme="minorBidi"/>
          <w:noProof w:val="0"/>
          <w:color w:val="auto"/>
          <w:sz w:val="22"/>
          <w:szCs w:val="22"/>
          <w:lang w:val="ru-RU"/>
        </w:rPr>
      </w:pPr>
      <w:hyperlink w:anchor="_Toc71060739" w:history="1">
        <w:r w:rsidR="0001446B" w:rsidRPr="00694ACA">
          <w:rPr>
            <w:rStyle w:val="Hyperlink"/>
            <w:noProof w:val="0"/>
            <w:lang w:val="ru-RU"/>
          </w:rPr>
          <w:t>Раздел 2: Метод</w:t>
        </w:r>
        <w:r w:rsidR="008344C2" w:rsidRPr="00694ACA">
          <w:rPr>
            <w:rStyle w:val="Hyperlink"/>
            <w:noProof w:val="0"/>
            <w:lang w:val="ru-RU"/>
          </w:rPr>
          <w:t>ология</w:t>
        </w:r>
        <w:r w:rsidR="0001446B" w:rsidRPr="00694ACA">
          <w:rPr>
            <w:noProof w:val="0"/>
            <w:webHidden/>
            <w:lang w:val="ru-RU"/>
          </w:rPr>
          <w:tab/>
        </w:r>
        <w:r w:rsidR="0001446B" w:rsidRPr="00694ACA">
          <w:rPr>
            <w:noProof w:val="0"/>
            <w:webHidden/>
            <w:lang w:val="ru-RU"/>
          </w:rPr>
          <w:fldChar w:fldCharType="begin"/>
        </w:r>
        <w:r w:rsidR="0001446B" w:rsidRPr="00694ACA">
          <w:rPr>
            <w:noProof w:val="0"/>
            <w:webHidden/>
            <w:lang w:val="ru-RU"/>
          </w:rPr>
          <w:instrText xml:space="preserve"> PAGEREF _Toc71060739 \h </w:instrText>
        </w:r>
        <w:r w:rsidR="0001446B" w:rsidRPr="00694ACA">
          <w:rPr>
            <w:noProof w:val="0"/>
            <w:webHidden/>
            <w:lang w:val="ru-RU"/>
          </w:rPr>
        </w:r>
        <w:r w:rsidR="0001446B" w:rsidRPr="00694ACA">
          <w:rPr>
            <w:noProof w:val="0"/>
            <w:webHidden/>
            <w:lang w:val="ru-RU"/>
          </w:rPr>
          <w:fldChar w:fldCharType="separate"/>
        </w:r>
        <w:r w:rsidR="0001446B" w:rsidRPr="00694ACA">
          <w:rPr>
            <w:noProof w:val="0"/>
            <w:webHidden/>
            <w:lang w:val="ru-RU"/>
          </w:rPr>
          <w:t>8</w:t>
        </w:r>
        <w:r w:rsidR="0001446B" w:rsidRPr="00694ACA">
          <w:rPr>
            <w:noProof w:val="0"/>
            <w:webHidden/>
            <w:lang w:val="ru-RU"/>
          </w:rPr>
          <w:fldChar w:fldCharType="end"/>
        </w:r>
      </w:hyperlink>
    </w:p>
    <w:p w14:paraId="6234B638" w14:textId="596C3046" w:rsidR="0001446B" w:rsidRPr="00694ACA" w:rsidRDefault="00D577E1">
      <w:pPr>
        <w:pStyle w:val="TOC1"/>
        <w:rPr>
          <w:rFonts w:asciiTheme="minorHAnsi" w:eastAsiaTheme="minorEastAsia" w:hAnsiTheme="minorHAnsi" w:cstheme="minorBidi"/>
          <w:noProof w:val="0"/>
          <w:color w:val="auto"/>
          <w:sz w:val="22"/>
          <w:szCs w:val="22"/>
          <w:lang w:val="ru-RU"/>
        </w:rPr>
      </w:pPr>
      <w:hyperlink w:anchor="_Toc71060740" w:history="1">
        <w:r w:rsidR="0001446B" w:rsidRPr="00694ACA">
          <w:rPr>
            <w:rStyle w:val="Hyperlink"/>
            <w:noProof w:val="0"/>
            <w:lang w:val="ru-RU"/>
          </w:rPr>
          <w:t>Раздел 3: Контекст и базовая информация</w:t>
        </w:r>
        <w:r w:rsidR="0001446B" w:rsidRPr="00694ACA">
          <w:rPr>
            <w:noProof w:val="0"/>
            <w:webHidden/>
            <w:lang w:val="ru-RU"/>
          </w:rPr>
          <w:tab/>
        </w:r>
        <w:r w:rsidR="0001446B" w:rsidRPr="00694ACA">
          <w:rPr>
            <w:noProof w:val="0"/>
            <w:webHidden/>
            <w:lang w:val="ru-RU"/>
          </w:rPr>
          <w:fldChar w:fldCharType="begin"/>
        </w:r>
        <w:r w:rsidR="0001446B" w:rsidRPr="00694ACA">
          <w:rPr>
            <w:noProof w:val="0"/>
            <w:webHidden/>
            <w:lang w:val="ru-RU"/>
          </w:rPr>
          <w:instrText xml:space="preserve"> PAGEREF _Toc71060740 \h </w:instrText>
        </w:r>
        <w:r w:rsidR="0001446B" w:rsidRPr="00694ACA">
          <w:rPr>
            <w:noProof w:val="0"/>
            <w:webHidden/>
            <w:lang w:val="ru-RU"/>
          </w:rPr>
        </w:r>
        <w:r w:rsidR="0001446B" w:rsidRPr="00694ACA">
          <w:rPr>
            <w:noProof w:val="0"/>
            <w:webHidden/>
            <w:lang w:val="ru-RU"/>
          </w:rPr>
          <w:fldChar w:fldCharType="separate"/>
        </w:r>
        <w:r w:rsidR="0001446B" w:rsidRPr="00694ACA">
          <w:rPr>
            <w:noProof w:val="0"/>
            <w:webHidden/>
            <w:lang w:val="ru-RU"/>
          </w:rPr>
          <w:t>9</w:t>
        </w:r>
        <w:r w:rsidR="0001446B" w:rsidRPr="00694ACA">
          <w:rPr>
            <w:noProof w:val="0"/>
            <w:webHidden/>
            <w:lang w:val="ru-RU"/>
          </w:rPr>
          <w:fldChar w:fldCharType="end"/>
        </w:r>
      </w:hyperlink>
    </w:p>
    <w:p w14:paraId="1B3F71D7" w14:textId="573DD0C0" w:rsidR="0001446B" w:rsidRPr="00694ACA" w:rsidRDefault="00D577E1">
      <w:pPr>
        <w:pStyle w:val="TOC1"/>
        <w:rPr>
          <w:rFonts w:asciiTheme="minorHAnsi" w:eastAsiaTheme="minorEastAsia" w:hAnsiTheme="minorHAnsi" w:cstheme="minorBidi"/>
          <w:noProof w:val="0"/>
          <w:color w:val="auto"/>
          <w:sz w:val="22"/>
          <w:szCs w:val="22"/>
          <w:lang w:val="ru-RU"/>
        </w:rPr>
      </w:pPr>
      <w:hyperlink w:anchor="_Toc71060741" w:history="1">
        <w:r w:rsidR="0001446B" w:rsidRPr="00694ACA">
          <w:rPr>
            <w:rStyle w:val="Hyperlink"/>
            <w:noProof w:val="0"/>
            <w:lang w:val="ru-RU"/>
          </w:rPr>
          <w:t xml:space="preserve">Раздел 4: Обзор мероприятий в области развития потенциала и профессиональной </w:t>
        </w:r>
        <w:r w:rsidR="0001446B" w:rsidRPr="00694ACA">
          <w:rPr>
            <w:rStyle w:val="Hyperlink"/>
            <w:noProof w:val="0"/>
            <w:lang w:val="ru-RU"/>
          </w:rPr>
          <w:br/>
          <w:t>подготовки, проводимых МСЭ в настоящее время</w:t>
        </w:r>
        <w:r w:rsidR="0001446B" w:rsidRPr="00694ACA">
          <w:rPr>
            <w:noProof w:val="0"/>
            <w:webHidden/>
            <w:lang w:val="ru-RU"/>
          </w:rPr>
          <w:tab/>
        </w:r>
        <w:r w:rsidR="0001446B" w:rsidRPr="00694ACA">
          <w:rPr>
            <w:noProof w:val="0"/>
            <w:webHidden/>
            <w:lang w:val="ru-RU"/>
          </w:rPr>
          <w:fldChar w:fldCharType="begin"/>
        </w:r>
        <w:r w:rsidR="0001446B" w:rsidRPr="00694ACA">
          <w:rPr>
            <w:noProof w:val="0"/>
            <w:webHidden/>
            <w:lang w:val="ru-RU"/>
          </w:rPr>
          <w:instrText xml:space="preserve"> PAGEREF _Toc71060741 \h </w:instrText>
        </w:r>
        <w:r w:rsidR="0001446B" w:rsidRPr="00694ACA">
          <w:rPr>
            <w:noProof w:val="0"/>
            <w:webHidden/>
            <w:lang w:val="ru-RU"/>
          </w:rPr>
        </w:r>
        <w:r w:rsidR="0001446B" w:rsidRPr="00694ACA">
          <w:rPr>
            <w:noProof w:val="0"/>
            <w:webHidden/>
            <w:lang w:val="ru-RU"/>
          </w:rPr>
          <w:fldChar w:fldCharType="separate"/>
        </w:r>
        <w:r w:rsidR="0001446B" w:rsidRPr="00694ACA">
          <w:rPr>
            <w:noProof w:val="0"/>
            <w:webHidden/>
            <w:lang w:val="ru-RU"/>
          </w:rPr>
          <w:t>11</w:t>
        </w:r>
        <w:r w:rsidR="0001446B" w:rsidRPr="00694ACA">
          <w:rPr>
            <w:noProof w:val="0"/>
            <w:webHidden/>
            <w:lang w:val="ru-RU"/>
          </w:rPr>
          <w:fldChar w:fldCharType="end"/>
        </w:r>
      </w:hyperlink>
    </w:p>
    <w:p w14:paraId="6BFF035E" w14:textId="60F5F827" w:rsidR="0001446B" w:rsidRPr="00694ACA" w:rsidRDefault="00D577E1">
      <w:pPr>
        <w:pStyle w:val="TOC1"/>
        <w:rPr>
          <w:rFonts w:asciiTheme="minorHAnsi" w:eastAsiaTheme="minorEastAsia" w:hAnsiTheme="minorHAnsi" w:cstheme="minorBidi"/>
          <w:noProof w:val="0"/>
          <w:color w:val="auto"/>
          <w:sz w:val="22"/>
          <w:szCs w:val="22"/>
          <w:lang w:val="ru-RU"/>
        </w:rPr>
      </w:pPr>
      <w:hyperlink w:anchor="_Toc71060742" w:history="1">
        <w:r w:rsidR="0001446B" w:rsidRPr="00694ACA">
          <w:rPr>
            <w:rStyle w:val="Hyperlink"/>
            <w:noProof w:val="0"/>
            <w:lang w:val="ru-RU"/>
          </w:rPr>
          <w:t xml:space="preserve">Раздел 5: Оценка качества мероприятий МСЭ в области развития потенциала </w:t>
        </w:r>
        <w:r w:rsidR="0001446B" w:rsidRPr="00694ACA">
          <w:rPr>
            <w:rStyle w:val="Hyperlink"/>
            <w:noProof w:val="0"/>
            <w:lang w:val="ru-RU"/>
          </w:rPr>
          <w:br/>
          <w:t>и профессиональной подготовки</w:t>
        </w:r>
        <w:r w:rsidR="0001446B" w:rsidRPr="00694ACA">
          <w:rPr>
            <w:noProof w:val="0"/>
            <w:webHidden/>
            <w:lang w:val="ru-RU"/>
          </w:rPr>
          <w:tab/>
        </w:r>
        <w:r w:rsidR="0001446B" w:rsidRPr="00694ACA">
          <w:rPr>
            <w:noProof w:val="0"/>
            <w:webHidden/>
            <w:lang w:val="ru-RU"/>
          </w:rPr>
          <w:fldChar w:fldCharType="begin"/>
        </w:r>
        <w:r w:rsidR="0001446B" w:rsidRPr="00694ACA">
          <w:rPr>
            <w:noProof w:val="0"/>
            <w:webHidden/>
            <w:lang w:val="ru-RU"/>
          </w:rPr>
          <w:instrText xml:space="preserve"> PAGEREF _Toc71060742 \h </w:instrText>
        </w:r>
        <w:r w:rsidR="0001446B" w:rsidRPr="00694ACA">
          <w:rPr>
            <w:noProof w:val="0"/>
            <w:webHidden/>
            <w:lang w:val="ru-RU"/>
          </w:rPr>
        </w:r>
        <w:r w:rsidR="0001446B" w:rsidRPr="00694ACA">
          <w:rPr>
            <w:noProof w:val="0"/>
            <w:webHidden/>
            <w:lang w:val="ru-RU"/>
          </w:rPr>
          <w:fldChar w:fldCharType="separate"/>
        </w:r>
        <w:r w:rsidR="0001446B" w:rsidRPr="00694ACA">
          <w:rPr>
            <w:noProof w:val="0"/>
            <w:webHidden/>
            <w:lang w:val="ru-RU"/>
          </w:rPr>
          <w:t>19</w:t>
        </w:r>
        <w:r w:rsidR="0001446B" w:rsidRPr="00694ACA">
          <w:rPr>
            <w:noProof w:val="0"/>
            <w:webHidden/>
            <w:lang w:val="ru-RU"/>
          </w:rPr>
          <w:fldChar w:fldCharType="end"/>
        </w:r>
      </w:hyperlink>
    </w:p>
    <w:p w14:paraId="31312B2E" w14:textId="797E34C2" w:rsidR="0001446B" w:rsidRPr="00694ACA" w:rsidRDefault="00D577E1">
      <w:pPr>
        <w:pStyle w:val="TOC1"/>
        <w:rPr>
          <w:rFonts w:asciiTheme="minorHAnsi" w:eastAsiaTheme="minorEastAsia" w:hAnsiTheme="minorHAnsi" w:cstheme="minorBidi"/>
          <w:noProof w:val="0"/>
          <w:color w:val="auto"/>
          <w:sz w:val="22"/>
          <w:szCs w:val="22"/>
          <w:lang w:val="ru-RU"/>
        </w:rPr>
      </w:pPr>
      <w:hyperlink w:anchor="_Toc71060743" w:history="1">
        <w:r w:rsidR="0001446B" w:rsidRPr="00694ACA">
          <w:rPr>
            <w:rStyle w:val="Hyperlink"/>
            <w:noProof w:val="0"/>
            <w:lang w:val="ru-RU"/>
          </w:rPr>
          <w:t xml:space="preserve">Раздел 6: Составление бюджета и ресурсы, которые в настоящее время выделяются </w:t>
        </w:r>
        <w:r w:rsidR="0001446B" w:rsidRPr="00694ACA">
          <w:rPr>
            <w:rStyle w:val="Hyperlink"/>
            <w:noProof w:val="0"/>
            <w:lang w:val="ru-RU"/>
          </w:rPr>
          <w:br/>
          <w:t>на развитие потенциала и профессиональную подготовку в МСЭ</w:t>
        </w:r>
        <w:r w:rsidR="0001446B" w:rsidRPr="00694ACA">
          <w:rPr>
            <w:noProof w:val="0"/>
            <w:webHidden/>
            <w:lang w:val="ru-RU"/>
          </w:rPr>
          <w:tab/>
        </w:r>
        <w:r w:rsidR="0001446B" w:rsidRPr="00694ACA">
          <w:rPr>
            <w:noProof w:val="0"/>
            <w:webHidden/>
            <w:lang w:val="ru-RU"/>
          </w:rPr>
          <w:fldChar w:fldCharType="begin"/>
        </w:r>
        <w:r w:rsidR="0001446B" w:rsidRPr="00694ACA">
          <w:rPr>
            <w:noProof w:val="0"/>
            <w:webHidden/>
            <w:lang w:val="ru-RU"/>
          </w:rPr>
          <w:instrText xml:space="preserve"> PAGEREF _Toc71060743 \h </w:instrText>
        </w:r>
        <w:r w:rsidR="0001446B" w:rsidRPr="00694ACA">
          <w:rPr>
            <w:noProof w:val="0"/>
            <w:webHidden/>
            <w:lang w:val="ru-RU"/>
          </w:rPr>
        </w:r>
        <w:r w:rsidR="0001446B" w:rsidRPr="00694ACA">
          <w:rPr>
            <w:noProof w:val="0"/>
            <w:webHidden/>
            <w:lang w:val="ru-RU"/>
          </w:rPr>
          <w:fldChar w:fldCharType="separate"/>
        </w:r>
        <w:r w:rsidR="0001446B" w:rsidRPr="00694ACA">
          <w:rPr>
            <w:noProof w:val="0"/>
            <w:webHidden/>
            <w:lang w:val="ru-RU"/>
          </w:rPr>
          <w:t>23</w:t>
        </w:r>
        <w:r w:rsidR="0001446B" w:rsidRPr="00694ACA">
          <w:rPr>
            <w:noProof w:val="0"/>
            <w:webHidden/>
            <w:lang w:val="ru-RU"/>
          </w:rPr>
          <w:fldChar w:fldCharType="end"/>
        </w:r>
      </w:hyperlink>
    </w:p>
    <w:p w14:paraId="46524B44" w14:textId="73A46E5B" w:rsidR="0001446B" w:rsidRPr="00694ACA" w:rsidRDefault="00D577E1">
      <w:pPr>
        <w:pStyle w:val="TOC1"/>
        <w:rPr>
          <w:rFonts w:asciiTheme="minorHAnsi" w:eastAsiaTheme="minorEastAsia" w:hAnsiTheme="minorHAnsi" w:cstheme="minorBidi"/>
          <w:noProof w:val="0"/>
          <w:color w:val="auto"/>
          <w:sz w:val="22"/>
          <w:szCs w:val="22"/>
          <w:lang w:val="ru-RU"/>
        </w:rPr>
      </w:pPr>
      <w:hyperlink w:anchor="_Toc71060744" w:history="1">
        <w:r w:rsidR="0001446B" w:rsidRPr="00694ACA">
          <w:rPr>
            <w:rStyle w:val="Hyperlink"/>
            <w:noProof w:val="0"/>
            <w:lang w:val="ru-RU"/>
          </w:rPr>
          <w:t>Раздел 7: Имеющиеся сильные и слабые стороны, а также области для улучшения в МСЭ</w:t>
        </w:r>
        <w:r w:rsidR="0001446B" w:rsidRPr="00694ACA">
          <w:rPr>
            <w:noProof w:val="0"/>
            <w:webHidden/>
            <w:lang w:val="ru-RU"/>
          </w:rPr>
          <w:tab/>
        </w:r>
        <w:r w:rsidR="0001446B" w:rsidRPr="00694ACA">
          <w:rPr>
            <w:noProof w:val="0"/>
            <w:webHidden/>
            <w:lang w:val="ru-RU"/>
          </w:rPr>
          <w:fldChar w:fldCharType="begin"/>
        </w:r>
        <w:r w:rsidR="0001446B" w:rsidRPr="00694ACA">
          <w:rPr>
            <w:noProof w:val="0"/>
            <w:webHidden/>
            <w:lang w:val="ru-RU"/>
          </w:rPr>
          <w:instrText xml:space="preserve"> PAGEREF _Toc71060744 \h </w:instrText>
        </w:r>
        <w:r w:rsidR="0001446B" w:rsidRPr="00694ACA">
          <w:rPr>
            <w:noProof w:val="0"/>
            <w:webHidden/>
            <w:lang w:val="ru-RU"/>
          </w:rPr>
        </w:r>
        <w:r w:rsidR="0001446B" w:rsidRPr="00694ACA">
          <w:rPr>
            <w:noProof w:val="0"/>
            <w:webHidden/>
            <w:lang w:val="ru-RU"/>
          </w:rPr>
          <w:fldChar w:fldCharType="separate"/>
        </w:r>
        <w:r w:rsidR="0001446B" w:rsidRPr="00694ACA">
          <w:rPr>
            <w:noProof w:val="0"/>
            <w:webHidden/>
            <w:lang w:val="ru-RU"/>
          </w:rPr>
          <w:t>28</w:t>
        </w:r>
        <w:r w:rsidR="0001446B" w:rsidRPr="00694ACA">
          <w:rPr>
            <w:noProof w:val="0"/>
            <w:webHidden/>
            <w:lang w:val="ru-RU"/>
          </w:rPr>
          <w:fldChar w:fldCharType="end"/>
        </w:r>
      </w:hyperlink>
    </w:p>
    <w:p w14:paraId="5E1E5B73" w14:textId="6E056B65" w:rsidR="0001446B" w:rsidRPr="00694ACA" w:rsidRDefault="00D577E1">
      <w:pPr>
        <w:pStyle w:val="TOC1"/>
        <w:rPr>
          <w:rFonts w:asciiTheme="minorHAnsi" w:eastAsiaTheme="minorEastAsia" w:hAnsiTheme="minorHAnsi" w:cstheme="minorBidi"/>
          <w:noProof w:val="0"/>
          <w:color w:val="auto"/>
          <w:sz w:val="22"/>
          <w:szCs w:val="22"/>
          <w:lang w:val="ru-RU"/>
        </w:rPr>
      </w:pPr>
      <w:hyperlink w:anchor="_Toc71060745" w:history="1">
        <w:r w:rsidR="0001446B" w:rsidRPr="00694ACA">
          <w:rPr>
            <w:rStyle w:val="Hyperlink"/>
            <w:noProof w:val="0"/>
            <w:lang w:val="ru-RU"/>
          </w:rPr>
          <w:t xml:space="preserve">Раздел 8: Более широкий контекст деятельности МСЭ по развитию потенциала </w:t>
        </w:r>
        <w:r w:rsidR="0001446B" w:rsidRPr="00694ACA">
          <w:rPr>
            <w:rStyle w:val="Hyperlink"/>
            <w:noProof w:val="0"/>
            <w:lang w:val="ru-RU"/>
          </w:rPr>
          <w:br/>
          <w:t>и профессиональной подготовке</w:t>
        </w:r>
        <w:r w:rsidR="0001446B" w:rsidRPr="00694ACA">
          <w:rPr>
            <w:noProof w:val="0"/>
            <w:webHidden/>
            <w:lang w:val="ru-RU"/>
          </w:rPr>
          <w:tab/>
        </w:r>
        <w:r w:rsidR="0001446B" w:rsidRPr="00694ACA">
          <w:rPr>
            <w:noProof w:val="0"/>
            <w:webHidden/>
            <w:lang w:val="ru-RU"/>
          </w:rPr>
          <w:fldChar w:fldCharType="begin"/>
        </w:r>
        <w:r w:rsidR="0001446B" w:rsidRPr="00694ACA">
          <w:rPr>
            <w:noProof w:val="0"/>
            <w:webHidden/>
            <w:lang w:val="ru-RU"/>
          </w:rPr>
          <w:instrText xml:space="preserve"> PAGEREF _Toc71060745 \h </w:instrText>
        </w:r>
        <w:r w:rsidR="0001446B" w:rsidRPr="00694ACA">
          <w:rPr>
            <w:noProof w:val="0"/>
            <w:webHidden/>
            <w:lang w:val="ru-RU"/>
          </w:rPr>
        </w:r>
        <w:r w:rsidR="0001446B" w:rsidRPr="00694ACA">
          <w:rPr>
            <w:noProof w:val="0"/>
            <w:webHidden/>
            <w:lang w:val="ru-RU"/>
          </w:rPr>
          <w:fldChar w:fldCharType="separate"/>
        </w:r>
        <w:r w:rsidR="0001446B" w:rsidRPr="00694ACA">
          <w:rPr>
            <w:noProof w:val="0"/>
            <w:webHidden/>
            <w:lang w:val="ru-RU"/>
          </w:rPr>
          <w:t>29</w:t>
        </w:r>
        <w:r w:rsidR="0001446B" w:rsidRPr="00694ACA">
          <w:rPr>
            <w:noProof w:val="0"/>
            <w:webHidden/>
            <w:lang w:val="ru-RU"/>
          </w:rPr>
          <w:fldChar w:fldCharType="end"/>
        </w:r>
      </w:hyperlink>
    </w:p>
    <w:p w14:paraId="4DA72C42" w14:textId="0BA01AE9" w:rsidR="0001446B" w:rsidRPr="00694ACA" w:rsidRDefault="00D577E1">
      <w:pPr>
        <w:pStyle w:val="TOC1"/>
        <w:rPr>
          <w:rFonts w:asciiTheme="minorHAnsi" w:eastAsiaTheme="minorEastAsia" w:hAnsiTheme="minorHAnsi" w:cstheme="minorBidi"/>
          <w:noProof w:val="0"/>
          <w:color w:val="auto"/>
          <w:sz w:val="22"/>
          <w:szCs w:val="22"/>
          <w:lang w:val="ru-RU"/>
        </w:rPr>
      </w:pPr>
      <w:hyperlink w:anchor="_Toc71060746" w:history="1">
        <w:r w:rsidR="0001446B" w:rsidRPr="00694ACA">
          <w:rPr>
            <w:rStyle w:val="Hyperlink"/>
            <w:noProof w:val="0"/>
            <w:lang w:val="ru-RU"/>
          </w:rPr>
          <w:t xml:space="preserve">Раздел 9: Необходимость создания нового Института </w:t>
        </w:r>
        <w:r w:rsidR="00DC6B52" w:rsidRPr="00694ACA">
          <w:rPr>
            <w:rStyle w:val="Hyperlink"/>
            <w:noProof w:val="0"/>
            <w:lang w:val="ru-RU"/>
          </w:rPr>
          <w:t xml:space="preserve">профессиональной </w:t>
        </w:r>
        <w:r w:rsidR="0001446B" w:rsidRPr="00694ACA">
          <w:rPr>
            <w:rStyle w:val="Hyperlink"/>
            <w:noProof w:val="0"/>
            <w:lang w:val="ru-RU"/>
          </w:rPr>
          <w:t xml:space="preserve">подготовки МСЭ </w:t>
        </w:r>
        <w:r w:rsidR="0001446B" w:rsidRPr="00694ACA">
          <w:rPr>
            <w:rStyle w:val="Hyperlink"/>
            <w:noProof w:val="0"/>
            <w:lang w:val="ru-RU"/>
          </w:rPr>
          <w:br/>
          <w:t>и выделение ресурсов на его функционирование</w:t>
        </w:r>
        <w:r w:rsidR="0001446B" w:rsidRPr="00694ACA">
          <w:rPr>
            <w:noProof w:val="0"/>
            <w:webHidden/>
            <w:lang w:val="ru-RU"/>
          </w:rPr>
          <w:tab/>
        </w:r>
        <w:r w:rsidR="0001446B" w:rsidRPr="00694ACA">
          <w:rPr>
            <w:noProof w:val="0"/>
            <w:webHidden/>
            <w:lang w:val="ru-RU"/>
          </w:rPr>
          <w:fldChar w:fldCharType="begin"/>
        </w:r>
        <w:r w:rsidR="0001446B" w:rsidRPr="00694ACA">
          <w:rPr>
            <w:noProof w:val="0"/>
            <w:webHidden/>
            <w:lang w:val="ru-RU"/>
          </w:rPr>
          <w:instrText xml:space="preserve"> PAGEREF _Toc71060746 \h </w:instrText>
        </w:r>
        <w:r w:rsidR="0001446B" w:rsidRPr="00694ACA">
          <w:rPr>
            <w:noProof w:val="0"/>
            <w:webHidden/>
            <w:lang w:val="ru-RU"/>
          </w:rPr>
        </w:r>
        <w:r w:rsidR="0001446B" w:rsidRPr="00694ACA">
          <w:rPr>
            <w:noProof w:val="0"/>
            <w:webHidden/>
            <w:lang w:val="ru-RU"/>
          </w:rPr>
          <w:fldChar w:fldCharType="separate"/>
        </w:r>
        <w:r w:rsidR="0001446B" w:rsidRPr="00694ACA">
          <w:rPr>
            <w:noProof w:val="0"/>
            <w:webHidden/>
            <w:lang w:val="ru-RU"/>
          </w:rPr>
          <w:t>38</w:t>
        </w:r>
        <w:r w:rsidR="0001446B" w:rsidRPr="00694ACA">
          <w:rPr>
            <w:noProof w:val="0"/>
            <w:webHidden/>
            <w:lang w:val="ru-RU"/>
          </w:rPr>
          <w:fldChar w:fldCharType="end"/>
        </w:r>
      </w:hyperlink>
    </w:p>
    <w:p w14:paraId="2159C5E2" w14:textId="3446865B" w:rsidR="0001446B" w:rsidRPr="00694ACA" w:rsidRDefault="00D577E1">
      <w:pPr>
        <w:pStyle w:val="TOC1"/>
        <w:rPr>
          <w:rFonts w:asciiTheme="minorHAnsi" w:eastAsiaTheme="minorEastAsia" w:hAnsiTheme="minorHAnsi" w:cstheme="minorBidi"/>
          <w:noProof w:val="0"/>
          <w:color w:val="auto"/>
          <w:sz w:val="22"/>
          <w:szCs w:val="22"/>
          <w:lang w:val="ru-RU"/>
        </w:rPr>
      </w:pPr>
      <w:hyperlink w:anchor="_Toc71060747" w:history="1">
        <w:r w:rsidR="0001446B" w:rsidRPr="00694ACA">
          <w:rPr>
            <w:rStyle w:val="Hyperlink"/>
            <w:noProof w:val="0"/>
            <w:lang w:val="ru-RU"/>
          </w:rPr>
          <w:t>Раздел 10: Рекомендации</w:t>
        </w:r>
        <w:r w:rsidR="0001446B" w:rsidRPr="00694ACA">
          <w:rPr>
            <w:noProof w:val="0"/>
            <w:webHidden/>
            <w:lang w:val="ru-RU"/>
          </w:rPr>
          <w:tab/>
        </w:r>
        <w:r w:rsidR="0001446B" w:rsidRPr="00694ACA">
          <w:rPr>
            <w:noProof w:val="0"/>
            <w:webHidden/>
            <w:lang w:val="ru-RU"/>
          </w:rPr>
          <w:fldChar w:fldCharType="begin"/>
        </w:r>
        <w:r w:rsidR="0001446B" w:rsidRPr="00694ACA">
          <w:rPr>
            <w:noProof w:val="0"/>
            <w:webHidden/>
            <w:lang w:val="ru-RU"/>
          </w:rPr>
          <w:instrText xml:space="preserve"> PAGEREF _Toc71060747 \h </w:instrText>
        </w:r>
        <w:r w:rsidR="0001446B" w:rsidRPr="00694ACA">
          <w:rPr>
            <w:noProof w:val="0"/>
            <w:webHidden/>
            <w:lang w:val="ru-RU"/>
          </w:rPr>
        </w:r>
        <w:r w:rsidR="0001446B" w:rsidRPr="00694ACA">
          <w:rPr>
            <w:noProof w:val="0"/>
            <w:webHidden/>
            <w:lang w:val="ru-RU"/>
          </w:rPr>
          <w:fldChar w:fldCharType="separate"/>
        </w:r>
        <w:r w:rsidR="0001446B" w:rsidRPr="00694ACA">
          <w:rPr>
            <w:noProof w:val="0"/>
            <w:webHidden/>
            <w:lang w:val="ru-RU"/>
          </w:rPr>
          <w:t>70</w:t>
        </w:r>
        <w:r w:rsidR="0001446B" w:rsidRPr="00694ACA">
          <w:rPr>
            <w:noProof w:val="0"/>
            <w:webHidden/>
            <w:lang w:val="ru-RU"/>
          </w:rPr>
          <w:fldChar w:fldCharType="end"/>
        </w:r>
      </w:hyperlink>
    </w:p>
    <w:p w14:paraId="0C0923C8" w14:textId="244D11D6" w:rsidR="0001446B" w:rsidRPr="00694ACA" w:rsidRDefault="00D577E1">
      <w:pPr>
        <w:pStyle w:val="TOC1"/>
        <w:rPr>
          <w:rFonts w:asciiTheme="minorHAnsi" w:eastAsiaTheme="minorEastAsia" w:hAnsiTheme="minorHAnsi" w:cstheme="minorBidi"/>
          <w:noProof w:val="0"/>
          <w:color w:val="auto"/>
          <w:sz w:val="22"/>
          <w:szCs w:val="22"/>
          <w:lang w:val="ru-RU"/>
        </w:rPr>
      </w:pPr>
      <w:hyperlink w:anchor="_Toc71060748" w:history="1">
        <w:r w:rsidR="0001446B" w:rsidRPr="00694ACA">
          <w:rPr>
            <w:rStyle w:val="Hyperlink"/>
            <w:noProof w:val="0"/>
            <w:lang w:val="ru-RU"/>
          </w:rPr>
          <w:t>Раздел 11: Выводы</w:t>
        </w:r>
        <w:r w:rsidR="0001446B" w:rsidRPr="00694ACA">
          <w:rPr>
            <w:noProof w:val="0"/>
            <w:webHidden/>
            <w:lang w:val="ru-RU"/>
          </w:rPr>
          <w:tab/>
        </w:r>
        <w:r w:rsidR="0001446B" w:rsidRPr="00694ACA">
          <w:rPr>
            <w:noProof w:val="0"/>
            <w:webHidden/>
            <w:lang w:val="ru-RU"/>
          </w:rPr>
          <w:fldChar w:fldCharType="begin"/>
        </w:r>
        <w:r w:rsidR="0001446B" w:rsidRPr="00694ACA">
          <w:rPr>
            <w:noProof w:val="0"/>
            <w:webHidden/>
            <w:lang w:val="ru-RU"/>
          </w:rPr>
          <w:instrText xml:space="preserve"> PAGEREF _Toc71060748 \h </w:instrText>
        </w:r>
        <w:r w:rsidR="0001446B" w:rsidRPr="00694ACA">
          <w:rPr>
            <w:noProof w:val="0"/>
            <w:webHidden/>
            <w:lang w:val="ru-RU"/>
          </w:rPr>
        </w:r>
        <w:r w:rsidR="0001446B" w:rsidRPr="00694ACA">
          <w:rPr>
            <w:noProof w:val="0"/>
            <w:webHidden/>
            <w:lang w:val="ru-RU"/>
          </w:rPr>
          <w:fldChar w:fldCharType="separate"/>
        </w:r>
        <w:r w:rsidR="0001446B" w:rsidRPr="00694ACA">
          <w:rPr>
            <w:noProof w:val="0"/>
            <w:webHidden/>
            <w:lang w:val="ru-RU"/>
          </w:rPr>
          <w:t>82</w:t>
        </w:r>
        <w:r w:rsidR="0001446B" w:rsidRPr="00694ACA">
          <w:rPr>
            <w:noProof w:val="0"/>
            <w:webHidden/>
            <w:lang w:val="ru-RU"/>
          </w:rPr>
          <w:fldChar w:fldCharType="end"/>
        </w:r>
      </w:hyperlink>
    </w:p>
    <w:p w14:paraId="55AE575E" w14:textId="1775E9A8" w:rsidR="0001446B" w:rsidRPr="00694ACA" w:rsidRDefault="00D577E1">
      <w:pPr>
        <w:pStyle w:val="TOC1"/>
        <w:rPr>
          <w:rFonts w:asciiTheme="minorHAnsi" w:eastAsiaTheme="minorEastAsia" w:hAnsiTheme="minorHAnsi" w:cstheme="minorBidi"/>
          <w:noProof w:val="0"/>
          <w:color w:val="auto"/>
          <w:sz w:val="22"/>
          <w:szCs w:val="22"/>
          <w:lang w:val="ru-RU"/>
        </w:rPr>
      </w:pPr>
      <w:hyperlink w:anchor="_Toc71060749" w:history="1">
        <w:r w:rsidR="0001446B" w:rsidRPr="00694ACA">
          <w:rPr>
            <w:rStyle w:val="Hyperlink"/>
            <w:noProof w:val="0"/>
            <w:lang w:val="ru-RU"/>
          </w:rPr>
          <w:t>Приложения</w:t>
        </w:r>
        <w:r w:rsidR="0001446B" w:rsidRPr="00694ACA">
          <w:rPr>
            <w:noProof w:val="0"/>
            <w:webHidden/>
            <w:lang w:val="ru-RU"/>
          </w:rPr>
          <w:tab/>
        </w:r>
        <w:r w:rsidR="0001446B" w:rsidRPr="00694ACA">
          <w:rPr>
            <w:noProof w:val="0"/>
            <w:webHidden/>
            <w:lang w:val="ru-RU"/>
          </w:rPr>
          <w:fldChar w:fldCharType="begin"/>
        </w:r>
        <w:r w:rsidR="0001446B" w:rsidRPr="00694ACA">
          <w:rPr>
            <w:noProof w:val="0"/>
            <w:webHidden/>
            <w:lang w:val="ru-RU"/>
          </w:rPr>
          <w:instrText xml:space="preserve"> PAGEREF _Toc71060749 \h </w:instrText>
        </w:r>
        <w:r w:rsidR="0001446B" w:rsidRPr="00694ACA">
          <w:rPr>
            <w:noProof w:val="0"/>
            <w:webHidden/>
            <w:lang w:val="ru-RU"/>
          </w:rPr>
        </w:r>
        <w:r w:rsidR="0001446B" w:rsidRPr="00694ACA">
          <w:rPr>
            <w:noProof w:val="0"/>
            <w:webHidden/>
            <w:lang w:val="ru-RU"/>
          </w:rPr>
          <w:fldChar w:fldCharType="separate"/>
        </w:r>
        <w:r w:rsidR="0001446B" w:rsidRPr="00694ACA">
          <w:rPr>
            <w:noProof w:val="0"/>
            <w:webHidden/>
            <w:lang w:val="ru-RU"/>
          </w:rPr>
          <w:t>85</w:t>
        </w:r>
        <w:r w:rsidR="0001446B" w:rsidRPr="00694ACA">
          <w:rPr>
            <w:noProof w:val="0"/>
            <w:webHidden/>
            <w:lang w:val="ru-RU"/>
          </w:rPr>
          <w:fldChar w:fldCharType="end"/>
        </w:r>
      </w:hyperlink>
    </w:p>
    <w:p w14:paraId="504BDDC9" w14:textId="66C9FD40" w:rsidR="006B629F" w:rsidRPr="00694ACA" w:rsidRDefault="00700BE8" w:rsidP="00700BE8">
      <w:pPr>
        <w:rPr>
          <w:lang w:val="ru-RU"/>
        </w:rPr>
      </w:pPr>
      <w:r w:rsidRPr="00694ACA">
        <w:rPr>
          <w:lang w:val="ru-RU"/>
        </w:rPr>
        <w:fldChar w:fldCharType="end"/>
      </w:r>
    </w:p>
    <w:p w14:paraId="227D05A6" w14:textId="2B27814A" w:rsidR="00700BE8" w:rsidRPr="00694ACA" w:rsidRDefault="00121531" w:rsidP="00700BE8">
      <w:pPr>
        <w:pStyle w:val="Heading1"/>
        <w:rPr>
          <w:szCs w:val="20"/>
          <w:lang w:val="ru-RU"/>
        </w:rPr>
      </w:pPr>
      <w:bookmarkStart w:id="28" w:name="_Toc70456574"/>
      <w:bookmarkStart w:id="29" w:name="_Toc71060736"/>
      <w:bookmarkEnd w:id="12"/>
      <w:bookmarkEnd w:id="13"/>
      <w:bookmarkEnd w:id="14"/>
      <w:bookmarkEnd w:id="15"/>
      <w:bookmarkEnd w:id="16"/>
      <w:bookmarkEnd w:id="17"/>
      <w:bookmarkEnd w:id="18"/>
      <w:bookmarkEnd w:id="19"/>
      <w:bookmarkEnd w:id="20"/>
      <w:r w:rsidRPr="00694ACA">
        <w:rPr>
          <w:lang w:val="ru-RU"/>
        </w:rPr>
        <w:t>Глоссарий</w:t>
      </w:r>
      <w:bookmarkEnd w:id="28"/>
      <w:bookmarkEnd w:id="29"/>
    </w:p>
    <w:p w14:paraId="314E69F4" w14:textId="06B56052" w:rsidR="00700BE8" w:rsidRPr="00694ACA" w:rsidRDefault="00700BE8" w:rsidP="00700BE8">
      <w:pPr>
        <w:spacing w:after="0"/>
        <w:ind w:left="-284" w:right="-472"/>
        <w:rPr>
          <w:rFonts w:cs="Arial"/>
          <w:sz w:val="18"/>
          <w:szCs w:val="18"/>
          <w:lang w:val="ru-RU"/>
        </w:rPr>
      </w:pPr>
      <w:bookmarkStart w:id="30" w:name="_Hlk71658796"/>
      <w:r w:rsidRPr="00694ACA">
        <w:rPr>
          <w:rFonts w:cs="Arial"/>
          <w:sz w:val="18"/>
          <w:szCs w:val="18"/>
          <w:lang w:val="ru-RU"/>
        </w:rPr>
        <w:t xml:space="preserve">ACM </w:t>
      </w:r>
      <w:r w:rsidRPr="00694ACA">
        <w:rPr>
          <w:rFonts w:cs="Arial"/>
          <w:sz w:val="18"/>
          <w:szCs w:val="18"/>
          <w:lang w:val="ru-RU"/>
        </w:rPr>
        <w:tab/>
      </w:r>
      <w:r w:rsidRPr="00694ACA">
        <w:rPr>
          <w:rFonts w:cs="Arial"/>
          <w:sz w:val="18"/>
          <w:szCs w:val="18"/>
          <w:lang w:val="ru-RU"/>
        </w:rPr>
        <w:tab/>
      </w:r>
      <w:r w:rsidR="00121531" w:rsidRPr="00694ACA">
        <w:rPr>
          <w:rFonts w:cs="Arial"/>
          <w:sz w:val="18"/>
          <w:szCs w:val="18"/>
          <w:lang w:val="ru-RU"/>
        </w:rPr>
        <w:t>Ассоциация вычислительной техники</w:t>
      </w:r>
    </w:p>
    <w:p w14:paraId="28437568" w14:textId="773CE940" w:rsidR="00700BE8" w:rsidRPr="00694ACA" w:rsidRDefault="00700BE8" w:rsidP="00700BE8">
      <w:pPr>
        <w:spacing w:after="0"/>
        <w:ind w:left="-284" w:right="-472"/>
        <w:rPr>
          <w:rFonts w:cs="Arial"/>
          <w:sz w:val="18"/>
          <w:szCs w:val="18"/>
          <w:lang w:val="ru-RU"/>
        </w:rPr>
      </w:pPr>
      <w:r w:rsidRPr="00694ACA">
        <w:rPr>
          <w:rFonts w:cs="Arial"/>
          <w:sz w:val="18"/>
          <w:szCs w:val="18"/>
          <w:lang w:val="ru-RU"/>
        </w:rPr>
        <w:t>AFRALTI</w:t>
      </w:r>
      <w:r w:rsidRPr="00694ACA">
        <w:rPr>
          <w:rFonts w:cs="Arial"/>
          <w:sz w:val="18"/>
          <w:szCs w:val="18"/>
          <w:lang w:val="ru-RU"/>
        </w:rPr>
        <w:tab/>
      </w:r>
      <w:r w:rsidRPr="00694ACA">
        <w:rPr>
          <w:rFonts w:cs="Arial"/>
          <w:sz w:val="18"/>
          <w:szCs w:val="18"/>
          <w:lang w:val="ru-RU"/>
        </w:rPr>
        <w:tab/>
      </w:r>
      <w:r w:rsidR="00121531" w:rsidRPr="00694ACA">
        <w:rPr>
          <w:rFonts w:cs="Arial"/>
          <w:sz w:val="18"/>
          <w:szCs w:val="18"/>
          <w:lang w:val="ru-RU"/>
        </w:rPr>
        <w:t>Африканский высший институт электросвязи</w:t>
      </w:r>
    </w:p>
    <w:p w14:paraId="3EFBE05C" w14:textId="76CD36AE" w:rsidR="00700BE8" w:rsidRPr="00694ACA" w:rsidRDefault="00700BE8" w:rsidP="00700BE8">
      <w:pPr>
        <w:spacing w:after="0"/>
        <w:ind w:left="-284" w:right="-472"/>
        <w:rPr>
          <w:rFonts w:cs="Arial"/>
          <w:sz w:val="18"/>
          <w:szCs w:val="18"/>
          <w:lang w:val="ru-RU"/>
        </w:rPr>
      </w:pPr>
      <w:r w:rsidRPr="00694ACA">
        <w:rPr>
          <w:rFonts w:cs="Arial"/>
          <w:sz w:val="18"/>
          <w:szCs w:val="18"/>
          <w:lang w:val="ru-RU"/>
        </w:rPr>
        <w:t>AWC</w:t>
      </w:r>
      <w:r w:rsidRPr="00694ACA">
        <w:rPr>
          <w:rFonts w:cs="Arial"/>
          <w:sz w:val="18"/>
          <w:szCs w:val="18"/>
          <w:lang w:val="ru-RU"/>
        </w:rPr>
        <w:tab/>
      </w:r>
      <w:r w:rsidRPr="00694ACA">
        <w:rPr>
          <w:rFonts w:cs="Arial"/>
          <w:sz w:val="18"/>
          <w:szCs w:val="18"/>
          <w:lang w:val="ru-RU"/>
        </w:rPr>
        <w:tab/>
      </w:r>
      <w:r w:rsidR="00121531" w:rsidRPr="00694ACA">
        <w:rPr>
          <w:rFonts w:cs="Arial"/>
          <w:sz w:val="18"/>
          <w:szCs w:val="18"/>
          <w:lang w:val="ru-RU"/>
        </w:rPr>
        <w:t>Ассоциация женщин в области вычислительной техники</w:t>
      </w:r>
    </w:p>
    <w:p w14:paraId="5FDB117F" w14:textId="39B7A9EC" w:rsidR="00700BE8" w:rsidRPr="00694ACA" w:rsidRDefault="00980A5A" w:rsidP="00700BE8">
      <w:pPr>
        <w:spacing w:after="0"/>
        <w:ind w:left="-284" w:right="-472"/>
        <w:rPr>
          <w:rFonts w:cs="Arial"/>
          <w:sz w:val="18"/>
          <w:szCs w:val="18"/>
          <w:lang w:val="ru-RU"/>
        </w:rPr>
      </w:pPr>
      <w:r w:rsidRPr="00694ACA">
        <w:rPr>
          <w:rFonts w:cs="Arial"/>
          <w:sz w:val="18"/>
          <w:szCs w:val="18"/>
          <w:lang w:val="ru-RU"/>
        </w:rPr>
        <w:t>БРЭ</w:t>
      </w:r>
      <w:r w:rsidR="00700BE8" w:rsidRPr="00694ACA">
        <w:rPr>
          <w:rFonts w:cs="Arial"/>
          <w:sz w:val="18"/>
          <w:szCs w:val="18"/>
          <w:lang w:val="ru-RU"/>
        </w:rPr>
        <w:tab/>
      </w:r>
      <w:r w:rsidR="00700BE8" w:rsidRPr="00694ACA">
        <w:rPr>
          <w:rFonts w:cs="Arial"/>
          <w:sz w:val="18"/>
          <w:szCs w:val="18"/>
          <w:lang w:val="ru-RU"/>
        </w:rPr>
        <w:tab/>
      </w:r>
      <w:r w:rsidR="00121531" w:rsidRPr="00694ACA">
        <w:rPr>
          <w:rFonts w:cs="Arial"/>
          <w:sz w:val="18"/>
          <w:szCs w:val="18"/>
          <w:lang w:val="ru-RU"/>
        </w:rPr>
        <w:t>Бюро развития электросвязи МСЭ</w:t>
      </w:r>
    </w:p>
    <w:p w14:paraId="723B1A70" w14:textId="55FE8E30" w:rsidR="00700BE8" w:rsidRPr="00694ACA" w:rsidRDefault="00980A5A" w:rsidP="00700BE8">
      <w:pPr>
        <w:spacing w:after="0"/>
        <w:ind w:left="-284" w:right="-472"/>
        <w:rPr>
          <w:rFonts w:cs="Arial"/>
          <w:sz w:val="18"/>
          <w:szCs w:val="18"/>
          <w:lang w:val="ru-RU"/>
        </w:rPr>
      </w:pPr>
      <w:r w:rsidRPr="00694ACA">
        <w:rPr>
          <w:rFonts w:cs="Arial"/>
          <w:sz w:val="18"/>
          <w:szCs w:val="18"/>
          <w:lang w:val="ru-RU"/>
        </w:rPr>
        <w:t>БР</w:t>
      </w:r>
      <w:r w:rsidR="00700BE8" w:rsidRPr="00694ACA">
        <w:rPr>
          <w:rFonts w:cs="Arial"/>
          <w:sz w:val="18"/>
          <w:szCs w:val="18"/>
          <w:lang w:val="ru-RU"/>
        </w:rPr>
        <w:tab/>
      </w:r>
      <w:r w:rsidR="00700BE8" w:rsidRPr="00694ACA">
        <w:rPr>
          <w:rFonts w:cs="Arial"/>
          <w:sz w:val="18"/>
          <w:szCs w:val="18"/>
          <w:lang w:val="ru-RU"/>
        </w:rPr>
        <w:tab/>
      </w:r>
      <w:r w:rsidR="00700BE8" w:rsidRPr="00694ACA">
        <w:rPr>
          <w:rFonts w:cs="Arial"/>
          <w:sz w:val="18"/>
          <w:szCs w:val="18"/>
          <w:lang w:val="ru-RU"/>
        </w:rPr>
        <w:tab/>
      </w:r>
      <w:r w:rsidR="00121531" w:rsidRPr="00694ACA">
        <w:rPr>
          <w:rFonts w:cs="Arial"/>
          <w:sz w:val="18"/>
          <w:szCs w:val="18"/>
          <w:lang w:val="ru-RU"/>
        </w:rPr>
        <w:t>Бюро радиосвязи МСЭ</w:t>
      </w:r>
    </w:p>
    <w:p w14:paraId="60722AB4" w14:textId="1709A536" w:rsidR="00700BE8" w:rsidRPr="00694ACA" w:rsidRDefault="00700BE8" w:rsidP="00700BE8">
      <w:pPr>
        <w:spacing w:after="0"/>
        <w:ind w:left="-284" w:right="-472"/>
        <w:rPr>
          <w:sz w:val="18"/>
          <w:szCs w:val="18"/>
          <w:lang w:val="ru-RU"/>
        </w:rPr>
      </w:pPr>
      <w:r w:rsidRPr="00694ACA">
        <w:rPr>
          <w:sz w:val="18"/>
          <w:szCs w:val="18"/>
          <w:lang w:val="ru-RU"/>
        </w:rPr>
        <w:t>BSNL</w:t>
      </w:r>
      <w:r w:rsidRPr="00694ACA">
        <w:rPr>
          <w:sz w:val="18"/>
          <w:szCs w:val="18"/>
          <w:lang w:val="ru-RU"/>
        </w:rPr>
        <w:tab/>
      </w:r>
      <w:r w:rsidRPr="00694ACA">
        <w:rPr>
          <w:sz w:val="18"/>
          <w:szCs w:val="18"/>
          <w:lang w:val="ru-RU"/>
        </w:rPr>
        <w:tab/>
      </w:r>
      <w:proofErr w:type="spellStart"/>
      <w:r w:rsidRPr="00694ACA">
        <w:rPr>
          <w:sz w:val="18"/>
          <w:szCs w:val="18"/>
          <w:lang w:val="ru-RU"/>
        </w:rPr>
        <w:t>Bharat</w:t>
      </w:r>
      <w:proofErr w:type="spellEnd"/>
      <w:r w:rsidRPr="00694ACA">
        <w:rPr>
          <w:sz w:val="18"/>
          <w:szCs w:val="18"/>
          <w:lang w:val="ru-RU"/>
        </w:rPr>
        <w:t xml:space="preserve"> </w:t>
      </w:r>
      <w:proofErr w:type="spellStart"/>
      <w:r w:rsidRPr="00694ACA">
        <w:rPr>
          <w:sz w:val="18"/>
          <w:szCs w:val="18"/>
          <w:lang w:val="ru-RU"/>
        </w:rPr>
        <w:t>Sanchar</w:t>
      </w:r>
      <w:proofErr w:type="spellEnd"/>
      <w:r w:rsidRPr="00694ACA">
        <w:rPr>
          <w:sz w:val="18"/>
          <w:szCs w:val="18"/>
          <w:lang w:val="ru-RU"/>
        </w:rPr>
        <w:t xml:space="preserve"> </w:t>
      </w:r>
      <w:proofErr w:type="spellStart"/>
      <w:r w:rsidRPr="00694ACA">
        <w:rPr>
          <w:sz w:val="18"/>
          <w:szCs w:val="18"/>
          <w:lang w:val="ru-RU"/>
        </w:rPr>
        <w:t>Nigam</w:t>
      </w:r>
      <w:proofErr w:type="spellEnd"/>
      <w:r w:rsidRPr="00694ACA">
        <w:rPr>
          <w:sz w:val="18"/>
          <w:szCs w:val="18"/>
          <w:lang w:val="ru-RU"/>
        </w:rPr>
        <w:t xml:space="preserve"> </w:t>
      </w:r>
      <w:proofErr w:type="spellStart"/>
      <w:r w:rsidRPr="00694ACA">
        <w:rPr>
          <w:sz w:val="18"/>
          <w:szCs w:val="18"/>
          <w:lang w:val="ru-RU"/>
        </w:rPr>
        <w:t>Ltd</w:t>
      </w:r>
      <w:proofErr w:type="spellEnd"/>
    </w:p>
    <w:p w14:paraId="16DD2A83" w14:textId="3DE35077" w:rsidR="00700BE8" w:rsidRPr="00694ACA" w:rsidRDefault="00700BE8" w:rsidP="00700BE8">
      <w:pPr>
        <w:spacing w:after="0"/>
        <w:ind w:left="-284" w:right="-472"/>
        <w:rPr>
          <w:sz w:val="18"/>
          <w:szCs w:val="18"/>
          <w:lang w:val="ru-RU"/>
        </w:rPr>
      </w:pPr>
      <w:r w:rsidRPr="00694ACA">
        <w:rPr>
          <w:sz w:val="18"/>
          <w:szCs w:val="18"/>
          <w:lang w:val="ru-RU"/>
        </w:rPr>
        <w:t>CCTP</w:t>
      </w:r>
      <w:r w:rsidRPr="00694ACA">
        <w:rPr>
          <w:sz w:val="18"/>
          <w:szCs w:val="18"/>
          <w:lang w:val="ru-RU"/>
        </w:rPr>
        <w:tab/>
      </w:r>
      <w:r w:rsidRPr="00694ACA">
        <w:rPr>
          <w:sz w:val="18"/>
          <w:szCs w:val="18"/>
          <w:lang w:val="ru-RU"/>
        </w:rPr>
        <w:tab/>
      </w:r>
      <w:r w:rsidR="001E2CBF" w:rsidRPr="00694ACA">
        <w:rPr>
          <w:sz w:val="18"/>
          <w:szCs w:val="18"/>
          <w:lang w:val="ru-RU"/>
        </w:rPr>
        <w:t>П</w:t>
      </w:r>
      <w:r w:rsidR="00121531" w:rsidRPr="00694ACA">
        <w:rPr>
          <w:sz w:val="18"/>
          <w:szCs w:val="18"/>
          <w:lang w:val="ru-RU"/>
        </w:rPr>
        <w:t xml:space="preserve">рограмма </w:t>
      </w:r>
      <w:r w:rsidR="001E2CBF" w:rsidRPr="00694ACA">
        <w:rPr>
          <w:sz w:val="18"/>
          <w:szCs w:val="18"/>
          <w:lang w:val="ru-RU"/>
        </w:rPr>
        <w:t xml:space="preserve">профессиональной подготовки </w:t>
      </w:r>
      <w:r w:rsidR="00121531" w:rsidRPr="00694ACA">
        <w:rPr>
          <w:sz w:val="18"/>
          <w:szCs w:val="18"/>
          <w:lang w:val="ru-RU"/>
        </w:rPr>
        <w:t>по изменению климата</w:t>
      </w:r>
    </w:p>
    <w:p w14:paraId="3DB4A561" w14:textId="2A3273F3" w:rsidR="00700BE8" w:rsidRPr="00694ACA" w:rsidRDefault="00700BE8" w:rsidP="00700BE8">
      <w:pPr>
        <w:spacing w:after="0"/>
        <w:ind w:left="-284" w:right="-472"/>
        <w:rPr>
          <w:rFonts w:cs="Arial"/>
          <w:sz w:val="18"/>
          <w:szCs w:val="18"/>
          <w:lang w:val="ru-RU"/>
        </w:rPr>
      </w:pPr>
      <w:r w:rsidRPr="00694ACA">
        <w:rPr>
          <w:rFonts w:cs="Arial"/>
          <w:sz w:val="18"/>
          <w:szCs w:val="18"/>
          <w:lang w:val="ru-RU"/>
        </w:rPr>
        <w:t>CD&amp;T</w:t>
      </w:r>
      <w:r w:rsidRPr="00694ACA">
        <w:rPr>
          <w:rFonts w:cs="Arial"/>
          <w:sz w:val="18"/>
          <w:szCs w:val="18"/>
          <w:lang w:val="ru-RU"/>
        </w:rPr>
        <w:tab/>
      </w:r>
      <w:r w:rsidRPr="00694ACA">
        <w:rPr>
          <w:rFonts w:cs="Arial"/>
          <w:sz w:val="18"/>
          <w:szCs w:val="18"/>
          <w:lang w:val="ru-RU"/>
        </w:rPr>
        <w:tab/>
      </w:r>
      <w:r w:rsidR="00DF2D22" w:rsidRPr="00694ACA">
        <w:rPr>
          <w:rFonts w:cs="Arial"/>
          <w:sz w:val="18"/>
          <w:szCs w:val="18"/>
          <w:lang w:val="ru-RU"/>
        </w:rPr>
        <w:t xml:space="preserve">Развитие потенциала и </w:t>
      </w:r>
      <w:r w:rsidR="00121531" w:rsidRPr="00694ACA">
        <w:rPr>
          <w:rFonts w:cs="Arial"/>
          <w:sz w:val="18"/>
          <w:szCs w:val="18"/>
          <w:lang w:val="ru-RU"/>
        </w:rPr>
        <w:t>профессиональн</w:t>
      </w:r>
      <w:r w:rsidR="00DF2D22" w:rsidRPr="00694ACA">
        <w:rPr>
          <w:rFonts w:cs="Arial"/>
          <w:sz w:val="18"/>
          <w:szCs w:val="18"/>
          <w:lang w:val="ru-RU"/>
        </w:rPr>
        <w:t>ая</w:t>
      </w:r>
      <w:r w:rsidR="00121531" w:rsidRPr="00694ACA">
        <w:rPr>
          <w:rFonts w:cs="Arial"/>
          <w:sz w:val="18"/>
          <w:szCs w:val="18"/>
          <w:lang w:val="ru-RU"/>
        </w:rPr>
        <w:t xml:space="preserve"> подготовк</w:t>
      </w:r>
      <w:r w:rsidR="00DF2D22" w:rsidRPr="00694ACA">
        <w:rPr>
          <w:rFonts w:cs="Arial"/>
          <w:sz w:val="18"/>
          <w:szCs w:val="18"/>
          <w:lang w:val="ru-RU"/>
        </w:rPr>
        <w:t>а</w:t>
      </w:r>
    </w:p>
    <w:p w14:paraId="56394025" w14:textId="1D20E476" w:rsidR="00700BE8" w:rsidRPr="00694ACA" w:rsidRDefault="00700BE8" w:rsidP="00700BE8">
      <w:pPr>
        <w:spacing w:after="0"/>
        <w:ind w:left="-284" w:right="-472"/>
        <w:rPr>
          <w:rFonts w:cs="Arial"/>
          <w:sz w:val="18"/>
          <w:szCs w:val="18"/>
          <w:lang w:val="ru-RU"/>
        </w:rPr>
      </w:pPr>
      <w:r w:rsidRPr="00694ACA">
        <w:rPr>
          <w:rFonts w:cs="Arial"/>
          <w:sz w:val="18"/>
          <w:szCs w:val="18"/>
          <w:lang w:val="ru-RU"/>
        </w:rPr>
        <w:t>CSD</w:t>
      </w:r>
      <w:r w:rsidRPr="00694ACA">
        <w:rPr>
          <w:rFonts w:cs="Arial"/>
          <w:sz w:val="18"/>
          <w:szCs w:val="18"/>
          <w:lang w:val="ru-RU"/>
        </w:rPr>
        <w:tab/>
      </w:r>
      <w:r w:rsidRPr="00694ACA">
        <w:rPr>
          <w:rFonts w:cs="Arial"/>
          <w:sz w:val="18"/>
          <w:szCs w:val="18"/>
          <w:lang w:val="ru-RU"/>
        </w:rPr>
        <w:tab/>
      </w:r>
      <w:r w:rsidR="00121531" w:rsidRPr="00694ACA">
        <w:rPr>
          <w:rFonts w:cs="Arial"/>
          <w:sz w:val="18"/>
          <w:szCs w:val="18"/>
          <w:lang w:val="ru-RU"/>
        </w:rPr>
        <w:t>Отдел развития потенциала и цифровых навыков МСЭ (ранее HCB</w:t>
      </w:r>
      <w:r w:rsidR="00B1190F" w:rsidRPr="00694ACA">
        <w:rPr>
          <w:rFonts w:cs="Arial"/>
          <w:sz w:val="18"/>
          <w:szCs w:val="18"/>
          <w:lang w:val="ru-RU"/>
        </w:rPr>
        <w:t>D</w:t>
      </w:r>
      <w:r w:rsidR="00121531" w:rsidRPr="00694ACA">
        <w:rPr>
          <w:rFonts w:cs="Arial"/>
          <w:sz w:val="18"/>
          <w:szCs w:val="18"/>
          <w:lang w:val="ru-RU"/>
        </w:rPr>
        <w:t>)</w:t>
      </w:r>
    </w:p>
    <w:p w14:paraId="6D5EB756" w14:textId="6746AF0E" w:rsidR="00700BE8" w:rsidRPr="00694ACA" w:rsidRDefault="00980A5A" w:rsidP="00700BE8">
      <w:pPr>
        <w:spacing w:after="0"/>
        <w:ind w:left="-284" w:right="-472"/>
        <w:rPr>
          <w:rFonts w:cs="Arial"/>
          <w:sz w:val="18"/>
          <w:szCs w:val="18"/>
          <w:lang w:val="ru-RU"/>
        </w:rPr>
      </w:pPr>
      <w:r w:rsidRPr="00694ACA">
        <w:rPr>
          <w:rFonts w:cs="Arial"/>
          <w:sz w:val="18"/>
          <w:szCs w:val="18"/>
          <w:lang w:val="ru-RU"/>
        </w:rPr>
        <w:t>СНГ</w:t>
      </w:r>
      <w:r w:rsidR="00700BE8" w:rsidRPr="00694ACA">
        <w:rPr>
          <w:rFonts w:cs="Arial"/>
          <w:sz w:val="18"/>
          <w:szCs w:val="18"/>
          <w:lang w:val="ru-RU"/>
        </w:rPr>
        <w:tab/>
      </w:r>
      <w:r w:rsidR="00700BE8" w:rsidRPr="00694ACA">
        <w:rPr>
          <w:rFonts w:cs="Arial"/>
          <w:sz w:val="18"/>
          <w:szCs w:val="18"/>
          <w:lang w:val="ru-RU"/>
        </w:rPr>
        <w:tab/>
      </w:r>
      <w:r w:rsidR="00121531" w:rsidRPr="00694ACA">
        <w:rPr>
          <w:rFonts w:cs="Arial"/>
          <w:sz w:val="18"/>
          <w:szCs w:val="18"/>
          <w:lang w:val="ru-RU"/>
        </w:rPr>
        <w:t>Содружество Независимых Государств</w:t>
      </w:r>
    </w:p>
    <w:p w14:paraId="65AC4DA9" w14:textId="030F9774" w:rsidR="00700BE8" w:rsidRPr="00694ACA" w:rsidRDefault="00980A5A" w:rsidP="00700BE8">
      <w:pPr>
        <w:spacing w:after="0"/>
        <w:ind w:left="-284" w:right="-472"/>
        <w:rPr>
          <w:rFonts w:cs="Arial"/>
          <w:sz w:val="18"/>
          <w:szCs w:val="18"/>
          <w:lang w:val="ru-RU"/>
        </w:rPr>
      </w:pPr>
      <w:r w:rsidRPr="00694ACA">
        <w:rPr>
          <w:rFonts w:cs="Arial"/>
          <w:sz w:val="18"/>
          <w:szCs w:val="18"/>
          <w:lang w:val="ru-RU"/>
        </w:rPr>
        <w:t>ЦПМ</w:t>
      </w:r>
      <w:r w:rsidR="00700BE8" w:rsidRPr="00694ACA">
        <w:rPr>
          <w:rFonts w:cs="Arial"/>
          <w:sz w:val="18"/>
          <w:szCs w:val="18"/>
          <w:lang w:val="ru-RU"/>
        </w:rPr>
        <w:tab/>
      </w:r>
      <w:r w:rsidR="00700BE8" w:rsidRPr="00694ACA">
        <w:rPr>
          <w:rFonts w:cs="Arial"/>
          <w:sz w:val="18"/>
          <w:szCs w:val="18"/>
          <w:lang w:val="ru-RU"/>
        </w:rPr>
        <w:tab/>
      </w:r>
      <w:r w:rsidR="00121531" w:rsidRPr="00694ACA">
        <w:rPr>
          <w:rFonts w:cs="Arial"/>
          <w:sz w:val="18"/>
          <w:szCs w:val="18"/>
          <w:lang w:val="ru-RU"/>
        </w:rPr>
        <w:t>Центр профессионального мастерства</w:t>
      </w:r>
    </w:p>
    <w:p w14:paraId="1E2C2A22" w14:textId="02E870F9" w:rsidR="00700BE8" w:rsidRPr="00694ACA" w:rsidRDefault="00980A5A" w:rsidP="00700BE8">
      <w:pPr>
        <w:spacing w:after="0"/>
        <w:ind w:left="-284" w:right="-472"/>
        <w:rPr>
          <w:rFonts w:cs="Arial"/>
          <w:sz w:val="18"/>
          <w:szCs w:val="18"/>
          <w:lang w:val="ru-RU"/>
        </w:rPr>
      </w:pPr>
      <w:r w:rsidRPr="00694ACA">
        <w:rPr>
          <w:rFonts w:eastAsia="Times New Roman" w:cs="Times New Roman"/>
          <w:sz w:val="18"/>
          <w:szCs w:val="18"/>
          <w:lang w:val="ru-RU" w:eastAsia="en-GB"/>
        </w:rPr>
        <w:t>ОЭС</w:t>
      </w:r>
      <w:r w:rsidR="00700BE8" w:rsidRPr="00694ACA">
        <w:rPr>
          <w:rFonts w:eastAsia="Times New Roman" w:cs="Times New Roman"/>
          <w:sz w:val="18"/>
          <w:szCs w:val="18"/>
          <w:lang w:val="ru-RU" w:eastAsia="en-GB"/>
        </w:rPr>
        <w:tab/>
      </w:r>
      <w:r w:rsidR="00700BE8" w:rsidRPr="00694ACA">
        <w:rPr>
          <w:rFonts w:eastAsia="Times New Roman" w:cs="Times New Roman"/>
          <w:sz w:val="18"/>
          <w:szCs w:val="18"/>
          <w:lang w:val="ru-RU" w:eastAsia="en-GB"/>
        </w:rPr>
        <w:tab/>
      </w:r>
      <w:r w:rsidRPr="00694ACA">
        <w:rPr>
          <w:rFonts w:cs="Arial"/>
          <w:sz w:val="18"/>
          <w:szCs w:val="18"/>
          <w:lang w:val="ru-RU"/>
        </w:rPr>
        <w:t>Организация по электросвязи Содружества</w:t>
      </w:r>
    </w:p>
    <w:p w14:paraId="43B79C17" w14:textId="2A42BF79" w:rsidR="00D4535F" w:rsidRPr="00694ACA" w:rsidRDefault="00980A5A" w:rsidP="00700BE8">
      <w:pPr>
        <w:spacing w:after="0"/>
        <w:ind w:left="-284" w:right="-472"/>
        <w:rPr>
          <w:rFonts w:eastAsia="Times New Roman" w:cs="Times New Roman"/>
          <w:sz w:val="18"/>
          <w:szCs w:val="18"/>
          <w:lang w:val="ru-RU" w:eastAsia="en-GB"/>
        </w:rPr>
      </w:pPr>
      <w:r w:rsidRPr="00694ACA">
        <w:rPr>
          <w:rFonts w:eastAsia="Times New Roman" w:cs="Times New Roman"/>
          <w:sz w:val="18"/>
          <w:szCs w:val="18"/>
          <w:lang w:val="ru-RU" w:eastAsia="en-GB"/>
        </w:rPr>
        <w:t>КСЭ</w:t>
      </w:r>
      <w:r w:rsidR="00D4535F" w:rsidRPr="00694ACA">
        <w:rPr>
          <w:rFonts w:eastAsia="Times New Roman" w:cs="Times New Roman"/>
          <w:sz w:val="18"/>
          <w:szCs w:val="18"/>
          <w:lang w:val="ru-RU" w:eastAsia="en-GB"/>
        </w:rPr>
        <w:tab/>
      </w:r>
      <w:r w:rsidR="00D4535F" w:rsidRPr="00694ACA">
        <w:rPr>
          <w:rFonts w:eastAsia="Times New Roman" w:cs="Times New Roman"/>
          <w:sz w:val="18"/>
          <w:szCs w:val="18"/>
          <w:lang w:val="ru-RU" w:eastAsia="en-GB"/>
        </w:rPr>
        <w:tab/>
      </w:r>
      <w:r w:rsidRPr="00694ACA">
        <w:rPr>
          <w:rFonts w:eastAsia="Times New Roman" w:cs="Times New Roman"/>
          <w:sz w:val="18"/>
          <w:szCs w:val="18"/>
          <w:lang w:val="ru-RU" w:eastAsia="en-GB"/>
        </w:rPr>
        <w:t>Карибский союз электросвязи</w:t>
      </w:r>
    </w:p>
    <w:p w14:paraId="1F5916BF" w14:textId="26ABB37F" w:rsidR="00700BE8" w:rsidRPr="00694ACA" w:rsidRDefault="00F458BC" w:rsidP="00700BE8">
      <w:pPr>
        <w:spacing w:after="0"/>
        <w:ind w:left="-284" w:right="-472"/>
        <w:rPr>
          <w:rFonts w:cs="Arial"/>
          <w:sz w:val="18"/>
          <w:szCs w:val="18"/>
          <w:lang w:val="ru-RU"/>
        </w:rPr>
      </w:pPr>
      <w:r w:rsidRPr="00694ACA">
        <w:rPr>
          <w:rFonts w:eastAsia="Times New Roman" w:cs="Arial"/>
          <w:sz w:val="18"/>
          <w:szCs w:val="18"/>
          <w:lang w:val="ru-RU" w:bidi="ne-NP"/>
        </w:rPr>
        <w:t>DTC</w:t>
      </w:r>
      <w:r w:rsidR="00700BE8" w:rsidRPr="00694ACA">
        <w:rPr>
          <w:rFonts w:eastAsia="Times New Roman" w:cs="Arial"/>
          <w:sz w:val="18"/>
          <w:szCs w:val="18"/>
          <w:lang w:val="ru-RU" w:bidi="ne-NP"/>
        </w:rPr>
        <w:tab/>
      </w:r>
      <w:r w:rsidR="00700BE8" w:rsidRPr="00694ACA">
        <w:rPr>
          <w:rFonts w:eastAsia="Times New Roman" w:cs="Arial"/>
          <w:sz w:val="18"/>
          <w:szCs w:val="18"/>
          <w:lang w:val="ru-RU" w:bidi="ne-NP"/>
        </w:rPr>
        <w:tab/>
      </w:r>
      <w:r w:rsidR="00980A5A" w:rsidRPr="00694ACA">
        <w:rPr>
          <w:rFonts w:eastAsia="Times New Roman" w:cs="Arial"/>
          <w:sz w:val="18"/>
          <w:szCs w:val="18"/>
          <w:lang w:val="ru-RU" w:bidi="ne-NP"/>
        </w:rPr>
        <w:t>Центр цифровой трансформации</w:t>
      </w:r>
    </w:p>
    <w:p w14:paraId="37CA604C" w14:textId="03B810B2" w:rsidR="00700BE8" w:rsidRPr="00694ACA" w:rsidRDefault="00700BE8" w:rsidP="00700BE8">
      <w:pPr>
        <w:spacing w:after="0"/>
        <w:ind w:left="-284" w:right="-472"/>
        <w:rPr>
          <w:sz w:val="18"/>
          <w:szCs w:val="18"/>
          <w:lang w:val="ru-RU"/>
        </w:rPr>
      </w:pPr>
      <w:proofErr w:type="spellStart"/>
      <w:r w:rsidRPr="00694ACA">
        <w:rPr>
          <w:sz w:val="18"/>
          <w:szCs w:val="18"/>
          <w:lang w:val="ru-RU"/>
        </w:rPr>
        <w:t>eMCM</w:t>
      </w:r>
      <w:proofErr w:type="spellEnd"/>
      <w:r w:rsidRPr="00694ACA">
        <w:rPr>
          <w:sz w:val="18"/>
          <w:szCs w:val="18"/>
          <w:lang w:val="ru-RU"/>
        </w:rPr>
        <w:tab/>
      </w:r>
      <w:r w:rsidRPr="00694ACA">
        <w:rPr>
          <w:sz w:val="18"/>
          <w:szCs w:val="18"/>
          <w:lang w:val="ru-RU"/>
        </w:rPr>
        <w:tab/>
      </w:r>
      <w:r w:rsidR="00653B7A" w:rsidRPr="00694ACA">
        <w:rPr>
          <w:sz w:val="18"/>
          <w:szCs w:val="18"/>
          <w:lang w:val="ru-RU"/>
        </w:rPr>
        <w:t>О</w:t>
      </w:r>
      <w:r w:rsidR="00980A5A" w:rsidRPr="00694ACA">
        <w:rPr>
          <w:sz w:val="18"/>
          <w:szCs w:val="18"/>
          <w:lang w:val="ru-RU"/>
        </w:rPr>
        <w:t>нлайновая программа обучения для получения степени магистра в сфере управления связью</w:t>
      </w:r>
    </w:p>
    <w:p w14:paraId="69DD2550" w14:textId="47652ECA" w:rsidR="00700BE8" w:rsidRPr="00694ACA" w:rsidRDefault="00980A5A" w:rsidP="00700BE8">
      <w:pPr>
        <w:spacing w:after="0"/>
        <w:ind w:left="-284" w:right="-472"/>
        <w:rPr>
          <w:rFonts w:cs="Arial"/>
          <w:sz w:val="18"/>
          <w:szCs w:val="18"/>
          <w:lang w:val="ru-RU"/>
        </w:rPr>
      </w:pPr>
      <w:r w:rsidRPr="00694ACA">
        <w:rPr>
          <w:rFonts w:cs="Arial"/>
          <w:sz w:val="18"/>
          <w:szCs w:val="18"/>
          <w:lang w:val="ru-RU"/>
        </w:rPr>
        <w:t>ФАО</w:t>
      </w:r>
      <w:r w:rsidR="00700BE8" w:rsidRPr="00694ACA">
        <w:rPr>
          <w:rFonts w:cs="Arial"/>
          <w:sz w:val="18"/>
          <w:szCs w:val="18"/>
          <w:lang w:val="ru-RU"/>
        </w:rPr>
        <w:tab/>
      </w:r>
      <w:r w:rsidR="00700BE8" w:rsidRPr="00694ACA">
        <w:rPr>
          <w:rFonts w:cs="Arial"/>
          <w:sz w:val="18"/>
          <w:szCs w:val="18"/>
          <w:lang w:val="ru-RU"/>
        </w:rPr>
        <w:tab/>
      </w:r>
      <w:r w:rsidRPr="00694ACA">
        <w:rPr>
          <w:rFonts w:cs="Arial"/>
          <w:sz w:val="18"/>
          <w:szCs w:val="18"/>
          <w:lang w:val="ru-RU"/>
        </w:rPr>
        <w:t>Продовольственная и сельскохозяйственная организация</w:t>
      </w:r>
    </w:p>
    <w:p w14:paraId="63ED68DE" w14:textId="34E6F7FE" w:rsidR="00700BE8" w:rsidRPr="00694ACA" w:rsidRDefault="00980A5A" w:rsidP="00700BE8">
      <w:pPr>
        <w:spacing w:after="0"/>
        <w:ind w:left="-284" w:right="-472"/>
        <w:rPr>
          <w:rFonts w:cs="Arial"/>
          <w:sz w:val="18"/>
          <w:szCs w:val="18"/>
          <w:lang w:val="ru-RU"/>
        </w:rPr>
      </w:pPr>
      <w:r w:rsidRPr="00694ACA">
        <w:rPr>
          <w:rFonts w:cs="Arial"/>
          <w:sz w:val="18"/>
          <w:szCs w:val="18"/>
          <w:lang w:val="ru-RU"/>
        </w:rPr>
        <w:t>ФКС</w:t>
      </w:r>
      <w:r w:rsidR="00700BE8" w:rsidRPr="00694ACA">
        <w:rPr>
          <w:rFonts w:cs="Arial"/>
          <w:sz w:val="18"/>
          <w:szCs w:val="18"/>
          <w:lang w:val="ru-RU"/>
        </w:rPr>
        <w:tab/>
      </w:r>
      <w:r w:rsidR="00700BE8" w:rsidRPr="00694ACA">
        <w:rPr>
          <w:rFonts w:cs="Arial"/>
          <w:sz w:val="18"/>
          <w:szCs w:val="18"/>
          <w:lang w:val="ru-RU"/>
        </w:rPr>
        <w:tab/>
      </w:r>
      <w:r w:rsidRPr="00694ACA">
        <w:rPr>
          <w:rFonts w:cs="Arial"/>
          <w:sz w:val="18"/>
          <w:szCs w:val="18"/>
          <w:lang w:val="ru-RU"/>
        </w:rPr>
        <w:t xml:space="preserve">Федеральная комиссия </w:t>
      </w:r>
      <w:r w:rsidR="00F906C2" w:rsidRPr="00694ACA">
        <w:rPr>
          <w:rFonts w:cs="Arial"/>
          <w:sz w:val="18"/>
          <w:szCs w:val="18"/>
          <w:lang w:val="ru-RU"/>
        </w:rPr>
        <w:t xml:space="preserve">по </w:t>
      </w:r>
      <w:r w:rsidRPr="00694ACA">
        <w:rPr>
          <w:rFonts w:cs="Arial"/>
          <w:sz w:val="18"/>
          <w:szCs w:val="18"/>
          <w:lang w:val="ru-RU"/>
        </w:rPr>
        <w:t>связи, Соединенные Штаты Америки</w:t>
      </w:r>
    </w:p>
    <w:p w14:paraId="25DD01B0" w14:textId="57D87D37" w:rsidR="00700BE8" w:rsidRPr="00694ACA" w:rsidRDefault="00700BE8" w:rsidP="00700BE8">
      <w:pPr>
        <w:spacing w:after="0"/>
        <w:ind w:left="-284" w:right="-472"/>
        <w:rPr>
          <w:rFonts w:cs="Arial"/>
          <w:sz w:val="18"/>
          <w:szCs w:val="18"/>
          <w:lang w:val="ru-RU"/>
        </w:rPr>
      </w:pPr>
      <w:r w:rsidRPr="00694ACA">
        <w:rPr>
          <w:rFonts w:cs="Arial"/>
          <w:sz w:val="18"/>
          <w:szCs w:val="18"/>
          <w:lang w:val="ru-RU"/>
        </w:rPr>
        <w:t>FIGI</w:t>
      </w:r>
      <w:r w:rsidRPr="00694ACA">
        <w:rPr>
          <w:rFonts w:cs="Arial"/>
          <w:sz w:val="18"/>
          <w:szCs w:val="18"/>
          <w:lang w:val="ru-RU"/>
        </w:rPr>
        <w:tab/>
      </w:r>
      <w:r w:rsidRPr="00694ACA">
        <w:rPr>
          <w:rFonts w:cs="Arial"/>
          <w:sz w:val="18"/>
          <w:szCs w:val="18"/>
          <w:lang w:val="ru-RU"/>
        </w:rPr>
        <w:tab/>
      </w:r>
      <w:r w:rsidR="009C22CD" w:rsidRPr="00694ACA">
        <w:rPr>
          <w:sz w:val="18"/>
          <w:szCs w:val="18"/>
          <w:lang w:val="ru-RU"/>
        </w:rPr>
        <w:t>Глобальная инициатива по охвату финансовыми услугами</w:t>
      </w:r>
    </w:p>
    <w:p w14:paraId="2A968C23" w14:textId="26C23247" w:rsidR="00700BE8" w:rsidRPr="00694ACA" w:rsidRDefault="00F906C2" w:rsidP="00700BE8">
      <w:pPr>
        <w:spacing w:after="0"/>
        <w:ind w:left="-284" w:right="-472"/>
        <w:rPr>
          <w:rFonts w:cs="Arial"/>
          <w:sz w:val="18"/>
          <w:szCs w:val="18"/>
          <w:lang w:val="ru-RU"/>
        </w:rPr>
      </w:pPr>
      <w:r w:rsidRPr="00694ACA">
        <w:rPr>
          <w:rFonts w:cs="Arial"/>
          <w:sz w:val="18"/>
          <w:szCs w:val="18"/>
          <w:lang w:val="ru-RU"/>
        </w:rPr>
        <w:t>ГИСП</w:t>
      </w:r>
      <w:r w:rsidR="00700BE8" w:rsidRPr="00694ACA">
        <w:rPr>
          <w:rFonts w:cs="Arial"/>
          <w:sz w:val="18"/>
          <w:szCs w:val="18"/>
          <w:lang w:val="ru-RU"/>
        </w:rPr>
        <w:tab/>
      </w:r>
      <w:r w:rsidR="00700BE8" w:rsidRPr="00694ACA">
        <w:rPr>
          <w:rFonts w:cs="Arial"/>
          <w:sz w:val="18"/>
          <w:szCs w:val="18"/>
          <w:lang w:val="ru-RU"/>
        </w:rPr>
        <w:tab/>
      </w:r>
      <w:r w:rsidR="00980A5A" w:rsidRPr="00694ACA">
        <w:rPr>
          <w:rFonts w:cs="Arial"/>
          <w:sz w:val="18"/>
          <w:szCs w:val="18"/>
          <w:lang w:val="ru-RU"/>
        </w:rPr>
        <w:t>Группа по инициативам в области создания потенциала</w:t>
      </w:r>
    </w:p>
    <w:p w14:paraId="6C8AF454" w14:textId="1F7FF399" w:rsidR="00700BE8" w:rsidRPr="00694ACA" w:rsidRDefault="00700BE8" w:rsidP="00700BE8">
      <w:pPr>
        <w:spacing w:after="0"/>
        <w:ind w:left="-284" w:right="-472"/>
        <w:rPr>
          <w:rFonts w:cs="Arial"/>
          <w:sz w:val="18"/>
          <w:szCs w:val="18"/>
          <w:lang w:val="ru-RU"/>
        </w:rPr>
      </w:pPr>
      <w:r w:rsidRPr="00694ACA">
        <w:rPr>
          <w:rFonts w:cs="Arial"/>
          <w:sz w:val="18"/>
          <w:szCs w:val="18"/>
          <w:lang w:val="ru-RU"/>
        </w:rPr>
        <w:t>GEM</w:t>
      </w:r>
      <w:r w:rsidRPr="00694ACA">
        <w:rPr>
          <w:rFonts w:cs="Arial"/>
          <w:sz w:val="18"/>
          <w:szCs w:val="18"/>
          <w:lang w:val="ru-RU"/>
        </w:rPr>
        <w:tab/>
      </w:r>
      <w:r w:rsidRPr="00694ACA">
        <w:rPr>
          <w:rFonts w:cs="Arial"/>
          <w:sz w:val="18"/>
          <w:szCs w:val="18"/>
          <w:lang w:val="ru-RU"/>
        </w:rPr>
        <w:tab/>
      </w:r>
      <w:r w:rsidR="00980A5A" w:rsidRPr="00694ACA">
        <w:rPr>
          <w:rFonts w:cs="Arial"/>
          <w:sz w:val="18"/>
          <w:szCs w:val="18"/>
          <w:lang w:val="ru-RU"/>
        </w:rPr>
        <w:t>Обеспечение гендерного равенства и учета гендерных аспектов</w:t>
      </w:r>
    </w:p>
    <w:p w14:paraId="29CC1DA6" w14:textId="0AB101D6" w:rsidR="00700BE8" w:rsidRPr="00694ACA" w:rsidRDefault="00980A5A" w:rsidP="00700BE8">
      <w:pPr>
        <w:spacing w:after="0"/>
        <w:ind w:left="-284" w:right="-472"/>
        <w:rPr>
          <w:rFonts w:ascii="Times New Roman" w:eastAsia="Times New Roman" w:hAnsi="Times New Roman" w:cs="Times New Roman"/>
          <w:color w:val="auto"/>
          <w:sz w:val="18"/>
          <w:szCs w:val="18"/>
          <w:lang w:val="ru-RU" w:eastAsia="en-GB"/>
        </w:rPr>
      </w:pPr>
      <w:r w:rsidRPr="00694ACA">
        <w:rPr>
          <w:sz w:val="18"/>
          <w:szCs w:val="18"/>
          <w:lang w:val="ru-RU"/>
        </w:rPr>
        <w:t>ГС</w:t>
      </w:r>
      <w:r w:rsidR="00700BE8" w:rsidRPr="00694ACA">
        <w:rPr>
          <w:sz w:val="18"/>
          <w:szCs w:val="18"/>
          <w:lang w:val="ru-RU"/>
        </w:rPr>
        <w:tab/>
      </w:r>
      <w:r w:rsidR="00700BE8" w:rsidRPr="00694ACA">
        <w:rPr>
          <w:sz w:val="18"/>
          <w:szCs w:val="18"/>
          <w:lang w:val="ru-RU"/>
        </w:rPr>
        <w:tab/>
      </w:r>
      <w:r w:rsidR="00700BE8" w:rsidRPr="00694ACA">
        <w:rPr>
          <w:sz w:val="18"/>
          <w:szCs w:val="18"/>
          <w:lang w:val="ru-RU"/>
        </w:rPr>
        <w:tab/>
      </w:r>
      <w:r w:rsidRPr="00694ACA">
        <w:rPr>
          <w:rFonts w:eastAsia="Times New Roman" w:cs="Times New Roman"/>
          <w:sz w:val="18"/>
          <w:szCs w:val="18"/>
          <w:lang w:val="ru-RU" w:eastAsia="en-GB"/>
        </w:rPr>
        <w:t>Генеральный секретариат</w:t>
      </w:r>
    </w:p>
    <w:p w14:paraId="169A28C6" w14:textId="43A02CA2" w:rsidR="00700BE8" w:rsidRPr="00694ACA" w:rsidRDefault="00700BE8" w:rsidP="00700BE8">
      <w:pPr>
        <w:spacing w:after="0"/>
        <w:ind w:left="-284" w:right="-472"/>
        <w:rPr>
          <w:rFonts w:cs="Arial"/>
          <w:sz w:val="18"/>
          <w:szCs w:val="18"/>
          <w:lang w:val="ru-RU"/>
        </w:rPr>
      </w:pPr>
      <w:r w:rsidRPr="00694ACA">
        <w:rPr>
          <w:sz w:val="18"/>
          <w:szCs w:val="18"/>
          <w:lang w:val="ru-RU"/>
        </w:rPr>
        <w:t xml:space="preserve">GSMA </w:t>
      </w:r>
      <w:r w:rsidRPr="00694ACA">
        <w:rPr>
          <w:sz w:val="18"/>
          <w:szCs w:val="18"/>
          <w:lang w:val="ru-RU"/>
        </w:rPr>
        <w:tab/>
      </w:r>
      <w:r w:rsidRPr="00694ACA">
        <w:rPr>
          <w:sz w:val="18"/>
          <w:szCs w:val="18"/>
          <w:lang w:val="ru-RU"/>
        </w:rPr>
        <w:tab/>
      </w:r>
      <w:r w:rsidR="00980A5A" w:rsidRPr="00694ACA">
        <w:rPr>
          <w:sz w:val="18"/>
          <w:szCs w:val="18"/>
          <w:lang w:val="ru-RU"/>
        </w:rPr>
        <w:t>Ассоциация глобальной системы подвижной связи</w:t>
      </w:r>
    </w:p>
    <w:p w14:paraId="331AE1A3" w14:textId="063A873E" w:rsidR="00700BE8" w:rsidRPr="00694ACA" w:rsidRDefault="00700BE8" w:rsidP="002836AB">
      <w:pPr>
        <w:spacing w:after="0"/>
        <w:ind w:left="-284" w:right="-472"/>
        <w:rPr>
          <w:rFonts w:cs="Arial"/>
          <w:sz w:val="18"/>
          <w:szCs w:val="18"/>
          <w:lang w:val="ru-RU"/>
        </w:rPr>
      </w:pPr>
      <w:r w:rsidRPr="00694ACA">
        <w:rPr>
          <w:rFonts w:cs="Arial"/>
          <w:sz w:val="18"/>
          <w:szCs w:val="18"/>
          <w:lang w:val="ru-RU"/>
        </w:rPr>
        <w:t>HCBD</w:t>
      </w:r>
      <w:r w:rsidRPr="00694ACA">
        <w:rPr>
          <w:sz w:val="18"/>
          <w:szCs w:val="18"/>
          <w:lang w:val="ru-RU"/>
        </w:rPr>
        <w:tab/>
      </w:r>
      <w:r w:rsidRPr="00694ACA">
        <w:rPr>
          <w:sz w:val="18"/>
          <w:szCs w:val="18"/>
          <w:lang w:val="ru-RU"/>
        </w:rPr>
        <w:tab/>
      </w:r>
      <w:r w:rsidR="00980A5A" w:rsidRPr="00694ACA">
        <w:rPr>
          <w:sz w:val="18"/>
          <w:szCs w:val="18"/>
          <w:lang w:val="ru-RU"/>
        </w:rPr>
        <w:t>Отдел</w:t>
      </w:r>
      <w:r w:rsidR="00980A5A" w:rsidRPr="00694ACA">
        <w:rPr>
          <w:rFonts w:cs="Arial"/>
          <w:sz w:val="18"/>
          <w:szCs w:val="18"/>
          <w:lang w:val="ru-RU"/>
        </w:rPr>
        <w:t xml:space="preserve"> по вопросам создания человеческого потенциала в составе БРЭ </w:t>
      </w:r>
      <w:r w:rsidRPr="00694ACA">
        <w:rPr>
          <w:rFonts w:cs="Arial"/>
          <w:sz w:val="18"/>
          <w:szCs w:val="18"/>
          <w:lang w:val="ru-RU"/>
        </w:rPr>
        <w:t>(</w:t>
      </w:r>
      <w:r w:rsidR="00980A5A" w:rsidRPr="00694ACA">
        <w:rPr>
          <w:rFonts w:cs="Arial"/>
          <w:sz w:val="18"/>
          <w:szCs w:val="18"/>
          <w:lang w:val="ru-RU"/>
        </w:rPr>
        <w:t>с 2019 года – CSD</w:t>
      </w:r>
      <w:r w:rsidRPr="00694ACA">
        <w:rPr>
          <w:rFonts w:cs="Arial"/>
          <w:sz w:val="18"/>
          <w:szCs w:val="18"/>
          <w:lang w:val="ru-RU"/>
        </w:rPr>
        <w:t>)</w:t>
      </w:r>
    </w:p>
    <w:p w14:paraId="294EFC6A" w14:textId="27D641A6" w:rsidR="00700BE8" w:rsidRPr="00694ACA" w:rsidRDefault="00980A5A" w:rsidP="00700BE8">
      <w:pPr>
        <w:spacing w:after="0"/>
        <w:ind w:left="-284" w:right="-472"/>
        <w:rPr>
          <w:sz w:val="18"/>
          <w:szCs w:val="18"/>
          <w:lang w:val="ru-RU"/>
        </w:rPr>
      </w:pPr>
      <w:r w:rsidRPr="00694ACA">
        <w:rPr>
          <w:sz w:val="18"/>
          <w:szCs w:val="18"/>
          <w:lang w:val="ru-RU"/>
        </w:rPr>
        <w:t>МАБР</w:t>
      </w:r>
      <w:r w:rsidR="00700BE8" w:rsidRPr="00694ACA">
        <w:rPr>
          <w:sz w:val="18"/>
          <w:szCs w:val="18"/>
          <w:lang w:val="ru-RU"/>
        </w:rPr>
        <w:tab/>
      </w:r>
      <w:r w:rsidR="00700BE8" w:rsidRPr="00694ACA">
        <w:rPr>
          <w:sz w:val="18"/>
          <w:szCs w:val="18"/>
          <w:lang w:val="ru-RU"/>
        </w:rPr>
        <w:tab/>
      </w:r>
      <w:r w:rsidRPr="00694ACA">
        <w:rPr>
          <w:sz w:val="18"/>
          <w:szCs w:val="18"/>
          <w:lang w:val="ru-RU"/>
        </w:rPr>
        <w:t>Межамериканский банк развития</w:t>
      </w:r>
    </w:p>
    <w:p w14:paraId="56362BF3" w14:textId="61A132E0" w:rsidR="00700BE8" w:rsidRPr="00694ACA" w:rsidRDefault="00700BE8" w:rsidP="00700BE8">
      <w:pPr>
        <w:spacing w:after="0"/>
        <w:ind w:left="-284" w:right="-472"/>
        <w:rPr>
          <w:rFonts w:eastAsia="Times New Roman" w:cs="Arial"/>
          <w:sz w:val="18"/>
          <w:szCs w:val="18"/>
          <w:lang w:val="ru-RU" w:bidi="ne-NP"/>
        </w:rPr>
      </w:pPr>
      <w:r w:rsidRPr="00694ACA">
        <w:rPr>
          <w:rFonts w:cs="Arial"/>
          <w:sz w:val="18"/>
          <w:szCs w:val="18"/>
          <w:lang w:val="ru-RU"/>
        </w:rPr>
        <w:t>ICANN</w:t>
      </w:r>
      <w:r w:rsidRPr="00694ACA">
        <w:rPr>
          <w:rFonts w:cs="Arial"/>
          <w:sz w:val="18"/>
          <w:szCs w:val="18"/>
          <w:lang w:val="ru-RU"/>
        </w:rPr>
        <w:tab/>
      </w:r>
      <w:r w:rsidRPr="00694ACA">
        <w:rPr>
          <w:rFonts w:cs="Arial"/>
          <w:sz w:val="18"/>
          <w:szCs w:val="18"/>
          <w:lang w:val="ru-RU"/>
        </w:rPr>
        <w:tab/>
      </w:r>
      <w:r w:rsidR="00653B7A" w:rsidRPr="00694ACA">
        <w:rPr>
          <w:rFonts w:eastAsia="Times New Roman" w:cs="Arial"/>
          <w:sz w:val="18"/>
          <w:szCs w:val="18"/>
          <w:lang w:val="ru-RU" w:bidi="ne-NP"/>
        </w:rPr>
        <w:t>Корпорация Интернет по присваиванию наименований и номеров</w:t>
      </w:r>
    </w:p>
    <w:p w14:paraId="7740E104" w14:textId="0029B6B6" w:rsidR="00700BE8" w:rsidRPr="00694ACA" w:rsidRDefault="00653B7A" w:rsidP="00700BE8">
      <w:pPr>
        <w:spacing w:after="0"/>
        <w:ind w:left="-284" w:right="-472"/>
        <w:rPr>
          <w:sz w:val="18"/>
          <w:szCs w:val="18"/>
          <w:lang w:val="ru-RU"/>
        </w:rPr>
      </w:pPr>
      <w:r w:rsidRPr="00694ACA">
        <w:rPr>
          <w:sz w:val="18"/>
          <w:szCs w:val="18"/>
          <w:lang w:val="ru-RU"/>
        </w:rPr>
        <w:t>ИКАО</w:t>
      </w:r>
      <w:r w:rsidR="00700BE8" w:rsidRPr="00694ACA">
        <w:rPr>
          <w:sz w:val="18"/>
          <w:szCs w:val="18"/>
          <w:lang w:val="ru-RU"/>
        </w:rPr>
        <w:tab/>
      </w:r>
      <w:r w:rsidR="00700BE8" w:rsidRPr="00694ACA">
        <w:rPr>
          <w:sz w:val="18"/>
          <w:szCs w:val="18"/>
          <w:lang w:val="ru-RU"/>
        </w:rPr>
        <w:tab/>
      </w:r>
      <w:r w:rsidRPr="00694ACA">
        <w:rPr>
          <w:sz w:val="18"/>
          <w:szCs w:val="18"/>
          <w:lang w:val="ru-RU"/>
        </w:rPr>
        <w:t>Международная организация гражданской авиации</w:t>
      </w:r>
    </w:p>
    <w:p w14:paraId="0F054B32" w14:textId="5B5316D8" w:rsidR="00700BE8" w:rsidRPr="00694ACA" w:rsidRDefault="00700BE8" w:rsidP="00700BE8">
      <w:pPr>
        <w:spacing w:after="0"/>
        <w:ind w:left="-284" w:right="-472"/>
        <w:rPr>
          <w:sz w:val="18"/>
          <w:szCs w:val="18"/>
          <w:lang w:val="ru-RU"/>
        </w:rPr>
      </w:pPr>
      <w:r w:rsidRPr="00694ACA">
        <w:rPr>
          <w:sz w:val="18"/>
          <w:szCs w:val="18"/>
          <w:lang w:val="ru-RU"/>
        </w:rPr>
        <w:t>ICDL</w:t>
      </w:r>
      <w:r w:rsidRPr="00694ACA">
        <w:rPr>
          <w:sz w:val="18"/>
          <w:szCs w:val="18"/>
          <w:lang w:val="ru-RU"/>
        </w:rPr>
        <w:tab/>
      </w:r>
      <w:r w:rsidRPr="00694ACA">
        <w:rPr>
          <w:sz w:val="18"/>
          <w:szCs w:val="18"/>
          <w:lang w:val="ru-RU"/>
        </w:rPr>
        <w:tab/>
      </w:r>
      <w:r w:rsidR="00653B7A" w:rsidRPr="00694ACA">
        <w:rPr>
          <w:sz w:val="18"/>
          <w:szCs w:val="18"/>
          <w:lang w:val="ru-RU"/>
        </w:rPr>
        <w:t>Международные компьютерные права</w:t>
      </w:r>
    </w:p>
    <w:p w14:paraId="592270A3" w14:textId="3C03F559" w:rsidR="00700BE8" w:rsidRPr="00694ACA" w:rsidRDefault="00700BE8" w:rsidP="00700BE8">
      <w:pPr>
        <w:spacing w:after="0"/>
        <w:ind w:left="-284" w:right="-472"/>
        <w:rPr>
          <w:rFonts w:cs="Arial"/>
          <w:sz w:val="18"/>
          <w:szCs w:val="18"/>
          <w:lang w:val="ru-RU"/>
        </w:rPr>
      </w:pPr>
      <w:r w:rsidRPr="00694ACA">
        <w:rPr>
          <w:sz w:val="18"/>
          <w:szCs w:val="18"/>
          <w:lang w:val="ru-RU"/>
        </w:rPr>
        <w:t>I-CODI</w:t>
      </w:r>
      <w:r w:rsidRPr="00694ACA">
        <w:rPr>
          <w:sz w:val="18"/>
          <w:szCs w:val="18"/>
          <w:lang w:val="ru-RU"/>
        </w:rPr>
        <w:tab/>
      </w:r>
      <w:r w:rsidRPr="00694ACA">
        <w:rPr>
          <w:sz w:val="18"/>
          <w:szCs w:val="18"/>
          <w:lang w:val="ru-RU"/>
        </w:rPr>
        <w:tab/>
      </w:r>
      <w:r w:rsidR="00653B7A" w:rsidRPr="00694ACA">
        <w:rPr>
          <w:sz w:val="18"/>
          <w:szCs w:val="18"/>
          <w:lang w:val="ru-RU"/>
        </w:rPr>
        <w:t>Международн</w:t>
      </w:r>
      <w:r w:rsidR="009A79C5" w:rsidRPr="00694ACA">
        <w:rPr>
          <w:sz w:val="18"/>
          <w:szCs w:val="18"/>
          <w:lang w:val="ru-RU"/>
        </w:rPr>
        <w:t>ый</w:t>
      </w:r>
      <w:r w:rsidR="00653B7A" w:rsidRPr="00694ACA">
        <w:rPr>
          <w:sz w:val="18"/>
          <w:szCs w:val="18"/>
          <w:lang w:val="ru-RU"/>
        </w:rPr>
        <w:t xml:space="preserve"> центр цифровых инноваций</w:t>
      </w:r>
      <w:r w:rsidRPr="00694ACA">
        <w:rPr>
          <w:sz w:val="18"/>
          <w:szCs w:val="18"/>
          <w:lang w:val="ru-RU"/>
        </w:rPr>
        <w:t xml:space="preserve"> </w:t>
      </w:r>
    </w:p>
    <w:p w14:paraId="19481541" w14:textId="262536B3" w:rsidR="00700BE8" w:rsidRPr="00694ACA" w:rsidRDefault="00653B7A" w:rsidP="00700BE8">
      <w:pPr>
        <w:spacing w:after="0"/>
        <w:ind w:left="-284" w:right="-472"/>
        <w:rPr>
          <w:sz w:val="18"/>
          <w:szCs w:val="18"/>
          <w:lang w:val="ru-RU"/>
        </w:rPr>
      </w:pPr>
      <w:r w:rsidRPr="00694ACA">
        <w:rPr>
          <w:sz w:val="18"/>
          <w:szCs w:val="18"/>
          <w:lang w:val="ru-RU"/>
        </w:rPr>
        <w:t>МЦТФ</w:t>
      </w:r>
      <w:r w:rsidR="00700BE8" w:rsidRPr="00694ACA">
        <w:rPr>
          <w:sz w:val="18"/>
          <w:szCs w:val="18"/>
          <w:lang w:val="ru-RU"/>
        </w:rPr>
        <w:tab/>
      </w:r>
      <w:r w:rsidR="00700BE8" w:rsidRPr="00694ACA">
        <w:rPr>
          <w:sz w:val="18"/>
          <w:szCs w:val="18"/>
          <w:lang w:val="ru-RU"/>
        </w:rPr>
        <w:tab/>
      </w:r>
      <w:r w:rsidRPr="00694ACA">
        <w:rPr>
          <w:sz w:val="18"/>
          <w:szCs w:val="18"/>
          <w:lang w:val="ru-RU"/>
        </w:rPr>
        <w:t>Международный центр теоретической физики</w:t>
      </w:r>
    </w:p>
    <w:p w14:paraId="7D6411A3" w14:textId="7CB036B5" w:rsidR="00700BE8" w:rsidRPr="00694ACA" w:rsidRDefault="00700BE8" w:rsidP="00700BE8">
      <w:pPr>
        <w:spacing w:after="0"/>
        <w:ind w:left="-284" w:right="-472"/>
        <w:rPr>
          <w:rFonts w:cs="Arial"/>
          <w:sz w:val="18"/>
          <w:szCs w:val="18"/>
          <w:lang w:val="ru-RU"/>
        </w:rPr>
      </w:pPr>
      <w:r w:rsidRPr="00694ACA">
        <w:rPr>
          <w:rFonts w:cs="Arial"/>
          <w:sz w:val="18"/>
          <w:szCs w:val="18"/>
          <w:lang w:val="ru-RU"/>
        </w:rPr>
        <w:t>IEEE</w:t>
      </w:r>
      <w:r w:rsidRPr="00694ACA">
        <w:rPr>
          <w:rFonts w:cs="Arial"/>
          <w:sz w:val="18"/>
          <w:szCs w:val="18"/>
          <w:lang w:val="ru-RU"/>
        </w:rPr>
        <w:tab/>
      </w:r>
      <w:r w:rsidRPr="00694ACA">
        <w:rPr>
          <w:rFonts w:cs="Arial"/>
          <w:sz w:val="18"/>
          <w:szCs w:val="18"/>
          <w:lang w:val="ru-RU"/>
        </w:rPr>
        <w:tab/>
      </w:r>
      <w:r w:rsidR="00653B7A" w:rsidRPr="00694ACA">
        <w:rPr>
          <w:rFonts w:cs="Arial"/>
          <w:sz w:val="18"/>
          <w:szCs w:val="18"/>
          <w:lang w:val="ru-RU"/>
        </w:rPr>
        <w:t>Институт инженеров по электротехнике и радиоэлектронике</w:t>
      </w:r>
    </w:p>
    <w:p w14:paraId="03058ECF" w14:textId="51EA721D" w:rsidR="00700BE8" w:rsidRPr="00694ACA" w:rsidRDefault="00700BE8" w:rsidP="00700BE8">
      <w:pPr>
        <w:spacing w:after="0"/>
        <w:ind w:left="-284" w:right="-472"/>
        <w:rPr>
          <w:sz w:val="18"/>
          <w:szCs w:val="18"/>
          <w:lang w:val="ru-RU"/>
        </w:rPr>
      </w:pPr>
      <w:r w:rsidRPr="00694ACA">
        <w:rPr>
          <w:sz w:val="18"/>
          <w:szCs w:val="18"/>
          <w:lang w:val="ru-RU"/>
        </w:rPr>
        <w:lastRenderedPageBreak/>
        <w:t>IIDE</w:t>
      </w:r>
      <w:r w:rsidRPr="00694ACA">
        <w:rPr>
          <w:sz w:val="18"/>
          <w:szCs w:val="18"/>
          <w:lang w:val="ru-RU"/>
        </w:rPr>
        <w:tab/>
      </w:r>
      <w:r w:rsidRPr="00694ACA">
        <w:rPr>
          <w:sz w:val="18"/>
          <w:szCs w:val="18"/>
          <w:lang w:val="ru-RU"/>
        </w:rPr>
        <w:tab/>
      </w:r>
      <w:r w:rsidR="00653B7A" w:rsidRPr="00694ACA">
        <w:rPr>
          <w:sz w:val="18"/>
          <w:szCs w:val="18"/>
          <w:lang w:val="ru-RU"/>
        </w:rPr>
        <w:t>Индийский институт цифрового образования</w:t>
      </w:r>
    </w:p>
    <w:p w14:paraId="07444098" w14:textId="3529F6AB" w:rsidR="00700BE8" w:rsidRPr="00694ACA" w:rsidRDefault="00653B7A" w:rsidP="00700BE8">
      <w:pPr>
        <w:spacing w:after="0"/>
        <w:ind w:left="-284" w:right="-472"/>
        <w:rPr>
          <w:sz w:val="18"/>
          <w:szCs w:val="18"/>
          <w:lang w:val="ru-RU"/>
        </w:rPr>
      </w:pPr>
      <w:r w:rsidRPr="00694ACA">
        <w:rPr>
          <w:sz w:val="18"/>
          <w:szCs w:val="18"/>
          <w:lang w:val="ru-RU"/>
        </w:rPr>
        <w:t>МОТ</w:t>
      </w:r>
      <w:r w:rsidR="00700BE8" w:rsidRPr="00694ACA">
        <w:rPr>
          <w:sz w:val="18"/>
          <w:szCs w:val="18"/>
          <w:lang w:val="ru-RU"/>
        </w:rPr>
        <w:tab/>
      </w:r>
      <w:r w:rsidR="00700BE8" w:rsidRPr="00694ACA">
        <w:rPr>
          <w:sz w:val="18"/>
          <w:szCs w:val="18"/>
          <w:lang w:val="ru-RU"/>
        </w:rPr>
        <w:tab/>
      </w:r>
      <w:r w:rsidRPr="00694ACA">
        <w:rPr>
          <w:sz w:val="18"/>
          <w:szCs w:val="18"/>
          <w:lang w:val="ru-RU"/>
        </w:rPr>
        <w:t>Международн</w:t>
      </w:r>
      <w:r w:rsidR="0053731A" w:rsidRPr="00694ACA">
        <w:rPr>
          <w:sz w:val="18"/>
          <w:szCs w:val="18"/>
          <w:lang w:val="ru-RU"/>
        </w:rPr>
        <w:t>ая</w:t>
      </w:r>
      <w:r w:rsidRPr="00694ACA">
        <w:rPr>
          <w:sz w:val="18"/>
          <w:szCs w:val="18"/>
          <w:lang w:val="ru-RU"/>
        </w:rPr>
        <w:t xml:space="preserve"> организаци</w:t>
      </w:r>
      <w:r w:rsidR="0053731A" w:rsidRPr="00694ACA">
        <w:rPr>
          <w:sz w:val="18"/>
          <w:szCs w:val="18"/>
          <w:lang w:val="ru-RU"/>
        </w:rPr>
        <w:t>я</w:t>
      </w:r>
      <w:r w:rsidRPr="00694ACA">
        <w:rPr>
          <w:sz w:val="18"/>
          <w:szCs w:val="18"/>
          <w:lang w:val="ru-RU"/>
        </w:rPr>
        <w:t xml:space="preserve"> труда</w:t>
      </w:r>
    </w:p>
    <w:p w14:paraId="606EACD5" w14:textId="104DA1FC" w:rsidR="00700BE8" w:rsidRPr="00694ACA" w:rsidRDefault="00700BE8" w:rsidP="00700BE8">
      <w:pPr>
        <w:spacing w:after="0"/>
        <w:ind w:left="-284" w:right="-472"/>
        <w:rPr>
          <w:sz w:val="18"/>
          <w:szCs w:val="18"/>
          <w:lang w:val="ru-RU"/>
        </w:rPr>
      </w:pPr>
      <w:proofErr w:type="spellStart"/>
      <w:r w:rsidRPr="00694ACA">
        <w:rPr>
          <w:sz w:val="18"/>
          <w:szCs w:val="18"/>
          <w:lang w:val="ru-RU"/>
        </w:rPr>
        <w:t>IoTTP</w:t>
      </w:r>
      <w:proofErr w:type="spellEnd"/>
      <w:r w:rsidRPr="00694ACA">
        <w:rPr>
          <w:sz w:val="18"/>
          <w:szCs w:val="18"/>
          <w:lang w:val="ru-RU"/>
        </w:rPr>
        <w:tab/>
      </w:r>
      <w:r w:rsidRPr="00694ACA">
        <w:rPr>
          <w:sz w:val="18"/>
          <w:szCs w:val="18"/>
          <w:lang w:val="ru-RU"/>
        </w:rPr>
        <w:tab/>
      </w:r>
      <w:r w:rsidR="00653B7A" w:rsidRPr="00694ACA">
        <w:rPr>
          <w:sz w:val="18"/>
          <w:szCs w:val="18"/>
          <w:lang w:val="ru-RU"/>
        </w:rPr>
        <w:t xml:space="preserve">Программа </w:t>
      </w:r>
      <w:r w:rsidR="001E2CBF" w:rsidRPr="00694ACA">
        <w:rPr>
          <w:sz w:val="18"/>
          <w:szCs w:val="18"/>
          <w:lang w:val="ru-RU"/>
        </w:rPr>
        <w:t xml:space="preserve">профессиональной </w:t>
      </w:r>
      <w:r w:rsidR="00653B7A" w:rsidRPr="00694ACA">
        <w:rPr>
          <w:sz w:val="18"/>
          <w:szCs w:val="18"/>
          <w:lang w:val="ru-RU"/>
        </w:rPr>
        <w:t xml:space="preserve">подготовки </w:t>
      </w:r>
      <w:r w:rsidR="001E2CBF" w:rsidRPr="00694ACA">
        <w:rPr>
          <w:sz w:val="18"/>
          <w:szCs w:val="18"/>
          <w:lang w:val="ru-RU"/>
        </w:rPr>
        <w:t>в области и</w:t>
      </w:r>
      <w:r w:rsidR="00653B7A" w:rsidRPr="00694ACA">
        <w:rPr>
          <w:sz w:val="18"/>
          <w:szCs w:val="18"/>
          <w:lang w:val="ru-RU"/>
        </w:rPr>
        <w:t>нтернет</w:t>
      </w:r>
      <w:r w:rsidR="001E2CBF" w:rsidRPr="00694ACA">
        <w:rPr>
          <w:sz w:val="18"/>
          <w:szCs w:val="18"/>
          <w:lang w:val="ru-RU"/>
        </w:rPr>
        <w:t>а</w:t>
      </w:r>
      <w:r w:rsidR="00653B7A" w:rsidRPr="00694ACA">
        <w:rPr>
          <w:sz w:val="18"/>
          <w:szCs w:val="18"/>
          <w:lang w:val="ru-RU"/>
        </w:rPr>
        <w:t xml:space="preserve"> вещей</w:t>
      </w:r>
    </w:p>
    <w:p w14:paraId="10E95F42" w14:textId="6C64DB92" w:rsidR="00700BE8" w:rsidRPr="00694ACA" w:rsidRDefault="00653B7A" w:rsidP="00700BE8">
      <w:pPr>
        <w:spacing w:after="0"/>
        <w:ind w:left="-284" w:right="-472"/>
        <w:rPr>
          <w:sz w:val="18"/>
          <w:szCs w:val="18"/>
          <w:lang w:val="ru-RU"/>
        </w:rPr>
      </w:pPr>
      <w:r w:rsidRPr="00694ACA">
        <w:rPr>
          <w:sz w:val="18"/>
          <w:szCs w:val="18"/>
          <w:lang w:val="ru-RU"/>
        </w:rPr>
        <w:t>ИБР</w:t>
      </w:r>
      <w:r w:rsidR="00700BE8" w:rsidRPr="00694ACA">
        <w:rPr>
          <w:sz w:val="18"/>
          <w:szCs w:val="18"/>
          <w:lang w:val="ru-RU"/>
        </w:rPr>
        <w:tab/>
      </w:r>
      <w:r w:rsidR="00700BE8" w:rsidRPr="00694ACA">
        <w:rPr>
          <w:sz w:val="18"/>
          <w:szCs w:val="18"/>
          <w:lang w:val="ru-RU"/>
        </w:rPr>
        <w:tab/>
      </w:r>
      <w:r w:rsidRPr="00694ACA">
        <w:rPr>
          <w:sz w:val="18"/>
          <w:szCs w:val="18"/>
          <w:lang w:val="ru-RU"/>
        </w:rPr>
        <w:t xml:space="preserve">Исламский банк развития </w:t>
      </w:r>
    </w:p>
    <w:p w14:paraId="63F82324" w14:textId="595246EF" w:rsidR="00700BE8" w:rsidRPr="00694ACA" w:rsidRDefault="00653B7A" w:rsidP="002836AB">
      <w:pPr>
        <w:spacing w:after="0"/>
        <w:ind w:left="-284" w:right="-472"/>
        <w:rPr>
          <w:rFonts w:cs="Arial"/>
          <w:sz w:val="18"/>
          <w:szCs w:val="18"/>
          <w:lang w:val="ru-RU"/>
        </w:rPr>
      </w:pPr>
      <w:r w:rsidRPr="00694ACA">
        <w:rPr>
          <w:rFonts w:cs="Arial"/>
          <w:sz w:val="18"/>
          <w:szCs w:val="18"/>
          <w:lang w:val="ru-RU"/>
        </w:rPr>
        <w:t>ИСО</w:t>
      </w:r>
      <w:r w:rsidR="00700BE8" w:rsidRPr="00694ACA">
        <w:rPr>
          <w:rFonts w:cs="Arial"/>
          <w:sz w:val="18"/>
          <w:szCs w:val="18"/>
          <w:lang w:val="ru-RU"/>
        </w:rPr>
        <w:tab/>
      </w:r>
      <w:r w:rsidR="00700BE8" w:rsidRPr="00694ACA">
        <w:rPr>
          <w:rFonts w:cs="Arial"/>
          <w:sz w:val="18"/>
          <w:szCs w:val="18"/>
          <w:lang w:val="ru-RU"/>
        </w:rPr>
        <w:tab/>
      </w:r>
      <w:r w:rsidRPr="00694ACA">
        <w:rPr>
          <w:sz w:val="18"/>
          <w:szCs w:val="18"/>
          <w:lang w:val="ru-RU"/>
        </w:rPr>
        <w:t>Международная организация по стандартизации</w:t>
      </w:r>
    </w:p>
    <w:p w14:paraId="416916D0" w14:textId="5FD1900B" w:rsidR="00700BE8" w:rsidRPr="00694ACA" w:rsidRDefault="00700BE8" w:rsidP="00700BE8">
      <w:pPr>
        <w:spacing w:after="0"/>
        <w:ind w:left="-284" w:right="-472"/>
        <w:rPr>
          <w:rFonts w:cs="Arial"/>
          <w:sz w:val="18"/>
          <w:szCs w:val="18"/>
          <w:lang w:val="ru-RU"/>
        </w:rPr>
      </w:pPr>
      <w:r w:rsidRPr="00694ACA">
        <w:rPr>
          <w:rFonts w:cs="Arial"/>
          <w:sz w:val="18"/>
          <w:szCs w:val="18"/>
          <w:lang w:val="ru-RU"/>
        </w:rPr>
        <w:t>ITAN</w:t>
      </w:r>
      <w:r w:rsidRPr="00694ACA">
        <w:rPr>
          <w:rFonts w:cs="Arial"/>
          <w:sz w:val="18"/>
          <w:szCs w:val="18"/>
          <w:lang w:val="ru-RU"/>
        </w:rPr>
        <w:tab/>
      </w:r>
      <w:r w:rsidRPr="00694ACA">
        <w:rPr>
          <w:rFonts w:cs="Arial"/>
          <w:sz w:val="18"/>
          <w:szCs w:val="18"/>
          <w:lang w:val="ru-RU"/>
        </w:rPr>
        <w:tab/>
      </w:r>
      <w:r w:rsidR="00653B7A" w:rsidRPr="00694ACA">
        <w:rPr>
          <w:rFonts w:cs="Arial"/>
          <w:sz w:val="18"/>
          <w:szCs w:val="18"/>
          <w:lang w:val="ru-RU"/>
        </w:rPr>
        <w:t>Ассоциация информационных технологий Нигерии</w:t>
      </w:r>
    </w:p>
    <w:p w14:paraId="779CF144" w14:textId="61742206" w:rsidR="00700BE8" w:rsidRPr="00694ACA" w:rsidRDefault="00700BE8" w:rsidP="00700BE8">
      <w:pPr>
        <w:spacing w:after="0"/>
        <w:ind w:left="-284" w:right="-472"/>
        <w:rPr>
          <w:rFonts w:cs="Arial"/>
          <w:sz w:val="18"/>
          <w:szCs w:val="18"/>
          <w:lang w:val="ru-RU"/>
        </w:rPr>
      </w:pPr>
      <w:r w:rsidRPr="00694ACA">
        <w:rPr>
          <w:rFonts w:cs="Arial"/>
          <w:sz w:val="18"/>
          <w:szCs w:val="18"/>
          <w:lang w:val="ru-RU"/>
        </w:rPr>
        <w:t xml:space="preserve">ITC </w:t>
      </w:r>
      <w:r w:rsidRPr="00694ACA">
        <w:rPr>
          <w:rFonts w:cs="Arial"/>
          <w:sz w:val="18"/>
          <w:szCs w:val="18"/>
          <w:lang w:val="ru-RU"/>
        </w:rPr>
        <w:tab/>
      </w:r>
      <w:r w:rsidRPr="00694ACA">
        <w:rPr>
          <w:rFonts w:cs="Arial"/>
          <w:sz w:val="18"/>
          <w:szCs w:val="18"/>
          <w:lang w:val="ru-RU"/>
        </w:rPr>
        <w:tab/>
      </w:r>
      <w:r w:rsidR="00653B7A" w:rsidRPr="00694ACA">
        <w:rPr>
          <w:rFonts w:cs="Arial"/>
          <w:sz w:val="18"/>
          <w:szCs w:val="18"/>
          <w:lang w:val="ru-RU"/>
        </w:rPr>
        <w:t>Центры подготовки на базе интернета</w:t>
      </w:r>
    </w:p>
    <w:p w14:paraId="5AE0B763" w14:textId="726D3A45" w:rsidR="00700BE8" w:rsidRPr="00694ACA" w:rsidRDefault="00653B7A" w:rsidP="00700BE8">
      <w:pPr>
        <w:spacing w:after="0"/>
        <w:ind w:left="-284" w:right="-472"/>
        <w:rPr>
          <w:sz w:val="18"/>
          <w:szCs w:val="18"/>
          <w:lang w:val="ru-RU"/>
        </w:rPr>
      </w:pPr>
      <w:r w:rsidRPr="00694ACA">
        <w:rPr>
          <w:sz w:val="18"/>
          <w:szCs w:val="18"/>
          <w:lang w:val="ru-RU"/>
        </w:rPr>
        <w:t>М</w:t>
      </w:r>
      <w:r w:rsidR="00F458BC" w:rsidRPr="00694ACA">
        <w:rPr>
          <w:sz w:val="18"/>
          <w:szCs w:val="18"/>
          <w:lang w:val="ru-RU"/>
        </w:rPr>
        <w:t>У</w:t>
      </w:r>
      <w:r w:rsidR="00570041" w:rsidRPr="00694ACA">
        <w:rPr>
          <w:sz w:val="18"/>
          <w:szCs w:val="18"/>
          <w:lang w:val="ru-RU"/>
        </w:rPr>
        <w:t>Ц</w:t>
      </w:r>
      <w:r w:rsidRPr="00694ACA">
        <w:rPr>
          <w:sz w:val="18"/>
          <w:szCs w:val="18"/>
          <w:lang w:val="ru-RU"/>
        </w:rPr>
        <w:t xml:space="preserve"> МОТ</w:t>
      </w:r>
      <w:r w:rsidR="00700BE8" w:rsidRPr="00694ACA">
        <w:rPr>
          <w:sz w:val="18"/>
          <w:szCs w:val="18"/>
          <w:lang w:val="ru-RU"/>
        </w:rPr>
        <w:tab/>
      </w:r>
      <w:r w:rsidR="00700BE8" w:rsidRPr="00694ACA">
        <w:rPr>
          <w:sz w:val="18"/>
          <w:szCs w:val="18"/>
          <w:lang w:val="ru-RU"/>
        </w:rPr>
        <w:tab/>
      </w:r>
      <w:r w:rsidRPr="00694ACA">
        <w:rPr>
          <w:sz w:val="18"/>
          <w:szCs w:val="18"/>
          <w:lang w:val="ru-RU"/>
        </w:rPr>
        <w:t xml:space="preserve">Международный </w:t>
      </w:r>
      <w:r w:rsidR="00F458BC" w:rsidRPr="00694ACA">
        <w:rPr>
          <w:sz w:val="18"/>
          <w:szCs w:val="18"/>
          <w:lang w:val="ru-RU"/>
        </w:rPr>
        <w:t xml:space="preserve">учебный </w:t>
      </w:r>
      <w:r w:rsidRPr="00694ACA">
        <w:rPr>
          <w:sz w:val="18"/>
          <w:szCs w:val="18"/>
          <w:lang w:val="ru-RU"/>
        </w:rPr>
        <w:t>центр МОТ</w:t>
      </w:r>
    </w:p>
    <w:p w14:paraId="79E82A34" w14:textId="1AA98E69" w:rsidR="00700BE8" w:rsidRPr="00694ACA" w:rsidRDefault="00653B7A" w:rsidP="00700BE8">
      <w:pPr>
        <w:spacing w:after="0"/>
        <w:ind w:left="-284" w:right="-472"/>
        <w:rPr>
          <w:rFonts w:cs="Arial"/>
          <w:sz w:val="18"/>
          <w:szCs w:val="18"/>
          <w:lang w:val="ru-RU"/>
        </w:rPr>
      </w:pPr>
      <w:r w:rsidRPr="00694ACA">
        <w:rPr>
          <w:rFonts w:cs="Arial"/>
          <w:sz w:val="18"/>
          <w:szCs w:val="18"/>
          <w:lang w:val="ru-RU"/>
        </w:rPr>
        <w:t>ОИГ</w:t>
      </w:r>
      <w:r w:rsidR="00700BE8" w:rsidRPr="00694ACA">
        <w:rPr>
          <w:rFonts w:cs="Arial"/>
          <w:sz w:val="18"/>
          <w:szCs w:val="18"/>
          <w:lang w:val="ru-RU"/>
        </w:rPr>
        <w:t xml:space="preserve"> </w:t>
      </w:r>
      <w:r w:rsidR="00700BE8" w:rsidRPr="00694ACA">
        <w:rPr>
          <w:rFonts w:cs="Arial"/>
          <w:sz w:val="18"/>
          <w:szCs w:val="18"/>
          <w:lang w:val="ru-RU"/>
        </w:rPr>
        <w:tab/>
      </w:r>
      <w:r w:rsidR="00700BE8" w:rsidRPr="00694ACA">
        <w:rPr>
          <w:rFonts w:cs="Arial"/>
          <w:sz w:val="18"/>
          <w:szCs w:val="18"/>
          <w:lang w:val="ru-RU"/>
        </w:rPr>
        <w:tab/>
      </w:r>
      <w:r w:rsidRPr="00694ACA">
        <w:rPr>
          <w:rFonts w:cs="Arial"/>
          <w:sz w:val="18"/>
          <w:szCs w:val="18"/>
          <w:lang w:val="ru-RU"/>
        </w:rPr>
        <w:t>Объединенная инспекционная группа</w:t>
      </w:r>
    </w:p>
    <w:p w14:paraId="5AA7F38B" w14:textId="75C917FA" w:rsidR="00700BE8" w:rsidRPr="00694ACA" w:rsidRDefault="00700BE8" w:rsidP="00700BE8">
      <w:pPr>
        <w:spacing w:after="0"/>
        <w:ind w:left="-284" w:right="-472"/>
        <w:rPr>
          <w:rFonts w:cs="Arial"/>
          <w:sz w:val="18"/>
          <w:szCs w:val="18"/>
          <w:lang w:val="ru-RU"/>
        </w:rPr>
      </w:pPr>
      <w:r w:rsidRPr="00694ACA">
        <w:rPr>
          <w:rFonts w:cs="Arial"/>
          <w:sz w:val="18"/>
          <w:szCs w:val="18"/>
          <w:lang w:val="ru-RU"/>
        </w:rPr>
        <w:t xml:space="preserve">L&amp;D </w:t>
      </w:r>
      <w:r w:rsidRPr="00694ACA">
        <w:rPr>
          <w:rFonts w:cs="Arial"/>
          <w:sz w:val="18"/>
          <w:szCs w:val="18"/>
          <w:lang w:val="ru-RU"/>
        </w:rPr>
        <w:tab/>
      </w:r>
      <w:r w:rsidRPr="00694ACA">
        <w:rPr>
          <w:rFonts w:cs="Arial"/>
          <w:sz w:val="18"/>
          <w:szCs w:val="18"/>
          <w:lang w:val="ru-RU"/>
        </w:rPr>
        <w:tab/>
      </w:r>
      <w:r w:rsidR="00653B7A" w:rsidRPr="00694ACA">
        <w:rPr>
          <w:rFonts w:cs="Arial"/>
          <w:sz w:val="18"/>
          <w:szCs w:val="18"/>
          <w:lang w:val="ru-RU"/>
        </w:rPr>
        <w:t>О</w:t>
      </w:r>
      <w:r w:rsidR="00CC5123" w:rsidRPr="00694ACA">
        <w:rPr>
          <w:rFonts w:cs="Arial"/>
          <w:sz w:val="18"/>
          <w:szCs w:val="18"/>
          <w:lang w:val="ru-RU"/>
        </w:rPr>
        <w:t>бучение и развитие (обычно примен</w:t>
      </w:r>
      <w:r w:rsidR="00653B7A" w:rsidRPr="00694ACA">
        <w:rPr>
          <w:rFonts w:cs="Arial"/>
          <w:sz w:val="18"/>
          <w:szCs w:val="18"/>
          <w:lang w:val="ru-RU"/>
        </w:rPr>
        <w:t>яется</w:t>
      </w:r>
      <w:r w:rsidR="00CC5123" w:rsidRPr="00694ACA">
        <w:rPr>
          <w:rFonts w:cs="Arial"/>
          <w:sz w:val="18"/>
          <w:szCs w:val="18"/>
          <w:lang w:val="ru-RU"/>
        </w:rPr>
        <w:t xml:space="preserve"> к внутренним мероприятиям)</w:t>
      </w:r>
    </w:p>
    <w:p w14:paraId="7836EFA3" w14:textId="3EA9B6C0" w:rsidR="00700BE8" w:rsidRPr="00694ACA" w:rsidRDefault="00700BE8" w:rsidP="00700BE8">
      <w:pPr>
        <w:spacing w:after="0"/>
        <w:ind w:left="-284" w:right="-472"/>
        <w:rPr>
          <w:sz w:val="18"/>
          <w:szCs w:val="18"/>
          <w:lang w:val="ru-RU"/>
        </w:rPr>
      </w:pPr>
      <w:r w:rsidRPr="00694ACA">
        <w:rPr>
          <w:sz w:val="18"/>
          <w:szCs w:val="18"/>
          <w:lang w:val="ru-RU"/>
        </w:rPr>
        <w:t>NOW4WRC19</w:t>
      </w:r>
      <w:r w:rsidRPr="00694ACA">
        <w:rPr>
          <w:sz w:val="18"/>
          <w:szCs w:val="18"/>
          <w:lang w:val="ru-RU"/>
        </w:rPr>
        <w:tab/>
      </w:r>
      <w:r w:rsidR="00CC5123" w:rsidRPr="00694ACA">
        <w:rPr>
          <w:sz w:val="18"/>
          <w:szCs w:val="18"/>
          <w:lang w:val="ru-RU"/>
        </w:rPr>
        <w:t>Сеть женщин в интересах ВКР-19</w:t>
      </w:r>
    </w:p>
    <w:p w14:paraId="6E943FBE" w14:textId="0FD4B101" w:rsidR="00700BE8" w:rsidRPr="00694ACA" w:rsidRDefault="00CC5123" w:rsidP="00700BE8">
      <w:pPr>
        <w:spacing w:after="0"/>
        <w:ind w:left="-284" w:right="-472"/>
        <w:rPr>
          <w:sz w:val="18"/>
          <w:szCs w:val="18"/>
          <w:lang w:val="ru-RU"/>
        </w:rPr>
      </w:pPr>
      <w:r w:rsidRPr="00694ACA">
        <w:rPr>
          <w:sz w:val="18"/>
          <w:szCs w:val="18"/>
          <w:lang w:val="ru-RU"/>
        </w:rPr>
        <w:t>ПК</w:t>
      </w:r>
      <w:r w:rsidR="00700BE8" w:rsidRPr="00694ACA">
        <w:rPr>
          <w:sz w:val="18"/>
          <w:szCs w:val="18"/>
          <w:lang w:val="ru-RU"/>
        </w:rPr>
        <w:tab/>
      </w:r>
      <w:r w:rsidR="00700BE8" w:rsidRPr="00694ACA">
        <w:rPr>
          <w:sz w:val="18"/>
          <w:szCs w:val="18"/>
          <w:lang w:val="ru-RU"/>
        </w:rPr>
        <w:tab/>
      </w:r>
      <w:r w:rsidR="00700BE8" w:rsidRPr="00694ACA">
        <w:rPr>
          <w:sz w:val="18"/>
          <w:szCs w:val="18"/>
          <w:lang w:val="ru-RU"/>
        </w:rPr>
        <w:tab/>
      </w:r>
      <w:r w:rsidRPr="00694ACA">
        <w:rPr>
          <w:sz w:val="18"/>
          <w:szCs w:val="18"/>
          <w:lang w:val="ru-RU"/>
        </w:rPr>
        <w:t>Полномочная конференция</w:t>
      </w:r>
    </w:p>
    <w:p w14:paraId="485E3BDB" w14:textId="04DF06AB" w:rsidR="00700BE8" w:rsidRPr="00694ACA" w:rsidRDefault="00700BE8" w:rsidP="00700BE8">
      <w:pPr>
        <w:spacing w:after="0"/>
        <w:ind w:left="-284" w:right="-472"/>
        <w:rPr>
          <w:sz w:val="18"/>
          <w:szCs w:val="18"/>
          <w:lang w:val="ru-RU"/>
        </w:rPr>
      </w:pPr>
      <w:proofErr w:type="spellStart"/>
      <w:r w:rsidRPr="00694ACA">
        <w:rPr>
          <w:sz w:val="18"/>
          <w:szCs w:val="18"/>
          <w:lang w:val="ru-RU"/>
        </w:rPr>
        <w:t>QoSTP</w:t>
      </w:r>
      <w:proofErr w:type="spellEnd"/>
      <w:r w:rsidRPr="00694ACA">
        <w:rPr>
          <w:sz w:val="18"/>
          <w:szCs w:val="18"/>
          <w:lang w:val="ru-RU"/>
        </w:rPr>
        <w:tab/>
      </w:r>
      <w:r w:rsidRPr="00694ACA">
        <w:rPr>
          <w:sz w:val="18"/>
          <w:szCs w:val="18"/>
          <w:lang w:val="ru-RU"/>
        </w:rPr>
        <w:tab/>
      </w:r>
      <w:r w:rsidR="001E2CBF" w:rsidRPr="00694ACA">
        <w:rPr>
          <w:sz w:val="18"/>
          <w:szCs w:val="18"/>
          <w:lang w:val="ru-RU"/>
        </w:rPr>
        <w:t>П</w:t>
      </w:r>
      <w:r w:rsidR="00CC5123" w:rsidRPr="00694ACA">
        <w:rPr>
          <w:sz w:val="18"/>
          <w:szCs w:val="18"/>
          <w:lang w:val="ru-RU"/>
        </w:rPr>
        <w:t xml:space="preserve">рограмма </w:t>
      </w:r>
      <w:r w:rsidR="001E2CBF" w:rsidRPr="00694ACA">
        <w:rPr>
          <w:sz w:val="18"/>
          <w:szCs w:val="18"/>
          <w:lang w:val="ru-RU"/>
        </w:rPr>
        <w:t xml:space="preserve">профессиональной подготовки </w:t>
      </w:r>
      <w:r w:rsidR="00CC5123" w:rsidRPr="00694ACA">
        <w:rPr>
          <w:sz w:val="18"/>
          <w:szCs w:val="18"/>
          <w:lang w:val="ru-RU"/>
        </w:rPr>
        <w:t>по качеству обслуживания</w:t>
      </w:r>
    </w:p>
    <w:p w14:paraId="622B26AF" w14:textId="5C4965CD" w:rsidR="00700BE8" w:rsidRPr="00694ACA" w:rsidRDefault="00CC5123" w:rsidP="00700BE8">
      <w:pPr>
        <w:spacing w:after="0"/>
        <w:ind w:left="-284" w:right="-472"/>
        <w:rPr>
          <w:sz w:val="18"/>
          <w:szCs w:val="18"/>
          <w:lang w:val="ru-RU"/>
        </w:rPr>
      </w:pPr>
      <w:r w:rsidRPr="00694ACA">
        <w:rPr>
          <w:sz w:val="18"/>
          <w:szCs w:val="18"/>
          <w:lang w:val="ru-RU"/>
        </w:rPr>
        <w:t>АР</w:t>
      </w:r>
      <w:r w:rsidR="00700BE8" w:rsidRPr="00694ACA">
        <w:rPr>
          <w:sz w:val="18"/>
          <w:szCs w:val="18"/>
          <w:lang w:val="ru-RU"/>
        </w:rPr>
        <w:tab/>
      </w:r>
      <w:r w:rsidR="00700BE8" w:rsidRPr="00694ACA">
        <w:rPr>
          <w:sz w:val="18"/>
          <w:szCs w:val="18"/>
          <w:lang w:val="ru-RU"/>
        </w:rPr>
        <w:tab/>
      </w:r>
      <w:r w:rsidR="00700BE8" w:rsidRPr="00694ACA">
        <w:rPr>
          <w:sz w:val="18"/>
          <w:szCs w:val="18"/>
          <w:lang w:val="ru-RU"/>
        </w:rPr>
        <w:tab/>
      </w:r>
      <w:r w:rsidRPr="00694ACA">
        <w:rPr>
          <w:sz w:val="18"/>
          <w:szCs w:val="18"/>
          <w:lang w:val="ru-RU"/>
        </w:rPr>
        <w:t>Ассамблеи радиосвязи</w:t>
      </w:r>
    </w:p>
    <w:p w14:paraId="2C77F785" w14:textId="120699A2" w:rsidR="00700BE8" w:rsidRPr="00694ACA" w:rsidRDefault="00CC5123" w:rsidP="00700BE8">
      <w:pPr>
        <w:spacing w:after="0"/>
        <w:ind w:left="-284" w:right="-472"/>
        <w:rPr>
          <w:rFonts w:eastAsia="Times New Roman" w:cs="Arial"/>
          <w:sz w:val="18"/>
          <w:szCs w:val="18"/>
          <w:lang w:val="ru-RU" w:bidi="ne-NP"/>
        </w:rPr>
      </w:pPr>
      <w:r w:rsidRPr="00694ACA">
        <w:rPr>
          <w:rFonts w:eastAsia="Times New Roman" w:cs="Arial"/>
          <w:sz w:val="18"/>
          <w:szCs w:val="18"/>
          <w:lang w:val="ru-RU" w:bidi="ne-NP"/>
        </w:rPr>
        <w:t>РС</w:t>
      </w:r>
      <w:r w:rsidR="007F5539" w:rsidRPr="00694ACA">
        <w:rPr>
          <w:rFonts w:eastAsia="Times New Roman" w:cs="Arial"/>
          <w:sz w:val="18"/>
          <w:szCs w:val="18"/>
          <w:lang w:val="ru-RU" w:bidi="ne-NP"/>
        </w:rPr>
        <w:t>Р</w:t>
      </w:r>
      <w:r w:rsidR="00700BE8" w:rsidRPr="00694ACA">
        <w:rPr>
          <w:rFonts w:eastAsia="Times New Roman" w:cs="Arial"/>
          <w:sz w:val="18"/>
          <w:szCs w:val="18"/>
          <w:lang w:val="ru-RU" w:bidi="ne-NP"/>
        </w:rPr>
        <w:tab/>
      </w:r>
      <w:r w:rsidR="00700BE8" w:rsidRPr="00694ACA">
        <w:rPr>
          <w:rFonts w:eastAsia="Times New Roman" w:cs="Arial"/>
          <w:sz w:val="18"/>
          <w:szCs w:val="18"/>
          <w:lang w:val="ru-RU" w:bidi="ne-NP"/>
        </w:rPr>
        <w:tab/>
      </w:r>
      <w:r w:rsidRPr="00694ACA">
        <w:rPr>
          <w:rFonts w:eastAsia="Times New Roman" w:cs="Arial"/>
          <w:sz w:val="18"/>
          <w:szCs w:val="18"/>
          <w:lang w:val="ru-RU" w:bidi="ne-NP"/>
        </w:rPr>
        <w:t>Региональные семинары по радиосвязи</w:t>
      </w:r>
    </w:p>
    <w:p w14:paraId="115F6B08" w14:textId="722061DA" w:rsidR="00700BE8" w:rsidRPr="00694ACA" w:rsidRDefault="00CC5123" w:rsidP="00700BE8">
      <w:pPr>
        <w:spacing w:after="0"/>
        <w:ind w:left="-284" w:right="-472"/>
        <w:rPr>
          <w:rFonts w:eastAsia="Times New Roman" w:cs="Arial"/>
          <w:sz w:val="18"/>
          <w:szCs w:val="18"/>
          <w:lang w:val="ru-RU" w:bidi="ne-NP"/>
        </w:rPr>
      </w:pPr>
      <w:r w:rsidRPr="00694ACA">
        <w:rPr>
          <w:rFonts w:eastAsia="Times New Roman" w:cs="Arial"/>
          <w:sz w:val="18"/>
          <w:szCs w:val="18"/>
          <w:lang w:val="ru-RU" w:bidi="ne-NP"/>
        </w:rPr>
        <w:t>МСП</w:t>
      </w:r>
      <w:r w:rsidR="00700BE8" w:rsidRPr="00694ACA">
        <w:rPr>
          <w:rFonts w:eastAsia="Times New Roman" w:cs="Arial"/>
          <w:sz w:val="18"/>
          <w:szCs w:val="18"/>
          <w:lang w:val="ru-RU" w:bidi="ne-NP"/>
        </w:rPr>
        <w:tab/>
      </w:r>
      <w:r w:rsidR="00700BE8" w:rsidRPr="00694ACA">
        <w:rPr>
          <w:rFonts w:eastAsia="Times New Roman" w:cs="Arial"/>
          <w:sz w:val="18"/>
          <w:szCs w:val="18"/>
          <w:lang w:val="ru-RU" w:bidi="ne-NP"/>
        </w:rPr>
        <w:tab/>
      </w:r>
      <w:r w:rsidRPr="00694ACA">
        <w:rPr>
          <w:rFonts w:eastAsia="Times New Roman" w:cs="Arial"/>
          <w:sz w:val="18"/>
          <w:szCs w:val="18"/>
          <w:lang w:val="ru-RU" w:bidi="ne-NP"/>
        </w:rPr>
        <w:t>Малые и средние предприятия</w:t>
      </w:r>
    </w:p>
    <w:p w14:paraId="1499D0D9" w14:textId="27BD7418" w:rsidR="00700BE8" w:rsidRPr="00694ACA" w:rsidRDefault="00700BE8" w:rsidP="00700BE8">
      <w:pPr>
        <w:spacing w:after="0"/>
        <w:ind w:left="-284" w:right="-472"/>
        <w:rPr>
          <w:sz w:val="18"/>
          <w:szCs w:val="18"/>
          <w:lang w:val="ru-RU"/>
        </w:rPr>
      </w:pPr>
      <w:r w:rsidRPr="00694ACA">
        <w:rPr>
          <w:sz w:val="18"/>
          <w:szCs w:val="18"/>
          <w:lang w:val="ru-RU"/>
        </w:rPr>
        <w:t>SMTP</w:t>
      </w:r>
      <w:r w:rsidRPr="00694ACA">
        <w:rPr>
          <w:sz w:val="18"/>
          <w:szCs w:val="18"/>
          <w:lang w:val="ru-RU"/>
        </w:rPr>
        <w:tab/>
      </w:r>
      <w:r w:rsidRPr="00694ACA">
        <w:rPr>
          <w:sz w:val="18"/>
          <w:szCs w:val="18"/>
          <w:lang w:val="ru-RU"/>
        </w:rPr>
        <w:tab/>
      </w:r>
      <w:r w:rsidR="00CC5123" w:rsidRPr="00694ACA">
        <w:rPr>
          <w:sz w:val="18"/>
          <w:szCs w:val="18"/>
          <w:lang w:val="ru-RU"/>
        </w:rPr>
        <w:t>Программ</w:t>
      </w:r>
      <w:r w:rsidR="00570041" w:rsidRPr="00694ACA">
        <w:rPr>
          <w:sz w:val="18"/>
          <w:szCs w:val="18"/>
          <w:lang w:val="ru-RU"/>
        </w:rPr>
        <w:t>а</w:t>
      </w:r>
      <w:r w:rsidR="00CC5123" w:rsidRPr="00694ACA">
        <w:rPr>
          <w:sz w:val="18"/>
          <w:szCs w:val="18"/>
          <w:lang w:val="ru-RU"/>
        </w:rPr>
        <w:t xml:space="preserve"> профессиональной подготовки в области управления использованием спектра</w:t>
      </w:r>
    </w:p>
    <w:p w14:paraId="6BEDDE7C" w14:textId="19CE9F4E" w:rsidR="00700BE8" w:rsidRPr="00694ACA" w:rsidRDefault="00570041" w:rsidP="00700BE8">
      <w:pPr>
        <w:spacing w:after="0"/>
        <w:ind w:left="-284" w:right="-472"/>
        <w:rPr>
          <w:sz w:val="18"/>
          <w:szCs w:val="18"/>
          <w:lang w:val="ru-RU"/>
        </w:rPr>
      </w:pPr>
      <w:r w:rsidRPr="00694ACA">
        <w:rPr>
          <w:sz w:val="18"/>
          <w:szCs w:val="18"/>
          <w:lang w:val="ru-RU"/>
        </w:rPr>
        <w:t>TRA</w:t>
      </w:r>
      <w:r w:rsidR="00700BE8" w:rsidRPr="00694ACA">
        <w:rPr>
          <w:sz w:val="18"/>
          <w:szCs w:val="18"/>
          <w:lang w:val="ru-RU"/>
        </w:rPr>
        <w:tab/>
      </w:r>
      <w:r w:rsidR="00700BE8" w:rsidRPr="00694ACA">
        <w:rPr>
          <w:sz w:val="18"/>
          <w:szCs w:val="18"/>
          <w:lang w:val="ru-RU"/>
        </w:rPr>
        <w:tab/>
      </w:r>
      <w:r w:rsidR="00CC5123" w:rsidRPr="00694ACA">
        <w:rPr>
          <w:sz w:val="18"/>
          <w:szCs w:val="18"/>
          <w:lang w:val="ru-RU"/>
        </w:rPr>
        <w:t>Регуляторны</w:t>
      </w:r>
      <w:r w:rsidR="00653B7A" w:rsidRPr="00694ACA">
        <w:rPr>
          <w:sz w:val="18"/>
          <w:szCs w:val="18"/>
          <w:lang w:val="ru-RU"/>
        </w:rPr>
        <w:t>й</w:t>
      </w:r>
      <w:r w:rsidR="00CC5123" w:rsidRPr="00694ACA">
        <w:rPr>
          <w:sz w:val="18"/>
          <w:szCs w:val="18"/>
          <w:lang w:val="ru-RU"/>
        </w:rPr>
        <w:t xml:space="preserve"> орган электросвязи</w:t>
      </w:r>
    </w:p>
    <w:p w14:paraId="1F7D2A18" w14:textId="0BBF8FF4" w:rsidR="00700BE8" w:rsidRPr="00694ACA" w:rsidRDefault="00CC5123" w:rsidP="00700BE8">
      <w:pPr>
        <w:spacing w:after="0"/>
        <w:ind w:left="-284" w:right="-472"/>
        <w:rPr>
          <w:rFonts w:cs="Arial"/>
          <w:sz w:val="18"/>
          <w:szCs w:val="18"/>
          <w:lang w:val="ru-RU"/>
        </w:rPr>
      </w:pPr>
      <w:r w:rsidRPr="00694ACA">
        <w:rPr>
          <w:rFonts w:cs="Arial"/>
          <w:sz w:val="18"/>
          <w:szCs w:val="18"/>
          <w:lang w:val="ru-RU"/>
        </w:rPr>
        <w:t>БСЭ</w:t>
      </w:r>
      <w:r w:rsidR="00700BE8" w:rsidRPr="00694ACA">
        <w:rPr>
          <w:rFonts w:cs="Arial"/>
          <w:sz w:val="18"/>
          <w:szCs w:val="18"/>
          <w:lang w:val="ru-RU"/>
        </w:rPr>
        <w:tab/>
      </w:r>
      <w:r w:rsidR="00700BE8" w:rsidRPr="00694ACA">
        <w:rPr>
          <w:rFonts w:cs="Arial"/>
          <w:sz w:val="18"/>
          <w:szCs w:val="18"/>
          <w:lang w:val="ru-RU"/>
        </w:rPr>
        <w:tab/>
      </w:r>
      <w:r w:rsidRPr="00694ACA">
        <w:rPr>
          <w:rFonts w:cs="Arial"/>
          <w:sz w:val="18"/>
          <w:szCs w:val="18"/>
          <w:lang w:val="ru-RU"/>
        </w:rPr>
        <w:t>Бюро стандартизации электросвязи МСЭ</w:t>
      </w:r>
    </w:p>
    <w:p w14:paraId="1FC495B1" w14:textId="4F024727" w:rsidR="00700BE8" w:rsidRPr="00694ACA" w:rsidRDefault="00700BE8" w:rsidP="00700BE8">
      <w:pPr>
        <w:spacing w:after="0"/>
        <w:ind w:left="-284" w:right="-472"/>
        <w:rPr>
          <w:rFonts w:cs="Arial"/>
          <w:sz w:val="18"/>
          <w:szCs w:val="18"/>
          <w:lang w:val="ru-RU"/>
        </w:rPr>
      </w:pPr>
      <w:r w:rsidRPr="00694ACA">
        <w:rPr>
          <w:rFonts w:cs="Arial"/>
          <w:sz w:val="18"/>
          <w:szCs w:val="18"/>
          <w:lang w:val="ru-RU"/>
        </w:rPr>
        <w:t>UKTA</w:t>
      </w:r>
      <w:r w:rsidRPr="00694ACA">
        <w:rPr>
          <w:rFonts w:cs="Arial"/>
          <w:sz w:val="18"/>
          <w:szCs w:val="18"/>
          <w:lang w:val="ru-RU"/>
        </w:rPr>
        <w:tab/>
      </w:r>
      <w:r w:rsidRPr="00694ACA">
        <w:rPr>
          <w:rFonts w:cs="Arial"/>
          <w:sz w:val="18"/>
          <w:szCs w:val="18"/>
          <w:lang w:val="ru-RU"/>
        </w:rPr>
        <w:tab/>
      </w:r>
      <w:r w:rsidR="00CC5123" w:rsidRPr="00694ACA">
        <w:rPr>
          <w:rFonts w:cs="Arial"/>
          <w:sz w:val="18"/>
          <w:szCs w:val="18"/>
          <w:lang w:val="ru-RU"/>
        </w:rPr>
        <w:t>Академия электросвязи Соединенного Королевства</w:t>
      </w:r>
    </w:p>
    <w:p w14:paraId="53AF58E7" w14:textId="25706FE6" w:rsidR="00700BE8" w:rsidRPr="00694ACA" w:rsidRDefault="00CC5123" w:rsidP="00700BE8">
      <w:pPr>
        <w:spacing w:after="0"/>
        <w:ind w:left="-284" w:right="-472"/>
        <w:rPr>
          <w:sz w:val="18"/>
          <w:szCs w:val="18"/>
          <w:lang w:val="ru-RU"/>
        </w:rPr>
      </w:pPr>
      <w:r w:rsidRPr="00694ACA">
        <w:rPr>
          <w:sz w:val="18"/>
          <w:szCs w:val="18"/>
          <w:lang w:val="ru-RU"/>
        </w:rPr>
        <w:t>ЮНКТАД</w:t>
      </w:r>
      <w:r w:rsidR="00700BE8" w:rsidRPr="00694ACA">
        <w:rPr>
          <w:sz w:val="18"/>
          <w:szCs w:val="18"/>
          <w:lang w:val="ru-RU"/>
        </w:rPr>
        <w:tab/>
      </w:r>
      <w:r w:rsidR="00700BE8" w:rsidRPr="00694ACA">
        <w:rPr>
          <w:sz w:val="18"/>
          <w:szCs w:val="18"/>
          <w:lang w:val="ru-RU"/>
        </w:rPr>
        <w:tab/>
      </w:r>
      <w:r w:rsidRPr="00694ACA">
        <w:rPr>
          <w:sz w:val="18"/>
          <w:szCs w:val="18"/>
          <w:lang w:val="ru-RU"/>
        </w:rPr>
        <w:t>Конференция Организации Объединенных Наций по торговле и развитию</w:t>
      </w:r>
    </w:p>
    <w:p w14:paraId="08F27934" w14:textId="65817E07" w:rsidR="00700BE8" w:rsidRPr="00694ACA" w:rsidRDefault="00CC5123" w:rsidP="00700BE8">
      <w:pPr>
        <w:spacing w:after="0"/>
        <w:ind w:left="-284" w:right="-472"/>
        <w:rPr>
          <w:sz w:val="18"/>
          <w:szCs w:val="18"/>
          <w:lang w:val="ru-RU"/>
        </w:rPr>
      </w:pPr>
      <w:r w:rsidRPr="00694ACA">
        <w:rPr>
          <w:sz w:val="18"/>
          <w:szCs w:val="18"/>
          <w:lang w:val="ru-RU"/>
        </w:rPr>
        <w:t>ПРООН</w:t>
      </w:r>
      <w:r w:rsidR="00700BE8" w:rsidRPr="00694ACA">
        <w:rPr>
          <w:sz w:val="18"/>
          <w:szCs w:val="18"/>
          <w:lang w:val="ru-RU"/>
        </w:rPr>
        <w:tab/>
      </w:r>
      <w:r w:rsidR="00700BE8" w:rsidRPr="00694ACA">
        <w:rPr>
          <w:sz w:val="18"/>
          <w:szCs w:val="18"/>
          <w:lang w:val="ru-RU"/>
        </w:rPr>
        <w:tab/>
      </w:r>
      <w:r w:rsidRPr="00694ACA">
        <w:rPr>
          <w:sz w:val="18"/>
          <w:szCs w:val="18"/>
          <w:lang w:val="ru-RU"/>
        </w:rPr>
        <w:t>Программ</w:t>
      </w:r>
      <w:r w:rsidR="00653B7A" w:rsidRPr="00694ACA">
        <w:rPr>
          <w:sz w:val="18"/>
          <w:szCs w:val="18"/>
          <w:lang w:val="ru-RU"/>
        </w:rPr>
        <w:t>а</w:t>
      </w:r>
      <w:r w:rsidRPr="00694ACA">
        <w:rPr>
          <w:sz w:val="18"/>
          <w:szCs w:val="18"/>
          <w:lang w:val="ru-RU"/>
        </w:rPr>
        <w:t xml:space="preserve"> развития Организации Объединенных Наций</w:t>
      </w:r>
    </w:p>
    <w:p w14:paraId="592066DA" w14:textId="33CCCA94" w:rsidR="00700BE8" w:rsidRPr="00694ACA" w:rsidRDefault="00CC5123" w:rsidP="00700BE8">
      <w:pPr>
        <w:spacing w:after="0"/>
        <w:ind w:left="-284" w:right="-472"/>
        <w:rPr>
          <w:sz w:val="18"/>
          <w:szCs w:val="18"/>
          <w:lang w:val="ru-RU"/>
        </w:rPr>
      </w:pPr>
      <w:r w:rsidRPr="00694ACA">
        <w:rPr>
          <w:sz w:val="18"/>
          <w:szCs w:val="18"/>
          <w:lang w:val="ru-RU"/>
        </w:rPr>
        <w:t>ЮНЕСКО</w:t>
      </w:r>
      <w:r w:rsidR="00700BE8" w:rsidRPr="00694ACA">
        <w:rPr>
          <w:sz w:val="18"/>
          <w:szCs w:val="18"/>
          <w:lang w:val="ru-RU"/>
        </w:rPr>
        <w:tab/>
      </w:r>
      <w:r w:rsidR="00700BE8" w:rsidRPr="00694ACA">
        <w:rPr>
          <w:sz w:val="18"/>
          <w:szCs w:val="18"/>
          <w:lang w:val="ru-RU"/>
        </w:rPr>
        <w:tab/>
      </w:r>
      <w:r w:rsidRPr="00694ACA">
        <w:rPr>
          <w:sz w:val="18"/>
          <w:szCs w:val="18"/>
          <w:lang w:val="ru-RU"/>
        </w:rPr>
        <w:t>Организация Объединенных Наций по вопросам образования, науки и культуры</w:t>
      </w:r>
    </w:p>
    <w:p w14:paraId="4B16A46B" w14:textId="52846927" w:rsidR="00700BE8" w:rsidRPr="00694ACA" w:rsidRDefault="00CC5123" w:rsidP="00700BE8">
      <w:pPr>
        <w:spacing w:after="0"/>
        <w:ind w:left="-284" w:right="-472"/>
        <w:rPr>
          <w:sz w:val="18"/>
          <w:szCs w:val="18"/>
          <w:lang w:val="ru-RU"/>
        </w:rPr>
      </w:pPr>
      <w:r w:rsidRPr="00694ACA">
        <w:rPr>
          <w:sz w:val="18"/>
          <w:szCs w:val="18"/>
          <w:lang w:val="ru-RU"/>
        </w:rPr>
        <w:t>ЮНИСЕФ</w:t>
      </w:r>
      <w:r w:rsidR="00700BE8" w:rsidRPr="00694ACA">
        <w:rPr>
          <w:sz w:val="18"/>
          <w:szCs w:val="18"/>
          <w:lang w:val="ru-RU"/>
        </w:rPr>
        <w:tab/>
      </w:r>
      <w:r w:rsidR="00700BE8" w:rsidRPr="00694ACA">
        <w:rPr>
          <w:sz w:val="18"/>
          <w:szCs w:val="18"/>
          <w:lang w:val="ru-RU"/>
        </w:rPr>
        <w:tab/>
      </w:r>
      <w:r w:rsidRPr="00694ACA">
        <w:rPr>
          <w:sz w:val="18"/>
          <w:szCs w:val="18"/>
          <w:lang w:val="ru-RU"/>
        </w:rPr>
        <w:t>Детск</w:t>
      </w:r>
      <w:r w:rsidR="002070D4" w:rsidRPr="00694ACA">
        <w:rPr>
          <w:sz w:val="18"/>
          <w:szCs w:val="18"/>
          <w:lang w:val="ru-RU"/>
        </w:rPr>
        <w:t>ий</w:t>
      </w:r>
      <w:r w:rsidRPr="00694ACA">
        <w:rPr>
          <w:sz w:val="18"/>
          <w:szCs w:val="18"/>
          <w:lang w:val="ru-RU"/>
        </w:rPr>
        <w:t xml:space="preserve"> фонд Организации Объединенных Наций</w:t>
      </w:r>
    </w:p>
    <w:p w14:paraId="3EAE73F0" w14:textId="3CC2F1C2" w:rsidR="00700BE8" w:rsidRPr="00694ACA" w:rsidRDefault="00CC5123" w:rsidP="00700BE8">
      <w:pPr>
        <w:spacing w:after="0"/>
        <w:ind w:left="-284" w:right="-472"/>
        <w:rPr>
          <w:sz w:val="18"/>
          <w:szCs w:val="18"/>
          <w:lang w:val="ru-RU"/>
        </w:rPr>
      </w:pPr>
      <w:r w:rsidRPr="00694ACA">
        <w:rPr>
          <w:sz w:val="18"/>
          <w:szCs w:val="18"/>
          <w:lang w:val="ru-RU"/>
        </w:rPr>
        <w:t>ЮНИТАР</w:t>
      </w:r>
      <w:r w:rsidR="00700BE8" w:rsidRPr="00694ACA">
        <w:rPr>
          <w:sz w:val="18"/>
          <w:szCs w:val="18"/>
          <w:lang w:val="ru-RU"/>
        </w:rPr>
        <w:tab/>
      </w:r>
      <w:r w:rsidR="00700BE8" w:rsidRPr="00694ACA">
        <w:rPr>
          <w:sz w:val="18"/>
          <w:szCs w:val="18"/>
          <w:lang w:val="ru-RU"/>
        </w:rPr>
        <w:tab/>
      </w:r>
      <w:r w:rsidRPr="00694ACA">
        <w:rPr>
          <w:sz w:val="18"/>
          <w:szCs w:val="18"/>
          <w:lang w:val="ru-RU"/>
        </w:rPr>
        <w:t>Учебный и научно-исследовательский институт ООН</w:t>
      </w:r>
    </w:p>
    <w:p w14:paraId="45A29A93" w14:textId="1DC16B3B" w:rsidR="00700BE8" w:rsidRPr="00694ACA" w:rsidRDefault="00CC5123" w:rsidP="00700BE8">
      <w:pPr>
        <w:spacing w:after="0"/>
        <w:ind w:left="-284" w:right="-472"/>
        <w:rPr>
          <w:sz w:val="18"/>
          <w:szCs w:val="18"/>
          <w:lang w:val="ru-RU"/>
        </w:rPr>
      </w:pPr>
      <w:r w:rsidRPr="00694ACA">
        <w:rPr>
          <w:sz w:val="18"/>
          <w:szCs w:val="18"/>
          <w:lang w:val="ru-RU"/>
        </w:rPr>
        <w:t>ГС ООН</w:t>
      </w:r>
      <w:r w:rsidR="00700BE8" w:rsidRPr="00694ACA">
        <w:rPr>
          <w:sz w:val="18"/>
          <w:szCs w:val="18"/>
          <w:lang w:val="ru-RU"/>
        </w:rPr>
        <w:tab/>
      </w:r>
      <w:r w:rsidR="00700BE8" w:rsidRPr="00694ACA">
        <w:rPr>
          <w:sz w:val="18"/>
          <w:szCs w:val="18"/>
          <w:lang w:val="ru-RU"/>
        </w:rPr>
        <w:tab/>
      </w:r>
      <w:r w:rsidRPr="00694ACA">
        <w:rPr>
          <w:sz w:val="18"/>
          <w:szCs w:val="18"/>
          <w:lang w:val="ru-RU"/>
        </w:rPr>
        <w:t>Генеральн</w:t>
      </w:r>
      <w:r w:rsidR="002070D4" w:rsidRPr="00694ACA">
        <w:rPr>
          <w:sz w:val="18"/>
          <w:szCs w:val="18"/>
          <w:lang w:val="ru-RU"/>
        </w:rPr>
        <w:t>ый</w:t>
      </w:r>
      <w:r w:rsidRPr="00694ACA">
        <w:rPr>
          <w:sz w:val="18"/>
          <w:szCs w:val="18"/>
          <w:lang w:val="ru-RU"/>
        </w:rPr>
        <w:t xml:space="preserve"> секретар</w:t>
      </w:r>
      <w:r w:rsidR="002070D4" w:rsidRPr="00694ACA">
        <w:rPr>
          <w:sz w:val="18"/>
          <w:szCs w:val="18"/>
          <w:lang w:val="ru-RU"/>
        </w:rPr>
        <w:t>ь</w:t>
      </w:r>
      <w:r w:rsidRPr="00694ACA">
        <w:rPr>
          <w:sz w:val="18"/>
          <w:szCs w:val="18"/>
          <w:lang w:val="ru-RU"/>
        </w:rPr>
        <w:t xml:space="preserve"> Организации Объединенных Наций</w:t>
      </w:r>
    </w:p>
    <w:p w14:paraId="0A10D1D2" w14:textId="43403749" w:rsidR="00700BE8" w:rsidRPr="00694ACA" w:rsidRDefault="00CC5123" w:rsidP="00700BE8">
      <w:pPr>
        <w:spacing w:after="0"/>
        <w:ind w:left="-284" w:right="-472"/>
        <w:rPr>
          <w:sz w:val="18"/>
          <w:szCs w:val="18"/>
          <w:lang w:val="ru-RU"/>
        </w:rPr>
      </w:pPr>
      <w:r w:rsidRPr="00694ACA">
        <w:rPr>
          <w:sz w:val="18"/>
          <w:szCs w:val="18"/>
          <w:lang w:val="ru-RU"/>
        </w:rPr>
        <w:t>КП</w:t>
      </w:r>
      <w:r w:rsidR="00276E1B" w:rsidRPr="00694ACA">
        <w:rPr>
          <w:sz w:val="18"/>
          <w:szCs w:val="18"/>
          <w:lang w:val="ru-RU"/>
        </w:rPr>
        <w:t>С</w:t>
      </w:r>
      <w:r w:rsidRPr="00694ACA">
        <w:rPr>
          <w:sz w:val="18"/>
          <w:szCs w:val="18"/>
          <w:lang w:val="ru-RU"/>
        </w:rPr>
        <w:t>ООН</w:t>
      </w:r>
      <w:r w:rsidR="00700BE8" w:rsidRPr="00694ACA">
        <w:rPr>
          <w:sz w:val="18"/>
          <w:szCs w:val="18"/>
          <w:lang w:val="ru-RU"/>
        </w:rPr>
        <w:tab/>
      </w:r>
      <w:r w:rsidR="00700BE8" w:rsidRPr="00694ACA">
        <w:rPr>
          <w:sz w:val="18"/>
          <w:szCs w:val="18"/>
          <w:lang w:val="ru-RU"/>
        </w:rPr>
        <w:tab/>
      </w:r>
      <w:r w:rsidRPr="00694ACA">
        <w:rPr>
          <w:sz w:val="18"/>
          <w:szCs w:val="18"/>
          <w:lang w:val="ru-RU"/>
        </w:rPr>
        <w:t xml:space="preserve">Колледж персонала </w:t>
      </w:r>
      <w:r w:rsidR="00276E1B" w:rsidRPr="00694ACA">
        <w:rPr>
          <w:sz w:val="18"/>
          <w:szCs w:val="18"/>
          <w:lang w:val="ru-RU"/>
        </w:rPr>
        <w:t xml:space="preserve">системы </w:t>
      </w:r>
      <w:r w:rsidRPr="00694ACA">
        <w:rPr>
          <w:sz w:val="18"/>
          <w:szCs w:val="18"/>
          <w:lang w:val="ru-RU"/>
        </w:rPr>
        <w:t>Организации Объединенных Наций</w:t>
      </w:r>
    </w:p>
    <w:p w14:paraId="424E25A7" w14:textId="2606D707" w:rsidR="00700BE8" w:rsidRPr="00694ACA" w:rsidRDefault="00CC5123" w:rsidP="00700BE8">
      <w:pPr>
        <w:spacing w:after="0"/>
        <w:ind w:left="-284" w:right="-472"/>
        <w:rPr>
          <w:sz w:val="18"/>
          <w:szCs w:val="18"/>
          <w:lang w:val="ru-RU"/>
        </w:rPr>
      </w:pPr>
      <w:r w:rsidRPr="00694ACA">
        <w:rPr>
          <w:sz w:val="18"/>
          <w:szCs w:val="18"/>
          <w:lang w:val="ru-RU"/>
        </w:rPr>
        <w:t>УООН</w:t>
      </w:r>
      <w:r w:rsidR="00700BE8" w:rsidRPr="00694ACA">
        <w:rPr>
          <w:sz w:val="18"/>
          <w:szCs w:val="18"/>
          <w:lang w:val="ru-RU"/>
        </w:rPr>
        <w:tab/>
      </w:r>
      <w:r w:rsidR="00700BE8" w:rsidRPr="00694ACA">
        <w:rPr>
          <w:sz w:val="18"/>
          <w:szCs w:val="18"/>
          <w:lang w:val="ru-RU"/>
        </w:rPr>
        <w:tab/>
      </w:r>
      <w:r w:rsidRPr="00694ACA">
        <w:rPr>
          <w:sz w:val="18"/>
          <w:szCs w:val="18"/>
          <w:lang w:val="ru-RU"/>
        </w:rPr>
        <w:t>Университет Организации Объединенных Наций</w:t>
      </w:r>
    </w:p>
    <w:p w14:paraId="4B0752A1" w14:textId="7B0F7634" w:rsidR="00700BE8" w:rsidRPr="00694ACA" w:rsidRDefault="00700BE8" w:rsidP="00700BE8">
      <w:pPr>
        <w:spacing w:after="0"/>
        <w:ind w:left="-284" w:right="-472"/>
        <w:rPr>
          <w:rFonts w:cs="Arial"/>
          <w:sz w:val="18"/>
          <w:szCs w:val="18"/>
          <w:lang w:val="ru-RU"/>
        </w:rPr>
      </w:pPr>
      <w:r w:rsidRPr="00694ACA">
        <w:rPr>
          <w:sz w:val="18"/>
          <w:szCs w:val="18"/>
          <w:lang w:val="ru-RU"/>
        </w:rPr>
        <w:t>USTTI</w:t>
      </w:r>
      <w:r w:rsidRPr="00694ACA">
        <w:rPr>
          <w:sz w:val="18"/>
          <w:szCs w:val="18"/>
          <w:lang w:val="ru-RU"/>
        </w:rPr>
        <w:tab/>
      </w:r>
      <w:r w:rsidRPr="00694ACA">
        <w:rPr>
          <w:sz w:val="18"/>
          <w:szCs w:val="18"/>
          <w:lang w:val="ru-RU"/>
        </w:rPr>
        <w:tab/>
      </w:r>
      <w:r w:rsidR="00CC5123" w:rsidRPr="00694ACA">
        <w:rPr>
          <w:sz w:val="18"/>
          <w:szCs w:val="18"/>
          <w:lang w:val="ru-RU"/>
        </w:rPr>
        <w:t>Институт повышения квалификации в области электросвязи Соединенных Штатов Америки</w:t>
      </w:r>
    </w:p>
    <w:p w14:paraId="72F9D7F5" w14:textId="4F99C774" w:rsidR="00700BE8" w:rsidRPr="00694ACA" w:rsidRDefault="00CC5123" w:rsidP="00700BE8">
      <w:pPr>
        <w:spacing w:after="0"/>
        <w:ind w:left="-284" w:right="-472"/>
        <w:rPr>
          <w:sz w:val="18"/>
          <w:szCs w:val="18"/>
          <w:lang w:val="ru-RU"/>
        </w:rPr>
      </w:pPr>
      <w:r w:rsidRPr="00694ACA">
        <w:rPr>
          <w:rFonts w:cs="Arial"/>
          <w:sz w:val="18"/>
          <w:szCs w:val="18"/>
          <w:lang w:val="ru-RU"/>
        </w:rPr>
        <w:t>ВКМЭ</w:t>
      </w:r>
      <w:r w:rsidR="00700BE8" w:rsidRPr="00694ACA">
        <w:rPr>
          <w:rFonts w:cs="Arial"/>
          <w:sz w:val="18"/>
          <w:szCs w:val="18"/>
          <w:lang w:val="ru-RU"/>
        </w:rPr>
        <w:tab/>
      </w:r>
      <w:r w:rsidR="00700BE8" w:rsidRPr="00694ACA">
        <w:rPr>
          <w:rFonts w:cs="Arial"/>
          <w:sz w:val="18"/>
          <w:szCs w:val="18"/>
          <w:lang w:val="ru-RU"/>
        </w:rPr>
        <w:tab/>
      </w:r>
      <w:r w:rsidRPr="00694ACA">
        <w:rPr>
          <w:sz w:val="18"/>
          <w:szCs w:val="18"/>
          <w:lang w:val="ru-RU"/>
        </w:rPr>
        <w:t>Всемирн</w:t>
      </w:r>
      <w:r w:rsidR="002070D4" w:rsidRPr="00694ACA">
        <w:rPr>
          <w:sz w:val="18"/>
          <w:szCs w:val="18"/>
          <w:lang w:val="ru-RU"/>
        </w:rPr>
        <w:t>ая</w:t>
      </w:r>
      <w:r w:rsidRPr="00694ACA">
        <w:rPr>
          <w:sz w:val="18"/>
          <w:szCs w:val="18"/>
          <w:lang w:val="ru-RU"/>
        </w:rPr>
        <w:t xml:space="preserve"> конференци</w:t>
      </w:r>
      <w:r w:rsidR="002070D4" w:rsidRPr="00694ACA">
        <w:rPr>
          <w:sz w:val="18"/>
          <w:szCs w:val="18"/>
          <w:lang w:val="ru-RU"/>
        </w:rPr>
        <w:t>я</w:t>
      </w:r>
      <w:r w:rsidRPr="00694ACA">
        <w:rPr>
          <w:sz w:val="18"/>
          <w:szCs w:val="18"/>
          <w:lang w:val="ru-RU"/>
        </w:rPr>
        <w:t xml:space="preserve"> по международной электросвязи</w:t>
      </w:r>
    </w:p>
    <w:p w14:paraId="75DEBA4D" w14:textId="59859EA8" w:rsidR="00700BE8" w:rsidRPr="00694ACA" w:rsidRDefault="00CC5123" w:rsidP="00700BE8">
      <w:pPr>
        <w:spacing w:after="0"/>
        <w:ind w:left="-284" w:right="-472"/>
        <w:rPr>
          <w:rFonts w:cs="Arial"/>
          <w:sz w:val="18"/>
          <w:szCs w:val="18"/>
          <w:lang w:val="ru-RU"/>
        </w:rPr>
      </w:pPr>
      <w:r w:rsidRPr="00694ACA">
        <w:rPr>
          <w:rFonts w:cs="Arial"/>
          <w:sz w:val="18"/>
          <w:szCs w:val="18"/>
          <w:lang w:val="ru-RU"/>
        </w:rPr>
        <w:t>ВОЗ</w:t>
      </w:r>
      <w:r w:rsidR="00700BE8" w:rsidRPr="00694ACA">
        <w:rPr>
          <w:rFonts w:cs="Arial"/>
          <w:sz w:val="18"/>
          <w:szCs w:val="18"/>
          <w:lang w:val="ru-RU"/>
        </w:rPr>
        <w:tab/>
      </w:r>
      <w:r w:rsidR="00700BE8" w:rsidRPr="00694ACA">
        <w:rPr>
          <w:rFonts w:cs="Arial"/>
          <w:sz w:val="18"/>
          <w:szCs w:val="18"/>
          <w:lang w:val="ru-RU"/>
        </w:rPr>
        <w:tab/>
      </w:r>
      <w:r w:rsidRPr="00694ACA">
        <w:rPr>
          <w:rFonts w:cs="Arial"/>
          <w:sz w:val="18"/>
          <w:szCs w:val="18"/>
          <w:lang w:val="ru-RU"/>
        </w:rPr>
        <w:t>Всемирная организация здравоохранения</w:t>
      </w:r>
    </w:p>
    <w:p w14:paraId="7C9E162D" w14:textId="762473FC" w:rsidR="00700BE8" w:rsidRPr="00694ACA" w:rsidRDefault="00CC5123" w:rsidP="00700BE8">
      <w:pPr>
        <w:spacing w:after="0"/>
        <w:ind w:left="-284" w:right="-472"/>
        <w:rPr>
          <w:sz w:val="18"/>
          <w:szCs w:val="18"/>
          <w:lang w:val="ru-RU"/>
        </w:rPr>
      </w:pPr>
      <w:r w:rsidRPr="00694ACA">
        <w:rPr>
          <w:sz w:val="18"/>
          <w:szCs w:val="18"/>
          <w:lang w:val="ru-RU"/>
        </w:rPr>
        <w:t>ВОИС</w:t>
      </w:r>
      <w:r w:rsidR="00700BE8" w:rsidRPr="00694ACA">
        <w:rPr>
          <w:sz w:val="18"/>
          <w:szCs w:val="18"/>
          <w:lang w:val="ru-RU"/>
        </w:rPr>
        <w:tab/>
      </w:r>
      <w:r w:rsidR="00700BE8" w:rsidRPr="00694ACA">
        <w:rPr>
          <w:sz w:val="18"/>
          <w:szCs w:val="18"/>
          <w:lang w:val="ru-RU"/>
        </w:rPr>
        <w:tab/>
      </w:r>
      <w:r w:rsidRPr="00694ACA">
        <w:rPr>
          <w:sz w:val="18"/>
          <w:szCs w:val="18"/>
          <w:lang w:val="ru-RU"/>
        </w:rPr>
        <w:t>Всемирн</w:t>
      </w:r>
      <w:r w:rsidR="002070D4" w:rsidRPr="00694ACA">
        <w:rPr>
          <w:sz w:val="18"/>
          <w:szCs w:val="18"/>
          <w:lang w:val="ru-RU"/>
        </w:rPr>
        <w:t>ая</w:t>
      </w:r>
      <w:r w:rsidRPr="00694ACA">
        <w:rPr>
          <w:sz w:val="18"/>
          <w:szCs w:val="18"/>
          <w:lang w:val="ru-RU"/>
        </w:rPr>
        <w:t xml:space="preserve"> организаци</w:t>
      </w:r>
      <w:r w:rsidR="002070D4" w:rsidRPr="00694ACA">
        <w:rPr>
          <w:sz w:val="18"/>
          <w:szCs w:val="18"/>
          <w:lang w:val="ru-RU"/>
        </w:rPr>
        <w:t>я</w:t>
      </w:r>
      <w:r w:rsidRPr="00694ACA">
        <w:rPr>
          <w:sz w:val="18"/>
          <w:szCs w:val="18"/>
          <w:lang w:val="ru-RU"/>
        </w:rPr>
        <w:t xml:space="preserve"> интеллектуальной собственности</w:t>
      </w:r>
    </w:p>
    <w:p w14:paraId="57C5C670" w14:textId="628B6C82" w:rsidR="00700BE8" w:rsidRPr="00694ACA" w:rsidRDefault="00980A5A" w:rsidP="00700BE8">
      <w:pPr>
        <w:spacing w:after="0"/>
        <w:ind w:left="-284" w:right="-472"/>
        <w:rPr>
          <w:rFonts w:cs="Arial"/>
          <w:sz w:val="18"/>
          <w:szCs w:val="18"/>
          <w:lang w:val="ru-RU"/>
        </w:rPr>
      </w:pPr>
      <w:r w:rsidRPr="00694ACA">
        <w:rPr>
          <w:rFonts w:cs="Arial"/>
          <w:sz w:val="18"/>
          <w:szCs w:val="18"/>
          <w:lang w:val="ru-RU"/>
        </w:rPr>
        <w:t>ВКР</w:t>
      </w:r>
      <w:r w:rsidR="00700BE8" w:rsidRPr="00694ACA">
        <w:rPr>
          <w:rFonts w:cs="Arial"/>
          <w:sz w:val="18"/>
          <w:szCs w:val="18"/>
          <w:lang w:val="ru-RU"/>
        </w:rPr>
        <w:tab/>
      </w:r>
      <w:r w:rsidR="00700BE8" w:rsidRPr="00694ACA">
        <w:rPr>
          <w:rFonts w:cs="Arial"/>
          <w:sz w:val="18"/>
          <w:szCs w:val="18"/>
          <w:lang w:val="ru-RU"/>
        </w:rPr>
        <w:tab/>
      </w:r>
      <w:r w:rsidR="00CC5123" w:rsidRPr="00694ACA">
        <w:rPr>
          <w:rFonts w:cs="Arial"/>
          <w:sz w:val="18"/>
          <w:szCs w:val="18"/>
          <w:lang w:val="ru-RU"/>
        </w:rPr>
        <w:t>Всемирн</w:t>
      </w:r>
      <w:r w:rsidR="002070D4" w:rsidRPr="00694ACA">
        <w:rPr>
          <w:rFonts w:cs="Arial"/>
          <w:sz w:val="18"/>
          <w:szCs w:val="18"/>
          <w:lang w:val="ru-RU"/>
        </w:rPr>
        <w:t>ая</w:t>
      </w:r>
      <w:r w:rsidR="00CC5123" w:rsidRPr="00694ACA">
        <w:rPr>
          <w:rFonts w:cs="Arial"/>
          <w:sz w:val="18"/>
          <w:szCs w:val="18"/>
          <w:lang w:val="ru-RU"/>
        </w:rPr>
        <w:t xml:space="preserve"> конференци</w:t>
      </w:r>
      <w:r w:rsidR="002070D4" w:rsidRPr="00694ACA">
        <w:rPr>
          <w:rFonts w:cs="Arial"/>
          <w:sz w:val="18"/>
          <w:szCs w:val="18"/>
          <w:lang w:val="ru-RU"/>
        </w:rPr>
        <w:t>я</w:t>
      </w:r>
      <w:r w:rsidR="00CC5123" w:rsidRPr="00694ACA">
        <w:rPr>
          <w:rFonts w:cs="Arial"/>
          <w:sz w:val="18"/>
          <w:szCs w:val="18"/>
          <w:lang w:val="ru-RU"/>
        </w:rPr>
        <w:t xml:space="preserve"> радиосвязи</w:t>
      </w:r>
    </w:p>
    <w:p w14:paraId="595AADE6" w14:textId="7E50F6A6" w:rsidR="00700BE8" w:rsidRPr="00694ACA" w:rsidRDefault="00980A5A" w:rsidP="00700BE8">
      <w:pPr>
        <w:spacing w:after="0"/>
        <w:ind w:left="-284" w:right="-472"/>
        <w:rPr>
          <w:rFonts w:cs="Arial"/>
          <w:sz w:val="18"/>
          <w:szCs w:val="18"/>
          <w:lang w:val="ru-RU"/>
        </w:rPr>
      </w:pPr>
      <w:r w:rsidRPr="00694ACA">
        <w:rPr>
          <w:rFonts w:cs="Arial"/>
          <w:sz w:val="18"/>
          <w:szCs w:val="18"/>
          <w:lang w:val="ru-RU"/>
        </w:rPr>
        <w:t>ВСР</w:t>
      </w:r>
      <w:r w:rsidR="00700BE8" w:rsidRPr="00694ACA">
        <w:rPr>
          <w:rFonts w:cs="Arial"/>
          <w:sz w:val="18"/>
          <w:szCs w:val="18"/>
          <w:lang w:val="ru-RU"/>
        </w:rPr>
        <w:tab/>
      </w:r>
      <w:r w:rsidR="00700BE8" w:rsidRPr="00694ACA">
        <w:rPr>
          <w:rFonts w:cs="Arial"/>
          <w:sz w:val="18"/>
          <w:szCs w:val="18"/>
          <w:lang w:val="ru-RU"/>
        </w:rPr>
        <w:tab/>
      </w:r>
      <w:r w:rsidRPr="00694ACA">
        <w:rPr>
          <w:rFonts w:eastAsia="Times New Roman" w:cs="Arial"/>
          <w:sz w:val="18"/>
          <w:szCs w:val="18"/>
          <w:lang w:val="ru-RU" w:bidi="ne-NP"/>
        </w:rPr>
        <w:t>Всемирные семинары по радиосвязи</w:t>
      </w:r>
    </w:p>
    <w:p w14:paraId="06CE2A06" w14:textId="1C0763C6" w:rsidR="00700BE8" w:rsidRPr="00694ACA" w:rsidRDefault="00980A5A" w:rsidP="00700BE8">
      <w:pPr>
        <w:spacing w:after="0"/>
        <w:ind w:left="-284" w:right="-472"/>
        <w:rPr>
          <w:rFonts w:cs="Arial"/>
          <w:sz w:val="18"/>
          <w:szCs w:val="18"/>
          <w:lang w:val="ru-RU"/>
        </w:rPr>
      </w:pPr>
      <w:r w:rsidRPr="00694ACA">
        <w:rPr>
          <w:rFonts w:cs="Arial"/>
          <w:sz w:val="18"/>
          <w:szCs w:val="18"/>
          <w:lang w:val="ru-RU"/>
        </w:rPr>
        <w:t>ВВУИО</w:t>
      </w:r>
      <w:r w:rsidR="00700BE8" w:rsidRPr="00694ACA">
        <w:rPr>
          <w:rFonts w:cs="Arial"/>
          <w:sz w:val="18"/>
          <w:szCs w:val="18"/>
          <w:lang w:val="ru-RU"/>
        </w:rPr>
        <w:tab/>
      </w:r>
      <w:r w:rsidR="00700BE8" w:rsidRPr="00694ACA">
        <w:rPr>
          <w:rFonts w:cs="Arial"/>
          <w:sz w:val="18"/>
          <w:szCs w:val="18"/>
          <w:lang w:val="ru-RU"/>
        </w:rPr>
        <w:tab/>
      </w:r>
      <w:r w:rsidRPr="00694ACA">
        <w:rPr>
          <w:rFonts w:cs="Arial"/>
          <w:sz w:val="18"/>
          <w:szCs w:val="18"/>
          <w:lang w:val="ru-RU"/>
        </w:rPr>
        <w:t>Всемирн</w:t>
      </w:r>
      <w:r w:rsidR="002070D4" w:rsidRPr="00694ACA">
        <w:rPr>
          <w:rFonts w:cs="Arial"/>
          <w:sz w:val="18"/>
          <w:szCs w:val="18"/>
          <w:lang w:val="ru-RU"/>
        </w:rPr>
        <w:t>ая</w:t>
      </w:r>
      <w:r w:rsidRPr="00694ACA">
        <w:rPr>
          <w:rFonts w:cs="Arial"/>
          <w:sz w:val="18"/>
          <w:szCs w:val="18"/>
          <w:lang w:val="ru-RU"/>
        </w:rPr>
        <w:t xml:space="preserve"> встреч</w:t>
      </w:r>
      <w:r w:rsidR="002070D4" w:rsidRPr="00694ACA">
        <w:rPr>
          <w:rFonts w:cs="Arial"/>
          <w:sz w:val="18"/>
          <w:szCs w:val="18"/>
          <w:lang w:val="ru-RU"/>
        </w:rPr>
        <w:t>а</w:t>
      </w:r>
      <w:r w:rsidRPr="00694ACA">
        <w:rPr>
          <w:rFonts w:cs="Arial"/>
          <w:sz w:val="18"/>
          <w:szCs w:val="18"/>
          <w:lang w:val="ru-RU"/>
        </w:rPr>
        <w:t xml:space="preserve"> на высшем уровне по вопросам информационного общества</w:t>
      </w:r>
    </w:p>
    <w:p w14:paraId="2E2ED703" w14:textId="1B36AFEA" w:rsidR="00700BE8" w:rsidRPr="00694ACA" w:rsidRDefault="00980A5A" w:rsidP="00700BE8">
      <w:pPr>
        <w:spacing w:after="0"/>
        <w:ind w:left="-284" w:right="-472"/>
        <w:rPr>
          <w:rFonts w:cs="Arial"/>
          <w:sz w:val="18"/>
          <w:szCs w:val="18"/>
          <w:lang w:val="ru-RU"/>
        </w:rPr>
      </w:pPr>
      <w:r w:rsidRPr="00694ACA">
        <w:rPr>
          <w:rFonts w:cs="Arial"/>
          <w:sz w:val="18"/>
          <w:szCs w:val="18"/>
          <w:lang w:val="ru-RU"/>
        </w:rPr>
        <w:t>ВКРЭ</w:t>
      </w:r>
      <w:r w:rsidR="00700BE8" w:rsidRPr="00694ACA">
        <w:rPr>
          <w:rFonts w:cs="Arial"/>
          <w:sz w:val="18"/>
          <w:szCs w:val="18"/>
          <w:lang w:val="ru-RU"/>
        </w:rPr>
        <w:tab/>
      </w:r>
      <w:r w:rsidR="00700BE8" w:rsidRPr="00694ACA">
        <w:rPr>
          <w:rFonts w:cs="Arial"/>
          <w:sz w:val="18"/>
          <w:szCs w:val="18"/>
          <w:lang w:val="ru-RU"/>
        </w:rPr>
        <w:tab/>
      </w:r>
      <w:r w:rsidRPr="00694ACA">
        <w:rPr>
          <w:rFonts w:cs="Arial"/>
          <w:sz w:val="18"/>
          <w:szCs w:val="18"/>
          <w:lang w:val="ru-RU"/>
        </w:rPr>
        <w:t>Всемирн</w:t>
      </w:r>
      <w:r w:rsidR="002070D4" w:rsidRPr="00694ACA">
        <w:rPr>
          <w:rFonts w:cs="Arial"/>
          <w:sz w:val="18"/>
          <w:szCs w:val="18"/>
          <w:lang w:val="ru-RU"/>
        </w:rPr>
        <w:t>ая</w:t>
      </w:r>
      <w:r w:rsidRPr="00694ACA">
        <w:rPr>
          <w:rFonts w:cs="Arial"/>
          <w:sz w:val="18"/>
          <w:szCs w:val="18"/>
          <w:lang w:val="ru-RU"/>
        </w:rPr>
        <w:t xml:space="preserve"> конференци</w:t>
      </w:r>
      <w:r w:rsidR="002070D4" w:rsidRPr="00694ACA">
        <w:rPr>
          <w:rFonts w:cs="Arial"/>
          <w:sz w:val="18"/>
          <w:szCs w:val="18"/>
          <w:lang w:val="ru-RU"/>
        </w:rPr>
        <w:t>я</w:t>
      </w:r>
      <w:r w:rsidRPr="00694ACA">
        <w:rPr>
          <w:rFonts w:cs="Arial"/>
          <w:sz w:val="18"/>
          <w:szCs w:val="18"/>
          <w:lang w:val="ru-RU"/>
        </w:rPr>
        <w:t xml:space="preserve"> по развитию электросвязи</w:t>
      </w:r>
    </w:p>
    <w:p w14:paraId="55FB55B8" w14:textId="6B22F188" w:rsidR="00700BE8" w:rsidRPr="00694ACA" w:rsidRDefault="00980A5A" w:rsidP="00700BE8">
      <w:pPr>
        <w:spacing w:after="0"/>
        <w:ind w:left="-284" w:right="-472"/>
        <w:rPr>
          <w:rFonts w:cs="Arial"/>
          <w:sz w:val="18"/>
          <w:szCs w:val="18"/>
          <w:lang w:val="ru-RU"/>
        </w:rPr>
      </w:pPr>
      <w:r w:rsidRPr="00694ACA">
        <w:rPr>
          <w:rFonts w:cs="Arial"/>
          <w:sz w:val="18"/>
          <w:szCs w:val="18"/>
          <w:lang w:val="ru-RU"/>
        </w:rPr>
        <w:t>ВАСЭ</w:t>
      </w:r>
      <w:r w:rsidR="00700BE8" w:rsidRPr="00694ACA">
        <w:rPr>
          <w:rFonts w:cs="Arial"/>
          <w:sz w:val="18"/>
          <w:szCs w:val="18"/>
          <w:lang w:val="ru-RU"/>
        </w:rPr>
        <w:tab/>
      </w:r>
      <w:r w:rsidR="00700BE8" w:rsidRPr="00694ACA">
        <w:rPr>
          <w:rFonts w:cs="Arial"/>
          <w:sz w:val="18"/>
          <w:szCs w:val="18"/>
          <w:lang w:val="ru-RU"/>
        </w:rPr>
        <w:tab/>
      </w:r>
      <w:r w:rsidRPr="00694ACA">
        <w:rPr>
          <w:rFonts w:cs="Arial"/>
          <w:sz w:val="18"/>
          <w:szCs w:val="18"/>
          <w:lang w:val="ru-RU"/>
        </w:rPr>
        <w:t>Всемирн</w:t>
      </w:r>
      <w:r w:rsidR="002070D4" w:rsidRPr="00694ACA">
        <w:rPr>
          <w:rFonts w:cs="Arial"/>
          <w:sz w:val="18"/>
          <w:szCs w:val="18"/>
          <w:lang w:val="ru-RU"/>
        </w:rPr>
        <w:t>ая</w:t>
      </w:r>
      <w:r w:rsidRPr="00694ACA">
        <w:rPr>
          <w:rFonts w:cs="Arial"/>
          <w:sz w:val="18"/>
          <w:szCs w:val="18"/>
          <w:lang w:val="ru-RU"/>
        </w:rPr>
        <w:t xml:space="preserve"> ассамбле</w:t>
      </w:r>
      <w:r w:rsidR="002070D4" w:rsidRPr="00694ACA">
        <w:rPr>
          <w:rFonts w:cs="Arial"/>
          <w:sz w:val="18"/>
          <w:szCs w:val="18"/>
          <w:lang w:val="ru-RU"/>
        </w:rPr>
        <w:t>я</w:t>
      </w:r>
      <w:r w:rsidRPr="00694ACA">
        <w:rPr>
          <w:rFonts w:cs="Arial"/>
          <w:sz w:val="18"/>
          <w:szCs w:val="18"/>
          <w:lang w:val="ru-RU"/>
        </w:rPr>
        <w:t xml:space="preserve"> по стандартизации электросвязи</w:t>
      </w:r>
    </w:p>
    <w:bookmarkEnd w:id="30"/>
    <w:p w14:paraId="3B607281" w14:textId="5A4E551C" w:rsidR="00C0231C" w:rsidRPr="00694ACA" w:rsidRDefault="00C0231C">
      <w:pPr>
        <w:spacing w:line="276" w:lineRule="auto"/>
        <w:rPr>
          <w:rFonts w:cs="Arial"/>
          <w:sz w:val="18"/>
          <w:szCs w:val="18"/>
          <w:lang w:val="ru-RU"/>
        </w:rPr>
      </w:pPr>
      <w:r w:rsidRPr="00694ACA">
        <w:rPr>
          <w:rFonts w:cs="Arial"/>
          <w:sz w:val="18"/>
          <w:szCs w:val="18"/>
          <w:lang w:val="ru-RU"/>
        </w:rPr>
        <w:br w:type="page"/>
      </w:r>
    </w:p>
    <w:p w14:paraId="357D76F3" w14:textId="7B7F5985" w:rsidR="00C0231C" w:rsidRPr="00694ACA" w:rsidRDefault="002070D4" w:rsidP="00C0231C">
      <w:pPr>
        <w:pStyle w:val="Heading1"/>
        <w:rPr>
          <w:lang w:val="ru-RU"/>
        </w:rPr>
      </w:pPr>
      <w:bookmarkStart w:id="31" w:name="_Toc71060737"/>
      <w:bookmarkEnd w:id="21"/>
      <w:bookmarkEnd w:id="22"/>
      <w:bookmarkEnd w:id="23"/>
      <w:bookmarkEnd w:id="24"/>
      <w:bookmarkEnd w:id="25"/>
      <w:bookmarkEnd w:id="26"/>
      <w:r w:rsidRPr="00694ACA">
        <w:rPr>
          <w:lang w:val="ru-RU"/>
        </w:rPr>
        <w:lastRenderedPageBreak/>
        <w:t>Резюме</w:t>
      </w:r>
      <w:bookmarkEnd w:id="31"/>
    </w:p>
    <w:p w14:paraId="0D48AB56" w14:textId="410F76EA" w:rsidR="002070D4" w:rsidRPr="00694ACA" w:rsidRDefault="00701950" w:rsidP="002070D4">
      <w:pPr>
        <w:ind w:left="-284" w:right="-472"/>
        <w:rPr>
          <w:lang w:val="ru-RU"/>
        </w:rPr>
      </w:pPr>
      <w:r w:rsidRPr="00694ACA">
        <w:rPr>
          <w:lang w:val="ru-RU"/>
        </w:rPr>
        <w:t xml:space="preserve">1. </w:t>
      </w:r>
      <w:r w:rsidR="002070D4" w:rsidRPr="00694ACA">
        <w:rPr>
          <w:lang w:val="ru-RU"/>
        </w:rPr>
        <w:t xml:space="preserve">Настоящий </w:t>
      </w:r>
      <w:r w:rsidR="009C2CFD" w:rsidRPr="00694ACA">
        <w:rPr>
          <w:lang w:val="ru-RU"/>
        </w:rPr>
        <w:t>отчет</w:t>
      </w:r>
      <w:r w:rsidR="002070D4" w:rsidRPr="00694ACA">
        <w:rPr>
          <w:lang w:val="ru-RU"/>
        </w:rPr>
        <w:t xml:space="preserve"> подготовлен </w:t>
      </w:r>
      <w:r w:rsidR="009C2CFD" w:rsidRPr="00694ACA">
        <w:rPr>
          <w:lang w:val="ru-RU"/>
        </w:rPr>
        <w:t>в рамках договора с</w:t>
      </w:r>
      <w:r w:rsidR="002070D4" w:rsidRPr="00694ACA">
        <w:rPr>
          <w:lang w:val="ru-RU"/>
        </w:rPr>
        <w:t xml:space="preserve"> МСЭ CTR-S-BDT-2020-007 о проведении технико-экономического обоснования создания</w:t>
      </w:r>
      <w:r w:rsidR="00595059" w:rsidRPr="00694ACA">
        <w:rPr>
          <w:lang w:val="ru-RU"/>
        </w:rPr>
        <w:t xml:space="preserve"> в</w:t>
      </w:r>
      <w:r w:rsidR="002070D4" w:rsidRPr="00694ACA">
        <w:rPr>
          <w:lang w:val="ru-RU"/>
        </w:rPr>
        <w:t xml:space="preserve"> </w:t>
      </w:r>
      <w:r w:rsidR="00595059" w:rsidRPr="00694ACA">
        <w:rPr>
          <w:lang w:val="ru-RU"/>
        </w:rPr>
        <w:t xml:space="preserve">МСЭ </w:t>
      </w:r>
      <w:r w:rsidR="002070D4" w:rsidRPr="00694ACA">
        <w:rPr>
          <w:lang w:val="ru-RU"/>
        </w:rPr>
        <w:t>института</w:t>
      </w:r>
      <w:r w:rsidR="00595059" w:rsidRPr="00694ACA">
        <w:rPr>
          <w:lang w:val="ru-RU"/>
        </w:rPr>
        <w:t xml:space="preserve"> профессиональной подготовки</w:t>
      </w:r>
      <w:r w:rsidR="002070D4" w:rsidRPr="00694ACA">
        <w:rPr>
          <w:lang w:val="ru-RU"/>
        </w:rPr>
        <w:t xml:space="preserve">. В </w:t>
      </w:r>
      <w:r w:rsidR="007F5539" w:rsidRPr="00694ACA">
        <w:rPr>
          <w:lang w:val="ru-RU"/>
        </w:rPr>
        <w:t xml:space="preserve">техническом задании </w:t>
      </w:r>
      <w:r w:rsidR="002070D4" w:rsidRPr="00694ACA">
        <w:rPr>
          <w:lang w:val="ru-RU"/>
        </w:rPr>
        <w:t>(</w:t>
      </w:r>
      <w:r w:rsidR="00595059" w:rsidRPr="00694ACA">
        <w:rPr>
          <w:lang w:val="ru-RU"/>
        </w:rPr>
        <w:t xml:space="preserve">Приложение </w:t>
      </w:r>
      <w:r w:rsidR="002070D4" w:rsidRPr="00694ACA">
        <w:rPr>
          <w:lang w:val="ru-RU"/>
        </w:rPr>
        <w:t xml:space="preserve">1) указывается, что </w:t>
      </w:r>
      <w:r w:rsidR="00595059" w:rsidRPr="00694ACA">
        <w:rPr>
          <w:lang w:val="ru-RU"/>
        </w:rPr>
        <w:t>отчет</w:t>
      </w:r>
      <w:r w:rsidR="002070D4" w:rsidRPr="00694ACA">
        <w:rPr>
          <w:lang w:val="ru-RU"/>
        </w:rPr>
        <w:t xml:space="preserve"> должен включать: контекст и справочную информацию, обзор существующих возможностей развития потенциала в рамках МСЭ, выявление пробелов и областей, требующих улучшения, </w:t>
      </w:r>
      <w:r w:rsidR="00595059" w:rsidRPr="00694ACA">
        <w:rPr>
          <w:lang w:val="ru-RU"/>
        </w:rPr>
        <w:t>информацию о потребности в</w:t>
      </w:r>
      <w:r w:rsidR="002070D4" w:rsidRPr="00694ACA">
        <w:rPr>
          <w:lang w:val="ru-RU"/>
        </w:rPr>
        <w:t xml:space="preserve"> нов</w:t>
      </w:r>
      <w:r w:rsidR="00595059" w:rsidRPr="00694ACA">
        <w:rPr>
          <w:lang w:val="ru-RU"/>
        </w:rPr>
        <w:t>ом</w:t>
      </w:r>
      <w:r w:rsidR="002070D4" w:rsidRPr="00694ACA">
        <w:rPr>
          <w:lang w:val="ru-RU"/>
        </w:rPr>
        <w:t xml:space="preserve"> институт</w:t>
      </w:r>
      <w:r w:rsidR="00595059" w:rsidRPr="00694ACA">
        <w:rPr>
          <w:lang w:val="ru-RU"/>
        </w:rPr>
        <w:t>е профессиональной подготовки,</w:t>
      </w:r>
      <w:r w:rsidR="002070D4" w:rsidRPr="00694ACA">
        <w:rPr>
          <w:lang w:val="ru-RU"/>
        </w:rPr>
        <w:t xml:space="preserve"> </w:t>
      </w:r>
      <w:r w:rsidR="00595059" w:rsidRPr="00694ACA">
        <w:rPr>
          <w:lang w:val="ru-RU"/>
        </w:rPr>
        <w:t>необходимых</w:t>
      </w:r>
      <w:r w:rsidR="002070D4" w:rsidRPr="00694ACA">
        <w:rPr>
          <w:lang w:val="ru-RU"/>
        </w:rPr>
        <w:t xml:space="preserve"> ресурсах, альтернативны</w:t>
      </w:r>
      <w:r w:rsidR="00595059" w:rsidRPr="00694ACA">
        <w:rPr>
          <w:lang w:val="ru-RU"/>
        </w:rPr>
        <w:t>х</w:t>
      </w:r>
      <w:r w:rsidR="002070D4" w:rsidRPr="00694ACA">
        <w:rPr>
          <w:lang w:val="ru-RU"/>
        </w:rPr>
        <w:t xml:space="preserve"> вариант</w:t>
      </w:r>
      <w:r w:rsidR="00595059" w:rsidRPr="00694ACA">
        <w:rPr>
          <w:lang w:val="ru-RU"/>
        </w:rPr>
        <w:t>ах,</w:t>
      </w:r>
      <w:r w:rsidR="002070D4" w:rsidRPr="00694ACA">
        <w:rPr>
          <w:lang w:val="ru-RU"/>
        </w:rPr>
        <w:t xml:space="preserve"> </w:t>
      </w:r>
      <w:r w:rsidR="00595059" w:rsidRPr="00694ACA">
        <w:rPr>
          <w:lang w:val="ru-RU"/>
        </w:rPr>
        <w:t>а также</w:t>
      </w:r>
      <w:r w:rsidR="002070D4" w:rsidRPr="00694ACA">
        <w:rPr>
          <w:lang w:val="ru-RU"/>
        </w:rPr>
        <w:t xml:space="preserve"> рекомендации. </w:t>
      </w:r>
      <w:r w:rsidR="00595059" w:rsidRPr="00694ACA">
        <w:rPr>
          <w:lang w:val="ru-RU"/>
        </w:rPr>
        <w:t>Тем не менее</w:t>
      </w:r>
      <w:r w:rsidR="002070D4" w:rsidRPr="00694ACA">
        <w:rPr>
          <w:lang w:val="ru-RU"/>
        </w:rPr>
        <w:t xml:space="preserve">, </w:t>
      </w:r>
      <w:r w:rsidR="00595059" w:rsidRPr="00694ACA">
        <w:rPr>
          <w:lang w:val="ru-RU"/>
        </w:rPr>
        <w:t>в значительной степени отчет посвящен вопросу</w:t>
      </w:r>
      <w:r w:rsidR="002070D4" w:rsidRPr="00694ACA">
        <w:rPr>
          <w:lang w:val="ru-RU"/>
        </w:rPr>
        <w:t xml:space="preserve"> </w:t>
      </w:r>
      <w:r w:rsidR="00595059" w:rsidRPr="00694ACA">
        <w:rPr>
          <w:lang w:val="ru-RU"/>
        </w:rPr>
        <w:t>возможного</w:t>
      </w:r>
      <w:r w:rsidR="002070D4" w:rsidRPr="00694ACA">
        <w:rPr>
          <w:lang w:val="ru-RU"/>
        </w:rPr>
        <w:t xml:space="preserve"> создани</w:t>
      </w:r>
      <w:r w:rsidR="00595059" w:rsidRPr="00694ACA">
        <w:rPr>
          <w:lang w:val="ru-RU"/>
        </w:rPr>
        <w:t>я</w:t>
      </w:r>
      <w:r w:rsidR="002070D4" w:rsidRPr="00694ACA">
        <w:rPr>
          <w:lang w:val="ru-RU"/>
        </w:rPr>
        <w:t xml:space="preserve"> </w:t>
      </w:r>
      <w:r w:rsidR="00595059" w:rsidRPr="00694ACA">
        <w:rPr>
          <w:lang w:val="ru-RU"/>
        </w:rPr>
        <w:t>института профессиональной подготовки</w:t>
      </w:r>
      <w:r w:rsidR="002070D4" w:rsidRPr="00694ACA">
        <w:rPr>
          <w:lang w:val="ru-RU"/>
        </w:rPr>
        <w:t>.</w:t>
      </w:r>
    </w:p>
    <w:p w14:paraId="3969A566" w14:textId="6F711FD6" w:rsidR="00701950" w:rsidRPr="00694ACA" w:rsidRDefault="00C17E40" w:rsidP="00C17E40">
      <w:pPr>
        <w:ind w:left="-284" w:right="-472"/>
        <w:rPr>
          <w:lang w:val="ru-RU"/>
        </w:rPr>
      </w:pPr>
      <w:r w:rsidRPr="00694ACA">
        <w:rPr>
          <w:lang w:val="ru-RU"/>
        </w:rPr>
        <w:t xml:space="preserve">2. </w:t>
      </w:r>
      <w:r w:rsidR="002070D4" w:rsidRPr="00694ACA">
        <w:rPr>
          <w:lang w:val="ru-RU"/>
        </w:rPr>
        <w:t xml:space="preserve">В </w:t>
      </w:r>
      <w:r w:rsidR="00595059" w:rsidRPr="00694ACA">
        <w:rPr>
          <w:lang w:val="ru-RU"/>
        </w:rPr>
        <w:t>отчете</w:t>
      </w:r>
      <w:r w:rsidR="002070D4" w:rsidRPr="00694ACA">
        <w:rPr>
          <w:lang w:val="ru-RU"/>
        </w:rPr>
        <w:t xml:space="preserve"> содержатся рекомендации относительно предполагаемой направленности деятельности МСЭ, связанной с развитием потенциала и </w:t>
      </w:r>
      <w:r w:rsidR="00DA4721" w:rsidRPr="00694ACA">
        <w:rPr>
          <w:lang w:val="ru-RU"/>
        </w:rPr>
        <w:t>профессиональной подготовкой</w:t>
      </w:r>
      <w:r w:rsidR="002070D4" w:rsidRPr="00694ACA">
        <w:rPr>
          <w:lang w:val="ru-RU"/>
        </w:rPr>
        <w:t xml:space="preserve">. В нем </w:t>
      </w:r>
      <w:r w:rsidR="00595059" w:rsidRPr="00694ACA">
        <w:rPr>
          <w:lang w:val="ru-RU"/>
        </w:rPr>
        <w:t>указывается на</w:t>
      </w:r>
      <w:r w:rsidR="002070D4" w:rsidRPr="00694ACA">
        <w:rPr>
          <w:lang w:val="ru-RU"/>
        </w:rPr>
        <w:t xml:space="preserve"> важное различие между тремя </w:t>
      </w:r>
      <w:r w:rsidR="00595059" w:rsidRPr="00694ACA">
        <w:rPr>
          <w:lang w:val="ru-RU"/>
        </w:rPr>
        <w:t>аспектами</w:t>
      </w:r>
      <w:r w:rsidR="002070D4" w:rsidRPr="00694ACA">
        <w:rPr>
          <w:lang w:val="ru-RU"/>
        </w:rPr>
        <w:t xml:space="preserve"> развития потенциала, а именно</w:t>
      </w:r>
      <w:r w:rsidR="00595059" w:rsidRPr="00694ACA">
        <w:rPr>
          <w:lang w:val="ru-RU"/>
        </w:rPr>
        <w:t>:</w:t>
      </w:r>
    </w:p>
    <w:p w14:paraId="2A23E57A" w14:textId="40A7B1E3" w:rsidR="00701950" w:rsidRPr="00694ACA" w:rsidRDefault="00606ABC" w:rsidP="00701950">
      <w:pPr>
        <w:pStyle w:val="ListParagraph"/>
        <w:numPr>
          <w:ilvl w:val="0"/>
          <w:numId w:val="20"/>
        </w:numPr>
        <w:ind w:right="-472"/>
        <w:rPr>
          <w:b/>
          <w:bCs/>
          <w:lang w:val="ru-RU"/>
        </w:rPr>
      </w:pPr>
      <w:r w:rsidRPr="00694ACA">
        <w:rPr>
          <w:i/>
          <w:iCs/>
          <w:lang w:val="ru-RU"/>
        </w:rPr>
        <w:t xml:space="preserve">институциональный </w:t>
      </w:r>
      <w:r w:rsidR="002070D4" w:rsidRPr="00694ACA">
        <w:rPr>
          <w:lang w:val="ru-RU"/>
        </w:rPr>
        <w:t>(благоприятная среда</w:t>
      </w:r>
      <w:r w:rsidR="00C632C5" w:rsidRPr="00694ACA">
        <w:rPr>
          <w:lang w:val="ru-RU"/>
        </w:rPr>
        <w:t xml:space="preserve">, включающая людей и </w:t>
      </w:r>
      <w:r w:rsidR="002070D4" w:rsidRPr="00694ACA">
        <w:rPr>
          <w:lang w:val="ru-RU"/>
        </w:rPr>
        <w:t>организаци</w:t>
      </w:r>
      <w:r w:rsidR="00C632C5" w:rsidRPr="00694ACA">
        <w:rPr>
          <w:lang w:val="ru-RU"/>
        </w:rPr>
        <w:t>и</w:t>
      </w:r>
      <w:r w:rsidR="002070D4" w:rsidRPr="00694ACA">
        <w:rPr>
          <w:lang w:val="ru-RU"/>
        </w:rPr>
        <w:t xml:space="preserve">, которая </w:t>
      </w:r>
      <w:r w:rsidR="00C632C5" w:rsidRPr="00694ACA">
        <w:rPr>
          <w:lang w:val="ru-RU"/>
        </w:rPr>
        <w:t>устанавливает</w:t>
      </w:r>
      <w:r w:rsidR="002070D4" w:rsidRPr="00694ACA">
        <w:rPr>
          <w:lang w:val="ru-RU"/>
        </w:rPr>
        <w:t xml:space="preserve"> общую основу для развития потенциала, </w:t>
      </w:r>
      <w:r w:rsidR="00C632C5" w:rsidRPr="00694ACA">
        <w:rPr>
          <w:lang w:val="ru-RU"/>
        </w:rPr>
        <w:t xml:space="preserve">в том числе </w:t>
      </w:r>
      <w:r w:rsidR="002070D4" w:rsidRPr="00694ACA">
        <w:rPr>
          <w:lang w:val="ru-RU"/>
        </w:rPr>
        <w:t>закон</w:t>
      </w:r>
      <w:r w:rsidR="00595059" w:rsidRPr="00694ACA">
        <w:rPr>
          <w:lang w:val="ru-RU"/>
        </w:rPr>
        <w:t>одательство</w:t>
      </w:r>
      <w:r w:rsidR="002070D4" w:rsidRPr="00694ACA">
        <w:rPr>
          <w:lang w:val="ru-RU"/>
        </w:rPr>
        <w:t xml:space="preserve">, </w:t>
      </w:r>
      <w:r w:rsidR="00595059" w:rsidRPr="00694ACA">
        <w:rPr>
          <w:lang w:val="ru-RU"/>
        </w:rPr>
        <w:t>нормы</w:t>
      </w:r>
      <w:r w:rsidR="002070D4" w:rsidRPr="00694ACA">
        <w:rPr>
          <w:lang w:val="ru-RU"/>
        </w:rPr>
        <w:t>, политику и властные отношения в стране);</w:t>
      </w:r>
    </w:p>
    <w:p w14:paraId="6D9CABBD" w14:textId="54575004" w:rsidR="00701950" w:rsidRPr="00694ACA" w:rsidRDefault="00606ABC" w:rsidP="00701950">
      <w:pPr>
        <w:pStyle w:val="ListParagraph"/>
        <w:numPr>
          <w:ilvl w:val="0"/>
          <w:numId w:val="20"/>
        </w:numPr>
        <w:ind w:right="-472"/>
        <w:rPr>
          <w:lang w:val="ru-RU"/>
        </w:rPr>
      </w:pPr>
      <w:r w:rsidRPr="00694ACA">
        <w:rPr>
          <w:i/>
          <w:iCs/>
          <w:lang w:val="ru-RU"/>
        </w:rPr>
        <w:t>организационный</w:t>
      </w:r>
      <w:r w:rsidRPr="00694ACA">
        <w:rPr>
          <w:lang w:val="ru-RU"/>
        </w:rPr>
        <w:t xml:space="preserve"> </w:t>
      </w:r>
      <w:r w:rsidR="002070D4" w:rsidRPr="00694ACA">
        <w:rPr>
          <w:lang w:val="ru-RU"/>
        </w:rPr>
        <w:t xml:space="preserve">(внутренние структуры, </w:t>
      </w:r>
      <w:r w:rsidR="00595059" w:rsidRPr="00694ACA">
        <w:rPr>
          <w:lang w:val="ru-RU"/>
        </w:rPr>
        <w:t>стратегии</w:t>
      </w:r>
      <w:r w:rsidR="002070D4" w:rsidRPr="00694ACA">
        <w:rPr>
          <w:lang w:val="ru-RU"/>
        </w:rPr>
        <w:t xml:space="preserve"> и процедуры, которые определяют эффективн</w:t>
      </w:r>
      <w:r w:rsidR="00595059" w:rsidRPr="00694ACA">
        <w:rPr>
          <w:lang w:val="ru-RU"/>
        </w:rPr>
        <w:t>ость</w:t>
      </w:r>
      <w:r w:rsidR="002070D4" w:rsidRPr="00694ACA">
        <w:rPr>
          <w:lang w:val="ru-RU"/>
        </w:rPr>
        <w:t xml:space="preserve"> организаци</w:t>
      </w:r>
      <w:r w:rsidR="00595059" w:rsidRPr="00694ACA">
        <w:rPr>
          <w:lang w:val="ru-RU"/>
        </w:rPr>
        <w:t>й</w:t>
      </w:r>
      <w:r w:rsidR="002070D4" w:rsidRPr="00694ACA">
        <w:rPr>
          <w:lang w:val="ru-RU"/>
        </w:rPr>
        <w:t xml:space="preserve">); </w:t>
      </w:r>
      <w:r w:rsidRPr="00694ACA">
        <w:rPr>
          <w:lang w:val="ru-RU"/>
        </w:rPr>
        <w:t>а также</w:t>
      </w:r>
    </w:p>
    <w:p w14:paraId="2E89977E" w14:textId="190F4D8D" w:rsidR="00701950" w:rsidRPr="00694ACA" w:rsidRDefault="00606ABC" w:rsidP="00595059">
      <w:pPr>
        <w:pStyle w:val="ListParagraph"/>
        <w:numPr>
          <w:ilvl w:val="0"/>
          <w:numId w:val="20"/>
        </w:numPr>
        <w:spacing w:after="240"/>
        <w:ind w:left="431" w:right="-471" w:hanging="357"/>
        <w:rPr>
          <w:lang w:val="ru-RU"/>
        </w:rPr>
      </w:pPr>
      <w:r w:rsidRPr="00694ACA">
        <w:rPr>
          <w:i/>
          <w:iCs/>
          <w:lang w:val="ru-RU"/>
        </w:rPr>
        <w:t>индивидуальный</w:t>
      </w:r>
      <w:r w:rsidRPr="00694ACA">
        <w:rPr>
          <w:lang w:val="ru-RU"/>
        </w:rPr>
        <w:t xml:space="preserve"> </w:t>
      </w:r>
      <w:r w:rsidR="002070D4" w:rsidRPr="00694ACA">
        <w:rPr>
          <w:lang w:val="ru-RU"/>
        </w:rPr>
        <w:t xml:space="preserve">(навыки, опыт и знания, которые позволяют </w:t>
      </w:r>
      <w:r w:rsidR="00595059" w:rsidRPr="00694ACA">
        <w:rPr>
          <w:lang w:val="ru-RU"/>
        </w:rPr>
        <w:t>отдельному лицу</w:t>
      </w:r>
      <w:r w:rsidR="002070D4" w:rsidRPr="00694ACA">
        <w:rPr>
          <w:lang w:val="ru-RU"/>
        </w:rPr>
        <w:t xml:space="preserve"> вносить </w:t>
      </w:r>
      <w:r w:rsidR="00C632C5" w:rsidRPr="00694ACA">
        <w:rPr>
          <w:lang w:val="ru-RU"/>
        </w:rPr>
        <w:t>эффективный</w:t>
      </w:r>
      <w:r w:rsidR="002070D4" w:rsidRPr="00694ACA">
        <w:rPr>
          <w:lang w:val="ru-RU"/>
        </w:rPr>
        <w:t xml:space="preserve"> вклад).</w:t>
      </w:r>
    </w:p>
    <w:p w14:paraId="2859182E" w14:textId="576038C9" w:rsidR="002070D4" w:rsidRPr="00694ACA" w:rsidRDefault="002070D4" w:rsidP="002070D4">
      <w:pPr>
        <w:ind w:left="-284" w:right="-472"/>
        <w:rPr>
          <w:lang w:val="ru-RU"/>
        </w:rPr>
      </w:pPr>
      <w:r w:rsidRPr="00694ACA">
        <w:rPr>
          <w:lang w:val="ru-RU"/>
        </w:rPr>
        <w:t xml:space="preserve">В настоящем </w:t>
      </w:r>
      <w:r w:rsidR="00595059" w:rsidRPr="00694ACA">
        <w:rPr>
          <w:lang w:val="ru-RU"/>
        </w:rPr>
        <w:t>отчете</w:t>
      </w:r>
      <w:r w:rsidRPr="00694ACA">
        <w:rPr>
          <w:lang w:val="ru-RU"/>
        </w:rPr>
        <w:t xml:space="preserve"> </w:t>
      </w:r>
      <w:r w:rsidR="00595059" w:rsidRPr="00694ACA">
        <w:rPr>
          <w:lang w:val="ru-RU"/>
        </w:rPr>
        <w:t xml:space="preserve">МСЭ </w:t>
      </w:r>
      <w:r w:rsidRPr="00694ACA">
        <w:rPr>
          <w:lang w:val="ru-RU"/>
        </w:rPr>
        <w:t xml:space="preserve">рекомендуется </w:t>
      </w:r>
      <w:r w:rsidR="00595059" w:rsidRPr="00694ACA">
        <w:rPr>
          <w:lang w:val="ru-RU"/>
        </w:rPr>
        <w:t>сконцентрировать деятельность по</w:t>
      </w:r>
      <w:r w:rsidRPr="00694ACA">
        <w:rPr>
          <w:lang w:val="ru-RU"/>
        </w:rPr>
        <w:t xml:space="preserve"> развитию потенциала и </w:t>
      </w:r>
      <w:r w:rsidR="00DA4721" w:rsidRPr="00694ACA">
        <w:rPr>
          <w:lang w:val="ru-RU"/>
        </w:rPr>
        <w:t xml:space="preserve">профессиональной подготовке </w:t>
      </w:r>
      <w:r w:rsidR="00595059" w:rsidRPr="00694ACA">
        <w:rPr>
          <w:lang w:val="ru-RU"/>
        </w:rPr>
        <w:t>на</w:t>
      </w:r>
      <w:r w:rsidRPr="00694ACA">
        <w:rPr>
          <w:lang w:val="ru-RU"/>
        </w:rPr>
        <w:t xml:space="preserve"> </w:t>
      </w:r>
      <w:r w:rsidR="00595059" w:rsidRPr="00694ACA">
        <w:rPr>
          <w:lang w:val="ru-RU"/>
        </w:rPr>
        <w:t>значимом содействии</w:t>
      </w:r>
      <w:r w:rsidRPr="00694ACA">
        <w:rPr>
          <w:lang w:val="ru-RU"/>
        </w:rPr>
        <w:t xml:space="preserve"> правительства</w:t>
      </w:r>
      <w:r w:rsidR="00595059" w:rsidRPr="00694ACA">
        <w:rPr>
          <w:lang w:val="ru-RU"/>
        </w:rPr>
        <w:t>м</w:t>
      </w:r>
      <w:r w:rsidRPr="00694ACA">
        <w:rPr>
          <w:lang w:val="ru-RU"/>
        </w:rPr>
        <w:t xml:space="preserve"> </w:t>
      </w:r>
      <w:r w:rsidR="00595059" w:rsidRPr="00694ACA">
        <w:rPr>
          <w:lang w:val="ru-RU"/>
        </w:rPr>
        <w:t>в</w:t>
      </w:r>
      <w:r w:rsidRPr="00694ACA">
        <w:rPr>
          <w:lang w:val="ru-RU"/>
        </w:rPr>
        <w:t xml:space="preserve"> эффективно</w:t>
      </w:r>
      <w:r w:rsidR="00595059" w:rsidRPr="00694ACA">
        <w:rPr>
          <w:lang w:val="ru-RU"/>
        </w:rPr>
        <w:t>м</w:t>
      </w:r>
      <w:r w:rsidRPr="00694ACA">
        <w:rPr>
          <w:lang w:val="ru-RU"/>
        </w:rPr>
        <w:t xml:space="preserve"> обеспеч</w:t>
      </w:r>
      <w:r w:rsidR="00595059" w:rsidRPr="00694ACA">
        <w:rPr>
          <w:lang w:val="ru-RU"/>
        </w:rPr>
        <w:t>ении</w:t>
      </w:r>
      <w:r w:rsidRPr="00694ACA">
        <w:rPr>
          <w:lang w:val="ru-RU"/>
        </w:rPr>
        <w:t xml:space="preserve"> надлежаще</w:t>
      </w:r>
      <w:r w:rsidR="00595059" w:rsidRPr="00694ACA">
        <w:rPr>
          <w:lang w:val="ru-RU"/>
        </w:rPr>
        <w:t>го</w:t>
      </w:r>
      <w:r w:rsidRPr="00694ACA">
        <w:rPr>
          <w:lang w:val="ru-RU"/>
        </w:rPr>
        <w:t xml:space="preserve"> и справедливо</w:t>
      </w:r>
      <w:r w:rsidR="00595059" w:rsidRPr="00694ACA">
        <w:rPr>
          <w:lang w:val="ru-RU"/>
        </w:rPr>
        <w:t>го</w:t>
      </w:r>
      <w:r w:rsidRPr="00694ACA">
        <w:rPr>
          <w:lang w:val="ru-RU"/>
        </w:rPr>
        <w:t xml:space="preserve"> использовани</w:t>
      </w:r>
      <w:r w:rsidR="00595059" w:rsidRPr="00694ACA">
        <w:rPr>
          <w:lang w:val="ru-RU"/>
        </w:rPr>
        <w:t>я</w:t>
      </w:r>
      <w:r w:rsidRPr="00694ACA">
        <w:rPr>
          <w:lang w:val="ru-RU"/>
        </w:rPr>
        <w:t xml:space="preserve"> цифровых технологий и </w:t>
      </w:r>
      <w:r w:rsidR="00595059" w:rsidRPr="00694ACA">
        <w:rPr>
          <w:lang w:val="ru-RU"/>
        </w:rPr>
        <w:t>электросвязи</w:t>
      </w:r>
      <w:r w:rsidRPr="00694ACA">
        <w:rPr>
          <w:lang w:val="ru-RU"/>
        </w:rPr>
        <w:t xml:space="preserve"> для все</w:t>
      </w:r>
      <w:r w:rsidR="00595059" w:rsidRPr="00694ACA">
        <w:rPr>
          <w:lang w:val="ru-RU"/>
        </w:rPr>
        <w:t>го</w:t>
      </w:r>
      <w:r w:rsidRPr="00694ACA">
        <w:rPr>
          <w:lang w:val="ru-RU"/>
        </w:rPr>
        <w:t xml:space="preserve"> </w:t>
      </w:r>
      <w:r w:rsidR="00595059" w:rsidRPr="00694ACA">
        <w:rPr>
          <w:lang w:val="ru-RU"/>
        </w:rPr>
        <w:t>населения</w:t>
      </w:r>
      <w:r w:rsidRPr="00694ACA">
        <w:rPr>
          <w:lang w:val="ru-RU"/>
        </w:rPr>
        <w:t>,</w:t>
      </w:r>
      <w:r w:rsidR="00595059" w:rsidRPr="00694ACA">
        <w:rPr>
          <w:lang w:val="ru-RU"/>
        </w:rPr>
        <w:t xml:space="preserve"> пр</w:t>
      </w:r>
      <w:r w:rsidR="00DA4721" w:rsidRPr="00694ACA">
        <w:rPr>
          <w:lang w:val="ru-RU"/>
        </w:rPr>
        <w:t>о</w:t>
      </w:r>
      <w:r w:rsidR="00595059" w:rsidRPr="00694ACA">
        <w:rPr>
          <w:lang w:val="ru-RU"/>
        </w:rPr>
        <w:t>живающего на их территории,</w:t>
      </w:r>
      <w:r w:rsidRPr="00694ACA">
        <w:rPr>
          <w:lang w:val="ru-RU"/>
        </w:rPr>
        <w:t xml:space="preserve"> а не </w:t>
      </w:r>
      <w:r w:rsidR="00DA4721" w:rsidRPr="00694ACA">
        <w:rPr>
          <w:lang w:val="ru-RU"/>
        </w:rPr>
        <w:t>на</w:t>
      </w:r>
      <w:r w:rsidRPr="00694ACA">
        <w:rPr>
          <w:lang w:val="ru-RU"/>
        </w:rPr>
        <w:t xml:space="preserve"> </w:t>
      </w:r>
      <w:r w:rsidR="00DA4721" w:rsidRPr="00694ACA">
        <w:rPr>
          <w:lang w:val="ru-RU"/>
        </w:rPr>
        <w:t xml:space="preserve">усилиях по </w:t>
      </w:r>
      <w:r w:rsidRPr="00694ACA">
        <w:rPr>
          <w:lang w:val="ru-RU"/>
        </w:rPr>
        <w:t>непосредственно</w:t>
      </w:r>
      <w:r w:rsidR="00DA4721" w:rsidRPr="00694ACA">
        <w:rPr>
          <w:lang w:val="ru-RU"/>
        </w:rPr>
        <w:t>му</w:t>
      </w:r>
      <w:r w:rsidRPr="00694ACA">
        <w:rPr>
          <w:lang w:val="ru-RU"/>
        </w:rPr>
        <w:t xml:space="preserve"> обеспеч</w:t>
      </w:r>
      <w:r w:rsidR="00DA4721" w:rsidRPr="00694ACA">
        <w:rPr>
          <w:lang w:val="ru-RU"/>
        </w:rPr>
        <w:t>ению</w:t>
      </w:r>
      <w:r w:rsidRPr="00694ACA">
        <w:rPr>
          <w:lang w:val="ru-RU"/>
        </w:rPr>
        <w:t xml:space="preserve"> развити</w:t>
      </w:r>
      <w:r w:rsidR="00DA4721" w:rsidRPr="00694ACA">
        <w:rPr>
          <w:lang w:val="ru-RU"/>
        </w:rPr>
        <w:t>я</w:t>
      </w:r>
      <w:r w:rsidRPr="00694ACA">
        <w:rPr>
          <w:lang w:val="ru-RU"/>
        </w:rPr>
        <w:t xml:space="preserve"> потенциала и </w:t>
      </w:r>
      <w:r w:rsidR="00DA4721" w:rsidRPr="00694ACA">
        <w:rPr>
          <w:lang w:val="ru-RU"/>
        </w:rPr>
        <w:t xml:space="preserve">профессиональной </w:t>
      </w:r>
      <w:r w:rsidRPr="00694ACA">
        <w:rPr>
          <w:lang w:val="ru-RU"/>
        </w:rPr>
        <w:t>подготовк</w:t>
      </w:r>
      <w:r w:rsidR="00DA4721" w:rsidRPr="00694ACA">
        <w:rPr>
          <w:lang w:val="ru-RU"/>
        </w:rPr>
        <w:t>е</w:t>
      </w:r>
      <w:r w:rsidRPr="00694ACA">
        <w:rPr>
          <w:lang w:val="ru-RU"/>
        </w:rPr>
        <w:t xml:space="preserve"> отдельных </w:t>
      </w:r>
      <w:r w:rsidR="00DA4721" w:rsidRPr="00694ACA">
        <w:rPr>
          <w:lang w:val="ru-RU"/>
        </w:rPr>
        <w:t>лиц</w:t>
      </w:r>
      <w:r w:rsidRPr="00694ACA">
        <w:rPr>
          <w:lang w:val="ru-RU"/>
        </w:rPr>
        <w:t xml:space="preserve"> во всем мире.</w:t>
      </w:r>
    </w:p>
    <w:p w14:paraId="7E1FF9BC" w14:textId="44705C6D" w:rsidR="00C17E40" w:rsidRPr="00694ACA" w:rsidRDefault="00C17E40" w:rsidP="00C17E40">
      <w:pPr>
        <w:ind w:left="-284" w:right="-472"/>
        <w:rPr>
          <w:lang w:val="ru-RU"/>
        </w:rPr>
      </w:pPr>
      <w:r w:rsidRPr="00694ACA">
        <w:rPr>
          <w:lang w:val="ru-RU"/>
        </w:rPr>
        <w:t xml:space="preserve">3. </w:t>
      </w:r>
      <w:r w:rsidR="002070D4" w:rsidRPr="00694ACA">
        <w:rPr>
          <w:lang w:val="ru-RU"/>
        </w:rPr>
        <w:t xml:space="preserve">В </w:t>
      </w:r>
      <w:r w:rsidR="00DA4721" w:rsidRPr="00694ACA">
        <w:rPr>
          <w:lang w:val="ru-RU"/>
        </w:rPr>
        <w:t>отчете</w:t>
      </w:r>
      <w:r w:rsidR="002070D4" w:rsidRPr="00694ACA">
        <w:rPr>
          <w:lang w:val="ru-RU"/>
        </w:rPr>
        <w:t xml:space="preserve"> </w:t>
      </w:r>
      <w:r w:rsidR="00DA4721" w:rsidRPr="00694ACA">
        <w:rPr>
          <w:lang w:val="ru-RU"/>
        </w:rPr>
        <w:t>отмечаются</w:t>
      </w:r>
      <w:r w:rsidR="002070D4" w:rsidRPr="00694ACA">
        <w:rPr>
          <w:lang w:val="ru-RU"/>
        </w:rPr>
        <w:t xml:space="preserve"> и приветствуются недавние улучшения в осуществлении мероприятий по развитию потенциала и </w:t>
      </w:r>
      <w:r w:rsidR="00DA4721" w:rsidRPr="00694ACA">
        <w:rPr>
          <w:lang w:val="ru-RU"/>
        </w:rPr>
        <w:t>профессиональной подготовке</w:t>
      </w:r>
      <w:r w:rsidR="002070D4" w:rsidRPr="00694ACA">
        <w:rPr>
          <w:lang w:val="ru-RU"/>
        </w:rPr>
        <w:t>, проводимых БР</w:t>
      </w:r>
      <w:r w:rsidR="00DA4721" w:rsidRPr="00694ACA">
        <w:rPr>
          <w:lang w:val="ru-RU"/>
        </w:rPr>
        <w:t>Э</w:t>
      </w:r>
      <w:r w:rsidR="002070D4" w:rsidRPr="00694ACA">
        <w:rPr>
          <w:lang w:val="ru-RU"/>
        </w:rPr>
        <w:t xml:space="preserve">, БР и </w:t>
      </w:r>
      <w:r w:rsidR="00DA4721" w:rsidRPr="00694ACA">
        <w:rPr>
          <w:lang w:val="ru-RU"/>
        </w:rPr>
        <w:t>БСЭ</w:t>
      </w:r>
      <w:r w:rsidR="002070D4" w:rsidRPr="00694ACA">
        <w:rPr>
          <w:lang w:val="ru-RU"/>
        </w:rPr>
        <w:t xml:space="preserve"> (пункты 28</w:t>
      </w:r>
      <w:r w:rsidR="00457486" w:rsidRPr="00694ACA">
        <w:rPr>
          <w:lang w:val="ru-RU"/>
        </w:rPr>
        <w:t>−</w:t>
      </w:r>
      <w:r w:rsidR="002070D4" w:rsidRPr="00694ACA">
        <w:rPr>
          <w:lang w:val="ru-RU"/>
        </w:rPr>
        <w:t xml:space="preserve">31). В частности, отмечается шесть основных </w:t>
      </w:r>
      <w:r w:rsidR="00DA4721" w:rsidRPr="00694ACA">
        <w:rPr>
          <w:lang w:val="ru-RU"/>
        </w:rPr>
        <w:t>преимуществ</w:t>
      </w:r>
      <w:r w:rsidR="002070D4" w:rsidRPr="00694ACA">
        <w:rPr>
          <w:lang w:val="ru-RU"/>
        </w:rPr>
        <w:t xml:space="preserve"> </w:t>
      </w:r>
      <w:r w:rsidR="00DA4721" w:rsidRPr="00694ACA">
        <w:rPr>
          <w:lang w:val="ru-RU"/>
        </w:rPr>
        <w:t>деятельности</w:t>
      </w:r>
      <w:r w:rsidR="002070D4" w:rsidRPr="00694ACA">
        <w:rPr>
          <w:lang w:val="ru-RU"/>
        </w:rPr>
        <w:t xml:space="preserve"> МСЭ (пункт 64):</w:t>
      </w:r>
    </w:p>
    <w:p w14:paraId="2BBC9284" w14:textId="68380C8B" w:rsidR="00C17E40" w:rsidRPr="00694ACA" w:rsidRDefault="00606ABC" w:rsidP="00C17E40">
      <w:pPr>
        <w:pStyle w:val="ListParagraph"/>
        <w:numPr>
          <w:ilvl w:val="0"/>
          <w:numId w:val="21"/>
        </w:numPr>
        <w:ind w:right="-472"/>
        <w:rPr>
          <w:lang w:val="ru-RU"/>
        </w:rPr>
      </w:pPr>
      <w:r w:rsidRPr="00694ACA">
        <w:rPr>
          <w:lang w:val="ru-RU"/>
        </w:rPr>
        <w:t xml:space="preserve">имидж </w:t>
      </w:r>
      <w:r w:rsidR="002070D4" w:rsidRPr="00694ACA">
        <w:rPr>
          <w:lang w:val="ru-RU"/>
        </w:rPr>
        <w:t xml:space="preserve">МСЭ как надежного поставщика услуг по развитию потенциала и </w:t>
      </w:r>
      <w:r w:rsidR="00DA4721" w:rsidRPr="00694ACA">
        <w:rPr>
          <w:lang w:val="ru-RU"/>
        </w:rPr>
        <w:t>профессиональной подготовке</w:t>
      </w:r>
      <w:r w:rsidR="002070D4" w:rsidRPr="00694ACA">
        <w:rPr>
          <w:lang w:val="ru-RU"/>
        </w:rPr>
        <w:t>;</w:t>
      </w:r>
    </w:p>
    <w:p w14:paraId="7C4D971C" w14:textId="38C45126" w:rsidR="00C17E40" w:rsidRPr="00694ACA" w:rsidRDefault="00606ABC" w:rsidP="00C17E40">
      <w:pPr>
        <w:pStyle w:val="ListParagraph"/>
        <w:numPr>
          <w:ilvl w:val="0"/>
          <w:numId w:val="21"/>
        </w:numPr>
        <w:ind w:right="-472"/>
        <w:rPr>
          <w:lang w:val="ru-RU"/>
        </w:rPr>
      </w:pPr>
      <w:r w:rsidRPr="00694ACA">
        <w:rPr>
          <w:lang w:val="ru-RU"/>
        </w:rPr>
        <w:t xml:space="preserve">оценка </w:t>
      </w:r>
      <w:r w:rsidR="002070D4" w:rsidRPr="00694ACA">
        <w:rPr>
          <w:lang w:val="ru-RU"/>
        </w:rPr>
        <w:t xml:space="preserve">пользователями </w:t>
      </w:r>
      <w:r w:rsidR="00DA4721" w:rsidRPr="00694ACA">
        <w:rPr>
          <w:lang w:val="ru-RU"/>
        </w:rPr>
        <w:t xml:space="preserve">предоставляемых в настоящее время услуг как </w:t>
      </w:r>
      <w:r w:rsidR="002070D4" w:rsidRPr="00694ACA">
        <w:rPr>
          <w:lang w:val="ru-RU"/>
        </w:rPr>
        <w:t>качеств</w:t>
      </w:r>
      <w:r w:rsidR="00DA4721" w:rsidRPr="00694ACA">
        <w:rPr>
          <w:lang w:val="ru-RU"/>
        </w:rPr>
        <w:t>енных</w:t>
      </w:r>
      <w:r w:rsidR="002070D4" w:rsidRPr="00694ACA">
        <w:rPr>
          <w:lang w:val="ru-RU"/>
        </w:rPr>
        <w:t xml:space="preserve"> и актуальн</w:t>
      </w:r>
      <w:r w:rsidR="00DA4721" w:rsidRPr="00694ACA">
        <w:rPr>
          <w:lang w:val="ru-RU"/>
        </w:rPr>
        <w:t>ых</w:t>
      </w:r>
      <w:r w:rsidR="002070D4" w:rsidRPr="00694ACA">
        <w:rPr>
          <w:lang w:val="ru-RU"/>
        </w:rPr>
        <w:t>;</w:t>
      </w:r>
    </w:p>
    <w:p w14:paraId="47AB001D" w14:textId="19271178" w:rsidR="00C17E40" w:rsidRPr="00694ACA" w:rsidRDefault="00606ABC" w:rsidP="00C17E40">
      <w:pPr>
        <w:pStyle w:val="ListParagraph"/>
        <w:numPr>
          <w:ilvl w:val="0"/>
          <w:numId w:val="21"/>
        </w:numPr>
        <w:ind w:right="-472"/>
        <w:rPr>
          <w:lang w:val="ru-RU"/>
        </w:rPr>
      </w:pPr>
      <w:r w:rsidRPr="00694ACA">
        <w:rPr>
          <w:lang w:val="ru-RU"/>
        </w:rPr>
        <w:t xml:space="preserve">приверженность </w:t>
      </w:r>
      <w:r w:rsidR="002070D4" w:rsidRPr="00694ACA">
        <w:rPr>
          <w:lang w:val="ru-RU"/>
        </w:rPr>
        <w:t>и знания сотрудников МСЭ;</w:t>
      </w:r>
    </w:p>
    <w:p w14:paraId="06302497" w14:textId="03C7918B" w:rsidR="00C17E40" w:rsidRPr="00694ACA" w:rsidRDefault="00606ABC" w:rsidP="00C17E40">
      <w:pPr>
        <w:pStyle w:val="ListParagraph"/>
        <w:numPr>
          <w:ilvl w:val="0"/>
          <w:numId w:val="21"/>
        </w:numPr>
        <w:ind w:right="-472"/>
        <w:rPr>
          <w:lang w:val="ru-RU"/>
        </w:rPr>
      </w:pPr>
      <w:r w:rsidRPr="00694ACA">
        <w:rPr>
          <w:lang w:val="ru-RU"/>
        </w:rPr>
        <w:t xml:space="preserve">недавние </w:t>
      </w:r>
      <w:r w:rsidR="00DA4721" w:rsidRPr="00694ACA">
        <w:rPr>
          <w:lang w:val="ru-RU"/>
        </w:rPr>
        <w:t>улучшения</w:t>
      </w:r>
      <w:r w:rsidR="002070D4" w:rsidRPr="00694ACA">
        <w:rPr>
          <w:lang w:val="ru-RU"/>
        </w:rPr>
        <w:t xml:space="preserve"> портала Академии МСЭ;</w:t>
      </w:r>
    </w:p>
    <w:p w14:paraId="7FF87657" w14:textId="535AA6AC" w:rsidR="00C17E40" w:rsidRPr="00694ACA" w:rsidRDefault="00606ABC" w:rsidP="00C17E40">
      <w:pPr>
        <w:pStyle w:val="ListParagraph"/>
        <w:numPr>
          <w:ilvl w:val="0"/>
          <w:numId w:val="21"/>
        </w:numPr>
        <w:ind w:right="-472"/>
        <w:rPr>
          <w:lang w:val="ru-RU"/>
        </w:rPr>
      </w:pPr>
      <w:r w:rsidRPr="00694ACA">
        <w:rPr>
          <w:lang w:val="ru-RU"/>
        </w:rPr>
        <w:t xml:space="preserve">уважение </w:t>
      </w:r>
      <w:r w:rsidR="002070D4" w:rsidRPr="00694ACA">
        <w:rPr>
          <w:lang w:val="ru-RU"/>
        </w:rPr>
        <w:t xml:space="preserve">к сертификатам МСЭ; </w:t>
      </w:r>
      <w:r w:rsidRPr="00694ACA">
        <w:rPr>
          <w:lang w:val="ru-RU"/>
        </w:rPr>
        <w:t>а также</w:t>
      </w:r>
    </w:p>
    <w:p w14:paraId="6F14702A" w14:textId="368F77F3" w:rsidR="00C17E40" w:rsidRPr="00694ACA" w:rsidRDefault="00606ABC" w:rsidP="00DA4721">
      <w:pPr>
        <w:pStyle w:val="ListParagraph"/>
        <w:numPr>
          <w:ilvl w:val="0"/>
          <w:numId w:val="21"/>
        </w:numPr>
        <w:spacing w:after="240"/>
        <w:ind w:left="431" w:right="-471" w:hanging="357"/>
        <w:rPr>
          <w:lang w:val="ru-RU"/>
        </w:rPr>
      </w:pPr>
      <w:r w:rsidRPr="00694ACA">
        <w:rPr>
          <w:lang w:val="ru-RU"/>
        </w:rPr>
        <w:t xml:space="preserve">признание </w:t>
      </w:r>
      <w:r w:rsidR="002070D4" w:rsidRPr="00694ACA">
        <w:rPr>
          <w:lang w:val="ru-RU"/>
        </w:rPr>
        <w:t xml:space="preserve">сотрудниками необходимости совершенствования управления и осуществления деятельности по </w:t>
      </w:r>
      <w:r w:rsidR="00A06A11" w:rsidRPr="00694ACA">
        <w:rPr>
          <w:lang w:val="ru-RU"/>
        </w:rPr>
        <w:t>развитию</w:t>
      </w:r>
      <w:r w:rsidR="002070D4" w:rsidRPr="00694ACA">
        <w:rPr>
          <w:lang w:val="ru-RU"/>
        </w:rPr>
        <w:t xml:space="preserve"> потенциала и </w:t>
      </w:r>
      <w:r w:rsidR="00DA4721" w:rsidRPr="00694ACA">
        <w:rPr>
          <w:lang w:val="ru-RU"/>
        </w:rPr>
        <w:t>профессиональной подготовке</w:t>
      </w:r>
      <w:r w:rsidR="002070D4" w:rsidRPr="00694ACA">
        <w:rPr>
          <w:lang w:val="ru-RU"/>
        </w:rPr>
        <w:t>.</w:t>
      </w:r>
    </w:p>
    <w:p w14:paraId="693ED894" w14:textId="4BDA8B48" w:rsidR="006D7779" w:rsidRPr="00694ACA" w:rsidRDefault="006D7779" w:rsidP="006D7779">
      <w:pPr>
        <w:ind w:left="-284" w:right="-472"/>
        <w:rPr>
          <w:lang w:val="ru-RU"/>
        </w:rPr>
      </w:pPr>
      <w:r w:rsidRPr="00694ACA">
        <w:rPr>
          <w:lang w:val="ru-RU"/>
        </w:rPr>
        <w:t xml:space="preserve">4. </w:t>
      </w:r>
      <w:r w:rsidR="00DA4721" w:rsidRPr="00694ACA">
        <w:rPr>
          <w:lang w:val="ru-RU"/>
        </w:rPr>
        <w:t>Н</w:t>
      </w:r>
      <w:r w:rsidR="002070D4" w:rsidRPr="00694ACA">
        <w:rPr>
          <w:lang w:val="ru-RU"/>
        </w:rPr>
        <w:t>а</w:t>
      </w:r>
      <w:r w:rsidR="00DA4721" w:rsidRPr="00694ACA">
        <w:rPr>
          <w:lang w:val="ru-RU"/>
        </w:rPr>
        <w:t xml:space="preserve"> основании</w:t>
      </w:r>
      <w:r w:rsidR="002070D4" w:rsidRPr="00694ACA">
        <w:rPr>
          <w:lang w:val="ru-RU"/>
        </w:rPr>
        <w:t xml:space="preserve"> выше</w:t>
      </w:r>
      <w:r w:rsidR="00DA4721" w:rsidRPr="00694ACA">
        <w:rPr>
          <w:lang w:val="ru-RU"/>
        </w:rPr>
        <w:t>изложенного</w:t>
      </w:r>
      <w:r w:rsidR="002070D4" w:rsidRPr="00694ACA">
        <w:rPr>
          <w:lang w:val="ru-RU"/>
        </w:rPr>
        <w:t xml:space="preserve"> в </w:t>
      </w:r>
      <w:r w:rsidR="00DA4721" w:rsidRPr="00694ACA">
        <w:rPr>
          <w:lang w:val="ru-RU"/>
        </w:rPr>
        <w:t>отчете</w:t>
      </w:r>
      <w:r w:rsidR="002070D4" w:rsidRPr="00694ACA">
        <w:rPr>
          <w:lang w:val="ru-RU"/>
        </w:rPr>
        <w:t xml:space="preserve"> определены девять пробелов и областей для улучшения деятельности МСЭ по </w:t>
      </w:r>
      <w:r w:rsidR="00DA4721" w:rsidRPr="00694ACA">
        <w:rPr>
          <w:lang w:val="ru-RU"/>
        </w:rPr>
        <w:t>развитию</w:t>
      </w:r>
      <w:r w:rsidR="002070D4" w:rsidRPr="00694ACA">
        <w:rPr>
          <w:lang w:val="ru-RU"/>
        </w:rPr>
        <w:t xml:space="preserve"> потенциала и </w:t>
      </w:r>
      <w:r w:rsidR="00DA4721" w:rsidRPr="00694ACA">
        <w:rPr>
          <w:lang w:val="ru-RU"/>
        </w:rPr>
        <w:t xml:space="preserve">профессиональной подготовке </w:t>
      </w:r>
      <w:r w:rsidR="002070D4" w:rsidRPr="00694ACA">
        <w:rPr>
          <w:lang w:val="ru-RU"/>
        </w:rPr>
        <w:t>(пункты 65</w:t>
      </w:r>
      <w:r w:rsidR="00457486" w:rsidRPr="00694ACA">
        <w:rPr>
          <w:lang w:val="ru-RU"/>
        </w:rPr>
        <w:t>−</w:t>
      </w:r>
      <w:r w:rsidR="002070D4" w:rsidRPr="00694ACA">
        <w:rPr>
          <w:lang w:val="ru-RU"/>
        </w:rPr>
        <w:t>66):</w:t>
      </w:r>
    </w:p>
    <w:p w14:paraId="038535DA" w14:textId="35B26A7F" w:rsidR="00C17E40" w:rsidRPr="00694ACA" w:rsidRDefault="00606ABC" w:rsidP="00C17E40">
      <w:pPr>
        <w:pStyle w:val="ListParagraph"/>
        <w:numPr>
          <w:ilvl w:val="0"/>
          <w:numId w:val="22"/>
        </w:numPr>
        <w:ind w:right="-472"/>
        <w:rPr>
          <w:lang w:val="ru-RU"/>
        </w:rPr>
      </w:pPr>
      <w:r w:rsidRPr="00694ACA">
        <w:rPr>
          <w:lang w:val="ru-RU"/>
        </w:rPr>
        <w:t xml:space="preserve">необходимость </w:t>
      </w:r>
      <w:r w:rsidR="002070D4" w:rsidRPr="00694ACA">
        <w:rPr>
          <w:lang w:val="ru-RU"/>
        </w:rPr>
        <w:t xml:space="preserve">согласованной общей стратегии в отношении цели, </w:t>
      </w:r>
      <w:r w:rsidR="00DA4721" w:rsidRPr="00694ACA">
        <w:rPr>
          <w:lang w:val="ru-RU"/>
        </w:rPr>
        <w:t>планирования</w:t>
      </w:r>
      <w:r w:rsidR="002070D4" w:rsidRPr="00694ACA">
        <w:rPr>
          <w:lang w:val="ru-RU"/>
        </w:rPr>
        <w:t xml:space="preserve"> и осуществления деятельности по </w:t>
      </w:r>
      <w:r w:rsidR="00DA4721" w:rsidRPr="00694ACA">
        <w:rPr>
          <w:lang w:val="ru-RU"/>
        </w:rPr>
        <w:t>развитию потенциала и профессиональной подготовке</w:t>
      </w:r>
      <w:r w:rsidR="002070D4" w:rsidRPr="00694ACA">
        <w:rPr>
          <w:lang w:val="ru-RU"/>
        </w:rPr>
        <w:t>;</w:t>
      </w:r>
    </w:p>
    <w:p w14:paraId="5AA139EF" w14:textId="068916EA" w:rsidR="00C17E40" w:rsidRPr="00694ACA" w:rsidRDefault="00606ABC" w:rsidP="00C17E40">
      <w:pPr>
        <w:pStyle w:val="ListParagraph"/>
        <w:numPr>
          <w:ilvl w:val="0"/>
          <w:numId w:val="22"/>
        </w:numPr>
        <w:ind w:right="-472"/>
        <w:rPr>
          <w:lang w:val="ru-RU"/>
        </w:rPr>
      </w:pPr>
      <w:r w:rsidRPr="00694ACA">
        <w:rPr>
          <w:lang w:val="ru-RU"/>
        </w:rPr>
        <w:t xml:space="preserve">необходимость </w:t>
      </w:r>
      <w:r w:rsidR="002070D4" w:rsidRPr="00694ACA">
        <w:rPr>
          <w:lang w:val="ru-RU"/>
        </w:rPr>
        <w:t xml:space="preserve">проведения общего, систематического и согласованного анализа потребностей </w:t>
      </w:r>
      <w:r w:rsidR="00DA4721" w:rsidRPr="00694ACA">
        <w:rPr>
          <w:lang w:val="ru-RU"/>
        </w:rPr>
        <w:t xml:space="preserve">членов МСЭ </w:t>
      </w:r>
      <w:r w:rsidR="002070D4" w:rsidRPr="00694ACA">
        <w:rPr>
          <w:lang w:val="ru-RU"/>
        </w:rPr>
        <w:t xml:space="preserve">в области развития потенциала и </w:t>
      </w:r>
      <w:r w:rsidR="00DA4721" w:rsidRPr="00694ACA">
        <w:rPr>
          <w:lang w:val="ru-RU"/>
        </w:rPr>
        <w:t>профессиональной подготовки</w:t>
      </w:r>
      <w:r w:rsidR="002070D4" w:rsidRPr="00694ACA">
        <w:rPr>
          <w:lang w:val="ru-RU"/>
        </w:rPr>
        <w:t>;</w:t>
      </w:r>
    </w:p>
    <w:p w14:paraId="6EEB29B3" w14:textId="4BD9115E" w:rsidR="00C17E40" w:rsidRPr="00694ACA" w:rsidRDefault="00606ABC" w:rsidP="00C17E40">
      <w:pPr>
        <w:pStyle w:val="ListParagraph"/>
        <w:numPr>
          <w:ilvl w:val="0"/>
          <w:numId w:val="22"/>
        </w:numPr>
        <w:ind w:right="-472"/>
        <w:rPr>
          <w:lang w:val="ru-RU"/>
        </w:rPr>
      </w:pPr>
      <w:r w:rsidRPr="00694ACA">
        <w:rPr>
          <w:lang w:val="ru-RU"/>
        </w:rPr>
        <w:t xml:space="preserve">укрепление </w:t>
      </w:r>
      <w:r w:rsidR="002070D4" w:rsidRPr="00694ACA">
        <w:rPr>
          <w:lang w:val="ru-RU"/>
        </w:rPr>
        <w:t>механизмов обеспечения качества и контроля;</w:t>
      </w:r>
    </w:p>
    <w:p w14:paraId="29D0A353" w14:textId="7FEBD51D" w:rsidR="00C17E40" w:rsidRPr="00694ACA" w:rsidRDefault="00606ABC" w:rsidP="00C17E40">
      <w:pPr>
        <w:pStyle w:val="ListParagraph"/>
        <w:numPr>
          <w:ilvl w:val="0"/>
          <w:numId w:val="22"/>
        </w:numPr>
        <w:ind w:right="-472"/>
        <w:rPr>
          <w:lang w:val="ru-RU"/>
        </w:rPr>
      </w:pPr>
      <w:r w:rsidRPr="00694ACA">
        <w:rPr>
          <w:lang w:val="ru-RU"/>
        </w:rPr>
        <w:t xml:space="preserve">необходимость </w:t>
      </w:r>
      <w:r w:rsidR="00DA4721" w:rsidRPr="00694ACA">
        <w:rPr>
          <w:lang w:val="ru-RU"/>
        </w:rPr>
        <w:t>применения аналитического</w:t>
      </w:r>
      <w:r w:rsidR="002070D4" w:rsidRPr="00694ACA">
        <w:rPr>
          <w:lang w:val="ru-RU"/>
        </w:rPr>
        <w:t xml:space="preserve"> подхода к цели развития потенциала;</w:t>
      </w:r>
    </w:p>
    <w:p w14:paraId="2BAAA11D" w14:textId="685AC0E9" w:rsidR="00C17E40" w:rsidRPr="00694ACA" w:rsidRDefault="00606ABC" w:rsidP="00C17E40">
      <w:pPr>
        <w:pStyle w:val="ListParagraph"/>
        <w:numPr>
          <w:ilvl w:val="0"/>
          <w:numId w:val="22"/>
        </w:numPr>
        <w:ind w:right="-472"/>
        <w:rPr>
          <w:lang w:val="ru-RU"/>
        </w:rPr>
      </w:pPr>
      <w:r w:rsidRPr="00694ACA">
        <w:rPr>
          <w:lang w:val="ru-RU"/>
        </w:rPr>
        <w:t xml:space="preserve">разработка </w:t>
      </w:r>
      <w:r w:rsidR="002070D4" w:rsidRPr="00694ACA">
        <w:rPr>
          <w:lang w:val="ru-RU"/>
        </w:rPr>
        <w:t xml:space="preserve">систематической и согласованной отчетности о деятельности по </w:t>
      </w:r>
      <w:r w:rsidR="00DA4721" w:rsidRPr="00694ACA">
        <w:rPr>
          <w:lang w:val="ru-RU"/>
        </w:rPr>
        <w:t xml:space="preserve">развитию потенциала и профессиональной подготовке </w:t>
      </w:r>
      <w:r w:rsidR="002070D4" w:rsidRPr="00694ACA">
        <w:rPr>
          <w:lang w:val="ru-RU"/>
        </w:rPr>
        <w:t>в рамках МСЭ;</w:t>
      </w:r>
    </w:p>
    <w:p w14:paraId="64D839B8" w14:textId="66E9BCE5" w:rsidR="00C17E40" w:rsidRPr="00694ACA" w:rsidRDefault="00606ABC" w:rsidP="00C17E40">
      <w:pPr>
        <w:pStyle w:val="ListParagraph"/>
        <w:numPr>
          <w:ilvl w:val="0"/>
          <w:numId w:val="22"/>
        </w:numPr>
        <w:ind w:right="-472"/>
        <w:rPr>
          <w:lang w:val="ru-RU"/>
        </w:rPr>
      </w:pPr>
      <w:r w:rsidRPr="00694ACA">
        <w:rPr>
          <w:lang w:val="ru-RU"/>
        </w:rPr>
        <w:t xml:space="preserve">повышение </w:t>
      </w:r>
      <w:r w:rsidR="002070D4" w:rsidRPr="00694ACA">
        <w:rPr>
          <w:lang w:val="ru-RU"/>
        </w:rPr>
        <w:t xml:space="preserve">качества и актуальности </w:t>
      </w:r>
      <w:r w:rsidR="00DA4721" w:rsidRPr="00694ACA">
        <w:rPr>
          <w:lang w:val="ru-RU"/>
        </w:rPr>
        <w:t>курсов</w:t>
      </w:r>
      <w:r w:rsidR="002070D4" w:rsidRPr="00694ACA">
        <w:rPr>
          <w:lang w:val="ru-RU"/>
        </w:rPr>
        <w:t xml:space="preserve"> подготовки;</w:t>
      </w:r>
    </w:p>
    <w:p w14:paraId="50C35C38" w14:textId="62DD6C60" w:rsidR="00C17E40" w:rsidRPr="00694ACA" w:rsidRDefault="00606ABC" w:rsidP="00C17E40">
      <w:pPr>
        <w:pStyle w:val="ListParagraph"/>
        <w:numPr>
          <w:ilvl w:val="0"/>
          <w:numId w:val="22"/>
        </w:numPr>
        <w:ind w:right="-472"/>
        <w:rPr>
          <w:lang w:val="ru-RU"/>
        </w:rPr>
      </w:pPr>
      <w:r w:rsidRPr="00694ACA">
        <w:rPr>
          <w:lang w:val="ru-RU"/>
        </w:rPr>
        <w:t xml:space="preserve">обеспечение </w:t>
      </w:r>
      <w:r w:rsidR="00DA4721" w:rsidRPr="00694ACA">
        <w:rPr>
          <w:lang w:val="ru-RU"/>
        </w:rPr>
        <w:t>возможности</w:t>
      </w:r>
      <w:r w:rsidR="002070D4" w:rsidRPr="00694ACA">
        <w:rPr>
          <w:lang w:val="ru-RU"/>
        </w:rPr>
        <w:t xml:space="preserve"> систем финансовой отчетности МСЭ </w:t>
      </w:r>
      <w:r w:rsidR="00DA4721" w:rsidRPr="00694ACA">
        <w:rPr>
          <w:lang w:val="ru-RU"/>
        </w:rPr>
        <w:t>предоставлять данные</w:t>
      </w:r>
      <w:r w:rsidR="002070D4" w:rsidRPr="00694ACA">
        <w:rPr>
          <w:lang w:val="ru-RU"/>
        </w:rPr>
        <w:t xml:space="preserve"> </w:t>
      </w:r>
      <w:r w:rsidR="00DA4721" w:rsidRPr="00694ACA">
        <w:rPr>
          <w:lang w:val="ru-RU"/>
        </w:rPr>
        <w:t xml:space="preserve">с </w:t>
      </w:r>
      <w:r w:rsidR="002070D4" w:rsidRPr="00694ACA">
        <w:rPr>
          <w:lang w:val="ru-RU"/>
        </w:rPr>
        <w:t>точн</w:t>
      </w:r>
      <w:r w:rsidR="00DA4721" w:rsidRPr="00694ACA">
        <w:rPr>
          <w:lang w:val="ru-RU"/>
        </w:rPr>
        <w:t>ой</w:t>
      </w:r>
      <w:r w:rsidR="002070D4" w:rsidRPr="00694ACA">
        <w:rPr>
          <w:lang w:val="ru-RU"/>
        </w:rPr>
        <w:t xml:space="preserve"> разбивк</w:t>
      </w:r>
      <w:r w:rsidR="00DA4721" w:rsidRPr="00694ACA">
        <w:rPr>
          <w:lang w:val="ru-RU"/>
        </w:rPr>
        <w:t>ой</w:t>
      </w:r>
      <w:r w:rsidR="002070D4" w:rsidRPr="00694ACA">
        <w:rPr>
          <w:lang w:val="ru-RU"/>
        </w:rPr>
        <w:t xml:space="preserve"> общих расходов, связанных с развитием потенциала и </w:t>
      </w:r>
      <w:r w:rsidR="00DA4721" w:rsidRPr="00694ACA">
        <w:rPr>
          <w:lang w:val="ru-RU"/>
        </w:rPr>
        <w:t>профессиональной подготовкой</w:t>
      </w:r>
      <w:r w:rsidR="002070D4" w:rsidRPr="00694ACA">
        <w:rPr>
          <w:lang w:val="ru-RU"/>
        </w:rPr>
        <w:t>;</w:t>
      </w:r>
    </w:p>
    <w:p w14:paraId="615D13E3" w14:textId="4C72F134" w:rsidR="00C17E40" w:rsidRPr="00694ACA" w:rsidRDefault="00606ABC" w:rsidP="00C17E40">
      <w:pPr>
        <w:pStyle w:val="ListParagraph"/>
        <w:numPr>
          <w:ilvl w:val="0"/>
          <w:numId w:val="22"/>
        </w:numPr>
        <w:ind w:right="-472"/>
        <w:rPr>
          <w:lang w:val="ru-RU"/>
        </w:rPr>
      </w:pPr>
      <w:r w:rsidRPr="00694ACA">
        <w:rPr>
          <w:lang w:val="ru-RU"/>
        </w:rPr>
        <w:t xml:space="preserve">углубленная </w:t>
      </w:r>
      <w:r w:rsidR="002070D4" w:rsidRPr="00694ACA">
        <w:rPr>
          <w:lang w:val="ru-RU"/>
        </w:rPr>
        <w:t>подготовк</w:t>
      </w:r>
      <w:r w:rsidR="002154BA" w:rsidRPr="00694ACA">
        <w:rPr>
          <w:lang w:val="ru-RU"/>
        </w:rPr>
        <w:t>а</w:t>
      </w:r>
      <w:r w:rsidR="002070D4" w:rsidRPr="00694ACA">
        <w:rPr>
          <w:lang w:val="ru-RU"/>
        </w:rPr>
        <w:t xml:space="preserve"> большего числа сотрудников МСЭ по вопросам </w:t>
      </w:r>
      <w:r w:rsidR="002154BA" w:rsidRPr="00694ACA">
        <w:rPr>
          <w:lang w:val="ru-RU"/>
        </w:rPr>
        <w:t>планирования</w:t>
      </w:r>
      <w:r w:rsidR="002070D4" w:rsidRPr="00694ACA">
        <w:rPr>
          <w:lang w:val="ru-RU"/>
        </w:rPr>
        <w:t xml:space="preserve">, осуществления и оценки </w:t>
      </w:r>
      <w:r w:rsidR="002154BA" w:rsidRPr="00694ACA">
        <w:rPr>
          <w:lang w:val="ru-RU"/>
        </w:rPr>
        <w:t>мероприятий по развитию потенциала и профессиональной подготовке</w:t>
      </w:r>
      <w:r w:rsidR="002070D4" w:rsidRPr="00694ACA">
        <w:rPr>
          <w:lang w:val="ru-RU"/>
        </w:rPr>
        <w:t xml:space="preserve">; </w:t>
      </w:r>
      <w:r w:rsidRPr="00694ACA">
        <w:rPr>
          <w:lang w:val="ru-RU"/>
        </w:rPr>
        <w:t>а также</w:t>
      </w:r>
    </w:p>
    <w:p w14:paraId="71F1FDDF" w14:textId="34E51EB4" w:rsidR="00C17E40" w:rsidRPr="00694ACA" w:rsidRDefault="00606ABC" w:rsidP="002154BA">
      <w:pPr>
        <w:pStyle w:val="ListParagraph"/>
        <w:numPr>
          <w:ilvl w:val="0"/>
          <w:numId w:val="22"/>
        </w:numPr>
        <w:spacing w:after="240"/>
        <w:ind w:left="431" w:right="-471" w:hanging="357"/>
        <w:rPr>
          <w:lang w:val="ru-RU"/>
        </w:rPr>
      </w:pPr>
      <w:r w:rsidRPr="00694ACA">
        <w:rPr>
          <w:lang w:val="ru-RU"/>
        </w:rPr>
        <w:lastRenderedPageBreak/>
        <w:t xml:space="preserve">повышение </w:t>
      </w:r>
      <w:r w:rsidR="002154BA" w:rsidRPr="00694ACA">
        <w:rPr>
          <w:lang w:val="ru-RU"/>
        </w:rPr>
        <w:t>степени соответствия заявлений</w:t>
      </w:r>
      <w:r w:rsidR="002070D4" w:rsidRPr="00694ACA">
        <w:rPr>
          <w:lang w:val="ru-RU"/>
        </w:rPr>
        <w:t xml:space="preserve"> МСЭ</w:t>
      </w:r>
      <w:r w:rsidR="002154BA" w:rsidRPr="00694ACA">
        <w:rPr>
          <w:lang w:val="ru-RU"/>
        </w:rPr>
        <w:t>, размещенных на</w:t>
      </w:r>
      <w:r w:rsidR="002070D4" w:rsidRPr="00694ACA">
        <w:rPr>
          <w:lang w:val="ru-RU"/>
        </w:rPr>
        <w:t xml:space="preserve"> веб-сайте</w:t>
      </w:r>
      <w:r w:rsidR="002154BA" w:rsidRPr="00694ACA">
        <w:rPr>
          <w:lang w:val="ru-RU"/>
        </w:rPr>
        <w:t xml:space="preserve"> Союза</w:t>
      </w:r>
      <w:r w:rsidR="002070D4" w:rsidRPr="00694ACA">
        <w:rPr>
          <w:lang w:val="ru-RU"/>
        </w:rPr>
        <w:t xml:space="preserve"> и </w:t>
      </w:r>
      <w:r w:rsidR="002154BA" w:rsidRPr="00694ACA">
        <w:rPr>
          <w:lang w:val="ru-RU"/>
        </w:rPr>
        <w:t>закрепленных в</w:t>
      </w:r>
      <w:r w:rsidR="002070D4" w:rsidRPr="00694ACA">
        <w:rPr>
          <w:lang w:val="ru-RU"/>
        </w:rPr>
        <w:t xml:space="preserve"> документации, </w:t>
      </w:r>
      <w:r w:rsidR="002154BA" w:rsidRPr="00694ACA">
        <w:rPr>
          <w:lang w:val="ru-RU"/>
        </w:rPr>
        <w:t>и практической деятельности</w:t>
      </w:r>
      <w:r w:rsidR="002070D4" w:rsidRPr="00694ACA">
        <w:rPr>
          <w:lang w:val="ru-RU"/>
        </w:rPr>
        <w:t>.</w:t>
      </w:r>
    </w:p>
    <w:p w14:paraId="463E27DE" w14:textId="13BB0786" w:rsidR="002070D4" w:rsidRPr="00694ACA" w:rsidRDefault="00C17E40" w:rsidP="002070D4">
      <w:pPr>
        <w:ind w:left="-284" w:right="-472"/>
        <w:rPr>
          <w:rFonts w:cs="Arial"/>
          <w:lang w:val="ru-RU"/>
        </w:rPr>
      </w:pPr>
      <w:r w:rsidRPr="00694ACA">
        <w:rPr>
          <w:lang w:val="ru-RU"/>
        </w:rPr>
        <w:t xml:space="preserve">5. </w:t>
      </w:r>
      <w:r w:rsidR="002070D4" w:rsidRPr="00694ACA">
        <w:rPr>
          <w:rFonts w:cs="Arial"/>
          <w:lang w:val="ru-RU"/>
        </w:rPr>
        <w:t xml:space="preserve">В </w:t>
      </w:r>
      <w:r w:rsidR="002154BA" w:rsidRPr="00694ACA">
        <w:rPr>
          <w:rFonts w:cs="Arial"/>
          <w:lang w:val="ru-RU"/>
        </w:rPr>
        <w:t>отчете</w:t>
      </w:r>
      <w:r w:rsidR="002070D4" w:rsidRPr="00694ACA">
        <w:rPr>
          <w:rFonts w:cs="Arial"/>
          <w:lang w:val="ru-RU"/>
        </w:rPr>
        <w:t xml:space="preserve"> </w:t>
      </w:r>
      <w:r w:rsidR="002154BA" w:rsidRPr="00694ACA">
        <w:rPr>
          <w:rFonts w:cs="Arial"/>
          <w:lang w:val="ru-RU"/>
        </w:rPr>
        <w:t>отмечается</w:t>
      </w:r>
      <w:r w:rsidR="002070D4" w:rsidRPr="00694ACA">
        <w:rPr>
          <w:rFonts w:cs="Arial"/>
          <w:lang w:val="ru-RU"/>
        </w:rPr>
        <w:t xml:space="preserve"> глобальное разнообразие и масштабы деятельности по </w:t>
      </w:r>
      <w:r w:rsidR="00A06A11" w:rsidRPr="00694ACA">
        <w:rPr>
          <w:rFonts w:cs="Arial"/>
          <w:lang w:val="ru-RU"/>
        </w:rPr>
        <w:t>развитию</w:t>
      </w:r>
      <w:r w:rsidR="002070D4" w:rsidRPr="00694ACA">
        <w:rPr>
          <w:rFonts w:cs="Arial"/>
          <w:lang w:val="ru-RU"/>
        </w:rPr>
        <w:t xml:space="preserve"> потенциала и</w:t>
      </w:r>
      <w:r w:rsidR="002154BA" w:rsidRPr="00694ACA">
        <w:rPr>
          <w:rFonts w:cs="Arial"/>
          <w:lang w:val="ru-RU"/>
        </w:rPr>
        <w:t xml:space="preserve"> профессиональной подготовке</w:t>
      </w:r>
      <w:r w:rsidR="002070D4" w:rsidRPr="00694ACA">
        <w:rPr>
          <w:rFonts w:cs="Arial"/>
          <w:lang w:val="ru-RU"/>
        </w:rPr>
        <w:t xml:space="preserve"> кадров в области </w:t>
      </w:r>
      <w:r w:rsidR="002154BA" w:rsidRPr="00694ACA">
        <w:rPr>
          <w:rFonts w:cs="Arial"/>
          <w:lang w:val="ru-RU"/>
        </w:rPr>
        <w:t>электросвязи</w:t>
      </w:r>
      <w:r w:rsidR="002070D4" w:rsidRPr="00694ACA">
        <w:rPr>
          <w:rFonts w:cs="Arial"/>
          <w:lang w:val="ru-RU"/>
        </w:rPr>
        <w:t xml:space="preserve"> и цифровых технологий или ИКТ, осуществляемой международными организациями, компаниями и гражданским обществом (пункты 68</w:t>
      </w:r>
      <w:r w:rsidR="00457486" w:rsidRPr="00694ACA">
        <w:rPr>
          <w:rFonts w:cs="Arial"/>
          <w:lang w:val="ru-RU"/>
        </w:rPr>
        <w:t>−</w:t>
      </w:r>
      <w:r w:rsidR="002070D4" w:rsidRPr="00694ACA">
        <w:rPr>
          <w:rFonts w:cs="Arial"/>
          <w:lang w:val="ru-RU"/>
        </w:rPr>
        <w:t>78, 82), и особенно масштабы и формы деятельности других учреждений и структур ООН (пункты 79</w:t>
      </w:r>
      <w:r w:rsidR="00457486" w:rsidRPr="00694ACA">
        <w:rPr>
          <w:rFonts w:cs="Arial"/>
          <w:lang w:val="ru-RU"/>
        </w:rPr>
        <w:t>−</w:t>
      </w:r>
      <w:r w:rsidR="002070D4" w:rsidRPr="00694ACA">
        <w:rPr>
          <w:rFonts w:cs="Arial"/>
          <w:lang w:val="ru-RU"/>
        </w:rPr>
        <w:t>81). В</w:t>
      </w:r>
      <w:r w:rsidR="00457486" w:rsidRPr="00694ACA">
        <w:rPr>
          <w:rFonts w:cs="Arial"/>
          <w:lang w:val="ru-RU"/>
        </w:rPr>
        <w:t> </w:t>
      </w:r>
      <w:r w:rsidR="002070D4" w:rsidRPr="00694ACA">
        <w:rPr>
          <w:rFonts w:cs="Arial"/>
          <w:lang w:val="ru-RU"/>
        </w:rPr>
        <w:t>свете вышесказанного</w:t>
      </w:r>
      <w:r w:rsidR="002154BA" w:rsidRPr="00694ACA">
        <w:rPr>
          <w:rFonts w:cs="Arial"/>
          <w:lang w:val="ru-RU"/>
        </w:rPr>
        <w:t>, а также</w:t>
      </w:r>
      <w:r w:rsidR="002070D4" w:rsidRPr="00694ACA">
        <w:rPr>
          <w:rFonts w:cs="Arial"/>
          <w:lang w:val="ru-RU"/>
        </w:rPr>
        <w:t xml:space="preserve"> принимая во внимание Дорожную карту </w:t>
      </w:r>
      <w:r w:rsidR="002154BA" w:rsidRPr="00694ACA">
        <w:rPr>
          <w:rFonts w:cs="Arial"/>
          <w:lang w:val="ru-RU"/>
        </w:rPr>
        <w:t xml:space="preserve">Генерального секретаря ООН по </w:t>
      </w:r>
      <w:r w:rsidR="002070D4" w:rsidRPr="00694ACA">
        <w:rPr>
          <w:rFonts w:cs="Arial"/>
          <w:lang w:val="ru-RU"/>
        </w:rPr>
        <w:t>цифрово</w:t>
      </w:r>
      <w:r w:rsidR="002154BA" w:rsidRPr="00694ACA">
        <w:rPr>
          <w:rFonts w:cs="Arial"/>
          <w:lang w:val="ru-RU"/>
        </w:rPr>
        <w:t>му</w:t>
      </w:r>
      <w:r w:rsidR="002070D4" w:rsidRPr="00694ACA">
        <w:rPr>
          <w:rFonts w:cs="Arial"/>
          <w:lang w:val="ru-RU"/>
        </w:rPr>
        <w:t xml:space="preserve"> сотрудничеств</w:t>
      </w:r>
      <w:r w:rsidR="002154BA" w:rsidRPr="00694ACA">
        <w:rPr>
          <w:rFonts w:cs="Arial"/>
          <w:lang w:val="ru-RU"/>
        </w:rPr>
        <w:t>у</w:t>
      </w:r>
      <w:r w:rsidR="002070D4" w:rsidRPr="00694ACA">
        <w:rPr>
          <w:rFonts w:cs="Arial"/>
          <w:lang w:val="ru-RU"/>
        </w:rPr>
        <w:t xml:space="preserve"> (июнь 2020 г.), </w:t>
      </w:r>
      <w:r w:rsidR="002154BA" w:rsidRPr="00694ACA">
        <w:rPr>
          <w:rFonts w:cs="Arial"/>
          <w:lang w:val="ru-RU"/>
        </w:rPr>
        <w:t xml:space="preserve">в </w:t>
      </w:r>
      <w:r w:rsidR="002070D4" w:rsidRPr="00694ACA">
        <w:rPr>
          <w:rFonts w:cs="Arial"/>
          <w:lang w:val="ru-RU"/>
        </w:rPr>
        <w:t>котор</w:t>
      </w:r>
      <w:r w:rsidR="002154BA" w:rsidRPr="00694ACA">
        <w:rPr>
          <w:rFonts w:cs="Arial"/>
          <w:lang w:val="ru-RU"/>
        </w:rPr>
        <w:t>ой</w:t>
      </w:r>
      <w:r w:rsidR="002070D4" w:rsidRPr="00694ACA">
        <w:rPr>
          <w:rFonts w:cs="Arial"/>
          <w:lang w:val="ru-RU"/>
        </w:rPr>
        <w:t xml:space="preserve"> </w:t>
      </w:r>
      <w:r w:rsidR="002154BA" w:rsidRPr="00694ACA">
        <w:rPr>
          <w:rFonts w:cs="Arial"/>
          <w:lang w:val="ru-RU"/>
        </w:rPr>
        <w:t xml:space="preserve">МСЭ и ПРООН </w:t>
      </w:r>
      <w:r w:rsidR="002070D4" w:rsidRPr="00694ACA">
        <w:rPr>
          <w:rFonts w:cs="Arial"/>
          <w:lang w:val="ru-RU"/>
        </w:rPr>
        <w:t>рекомендует</w:t>
      </w:r>
      <w:r w:rsidR="002154BA" w:rsidRPr="00694ACA">
        <w:rPr>
          <w:rFonts w:cs="Arial"/>
          <w:lang w:val="ru-RU"/>
        </w:rPr>
        <w:t>ся</w:t>
      </w:r>
      <w:r w:rsidR="002070D4" w:rsidRPr="00694ACA">
        <w:rPr>
          <w:rFonts w:cs="Arial"/>
          <w:lang w:val="ru-RU"/>
        </w:rPr>
        <w:t xml:space="preserve"> возглавить работу по созданию нового совместного механизма по </w:t>
      </w:r>
      <w:r w:rsidR="002154BA" w:rsidRPr="00694ACA">
        <w:rPr>
          <w:rFonts w:cs="Arial"/>
          <w:lang w:val="ru-RU"/>
        </w:rPr>
        <w:t>"</w:t>
      </w:r>
      <w:r w:rsidR="00A06A11" w:rsidRPr="00694ACA">
        <w:rPr>
          <w:rFonts w:cs="Arial"/>
          <w:lang w:val="ru-RU"/>
        </w:rPr>
        <w:t xml:space="preserve"> развитию </w:t>
      </w:r>
      <w:r w:rsidR="002070D4" w:rsidRPr="00694ACA">
        <w:rPr>
          <w:rFonts w:cs="Arial"/>
          <w:lang w:val="ru-RU"/>
        </w:rPr>
        <w:t xml:space="preserve">цифрового потенциала", в </w:t>
      </w:r>
      <w:r w:rsidR="002154BA" w:rsidRPr="00694ACA">
        <w:rPr>
          <w:rFonts w:cs="Arial"/>
          <w:lang w:val="ru-RU"/>
        </w:rPr>
        <w:t>отчете</w:t>
      </w:r>
      <w:r w:rsidR="002070D4" w:rsidRPr="00694ACA">
        <w:rPr>
          <w:rFonts w:cs="Arial"/>
          <w:lang w:val="ru-RU"/>
        </w:rPr>
        <w:t xml:space="preserve"> </w:t>
      </w:r>
      <w:r w:rsidR="002154BA" w:rsidRPr="00694ACA">
        <w:rPr>
          <w:rFonts w:cs="Arial"/>
          <w:lang w:val="ru-RU"/>
        </w:rPr>
        <w:t xml:space="preserve">МСЭ </w:t>
      </w:r>
      <w:r w:rsidR="002070D4" w:rsidRPr="00694ACA">
        <w:rPr>
          <w:rFonts w:cs="Arial"/>
          <w:lang w:val="ru-RU"/>
        </w:rPr>
        <w:t>предлагается сконцентрирова</w:t>
      </w:r>
      <w:r w:rsidR="002154BA" w:rsidRPr="00694ACA">
        <w:rPr>
          <w:rFonts w:cs="Arial"/>
          <w:lang w:val="ru-RU"/>
        </w:rPr>
        <w:t>ть</w:t>
      </w:r>
      <w:r w:rsidR="002070D4" w:rsidRPr="00694ACA">
        <w:rPr>
          <w:rFonts w:cs="Arial"/>
          <w:lang w:val="ru-RU"/>
        </w:rPr>
        <w:t xml:space="preserve"> свою деятельность по </w:t>
      </w:r>
      <w:r w:rsidR="00A06A11" w:rsidRPr="00694ACA">
        <w:rPr>
          <w:rFonts w:cs="Arial"/>
          <w:lang w:val="ru-RU"/>
        </w:rPr>
        <w:t xml:space="preserve">развитию </w:t>
      </w:r>
      <w:r w:rsidR="002070D4" w:rsidRPr="00694ACA">
        <w:rPr>
          <w:rFonts w:cs="Arial"/>
          <w:lang w:val="ru-RU"/>
        </w:rPr>
        <w:t xml:space="preserve">потенциала и </w:t>
      </w:r>
      <w:r w:rsidR="002154BA" w:rsidRPr="00694ACA">
        <w:rPr>
          <w:rFonts w:cs="Arial"/>
          <w:lang w:val="ru-RU"/>
        </w:rPr>
        <w:t>профессиональной подготовке</w:t>
      </w:r>
      <w:r w:rsidR="002070D4" w:rsidRPr="00694ACA">
        <w:rPr>
          <w:rFonts w:cs="Arial"/>
          <w:lang w:val="ru-RU"/>
        </w:rPr>
        <w:t xml:space="preserve">, </w:t>
      </w:r>
      <w:r w:rsidR="002154BA" w:rsidRPr="00694ACA">
        <w:rPr>
          <w:rFonts w:cs="Arial"/>
          <w:lang w:val="ru-RU"/>
        </w:rPr>
        <w:t xml:space="preserve">в </w:t>
      </w:r>
      <w:r w:rsidR="002070D4" w:rsidRPr="00694ACA">
        <w:rPr>
          <w:rFonts w:cs="Arial"/>
          <w:lang w:val="ru-RU"/>
        </w:rPr>
        <w:t>особенно</w:t>
      </w:r>
      <w:r w:rsidR="002154BA" w:rsidRPr="00694ACA">
        <w:rPr>
          <w:rFonts w:cs="Arial"/>
          <w:lang w:val="ru-RU"/>
        </w:rPr>
        <w:t>сти</w:t>
      </w:r>
      <w:r w:rsidR="002070D4" w:rsidRPr="00694ACA">
        <w:rPr>
          <w:rFonts w:cs="Arial"/>
          <w:lang w:val="ru-RU"/>
        </w:rPr>
        <w:t xml:space="preserve"> </w:t>
      </w:r>
      <w:r w:rsidR="002154BA" w:rsidRPr="00694ACA">
        <w:rPr>
          <w:rFonts w:cs="Arial"/>
          <w:lang w:val="ru-RU"/>
        </w:rPr>
        <w:t>на</w:t>
      </w:r>
      <w:r w:rsidR="002070D4" w:rsidRPr="00694ACA">
        <w:rPr>
          <w:rFonts w:cs="Arial"/>
          <w:lang w:val="ru-RU"/>
        </w:rPr>
        <w:t xml:space="preserve"> тех областях, где он обладает</w:t>
      </w:r>
      <w:r w:rsidR="002154BA" w:rsidRPr="00694ACA">
        <w:rPr>
          <w:rFonts w:cs="Arial"/>
          <w:lang w:val="ru-RU"/>
        </w:rPr>
        <w:t xml:space="preserve"> специализированным</w:t>
      </w:r>
      <w:r w:rsidR="002070D4" w:rsidRPr="00694ACA">
        <w:rPr>
          <w:rFonts w:cs="Arial"/>
          <w:lang w:val="ru-RU"/>
        </w:rPr>
        <w:t xml:space="preserve"> опытом и конкурентными преимуществами, </w:t>
      </w:r>
      <w:r w:rsidR="002154BA" w:rsidRPr="00694ACA">
        <w:rPr>
          <w:rFonts w:cs="Arial"/>
          <w:lang w:val="ru-RU"/>
        </w:rPr>
        <w:t>а также</w:t>
      </w:r>
      <w:r w:rsidR="002070D4" w:rsidRPr="00694ACA">
        <w:rPr>
          <w:rFonts w:cs="Arial"/>
          <w:lang w:val="ru-RU"/>
        </w:rPr>
        <w:t xml:space="preserve"> наращива</w:t>
      </w:r>
      <w:r w:rsidR="002154BA" w:rsidRPr="00694ACA">
        <w:rPr>
          <w:rFonts w:cs="Arial"/>
          <w:lang w:val="ru-RU"/>
        </w:rPr>
        <w:t>ть</w:t>
      </w:r>
      <w:r w:rsidR="002070D4" w:rsidRPr="00694ACA">
        <w:rPr>
          <w:rFonts w:cs="Arial"/>
          <w:lang w:val="ru-RU"/>
        </w:rPr>
        <w:t xml:space="preserve"> стратегическое сотрудничество с другими организациями и учреждениями (особенно с ПРООН) с целью сокращения дублирования</w:t>
      </w:r>
      <w:r w:rsidR="002154BA" w:rsidRPr="00694ACA">
        <w:rPr>
          <w:rFonts w:cs="Arial"/>
          <w:lang w:val="ru-RU"/>
        </w:rPr>
        <w:t xml:space="preserve"> усилий</w:t>
      </w:r>
      <w:r w:rsidR="002070D4" w:rsidRPr="00694ACA">
        <w:rPr>
          <w:rFonts w:cs="Arial"/>
          <w:lang w:val="ru-RU"/>
        </w:rPr>
        <w:t xml:space="preserve"> и паралле</w:t>
      </w:r>
      <w:r w:rsidR="002154BA" w:rsidRPr="00694ACA">
        <w:rPr>
          <w:rFonts w:cs="Arial"/>
          <w:lang w:val="ru-RU"/>
        </w:rPr>
        <w:t>льной работы</w:t>
      </w:r>
      <w:r w:rsidR="002070D4" w:rsidRPr="00694ACA">
        <w:rPr>
          <w:rFonts w:cs="Arial"/>
          <w:lang w:val="ru-RU"/>
        </w:rPr>
        <w:t xml:space="preserve"> в осуществлении такой деятельности в рамках всей системы ООН и за ее пределами.</w:t>
      </w:r>
    </w:p>
    <w:p w14:paraId="4983E768" w14:textId="10F75722" w:rsidR="007B4BED" w:rsidRPr="00694ACA" w:rsidRDefault="007B4BED" w:rsidP="006D7779">
      <w:pPr>
        <w:ind w:left="-284" w:right="-472"/>
        <w:rPr>
          <w:lang w:val="ru-RU"/>
        </w:rPr>
      </w:pPr>
      <w:r w:rsidRPr="00694ACA">
        <w:rPr>
          <w:lang w:val="ru-RU"/>
        </w:rPr>
        <w:t xml:space="preserve">6. </w:t>
      </w:r>
      <w:r w:rsidR="002070D4" w:rsidRPr="00694ACA">
        <w:rPr>
          <w:lang w:val="ru-RU"/>
        </w:rPr>
        <w:t xml:space="preserve">В свете текущей деятельности МСЭ и обзора других </w:t>
      </w:r>
      <w:r w:rsidR="002154BA" w:rsidRPr="00694ACA">
        <w:rPr>
          <w:lang w:val="ru-RU"/>
        </w:rPr>
        <w:t>текущих</w:t>
      </w:r>
      <w:r w:rsidR="002070D4" w:rsidRPr="00694ACA">
        <w:rPr>
          <w:lang w:val="ru-RU"/>
        </w:rPr>
        <w:t xml:space="preserve"> мероприятий по развитию потенциала и </w:t>
      </w:r>
      <w:r w:rsidR="002154BA" w:rsidRPr="00694ACA">
        <w:rPr>
          <w:rFonts w:cs="Arial"/>
          <w:lang w:val="ru-RU"/>
        </w:rPr>
        <w:t xml:space="preserve">профессиональной подготовке </w:t>
      </w:r>
      <w:r w:rsidR="002070D4" w:rsidRPr="00694ACA">
        <w:rPr>
          <w:lang w:val="ru-RU"/>
        </w:rPr>
        <w:t xml:space="preserve">в глобальном масштабе в </w:t>
      </w:r>
      <w:r w:rsidR="002154BA" w:rsidRPr="00694ACA">
        <w:rPr>
          <w:lang w:val="ru-RU"/>
        </w:rPr>
        <w:t>отчете</w:t>
      </w:r>
      <w:r w:rsidR="002070D4" w:rsidRPr="00694ACA">
        <w:rPr>
          <w:lang w:val="ru-RU"/>
        </w:rPr>
        <w:t xml:space="preserve"> предлагаются следующие краткосрочные рекомендации (пункты 162</w:t>
      </w:r>
      <w:r w:rsidR="00457486" w:rsidRPr="00694ACA">
        <w:rPr>
          <w:lang w:val="ru-RU"/>
        </w:rPr>
        <w:t>−</w:t>
      </w:r>
      <w:r w:rsidR="002070D4" w:rsidRPr="00694ACA">
        <w:rPr>
          <w:lang w:val="ru-RU"/>
        </w:rPr>
        <w:t xml:space="preserve">172). </w:t>
      </w:r>
      <w:r w:rsidR="002154BA" w:rsidRPr="00694ACA">
        <w:rPr>
          <w:lang w:val="ru-RU"/>
        </w:rPr>
        <w:t>Их</w:t>
      </w:r>
      <w:r w:rsidR="002070D4" w:rsidRPr="00694ACA">
        <w:rPr>
          <w:lang w:val="ru-RU"/>
        </w:rPr>
        <w:t xml:space="preserve"> </w:t>
      </w:r>
      <w:r w:rsidR="002154BA" w:rsidRPr="00694ACA">
        <w:rPr>
          <w:lang w:val="ru-RU"/>
        </w:rPr>
        <w:t>реализация рекомендуется</w:t>
      </w:r>
      <w:r w:rsidR="002070D4" w:rsidRPr="00694ACA">
        <w:rPr>
          <w:lang w:val="ru-RU"/>
        </w:rPr>
        <w:t xml:space="preserve"> независимо от того, какая</w:t>
      </w:r>
      <w:r w:rsidR="002154BA" w:rsidRPr="00694ACA">
        <w:rPr>
          <w:lang w:val="ru-RU"/>
        </w:rPr>
        <w:t xml:space="preserve"> именно</w:t>
      </w:r>
      <w:r w:rsidR="002070D4" w:rsidRPr="00694ACA">
        <w:rPr>
          <w:lang w:val="ru-RU"/>
        </w:rPr>
        <w:t xml:space="preserve"> долгосрочная стратегия будет принята</w:t>
      </w:r>
      <w:r w:rsidR="00606ABC" w:rsidRPr="00694ACA">
        <w:rPr>
          <w:lang w:val="ru-RU"/>
        </w:rPr>
        <w:t>:</w:t>
      </w:r>
    </w:p>
    <w:p w14:paraId="35E132B2" w14:textId="0F82B03C" w:rsidR="005C3BA6" w:rsidRPr="00694ACA" w:rsidRDefault="00606ABC" w:rsidP="00C34F42">
      <w:pPr>
        <w:pStyle w:val="ListParagraph"/>
        <w:numPr>
          <w:ilvl w:val="0"/>
          <w:numId w:val="58"/>
        </w:numPr>
        <w:ind w:right="-472"/>
        <w:rPr>
          <w:rFonts w:eastAsia="Lato" w:cs="Lato"/>
          <w:color w:val="434343"/>
          <w:szCs w:val="22"/>
          <w:lang w:val="ru-RU"/>
        </w:rPr>
      </w:pPr>
      <w:r w:rsidRPr="00694ACA">
        <w:rPr>
          <w:rFonts w:eastAsia="Lato" w:cs="Lato"/>
          <w:color w:val="434343"/>
          <w:szCs w:val="22"/>
          <w:lang w:val="ru-RU"/>
        </w:rPr>
        <w:t xml:space="preserve">разработка </w:t>
      </w:r>
      <w:r w:rsidR="002070D4" w:rsidRPr="00694ACA">
        <w:rPr>
          <w:rFonts w:eastAsia="Lato" w:cs="Lato"/>
          <w:color w:val="434343"/>
          <w:szCs w:val="22"/>
          <w:lang w:val="ru-RU"/>
        </w:rPr>
        <w:t xml:space="preserve">и осуществление четкой общей стратегии и подхода к деятельности по </w:t>
      </w:r>
      <w:r w:rsidR="00A06A11" w:rsidRPr="00694ACA">
        <w:rPr>
          <w:rFonts w:cs="Arial"/>
          <w:lang w:val="ru-RU"/>
        </w:rPr>
        <w:t xml:space="preserve">развитию </w:t>
      </w:r>
      <w:r w:rsidR="002070D4" w:rsidRPr="00694ACA">
        <w:rPr>
          <w:rFonts w:eastAsia="Lato" w:cs="Lato"/>
          <w:color w:val="434343"/>
          <w:szCs w:val="22"/>
          <w:lang w:val="ru-RU"/>
        </w:rPr>
        <w:t xml:space="preserve">потенциала и </w:t>
      </w:r>
      <w:r w:rsidR="002154BA" w:rsidRPr="00694ACA">
        <w:rPr>
          <w:rFonts w:eastAsia="Lato" w:cs="Lato"/>
          <w:color w:val="434343"/>
          <w:szCs w:val="22"/>
          <w:lang w:val="ru-RU"/>
        </w:rPr>
        <w:t xml:space="preserve">профессиональной </w:t>
      </w:r>
      <w:r w:rsidR="002070D4" w:rsidRPr="00694ACA">
        <w:rPr>
          <w:rFonts w:eastAsia="Lato" w:cs="Lato"/>
          <w:color w:val="434343"/>
          <w:szCs w:val="22"/>
          <w:lang w:val="ru-RU"/>
        </w:rPr>
        <w:t>подготовке</w:t>
      </w:r>
      <w:r w:rsidRPr="00694ACA">
        <w:rPr>
          <w:rFonts w:eastAsia="Lato" w:cs="Lato"/>
          <w:color w:val="434343"/>
          <w:szCs w:val="22"/>
          <w:lang w:val="ru-RU"/>
        </w:rPr>
        <w:t>;</w:t>
      </w:r>
    </w:p>
    <w:p w14:paraId="7A9E2F78" w14:textId="224F5D2D" w:rsidR="005C3BA6" w:rsidRPr="00694ACA" w:rsidRDefault="00606ABC" w:rsidP="00C34F42">
      <w:pPr>
        <w:pStyle w:val="ListParagraph"/>
        <w:numPr>
          <w:ilvl w:val="0"/>
          <w:numId w:val="58"/>
        </w:numPr>
        <w:ind w:right="-472"/>
        <w:rPr>
          <w:rFonts w:eastAsia="Lato" w:cs="Lato"/>
          <w:color w:val="434343"/>
          <w:szCs w:val="22"/>
          <w:lang w:val="ru-RU"/>
        </w:rPr>
      </w:pPr>
      <w:r w:rsidRPr="00694ACA">
        <w:rPr>
          <w:rFonts w:eastAsia="Lato" w:cs="Lato"/>
          <w:color w:val="434343"/>
          <w:szCs w:val="22"/>
          <w:lang w:val="ru-RU"/>
        </w:rPr>
        <w:t xml:space="preserve">установка </w:t>
      </w:r>
      <w:r w:rsidR="002070D4" w:rsidRPr="00694ACA">
        <w:rPr>
          <w:rFonts w:eastAsia="Lato" w:cs="Lato"/>
          <w:color w:val="434343"/>
          <w:szCs w:val="22"/>
          <w:lang w:val="ru-RU"/>
        </w:rPr>
        <w:t>бюджетн</w:t>
      </w:r>
      <w:r w:rsidR="002154BA" w:rsidRPr="00694ACA">
        <w:rPr>
          <w:rFonts w:eastAsia="Lato" w:cs="Lato"/>
          <w:color w:val="434343"/>
          <w:szCs w:val="22"/>
          <w:lang w:val="ru-RU"/>
        </w:rPr>
        <w:t>ой</w:t>
      </w:r>
      <w:r w:rsidR="002070D4" w:rsidRPr="00694ACA">
        <w:rPr>
          <w:rFonts w:eastAsia="Lato" w:cs="Lato"/>
          <w:color w:val="434343"/>
          <w:szCs w:val="22"/>
          <w:lang w:val="ru-RU"/>
        </w:rPr>
        <w:t xml:space="preserve"> лини</w:t>
      </w:r>
      <w:r w:rsidR="002154BA" w:rsidRPr="00694ACA">
        <w:rPr>
          <w:rFonts w:eastAsia="Lato" w:cs="Lato"/>
          <w:color w:val="434343"/>
          <w:szCs w:val="22"/>
          <w:lang w:val="ru-RU"/>
        </w:rPr>
        <w:t>и</w:t>
      </w:r>
      <w:r w:rsidR="002070D4" w:rsidRPr="00694ACA">
        <w:rPr>
          <w:rFonts w:eastAsia="Lato" w:cs="Lato"/>
          <w:color w:val="434343"/>
          <w:szCs w:val="22"/>
          <w:lang w:val="ru-RU"/>
        </w:rPr>
        <w:t xml:space="preserve"> для всех мероприятий по развитию потенциала и </w:t>
      </w:r>
      <w:r w:rsidR="002154BA" w:rsidRPr="00694ACA">
        <w:rPr>
          <w:rFonts w:eastAsia="Lato" w:cs="Lato"/>
          <w:color w:val="434343"/>
          <w:szCs w:val="22"/>
          <w:lang w:val="ru-RU"/>
        </w:rPr>
        <w:t>профессиональной подготовке на предмет обеспечения</w:t>
      </w:r>
      <w:r w:rsidR="002070D4" w:rsidRPr="00694ACA">
        <w:rPr>
          <w:rFonts w:eastAsia="Lato" w:cs="Lato"/>
          <w:color w:val="434343"/>
          <w:szCs w:val="22"/>
          <w:lang w:val="ru-RU"/>
        </w:rPr>
        <w:t xml:space="preserve"> соотношени</w:t>
      </w:r>
      <w:r w:rsidR="002154BA" w:rsidRPr="00694ACA">
        <w:rPr>
          <w:rFonts w:eastAsia="Lato" w:cs="Lato"/>
          <w:color w:val="434343"/>
          <w:szCs w:val="22"/>
          <w:lang w:val="ru-RU"/>
        </w:rPr>
        <w:t xml:space="preserve">я </w:t>
      </w:r>
      <w:r w:rsidR="002070D4" w:rsidRPr="00694ACA">
        <w:rPr>
          <w:rFonts w:eastAsia="Lato" w:cs="Lato"/>
          <w:color w:val="434343"/>
          <w:szCs w:val="22"/>
          <w:lang w:val="ru-RU"/>
        </w:rPr>
        <w:t>цены и качества</w:t>
      </w:r>
      <w:r w:rsidRPr="00694ACA">
        <w:rPr>
          <w:rFonts w:eastAsia="Lato" w:cs="Lato"/>
          <w:color w:val="434343"/>
          <w:szCs w:val="22"/>
          <w:lang w:val="ru-RU"/>
        </w:rPr>
        <w:t>;</w:t>
      </w:r>
    </w:p>
    <w:p w14:paraId="31DB3067" w14:textId="3FF2B734" w:rsidR="005C3BA6" w:rsidRPr="00694ACA" w:rsidRDefault="00606ABC" w:rsidP="00C34F42">
      <w:pPr>
        <w:pStyle w:val="ListParagraph"/>
        <w:numPr>
          <w:ilvl w:val="0"/>
          <w:numId w:val="58"/>
        </w:numPr>
        <w:ind w:right="-472"/>
        <w:rPr>
          <w:rFonts w:eastAsia="Lato" w:cs="Lato"/>
          <w:color w:val="434343"/>
          <w:szCs w:val="22"/>
          <w:lang w:val="ru-RU"/>
        </w:rPr>
      </w:pPr>
      <w:r w:rsidRPr="00694ACA">
        <w:rPr>
          <w:rFonts w:eastAsia="Lato" w:cs="Lato"/>
          <w:color w:val="434343"/>
          <w:szCs w:val="22"/>
          <w:lang w:val="ru-RU"/>
        </w:rPr>
        <w:t xml:space="preserve">разработка </w:t>
      </w:r>
      <w:r w:rsidR="002070D4" w:rsidRPr="00694ACA">
        <w:rPr>
          <w:rFonts w:eastAsia="Lato" w:cs="Lato"/>
          <w:color w:val="434343"/>
          <w:szCs w:val="22"/>
          <w:lang w:val="ru-RU"/>
        </w:rPr>
        <w:t>и внедр</w:t>
      </w:r>
      <w:r w:rsidR="002154BA" w:rsidRPr="00694ACA">
        <w:rPr>
          <w:rFonts w:eastAsia="Lato" w:cs="Lato"/>
          <w:color w:val="434343"/>
          <w:szCs w:val="22"/>
          <w:lang w:val="ru-RU"/>
        </w:rPr>
        <w:t>ение</w:t>
      </w:r>
      <w:r w:rsidR="002070D4" w:rsidRPr="00694ACA">
        <w:rPr>
          <w:rFonts w:eastAsia="Lato" w:cs="Lato"/>
          <w:color w:val="434343"/>
          <w:szCs w:val="22"/>
          <w:lang w:val="ru-RU"/>
        </w:rPr>
        <w:t xml:space="preserve"> упрощенн</w:t>
      </w:r>
      <w:r w:rsidR="002154BA" w:rsidRPr="00694ACA">
        <w:rPr>
          <w:rFonts w:eastAsia="Lato" w:cs="Lato"/>
          <w:color w:val="434343"/>
          <w:szCs w:val="22"/>
          <w:lang w:val="ru-RU"/>
        </w:rPr>
        <w:t>ой</w:t>
      </w:r>
      <w:r w:rsidR="002070D4" w:rsidRPr="00694ACA">
        <w:rPr>
          <w:rFonts w:eastAsia="Lato" w:cs="Lato"/>
          <w:color w:val="434343"/>
          <w:szCs w:val="22"/>
          <w:lang w:val="ru-RU"/>
        </w:rPr>
        <w:t xml:space="preserve"> и четк</w:t>
      </w:r>
      <w:r w:rsidR="002154BA" w:rsidRPr="00694ACA">
        <w:rPr>
          <w:rFonts w:eastAsia="Lato" w:cs="Lato"/>
          <w:color w:val="434343"/>
          <w:szCs w:val="22"/>
          <w:lang w:val="ru-RU"/>
        </w:rPr>
        <w:t>ой</w:t>
      </w:r>
      <w:r w:rsidR="002070D4" w:rsidRPr="00694ACA">
        <w:rPr>
          <w:rFonts w:eastAsia="Lato" w:cs="Lato"/>
          <w:color w:val="434343"/>
          <w:szCs w:val="22"/>
          <w:lang w:val="ru-RU"/>
        </w:rPr>
        <w:t xml:space="preserve"> основ</w:t>
      </w:r>
      <w:r w:rsidR="002154BA" w:rsidRPr="00694ACA">
        <w:rPr>
          <w:rFonts w:eastAsia="Lato" w:cs="Lato"/>
          <w:color w:val="434343"/>
          <w:szCs w:val="22"/>
          <w:lang w:val="ru-RU"/>
        </w:rPr>
        <w:t>ы</w:t>
      </w:r>
      <w:r w:rsidR="002070D4" w:rsidRPr="00694ACA">
        <w:rPr>
          <w:rFonts w:eastAsia="Lato" w:cs="Lato"/>
          <w:color w:val="434343"/>
          <w:szCs w:val="22"/>
          <w:lang w:val="ru-RU"/>
        </w:rPr>
        <w:t xml:space="preserve"> для всех мероприятий по развитию потенциала и </w:t>
      </w:r>
      <w:r w:rsidR="002154BA" w:rsidRPr="00694ACA">
        <w:rPr>
          <w:rFonts w:eastAsia="Lato" w:cs="Lato"/>
          <w:color w:val="434343"/>
          <w:szCs w:val="22"/>
          <w:lang w:val="ru-RU"/>
        </w:rPr>
        <w:t>профессиональной подготовке</w:t>
      </w:r>
      <w:r w:rsidRPr="00694ACA">
        <w:rPr>
          <w:rFonts w:eastAsia="Lato" w:cs="Lato"/>
          <w:color w:val="434343"/>
          <w:szCs w:val="22"/>
          <w:lang w:val="ru-RU"/>
        </w:rPr>
        <w:t>;</w:t>
      </w:r>
    </w:p>
    <w:p w14:paraId="40DCA507" w14:textId="703D2B28" w:rsidR="005C3BA6" w:rsidRPr="00694ACA" w:rsidRDefault="00606ABC" w:rsidP="00C34F42">
      <w:pPr>
        <w:pStyle w:val="ListParagraph"/>
        <w:numPr>
          <w:ilvl w:val="0"/>
          <w:numId w:val="58"/>
        </w:numPr>
        <w:ind w:right="-472"/>
        <w:rPr>
          <w:rFonts w:eastAsia="Lato" w:cs="Lato"/>
          <w:color w:val="434343"/>
          <w:szCs w:val="22"/>
          <w:lang w:val="ru-RU"/>
        </w:rPr>
      </w:pPr>
      <w:r w:rsidRPr="00694ACA">
        <w:rPr>
          <w:rFonts w:eastAsia="Lato" w:cs="Lato"/>
          <w:color w:val="434343"/>
          <w:szCs w:val="22"/>
          <w:lang w:val="ru-RU"/>
        </w:rPr>
        <w:t xml:space="preserve">принятие </w:t>
      </w:r>
      <w:r w:rsidR="002070D4" w:rsidRPr="00694ACA">
        <w:rPr>
          <w:rFonts w:eastAsia="Lato" w:cs="Lato"/>
          <w:color w:val="434343"/>
          <w:szCs w:val="22"/>
          <w:lang w:val="ru-RU"/>
        </w:rPr>
        <w:t>на себя</w:t>
      </w:r>
      <w:r w:rsidR="002154BA" w:rsidRPr="00694ACA">
        <w:rPr>
          <w:rFonts w:eastAsia="Lato" w:cs="Lato"/>
          <w:color w:val="434343"/>
          <w:szCs w:val="22"/>
          <w:lang w:val="ru-RU"/>
        </w:rPr>
        <w:t xml:space="preserve"> соответствующих</w:t>
      </w:r>
      <w:r w:rsidR="002070D4" w:rsidRPr="00694ACA">
        <w:rPr>
          <w:rFonts w:eastAsia="Lato" w:cs="Lato"/>
          <w:color w:val="434343"/>
          <w:szCs w:val="22"/>
          <w:lang w:val="ru-RU"/>
        </w:rPr>
        <w:t xml:space="preserve"> обязательств и внедр</w:t>
      </w:r>
      <w:r w:rsidR="00770D38" w:rsidRPr="00694ACA">
        <w:rPr>
          <w:rFonts w:eastAsia="Lato" w:cs="Lato"/>
          <w:color w:val="434343"/>
          <w:szCs w:val="22"/>
          <w:lang w:val="ru-RU"/>
        </w:rPr>
        <w:t>ение</w:t>
      </w:r>
      <w:r w:rsidR="002070D4" w:rsidRPr="00694ACA">
        <w:rPr>
          <w:rFonts w:eastAsia="Lato" w:cs="Lato"/>
          <w:color w:val="434343"/>
          <w:szCs w:val="22"/>
          <w:lang w:val="ru-RU"/>
        </w:rPr>
        <w:t xml:space="preserve"> более строги</w:t>
      </w:r>
      <w:r w:rsidR="00770D38" w:rsidRPr="00694ACA">
        <w:rPr>
          <w:rFonts w:eastAsia="Lato" w:cs="Lato"/>
          <w:color w:val="434343"/>
          <w:szCs w:val="22"/>
          <w:lang w:val="ru-RU"/>
        </w:rPr>
        <w:t>х</w:t>
      </w:r>
      <w:r w:rsidR="002070D4" w:rsidRPr="00694ACA">
        <w:rPr>
          <w:rFonts w:eastAsia="Lato" w:cs="Lato"/>
          <w:color w:val="434343"/>
          <w:szCs w:val="22"/>
          <w:lang w:val="ru-RU"/>
        </w:rPr>
        <w:t xml:space="preserve"> процесс</w:t>
      </w:r>
      <w:r w:rsidR="00770D38" w:rsidRPr="00694ACA">
        <w:rPr>
          <w:rFonts w:eastAsia="Lato" w:cs="Lato"/>
          <w:color w:val="434343"/>
          <w:szCs w:val="22"/>
          <w:lang w:val="ru-RU"/>
        </w:rPr>
        <w:t>ов</w:t>
      </w:r>
      <w:r w:rsidR="002070D4" w:rsidRPr="00694ACA">
        <w:rPr>
          <w:rFonts w:eastAsia="Lato" w:cs="Lato"/>
          <w:color w:val="434343"/>
          <w:szCs w:val="22"/>
          <w:lang w:val="ru-RU"/>
        </w:rPr>
        <w:t xml:space="preserve"> обеспечения качества</w:t>
      </w:r>
      <w:r w:rsidRPr="00694ACA">
        <w:rPr>
          <w:rFonts w:eastAsia="Lato" w:cs="Lato"/>
          <w:color w:val="434343"/>
          <w:szCs w:val="22"/>
          <w:lang w:val="ru-RU"/>
        </w:rPr>
        <w:t>;</w:t>
      </w:r>
    </w:p>
    <w:p w14:paraId="6BB3CD90" w14:textId="1F07D860" w:rsidR="005C3BA6" w:rsidRPr="00694ACA" w:rsidRDefault="00606ABC" w:rsidP="00C34F42">
      <w:pPr>
        <w:pStyle w:val="ListParagraph"/>
        <w:numPr>
          <w:ilvl w:val="0"/>
          <w:numId w:val="58"/>
        </w:numPr>
        <w:ind w:right="-472"/>
        <w:rPr>
          <w:rFonts w:eastAsia="Lato" w:cs="Lato"/>
          <w:color w:val="434343"/>
          <w:szCs w:val="22"/>
          <w:lang w:val="ru-RU"/>
        </w:rPr>
      </w:pPr>
      <w:r w:rsidRPr="00694ACA">
        <w:rPr>
          <w:rFonts w:eastAsia="Lato" w:cs="Lato"/>
          <w:color w:val="434343"/>
          <w:szCs w:val="22"/>
          <w:lang w:val="ru-RU"/>
        </w:rPr>
        <w:t xml:space="preserve">надлежащая </w:t>
      </w:r>
      <w:r w:rsidR="002070D4" w:rsidRPr="00694ACA">
        <w:rPr>
          <w:rFonts w:eastAsia="Lato" w:cs="Lato"/>
          <w:color w:val="434343"/>
          <w:szCs w:val="22"/>
          <w:lang w:val="ru-RU"/>
        </w:rPr>
        <w:t>подготовк</w:t>
      </w:r>
      <w:r w:rsidR="00770D38" w:rsidRPr="00694ACA">
        <w:rPr>
          <w:rFonts w:eastAsia="Lato" w:cs="Lato"/>
          <w:color w:val="434343"/>
          <w:szCs w:val="22"/>
          <w:lang w:val="ru-RU"/>
        </w:rPr>
        <w:t>а</w:t>
      </w:r>
      <w:r w:rsidR="002070D4" w:rsidRPr="00694ACA">
        <w:rPr>
          <w:rFonts w:eastAsia="Lato" w:cs="Lato"/>
          <w:color w:val="434343"/>
          <w:szCs w:val="22"/>
          <w:lang w:val="ru-RU"/>
        </w:rPr>
        <w:t xml:space="preserve"> соответствующего персонала для</w:t>
      </w:r>
      <w:r w:rsidR="00770D38" w:rsidRPr="00694ACA">
        <w:rPr>
          <w:rFonts w:eastAsia="Lato" w:cs="Lato"/>
          <w:color w:val="434343"/>
          <w:szCs w:val="22"/>
          <w:lang w:val="ru-RU"/>
        </w:rPr>
        <w:t xml:space="preserve"> обеспечения</w:t>
      </w:r>
      <w:r w:rsidR="002070D4" w:rsidRPr="00694ACA">
        <w:rPr>
          <w:rFonts w:eastAsia="Lato" w:cs="Lato"/>
          <w:color w:val="434343"/>
          <w:szCs w:val="22"/>
          <w:lang w:val="ru-RU"/>
        </w:rPr>
        <w:t xml:space="preserve"> высоко</w:t>
      </w:r>
      <w:r w:rsidR="00770D38" w:rsidRPr="00694ACA">
        <w:rPr>
          <w:rFonts w:eastAsia="Lato" w:cs="Lato"/>
          <w:color w:val="434343"/>
          <w:szCs w:val="22"/>
          <w:lang w:val="ru-RU"/>
        </w:rPr>
        <w:t>го к</w:t>
      </w:r>
      <w:r w:rsidR="002070D4" w:rsidRPr="00694ACA">
        <w:rPr>
          <w:rFonts w:eastAsia="Lato" w:cs="Lato"/>
          <w:color w:val="434343"/>
          <w:szCs w:val="22"/>
          <w:lang w:val="ru-RU"/>
        </w:rPr>
        <w:t>ачеств</w:t>
      </w:r>
      <w:r w:rsidR="00770D38" w:rsidRPr="00694ACA">
        <w:rPr>
          <w:rFonts w:eastAsia="Lato" w:cs="Lato"/>
          <w:color w:val="434343"/>
          <w:szCs w:val="22"/>
          <w:lang w:val="ru-RU"/>
        </w:rPr>
        <w:t>а</w:t>
      </w:r>
      <w:r w:rsidR="002070D4" w:rsidRPr="00694ACA">
        <w:rPr>
          <w:rFonts w:eastAsia="Lato" w:cs="Lato"/>
          <w:color w:val="434343"/>
          <w:szCs w:val="22"/>
          <w:lang w:val="ru-RU"/>
        </w:rPr>
        <w:t xml:space="preserve"> </w:t>
      </w:r>
      <w:r w:rsidR="00770D38" w:rsidRPr="00694ACA">
        <w:rPr>
          <w:rFonts w:eastAsia="Lato" w:cs="Lato"/>
          <w:color w:val="434343"/>
          <w:szCs w:val="22"/>
          <w:lang w:val="ru-RU"/>
        </w:rPr>
        <w:t xml:space="preserve">услуг по </w:t>
      </w:r>
      <w:r w:rsidR="00A06A11" w:rsidRPr="00694ACA">
        <w:rPr>
          <w:rFonts w:cs="Arial"/>
          <w:lang w:val="ru-RU"/>
        </w:rPr>
        <w:t xml:space="preserve">развитию </w:t>
      </w:r>
      <w:r w:rsidR="00770D38" w:rsidRPr="00694ACA">
        <w:rPr>
          <w:rFonts w:eastAsia="Lato" w:cs="Lato"/>
          <w:color w:val="434343"/>
          <w:szCs w:val="22"/>
          <w:lang w:val="ru-RU"/>
        </w:rPr>
        <w:t>потенциала и профессиональной подготовке</w:t>
      </w:r>
      <w:r w:rsidRPr="00694ACA">
        <w:rPr>
          <w:rFonts w:eastAsia="Lato" w:cs="Lato"/>
          <w:color w:val="434343"/>
          <w:szCs w:val="22"/>
          <w:lang w:val="ru-RU"/>
        </w:rPr>
        <w:t>;</w:t>
      </w:r>
    </w:p>
    <w:p w14:paraId="7046FF0F" w14:textId="4C177EDD" w:rsidR="005C3BA6" w:rsidRPr="00694ACA" w:rsidRDefault="00606ABC" w:rsidP="00C34F42">
      <w:pPr>
        <w:pStyle w:val="ListParagraph"/>
        <w:numPr>
          <w:ilvl w:val="0"/>
          <w:numId w:val="58"/>
        </w:numPr>
        <w:ind w:right="-472"/>
        <w:rPr>
          <w:rFonts w:eastAsia="Lato" w:cs="Lato"/>
          <w:color w:val="434343"/>
          <w:szCs w:val="22"/>
          <w:lang w:val="ru-RU"/>
        </w:rPr>
      </w:pPr>
      <w:r w:rsidRPr="00694ACA">
        <w:rPr>
          <w:rFonts w:eastAsia="Lato" w:cs="Lato"/>
          <w:color w:val="434343"/>
          <w:szCs w:val="22"/>
          <w:lang w:val="ru-RU"/>
        </w:rPr>
        <w:t xml:space="preserve">разработка </w:t>
      </w:r>
      <w:r w:rsidR="002070D4" w:rsidRPr="00694ACA">
        <w:rPr>
          <w:rFonts w:eastAsia="Lato" w:cs="Lato"/>
          <w:color w:val="434343"/>
          <w:szCs w:val="22"/>
          <w:lang w:val="ru-RU"/>
        </w:rPr>
        <w:t>четк</w:t>
      </w:r>
      <w:r w:rsidR="00770D38" w:rsidRPr="00694ACA">
        <w:rPr>
          <w:rFonts w:eastAsia="Lato" w:cs="Lato"/>
          <w:color w:val="434343"/>
          <w:szCs w:val="22"/>
          <w:lang w:val="ru-RU"/>
        </w:rPr>
        <w:t>ой</w:t>
      </w:r>
      <w:r w:rsidR="002070D4" w:rsidRPr="00694ACA">
        <w:rPr>
          <w:rFonts w:eastAsia="Lato" w:cs="Lato"/>
          <w:color w:val="434343"/>
          <w:szCs w:val="22"/>
          <w:lang w:val="ru-RU"/>
        </w:rPr>
        <w:t xml:space="preserve">, </w:t>
      </w:r>
      <w:r w:rsidR="00770D38" w:rsidRPr="00694ACA">
        <w:rPr>
          <w:rFonts w:eastAsia="Lato" w:cs="Lato"/>
          <w:color w:val="434343"/>
          <w:szCs w:val="22"/>
          <w:lang w:val="ru-RU"/>
        </w:rPr>
        <w:t>всеобъемлющей</w:t>
      </w:r>
      <w:r w:rsidR="002070D4" w:rsidRPr="00694ACA">
        <w:rPr>
          <w:rFonts w:eastAsia="Lato" w:cs="Lato"/>
          <w:color w:val="434343"/>
          <w:szCs w:val="22"/>
          <w:lang w:val="ru-RU"/>
        </w:rPr>
        <w:t xml:space="preserve"> маркетингов</w:t>
      </w:r>
      <w:r w:rsidR="00770D38" w:rsidRPr="00694ACA">
        <w:rPr>
          <w:rFonts w:eastAsia="Lato" w:cs="Lato"/>
          <w:color w:val="434343"/>
          <w:szCs w:val="22"/>
          <w:lang w:val="ru-RU"/>
        </w:rPr>
        <w:t>ой</w:t>
      </w:r>
      <w:r w:rsidR="002070D4" w:rsidRPr="00694ACA">
        <w:rPr>
          <w:rFonts w:eastAsia="Lato" w:cs="Lato"/>
          <w:color w:val="434343"/>
          <w:szCs w:val="22"/>
          <w:lang w:val="ru-RU"/>
        </w:rPr>
        <w:t xml:space="preserve"> стратеги</w:t>
      </w:r>
      <w:r w:rsidR="00770D38" w:rsidRPr="00694ACA">
        <w:rPr>
          <w:rFonts w:eastAsia="Lato" w:cs="Lato"/>
          <w:color w:val="434343"/>
          <w:szCs w:val="22"/>
          <w:lang w:val="ru-RU"/>
        </w:rPr>
        <w:t>и</w:t>
      </w:r>
      <w:r w:rsidR="002070D4" w:rsidRPr="00694ACA">
        <w:rPr>
          <w:rFonts w:eastAsia="Lato" w:cs="Lato"/>
          <w:color w:val="434343"/>
          <w:szCs w:val="22"/>
          <w:lang w:val="ru-RU"/>
        </w:rPr>
        <w:t xml:space="preserve"> для всех этих видов деятельности</w:t>
      </w:r>
      <w:r w:rsidRPr="00694ACA">
        <w:rPr>
          <w:rFonts w:eastAsia="Lato" w:cs="Lato"/>
          <w:color w:val="434343"/>
          <w:szCs w:val="22"/>
          <w:lang w:val="ru-RU"/>
        </w:rPr>
        <w:t>;</w:t>
      </w:r>
    </w:p>
    <w:p w14:paraId="6BE20D36" w14:textId="651B2E29" w:rsidR="005C3BA6" w:rsidRPr="00694ACA" w:rsidRDefault="00606ABC" w:rsidP="00C34F42">
      <w:pPr>
        <w:pStyle w:val="ListParagraph"/>
        <w:numPr>
          <w:ilvl w:val="0"/>
          <w:numId w:val="58"/>
        </w:numPr>
        <w:ind w:right="-472"/>
        <w:rPr>
          <w:rFonts w:eastAsia="Lato" w:cs="Lato"/>
          <w:color w:val="434343"/>
          <w:szCs w:val="22"/>
          <w:lang w:val="ru-RU"/>
        </w:rPr>
      </w:pPr>
      <w:r w:rsidRPr="00694ACA">
        <w:rPr>
          <w:rFonts w:eastAsia="Lato" w:cs="Lato"/>
          <w:color w:val="434343"/>
          <w:szCs w:val="22"/>
          <w:lang w:val="ru-RU"/>
        </w:rPr>
        <w:t xml:space="preserve">создание </w:t>
      </w:r>
      <w:r w:rsidR="002070D4" w:rsidRPr="00694ACA">
        <w:rPr>
          <w:rFonts w:eastAsia="Lato" w:cs="Lato"/>
          <w:color w:val="434343"/>
          <w:szCs w:val="22"/>
          <w:lang w:val="ru-RU"/>
        </w:rPr>
        <w:t>динамичной и эффективной сети выпускников</w:t>
      </w:r>
      <w:r w:rsidRPr="00694ACA">
        <w:rPr>
          <w:rFonts w:eastAsia="Lato" w:cs="Lato"/>
          <w:color w:val="434343"/>
          <w:szCs w:val="22"/>
          <w:lang w:val="ru-RU"/>
        </w:rPr>
        <w:t>;</w:t>
      </w:r>
    </w:p>
    <w:p w14:paraId="5EB0D5E5" w14:textId="5EC6B52E" w:rsidR="005C3BA6" w:rsidRPr="00694ACA" w:rsidRDefault="00606ABC" w:rsidP="00C34F42">
      <w:pPr>
        <w:pStyle w:val="ListParagraph"/>
        <w:numPr>
          <w:ilvl w:val="0"/>
          <w:numId w:val="58"/>
        </w:numPr>
        <w:ind w:right="-472"/>
        <w:rPr>
          <w:rFonts w:eastAsia="Lato" w:cs="Lato"/>
          <w:color w:val="434343"/>
          <w:szCs w:val="22"/>
          <w:lang w:val="ru-RU"/>
        </w:rPr>
      </w:pPr>
      <w:r w:rsidRPr="00694ACA">
        <w:rPr>
          <w:rFonts w:eastAsia="Lato" w:cs="Lato"/>
          <w:color w:val="434343"/>
          <w:szCs w:val="22"/>
          <w:lang w:val="ru-RU"/>
        </w:rPr>
        <w:t xml:space="preserve">продолжение </w:t>
      </w:r>
      <w:r w:rsidR="002070D4" w:rsidRPr="00694ACA">
        <w:rPr>
          <w:rFonts w:eastAsia="Lato" w:cs="Lato"/>
          <w:color w:val="434343"/>
          <w:szCs w:val="22"/>
          <w:lang w:val="ru-RU"/>
        </w:rPr>
        <w:t>совершенствова</w:t>
      </w:r>
      <w:r w:rsidR="00770D38" w:rsidRPr="00694ACA">
        <w:rPr>
          <w:rFonts w:eastAsia="Lato" w:cs="Lato"/>
          <w:color w:val="434343"/>
          <w:szCs w:val="22"/>
          <w:lang w:val="ru-RU"/>
        </w:rPr>
        <w:t>ния</w:t>
      </w:r>
      <w:r w:rsidR="002070D4" w:rsidRPr="00694ACA">
        <w:rPr>
          <w:rFonts w:eastAsia="Lato" w:cs="Lato"/>
          <w:color w:val="434343"/>
          <w:szCs w:val="22"/>
          <w:lang w:val="ru-RU"/>
        </w:rPr>
        <w:t xml:space="preserve"> платформ</w:t>
      </w:r>
      <w:r w:rsidR="00770D38" w:rsidRPr="00694ACA">
        <w:rPr>
          <w:rFonts w:eastAsia="Lato" w:cs="Lato"/>
          <w:color w:val="434343"/>
          <w:szCs w:val="22"/>
          <w:lang w:val="ru-RU"/>
        </w:rPr>
        <w:t>ы</w:t>
      </w:r>
      <w:r w:rsidR="002070D4" w:rsidRPr="00694ACA">
        <w:rPr>
          <w:rFonts w:eastAsia="Lato" w:cs="Lato"/>
          <w:color w:val="434343"/>
          <w:szCs w:val="22"/>
          <w:lang w:val="ru-RU"/>
        </w:rPr>
        <w:t xml:space="preserve"> Академии МСЭ</w:t>
      </w:r>
      <w:r w:rsidRPr="00694ACA">
        <w:rPr>
          <w:rFonts w:eastAsia="Lato" w:cs="Lato"/>
          <w:color w:val="434343"/>
          <w:szCs w:val="22"/>
          <w:lang w:val="ru-RU"/>
        </w:rPr>
        <w:t>;</w:t>
      </w:r>
    </w:p>
    <w:p w14:paraId="410AA821" w14:textId="0D31BBD5" w:rsidR="005C3BA6" w:rsidRPr="00694ACA" w:rsidRDefault="00606ABC" w:rsidP="00C34F42">
      <w:pPr>
        <w:pStyle w:val="ListParagraph"/>
        <w:numPr>
          <w:ilvl w:val="0"/>
          <w:numId w:val="58"/>
        </w:numPr>
        <w:ind w:right="-472"/>
        <w:rPr>
          <w:rFonts w:eastAsia="Lato" w:cs="Lato"/>
          <w:color w:val="434343"/>
          <w:szCs w:val="22"/>
          <w:lang w:val="ru-RU"/>
        </w:rPr>
      </w:pPr>
      <w:r w:rsidRPr="00694ACA">
        <w:rPr>
          <w:rFonts w:eastAsia="Lato" w:cs="Lato"/>
          <w:color w:val="434343"/>
          <w:szCs w:val="22"/>
          <w:lang w:val="ru-RU"/>
        </w:rPr>
        <w:t xml:space="preserve">упорядочение </w:t>
      </w:r>
      <w:r w:rsidR="002070D4" w:rsidRPr="00694ACA">
        <w:rPr>
          <w:rFonts w:eastAsia="Lato" w:cs="Lato"/>
          <w:color w:val="434343"/>
          <w:szCs w:val="22"/>
          <w:lang w:val="ru-RU"/>
        </w:rPr>
        <w:t xml:space="preserve">и повышение качества работы центров </w:t>
      </w:r>
      <w:r w:rsidR="00770D38" w:rsidRPr="00694ACA">
        <w:rPr>
          <w:rFonts w:eastAsia="Lato" w:cs="Lato"/>
          <w:color w:val="434343"/>
          <w:szCs w:val="22"/>
          <w:lang w:val="ru-RU"/>
        </w:rPr>
        <w:t>профессионального мастерства</w:t>
      </w:r>
      <w:r w:rsidRPr="00694ACA">
        <w:rPr>
          <w:rFonts w:eastAsia="Lato" w:cs="Lato"/>
          <w:color w:val="434343"/>
          <w:szCs w:val="22"/>
          <w:lang w:val="ru-RU"/>
        </w:rPr>
        <w:t>;</w:t>
      </w:r>
    </w:p>
    <w:p w14:paraId="178073A5" w14:textId="2EA350BB" w:rsidR="005C3BA6" w:rsidRPr="00694ACA" w:rsidRDefault="00606ABC" w:rsidP="00770D38">
      <w:pPr>
        <w:pStyle w:val="ListParagraph"/>
        <w:numPr>
          <w:ilvl w:val="0"/>
          <w:numId w:val="58"/>
        </w:numPr>
        <w:spacing w:after="240"/>
        <w:ind w:left="431" w:right="-471" w:hanging="357"/>
        <w:rPr>
          <w:rFonts w:eastAsia="Lato" w:cs="Lato"/>
          <w:color w:val="434343"/>
          <w:szCs w:val="22"/>
          <w:lang w:val="ru-RU"/>
        </w:rPr>
      </w:pPr>
      <w:r w:rsidRPr="00694ACA">
        <w:rPr>
          <w:lang w:val="ru-RU"/>
        </w:rPr>
        <w:t xml:space="preserve">формирование </w:t>
      </w:r>
      <w:r w:rsidR="00770D38" w:rsidRPr="00694ACA">
        <w:rPr>
          <w:rFonts w:eastAsia="Lato" w:cs="Lato"/>
          <w:color w:val="434343"/>
          <w:szCs w:val="22"/>
          <w:lang w:val="ru-RU"/>
        </w:rPr>
        <w:t xml:space="preserve">тщательно </w:t>
      </w:r>
      <w:r w:rsidR="002070D4" w:rsidRPr="00694ACA">
        <w:rPr>
          <w:rFonts w:eastAsia="Lato" w:cs="Lato"/>
          <w:color w:val="434343"/>
          <w:szCs w:val="22"/>
          <w:lang w:val="ru-RU"/>
        </w:rPr>
        <w:t>продуманны</w:t>
      </w:r>
      <w:r w:rsidR="00770D38" w:rsidRPr="00694ACA">
        <w:rPr>
          <w:rFonts w:eastAsia="Lato" w:cs="Lato"/>
          <w:color w:val="434343"/>
          <w:szCs w:val="22"/>
          <w:lang w:val="ru-RU"/>
        </w:rPr>
        <w:t>х</w:t>
      </w:r>
      <w:r w:rsidR="002070D4" w:rsidRPr="00694ACA">
        <w:rPr>
          <w:rFonts w:eastAsia="Lato" w:cs="Lato"/>
          <w:color w:val="434343"/>
          <w:szCs w:val="22"/>
          <w:lang w:val="ru-RU"/>
        </w:rPr>
        <w:t xml:space="preserve"> и спланированны</w:t>
      </w:r>
      <w:r w:rsidR="00770D38" w:rsidRPr="00694ACA">
        <w:rPr>
          <w:rFonts w:eastAsia="Lato" w:cs="Lato"/>
          <w:color w:val="434343"/>
          <w:szCs w:val="22"/>
          <w:lang w:val="ru-RU"/>
        </w:rPr>
        <w:t>х</w:t>
      </w:r>
      <w:r w:rsidR="002070D4" w:rsidRPr="00694ACA">
        <w:rPr>
          <w:rFonts w:eastAsia="Lato" w:cs="Lato"/>
          <w:color w:val="434343"/>
          <w:szCs w:val="22"/>
          <w:lang w:val="ru-RU"/>
        </w:rPr>
        <w:t xml:space="preserve"> партнерски</w:t>
      </w:r>
      <w:r w:rsidR="00770D38" w:rsidRPr="00694ACA">
        <w:rPr>
          <w:rFonts w:eastAsia="Lato" w:cs="Lato"/>
          <w:color w:val="434343"/>
          <w:szCs w:val="22"/>
          <w:lang w:val="ru-RU"/>
        </w:rPr>
        <w:t>х</w:t>
      </w:r>
      <w:r w:rsidR="002070D4" w:rsidRPr="00694ACA">
        <w:rPr>
          <w:rFonts w:eastAsia="Lato" w:cs="Lato"/>
          <w:color w:val="434343"/>
          <w:szCs w:val="22"/>
          <w:lang w:val="ru-RU"/>
        </w:rPr>
        <w:t xml:space="preserve"> отношени</w:t>
      </w:r>
      <w:r w:rsidR="00770D38" w:rsidRPr="00694ACA">
        <w:rPr>
          <w:rFonts w:eastAsia="Lato" w:cs="Lato"/>
          <w:color w:val="434343"/>
          <w:szCs w:val="22"/>
          <w:lang w:val="ru-RU"/>
        </w:rPr>
        <w:t>й</w:t>
      </w:r>
      <w:r w:rsidR="002070D4" w:rsidRPr="00694ACA">
        <w:rPr>
          <w:rFonts w:eastAsia="Lato" w:cs="Lato"/>
          <w:color w:val="434343"/>
          <w:szCs w:val="22"/>
          <w:lang w:val="ru-RU"/>
        </w:rPr>
        <w:t>.</w:t>
      </w:r>
    </w:p>
    <w:p w14:paraId="02CE7699" w14:textId="1A23D499" w:rsidR="005C3BA6" w:rsidRPr="00694ACA" w:rsidRDefault="005C3BA6" w:rsidP="006D7779">
      <w:pPr>
        <w:ind w:left="-284" w:right="-472"/>
        <w:rPr>
          <w:lang w:val="ru-RU"/>
        </w:rPr>
      </w:pPr>
      <w:r w:rsidRPr="00694ACA">
        <w:rPr>
          <w:lang w:val="ru-RU"/>
        </w:rPr>
        <w:t xml:space="preserve">7. </w:t>
      </w:r>
      <w:r w:rsidR="00770D38" w:rsidRPr="00694ACA">
        <w:rPr>
          <w:lang w:val="ru-RU"/>
        </w:rPr>
        <w:t>В отношении</w:t>
      </w:r>
      <w:r w:rsidR="002070D4" w:rsidRPr="00694ACA">
        <w:rPr>
          <w:lang w:val="ru-RU"/>
        </w:rPr>
        <w:t xml:space="preserve"> </w:t>
      </w:r>
      <w:r w:rsidR="00770D38" w:rsidRPr="00694ACA">
        <w:rPr>
          <w:lang w:val="ru-RU"/>
        </w:rPr>
        <w:t>возможности создания в МСЭ</w:t>
      </w:r>
      <w:r w:rsidR="002070D4" w:rsidRPr="00694ACA">
        <w:rPr>
          <w:lang w:val="ru-RU"/>
        </w:rPr>
        <w:t xml:space="preserve"> </w:t>
      </w:r>
      <w:r w:rsidR="00770D38" w:rsidRPr="00694ACA">
        <w:rPr>
          <w:lang w:val="ru-RU"/>
        </w:rPr>
        <w:t xml:space="preserve">института профессиональной </w:t>
      </w:r>
      <w:r w:rsidR="002070D4" w:rsidRPr="00694ACA">
        <w:rPr>
          <w:lang w:val="ru-RU"/>
        </w:rPr>
        <w:t>подготовки (пункты 91</w:t>
      </w:r>
      <w:r w:rsidR="00457486" w:rsidRPr="00694ACA">
        <w:rPr>
          <w:lang w:val="ru-RU"/>
        </w:rPr>
        <w:t>−</w:t>
      </w:r>
      <w:r w:rsidR="002070D4" w:rsidRPr="00694ACA">
        <w:rPr>
          <w:lang w:val="ru-RU"/>
        </w:rPr>
        <w:t xml:space="preserve">159) в </w:t>
      </w:r>
      <w:r w:rsidR="00770D38" w:rsidRPr="00694ACA">
        <w:rPr>
          <w:lang w:val="ru-RU"/>
        </w:rPr>
        <w:t>отчете</w:t>
      </w:r>
      <w:r w:rsidR="002070D4" w:rsidRPr="00694ACA">
        <w:rPr>
          <w:lang w:val="ru-RU"/>
        </w:rPr>
        <w:t xml:space="preserve"> определяются возможные </w:t>
      </w:r>
      <w:r w:rsidR="00770D38" w:rsidRPr="00694ACA">
        <w:rPr>
          <w:lang w:val="ru-RU"/>
        </w:rPr>
        <w:t>преимущества</w:t>
      </w:r>
      <w:r w:rsidR="002070D4" w:rsidRPr="00694ACA">
        <w:rPr>
          <w:lang w:val="ru-RU"/>
        </w:rPr>
        <w:t xml:space="preserve">, </w:t>
      </w:r>
      <w:r w:rsidR="00770D38" w:rsidRPr="00694ACA">
        <w:rPr>
          <w:lang w:val="ru-RU"/>
        </w:rPr>
        <w:t xml:space="preserve">в </w:t>
      </w:r>
      <w:r w:rsidR="002070D4" w:rsidRPr="00694ACA">
        <w:rPr>
          <w:lang w:val="ru-RU"/>
        </w:rPr>
        <w:t>особенно</w:t>
      </w:r>
      <w:r w:rsidR="00770D38" w:rsidRPr="00694ACA">
        <w:rPr>
          <w:lang w:val="ru-RU"/>
        </w:rPr>
        <w:t>сти</w:t>
      </w:r>
      <w:r w:rsidR="00606ABC" w:rsidRPr="00694ACA">
        <w:rPr>
          <w:lang w:val="ru-RU"/>
        </w:rPr>
        <w:t xml:space="preserve"> следующие:</w:t>
      </w:r>
    </w:p>
    <w:p w14:paraId="6F0B4EE0" w14:textId="56CE6B47" w:rsidR="005539E5" w:rsidRPr="00694ACA" w:rsidRDefault="00606ABC" w:rsidP="005539E5">
      <w:pPr>
        <w:pStyle w:val="ListParagraph"/>
        <w:numPr>
          <w:ilvl w:val="0"/>
          <w:numId w:val="23"/>
        </w:numPr>
        <w:ind w:right="-472"/>
        <w:rPr>
          <w:lang w:val="ru-RU"/>
        </w:rPr>
      </w:pPr>
      <w:r w:rsidRPr="00694ACA">
        <w:rPr>
          <w:lang w:val="ru-RU"/>
        </w:rPr>
        <w:t xml:space="preserve">более </w:t>
      </w:r>
      <w:r w:rsidR="002070D4" w:rsidRPr="00694ACA">
        <w:rPr>
          <w:lang w:val="ru-RU"/>
        </w:rPr>
        <w:t>четкое определение целей развития потенциала и</w:t>
      </w:r>
      <w:r w:rsidR="00770D38" w:rsidRPr="00694ACA">
        <w:rPr>
          <w:lang w:val="ru-RU"/>
        </w:rPr>
        <w:t xml:space="preserve"> профессиональной</w:t>
      </w:r>
      <w:r w:rsidR="002070D4" w:rsidRPr="00694ACA">
        <w:rPr>
          <w:lang w:val="ru-RU"/>
        </w:rPr>
        <w:t xml:space="preserve"> подготовки </w:t>
      </w:r>
      <w:r w:rsidR="00770D38" w:rsidRPr="00694ACA">
        <w:rPr>
          <w:lang w:val="ru-RU"/>
        </w:rPr>
        <w:t>в рамках</w:t>
      </w:r>
      <w:r w:rsidR="002070D4" w:rsidRPr="00694ACA">
        <w:rPr>
          <w:lang w:val="ru-RU"/>
        </w:rPr>
        <w:t xml:space="preserve"> МСЭ;</w:t>
      </w:r>
    </w:p>
    <w:p w14:paraId="2B952229" w14:textId="3512DB94" w:rsidR="005539E5" w:rsidRPr="00694ACA" w:rsidRDefault="00606ABC" w:rsidP="005539E5">
      <w:pPr>
        <w:pStyle w:val="ListParagraph"/>
        <w:numPr>
          <w:ilvl w:val="0"/>
          <w:numId w:val="23"/>
        </w:numPr>
        <w:ind w:right="-472"/>
        <w:rPr>
          <w:lang w:val="ru-RU"/>
        </w:rPr>
      </w:pPr>
      <w:r w:rsidRPr="00694ACA">
        <w:rPr>
          <w:lang w:val="ru-RU"/>
        </w:rPr>
        <w:t xml:space="preserve">более </w:t>
      </w:r>
      <w:r w:rsidR="0076062A" w:rsidRPr="00694ACA">
        <w:rPr>
          <w:lang w:val="ru-RU"/>
        </w:rPr>
        <w:t>эффективная централизованная координация и осуществление такой деятельности;</w:t>
      </w:r>
    </w:p>
    <w:p w14:paraId="079808CB" w14:textId="7445AE29" w:rsidR="005539E5" w:rsidRPr="00694ACA" w:rsidRDefault="00606ABC" w:rsidP="005539E5">
      <w:pPr>
        <w:pStyle w:val="ListParagraph"/>
        <w:numPr>
          <w:ilvl w:val="0"/>
          <w:numId w:val="23"/>
        </w:numPr>
        <w:ind w:right="-472"/>
        <w:rPr>
          <w:lang w:val="ru-RU"/>
        </w:rPr>
      </w:pPr>
      <w:r w:rsidRPr="00694ACA">
        <w:rPr>
          <w:lang w:val="ru-RU"/>
        </w:rPr>
        <w:t xml:space="preserve">повышение </w:t>
      </w:r>
      <w:r w:rsidR="0076062A" w:rsidRPr="00694ACA">
        <w:rPr>
          <w:lang w:val="ru-RU"/>
        </w:rPr>
        <w:t>качества и количества результатов и итогов</w:t>
      </w:r>
      <w:r w:rsidR="00770D38" w:rsidRPr="00694ACA">
        <w:rPr>
          <w:lang w:val="ru-RU"/>
        </w:rPr>
        <w:t xml:space="preserve"> деятельности</w:t>
      </w:r>
      <w:r w:rsidR="0076062A" w:rsidRPr="00694ACA">
        <w:rPr>
          <w:lang w:val="ru-RU"/>
        </w:rPr>
        <w:t xml:space="preserve">; </w:t>
      </w:r>
    </w:p>
    <w:p w14:paraId="6549C27D" w14:textId="6AB67224" w:rsidR="005539E5" w:rsidRPr="00694ACA" w:rsidRDefault="00606ABC" w:rsidP="00770D38">
      <w:pPr>
        <w:pStyle w:val="ListParagraph"/>
        <w:numPr>
          <w:ilvl w:val="0"/>
          <w:numId w:val="23"/>
        </w:numPr>
        <w:spacing w:after="240"/>
        <w:ind w:left="431" w:right="-471" w:hanging="357"/>
        <w:rPr>
          <w:lang w:val="ru-RU"/>
        </w:rPr>
      </w:pPr>
      <w:r w:rsidRPr="00694ACA">
        <w:rPr>
          <w:lang w:val="ru-RU"/>
        </w:rPr>
        <w:t xml:space="preserve">создание </w:t>
      </w:r>
      <w:r w:rsidR="0076062A" w:rsidRPr="00694ACA">
        <w:rPr>
          <w:lang w:val="ru-RU"/>
        </w:rPr>
        <w:t xml:space="preserve">интегрированного сообщества </w:t>
      </w:r>
      <w:r w:rsidR="00770D38" w:rsidRPr="00694ACA">
        <w:rPr>
          <w:lang w:val="ru-RU"/>
        </w:rPr>
        <w:t xml:space="preserve">носителей </w:t>
      </w:r>
      <w:r w:rsidR="0076062A" w:rsidRPr="00694ACA">
        <w:rPr>
          <w:lang w:val="ru-RU"/>
        </w:rPr>
        <w:t>ценного и актуального опыта для членов МСЭ</w:t>
      </w:r>
      <w:r w:rsidRPr="00694ACA">
        <w:rPr>
          <w:lang w:val="ru-RU"/>
        </w:rPr>
        <w:t>,</w:t>
      </w:r>
    </w:p>
    <w:p w14:paraId="7757C88A" w14:textId="67CAC2D9" w:rsidR="005C3BA6" w:rsidRPr="00694ACA" w:rsidRDefault="00606ABC" w:rsidP="002B0D90">
      <w:pPr>
        <w:keepNext/>
        <w:ind w:left="-284" w:right="-471"/>
        <w:rPr>
          <w:lang w:val="ru-RU"/>
        </w:rPr>
      </w:pPr>
      <w:r w:rsidRPr="00694ACA">
        <w:rPr>
          <w:lang w:val="ru-RU"/>
        </w:rPr>
        <w:t>а также</w:t>
      </w:r>
      <w:r w:rsidR="0076062A" w:rsidRPr="00694ACA">
        <w:rPr>
          <w:lang w:val="ru-RU"/>
        </w:rPr>
        <w:t xml:space="preserve"> проблемы, </w:t>
      </w:r>
      <w:r w:rsidRPr="00694ACA">
        <w:rPr>
          <w:lang w:val="ru-RU"/>
        </w:rPr>
        <w:t xml:space="preserve">в </w:t>
      </w:r>
      <w:r w:rsidR="0076062A" w:rsidRPr="00694ACA">
        <w:rPr>
          <w:lang w:val="ru-RU"/>
        </w:rPr>
        <w:t>особенно</w:t>
      </w:r>
      <w:r w:rsidRPr="00694ACA">
        <w:rPr>
          <w:lang w:val="ru-RU"/>
        </w:rPr>
        <w:t>сти следующие:</w:t>
      </w:r>
    </w:p>
    <w:p w14:paraId="54EBC4AD" w14:textId="150605CD" w:rsidR="005539E5" w:rsidRPr="00694ACA" w:rsidRDefault="00606ABC" w:rsidP="005539E5">
      <w:pPr>
        <w:pStyle w:val="ListParagraph"/>
        <w:numPr>
          <w:ilvl w:val="0"/>
          <w:numId w:val="24"/>
        </w:numPr>
        <w:ind w:right="-472"/>
        <w:rPr>
          <w:lang w:val="ru-RU"/>
        </w:rPr>
      </w:pPr>
      <w:r w:rsidRPr="00694ACA">
        <w:rPr>
          <w:lang w:val="ru-RU"/>
        </w:rPr>
        <w:t xml:space="preserve">сложность </w:t>
      </w:r>
      <w:r w:rsidR="009957A3" w:rsidRPr="00694ACA">
        <w:rPr>
          <w:lang w:val="ru-RU"/>
        </w:rPr>
        <w:t xml:space="preserve">внедрения новых структур управления, </w:t>
      </w:r>
      <w:r w:rsidR="00770D38" w:rsidRPr="00694ACA">
        <w:rPr>
          <w:lang w:val="ru-RU"/>
        </w:rPr>
        <w:t>поскольку</w:t>
      </w:r>
      <w:r w:rsidR="009957A3" w:rsidRPr="00694ACA">
        <w:rPr>
          <w:lang w:val="ru-RU"/>
        </w:rPr>
        <w:t xml:space="preserve"> </w:t>
      </w:r>
      <w:r w:rsidR="00770D38" w:rsidRPr="00694ACA">
        <w:rPr>
          <w:lang w:val="ru-RU"/>
        </w:rPr>
        <w:t>институт входит в систему</w:t>
      </w:r>
      <w:r w:rsidR="009957A3" w:rsidRPr="00694ACA">
        <w:rPr>
          <w:lang w:val="ru-RU"/>
        </w:rPr>
        <w:t xml:space="preserve"> МСЭ, но при этом отделен от него;</w:t>
      </w:r>
    </w:p>
    <w:p w14:paraId="4379292B" w14:textId="187CE612" w:rsidR="005539E5" w:rsidRPr="00694ACA" w:rsidRDefault="00606ABC" w:rsidP="005539E5">
      <w:pPr>
        <w:pStyle w:val="ListParagraph"/>
        <w:numPr>
          <w:ilvl w:val="0"/>
          <w:numId w:val="24"/>
        </w:numPr>
        <w:ind w:right="-472"/>
        <w:rPr>
          <w:lang w:val="ru-RU"/>
        </w:rPr>
      </w:pPr>
      <w:r w:rsidRPr="00694ACA">
        <w:rPr>
          <w:lang w:val="ru-RU"/>
        </w:rPr>
        <w:t xml:space="preserve">финансовые </w:t>
      </w:r>
      <w:r w:rsidR="009957A3" w:rsidRPr="00694ACA">
        <w:rPr>
          <w:lang w:val="ru-RU"/>
        </w:rPr>
        <w:t>потребности</w:t>
      </w:r>
      <w:r w:rsidR="00770D38" w:rsidRPr="00694ACA">
        <w:rPr>
          <w:lang w:val="ru-RU"/>
        </w:rPr>
        <w:t>:</w:t>
      </w:r>
      <w:r w:rsidR="009957A3" w:rsidRPr="00694ACA">
        <w:rPr>
          <w:lang w:val="ru-RU"/>
        </w:rPr>
        <w:t xml:space="preserve"> вероятны</w:t>
      </w:r>
      <w:r w:rsidR="00770D38" w:rsidRPr="00694ACA">
        <w:rPr>
          <w:lang w:val="ru-RU"/>
        </w:rPr>
        <w:t>й</w:t>
      </w:r>
      <w:r w:rsidR="009957A3" w:rsidRPr="00694ACA">
        <w:rPr>
          <w:lang w:val="ru-RU"/>
        </w:rPr>
        <w:t xml:space="preserve"> минимальны</w:t>
      </w:r>
      <w:r w:rsidR="00770D38" w:rsidRPr="00694ACA">
        <w:rPr>
          <w:lang w:val="ru-RU"/>
        </w:rPr>
        <w:t>й</w:t>
      </w:r>
      <w:r w:rsidR="009957A3" w:rsidRPr="00694ACA">
        <w:rPr>
          <w:lang w:val="ru-RU"/>
        </w:rPr>
        <w:t xml:space="preserve"> стартовы</w:t>
      </w:r>
      <w:r w:rsidR="00770D38" w:rsidRPr="00694ACA">
        <w:rPr>
          <w:lang w:val="ru-RU"/>
        </w:rPr>
        <w:t>й</w:t>
      </w:r>
      <w:r w:rsidR="009957A3" w:rsidRPr="00694ACA">
        <w:rPr>
          <w:lang w:val="ru-RU"/>
        </w:rPr>
        <w:t xml:space="preserve"> взнос </w:t>
      </w:r>
      <w:r w:rsidR="00770D38" w:rsidRPr="00694ACA">
        <w:rPr>
          <w:lang w:val="ru-RU"/>
        </w:rPr>
        <w:t>составит</w:t>
      </w:r>
      <w:r w:rsidR="009957A3" w:rsidRPr="00694ACA">
        <w:rPr>
          <w:lang w:val="ru-RU"/>
        </w:rPr>
        <w:t xml:space="preserve"> не менее 50</w:t>
      </w:r>
      <w:r w:rsidR="00457486" w:rsidRPr="00694ACA">
        <w:rPr>
          <w:lang w:val="ru-RU"/>
        </w:rPr>
        <w:t> </w:t>
      </w:r>
      <w:r w:rsidR="009957A3" w:rsidRPr="00694ACA">
        <w:rPr>
          <w:lang w:val="ru-RU"/>
        </w:rPr>
        <w:t>млн.</w:t>
      </w:r>
      <w:r w:rsidR="00457486" w:rsidRPr="00694ACA">
        <w:rPr>
          <w:lang w:val="ru-RU"/>
        </w:rPr>
        <w:t> </w:t>
      </w:r>
      <w:r w:rsidR="009957A3" w:rsidRPr="00694ACA">
        <w:rPr>
          <w:lang w:val="ru-RU"/>
        </w:rPr>
        <w:t>долл. США</w:t>
      </w:r>
      <w:r w:rsidR="00770D38" w:rsidRPr="00694ACA">
        <w:rPr>
          <w:lang w:val="ru-RU"/>
        </w:rPr>
        <w:t>, а также</w:t>
      </w:r>
      <w:r w:rsidR="009957A3" w:rsidRPr="00694ACA">
        <w:rPr>
          <w:lang w:val="ru-RU"/>
        </w:rPr>
        <w:t xml:space="preserve"> </w:t>
      </w:r>
      <w:r w:rsidR="00770D38" w:rsidRPr="00694ACA">
        <w:rPr>
          <w:lang w:val="ru-RU"/>
        </w:rPr>
        <w:t>по</w:t>
      </w:r>
      <w:r w:rsidR="009957A3" w:rsidRPr="00694ACA">
        <w:rPr>
          <w:lang w:val="ru-RU"/>
        </w:rPr>
        <w:t xml:space="preserve">требуются </w:t>
      </w:r>
      <w:r w:rsidR="00770D38" w:rsidRPr="00694ACA">
        <w:rPr>
          <w:lang w:val="ru-RU"/>
        </w:rPr>
        <w:t>меры постоянной</w:t>
      </w:r>
      <w:r w:rsidR="009957A3" w:rsidRPr="00694ACA">
        <w:rPr>
          <w:lang w:val="ru-RU"/>
        </w:rPr>
        <w:t xml:space="preserve"> финансовой поддержки;</w:t>
      </w:r>
    </w:p>
    <w:p w14:paraId="50952877" w14:textId="1300A1A5" w:rsidR="005539E5" w:rsidRPr="00694ACA" w:rsidRDefault="00606ABC" w:rsidP="005539E5">
      <w:pPr>
        <w:pStyle w:val="ListParagraph"/>
        <w:numPr>
          <w:ilvl w:val="0"/>
          <w:numId w:val="24"/>
        </w:numPr>
        <w:ind w:right="-472"/>
        <w:rPr>
          <w:lang w:val="ru-RU"/>
        </w:rPr>
      </w:pPr>
      <w:r w:rsidRPr="00694ACA">
        <w:rPr>
          <w:lang w:val="ru-RU"/>
        </w:rPr>
        <w:t xml:space="preserve">стремительный </w:t>
      </w:r>
      <w:r w:rsidR="009957A3" w:rsidRPr="00694ACA">
        <w:rPr>
          <w:lang w:val="ru-RU"/>
        </w:rPr>
        <w:t>глобальный переход к обучению в онлайновом режиме, особенно после</w:t>
      </w:r>
      <w:r w:rsidR="00770D38" w:rsidRPr="00694ACA">
        <w:rPr>
          <w:lang w:val="ru-RU"/>
        </w:rPr>
        <w:t xml:space="preserve"> пандемии</w:t>
      </w:r>
      <w:r w:rsidR="009957A3" w:rsidRPr="00694ACA">
        <w:rPr>
          <w:lang w:val="ru-RU"/>
        </w:rPr>
        <w:t xml:space="preserve"> </w:t>
      </w:r>
      <w:r w:rsidR="00770D38" w:rsidRPr="00694ACA">
        <w:rPr>
          <w:lang w:val="ru-RU"/>
        </w:rPr>
        <w:t>COVID</w:t>
      </w:r>
      <w:r w:rsidR="009957A3" w:rsidRPr="00694ACA">
        <w:rPr>
          <w:lang w:val="ru-RU"/>
        </w:rPr>
        <w:t>-19;</w:t>
      </w:r>
    </w:p>
    <w:p w14:paraId="4A20DB19" w14:textId="22C247E0" w:rsidR="005539E5" w:rsidRPr="00694ACA" w:rsidRDefault="00606ABC" w:rsidP="005539E5">
      <w:pPr>
        <w:pStyle w:val="ListParagraph"/>
        <w:numPr>
          <w:ilvl w:val="0"/>
          <w:numId w:val="24"/>
        </w:numPr>
        <w:ind w:right="-472"/>
        <w:rPr>
          <w:lang w:val="ru-RU"/>
        </w:rPr>
      </w:pPr>
      <w:r w:rsidRPr="00694ACA">
        <w:rPr>
          <w:lang w:val="ru-RU"/>
        </w:rPr>
        <w:t xml:space="preserve">интенсивная </w:t>
      </w:r>
      <w:r w:rsidR="009957A3" w:rsidRPr="00694ACA">
        <w:rPr>
          <w:lang w:val="ru-RU"/>
        </w:rPr>
        <w:t>глобальная конкуренция в области развития</w:t>
      </w:r>
      <w:r w:rsidR="00770D38" w:rsidRPr="00694ACA">
        <w:rPr>
          <w:lang w:val="ru-RU"/>
        </w:rPr>
        <w:t xml:space="preserve"> потенциала</w:t>
      </w:r>
      <w:r w:rsidR="009957A3" w:rsidRPr="00694ACA">
        <w:rPr>
          <w:lang w:val="ru-RU"/>
        </w:rPr>
        <w:t xml:space="preserve"> и </w:t>
      </w:r>
      <w:r w:rsidR="00770D38" w:rsidRPr="00694ACA">
        <w:rPr>
          <w:lang w:val="ru-RU"/>
        </w:rPr>
        <w:t xml:space="preserve">профессиональной </w:t>
      </w:r>
      <w:r w:rsidR="009957A3" w:rsidRPr="00694ACA">
        <w:rPr>
          <w:lang w:val="ru-RU"/>
        </w:rPr>
        <w:t xml:space="preserve">подготовки в сфере цифровых технологий и </w:t>
      </w:r>
      <w:r w:rsidR="00770D38" w:rsidRPr="00694ACA">
        <w:rPr>
          <w:lang w:val="ru-RU"/>
        </w:rPr>
        <w:t>электросвязи</w:t>
      </w:r>
      <w:r w:rsidR="009957A3" w:rsidRPr="00694ACA">
        <w:rPr>
          <w:lang w:val="ru-RU"/>
        </w:rPr>
        <w:t>;</w:t>
      </w:r>
    </w:p>
    <w:p w14:paraId="42E047C9" w14:textId="312EB03B" w:rsidR="005539E5" w:rsidRPr="00694ACA" w:rsidRDefault="00606ABC" w:rsidP="005539E5">
      <w:pPr>
        <w:pStyle w:val="ListParagraph"/>
        <w:numPr>
          <w:ilvl w:val="0"/>
          <w:numId w:val="24"/>
        </w:numPr>
        <w:ind w:right="-472"/>
        <w:rPr>
          <w:lang w:val="ru-RU"/>
        </w:rPr>
      </w:pPr>
      <w:r w:rsidRPr="00694ACA">
        <w:rPr>
          <w:lang w:val="ru-RU"/>
        </w:rPr>
        <w:t xml:space="preserve">требования </w:t>
      </w:r>
      <w:r w:rsidR="009957A3" w:rsidRPr="00694ACA">
        <w:rPr>
          <w:lang w:val="ru-RU"/>
        </w:rPr>
        <w:t>к управлению</w:t>
      </w:r>
      <w:r w:rsidR="00770D38" w:rsidRPr="00694ACA">
        <w:rPr>
          <w:lang w:val="ru-RU"/>
        </w:rPr>
        <w:t xml:space="preserve"> в случае</w:t>
      </w:r>
      <w:r w:rsidR="009957A3" w:rsidRPr="00694ACA">
        <w:rPr>
          <w:lang w:val="ru-RU"/>
        </w:rPr>
        <w:t xml:space="preserve"> </w:t>
      </w:r>
      <w:r w:rsidR="00770D38" w:rsidRPr="00694ACA">
        <w:rPr>
          <w:lang w:val="ru-RU"/>
        </w:rPr>
        <w:t>очного</w:t>
      </w:r>
      <w:r w:rsidR="009957A3" w:rsidRPr="00694ACA">
        <w:rPr>
          <w:lang w:val="ru-RU"/>
        </w:rPr>
        <w:t xml:space="preserve"> присутстви</w:t>
      </w:r>
      <w:r w:rsidR="00770D38" w:rsidRPr="00694ACA">
        <w:rPr>
          <w:lang w:val="ru-RU"/>
        </w:rPr>
        <w:t>я</w:t>
      </w:r>
      <w:r w:rsidR="009957A3" w:rsidRPr="00694ACA">
        <w:rPr>
          <w:lang w:val="ru-RU"/>
        </w:rPr>
        <w:t>;</w:t>
      </w:r>
    </w:p>
    <w:p w14:paraId="18ED5B94" w14:textId="326F9212" w:rsidR="005539E5" w:rsidRPr="00694ACA" w:rsidRDefault="00606ABC" w:rsidP="005539E5">
      <w:pPr>
        <w:pStyle w:val="ListParagraph"/>
        <w:numPr>
          <w:ilvl w:val="0"/>
          <w:numId w:val="24"/>
        </w:numPr>
        <w:ind w:right="-472"/>
        <w:rPr>
          <w:lang w:val="ru-RU"/>
        </w:rPr>
      </w:pPr>
      <w:r w:rsidRPr="00694ACA">
        <w:rPr>
          <w:lang w:val="ru-RU"/>
        </w:rPr>
        <w:t xml:space="preserve">различие </w:t>
      </w:r>
      <w:r w:rsidR="00005A86" w:rsidRPr="00694ACA">
        <w:rPr>
          <w:lang w:val="ru-RU"/>
        </w:rPr>
        <w:t>в готовности</w:t>
      </w:r>
      <w:r w:rsidR="009957A3" w:rsidRPr="00694ACA">
        <w:rPr>
          <w:lang w:val="ru-RU"/>
        </w:rPr>
        <w:t xml:space="preserve"> членов и других заинтересованных сторон </w:t>
      </w:r>
      <w:r w:rsidR="00005A86" w:rsidRPr="00694ACA">
        <w:rPr>
          <w:lang w:val="ru-RU"/>
        </w:rPr>
        <w:t>поддержать</w:t>
      </w:r>
      <w:r w:rsidR="009957A3" w:rsidRPr="00694ACA">
        <w:rPr>
          <w:lang w:val="ru-RU"/>
        </w:rPr>
        <w:t xml:space="preserve"> создани</w:t>
      </w:r>
      <w:r w:rsidR="00005A86" w:rsidRPr="00694ACA">
        <w:rPr>
          <w:lang w:val="ru-RU"/>
        </w:rPr>
        <w:t>е</w:t>
      </w:r>
      <w:r w:rsidR="009957A3" w:rsidRPr="00694ACA">
        <w:rPr>
          <w:lang w:val="ru-RU"/>
        </w:rPr>
        <w:t xml:space="preserve"> института;</w:t>
      </w:r>
    </w:p>
    <w:p w14:paraId="6E9CD9F5" w14:textId="20F95FFB" w:rsidR="005539E5" w:rsidRPr="00694ACA" w:rsidRDefault="00606ABC" w:rsidP="005539E5">
      <w:pPr>
        <w:pStyle w:val="ListParagraph"/>
        <w:numPr>
          <w:ilvl w:val="0"/>
          <w:numId w:val="24"/>
        </w:numPr>
        <w:ind w:right="-472"/>
        <w:rPr>
          <w:lang w:val="ru-RU"/>
        </w:rPr>
      </w:pPr>
      <w:r w:rsidRPr="00694ACA">
        <w:rPr>
          <w:lang w:val="ru-RU"/>
        </w:rPr>
        <w:lastRenderedPageBreak/>
        <w:t xml:space="preserve">обеспокоенность </w:t>
      </w:r>
      <w:r w:rsidR="009957A3" w:rsidRPr="00694ACA">
        <w:rPr>
          <w:lang w:val="ru-RU"/>
        </w:rPr>
        <w:t>в</w:t>
      </w:r>
      <w:r w:rsidR="00005A86" w:rsidRPr="00694ACA">
        <w:rPr>
          <w:lang w:val="ru-RU"/>
        </w:rPr>
        <w:t xml:space="preserve"> рамках системы</w:t>
      </w:r>
      <w:r w:rsidR="009957A3" w:rsidRPr="00694ACA">
        <w:rPr>
          <w:lang w:val="ru-RU"/>
        </w:rPr>
        <w:t xml:space="preserve"> ООН в связи с несоответствиями в термин</w:t>
      </w:r>
      <w:r w:rsidR="00005A86" w:rsidRPr="00694ACA">
        <w:rPr>
          <w:lang w:val="ru-RU"/>
        </w:rPr>
        <w:t>ах</w:t>
      </w:r>
      <w:r w:rsidR="009957A3" w:rsidRPr="00694ACA">
        <w:rPr>
          <w:lang w:val="ru-RU"/>
        </w:rPr>
        <w:t>, относящ</w:t>
      </w:r>
      <w:r w:rsidR="00005A86" w:rsidRPr="00694ACA">
        <w:rPr>
          <w:lang w:val="ru-RU"/>
        </w:rPr>
        <w:t>их</w:t>
      </w:r>
      <w:r w:rsidR="009957A3" w:rsidRPr="00694ACA">
        <w:rPr>
          <w:lang w:val="ru-RU"/>
        </w:rPr>
        <w:t>ся к институтам и академиям;</w:t>
      </w:r>
    </w:p>
    <w:p w14:paraId="665F64F7" w14:textId="68A1E27C" w:rsidR="005539E5" w:rsidRPr="00694ACA" w:rsidRDefault="00606ABC" w:rsidP="005539E5">
      <w:pPr>
        <w:pStyle w:val="ListParagraph"/>
        <w:numPr>
          <w:ilvl w:val="0"/>
          <w:numId w:val="24"/>
        </w:numPr>
        <w:ind w:right="-472"/>
        <w:rPr>
          <w:lang w:val="ru-RU"/>
        </w:rPr>
      </w:pPr>
      <w:r w:rsidRPr="00694ACA">
        <w:rPr>
          <w:lang w:val="ru-RU"/>
        </w:rPr>
        <w:t xml:space="preserve">поиск </w:t>
      </w:r>
      <w:r w:rsidR="00005A86" w:rsidRPr="00694ACA">
        <w:rPr>
          <w:lang w:val="ru-RU"/>
        </w:rPr>
        <w:t>проявляющей готовность и щедрость</w:t>
      </w:r>
      <w:r w:rsidR="009957A3" w:rsidRPr="00694ACA">
        <w:rPr>
          <w:lang w:val="ru-RU"/>
        </w:rPr>
        <w:t xml:space="preserve"> принимающей страны; </w:t>
      </w:r>
    </w:p>
    <w:p w14:paraId="16317C41" w14:textId="5FF681A4" w:rsidR="005539E5" w:rsidRPr="00694ACA" w:rsidRDefault="002707C0" w:rsidP="00005A86">
      <w:pPr>
        <w:pStyle w:val="ListParagraph"/>
        <w:numPr>
          <w:ilvl w:val="0"/>
          <w:numId w:val="24"/>
        </w:numPr>
        <w:spacing w:after="240"/>
        <w:ind w:left="431" w:right="-471" w:hanging="357"/>
        <w:rPr>
          <w:lang w:val="ru-RU"/>
        </w:rPr>
      </w:pPr>
      <w:r w:rsidRPr="00694ACA">
        <w:rPr>
          <w:lang w:val="ru-RU"/>
        </w:rPr>
        <w:t xml:space="preserve">потеря индивидуальности </w:t>
      </w:r>
      <w:r w:rsidR="00005A86" w:rsidRPr="00694ACA">
        <w:rPr>
          <w:lang w:val="ru-RU"/>
        </w:rPr>
        <w:t>бренда</w:t>
      </w:r>
      <w:r w:rsidR="009957A3" w:rsidRPr="00694ACA">
        <w:rPr>
          <w:lang w:val="ru-RU"/>
        </w:rPr>
        <w:t xml:space="preserve"> Академии МСЭ.</w:t>
      </w:r>
    </w:p>
    <w:p w14:paraId="70E99B49" w14:textId="62A87823" w:rsidR="005539E5" w:rsidRPr="00694ACA" w:rsidRDefault="005539E5" w:rsidP="005539E5">
      <w:pPr>
        <w:ind w:left="-284" w:right="-472"/>
        <w:rPr>
          <w:lang w:val="ru-RU"/>
        </w:rPr>
      </w:pPr>
      <w:r w:rsidRPr="00694ACA">
        <w:rPr>
          <w:lang w:val="ru-RU"/>
        </w:rPr>
        <w:t xml:space="preserve">8. </w:t>
      </w:r>
      <w:r w:rsidR="009957A3" w:rsidRPr="00694ACA">
        <w:rPr>
          <w:lang w:val="ru-RU"/>
        </w:rPr>
        <w:t xml:space="preserve">В </w:t>
      </w:r>
      <w:r w:rsidR="00005A86" w:rsidRPr="00694ACA">
        <w:rPr>
          <w:lang w:val="ru-RU"/>
        </w:rPr>
        <w:t>отчете</w:t>
      </w:r>
      <w:r w:rsidR="009957A3" w:rsidRPr="00694ACA">
        <w:rPr>
          <w:lang w:val="ru-RU"/>
        </w:rPr>
        <w:t xml:space="preserve"> </w:t>
      </w:r>
      <w:r w:rsidR="00005A86" w:rsidRPr="00694ACA">
        <w:rPr>
          <w:lang w:val="ru-RU"/>
        </w:rPr>
        <w:t xml:space="preserve">также </w:t>
      </w:r>
      <w:r w:rsidR="009957A3" w:rsidRPr="00694ACA">
        <w:rPr>
          <w:lang w:val="ru-RU"/>
        </w:rPr>
        <w:t xml:space="preserve">предлагается потенциальная альтернативная модель создания </w:t>
      </w:r>
      <w:proofErr w:type="spellStart"/>
      <w:r w:rsidR="009957A3" w:rsidRPr="00694ACA">
        <w:rPr>
          <w:lang w:val="ru-RU"/>
        </w:rPr>
        <w:t>квазинезависимого</w:t>
      </w:r>
      <w:proofErr w:type="spellEnd"/>
      <w:r w:rsidR="009957A3" w:rsidRPr="00694ACA">
        <w:rPr>
          <w:lang w:val="ru-RU"/>
        </w:rPr>
        <w:t xml:space="preserve"> института, а именно создание в рамках Секретариата МСЭ централизованного подразделения, которое будет осуществлять и поддерживать все его мероприятия по </w:t>
      </w:r>
      <w:r w:rsidR="00A06A11" w:rsidRPr="00694ACA">
        <w:rPr>
          <w:rFonts w:cs="Arial"/>
          <w:lang w:val="ru-RU"/>
        </w:rPr>
        <w:t xml:space="preserve">развитию </w:t>
      </w:r>
      <w:r w:rsidR="009957A3" w:rsidRPr="00694ACA">
        <w:rPr>
          <w:lang w:val="ru-RU"/>
        </w:rPr>
        <w:t xml:space="preserve">потенциала и </w:t>
      </w:r>
      <w:r w:rsidR="00005A86" w:rsidRPr="00694ACA">
        <w:rPr>
          <w:lang w:val="ru-RU"/>
        </w:rPr>
        <w:t xml:space="preserve">профессиональной </w:t>
      </w:r>
      <w:r w:rsidR="009957A3" w:rsidRPr="00694ACA">
        <w:rPr>
          <w:lang w:val="ru-RU"/>
        </w:rPr>
        <w:t>подготовке (пункты 173</w:t>
      </w:r>
      <w:r w:rsidR="00457486" w:rsidRPr="00694ACA">
        <w:rPr>
          <w:lang w:val="ru-RU"/>
        </w:rPr>
        <w:t>−</w:t>
      </w:r>
      <w:r w:rsidR="009957A3" w:rsidRPr="00694ACA">
        <w:rPr>
          <w:lang w:val="ru-RU"/>
        </w:rPr>
        <w:t>193), включая, в частности:</w:t>
      </w:r>
    </w:p>
    <w:p w14:paraId="2E718746" w14:textId="50D53AF1" w:rsidR="004D03DF" w:rsidRPr="00694ACA" w:rsidRDefault="00606ABC" w:rsidP="004D03DF">
      <w:pPr>
        <w:pStyle w:val="ListParagraph"/>
        <w:numPr>
          <w:ilvl w:val="0"/>
          <w:numId w:val="25"/>
        </w:numPr>
        <w:ind w:right="-472"/>
        <w:rPr>
          <w:lang w:val="ru-RU"/>
        </w:rPr>
      </w:pPr>
      <w:r w:rsidRPr="00694ACA">
        <w:rPr>
          <w:lang w:val="ru-RU"/>
        </w:rPr>
        <w:t xml:space="preserve">оказание </w:t>
      </w:r>
      <w:r w:rsidR="009957A3" w:rsidRPr="00694ACA">
        <w:rPr>
          <w:lang w:val="ru-RU"/>
        </w:rPr>
        <w:t xml:space="preserve">услуг всем соответствующим </w:t>
      </w:r>
      <w:r w:rsidR="00005A86" w:rsidRPr="00694ACA">
        <w:rPr>
          <w:lang w:val="ru-RU"/>
        </w:rPr>
        <w:t xml:space="preserve">Бюро </w:t>
      </w:r>
      <w:r w:rsidR="009957A3" w:rsidRPr="00694ACA">
        <w:rPr>
          <w:lang w:val="ru-RU"/>
        </w:rPr>
        <w:t xml:space="preserve">и </w:t>
      </w:r>
      <w:r w:rsidR="00005A86" w:rsidRPr="00694ACA">
        <w:rPr>
          <w:lang w:val="ru-RU"/>
        </w:rPr>
        <w:t xml:space="preserve">Департаментам </w:t>
      </w:r>
      <w:r w:rsidR="009957A3" w:rsidRPr="00694ACA">
        <w:rPr>
          <w:lang w:val="ru-RU"/>
        </w:rPr>
        <w:t>МСЭ, работа с ними (различными способами) для совместного создания высококачественных соответствующих учебных ресурсов и (в</w:t>
      </w:r>
      <w:r w:rsidR="00457486" w:rsidRPr="00694ACA">
        <w:rPr>
          <w:lang w:val="ru-RU"/>
        </w:rPr>
        <w:t> </w:t>
      </w:r>
      <w:r w:rsidR="009957A3" w:rsidRPr="00694ACA">
        <w:rPr>
          <w:lang w:val="ru-RU"/>
        </w:rPr>
        <w:t xml:space="preserve">соответствующих случаях) организации </w:t>
      </w:r>
      <w:r w:rsidR="00005A86" w:rsidRPr="00694ACA">
        <w:rPr>
          <w:lang w:val="ru-RU"/>
        </w:rPr>
        <w:t>профессиональной подготовки</w:t>
      </w:r>
      <w:r w:rsidR="009957A3" w:rsidRPr="00694ACA">
        <w:rPr>
          <w:lang w:val="ru-RU"/>
        </w:rPr>
        <w:t>;</w:t>
      </w:r>
    </w:p>
    <w:p w14:paraId="713E5CC0" w14:textId="4507B646" w:rsidR="004D03DF" w:rsidRPr="00694ACA" w:rsidRDefault="00606ABC" w:rsidP="004D03DF">
      <w:pPr>
        <w:pStyle w:val="ListParagraph"/>
        <w:numPr>
          <w:ilvl w:val="0"/>
          <w:numId w:val="25"/>
        </w:numPr>
        <w:ind w:right="-472"/>
        <w:rPr>
          <w:lang w:val="ru-RU"/>
        </w:rPr>
      </w:pPr>
      <w:r w:rsidRPr="00694ACA">
        <w:rPr>
          <w:lang w:val="ru-RU"/>
        </w:rPr>
        <w:t xml:space="preserve">основное </w:t>
      </w:r>
      <w:r w:rsidR="009957A3" w:rsidRPr="00694ACA">
        <w:rPr>
          <w:lang w:val="ru-RU"/>
        </w:rPr>
        <w:t>внимание будет сосредоточено на</w:t>
      </w:r>
      <w:r w:rsidR="00005A86" w:rsidRPr="00694ACA">
        <w:rPr>
          <w:lang w:val="ru-RU"/>
        </w:rPr>
        <w:t xml:space="preserve"> оказании услуг по</w:t>
      </w:r>
      <w:r w:rsidR="009957A3" w:rsidRPr="00694ACA">
        <w:rPr>
          <w:lang w:val="ru-RU"/>
        </w:rPr>
        <w:t xml:space="preserve"> развити</w:t>
      </w:r>
      <w:r w:rsidR="00005A86" w:rsidRPr="00694ACA">
        <w:rPr>
          <w:lang w:val="ru-RU"/>
        </w:rPr>
        <w:t>ю</w:t>
      </w:r>
      <w:r w:rsidR="009957A3" w:rsidRPr="00694ACA">
        <w:rPr>
          <w:lang w:val="ru-RU"/>
        </w:rPr>
        <w:t xml:space="preserve"> потенциала и </w:t>
      </w:r>
      <w:r w:rsidR="00005A86" w:rsidRPr="00694ACA">
        <w:rPr>
          <w:lang w:val="ru-RU"/>
        </w:rPr>
        <w:t>профессиональной подготовке</w:t>
      </w:r>
      <w:r w:rsidR="009957A3" w:rsidRPr="00694ACA">
        <w:rPr>
          <w:lang w:val="ru-RU"/>
        </w:rPr>
        <w:t>, главным образом,</w:t>
      </w:r>
      <w:r w:rsidR="00005A86" w:rsidRPr="00694ACA">
        <w:rPr>
          <w:lang w:val="ru-RU"/>
        </w:rPr>
        <w:t xml:space="preserve"> для</w:t>
      </w:r>
      <w:r w:rsidR="009957A3" w:rsidRPr="00694ACA">
        <w:rPr>
          <w:lang w:val="ru-RU"/>
        </w:rPr>
        <w:t xml:space="preserve"> правительств </w:t>
      </w:r>
      <w:r w:rsidR="00005A86" w:rsidRPr="00694ACA">
        <w:rPr>
          <w:lang w:val="ru-RU"/>
        </w:rPr>
        <w:t xml:space="preserve">Государств-Членов </w:t>
      </w:r>
      <w:r w:rsidR="009957A3" w:rsidRPr="00694ACA">
        <w:rPr>
          <w:lang w:val="ru-RU"/>
        </w:rPr>
        <w:t>и регул</w:t>
      </w:r>
      <w:r w:rsidR="00005A86" w:rsidRPr="00694ACA">
        <w:rPr>
          <w:lang w:val="ru-RU"/>
        </w:rPr>
        <w:t>яторных</w:t>
      </w:r>
      <w:r w:rsidR="009957A3" w:rsidRPr="00694ACA">
        <w:rPr>
          <w:lang w:val="ru-RU"/>
        </w:rPr>
        <w:t xml:space="preserve"> органов;</w:t>
      </w:r>
    </w:p>
    <w:p w14:paraId="3CD60F5C" w14:textId="6EEDAF2A" w:rsidR="004D03DF" w:rsidRPr="00694ACA" w:rsidRDefault="00606ABC" w:rsidP="004D03DF">
      <w:pPr>
        <w:pStyle w:val="ListParagraph"/>
        <w:numPr>
          <w:ilvl w:val="0"/>
          <w:numId w:val="25"/>
        </w:numPr>
        <w:ind w:right="-472"/>
        <w:rPr>
          <w:lang w:val="ru-RU"/>
        </w:rPr>
      </w:pPr>
      <w:r w:rsidRPr="00694ACA">
        <w:rPr>
          <w:lang w:val="ru-RU"/>
        </w:rPr>
        <w:t xml:space="preserve">в </w:t>
      </w:r>
      <w:r w:rsidR="009957A3" w:rsidRPr="00694ACA">
        <w:rPr>
          <w:lang w:val="ru-RU"/>
        </w:rPr>
        <w:t xml:space="preserve">соответствующих случаях и при поступлении просьб </w:t>
      </w:r>
      <w:r w:rsidR="00005A86" w:rsidRPr="00694ACA">
        <w:rPr>
          <w:lang w:val="ru-RU"/>
        </w:rPr>
        <w:t>подразделение</w:t>
      </w:r>
      <w:r w:rsidR="009957A3" w:rsidRPr="00694ACA">
        <w:rPr>
          <w:lang w:val="ru-RU"/>
        </w:rPr>
        <w:t xml:space="preserve"> будет также предоставлять так</w:t>
      </w:r>
      <w:r w:rsidR="00005A86" w:rsidRPr="00694ACA">
        <w:rPr>
          <w:lang w:val="ru-RU"/>
        </w:rPr>
        <w:t>ие услуги по профессиональной подготовке для</w:t>
      </w:r>
      <w:r w:rsidR="009957A3" w:rsidRPr="00694ACA">
        <w:rPr>
          <w:lang w:val="ru-RU"/>
        </w:rPr>
        <w:t xml:space="preserve"> </w:t>
      </w:r>
      <w:r w:rsidR="00005A86" w:rsidRPr="00694ACA">
        <w:rPr>
          <w:lang w:val="ru-RU"/>
        </w:rPr>
        <w:t>Членов Се</w:t>
      </w:r>
      <w:r w:rsidR="009957A3" w:rsidRPr="00694ACA">
        <w:rPr>
          <w:lang w:val="ru-RU"/>
        </w:rPr>
        <w:t>кторов и соответствующи</w:t>
      </w:r>
      <w:r w:rsidR="00005A86" w:rsidRPr="00694ACA">
        <w:rPr>
          <w:lang w:val="ru-RU"/>
        </w:rPr>
        <w:t>х</w:t>
      </w:r>
      <w:r w:rsidR="009957A3" w:rsidRPr="00694ACA">
        <w:rPr>
          <w:lang w:val="ru-RU"/>
        </w:rPr>
        <w:t xml:space="preserve"> други</w:t>
      </w:r>
      <w:r w:rsidR="00005A86" w:rsidRPr="00694ACA">
        <w:rPr>
          <w:lang w:val="ru-RU"/>
        </w:rPr>
        <w:t>х</w:t>
      </w:r>
      <w:r w:rsidR="009957A3" w:rsidRPr="00694ACA">
        <w:rPr>
          <w:lang w:val="ru-RU"/>
        </w:rPr>
        <w:t xml:space="preserve"> организаци</w:t>
      </w:r>
      <w:r w:rsidR="00005A86" w:rsidRPr="00694ACA">
        <w:rPr>
          <w:lang w:val="ru-RU"/>
        </w:rPr>
        <w:t>й</w:t>
      </w:r>
      <w:r w:rsidR="009957A3" w:rsidRPr="00694ACA">
        <w:rPr>
          <w:lang w:val="ru-RU"/>
        </w:rPr>
        <w:t>;</w:t>
      </w:r>
    </w:p>
    <w:p w14:paraId="401638DB" w14:textId="1BF5324F" w:rsidR="004D03DF" w:rsidRPr="00694ACA" w:rsidRDefault="00606ABC" w:rsidP="004D03DF">
      <w:pPr>
        <w:pStyle w:val="ListParagraph"/>
        <w:numPr>
          <w:ilvl w:val="0"/>
          <w:numId w:val="25"/>
        </w:numPr>
        <w:ind w:right="-472"/>
        <w:rPr>
          <w:lang w:val="ru-RU"/>
        </w:rPr>
      </w:pPr>
      <w:r w:rsidRPr="00694ACA">
        <w:rPr>
          <w:lang w:val="ru-RU"/>
        </w:rPr>
        <w:t xml:space="preserve">такое </w:t>
      </w:r>
      <w:r w:rsidR="00005A86" w:rsidRPr="00694ACA">
        <w:rPr>
          <w:lang w:val="ru-RU"/>
        </w:rPr>
        <w:t>подразделение</w:t>
      </w:r>
      <w:r w:rsidR="009957A3" w:rsidRPr="00694ACA">
        <w:rPr>
          <w:lang w:val="ru-RU"/>
        </w:rPr>
        <w:t xml:space="preserve"> будет состоять из группы</w:t>
      </w:r>
      <w:r w:rsidR="00005A86" w:rsidRPr="00694ACA">
        <w:rPr>
          <w:lang w:val="ru-RU"/>
        </w:rPr>
        <w:t xml:space="preserve"> специалистов</w:t>
      </w:r>
      <w:r w:rsidR="009957A3" w:rsidRPr="00694ACA">
        <w:rPr>
          <w:lang w:val="ru-RU"/>
        </w:rPr>
        <w:t xml:space="preserve"> в составе 15</w:t>
      </w:r>
      <w:r w:rsidR="00457486" w:rsidRPr="00694ACA">
        <w:rPr>
          <w:lang w:val="ru-RU"/>
        </w:rPr>
        <w:t>−</w:t>
      </w:r>
      <w:r w:rsidR="009957A3" w:rsidRPr="00694ACA">
        <w:rPr>
          <w:lang w:val="ru-RU"/>
        </w:rPr>
        <w:t>18 человек, имеющих опыт работы по всем аспектам</w:t>
      </w:r>
      <w:r w:rsidR="00005A86" w:rsidRPr="00694ACA">
        <w:rPr>
          <w:lang w:val="ru-RU"/>
        </w:rPr>
        <w:t xml:space="preserve"> профессиональной</w:t>
      </w:r>
      <w:r w:rsidR="009957A3" w:rsidRPr="00694ACA">
        <w:rPr>
          <w:lang w:val="ru-RU"/>
        </w:rPr>
        <w:t xml:space="preserve"> подготовки, относящимся к мандату МСЭ (от</w:t>
      </w:r>
      <w:r w:rsidR="00457486" w:rsidRPr="00694ACA">
        <w:rPr>
          <w:lang w:val="ru-RU"/>
        </w:rPr>
        <w:t> </w:t>
      </w:r>
      <w:r w:rsidR="009957A3" w:rsidRPr="00694ACA">
        <w:rPr>
          <w:lang w:val="ru-RU"/>
        </w:rPr>
        <w:t xml:space="preserve">разработки концепции и проектирования до реализации и </w:t>
      </w:r>
      <w:r w:rsidR="00005A86" w:rsidRPr="00694ACA">
        <w:rPr>
          <w:lang w:val="ru-RU"/>
        </w:rPr>
        <w:t>оказания услуг</w:t>
      </w:r>
      <w:r w:rsidR="009957A3" w:rsidRPr="00694ACA">
        <w:rPr>
          <w:lang w:val="ru-RU"/>
        </w:rPr>
        <w:t>);</w:t>
      </w:r>
    </w:p>
    <w:p w14:paraId="09F785C9" w14:textId="0C76A1B9" w:rsidR="004D03DF" w:rsidRPr="00694ACA" w:rsidRDefault="00606ABC" w:rsidP="00124F05">
      <w:pPr>
        <w:pStyle w:val="ListParagraph"/>
        <w:numPr>
          <w:ilvl w:val="0"/>
          <w:numId w:val="25"/>
        </w:numPr>
        <w:spacing w:after="240"/>
        <w:ind w:left="431" w:right="-471" w:hanging="357"/>
        <w:rPr>
          <w:lang w:val="ru-RU"/>
        </w:rPr>
      </w:pPr>
      <w:r w:rsidRPr="00694ACA">
        <w:rPr>
          <w:lang w:val="ru-RU"/>
        </w:rPr>
        <w:t xml:space="preserve">подразделение </w:t>
      </w:r>
      <w:r w:rsidR="009957A3" w:rsidRPr="00694ACA">
        <w:rPr>
          <w:lang w:val="ru-RU"/>
        </w:rPr>
        <w:t xml:space="preserve">будет также развивать и поддерживать сеть выпускников для обеспечения надлежащей оценки результатов </w:t>
      </w:r>
      <w:r w:rsidR="00005A86" w:rsidRPr="00694ACA">
        <w:rPr>
          <w:lang w:val="ru-RU"/>
        </w:rPr>
        <w:t>профессиональной подготовки</w:t>
      </w:r>
      <w:r w:rsidR="009957A3" w:rsidRPr="00694ACA">
        <w:rPr>
          <w:lang w:val="ru-RU"/>
        </w:rPr>
        <w:t xml:space="preserve">, а также </w:t>
      </w:r>
      <w:r w:rsidR="00005A86" w:rsidRPr="00694ACA">
        <w:rPr>
          <w:lang w:val="ru-RU"/>
        </w:rPr>
        <w:t>сформирует</w:t>
      </w:r>
      <w:r w:rsidR="009957A3" w:rsidRPr="00694ACA">
        <w:rPr>
          <w:lang w:val="ru-RU"/>
        </w:rPr>
        <w:t xml:space="preserve"> глобальную сеть</w:t>
      </w:r>
      <w:r w:rsidR="00005A86" w:rsidRPr="00694ACA">
        <w:rPr>
          <w:lang w:val="ru-RU"/>
        </w:rPr>
        <w:t xml:space="preserve"> специалистов</w:t>
      </w:r>
      <w:r w:rsidR="009957A3" w:rsidRPr="00694ACA">
        <w:rPr>
          <w:lang w:val="ru-RU"/>
        </w:rPr>
        <w:t>,</w:t>
      </w:r>
      <w:r w:rsidR="00005A86" w:rsidRPr="00694ACA">
        <w:rPr>
          <w:lang w:val="ru-RU"/>
        </w:rPr>
        <w:t xml:space="preserve"> в которую</w:t>
      </w:r>
      <w:r w:rsidR="009957A3" w:rsidRPr="00694ACA">
        <w:rPr>
          <w:lang w:val="ru-RU"/>
        </w:rPr>
        <w:t xml:space="preserve"> </w:t>
      </w:r>
      <w:r w:rsidR="00005A86" w:rsidRPr="00694ACA">
        <w:rPr>
          <w:lang w:val="ru-RU"/>
        </w:rPr>
        <w:t>войдут прошедшие подготовку</w:t>
      </w:r>
      <w:r w:rsidR="009957A3" w:rsidRPr="00694ACA">
        <w:rPr>
          <w:lang w:val="ru-RU"/>
        </w:rPr>
        <w:t xml:space="preserve"> лиц</w:t>
      </w:r>
      <w:r w:rsidR="00005A86" w:rsidRPr="00694ACA">
        <w:rPr>
          <w:lang w:val="ru-RU"/>
        </w:rPr>
        <w:t>а</w:t>
      </w:r>
      <w:r w:rsidR="009957A3" w:rsidRPr="00694ACA">
        <w:rPr>
          <w:lang w:val="ru-RU"/>
        </w:rPr>
        <w:t xml:space="preserve"> в</w:t>
      </w:r>
      <w:r w:rsidR="00005A86" w:rsidRPr="00694ACA">
        <w:rPr>
          <w:lang w:val="ru-RU"/>
        </w:rPr>
        <w:t xml:space="preserve"> различных</w:t>
      </w:r>
      <w:r w:rsidR="009957A3" w:rsidRPr="00694ACA">
        <w:rPr>
          <w:lang w:val="ru-RU"/>
        </w:rPr>
        <w:t xml:space="preserve"> организациях, приверженны</w:t>
      </w:r>
      <w:r w:rsidR="00005A86" w:rsidRPr="00694ACA">
        <w:rPr>
          <w:lang w:val="ru-RU"/>
        </w:rPr>
        <w:t>е</w:t>
      </w:r>
      <w:r w:rsidR="009957A3" w:rsidRPr="00694ACA">
        <w:rPr>
          <w:lang w:val="ru-RU"/>
        </w:rPr>
        <w:t xml:space="preserve"> эффективному использованию обучения для выполнения мандата МСЭ, которые также могли бы оказывать </w:t>
      </w:r>
      <w:r w:rsidR="00124F05" w:rsidRPr="00694ACA">
        <w:rPr>
          <w:lang w:val="ru-RU"/>
        </w:rPr>
        <w:t>взаимную</w:t>
      </w:r>
      <w:r w:rsidR="009957A3" w:rsidRPr="00694ACA">
        <w:rPr>
          <w:lang w:val="ru-RU"/>
        </w:rPr>
        <w:t xml:space="preserve"> поддержку и наставническую помощь.</w:t>
      </w:r>
    </w:p>
    <w:p w14:paraId="0A017284" w14:textId="4ADFFCD0" w:rsidR="004D03DF" w:rsidRPr="00694ACA" w:rsidRDefault="00124F05" w:rsidP="004D03DF">
      <w:pPr>
        <w:ind w:left="-284" w:right="-472"/>
        <w:rPr>
          <w:lang w:val="ru-RU"/>
        </w:rPr>
      </w:pPr>
      <w:r w:rsidRPr="00694ACA">
        <w:rPr>
          <w:lang w:val="ru-RU"/>
        </w:rPr>
        <w:t>Формирование такого</w:t>
      </w:r>
      <w:r w:rsidR="009957A3" w:rsidRPr="00694ACA">
        <w:rPr>
          <w:lang w:val="ru-RU"/>
        </w:rPr>
        <w:t xml:space="preserve"> подразделени</w:t>
      </w:r>
      <w:r w:rsidRPr="00694ACA">
        <w:rPr>
          <w:lang w:val="ru-RU"/>
        </w:rPr>
        <w:t>я</w:t>
      </w:r>
      <w:r w:rsidR="009957A3" w:rsidRPr="00694ACA">
        <w:rPr>
          <w:lang w:val="ru-RU"/>
        </w:rPr>
        <w:t xml:space="preserve"> могло бы иметь явные преимущества </w:t>
      </w:r>
      <w:r w:rsidRPr="00694ACA">
        <w:rPr>
          <w:lang w:val="ru-RU"/>
        </w:rPr>
        <w:t>перед</w:t>
      </w:r>
      <w:r w:rsidR="009957A3" w:rsidRPr="00694ACA">
        <w:rPr>
          <w:lang w:val="ru-RU"/>
        </w:rPr>
        <w:t xml:space="preserve"> созданием института, особенно в том, что оно было бы </w:t>
      </w:r>
      <w:r w:rsidRPr="00694ACA">
        <w:rPr>
          <w:lang w:val="ru-RU"/>
        </w:rPr>
        <w:t>сопряжено с меньшими затратами</w:t>
      </w:r>
      <w:r w:rsidR="009957A3" w:rsidRPr="00694ACA">
        <w:rPr>
          <w:lang w:val="ru-RU"/>
        </w:rPr>
        <w:t>, не требовало бы</w:t>
      </w:r>
      <w:r w:rsidRPr="00694ACA">
        <w:rPr>
          <w:lang w:val="ru-RU"/>
        </w:rPr>
        <w:t xml:space="preserve"> создания</w:t>
      </w:r>
      <w:r w:rsidR="009957A3" w:rsidRPr="00694ACA">
        <w:rPr>
          <w:lang w:val="ru-RU"/>
        </w:rPr>
        <w:t xml:space="preserve"> сложных новых структур управления, было бы более непосредственно интегрировано в существующую инфраструктуру Секретариата МСЭ и </w:t>
      </w:r>
      <w:r w:rsidRPr="00694ACA">
        <w:rPr>
          <w:lang w:val="ru-RU"/>
        </w:rPr>
        <w:t>развивало</w:t>
      </w:r>
      <w:r w:rsidR="009957A3" w:rsidRPr="00694ACA">
        <w:rPr>
          <w:lang w:val="ru-RU"/>
        </w:rPr>
        <w:t xml:space="preserve"> бр</w:t>
      </w:r>
      <w:r w:rsidRPr="00694ACA">
        <w:rPr>
          <w:lang w:val="ru-RU"/>
        </w:rPr>
        <w:t>е</w:t>
      </w:r>
      <w:r w:rsidR="009957A3" w:rsidRPr="00694ACA">
        <w:rPr>
          <w:lang w:val="ru-RU"/>
        </w:rPr>
        <w:t>нд Академии МСЭ.</w:t>
      </w:r>
    </w:p>
    <w:bookmarkEnd w:id="27"/>
    <w:p w14:paraId="6942FAF2" w14:textId="46286BB1" w:rsidR="0098402D" w:rsidRPr="00694ACA" w:rsidRDefault="0098402D" w:rsidP="0098402D">
      <w:pPr>
        <w:ind w:left="-284" w:right="-472"/>
        <w:rPr>
          <w:lang w:val="ru-RU"/>
        </w:rPr>
      </w:pPr>
      <w:r w:rsidRPr="00694ACA">
        <w:rPr>
          <w:lang w:val="ru-RU"/>
        </w:rPr>
        <w:t xml:space="preserve">9. </w:t>
      </w:r>
      <w:r w:rsidR="009957A3" w:rsidRPr="00694ACA">
        <w:rPr>
          <w:lang w:val="ru-RU"/>
        </w:rPr>
        <w:t>В свете пунктов 7</w:t>
      </w:r>
      <w:r w:rsidR="00457486" w:rsidRPr="00694ACA">
        <w:rPr>
          <w:lang w:val="ru-RU"/>
        </w:rPr>
        <w:t>−</w:t>
      </w:r>
      <w:r w:rsidR="009957A3" w:rsidRPr="00694ACA">
        <w:rPr>
          <w:lang w:val="ru-RU"/>
        </w:rPr>
        <w:t xml:space="preserve">8 </w:t>
      </w:r>
      <w:r w:rsidR="00124F05" w:rsidRPr="00694ACA">
        <w:rPr>
          <w:lang w:val="ru-RU"/>
        </w:rPr>
        <w:t>отчета</w:t>
      </w:r>
      <w:r w:rsidR="009957A3" w:rsidRPr="00694ACA">
        <w:rPr>
          <w:lang w:val="ru-RU"/>
        </w:rPr>
        <w:t xml:space="preserve"> в дополнение к краткосрочным рекомендациям </w:t>
      </w:r>
      <w:r w:rsidR="00124F05" w:rsidRPr="00694ACA">
        <w:rPr>
          <w:lang w:val="ru-RU"/>
        </w:rPr>
        <w:t>предлагается</w:t>
      </w:r>
      <w:r w:rsidR="009957A3" w:rsidRPr="00694ACA">
        <w:rPr>
          <w:lang w:val="ru-RU"/>
        </w:rPr>
        <w:t xml:space="preserve"> </w:t>
      </w:r>
      <w:r w:rsidR="00124F05" w:rsidRPr="00694ACA">
        <w:rPr>
          <w:lang w:val="ru-RU"/>
        </w:rPr>
        <w:t>один из следующих вариантов</w:t>
      </w:r>
      <w:r w:rsidR="009957A3" w:rsidRPr="00694ACA">
        <w:rPr>
          <w:lang w:val="ru-RU"/>
        </w:rPr>
        <w:t>:</w:t>
      </w:r>
    </w:p>
    <w:p w14:paraId="49A2142B" w14:textId="7EFB4D81" w:rsidR="0098402D" w:rsidRPr="00694ACA" w:rsidRDefault="00606ABC" w:rsidP="0098402D">
      <w:pPr>
        <w:pStyle w:val="ListParagraph"/>
        <w:numPr>
          <w:ilvl w:val="0"/>
          <w:numId w:val="26"/>
        </w:numPr>
        <w:ind w:right="-472"/>
        <w:rPr>
          <w:lang w:val="ru-RU"/>
        </w:rPr>
      </w:pPr>
      <w:r w:rsidRPr="00694ACA">
        <w:rPr>
          <w:lang w:val="ru-RU"/>
        </w:rPr>
        <w:t xml:space="preserve">вариант </w:t>
      </w:r>
      <w:r w:rsidR="009957A3" w:rsidRPr="00694ACA">
        <w:rPr>
          <w:lang w:val="ru-RU"/>
        </w:rPr>
        <w:t>1: создание в</w:t>
      </w:r>
      <w:r w:rsidR="00124F05" w:rsidRPr="00694ACA">
        <w:rPr>
          <w:lang w:val="ru-RU"/>
        </w:rPr>
        <w:t xml:space="preserve"> рамках</w:t>
      </w:r>
      <w:r w:rsidR="009957A3" w:rsidRPr="00694ACA">
        <w:rPr>
          <w:lang w:val="ru-RU"/>
        </w:rPr>
        <w:t xml:space="preserve"> Секретариат</w:t>
      </w:r>
      <w:r w:rsidR="00124F05" w:rsidRPr="00694ACA">
        <w:rPr>
          <w:lang w:val="ru-RU"/>
        </w:rPr>
        <w:t>а</w:t>
      </w:r>
      <w:r w:rsidR="009957A3" w:rsidRPr="00694ACA">
        <w:rPr>
          <w:lang w:val="ru-RU"/>
        </w:rPr>
        <w:t xml:space="preserve"> МСЭ централизованного подразделения по вопросам </w:t>
      </w:r>
      <w:r w:rsidR="00A06A11" w:rsidRPr="00694ACA">
        <w:rPr>
          <w:rFonts w:cs="Arial"/>
          <w:lang w:val="ru-RU"/>
        </w:rPr>
        <w:t xml:space="preserve">развития </w:t>
      </w:r>
      <w:r w:rsidR="009957A3" w:rsidRPr="00694ACA">
        <w:rPr>
          <w:lang w:val="ru-RU"/>
        </w:rPr>
        <w:t xml:space="preserve">потенциала и </w:t>
      </w:r>
      <w:r w:rsidR="00124F05" w:rsidRPr="00694ACA">
        <w:rPr>
          <w:lang w:val="ru-RU"/>
        </w:rPr>
        <w:t xml:space="preserve">профессиональной </w:t>
      </w:r>
      <w:r w:rsidR="009957A3" w:rsidRPr="00694ACA">
        <w:rPr>
          <w:lang w:val="ru-RU"/>
        </w:rPr>
        <w:t xml:space="preserve">подготовки кадров, </w:t>
      </w:r>
      <w:r w:rsidR="00124F05" w:rsidRPr="00694ACA">
        <w:rPr>
          <w:lang w:val="ru-RU"/>
        </w:rPr>
        <w:t>описание которого приведено</w:t>
      </w:r>
      <w:r w:rsidR="009957A3" w:rsidRPr="00694ACA">
        <w:rPr>
          <w:lang w:val="ru-RU"/>
        </w:rPr>
        <w:t xml:space="preserve"> в настоящем </w:t>
      </w:r>
      <w:r w:rsidR="00124F05" w:rsidRPr="00694ACA">
        <w:rPr>
          <w:lang w:val="ru-RU"/>
        </w:rPr>
        <w:t>отчете</w:t>
      </w:r>
      <w:r w:rsidR="009957A3" w:rsidRPr="00694ACA">
        <w:rPr>
          <w:lang w:val="ru-RU"/>
        </w:rPr>
        <w:t xml:space="preserve"> (пункты 173</w:t>
      </w:r>
      <w:r w:rsidR="00457486" w:rsidRPr="00694ACA">
        <w:rPr>
          <w:lang w:val="ru-RU"/>
        </w:rPr>
        <w:t>−</w:t>
      </w:r>
      <w:r w:rsidR="009957A3" w:rsidRPr="00694ACA">
        <w:rPr>
          <w:lang w:val="ru-RU"/>
        </w:rPr>
        <w:t>193);</w:t>
      </w:r>
    </w:p>
    <w:p w14:paraId="69EC91EE" w14:textId="7D05E86C" w:rsidR="0098402D" w:rsidRPr="00694ACA" w:rsidRDefault="00606ABC" w:rsidP="0098402D">
      <w:pPr>
        <w:pStyle w:val="ListParagraph"/>
        <w:numPr>
          <w:ilvl w:val="0"/>
          <w:numId w:val="26"/>
        </w:numPr>
        <w:ind w:right="-472"/>
        <w:rPr>
          <w:lang w:val="ru-RU"/>
        </w:rPr>
      </w:pPr>
      <w:r w:rsidRPr="00694ACA">
        <w:rPr>
          <w:lang w:val="ru-RU"/>
        </w:rPr>
        <w:t xml:space="preserve">вариант </w:t>
      </w:r>
      <w:r w:rsidR="009957A3" w:rsidRPr="00694ACA">
        <w:rPr>
          <w:lang w:val="ru-RU"/>
        </w:rPr>
        <w:t>2: создание</w:t>
      </w:r>
      <w:r w:rsidR="00124F05" w:rsidRPr="00694ACA">
        <w:rPr>
          <w:lang w:val="ru-RU"/>
        </w:rPr>
        <w:t xml:space="preserve"> в</w:t>
      </w:r>
      <w:r w:rsidR="009957A3" w:rsidRPr="00694ACA">
        <w:rPr>
          <w:lang w:val="ru-RU"/>
        </w:rPr>
        <w:t xml:space="preserve"> </w:t>
      </w:r>
      <w:r w:rsidR="00124F05" w:rsidRPr="00694ACA">
        <w:rPr>
          <w:lang w:val="ru-RU"/>
        </w:rPr>
        <w:t xml:space="preserve">МСЭ института профессиональной </w:t>
      </w:r>
      <w:r w:rsidR="009957A3" w:rsidRPr="00694ACA">
        <w:rPr>
          <w:lang w:val="ru-RU"/>
        </w:rPr>
        <w:t xml:space="preserve">подготовки на основе </w:t>
      </w:r>
      <w:r w:rsidR="00124F05" w:rsidRPr="00694ACA">
        <w:rPr>
          <w:lang w:val="ru-RU"/>
        </w:rPr>
        <w:t>структуры</w:t>
      </w:r>
      <w:r w:rsidR="009957A3" w:rsidRPr="00694ACA">
        <w:rPr>
          <w:lang w:val="ru-RU"/>
        </w:rPr>
        <w:t>, представленн</w:t>
      </w:r>
      <w:r w:rsidR="00124F05" w:rsidRPr="00694ACA">
        <w:rPr>
          <w:lang w:val="ru-RU"/>
        </w:rPr>
        <w:t>ой</w:t>
      </w:r>
      <w:r w:rsidR="009957A3" w:rsidRPr="00694ACA">
        <w:rPr>
          <w:lang w:val="ru-RU"/>
        </w:rPr>
        <w:t xml:space="preserve"> в настоящем </w:t>
      </w:r>
      <w:r w:rsidR="00124F05" w:rsidRPr="00694ACA">
        <w:rPr>
          <w:lang w:val="ru-RU"/>
        </w:rPr>
        <w:t>отчете</w:t>
      </w:r>
      <w:r w:rsidR="009957A3" w:rsidRPr="00694ACA">
        <w:rPr>
          <w:lang w:val="ru-RU"/>
        </w:rPr>
        <w:t xml:space="preserve"> (пункты 91</w:t>
      </w:r>
      <w:r w:rsidR="00457486" w:rsidRPr="00694ACA">
        <w:rPr>
          <w:lang w:val="ru-RU"/>
        </w:rPr>
        <w:t>−</w:t>
      </w:r>
      <w:r w:rsidR="009957A3" w:rsidRPr="00694ACA">
        <w:rPr>
          <w:lang w:val="ru-RU"/>
        </w:rPr>
        <w:t>159); или</w:t>
      </w:r>
    </w:p>
    <w:p w14:paraId="33A74F46" w14:textId="1282E61A" w:rsidR="0098402D" w:rsidRPr="00694ACA" w:rsidRDefault="00606ABC" w:rsidP="00124F05">
      <w:pPr>
        <w:pStyle w:val="ListParagraph"/>
        <w:numPr>
          <w:ilvl w:val="0"/>
          <w:numId w:val="26"/>
        </w:numPr>
        <w:spacing w:after="240"/>
        <w:ind w:left="431" w:right="-471" w:hanging="357"/>
        <w:rPr>
          <w:lang w:val="ru-RU"/>
        </w:rPr>
      </w:pPr>
      <w:r w:rsidRPr="00694ACA">
        <w:rPr>
          <w:lang w:val="ru-RU"/>
        </w:rPr>
        <w:t xml:space="preserve">вариант </w:t>
      </w:r>
      <w:r w:rsidR="009957A3" w:rsidRPr="00694ACA">
        <w:rPr>
          <w:lang w:val="ru-RU"/>
        </w:rPr>
        <w:t xml:space="preserve">3: дальнейшее </w:t>
      </w:r>
      <w:r w:rsidR="00124F05" w:rsidRPr="00694ACA">
        <w:rPr>
          <w:lang w:val="ru-RU"/>
        </w:rPr>
        <w:t>поступательное</w:t>
      </w:r>
      <w:r w:rsidR="009957A3" w:rsidRPr="00694ACA">
        <w:rPr>
          <w:lang w:val="ru-RU"/>
        </w:rPr>
        <w:t xml:space="preserve"> повышение качества предоставл</w:t>
      </w:r>
      <w:r w:rsidR="00124F05" w:rsidRPr="00694ACA">
        <w:rPr>
          <w:lang w:val="ru-RU"/>
        </w:rPr>
        <w:t>яемых</w:t>
      </w:r>
      <w:r w:rsidR="009957A3" w:rsidRPr="00694ACA">
        <w:rPr>
          <w:lang w:val="ru-RU"/>
        </w:rPr>
        <w:t xml:space="preserve"> МСЭ услуг по </w:t>
      </w:r>
      <w:r w:rsidR="00A06A11" w:rsidRPr="00694ACA">
        <w:rPr>
          <w:lang w:val="ru-RU"/>
        </w:rPr>
        <w:t>развитию</w:t>
      </w:r>
      <w:r w:rsidR="009957A3" w:rsidRPr="00694ACA">
        <w:rPr>
          <w:lang w:val="ru-RU"/>
        </w:rPr>
        <w:t xml:space="preserve"> потенциала и</w:t>
      </w:r>
      <w:r w:rsidR="00124F05" w:rsidRPr="00694ACA">
        <w:rPr>
          <w:lang w:val="ru-RU"/>
        </w:rPr>
        <w:t xml:space="preserve"> профессиональной</w:t>
      </w:r>
      <w:r w:rsidR="009957A3" w:rsidRPr="00694ACA">
        <w:rPr>
          <w:lang w:val="ru-RU"/>
        </w:rPr>
        <w:t xml:space="preserve"> подготовке за счет </w:t>
      </w:r>
      <w:r w:rsidR="00124F05" w:rsidRPr="00694ACA">
        <w:rPr>
          <w:lang w:val="ru-RU"/>
        </w:rPr>
        <w:t>реализации</w:t>
      </w:r>
      <w:r w:rsidR="009957A3" w:rsidRPr="00694ACA">
        <w:rPr>
          <w:lang w:val="ru-RU"/>
        </w:rPr>
        <w:t xml:space="preserve"> только краткосрочных рекомендаций, </w:t>
      </w:r>
      <w:r w:rsidR="00124F05" w:rsidRPr="00694ACA">
        <w:rPr>
          <w:lang w:val="ru-RU"/>
        </w:rPr>
        <w:t>резюме которых содержится</w:t>
      </w:r>
      <w:r w:rsidR="009957A3" w:rsidRPr="00694ACA">
        <w:rPr>
          <w:lang w:val="ru-RU"/>
        </w:rPr>
        <w:t xml:space="preserve"> в пункте 6.</w:t>
      </w:r>
    </w:p>
    <w:p w14:paraId="6AF88F98" w14:textId="678E77EA" w:rsidR="0098402D" w:rsidRPr="00694ACA" w:rsidRDefault="0098402D" w:rsidP="0098402D">
      <w:pPr>
        <w:ind w:left="-284" w:right="-472"/>
        <w:rPr>
          <w:lang w:val="ru-RU"/>
        </w:rPr>
      </w:pPr>
      <w:r w:rsidRPr="00694ACA">
        <w:rPr>
          <w:lang w:val="ru-RU"/>
        </w:rPr>
        <w:t xml:space="preserve">10. </w:t>
      </w:r>
      <w:proofErr w:type="spellStart"/>
      <w:r w:rsidR="009957A3" w:rsidRPr="00694ACA">
        <w:rPr>
          <w:lang w:val="ru-RU"/>
        </w:rPr>
        <w:t>Jigsaw</w:t>
      </w:r>
      <w:proofErr w:type="spellEnd"/>
      <w:r w:rsidR="009957A3" w:rsidRPr="00694ACA">
        <w:rPr>
          <w:lang w:val="ru-RU"/>
        </w:rPr>
        <w:t xml:space="preserve"> Consult выражает благодарность всем, кто принимал участие в </w:t>
      </w:r>
      <w:r w:rsidR="00124F05" w:rsidRPr="00694ACA">
        <w:rPr>
          <w:lang w:val="ru-RU"/>
        </w:rPr>
        <w:t>данном</w:t>
      </w:r>
      <w:r w:rsidR="009957A3" w:rsidRPr="00694ACA">
        <w:rPr>
          <w:lang w:val="ru-RU"/>
        </w:rPr>
        <w:t xml:space="preserve"> исследовании, и особенно представителям </w:t>
      </w:r>
      <w:r w:rsidR="00124F05" w:rsidRPr="00694ACA">
        <w:rPr>
          <w:lang w:val="ru-RU"/>
        </w:rPr>
        <w:t>Государств-Членов</w:t>
      </w:r>
      <w:r w:rsidR="009957A3" w:rsidRPr="00694ACA">
        <w:rPr>
          <w:lang w:val="ru-RU"/>
        </w:rPr>
        <w:t>, участникам мероприятий</w:t>
      </w:r>
      <w:r w:rsidR="00124F05" w:rsidRPr="00694ACA">
        <w:rPr>
          <w:lang w:val="ru-RU"/>
        </w:rPr>
        <w:t xml:space="preserve"> по профессиональной подготовке</w:t>
      </w:r>
      <w:r w:rsidR="009957A3" w:rsidRPr="00694ACA">
        <w:rPr>
          <w:lang w:val="ru-RU"/>
        </w:rPr>
        <w:t xml:space="preserve">, сотрудникам МСЭ и всем </w:t>
      </w:r>
      <w:r w:rsidR="00124F05" w:rsidRPr="00694ACA">
        <w:rPr>
          <w:lang w:val="ru-RU"/>
        </w:rPr>
        <w:t>остальным</w:t>
      </w:r>
      <w:r w:rsidR="009957A3" w:rsidRPr="00694ACA">
        <w:rPr>
          <w:lang w:val="ru-RU"/>
        </w:rPr>
        <w:t>, к</w:t>
      </w:r>
      <w:r w:rsidR="00124F05" w:rsidRPr="00694ACA">
        <w:rPr>
          <w:lang w:val="ru-RU"/>
        </w:rPr>
        <w:t>то</w:t>
      </w:r>
      <w:r w:rsidR="009957A3" w:rsidRPr="00694ACA">
        <w:rPr>
          <w:lang w:val="ru-RU"/>
        </w:rPr>
        <w:t xml:space="preserve"> так щедро делились своим временем и опытом, </w:t>
      </w:r>
      <w:r w:rsidR="00124F05" w:rsidRPr="00694ACA">
        <w:rPr>
          <w:lang w:val="ru-RU"/>
        </w:rPr>
        <w:t>принимая участие</w:t>
      </w:r>
      <w:r w:rsidR="009957A3" w:rsidRPr="00694ACA">
        <w:rPr>
          <w:lang w:val="ru-RU"/>
        </w:rPr>
        <w:t xml:space="preserve"> в интервью, </w:t>
      </w:r>
      <w:r w:rsidR="006D0A22" w:rsidRPr="00694ACA">
        <w:rPr>
          <w:lang w:val="ru-RU"/>
        </w:rPr>
        <w:t xml:space="preserve">дискуссионных </w:t>
      </w:r>
      <w:r w:rsidR="009957A3" w:rsidRPr="00694ACA">
        <w:rPr>
          <w:lang w:val="ru-RU"/>
        </w:rPr>
        <w:t>группах</w:t>
      </w:r>
      <w:r w:rsidR="00124F05" w:rsidRPr="00694ACA">
        <w:rPr>
          <w:lang w:val="ru-RU"/>
        </w:rPr>
        <w:t xml:space="preserve"> </w:t>
      </w:r>
      <w:r w:rsidR="009957A3" w:rsidRPr="00694ACA">
        <w:rPr>
          <w:lang w:val="ru-RU"/>
        </w:rPr>
        <w:t xml:space="preserve">и </w:t>
      </w:r>
      <w:r w:rsidR="00124F05" w:rsidRPr="00694ACA">
        <w:rPr>
          <w:lang w:val="ru-RU"/>
        </w:rPr>
        <w:t>обследованиях</w:t>
      </w:r>
      <w:r w:rsidR="009957A3" w:rsidRPr="00694ACA">
        <w:rPr>
          <w:lang w:val="ru-RU"/>
        </w:rPr>
        <w:t xml:space="preserve">, на </w:t>
      </w:r>
      <w:r w:rsidR="00124F05" w:rsidRPr="00694ACA">
        <w:rPr>
          <w:lang w:val="ru-RU"/>
        </w:rPr>
        <w:t>основании которых был составлен</w:t>
      </w:r>
      <w:r w:rsidR="009957A3" w:rsidRPr="00694ACA">
        <w:rPr>
          <w:lang w:val="ru-RU"/>
        </w:rPr>
        <w:t xml:space="preserve"> отчет.</w:t>
      </w:r>
    </w:p>
    <w:p w14:paraId="6021B1F6" w14:textId="14820429" w:rsidR="00C0231C" w:rsidRPr="00694ACA" w:rsidRDefault="00C0231C">
      <w:pPr>
        <w:spacing w:line="276" w:lineRule="auto"/>
        <w:rPr>
          <w:lang w:val="ru-RU"/>
        </w:rPr>
      </w:pPr>
      <w:r w:rsidRPr="00694ACA">
        <w:rPr>
          <w:lang w:val="ru-RU"/>
        </w:rPr>
        <w:br w:type="page"/>
      </w:r>
    </w:p>
    <w:p w14:paraId="0E50BE92" w14:textId="1C668B35" w:rsidR="001F22BC" w:rsidRPr="00694ACA" w:rsidRDefault="009957A3" w:rsidP="00FF2324">
      <w:pPr>
        <w:pStyle w:val="Heading1"/>
        <w:rPr>
          <w:lang w:val="ru-RU"/>
        </w:rPr>
      </w:pPr>
      <w:bookmarkStart w:id="32" w:name="_gkf788i8wjcu" w:colFirst="0" w:colLast="0"/>
      <w:bookmarkStart w:id="33" w:name="_klcrisspg96a" w:colFirst="0" w:colLast="0"/>
      <w:bookmarkStart w:id="34" w:name="_Toc71060738"/>
      <w:bookmarkEnd w:id="32"/>
      <w:bookmarkEnd w:id="33"/>
      <w:r w:rsidRPr="00694ACA">
        <w:rPr>
          <w:lang w:val="ru-RU"/>
        </w:rPr>
        <w:lastRenderedPageBreak/>
        <w:t>Раздел 1: Введение</w:t>
      </w:r>
      <w:bookmarkEnd w:id="34"/>
    </w:p>
    <w:p w14:paraId="4AAB9C9D" w14:textId="24F723BB" w:rsidR="001F22BC" w:rsidRPr="00694ACA" w:rsidRDefault="00203A64" w:rsidP="00203A64">
      <w:pPr>
        <w:pStyle w:val="Heading2"/>
        <w:rPr>
          <w:lang w:val="ru-RU"/>
        </w:rPr>
      </w:pPr>
      <w:bookmarkStart w:id="35" w:name="_yjin9p24hvpz" w:colFirst="0" w:colLast="0"/>
      <w:bookmarkStart w:id="36" w:name="_Toc57297308"/>
      <w:bookmarkStart w:id="37" w:name="_Toc58244084"/>
      <w:bookmarkStart w:id="38" w:name="_Toc58273406"/>
      <w:bookmarkStart w:id="39" w:name="_Toc58273635"/>
      <w:bookmarkStart w:id="40" w:name="_Toc58275237"/>
      <w:bookmarkEnd w:id="35"/>
      <w:r w:rsidRPr="00694ACA">
        <w:rPr>
          <w:lang w:val="ru-RU"/>
        </w:rPr>
        <w:t xml:space="preserve">1.1 </w:t>
      </w:r>
      <w:bookmarkEnd w:id="36"/>
      <w:bookmarkEnd w:id="37"/>
      <w:bookmarkEnd w:id="38"/>
      <w:bookmarkEnd w:id="39"/>
      <w:bookmarkEnd w:id="40"/>
      <w:r w:rsidR="009957A3" w:rsidRPr="00694ACA">
        <w:rPr>
          <w:lang w:val="ru-RU"/>
        </w:rPr>
        <w:t>Цель исследования</w:t>
      </w:r>
    </w:p>
    <w:p w14:paraId="15A48D60" w14:textId="36160084" w:rsidR="00E25E56" w:rsidRPr="00694ACA" w:rsidRDefault="00AF6DA5" w:rsidP="00E25E56">
      <w:pPr>
        <w:ind w:left="-284" w:right="-472"/>
        <w:rPr>
          <w:lang w:val="ru-RU"/>
        </w:rPr>
      </w:pPr>
      <w:r w:rsidRPr="00694ACA">
        <w:rPr>
          <w:color w:val="404040" w:themeColor="text1" w:themeTint="BF"/>
          <w:lang w:val="ru-RU"/>
        </w:rPr>
        <w:t xml:space="preserve">11. </w:t>
      </w:r>
      <w:r w:rsidR="009957A3" w:rsidRPr="00694ACA">
        <w:rPr>
          <w:lang w:val="ru-RU"/>
        </w:rPr>
        <w:t xml:space="preserve">В настоящем </w:t>
      </w:r>
      <w:r w:rsidR="00124F05" w:rsidRPr="00694ACA">
        <w:rPr>
          <w:lang w:val="ru-RU"/>
        </w:rPr>
        <w:t>отчете</w:t>
      </w:r>
      <w:r w:rsidR="009957A3" w:rsidRPr="00694ACA">
        <w:rPr>
          <w:lang w:val="ru-RU"/>
        </w:rPr>
        <w:t xml:space="preserve"> содержится анализ и обзор текущей деятельности МСЭ в области </w:t>
      </w:r>
      <w:r w:rsidR="00124F05" w:rsidRPr="00694ACA">
        <w:rPr>
          <w:lang w:val="ru-RU"/>
        </w:rPr>
        <w:t xml:space="preserve">профессиональной </w:t>
      </w:r>
      <w:r w:rsidR="009957A3" w:rsidRPr="00694ACA">
        <w:rPr>
          <w:lang w:val="ru-RU"/>
        </w:rPr>
        <w:t xml:space="preserve">подготовки и развития потенциала, а также оценка целесообразности и потребностей в создании </w:t>
      </w:r>
      <w:r w:rsidR="00124F05" w:rsidRPr="00694ACA">
        <w:rPr>
          <w:lang w:val="ru-RU"/>
        </w:rPr>
        <w:t>института профессиональной подготовки</w:t>
      </w:r>
      <w:r w:rsidR="009957A3" w:rsidRPr="00694ACA">
        <w:rPr>
          <w:lang w:val="ru-RU"/>
        </w:rPr>
        <w:t>. О</w:t>
      </w:r>
      <w:r w:rsidR="00124F05" w:rsidRPr="00694ACA">
        <w:rPr>
          <w:lang w:val="ru-RU"/>
        </w:rPr>
        <w:t>тчет</w:t>
      </w:r>
      <w:r w:rsidR="009957A3" w:rsidRPr="00694ACA">
        <w:rPr>
          <w:lang w:val="ru-RU"/>
        </w:rPr>
        <w:t xml:space="preserve"> подготовлен в соответствии с </w:t>
      </w:r>
      <w:r w:rsidR="00124F05" w:rsidRPr="00694ACA">
        <w:rPr>
          <w:lang w:val="ru-RU"/>
        </w:rPr>
        <w:t>договором с</w:t>
      </w:r>
      <w:r w:rsidR="009957A3" w:rsidRPr="00694ACA">
        <w:rPr>
          <w:lang w:val="ru-RU"/>
        </w:rPr>
        <w:t xml:space="preserve"> МСЭ CTR-S-BDT-2020-007 и </w:t>
      </w:r>
      <w:r w:rsidR="00124F05" w:rsidRPr="00694ACA">
        <w:rPr>
          <w:lang w:val="ru-RU"/>
        </w:rPr>
        <w:t>учитывает</w:t>
      </w:r>
      <w:r w:rsidR="009957A3" w:rsidRPr="00694ACA">
        <w:rPr>
          <w:lang w:val="ru-RU"/>
        </w:rPr>
        <w:t xml:space="preserve"> </w:t>
      </w:r>
      <w:r w:rsidR="00124F05" w:rsidRPr="00694ACA">
        <w:rPr>
          <w:lang w:val="ru-RU"/>
        </w:rPr>
        <w:t>все основные</w:t>
      </w:r>
      <w:r w:rsidR="009957A3" w:rsidRPr="00694ACA">
        <w:rPr>
          <w:lang w:val="ru-RU"/>
        </w:rPr>
        <w:t xml:space="preserve"> критери</w:t>
      </w:r>
      <w:r w:rsidR="00124F05" w:rsidRPr="00694ACA">
        <w:rPr>
          <w:lang w:val="ru-RU"/>
        </w:rPr>
        <w:t>и</w:t>
      </w:r>
      <w:r w:rsidR="0034051A" w:rsidRPr="00694ACA">
        <w:rPr>
          <w:lang w:val="ru-RU"/>
        </w:rPr>
        <w:t>, указанные</w:t>
      </w:r>
      <w:r w:rsidR="009957A3" w:rsidRPr="00694ACA">
        <w:rPr>
          <w:lang w:val="ru-RU"/>
        </w:rPr>
        <w:t xml:space="preserve"> </w:t>
      </w:r>
      <w:r w:rsidR="0034051A" w:rsidRPr="00694ACA">
        <w:rPr>
          <w:lang w:val="ru-RU"/>
        </w:rPr>
        <w:t>в техническом задании</w:t>
      </w:r>
      <w:r w:rsidR="009957A3" w:rsidRPr="00694ACA">
        <w:rPr>
          <w:lang w:val="ru-RU"/>
        </w:rPr>
        <w:t xml:space="preserve"> (</w:t>
      </w:r>
      <w:r w:rsidR="00124F05" w:rsidRPr="00694ACA">
        <w:rPr>
          <w:lang w:val="ru-RU"/>
        </w:rPr>
        <w:t xml:space="preserve">Приложения </w:t>
      </w:r>
      <w:r w:rsidR="009957A3" w:rsidRPr="00694ACA">
        <w:rPr>
          <w:lang w:val="ru-RU"/>
        </w:rPr>
        <w:t>1 и 2).</w:t>
      </w:r>
    </w:p>
    <w:p w14:paraId="672707D7" w14:textId="3B6F5E13" w:rsidR="00E25E56" w:rsidRPr="00694ACA" w:rsidRDefault="00203A64" w:rsidP="00203A64">
      <w:pPr>
        <w:pStyle w:val="Heading2"/>
        <w:rPr>
          <w:lang w:val="ru-RU"/>
        </w:rPr>
      </w:pPr>
      <w:r w:rsidRPr="00694ACA">
        <w:rPr>
          <w:lang w:val="ru-RU"/>
        </w:rPr>
        <w:t xml:space="preserve">1.2 </w:t>
      </w:r>
      <w:r w:rsidR="009957A3" w:rsidRPr="00694ACA">
        <w:rPr>
          <w:lang w:val="ru-RU"/>
        </w:rPr>
        <w:t>Структура отчета</w:t>
      </w:r>
    </w:p>
    <w:p w14:paraId="5A5FAB29" w14:textId="668AC88B" w:rsidR="00812AE4" w:rsidRPr="00694ACA" w:rsidRDefault="00812AE4" w:rsidP="00812AE4">
      <w:pPr>
        <w:ind w:left="-284" w:right="-472"/>
        <w:rPr>
          <w:lang w:val="ru-RU"/>
        </w:rPr>
      </w:pPr>
      <w:r w:rsidRPr="00694ACA">
        <w:rPr>
          <w:lang w:val="ru-RU"/>
        </w:rPr>
        <w:t xml:space="preserve">12. </w:t>
      </w:r>
      <w:r w:rsidR="00124F05" w:rsidRPr="00694ACA">
        <w:rPr>
          <w:lang w:val="ru-RU"/>
        </w:rPr>
        <w:t>Отчет</w:t>
      </w:r>
      <w:r w:rsidR="009957A3" w:rsidRPr="00694ACA">
        <w:rPr>
          <w:lang w:val="ru-RU"/>
        </w:rPr>
        <w:t xml:space="preserve"> начинается с введения (раздел 1), краткого изложения </w:t>
      </w:r>
      <w:r w:rsidR="006D0A22" w:rsidRPr="00694ACA">
        <w:rPr>
          <w:lang w:val="ru-RU"/>
        </w:rPr>
        <w:t>методо</w:t>
      </w:r>
      <w:r w:rsidR="008344C2" w:rsidRPr="00694ACA">
        <w:rPr>
          <w:lang w:val="ru-RU"/>
        </w:rPr>
        <w:t>логического подхода</w:t>
      </w:r>
      <w:r w:rsidR="009957A3" w:rsidRPr="00694ACA">
        <w:rPr>
          <w:lang w:val="ru-RU"/>
        </w:rPr>
        <w:t xml:space="preserve"> (раздел 2) и обзора контекста и </w:t>
      </w:r>
      <w:r w:rsidR="006D0A22" w:rsidRPr="00694ACA">
        <w:rPr>
          <w:lang w:val="ru-RU"/>
        </w:rPr>
        <w:t>базовой информации</w:t>
      </w:r>
      <w:r w:rsidR="009957A3" w:rsidRPr="00694ACA">
        <w:rPr>
          <w:lang w:val="ru-RU"/>
        </w:rPr>
        <w:t xml:space="preserve"> исследования (раздел 3). Затем основное внимание в </w:t>
      </w:r>
      <w:r w:rsidR="006D0A22" w:rsidRPr="00694ACA">
        <w:rPr>
          <w:lang w:val="ru-RU"/>
        </w:rPr>
        <w:t>отчете</w:t>
      </w:r>
      <w:r w:rsidR="009957A3" w:rsidRPr="00694ACA">
        <w:rPr>
          <w:lang w:val="ru-RU"/>
        </w:rPr>
        <w:t xml:space="preserve"> уделяется существующим мероприятиям по </w:t>
      </w:r>
      <w:r w:rsidR="006D0A22" w:rsidRPr="00694ACA">
        <w:rPr>
          <w:lang w:val="ru-RU"/>
        </w:rPr>
        <w:t>развитию</w:t>
      </w:r>
      <w:r w:rsidR="009957A3" w:rsidRPr="00694ACA">
        <w:rPr>
          <w:lang w:val="ru-RU"/>
        </w:rPr>
        <w:t xml:space="preserve"> потенциала и профессиональной подготовке, проводимым МСЭ (раздел 4), оценке качества этих мероприятий (раздел 5), а также бюджетным ассигнованиям и ресурсам, выделяемым на </w:t>
      </w:r>
      <w:r w:rsidR="006D0A22" w:rsidRPr="00694ACA">
        <w:rPr>
          <w:lang w:val="ru-RU"/>
        </w:rPr>
        <w:t xml:space="preserve">деятельность по </w:t>
      </w:r>
      <w:r w:rsidR="00A06A11" w:rsidRPr="00694ACA">
        <w:rPr>
          <w:lang w:val="ru-RU"/>
        </w:rPr>
        <w:t>развитию</w:t>
      </w:r>
      <w:r w:rsidR="009957A3" w:rsidRPr="00694ACA">
        <w:rPr>
          <w:lang w:val="ru-RU"/>
        </w:rPr>
        <w:t xml:space="preserve"> потенциала и профессиональн</w:t>
      </w:r>
      <w:r w:rsidR="006D0A22" w:rsidRPr="00694ACA">
        <w:rPr>
          <w:lang w:val="ru-RU"/>
        </w:rPr>
        <w:t>ой</w:t>
      </w:r>
      <w:r w:rsidR="009957A3" w:rsidRPr="00694ACA">
        <w:rPr>
          <w:lang w:val="ru-RU"/>
        </w:rPr>
        <w:t xml:space="preserve"> подготовк</w:t>
      </w:r>
      <w:r w:rsidR="006D0A22" w:rsidRPr="00694ACA">
        <w:rPr>
          <w:lang w:val="ru-RU"/>
        </w:rPr>
        <w:t>е</w:t>
      </w:r>
      <w:r w:rsidR="009957A3" w:rsidRPr="00694ACA">
        <w:rPr>
          <w:lang w:val="ru-RU"/>
        </w:rPr>
        <w:t xml:space="preserve"> (раздел 6). После этого в </w:t>
      </w:r>
      <w:r w:rsidR="006D0A22" w:rsidRPr="00694ACA">
        <w:rPr>
          <w:lang w:val="ru-RU"/>
        </w:rPr>
        <w:t>отчете</w:t>
      </w:r>
      <w:r w:rsidR="009957A3" w:rsidRPr="00694ACA">
        <w:rPr>
          <w:lang w:val="ru-RU"/>
        </w:rPr>
        <w:t xml:space="preserve"> определяются </w:t>
      </w:r>
      <w:r w:rsidR="006D0A22" w:rsidRPr="00694ACA">
        <w:rPr>
          <w:lang w:val="ru-RU"/>
        </w:rPr>
        <w:t>преимущества и недостатки</w:t>
      </w:r>
      <w:r w:rsidR="009957A3" w:rsidRPr="00694ACA">
        <w:rPr>
          <w:lang w:val="ru-RU"/>
        </w:rPr>
        <w:t xml:space="preserve">, а также области, в которых </w:t>
      </w:r>
      <w:r w:rsidR="006D0A22" w:rsidRPr="00694ACA">
        <w:rPr>
          <w:lang w:val="ru-RU"/>
        </w:rPr>
        <w:t>воз</w:t>
      </w:r>
      <w:r w:rsidR="009957A3" w:rsidRPr="00694ACA">
        <w:rPr>
          <w:lang w:val="ru-RU"/>
        </w:rPr>
        <w:t xml:space="preserve">можно добиться улучшений в рамках </w:t>
      </w:r>
      <w:r w:rsidR="006D0A22" w:rsidRPr="00694ACA">
        <w:rPr>
          <w:lang w:val="ru-RU"/>
        </w:rPr>
        <w:t>текущей</w:t>
      </w:r>
      <w:r w:rsidR="009957A3" w:rsidRPr="00694ACA">
        <w:rPr>
          <w:lang w:val="ru-RU"/>
        </w:rPr>
        <w:t xml:space="preserve"> деятельности (раздел 7). Затем в </w:t>
      </w:r>
      <w:r w:rsidR="006D0A22" w:rsidRPr="00694ACA">
        <w:rPr>
          <w:lang w:val="ru-RU"/>
        </w:rPr>
        <w:t>отчете</w:t>
      </w:r>
      <w:r w:rsidR="009957A3" w:rsidRPr="00694ACA">
        <w:rPr>
          <w:lang w:val="ru-RU"/>
        </w:rPr>
        <w:t xml:space="preserve"> рассм</w:t>
      </w:r>
      <w:r w:rsidR="006D0A22" w:rsidRPr="00694ACA">
        <w:rPr>
          <w:lang w:val="ru-RU"/>
        </w:rPr>
        <w:t>а</w:t>
      </w:r>
      <w:r w:rsidR="009957A3" w:rsidRPr="00694ACA">
        <w:rPr>
          <w:lang w:val="ru-RU"/>
        </w:rPr>
        <w:t>тр</w:t>
      </w:r>
      <w:r w:rsidR="006D0A22" w:rsidRPr="00694ACA">
        <w:rPr>
          <w:lang w:val="ru-RU"/>
        </w:rPr>
        <w:t>ивается</w:t>
      </w:r>
      <w:r w:rsidR="009957A3" w:rsidRPr="00694ACA">
        <w:rPr>
          <w:lang w:val="ru-RU"/>
        </w:rPr>
        <w:t xml:space="preserve"> более широк</w:t>
      </w:r>
      <w:r w:rsidR="006D0A22" w:rsidRPr="00694ACA">
        <w:rPr>
          <w:lang w:val="ru-RU"/>
        </w:rPr>
        <w:t>ий</w:t>
      </w:r>
      <w:r w:rsidR="009957A3" w:rsidRPr="00694ACA">
        <w:rPr>
          <w:lang w:val="ru-RU"/>
        </w:rPr>
        <w:t xml:space="preserve"> контекст, в котором осуществляется деятельность МСЭ по </w:t>
      </w:r>
      <w:r w:rsidR="006D0A22" w:rsidRPr="00694ACA">
        <w:rPr>
          <w:lang w:val="ru-RU"/>
        </w:rPr>
        <w:t>развитию</w:t>
      </w:r>
      <w:r w:rsidR="009957A3" w:rsidRPr="00694ACA">
        <w:rPr>
          <w:lang w:val="ru-RU"/>
        </w:rPr>
        <w:t xml:space="preserve"> потенциала и профессиональной подготовке (раздел 8). </w:t>
      </w:r>
      <w:r w:rsidR="006D0A22" w:rsidRPr="00694ACA">
        <w:rPr>
          <w:lang w:val="ru-RU"/>
        </w:rPr>
        <w:t>После этого</w:t>
      </w:r>
      <w:r w:rsidR="009957A3" w:rsidRPr="00694ACA">
        <w:rPr>
          <w:lang w:val="ru-RU"/>
        </w:rPr>
        <w:t xml:space="preserve"> в основной части </w:t>
      </w:r>
      <w:r w:rsidR="006D0A22" w:rsidRPr="00694ACA">
        <w:rPr>
          <w:lang w:val="ru-RU"/>
        </w:rPr>
        <w:t>отчета</w:t>
      </w:r>
      <w:r w:rsidR="009957A3" w:rsidRPr="00694ACA">
        <w:rPr>
          <w:lang w:val="ru-RU"/>
        </w:rPr>
        <w:t xml:space="preserve"> </w:t>
      </w:r>
      <w:r w:rsidR="006D0A22" w:rsidRPr="00694ACA">
        <w:rPr>
          <w:lang w:val="ru-RU"/>
        </w:rPr>
        <w:t>приводится</w:t>
      </w:r>
      <w:r w:rsidR="009957A3" w:rsidRPr="00694ACA">
        <w:rPr>
          <w:lang w:val="ru-RU"/>
        </w:rPr>
        <w:t xml:space="preserve"> оценка спроса и ресурсов, необходимых для нового </w:t>
      </w:r>
      <w:r w:rsidR="006D0A22" w:rsidRPr="00694ACA">
        <w:rPr>
          <w:lang w:val="ru-RU"/>
        </w:rPr>
        <w:t xml:space="preserve">института профессиональной </w:t>
      </w:r>
      <w:r w:rsidR="009957A3" w:rsidRPr="00694ACA">
        <w:rPr>
          <w:lang w:val="ru-RU"/>
        </w:rPr>
        <w:t xml:space="preserve">подготовки </w:t>
      </w:r>
      <w:r w:rsidR="006D0A22" w:rsidRPr="00694ACA">
        <w:rPr>
          <w:lang w:val="ru-RU"/>
        </w:rPr>
        <w:t>в рамках</w:t>
      </w:r>
      <w:r w:rsidR="009957A3" w:rsidRPr="00694ACA">
        <w:rPr>
          <w:lang w:val="ru-RU"/>
        </w:rPr>
        <w:t xml:space="preserve"> МСЭ (раздел 9). В за</w:t>
      </w:r>
      <w:r w:rsidR="006D0A22" w:rsidRPr="00694ACA">
        <w:rPr>
          <w:lang w:val="ru-RU"/>
        </w:rPr>
        <w:t>вершени</w:t>
      </w:r>
      <w:r w:rsidR="009957A3" w:rsidRPr="00694ACA">
        <w:rPr>
          <w:lang w:val="ru-RU"/>
        </w:rPr>
        <w:t>е привод</w:t>
      </w:r>
      <w:r w:rsidR="008344C2" w:rsidRPr="00694ACA">
        <w:rPr>
          <w:lang w:val="ru-RU"/>
        </w:rPr>
        <w:t>и</w:t>
      </w:r>
      <w:r w:rsidR="009957A3" w:rsidRPr="00694ACA">
        <w:rPr>
          <w:lang w:val="ru-RU"/>
        </w:rPr>
        <w:t xml:space="preserve">тся ряд стратегических рекомендаций как краткосрочного, так и долгосрочного характера (раздел 10) и </w:t>
      </w:r>
      <w:r w:rsidR="008344C2" w:rsidRPr="00694ACA">
        <w:rPr>
          <w:lang w:val="ru-RU"/>
        </w:rPr>
        <w:t xml:space="preserve">формулируются выводы </w:t>
      </w:r>
      <w:r w:rsidR="009957A3" w:rsidRPr="00694ACA">
        <w:rPr>
          <w:lang w:val="ru-RU"/>
        </w:rPr>
        <w:t xml:space="preserve">(раздел 11). В приложениях </w:t>
      </w:r>
      <w:r w:rsidR="006D0A22" w:rsidRPr="00694ACA">
        <w:rPr>
          <w:lang w:val="ru-RU"/>
        </w:rPr>
        <w:t>содержится</w:t>
      </w:r>
      <w:r w:rsidR="009957A3" w:rsidRPr="00694ACA">
        <w:rPr>
          <w:lang w:val="ru-RU"/>
        </w:rPr>
        <w:t xml:space="preserve"> более подробная информация в поддержку аргументов, приведенных в </w:t>
      </w:r>
      <w:r w:rsidR="006D0A22" w:rsidRPr="00694ACA">
        <w:rPr>
          <w:lang w:val="ru-RU"/>
        </w:rPr>
        <w:t>отчете</w:t>
      </w:r>
      <w:r w:rsidR="009957A3" w:rsidRPr="00694ACA">
        <w:rPr>
          <w:lang w:val="ru-RU"/>
        </w:rPr>
        <w:t>.</w:t>
      </w:r>
    </w:p>
    <w:p w14:paraId="5AE5A6C8" w14:textId="1AEF7963" w:rsidR="001F22BC" w:rsidRPr="00694ACA" w:rsidRDefault="009957A3" w:rsidP="003A649D">
      <w:pPr>
        <w:pStyle w:val="Heading1"/>
        <w:rPr>
          <w:lang w:val="ru-RU"/>
        </w:rPr>
      </w:pPr>
      <w:bookmarkStart w:id="41" w:name="_ni0801qjtxw6" w:colFirst="0" w:colLast="0"/>
      <w:bookmarkStart w:id="42" w:name="_50kufti4qae4" w:colFirst="0" w:colLast="0"/>
      <w:bookmarkStart w:id="43" w:name="_pys4np9ckr0b" w:colFirst="0" w:colLast="0"/>
      <w:bookmarkStart w:id="44" w:name="_Toc71060739"/>
      <w:bookmarkEnd w:id="41"/>
      <w:bookmarkEnd w:id="42"/>
      <w:bookmarkEnd w:id="43"/>
      <w:r w:rsidRPr="00694ACA">
        <w:rPr>
          <w:lang w:val="ru-RU"/>
        </w:rPr>
        <w:t>Раздел 2: Метод</w:t>
      </w:r>
      <w:r w:rsidR="00606ABC" w:rsidRPr="00694ACA">
        <w:rPr>
          <w:lang w:val="ru-RU"/>
        </w:rPr>
        <w:t>ология</w:t>
      </w:r>
      <w:bookmarkEnd w:id="44"/>
    </w:p>
    <w:p w14:paraId="45E61EA7" w14:textId="688F8057" w:rsidR="001F22BC" w:rsidRPr="00694ACA" w:rsidRDefault="005F0BD5" w:rsidP="00D278A3">
      <w:pPr>
        <w:ind w:left="-284" w:right="-472"/>
        <w:rPr>
          <w:lang w:val="ru-RU"/>
        </w:rPr>
      </w:pPr>
      <w:r w:rsidRPr="00694ACA">
        <w:rPr>
          <w:lang w:val="ru-RU"/>
        </w:rPr>
        <w:t xml:space="preserve">13. </w:t>
      </w:r>
      <w:r w:rsidR="009957A3" w:rsidRPr="00694ACA">
        <w:rPr>
          <w:lang w:val="ru-RU"/>
        </w:rPr>
        <w:t xml:space="preserve">Для получения фактических данных, на которых основан настоящий </w:t>
      </w:r>
      <w:r w:rsidR="006D0A22" w:rsidRPr="00694ACA">
        <w:rPr>
          <w:lang w:val="ru-RU"/>
        </w:rPr>
        <w:t>отчет</w:t>
      </w:r>
      <w:r w:rsidR="009957A3" w:rsidRPr="00694ACA">
        <w:rPr>
          <w:lang w:val="ru-RU"/>
        </w:rPr>
        <w:t xml:space="preserve">, использовались пять основных методов: анализ документации и материалов МСЭ; </w:t>
      </w:r>
      <w:r w:rsidR="006D0A22" w:rsidRPr="00694ACA">
        <w:rPr>
          <w:lang w:val="ru-RU"/>
        </w:rPr>
        <w:t xml:space="preserve">анализ </w:t>
      </w:r>
      <w:r w:rsidR="009957A3" w:rsidRPr="00694ACA">
        <w:rPr>
          <w:lang w:val="ru-RU"/>
        </w:rPr>
        <w:t>документ</w:t>
      </w:r>
      <w:r w:rsidR="006D0A22" w:rsidRPr="00694ACA">
        <w:rPr>
          <w:lang w:val="ru-RU"/>
        </w:rPr>
        <w:t>ов</w:t>
      </w:r>
      <w:r w:rsidR="009957A3" w:rsidRPr="00694ACA">
        <w:rPr>
          <w:lang w:val="ru-RU"/>
        </w:rPr>
        <w:t xml:space="preserve"> других </w:t>
      </w:r>
      <w:r w:rsidR="006D0A22" w:rsidRPr="00694ACA">
        <w:rPr>
          <w:lang w:val="ru-RU"/>
        </w:rPr>
        <w:t>источников</w:t>
      </w:r>
      <w:r w:rsidR="009957A3" w:rsidRPr="00694ACA">
        <w:rPr>
          <w:lang w:val="ru-RU"/>
        </w:rPr>
        <w:t xml:space="preserve">; интервью; </w:t>
      </w:r>
      <w:r w:rsidR="006D0A22" w:rsidRPr="00694ACA">
        <w:rPr>
          <w:lang w:val="ru-RU"/>
        </w:rPr>
        <w:t xml:space="preserve">дискуссионные </w:t>
      </w:r>
      <w:r w:rsidR="009957A3" w:rsidRPr="00694ACA">
        <w:rPr>
          <w:lang w:val="ru-RU"/>
        </w:rPr>
        <w:t xml:space="preserve">группы; </w:t>
      </w:r>
      <w:r w:rsidR="00FD36D1" w:rsidRPr="00694ACA">
        <w:rPr>
          <w:lang w:val="ru-RU"/>
        </w:rPr>
        <w:t>а также</w:t>
      </w:r>
      <w:r w:rsidR="009957A3" w:rsidRPr="00694ACA">
        <w:rPr>
          <w:lang w:val="ru-RU"/>
        </w:rPr>
        <w:t xml:space="preserve"> обследования.</w:t>
      </w:r>
    </w:p>
    <w:p w14:paraId="3FF4C77D" w14:textId="2A486AB1" w:rsidR="00AF6DA5" w:rsidRPr="00694ACA" w:rsidRDefault="009957A3" w:rsidP="00AF6DA5">
      <w:pPr>
        <w:pStyle w:val="ListParagraph"/>
        <w:numPr>
          <w:ilvl w:val="0"/>
          <w:numId w:val="28"/>
        </w:numPr>
        <w:ind w:right="-472"/>
        <w:rPr>
          <w:lang w:val="ru-RU"/>
        </w:rPr>
      </w:pPr>
      <w:r w:rsidRPr="00694ACA">
        <w:rPr>
          <w:i/>
          <w:iCs/>
          <w:lang w:val="ru-RU"/>
        </w:rPr>
        <w:t>Документы</w:t>
      </w:r>
      <w:r w:rsidRPr="00694ACA">
        <w:rPr>
          <w:lang w:val="ru-RU"/>
        </w:rPr>
        <w:t xml:space="preserve">. В основу исследования были положены как </w:t>
      </w:r>
      <w:r w:rsidR="0024215C" w:rsidRPr="00694ACA">
        <w:rPr>
          <w:lang w:val="ru-RU"/>
        </w:rPr>
        <w:t>открытые</w:t>
      </w:r>
      <w:r w:rsidRPr="00694ACA">
        <w:rPr>
          <w:lang w:val="ru-RU"/>
        </w:rPr>
        <w:t xml:space="preserve"> материалы МСЭ (включая веб-сайт МСЭ и портал Академии), так и </w:t>
      </w:r>
      <w:r w:rsidR="0024215C" w:rsidRPr="00694ACA">
        <w:rPr>
          <w:lang w:val="ru-RU"/>
        </w:rPr>
        <w:t xml:space="preserve">специально предоставленные </w:t>
      </w:r>
      <w:r w:rsidRPr="00694ACA">
        <w:rPr>
          <w:lang w:val="ru-RU"/>
        </w:rPr>
        <w:t xml:space="preserve">внутренние документы и данные. Это послужило основой для анализа </w:t>
      </w:r>
      <w:r w:rsidR="0024215C" w:rsidRPr="00694ACA">
        <w:rPr>
          <w:lang w:val="ru-RU"/>
        </w:rPr>
        <w:t>ситуации</w:t>
      </w:r>
      <w:r w:rsidRPr="00694ACA">
        <w:rPr>
          <w:lang w:val="ru-RU"/>
        </w:rPr>
        <w:t xml:space="preserve"> и обзора положения</w:t>
      </w:r>
      <w:r w:rsidR="0024215C" w:rsidRPr="00694ACA">
        <w:rPr>
          <w:lang w:val="ru-RU"/>
        </w:rPr>
        <w:t xml:space="preserve"> дел в</w:t>
      </w:r>
      <w:r w:rsidRPr="00694ACA">
        <w:rPr>
          <w:lang w:val="ru-RU"/>
        </w:rPr>
        <w:t xml:space="preserve"> МСЭ.</w:t>
      </w:r>
    </w:p>
    <w:p w14:paraId="771635D1" w14:textId="72AA4695" w:rsidR="00AF6DA5" w:rsidRPr="00694ACA" w:rsidRDefault="009957A3" w:rsidP="00AF6DA5">
      <w:pPr>
        <w:pStyle w:val="ListParagraph"/>
        <w:numPr>
          <w:ilvl w:val="0"/>
          <w:numId w:val="28"/>
        </w:numPr>
        <w:ind w:right="-472"/>
        <w:rPr>
          <w:lang w:val="ru-RU"/>
        </w:rPr>
      </w:pPr>
      <w:r w:rsidRPr="00694ACA">
        <w:rPr>
          <w:i/>
          <w:iCs/>
          <w:lang w:val="ru-RU"/>
        </w:rPr>
        <w:t>Интервью</w:t>
      </w:r>
      <w:r w:rsidRPr="00694ACA">
        <w:rPr>
          <w:lang w:val="ru-RU"/>
        </w:rPr>
        <w:t xml:space="preserve">. 65 </w:t>
      </w:r>
      <w:r w:rsidR="0024215C" w:rsidRPr="00694ACA">
        <w:rPr>
          <w:lang w:val="ru-RU"/>
        </w:rPr>
        <w:t>лиц</w:t>
      </w:r>
      <w:r w:rsidRPr="00694ACA">
        <w:rPr>
          <w:lang w:val="ru-RU"/>
        </w:rPr>
        <w:t xml:space="preserve"> (n=28 в МСЭ и n=37 вне МСЭ) на основ</w:t>
      </w:r>
      <w:r w:rsidR="0024215C" w:rsidRPr="00694ACA">
        <w:rPr>
          <w:lang w:val="ru-RU"/>
        </w:rPr>
        <w:t>ании</w:t>
      </w:r>
      <w:r w:rsidRPr="00694ACA">
        <w:rPr>
          <w:lang w:val="ru-RU"/>
        </w:rPr>
        <w:t xml:space="preserve"> рекомендаций сотрудников МСЭ и необходимости получения дополнительной информации (см. Приложение 9)</w:t>
      </w:r>
      <w:r w:rsidR="0024215C" w:rsidRPr="00694ACA">
        <w:rPr>
          <w:rStyle w:val="FootnoteReference"/>
          <w:lang w:val="ru-RU"/>
        </w:rPr>
        <w:footnoteReference w:id="2"/>
      </w:r>
      <w:r w:rsidRPr="00694ACA">
        <w:rPr>
          <w:lang w:val="ru-RU"/>
        </w:rPr>
        <w:t xml:space="preserve">. При организации </w:t>
      </w:r>
      <w:r w:rsidR="0024215C" w:rsidRPr="00694ACA">
        <w:rPr>
          <w:lang w:val="ru-RU"/>
        </w:rPr>
        <w:t>интервью</w:t>
      </w:r>
      <w:r w:rsidRPr="00694ACA">
        <w:rPr>
          <w:lang w:val="ru-RU"/>
        </w:rPr>
        <w:t xml:space="preserve"> уделялось</w:t>
      </w:r>
      <w:r w:rsidR="0024215C" w:rsidRPr="00694ACA">
        <w:rPr>
          <w:lang w:val="ru-RU"/>
        </w:rPr>
        <w:t xml:space="preserve"> особое</w:t>
      </w:r>
      <w:r w:rsidRPr="00694ACA">
        <w:rPr>
          <w:lang w:val="ru-RU"/>
        </w:rPr>
        <w:t xml:space="preserve"> внимание </w:t>
      </w:r>
      <w:r w:rsidR="0024215C" w:rsidRPr="00694ACA">
        <w:rPr>
          <w:lang w:val="ru-RU"/>
        </w:rPr>
        <w:t>возможности для</w:t>
      </w:r>
      <w:r w:rsidRPr="00694ACA">
        <w:rPr>
          <w:lang w:val="ru-RU"/>
        </w:rPr>
        <w:t xml:space="preserve"> опрашиваемы</w:t>
      </w:r>
      <w:r w:rsidR="0024215C" w:rsidRPr="00694ACA">
        <w:rPr>
          <w:lang w:val="ru-RU"/>
        </w:rPr>
        <w:t>х</w:t>
      </w:r>
      <w:r w:rsidRPr="00694ACA">
        <w:rPr>
          <w:lang w:val="ru-RU"/>
        </w:rPr>
        <w:t xml:space="preserve"> </w:t>
      </w:r>
      <w:r w:rsidR="0024215C" w:rsidRPr="00694ACA">
        <w:rPr>
          <w:lang w:val="ru-RU"/>
        </w:rPr>
        <w:t>откровенно</w:t>
      </w:r>
      <w:r w:rsidRPr="00694ACA">
        <w:rPr>
          <w:lang w:val="ru-RU"/>
        </w:rPr>
        <w:t xml:space="preserve"> поделиться своими мыслями и чувствами, </w:t>
      </w:r>
      <w:r w:rsidR="0024215C" w:rsidRPr="00694ACA">
        <w:rPr>
          <w:lang w:val="ru-RU"/>
        </w:rPr>
        <w:t>т</w:t>
      </w:r>
      <w:r w:rsidRPr="00694ACA">
        <w:rPr>
          <w:lang w:val="ru-RU"/>
        </w:rPr>
        <w:t>щательно</w:t>
      </w:r>
      <w:r w:rsidR="0024215C" w:rsidRPr="00694ACA">
        <w:rPr>
          <w:lang w:val="ru-RU"/>
        </w:rPr>
        <w:t>му</w:t>
      </w:r>
      <w:r w:rsidRPr="00694ACA">
        <w:rPr>
          <w:lang w:val="ru-RU"/>
        </w:rPr>
        <w:t xml:space="preserve"> </w:t>
      </w:r>
      <w:r w:rsidR="0024215C" w:rsidRPr="00694ACA">
        <w:rPr>
          <w:lang w:val="ru-RU"/>
        </w:rPr>
        <w:t>анализу</w:t>
      </w:r>
      <w:r w:rsidRPr="00694ACA">
        <w:rPr>
          <w:lang w:val="ru-RU"/>
        </w:rPr>
        <w:t xml:space="preserve"> и </w:t>
      </w:r>
      <w:r w:rsidR="0024215C" w:rsidRPr="00694ACA">
        <w:rPr>
          <w:lang w:val="ru-RU"/>
        </w:rPr>
        <w:t>надежному хранению</w:t>
      </w:r>
      <w:r w:rsidRPr="00694ACA">
        <w:rPr>
          <w:lang w:val="ru-RU"/>
        </w:rPr>
        <w:t xml:space="preserve"> информаци</w:t>
      </w:r>
      <w:r w:rsidR="0024215C" w:rsidRPr="00694ACA">
        <w:rPr>
          <w:lang w:val="ru-RU"/>
        </w:rPr>
        <w:t>и</w:t>
      </w:r>
      <w:r w:rsidRPr="00694ACA">
        <w:rPr>
          <w:lang w:val="ru-RU"/>
        </w:rPr>
        <w:t>.</w:t>
      </w:r>
    </w:p>
    <w:p w14:paraId="65D003A1" w14:textId="6413E6B3" w:rsidR="00AF6DA5" w:rsidRPr="00694ACA" w:rsidRDefault="009957A3" w:rsidP="00AF6DA5">
      <w:pPr>
        <w:pStyle w:val="ListParagraph"/>
        <w:numPr>
          <w:ilvl w:val="0"/>
          <w:numId w:val="28"/>
        </w:numPr>
        <w:ind w:right="-472"/>
        <w:rPr>
          <w:lang w:val="ru-RU"/>
        </w:rPr>
      </w:pPr>
      <w:r w:rsidRPr="00694ACA">
        <w:rPr>
          <w:i/>
          <w:iCs/>
          <w:lang w:val="ru-RU"/>
        </w:rPr>
        <w:t>Дискуссионные группы</w:t>
      </w:r>
      <w:r w:rsidRPr="00694ACA">
        <w:rPr>
          <w:lang w:val="ru-RU"/>
        </w:rPr>
        <w:t xml:space="preserve">. </w:t>
      </w:r>
      <w:r w:rsidR="006D0A22" w:rsidRPr="00694ACA">
        <w:rPr>
          <w:lang w:val="ru-RU"/>
        </w:rPr>
        <w:t>Были сформированы т</w:t>
      </w:r>
      <w:r w:rsidRPr="00694ACA">
        <w:rPr>
          <w:lang w:val="ru-RU"/>
        </w:rPr>
        <w:t xml:space="preserve">ри группы для участия в </w:t>
      </w:r>
      <w:r w:rsidR="0024215C" w:rsidRPr="00694ACA">
        <w:rPr>
          <w:lang w:val="ru-RU"/>
        </w:rPr>
        <w:t>обсуждениях, продолжительность которых составила один час</w:t>
      </w:r>
      <w:r w:rsidRPr="00694ACA">
        <w:rPr>
          <w:lang w:val="ru-RU"/>
        </w:rPr>
        <w:t>: региональные сотрудники МСЭ</w:t>
      </w:r>
      <w:r w:rsidR="0024215C" w:rsidRPr="00694ACA">
        <w:rPr>
          <w:lang w:val="ru-RU"/>
        </w:rPr>
        <w:t>, занимающие руководящие должности</w:t>
      </w:r>
      <w:r w:rsidRPr="00694ACA">
        <w:rPr>
          <w:lang w:val="ru-RU"/>
        </w:rPr>
        <w:t xml:space="preserve"> (n=7), участ</w:t>
      </w:r>
      <w:r w:rsidR="0024215C" w:rsidRPr="00694ACA">
        <w:rPr>
          <w:lang w:val="ru-RU"/>
        </w:rPr>
        <w:t>ники деятельности по</w:t>
      </w:r>
      <w:r w:rsidRPr="00694ACA">
        <w:rPr>
          <w:lang w:val="ru-RU"/>
        </w:rPr>
        <w:t xml:space="preserve"> реализации тематических приоритетов БРЭ (n=9), и координаторы центров </w:t>
      </w:r>
      <w:r w:rsidR="0024215C" w:rsidRPr="00694ACA">
        <w:rPr>
          <w:lang w:val="ru-RU"/>
        </w:rPr>
        <w:t>профессионального мастерства</w:t>
      </w:r>
      <w:r w:rsidRPr="00694ACA">
        <w:rPr>
          <w:lang w:val="ru-RU"/>
        </w:rPr>
        <w:t xml:space="preserve"> (n=14).</w:t>
      </w:r>
    </w:p>
    <w:p w14:paraId="0F48BEE8" w14:textId="1B02CD00" w:rsidR="003A649D" w:rsidRPr="00694ACA" w:rsidRDefault="009957A3" w:rsidP="00AF6DA5">
      <w:pPr>
        <w:pStyle w:val="ListParagraph"/>
        <w:numPr>
          <w:ilvl w:val="0"/>
          <w:numId w:val="28"/>
        </w:numPr>
        <w:ind w:right="-472"/>
        <w:rPr>
          <w:lang w:val="ru-RU"/>
        </w:rPr>
      </w:pPr>
      <w:bookmarkStart w:id="45" w:name="_Toc57297325"/>
      <w:bookmarkStart w:id="46" w:name="_Toc58244088"/>
      <w:bookmarkStart w:id="47" w:name="_Toc58273410"/>
      <w:bookmarkStart w:id="48" w:name="_Toc58273639"/>
      <w:bookmarkStart w:id="49" w:name="_Toc58275241"/>
      <w:bookmarkStart w:id="50" w:name="_Toc58277299"/>
      <w:r w:rsidRPr="00694ACA">
        <w:rPr>
          <w:i/>
          <w:iCs/>
          <w:lang w:val="ru-RU"/>
        </w:rPr>
        <w:t>Онлайн</w:t>
      </w:r>
      <w:r w:rsidR="006D0A22" w:rsidRPr="00694ACA">
        <w:rPr>
          <w:i/>
          <w:iCs/>
          <w:lang w:val="ru-RU"/>
        </w:rPr>
        <w:t xml:space="preserve">овые </w:t>
      </w:r>
      <w:r w:rsidRPr="00694ACA">
        <w:rPr>
          <w:i/>
          <w:iCs/>
          <w:lang w:val="ru-RU"/>
        </w:rPr>
        <w:t>о</w:t>
      </w:r>
      <w:r w:rsidR="006D0A22" w:rsidRPr="00694ACA">
        <w:rPr>
          <w:i/>
          <w:iCs/>
          <w:lang w:val="ru-RU"/>
        </w:rPr>
        <w:t>бследования</w:t>
      </w:r>
      <w:r w:rsidRPr="00694ACA">
        <w:rPr>
          <w:lang w:val="ru-RU"/>
        </w:rPr>
        <w:t>. Они были рассчитаны на четыре основные группы респондентов: участник</w:t>
      </w:r>
      <w:r w:rsidR="006D0A22" w:rsidRPr="00694ACA">
        <w:rPr>
          <w:lang w:val="ru-RU"/>
        </w:rPr>
        <w:t>ов</w:t>
      </w:r>
      <w:r w:rsidRPr="00694ACA">
        <w:rPr>
          <w:lang w:val="ru-RU"/>
        </w:rPr>
        <w:t xml:space="preserve"> мероприятий по </w:t>
      </w:r>
      <w:r w:rsidR="006D0A22" w:rsidRPr="00694ACA">
        <w:rPr>
          <w:lang w:val="ru-RU"/>
        </w:rPr>
        <w:t>развитию</w:t>
      </w:r>
      <w:r w:rsidRPr="00694ACA">
        <w:rPr>
          <w:lang w:val="ru-RU"/>
        </w:rPr>
        <w:t xml:space="preserve"> потенциала и </w:t>
      </w:r>
      <w:r w:rsidR="006D0A22" w:rsidRPr="00694ACA">
        <w:rPr>
          <w:lang w:val="ru-RU"/>
        </w:rPr>
        <w:t xml:space="preserve">профессиональной </w:t>
      </w:r>
      <w:r w:rsidRPr="00694ACA">
        <w:rPr>
          <w:lang w:val="ru-RU"/>
        </w:rPr>
        <w:t xml:space="preserve">подготовке, проводимых всеми тремя </w:t>
      </w:r>
      <w:r w:rsidR="006D0A22" w:rsidRPr="00694ACA">
        <w:rPr>
          <w:lang w:val="ru-RU"/>
        </w:rPr>
        <w:t xml:space="preserve">Секторами </w:t>
      </w:r>
      <w:r w:rsidRPr="00694ACA">
        <w:rPr>
          <w:lang w:val="ru-RU"/>
        </w:rPr>
        <w:t>(МСЭ-</w:t>
      </w:r>
      <w:r w:rsidR="006D0A22" w:rsidRPr="00694ACA">
        <w:rPr>
          <w:lang w:val="ru-RU"/>
        </w:rPr>
        <w:t>D</w:t>
      </w:r>
      <w:r w:rsidRPr="00694ACA">
        <w:rPr>
          <w:lang w:val="ru-RU"/>
        </w:rPr>
        <w:t>, МС</w:t>
      </w:r>
      <w:r w:rsidR="006D0A22" w:rsidRPr="00694ACA">
        <w:rPr>
          <w:lang w:val="ru-RU"/>
        </w:rPr>
        <w:t>Э</w:t>
      </w:r>
      <w:r w:rsidRPr="00694ACA">
        <w:rPr>
          <w:lang w:val="ru-RU"/>
        </w:rPr>
        <w:t>-</w:t>
      </w:r>
      <w:r w:rsidR="006D0A22" w:rsidRPr="00694ACA">
        <w:rPr>
          <w:lang w:val="ru-RU"/>
        </w:rPr>
        <w:t>R</w:t>
      </w:r>
      <w:r w:rsidRPr="00694ACA">
        <w:rPr>
          <w:lang w:val="ru-RU"/>
        </w:rPr>
        <w:t xml:space="preserve"> и МСЭ-Т) на французском и английском языках (n=369); </w:t>
      </w:r>
      <w:r w:rsidR="006D0A22" w:rsidRPr="00694ACA">
        <w:rPr>
          <w:lang w:val="ru-RU"/>
        </w:rPr>
        <w:t xml:space="preserve">представителей </w:t>
      </w:r>
      <w:r w:rsidRPr="00694ACA">
        <w:rPr>
          <w:lang w:val="ru-RU"/>
        </w:rPr>
        <w:t>центр</w:t>
      </w:r>
      <w:r w:rsidR="006D0A22" w:rsidRPr="00694ACA">
        <w:rPr>
          <w:lang w:val="ru-RU"/>
        </w:rPr>
        <w:t>ов</w:t>
      </w:r>
      <w:r w:rsidRPr="00694ACA">
        <w:rPr>
          <w:lang w:val="ru-RU"/>
        </w:rPr>
        <w:t xml:space="preserve"> </w:t>
      </w:r>
      <w:r w:rsidR="006D0A22" w:rsidRPr="00694ACA">
        <w:rPr>
          <w:lang w:val="ru-RU"/>
        </w:rPr>
        <w:t>профессионального мастерства</w:t>
      </w:r>
      <w:r w:rsidRPr="00694ACA">
        <w:rPr>
          <w:lang w:val="ru-RU"/>
        </w:rPr>
        <w:t xml:space="preserve"> (n=14); председател</w:t>
      </w:r>
      <w:r w:rsidR="006D0A22" w:rsidRPr="00694ACA">
        <w:rPr>
          <w:lang w:val="ru-RU"/>
        </w:rPr>
        <w:t>ей</w:t>
      </w:r>
      <w:r w:rsidRPr="00694ACA">
        <w:rPr>
          <w:lang w:val="ru-RU"/>
        </w:rPr>
        <w:t xml:space="preserve"> и заместител</w:t>
      </w:r>
      <w:r w:rsidR="008E58A3" w:rsidRPr="00694ACA">
        <w:rPr>
          <w:lang w:val="ru-RU"/>
        </w:rPr>
        <w:t>ей</w:t>
      </w:r>
      <w:r w:rsidRPr="00694ACA">
        <w:rPr>
          <w:lang w:val="ru-RU"/>
        </w:rPr>
        <w:t xml:space="preserve"> председателей </w:t>
      </w:r>
      <w:r w:rsidR="006D0A22" w:rsidRPr="00694ACA">
        <w:rPr>
          <w:lang w:val="ru-RU"/>
        </w:rPr>
        <w:t>исследовательских комиссий</w:t>
      </w:r>
      <w:r w:rsidRPr="00694ACA">
        <w:rPr>
          <w:lang w:val="ru-RU"/>
        </w:rPr>
        <w:t xml:space="preserve"> (n=40); </w:t>
      </w:r>
      <w:r w:rsidR="00FD36D1" w:rsidRPr="00694ACA">
        <w:rPr>
          <w:lang w:val="ru-RU"/>
        </w:rPr>
        <w:t>а также</w:t>
      </w:r>
      <w:r w:rsidRPr="00694ACA">
        <w:rPr>
          <w:lang w:val="ru-RU"/>
        </w:rPr>
        <w:t xml:space="preserve"> </w:t>
      </w:r>
      <w:r w:rsidR="006D0A22" w:rsidRPr="00694ACA">
        <w:rPr>
          <w:lang w:val="ru-RU"/>
        </w:rPr>
        <w:t xml:space="preserve">представителей </w:t>
      </w:r>
      <w:r w:rsidRPr="00694ACA">
        <w:rPr>
          <w:lang w:val="ru-RU"/>
        </w:rPr>
        <w:t>все</w:t>
      </w:r>
      <w:r w:rsidR="006D0A22" w:rsidRPr="00694ACA">
        <w:rPr>
          <w:lang w:val="ru-RU"/>
        </w:rPr>
        <w:t>х</w:t>
      </w:r>
      <w:r w:rsidRPr="00694ACA">
        <w:rPr>
          <w:lang w:val="ru-RU"/>
        </w:rPr>
        <w:t xml:space="preserve"> </w:t>
      </w:r>
      <w:r w:rsidR="006D0A22" w:rsidRPr="00694ACA">
        <w:rPr>
          <w:lang w:val="ru-RU"/>
        </w:rPr>
        <w:t xml:space="preserve">Государств-Членов </w:t>
      </w:r>
      <w:r w:rsidRPr="00694ACA">
        <w:rPr>
          <w:lang w:val="ru-RU"/>
        </w:rPr>
        <w:t>на шести языках (n=30). Важно</w:t>
      </w:r>
      <w:r w:rsidR="006D0A22" w:rsidRPr="00694ACA">
        <w:rPr>
          <w:lang w:val="ru-RU"/>
        </w:rPr>
        <w:t xml:space="preserve"> было предоставить всем им возможность принять участие в этом обследовании</w:t>
      </w:r>
      <w:r w:rsidRPr="00694ACA">
        <w:rPr>
          <w:lang w:val="ru-RU"/>
        </w:rPr>
        <w:t>.</w:t>
      </w:r>
    </w:p>
    <w:p w14:paraId="36A58508" w14:textId="5F7AB22E" w:rsidR="001F22BC" w:rsidRPr="00694ACA" w:rsidRDefault="009957A3" w:rsidP="003A649D">
      <w:pPr>
        <w:pStyle w:val="Heading1"/>
        <w:rPr>
          <w:lang w:val="ru-RU"/>
        </w:rPr>
      </w:pPr>
      <w:bookmarkStart w:id="51" w:name="_Toc71060740"/>
      <w:bookmarkEnd w:id="45"/>
      <w:bookmarkEnd w:id="46"/>
      <w:bookmarkEnd w:id="47"/>
      <w:bookmarkEnd w:id="48"/>
      <w:bookmarkEnd w:id="49"/>
      <w:bookmarkEnd w:id="50"/>
      <w:r w:rsidRPr="00694ACA">
        <w:rPr>
          <w:lang w:val="ru-RU"/>
        </w:rPr>
        <w:lastRenderedPageBreak/>
        <w:t xml:space="preserve">Раздел 3: Контекст и </w:t>
      </w:r>
      <w:r w:rsidR="0024215C" w:rsidRPr="00694ACA">
        <w:rPr>
          <w:lang w:val="ru-RU"/>
        </w:rPr>
        <w:t>базовая информация</w:t>
      </w:r>
      <w:bookmarkEnd w:id="51"/>
    </w:p>
    <w:p w14:paraId="33BF09D0" w14:textId="42334B95" w:rsidR="00AE20DA" w:rsidRPr="00694ACA" w:rsidRDefault="005F0BD5" w:rsidP="003A649D">
      <w:pPr>
        <w:ind w:left="-284" w:right="-472"/>
        <w:rPr>
          <w:lang w:val="ru-RU"/>
        </w:rPr>
      </w:pPr>
      <w:bookmarkStart w:id="52" w:name="_tydtz18gi3q3" w:colFirst="0" w:colLast="0"/>
      <w:bookmarkEnd w:id="52"/>
      <w:r w:rsidRPr="00694ACA">
        <w:rPr>
          <w:lang w:val="ru-RU"/>
        </w:rPr>
        <w:t xml:space="preserve">14. </w:t>
      </w:r>
      <w:r w:rsidR="009957A3" w:rsidRPr="00694ACA">
        <w:rPr>
          <w:lang w:val="ru-RU"/>
        </w:rPr>
        <w:t xml:space="preserve">Три важных контекстуальных </w:t>
      </w:r>
      <w:r w:rsidR="0024215C" w:rsidRPr="00694ACA">
        <w:rPr>
          <w:lang w:val="ru-RU"/>
        </w:rPr>
        <w:t>момента</w:t>
      </w:r>
      <w:r w:rsidR="009957A3" w:rsidRPr="00694ACA">
        <w:rPr>
          <w:lang w:val="ru-RU"/>
        </w:rPr>
        <w:t xml:space="preserve">, которые занимали видное место в течение 2020 года, когда проводился обзор, </w:t>
      </w:r>
      <w:r w:rsidR="0024215C" w:rsidRPr="00694ACA">
        <w:rPr>
          <w:lang w:val="ru-RU"/>
        </w:rPr>
        <w:t>значимы</w:t>
      </w:r>
      <w:r w:rsidR="009957A3" w:rsidRPr="00694ACA">
        <w:rPr>
          <w:lang w:val="ru-RU"/>
        </w:rPr>
        <w:t xml:space="preserve"> для </w:t>
      </w:r>
      <w:r w:rsidR="0024215C" w:rsidRPr="00694ACA">
        <w:rPr>
          <w:lang w:val="ru-RU"/>
        </w:rPr>
        <w:t>интерпретации</w:t>
      </w:r>
      <w:r w:rsidR="009957A3" w:rsidRPr="00694ACA">
        <w:rPr>
          <w:lang w:val="ru-RU"/>
        </w:rPr>
        <w:t xml:space="preserve"> рекомендаций </w:t>
      </w:r>
      <w:r w:rsidR="0024215C" w:rsidRPr="00694ACA">
        <w:rPr>
          <w:lang w:val="ru-RU"/>
        </w:rPr>
        <w:t>отчета</w:t>
      </w:r>
      <w:r w:rsidR="009957A3" w:rsidRPr="00694ACA">
        <w:rPr>
          <w:lang w:val="ru-RU"/>
        </w:rPr>
        <w:t>.</w:t>
      </w:r>
    </w:p>
    <w:p w14:paraId="3B7A63FB" w14:textId="211FE0B4" w:rsidR="005F0BD5" w:rsidRPr="00694ACA" w:rsidRDefault="005F0BD5" w:rsidP="005F0BD5">
      <w:pPr>
        <w:pStyle w:val="Heading2"/>
        <w:rPr>
          <w:rFonts w:cs="Arial"/>
          <w:lang w:val="ru-RU"/>
        </w:rPr>
      </w:pPr>
      <w:r w:rsidRPr="00694ACA">
        <w:rPr>
          <w:lang w:val="ru-RU"/>
        </w:rPr>
        <w:t xml:space="preserve">3.1 </w:t>
      </w:r>
      <w:r w:rsidR="009957A3" w:rsidRPr="00694ACA">
        <w:rPr>
          <w:lang w:val="ru-RU"/>
        </w:rPr>
        <w:t xml:space="preserve">Значения </w:t>
      </w:r>
      <w:r w:rsidR="008E58A3" w:rsidRPr="00694ACA">
        <w:rPr>
          <w:lang w:val="ru-RU"/>
        </w:rPr>
        <w:t xml:space="preserve">терминов </w:t>
      </w:r>
      <w:r w:rsidR="008E58A3" w:rsidRPr="00694ACA">
        <w:rPr>
          <w:b w:val="0"/>
          <w:bCs/>
          <w:lang w:val="ru-RU"/>
        </w:rPr>
        <w:t>"</w:t>
      </w:r>
      <w:r w:rsidR="009957A3" w:rsidRPr="00694ACA">
        <w:rPr>
          <w:lang w:val="ru-RU"/>
        </w:rPr>
        <w:t>развити</w:t>
      </w:r>
      <w:r w:rsidR="008E58A3" w:rsidRPr="00694ACA">
        <w:rPr>
          <w:lang w:val="ru-RU"/>
        </w:rPr>
        <w:t>е</w:t>
      </w:r>
      <w:r w:rsidR="009957A3" w:rsidRPr="00694ACA">
        <w:rPr>
          <w:lang w:val="ru-RU"/>
        </w:rPr>
        <w:t xml:space="preserve"> потенциала</w:t>
      </w:r>
      <w:r w:rsidR="008E58A3" w:rsidRPr="00694ACA">
        <w:rPr>
          <w:b w:val="0"/>
          <w:bCs/>
          <w:lang w:val="ru-RU"/>
        </w:rPr>
        <w:t>"</w:t>
      </w:r>
      <w:r w:rsidR="009957A3" w:rsidRPr="00694ACA">
        <w:rPr>
          <w:lang w:val="ru-RU"/>
        </w:rPr>
        <w:t xml:space="preserve"> и </w:t>
      </w:r>
      <w:r w:rsidR="008E58A3" w:rsidRPr="00694ACA">
        <w:rPr>
          <w:b w:val="0"/>
          <w:bCs/>
          <w:lang w:val="ru-RU"/>
        </w:rPr>
        <w:t>"</w:t>
      </w:r>
      <w:r w:rsidR="0024215C" w:rsidRPr="00694ACA">
        <w:rPr>
          <w:lang w:val="ru-RU"/>
        </w:rPr>
        <w:t>профессиональн</w:t>
      </w:r>
      <w:r w:rsidR="008E58A3" w:rsidRPr="00694ACA">
        <w:rPr>
          <w:lang w:val="ru-RU"/>
        </w:rPr>
        <w:t>ая</w:t>
      </w:r>
      <w:r w:rsidR="0024215C" w:rsidRPr="00694ACA">
        <w:rPr>
          <w:lang w:val="ru-RU"/>
        </w:rPr>
        <w:t xml:space="preserve"> подготовк</w:t>
      </w:r>
      <w:r w:rsidR="008E58A3" w:rsidRPr="00694ACA">
        <w:rPr>
          <w:lang w:val="ru-RU"/>
        </w:rPr>
        <w:t>а</w:t>
      </w:r>
      <w:r w:rsidR="008E58A3" w:rsidRPr="00694ACA">
        <w:rPr>
          <w:b w:val="0"/>
          <w:bCs/>
          <w:lang w:val="ru-RU"/>
        </w:rPr>
        <w:t>"</w:t>
      </w:r>
    </w:p>
    <w:p w14:paraId="3162ABDA" w14:textId="72E042D2" w:rsidR="00117A29" w:rsidRPr="00694ACA" w:rsidRDefault="00CB3BBD" w:rsidP="00DC13F0">
      <w:pPr>
        <w:ind w:left="-284"/>
        <w:rPr>
          <w:rFonts w:cs="Arial"/>
          <w:szCs w:val="20"/>
          <w:lang w:val="ru-RU"/>
        </w:rPr>
      </w:pPr>
      <w:r w:rsidRPr="00694ACA">
        <w:rPr>
          <w:lang w:val="ru-RU"/>
        </w:rPr>
        <w:t xml:space="preserve">15. </w:t>
      </w:r>
      <w:r w:rsidR="009957A3" w:rsidRPr="00694ACA">
        <w:rPr>
          <w:rFonts w:cs="Arial"/>
          <w:szCs w:val="20"/>
          <w:lang w:val="ru-RU"/>
        </w:rPr>
        <w:t xml:space="preserve">В МСЭ и за его пределами отсутствует ясность в отношении того, что именно представляет собой развитие потенциала и </w:t>
      </w:r>
      <w:r w:rsidR="0024215C" w:rsidRPr="00694ACA">
        <w:rPr>
          <w:rFonts w:cs="Arial"/>
          <w:szCs w:val="20"/>
          <w:lang w:val="ru-RU"/>
        </w:rPr>
        <w:t xml:space="preserve">профессиональная </w:t>
      </w:r>
      <w:r w:rsidR="009957A3" w:rsidRPr="00694ACA">
        <w:rPr>
          <w:rFonts w:cs="Arial"/>
          <w:szCs w:val="20"/>
          <w:lang w:val="ru-RU"/>
        </w:rPr>
        <w:t>подготовка. Большая часть</w:t>
      </w:r>
      <w:r w:rsidR="0024215C" w:rsidRPr="00694ACA">
        <w:rPr>
          <w:rFonts w:cs="Arial"/>
          <w:szCs w:val="20"/>
          <w:lang w:val="ru-RU"/>
        </w:rPr>
        <w:t xml:space="preserve"> учреждений</w:t>
      </w:r>
      <w:r w:rsidR="009957A3" w:rsidRPr="00694ACA">
        <w:rPr>
          <w:rFonts w:cs="Arial"/>
          <w:szCs w:val="20"/>
          <w:lang w:val="ru-RU"/>
        </w:rPr>
        <w:t xml:space="preserve"> системы ООН продолжает использовать термин "</w:t>
      </w:r>
      <w:r w:rsidR="0024215C" w:rsidRPr="00694ACA">
        <w:rPr>
          <w:rFonts w:cs="Arial"/>
          <w:szCs w:val="20"/>
          <w:lang w:val="ru-RU"/>
        </w:rPr>
        <w:t xml:space="preserve">создание </w:t>
      </w:r>
      <w:r w:rsidR="009957A3" w:rsidRPr="00694ACA">
        <w:rPr>
          <w:rFonts w:cs="Arial"/>
          <w:szCs w:val="20"/>
          <w:lang w:val="ru-RU"/>
        </w:rPr>
        <w:t>потенциала"</w:t>
      </w:r>
      <w:r w:rsidR="0024215C" w:rsidRPr="00694ACA">
        <w:rPr>
          <w:rStyle w:val="FootnoteReference"/>
          <w:lang w:val="ru-RU"/>
        </w:rPr>
        <w:footnoteReference w:id="3"/>
      </w:r>
      <w:r w:rsidR="009957A3" w:rsidRPr="00694ACA">
        <w:rPr>
          <w:rFonts w:cs="Arial"/>
          <w:szCs w:val="20"/>
          <w:lang w:val="ru-RU"/>
        </w:rPr>
        <w:t xml:space="preserve">, </w:t>
      </w:r>
      <w:r w:rsidR="0024215C" w:rsidRPr="00694ACA">
        <w:rPr>
          <w:rFonts w:cs="Arial"/>
          <w:szCs w:val="20"/>
          <w:lang w:val="ru-RU"/>
        </w:rPr>
        <w:t>однако</w:t>
      </w:r>
      <w:r w:rsidR="009957A3" w:rsidRPr="00694ACA">
        <w:rPr>
          <w:rFonts w:cs="Arial"/>
          <w:szCs w:val="20"/>
          <w:lang w:val="ru-RU"/>
        </w:rPr>
        <w:t xml:space="preserve"> </w:t>
      </w:r>
      <w:r w:rsidR="0024215C" w:rsidRPr="00694ACA">
        <w:rPr>
          <w:rFonts w:cs="Arial"/>
          <w:szCs w:val="20"/>
          <w:lang w:val="ru-RU"/>
        </w:rPr>
        <w:t xml:space="preserve">недавно </w:t>
      </w:r>
      <w:r w:rsidR="009957A3" w:rsidRPr="00694ACA">
        <w:rPr>
          <w:rFonts w:cs="Arial"/>
          <w:szCs w:val="20"/>
          <w:lang w:val="ru-RU"/>
        </w:rPr>
        <w:t xml:space="preserve">МСЭ </w:t>
      </w:r>
      <w:r w:rsidR="0024215C" w:rsidRPr="00694ACA">
        <w:rPr>
          <w:rFonts w:cs="Arial"/>
          <w:szCs w:val="20"/>
          <w:lang w:val="ru-RU"/>
        </w:rPr>
        <w:t xml:space="preserve">стал использовать </w:t>
      </w:r>
      <w:r w:rsidR="009957A3" w:rsidRPr="00694ACA">
        <w:rPr>
          <w:rFonts w:cs="Arial"/>
          <w:szCs w:val="20"/>
          <w:lang w:val="ru-RU"/>
        </w:rPr>
        <w:t>более общепринятый в настоящее время термин "</w:t>
      </w:r>
      <w:r w:rsidR="0024215C" w:rsidRPr="00694ACA">
        <w:rPr>
          <w:rFonts w:cs="Arial"/>
          <w:szCs w:val="20"/>
          <w:lang w:val="ru-RU"/>
        </w:rPr>
        <w:t xml:space="preserve">развитие </w:t>
      </w:r>
      <w:r w:rsidR="009957A3" w:rsidRPr="00694ACA">
        <w:rPr>
          <w:rFonts w:cs="Arial"/>
          <w:szCs w:val="20"/>
          <w:lang w:val="ru-RU"/>
        </w:rPr>
        <w:t>потенциала".</w:t>
      </w:r>
      <w:r w:rsidR="00A579EF">
        <w:rPr>
          <w:rFonts w:cs="Arial"/>
          <w:szCs w:val="20"/>
          <w:lang w:val="ru-RU"/>
        </w:rPr>
        <w:t xml:space="preserve"> </w:t>
      </w:r>
      <w:r w:rsidR="009957A3" w:rsidRPr="00694ACA">
        <w:rPr>
          <w:rFonts w:cs="Arial"/>
          <w:szCs w:val="20"/>
          <w:lang w:val="ru-RU"/>
        </w:rPr>
        <w:t>Термин "</w:t>
      </w:r>
      <w:r w:rsidR="0024215C" w:rsidRPr="00694ACA">
        <w:rPr>
          <w:rFonts w:cs="Arial"/>
          <w:szCs w:val="20"/>
          <w:lang w:val="ru-RU"/>
        </w:rPr>
        <w:t>создание</w:t>
      </w:r>
      <w:r w:rsidR="009957A3" w:rsidRPr="00694ACA">
        <w:rPr>
          <w:rFonts w:cs="Arial"/>
          <w:szCs w:val="20"/>
          <w:lang w:val="ru-RU"/>
        </w:rPr>
        <w:t xml:space="preserve"> </w:t>
      </w:r>
      <w:r w:rsidR="0024215C" w:rsidRPr="00694ACA">
        <w:rPr>
          <w:rFonts w:cs="Arial"/>
          <w:szCs w:val="20"/>
          <w:lang w:val="ru-RU"/>
        </w:rPr>
        <w:t>потенциала</w:t>
      </w:r>
      <w:r w:rsidR="009957A3" w:rsidRPr="00694ACA">
        <w:rPr>
          <w:rFonts w:cs="Arial"/>
          <w:szCs w:val="20"/>
          <w:lang w:val="ru-RU"/>
        </w:rPr>
        <w:t xml:space="preserve">" </w:t>
      </w:r>
      <w:r w:rsidR="0024215C" w:rsidRPr="00694ACA">
        <w:rPr>
          <w:rFonts w:cs="Arial"/>
          <w:szCs w:val="20"/>
          <w:lang w:val="ru-RU"/>
        </w:rPr>
        <w:t xml:space="preserve">повсеместно </w:t>
      </w:r>
      <w:r w:rsidR="009957A3" w:rsidRPr="00694ACA">
        <w:rPr>
          <w:rFonts w:cs="Arial"/>
          <w:szCs w:val="20"/>
          <w:lang w:val="ru-RU"/>
        </w:rPr>
        <w:t xml:space="preserve">подвергается критике, поскольку считается, что он подразумевает </w:t>
      </w:r>
      <w:r w:rsidR="00DC13F0" w:rsidRPr="00694ACA">
        <w:rPr>
          <w:rFonts w:cs="Arial"/>
          <w:szCs w:val="20"/>
          <w:lang w:val="ru-RU"/>
        </w:rPr>
        <w:t>формирование</w:t>
      </w:r>
      <w:r w:rsidR="009957A3" w:rsidRPr="00694ACA">
        <w:rPr>
          <w:rFonts w:cs="Arial"/>
          <w:szCs w:val="20"/>
          <w:lang w:val="ru-RU"/>
        </w:rPr>
        <w:t xml:space="preserve"> </w:t>
      </w:r>
      <w:r w:rsidR="0024215C" w:rsidRPr="00694ACA">
        <w:rPr>
          <w:rFonts w:cs="Arial"/>
          <w:szCs w:val="20"/>
          <w:lang w:val="ru-RU"/>
        </w:rPr>
        <w:t xml:space="preserve">потенциала </w:t>
      </w:r>
      <w:r w:rsidR="009957A3" w:rsidRPr="00694ACA">
        <w:rPr>
          <w:rFonts w:cs="Arial"/>
          <w:szCs w:val="20"/>
          <w:lang w:val="ru-RU"/>
        </w:rPr>
        <w:t xml:space="preserve">с нуля. </w:t>
      </w:r>
      <w:r w:rsidR="00DC13F0" w:rsidRPr="00694ACA">
        <w:rPr>
          <w:rFonts w:cs="Arial"/>
          <w:szCs w:val="20"/>
          <w:lang w:val="ru-RU"/>
        </w:rPr>
        <w:t>С другой стороны</w:t>
      </w:r>
      <w:r w:rsidR="009957A3" w:rsidRPr="00694ACA">
        <w:rPr>
          <w:rFonts w:cs="Arial"/>
          <w:szCs w:val="20"/>
          <w:lang w:val="ru-RU"/>
        </w:rPr>
        <w:t>, все чаще рекомендуется использовать термин "</w:t>
      </w:r>
      <w:r w:rsidR="00DC13F0" w:rsidRPr="00694ACA">
        <w:rPr>
          <w:rFonts w:cs="Arial"/>
          <w:szCs w:val="20"/>
          <w:lang w:val="ru-RU"/>
        </w:rPr>
        <w:t>развитие</w:t>
      </w:r>
      <w:r w:rsidR="009957A3" w:rsidRPr="00694ACA">
        <w:rPr>
          <w:rFonts w:cs="Arial"/>
          <w:szCs w:val="20"/>
          <w:lang w:val="ru-RU"/>
        </w:rPr>
        <w:t xml:space="preserve"> потенциала", поскольку он подразумевает деятельность, направленную на</w:t>
      </w:r>
      <w:r w:rsidR="00DC13F0" w:rsidRPr="00694ACA">
        <w:rPr>
          <w:rFonts w:cs="Arial"/>
          <w:szCs w:val="20"/>
          <w:lang w:val="ru-RU"/>
        </w:rPr>
        <w:t xml:space="preserve"> дальнейшее</w:t>
      </w:r>
      <w:r w:rsidR="009957A3" w:rsidRPr="00694ACA">
        <w:rPr>
          <w:rFonts w:cs="Arial"/>
          <w:szCs w:val="20"/>
          <w:lang w:val="ru-RU"/>
        </w:rPr>
        <w:t xml:space="preserve"> развитие</w:t>
      </w:r>
      <w:r w:rsidR="00DC13F0" w:rsidRPr="00694ACA">
        <w:rPr>
          <w:rFonts w:cs="Arial"/>
          <w:szCs w:val="20"/>
          <w:lang w:val="ru-RU"/>
        </w:rPr>
        <w:t xml:space="preserve"> уже</w:t>
      </w:r>
      <w:r w:rsidR="009957A3" w:rsidRPr="00694ACA">
        <w:rPr>
          <w:rFonts w:cs="Arial"/>
          <w:szCs w:val="20"/>
          <w:lang w:val="ru-RU"/>
        </w:rPr>
        <w:t xml:space="preserve"> существующего потенциала.</w:t>
      </w:r>
      <w:r w:rsidR="00A579EF">
        <w:rPr>
          <w:rFonts w:cs="Arial"/>
          <w:szCs w:val="20"/>
          <w:lang w:val="ru-RU"/>
        </w:rPr>
        <w:t xml:space="preserve"> </w:t>
      </w:r>
      <w:r w:rsidR="009957A3" w:rsidRPr="00694ACA">
        <w:rPr>
          <w:rFonts w:cs="Arial"/>
          <w:szCs w:val="20"/>
          <w:lang w:val="ru-RU"/>
        </w:rPr>
        <w:t>Вместо того, чтобы предполагать отсутствие потенциала, он подразумевает, что действительно имеется существующий потенциал, но его необходимо развивать определенными способами для конкретных целей</w:t>
      </w:r>
      <w:r w:rsidR="00DC13F0" w:rsidRPr="00694ACA">
        <w:rPr>
          <w:rStyle w:val="FootnoteReference"/>
          <w:lang w:val="ru-RU"/>
        </w:rPr>
        <w:footnoteReference w:id="4"/>
      </w:r>
      <w:r w:rsidR="009957A3" w:rsidRPr="00694ACA">
        <w:rPr>
          <w:rFonts w:cs="Arial"/>
          <w:szCs w:val="20"/>
          <w:lang w:val="ru-RU"/>
        </w:rPr>
        <w:t>.</w:t>
      </w:r>
      <w:r w:rsidR="009957A3" w:rsidRPr="00694ACA">
        <w:rPr>
          <w:rFonts w:cs="Arial"/>
          <w:sz w:val="18"/>
          <w:szCs w:val="18"/>
          <w:lang w:val="ru-RU"/>
        </w:rPr>
        <w:t xml:space="preserve"> </w:t>
      </w:r>
    </w:p>
    <w:p w14:paraId="4F0DF744" w14:textId="37BEF464" w:rsidR="00AE20DA" w:rsidRPr="00694ACA" w:rsidRDefault="00CB3BBD" w:rsidP="00CB3BBD">
      <w:pPr>
        <w:ind w:left="-284" w:right="-472"/>
        <w:rPr>
          <w:rFonts w:cs="Arial"/>
          <w:lang w:val="ru-RU"/>
        </w:rPr>
      </w:pPr>
      <w:r w:rsidRPr="00694ACA">
        <w:rPr>
          <w:rFonts w:cs="Arial"/>
          <w:lang w:val="ru-RU"/>
        </w:rPr>
        <w:t xml:space="preserve">16. </w:t>
      </w:r>
      <w:r w:rsidR="009957A3" w:rsidRPr="00694ACA">
        <w:rPr>
          <w:rFonts w:cs="Arial"/>
          <w:lang w:val="ru-RU"/>
        </w:rPr>
        <w:t>Важно также признать, что, хотя термины "развитие потенциала" и "</w:t>
      </w:r>
      <w:r w:rsidR="00DC13F0" w:rsidRPr="00694ACA">
        <w:rPr>
          <w:rFonts w:cs="Arial"/>
          <w:lang w:val="ru-RU"/>
        </w:rPr>
        <w:t>профессиональная подготовка</w:t>
      </w:r>
      <w:r w:rsidR="009957A3" w:rsidRPr="00694ACA">
        <w:rPr>
          <w:rFonts w:cs="Arial"/>
          <w:lang w:val="ru-RU"/>
        </w:rPr>
        <w:t xml:space="preserve">" часто используются </w:t>
      </w:r>
      <w:r w:rsidR="00DC13F0" w:rsidRPr="00694ACA">
        <w:rPr>
          <w:rFonts w:cs="Arial"/>
          <w:lang w:val="ru-RU"/>
        </w:rPr>
        <w:t xml:space="preserve">как </w:t>
      </w:r>
      <w:r w:rsidR="009957A3" w:rsidRPr="00694ACA">
        <w:rPr>
          <w:rFonts w:cs="Arial"/>
          <w:lang w:val="ru-RU"/>
        </w:rPr>
        <w:t>взаимозаменяем</w:t>
      </w:r>
      <w:r w:rsidR="00DC13F0" w:rsidRPr="00694ACA">
        <w:rPr>
          <w:rFonts w:cs="Arial"/>
          <w:lang w:val="ru-RU"/>
        </w:rPr>
        <w:t>ые</w:t>
      </w:r>
      <w:r w:rsidR="009957A3" w:rsidRPr="00694ACA">
        <w:rPr>
          <w:rFonts w:cs="Arial"/>
          <w:lang w:val="ru-RU"/>
        </w:rPr>
        <w:t xml:space="preserve">, они принципиально отличаются друг от друга. </w:t>
      </w:r>
      <w:r w:rsidR="00DC13F0" w:rsidRPr="00694ACA">
        <w:rPr>
          <w:rFonts w:cs="Arial"/>
          <w:lang w:val="ru-RU"/>
        </w:rPr>
        <w:t xml:space="preserve">Профессиональная подготовка </w:t>
      </w:r>
      <w:r w:rsidR="009957A3" w:rsidRPr="00694ACA">
        <w:rPr>
          <w:rFonts w:cs="Arial"/>
          <w:lang w:val="ru-RU"/>
        </w:rPr>
        <w:t xml:space="preserve">заключается в </w:t>
      </w:r>
      <w:r w:rsidR="00DC13F0" w:rsidRPr="00694ACA">
        <w:rPr>
          <w:rFonts w:cs="Arial"/>
          <w:lang w:val="ru-RU"/>
        </w:rPr>
        <w:t>предоставлении лицам</w:t>
      </w:r>
      <w:r w:rsidR="009957A3" w:rsidRPr="00694ACA">
        <w:rPr>
          <w:rFonts w:cs="Arial"/>
          <w:lang w:val="ru-RU"/>
        </w:rPr>
        <w:t xml:space="preserve"> возможност</w:t>
      </w:r>
      <w:r w:rsidR="00DC13F0" w:rsidRPr="00694ACA">
        <w:rPr>
          <w:rFonts w:cs="Arial"/>
          <w:lang w:val="ru-RU"/>
        </w:rPr>
        <w:t>и</w:t>
      </w:r>
      <w:r w:rsidR="009957A3" w:rsidRPr="00694ACA">
        <w:rPr>
          <w:rFonts w:cs="Arial"/>
          <w:lang w:val="ru-RU"/>
        </w:rPr>
        <w:t xml:space="preserve"> получить конкретные навыки для выполнения определенных задач, в то время как развитие потенциала намного шире и сложнее, как описано выше. Более формально, "развитие потенциала охватывает целый ряд мероприятий, направленных на расширение возможностей отдельных лиц и учреждений... </w:t>
      </w:r>
      <w:r w:rsidR="00DC13F0" w:rsidRPr="00694ACA">
        <w:rPr>
          <w:rFonts w:cs="Arial"/>
          <w:lang w:val="ru-RU"/>
        </w:rPr>
        <w:t xml:space="preserve">Профессиональная подготовка </w:t>
      </w:r>
      <w:r w:rsidR="009957A3" w:rsidRPr="00694ACA">
        <w:rPr>
          <w:rFonts w:cs="Arial"/>
          <w:lang w:val="ru-RU"/>
        </w:rPr>
        <w:t>является лишь одним из элементов развития потенциала..."</w:t>
      </w:r>
      <w:r w:rsidR="00DC13F0" w:rsidRPr="00694ACA">
        <w:rPr>
          <w:rStyle w:val="FootnoteReference"/>
          <w:lang w:val="ru-RU"/>
        </w:rPr>
        <w:footnoteReference w:id="5"/>
      </w:r>
      <w:r w:rsidR="009957A3" w:rsidRPr="00694ACA">
        <w:rPr>
          <w:rFonts w:cs="Arial"/>
          <w:lang w:val="ru-RU"/>
        </w:rPr>
        <w:t xml:space="preserve">. </w:t>
      </w:r>
      <w:r w:rsidR="00DC13F0" w:rsidRPr="00694ACA">
        <w:rPr>
          <w:rFonts w:cs="Arial"/>
          <w:lang w:val="ru-RU"/>
        </w:rPr>
        <w:t>Отчет</w:t>
      </w:r>
      <w:r w:rsidR="009957A3" w:rsidRPr="00694ACA">
        <w:rPr>
          <w:rFonts w:cs="Arial"/>
          <w:lang w:val="ru-RU"/>
        </w:rPr>
        <w:t xml:space="preserve"> следует этому определению и рассматривает </w:t>
      </w:r>
      <w:r w:rsidR="00DC13F0" w:rsidRPr="00694ACA">
        <w:rPr>
          <w:rFonts w:cs="Arial"/>
          <w:lang w:val="ru-RU"/>
        </w:rPr>
        <w:t xml:space="preserve">профессиональную подготовку </w:t>
      </w:r>
      <w:r w:rsidR="009957A3" w:rsidRPr="00694ACA">
        <w:rPr>
          <w:rFonts w:cs="Arial"/>
          <w:lang w:val="ru-RU"/>
        </w:rPr>
        <w:t xml:space="preserve">как элемент развития потенциала, </w:t>
      </w:r>
      <w:r w:rsidR="00DC13F0" w:rsidRPr="00694ACA">
        <w:rPr>
          <w:rFonts w:cs="Arial"/>
          <w:lang w:val="ru-RU"/>
        </w:rPr>
        <w:t xml:space="preserve">которое </w:t>
      </w:r>
      <w:r w:rsidR="009957A3" w:rsidRPr="00694ACA">
        <w:rPr>
          <w:rFonts w:cs="Arial"/>
          <w:lang w:val="ru-RU"/>
        </w:rPr>
        <w:t>включа</w:t>
      </w:r>
      <w:r w:rsidR="00DC13F0" w:rsidRPr="00694ACA">
        <w:rPr>
          <w:rFonts w:cs="Arial"/>
          <w:lang w:val="ru-RU"/>
        </w:rPr>
        <w:t>ет</w:t>
      </w:r>
      <w:r w:rsidR="009957A3" w:rsidRPr="00694ACA">
        <w:rPr>
          <w:rFonts w:cs="Arial"/>
          <w:lang w:val="ru-RU"/>
        </w:rPr>
        <w:t xml:space="preserve"> множество различных форм и видов деятельности.</w:t>
      </w:r>
    </w:p>
    <w:p w14:paraId="6AB28C79" w14:textId="01CB1F09" w:rsidR="00446E29" w:rsidRPr="00694ACA" w:rsidRDefault="00446E29" w:rsidP="00CB3BBD">
      <w:pPr>
        <w:ind w:left="-284" w:right="-472"/>
        <w:rPr>
          <w:rFonts w:cs="Arial"/>
          <w:lang w:val="ru-RU"/>
        </w:rPr>
      </w:pPr>
      <w:r w:rsidRPr="00694ACA">
        <w:rPr>
          <w:rFonts w:cs="Arial"/>
          <w:lang w:val="ru-RU"/>
        </w:rPr>
        <w:t xml:space="preserve">17. </w:t>
      </w:r>
      <w:r w:rsidR="00DC13F0" w:rsidRPr="00694ACA">
        <w:rPr>
          <w:rFonts w:cs="Arial"/>
          <w:lang w:val="ru-RU"/>
        </w:rPr>
        <w:t>Как правило, различают</w:t>
      </w:r>
      <w:r w:rsidR="009957A3" w:rsidRPr="00694ACA">
        <w:rPr>
          <w:rFonts w:cs="Arial"/>
          <w:lang w:val="ru-RU"/>
        </w:rPr>
        <w:t xml:space="preserve"> три типа развития потенциала, которые служат основой для рекомендаций данного отчета</w:t>
      </w:r>
      <w:r w:rsidR="00DC13F0" w:rsidRPr="00694ACA">
        <w:rPr>
          <w:rStyle w:val="FootnoteReference"/>
          <w:rFonts w:cs="Arial"/>
          <w:lang w:val="ru-RU"/>
        </w:rPr>
        <w:footnoteReference w:id="6"/>
      </w:r>
      <w:r w:rsidR="009957A3" w:rsidRPr="00694ACA">
        <w:rPr>
          <w:rFonts w:cs="Arial"/>
          <w:lang w:val="ru-RU"/>
        </w:rPr>
        <w:t>:</w:t>
      </w:r>
    </w:p>
    <w:p w14:paraId="413F487D" w14:textId="71252CEE" w:rsidR="00446E29" w:rsidRPr="00694ACA" w:rsidRDefault="00C632C5" w:rsidP="00446E29">
      <w:pPr>
        <w:pStyle w:val="ListParagraph"/>
        <w:numPr>
          <w:ilvl w:val="0"/>
          <w:numId w:val="20"/>
        </w:numPr>
        <w:ind w:right="-472"/>
        <w:rPr>
          <w:b/>
          <w:bCs/>
          <w:lang w:val="ru-RU"/>
        </w:rPr>
      </w:pPr>
      <w:r w:rsidRPr="00694ACA">
        <w:rPr>
          <w:i/>
          <w:iCs/>
          <w:lang w:val="ru-RU"/>
        </w:rPr>
        <w:t>институциональное</w:t>
      </w:r>
      <w:r w:rsidRPr="00694ACA">
        <w:rPr>
          <w:lang w:val="ru-RU"/>
        </w:rPr>
        <w:t xml:space="preserve"> </w:t>
      </w:r>
      <w:r w:rsidR="009957A3" w:rsidRPr="00694ACA">
        <w:rPr>
          <w:lang w:val="ru-RU"/>
        </w:rPr>
        <w:t>(</w:t>
      </w:r>
      <w:r w:rsidRPr="00694ACA">
        <w:rPr>
          <w:lang w:val="ru-RU"/>
        </w:rPr>
        <w:t>благоприятная среда, включающая людей и организации, которая устанавливает общую основу для развития потенциала, в том числе законодательство, нормы, политику и властные отношения в стране</w:t>
      </w:r>
      <w:r w:rsidR="009957A3" w:rsidRPr="00694ACA">
        <w:rPr>
          <w:lang w:val="ru-RU"/>
        </w:rPr>
        <w:t>);</w:t>
      </w:r>
    </w:p>
    <w:p w14:paraId="33CCBF6C" w14:textId="58196895" w:rsidR="00446E29" w:rsidRPr="00694ACA" w:rsidRDefault="00C632C5" w:rsidP="00446E29">
      <w:pPr>
        <w:pStyle w:val="ListParagraph"/>
        <w:numPr>
          <w:ilvl w:val="0"/>
          <w:numId w:val="20"/>
        </w:numPr>
        <w:ind w:right="-472"/>
        <w:rPr>
          <w:lang w:val="ru-RU"/>
        </w:rPr>
      </w:pPr>
      <w:r w:rsidRPr="00694ACA">
        <w:rPr>
          <w:i/>
          <w:iCs/>
          <w:lang w:val="ru-RU"/>
        </w:rPr>
        <w:t>организационное</w:t>
      </w:r>
      <w:r w:rsidRPr="00694ACA">
        <w:rPr>
          <w:lang w:val="ru-RU"/>
        </w:rPr>
        <w:t xml:space="preserve"> </w:t>
      </w:r>
      <w:r w:rsidR="009957A3" w:rsidRPr="00694ACA">
        <w:rPr>
          <w:lang w:val="ru-RU"/>
        </w:rPr>
        <w:t xml:space="preserve">(внутренние структуры, </w:t>
      </w:r>
      <w:r w:rsidR="00DC13F0" w:rsidRPr="00694ACA">
        <w:rPr>
          <w:lang w:val="ru-RU"/>
        </w:rPr>
        <w:t>стратегии</w:t>
      </w:r>
      <w:r w:rsidR="009957A3" w:rsidRPr="00694ACA">
        <w:rPr>
          <w:lang w:val="ru-RU"/>
        </w:rPr>
        <w:t xml:space="preserve"> и процедуры, которые определяют</w:t>
      </w:r>
      <w:r w:rsidR="00DC13F0" w:rsidRPr="00694ACA">
        <w:rPr>
          <w:lang w:val="ru-RU"/>
        </w:rPr>
        <w:t xml:space="preserve"> </w:t>
      </w:r>
      <w:r w:rsidR="009957A3" w:rsidRPr="00694ACA">
        <w:rPr>
          <w:lang w:val="ru-RU"/>
        </w:rPr>
        <w:t>эффективн</w:t>
      </w:r>
      <w:r w:rsidR="00DC13F0" w:rsidRPr="00694ACA">
        <w:rPr>
          <w:lang w:val="ru-RU"/>
        </w:rPr>
        <w:t>ость</w:t>
      </w:r>
      <w:r w:rsidR="009957A3" w:rsidRPr="00694ACA">
        <w:rPr>
          <w:lang w:val="ru-RU"/>
        </w:rPr>
        <w:t xml:space="preserve"> организаци</w:t>
      </w:r>
      <w:r w:rsidR="00DC13F0" w:rsidRPr="00694ACA">
        <w:rPr>
          <w:lang w:val="ru-RU"/>
        </w:rPr>
        <w:t>й</w:t>
      </w:r>
      <w:r w:rsidR="009957A3" w:rsidRPr="00694ACA">
        <w:rPr>
          <w:lang w:val="ru-RU"/>
        </w:rPr>
        <w:t xml:space="preserve">); </w:t>
      </w:r>
      <w:r w:rsidRPr="00694ACA">
        <w:rPr>
          <w:lang w:val="ru-RU"/>
        </w:rPr>
        <w:t>а также</w:t>
      </w:r>
    </w:p>
    <w:p w14:paraId="3ED66075" w14:textId="6D4C1451" w:rsidR="00446E29" w:rsidRPr="00694ACA" w:rsidRDefault="00C632C5" w:rsidP="002E5E8F">
      <w:pPr>
        <w:pStyle w:val="ListParagraph"/>
        <w:numPr>
          <w:ilvl w:val="0"/>
          <w:numId w:val="20"/>
        </w:numPr>
        <w:ind w:right="-472"/>
        <w:rPr>
          <w:lang w:val="ru-RU"/>
        </w:rPr>
      </w:pPr>
      <w:r w:rsidRPr="00694ACA">
        <w:rPr>
          <w:i/>
          <w:iCs/>
          <w:lang w:val="ru-RU"/>
        </w:rPr>
        <w:t>индивидуальное</w:t>
      </w:r>
      <w:r w:rsidRPr="00694ACA">
        <w:rPr>
          <w:lang w:val="ru-RU"/>
        </w:rPr>
        <w:t xml:space="preserve"> </w:t>
      </w:r>
      <w:r w:rsidR="009957A3" w:rsidRPr="00694ACA">
        <w:rPr>
          <w:lang w:val="ru-RU"/>
        </w:rPr>
        <w:t xml:space="preserve">(навыки, опыт и знания, которые позволяют </w:t>
      </w:r>
      <w:r w:rsidRPr="00694ACA">
        <w:rPr>
          <w:lang w:val="ru-RU"/>
        </w:rPr>
        <w:t xml:space="preserve">отдельному </w:t>
      </w:r>
      <w:r w:rsidR="00DC13F0" w:rsidRPr="00694ACA">
        <w:rPr>
          <w:lang w:val="ru-RU"/>
        </w:rPr>
        <w:t>лицу</w:t>
      </w:r>
      <w:r w:rsidR="009957A3" w:rsidRPr="00694ACA">
        <w:rPr>
          <w:lang w:val="ru-RU"/>
        </w:rPr>
        <w:t xml:space="preserve"> вносить эффективный вклад).</w:t>
      </w:r>
    </w:p>
    <w:p w14:paraId="1D0A9176" w14:textId="4A40EC85" w:rsidR="001F22BC" w:rsidRPr="00694ACA" w:rsidRDefault="003D5E12" w:rsidP="002A2AA2">
      <w:pPr>
        <w:pStyle w:val="Heading2"/>
        <w:rPr>
          <w:lang w:val="ru-RU"/>
        </w:rPr>
      </w:pPr>
      <w:bookmarkStart w:id="53" w:name="_Toc57297337"/>
      <w:bookmarkStart w:id="54" w:name="_Toc58244091"/>
      <w:bookmarkStart w:id="55" w:name="_Toc58273413"/>
      <w:bookmarkStart w:id="56" w:name="_Toc58273642"/>
      <w:bookmarkStart w:id="57" w:name="_Toc58275244"/>
      <w:r w:rsidRPr="00694ACA">
        <w:rPr>
          <w:lang w:val="ru-RU"/>
        </w:rPr>
        <w:t>3.</w:t>
      </w:r>
      <w:r w:rsidR="00457DE7" w:rsidRPr="00694ACA">
        <w:rPr>
          <w:lang w:val="ru-RU"/>
        </w:rPr>
        <w:t>2</w:t>
      </w:r>
      <w:r w:rsidRPr="00694ACA">
        <w:rPr>
          <w:lang w:val="ru-RU"/>
        </w:rPr>
        <w:t xml:space="preserve"> </w:t>
      </w:r>
      <w:bookmarkEnd w:id="53"/>
      <w:bookmarkEnd w:id="54"/>
      <w:bookmarkEnd w:id="55"/>
      <w:bookmarkEnd w:id="56"/>
      <w:bookmarkEnd w:id="57"/>
      <w:r w:rsidR="008548DF" w:rsidRPr="00694ACA">
        <w:rPr>
          <w:lang w:val="ru-RU"/>
        </w:rPr>
        <w:t>Темпы</w:t>
      </w:r>
      <w:r w:rsidR="009957A3" w:rsidRPr="00694ACA">
        <w:rPr>
          <w:lang w:val="ru-RU"/>
        </w:rPr>
        <w:t xml:space="preserve"> изменений, ускоренн</w:t>
      </w:r>
      <w:r w:rsidR="008548DF" w:rsidRPr="00694ACA">
        <w:rPr>
          <w:lang w:val="ru-RU"/>
        </w:rPr>
        <w:t>ые</w:t>
      </w:r>
      <w:r w:rsidR="00DC13F0" w:rsidRPr="00694ACA">
        <w:rPr>
          <w:lang w:val="ru-RU"/>
        </w:rPr>
        <w:t xml:space="preserve"> пандемией</w:t>
      </w:r>
      <w:r w:rsidR="009957A3" w:rsidRPr="00694ACA">
        <w:rPr>
          <w:lang w:val="ru-RU"/>
        </w:rPr>
        <w:t xml:space="preserve"> </w:t>
      </w:r>
      <w:r w:rsidR="00DC13F0" w:rsidRPr="00694ACA">
        <w:rPr>
          <w:lang w:val="ru-RU"/>
        </w:rPr>
        <w:t>COVID</w:t>
      </w:r>
      <w:r w:rsidR="009957A3" w:rsidRPr="00694ACA">
        <w:rPr>
          <w:lang w:val="ru-RU"/>
        </w:rPr>
        <w:t>-19</w:t>
      </w:r>
    </w:p>
    <w:p w14:paraId="397B1DBB" w14:textId="700B9376" w:rsidR="001F22BC" w:rsidRPr="00694ACA" w:rsidRDefault="00CB3BBD" w:rsidP="00D278A3">
      <w:pPr>
        <w:ind w:left="-284" w:right="-472"/>
        <w:rPr>
          <w:rFonts w:cs="Arial"/>
          <w:lang w:val="ru-RU"/>
        </w:rPr>
      </w:pPr>
      <w:r w:rsidRPr="00694ACA">
        <w:rPr>
          <w:rFonts w:cs="Arial"/>
          <w:lang w:val="ru-RU"/>
        </w:rPr>
        <w:t>1</w:t>
      </w:r>
      <w:r w:rsidR="00446E29" w:rsidRPr="00694ACA">
        <w:rPr>
          <w:rFonts w:cs="Arial"/>
          <w:lang w:val="ru-RU"/>
        </w:rPr>
        <w:t>8</w:t>
      </w:r>
      <w:r w:rsidRPr="00694ACA">
        <w:rPr>
          <w:rFonts w:cs="Arial"/>
          <w:lang w:val="ru-RU"/>
        </w:rPr>
        <w:t xml:space="preserve">. </w:t>
      </w:r>
      <w:r w:rsidR="009957A3" w:rsidRPr="00694ACA">
        <w:rPr>
          <w:rFonts w:cs="Arial"/>
          <w:lang w:val="ru-RU"/>
        </w:rPr>
        <w:t>Распространение</w:t>
      </w:r>
      <w:r w:rsidR="00DC13F0" w:rsidRPr="00694ACA">
        <w:rPr>
          <w:rFonts w:cs="Arial"/>
          <w:lang w:val="ru-RU"/>
        </w:rPr>
        <w:t xml:space="preserve"> вируса</w:t>
      </w:r>
      <w:r w:rsidR="009957A3" w:rsidRPr="00694ACA">
        <w:rPr>
          <w:rFonts w:cs="Arial"/>
          <w:lang w:val="ru-RU"/>
        </w:rPr>
        <w:t xml:space="preserve"> </w:t>
      </w:r>
      <w:r w:rsidR="00DC13F0" w:rsidRPr="00694ACA">
        <w:rPr>
          <w:rFonts w:cs="Arial"/>
          <w:lang w:val="ru-RU"/>
        </w:rPr>
        <w:t>SARS-CoV-2</w:t>
      </w:r>
      <w:r w:rsidR="009957A3" w:rsidRPr="00694ACA">
        <w:rPr>
          <w:rFonts w:cs="Arial"/>
          <w:lang w:val="ru-RU"/>
        </w:rPr>
        <w:t xml:space="preserve"> и последовавшая за </w:t>
      </w:r>
      <w:r w:rsidR="00DC13F0" w:rsidRPr="00694ACA">
        <w:rPr>
          <w:rFonts w:cs="Arial"/>
          <w:lang w:val="ru-RU"/>
        </w:rPr>
        <w:t>этим пандемия</w:t>
      </w:r>
      <w:r w:rsidR="009957A3" w:rsidRPr="00694ACA">
        <w:rPr>
          <w:rFonts w:cs="Arial"/>
          <w:lang w:val="ru-RU"/>
        </w:rPr>
        <w:t xml:space="preserve"> </w:t>
      </w:r>
      <w:r w:rsidR="00DC13F0" w:rsidRPr="00694ACA">
        <w:rPr>
          <w:rFonts w:cs="Arial"/>
          <w:lang w:val="ru-RU"/>
        </w:rPr>
        <w:t>COVID</w:t>
      </w:r>
      <w:r w:rsidR="009957A3" w:rsidRPr="00694ACA">
        <w:rPr>
          <w:rFonts w:cs="Arial"/>
          <w:lang w:val="ru-RU"/>
        </w:rPr>
        <w:t xml:space="preserve">-19 оказали влияние на этот обзор по трем направлениям: повышение осведомленности о роли цифровых технологий во всем мире; более широкое использование онлайновых </w:t>
      </w:r>
      <w:r w:rsidR="00DC13F0" w:rsidRPr="00694ACA">
        <w:rPr>
          <w:rFonts w:cs="Arial"/>
          <w:lang w:val="ru-RU"/>
        </w:rPr>
        <w:t xml:space="preserve">цифровых </w:t>
      </w:r>
      <w:r w:rsidR="009957A3" w:rsidRPr="00694ACA">
        <w:rPr>
          <w:rFonts w:cs="Arial"/>
          <w:lang w:val="ru-RU"/>
        </w:rPr>
        <w:t xml:space="preserve">методов обучения; </w:t>
      </w:r>
      <w:r w:rsidR="008548DF" w:rsidRPr="00694ACA">
        <w:rPr>
          <w:rFonts w:cs="Arial"/>
          <w:lang w:val="ru-RU"/>
        </w:rPr>
        <w:t>а также</w:t>
      </w:r>
      <w:r w:rsidR="009957A3" w:rsidRPr="00694ACA">
        <w:rPr>
          <w:rFonts w:cs="Arial"/>
          <w:lang w:val="ru-RU"/>
        </w:rPr>
        <w:t xml:space="preserve"> практические проблемы, связанные с проведением исследований, на которых основывался настоящий </w:t>
      </w:r>
      <w:r w:rsidR="00DC13F0" w:rsidRPr="00694ACA">
        <w:rPr>
          <w:rFonts w:cs="Arial"/>
          <w:lang w:val="ru-RU"/>
        </w:rPr>
        <w:t>отчет</w:t>
      </w:r>
      <w:r w:rsidR="009957A3" w:rsidRPr="00694ACA">
        <w:rPr>
          <w:rFonts w:cs="Arial"/>
          <w:lang w:val="ru-RU"/>
        </w:rPr>
        <w:t>.</w:t>
      </w:r>
    </w:p>
    <w:p w14:paraId="43305BCF" w14:textId="3BC5C691" w:rsidR="001F22BC" w:rsidRPr="00694ACA" w:rsidRDefault="00CB3BBD" w:rsidP="00D278A3">
      <w:pPr>
        <w:ind w:left="-284" w:right="-472"/>
        <w:rPr>
          <w:rFonts w:cs="Arial"/>
          <w:lang w:val="ru-RU"/>
        </w:rPr>
      </w:pPr>
      <w:r w:rsidRPr="00694ACA">
        <w:rPr>
          <w:rFonts w:cs="Arial"/>
          <w:lang w:val="ru-RU"/>
        </w:rPr>
        <w:lastRenderedPageBreak/>
        <w:t>1</w:t>
      </w:r>
      <w:r w:rsidR="00446E29" w:rsidRPr="00694ACA">
        <w:rPr>
          <w:rFonts w:cs="Arial"/>
          <w:lang w:val="ru-RU"/>
        </w:rPr>
        <w:t>9</w:t>
      </w:r>
      <w:r w:rsidRPr="00694ACA">
        <w:rPr>
          <w:rFonts w:cs="Arial"/>
          <w:lang w:val="ru-RU"/>
        </w:rPr>
        <w:t xml:space="preserve">. </w:t>
      </w:r>
      <w:r w:rsidR="009957A3" w:rsidRPr="00694ACA">
        <w:rPr>
          <w:rFonts w:cs="Arial"/>
          <w:lang w:val="ru-RU"/>
        </w:rPr>
        <w:t xml:space="preserve">Во-первых, </w:t>
      </w:r>
      <w:r w:rsidR="007565AD" w:rsidRPr="00694ACA">
        <w:rPr>
          <w:rFonts w:cs="Arial"/>
          <w:lang w:val="ru-RU"/>
        </w:rPr>
        <w:t>стремительность</w:t>
      </w:r>
      <w:r w:rsidR="009957A3" w:rsidRPr="00694ACA">
        <w:rPr>
          <w:rFonts w:cs="Arial"/>
          <w:lang w:val="ru-RU"/>
        </w:rPr>
        <w:t xml:space="preserve">, с которой компании и международные организации обратились к инновационным способам использования цифровых технологий для поддержки деятельности в области здравоохранения, образования и </w:t>
      </w:r>
      <w:r w:rsidR="007565AD" w:rsidRPr="00694ACA">
        <w:rPr>
          <w:rFonts w:cs="Arial"/>
          <w:lang w:val="ru-RU"/>
        </w:rPr>
        <w:t>торговли</w:t>
      </w:r>
      <w:r w:rsidR="009957A3" w:rsidRPr="00694ACA">
        <w:rPr>
          <w:rFonts w:cs="Arial"/>
          <w:lang w:val="ru-RU"/>
        </w:rPr>
        <w:t xml:space="preserve"> в </w:t>
      </w:r>
      <w:r w:rsidR="007565AD" w:rsidRPr="00694ACA">
        <w:rPr>
          <w:rFonts w:cs="Arial"/>
          <w:lang w:val="ru-RU"/>
        </w:rPr>
        <w:t>условиях пандемии</w:t>
      </w:r>
      <w:r w:rsidR="009957A3" w:rsidRPr="00694ACA">
        <w:rPr>
          <w:rFonts w:cs="Arial"/>
          <w:lang w:val="ru-RU"/>
        </w:rPr>
        <w:t xml:space="preserve"> </w:t>
      </w:r>
      <w:r w:rsidR="007565AD" w:rsidRPr="00694ACA">
        <w:rPr>
          <w:rFonts w:cs="Arial"/>
          <w:lang w:val="ru-RU"/>
        </w:rPr>
        <w:t>COVID</w:t>
      </w:r>
      <w:r w:rsidR="009957A3" w:rsidRPr="00694ACA">
        <w:rPr>
          <w:rFonts w:cs="Arial"/>
          <w:lang w:val="ru-RU"/>
        </w:rPr>
        <w:t xml:space="preserve">-19, </w:t>
      </w:r>
      <w:r w:rsidR="007565AD" w:rsidRPr="00694ACA">
        <w:rPr>
          <w:rFonts w:cs="Arial"/>
          <w:lang w:val="ru-RU"/>
        </w:rPr>
        <w:t>указала на</w:t>
      </w:r>
      <w:r w:rsidR="009957A3" w:rsidRPr="00694ACA">
        <w:rPr>
          <w:rFonts w:cs="Arial"/>
          <w:lang w:val="ru-RU"/>
        </w:rPr>
        <w:t xml:space="preserve"> все более </w:t>
      </w:r>
      <w:r w:rsidR="007565AD" w:rsidRPr="00694ACA">
        <w:rPr>
          <w:rFonts w:cs="Arial"/>
          <w:lang w:val="ru-RU"/>
        </w:rPr>
        <w:t>значимое место</w:t>
      </w:r>
      <w:r w:rsidR="009957A3" w:rsidRPr="00694ACA">
        <w:rPr>
          <w:rFonts w:cs="Arial"/>
          <w:lang w:val="ru-RU"/>
        </w:rPr>
        <w:t>, котор</w:t>
      </w:r>
      <w:r w:rsidR="007565AD" w:rsidRPr="00694ACA">
        <w:rPr>
          <w:rFonts w:cs="Arial"/>
          <w:lang w:val="ru-RU"/>
        </w:rPr>
        <w:t>ое</w:t>
      </w:r>
      <w:r w:rsidR="009957A3" w:rsidRPr="00694ACA">
        <w:rPr>
          <w:rFonts w:cs="Arial"/>
          <w:lang w:val="ru-RU"/>
        </w:rPr>
        <w:t xml:space="preserve"> эти технологии </w:t>
      </w:r>
      <w:r w:rsidR="007565AD" w:rsidRPr="00694ACA">
        <w:rPr>
          <w:rFonts w:cs="Arial"/>
          <w:lang w:val="ru-RU"/>
        </w:rPr>
        <w:t>занимают в жизни</w:t>
      </w:r>
      <w:r w:rsidR="009957A3" w:rsidRPr="00694ACA">
        <w:rPr>
          <w:rFonts w:cs="Arial"/>
          <w:lang w:val="ru-RU"/>
        </w:rPr>
        <w:t xml:space="preserve"> обществ</w:t>
      </w:r>
      <w:r w:rsidR="007565AD" w:rsidRPr="00694ACA">
        <w:rPr>
          <w:rFonts w:cs="Arial"/>
          <w:lang w:val="ru-RU"/>
        </w:rPr>
        <w:t>а</w:t>
      </w:r>
      <w:r w:rsidR="009957A3" w:rsidRPr="00694ACA">
        <w:rPr>
          <w:rFonts w:cs="Arial"/>
          <w:lang w:val="ru-RU"/>
        </w:rPr>
        <w:t xml:space="preserve">. </w:t>
      </w:r>
      <w:r w:rsidR="007565AD" w:rsidRPr="00694ACA">
        <w:rPr>
          <w:rFonts w:cs="Arial"/>
          <w:lang w:val="ru-RU"/>
        </w:rPr>
        <w:t>Наряду с</w:t>
      </w:r>
      <w:r w:rsidR="009957A3" w:rsidRPr="00694ACA">
        <w:rPr>
          <w:rFonts w:cs="Arial"/>
          <w:lang w:val="ru-RU"/>
        </w:rPr>
        <w:t xml:space="preserve"> решительны</w:t>
      </w:r>
      <w:r w:rsidR="007565AD" w:rsidRPr="00694ACA">
        <w:rPr>
          <w:rFonts w:cs="Arial"/>
          <w:lang w:val="ru-RU"/>
        </w:rPr>
        <w:t>ми</w:t>
      </w:r>
      <w:r w:rsidR="009957A3" w:rsidRPr="00694ACA">
        <w:rPr>
          <w:rFonts w:cs="Arial"/>
          <w:lang w:val="ru-RU"/>
        </w:rPr>
        <w:t xml:space="preserve"> мер</w:t>
      </w:r>
      <w:r w:rsidR="007565AD" w:rsidRPr="00694ACA">
        <w:rPr>
          <w:rFonts w:cs="Arial"/>
          <w:lang w:val="ru-RU"/>
        </w:rPr>
        <w:t>ами реагирования</w:t>
      </w:r>
      <w:r w:rsidR="009957A3" w:rsidRPr="00694ACA">
        <w:rPr>
          <w:rFonts w:cs="Arial"/>
          <w:lang w:val="ru-RU"/>
        </w:rPr>
        <w:t xml:space="preserve"> МСЭ на пандемию</w:t>
      </w:r>
      <w:r w:rsidR="007565AD" w:rsidRPr="00694ACA">
        <w:rPr>
          <w:rFonts w:cs="Arial"/>
          <w:lang w:val="ru-RU"/>
        </w:rPr>
        <w:t xml:space="preserve"> COVID-19</w:t>
      </w:r>
      <w:r w:rsidR="007565AD" w:rsidRPr="00694ACA">
        <w:rPr>
          <w:rStyle w:val="FootnoteReference"/>
          <w:rFonts w:cs="Arial"/>
          <w:lang w:val="ru-RU"/>
        </w:rPr>
        <w:footnoteReference w:id="7"/>
      </w:r>
      <w:r w:rsidR="009957A3" w:rsidRPr="00694ACA">
        <w:rPr>
          <w:rFonts w:cs="Arial"/>
          <w:lang w:val="ru-RU"/>
        </w:rPr>
        <w:t>, многие другие организации, как в рамках</w:t>
      </w:r>
      <w:r w:rsidR="007565AD" w:rsidRPr="00694ACA">
        <w:rPr>
          <w:rFonts w:cs="Arial"/>
          <w:lang w:val="ru-RU"/>
        </w:rPr>
        <w:t xml:space="preserve"> системы</w:t>
      </w:r>
      <w:r w:rsidR="009957A3" w:rsidRPr="00694ACA">
        <w:rPr>
          <w:rFonts w:cs="Arial"/>
          <w:lang w:val="ru-RU"/>
        </w:rPr>
        <w:t xml:space="preserve"> ООН, так и за ее пределами, </w:t>
      </w:r>
      <w:r w:rsidR="007565AD" w:rsidRPr="00694ACA">
        <w:rPr>
          <w:rFonts w:cs="Arial"/>
          <w:lang w:val="ru-RU"/>
        </w:rPr>
        <w:t>обратили на себя внимание, предприняв шаги</w:t>
      </w:r>
      <w:r w:rsidR="009957A3" w:rsidRPr="00694ACA">
        <w:rPr>
          <w:rFonts w:cs="Arial"/>
          <w:lang w:val="ru-RU"/>
        </w:rPr>
        <w:t xml:space="preserve"> цифрового реагирования на проблемы развития в 2020 г</w:t>
      </w:r>
      <w:r w:rsidR="007565AD" w:rsidRPr="00694ACA">
        <w:rPr>
          <w:rFonts w:cs="Arial"/>
          <w:lang w:val="ru-RU"/>
        </w:rPr>
        <w:t>оду</w:t>
      </w:r>
      <w:r w:rsidR="009957A3" w:rsidRPr="00694ACA">
        <w:rPr>
          <w:rFonts w:cs="Arial"/>
          <w:lang w:val="ru-RU"/>
        </w:rPr>
        <w:t xml:space="preserve">, </w:t>
      </w:r>
      <w:r w:rsidR="007565AD" w:rsidRPr="00694ACA">
        <w:rPr>
          <w:rFonts w:cs="Arial"/>
          <w:lang w:val="ru-RU"/>
        </w:rPr>
        <w:t xml:space="preserve">в </w:t>
      </w:r>
      <w:r w:rsidR="009957A3" w:rsidRPr="00694ACA">
        <w:rPr>
          <w:rFonts w:cs="Arial"/>
          <w:lang w:val="ru-RU"/>
        </w:rPr>
        <w:t>особенно</w:t>
      </w:r>
      <w:r w:rsidR="007565AD" w:rsidRPr="00694ACA">
        <w:rPr>
          <w:rFonts w:cs="Arial"/>
          <w:lang w:val="ru-RU"/>
        </w:rPr>
        <w:t>сти</w:t>
      </w:r>
      <w:r w:rsidR="009957A3" w:rsidRPr="00694ACA">
        <w:rPr>
          <w:rFonts w:cs="Arial"/>
          <w:lang w:val="ru-RU"/>
        </w:rPr>
        <w:t xml:space="preserve"> в области развития потенциала и </w:t>
      </w:r>
      <w:r w:rsidR="007565AD" w:rsidRPr="00694ACA">
        <w:rPr>
          <w:rFonts w:cs="Arial"/>
          <w:lang w:val="ru-RU"/>
        </w:rPr>
        <w:t xml:space="preserve">профессиональной </w:t>
      </w:r>
      <w:r w:rsidR="009957A3" w:rsidRPr="00694ACA">
        <w:rPr>
          <w:rFonts w:cs="Arial"/>
          <w:lang w:val="ru-RU"/>
        </w:rPr>
        <w:t>подготовки.</w:t>
      </w:r>
    </w:p>
    <w:p w14:paraId="313EFBFA" w14:textId="50A1F34D" w:rsidR="001F22BC" w:rsidRPr="00694ACA" w:rsidRDefault="00CB3BBD" w:rsidP="00D278A3">
      <w:pPr>
        <w:ind w:left="-284" w:right="-472"/>
        <w:rPr>
          <w:rFonts w:cs="Arial"/>
          <w:lang w:val="ru-RU"/>
        </w:rPr>
      </w:pPr>
      <w:r w:rsidRPr="00694ACA">
        <w:rPr>
          <w:rFonts w:cs="Arial"/>
          <w:lang w:val="ru-RU"/>
        </w:rPr>
        <w:t xml:space="preserve">19. </w:t>
      </w:r>
      <w:r w:rsidR="009957A3" w:rsidRPr="00694ACA">
        <w:rPr>
          <w:rFonts w:cs="Arial"/>
          <w:lang w:val="ru-RU"/>
        </w:rPr>
        <w:t>Во-вторых, резко возросший объем видеоконференций и онлайнового обучения в</w:t>
      </w:r>
      <w:r w:rsidR="007565AD" w:rsidRPr="00694ACA">
        <w:rPr>
          <w:rFonts w:cs="Arial"/>
          <w:lang w:val="ru-RU"/>
        </w:rPr>
        <w:t xml:space="preserve"> условиях </w:t>
      </w:r>
      <w:r w:rsidR="009957A3" w:rsidRPr="00694ACA">
        <w:rPr>
          <w:rFonts w:cs="Arial"/>
          <w:lang w:val="ru-RU"/>
        </w:rPr>
        <w:t>пандемии означает, что в будущем, скорее всего, гораздо меньш</w:t>
      </w:r>
      <w:r w:rsidR="007565AD" w:rsidRPr="00694ACA">
        <w:rPr>
          <w:rFonts w:cs="Arial"/>
          <w:lang w:val="ru-RU"/>
        </w:rPr>
        <w:t>ий</w:t>
      </w:r>
      <w:r w:rsidR="009957A3" w:rsidRPr="00694ACA">
        <w:rPr>
          <w:rFonts w:cs="Arial"/>
          <w:lang w:val="ru-RU"/>
        </w:rPr>
        <w:t xml:space="preserve"> </w:t>
      </w:r>
      <w:r w:rsidR="007565AD" w:rsidRPr="00694ACA">
        <w:rPr>
          <w:rFonts w:cs="Arial"/>
          <w:lang w:val="ru-RU"/>
        </w:rPr>
        <w:t>объем работы по</w:t>
      </w:r>
      <w:r w:rsidR="009957A3" w:rsidRPr="00694ACA">
        <w:rPr>
          <w:rFonts w:cs="Arial"/>
          <w:lang w:val="ru-RU"/>
        </w:rPr>
        <w:t xml:space="preserve"> развити</w:t>
      </w:r>
      <w:r w:rsidR="007565AD" w:rsidRPr="00694ACA">
        <w:rPr>
          <w:rFonts w:cs="Arial"/>
          <w:lang w:val="ru-RU"/>
        </w:rPr>
        <w:t>ю</w:t>
      </w:r>
      <w:r w:rsidR="009957A3" w:rsidRPr="00694ACA">
        <w:rPr>
          <w:rFonts w:cs="Arial"/>
          <w:lang w:val="ru-RU"/>
        </w:rPr>
        <w:t xml:space="preserve"> потенциала</w:t>
      </w:r>
      <w:r w:rsidR="007565AD" w:rsidRPr="00694ACA">
        <w:rPr>
          <w:rFonts w:cs="Arial"/>
          <w:lang w:val="ru-RU"/>
        </w:rPr>
        <w:t xml:space="preserve"> будет иметь очный характер</w:t>
      </w:r>
      <w:r w:rsidR="009957A3" w:rsidRPr="00694ACA">
        <w:rPr>
          <w:rFonts w:cs="Arial"/>
          <w:lang w:val="ru-RU"/>
        </w:rPr>
        <w:t>, и это потребует значительн</w:t>
      </w:r>
      <w:r w:rsidR="007565AD" w:rsidRPr="00694ACA">
        <w:rPr>
          <w:rFonts w:cs="Arial"/>
          <w:lang w:val="ru-RU"/>
        </w:rPr>
        <w:t>ых усилий по</w:t>
      </w:r>
      <w:r w:rsidR="009957A3" w:rsidRPr="00694ACA">
        <w:rPr>
          <w:rFonts w:cs="Arial"/>
          <w:lang w:val="ru-RU"/>
        </w:rPr>
        <w:t xml:space="preserve"> переподготовк</w:t>
      </w:r>
      <w:r w:rsidR="007565AD" w:rsidRPr="00694ACA">
        <w:rPr>
          <w:rFonts w:cs="Arial"/>
          <w:lang w:val="ru-RU"/>
        </w:rPr>
        <w:t>е</w:t>
      </w:r>
      <w:r w:rsidR="009957A3" w:rsidRPr="00694ACA">
        <w:rPr>
          <w:rFonts w:cs="Arial"/>
          <w:lang w:val="ru-RU"/>
        </w:rPr>
        <w:t xml:space="preserve"> тех, кто будет предоставлять и получать </w:t>
      </w:r>
      <w:r w:rsidR="007565AD" w:rsidRPr="00694ACA">
        <w:rPr>
          <w:rFonts w:cs="Arial"/>
          <w:lang w:val="ru-RU"/>
        </w:rPr>
        <w:t>такие услуги</w:t>
      </w:r>
      <w:r w:rsidR="009957A3" w:rsidRPr="00694ACA">
        <w:rPr>
          <w:rFonts w:cs="Arial"/>
          <w:lang w:val="ru-RU"/>
        </w:rPr>
        <w:t xml:space="preserve"> в онлайновом режиме, с тем чтобы можно было наилучшим образом использовать преимущества эт</w:t>
      </w:r>
      <w:r w:rsidR="007565AD" w:rsidRPr="00694ACA">
        <w:rPr>
          <w:rFonts w:cs="Arial"/>
          <w:lang w:val="ru-RU"/>
        </w:rPr>
        <w:t>их</w:t>
      </w:r>
      <w:r w:rsidR="009957A3" w:rsidRPr="00694ACA">
        <w:rPr>
          <w:rFonts w:cs="Arial"/>
          <w:lang w:val="ru-RU"/>
        </w:rPr>
        <w:t xml:space="preserve"> технологи</w:t>
      </w:r>
      <w:r w:rsidR="007565AD" w:rsidRPr="00694ACA">
        <w:rPr>
          <w:rFonts w:cs="Arial"/>
          <w:lang w:val="ru-RU"/>
        </w:rPr>
        <w:t>й</w:t>
      </w:r>
      <w:r w:rsidR="009957A3" w:rsidRPr="00694ACA">
        <w:rPr>
          <w:rFonts w:cs="Arial"/>
          <w:lang w:val="ru-RU"/>
        </w:rPr>
        <w:t xml:space="preserve"> и смягчить потенциальный вред.</w:t>
      </w:r>
    </w:p>
    <w:p w14:paraId="56CA26C1" w14:textId="6673EDB5" w:rsidR="009957A3" w:rsidRPr="00694ACA" w:rsidRDefault="00CB3BBD" w:rsidP="009957A3">
      <w:pPr>
        <w:ind w:left="-284" w:right="-472"/>
        <w:rPr>
          <w:rFonts w:cs="Arial"/>
          <w:lang w:val="ru-RU"/>
        </w:rPr>
      </w:pPr>
      <w:r w:rsidRPr="00694ACA">
        <w:rPr>
          <w:rFonts w:cs="Arial"/>
          <w:lang w:val="ru-RU"/>
        </w:rPr>
        <w:t xml:space="preserve">20. </w:t>
      </w:r>
      <w:r w:rsidR="009957A3" w:rsidRPr="00694ACA">
        <w:rPr>
          <w:rFonts w:cs="Arial"/>
          <w:lang w:val="ru-RU"/>
        </w:rPr>
        <w:t xml:space="preserve">В-третьих, </w:t>
      </w:r>
      <w:r w:rsidR="007565AD" w:rsidRPr="00694ACA">
        <w:rPr>
          <w:rFonts w:cs="Arial"/>
          <w:lang w:val="ru-RU"/>
        </w:rPr>
        <w:t>пандемия COVID</w:t>
      </w:r>
      <w:r w:rsidR="009957A3" w:rsidRPr="00694ACA">
        <w:rPr>
          <w:rFonts w:cs="Arial"/>
          <w:lang w:val="ru-RU"/>
        </w:rPr>
        <w:t>-19 также оказал</w:t>
      </w:r>
      <w:r w:rsidR="007565AD" w:rsidRPr="00694ACA">
        <w:rPr>
          <w:rFonts w:cs="Arial"/>
          <w:lang w:val="ru-RU"/>
        </w:rPr>
        <w:t>а</w:t>
      </w:r>
      <w:r w:rsidR="009957A3" w:rsidRPr="00694ACA">
        <w:rPr>
          <w:rFonts w:cs="Arial"/>
          <w:lang w:val="ru-RU"/>
        </w:rPr>
        <w:t xml:space="preserve"> значительное влияние на</w:t>
      </w:r>
      <w:r w:rsidR="007565AD" w:rsidRPr="00694ACA">
        <w:rPr>
          <w:rFonts w:cs="Arial"/>
          <w:lang w:val="ru-RU"/>
        </w:rPr>
        <w:t xml:space="preserve"> процессы</w:t>
      </w:r>
      <w:r w:rsidR="009957A3" w:rsidRPr="00694ACA">
        <w:rPr>
          <w:rFonts w:cs="Arial"/>
          <w:lang w:val="ru-RU"/>
        </w:rPr>
        <w:t xml:space="preserve"> </w:t>
      </w:r>
      <w:r w:rsidR="007565AD" w:rsidRPr="00694ACA">
        <w:rPr>
          <w:rFonts w:cs="Arial"/>
          <w:lang w:val="ru-RU"/>
        </w:rPr>
        <w:t>проведения</w:t>
      </w:r>
      <w:r w:rsidR="009957A3" w:rsidRPr="00694ACA">
        <w:rPr>
          <w:rFonts w:cs="Arial"/>
          <w:lang w:val="ru-RU"/>
        </w:rPr>
        <w:t xml:space="preserve"> исследовани</w:t>
      </w:r>
      <w:r w:rsidR="007565AD" w:rsidRPr="00694ACA">
        <w:rPr>
          <w:rFonts w:cs="Arial"/>
          <w:lang w:val="ru-RU"/>
        </w:rPr>
        <w:t>й</w:t>
      </w:r>
      <w:r w:rsidR="009957A3" w:rsidRPr="00694ACA">
        <w:rPr>
          <w:rFonts w:cs="Arial"/>
          <w:lang w:val="ru-RU"/>
        </w:rPr>
        <w:t xml:space="preserve"> и сбор</w:t>
      </w:r>
      <w:r w:rsidR="007565AD" w:rsidRPr="00694ACA">
        <w:rPr>
          <w:rFonts w:cs="Arial"/>
          <w:lang w:val="ru-RU"/>
        </w:rPr>
        <w:t>а</w:t>
      </w:r>
      <w:r w:rsidR="009957A3" w:rsidRPr="00694ACA">
        <w:rPr>
          <w:rFonts w:cs="Arial"/>
          <w:lang w:val="ru-RU"/>
        </w:rPr>
        <w:t xml:space="preserve"> информации, необходимой для подготовки настоящего </w:t>
      </w:r>
      <w:r w:rsidR="007565AD" w:rsidRPr="00694ACA">
        <w:rPr>
          <w:rFonts w:cs="Arial"/>
          <w:lang w:val="ru-RU"/>
        </w:rPr>
        <w:t>отчета</w:t>
      </w:r>
      <w:r w:rsidR="009957A3" w:rsidRPr="00694ACA">
        <w:rPr>
          <w:rFonts w:cs="Arial"/>
          <w:lang w:val="ru-RU"/>
        </w:rPr>
        <w:t xml:space="preserve">. </w:t>
      </w:r>
      <w:r w:rsidR="007565AD" w:rsidRPr="00694ACA">
        <w:rPr>
          <w:rFonts w:cs="Arial"/>
          <w:lang w:val="ru-RU"/>
        </w:rPr>
        <w:t xml:space="preserve">Пришлось отказаться от </w:t>
      </w:r>
      <w:r w:rsidR="009957A3" w:rsidRPr="00694ACA">
        <w:rPr>
          <w:rFonts w:cs="Arial"/>
          <w:lang w:val="ru-RU"/>
        </w:rPr>
        <w:t xml:space="preserve">первоначального намерения присутствовать на соответствующих мероприятиях и </w:t>
      </w:r>
      <w:r w:rsidR="007565AD" w:rsidRPr="00694ACA">
        <w:rPr>
          <w:rFonts w:cs="Arial"/>
          <w:lang w:val="ru-RU"/>
        </w:rPr>
        <w:t>собраниях</w:t>
      </w:r>
      <w:r w:rsidR="009957A3" w:rsidRPr="00694ACA">
        <w:rPr>
          <w:rFonts w:cs="Arial"/>
          <w:lang w:val="ru-RU"/>
        </w:rPr>
        <w:t xml:space="preserve"> МСЭ, с тем чтобы встретиться лицом к лицу с ключевыми собеседниками, и </w:t>
      </w:r>
      <w:r w:rsidR="007565AD" w:rsidRPr="00694ACA">
        <w:rPr>
          <w:rFonts w:cs="Arial"/>
          <w:lang w:val="ru-RU"/>
        </w:rPr>
        <w:t>вместо этого</w:t>
      </w:r>
      <w:r w:rsidR="009957A3" w:rsidRPr="00694ACA">
        <w:rPr>
          <w:rFonts w:cs="Arial"/>
          <w:lang w:val="ru-RU"/>
        </w:rPr>
        <w:t xml:space="preserve"> были </w:t>
      </w:r>
      <w:r w:rsidR="007565AD" w:rsidRPr="00694ACA">
        <w:rPr>
          <w:rFonts w:cs="Arial"/>
          <w:lang w:val="ru-RU"/>
        </w:rPr>
        <w:t>проведены</w:t>
      </w:r>
      <w:r w:rsidR="009957A3" w:rsidRPr="00694ACA">
        <w:rPr>
          <w:rFonts w:cs="Arial"/>
          <w:lang w:val="ru-RU"/>
        </w:rPr>
        <w:t xml:space="preserve"> онлайновы</w:t>
      </w:r>
      <w:r w:rsidR="007565AD" w:rsidRPr="00694ACA">
        <w:rPr>
          <w:rFonts w:cs="Arial"/>
          <w:lang w:val="ru-RU"/>
        </w:rPr>
        <w:t>е</w:t>
      </w:r>
      <w:r w:rsidR="009957A3" w:rsidRPr="00694ACA">
        <w:rPr>
          <w:rFonts w:cs="Arial"/>
          <w:lang w:val="ru-RU"/>
        </w:rPr>
        <w:t xml:space="preserve"> интервью и </w:t>
      </w:r>
      <w:r w:rsidR="007565AD" w:rsidRPr="00694ACA">
        <w:rPr>
          <w:rFonts w:cs="Arial"/>
          <w:lang w:val="ru-RU"/>
        </w:rPr>
        <w:t>обсуждения</w:t>
      </w:r>
      <w:r w:rsidR="009957A3" w:rsidRPr="00694ACA">
        <w:rPr>
          <w:rFonts w:cs="Arial"/>
          <w:lang w:val="ru-RU"/>
        </w:rPr>
        <w:t xml:space="preserve">, обзор </w:t>
      </w:r>
      <w:r w:rsidR="007565AD" w:rsidRPr="00694ACA">
        <w:rPr>
          <w:rFonts w:cs="Arial"/>
          <w:lang w:val="ru-RU"/>
        </w:rPr>
        <w:t xml:space="preserve">материалов также проводился в </w:t>
      </w:r>
      <w:r w:rsidR="009957A3" w:rsidRPr="00694ACA">
        <w:rPr>
          <w:rFonts w:cs="Arial"/>
          <w:lang w:val="ru-RU"/>
        </w:rPr>
        <w:t>онлайнов</w:t>
      </w:r>
      <w:r w:rsidR="007565AD" w:rsidRPr="00694ACA">
        <w:rPr>
          <w:rFonts w:cs="Arial"/>
          <w:lang w:val="ru-RU"/>
        </w:rPr>
        <w:t>ом режиме</w:t>
      </w:r>
      <w:r w:rsidR="009957A3" w:rsidRPr="00694ACA">
        <w:rPr>
          <w:rFonts w:cs="Arial"/>
          <w:lang w:val="ru-RU"/>
        </w:rPr>
        <w:t xml:space="preserve">, а также </w:t>
      </w:r>
      <w:r w:rsidR="007565AD" w:rsidRPr="00694ACA">
        <w:rPr>
          <w:rFonts w:cs="Arial"/>
          <w:lang w:val="ru-RU"/>
        </w:rPr>
        <w:t>были проведены более масштабные</w:t>
      </w:r>
      <w:r w:rsidR="009957A3" w:rsidRPr="00694ACA">
        <w:rPr>
          <w:rFonts w:cs="Arial"/>
          <w:lang w:val="ru-RU"/>
        </w:rPr>
        <w:t>, чем первоначально предполагалось, онлайновы</w:t>
      </w:r>
      <w:r w:rsidR="007565AD" w:rsidRPr="00694ACA">
        <w:rPr>
          <w:rFonts w:cs="Arial"/>
          <w:lang w:val="ru-RU"/>
        </w:rPr>
        <w:t>е</w:t>
      </w:r>
      <w:r w:rsidR="009957A3" w:rsidRPr="00694ACA">
        <w:rPr>
          <w:rFonts w:cs="Arial"/>
          <w:lang w:val="ru-RU"/>
        </w:rPr>
        <w:t xml:space="preserve"> обследовани</w:t>
      </w:r>
      <w:r w:rsidR="007565AD" w:rsidRPr="00694ACA">
        <w:rPr>
          <w:rFonts w:cs="Arial"/>
          <w:lang w:val="ru-RU"/>
        </w:rPr>
        <w:t>я</w:t>
      </w:r>
      <w:r w:rsidR="009957A3" w:rsidRPr="00694ACA">
        <w:rPr>
          <w:rFonts w:cs="Arial"/>
          <w:lang w:val="ru-RU"/>
        </w:rPr>
        <w:t xml:space="preserve">. </w:t>
      </w:r>
    </w:p>
    <w:p w14:paraId="6099C463" w14:textId="5EA8629E" w:rsidR="001F22BC" w:rsidRPr="00694ACA" w:rsidRDefault="003D5E12" w:rsidP="00D278A3">
      <w:pPr>
        <w:pStyle w:val="Heading2"/>
        <w:ind w:right="-472"/>
        <w:rPr>
          <w:lang w:val="ru-RU"/>
        </w:rPr>
      </w:pPr>
      <w:bookmarkStart w:id="58" w:name="_Toc57297338"/>
      <w:bookmarkStart w:id="59" w:name="_Toc58244092"/>
      <w:bookmarkStart w:id="60" w:name="_Toc58273414"/>
      <w:bookmarkStart w:id="61" w:name="_Toc58273643"/>
      <w:bookmarkStart w:id="62" w:name="_Toc58275245"/>
      <w:r w:rsidRPr="00694ACA">
        <w:rPr>
          <w:lang w:val="ru-RU"/>
        </w:rPr>
        <w:t>3.</w:t>
      </w:r>
      <w:r w:rsidR="00457DE7" w:rsidRPr="00694ACA">
        <w:rPr>
          <w:lang w:val="ru-RU"/>
        </w:rPr>
        <w:t>3</w:t>
      </w:r>
      <w:r w:rsidRPr="00694ACA">
        <w:rPr>
          <w:lang w:val="ru-RU"/>
        </w:rPr>
        <w:t xml:space="preserve"> </w:t>
      </w:r>
      <w:bookmarkEnd w:id="58"/>
      <w:bookmarkEnd w:id="59"/>
      <w:bookmarkEnd w:id="60"/>
      <w:bookmarkEnd w:id="61"/>
      <w:bookmarkEnd w:id="62"/>
      <w:r w:rsidR="009957A3" w:rsidRPr="00694ACA">
        <w:rPr>
          <w:lang w:val="ru-RU"/>
        </w:rPr>
        <w:t>Дорожн</w:t>
      </w:r>
      <w:r w:rsidR="007565AD" w:rsidRPr="00694ACA">
        <w:rPr>
          <w:lang w:val="ru-RU"/>
        </w:rPr>
        <w:t>ая</w:t>
      </w:r>
      <w:r w:rsidR="009957A3" w:rsidRPr="00694ACA">
        <w:rPr>
          <w:lang w:val="ru-RU"/>
        </w:rPr>
        <w:t xml:space="preserve"> карт</w:t>
      </w:r>
      <w:r w:rsidR="007565AD" w:rsidRPr="00694ACA">
        <w:rPr>
          <w:lang w:val="ru-RU"/>
        </w:rPr>
        <w:t>а</w:t>
      </w:r>
      <w:r w:rsidR="009957A3" w:rsidRPr="00694ACA">
        <w:rPr>
          <w:lang w:val="ru-RU"/>
        </w:rPr>
        <w:t xml:space="preserve"> Генерального секретаря ООН по цифровому сотрудничеству</w:t>
      </w:r>
    </w:p>
    <w:p w14:paraId="122B876E" w14:textId="7D040A93" w:rsidR="009957A3" w:rsidRPr="00694ACA" w:rsidRDefault="00CB3BBD" w:rsidP="009957A3">
      <w:pPr>
        <w:ind w:left="-284" w:right="-472"/>
        <w:rPr>
          <w:rFonts w:cs="Arial"/>
          <w:szCs w:val="20"/>
          <w:lang w:val="ru-RU"/>
        </w:rPr>
      </w:pPr>
      <w:r w:rsidRPr="00694ACA">
        <w:rPr>
          <w:rFonts w:cs="Arial"/>
          <w:lang w:val="ru-RU"/>
        </w:rPr>
        <w:t xml:space="preserve">21. </w:t>
      </w:r>
      <w:r w:rsidR="009957A3" w:rsidRPr="00694ACA">
        <w:rPr>
          <w:rFonts w:cs="Arial"/>
          <w:i/>
          <w:iCs/>
          <w:szCs w:val="20"/>
          <w:lang w:val="ru-RU"/>
        </w:rPr>
        <w:t xml:space="preserve">Дорожная карта </w:t>
      </w:r>
      <w:r w:rsidR="00F72199" w:rsidRPr="00694ACA">
        <w:rPr>
          <w:rFonts w:cs="Arial"/>
          <w:i/>
          <w:iCs/>
          <w:szCs w:val="20"/>
          <w:lang w:val="ru-RU"/>
        </w:rPr>
        <w:t xml:space="preserve">по </w:t>
      </w:r>
      <w:r w:rsidR="009957A3" w:rsidRPr="00694ACA">
        <w:rPr>
          <w:rFonts w:cs="Arial"/>
          <w:i/>
          <w:iCs/>
          <w:szCs w:val="20"/>
          <w:lang w:val="ru-RU"/>
        </w:rPr>
        <w:t>цифрово</w:t>
      </w:r>
      <w:r w:rsidR="00F72199" w:rsidRPr="00694ACA">
        <w:rPr>
          <w:rFonts w:cs="Arial"/>
          <w:i/>
          <w:iCs/>
          <w:szCs w:val="20"/>
          <w:lang w:val="ru-RU"/>
        </w:rPr>
        <w:t>му</w:t>
      </w:r>
      <w:r w:rsidR="009957A3" w:rsidRPr="00694ACA">
        <w:rPr>
          <w:rFonts w:cs="Arial"/>
          <w:i/>
          <w:iCs/>
          <w:szCs w:val="20"/>
          <w:lang w:val="ru-RU"/>
        </w:rPr>
        <w:t xml:space="preserve"> сотрудничеств</w:t>
      </w:r>
      <w:r w:rsidR="00F72199" w:rsidRPr="00694ACA">
        <w:rPr>
          <w:rFonts w:cs="Arial"/>
          <w:i/>
          <w:iCs/>
          <w:szCs w:val="20"/>
          <w:lang w:val="ru-RU"/>
        </w:rPr>
        <w:t>у</w:t>
      </w:r>
      <w:r w:rsidR="009957A3" w:rsidRPr="00694ACA">
        <w:rPr>
          <w:rFonts w:cs="Arial"/>
          <w:szCs w:val="20"/>
          <w:lang w:val="ru-RU"/>
        </w:rPr>
        <w:t xml:space="preserve"> Генерального секретаря ООН была опубликована незадолго до начала работы над </w:t>
      </w:r>
      <w:r w:rsidR="00A06A11" w:rsidRPr="00694ACA">
        <w:rPr>
          <w:rFonts w:cs="Arial"/>
          <w:szCs w:val="20"/>
          <w:lang w:val="ru-RU"/>
        </w:rPr>
        <w:t>настоящим отчетом</w:t>
      </w:r>
      <w:r w:rsidR="009957A3" w:rsidRPr="00694ACA">
        <w:rPr>
          <w:rFonts w:cs="Arial"/>
          <w:szCs w:val="20"/>
          <w:lang w:val="ru-RU"/>
        </w:rPr>
        <w:t>, но</w:t>
      </w:r>
      <w:r w:rsidR="00A06A11" w:rsidRPr="00694ACA">
        <w:rPr>
          <w:rFonts w:cs="Arial"/>
          <w:szCs w:val="20"/>
          <w:lang w:val="ru-RU"/>
        </w:rPr>
        <w:t xml:space="preserve"> уже</w:t>
      </w:r>
      <w:r w:rsidR="009957A3" w:rsidRPr="00694ACA">
        <w:rPr>
          <w:rFonts w:cs="Arial"/>
          <w:szCs w:val="20"/>
          <w:lang w:val="ru-RU"/>
        </w:rPr>
        <w:t xml:space="preserve"> после того, как был окончательно </w:t>
      </w:r>
      <w:r w:rsidR="00A06A11" w:rsidRPr="00694ACA">
        <w:rPr>
          <w:rFonts w:cs="Arial"/>
          <w:szCs w:val="20"/>
          <w:lang w:val="ru-RU"/>
        </w:rPr>
        <w:t>вы</w:t>
      </w:r>
      <w:r w:rsidR="009957A3" w:rsidRPr="00694ACA">
        <w:rPr>
          <w:rFonts w:cs="Arial"/>
          <w:szCs w:val="20"/>
          <w:lang w:val="ru-RU"/>
        </w:rPr>
        <w:t xml:space="preserve">работан первоначальный </w:t>
      </w:r>
      <w:r w:rsidR="00F72199" w:rsidRPr="00694ACA">
        <w:rPr>
          <w:rFonts w:cs="Arial"/>
          <w:szCs w:val="20"/>
          <w:lang w:val="ru-RU"/>
        </w:rPr>
        <w:t>вариант технического задания</w:t>
      </w:r>
      <w:r w:rsidR="0097734F" w:rsidRPr="00694ACA">
        <w:rPr>
          <w:rStyle w:val="FootnoteReference"/>
          <w:rFonts w:cs="Arial"/>
          <w:szCs w:val="20"/>
          <w:lang w:val="ru-RU"/>
        </w:rPr>
        <w:footnoteReference w:id="8"/>
      </w:r>
      <w:r w:rsidR="009957A3" w:rsidRPr="00694ACA">
        <w:rPr>
          <w:rFonts w:cs="Arial"/>
          <w:szCs w:val="20"/>
          <w:lang w:val="ru-RU"/>
        </w:rPr>
        <w:t>.</w:t>
      </w:r>
      <w:r w:rsidR="00A579EF">
        <w:rPr>
          <w:rFonts w:cs="Arial"/>
          <w:szCs w:val="20"/>
          <w:lang w:val="ru-RU"/>
        </w:rPr>
        <w:t xml:space="preserve"> </w:t>
      </w:r>
      <w:r w:rsidR="009957A3" w:rsidRPr="00694ACA">
        <w:rPr>
          <w:rFonts w:cs="Arial"/>
          <w:szCs w:val="20"/>
          <w:lang w:val="ru-RU"/>
        </w:rPr>
        <w:t>Учитывая рекомендацию Дорожной карты</w:t>
      </w:r>
      <w:r w:rsidR="00A06A11" w:rsidRPr="00694ACA">
        <w:rPr>
          <w:rFonts w:cs="Arial"/>
          <w:szCs w:val="20"/>
          <w:lang w:val="ru-RU"/>
        </w:rPr>
        <w:t>, в соответствии с которой</w:t>
      </w:r>
      <w:r w:rsidR="009957A3" w:rsidRPr="00694ACA">
        <w:rPr>
          <w:rFonts w:cs="Arial"/>
          <w:szCs w:val="20"/>
          <w:lang w:val="ru-RU"/>
        </w:rPr>
        <w:t xml:space="preserve"> МСЭ и ПРООН должны возглавить работу по созданию новой совместной структуры для цифрового "</w:t>
      </w:r>
      <w:r w:rsidR="00A06A11" w:rsidRPr="00694ACA">
        <w:rPr>
          <w:rFonts w:cs="Arial"/>
          <w:szCs w:val="20"/>
          <w:lang w:val="ru-RU"/>
        </w:rPr>
        <w:t>создания</w:t>
      </w:r>
      <w:r w:rsidR="009957A3" w:rsidRPr="00694ACA">
        <w:rPr>
          <w:rFonts w:cs="Arial"/>
          <w:szCs w:val="20"/>
          <w:lang w:val="ru-RU"/>
        </w:rPr>
        <w:t xml:space="preserve"> потенциала", в </w:t>
      </w:r>
      <w:r w:rsidR="00A06A11" w:rsidRPr="00694ACA">
        <w:rPr>
          <w:rFonts w:cs="Arial"/>
          <w:szCs w:val="20"/>
          <w:lang w:val="ru-RU"/>
        </w:rPr>
        <w:t>отчете</w:t>
      </w:r>
      <w:r w:rsidR="009957A3" w:rsidRPr="00694ACA">
        <w:rPr>
          <w:rFonts w:cs="Arial"/>
          <w:szCs w:val="20"/>
          <w:lang w:val="ru-RU"/>
        </w:rPr>
        <w:t xml:space="preserve"> рассматриваются пути, посредством которых МСЭ и ПРООН могли бы работать вместе для достижения этой цели.</w:t>
      </w:r>
      <w:r w:rsidR="00A579EF">
        <w:rPr>
          <w:rFonts w:cs="Arial"/>
          <w:szCs w:val="20"/>
          <w:lang w:val="ru-RU"/>
        </w:rPr>
        <w:t xml:space="preserve"> </w:t>
      </w:r>
      <w:r w:rsidR="009957A3" w:rsidRPr="00694ACA">
        <w:rPr>
          <w:rFonts w:cs="Arial"/>
          <w:szCs w:val="20"/>
          <w:lang w:val="ru-RU"/>
        </w:rPr>
        <w:t xml:space="preserve">В </w:t>
      </w:r>
      <w:r w:rsidR="00A06A11" w:rsidRPr="00694ACA">
        <w:rPr>
          <w:rFonts w:cs="Arial"/>
          <w:szCs w:val="20"/>
          <w:lang w:val="ru-RU"/>
        </w:rPr>
        <w:t>документе</w:t>
      </w:r>
      <w:r w:rsidR="009957A3" w:rsidRPr="00694ACA">
        <w:rPr>
          <w:rFonts w:cs="Arial"/>
          <w:szCs w:val="20"/>
          <w:lang w:val="ru-RU"/>
        </w:rPr>
        <w:t xml:space="preserve"> также </w:t>
      </w:r>
      <w:r w:rsidR="00A06A11" w:rsidRPr="00694ACA">
        <w:rPr>
          <w:rFonts w:cs="Arial"/>
          <w:szCs w:val="20"/>
          <w:lang w:val="ru-RU"/>
        </w:rPr>
        <w:t>содержится</w:t>
      </w:r>
      <w:r w:rsidR="009957A3" w:rsidRPr="00694ACA">
        <w:rPr>
          <w:rFonts w:cs="Arial"/>
          <w:szCs w:val="20"/>
          <w:lang w:val="ru-RU"/>
        </w:rPr>
        <w:t xml:space="preserve"> три </w:t>
      </w:r>
      <w:r w:rsidR="00A06A11" w:rsidRPr="00694ACA">
        <w:rPr>
          <w:rFonts w:cs="Arial"/>
          <w:szCs w:val="20"/>
          <w:lang w:val="ru-RU"/>
        </w:rPr>
        <w:t>здравых момента</w:t>
      </w:r>
      <w:r w:rsidR="009957A3" w:rsidRPr="00694ACA">
        <w:rPr>
          <w:rFonts w:cs="Arial"/>
          <w:szCs w:val="20"/>
          <w:lang w:val="ru-RU"/>
        </w:rPr>
        <w:t xml:space="preserve">: необходимость в более </w:t>
      </w:r>
      <w:r w:rsidR="00A16971" w:rsidRPr="00694ACA">
        <w:rPr>
          <w:rFonts w:cs="Arial"/>
          <w:szCs w:val="20"/>
          <w:lang w:val="ru-RU"/>
        </w:rPr>
        <w:t>комплексных</w:t>
      </w:r>
      <w:r w:rsidR="009957A3" w:rsidRPr="00694ACA">
        <w:rPr>
          <w:rFonts w:cs="Arial"/>
          <w:szCs w:val="20"/>
          <w:lang w:val="ru-RU"/>
        </w:rPr>
        <w:t xml:space="preserve"> и инклюзивных подходах к "</w:t>
      </w:r>
      <w:r w:rsidR="00A06A11" w:rsidRPr="00694ACA">
        <w:rPr>
          <w:rFonts w:cs="Arial"/>
          <w:szCs w:val="20"/>
          <w:lang w:val="ru-RU"/>
        </w:rPr>
        <w:t>созданию</w:t>
      </w:r>
      <w:r w:rsidR="009957A3" w:rsidRPr="00694ACA">
        <w:rPr>
          <w:rFonts w:cs="Arial"/>
          <w:szCs w:val="20"/>
          <w:lang w:val="ru-RU"/>
        </w:rPr>
        <w:t xml:space="preserve"> потенциала"; желательность проведения оценки потребностей</w:t>
      </w:r>
      <w:r w:rsidR="00A16971" w:rsidRPr="00694ACA">
        <w:rPr>
          <w:rFonts w:cs="Arial"/>
          <w:szCs w:val="20"/>
          <w:lang w:val="ru-RU"/>
        </w:rPr>
        <w:t xml:space="preserve">, с тем чтобы помочь </w:t>
      </w:r>
      <w:r w:rsidR="00A06A11" w:rsidRPr="00694ACA">
        <w:rPr>
          <w:rFonts w:cs="Arial"/>
          <w:szCs w:val="20"/>
          <w:lang w:val="ru-RU"/>
        </w:rPr>
        <w:t>поставщи</w:t>
      </w:r>
      <w:r w:rsidR="00A16971" w:rsidRPr="00694ACA">
        <w:rPr>
          <w:rFonts w:cs="Arial"/>
          <w:szCs w:val="20"/>
          <w:lang w:val="ru-RU"/>
        </w:rPr>
        <w:t>кам</w:t>
      </w:r>
      <w:r w:rsidR="00A06A11" w:rsidRPr="00694ACA">
        <w:rPr>
          <w:rFonts w:cs="Arial"/>
          <w:szCs w:val="20"/>
          <w:lang w:val="ru-RU"/>
        </w:rPr>
        <w:t xml:space="preserve"> услуг по</w:t>
      </w:r>
      <w:r w:rsidR="009957A3" w:rsidRPr="00694ACA">
        <w:rPr>
          <w:rFonts w:cs="Arial"/>
          <w:szCs w:val="20"/>
          <w:lang w:val="ru-RU"/>
        </w:rPr>
        <w:t xml:space="preserve"> "</w:t>
      </w:r>
      <w:r w:rsidR="00A06A11" w:rsidRPr="00694ACA">
        <w:rPr>
          <w:rFonts w:cs="Arial"/>
          <w:szCs w:val="20"/>
          <w:lang w:val="ru-RU"/>
        </w:rPr>
        <w:t>созданию</w:t>
      </w:r>
      <w:r w:rsidR="009957A3" w:rsidRPr="00694ACA">
        <w:rPr>
          <w:rFonts w:cs="Arial"/>
          <w:szCs w:val="20"/>
          <w:lang w:val="ru-RU"/>
        </w:rPr>
        <w:t xml:space="preserve"> потенциала" </w:t>
      </w:r>
      <w:r w:rsidR="00A16971" w:rsidRPr="00694ACA">
        <w:rPr>
          <w:rFonts w:cs="Arial"/>
          <w:szCs w:val="20"/>
          <w:lang w:val="ru-RU"/>
        </w:rPr>
        <w:t xml:space="preserve">более эффективно ориентировать свои услуги на </w:t>
      </w:r>
      <w:r w:rsidR="009957A3" w:rsidRPr="00694ACA">
        <w:rPr>
          <w:rFonts w:cs="Arial"/>
          <w:szCs w:val="20"/>
          <w:lang w:val="ru-RU"/>
        </w:rPr>
        <w:t>удовлетвор</w:t>
      </w:r>
      <w:r w:rsidR="00A16971" w:rsidRPr="00694ACA">
        <w:rPr>
          <w:rFonts w:cs="Arial"/>
          <w:szCs w:val="20"/>
          <w:lang w:val="ru-RU"/>
        </w:rPr>
        <w:t xml:space="preserve">ение </w:t>
      </w:r>
      <w:r w:rsidR="009957A3" w:rsidRPr="00694ACA">
        <w:rPr>
          <w:rFonts w:cs="Arial"/>
          <w:szCs w:val="20"/>
          <w:lang w:val="ru-RU"/>
        </w:rPr>
        <w:t>потребност</w:t>
      </w:r>
      <w:r w:rsidR="00A16971" w:rsidRPr="00694ACA">
        <w:rPr>
          <w:rFonts w:cs="Arial"/>
          <w:szCs w:val="20"/>
          <w:lang w:val="ru-RU"/>
        </w:rPr>
        <w:t>ей</w:t>
      </w:r>
      <w:r w:rsidR="009957A3" w:rsidRPr="00694ACA">
        <w:rPr>
          <w:rFonts w:cs="Arial"/>
          <w:szCs w:val="20"/>
          <w:lang w:val="ru-RU"/>
        </w:rPr>
        <w:t xml:space="preserve"> заинтересованных сторон; а также обязательство Генерального секретаря ООН "</w:t>
      </w:r>
      <w:r w:rsidR="00A16971" w:rsidRPr="00694ACA">
        <w:rPr>
          <w:rFonts w:cs="Arial"/>
          <w:szCs w:val="20"/>
          <w:lang w:val="ru-RU"/>
        </w:rPr>
        <w:t>совместно со структурами</w:t>
      </w:r>
      <w:r w:rsidR="009957A3" w:rsidRPr="00694ACA">
        <w:rPr>
          <w:rFonts w:cs="Arial"/>
          <w:szCs w:val="20"/>
          <w:lang w:val="ru-RU"/>
        </w:rPr>
        <w:t xml:space="preserve"> О</w:t>
      </w:r>
      <w:r w:rsidR="00A16971" w:rsidRPr="00694ACA">
        <w:rPr>
          <w:rFonts w:cs="Arial"/>
          <w:szCs w:val="20"/>
          <w:lang w:val="ru-RU"/>
        </w:rPr>
        <w:t xml:space="preserve">рганизации Объединенных Наций работать над созданием широкой сети с участием </w:t>
      </w:r>
      <w:r w:rsidR="009957A3" w:rsidRPr="00694ACA">
        <w:rPr>
          <w:rFonts w:cs="Arial"/>
          <w:szCs w:val="20"/>
          <w:lang w:val="ru-RU"/>
        </w:rPr>
        <w:t xml:space="preserve">многих заинтересованных сторон </w:t>
      </w:r>
      <w:r w:rsidR="00A16971" w:rsidRPr="00694ACA">
        <w:rPr>
          <w:rFonts w:cs="Arial"/>
          <w:szCs w:val="20"/>
          <w:lang w:val="ru-RU"/>
        </w:rPr>
        <w:t>в целях</w:t>
      </w:r>
      <w:r w:rsidR="009957A3" w:rsidRPr="00694ACA">
        <w:rPr>
          <w:rFonts w:cs="Arial"/>
          <w:szCs w:val="20"/>
          <w:lang w:val="ru-RU"/>
        </w:rPr>
        <w:t xml:space="preserve"> содействия применению</w:t>
      </w:r>
      <w:r w:rsidR="00DB20CB" w:rsidRPr="00694ACA">
        <w:rPr>
          <w:rFonts w:cs="Arial"/>
          <w:szCs w:val="20"/>
          <w:lang w:val="ru-RU"/>
        </w:rPr>
        <w:t xml:space="preserve"> комплексных и </w:t>
      </w:r>
      <w:r w:rsidR="009957A3" w:rsidRPr="00694ACA">
        <w:rPr>
          <w:rFonts w:cs="Arial"/>
          <w:szCs w:val="20"/>
          <w:lang w:val="ru-RU"/>
        </w:rPr>
        <w:t xml:space="preserve">инклюзивных подходов к </w:t>
      </w:r>
      <w:r w:rsidR="00A06A11" w:rsidRPr="00694ACA">
        <w:rPr>
          <w:rFonts w:cs="Arial"/>
          <w:szCs w:val="20"/>
          <w:lang w:val="ru-RU"/>
        </w:rPr>
        <w:t>созданию</w:t>
      </w:r>
      <w:r w:rsidR="009957A3" w:rsidRPr="00694ACA">
        <w:rPr>
          <w:rFonts w:cs="Arial"/>
          <w:szCs w:val="20"/>
          <w:lang w:val="ru-RU"/>
        </w:rPr>
        <w:t xml:space="preserve"> потенциала</w:t>
      </w:r>
      <w:r w:rsidR="00A06A11" w:rsidRPr="00694ACA">
        <w:rPr>
          <w:rFonts w:cs="Arial"/>
          <w:szCs w:val="20"/>
          <w:lang w:val="ru-RU"/>
        </w:rPr>
        <w:t xml:space="preserve"> в </w:t>
      </w:r>
      <w:r w:rsidR="00DB20CB" w:rsidRPr="00694ACA">
        <w:rPr>
          <w:rFonts w:cs="Arial"/>
          <w:szCs w:val="20"/>
          <w:lang w:val="ru-RU"/>
        </w:rPr>
        <w:t xml:space="preserve">области </w:t>
      </w:r>
      <w:r w:rsidR="009957A3" w:rsidRPr="00694ACA">
        <w:rPr>
          <w:rFonts w:cs="Arial"/>
          <w:szCs w:val="20"/>
          <w:lang w:val="ru-RU"/>
        </w:rPr>
        <w:t>цифровых технологий в интересах устойчивого развития"</w:t>
      </w:r>
      <w:r w:rsidR="00A06A11" w:rsidRPr="00694ACA">
        <w:rPr>
          <w:rStyle w:val="FootnoteReference"/>
          <w:rFonts w:cs="Arial"/>
          <w:sz w:val="18"/>
          <w:szCs w:val="18"/>
          <w:lang w:val="ru-RU"/>
        </w:rPr>
        <w:footnoteReference w:id="9"/>
      </w:r>
      <w:r w:rsidR="009957A3" w:rsidRPr="00694ACA">
        <w:rPr>
          <w:rFonts w:cs="Arial"/>
          <w:szCs w:val="20"/>
          <w:lang w:val="ru-RU"/>
        </w:rPr>
        <w:t>.</w:t>
      </w:r>
    </w:p>
    <w:p w14:paraId="15938EB7" w14:textId="77777777" w:rsidR="001119AF" w:rsidRPr="00694ACA" w:rsidRDefault="001119AF" w:rsidP="002B0D90">
      <w:pPr>
        <w:pStyle w:val="Heading1"/>
        <w:ind w:right="-472"/>
        <w:rPr>
          <w:rFonts w:ascii="Calibri" w:hAnsi="Calibri" w:cs="Calibri"/>
          <w:color w:val="800000"/>
          <w:sz w:val="22"/>
          <w:highlight w:val="cyan"/>
          <w:lang w:val="ru-RU"/>
        </w:rPr>
      </w:pPr>
      <w:bookmarkStart w:id="63" w:name="_mbia83op1be1" w:colFirst="0" w:colLast="0"/>
      <w:bookmarkStart w:id="64" w:name="_tzobzrlv7f51" w:colFirst="0" w:colLast="0"/>
      <w:bookmarkStart w:id="65" w:name="_8uyrrslmclq" w:colFirst="0" w:colLast="0"/>
      <w:bookmarkStart w:id="66" w:name="_z6llemfyqwp0" w:colFirst="0" w:colLast="0"/>
      <w:bookmarkStart w:id="67" w:name="_1zdfvj6k5r1m" w:colFirst="0" w:colLast="0"/>
      <w:bookmarkStart w:id="68" w:name="_wwtiha3328bu" w:colFirst="0" w:colLast="0"/>
      <w:bookmarkStart w:id="69" w:name="lt_pId301"/>
      <w:bookmarkStart w:id="70" w:name="_Toc57297340"/>
      <w:bookmarkStart w:id="71" w:name="_Toc58244094"/>
      <w:bookmarkStart w:id="72" w:name="_Toc58273416"/>
      <w:bookmarkStart w:id="73" w:name="_Toc58273645"/>
      <w:bookmarkStart w:id="74" w:name="_Toc58275247"/>
      <w:bookmarkStart w:id="75" w:name="_Toc58277300"/>
      <w:bookmarkStart w:id="76" w:name="_Toc61633863"/>
      <w:bookmarkStart w:id="77" w:name="_Toc65251976"/>
      <w:bookmarkStart w:id="78" w:name="_Toc71060741"/>
      <w:bookmarkStart w:id="79" w:name="_Toc57297376"/>
      <w:bookmarkStart w:id="80" w:name="_Toc58244101"/>
      <w:bookmarkStart w:id="81" w:name="_Toc58273423"/>
      <w:bookmarkStart w:id="82" w:name="_Toc58273652"/>
      <w:bookmarkStart w:id="83" w:name="_Toc58275254"/>
      <w:bookmarkStart w:id="84" w:name="_Toc58277301"/>
      <w:bookmarkEnd w:id="63"/>
      <w:bookmarkEnd w:id="64"/>
      <w:bookmarkEnd w:id="65"/>
      <w:bookmarkEnd w:id="66"/>
      <w:bookmarkEnd w:id="67"/>
      <w:bookmarkEnd w:id="68"/>
      <w:r w:rsidRPr="00694ACA">
        <w:rPr>
          <w:lang w:val="ru-RU"/>
        </w:rPr>
        <w:t>Раздел 4: Обзор мероприятий в области развития потенциала и профессиональной подготовки, проводимых МСЭ в настоящее время</w:t>
      </w:r>
      <w:bookmarkEnd w:id="69"/>
      <w:bookmarkEnd w:id="70"/>
      <w:bookmarkEnd w:id="71"/>
      <w:bookmarkEnd w:id="72"/>
      <w:bookmarkEnd w:id="73"/>
      <w:bookmarkEnd w:id="74"/>
      <w:bookmarkEnd w:id="75"/>
      <w:bookmarkEnd w:id="76"/>
      <w:bookmarkEnd w:id="77"/>
      <w:bookmarkEnd w:id="78"/>
    </w:p>
    <w:p w14:paraId="58D6CC6F" w14:textId="77777777" w:rsidR="001119AF" w:rsidRPr="00694ACA" w:rsidRDefault="001119AF" w:rsidP="002B0D90">
      <w:pPr>
        <w:pStyle w:val="Heading2"/>
        <w:ind w:right="-472"/>
        <w:rPr>
          <w:highlight w:val="lightGray"/>
          <w:lang w:val="ru-RU"/>
        </w:rPr>
      </w:pPr>
      <w:bookmarkStart w:id="85" w:name="_Toc57297341"/>
      <w:bookmarkStart w:id="86" w:name="_Toc58244095"/>
      <w:bookmarkStart w:id="87" w:name="_Toc58273417"/>
      <w:bookmarkStart w:id="88" w:name="_Toc58273646"/>
      <w:bookmarkStart w:id="89" w:name="_Toc58275248"/>
      <w:r w:rsidRPr="00694ACA">
        <w:rPr>
          <w:lang w:val="ru-RU"/>
        </w:rPr>
        <w:t>4.1 Институциональная основа МСЭ для развития потенциала и профессиональной подготовки</w:t>
      </w:r>
      <w:bookmarkEnd w:id="85"/>
      <w:bookmarkEnd w:id="86"/>
      <w:bookmarkEnd w:id="87"/>
      <w:bookmarkEnd w:id="88"/>
      <w:bookmarkEnd w:id="89"/>
    </w:p>
    <w:p w14:paraId="436DB089" w14:textId="433353F4" w:rsidR="001119AF" w:rsidRPr="00694ACA" w:rsidRDefault="001119AF" w:rsidP="002B0D90">
      <w:pPr>
        <w:ind w:left="-284" w:right="-472"/>
        <w:rPr>
          <w:highlight w:val="lightGray"/>
          <w:lang w:val="ru-RU"/>
        </w:rPr>
      </w:pPr>
      <w:r w:rsidRPr="00694ACA">
        <w:rPr>
          <w:lang w:val="ru-RU"/>
        </w:rPr>
        <w:t xml:space="preserve">22. </w:t>
      </w:r>
      <w:bookmarkStart w:id="90" w:name="lt_pId305"/>
      <w:r w:rsidRPr="00694ACA">
        <w:rPr>
          <w:lang w:val="ru-RU"/>
        </w:rPr>
        <w:t xml:space="preserve">Мероприятия в области развития потенциала и профессиональной подготовки рассматриваются членами и персоналом МСЭ как очень важная часть деятельности Союза, однако в настоящее время у Организации отсутствует четко сформулированная и задокументированная целостная основа либо стратегия для ведения соответствующей </w:t>
      </w:r>
      <w:r w:rsidRPr="00694ACA">
        <w:rPr>
          <w:lang w:val="ru-RU"/>
        </w:rPr>
        <w:lastRenderedPageBreak/>
        <w:t xml:space="preserve">деятельности. Кроме того, имеется мало свидетельств системного подхода, в котором дифференцировались бы </w:t>
      </w:r>
      <w:r w:rsidRPr="00694ACA">
        <w:rPr>
          <w:i/>
          <w:iCs/>
          <w:lang w:val="ru-RU"/>
        </w:rPr>
        <w:t xml:space="preserve">институциональное, организационное </w:t>
      </w:r>
      <w:r w:rsidRPr="00694ACA">
        <w:rPr>
          <w:lang w:val="ru-RU"/>
        </w:rPr>
        <w:t>и</w:t>
      </w:r>
      <w:r w:rsidRPr="00694ACA">
        <w:rPr>
          <w:i/>
          <w:iCs/>
          <w:lang w:val="ru-RU"/>
        </w:rPr>
        <w:t xml:space="preserve"> индивидуальное</w:t>
      </w:r>
      <w:r w:rsidRPr="00694ACA">
        <w:rPr>
          <w:lang w:val="ru-RU"/>
        </w:rPr>
        <w:t xml:space="preserve"> измерения и придавалось бы значение установлению связей между ними.</w:t>
      </w:r>
      <w:bookmarkEnd w:id="90"/>
      <w:r w:rsidR="00A579EF">
        <w:rPr>
          <w:highlight w:val="lightGray"/>
          <w:lang w:val="ru-RU"/>
        </w:rPr>
        <w:t xml:space="preserve"> </w:t>
      </w:r>
    </w:p>
    <w:p w14:paraId="621A42D9" w14:textId="1606BB50" w:rsidR="001119AF" w:rsidRPr="00694ACA" w:rsidRDefault="001119AF" w:rsidP="002B0D90">
      <w:pPr>
        <w:ind w:left="-284" w:right="-472"/>
        <w:rPr>
          <w:highlight w:val="lightGray"/>
          <w:lang w:val="ru-RU"/>
        </w:rPr>
      </w:pPr>
      <w:r w:rsidRPr="00694ACA">
        <w:rPr>
          <w:lang w:val="ru-RU"/>
        </w:rPr>
        <w:t xml:space="preserve">23. </w:t>
      </w:r>
      <w:bookmarkStart w:id="91" w:name="lt_pId308"/>
      <w:r w:rsidRPr="00694ACA">
        <w:rPr>
          <w:lang w:val="ru-RU"/>
        </w:rPr>
        <w:t xml:space="preserve">Сотрудники всех Бюро выделили четыре основные проблемы, связанные с тем, как в МСЭ проводится развитие потенциала: все Бюро до недавнего времени по большей части проводили мероприятия самостоятельно; отсутствует </w:t>
      </w:r>
      <w:r w:rsidR="00EB72B5" w:rsidRPr="00694ACA">
        <w:rPr>
          <w:lang w:val="ru-RU"/>
        </w:rPr>
        <w:t>официальная</w:t>
      </w:r>
      <w:r w:rsidRPr="00694ACA">
        <w:rPr>
          <w:lang w:val="ru-RU"/>
        </w:rPr>
        <w:t xml:space="preserve"> документация и системная отчетность, которые отражали бы как количество, так и качество этих мероприятий; согласованность оптимального подхода к проведению этих мероприятий носит ограниченный характер; в основном их разработка проходит несколько спонтанно, в ответ на запросы членов в ходе конференций (полномочных конференций, ВКРЭ, ВКР и ВАСЭ) и при условии особой заинтересованности руководства</w:t>
      </w:r>
      <w:r w:rsidRPr="00694ACA">
        <w:rPr>
          <w:rStyle w:val="FootnoteReference"/>
          <w:lang w:val="ru-RU"/>
        </w:rPr>
        <w:footnoteReference w:id="10"/>
      </w:r>
      <w:r w:rsidRPr="00694ACA">
        <w:rPr>
          <w:lang w:val="ru-RU"/>
        </w:rPr>
        <w:t>.</w:t>
      </w:r>
      <w:bookmarkEnd w:id="91"/>
    </w:p>
    <w:p w14:paraId="248358D3" w14:textId="77777777" w:rsidR="001119AF" w:rsidRPr="00694ACA" w:rsidRDefault="001119AF" w:rsidP="002B0D90">
      <w:pPr>
        <w:ind w:left="-284" w:right="-472"/>
        <w:rPr>
          <w:highlight w:val="lightGray"/>
          <w:lang w:val="ru-RU"/>
        </w:rPr>
      </w:pPr>
      <w:r w:rsidRPr="00694ACA">
        <w:rPr>
          <w:lang w:val="ru-RU"/>
        </w:rPr>
        <w:t xml:space="preserve">24. </w:t>
      </w:r>
      <w:bookmarkStart w:id="93" w:name="lt_pId310"/>
      <w:r w:rsidRPr="00694ACA">
        <w:rPr>
          <w:lang w:val="ru-RU"/>
        </w:rPr>
        <w:t>В Стратегическом плане Союза на 2020–2023 годы</w:t>
      </w:r>
      <w:r w:rsidRPr="00694ACA">
        <w:rPr>
          <w:rStyle w:val="FootnoteReference"/>
          <w:lang w:val="ru-RU"/>
        </w:rPr>
        <w:footnoteReference w:id="11"/>
      </w:r>
      <w:r w:rsidRPr="00694ACA">
        <w:rPr>
          <w:lang w:val="ru-RU"/>
        </w:rPr>
        <w:t xml:space="preserve"> "создание потенциала" упоминается вскользь; фактически имеется в виду только </w:t>
      </w:r>
      <w:r w:rsidRPr="00694ACA">
        <w:rPr>
          <w:i/>
          <w:iCs/>
          <w:lang w:val="ru-RU"/>
        </w:rPr>
        <w:t>институциональный</w:t>
      </w:r>
      <w:r w:rsidRPr="00694ACA">
        <w:rPr>
          <w:lang w:val="ru-RU"/>
        </w:rPr>
        <w:t xml:space="preserve"> потенциал членов МСЭ, однако он не является одной из пяти стратегических целей МСЭ. Более того, основы, в рамках которых можно было бы </w:t>
      </w:r>
      <w:proofErr w:type="spellStart"/>
      <w:r w:rsidRPr="00694ACA">
        <w:rPr>
          <w:lang w:val="ru-RU"/>
        </w:rPr>
        <w:t>концептуализировать</w:t>
      </w:r>
      <w:proofErr w:type="spellEnd"/>
      <w:r w:rsidRPr="00694ACA">
        <w:rPr>
          <w:lang w:val="ru-RU"/>
        </w:rPr>
        <w:t xml:space="preserve"> или осуществить развитие потенциала, в Плане подробного не изложены.</w:t>
      </w:r>
      <w:bookmarkEnd w:id="93"/>
    </w:p>
    <w:p w14:paraId="5DF34FE5" w14:textId="77777777" w:rsidR="001119AF" w:rsidRPr="00694ACA" w:rsidRDefault="001119AF" w:rsidP="002B0D90">
      <w:pPr>
        <w:pStyle w:val="Heading2"/>
        <w:ind w:right="-472"/>
        <w:rPr>
          <w:highlight w:val="lightGray"/>
          <w:lang w:val="ru-RU"/>
        </w:rPr>
      </w:pPr>
      <w:bookmarkStart w:id="95" w:name="lt_pId312"/>
      <w:bookmarkStart w:id="96" w:name="_Toc57297351"/>
      <w:bookmarkStart w:id="97" w:name="_Toc58244098"/>
      <w:bookmarkStart w:id="98" w:name="_Toc58273420"/>
      <w:bookmarkStart w:id="99" w:name="_Toc58273649"/>
      <w:bookmarkStart w:id="100" w:name="_Toc58275251"/>
      <w:r w:rsidRPr="00694ACA">
        <w:rPr>
          <w:lang w:val="ru-RU"/>
        </w:rPr>
        <w:t>4.2 Основы для понимания деятельности МСЭ в области развития потенциала и профессиональной подготовки</w:t>
      </w:r>
      <w:bookmarkEnd w:id="95"/>
      <w:bookmarkEnd w:id="96"/>
      <w:bookmarkEnd w:id="97"/>
      <w:bookmarkEnd w:id="98"/>
      <w:bookmarkEnd w:id="99"/>
      <w:bookmarkEnd w:id="100"/>
    </w:p>
    <w:p w14:paraId="5A4CFBB3" w14:textId="5771397E" w:rsidR="001119AF" w:rsidRPr="00694ACA" w:rsidRDefault="001119AF" w:rsidP="002B0D90">
      <w:pPr>
        <w:ind w:left="-284" w:right="-472"/>
        <w:rPr>
          <w:highlight w:val="lightGray"/>
          <w:lang w:val="ru-RU"/>
        </w:rPr>
      </w:pPr>
      <w:r w:rsidRPr="00694ACA">
        <w:rPr>
          <w:lang w:val="ru-RU"/>
        </w:rPr>
        <w:t>25. По причинам, перечисленным выше, группа по подготовке обзора должна была разработать основы для обобщения широкого диапазона мероприятий в рамках масштабной деятельности МСЭ в области развития потенциала и профессиональной подготовки (Приложение 3). В результате было выявлено расхождение между публикуемой информацией о деятельности МСЭ, особенно размещенной на его веб-сайте, и тем, что фактически говорят сотрудники о проводимой ими работе. На начальном этапе обзора было выявлено, что многие упоминания о создании/развитии потенциала</w:t>
      </w:r>
      <w:r w:rsidRPr="00694ACA">
        <w:rPr>
          <w:vertAlign w:val="superscript"/>
          <w:lang w:val="ru-RU"/>
        </w:rPr>
        <w:footnoteReference w:id="12"/>
      </w:r>
      <w:r w:rsidRPr="00694ACA">
        <w:rPr>
          <w:lang w:val="ru-RU"/>
        </w:rPr>
        <w:t xml:space="preserve"> на веб-сайте МСЭ направляют пользователей на платформу Академии МСЭ, которая описывается как "основная онлайновая платформа деятельности МСЭ по развитию потенциала", при этом внимание уделяется главным образом центрам профессионального мастерства и онлайновым учебным курсам. Это преуменьшает важность значительного объема работы в области развития потенциала и профессиональной подготовки, проводимой в формате семинаров и семинаров-практикумов, большая часть которых традиционно проводится очно.</w:t>
      </w:r>
    </w:p>
    <w:p w14:paraId="5660F75D" w14:textId="69056EF6" w:rsidR="001119AF" w:rsidRPr="00694ACA" w:rsidRDefault="001119AF" w:rsidP="002B0D90">
      <w:pPr>
        <w:ind w:left="-284" w:right="-472"/>
        <w:rPr>
          <w:rFonts w:cs="Arial"/>
          <w:szCs w:val="20"/>
          <w:highlight w:val="lightGray"/>
          <w:lang w:val="ru-RU"/>
        </w:rPr>
      </w:pPr>
      <w:r w:rsidRPr="00694ACA">
        <w:rPr>
          <w:lang w:val="ru-RU"/>
        </w:rPr>
        <w:t xml:space="preserve">26. </w:t>
      </w:r>
      <w:bookmarkStart w:id="102" w:name="lt_pId319"/>
      <w:r w:rsidRPr="00694ACA">
        <w:rPr>
          <w:lang w:val="ru-RU"/>
        </w:rPr>
        <w:t>В разработанных основах значение также придается различиям между деятельностью в области развития потенциала и профессиональной подготовки, носящей</w:t>
      </w:r>
      <w:r w:rsidRPr="00694ACA">
        <w:rPr>
          <w:i/>
          <w:iCs/>
          <w:lang w:val="ru-RU"/>
        </w:rPr>
        <w:t xml:space="preserve"> </w:t>
      </w:r>
      <w:r w:rsidR="001226D4" w:rsidRPr="00694ACA">
        <w:rPr>
          <w:i/>
          <w:iCs/>
          <w:lang w:val="ru-RU"/>
        </w:rPr>
        <w:t>официальн</w:t>
      </w:r>
      <w:r w:rsidRPr="00694ACA">
        <w:rPr>
          <w:i/>
          <w:iCs/>
          <w:lang w:val="ru-RU"/>
        </w:rPr>
        <w:t xml:space="preserve">ый </w:t>
      </w:r>
      <w:r w:rsidRPr="00694ACA">
        <w:rPr>
          <w:lang w:val="ru-RU"/>
        </w:rPr>
        <w:t xml:space="preserve">и </w:t>
      </w:r>
      <w:r w:rsidRPr="00694ACA">
        <w:rPr>
          <w:i/>
          <w:iCs/>
          <w:lang w:val="ru-RU"/>
        </w:rPr>
        <w:t>не</w:t>
      </w:r>
      <w:r w:rsidR="001226D4" w:rsidRPr="00694ACA">
        <w:rPr>
          <w:i/>
          <w:iCs/>
          <w:lang w:val="ru-RU"/>
        </w:rPr>
        <w:t>официальн</w:t>
      </w:r>
      <w:r w:rsidRPr="00694ACA">
        <w:rPr>
          <w:i/>
          <w:iCs/>
          <w:lang w:val="ru-RU"/>
        </w:rPr>
        <w:t xml:space="preserve">ый </w:t>
      </w:r>
      <w:r w:rsidRPr="00694ACA">
        <w:rPr>
          <w:lang w:val="ru-RU"/>
        </w:rPr>
        <w:t>характер</w:t>
      </w:r>
      <w:r w:rsidRPr="00694ACA">
        <w:rPr>
          <w:rStyle w:val="FootnoteReference"/>
          <w:lang w:val="ru-RU"/>
        </w:rPr>
        <w:footnoteReference w:id="13"/>
      </w:r>
      <w:r w:rsidRPr="00694ACA">
        <w:rPr>
          <w:lang w:val="ru-RU"/>
        </w:rPr>
        <w:t>. Действительно, в ходе подготовки настоящего обзора становилось все более очевидным, что зачастую именно не</w:t>
      </w:r>
      <w:r w:rsidR="001226D4" w:rsidRPr="00694ACA">
        <w:rPr>
          <w:lang w:val="ru-RU"/>
        </w:rPr>
        <w:t>официальн</w:t>
      </w:r>
      <w:r w:rsidRPr="00694ACA">
        <w:rPr>
          <w:lang w:val="ru-RU"/>
        </w:rPr>
        <w:t>ое взаимодействие, а не обязательно какое-либо формальное обучение, имели наибольшее значение для правительственных чиновников при введении изменений в своих странах и учреждениях.</w:t>
      </w:r>
      <w:bookmarkEnd w:id="102"/>
      <w:r w:rsidR="00A579EF">
        <w:rPr>
          <w:rFonts w:cs="Arial"/>
          <w:szCs w:val="20"/>
          <w:highlight w:val="lightGray"/>
          <w:lang w:val="ru-RU"/>
        </w:rPr>
        <w:t xml:space="preserve"> </w:t>
      </w:r>
    </w:p>
    <w:p w14:paraId="60FE95DB" w14:textId="1D665849" w:rsidR="001119AF" w:rsidRPr="00694ACA" w:rsidRDefault="001119AF" w:rsidP="002B0D90">
      <w:pPr>
        <w:ind w:left="-284" w:right="-472"/>
        <w:rPr>
          <w:highlight w:val="lightGray"/>
          <w:lang w:val="ru-RU"/>
        </w:rPr>
      </w:pPr>
      <w:r w:rsidRPr="00694ACA">
        <w:rPr>
          <w:lang w:val="ru-RU"/>
        </w:rPr>
        <w:t xml:space="preserve">27. </w:t>
      </w:r>
      <w:bookmarkStart w:id="105" w:name="lt_pId322"/>
      <w:r w:rsidRPr="00694ACA">
        <w:rPr>
          <w:lang w:val="ru-RU"/>
        </w:rPr>
        <w:t xml:space="preserve">ГИСП и недавно переименованное подразделение – Отдел развития потенциала и цифровых навыков (CSD) БРЭ осознали проблему терминологии и в конце 2019 – начале 2020 года предприняли попытку согласовать стандартный для всего МСЭ набор определений. При этом они столкнулись с трудностями, не в последнюю очередь потому, что в ходе выполнения этой задачи были ясно выявлены интересные различия между представлениями, принципами и </w:t>
      </w:r>
      <w:r w:rsidRPr="00694ACA">
        <w:rPr>
          <w:lang w:val="ru-RU"/>
        </w:rPr>
        <w:lastRenderedPageBreak/>
        <w:t xml:space="preserve">терминологией тех, кто занимался этой работой, и представлениями, принципами и терминологией персонала в трех Секторах. </w:t>
      </w:r>
      <w:bookmarkEnd w:id="105"/>
    </w:p>
    <w:p w14:paraId="21C7E20E" w14:textId="77777777" w:rsidR="001119AF" w:rsidRPr="00694ACA" w:rsidRDefault="001119AF" w:rsidP="002B0D90">
      <w:pPr>
        <w:pStyle w:val="Heading2"/>
        <w:ind w:right="-472"/>
        <w:rPr>
          <w:highlight w:val="lightGray"/>
          <w:lang w:val="ru-RU"/>
        </w:rPr>
      </w:pPr>
      <w:bookmarkStart w:id="106" w:name="_Toc57297352"/>
      <w:bookmarkStart w:id="107" w:name="_Toc58244099"/>
      <w:bookmarkStart w:id="108" w:name="_Toc58273421"/>
      <w:bookmarkStart w:id="109" w:name="_Toc58273650"/>
      <w:bookmarkStart w:id="110" w:name="_Toc58275252"/>
      <w:r w:rsidRPr="00694ACA">
        <w:rPr>
          <w:lang w:val="ru-RU"/>
        </w:rPr>
        <w:t xml:space="preserve">4.3 </w:t>
      </w:r>
      <w:bookmarkStart w:id="111" w:name="lt_pId325"/>
      <w:r w:rsidRPr="00694ACA">
        <w:rPr>
          <w:lang w:val="ru-RU"/>
        </w:rPr>
        <w:t>Мероприятия МСЭ в области развития потенциала и профессиональной подготовки</w:t>
      </w:r>
      <w:bookmarkEnd w:id="106"/>
      <w:bookmarkEnd w:id="107"/>
      <w:bookmarkEnd w:id="108"/>
      <w:bookmarkEnd w:id="109"/>
      <w:bookmarkEnd w:id="110"/>
      <w:bookmarkEnd w:id="111"/>
    </w:p>
    <w:p w14:paraId="7806E040" w14:textId="77777777" w:rsidR="009C4800" w:rsidRDefault="001119AF" w:rsidP="002B0D90">
      <w:pPr>
        <w:ind w:left="-284" w:right="-472"/>
        <w:rPr>
          <w:lang w:val="ru-RU"/>
        </w:rPr>
      </w:pPr>
      <w:r w:rsidRPr="00694ACA">
        <w:rPr>
          <w:lang w:val="ru-RU"/>
        </w:rPr>
        <w:t xml:space="preserve">28. </w:t>
      </w:r>
      <w:bookmarkStart w:id="112" w:name="lt_pId327"/>
      <w:r w:rsidRPr="00694ACA">
        <w:rPr>
          <w:lang w:val="ru-RU"/>
        </w:rPr>
        <w:t xml:space="preserve">В настоящем разделе содержится общий обзор основных характеристик мероприятий МСЭ в области развития потенциала и профессиональной подготовки, которые схематически изображены в Приложении 3. Кроме того, в нем подчеркивается важное различие между деятельностью в области развития потенциала и профессиональной подготовки, которая фактически </w:t>
      </w:r>
      <w:r w:rsidRPr="00694ACA">
        <w:rPr>
          <w:i/>
          <w:iCs/>
          <w:lang w:val="ru-RU"/>
        </w:rPr>
        <w:t>проводится</w:t>
      </w:r>
      <w:r w:rsidRPr="00694ACA">
        <w:rPr>
          <w:lang w:val="ru-RU"/>
        </w:rPr>
        <w:t xml:space="preserve"> персоналом МСЭ (в</w:t>
      </w:r>
      <w:r w:rsidR="002D5DE5" w:rsidRPr="00694ACA">
        <w:rPr>
          <w:lang w:val="ru-RU"/>
        </w:rPr>
        <w:t> </w:t>
      </w:r>
      <w:r w:rsidRPr="00694ACA">
        <w:rPr>
          <w:lang w:val="ru-RU"/>
        </w:rPr>
        <w:t xml:space="preserve">основном на семинарах и семинарах-практикумах и все чаще в онлайновом режиме на курсах) и проведению которой </w:t>
      </w:r>
      <w:r w:rsidRPr="00694ACA">
        <w:rPr>
          <w:i/>
          <w:iCs/>
          <w:lang w:val="ru-RU"/>
        </w:rPr>
        <w:t>содействует</w:t>
      </w:r>
      <w:r w:rsidRPr="00694ACA">
        <w:rPr>
          <w:lang w:val="ru-RU"/>
        </w:rPr>
        <w:t xml:space="preserve"> МСЭ (например, большая часть материалов, предоставляемых через Академию МСЭ и центры цифровой трансформации).</w:t>
      </w:r>
      <w:bookmarkEnd w:id="112"/>
    </w:p>
    <w:p w14:paraId="5932E15C" w14:textId="500D7C04" w:rsidR="001119AF" w:rsidRPr="00694ACA" w:rsidRDefault="001226D4" w:rsidP="002B0D90">
      <w:pPr>
        <w:pStyle w:val="Heading3"/>
        <w:ind w:right="-472"/>
        <w:rPr>
          <w:highlight w:val="lightGray"/>
          <w:lang w:val="ru-RU"/>
        </w:rPr>
      </w:pPr>
      <w:bookmarkStart w:id="113" w:name="_Toc57297353"/>
      <w:bookmarkStart w:id="114" w:name="lt_pId329"/>
      <w:r w:rsidRPr="00694ACA">
        <w:rPr>
          <w:lang w:val="ru-RU"/>
        </w:rPr>
        <w:t>Официальн</w:t>
      </w:r>
      <w:r w:rsidR="001119AF" w:rsidRPr="00694ACA">
        <w:rPr>
          <w:lang w:val="ru-RU"/>
        </w:rPr>
        <w:t>ые мероприятия в области развития потенциала и профессиональной подготовк</w:t>
      </w:r>
      <w:bookmarkEnd w:id="113"/>
      <w:bookmarkEnd w:id="114"/>
      <w:r w:rsidR="001119AF" w:rsidRPr="00694ACA">
        <w:rPr>
          <w:lang w:val="ru-RU"/>
        </w:rPr>
        <w:t>и</w:t>
      </w:r>
    </w:p>
    <w:p w14:paraId="0FFC7432" w14:textId="4203E859" w:rsidR="001119AF" w:rsidRPr="00694ACA" w:rsidRDefault="001119AF" w:rsidP="002B0D90">
      <w:pPr>
        <w:ind w:left="-284" w:right="-472"/>
        <w:rPr>
          <w:lang w:val="ru-RU"/>
        </w:rPr>
      </w:pPr>
      <w:r w:rsidRPr="00694ACA">
        <w:rPr>
          <w:lang w:val="ru-RU"/>
        </w:rPr>
        <w:t>29. МСЭ проводит и способствует проведению очных мероприятий в области развития потенциала и профессиональной подготовки во всех Секторах в рамках семинаров и семинаров-практикумов, а также онлайновому обучению в Академии МСЭ или при ее содействии. Двумя наиболее заметными для внешней аудитории</w:t>
      </w:r>
      <w:r w:rsidRPr="00694ACA">
        <w:rPr>
          <w:rStyle w:val="FootnoteReference"/>
          <w:lang w:val="ru-RU"/>
        </w:rPr>
        <w:footnoteReference w:id="14"/>
      </w:r>
      <w:r w:rsidRPr="00694ACA">
        <w:rPr>
          <w:lang w:val="ru-RU"/>
        </w:rPr>
        <w:t xml:space="preserve"> платформами, на которых МСЭ проводит </w:t>
      </w:r>
      <w:r w:rsidR="001226D4" w:rsidRPr="00694ACA">
        <w:rPr>
          <w:lang w:val="ru-RU"/>
        </w:rPr>
        <w:t>официальн</w:t>
      </w:r>
      <w:r w:rsidRPr="00694ACA">
        <w:rPr>
          <w:lang w:val="ru-RU"/>
        </w:rPr>
        <w:t>ые мероприятия в области развития потенциала и профессиональной подготовки, являются Академия МСЭ и центры профессионального мастерства; они занимают первое и второе место в настоящем обзоре.</w:t>
      </w:r>
    </w:p>
    <w:p w14:paraId="6302599C" w14:textId="6026406E" w:rsidR="001119AF" w:rsidRPr="00694ACA" w:rsidRDefault="001119AF" w:rsidP="001119AF">
      <w:pPr>
        <w:pStyle w:val="ListParagraph"/>
        <w:numPr>
          <w:ilvl w:val="0"/>
          <w:numId w:val="40"/>
        </w:numPr>
        <w:ind w:right="-472"/>
        <w:rPr>
          <w:rFonts w:eastAsia="Times New Roman" w:cs="Arial"/>
          <w:lang w:val="ru-RU" w:bidi="ne-NP"/>
        </w:rPr>
      </w:pPr>
      <w:bookmarkStart w:id="117" w:name="lt_pId333"/>
      <w:r w:rsidRPr="00694ACA">
        <w:rPr>
          <w:b/>
          <w:bCs/>
          <w:szCs w:val="20"/>
          <w:lang w:val="ru-RU"/>
        </w:rPr>
        <w:t>Платформа Академии МСЭ</w:t>
      </w:r>
      <w:r w:rsidRPr="00694ACA">
        <w:rPr>
          <w:rStyle w:val="FootnoteReference"/>
          <w:lang w:val="ru-RU"/>
        </w:rPr>
        <w:footnoteReference w:id="15"/>
      </w:r>
      <w:r w:rsidRPr="00694ACA">
        <w:rPr>
          <w:szCs w:val="20"/>
          <w:lang w:val="ru-RU"/>
        </w:rPr>
        <w:t xml:space="preserve"> стала наиболее заметным для внешней аудитории источником информации о работе МСЭ в области развития потенциала и профессиональной подготовки и была серьезно обновлена в 2019 году. В основном она ориентирована на учебные курсы и онлайновое обучение (с выдачей сертификатов), которые проводятся при содействии МСЭ, и поэтому на ней недостаточно представлены такие мероприятия, как очные семинары и семинары-практикумы, особенно проводимые персоналом МСЭ. Эта платформа была создана в 2012 году как самостоятельный бренд</w:t>
      </w:r>
      <w:r w:rsidRPr="00694ACA">
        <w:rPr>
          <w:rStyle w:val="FootnoteReference"/>
          <w:lang w:val="ru-RU"/>
        </w:rPr>
        <w:footnoteReference w:id="16"/>
      </w:r>
      <w:r w:rsidRPr="00694ACA">
        <w:rPr>
          <w:szCs w:val="20"/>
          <w:lang w:val="ru-RU"/>
        </w:rPr>
        <w:t>, объединивший основные элементы работы МСЭ в области развития потенциала и профессиональной подготовки; это один из видов деятельности МСЭ в области развития потенциала и профессиональной подготовки, в отношении которого существует четкая и задокументированная стратегия (опубликована в 2015 г.)</w:t>
      </w:r>
      <w:r w:rsidRPr="00694ACA">
        <w:rPr>
          <w:rStyle w:val="FootnoteReference"/>
          <w:lang w:val="ru-RU"/>
        </w:rPr>
        <w:footnoteReference w:id="17"/>
      </w:r>
      <w:r w:rsidRPr="00694ACA">
        <w:rPr>
          <w:szCs w:val="20"/>
          <w:lang w:val="ru-RU"/>
        </w:rPr>
        <w:t>. Академия получила положительную оценку со стороны 369 участников, отвечавших на вопросы в рамках обследования, причем более 65% из них подтвердили частичное или полное согласие с четырьмя из пяти утверждений о качестве работы и функциональных возможностях Академии</w:t>
      </w:r>
      <w:r w:rsidRPr="00694ACA">
        <w:rPr>
          <w:rStyle w:val="FootnoteReference"/>
          <w:lang w:val="ru-RU"/>
        </w:rPr>
        <w:footnoteReference w:id="18"/>
      </w:r>
      <w:r w:rsidRPr="00694ACA">
        <w:rPr>
          <w:szCs w:val="20"/>
          <w:lang w:val="ru-RU"/>
        </w:rPr>
        <w:t>. В то же время качественные комментарии в форме свободного текста от 214 респондентов, представленные в течение отчетного периода, также содержали широкий спектр предложений по ее дальнейшему совершенствованию, и некоторые из них уже были реализованы в 2020 году в рамках продолжающегося развития платформы</w:t>
      </w:r>
      <w:r w:rsidRPr="00694ACA">
        <w:rPr>
          <w:rStyle w:val="FootnoteReference"/>
          <w:lang w:val="ru-RU"/>
        </w:rPr>
        <w:footnoteReference w:id="19"/>
      </w:r>
      <w:r w:rsidRPr="00694ACA">
        <w:rPr>
          <w:szCs w:val="20"/>
          <w:lang w:val="ru-RU"/>
        </w:rPr>
        <w:t>. В 2020 году наблюдался значительный рост использования платформы Академии МСЭ. Последние данные за 2020 год (ноябрь) показывают, что с начала года Академией было проведено 89 курсов, а к концу года ожидается проведение еще 36 курсов. Аналогичным образом число зарегистрированных пользователей составляло 10 000 в начале 2020 года, к ноябрю оно выросло до 17 000 и, согласно заявлениям, к концу года могло достичь 20 000.</w:t>
      </w:r>
      <w:bookmarkEnd w:id="117"/>
    </w:p>
    <w:p w14:paraId="6C349F65" w14:textId="353E039A" w:rsidR="001119AF" w:rsidRPr="00694ACA" w:rsidRDefault="001119AF" w:rsidP="002B0D90">
      <w:pPr>
        <w:pStyle w:val="ListParagraph"/>
        <w:numPr>
          <w:ilvl w:val="0"/>
          <w:numId w:val="40"/>
        </w:numPr>
        <w:spacing w:after="200"/>
        <w:ind w:right="-472"/>
        <w:rPr>
          <w:lang w:val="ru-RU"/>
        </w:rPr>
      </w:pPr>
      <w:bookmarkStart w:id="123" w:name="lt_pId341"/>
      <w:r w:rsidRPr="00694ACA">
        <w:rPr>
          <w:lang w:val="ru-RU"/>
        </w:rPr>
        <w:lastRenderedPageBreak/>
        <w:t xml:space="preserve">Сеть </w:t>
      </w:r>
      <w:r w:rsidRPr="00694ACA">
        <w:rPr>
          <w:b/>
          <w:bCs/>
          <w:lang w:val="ru-RU"/>
        </w:rPr>
        <w:t>центров профессионального мастерства</w:t>
      </w:r>
      <w:r w:rsidRPr="00694ACA">
        <w:rPr>
          <w:lang w:val="ru-RU"/>
        </w:rPr>
        <w:t xml:space="preserve"> (ЦПМ) МСЭ занимает видное место как единственный проект МСЭ в области развития потенциала и профессиональной подготовки, который находится непосредственно в меню верхнего уровня портала Академии МСЭ. Проект ЦПМ (так он первоначально назывался) был начат в 1997 году, и на практике через него МСЭ содействует доступу членов к курсам, которые проводятся организациями, выбранными на конкурсной основе в качестве ЦПМ. В последние годы выбор и обзор работы ЦПМ проводился в рамках четырехлетних циклов, последний из которых завершился в 2018 году</w:t>
      </w:r>
      <w:r w:rsidRPr="00694ACA">
        <w:rPr>
          <w:rStyle w:val="FootnoteReference"/>
          <w:lang w:val="ru-RU"/>
        </w:rPr>
        <w:footnoteReference w:id="20"/>
      </w:r>
      <w:r w:rsidRPr="00694ACA">
        <w:rPr>
          <w:lang w:val="ru-RU"/>
        </w:rPr>
        <w:t>. Отчет о внутренней оценке показателей работы цикла 2015–2018 годов был полезен и послужил отправной точкой для подготовки настоящего описания центров</w:t>
      </w:r>
      <w:r w:rsidRPr="00694ACA">
        <w:rPr>
          <w:rStyle w:val="FootnoteReference"/>
          <w:lang w:val="ru-RU"/>
        </w:rPr>
        <w:footnoteReference w:id="21"/>
      </w:r>
      <w:r w:rsidRPr="00694ACA">
        <w:rPr>
          <w:lang w:val="ru-RU"/>
        </w:rPr>
        <w:t>. Однако в нем отсутствовали комментарии, касающиеся потребностей в обучении в разбивке по регионам и восприятия участниками качества проведения курсов, хотя отзывы участников доступны из форм обратной связи, заполняемых по окончании курсов, и из ежегодных отчетов, представляемых ЦПМ. В текущем цикле работу ведут 28 ЦПМ в шести регионах МСЭ</w:t>
      </w:r>
      <w:r w:rsidRPr="00694ACA">
        <w:rPr>
          <w:rStyle w:val="FootnoteReference"/>
          <w:lang w:val="ru-RU"/>
        </w:rPr>
        <w:footnoteReference w:id="22"/>
      </w:r>
      <w:r w:rsidRPr="00694ACA">
        <w:rPr>
          <w:lang w:val="ru-RU"/>
        </w:rPr>
        <w:t>. С 2016 года по 2019 год ЦПМ были проведены 363 курса для 11</w:t>
      </w:r>
      <w:r w:rsidR="002D5DE5" w:rsidRPr="00694ACA">
        <w:rPr>
          <w:lang w:val="ru-RU"/>
        </w:rPr>
        <w:t> </w:t>
      </w:r>
      <w:r w:rsidRPr="00694ACA">
        <w:rPr>
          <w:lang w:val="ru-RU"/>
        </w:rPr>
        <w:t>125</w:t>
      </w:r>
      <w:r w:rsidR="002D5DE5" w:rsidRPr="00694ACA">
        <w:rPr>
          <w:lang w:val="ru-RU"/>
        </w:rPr>
        <w:t> </w:t>
      </w:r>
      <w:r w:rsidRPr="00694ACA">
        <w:rPr>
          <w:lang w:val="ru-RU"/>
        </w:rPr>
        <w:t>участников</w:t>
      </w:r>
      <w:r w:rsidRPr="00694ACA">
        <w:rPr>
          <w:rStyle w:val="FootnoteReference"/>
          <w:lang w:val="ru-RU"/>
        </w:rPr>
        <w:footnoteReference w:id="23"/>
      </w:r>
      <w:r w:rsidRPr="00694ACA">
        <w:rPr>
          <w:lang w:val="ru-RU"/>
        </w:rPr>
        <w:t xml:space="preserve">. Координаторы ЦПМ в своих комментариях подтвердили общее удовлетворение работой сети, а также подняли много других вопросов, в частности, выразили желание более тесно сотрудничать с МСЭ и другими его членами, выразили обеспокоенность по поводу бизнес-модели и отметили, что есть возможности для улучшения механизмов обеспечения качества. Несколько участников отметили, что уже давно пора провести фундаментальный обзор системы ЦПМ. В </w:t>
      </w:r>
      <w:r w:rsidR="007D1E8A" w:rsidRPr="00694ACA">
        <w:rPr>
          <w:lang w:val="ru-RU"/>
        </w:rPr>
        <w:t>интервью</w:t>
      </w:r>
      <w:r w:rsidRPr="00694ACA">
        <w:rPr>
          <w:lang w:val="ru-RU"/>
        </w:rPr>
        <w:t xml:space="preserve"> и комментариях, касающихся ЦПМ, мнения участников сильно разошлись. Те, у кого была возможность получить выгоду от программ ЦПМ (некоторые поставщики и участники, которые в итоге были довольны получением сертификатов), высказывались положительно, тогда как мнения многих других были не столь </w:t>
      </w:r>
      <w:bookmarkEnd w:id="123"/>
      <w:r w:rsidR="007D1E8A" w:rsidRPr="00694ACA">
        <w:rPr>
          <w:lang w:val="ru-RU"/>
        </w:rPr>
        <w:t>высокими</w:t>
      </w:r>
      <w:r w:rsidRPr="00694ACA">
        <w:rPr>
          <w:lang w:val="ru-RU"/>
        </w:rPr>
        <w:t>.</w:t>
      </w:r>
    </w:p>
    <w:p w14:paraId="0D19A2B4" w14:textId="77777777" w:rsidR="001119AF" w:rsidRPr="00694ACA" w:rsidRDefault="001119AF" w:rsidP="002B0D90">
      <w:pPr>
        <w:ind w:left="-284" w:right="-472"/>
        <w:rPr>
          <w:highlight w:val="lightGray"/>
          <w:lang w:val="ru-RU"/>
        </w:rPr>
      </w:pPr>
      <w:r w:rsidRPr="00694ACA">
        <w:rPr>
          <w:lang w:val="ru-RU"/>
        </w:rPr>
        <w:t xml:space="preserve">30. </w:t>
      </w:r>
      <w:bookmarkStart w:id="128" w:name="lt_pId353"/>
      <w:r w:rsidRPr="00694ACA">
        <w:rPr>
          <w:lang w:val="ru-RU"/>
        </w:rPr>
        <w:t>В настоящем разделе кратко излагаются все другие основные типы мероприятий в области развития потенциала и профессиональной подготовки, проводимые МСЭ и при его содействии; хотя семинары и семинары-практикумы менее заметны в документации и на веб-сайте МСЭ, они традиционно играют очень важную роль в рамках общего комплекса мероприятий МСЭ:</w:t>
      </w:r>
      <w:bookmarkEnd w:id="128"/>
    </w:p>
    <w:p w14:paraId="2B838BE3" w14:textId="609A1CA1" w:rsidR="001119AF" w:rsidRPr="00694ACA" w:rsidRDefault="001119AF" w:rsidP="002B0D90">
      <w:pPr>
        <w:pStyle w:val="Bulletspoint11"/>
        <w:rPr>
          <w:rFonts w:cs="Times New Roman (Body CS)"/>
          <w:lang w:val="ru-RU"/>
        </w:rPr>
      </w:pPr>
      <w:bookmarkStart w:id="129" w:name="lt_pId354"/>
      <w:r w:rsidRPr="00694ACA">
        <w:rPr>
          <w:b/>
          <w:bCs/>
          <w:lang w:val="ru-RU"/>
        </w:rPr>
        <w:t xml:space="preserve">Семинары-практикумы </w:t>
      </w:r>
      <w:r w:rsidRPr="00694ACA">
        <w:rPr>
          <w:lang w:val="ru-RU"/>
        </w:rPr>
        <w:t>являются основной формой проведения очного обучения</w:t>
      </w:r>
      <w:r w:rsidRPr="00694ACA">
        <w:rPr>
          <w:rFonts w:asciiTheme="minorHAnsi" w:eastAsiaTheme="minorEastAsia" w:hAnsiTheme="minorHAnsi" w:cstheme="minorBidi"/>
          <w:color w:val="auto"/>
          <w:sz w:val="22"/>
          <w:lang w:val="ru-RU" w:eastAsia="zh-CN"/>
        </w:rPr>
        <w:t xml:space="preserve"> </w:t>
      </w:r>
      <w:r w:rsidRPr="00694ACA">
        <w:rPr>
          <w:lang w:val="ru-RU"/>
        </w:rPr>
        <w:t xml:space="preserve">МСЭ, причем за последние пять лет было проведено около 600 семинаров-практикумов (около двух третей из которых было проведено БРЭ – см. региональные и тематические мероприятия ниже). БР и БСЭ проводят семинары-практикумы, которые в первую очередь приурочены к собраниям соответствующих исследовательских комиссий. БР созывает региональные, </w:t>
      </w:r>
      <w:proofErr w:type="spellStart"/>
      <w:r w:rsidRPr="00694ACA">
        <w:rPr>
          <w:lang w:val="ru-RU"/>
        </w:rPr>
        <w:t>межсекторальные</w:t>
      </w:r>
      <w:proofErr w:type="spellEnd"/>
      <w:r w:rsidRPr="00694ACA">
        <w:rPr>
          <w:lang w:val="ru-RU"/>
        </w:rPr>
        <w:t xml:space="preserve"> и межрегиональные семинары-практикумы</w:t>
      </w:r>
      <w:r w:rsidRPr="00694ACA">
        <w:rPr>
          <w:rStyle w:val="FootnoteReference"/>
          <w:lang w:val="ru-RU"/>
        </w:rPr>
        <w:footnoteReference w:id="24"/>
      </w:r>
      <w:r w:rsidRPr="00694ACA">
        <w:rPr>
          <w:lang w:val="ru-RU"/>
        </w:rPr>
        <w:t>, которые играют важную роль в развитии потенциала участников в плане активного вовлечения в деятельность Сектора. БСЭ также проводит ряд семинаров-практикумов, относящихся к направлениям работы МСЭ-Т и дающих членам и другим участникам множество возможностей лучше разобраться в этих темах</w:t>
      </w:r>
      <w:r w:rsidRPr="00694ACA">
        <w:rPr>
          <w:rStyle w:val="FootnoteReference"/>
          <w:lang w:val="ru-RU"/>
        </w:rPr>
        <w:footnoteReference w:id="25"/>
      </w:r>
      <w:r w:rsidRPr="00694ACA">
        <w:rPr>
          <w:lang w:val="ru-RU"/>
        </w:rPr>
        <w:t>.</w:t>
      </w:r>
      <w:bookmarkEnd w:id="129"/>
    </w:p>
    <w:p w14:paraId="709A5BA7" w14:textId="77777777" w:rsidR="001119AF" w:rsidRPr="00694ACA" w:rsidRDefault="001119AF" w:rsidP="002B0D90">
      <w:pPr>
        <w:pStyle w:val="Bulletspoint11"/>
        <w:rPr>
          <w:lang w:val="ru-RU"/>
        </w:rPr>
      </w:pPr>
      <w:bookmarkStart w:id="132" w:name="lt_pId358"/>
      <w:r w:rsidRPr="00694ACA">
        <w:rPr>
          <w:b/>
          <w:lang w:val="ru-RU"/>
        </w:rPr>
        <w:t>Семинары и вебинары</w:t>
      </w:r>
      <w:r w:rsidRPr="00694ACA">
        <w:rPr>
          <w:bCs/>
          <w:lang w:val="ru-RU"/>
        </w:rPr>
        <w:t xml:space="preserve">. Хотя в разных Секторах используются разные определения и практики, семинары и вебинары проводятся давно и являются важными традиционными мероприятиями МСЭ. Для БР семинары имеют первостепенное значение в плане развития потенциала и </w:t>
      </w:r>
      <w:r w:rsidRPr="00694ACA">
        <w:rPr>
          <w:bCs/>
          <w:lang w:val="ru-RU"/>
        </w:rPr>
        <w:lastRenderedPageBreak/>
        <w:t>профессиональной подготовки, и их следует рассматривать вместе с проводимыми БР семинарами-практикумами, как в случае со Всемирным семинаром по радиосвязи (ВРС)</w:t>
      </w:r>
      <w:r w:rsidRPr="00694ACA">
        <w:rPr>
          <w:rStyle w:val="FootnoteReference"/>
          <w:lang w:val="ru-RU"/>
        </w:rPr>
        <w:footnoteReference w:id="26"/>
      </w:r>
      <w:r w:rsidRPr="00694ACA">
        <w:rPr>
          <w:bCs/>
          <w:lang w:val="ru-RU"/>
        </w:rPr>
        <w:t>. В течение цикла 2015–2019 годов БР предоставило более 100 частичных стипендий для участников региональных семинаров по радиосвязи (РСР) и более 60 полных стипендий для участников ВРС (по одной для администраций соответствующих критериям стран). В течение большей части 2020 года БР и БСЭ проводили семинары в онлайновом режиме, как вебинары (см. Приложение 8).</w:t>
      </w:r>
      <w:bookmarkEnd w:id="132"/>
    </w:p>
    <w:p w14:paraId="6CBB0DDA" w14:textId="77777777" w:rsidR="001119AF" w:rsidRPr="00694ACA" w:rsidRDefault="001119AF" w:rsidP="002B0D90">
      <w:pPr>
        <w:pStyle w:val="Bulletspoint11"/>
        <w:rPr>
          <w:bCs/>
          <w:lang w:val="ru-RU"/>
        </w:rPr>
      </w:pPr>
      <w:bookmarkStart w:id="134" w:name="lt_pId362"/>
      <w:r w:rsidRPr="00694ACA">
        <w:rPr>
          <w:b/>
          <w:bCs/>
          <w:lang w:val="ru-RU"/>
        </w:rPr>
        <w:t>Учебные курсы</w:t>
      </w:r>
      <w:r w:rsidRPr="00694ACA">
        <w:rPr>
          <w:lang w:val="ru-RU"/>
        </w:rPr>
        <w:t>. Союз, в основном БРЭ, использует пять способов проведения обучения: онлайновое обучение на платформе Академии МСЭ, обучение в ЦПМ, обучение через партнерские академические организации, обучение через партнерские учреждения, а также обучение в классе, в режиме онлайн и самообучение. БСЭ дополнительно предлагает онлайновый курс для своих членов (курс Рекомендации МСЭ-T A.1 "Методы работы исследовательских комиссий МСЭ-Т"). Ранее БСЭ также проводился курс по сетям последующих поколений (СПП) через Академию, но только в течение одного года.</w:t>
      </w:r>
    </w:p>
    <w:p w14:paraId="5F0F4B85" w14:textId="77777777" w:rsidR="001119AF" w:rsidRPr="00694ACA" w:rsidRDefault="001119AF" w:rsidP="002B0D90">
      <w:pPr>
        <w:pStyle w:val="Bulletspoint11"/>
        <w:rPr>
          <w:lang w:val="ru-RU"/>
        </w:rPr>
      </w:pPr>
      <w:bookmarkStart w:id="135" w:name="lt_pId366"/>
      <w:bookmarkEnd w:id="134"/>
      <w:r w:rsidRPr="00694ACA">
        <w:rPr>
          <w:lang w:val="ru-RU"/>
        </w:rPr>
        <w:t xml:space="preserve">Интерактивное </w:t>
      </w:r>
      <w:r w:rsidRPr="00694ACA">
        <w:rPr>
          <w:b/>
          <w:bCs/>
          <w:lang w:val="ru-RU"/>
        </w:rPr>
        <w:t>практическое обучение</w:t>
      </w:r>
      <w:r w:rsidRPr="00694ACA">
        <w:rPr>
          <w:lang w:val="ru-RU"/>
        </w:rPr>
        <w:t xml:space="preserve"> также входит в комплекс разнообразных мероприятий каждого Сектора МСЭ, занимая наиболее заметное место в деятельности БР и БСЭ, где оно является неотъемлемой частью семинаров-практикумов (см. раздел, посвященный семинарам-практикумам)</w:t>
      </w:r>
      <w:r w:rsidRPr="00694ACA">
        <w:rPr>
          <w:rStyle w:val="FootnoteReference"/>
          <w:lang w:val="ru-RU"/>
        </w:rPr>
        <w:footnoteReference w:id="27"/>
      </w:r>
      <w:r w:rsidRPr="00694ACA">
        <w:rPr>
          <w:lang w:val="ru-RU"/>
        </w:rPr>
        <w:t xml:space="preserve">. </w:t>
      </w:r>
      <w:bookmarkEnd w:id="135"/>
    </w:p>
    <w:p w14:paraId="68D119BC" w14:textId="20C0309B" w:rsidR="001119AF" w:rsidRPr="00694ACA" w:rsidRDefault="001119AF" w:rsidP="002B0D90">
      <w:pPr>
        <w:pStyle w:val="Bulletspoint11"/>
        <w:rPr>
          <w:lang w:val="ru-RU"/>
        </w:rPr>
      </w:pPr>
      <w:bookmarkStart w:id="137" w:name="lt_pId367"/>
      <w:r w:rsidRPr="00694ACA">
        <w:rPr>
          <w:b/>
          <w:bCs/>
          <w:lang w:val="ru-RU"/>
        </w:rPr>
        <w:t>Практикумы</w:t>
      </w:r>
      <w:r w:rsidRPr="00694ACA">
        <w:rPr>
          <w:lang w:val="ru-RU"/>
        </w:rPr>
        <w:t>, хотя они и схожи с семинарами-практикумами, рассматриваются МСЭ-Т отдельно. Типичным примером может служить практикум по безопасности в рамках Глобальной инициативы по охвату финансовыми услугами (FIGI), организованн</w:t>
      </w:r>
      <w:r w:rsidR="007D1E8A" w:rsidRPr="00694ACA">
        <w:rPr>
          <w:lang w:val="ru-RU"/>
        </w:rPr>
        <w:t>ы</w:t>
      </w:r>
      <w:r w:rsidRPr="00694ACA">
        <w:rPr>
          <w:lang w:val="ru-RU"/>
        </w:rPr>
        <w:t>й в Женеве совместно с Группой Всемирного банка и Банком международных расчетов в декабре 2019</w:t>
      </w:r>
      <w:r w:rsidR="007D1E8A" w:rsidRPr="00694ACA">
        <w:rPr>
          <w:lang w:val="ru-RU"/>
        </w:rPr>
        <w:t> </w:t>
      </w:r>
      <w:r w:rsidRPr="00694ACA">
        <w:rPr>
          <w:lang w:val="ru-RU"/>
        </w:rPr>
        <w:t>года</w:t>
      </w:r>
      <w:r w:rsidRPr="00694ACA">
        <w:rPr>
          <w:rStyle w:val="FootnoteReference"/>
          <w:lang w:val="ru-RU"/>
        </w:rPr>
        <w:footnoteReference w:id="28"/>
      </w:r>
      <w:r w:rsidRPr="00694ACA">
        <w:rPr>
          <w:lang w:val="ru-RU"/>
        </w:rPr>
        <w:t>.</w:t>
      </w:r>
      <w:bookmarkEnd w:id="137"/>
    </w:p>
    <w:p w14:paraId="38D53B22" w14:textId="77777777" w:rsidR="001119AF" w:rsidRPr="00694ACA" w:rsidRDefault="001119AF" w:rsidP="002B0D90">
      <w:pPr>
        <w:pStyle w:val="Bulletspoint11"/>
        <w:rPr>
          <w:rFonts w:cs="Arial"/>
          <w:lang w:val="ru-RU"/>
        </w:rPr>
      </w:pPr>
      <w:bookmarkStart w:id="139" w:name="lt_pId369"/>
      <w:r w:rsidRPr="00694ACA">
        <w:rPr>
          <w:b/>
          <w:bCs/>
          <w:lang w:val="ru-RU"/>
        </w:rPr>
        <w:t>Региональные мероприятия в области профессиональной подготовки</w:t>
      </w:r>
      <w:r w:rsidRPr="00694ACA">
        <w:rPr>
          <w:lang w:val="ru-RU"/>
        </w:rPr>
        <w:t>. Все три Бюро проводят на региональном уровне ряд очных мероприятий в области развития потенциала и профессиональной подготовки, при этом мероприятия, проводимые БСЭ и БР, в основном проходят в рамках их семинаров и семинаров-практикумов, о которых говорится выше. БРЭ через директоров региональных отделений МСЭ (и руководителей субрегионального уровня), а также через сеть координаторов по развитию потенциала стремится отвечать на конкретные запросы Государств-Членов, касающиеся профессиональной подготовки, а также продвигать более масштабные международные мероприятия Сектора в области развития потенциала и профессиональной подготовки</w:t>
      </w:r>
      <w:r w:rsidRPr="00694ACA">
        <w:rPr>
          <w:rStyle w:val="FootnoteReference"/>
          <w:lang w:val="ru-RU"/>
        </w:rPr>
        <w:footnoteReference w:id="29"/>
      </w:r>
      <w:r w:rsidRPr="00694ACA">
        <w:rPr>
          <w:lang w:val="ru-RU"/>
        </w:rPr>
        <w:t>.</w:t>
      </w:r>
      <w:bookmarkEnd w:id="139"/>
    </w:p>
    <w:p w14:paraId="674A482A" w14:textId="77777777" w:rsidR="001119AF" w:rsidRPr="00694ACA" w:rsidRDefault="001119AF" w:rsidP="002B0D90">
      <w:pPr>
        <w:pStyle w:val="Bulletspoint11"/>
        <w:rPr>
          <w:lang w:val="ru-RU"/>
        </w:rPr>
      </w:pPr>
      <w:bookmarkStart w:id="141" w:name="lt_pId372"/>
      <w:r w:rsidRPr="00694ACA">
        <w:rPr>
          <w:b/>
          <w:bCs/>
          <w:lang w:val="ru-RU"/>
        </w:rPr>
        <w:t>Тематические мероприятия в области развития потенциала и профессиональной подготовки</w:t>
      </w:r>
      <w:r w:rsidRPr="00694ACA">
        <w:rPr>
          <w:lang w:val="ru-RU"/>
        </w:rPr>
        <w:t xml:space="preserve">. Региональные и тематические мероприятия в области развития потенциала и профессиональной подготовки часто входят в комплекс мероприятий БРЭ. В настоящее время руководители, отвечающие за ряд тем, разрабатывают несколько курсов при поддержке команды CSD по вопросам дизайна и обеспечения качества, а также с привлечением внешних экспертов для разработки части содержания. Признается, что метод управления, ориентированного на результаты, который стал применяться в прошлом году, начал приносить дивиденды за счет расширения сотрудничества внутри Сектора. Имеются дополнительные свидетельства позитивного сотрудничества с другими Секторами при разработке новых </w:t>
      </w:r>
      <w:proofErr w:type="spellStart"/>
      <w:r w:rsidRPr="00694ACA">
        <w:rPr>
          <w:lang w:val="ru-RU"/>
        </w:rPr>
        <w:t>межсекторальных</w:t>
      </w:r>
      <w:proofErr w:type="spellEnd"/>
      <w:r w:rsidRPr="00694ACA">
        <w:rPr>
          <w:lang w:val="ru-RU"/>
        </w:rPr>
        <w:t xml:space="preserve"> мероприятий, например с БСЭ по качеству обслуживания. Всего с 1 января 2015 года МСЭ-D было подписано 118 проектов</w:t>
      </w:r>
      <w:r w:rsidRPr="00694ACA">
        <w:rPr>
          <w:rStyle w:val="FootnoteReference"/>
          <w:lang w:val="ru-RU"/>
        </w:rPr>
        <w:footnoteReference w:id="30"/>
      </w:r>
      <w:r w:rsidRPr="00694ACA">
        <w:rPr>
          <w:lang w:val="ru-RU"/>
        </w:rPr>
        <w:t xml:space="preserve">, которые относились к теме "Создание потенциала" (22) или в которых как-либо упоминалось развитие потенциала (1) (всего 23, или 19%). Еще один важный тематический элемент развития потенциала обеспечивается Генеральным секретариатом посредством проведения определенных мероприятий для МСП в рамках Всемирного мероприятия ITU </w:t>
      </w:r>
      <w:proofErr w:type="spellStart"/>
      <w:r w:rsidRPr="00694ACA">
        <w:rPr>
          <w:lang w:val="ru-RU"/>
        </w:rPr>
        <w:t>Telecom</w:t>
      </w:r>
      <w:proofErr w:type="spellEnd"/>
      <w:r w:rsidRPr="00694ACA">
        <w:rPr>
          <w:rStyle w:val="FootnoteReference"/>
          <w:lang w:val="ru-RU"/>
        </w:rPr>
        <w:footnoteReference w:id="31"/>
      </w:r>
      <w:r w:rsidRPr="00694ACA">
        <w:rPr>
          <w:lang w:val="ru-RU"/>
        </w:rPr>
        <w:t>.</w:t>
      </w:r>
      <w:bookmarkEnd w:id="141"/>
    </w:p>
    <w:p w14:paraId="27BF51AB" w14:textId="0C343BBE" w:rsidR="001119AF" w:rsidRPr="00694ACA" w:rsidRDefault="001119AF" w:rsidP="002B0D90">
      <w:pPr>
        <w:pStyle w:val="Bulletspoint11"/>
        <w:rPr>
          <w:lang w:val="ru-RU"/>
        </w:rPr>
      </w:pPr>
      <w:bookmarkStart w:id="144" w:name="lt_pId379"/>
      <w:r w:rsidRPr="00694ACA">
        <w:rPr>
          <w:b/>
          <w:bCs/>
          <w:lang w:val="ru-RU"/>
        </w:rPr>
        <w:lastRenderedPageBreak/>
        <w:t>Программы профессиональной подготовки БРЭ</w:t>
      </w:r>
      <w:r w:rsidRPr="00694ACA">
        <w:rPr>
          <w:rStyle w:val="FootnoteReference"/>
          <w:lang w:val="ru-RU"/>
        </w:rPr>
        <w:footnoteReference w:id="32"/>
      </w:r>
      <w:r w:rsidRPr="00694ACA">
        <w:rPr>
          <w:lang w:val="ru-RU"/>
        </w:rPr>
        <w:t xml:space="preserve"> являются наследием </w:t>
      </w:r>
      <w:r w:rsidR="001E2CBF" w:rsidRPr="00694ACA">
        <w:rPr>
          <w:lang w:val="ru-RU"/>
        </w:rPr>
        <w:t xml:space="preserve">решений </w:t>
      </w:r>
      <w:r w:rsidRPr="00694ACA">
        <w:rPr>
          <w:lang w:val="ru-RU"/>
        </w:rPr>
        <w:t>прошлых ВКРЭ. Они задумывались как серьезные программы высшего образования (эквивалентные магистерским) и были разработаны при значительном участии персонала МСЭ и внешних консультантов, после чего могли предлагаться в сотрудничестве с престижными университетами</w:t>
      </w:r>
      <w:r w:rsidRPr="00694ACA">
        <w:rPr>
          <w:rStyle w:val="FootnoteReference"/>
          <w:lang w:val="ru-RU"/>
        </w:rPr>
        <w:footnoteReference w:id="33"/>
      </w:r>
      <w:r w:rsidRPr="00694ACA">
        <w:rPr>
          <w:lang w:val="ru-RU"/>
        </w:rPr>
        <w:t>. Однако на практике эти программы еще не полностью оправдали возложенные на них ожидания, несмотря на значительный вклад со стороны части персонала МСЭ</w:t>
      </w:r>
      <w:r w:rsidRPr="00694ACA">
        <w:rPr>
          <w:rStyle w:val="FootnoteReference"/>
          <w:lang w:val="ru-RU"/>
        </w:rPr>
        <w:footnoteReference w:id="34"/>
      </w:r>
      <w:r w:rsidRPr="00694ACA">
        <w:rPr>
          <w:lang w:val="ru-RU"/>
        </w:rPr>
        <w:t xml:space="preserve">. Было разработано четыре программы: </w:t>
      </w:r>
      <w:r w:rsidR="001E2CBF" w:rsidRPr="00694ACA">
        <w:rPr>
          <w:lang w:val="ru-RU"/>
        </w:rPr>
        <w:t>программ</w:t>
      </w:r>
      <w:r w:rsidR="00FD36D1" w:rsidRPr="00694ACA">
        <w:rPr>
          <w:lang w:val="ru-RU"/>
        </w:rPr>
        <w:t>а</w:t>
      </w:r>
      <w:r w:rsidR="001E2CBF" w:rsidRPr="00694ACA">
        <w:rPr>
          <w:lang w:val="ru-RU"/>
        </w:rPr>
        <w:t xml:space="preserve"> </w:t>
      </w:r>
      <w:r w:rsidRPr="00694ACA">
        <w:rPr>
          <w:lang w:val="ru-RU"/>
        </w:rPr>
        <w:t>профессиональной подготовки в области управления использованием спектра (SMTP)</w:t>
      </w:r>
      <w:r w:rsidRPr="00694ACA">
        <w:rPr>
          <w:rStyle w:val="FootnoteReference"/>
          <w:lang w:val="ru-RU"/>
        </w:rPr>
        <w:footnoteReference w:id="35"/>
      </w:r>
      <w:r w:rsidRPr="00694ACA">
        <w:rPr>
          <w:lang w:val="ru-RU"/>
        </w:rPr>
        <w:t xml:space="preserve">; </w:t>
      </w:r>
      <w:r w:rsidR="001E2CBF" w:rsidRPr="00694ACA">
        <w:rPr>
          <w:lang w:val="ru-RU"/>
        </w:rPr>
        <w:t xml:space="preserve">программа профессиональной подготовки </w:t>
      </w:r>
      <w:r w:rsidRPr="00694ACA">
        <w:rPr>
          <w:lang w:val="ru-RU"/>
        </w:rPr>
        <w:t>по качеству обслуживания (</w:t>
      </w:r>
      <w:proofErr w:type="spellStart"/>
      <w:r w:rsidRPr="00694ACA">
        <w:rPr>
          <w:lang w:val="ru-RU"/>
        </w:rPr>
        <w:t>QoSTP</w:t>
      </w:r>
      <w:proofErr w:type="spellEnd"/>
      <w:r w:rsidRPr="00694ACA">
        <w:rPr>
          <w:lang w:val="ru-RU"/>
        </w:rPr>
        <w:t>)</w:t>
      </w:r>
      <w:r w:rsidRPr="00694ACA">
        <w:rPr>
          <w:rStyle w:val="FootnoteReference"/>
          <w:lang w:val="ru-RU"/>
        </w:rPr>
        <w:footnoteReference w:id="36"/>
      </w:r>
      <w:r w:rsidRPr="00694ACA">
        <w:rPr>
          <w:lang w:val="ru-RU"/>
        </w:rPr>
        <w:t>, состоящая из 13 модулей</w:t>
      </w:r>
      <w:r w:rsidR="001E2CBF" w:rsidRPr="00694ACA">
        <w:rPr>
          <w:lang w:val="ru-RU"/>
        </w:rPr>
        <w:t xml:space="preserve"> –</w:t>
      </w:r>
      <w:r w:rsidRPr="00694ACA">
        <w:rPr>
          <w:lang w:val="ru-RU"/>
        </w:rPr>
        <w:t xml:space="preserve"> 6 обязательных и 7 факультативных; программа </w:t>
      </w:r>
      <w:r w:rsidR="001E2CBF" w:rsidRPr="00694ACA">
        <w:rPr>
          <w:lang w:val="ru-RU"/>
        </w:rPr>
        <w:t xml:space="preserve">профессиональной подготовки </w:t>
      </w:r>
      <w:r w:rsidRPr="00694ACA">
        <w:rPr>
          <w:lang w:val="ru-RU"/>
        </w:rPr>
        <w:t>в области интернета вещей (</w:t>
      </w:r>
      <w:proofErr w:type="spellStart"/>
      <w:r w:rsidRPr="00694ACA">
        <w:rPr>
          <w:lang w:val="ru-RU"/>
        </w:rPr>
        <w:t>IoT</w:t>
      </w:r>
      <w:proofErr w:type="spellEnd"/>
      <w:r w:rsidRPr="00694ACA">
        <w:rPr>
          <w:lang w:val="ru-RU"/>
        </w:rPr>
        <w:t xml:space="preserve"> TP), состоящая из 15 модулей и одного обзорного модуля</w:t>
      </w:r>
      <w:r w:rsidRPr="00694ACA">
        <w:rPr>
          <w:rStyle w:val="FootnoteReference"/>
          <w:lang w:val="ru-RU"/>
        </w:rPr>
        <w:footnoteReference w:id="37"/>
      </w:r>
      <w:r w:rsidRPr="00694ACA">
        <w:rPr>
          <w:lang w:val="ru-RU"/>
        </w:rPr>
        <w:t xml:space="preserve">; </w:t>
      </w:r>
      <w:r w:rsidR="00FD36D1" w:rsidRPr="00694ACA">
        <w:rPr>
          <w:lang w:val="ru-RU"/>
        </w:rPr>
        <w:t>а также</w:t>
      </w:r>
      <w:r w:rsidRPr="00694ACA">
        <w:rPr>
          <w:lang w:val="ru-RU"/>
        </w:rPr>
        <w:t xml:space="preserve"> программа </w:t>
      </w:r>
      <w:r w:rsidR="001E2CBF" w:rsidRPr="00694ACA">
        <w:rPr>
          <w:lang w:val="ru-RU"/>
        </w:rPr>
        <w:t xml:space="preserve">профессиональной подготовки </w:t>
      </w:r>
      <w:r w:rsidRPr="00694ACA">
        <w:rPr>
          <w:lang w:val="ru-RU"/>
        </w:rPr>
        <w:t>по изменению климата (CCTP). На портале Академии по-прежнему можно найти информацию о том, что МСЭ ищет партнеров для реализации большинства из этих программ, и ни одна из них еще не проводится как полноценная программа высшего образования, хотя ведется обучение по различным модулям, а несколько модулей используются региональными отделениями МСЭ при проведении некоторых мероприятий в области профессиональной подготовки.</w:t>
      </w:r>
      <w:bookmarkEnd w:id="144"/>
      <w:r w:rsidRPr="00694ACA">
        <w:rPr>
          <w:rFonts w:ascii="Calibri" w:hAnsi="Calibri" w:cs="Calibri"/>
          <w:b/>
          <w:color w:val="800000"/>
          <w:sz w:val="22"/>
          <w:lang w:val="ru-RU"/>
        </w:rPr>
        <w:t xml:space="preserve"> </w:t>
      </w:r>
    </w:p>
    <w:p w14:paraId="71ACE1DD" w14:textId="77777777" w:rsidR="001119AF" w:rsidRPr="00694ACA" w:rsidRDefault="001119AF" w:rsidP="002B0D90">
      <w:pPr>
        <w:pStyle w:val="Bulletspoint11"/>
        <w:rPr>
          <w:lang w:val="ru-RU"/>
        </w:rPr>
      </w:pPr>
      <w:bookmarkStart w:id="153" w:name="lt_pId384"/>
      <w:r w:rsidRPr="00694ACA">
        <w:rPr>
          <w:b/>
          <w:bCs/>
          <w:lang w:val="ru-RU"/>
        </w:rPr>
        <w:t>Нестандартные инициативы</w:t>
      </w:r>
      <w:r w:rsidRPr="00694ACA">
        <w:rPr>
          <w:lang w:val="ru-RU"/>
        </w:rPr>
        <w:t>. Когда была начата работа над настоящим обзором, в рамках объявленной более широкой деятельности БРЭ в области развития потенциала было две отдельные нестандартные инициативы: центры подготовки на базе интернета (ITC) и центры цифровой трансформации (DTC)</w:t>
      </w:r>
      <w:r w:rsidRPr="00694ACA">
        <w:rPr>
          <w:rStyle w:val="FootnoteReference"/>
          <w:lang w:val="ru-RU"/>
        </w:rPr>
        <w:footnoteReference w:id="38"/>
      </w:r>
      <w:r w:rsidRPr="00694ACA">
        <w:rPr>
          <w:lang w:val="ru-RU"/>
        </w:rPr>
        <w:t>. На момент начала работы над настоящим обзором инициатива ITC упоминалась на веб-сайте МСЭ</w:t>
      </w:r>
      <w:r w:rsidRPr="00694ACA">
        <w:rPr>
          <w:rStyle w:val="FootnoteReference"/>
          <w:lang w:val="ru-RU"/>
        </w:rPr>
        <w:footnoteReference w:id="39"/>
      </w:r>
      <w:r w:rsidRPr="00694ACA">
        <w:rPr>
          <w:lang w:val="ru-RU"/>
        </w:rPr>
        <w:t xml:space="preserve">, хотя CSD больше не относит ее к мероприятиям МСЭ в области развития потенциала и профессиональной подготовки. DTC – гораздо более новая инициатива, осуществление которой в сотрудничестве с </w:t>
      </w:r>
      <w:proofErr w:type="spellStart"/>
      <w:r w:rsidRPr="00694ACA">
        <w:rPr>
          <w:lang w:val="ru-RU"/>
        </w:rPr>
        <w:t>Cisco</w:t>
      </w:r>
      <w:proofErr w:type="spellEnd"/>
      <w:r w:rsidRPr="00694ACA">
        <w:rPr>
          <w:lang w:val="ru-RU"/>
        </w:rPr>
        <w:t xml:space="preserve"> началось на Всемирном мероприятии ITU </w:t>
      </w:r>
      <w:proofErr w:type="spellStart"/>
      <w:r w:rsidRPr="00694ACA">
        <w:rPr>
          <w:lang w:val="ru-RU"/>
        </w:rPr>
        <w:t>Telecom</w:t>
      </w:r>
      <w:proofErr w:type="spellEnd"/>
      <w:r w:rsidRPr="00694ACA">
        <w:rPr>
          <w:lang w:val="ru-RU"/>
        </w:rPr>
        <w:t xml:space="preserve"> в 2019 году</w:t>
      </w:r>
      <w:r w:rsidRPr="00694ACA">
        <w:rPr>
          <w:rStyle w:val="FootnoteReference"/>
          <w:lang w:val="ru-RU"/>
        </w:rPr>
        <w:footnoteReference w:id="40"/>
      </w:r>
      <w:r w:rsidRPr="00694ACA">
        <w:rPr>
          <w:lang w:val="ru-RU"/>
        </w:rPr>
        <w:t xml:space="preserve">. Центр цифровой трансформации – это "учреждение, выбранное МСЭ и </w:t>
      </w:r>
      <w:proofErr w:type="spellStart"/>
      <w:r w:rsidRPr="00694ACA">
        <w:rPr>
          <w:lang w:val="ru-RU"/>
        </w:rPr>
        <w:t>Cisco</w:t>
      </w:r>
      <w:proofErr w:type="spellEnd"/>
      <w:r w:rsidRPr="00694ACA">
        <w:rPr>
          <w:lang w:val="ru-RU"/>
        </w:rPr>
        <w:t>, которое проводит обучение граждан цифровым навыкам"</w:t>
      </w:r>
      <w:r w:rsidRPr="00694ACA">
        <w:rPr>
          <w:rStyle w:val="FootnoteReference"/>
          <w:lang w:val="ru-RU"/>
        </w:rPr>
        <w:footnoteReference w:id="41"/>
      </w:r>
      <w:r w:rsidRPr="00694ACA">
        <w:rPr>
          <w:lang w:val="ru-RU"/>
        </w:rPr>
        <w:t>; задача центров заключается в развитии цифровых навыков граждан на базовом и среднем уровнях; предполагается создание сети центров</w:t>
      </w:r>
      <w:r w:rsidRPr="00694ACA">
        <w:rPr>
          <w:rStyle w:val="FootnoteReference"/>
          <w:lang w:val="ru-RU"/>
        </w:rPr>
        <w:footnoteReference w:id="42"/>
      </w:r>
      <w:r w:rsidRPr="00694ACA">
        <w:rPr>
          <w:lang w:val="ru-RU"/>
        </w:rPr>
        <w:t xml:space="preserve">. Согласно сделанному заявлению, основное внимание сосредоточено на "тех, кто </w:t>
      </w:r>
      <w:r w:rsidRPr="00694ACA">
        <w:rPr>
          <w:lang w:val="ru-RU"/>
        </w:rPr>
        <w:lastRenderedPageBreak/>
        <w:t>находится в основании пирамиды и нуждается в обучении цифровым навыкам", а также на широкой аудитории, стартапах и директивных органах</w:t>
      </w:r>
      <w:r w:rsidRPr="00694ACA">
        <w:rPr>
          <w:rStyle w:val="FootnoteReference"/>
          <w:lang w:val="ru-RU"/>
        </w:rPr>
        <w:footnoteReference w:id="43"/>
      </w:r>
      <w:r w:rsidRPr="00694ACA">
        <w:rPr>
          <w:lang w:val="ru-RU"/>
        </w:rPr>
        <w:t>. Сейчас имеется мало данных о механизмах мониторинга и оценки, разработанных для инициативы, и о том, как будут измеряться конечные результаты развития. Помимо DTC, в качестве самостоятельной программы, реализация которой находит отражение в области развития потенциала, может быть указана разработка в течение 2020 года инициативы I-</w:t>
      </w:r>
      <w:proofErr w:type="spellStart"/>
      <w:r w:rsidRPr="00694ACA">
        <w:rPr>
          <w:lang w:val="ru-RU"/>
        </w:rPr>
        <w:t>CoDI</w:t>
      </w:r>
      <w:proofErr w:type="spellEnd"/>
      <w:r w:rsidRPr="00694ACA">
        <w:rPr>
          <w:lang w:val="ru-RU"/>
        </w:rPr>
        <w:t>. Инициатива I-</w:t>
      </w:r>
      <w:proofErr w:type="spellStart"/>
      <w:r w:rsidRPr="00694ACA">
        <w:rPr>
          <w:lang w:val="ru-RU"/>
        </w:rPr>
        <w:t>CoDI</w:t>
      </w:r>
      <w:proofErr w:type="spellEnd"/>
      <w:r w:rsidRPr="00694ACA">
        <w:rPr>
          <w:lang w:val="ru-RU"/>
        </w:rPr>
        <w:t xml:space="preserve"> была начата в ответ на желание Государств-Членов создать</w:t>
      </w:r>
      <w:r w:rsidRPr="00694ACA">
        <w:rPr>
          <w:rFonts w:asciiTheme="minorHAnsi" w:eastAsiaTheme="minorEastAsia" w:hAnsiTheme="minorHAnsi" w:cstheme="minorBidi"/>
          <w:color w:val="auto"/>
          <w:sz w:val="22"/>
          <w:lang w:val="ru-RU" w:eastAsia="zh-CN"/>
        </w:rPr>
        <w:t xml:space="preserve"> </w:t>
      </w:r>
      <w:r w:rsidRPr="00694ACA">
        <w:rPr>
          <w:lang w:val="ru-RU"/>
        </w:rPr>
        <w:t>в МСЭ культуру инноваций</w:t>
      </w:r>
      <w:r w:rsidRPr="00694ACA">
        <w:rPr>
          <w:rStyle w:val="FootnoteReference"/>
          <w:lang w:val="ru-RU"/>
        </w:rPr>
        <w:footnoteReference w:id="44"/>
      </w:r>
      <w:r w:rsidRPr="00694ACA">
        <w:rPr>
          <w:lang w:val="ru-RU"/>
        </w:rPr>
        <w:t>. В основе этой инициативы лежит стремление предоставлять индивидуальную специализированную поддержку Государствам-Членам, желающим развивать культуру инноваций, и, по-видимому, в нее войдут семинары-практикумы и другие соответствующие механизмы развития потенциала.</w:t>
      </w:r>
    </w:p>
    <w:p w14:paraId="1061C5D6" w14:textId="77777777" w:rsidR="001119AF" w:rsidRPr="00694ACA" w:rsidRDefault="001119AF" w:rsidP="002B0D90">
      <w:pPr>
        <w:pStyle w:val="Bulletspoint11"/>
        <w:rPr>
          <w:rFonts w:eastAsiaTheme="minorHAnsi" w:cs="Times New Roman (Body CS)"/>
          <w:color w:val="0D0D0D" w:themeColor="text1" w:themeTint="F2"/>
          <w:szCs w:val="24"/>
          <w:lang w:val="ru-RU"/>
        </w:rPr>
      </w:pPr>
      <w:bookmarkStart w:id="164" w:name="lt_pId394"/>
      <w:bookmarkEnd w:id="153"/>
      <w:r w:rsidRPr="00694ACA">
        <w:rPr>
          <w:rFonts w:eastAsiaTheme="minorHAnsi" w:cs="Times New Roman (Body CS)"/>
          <w:b/>
          <w:bCs/>
          <w:color w:val="0D0D0D" w:themeColor="text1" w:themeTint="F2"/>
          <w:szCs w:val="24"/>
          <w:lang w:val="ru-RU"/>
        </w:rPr>
        <w:t>Магистерские программы</w:t>
      </w:r>
      <w:r w:rsidRPr="00694ACA">
        <w:rPr>
          <w:rFonts w:eastAsiaTheme="minorHAnsi" w:cs="Times New Roman (Body CS)"/>
          <w:color w:val="0D0D0D" w:themeColor="text1" w:themeTint="F2"/>
          <w:szCs w:val="24"/>
          <w:lang w:val="ru-RU"/>
        </w:rPr>
        <w:t>. Опросы и интервью показали, что у МСЭ есть определенная потребность в проведении обучения на уровне магистратуры. В данный момент единственная полная магистерская программа под эгидой МСЭ – это магистерская программа в сфере управления связью, разработанная и преподаваемая в Академии электросвязи Соединенного Королевства (UKTA), а также аккредитованная в Университете Руанды</w:t>
      </w:r>
      <w:r w:rsidRPr="00694ACA">
        <w:rPr>
          <w:rStyle w:val="FootnoteReference"/>
          <w:lang w:val="ru-RU"/>
        </w:rPr>
        <w:footnoteReference w:id="45"/>
      </w:r>
      <w:r w:rsidRPr="00694ACA">
        <w:rPr>
          <w:rFonts w:eastAsiaTheme="minorHAnsi" w:cs="Times New Roman (Body CS)"/>
          <w:color w:val="0D0D0D" w:themeColor="text1" w:themeTint="F2"/>
          <w:szCs w:val="24"/>
          <w:lang w:val="ru-RU"/>
        </w:rPr>
        <w:t>. Программа была разработана в середине 2000-х годов и с 2016 года предоставляется Академией МСЭ в онлайновом режиме. Традиционно в программе одновременно участвует около 30 человек, а в 2019 году обучение успешно закончили десять студентов из восьми стран</w:t>
      </w:r>
      <w:r w:rsidRPr="00694ACA">
        <w:rPr>
          <w:rStyle w:val="FootnoteReference"/>
          <w:lang w:val="ru-RU"/>
        </w:rPr>
        <w:footnoteReference w:id="46"/>
      </w:r>
      <w:r w:rsidRPr="00694ACA">
        <w:rPr>
          <w:rFonts w:eastAsiaTheme="minorHAnsi" w:cs="Times New Roman (Body CS)"/>
          <w:color w:val="0D0D0D" w:themeColor="text1" w:themeTint="F2"/>
          <w:szCs w:val="24"/>
          <w:lang w:val="ru-RU"/>
        </w:rPr>
        <w:t>. Африканский высший институт электросвязи (AFRALTI), предлагает эту же онлайновую программу, преподаваемую UKTA и аккредитованную Университетом Руанды, однако МСЭ на веб-сайте AFRALTI в этом контексте не упоминается</w:t>
      </w:r>
      <w:r w:rsidRPr="00694ACA">
        <w:rPr>
          <w:rStyle w:val="FootnoteReference"/>
          <w:lang w:val="ru-RU"/>
        </w:rPr>
        <w:footnoteReference w:id="47"/>
      </w:r>
      <w:r w:rsidRPr="00694ACA">
        <w:rPr>
          <w:rFonts w:eastAsiaTheme="minorHAnsi" w:cs="Times New Roman (Body CS)"/>
          <w:color w:val="0D0D0D" w:themeColor="text1" w:themeTint="F2"/>
          <w:szCs w:val="24"/>
          <w:lang w:val="ru-RU"/>
        </w:rPr>
        <w:t>.</w:t>
      </w:r>
      <w:bookmarkEnd w:id="164"/>
    </w:p>
    <w:p w14:paraId="11EF619C" w14:textId="0320F52A" w:rsidR="001119AF" w:rsidRPr="00694ACA" w:rsidRDefault="001119AF" w:rsidP="002B0D90">
      <w:pPr>
        <w:pStyle w:val="Bulletspoint11"/>
        <w:rPr>
          <w:lang w:val="ru-RU"/>
        </w:rPr>
      </w:pPr>
      <w:bookmarkStart w:id="170" w:name="lt_pId400"/>
      <w:r w:rsidRPr="00694ACA">
        <w:rPr>
          <w:b/>
          <w:bCs/>
          <w:lang w:val="ru-RU"/>
        </w:rPr>
        <w:t>Конференции и симпозиумы</w:t>
      </w:r>
      <w:r w:rsidRPr="00694ACA">
        <w:rPr>
          <w:lang w:val="ru-RU"/>
        </w:rPr>
        <w:t xml:space="preserve">. БР и БСЭ особо подчеркивают важность конференций и симпозиумов в своей деятельности в области развития потенциала и профессиональной подготовки. Хотя можно привести доводы в пользу того, чтобы рассматривать конференции, например "ИИ во благо", как неформальное обучение, БСЭ настаивает на том, что указанные мероприятия носят </w:t>
      </w:r>
      <w:r w:rsidR="001226D4" w:rsidRPr="00694ACA">
        <w:rPr>
          <w:lang w:val="ru-RU"/>
        </w:rPr>
        <w:t>официальн</w:t>
      </w:r>
      <w:r w:rsidRPr="00694ACA">
        <w:rPr>
          <w:lang w:val="ru-RU"/>
        </w:rPr>
        <w:t>ый характер, поскольку издаются циркуляры или другие официальные приглашения МСЭ и эти мероприятия относятся к конкретным пунктам их Плана действий. Точно так же БР считает, что организуемые им симпозиумы</w:t>
      </w:r>
      <w:r w:rsidRPr="00694ACA">
        <w:rPr>
          <w:rStyle w:val="FootnoteReference"/>
          <w:lang w:val="ru-RU"/>
        </w:rPr>
        <w:footnoteReference w:id="48"/>
      </w:r>
      <w:r w:rsidRPr="00694ACA">
        <w:rPr>
          <w:lang w:val="ru-RU"/>
        </w:rPr>
        <w:t>, которые часто проходят одновременно с собраниями исследовательских комиссий, играют очень важную роль в обеспечении развития потенциала членов.</w:t>
      </w:r>
      <w:bookmarkEnd w:id="170"/>
    </w:p>
    <w:p w14:paraId="2780605C" w14:textId="26497F12" w:rsidR="001119AF" w:rsidRPr="00694ACA" w:rsidRDefault="001226D4" w:rsidP="002B0D90">
      <w:pPr>
        <w:pStyle w:val="Bulletspoint11"/>
        <w:rPr>
          <w:lang w:val="ru-RU"/>
        </w:rPr>
      </w:pPr>
      <w:bookmarkStart w:id="172" w:name="lt_pId404"/>
      <w:r w:rsidRPr="00694ACA">
        <w:rPr>
          <w:b/>
          <w:bCs/>
          <w:lang w:val="ru-RU"/>
        </w:rPr>
        <w:t>Официальн</w:t>
      </w:r>
      <w:r w:rsidR="001119AF" w:rsidRPr="00694ACA">
        <w:rPr>
          <w:b/>
          <w:bCs/>
          <w:lang w:val="ru-RU"/>
        </w:rPr>
        <w:t>ое наставничество</w:t>
      </w:r>
      <w:r w:rsidR="001119AF" w:rsidRPr="00694ACA">
        <w:rPr>
          <w:lang w:val="ru-RU"/>
        </w:rPr>
        <w:t xml:space="preserve"> может быть эффективным для развития потенциала на индивидуальном уровне и на уровне группы; его важность возросла среди определенных команд внутри МСЭ, особенно в БСЭ и БР. БСЭ выполняет обязанности по наставничеству в рамках своих исследовательских комиссий, а БР также осуществляет наставничество для председателей и заместителей председателей</w:t>
      </w:r>
      <w:r w:rsidR="001119AF" w:rsidRPr="00694ACA">
        <w:rPr>
          <w:rFonts w:asciiTheme="minorHAnsi" w:eastAsiaTheme="minorEastAsia" w:hAnsiTheme="minorHAnsi" w:cstheme="minorBidi"/>
          <w:color w:val="auto"/>
          <w:sz w:val="22"/>
          <w:lang w:val="ru-RU" w:eastAsia="zh-CN"/>
        </w:rPr>
        <w:t xml:space="preserve"> </w:t>
      </w:r>
      <w:r w:rsidR="001119AF" w:rsidRPr="00694ACA">
        <w:rPr>
          <w:lang w:val="ru-RU"/>
        </w:rPr>
        <w:t xml:space="preserve">конференций. Кроме того, особого внимания заслуживают две другие инициативы в области наставничества: работа, проделанная в БР перед ВКР-19 для поддержки участия женщин в рамках созданной инициативы "Сеть женщин в интересах ВКР-19" </w:t>
      </w:r>
      <w:r w:rsidR="001119AF" w:rsidRPr="00694ACA">
        <w:rPr>
          <w:lang w:val="ru-RU"/>
        </w:rPr>
        <w:lastRenderedPageBreak/>
        <w:t>(NOW4WRC19)</w:t>
      </w:r>
      <w:r w:rsidR="001119AF" w:rsidRPr="00694ACA">
        <w:rPr>
          <w:rStyle w:val="FootnoteReference"/>
          <w:lang w:val="ru-RU"/>
        </w:rPr>
        <w:footnoteReference w:id="49"/>
      </w:r>
      <w:r w:rsidR="001119AF" w:rsidRPr="00694ACA">
        <w:rPr>
          <w:lang w:val="ru-RU"/>
        </w:rPr>
        <w:t xml:space="preserve">, а также наставничество в рамках Программы для МСП Всемирного мероприятия ITU </w:t>
      </w:r>
      <w:proofErr w:type="spellStart"/>
      <w:r w:rsidR="001119AF" w:rsidRPr="00694ACA">
        <w:rPr>
          <w:lang w:val="ru-RU"/>
        </w:rPr>
        <w:t>Telecom</w:t>
      </w:r>
      <w:proofErr w:type="spellEnd"/>
      <w:r w:rsidR="001119AF" w:rsidRPr="00694ACA">
        <w:rPr>
          <w:lang w:val="ru-RU"/>
        </w:rPr>
        <w:t>.</w:t>
      </w:r>
      <w:bookmarkEnd w:id="172"/>
    </w:p>
    <w:p w14:paraId="02FD763A" w14:textId="51153884" w:rsidR="001119AF" w:rsidRPr="00694ACA" w:rsidRDefault="001119AF" w:rsidP="002B0D90">
      <w:pPr>
        <w:pStyle w:val="Bulletspoint11"/>
        <w:rPr>
          <w:rFonts w:eastAsia="Times New Roman" w:cs="Arial"/>
          <w:lang w:val="ru-RU" w:bidi="ne-NP"/>
        </w:rPr>
      </w:pPr>
      <w:bookmarkStart w:id="174" w:name="lt_pId407"/>
      <w:r w:rsidRPr="00694ACA">
        <w:rPr>
          <w:b/>
          <w:bCs/>
          <w:lang w:val="ru-RU"/>
        </w:rPr>
        <w:t>Тесты</w:t>
      </w:r>
      <w:r w:rsidRPr="00694ACA">
        <w:rPr>
          <w:lang w:val="ru-RU"/>
        </w:rPr>
        <w:t xml:space="preserve">. Большая часть </w:t>
      </w:r>
      <w:r w:rsidR="001226D4" w:rsidRPr="00694ACA">
        <w:rPr>
          <w:lang w:val="ru-RU"/>
        </w:rPr>
        <w:t>официальн</w:t>
      </w:r>
      <w:r w:rsidRPr="00694ACA">
        <w:rPr>
          <w:lang w:val="ru-RU"/>
        </w:rPr>
        <w:t>ого оценивания на учебных курсах ЦПМ проводится в форме тестов с вариантами ответов. В некоторых учебных курсах тем не менее используются задания и более сложные типы оценивания. Тесты также используются в МСЭ в других областях для образовательного оценивания, например тест МСЭ-Т по теме "Преодоление разрыва в стандартизации"</w:t>
      </w:r>
      <w:r w:rsidRPr="00694ACA">
        <w:rPr>
          <w:rStyle w:val="FootnoteReference"/>
          <w:lang w:val="ru-RU"/>
        </w:rPr>
        <w:footnoteReference w:id="50"/>
      </w:r>
      <w:r w:rsidRPr="00694ACA">
        <w:rPr>
          <w:lang w:val="ru-RU"/>
        </w:rPr>
        <w:t>.</w:t>
      </w:r>
      <w:bookmarkEnd w:id="174"/>
    </w:p>
    <w:p w14:paraId="50AD4984" w14:textId="68C1BFDE" w:rsidR="001119AF" w:rsidRPr="00694ACA" w:rsidRDefault="001119AF" w:rsidP="002B0D90">
      <w:pPr>
        <w:pStyle w:val="Heading3"/>
        <w:ind w:right="-472"/>
        <w:rPr>
          <w:highlight w:val="lightGray"/>
          <w:lang w:val="ru-RU"/>
        </w:rPr>
      </w:pPr>
      <w:bookmarkStart w:id="176" w:name="_Toc57297370"/>
      <w:bookmarkStart w:id="177" w:name="lt_pId411"/>
      <w:r w:rsidRPr="00694ACA">
        <w:rPr>
          <w:lang w:val="ru-RU"/>
        </w:rPr>
        <w:t>Не</w:t>
      </w:r>
      <w:r w:rsidR="001226D4" w:rsidRPr="00694ACA">
        <w:rPr>
          <w:lang w:val="ru-RU"/>
        </w:rPr>
        <w:t>официальн</w:t>
      </w:r>
      <w:r w:rsidRPr="00694ACA">
        <w:rPr>
          <w:lang w:val="ru-RU"/>
        </w:rPr>
        <w:t>ые виды деятельности в области развития потенциала и профессиональной подготовки</w:t>
      </w:r>
      <w:bookmarkEnd w:id="176"/>
      <w:bookmarkEnd w:id="177"/>
    </w:p>
    <w:p w14:paraId="22EA1A82" w14:textId="4B641BAB" w:rsidR="001119AF" w:rsidRPr="00694ACA" w:rsidRDefault="001119AF" w:rsidP="002B0D90">
      <w:pPr>
        <w:ind w:left="-284" w:right="-472"/>
        <w:rPr>
          <w:highlight w:val="lightGray"/>
          <w:lang w:val="ru-RU"/>
        </w:rPr>
      </w:pPr>
      <w:r w:rsidRPr="00694ACA">
        <w:rPr>
          <w:lang w:val="ru-RU"/>
        </w:rPr>
        <w:t xml:space="preserve">31. </w:t>
      </w:r>
      <w:bookmarkStart w:id="178" w:name="lt_pId413"/>
      <w:r w:rsidRPr="00694ACA">
        <w:rPr>
          <w:lang w:val="ru-RU"/>
        </w:rPr>
        <w:t xml:space="preserve">Помимо </w:t>
      </w:r>
      <w:r w:rsidR="001226D4" w:rsidRPr="00694ACA">
        <w:rPr>
          <w:lang w:val="ru-RU"/>
        </w:rPr>
        <w:t>официальн</w:t>
      </w:r>
      <w:r w:rsidRPr="00694ACA">
        <w:rPr>
          <w:lang w:val="ru-RU"/>
        </w:rPr>
        <w:t>ых мероприятий, перечисленных выше, МСЭ активно ведет не</w:t>
      </w:r>
      <w:r w:rsidR="001226D4" w:rsidRPr="00694ACA">
        <w:rPr>
          <w:lang w:val="ru-RU"/>
        </w:rPr>
        <w:t>официальн</w:t>
      </w:r>
      <w:r w:rsidRPr="00694ACA">
        <w:rPr>
          <w:lang w:val="ru-RU"/>
        </w:rPr>
        <w:t>ую деятельность, которая также способствует развитию институционального и организационного потенциала, а также формированию индивидуальных знаний и представлений</w:t>
      </w:r>
      <w:r w:rsidRPr="00694ACA">
        <w:rPr>
          <w:rStyle w:val="FootnoteReference"/>
          <w:lang w:val="ru-RU"/>
        </w:rPr>
        <w:footnoteReference w:id="51"/>
      </w:r>
      <w:r w:rsidRPr="00694ACA">
        <w:rPr>
          <w:lang w:val="ru-RU"/>
        </w:rPr>
        <w:t xml:space="preserve">. К основным ее видам относятся: </w:t>
      </w:r>
      <w:bookmarkEnd w:id="178"/>
    </w:p>
    <w:p w14:paraId="0A07B7A2" w14:textId="6D45100E" w:rsidR="001119AF" w:rsidRPr="00694ACA" w:rsidRDefault="001119AF" w:rsidP="002B0D90">
      <w:pPr>
        <w:pStyle w:val="Bulletspoint11"/>
        <w:rPr>
          <w:lang w:val="ru-RU"/>
        </w:rPr>
      </w:pPr>
      <w:bookmarkStart w:id="183" w:name="lt_pId415"/>
      <w:r w:rsidRPr="00694ACA">
        <w:rPr>
          <w:b/>
          <w:bCs/>
          <w:lang w:val="ru-RU"/>
        </w:rPr>
        <w:t>Публикации МСЭ</w:t>
      </w:r>
      <w:r w:rsidRPr="00694ACA">
        <w:rPr>
          <w:lang w:val="ru-RU"/>
        </w:rPr>
        <w:t>. Публикации МСЭ вносят значительный вклад в глобальную совокупность знаний в области цифровых технологий и электросвязи. Эту неотъемлемую и важную часть работы МСЭ можно проводить еще более активно в целях развития потенциала и не в последнюю очередь в целях содействия членам в толковании, понимании и использовании регуляторных норм. Бюро МСЭ также делают доступными много других интересных и ценных публикаций в дополнение к официальным ежегодным публикациям, находящимся в соответствующих разделах</w:t>
      </w:r>
      <w:r w:rsidRPr="00694ACA">
        <w:rPr>
          <w:rStyle w:val="FootnoteReference"/>
          <w:lang w:val="ru-RU"/>
        </w:rPr>
        <w:footnoteReference w:id="52"/>
      </w:r>
      <w:r w:rsidRPr="00694ACA">
        <w:rPr>
          <w:lang w:val="ru-RU"/>
        </w:rPr>
        <w:t xml:space="preserve">. Кроме того, издаются два журнала МСЭ: первый ("Открытия ИКТ") – c 2017 года, второй ("Будущие и возникающие технологии") – с 2020 года. Все эти публикации содержат полезные материалы, которые могут быть проработаны и использованы в рамках </w:t>
      </w:r>
      <w:r w:rsidR="001226D4" w:rsidRPr="00694ACA">
        <w:rPr>
          <w:lang w:val="ru-RU"/>
        </w:rPr>
        <w:t>официальн</w:t>
      </w:r>
      <w:r w:rsidRPr="00694ACA">
        <w:rPr>
          <w:lang w:val="ru-RU"/>
        </w:rPr>
        <w:t>ых мероприятий МСЭ в области развития потенциала и профессиональной подготовки.</w:t>
      </w:r>
    </w:p>
    <w:p w14:paraId="651C837D" w14:textId="23C4DBA7" w:rsidR="001119AF" w:rsidRPr="00694ACA" w:rsidRDefault="001119AF" w:rsidP="002B0D90">
      <w:pPr>
        <w:pStyle w:val="Bulletspoint11"/>
        <w:rPr>
          <w:lang w:val="ru-RU"/>
        </w:rPr>
      </w:pPr>
      <w:bookmarkStart w:id="185" w:name="_Toc57297372"/>
      <w:bookmarkStart w:id="186" w:name="lt_pId421"/>
      <w:bookmarkEnd w:id="183"/>
      <w:r w:rsidRPr="00694ACA">
        <w:rPr>
          <w:b/>
          <w:bCs/>
          <w:lang w:val="ru-RU"/>
        </w:rPr>
        <w:t>Участие в собраниях исследовательских комиссий</w:t>
      </w:r>
      <w:r w:rsidRPr="00694ACA">
        <w:rPr>
          <w:lang w:val="ru-RU"/>
        </w:rPr>
        <w:t>. В Секторах МСЭ разное число исследовательских комиссий, и управление их работой осуществляется по-разному. Однако участие в собраниях дает участникам много полезной информации и прекрасную возможность узнать что-то новое</w:t>
      </w:r>
      <w:r w:rsidRPr="00694ACA">
        <w:rPr>
          <w:rStyle w:val="FootnoteReference"/>
          <w:lang w:val="ru-RU"/>
        </w:rPr>
        <w:footnoteReference w:id="53"/>
      </w:r>
      <w:r w:rsidRPr="00694ACA">
        <w:rPr>
          <w:lang w:val="ru-RU"/>
        </w:rPr>
        <w:t>.</w:t>
      </w:r>
      <w:bookmarkStart w:id="188" w:name="_Toc57297373"/>
      <w:bookmarkEnd w:id="185"/>
      <w:bookmarkEnd w:id="186"/>
    </w:p>
    <w:p w14:paraId="11ED30BF" w14:textId="60A7C36D" w:rsidR="001119AF" w:rsidRPr="00694ACA" w:rsidRDefault="001119AF" w:rsidP="002B0D90">
      <w:pPr>
        <w:pStyle w:val="Bulletspoint11"/>
        <w:rPr>
          <w:lang w:val="ru-RU"/>
        </w:rPr>
      </w:pPr>
      <w:bookmarkStart w:id="189" w:name="lt_pId424"/>
      <w:r w:rsidRPr="00694ACA">
        <w:rPr>
          <w:b/>
          <w:bCs/>
          <w:lang w:val="ru-RU"/>
        </w:rPr>
        <w:t>Посещение конференций и собраний</w:t>
      </w:r>
      <w:r w:rsidRPr="00694ACA">
        <w:rPr>
          <w:lang w:val="ru-RU"/>
        </w:rPr>
        <w:t xml:space="preserve">. МСЭ проводит обширную программу международных и региональных конференций и собраний (таких как ежегодный Форум ВВУИО и Всемирное мероприятие ITU </w:t>
      </w:r>
      <w:proofErr w:type="spellStart"/>
      <w:r w:rsidRPr="00694ACA">
        <w:rPr>
          <w:lang w:val="ru-RU"/>
        </w:rPr>
        <w:t>Telecom</w:t>
      </w:r>
      <w:proofErr w:type="spellEnd"/>
      <w:r w:rsidRPr="00694ACA">
        <w:rPr>
          <w:lang w:val="ru-RU"/>
        </w:rPr>
        <w:t xml:space="preserve">), на которых в основном отсутствует </w:t>
      </w:r>
      <w:r w:rsidR="001226D4" w:rsidRPr="00694ACA">
        <w:rPr>
          <w:lang w:val="ru-RU"/>
        </w:rPr>
        <w:t>официальн</w:t>
      </w:r>
      <w:r w:rsidRPr="00694ACA">
        <w:rPr>
          <w:lang w:val="ru-RU"/>
        </w:rPr>
        <w:t>ая программа развития потенциала или профессиональной подготовки. Тем не менее эти мероприятия имеют решающее значение не только в плане общения и вовлечения участников в более широкую "семью" МСЭ, но и в плане предоставления им ценных возможностей обучения.</w:t>
      </w:r>
      <w:bookmarkStart w:id="190" w:name="_Toc57297374"/>
      <w:bookmarkEnd w:id="188"/>
      <w:bookmarkEnd w:id="189"/>
    </w:p>
    <w:p w14:paraId="5373DD29" w14:textId="77777777" w:rsidR="001119AF" w:rsidRPr="00694ACA" w:rsidRDefault="001119AF" w:rsidP="002B0D90">
      <w:pPr>
        <w:pStyle w:val="Heading1"/>
        <w:ind w:right="-472"/>
        <w:rPr>
          <w:highlight w:val="lightGray"/>
          <w:lang w:val="ru-RU"/>
        </w:rPr>
      </w:pPr>
      <w:bookmarkStart w:id="191" w:name="lt_pId427"/>
      <w:bookmarkStart w:id="192" w:name="_Toc61633864"/>
      <w:bookmarkStart w:id="193" w:name="_Toc65251977"/>
      <w:bookmarkStart w:id="194" w:name="_Toc71060742"/>
      <w:bookmarkStart w:id="195" w:name="_Toc57297383"/>
      <w:bookmarkStart w:id="196" w:name="_Toc58244108"/>
      <w:bookmarkStart w:id="197" w:name="_Toc58273430"/>
      <w:bookmarkStart w:id="198" w:name="_Toc58273659"/>
      <w:bookmarkStart w:id="199" w:name="_Toc58275261"/>
      <w:bookmarkStart w:id="200" w:name="_Toc58277302"/>
      <w:bookmarkEnd w:id="79"/>
      <w:bookmarkEnd w:id="80"/>
      <w:bookmarkEnd w:id="81"/>
      <w:bookmarkEnd w:id="82"/>
      <w:bookmarkEnd w:id="83"/>
      <w:bookmarkEnd w:id="84"/>
      <w:bookmarkEnd w:id="190"/>
      <w:r w:rsidRPr="00694ACA">
        <w:rPr>
          <w:lang w:val="ru-RU"/>
        </w:rPr>
        <w:lastRenderedPageBreak/>
        <w:t>Раздел 5: Оценка качества мероприятий МСЭ в области развития потенциала и профессиональной подготовки</w:t>
      </w:r>
      <w:bookmarkEnd w:id="191"/>
      <w:bookmarkEnd w:id="192"/>
      <w:bookmarkEnd w:id="193"/>
      <w:bookmarkEnd w:id="194"/>
    </w:p>
    <w:p w14:paraId="1EF85C91" w14:textId="27ECB130" w:rsidR="001119AF" w:rsidRPr="00694ACA" w:rsidRDefault="001119AF" w:rsidP="002B0D90">
      <w:pPr>
        <w:ind w:left="-284" w:right="-472"/>
        <w:rPr>
          <w:highlight w:val="lightGray"/>
          <w:lang w:val="ru-RU"/>
        </w:rPr>
      </w:pPr>
      <w:r w:rsidRPr="00694ACA">
        <w:rPr>
          <w:lang w:val="ru-RU"/>
        </w:rPr>
        <w:t xml:space="preserve">32. </w:t>
      </w:r>
      <w:bookmarkStart w:id="201" w:name="lt_pId429"/>
      <w:r w:rsidRPr="00694ACA">
        <w:rPr>
          <w:lang w:val="ru-RU"/>
        </w:rPr>
        <w:t xml:space="preserve">В настоящем разделе кратко излагаются шесть основных параметров анализа качества мероприятий МСЭ в области развития потенциала и профессиональной подготовки: уровни, на которые они рассчитаны; качество поставщиков; качество материалов; качество оценки; действующие механизмы обеспечения качества; </w:t>
      </w:r>
      <w:r w:rsidR="00FD36D1" w:rsidRPr="00694ACA">
        <w:rPr>
          <w:lang w:val="ru-RU"/>
        </w:rPr>
        <w:t>а также</w:t>
      </w:r>
      <w:r w:rsidRPr="00694ACA">
        <w:rPr>
          <w:lang w:val="ru-RU"/>
        </w:rPr>
        <w:t xml:space="preserve"> качество конечных результатов развития. В основе большей части настоящего раздела лежит поразительное наблюдение о том, что МСЭ в своих официальных замечаниях и отчетах уделяет больше внимания, как правило, </w:t>
      </w:r>
      <w:r w:rsidRPr="00694ACA">
        <w:rPr>
          <w:i/>
          <w:iCs/>
          <w:lang w:val="ru-RU"/>
        </w:rPr>
        <w:t>количественной оценке</w:t>
      </w:r>
      <w:r w:rsidRPr="00694ACA">
        <w:rPr>
          <w:lang w:val="ru-RU"/>
        </w:rPr>
        <w:t xml:space="preserve"> проводимых им мероприятий в области развития потенциала, а не демонстрации или измерению их </w:t>
      </w:r>
      <w:r w:rsidRPr="00694ACA">
        <w:rPr>
          <w:i/>
          <w:iCs/>
          <w:lang w:val="ru-RU"/>
        </w:rPr>
        <w:t>качества</w:t>
      </w:r>
      <w:r w:rsidRPr="00694ACA">
        <w:rPr>
          <w:lang w:val="ru-RU"/>
        </w:rPr>
        <w:t xml:space="preserve"> и конечных результатов развития.</w:t>
      </w:r>
      <w:bookmarkEnd w:id="201"/>
    </w:p>
    <w:p w14:paraId="3903E504" w14:textId="74228606" w:rsidR="001119AF" w:rsidRPr="00694ACA" w:rsidRDefault="001119AF" w:rsidP="002B0D90">
      <w:pPr>
        <w:ind w:left="-284" w:right="-472"/>
        <w:rPr>
          <w:highlight w:val="lightGray"/>
          <w:lang w:val="ru-RU"/>
        </w:rPr>
      </w:pPr>
      <w:r w:rsidRPr="00694ACA">
        <w:rPr>
          <w:lang w:val="ru-RU"/>
        </w:rPr>
        <w:t xml:space="preserve">33. </w:t>
      </w:r>
      <w:bookmarkStart w:id="202" w:name="lt_pId432"/>
      <w:r w:rsidRPr="00694ACA">
        <w:rPr>
          <w:lang w:val="ru-RU"/>
        </w:rPr>
        <w:t>Тем не менее МСЭ в целом воспринимается пользователями положительно с точки зрения общего качества его услуг в области развития потенциала и профессиональной подготовки</w:t>
      </w:r>
      <w:r w:rsidRPr="00694ACA">
        <w:rPr>
          <w:rStyle w:val="FootnoteReference"/>
          <w:lang w:val="ru-RU"/>
        </w:rPr>
        <w:footnoteReference w:id="54"/>
      </w:r>
      <w:r w:rsidRPr="00694ACA">
        <w:rPr>
          <w:lang w:val="ru-RU"/>
        </w:rPr>
        <w:t xml:space="preserve">. Чуть более 70% участников, 41% председателей и заместителей председателей исследовательских комиссий и 58% членов, принявших участие в обследовании, однозначно согласились с тем, что МСЭ предоставляет высококачественные услуги в области развития потенциала и профессиональной подготовки. Однако </w:t>
      </w:r>
      <w:proofErr w:type="spellStart"/>
      <w:r w:rsidRPr="00694ACA">
        <w:rPr>
          <w:lang w:val="ru-RU"/>
        </w:rPr>
        <w:t>дезагрегирование</w:t>
      </w:r>
      <w:proofErr w:type="spellEnd"/>
      <w:r w:rsidRPr="00694ACA">
        <w:rPr>
          <w:lang w:val="ru-RU"/>
        </w:rPr>
        <w:t xml:space="preserve"> данных и более подробный анализ конкретных аспектов качества (см. ниже), позволяют выявить возможности для улучшения.</w:t>
      </w:r>
      <w:bookmarkEnd w:id="202"/>
    </w:p>
    <w:p w14:paraId="6575A916" w14:textId="43334D31" w:rsidR="001119AF" w:rsidRPr="00694ACA" w:rsidRDefault="001119AF" w:rsidP="002B0D90">
      <w:pPr>
        <w:pStyle w:val="Heading2"/>
        <w:ind w:right="-472"/>
        <w:rPr>
          <w:highlight w:val="lightGray"/>
          <w:lang w:val="ru-RU"/>
        </w:rPr>
      </w:pPr>
      <w:bookmarkStart w:id="204" w:name="_Toc57297377"/>
      <w:bookmarkStart w:id="205" w:name="_Toc58244102"/>
      <w:bookmarkStart w:id="206" w:name="_Toc58273424"/>
      <w:bookmarkStart w:id="207" w:name="_Toc58273653"/>
      <w:bookmarkStart w:id="208" w:name="_Toc58275255"/>
      <w:r w:rsidRPr="00694ACA">
        <w:rPr>
          <w:lang w:val="ru-RU"/>
        </w:rPr>
        <w:t xml:space="preserve">5.1 </w:t>
      </w:r>
      <w:bookmarkStart w:id="209" w:name="lt_pId436"/>
      <w:r w:rsidRPr="00694ACA">
        <w:rPr>
          <w:lang w:val="ru-RU"/>
        </w:rPr>
        <w:t>Уровни, на которые рассчитаны мероприятия МСЭ в области развития потенциала и профессиональной подготовки</w:t>
      </w:r>
      <w:bookmarkEnd w:id="204"/>
      <w:bookmarkEnd w:id="205"/>
      <w:bookmarkEnd w:id="206"/>
      <w:bookmarkEnd w:id="207"/>
      <w:bookmarkEnd w:id="208"/>
      <w:bookmarkEnd w:id="209"/>
    </w:p>
    <w:p w14:paraId="6DE49AA3" w14:textId="1D3E94CC" w:rsidR="001119AF" w:rsidRPr="00694ACA" w:rsidRDefault="001119AF" w:rsidP="002B0D90">
      <w:pPr>
        <w:ind w:left="-284" w:right="-472"/>
        <w:rPr>
          <w:highlight w:val="lightGray"/>
          <w:lang w:val="ru-RU"/>
        </w:rPr>
      </w:pPr>
      <w:r w:rsidRPr="00694ACA">
        <w:rPr>
          <w:lang w:val="ru-RU"/>
        </w:rPr>
        <w:t xml:space="preserve">34. </w:t>
      </w:r>
      <w:bookmarkStart w:id="210" w:name="lt_pId438"/>
      <w:r w:rsidRPr="00694ACA">
        <w:rPr>
          <w:lang w:val="ru-RU"/>
        </w:rPr>
        <w:t xml:space="preserve">В общих чертах, </w:t>
      </w:r>
      <w:proofErr w:type="spellStart"/>
      <w:r w:rsidRPr="00694ACA">
        <w:rPr>
          <w:lang w:val="ru-RU"/>
        </w:rPr>
        <w:t>б</w:t>
      </w:r>
      <w:r w:rsidRPr="00694ACA">
        <w:rPr>
          <w:rFonts w:cstheme="minorHAnsi"/>
          <w:lang w:val="ru-RU"/>
        </w:rPr>
        <w:t>ó</w:t>
      </w:r>
      <w:r w:rsidRPr="00694ACA">
        <w:rPr>
          <w:lang w:val="ru-RU"/>
        </w:rPr>
        <w:t>льшая</w:t>
      </w:r>
      <w:proofErr w:type="spellEnd"/>
      <w:r w:rsidRPr="00694ACA">
        <w:rPr>
          <w:lang w:val="ru-RU"/>
        </w:rPr>
        <w:t xml:space="preserve"> часть обучающих мероприятий, предлагаемых всеми Секторами МСЭ, – мероприятия базового или среднего уровня и лишь некоторые – продвинутого уровня. Мероприятия БР и БСЭ в области развития потенциала главным образом имеют целью знакомство профессионалов с основами использования в своей работе ресурсов, разработанных этими Секторами. Напротив, БРЭ предлагает курсы разного уровня. Есть базовые курсы, представляющие собой общее введение в тему; большинство курсов, предлагаемых ЦПМ, например, являются профессиональными (или академическими) курсами среднего уровня, предназначенными для предоставления слушателям базовых знаний по определенной теме. Обследования в целом показывают общую удовлетворенность качеством обучения, предоставляемого на этих уровнях. Однако удовлетворенность курсами не означает, что они обязательно являются курсами высокого качества для уровня, на котором они преподаются (см. разделы о качестве поставщиков и качестве материалов ниже).</w:t>
      </w:r>
      <w:bookmarkEnd w:id="210"/>
    </w:p>
    <w:p w14:paraId="760D63C3" w14:textId="77777777" w:rsidR="001119AF" w:rsidRPr="00694ACA" w:rsidRDefault="001119AF" w:rsidP="002B0D90">
      <w:pPr>
        <w:pStyle w:val="Heading2"/>
        <w:ind w:right="-472"/>
        <w:rPr>
          <w:highlight w:val="lightGray"/>
          <w:lang w:val="ru-RU"/>
        </w:rPr>
      </w:pPr>
      <w:bookmarkStart w:id="211" w:name="_Toc57297378"/>
      <w:bookmarkStart w:id="212" w:name="_Toc58244103"/>
      <w:bookmarkStart w:id="213" w:name="_Toc58273425"/>
      <w:bookmarkStart w:id="214" w:name="_Toc58273654"/>
      <w:bookmarkStart w:id="215" w:name="_Toc58275256"/>
      <w:r w:rsidRPr="00694ACA">
        <w:rPr>
          <w:lang w:val="ru-RU"/>
        </w:rPr>
        <w:t xml:space="preserve">5.2 </w:t>
      </w:r>
      <w:bookmarkStart w:id="216" w:name="lt_pId445"/>
      <w:r w:rsidRPr="00694ACA">
        <w:rPr>
          <w:lang w:val="ru-RU"/>
        </w:rPr>
        <w:t>Качество внешних поставщиков</w:t>
      </w:r>
      <w:bookmarkEnd w:id="211"/>
      <w:bookmarkEnd w:id="212"/>
      <w:bookmarkEnd w:id="213"/>
      <w:bookmarkEnd w:id="214"/>
      <w:bookmarkEnd w:id="215"/>
      <w:bookmarkEnd w:id="216"/>
    </w:p>
    <w:p w14:paraId="7AB9161D" w14:textId="222537AE" w:rsidR="001119AF" w:rsidRPr="00694ACA" w:rsidRDefault="001119AF" w:rsidP="002B0D90">
      <w:pPr>
        <w:ind w:left="-284" w:right="-472"/>
        <w:rPr>
          <w:szCs w:val="18"/>
          <w:highlight w:val="lightGray"/>
          <w:lang w:val="ru-RU"/>
        </w:rPr>
      </w:pPr>
      <w:r w:rsidRPr="00694ACA">
        <w:rPr>
          <w:lang w:val="ru-RU"/>
        </w:rPr>
        <w:t xml:space="preserve">35. </w:t>
      </w:r>
      <w:bookmarkStart w:id="217" w:name="lt_pId447"/>
      <w:r w:rsidRPr="00694ACA">
        <w:rPr>
          <w:lang w:val="ru-RU"/>
        </w:rPr>
        <w:t>Основная часть мероприятий в области развития потенциала и профессиональной подготовки, проводимых БРЭ, разрабатывается и проводится внешними "экспертами" и консультантами, компаниями по профессиональной подготовке либо университетами. В связи с этим для оценки их качества решающее значение имеют процедуры их отбора, и в МСЭ действуют достаточно строгие процедуры отбора таких поставщиков</w:t>
      </w:r>
      <w:r w:rsidRPr="00694ACA">
        <w:rPr>
          <w:rStyle w:val="FootnoteReference"/>
          <w:lang w:val="ru-RU"/>
        </w:rPr>
        <w:footnoteReference w:id="55"/>
      </w:r>
      <w:r w:rsidRPr="00694ACA">
        <w:rPr>
          <w:lang w:val="ru-RU"/>
        </w:rPr>
        <w:t xml:space="preserve">. Отбор ЦПМ также проводится в соответствии с комплексной процедурой подачи заявок, которая включает тщательную проверку персоналом МСЭ в региональных отделениях и в штаб-квартире. Однако схема отбора ЦПМ (максимум шесть на регион) ведет к значительным различиям в качестве поставщиков в зависимости от региона. Кроме того, при проведении обзора у нас была возможность проверять качество только полученных заявок. Безусловно, в низкорейтинговых университетах могут быть отличные кафедры и выдающиеся преподаватели, и есть разумные </w:t>
      </w:r>
      <w:r w:rsidRPr="00694ACA">
        <w:rPr>
          <w:lang w:val="ru-RU"/>
        </w:rPr>
        <w:lastRenderedPageBreak/>
        <w:t>основания для открытия ЦПМ по всему миру</w:t>
      </w:r>
      <w:r w:rsidRPr="00694ACA">
        <w:rPr>
          <w:rStyle w:val="FootnoteReference"/>
          <w:lang w:val="ru-RU"/>
        </w:rPr>
        <w:footnoteReference w:id="56"/>
      </w:r>
      <w:r w:rsidRPr="00694ACA">
        <w:rPr>
          <w:lang w:val="ru-RU"/>
        </w:rPr>
        <w:t>. Тем не менее поразительно, что мало академических ЦПМ расположены во всемирно известных университетах или университетах с высоким рейтингом.</w:t>
      </w:r>
      <w:bookmarkEnd w:id="217"/>
    </w:p>
    <w:p w14:paraId="2992547E" w14:textId="77777777" w:rsidR="001119AF" w:rsidRPr="00694ACA" w:rsidRDefault="001119AF" w:rsidP="002B0D90">
      <w:pPr>
        <w:pStyle w:val="Heading2"/>
        <w:ind w:right="-472"/>
        <w:rPr>
          <w:sz w:val="21"/>
          <w:szCs w:val="21"/>
          <w:highlight w:val="lightGray"/>
          <w:lang w:val="ru-RU"/>
        </w:rPr>
      </w:pPr>
      <w:bookmarkStart w:id="221" w:name="_Toc57297379"/>
      <w:bookmarkStart w:id="222" w:name="_Toc58244104"/>
      <w:bookmarkStart w:id="223" w:name="_Toc58273426"/>
      <w:bookmarkStart w:id="224" w:name="_Toc58273655"/>
      <w:bookmarkStart w:id="225" w:name="_Toc58275257"/>
      <w:r w:rsidRPr="00694ACA">
        <w:rPr>
          <w:lang w:val="ru-RU"/>
        </w:rPr>
        <w:t xml:space="preserve">5.3 </w:t>
      </w:r>
      <w:bookmarkStart w:id="226" w:name="lt_pId455"/>
      <w:r w:rsidRPr="00694ACA">
        <w:rPr>
          <w:lang w:val="ru-RU"/>
        </w:rPr>
        <w:t>Качество материалов МСЭ по развитию потенциала и профессиональной подготовке</w:t>
      </w:r>
      <w:bookmarkEnd w:id="221"/>
      <w:bookmarkEnd w:id="222"/>
      <w:bookmarkEnd w:id="223"/>
      <w:bookmarkEnd w:id="224"/>
      <w:bookmarkEnd w:id="225"/>
      <w:bookmarkEnd w:id="226"/>
    </w:p>
    <w:p w14:paraId="6DC02649" w14:textId="69B7D9BE" w:rsidR="001119AF" w:rsidRDefault="001119AF" w:rsidP="002B0D90">
      <w:pPr>
        <w:ind w:left="-284" w:right="-472"/>
        <w:rPr>
          <w:lang w:val="ru-RU"/>
        </w:rPr>
      </w:pPr>
      <w:r w:rsidRPr="00694ACA">
        <w:rPr>
          <w:lang w:val="ru-RU"/>
        </w:rPr>
        <w:t xml:space="preserve">36. </w:t>
      </w:r>
      <w:bookmarkStart w:id="227" w:name="lt_pId457"/>
      <w:r w:rsidRPr="00694ACA">
        <w:rPr>
          <w:lang w:val="ru-RU"/>
        </w:rPr>
        <w:t>МСЭ выпускает широчайший спектр разнообразных материалов по развитию потенциала и профессиональной подготовке под своим "зонтичным" брендом для множества различных типов профессиональной подготовки, кратко описанных выше. Обычно считается, что они хорошего качества, хотя есть некоторая вариативность, что неудивительно. Уровень положительных комментариев участников о последних мероприятиях всех трех Секторов в области развития потенциала отображает тот факт, что материалы удовлетворяют потребности участников.</w:t>
      </w:r>
      <w:bookmarkEnd w:id="227"/>
    </w:p>
    <w:p w14:paraId="7F89A76A" w14:textId="77777777" w:rsidR="001119AF" w:rsidRPr="00694ACA" w:rsidRDefault="001119AF" w:rsidP="002B0D90">
      <w:pPr>
        <w:ind w:left="-284" w:right="-472"/>
        <w:rPr>
          <w:highlight w:val="lightGray"/>
          <w:lang w:val="ru-RU"/>
        </w:rPr>
      </w:pPr>
      <w:r w:rsidRPr="00694ACA">
        <w:rPr>
          <w:lang w:val="ru-RU"/>
        </w:rPr>
        <w:t xml:space="preserve">37. </w:t>
      </w:r>
      <w:bookmarkStart w:id="228" w:name="lt_pId461"/>
      <w:r w:rsidRPr="00694ACA">
        <w:rPr>
          <w:lang w:val="ru-RU"/>
        </w:rPr>
        <w:t xml:space="preserve">Содержание четырех программ МСЭ (SMTP, </w:t>
      </w:r>
      <w:proofErr w:type="spellStart"/>
      <w:r w:rsidRPr="00694ACA">
        <w:rPr>
          <w:lang w:val="ru-RU"/>
        </w:rPr>
        <w:t>QoSTP</w:t>
      </w:r>
      <w:proofErr w:type="spellEnd"/>
      <w:r w:rsidRPr="00694ACA">
        <w:rPr>
          <w:lang w:val="ru-RU"/>
        </w:rPr>
        <w:t xml:space="preserve">, </w:t>
      </w:r>
      <w:proofErr w:type="spellStart"/>
      <w:r w:rsidRPr="00694ACA">
        <w:rPr>
          <w:lang w:val="ru-RU"/>
        </w:rPr>
        <w:t>IoT</w:t>
      </w:r>
      <w:proofErr w:type="spellEnd"/>
      <w:r w:rsidRPr="00694ACA">
        <w:rPr>
          <w:lang w:val="ru-RU"/>
        </w:rPr>
        <w:t xml:space="preserve"> TP и CCTP) было разработано людьми, которых МСЭ считает экспертами; экспертная оценка программ проводится персоналом МСЭ и внешними рецензентами. Эти программы были разработаны с соблюдением четкой структуры, предусматривающей разработку содержания модулей согласно указаниям с уделением пристального внимания деталям</w:t>
      </w:r>
      <w:r w:rsidRPr="00694ACA">
        <w:rPr>
          <w:rStyle w:val="FootnoteReference"/>
          <w:lang w:val="ru-RU"/>
        </w:rPr>
        <w:footnoteReference w:id="57"/>
      </w:r>
      <w:r w:rsidRPr="00694ACA">
        <w:rPr>
          <w:lang w:val="ru-RU"/>
        </w:rPr>
        <w:t>, проведение экспертной оценки</w:t>
      </w:r>
      <w:r w:rsidRPr="00694ACA">
        <w:rPr>
          <w:rStyle w:val="FootnoteReference"/>
          <w:lang w:val="ru-RU"/>
        </w:rPr>
        <w:footnoteReference w:id="58"/>
      </w:r>
      <w:r w:rsidRPr="00694ACA">
        <w:rPr>
          <w:lang w:val="ru-RU"/>
        </w:rPr>
        <w:t>, утверждение содержания</w:t>
      </w:r>
      <w:r w:rsidRPr="00694ACA">
        <w:rPr>
          <w:rStyle w:val="FootnoteReference"/>
          <w:lang w:val="ru-RU"/>
        </w:rPr>
        <w:footnoteReference w:id="59"/>
      </w:r>
      <w:r w:rsidRPr="00694ACA">
        <w:rPr>
          <w:lang w:val="ru-RU"/>
        </w:rPr>
        <w:t>, отработку программы и ее проведение</w:t>
      </w:r>
      <w:r w:rsidRPr="00694ACA">
        <w:rPr>
          <w:rStyle w:val="FootnoteReference"/>
          <w:lang w:val="ru-RU"/>
        </w:rPr>
        <w:footnoteReference w:id="60"/>
      </w:r>
      <w:r w:rsidRPr="00694ACA">
        <w:rPr>
          <w:lang w:val="ru-RU"/>
        </w:rPr>
        <w:t>. При разработке этих программ уделялось внимание качеству и уровню материалов, чтобы обеспечить соответствие ожиданиям опытных сотрудников и членов МСЭ</w:t>
      </w:r>
      <w:r w:rsidRPr="00694ACA">
        <w:rPr>
          <w:rStyle w:val="FootnoteReference"/>
          <w:lang w:val="ru-RU"/>
        </w:rPr>
        <w:footnoteReference w:id="61"/>
      </w:r>
      <w:r w:rsidRPr="00694ACA">
        <w:rPr>
          <w:lang w:val="ru-RU"/>
        </w:rPr>
        <w:t>.</w:t>
      </w:r>
      <w:bookmarkEnd w:id="228"/>
    </w:p>
    <w:p w14:paraId="5EE89919" w14:textId="77777777" w:rsidR="001119AF" w:rsidRPr="00694ACA" w:rsidRDefault="001119AF" w:rsidP="002B0D90">
      <w:pPr>
        <w:pStyle w:val="Heading2"/>
        <w:ind w:right="-472"/>
        <w:rPr>
          <w:highlight w:val="lightGray"/>
          <w:lang w:val="ru-RU"/>
        </w:rPr>
      </w:pPr>
      <w:bookmarkStart w:id="234" w:name="_Toc57297380"/>
      <w:bookmarkStart w:id="235" w:name="_Toc58244105"/>
      <w:bookmarkStart w:id="236" w:name="_Toc58273427"/>
      <w:bookmarkStart w:id="237" w:name="_Toc58273656"/>
      <w:bookmarkStart w:id="238" w:name="_Toc58275258"/>
      <w:r w:rsidRPr="00694ACA">
        <w:rPr>
          <w:lang w:val="ru-RU"/>
        </w:rPr>
        <w:t xml:space="preserve">5.4 </w:t>
      </w:r>
      <w:bookmarkStart w:id="239" w:name="lt_pId465"/>
      <w:r w:rsidRPr="00694ACA">
        <w:rPr>
          <w:lang w:val="ru-RU"/>
        </w:rPr>
        <w:t>Качество оценки</w:t>
      </w:r>
      <w:bookmarkEnd w:id="234"/>
      <w:bookmarkEnd w:id="235"/>
      <w:bookmarkEnd w:id="236"/>
      <w:bookmarkEnd w:id="237"/>
      <w:bookmarkEnd w:id="238"/>
      <w:bookmarkEnd w:id="239"/>
    </w:p>
    <w:p w14:paraId="1C463D35" w14:textId="205B7F05" w:rsidR="001119AF" w:rsidRPr="00694ACA" w:rsidRDefault="001119AF" w:rsidP="002B0D90">
      <w:pPr>
        <w:ind w:left="-284" w:right="-472"/>
        <w:rPr>
          <w:highlight w:val="lightGray"/>
          <w:lang w:val="ru-RU"/>
        </w:rPr>
      </w:pPr>
      <w:r w:rsidRPr="00694ACA">
        <w:rPr>
          <w:lang w:val="ru-RU"/>
        </w:rPr>
        <w:t xml:space="preserve">38. </w:t>
      </w:r>
      <w:bookmarkStart w:id="240" w:name="lt_pId467"/>
      <w:r w:rsidRPr="00694ACA">
        <w:rPr>
          <w:lang w:val="ru-RU"/>
        </w:rPr>
        <w:t>В последние годы CSD (как и существовавше</w:t>
      </w:r>
      <w:r w:rsidR="00B1190F" w:rsidRPr="00694ACA">
        <w:rPr>
          <w:lang w:val="ru-RU"/>
        </w:rPr>
        <w:t>е</w:t>
      </w:r>
      <w:r w:rsidRPr="00694ACA">
        <w:rPr>
          <w:lang w:val="ru-RU"/>
        </w:rPr>
        <w:t xml:space="preserve"> до него подразделение HCB</w:t>
      </w:r>
      <w:r w:rsidR="00B1190F" w:rsidRPr="00694ACA">
        <w:rPr>
          <w:lang w:val="ru-RU"/>
        </w:rPr>
        <w:t>D</w:t>
      </w:r>
      <w:r w:rsidRPr="00694ACA">
        <w:rPr>
          <w:lang w:val="ru-RU"/>
        </w:rPr>
        <w:t>) в составе БРЭ справедливо обеспокоен вопросом взаимосвязи между сертификацией и оценкой. В прошлом МСЭ часто выдавал дипломы тем, кто посещал его семинары-практикумы и мероприятия. Однако есть мнение, что сертификаты должны выдаваться только тем, кто посещал учебные курсы и приобрел на них определенный уровень знаний, подтвержденный с использованием какой-либо формы оценивания. Теперь, чтобы получить сертификат, все слушатели курсов Академии МСЭ, особенно курсов ЦПМ, должны сдавать тест, результаты которого затем должны быть утверждены руководителями курсов. Такой подход следует приветствовать, однако также необходимо отметить, что оценивание может проводиться на совершенно различных уровнях и многие поставщики образовательных услуг заинтересованы в обеспечении высокого уровня успеваемости учащихся</w:t>
      </w:r>
      <w:r w:rsidRPr="00694ACA">
        <w:rPr>
          <w:rStyle w:val="FootnoteReference"/>
          <w:lang w:val="ru-RU"/>
        </w:rPr>
        <w:footnoteReference w:id="62"/>
      </w:r>
      <w:r w:rsidRPr="00694ACA">
        <w:rPr>
          <w:lang w:val="ru-RU"/>
        </w:rPr>
        <w:t>. В качестве методов оценивания в онлайновом режиме часто используются довольно простые вопросы с вариантами ответов (тесты и викторины); иногда курсы включают альтернативные методы оценивания. В целом, по мнению участников, в курсах, проводимых в онлайновом режиме на платформе Академии МСЭ, тесты и викторины использовались эффективно.</w:t>
      </w:r>
      <w:bookmarkEnd w:id="240"/>
    </w:p>
    <w:p w14:paraId="4DA6EE06" w14:textId="77777777" w:rsidR="001119AF" w:rsidRPr="00694ACA" w:rsidRDefault="001119AF" w:rsidP="002B0D90">
      <w:pPr>
        <w:pStyle w:val="Heading2"/>
        <w:ind w:right="-472"/>
        <w:rPr>
          <w:highlight w:val="lightGray"/>
          <w:lang w:val="ru-RU"/>
        </w:rPr>
      </w:pPr>
      <w:bookmarkStart w:id="242" w:name="_Toc57297381"/>
      <w:bookmarkStart w:id="243" w:name="_Toc58244106"/>
      <w:bookmarkStart w:id="244" w:name="_Toc58273428"/>
      <w:bookmarkStart w:id="245" w:name="_Toc58273657"/>
      <w:bookmarkStart w:id="246" w:name="_Toc58275259"/>
      <w:r w:rsidRPr="00694ACA">
        <w:rPr>
          <w:lang w:val="ru-RU"/>
        </w:rPr>
        <w:t xml:space="preserve">5.5 </w:t>
      </w:r>
      <w:bookmarkStart w:id="247" w:name="lt_pId475"/>
      <w:r w:rsidRPr="00694ACA">
        <w:rPr>
          <w:lang w:val="ru-RU"/>
        </w:rPr>
        <w:t>Механизмы обеспечения качества</w:t>
      </w:r>
      <w:bookmarkEnd w:id="242"/>
      <w:bookmarkEnd w:id="243"/>
      <w:bookmarkEnd w:id="244"/>
      <w:bookmarkEnd w:id="245"/>
      <w:bookmarkEnd w:id="246"/>
      <w:bookmarkEnd w:id="247"/>
    </w:p>
    <w:p w14:paraId="180638DE" w14:textId="6B0ECAA6" w:rsidR="001119AF" w:rsidRPr="00694ACA" w:rsidRDefault="001119AF" w:rsidP="002B0D90">
      <w:pPr>
        <w:ind w:left="-284" w:right="-472"/>
        <w:rPr>
          <w:rFonts w:ascii="Lato Light" w:eastAsia="Lato Light" w:hAnsi="Lato Light" w:cs="Lato Light"/>
          <w:szCs w:val="36"/>
          <w:highlight w:val="lightGray"/>
          <w:lang w:val="ru-RU"/>
        </w:rPr>
      </w:pPr>
      <w:r w:rsidRPr="00694ACA">
        <w:rPr>
          <w:lang w:val="ru-RU"/>
        </w:rPr>
        <w:t xml:space="preserve">39. </w:t>
      </w:r>
      <w:bookmarkStart w:id="248" w:name="lt_pId477"/>
      <w:r w:rsidRPr="00694ACA">
        <w:rPr>
          <w:lang w:val="ru-RU"/>
        </w:rPr>
        <w:t xml:space="preserve">Один из основных выводов настоящего обзора заключается в том, что механизмы обеспечения качества являются недостаточно строгими и системными и не позволяют директорам быть уверенными в качестве мероприятий в области развития потенциала и профессиональной подготовки, проводимых в их Секторах, – </w:t>
      </w:r>
      <w:r w:rsidR="00B1190F" w:rsidRPr="00694ACA">
        <w:rPr>
          <w:lang w:val="ru-RU"/>
        </w:rPr>
        <w:t>как</w:t>
      </w:r>
      <w:r w:rsidRPr="00694ACA">
        <w:rPr>
          <w:lang w:val="ru-RU"/>
        </w:rPr>
        <w:t xml:space="preserve"> мероприятий, проводимых персоналом МСЭ, </w:t>
      </w:r>
      <w:r w:rsidR="00B1190F" w:rsidRPr="00694ACA">
        <w:rPr>
          <w:lang w:val="ru-RU"/>
        </w:rPr>
        <w:t>так и</w:t>
      </w:r>
      <w:r w:rsidRPr="00694ACA">
        <w:rPr>
          <w:lang w:val="ru-RU"/>
        </w:rPr>
        <w:t xml:space="preserve"> мероприятий, проводимых при поддержке МСЭ. Регулярные отчеты, в том числе отчеты для ВКРЭ, АР и ВАСЭ, содержат информацию о количестве определенных мероприятий Бюро в области развития потенциала и профессиональной подготовки, однако информации о качестве крайне мало. Проведение сотен курсов не обязательно означает, что большое количество людей узнали что-то ценное или что это </w:t>
      </w:r>
      <w:r w:rsidRPr="00694ACA">
        <w:rPr>
          <w:lang w:val="ru-RU"/>
        </w:rPr>
        <w:lastRenderedPageBreak/>
        <w:t>принесло определенные конечные результаты в области развития. Применяются некоторые принципы обеспечения качества, но они недостаточно строги и детальны, они не всегда соблюдаются теми, кто проводит обучение, и для их эффективного внедрения не хватает персонала.</w:t>
      </w:r>
      <w:bookmarkEnd w:id="248"/>
      <w:r w:rsidR="00A579EF">
        <w:rPr>
          <w:highlight w:val="lightGray"/>
          <w:lang w:val="ru-RU"/>
        </w:rPr>
        <w:t xml:space="preserve"> </w:t>
      </w:r>
    </w:p>
    <w:p w14:paraId="41C06A93" w14:textId="77777777" w:rsidR="001119AF" w:rsidRPr="00694ACA" w:rsidRDefault="001119AF" w:rsidP="002B0D90">
      <w:pPr>
        <w:pStyle w:val="Heading3"/>
        <w:ind w:right="-472"/>
        <w:rPr>
          <w:highlight w:val="lightGray"/>
          <w:lang w:val="ru-RU"/>
        </w:rPr>
      </w:pPr>
      <w:bookmarkStart w:id="249" w:name="lt_pId481"/>
      <w:r w:rsidRPr="00694ACA">
        <w:rPr>
          <w:lang w:val="ru-RU"/>
        </w:rPr>
        <w:t>Подбор экспертов и поставщиков семинаров-практикумов и курсов</w:t>
      </w:r>
      <w:bookmarkEnd w:id="249"/>
    </w:p>
    <w:p w14:paraId="0DC55FA6" w14:textId="77777777" w:rsidR="001119AF" w:rsidRPr="00694ACA" w:rsidRDefault="001119AF" w:rsidP="002B0D90">
      <w:pPr>
        <w:ind w:left="-284" w:right="-472"/>
        <w:rPr>
          <w:highlight w:val="lightGray"/>
          <w:lang w:val="ru-RU"/>
        </w:rPr>
      </w:pPr>
      <w:r w:rsidRPr="00694ACA">
        <w:rPr>
          <w:lang w:val="ru-RU"/>
        </w:rPr>
        <w:t xml:space="preserve">40. </w:t>
      </w:r>
      <w:bookmarkStart w:id="250" w:name="lt_pId483"/>
      <w:r w:rsidRPr="00694ACA">
        <w:rPr>
          <w:lang w:val="ru-RU"/>
        </w:rPr>
        <w:t xml:space="preserve">Контроль качества, осуществляемый МСЭ, в значительной степени основан на первоначальном отборе тех, кто готовит проекты и проводит разработку семинаров-практикумов, курсов и программ Союза. В МСЭ твердо убеждены, что отбор "экспертов" гарантирует качество и, если эксперт будет найден, конечный продукт будет высокого качества. Для отбора экспертов используются базовые механизмы контроля качества, но можно сделать больше, чтобы привлечь для такой работы наиболее квалифицированных специалистов (см. также п. 54). </w:t>
      </w:r>
      <w:bookmarkEnd w:id="250"/>
    </w:p>
    <w:p w14:paraId="67F31967" w14:textId="77777777" w:rsidR="001119AF" w:rsidRPr="00694ACA" w:rsidRDefault="001119AF" w:rsidP="002B0D90">
      <w:pPr>
        <w:pStyle w:val="Heading3"/>
        <w:ind w:right="-472"/>
        <w:rPr>
          <w:highlight w:val="lightGray"/>
          <w:lang w:val="ru-RU"/>
        </w:rPr>
      </w:pPr>
      <w:bookmarkStart w:id="251" w:name="lt_pId486"/>
      <w:r w:rsidRPr="00694ACA">
        <w:rPr>
          <w:lang w:val="ru-RU"/>
        </w:rPr>
        <w:t>Подготовка проектов курсов</w:t>
      </w:r>
      <w:bookmarkEnd w:id="251"/>
    </w:p>
    <w:p w14:paraId="742263CC" w14:textId="77777777" w:rsidR="001119AF" w:rsidRPr="00694ACA" w:rsidRDefault="001119AF" w:rsidP="002B0D90">
      <w:pPr>
        <w:ind w:left="-284" w:right="-472"/>
        <w:rPr>
          <w:lang w:val="ru-RU"/>
        </w:rPr>
      </w:pPr>
      <w:r w:rsidRPr="00694ACA">
        <w:rPr>
          <w:lang w:val="ru-RU"/>
        </w:rPr>
        <w:t xml:space="preserve">41. </w:t>
      </w:r>
      <w:bookmarkStart w:id="252" w:name="lt_pId488"/>
      <w:r w:rsidRPr="00694ACA">
        <w:rPr>
          <w:lang w:val="ru-RU"/>
        </w:rPr>
        <w:t>Имеются внутренние руководства МСЭ по грамотной подготовке проектов курсов – руководящие указания как для сети ЦПМ, так и для четырех программ профессиональной подготовки БРЭ</w:t>
      </w:r>
      <w:r w:rsidRPr="00694ACA">
        <w:rPr>
          <w:rStyle w:val="FootnoteReference"/>
          <w:lang w:val="ru-RU"/>
        </w:rPr>
        <w:footnoteReference w:id="63"/>
      </w:r>
      <w:r w:rsidRPr="00694ACA">
        <w:rPr>
          <w:lang w:val="ru-RU"/>
        </w:rPr>
        <w:t>. Для ЦПМ предусмотрены официальные рабочие процедуры, которые охватывают большинство аспектов их работы. Однако в случае с проводимыми курсами эти центры часто полагаются в основном на свои головные организации и их внутренние механизмы обеспечения качества. Другие поставщики услуг в области развития потенциала и профессиональной подготовки в МСЭ также обращаются за указаниями и советами по разработке курсов к сотрудникам CSD. Но в МСЭ по-прежнему отсутствуют все строгие механизмы контроля качества, которые есть в других хорошо зарекомендовавших себя учреждениях ООН с давними традициями развития потенциала и профессиональной подготовки, не в последнюю очередь в ЮНИТАР</w:t>
      </w:r>
      <w:r w:rsidRPr="00694ACA">
        <w:rPr>
          <w:rStyle w:val="FootnoteReference"/>
          <w:lang w:val="ru-RU"/>
        </w:rPr>
        <w:footnoteReference w:id="64"/>
      </w:r>
      <w:r w:rsidRPr="00694ACA">
        <w:rPr>
          <w:lang w:val="ru-RU"/>
        </w:rPr>
        <w:t xml:space="preserve">; в МСЭ отсутствуют и хорошо отработанные практики других отличных поставщиков таких услуг, например </w:t>
      </w:r>
      <w:proofErr w:type="spellStart"/>
      <w:r w:rsidRPr="00694ACA">
        <w:rPr>
          <w:lang w:val="ru-RU"/>
        </w:rPr>
        <w:t>Diplo</w:t>
      </w:r>
      <w:proofErr w:type="spellEnd"/>
      <w:r w:rsidRPr="00694ACA">
        <w:rPr>
          <w:lang w:val="ru-RU"/>
        </w:rPr>
        <w:t>.</w:t>
      </w:r>
      <w:bookmarkEnd w:id="252"/>
    </w:p>
    <w:p w14:paraId="665B9214" w14:textId="77777777" w:rsidR="001119AF" w:rsidRPr="00694ACA" w:rsidRDefault="001119AF" w:rsidP="002B0D90">
      <w:pPr>
        <w:pStyle w:val="Heading3"/>
        <w:ind w:right="-472"/>
        <w:rPr>
          <w:highlight w:val="lightGray"/>
          <w:lang w:val="ru-RU"/>
        </w:rPr>
      </w:pPr>
      <w:bookmarkStart w:id="255" w:name="lt_pId493"/>
      <w:r w:rsidRPr="00694ACA">
        <w:rPr>
          <w:lang w:val="ru-RU"/>
        </w:rPr>
        <w:t>Проведение мероприятий в области развития потенциала и профессиональной подготовки</w:t>
      </w:r>
      <w:bookmarkEnd w:id="255"/>
    </w:p>
    <w:p w14:paraId="61FFE49A" w14:textId="77777777" w:rsidR="001119AF" w:rsidRPr="00694ACA" w:rsidRDefault="001119AF" w:rsidP="002B0D90">
      <w:pPr>
        <w:ind w:left="-284" w:right="-472"/>
        <w:rPr>
          <w:highlight w:val="lightGray"/>
          <w:lang w:val="ru-RU"/>
        </w:rPr>
      </w:pPr>
      <w:r w:rsidRPr="00694ACA">
        <w:rPr>
          <w:lang w:val="ru-RU"/>
        </w:rPr>
        <w:t xml:space="preserve">42. Было найдено мало свидетельств использования процедур обеспечения качества проводимых курсов, за исключением форм обратной связи, заполняемых участниками. Многие курсы и мероприятия проводятся для групп, но не было обнаружено свидетельств применения передовой практики, такой как проведение обзорных собраний групп или использование механизмов, с помощью которых члены групп могли бы регулярно предоставлять друг другу обратную связь о проходящих курсах. В то же время одни из самых высоких положительных оценок в обследованиях участники давали качеству работы координаторов обучения или наставников. </w:t>
      </w:r>
    </w:p>
    <w:p w14:paraId="30F1D1E5" w14:textId="77777777" w:rsidR="001119AF" w:rsidRPr="00694ACA" w:rsidRDefault="001119AF" w:rsidP="002B0D90">
      <w:pPr>
        <w:pStyle w:val="Heading3"/>
        <w:ind w:right="-472"/>
        <w:rPr>
          <w:highlight w:val="lightGray"/>
          <w:lang w:val="ru-RU" w:bidi="ne-NP"/>
        </w:rPr>
      </w:pPr>
      <w:bookmarkStart w:id="256" w:name="lt_pId498"/>
      <w:r w:rsidRPr="00694ACA">
        <w:rPr>
          <w:lang w:val="ru-RU" w:bidi="ne-NP"/>
        </w:rPr>
        <w:t>Формы обратной связи</w:t>
      </w:r>
      <w:bookmarkEnd w:id="256"/>
    </w:p>
    <w:p w14:paraId="480E11E3" w14:textId="77777777" w:rsidR="001119AF" w:rsidRPr="00694ACA" w:rsidRDefault="001119AF" w:rsidP="002B0D90">
      <w:pPr>
        <w:ind w:left="-284" w:right="-472"/>
        <w:rPr>
          <w:rFonts w:eastAsia="Times New Roman" w:cs="Arial"/>
          <w:highlight w:val="lightGray"/>
          <w:lang w:val="ru-RU" w:bidi="ne-NP"/>
        </w:rPr>
      </w:pPr>
      <w:r w:rsidRPr="00694ACA">
        <w:rPr>
          <w:rFonts w:eastAsia="Times New Roman" w:cs="Arial"/>
          <w:lang w:val="ru-RU" w:bidi="ne-NP"/>
        </w:rPr>
        <w:t xml:space="preserve">43. </w:t>
      </w:r>
      <w:bookmarkStart w:id="257" w:name="lt_pId500"/>
      <w:r w:rsidRPr="00694ACA">
        <w:rPr>
          <w:rFonts w:eastAsia="Times New Roman" w:cs="Arial"/>
          <w:lang w:val="ru-RU" w:bidi="ne-NP"/>
        </w:rPr>
        <w:t xml:space="preserve">Все участники курсов Академии МСЭ, по окончании которых выдаются сертификаты, должны заполнить официальную форму обратной связи о своем опыте прохождения курсов, а руководители курсов должны представлять официальный отчет о своей деятельности по итогам года. Эти формы обратной связи, однако, сосредоточены в основном на количественных характеристиках, а не на качестве или полезности опыта обучения для достижения эффективного развития как конечного результата. Формы обратной связи также используются во время очных семинаров и семинаров-практикумов, хотя их анализ не входит в регулярные комплексные отчеты. </w:t>
      </w:r>
      <w:bookmarkEnd w:id="257"/>
    </w:p>
    <w:p w14:paraId="5ED1072E" w14:textId="77777777" w:rsidR="001119AF" w:rsidRPr="00694ACA" w:rsidRDefault="001119AF" w:rsidP="002B0D90">
      <w:pPr>
        <w:pStyle w:val="Heading3"/>
        <w:ind w:right="-472"/>
        <w:rPr>
          <w:highlight w:val="lightGray"/>
          <w:lang w:val="ru-RU"/>
        </w:rPr>
      </w:pPr>
      <w:bookmarkStart w:id="258" w:name="lt_pId503"/>
      <w:r w:rsidRPr="00694ACA">
        <w:rPr>
          <w:lang w:val="ru-RU"/>
        </w:rPr>
        <w:t>Механизмы отчетности</w:t>
      </w:r>
      <w:bookmarkEnd w:id="258"/>
    </w:p>
    <w:p w14:paraId="140D6820" w14:textId="733481DA" w:rsidR="001119AF" w:rsidRPr="00694ACA" w:rsidRDefault="001119AF" w:rsidP="002B0D90">
      <w:pPr>
        <w:ind w:left="-284" w:right="-472"/>
        <w:rPr>
          <w:highlight w:val="lightGray"/>
          <w:lang w:val="ru-RU"/>
        </w:rPr>
      </w:pPr>
      <w:r w:rsidRPr="00694ACA">
        <w:rPr>
          <w:lang w:val="ru-RU"/>
        </w:rPr>
        <w:t xml:space="preserve">44. </w:t>
      </w:r>
      <w:bookmarkStart w:id="259" w:name="lt_pId505"/>
      <w:r w:rsidRPr="00694ACA">
        <w:rPr>
          <w:lang w:val="ru-RU"/>
        </w:rPr>
        <w:t xml:space="preserve">Основные официальные отчеты о работе всех Бюро направляются ВКРЭ, АР и ВАСЭ. Эти отчеты различаются по стилю и включают данные о количестве разного рода мероприятий в области развития потенциала и профессиональной подготовки, но мало что касается качества таких мероприятий и конечных результатов в области развития. В БРЭ вопросы обеспечения качества частично рассматриваются также на ежегодных собраниях ГИСП; хотя эта Группа отвечает в том числе за анализ многих аспектов развития потенциала в БРЭ, в отчете, опубликованном в марте 2019 года, тема качества прямо затрагивается только один раз. Помимо этого, существуют регулярные циклы обзора ключевых факторов обеспечения развития потенциала; особого внимания заслуживает работа ЦПМ: отчет об </w:t>
      </w:r>
      <w:r w:rsidRPr="00694ACA">
        <w:rPr>
          <w:lang w:val="ru-RU"/>
        </w:rPr>
        <w:lastRenderedPageBreak/>
        <w:t>оценке эффективности цикла работы ЦПМ 2015–2018 годов</w:t>
      </w:r>
      <w:r w:rsidRPr="00694ACA">
        <w:rPr>
          <w:rStyle w:val="FootnoteReference"/>
          <w:lang w:val="ru-RU"/>
        </w:rPr>
        <w:footnoteReference w:id="65"/>
      </w:r>
      <w:r w:rsidRPr="00694ACA">
        <w:rPr>
          <w:lang w:val="ru-RU"/>
        </w:rPr>
        <w:t xml:space="preserve"> послужил источником ценной информации для подготовки настоящего отчета.</w:t>
      </w:r>
      <w:bookmarkEnd w:id="259"/>
      <w:r w:rsidRPr="00694ACA">
        <w:rPr>
          <w:highlight w:val="lightGray"/>
          <w:lang w:val="ru-RU"/>
        </w:rPr>
        <w:t xml:space="preserve"> </w:t>
      </w:r>
    </w:p>
    <w:p w14:paraId="61604321" w14:textId="77777777" w:rsidR="001119AF" w:rsidRPr="00694ACA" w:rsidRDefault="001119AF" w:rsidP="002B0D90">
      <w:pPr>
        <w:pStyle w:val="Heading2"/>
        <w:ind w:right="-472"/>
        <w:rPr>
          <w:highlight w:val="lightGray"/>
          <w:lang w:val="ru-RU"/>
        </w:rPr>
      </w:pPr>
      <w:bookmarkStart w:id="261" w:name="_Toc57297382"/>
      <w:bookmarkStart w:id="262" w:name="_Toc58244107"/>
      <w:bookmarkStart w:id="263" w:name="_Toc58273429"/>
      <w:bookmarkStart w:id="264" w:name="_Toc58273658"/>
      <w:bookmarkStart w:id="265" w:name="_Toc58275260"/>
      <w:r w:rsidRPr="00694ACA">
        <w:rPr>
          <w:lang w:val="ru-RU"/>
        </w:rPr>
        <w:t xml:space="preserve">5.6 </w:t>
      </w:r>
      <w:bookmarkStart w:id="266" w:name="lt_pId510"/>
      <w:r w:rsidRPr="00694ACA">
        <w:rPr>
          <w:lang w:val="ru-RU"/>
        </w:rPr>
        <w:t>Качество конечных результатов обучения и влияние на развитие</w:t>
      </w:r>
      <w:bookmarkEnd w:id="261"/>
      <w:bookmarkEnd w:id="262"/>
      <w:bookmarkEnd w:id="263"/>
      <w:bookmarkEnd w:id="264"/>
      <w:bookmarkEnd w:id="265"/>
      <w:bookmarkEnd w:id="266"/>
    </w:p>
    <w:p w14:paraId="44FC28F9" w14:textId="7CA67CCA" w:rsidR="001119AF" w:rsidRPr="00694ACA" w:rsidRDefault="001119AF" w:rsidP="002B0D90">
      <w:pPr>
        <w:ind w:left="-284" w:right="-472"/>
        <w:rPr>
          <w:highlight w:val="lightGray"/>
          <w:lang w:val="ru-RU"/>
        </w:rPr>
      </w:pPr>
      <w:r w:rsidRPr="00694ACA">
        <w:rPr>
          <w:lang w:val="ru-RU"/>
        </w:rPr>
        <w:t xml:space="preserve">45. </w:t>
      </w:r>
      <w:bookmarkStart w:id="267" w:name="lt_pId512"/>
      <w:r w:rsidRPr="00694ACA">
        <w:rPr>
          <w:lang w:val="ru-RU"/>
        </w:rPr>
        <w:t>Основная цель деятельности МСЭ в области развития потенциала и профессиональной подготовки в идеале должна измеряться с точки зрения качества развития и внедрения достигнутых конечных результатов обучения. Однако акцент МСЭ на количественных данных не позволяет увидеть ясную картину в плане качества.</w:t>
      </w:r>
      <w:bookmarkEnd w:id="267"/>
    </w:p>
    <w:p w14:paraId="18BCA616" w14:textId="77777777" w:rsidR="001119AF" w:rsidRPr="00694ACA" w:rsidRDefault="001119AF" w:rsidP="002B0D90">
      <w:pPr>
        <w:pStyle w:val="Heading3"/>
        <w:ind w:right="-472"/>
        <w:rPr>
          <w:highlight w:val="lightGray"/>
          <w:lang w:val="ru-RU"/>
        </w:rPr>
      </w:pPr>
      <w:bookmarkStart w:id="268" w:name="lt_pId514"/>
      <w:r w:rsidRPr="00694ACA">
        <w:rPr>
          <w:lang w:val="ru-RU"/>
        </w:rPr>
        <w:t>Анализ потребностей</w:t>
      </w:r>
      <w:bookmarkEnd w:id="268"/>
    </w:p>
    <w:p w14:paraId="183C545D" w14:textId="0A4EAF97" w:rsidR="001119AF" w:rsidRPr="00694ACA" w:rsidRDefault="001119AF" w:rsidP="002B0D90">
      <w:pPr>
        <w:ind w:left="-284" w:right="-472"/>
        <w:rPr>
          <w:szCs w:val="18"/>
          <w:highlight w:val="lightGray"/>
          <w:lang w:val="ru-RU"/>
        </w:rPr>
      </w:pPr>
      <w:r w:rsidRPr="00694ACA">
        <w:rPr>
          <w:lang w:val="ru-RU"/>
        </w:rPr>
        <w:t xml:space="preserve">46. </w:t>
      </w:r>
      <w:bookmarkStart w:id="269" w:name="lt_pId516"/>
      <w:r w:rsidRPr="00694ACA">
        <w:rPr>
          <w:lang w:val="ru-RU"/>
        </w:rPr>
        <w:t xml:space="preserve">Трудно выявить </w:t>
      </w:r>
      <w:r w:rsidR="00F66C66" w:rsidRPr="00694ACA">
        <w:rPr>
          <w:lang w:val="ru-RU"/>
        </w:rPr>
        <w:t xml:space="preserve">наличие </w:t>
      </w:r>
      <w:r w:rsidRPr="00694ACA">
        <w:rPr>
          <w:lang w:val="ru-RU"/>
        </w:rPr>
        <w:t>како</w:t>
      </w:r>
      <w:r w:rsidR="00F66C66" w:rsidRPr="00694ACA">
        <w:rPr>
          <w:lang w:val="ru-RU"/>
        </w:rPr>
        <w:t>го</w:t>
      </w:r>
      <w:r w:rsidRPr="00694ACA">
        <w:rPr>
          <w:lang w:val="ru-RU"/>
        </w:rPr>
        <w:t xml:space="preserve">-либо </w:t>
      </w:r>
      <w:r w:rsidR="001226D4" w:rsidRPr="00694ACA">
        <w:rPr>
          <w:lang w:val="ru-RU"/>
        </w:rPr>
        <w:t>официальн</w:t>
      </w:r>
      <w:r w:rsidR="00F66C66" w:rsidRPr="00694ACA">
        <w:rPr>
          <w:lang w:val="ru-RU"/>
        </w:rPr>
        <w:t>ого</w:t>
      </w:r>
      <w:r w:rsidRPr="00694ACA">
        <w:rPr>
          <w:lang w:val="ru-RU"/>
        </w:rPr>
        <w:t xml:space="preserve"> системн</w:t>
      </w:r>
      <w:r w:rsidR="00F66C66" w:rsidRPr="00694ACA">
        <w:rPr>
          <w:lang w:val="ru-RU"/>
        </w:rPr>
        <w:t>ого</w:t>
      </w:r>
      <w:r w:rsidRPr="00694ACA">
        <w:rPr>
          <w:lang w:val="ru-RU"/>
        </w:rPr>
        <w:t xml:space="preserve"> подход</w:t>
      </w:r>
      <w:r w:rsidR="00F66C66" w:rsidRPr="00694ACA">
        <w:rPr>
          <w:lang w:val="ru-RU"/>
        </w:rPr>
        <w:t>а</w:t>
      </w:r>
      <w:r w:rsidRPr="00694ACA">
        <w:rPr>
          <w:lang w:val="ru-RU"/>
        </w:rPr>
        <w:t xml:space="preserve"> к </w:t>
      </w:r>
      <w:r w:rsidR="0092706B" w:rsidRPr="00694ACA">
        <w:rPr>
          <w:lang w:val="ru-RU"/>
        </w:rPr>
        <w:t xml:space="preserve">определению </w:t>
      </w:r>
      <w:r w:rsidRPr="00694ACA">
        <w:rPr>
          <w:lang w:val="ru-RU"/>
        </w:rPr>
        <w:t>потребност</w:t>
      </w:r>
      <w:r w:rsidR="00F66C66" w:rsidRPr="00694ACA">
        <w:rPr>
          <w:lang w:val="ru-RU"/>
        </w:rPr>
        <w:t>ей</w:t>
      </w:r>
      <w:r w:rsidRPr="00694ACA">
        <w:rPr>
          <w:lang w:val="ru-RU"/>
        </w:rPr>
        <w:t xml:space="preserve"> заинтересованных сторон МСЭ в развитии потенциала и профессиональной подготовке</w:t>
      </w:r>
      <w:r w:rsidR="00F66C66" w:rsidRPr="00694ACA">
        <w:rPr>
          <w:lang w:val="ru-RU"/>
        </w:rPr>
        <w:t>, за исключением принятия</w:t>
      </w:r>
      <w:r w:rsidRPr="00694ACA">
        <w:rPr>
          <w:lang w:val="ru-RU"/>
        </w:rPr>
        <w:t xml:space="preserve"> решений </w:t>
      </w:r>
      <w:r w:rsidR="00F66C66" w:rsidRPr="00694ACA">
        <w:rPr>
          <w:lang w:val="ru-RU"/>
        </w:rPr>
        <w:t xml:space="preserve">на </w:t>
      </w:r>
      <w:r w:rsidRPr="00694ACA">
        <w:rPr>
          <w:lang w:val="ru-RU"/>
        </w:rPr>
        <w:t>конференци</w:t>
      </w:r>
      <w:r w:rsidR="00F66C66" w:rsidRPr="00694ACA">
        <w:rPr>
          <w:lang w:val="ru-RU"/>
        </w:rPr>
        <w:t>ях Союза</w:t>
      </w:r>
      <w:r w:rsidRPr="00694ACA">
        <w:rPr>
          <w:lang w:val="ru-RU"/>
        </w:rPr>
        <w:t xml:space="preserve"> и </w:t>
      </w:r>
      <w:r w:rsidR="0092706B" w:rsidRPr="00694ACA">
        <w:rPr>
          <w:lang w:val="ru-RU"/>
        </w:rPr>
        <w:t xml:space="preserve">направления </w:t>
      </w:r>
      <w:r w:rsidRPr="00694ACA">
        <w:rPr>
          <w:lang w:val="ru-RU"/>
        </w:rPr>
        <w:t>конкретных запросов</w:t>
      </w:r>
      <w:r w:rsidR="0092706B" w:rsidRPr="00694ACA">
        <w:rPr>
          <w:lang w:val="ru-RU"/>
        </w:rPr>
        <w:t xml:space="preserve"> </w:t>
      </w:r>
      <w:r w:rsidRPr="00694ACA">
        <w:rPr>
          <w:lang w:val="ru-RU"/>
        </w:rPr>
        <w:t>в региональные отделения и в адрес персонала МСЭ в штаб-квартире. Комментарии отдельных сотрудников МСЭ, а также документация, относящаяся к некоторым подобным видам деятельности, свидетельствуют об осознании критической важности анализа потребностей, однако эта задача не поставлена ни в общей стратегии МСЭ, ни даже на уровне Секторов. Развитие потенциала и профессиональная подготовка должны начинаться со всестороннего анализа потребностей тех, для кого они предназначены.</w:t>
      </w:r>
      <w:bookmarkEnd w:id="269"/>
    </w:p>
    <w:p w14:paraId="5D7D3A5E" w14:textId="77777777" w:rsidR="001119AF" w:rsidRPr="00694ACA" w:rsidRDefault="001119AF" w:rsidP="002B0D90">
      <w:pPr>
        <w:pStyle w:val="Heading3"/>
        <w:ind w:right="-472"/>
        <w:rPr>
          <w:highlight w:val="lightGray"/>
          <w:lang w:val="ru-RU"/>
        </w:rPr>
      </w:pPr>
      <w:bookmarkStart w:id="270" w:name="lt_pId519"/>
      <w:r w:rsidRPr="00694ACA">
        <w:rPr>
          <w:lang w:val="ru-RU"/>
        </w:rPr>
        <w:t>Четкие задачи обучения</w:t>
      </w:r>
      <w:bookmarkEnd w:id="270"/>
    </w:p>
    <w:p w14:paraId="28350609" w14:textId="28159D5C" w:rsidR="001119AF" w:rsidRPr="00694ACA" w:rsidRDefault="001119AF" w:rsidP="002B0D90">
      <w:pPr>
        <w:ind w:left="-284" w:right="-472"/>
        <w:rPr>
          <w:highlight w:val="lightGray"/>
          <w:lang w:val="ru-RU"/>
        </w:rPr>
      </w:pPr>
      <w:r w:rsidRPr="00694ACA">
        <w:rPr>
          <w:lang w:val="ru-RU"/>
        </w:rPr>
        <w:t xml:space="preserve">47. </w:t>
      </w:r>
      <w:bookmarkStart w:id="271" w:name="lt_pId521"/>
      <w:r w:rsidRPr="00694ACA">
        <w:rPr>
          <w:lang w:val="ru-RU"/>
        </w:rPr>
        <w:t>Команда CSD осознает, что определение четких задач обучения имеет центральное значение для обеспечения эффективного развития потенциала и профессиональной подготовки и что они должны соответствовать потребностям участников. Тем не менее, хотя в материалах многих курсов кратко излагаются задачи обучения и их проверяют сотрудники CSD, в проанализированной документации они мало рассматриваются в более широком контексте</w:t>
      </w:r>
      <w:r w:rsidRPr="00694ACA">
        <w:rPr>
          <w:rStyle w:val="FootnoteReference"/>
          <w:lang w:val="ru-RU"/>
        </w:rPr>
        <w:footnoteReference w:id="66"/>
      </w:r>
      <w:r w:rsidRPr="00694ACA">
        <w:rPr>
          <w:lang w:val="ru-RU"/>
        </w:rPr>
        <w:t>.</w:t>
      </w:r>
      <w:bookmarkEnd w:id="271"/>
    </w:p>
    <w:p w14:paraId="1535519A" w14:textId="77777777" w:rsidR="001119AF" w:rsidRPr="00694ACA" w:rsidRDefault="001119AF" w:rsidP="002B0D90">
      <w:pPr>
        <w:pStyle w:val="Heading3"/>
        <w:ind w:right="-472"/>
        <w:rPr>
          <w:highlight w:val="lightGray"/>
          <w:lang w:val="ru-RU"/>
        </w:rPr>
      </w:pPr>
      <w:bookmarkStart w:id="273" w:name="lt_pId523"/>
      <w:r w:rsidRPr="00694ACA">
        <w:rPr>
          <w:lang w:val="ru-RU"/>
        </w:rPr>
        <w:t>Измерение конечных результатов развития</w:t>
      </w:r>
      <w:bookmarkEnd w:id="273"/>
    </w:p>
    <w:p w14:paraId="39883B9D" w14:textId="3EEACDEF" w:rsidR="001119AF" w:rsidRPr="00694ACA" w:rsidRDefault="001119AF" w:rsidP="002B0D90">
      <w:pPr>
        <w:ind w:left="-284" w:right="-472"/>
        <w:rPr>
          <w:szCs w:val="18"/>
          <w:highlight w:val="lightGray"/>
          <w:lang w:val="ru-RU"/>
        </w:rPr>
      </w:pPr>
      <w:r w:rsidRPr="00694ACA">
        <w:rPr>
          <w:lang w:val="ru-RU"/>
        </w:rPr>
        <w:t xml:space="preserve">48. </w:t>
      </w:r>
      <w:bookmarkStart w:id="274" w:name="lt_pId525"/>
      <w:r w:rsidRPr="00694ACA">
        <w:rPr>
          <w:lang w:val="ru-RU"/>
        </w:rPr>
        <w:t xml:space="preserve">Третья обширная тема, которой посвящены комментарии, касается способов измерения конечных результатов развития потенциала и профессиональной подготовки. </w:t>
      </w:r>
      <w:r w:rsidR="0092706B" w:rsidRPr="00694ACA">
        <w:rPr>
          <w:lang w:val="ru-RU"/>
        </w:rPr>
        <w:t xml:space="preserve">В нескольких словах можно сказать, что </w:t>
      </w:r>
      <w:r w:rsidRPr="00694ACA">
        <w:rPr>
          <w:lang w:val="ru-RU"/>
        </w:rPr>
        <w:t>в ходе подготовки обзора было найдено мало свидетельств того, что эти измерения вообще проводятся. Качество мероприятий в области развития потенциала и профессиональной подготовки, проводимых под эгидой МСЭ, оценивается, однако эта оценка почти всегда производится в виде отчетов с использованием форм обратной связи сразу после завершения обучения, т. е. до того как участники получат возможность применить полученные знания на практике. Следовательно, невозможно измерить фактические конечные результаты развития, даже если изначально они были включены в число наиболее важных задач обучения.</w:t>
      </w:r>
      <w:bookmarkEnd w:id="274"/>
    </w:p>
    <w:p w14:paraId="3A63D87E" w14:textId="77777777" w:rsidR="001119AF" w:rsidRPr="00694ACA" w:rsidRDefault="001119AF" w:rsidP="002B0D90">
      <w:pPr>
        <w:pStyle w:val="Heading3"/>
        <w:ind w:right="-472"/>
        <w:rPr>
          <w:highlight w:val="lightGray"/>
          <w:lang w:val="ru-RU"/>
        </w:rPr>
      </w:pPr>
      <w:bookmarkStart w:id="275" w:name="lt_pId529"/>
      <w:r w:rsidRPr="00694ACA">
        <w:rPr>
          <w:lang w:val="ru-RU"/>
        </w:rPr>
        <w:t>Отсутствие сетей выпускников</w:t>
      </w:r>
      <w:bookmarkEnd w:id="275"/>
    </w:p>
    <w:p w14:paraId="2375272D" w14:textId="11813EF8" w:rsidR="001119AF" w:rsidRPr="00694ACA" w:rsidRDefault="001119AF" w:rsidP="002B0D90">
      <w:pPr>
        <w:ind w:left="-284" w:right="-472"/>
        <w:rPr>
          <w:lang w:val="ru-RU"/>
        </w:rPr>
      </w:pPr>
      <w:r w:rsidRPr="00694ACA">
        <w:rPr>
          <w:lang w:val="ru-RU"/>
        </w:rPr>
        <w:t xml:space="preserve">49. </w:t>
      </w:r>
      <w:bookmarkStart w:id="276" w:name="lt_pId531"/>
      <w:r w:rsidRPr="00694ACA">
        <w:rPr>
          <w:lang w:val="ru-RU"/>
        </w:rPr>
        <w:t xml:space="preserve">Поставщики образовательных услуг, стремящиеся повысить эффективность своей работы, все чаще создают сети выпускников, не в последнюю очередь для того, чтобы иметь возможность отчитываться перед своими спонсорами о долгосрочном влиянии своей деятельности. Некоторые поставщики услуг включили сети в свою организационную культуру: они постоянно узнают об оптимальных для своих клиентов способах целесообразного и выгодного развития потенциала и профессиональной подготовки. МСЭ не ведет систематизированную базу данных с информацией обо всех участниках мероприятий по развитию потенциала и профессиональной подготовке в разных Секторах. </w:t>
      </w:r>
      <w:bookmarkEnd w:id="276"/>
    </w:p>
    <w:p w14:paraId="4883E718" w14:textId="77777777" w:rsidR="001119AF" w:rsidRPr="00694ACA" w:rsidRDefault="001119AF" w:rsidP="00D278A3">
      <w:pPr>
        <w:pStyle w:val="Heading1"/>
        <w:ind w:right="-472"/>
        <w:rPr>
          <w:highlight w:val="lightGray"/>
          <w:lang w:val="ru-RU"/>
        </w:rPr>
      </w:pPr>
      <w:bookmarkStart w:id="277" w:name="_Toc61633865"/>
      <w:bookmarkStart w:id="278" w:name="_Toc65251978"/>
      <w:bookmarkStart w:id="279" w:name="_Toc71060743"/>
      <w:r w:rsidRPr="00694ACA">
        <w:rPr>
          <w:lang w:val="ru-RU"/>
        </w:rPr>
        <w:lastRenderedPageBreak/>
        <w:t>Раздел 6: Составление бюджета и ресурсы, которые в настоящее время выделяются на развитие потенциала и профессиональную подготовку в МСЭ</w:t>
      </w:r>
      <w:bookmarkEnd w:id="277"/>
      <w:bookmarkEnd w:id="278"/>
      <w:bookmarkEnd w:id="279"/>
    </w:p>
    <w:p w14:paraId="0745510C" w14:textId="6BA1A32F" w:rsidR="001119AF" w:rsidRPr="00694ACA" w:rsidRDefault="001119AF" w:rsidP="002B0D90">
      <w:pPr>
        <w:ind w:left="-284" w:right="-472"/>
        <w:rPr>
          <w:lang w:val="ru-RU"/>
        </w:rPr>
      </w:pPr>
      <w:r w:rsidRPr="00694ACA">
        <w:rPr>
          <w:lang w:val="ru-RU"/>
        </w:rPr>
        <w:t>50. Разнообразие и сложность как способов предоставления услуг, так и структур составления бюджета в МСЭ очень затрудняют оценку издержек и поступлений от деятельности МСЭ в области развития потенциала и профессиональной подготовки в Организации в целом и в каждом из ее Секторов. Например, в проекте бюджета МСЭ на 2020</w:t>
      </w:r>
      <w:r w:rsidR="00E34164" w:rsidRPr="00694ACA">
        <w:rPr>
          <w:lang w:val="ru-RU"/>
        </w:rPr>
        <w:t>−</w:t>
      </w:r>
      <w:r w:rsidRPr="00694ACA">
        <w:rPr>
          <w:lang w:val="ru-RU"/>
        </w:rPr>
        <w:t xml:space="preserve">2021 годы </w:t>
      </w:r>
      <w:r w:rsidR="0092706B" w:rsidRPr="00694ACA">
        <w:rPr>
          <w:lang w:val="ru-RU"/>
        </w:rPr>
        <w:t xml:space="preserve">"создание потенциала" </w:t>
      </w:r>
      <w:r w:rsidRPr="00694ACA">
        <w:rPr>
          <w:lang w:val="ru-RU"/>
        </w:rPr>
        <w:t>упоминается три раза, а "</w:t>
      </w:r>
      <w:r w:rsidR="009E0460" w:rsidRPr="00694ACA">
        <w:rPr>
          <w:lang w:val="ru-RU"/>
        </w:rPr>
        <w:t>профессиональная подготовка</w:t>
      </w:r>
      <w:r w:rsidRPr="00694ACA">
        <w:rPr>
          <w:lang w:val="ru-RU"/>
        </w:rPr>
        <w:t>" – 11 раз, при этом в нем нет цифр ни по поступлениям, ни по издержкам, которые можно было бы дезагрегировать для целей настоящего обзора</w:t>
      </w:r>
      <w:r w:rsidRPr="00694ACA">
        <w:rPr>
          <w:rStyle w:val="FootnoteReference"/>
          <w:lang w:val="ru-RU"/>
        </w:rPr>
        <w:footnoteReference w:id="67"/>
      </w:r>
      <w:r w:rsidRPr="00694ACA">
        <w:rPr>
          <w:lang w:val="ru-RU"/>
        </w:rPr>
        <w:t>. Невозможность выделить деятельность по развитию потенциала и профессиональной подготовке внутри официальных бюджетных процессов МСЭ вызывает удивление, учитывая значительный объем работы и усилий, которые в нее вкладываются</w:t>
      </w:r>
      <w:r w:rsidRPr="00694ACA">
        <w:rPr>
          <w:rStyle w:val="FootnoteReference"/>
          <w:lang w:val="ru-RU"/>
        </w:rPr>
        <w:footnoteReference w:id="68"/>
      </w:r>
      <w:r w:rsidRPr="00694ACA">
        <w:rPr>
          <w:lang w:val="ru-RU"/>
        </w:rPr>
        <w:t>. В</w:t>
      </w:r>
      <w:r w:rsidR="00E34164" w:rsidRPr="00694ACA">
        <w:rPr>
          <w:lang w:val="ru-RU"/>
        </w:rPr>
        <w:t> </w:t>
      </w:r>
      <w:r w:rsidRPr="00694ACA">
        <w:rPr>
          <w:lang w:val="ru-RU"/>
        </w:rPr>
        <w:t>недавнем обзоре регионального присутствия МСЭ отмечается, что в 2019 году региональные сотрудники, по собственным оценкам, потратили больше времени (в среднем 14%) на работу в кластере (теперь – теме) "Создание потенциала и повышение квалификации специалистов", чем на любой другой из существовавших тогда кластеров</w:t>
      </w:r>
      <w:r w:rsidRPr="00694ACA">
        <w:rPr>
          <w:rStyle w:val="FootnoteReference"/>
          <w:lang w:val="ru-RU"/>
        </w:rPr>
        <w:footnoteReference w:id="69"/>
      </w:r>
      <w:r w:rsidRPr="00694ACA">
        <w:rPr>
          <w:lang w:val="ru-RU"/>
        </w:rPr>
        <w:t xml:space="preserve">. Кроме того, в указанном отчете далее говорится, что на мероприятия, семинары-практикумы и курсы подготовки, охватывающие широкий спектр тематических областей, уходит около 52% региональных издержек, хотя следует отметить, что не все они могут быть отнесены непосредственно к развитию потенциала и профессиональной подготовке. </w:t>
      </w:r>
    </w:p>
    <w:p w14:paraId="0942FE39" w14:textId="77777777" w:rsidR="001119AF" w:rsidRPr="00694ACA" w:rsidRDefault="001119AF" w:rsidP="00D278A3">
      <w:pPr>
        <w:pStyle w:val="Heading2"/>
        <w:ind w:right="-472"/>
        <w:rPr>
          <w:highlight w:val="lightGray"/>
          <w:lang w:val="ru-RU"/>
        </w:rPr>
      </w:pPr>
      <w:bookmarkStart w:id="280" w:name="_Toc57297384"/>
      <w:bookmarkStart w:id="281" w:name="_Toc58244109"/>
      <w:bookmarkStart w:id="282" w:name="_Toc58273431"/>
      <w:bookmarkStart w:id="283" w:name="_Toc58273660"/>
      <w:bookmarkStart w:id="284" w:name="_Toc58275262"/>
      <w:r w:rsidRPr="00694ACA">
        <w:rPr>
          <w:lang w:val="ru-RU"/>
        </w:rPr>
        <w:t>6.1 Издержки</w:t>
      </w:r>
      <w:bookmarkEnd w:id="280"/>
      <w:bookmarkEnd w:id="281"/>
      <w:bookmarkEnd w:id="282"/>
      <w:bookmarkEnd w:id="283"/>
      <w:bookmarkEnd w:id="284"/>
    </w:p>
    <w:p w14:paraId="6A1F8168" w14:textId="3E15E6D2" w:rsidR="001119AF" w:rsidRPr="00694ACA" w:rsidRDefault="001119AF" w:rsidP="00E27C13">
      <w:pPr>
        <w:ind w:left="-284" w:right="-472"/>
        <w:rPr>
          <w:highlight w:val="lightGray"/>
          <w:lang w:val="ru-RU"/>
        </w:rPr>
      </w:pPr>
      <w:bookmarkStart w:id="285" w:name="_Toc57297385"/>
      <w:r w:rsidRPr="00694ACA">
        <w:rPr>
          <w:lang w:val="ru-RU"/>
        </w:rPr>
        <w:t>51. В МСЭ нет системы отслеживания расходов на развитие потенциала и профессиональную подготовку, но тем не менее Союз смог предоставить для подготовки настоящего обзора цифры таких издержек за последние пять лет, которые приведены ниже (см. Таблицу 1; все затраты, кроме затрат на мероприятия по профессиональной подготовке персонала, представляют собой наилучшую оценку и отмечены знаком</w:t>
      </w:r>
      <w:r w:rsidR="00807062" w:rsidRPr="00694ACA">
        <w:rPr>
          <w:lang w:val="ru-RU"/>
        </w:rPr>
        <w:t> </w:t>
      </w:r>
      <w:r w:rsidRPr="00694ACA">
        <w:rPr>
          <w:lang w:val="ru-RU"/>
        </w:rPr>
        <w:t>"*")</w:t>
      </w:r>
      <w:r w:rsidRPr="00694ACA">
        <w:rPr>
          <w:rStyle w:val="FootnoteReference"/>
          <w:lang w:val="ru-RU"/>
        </w:rPr>
        <w:footnoteReference w:id="70"/>
      </w:r>
      <w:r w:rsidRPr="00694ACA">
        <w:rPr>
          <w:lang w:val="ru-RU"/>
        </w:rPr>
        <w:t>. Это говорит о том, что издержки на развитие потенциала и профессиональную подготовку составили примерно 2–3% от общих расходов МСЭ за этот период</w:t>
      </w:r>
      <w:r w:rsidRPr="00694ACA">
        <w:rPr>
          <w:rStyle w:val="FootnoteReference"/>
          <w:lang w:val="ru-RU"/>
        </w:rPr>
        <w:footnoteReference w:id="71"/>
      </w:r>
      <w:r w:rsidRPr="00694ACA">
        <w:rPr>
          <w:lang w:val="ru-RU"/>
        </w:rPr>
        <w:t>.</w:t>
      </w:r>
    </w:p>
    <w:p w14:paraId="55B47588" w14:textId="3772AB2F" w:rsidR="001119AF" w:rsidRPr="00694ACA" w:rsidRDefault="001119AF" w:rsidP="00807062">
      <w:pPr>
        <w:keepNext/>
        <w:ind w:left="-284" w:right="-472"/>
        <w:rPr>
          <w:b/>
          <w:bCs/>
          <w:i/>
          <w:iCs/>
          <w:highlight w:val="lightGray"/>
          <w:lang w:val="ru-RU"/>
        </w:rPr>
      </w:pPr>
      <w:r w:rsidRPr="00694ACA">
        <w:rPr>
          <w:b/>
          <w:bCs/>
          <w:i/>
          <w:iCs/>
          <w:lang w:val="ru-RU"/>
        </w:rPr>
        <w:lastRenderedPageBreak/>
        <w:t>Таблица 1: Общие издержки на развитие потенциала и профессиональную подготовку (тыс.</w:t>
      </w:r>
      <w:r w:rsidR="002B0D90" w:rsidRPr="00694ACA">
        <w:rPr>
          <w:b/>
          <w:bCs/>
          <w:i/>
          <w:iCs/>
          <w:lang w:val="ru-RU"/>
        </w:rPr>
        <w:t> </w:t>
      </w:r>
      <w:r w:rsidRPr="00694ACA">
        <w:rPr>
          <w:b/>
          <w:bCs/>
          <w:i/>
          <w:iCs/>
          <w:lang w:val="ru-RU"/>
        </w:rPr>
        <w:t>швейцарских франков)</w:t>
      </w:r>
    </w:p>
    <w:tbl>
      <w:tblPr>
        <w:tblW w:w="9639" w:type="dxa"/>
        <w:jc w:val="center"/>
        <w:tblLayout w:type="fixed"/>
        <w:tblLook w:val="04A0" w:firstRow="1" w:lastRow="0" w:firstColumn="1" w:lastColumn="0" w:noHBand="0" w:noVBand="1"/>
      </w:tblPr>
      <w:tblGrid>
        <w:gridCol w:w="4678"/>
        <w:gridCol w:w="992"/>
        <w:gridCol w:w="992"/>
        <w:gridCol w:w="992"/>
        <w:gridCol w:w="992"/>
        <w:gridCol w:w="993"/>
      </w:tblGrid>
      <w:tr w:rsidR="001119AF" w:rsidRPr="00694ACA" w14:paraId="66C0CFE8" w14:textId="77777777" w:rsidTr="009C4800">
        <w:trPr>
          <w:trHeight w:hRule="exact" w:val="318"/>
          <w:jc w:val="center"/>
        </w:trPr>
        <w:tc>
          <w:tcPr>
            <w:tcW w:w="4678"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070DBAD3" w14:textId="77777777" w:rsidR="001119AF" w:rsidRPr="00694ACA" w:rsidRDefault="001119AF" w:rsidP="00807062">
            <w:pPr>
              <w:keepNext/>
              <w:spacing w:after="0"/>
              <w:rPr>
                <w:rFonts w:eastAsia="Times New Roman" w:cs="Calibri"/>
                <w:b/>
                <w:bCs/>
                <w:color w:val="000000"/>
                <w:sz w:val="18"/>
                <w:szCs w:val="20"/>
                <w:lang w:val="ru-RU" w:eastAsia="en-GB" w:bidi="ne-NP"/>
              </w:rPr>
            </w:pPr>
            <w:r w:rsidRPr="00694ACA">
              <w:rPr>
                <w:rFonts w:eastAsia="Times New Roman" w:cs="Calibri"/>
                <w:b/>
                <w:bCs/>
                <w:color w:val="000000"/>
                <w:sz w:val="18"/>
                <w:szCs w:val="20"/>
                <w:lang w:val="ru-RU" w:eastAsia="en-GB" w:bidi="ne-NP"/>
              </w:rPr>
              <w:t>Сектор МСЭ</w:t>
            </w:r>
          </w:p>
        </w:tc>
        <w:tc>
          <w:tcPr>
            <w:tcW w:w="992" w:type="dxa"/>
            <w:tcBorders>
              <w:top w:val="single" w:sz="4" w:space="0" w:color="auto"/>
              <w:left w:val="nil"/>
              <w:bottom w:val="single" w:sz="4" w:space="0" w:color="auto"/>
              <w:right w:val="single" w:sz="4" w:space="0" w:color="auto"/>
            </w:tcBorders>
            <w:shd w:val="clear" w:color="000000" w:fill="B4C6E7"/>
            <w:noWrap/>
            <w:vAlign w:val="center"/>
            <w:hideMark/>
          </w:tcPr>
          <w:p w14:paraId="34C4F104" w14:textId="77777777" w:rsidR="001119AF" w:rsidRPr="00694ACA" w:rsidRDefault="001119AF" w:rsidP="00807062">
            <w:pPr>
              <w:keepNext/>
              <w:spacing w:after="0"/>
              <w:jc w:val="center"/>
              <w:rPr>
                <w:rFonts w:eastAsia="Times New Roman" w:cs="Calibri"/>
                <w:b/>
                <w:bCs/>
                <w:color w:val="000000"/>
                <w:sz w:val="18"/>
                <w:szCs w:val="20"/>
                <w:lang w:val="ru-RU" w:eastAsia="en-GB" w:bidi="ne-NP"/>
              </w:rPr>
            </w:pPr>
            <w:r w:rsidRPr="00694ACA">
              <w:rPr>
                <w:rFonts w:eastAsia="Times New Roman" w:cs="Calibri"/>
                <w:b/>
                <w:bCs/>
                <w:color w:val="000000"/>
                <w:sz w:val="18"/>
                <w:szCs w:val="20"/>
                <w:lang w:val="ru-RU" w:eastAsia="en-GB" w:bidi="ne-NP"/>
              </w:rPr>
              <w:t>2016 г.</w:t>
            </w:r>
          </w:p>
        </w:tc>
        <w:tc>
          <w:tcPr>
            <w:tcW w:w="992" w:type="dxa"/>
            <w:tcBorders>
              <w:top w:val="single" w:sz="4" w:space="0" w:color="auto"/>
              <w:left w:val="nil"/>
              <w:bottom w:val="single" w:sz="4" w:space="0" w:color="auto"/>
              <w:right w:val="single" w:sz="4" w:space="0" w:color="auto"/>
            </w:tcBorders>
            <w:shd w:val="clear" w:color="000000" w:fill="B4C6E7"/>
            <w:noWrap/>
            <w:vAlign w:val="center"/>
            <w:hideMark/>
          </w:tcPr>
          <w:p w14:paraId="025F016C" w14:textId="77777777" w:rsidR="001119AF" w:rsidRPr="00694ACA" w:rsidRDefault="001119AF" w:rsidP="00807062">
            <w:pPr>
              <w:keepNext/>
              <w:spacing w:after="0"/>
              <w:jc w:val="center"/>
              <w:rPr>
                <w:rFonts w:eastAsia="Times New Roman" w:cs="Calibri"/>
                <w:b/>
                <w:bCs/>
                <w:color w:val="000000"/>
                <w:sz w:val="18"/>
                <w:szCs w:val="20"/>
                <w:lang w:val="ru-RU" w:eastAsia="en-GB" w:bidi="ne-NP"/>
              </w:rPr>
            </w:pPr>
            <w:r w:rsidRPr="00694ACA">
              <w:rPr>
                <w:rFonts w:eastAsia="Times New Roman" w:cs="Calibri"/>
                <w:b/>
                <w:bCs/>
                <w:color w:val="000000"/>
                <w:sz w:val="18"/>
                <w:szCs w:val="20"/>
                <w:lang w:val="ru-RU" w:eastAsia="en-GB" w:bidi="ne-NP"/>
              </w:rPr>
              <w:t>2017 г.</w:t>
            </w:r>
          </w:p>
        </w:tc>
        <w:tc>
          <w:tcPr>
            <w:tcW w:w="992" w:type="dxa"/>
            <w:tcBorders>
              <w:top w:val="single" w:sz="4" w:space="0" w:color="auto"/>
              <w:left w:val="nil"/>
              <w:bottom w:val="single" w:sz="4" w:space="0" w:color="auto"/>
              <w:right w:val="single" w:sz="4" w:space="0" w:color="auto"/>
            </w:tcBorders>
            <w:shd w:val="clear" w:color="000000" w:fill="B4C6E7"/>
            <w:noWrap/>
            <w:vAlign w:val="center"/>
            <w:hideMark/>
          </w:tcPr>
          <w:p w14:paraId="11C62CFB" w14:textId="77777777" w:rsidR="001119AF" w:rsidRPr="00694ACA" w:rsidRDefault="001119AF" w:rsidP="00807062">
            <w:pPr>
              <w:keepNext/>
              <w:spacing w:after="0"/>
              <w:jc w:val="center"/>
              <w:rPr>
                <w:rFonts w:eastAsia="Times New Roman" w:cs="Calibri"/>
                <w:b/>
                <w:bCs/>
                <w:color w:val="000000"/>
                <w:sz w:val="18"/>
                <w:szCs w:val="20"/>
                <w:lang w:val="ru-RU" w:eastAsia="en-GB" w:bidi="ne-NP"/>
              </w:rPr>
            </w:pPr>
            <w:r w:rsidRPr="00694ACA">
              <w:rPr>
                <w:rFonts w:eastAsia="Times New Roman" w:cs="Calibri"/>
                <w:b/>
                <w:bCs/>
                <w:color w:val="000000"/>
                <w:sz w:val="18"/>
                <w:szCs w:val="20"/>
                <w:lang w:val="ru-RU" w:eastAsia="en-GB" w:bidi="ne-NP"/>
              </w:rPr>
              <w:t>2018 г.</w:t>
            </w:r>
          </w:p>
        </w:tc>
        <w:tc>
          <w:tcPr>
            <w:tcW w:w="992" w:type="dxa"/>
            <w:tcBorders>
              <w:top w:val="single" w:sz="4" w:space="0" w:color="auto"/>
              <w:left w:val="nil"/>
              <w:bottom w:val="single" w:sz="4" w:space="0" w:color="auto"/>
              <w:right w:val="single" w:sz="4" w:space="0" w:color="auto"/>
            </w:tcBorders>
            <w:shd w:val="clear" w:color="000000" w:fill="B4C6E7"/>
            <w:noWrap/>
            <w:vAlign w:val="center"/>
            <w:hideMark/>
          </w:tcPr>
          <w:p w14:paraId="7AB85B1F" w14:textId="77777777" w:rsidR="001119AF" w:rsidRPr="00694ACA" w:rsidRDefault="001119AF" w:rsidP="00807062">
            <w:pPr>
              <w:keepNext/>
              <w:spacing w:after="0"/>
              <w:jc w:val="center"/>
              <w:rPr>
                <w:rFonts w:eastAsia="Times New Roman" w:cs="Calibri"/>
                <w:b/>
                <w:bCs/>
                <w:color w:val="000000"/>
                <w:sz w:val="18"/>
                <w:szCs w:val="20"/>
                <w:lang w:val="ru-RU" w:eastAsia="en-GB" w:bidi="ne-NP"/>
              </w:rPr>
            </w:pPr>
            <w:r w:rsidRPr="00694ACA">
              <w:rPr>
                <w:rFonts w:eastAsia="Times New Roman" w:cs="Calibri"/>
                <w:b/>
                <w:bCs/>
                <w:color w:val="000000"/>
                <w:sz w:val="18"/>
                <w:szCs w:val="20"/>
                <w:lang w:val="ru-RU" w:eastAsia="en-GB" w:bidi="ne-NP"/>
              </w:rPr>
              <w:t>2019 г.</w:t>
            </w:r>
          </w:p>
        </w:tc>
        <w:tc>
          <w:tcPr>
            <w:tcW w:w="993" w:type="dxa"/>
            <w:tcBorders>
              <w:top w:val="single" w:sz="4" w:space="0" w:color="auto"/>
              <w:left w:val="nil"/>
              <w:bottom w:val="single" w:sz="4" w:space="0" w:color="auto"/>
              <w:right w:val="single" w:sz="4" w:space="0" w:color="auto"/>
            </w:tcBorders>
            <w:shd w:val="clear" w:color="000000" w:fill="B4C6E7"/>
            <w:noWrap/>
            <w:vAlign w:val="center"/>
            <w:hideMark/>
          </w:tcPr>
          <w:p w14:paraId="0D8C9F1D" w14:textId="77777777" w:rsidR="001119AF" w:rsidRPr="00694ACA" w:rsidRDefault="001119AF" w:rsidP="00807062">
            <w:pPr>
              <w:keepNext/>
              <w:spacing w:after="0"/>
              <w:jc w:val="center"/>
              <w:rPr>
                <w:rFonts w:eastAsia="Times New Roman" w:cs="Calibri"/>
                <w:b/>
                <w:bCs/>
                <w:color w:val="000000"/>
                <w:sz w:val="18"/>
                <w:szCs w:val="20"/>
                <w:lang w:val="ru-RU" w:eastAsia="en-GB" w:bidi="ne-NP"/>
              </w:rPr>
            </w:pPr>
            <w:r w:rsidRPr="00694ACA">
              <w:rPr>
                <w:rFonts w:eastAsia="Times New Roman" w:cs="Calibri"/>
                <w:b/>
                <w:bCs/>
                <w:color w:val="000000"/>
                <w:sz w:val="18"/>
                <w:szCs w:val="20"/>
                <w:lang w:val="ru-RU" w:eastAsia="en-GB" w:bidi="ne-NP"/>
              </w:rPr>
              <w:t>2020 г.</w:t>
            </w:r>
          </w:p>
        </w:tc>
      </w:tr>
      <w:tr w:rsidR="001119AF" w:rsidRPr="00694ACA" w14:paraId="48DF30CE" w14:textId="77777777" w:rsidTr="009C4800">
        <w:trPr>
          <w:trHeight w:val="340"/>
          <w:jc w:val="center"/>
        </w:trPr>
        <w:tc>
          <w:tcPr>
            <w:tcW w:w="4678" w:type="dxa"/>
            <w:tcBorders>
              <w:top w:val="nil"/>
              <w:left w:val="single" w:sz="4" w:space="0" w:color="auto"/>
              <w:bottom w:val="single" w:sz="4" w:space="0" w:color="auto"/>
              <w:right w:val="single" w:sz="4" w:space="0" w:color="auto"/>
            </w:tcBorders>
            <w:shd w:val="clear" w:color="auto" w:fill="auto"/>
            <w:noWrap/>
            <w:vAlign w:val="center"/>
            <w:hideMark/>
          </w:tcPr>
          <w:p w14:paraId="0DF4F637" w14:textId="77777777" w:rsidR="001119AF" w:rsidRPr="00694ACA" w:rsidRDefault="001119AF" w:rsidP="00807062">
            <w:pPr>
              <w:keepNext/>
              <w:spacing w:after="0"/>
              <w:rPr>
                <w:rFonts w:eastAsia="Times New Roman" w:cs="Calibri"/>
                <w:b/>
                <w:bCs/>
                <w:color w:val="000000"/>
                <w:sz w:val="18"/>
                <w:szCs w:val="20"/>
                <w:lang w:val="ru-RU" w:eastAsia="en-GB" w:bidi="ne-NP"/>
              </w:rPr>
            </w:pPr>
            <w:r w:rsidRPr="00694ACA">
              <w:rPr>
                <w:rFonts w:eastAsia="Times New Roman" w:cs="Calibri"/>
                <w:b/>
                <w:bCs/>
                <w:color w:val="000000"/>
                <w:sz w:val="18"/>
                <w:szCs w:val="20"/>
                <w:lang w:val="ru-RU" w:eastAsia="en-GB" w:bidi="ne-NP"/>
              </w:rPr>
              <w:t>БСЭ*</w:t>
            </w:r>
          </w:p>
        </w:tc>
        <w:tc>
          <w:tcPr>
            <w:tcW w:w="992" w:type="dxa"/>
            <w:tcBorders>
              <w:top w:val="nil"/>
              <w:left w:val="nil"/>
              <w:bottom w:val="single" w:sz="4" w:space="0" w:color="auto"/>
              <w:right w:val="single" w:sz="4" w:space="0" w:color="auto"/>
            </w:tcBorders>
            <w:shd w:val="clear" w:color="auto" w:fill="auto"/>
            <w:noWrap/>
            <w:vAlign w:val="center"/>
            <w:hideMark/>
          </w:tcPr>
          <w:p w14:paraId="099643EC" w14:textId="77777777" w:rsidR="001119AF" w:rsidRPr="00694ACA" w:rsidRDefault="001119AF" w:rsidP="00807062">
            <w:pPr>
              <w:keepNext/>
              <w:spacing w:after="0"/>
              <w:jc w:val="right"/>
              <w:rPr>
                <w:rFonts w:eastAsia="Times New Roman" w:cs="Calibri"/>
                <w:color w:val="000000"/>
                <w:sz w:val="18"/>
                <w:szCs w:val="20"/>
                <w:lang w:val="ru-RU" w:eastAsia="en-GB" w:bidi="ne-NP"/>
              </w:rPr>
            </w:pPr>
            <w:r w:rsidRPr="00694ACA">
              <w:rPr>
                <w:rFonts w:eastAsia="Times New Roman" w:cs="Calibri"/>
                <w:color w:val="000000"/>
                <w:sz w:val="18"/>
                <w:szCs w:val="20"/>
                <w:lang w:val="ru-RU" w:eastAsia="en-GB" w:bidi="ne-NP"/>
              </w:rPr>
              <w:t>455</w:t>
            </w:r>
          </w:p>
        </w:tc>
        <w:tc>
          <w:tcPr>
            <w:tcW w:w="992" w:type="dxa"/>
            <w:tcBorders>
              <w:top w:val="nil"/>
              <w:left w:val="nil"/>
              <w:bottom w:val="single" w:sz="4" w:space="0" w:color="auto"/>
              <w:right w:val="single" w:sz="4" w:space="0" w:color="auto"/>
            </w:tcBorders>
            <w:shd w:val="clear" w:color="auto" w:fill="auto"/>
            <w:noWrap/>
            <w:vAlign w:val="center"/>
            <w:hideMark/>
          </w:tcPr>
          <w:p w14:paraId="64B86117" w14:textId="77777777" w:rsidR="001119AF" w:rsidRPr="00694ACA" w:rsidRDefault="001119AF" w:rsidP="00807062">
            <w:pPr>
              <w:keepNext/>
              <w:spacing w:after="0"/>
              <w:jc w:val="right"/>
              <w:rPr>
                <w:rFonts w:eastAsia="Times New Roman" w:cs="Calibri"/>
                <w:color w:val="000000"/>
                <w:sz w:val="18"/>
                <w:szCs w:val="20"/>
                <w:lang w:val="ru-RU" w:eastAsia="en-GB" w:bidi="ne-NP"/>
              </w:rPr>
            </w:pPr>
            <w:r w:rsidRPr="00694ACA">
              <w:rPr>
                <w:rFonts w:eastAsia="Times New Roman" w:cs="Calibri"/>
                <w:color w:val="000000"/>
                <w:sz w:val="18"/>
                <w:szCs w:val="20"/>
                <w:lang w:val="ru-RU" w:eastAsia="en-GB" w:bidi="ne-NP"/>
              </w:rPr>
              <w:t>460</w:t>
            </w:r>
          </w:p>
        </w:tc>
        <w:tc>
          <w:tcPr>
            <w:tcW w:w="992" w:type="dxa"/>
            <w:tcBorders>
              <w:top w:val="nil"/>
              <w:left w:val="nil"/>
              <w:bottom w:val="single" w:sz="4" w:space="0" w:color="auto"/>
              <w:right w:val="single" w:sz="4" w:space="0" w:color="auto"/>
            </w:tcBorders>
            <w:shd w:val="clear" w:color="auto" w:fill="auto"/>
            <w:noWrap/>
            <w:vAlign w:val="center"/>
            <w:hideMark/>
          </w:tcPr>
          <w:p w14:paraId="10719D94" w14:textId="77777777" w:rsidR="001119AF" w:rsidRPr="00694ACA" w:rsidRDefault="001119AF" w:rsidP="00807062">
            <w:pPr>
              <w:keepNext/>
              <w:spacing w:after="0"/>
              <w:jc w:val="right"/>
              <w:rPr>
                <w:rFonts w:eastAsia="Times New Roman" w:cs="Calibri"/>
                <w:color w:val="000000"/>
                <w:sz w:val="18"/>
                <w:szCs w:val="20"/>
                <w:lang w:val="ru-RU" w:eastAsia="en-GB" w:bidi="ne-NP"/>
              </w:rPr>
            </w:pPr>
            <w:r w:rsidRPr="00694ACA">
              <w:rPr>
                <w:rFonts w:eastAsia="Times New Roman" w:cs="Calibri"/>
                <w:color w:val="000000"/>
                <w:sz w:val="18"/>
                <w:szCs w:val="20"/>
                <w:lang w:val="ru-RU" w:eastAsia="en-GB" w:bidi="ne-NP"/>
              </w:rPr>
              <w:t>525</w:t>
            </w:r>
          </w:p>
        </w:tc>
        <w:tc>
          <w:tcPr>
            <w:tcW w:w="992" w:type="dxa"/>
            <w:tcBorders>
              <w:top w:val="nil"/>
              <w:left w:val="nil"/>
              <w:bottom w:val="single" w:sz="4" w:space="0" w:color="auto"/>
              <w:right w:val="single" w:sz="4" w:space="0" w:color="auto"/>
            </w:tcBorders>
            <w:shd w:val="clear" w:color="auto" w:fill="auto"/>
            <w:noWrap/>
            <w:vAlign w:val="center"/>
            <w:hideMark/>
          </w:tcPr>
          <w:p w14:paraId="71B6F1A8" w14:textId="77777777" w:rsidR="001119AF" w:rsidRPr="00694ACA" w:rsidRDefault="001119AF" w:rsidP="00807062">
            <w:pPr>
              <w:keepNext/>
              <w:spacing w:after="0"/>
              <w:jc w:val="right"/>
              <w:rPr>
                <w:rFonts w:eastAsia="Times New Roman" w:cs="Calibri"/>
                <w:color w:val="000000"/>
                <w:sz w:val="18"/>
                <w:szCs w:val="20"/>
                <w:lang w:val="ru-RU" w:eastAsia="en-GB" w:bidi="ne-NP"/>
              </w:rPr>
            </w:pPr>
            <w:r w:rsidRPr="00694ACA">
              <w:rPr>
                <w:rFonts w:eastAsia="Times New Roman" w:cs="Calibri"/>
                <w:color w:val="000000"/>
                <w:sz w:val="18"/>
                <w:szCs w:val="20"/>
                <w:lang w:val="ru-RU" w:eastAsia="en-GB" w:bidi="ne-NP"/>
              </w:rPr>
              <w:t>585</w:t>
            </w:r>
          </w:p>
        </w:tc>
        <w:tc>
          <w:tcPr>
            <w:tcW w:w="993" w:type="dxa"/>
            <w:tcBorders>
              <w:top w:val="nil"/>
              <w:left w:val="nil"/>
              <w:bottom w:val="single" w:sz="4" w:space="0" w:color="auto"/>
              <w:right w:val="single" w:sz="4" w:space="0" w:color="auto"/>
            </w:tcBorders>
            <w:shd w:val="clear" w:color="auto" w:fill="auto"/>
            <w:noWrap/>
            <w:vAlign w:val="center"/>
            <w:hideMark/>
          </w:tcPr>
          <w:p w14:paraId="1261B165" w14:textId="77777777" w:rsidR="001119AF" w:rsidRPr="00694ACA" w:rsidRDefault="001119AF" w:rsidP="00807062">
            <w:pPr>
              <w:keepNext/>
              <w:spacing w:after="0"/>
              <w:jc w:val="right"/>
              <w:rPr>
                <w:rFonts w:eastAsia="Times New Roman" w:cs="Calibri"/>
                <w:color w:val="000000"/>
                <w:sz w:val="18"/>
                <w:szCs w:val="20"/>
                <w:lang w:val="ru-RU" w:eastAsia="en-GB" w:bidi="ne-NP"/>
              </w:rPr>
            </w:pPr>
            <w:r w:rsidRPr="00694ACA">
              <w:rPr>
                <w:rFonts w:eastAsia="Times New Roman" w:cs="Calibri"/>
                <w:color w:val="000000"/>
                <w:sz w:val="18"/>
                <w:szCs w:val="20"/>
                <w:lang w:val="ru-RU" w:eastAsia="en-GB" w:bidi="ne-NP"/>
              </w:rPr>
              <w:t>90</w:t>
            </w:r>
          </w:p>
        </w:tc>
      </w:tr>
      <w:tr w:rsidR="001119AF" w:rsidRPr="00694ACA" w14:paraId="4C56D9E0" w14:textId="77777777" w:rsidTr="009C4800">
        <w:trPr>
          <w:trHeight w:val="340"/>
          <w:jc w:val="center"/>
        </w:trPr>
        <w:tc>
          <w:tcPr>
            <w:tcW w:w="4678" w:type="dxa"/>
            <w:tcBorders>
              <w:top w:val="nil"/>
              <w:left w:val="single" w:sz="4" w:space="0" w:color="auto"/>
              <w:bottom w:val="single" w:sz="4" w:space="0" w:color="auto"/>
              <w:right w:val="single" w:sz="4" w:space="0" w:color="auto"/>
            </w:tcBorders>
            <w:shd w:val="clear" w:color="auto" w:fill="auto"/>
            <w:noWrap/>
            <w:vAlign w:val="center"/>
          </w:tcPr>
          <w:p w14:paraId="356022C2" w14:textId="77777777" w:rsidR="001119AF" w:rsidRPr="00694ACA" w:rsidRDefault="001119AF" w:rsidP="00807062">
            <w:pPr>
              <w:keepNext/>
              <w:spacing w:after="0"/>
              <w:rPr>
                <w:rFonts w:eastAsia="Times New Roman" w:cs="Calibri"/>
                <w:b/>
                <w:bCs/>
                <w:color w:val="000000"/>
                <w:sz w:val="18"/>
                <w:szCs w:val="20"/>
                <w:lang w:val="ru-RU" w:eastAsia="en-GB" w:bidi="ne-NP"/>
              </w:rPr>
            </w:pPr>
            <w:r w:rsidRPr="00694ACA">
              <w:rPr>
                <w:rFonts w:eastAsia="Times New Roman" w:cs="Calibri"/>
                <w:b/>
                <w:bCs/>
                <w:color w:val="000000"/>
                <w:sz w:val="18"/>
                <w:szCs w:val="20"/>
                <w:lang w:val="ru-RU" w:eastAsia="en-GB" w:bidi="ne-NP"/>
              </w:rPr>
              <w:t>БР*</w:t>
            </w:r>
          </w:p>
        </w:tc>
        <w:tc>
          <w:tcPr>
            <w:tcW w:w="992" w:type="dxa"/>
            <w:tcBorders>
              <w:top w:val="nil"/>
              <w:left w:val="nil"/>
              <w:bottom w:val="single" w:sz="4" w:space="0" w:color="auto"/>
              <w:right w:val="single" w:sz="4" w:space="0" w:color="auto"/>
            </w:tcBorders>
            <w:shd w:val="clear" w:color="auto" w:fill="auto"/>
            <w:noWrap/>
            <w:vAlign w:val="center"/>
          </w:tcPr>
          <w:p w14:paraId="442230BC" w14:textId="4A47CCA0" w:rsidR="001119AF" w:rsidRPr="00694ACA" w:rsidRDefault="001119AF" w:rsidP="00807062">
            <w:pPr>
              <w:keepNext/>
              <w:spacing w:after="0"/>
              <w:jc w:val="right"/>
              <w:rPr>
                <w:rFonts w:eastAsia="Times New Roman" w:cs="Calibri"/>
                <w:color w:val="000000"/>
                <w:sz w:val="18"/>
                <w:szCs w:val="20"/>
                <w:lang w:val="ru-RU" w:eastAsia="en-GB" w:bidi="ne-NP"/>
              </w:rPr>
            </w:pPr>
            <w:r w:rsidRPr="00694ACA">
              <w:rPr>
                <w:rFonts w:eastAsia="Times New Roman" w:cs="Calibri"/>
                <w:sz w:val="18"/>
                <w:szCs w:val="20"/>
                <w:lang w:val="ru-RU" w:eastAsia="en-GB" w:bidi="ne-NP"/>
              </w:rPr>
              <w:t>265</w:t>
            </w:r>
          </w:p>
        </w:tc>
        <w:tc>
          <w:tcPr>
            <w:tcW w:w="992" w:type="dxa"/>
            <w:tcBorders>
              <w:top w:val="nil"/>
              <w:left w:val="nil"/>
              <w:bottom w:val="single" w:sz="4" w:space="0" w:color="auto"/>
              <w:right w:val="single" w:sz="4" w:space="0" w:color="auto"/>
            </w:tcBorders>
            <w:shd w:val="clear" w:color="auto" w:fill="auto"/>
            <w:noWrap/>
            <w:vAlign w:val="center"/>
          </w:tcPr>
          <w:p w14:paraId="1EDF6EF6" w14:textId="25394D05" w:rsidR="001119AF" w:rsidRPr="00694ACA" w:rsidRDefault="001119AF" w:rsidP="00807062">
            <w:pPr>
              <w:keepNext/>
              <w:spacing w:after="0"/>
              <w:jc w:val="right"/>
              <w:rPr>
                <w:rFonts w:eastAsia="Times New Roman" w:cs="Calibri"/>
                <w:color w:val="000000"/>
                <w:sz w:val="18"/>
                <w:szCs w:val="20"/>
                <w:lang w:val="ru-RU" w:eastAsia="en-GB" w:bidi="ne-NP"/>
              </w:rPr>
            </w:pPr>
            <w:r w:rsidRPr="00694ACA">
              <w:rPr>
                <w:rFonts w:eastAsia="Times New Roman" w:cs="Calibri"/>
                <w:sz w:val="18"/>
                <w:szCs w:val="20"/>
                <w:lang w:val="ru-RU" w:eastAsia="en-GB" w:bidi="ne-NP"/>
              </w:rPr>
              <w:t>127</w:t>
            </w:r>
          </w:p>
        </w:tc>
        <w:tc>
          <w:tcPr>
            <w:tcW w:w="992" w:type="dxa"/>
            <w:tcBorders>
              <w:top w:val="nil"/>
              <w:left w:val="nil"/>
              <w:bottom w:val="single" w:sz="4" w:space="0" w:color="auto"/>
              <w:right w:val="single" w:sz="4" w:space="0" w:color="auto"/>
            </w:tcBorders>
            <w:shd w:val="clear" w:color="auto" w:fill="auto"/>
            <w:noWrap/>
            <w:vAlign w:val="center"/>
          </w:tcPr>
          <w:p w14:paraId="7CB0A8DB" w14:textId="47937FFA" w:rsidR="001119AF" w:rsidRPr="00694ACA" w:rsidRDefault="001119AF" w:rsidP="00807062">
            <w:pPr>
              <w:keepNext/>
              <w:spacing w:after="0"/>
              <w:jc w:val="right"/>
              <w:rPr>
                <w:rFonts w:eastAsia="Times New Roman" w:cs="Calibri"/>
                <w:color w:val="000000"/>
                <w:sz w:val="18"/>
                <w:szCs w:val="20"/>
                <w:lang w:val="ru-RU" w:eastAsia="en-GB" w:bidi="ne-NP"/>
              </w:rPr>
            </w:pPr>
            <w:r w:rsidRPr="00694ACA">
              <w:rPr>
                <w:rFonts w:eastAsia="Times New Roman" w:cs="Calibri"/>
                <w:sz w:val="18"/>
                <w:szCs w:val="20"/>
                <w:lang w:val="ru-RU" w:eastAsia="en-GB" w:bidi="ne-NP"/>
              </w:rPr>
              <w:t>117</w:t>
            </w:r>
          </w:p>
        </w:tc>
        <w:tc>
          <w:tcPr>
            <w:tcW w:w="992" w:type="dxa"/>
            <w:tcBorders>
              <w:top w:val="nil"/>
              <w:left w:val="nil"/>
              <w:bottom w:val="single" w:sz="4" w:space="0" w:color="auto"/>
              <w:right w:val="single" w:sz="4" w:space="0" w:color="auto"/>
            </w:tcBorders>
            <w:shd w:val="clear" w:color="auto" w:fill="auto"/>
            <w:noWrap/>
            <w:vAlign w:val="center"/>
          </w:tcPr>
          <w:p w14:paraId="204AE36E" w14:textId="2B734229" w:rsidR="001119AF" w:rsidRPr="00694ACA" w:rsidRDefault="001119AF" w:rsidP="00807062">
            <w:pPr>
              <w:keepNext/>
              <w:spacing w:after="0"/>
              <w:jc w:val="right"/>
              <w:rPr>
                <w:rFonts w:eastAsia="Times New Roman" w:cs="Calibri"/>
                <w:color w:val="000000"/>
                <w:sz w:val="18"/>
                <w:szCs w:val="20"/>
                <w:lang w:val="ru-RU" w:eastAsia="en-GB" w:bidi="ne-NP"/>
              </w:rPr>
            </w:pPr>
            <w:r w:rsidRPr="00694ACA">
              <w:rPr>
                <w:rFonts w:eastAsia="Times New Roman" w:cs="Calibri"/>
                <w:sz w:val="18"/>
                <w:szCs w:val="20"/>
                <w:lang w:val="ru-RU" w:eastAsia="en-GB" w:bidi="ne-NP"/>
              </w:rPr>
              <w:t>152</w:t>
            </w:r>
          </w:p>
        </w:tc>
        <w:tc>
          <w:tcPr>
            <w:tcW w:w="993" w:type="dxa"/>
            <w:tcBorders>
              <w:top w:val="nil"/>
              <w:left w:val="nil"/>
              <w:bottom w:val="single" w:sz="4" w:space="0" w:color="auto"/>
              <w:right w:val="single" w:sz="4" w:space="0" w:color="auto"/>
            </w:tcBorders>
            <w:shd w:val="clear" w:color="auto" w:fill="auto"/>
            <w:noWrap/>
            <w:vAlign w:val="center"/>
          </w:tcPr>
          <w:p w14:paraId="7403AED3" w14:textId="62EFABCD" w:rsidR="001119AF" w:rsidRPr="00694ACA" w:rsidRDefault="001119AF" w:rsidP="00807062">
            <w:pPr>
              <w:keepNext/>
              <w:spacing w:after="0"/>
              <w:jc w:val="right"/>
              <w:rPr>
                <w:rFonts w:eastAsia="Times New Roman" w:cs="Calibri"/>
                <w:color w:val="000000"/>
                <w:sz w:val="18"/>
                <w:szCs w:val="20"/>
                <w:lang w:val="ru-RU" w:eastAsia="en-GB" w:bidi="ne-NP"/>
              </w:rPr>
            </w:pPr>
            <w:r w:rsidRPr="00694ACA">
              <w:rPr>
                <w:rFonts w:eastAsia="Times New Roman" w:cs="Calibri"/>
                <w:sz w:val="18"/>
                <w:szCs w:val="20"/>
                <w:lang w:val="ru-RU" w:eastAsia="en-GB" w:bidi="ne-NP"/>
              </w:rPr>
              <w:t>101</w:t>
            </w:r>
          </w:p>
        </w:tc>
      </w:tr>
      <w:tr w:rsidR="001119AF" w:rsidRPr="00694ACA" w14:paraId="0482FA88" w14:textId="77777777" w:rsidTr="009C4800">
        <w:trPr>
          <w:trHeight w:val="340"/>
          <w:jc w:val="center"/>
        </w:trPr>
        <w:tc>
          <w:tcPr>
            <w:tcW w:w="4678" w:type="dxa"/>
            <w:tcBorders>
              <w:top w:val="nil"/>
              <w:left w:val="single" w:sz="4" w:space="0" w:color="auto"/>
              <w:bottom w:val="single" w:sz="4" w:space="0" w:color="auto"/>
              <w:right w:val="single" w:sz="4" w:space="0" w:color="auto"/>
            </w:tcBorders>
            <w:shd w:val="clear" w:color="auto" w:fill="auto"/>
            <w:noWrap/>
            <w:vAlign w:val="center"/>
            <w:hideMark/>
          </w:tcPr>
          <w:p w14:paraId="3AF13EB7" w14:textId="77777777" w:rsidR="001119AF" w:rsidRPr="00694ACA" w:rsidRDefault="001119AF" w:rsidP="00807062">
            <w:pPr>
              <w:keepNext/>
              <w:spacing w:after="0"/>
              <w:rPr>
                <w:rFonts w:eastAsia="Times New Roman" w:cs="Calibri"/>
                <w:b/>
                <w:bCs/>
                <w:color w:val="000000"/>
                <w:sz w:val="18"/>
                <w:szCs w:val="20"/>
                <w:lang w:val="ru-RU" w:eastAsia="en-GB" w:bidi="ne-NP"/>
              </w:rPr>
            </w:pPr>
            <w:r w:rsidRPr="00694ACA">
              <w:rPr>
                <w:rFonts w:eastAsia="Times New Roman" w:cs="Calibri"/>
                <w:b/>
                <w:bCs/>
                <w:color w:val="000000"/>
                <w:sz w:val="18"/>
                <w:szCs w:val="20"/>
                <w:lang w:val="ru-RU" w:eastAsia="en-GB" w:bidi="ne-NP"/>
              </w:rPr>
              <w:t>БРЭ – регулярный бюджет*</w:t>
            </w:r>
          </w:p>
        </w:tc>
        <w:tc>
          <w:tcPr>
            <w:tcW w:w="992" w:type="dxa"/>
            <w:tcBorders>
              <w:top w:val="nil"/>
              <w:left w:val="nil"/>
              <w:bottom w:val="single" w:sz="4" w:space="0" w:color="auto"/>
              <w:right w:val="single" w:sz="4" w:space="0" w:color="auto"/>
            </w:tcBorders>
            <w:shd w:val="clear" w:color="auto" w:fill="auto"/>
            <w:noWrap/>
            <w:vAlign w:val="center"/>
            <w:hideMark/>
          </w:tcPr>
          <w:p w14:paraId="53FFD23D" w14:textId="77777777" w:rsidR="001119AF" w:rsidRPr="00694ACA" w:rsidRDefault="001119AF" w:rsidP="00807062">
            <w:pPr>
              <w:keepNext/>
              <w:spacing w:after="0"/>
              <w:jc w:val="right"/>
              <w:rPr>
                <w:rFonts w:eastAsia="Times New Roman" w:cs="Calibri"/>
                <w:color w:val="000000"/>
                <w:sz w:val="18"/>
                <w:szCs w:val="20"/>
                <w:lang w:val="ru-RU" w:eastAsia="en-GB" w:bidi="ne-NP"/>
              </w:rPr>
            </w:pPr>
            <w:r w:rsidRPr="00694ACA">
              <w:rPr>
                <w:rFonts w:eastAsia="Times New Roman" w:cs="Calibri"/>
                <w:color w:val="000000"/>
                <w:sz w:val="18"/>
                <w:szCs w:val="20"/>
                <w:lang w:val="ru-RU" w:eastAsia="en-GB" w:bidi="ne-NP"/>
              </w:rPr>
              <w:t>841</w:t>
            </w:r>
          </w:p>
        </w:tc>
        <w:tc>
          <w:tcPr>
            <w:tcW w:w="992" w:type="dxa"/>
            <w:tcBorders>
              <w:top w:val="nil"/>
              <w:left w:val="nil"/>
              <w:bottom w:val="single" w:sz="4" w:space="0" w:color="auto"/>
              <w:right w:val="single" w:sz="4" w:space="0" w:color="auto"/>
            </w:tcBorders>
            <w:shd w:val="clear" w:color="auto" w:fill="auto"/>
            <w:noWrap/>
            <w:vAlign w:val="center"/>
            <w:hideMark/>
          </w:tcPr>
          <w:p w14:paraId="18314D3F" w14:textId="77777777" w:rsidR="001119AF" w:rsidRPr="00694ACA" w:rsidRDefault="001119AF" w:rsidP="00807062">
            <w:pPr>
              <w:keepNext/>
              <w:spacing w:after="0"/>
              <w:jc w:val="right"/>
              <w:rPr>
                <w:rFonts w:eastAsia="Times New Roman" w:cs="Calibri"/>
                <w:color w:val="000000"/>
                <w:sz w:val="18"/>
                <w:szCs w:val="20"/>
                <w:lang w:val="ru-RU" w:eastAsia="en-GB" w:bidi="ne-NP"/>
              </w:rPr>
            </w:pPr>
            <w:r w:rsidRPr="00694ACA">
              <w:rPr>
                <w:rFonts w:eastAsia="Times New Roman" w:cs="Calibri"/>
                <w:color w:val="000000"/>
                <w:sz w:val="18"/>
                <w:szCs w:val="20"/>
                <w:lang w:val="ru-RU" w:eastAsia="en-GB" w:bidi="ne-NP"/>
              </w:rPr>
              <w:t>906</w:t>
            </w:r>
          </w:p>
        </w:tc>
        <w:tc>
          <w:tcPr>
            <w:tcW w:w="992" w:type="dxa"/>
            <w:tcBorders>
              <w:top w:val="nil"/>
              <w:left w:val="nil"/>
              <w:bottom w:val="single" w:sz="4" w:space="0" w:color="auto"/>
              <w:right w:val="single" w:sz="4" w:space="0" w:color="auto"/>
            </w:tcBorders>
            <w:shd w:val="clear" w:color="auto" w:fill="auto"/>
            <w:noWrap/>
            <w:vAlign w:val="center"/>
            <w:hideMark/>
          </w:tcPr>
          <w:p w14:paraId="366D309F" w14:textId="77777777" w:rsidR="001119AF" w:rsidRPr="00694ACA" w:rsidRDefault="001119AF" w:rsidP="00807062">
            <w:pPr>
              <w:keepNext/>
              <w:spacing w:after="0"/>
              <w:jc w:val="right"/>
              <w:rPr>
                <w:rFonts w:eastAsia="Times New Roman" w:cs="Calibri"/>
                <w:color w:val="000000"/>
                <w:sz w:val="18"/>
                <w:szCs w:val="20"/>
                <w:lang w:val="ru-RU" w:eastAsia="en-GB" w:bidi="ne-NP"/>
              </w:rPr>
            </w:pPr>
            <w:r w:rsidRPr="00694ACA">
              <w:rPr>
                <w:rFonts w:eastAsia="Times New Roman" w:cs="Calibri"/>
                <w:color w:val="000000"/>
                <w:sz w:val="18"/>
                <w:szCs w:val="20"/>
                <w:lang w:val="ru-RU" w:eastAsia="en-GB" w:bidi="ne-NP"/>
              </w:rPr>
              <w:t>970</w:t>
            </w:r>
          </w:p>
        </w:tc>
        <w:tc>
          <w:tcPr>
            <w:tcW w:w="992" w:type="dxa"/>
            <w:tcBorders>
              <w:top w:val="nil"/>
              <w:left w:val="nil"/>
              <w:bottom w:val="single" w:sz="4" w:space="0" w:color="auto"/>
              <w:right w:val="single" w:sz="4" w:space="0" w:color="auto"/>
            </w:tcBorders>
            <w:shd w:val="clear" w:color="auto" w:fill="auto"/>
            <w:noWrap/>
            <w:vAlign w:val="center"/>
            <w:hideMark/>
          </w:tcPr>
          <w:p w14:paraId="15EF0939" w14:textId="77777777" w:rsidR="001119AF" w:rsidRPr="00694ACA" w:rsidRDefault="001119AF" w:rsidP="00807062">
            <w:pPr>
              <w:keepNext/>
              <w:spacing w:after="0"/>
              <w:jc w:val="right"/>
              <w:rPr>
                <w:rFonts w:eastAsia="Times New Roman" w:cs="Calibri"/>
                <w:color w:val="000000"/>
                <w:sz w:val="18"/>
                <w:szCs w:val="20"/>
                <w:lang w:val="ru-RU" w:eastAsia="en-GB" w:bidi="ne-NP"/>
              </w:rPr>
            </w:pPr>
            <w:r w:rsidRPr="00694ACA">
              <w:rPr>
                <w:rFonts w:eastAsia="Times New Roman" w:cs="Calibri"/>
                <w:color w:val="000000"/>
                <w:sz w:val="18"/>
                <w:szCs w:val="20"/>
                <w:lang w:val="ru-RU" w:eastAsia="en-GB" w:bidi="ne-NP"/>
              </w:rPr>
              <w:t>1 179</w:t>
            </w:r>
          </w:p>
        </w:tc>
        <w:tc>
          <w:tcPr>
            <w:tcW w:w="993" w:type="dxa"/>
            <w:tcBorders>
              <w:top w:val="nil"/>
              <w:left w:val="nil"/>
              <w:bottom w:val="single" w:sz="4" w:space="0" w:color="auto"/>
              <w:right w:val="single" w:sz="4" w:space="0" w:color="auto"/>
            </w:tcBorders>
            <w:shd w:val="clear" w:color="auto" w:fill="auto"/>
            <w:noWrap/>
            <w:vAlign w:val="center"/>
            <w:hideMark/>
          </w:tcPr>
          <w:p w14:paraId="0E4191CC" w14:textId="77777777" w:rsidR="001119AF" w:rsidRPr="00694ACA" w:rsidRDefault="001119AF" w:rsidP="00807062">
            <w:pPr>
              <w:keepNext/>
              <w:spacing w:after="0"/>
              <w:jc w:val="right"/>
              <w:rPr>
                <w:rFonts w:eastAsia="Times New Roman" w:cs="Calibri"/>
                <w:color w:val="000000"/>
                <w:sz w:val="18"/>
                <w:szCs w:val="20"/>
                <w:lang w:val="ru-RU" w:eastAsia="en-GB" w:bidi="ne-NP"/>
              </w:rPr>
            </w:pPr>
            <w:r w:rsidRPr="00694ACA">
              <w:rPr>
                <w:rFonts w:eastAsia="Times New Roman" w:cs="Calibri"/>
                <w:color w:val="000000"/>
                <w:sz w:val="18"/>
                <w:szCs w:val="20"/>
                <w:lang w:val="ru-RU" w:eastAsia="en-GB" w:bidi="ne-NP"/>
              </w:rPr>
              <w:t>727</w:t>
            </w:r>
          </w:p>
        </w:tc>
      </w:tr>
      <w:tr w:rsidR="001119AF" w:rsidRPr="00694ACA" w14:paraId="0707F790" w14:textId="77777777" w:rsidTr="009C4800">
        <w:trPr>
          <w:trHeight w:val="340"/>
          <w:jc w:val="center"/>
        </w:trPr>
        <w:tc>
          <w:tcPr>
            <w:tcW w:w="4678" w:type="dxa"/>
            <w:tcBorders>
              <w:top w:val="nil"/>
              <w:left w:val="single" w:sz="4" w:space="0" w:color="auto"/>
              <w:bottom w:val="single" w:sz="4" w:space="0" w:color="auto"/>
              <w:right w:val="single" w:sz="4" w:space="0" w:color="auto"/>
            </w:tcBorders>
            <w:shd w:val="clear" w:color="auto" w:fill="auto"/>
            <w:noWrap/>
            <w:vAlign w:val="center"/>
            <w:hideMark/>
          </w:tcPr>
          <w:p w14:paraId="2FD1E875" w14:textId="77777777" w:rsidR="001119AF" w:rsidRPr="00694ACA" w:rsidRDefault="001119AF" w:rsidP="00807062">
            <w:pPr>
              <w:keepNext/>
              <w:spacing w:after="0"/>
              <w:rPr>
                <w:rFonts w:eastAsia="Times New Roman" w:cs="Calibri"/>
                <w:b/>
                <w:bCs/>
                <w:color w:val="000000"/>
                <w:sz w:val="18"/>
                <w:szCs w:val="20"/>
                <w:lang w:val="ru-RU" w:eastAsia="en-GB" w:bidi="ne-NP"/>
              </w:rPr>
            </w:pPr>
            <w:r w:rsidRPr="00694ACA">
              <w:rPr>
                <w:rFonts w:eastAsia="Times New Roman" w:cs="Calibri"/>
                <w:b/>
                <w:bCs/>
                <w:color w:val="000000"/>
                <w:sz w:val="18"/>
                <w:szCs w:val="20"/>
                <w:lang w:val="ru-RU" w:eastAsia="en-GB" w:bidi="ne-NP"/>
              </w:rPr>
              <w:t>БРЭ – внебюджетное финансирование*</w:t>
            </w:r>
          </w:p>
        </w:tc>
        <w:tc>
          <w:tcPr>
            <w:tcW w:w="992" w:type="dxa"/>
            <w:tcBorders>
              <w:top w:val="nil"/>
              <w:left w:val="nil"/>
              <w:bottom w:val="single" w:sz="4" w:space="0" w:color="auto"/>
              <w:right w:val="single" w:sz="4" w:space="0" w:color="auto"/>
            </w:tcBorders>
            <w:shd w:val="clear" w:color="auto" w:fill="auto"/>
            <w:noWrap/>
            <w:vAlign w:val="center"/>
            <w:hideMark/>
          </w:tcPr>
          <w:p w14:paraId="22CF9B0F" w14:textId="77777777" w:rsidR="001119AF" w:rsidRPr="00694ACA" w:rsidRDefault="001119AF" w:rsidP="00807062">
            <w:pPr>
              <w:keepNext/>
              <w:spacing w:after="0"/>
              <w:jc w:val="right"/>
              <w:rPr>
                <w:rFonts w:eastAsia="Times New Roman" w:cs="Calibri"/>
                <w:color w:val="000000"/>
                <w:sz w:val="18"/>
                <w:szCs w:val="20"/>
                <w:lang w:val="ru-RU" w:eastAsia="en-GB" w:bidi="ne-NP"/>
              </w:rPr>
            </w:pPr>
            <w:r w:rsidRPr="00694ACA">
              <w:rPr>
                <w:rFonts w:eastAsia="Times New Roman" w:cs="Calibri"/>
                <w:color w:val="000000"/>
                <w:sz w:val="18"/>
                <w:szCs w:val="20"/>
                <w:lang w:val="ru-RU" w:eastAsia="en-GB" w:bidi="ne-NP"/>
              </w:rPr>
              <w:t>1 794</w:t>
            </w:r>
          </w:p>
        </w:tc>
        <w:tc>
          <w:tcPr>
            <w:tcW w:w="992" w:type="dxa"/>
            <w:tcBorders>
              <w:top w:val="nil"/>
              <w:left w:val="nil"/>
              <w:bottom w:val="single" w:sz="4" w:space="0" w:color="auto"/>
              <w:right w:val="single" w:sz="4" w:space="0" w:color="auto"/>
            </w:tcBorders>
            <w:shd w:val="clear" w:color="auto" w:fill="auto"/>
            <w:noWrap/>
            <w:vAlign w:val="center"/>
            <w:hideMark/>
          </w:tcPr>
          <w:p w14:paraId="117C5E07" w14:textId="77777777" w:rsidR="001119AF" w:rsidRPr="00694ACA" w:rsidRDefault="001119AF" w:rsidP="00807062">
            <w:pPr>
              <w:keepNext/>
              <w:spacing w:after="0"/>
              <w:jc w:val="right"/>
              <w:rPr>
                <w:rFonts w:eastAsia="Times New Roman" w:cs="Calibri"/>
                <w:color w:val="000000"/>
                <w:sz w:val="18"/>
                <w:szCs w:val="20"/>
                <w:lang w:val="ru-RU" w:eastAsia="en-GB" w:bidi="ne-NP"/>
              </w:rPr>
            </w:pPr>
            <w:r w:rsidRPr="00694ACA">
              <w:rPr>
                <w:rFonts w:eastAsia="Times New Roman" w:cs="Calibri"/>
                <w:color w:val="000000"/>
                <w:sz w:val="18"/>
                <w:szCs w:val="20"/>
                <w:lang w:val="ru-RU" w:eastAsia="en-GB" w:bidi="ne-NP"/>
              </w:rPr>
              <w:t>2 192</w:t>
            </w:r>
          </w:p>
        </w:tc>
        <w:tc>
          <w:tcPr>
            <w:tcW w:w="992" w:type="dxa"/>
            <w:tcBorders>
              <w:top w:val="nil"/>
              <w:left w:val="nil"/>
              <w:bottom w:val="single" w:sz="4" w:space="0" w:color="auto"/>
              <w:right w:val="single" w:sz="4" w:space="0" w:color="auto"/>
            </w:tcBorders>
            <w:shd w:val="clear" w:color="auto" w:fill="auto"/>
            <w:noWrap/>
            <w:vAlign w:val="center"/>
            <w:hideMark/>
          </w:tcPr>
          <w:p w14:paraId="6B2FE245" w14:textId="77777777" w:rsidR="001119AF" w:rsidRPr="00694ACA" w:rsidRDefault="001119AF" w:rsidP="00807062">
            <w:pPr>
              <w:keepNext/>
              <w:spacing w:after="0"/>
              <w:jc w:val="right"/>
              <w:rPr>
                <w:rFonts w:eastAsia="Times New Roman" w:cs="Calibri"/>
                <w:color w:val="000000"/>
                <w:sz w:val="18"/>
                <w:szCs w:val="20"/>
                <w:lang w:val="ru-RU" w:eastAsia="en-GB" w:bidi="ne-NP"/>
              </w:rPr>
            </w:pPr>
            <w:r w:rsidRPr="00694ACA">
              <w:rPr>
                <w:rFonts w:eastAsia="Times New Roman" w:cs="Calibri"/>
                <w:color w:val="000000"/>
                <w:sz w:val="18"/>
                <w:szCs w:val="20"/>
                <w:lang w:val="ru-RU" w:eastAsia="en-GB" w:bidi="ne-NP"/>
              </w:rPr>
              <w:t>1 753</w:t>
            </w:r>
          </w:p>
        </w:tc>
        <w:tc>
          <w:tcPr>
            <w:tcW w:w="992" w:type="dxa"/>
            <w:tcBorders>
              <w:top w:val="nil"/>
              <w:left w:val="nil"/>
              <w:bottom w:val="single" w:sz="4" w:space="0" w:color="auto"/>
              <w:right w:val="single" w:sz="4" w:space="0" w:color="auto"/>
            </w:tcBorders>
            <w:shd w:val="clear" w:color="auto" w:fill="auto"/>
            <w:noWrap/>
            <w:vAlign w:val="center"/>
            <w:hideMark/>
          </w:tcPr>
          <w:p w14:paraId="270865F5" w14:textId="77777777" w:rsidR="001119AF" w:rsidRPr="00694ACA" w:rsidRDefault="001119AF" w:rsidP="00807062">
            <w:pPr>
              <w:keepNext/>
              <w:spacing w:after="0"/>
              <w:jc w:val="right"/>
              <w:rPr>
                <w:rFonts w:eastAsia="Times New Roman" w:cs="Calibri"/>
                <w:color w:val="000000"/>
                <w:sz w:val="18"/>
                <w:szCs w:val="20"/>
                <w:lang w:val="ru-RU" w:eastAsia="en-GB" w:bidi="ne-NP"/>
              </w:rPr>
            </w:pPr>
            <w:r w:rsidRPr="00694ACA">
              <w:rPr>
                <w:rFonts w:eastAsia="Times New Roman" w:cs="Calibri"/>
                <w:color w:val="000000"/>
                <w:sz w:val="18"/>
                <w:szCs w:val="20"/>
                <w:lang w:val="ru-RU" w:eastAsia="en-GB" w:bidi="ne-NP"/>
              </w:rPr>
              <w:t>1 628</w:t>
            </w:r>
          </w:p>
        </w:tc>
        <w:tc>
          <w:tcPr>
            <w:tcW w:w="993" w:type="dxa"/>
            <w:tcBorders>
              <w:top w:val="nil"/>
              <w:left w:val="nil"/>
              <w:bottom w:val="single" w:sz="4" w:space="0" w:color="auto"/>
              <w:right w:val="single" w:sz="4" w:space="0" w:color="auto"/>
            </w:tcBorders>
            <w:shd w:val="clear" w:color="auto" w:fill="auto"/>
            <w:noWrap/>
            <w:vAlign w:val="center"/>
            <w:hideMark/>
          </w:tcPr>
          <w:p w14:paraId="083C2945" w14:textId="77777777" w:rsidR="001119AF" w:rsidRPr="00694ACA" w:rsidRDefault="001119AF" w:rsidP="00807062">
            <w:pPr>
              <w:keepNext/>
              <w:spacing w:after="0"/>
              <w:jc w:val="right"/>
              <w:rPr>
                <w:rFonts w:eastAsia="Times New Roman" w:cs="Calibri"/>
                <w:color w:val="000000"/>
                <w:sz w:val="18"/>
                <w:szCs w:val="20"/>
                <w:lang w:val="ru-RU" w:eastAsia="en-GB" w:bidi="ne-NP"/>
              </w:rPr>
            </w:pPr>
            <w:r w:rsidRPr="00694ACA">
              <w:rPr>
                <w:rFonts w:eastAsia="Times New Roman" w:cs="Calibri"/>
                <w:color w:val="000000"/>
                <w:sz w:val="18"/>
                <w:szCs w:val="20"/>
                <w:lang w:val="ru-RU" w:eastAsia="en-GB" w:bidi="ne-NP"/>
              </w:rPr>
              <w:t xml:space="preserve">597 </w:t>
            </w:r>
          </w:p>
        </w:tc>
      </w:tr>
      <w:tr w:rsidR="001119AF" w:rsidRPr="00694ACA" w14:paraId="4A493BBA" w14:textId="77777777" w:rsidTr="009C4800">
        <w:trPr>
          <w:trHeight w:val="340"/>
          <w:jc w:val="center"/>
        </w:trPr>
        <w:tc>
          <w:tcPr>
            <w:tcW w:w="4678" w:type="dxa"/>
            <w:tcBorders>
              <w:top w:val="nil"/>
              <w:left w:val="single" w:sz="4" w:space="0" w:color="auto"/>
              <w:bottom w:val="single" w:sz="4" w:space="0" w:color="auto"/>
              <w:right w:val="single" w:sz="4" w:space="0" w:color="auto"/>
            </w:tcBorders>
            <w:shd w:val="clear" w:color="auto" w:fill="auto"/>
            <w:noWrap/>
            <w:vAlign w:val="center"/>
            <w:hideMark/>
          </w:tcPr>
          <w:p w14:paraId="57B10B54" w14:textId="77777777" w:rsidR="001119AF" w:rsidRPr="00694ACA" w:rsidRDefault="001119AF" w:rsidP="00807062">
            <w:pPr>
              <w:keepNext/>
              <w:spacing w:after="0"/>
              <w:rPr>
                <w:rFonts w:eastAsia="Times New Roman" w:cs="Calibri"/>
                <w:b/>
                <w:bCs/>
                <w:color w:val="000000"/>
                <w:sz w:val="18"/>
                <w:szCs w:val="20"/>
                <w:lang w:val="ru-RU" w:eastAsia="en-GB" w:bidi="ne-NP"/>
              </w:rPr>
            </w:pPr>
            <w:r w:rsidRPr="00694ACA">
              <w:rPr>
                <w:rFonts w:eastAsia="Times New Roman" w:cs="Calibri"/>
                <w:b/>
                <w:bCs/>
                <w:color w:val="000000"/>
                <w:sz w:val="18"/>
                <w:szCs w:val="20"/>
                <w:lang w:val="ru-RU" w:eastAsia="en-GB" w:bidi="ne-NP"/>
              </w:rPr>
              <w:t>Профессиональная подготовка персонала МСЭ</w:t>
            </w:r>
          </w:p>
        </w:tc>
        <w:tc>
          <w:tcPr>
            <w:tcW w:w="992" w:type="dxa"/>
            <w:tcBorders>
              <w:top w:val="nil"/>
              <w:left w:val="nil"/>
              <w:bottom w:val="single" w:sz="4" w:space="0" w:color="auto"/>
              <w:right w:val="single" w:sz="4" w:space="0" w:color="auto"/>
            </w:tcBorders>
            <w:shd w:val="clear" w:color="auto" w:fill="auto"/>
            <w:noWrap/>
            <w:vAlign w:val="center"/>
            <w:hideMark/>
          </w:tcPr>
          <w:p w14:paraId="3E0C8250" w14:textId="77777777" w:rsidR="001119AF" w:rsidRPr="00694ACA" w:rsidRDefault="001119AF" w:rsidP="00807062">
            <w:pPr>
              <w:keepNext/>
              <w:spacing w:after="0"/>
              <w:jc w:val="right"/>
              <w:rPr>
                <w:rFonts w:eastAsia="Times New Roman" w:cs="Calibri"/>
                <w:color w:val="000000"/>
                <w:sz w:val="18"/>
                <w:szCs w:val="20"/>
                <w:lang w:val="ru-RU" w:eastAsia="en-GB" w:bidi="ne-NP"/>
              </w:rPr>
            </w:pPr>
            <w:r w:rsidRPr="00694ACA">
              <w:rPr>
                <w:rFonts w:eastAsia="Times New Roman" w:cs="Calibri"/>
                <w:color w:val="000000"/>
                <w:sz w:val="18"/>
                <w:szCs w:val="20"/>
                <w:lang w:val="ru-RU" w:eastAsia="en-GB" w:bidi="ne-NP"/>
              </w:rPr>
              <w:t>469</w:t>
            </w:r>
          </w:p>
        </w:tc>
        <w:tc>
          <w:tcPr>
            <w:tcW w:w="992" w:type="dxa"/>
            <w:tcBorders>
              <w:top w:val="nil"/>
              <w:left w:val="nil"/>
              <w:bottom w:val="single" w:sz="4" w:space="0" w:color="auto"/>
              <w:right w:val="single" w:sz="4" w:space="0" w:color="auto"/>
            </w:tcBorders>
            <w:shd w:val="clear" w:color="auto" w:fill="auto"/>
            <w:noWrap/>
            <w:vAlign w:val="center"/>
            <w:hideMark/>
          </w:tcPr>
          <w:p w14:paraId="00F00704" w14:textId="77777777" w:rsidR="001119AF" w:rsidRPr="00694ACA" w:rsidRDefault="001119AF" w:rsidP="00807062">
            <w:pPr>
              <w:keepNext/>
              <w:spacing w:after="0"/>
              <w:jc w:val="right"/>
              <w:rPr>
                <w:rFonts w:eastAsia="Times New Roman" w:cs="Calibri"/>
                <w:color w:val="000000"/>
                <w:sz w:val="18"/>
                <w:szCs w:val="20"/>
                <w:lang w:val="ru-RU" w:eastAsia="en-GB" w:bidi="ne-NP"/>
              </w:rPr>
            </w:pPr>
            <w:r w:rsidRPr="00694ACA">
              <w:rPr>
                <w:rFonts w:eastAsia="Times New Roman" w:cs="Calibri"/>
                <w:color w:val="000000"/>
                <w:sz w:val="18"/>
                <w:szCs w:val="20"/>
                <w:lang w:val="ru-RU" w:eastAsia="en-GB" w:bidi="ne-NP"/>
              </w:rPr>
              <w:t>427</w:t>
            </w:r>
          </w:p>
        </w:tc>
        <w:tc>
          <w:tcPr>
            <w:tcW w:w="992" w:type="dxa"/>
            <w:tcBorders>
              <w:top w:val="nil"/>
              <w:left w:val="nil"/>
              <w:bottom w:val="single" w:sz="4" w:space="0" w:color="auto"/>
              <w:right w:val="single" w:sz="4" w:space="0" w:color="auto"/>
            </w:tcBorders>
            <w:shd w:val="clear" w:color="auto" w:fill="auto"/>
            <w:noWrap/>
            <w:vAlign w:val="center"/>
            <w:hideMark/>
          </w:tcPr>
          <w:p w14:paraId="1349D0AA" w14:textId="77777777" w:rsidR="001119AF" w:rsidRPr="00694ACA" w:rsidRDefault="001119AF" w:rsidP="00807062">
            <w:pPr>
              <w:keepNext/>
              <w:spacing w:after="0"/>
              <w:jc w:val="right"/>
              <w:rPr>
                <w:rFonts w:eastAsia="Times New Roman" w:cs="Calibri"/>
                <w:color w:val="000000"/>
                <w:sz w:val="18"/>
                <w:szCs w:val="20"/>
                <w:lang w:val="ru-RU" w:eastAsia="en-GB" w:bidi="ne-NP"/>
              </w:rPr>
            </w:pPr>
            <w:r w:rsidRPr="00694ACA">
              <w:rPr>
                <w:rFonts w:eastAsia="Times New Roman" w:cs="Calibri"/>
                <w:color w:val="000000"/>
                <w:sz w:val="18"/>
                <w:szCs w:val="20"/>
                <w:lang w:val="ru-RU" w:eastAsia="en-GB" w:bidi="ne-NP"/>
              </w:rPr>
              <w:t>478</w:t>
            </w:r>
          </w:p>
        </w:tc>
        <w:tc>
          <w:tcPr>
            <w:tcW w:w="992" w:type="dxa"/>
            <w:tcBorders>
              <w:top w:val="nil"/>
              <w:left w:val="nil"/>
              <w:bottom w:val="single" w:sz="4" w:space="0" w:color="auto"/>
              <w:right w:val="single" w:sz="4" w:space="0" w:color="auto"/>
            </w:tcBorders>
            <w:shd w:val="clear" w:color="auto" w:fill="auto"/>
            <w:noWrap/>
            <w:vAlign w:val="center"/>
            <w:hideMark/>
          </w:tcPr>
          <w:p w14:paraId="11D6C3AF" w14:textId="77777777" w:rsidR="001119AF" w:rsidRPr="00694ACA" w:rsidRDefault="001119AF" w:rsidP="00807062">
            <w:pPr>
              <w:keepNext/>
              <w:spacing w:after="0"/>
              <w:jc w:val="right"/>
              <w:rPr>
                <w:rFonts w:eastAsia="Times New Roman" w:cs="Calibri"/>
                <w:color w:val="000000"/>
                <w:sz w:val="18"/>
                <w:szCs w:val="20"/>
                <w:lang w:val="ru-RU" w:eastAsia="en-GB" w:bidi="ne-NP"/>
              </w:rPr>
            </w:pPr>
            <w:r w:rsidRPr="00694ACA">
              <w:rPr>
                <w:rFonts w:eastAsia="Times New Roman" w:cs="Calibri"/>
                <w:color w:val="000000"/>
                <w:sz w:val="18"/>
                <w:szCs w:val="20"/>
                <w:lang w:val="ru-RU" w:eastAsia="en-GB" w:bidi="ne-NP"/>
              </w:rPr>
              <w:t>482</w:t>
            </w:r>
          </w:p>
        </w:tc>
        <w:tc>
          <w:tcPr>
            <w:tcW w:w="993" w:type="dxa"/>
            <w:tcBorders>
              <w:top w:val="nil"/>
              <w:left w:val="nil"/>
              <w:bottom w:val="single" w:sz="4" w:space="0" w:color="auto"/>
              <w:right w:val="single" w:sz="4" w:space="0" w:color="auto"/>
            </w:tcBorders>
            <w:shd w:val="clear" w:color="auto" w:fill="auto"/>
            <w:noWrap/>
            <w:vAlign w:val="center"/>
            <w:hideMark/>
          </w:tcPr>
          <w:p w14:paraId="771DB8D8" w14:textId="77777777" w:rsidR="001119AF" w:rsidRPr="00694ACA" w:rsidRDefault="001119AF" w:rsidP="00807062">
            <w:pPr>
              <w:keepNext/>
              <w:spacing w:after="0"/>
              <w:jc w:val="right"/>
              <w:rPr>
                <w:rFonts w:eastAsia="Times New Roman" w:cs="Calibri"/>
                <w:color w:val="000000"/>
                <w:sz w:val="18"/>
                <w:szCs w:val="20"/>
                <w:lang w:val="ru-RU" w:eastAsia="en-GB" w:bidi="ne-NP"/>
              </w:rPr>
            </w:pPr>
            <w:r w:rsidRPr="00694ACA">
              <w:rPr>
                <w:rFonts w:eastAsia="Times New Roman" w:cs="Calibri"/>
                <w:color w:val="000000"/>
                <w:sz w:val="18"/>
                <w:szCs w:val="20"/>
                <w:lang w:val="ru-RU" w:eastAsia="en-GB" w:bidi="ne-NP"/>
              </w:rPr>
              <w:t xml:space="preserve">422 </w:t>
            </w:r>
          </w:p>
        </w:tc>
      </w:tr>
      <w:tr w:rsidR="001119AF" w:rsidRPr="00694ACA" w14:paraId="325E4643" w14:textId="77777777" w:rsidTr="009C4800">
        <w:trPr>
          <w:trHeight w:val="340"/>
          <w:jc w:val="center"/>
        </w:trPr>
        <w:tc>
          <w:tcPr>
            <w:tcW w:w="4678" w:type="dxa"/>
            <w:tcBorders>
              <w:top w:val="nil"/>
              <w:left w:val="single" w:sz="4" w:space="0" w:color="auto"/>
              <w:bottom w:val="single" w:sz="4" w:space="0" w:color="auto"/>
              <w:right w:val="single" w:sz="4" w:space="0" w:color="auto"/>
            </w:tcBorders>
            <w:shd w:val="clear" w:color="auto" w:fill="auto"/>
            <w:noWrap/>
            <w:vAlign w:val="center"/>
          </w:tcPr>
          <w:p w14:paraId="76853D89" w14:textId="77777777" w:rsidR="001119AF" w:rsidRPr="00694ACA" w:rsidRDefault="001119AF" w:rsidP="002B0D90">
            <w:pPr>
              <w:spacing w:after="0"/>
              <w:rPr>
                <w:rFonts w:eastAsia="Times New Roman" w:cs="Calibri"/>
                <w:b/>
                <w:bCs/>
                <w:color w:val="000000"/>
                <w:sz w:val="18"/>
                <w:szCs w:val="20"/>
                <w:lang w:val="ru-RU" w:eastAsia="en-GB" w:bidi="ne-NP"/>
              </w:rPr>
            </w:pPr>
            <w:r w:rsidRPr="00694ACA">
              <w:rPr>
                <w:rFonts w:eastAsia="Times New Roman" w:cs="Calibri"/>
                <w:b/>
                <w:bCs/>
                <w:color w:val="000000"/>
                <w:sz w:val="18"/>
                <w:szCs w:val="20"/>
                <w:lang w:val="ru-RU" w:eastAsia="en-GB" w:bidi="ne-NP"/>
              </w:rPr>
              <w:t>ИТОГО</w:t>
            </w:r>
          </w:p>
        </w:tc>
        <w:tc>
          <w:tcPr>
            <w:tcW w:w="992" w:type="dxa"/>
            <w:tcBorders>
              <w:top w:val="nil"/>
              <w:left w:val="nil"/>
              <w:bottom w:val="single" w:sz="4" w:space="0" w:color="auto"/>
              <w:right w:val="single" w:sz="4" w:space="0" w:color="auto"/>
            </w:tcBorders>
            <w:shd w:val="clear" w:color="auto" w:fill="auto"/>
            <w:noWrap/>
            <w:vAlign w:val="center"/>
          </w:tcPr>
          <w:p w14:paraId="7096B158" w14:textId="77777777" w:rsidR="001119AF" w:rsidRPr="00694ACA" w:rsidRDefault="001119AF" w:rsidP="002B0D90">
            <w:pPr>
              <w:spacing w:after="0"/>
              <w:jc w:val="right"/>
              <w:rPr>
                <w:rFonts w:eastAsia="Times New Roman" w:cs="Calibri"/>
                <w:color w:val="000000"/>
                <w:sz w:val="18"/>
                <w:szCs w:val="20"/>
                <w:lang w:val="ru-RU" w:eastAsia="en-GB" w:bidi="ne-NP"/>
              </w:rPr>
            </w:pPr>
            <w:r w:rsidRPr="00694ACA">
              <w:rPr>
                <w:rFonts w:eastAsia="Times New Roman" w:cs="Calibri"/>
                <w:b/>
                <w:bCs/>
                <w:color w:val="000000"/>
                <w:sz w:val="18"/>
                <w:szCs w:val="20"/>
                <w:lang w:val="ru-RU" w:eastAsia="en-GB" w:bidi="ne-NP"/>
              </w:rPr>
              <w:t>3 824</w:t>
            </w:r>
          </w:p>
        </w:tc>
        <w:tc>
          <w:tcPr>
            <w:tcW w:w="992" w:type="dxa"/>
            <w:tcBorders>
              <w:top w:val="nil"/>
              <w:left w:val="nil"/>
              <w:bottom w:val="single" w:sz="4" w:space="0" w:color="auto"/>
              <w:right w:val="single" w:sz="4" w:space="0" w:color="auto"/>
            </w:tcBorders>
            <w:shd w:val="clear" w:color="auto" w:fill="auto"/>
            <w:noWrap/>
            <w:vAlign w:val="center"/>
          </w:tcPr>
          <w:p w14:paraId="601E717B" w14:textId="77777777" w:rsidR="001119AF" w:rsidRPr="00694ACA" w:rsidRDefault="001119AF" w:rsidP="002B0D90">
            <w:pPr>
              <w:spacing w:after="0"/>
              <w:jc w:val="right"/>
              <w:rPr>
                <w:rFonts w:eastAsia="Times New Roman" w:cs="Calibri"/>
                <w:color w:val="000000"/>
                <w:sz w:val="18"/>
                <w:szCs w:val="20"/>
                <w:lang w:val="ru-RU" w:eastAsia="en-GB" w:bidi="ne-NP"/>
              </w:rPr>
            </w:pPr>
            <w:r w:rsidRPr="00694ACA">
              <w:rPr>
                <w:rFonts w:eastAsia="Times New Roman" w:cs="Calibri"/>
                <w:b/>
                <w:bCs/>
                <w:color w:val="000000"/>
                <w:sz w:val="18"/>
                <w:szCs w:val="20"/>
                <w:lang w:val="ru-RU" w:eastAsia="en-GB" w:bidi="ne-NP"/>
              </w:rPr>
              <w:t>4 112</w:t>
            </w:r>
          </w:p>
        </w:tc>
        <w:tc>
          <w:tcPr>
            <w:tcW w:w="992" w:type="dxa"/>
            <w:tcBorders>
              <w:top w:val="nil"/>
              <w:left w:val="nil"/>
              <w:bottom w:val="single" w:sz="4" w:space="0" w:color="auto"/>
              <w:right w:val="single" w:sz="4" w:space="0" w:color="auto"/>
            </w:tcBorders>
            <w:shd w:val="clear" w:color="auto" w:fill="auto"/>
            <w:noWrap/>
            <w:vAlign w:val="center"/>
          </w:tcPr>
          <w:p w14:paraId="0AF466E9" w14:textId="77777777" w:rsidR="001119AF" w:rsidRPr="00694ACA" w:rsidRDefault="001119AF" w:rsidP="002B0D90">
            <w:pPr>
              <w:spacing w:after="0"/>
              <w:jc w:val="right"/>
              <w:rPr>
                <w:rFonts w:eastAsia="Times New Roman" w:cs="Calibri"/>
                <w:color w:val="000000"/>
                <w:sz w:val="18"/>
                <w:szCs w:val="20"/>
                <w:lang w:val="ru-RU" w:eastAsia="en-GB" w:bidi="ne-NP"/>
              </w:rPr>
            </w:pPr>
            <w:r w:rsidRPr="00694ACA">
              <w:rPr>
                <w:rFonts w:eastAsia="Times New Roman" w:cs="Calibri"/>
                <w:b/>
                <w:bCs/>
                <w:color w:val="000000"/>
                <w:sz w:val="18"/>
                <w:szCs w:val="20"/>
                <w:lang w:val="ru-RU" w:eastAsia="en-GB" w:bidi="ne-NP"/>
              </w:rPr>
              <w:t>3 843</w:t>
            </w:r>
          </w:p>
        </w:tc>
        <w:tc>
          <w:tcPr>
            <w:tcW w:w="992" w:type="dxa"/>
            <w:tcBorders>
              <w:top w:val="nil"/>
              <w:left w:val="nil"/>
              <w:bottom w:val="single" w:sz="4" w:space="0" w:color="auto"/>
              <w:right w:val="single" w:sz="4" w:space="0" w:color="auto"/>
            </w:tcBorders>
            <w:shd w:val="clear" w:color="auto" w:fill="auto"/>
            <w:noWrap/>
            <w:vAlign w:val="center"/>
          </w:tcPr>
          <w:p w14:paraId="5D1CA959" w14:textId="77777777" w:rsidR="001119AF" w:rsidRPr="00694ACA" w:rsidRDefault="001119AF" w:rsidP="002B0D90">
            <w:pPr>
              <w:spacing w:after="0"/>
              <w:jc w:val="right"/>
              <w:rPr>
                <w:rFonts w:eastAsia="Times New Roman" w:cs="Calibri"/>
                <w:color w:val="000000"/>
                <w:sz w:val="18"/>
                <w:szCs w:val="20"/>
                <w:lang w:val="ru-RU" w:eastAsia="en-GB" w:bidi="ne-NP"/>
              </w:rPr>
            </w:pPr>
            <w:r w:rsidRPr="00694ACA">
              <w:rPr>
                <w:rFonts w:eastAsia="Times New Roman" w:cs="Calibri"/>
                <w:b/>
                <w:bCs/>
                <w:color w:val="000000"/>
                <w:sz w:val="18"/>
                <w:szCs w:val="20"/>
                <w:lang w:val="ru-RU" w:eastAsia="en-GB" w:bidi="ne-NP"/>
              </w:rPr>
              <w:t>4 026</w:t>
            </w:r>
          </w:p>
        </w:tc>
        <w:tc>
          <w:tcPr>
            <w:tcW w:w="993" w:type="dxa"/>
            <w:tcBorders>
              <w:top w:val="nil"/>
              <w:left w:val="nil"/>
              <w:bottom w:val="single" w:sz="4" w:space="0" w:color="auto"/>
              <w:right w:val="single" w:sz="4" w:space="0" w:color="auto"/>
            </w:tcBorders>
            <w:shd w:val="clear" w:color="auto" w:fill="auto"/>
            <w:noWrap/>
            <w:vAlign w:val="center"/>
          </w:tcPr>
          <w:p w14:paraId="2F9997B8" w14:textId="77777777" w:rsidR="001119AF" w:rsidRPr="00694ACA" w:rsidRDefault="001119AF" w:rsidP="002B0D90">
            <w:pPr>
              <w:spacing w:after="0"/>
              <w:jc w:val="right"/>
              <w:rPr>
                <w:rFonts w:eastAsia="Times New Roman" w:cs="Calibri"/>
                <w:color w:val="000000"/>
                <w:sz w:val="18"/>
                <w:szCs w:val="20"/>
                <w:lang w:val="ru-RU" w:eastAsia="en-GB" w:bidi="ne-NP"/>
              </w:rPr>
            </w:pPr>
            <w:r w:rsidRPr="00694ACA">
              <w:rPr>
                <w:rFonts w:eastAsia="Times New Roman" w:cs="Calibri"/>
                <w:b/>
                <w:bCs/>
                <w:color w:val="000000"/>
                <w:sz w:val="18"/>
                <w:szCs w:val="20"/>
                <w:lang w:val="ru-RU" w:eastAsia="en-GB" w:bidi="ne-NP"/>
              </w:rPr>
              <w:t>1 937</w:t>
            </w:r>
          </w:p>
        </w:tc>
      </w:tr>
    </w:tbl>
    <w:p w14:paraId="65BA38B4" w14:textId="77777777" w:rsidR="001119AF" w:rsidRPr="00694ACA" w:rsidRDefault="001119AF" w:rsidP="00D278A3">
      <w:pPr>
        <w:pStyle w:val="Heading3"/>
        <w:ind w:right="-472"/>
        <w:rPr>
          <w:highlight w:val="lightGray"/>
          <w:lang w:val="ru-RU"/>
        </w:rPr>
      </w:pPr>
      <w:r w:rsidRPr="00694ACA">
        <w:rPr>
          <w:lang w:val="ru-RU"/>
        </w:rPr>
        <w:t>Укомплектованность штатов</w:t>
      </w:r>
      <w:bookmarkEnd w:id="285"/>
    </w:p>
    <w:p w14:paraId="341E2C5B" w14:textId="5043BE8A" w:rsidR="001119AF" w:rsidRPr="00694ACA" w:rsidRDefault="001119AF" w:rsidP="002B0D90">
      <w:pPr>
        <w:ind w:left="-284" w:right="-472"/>
        <w:rPr>
          <w:highlight w:val="lightGray"/>
          <w:lang w:val="ru-RU"/>
        </w:rPr>
      </w:pPr>
      <w:r w:rsidRPr="00694ACA">
        <w:rPr>
          <w:lang w:val="ru-RU"/>
        </w:rPr>
        <w:t>52. Самой крупной статьей издержек на развитие потенциала и профессиональную подготовку для большинства организаций обычно является обеспечение укомплектованности штатов. В МСЭ очень мало персонала, специализирующегося на развитии потенциала и профессиональной подготовке, хотя многие сотрудники в организации на практике занимаются аспектами этой деятельности. Так, на развитии потенциала и профессиональной подготовке специализируются только пять сотрудников в БРЭ и один в БР из 150 сотрудников БРЭ, 166 сотрудников БР и 64 сотрудников БСЭ. Более того, очень мало других сотрудников Организации, проводящих семинары-практикумы или курсы, имеют специальную профессиональную подготовку и квалификацию, которая обеспечивала бы эффективность и высокое качество мероприятий в области развития потенциала и профессиональной подготовки. Помимо этого, как отмечалось выше, сотрудники региональных отделений сообщают, что они тратят около 14% своего времени на деятельность в области развития потенциала и профессиональной подготовки</w:t>
      </w:r>
      <w:r w:rsidRPr="00694ACA">
        <w:rPr>
          <w:rStyle w:val="FootnoteReference"/>
          <w:lang w:val="ru-RU"/>
        </w:rPr>
        <w:footnoteReference w:id="72"/>
      </w:r>
      <w:r w:rsidRPr="00694ACA">
        <w:rPr>
          <w:lang w:val="ru-RU"/>
        </w:rPr>
        <w:t>. Экстраполяция этих цифр позволяет предположить, что около 15% (+/–7,5%) затрат на персонал в Организации могут фактически идти на развитие потенциала и профессиональную подготовку. Это равносильно увеличению общих затрат примерно с 22,3 млн. швейцарских франков в 2017 году</w:t>
      </w:r>
      <w:r w:rsidRPr="00694ACA">
        <w:rPr>
          <w:rStyle w:val="FootnoteReference"/>
          <w:lang w:val="ru-RU"/>
        </w:rPr>
        <w:footnoteReference w:id="73"/>
      </w:r>
      <w:r w:rsidRPr="00694ACA">
        <w:rPr>
          <w:lang w:val="ru-RU"/>
        </w:rPr>
        <w:t xml:space="preserve"> до 30,6 млн. швейцарских франков в конце 2019 года</w:t>
      </w:r>
      <w:r w:rsidRPr="00694ACA">
        <w:rPr>
          <w:rStyle w:val="FootnoteReference"/>
          <w:lang w:val="ru-RU"/>
        </w:rPr>
        <w:footnoteReference w:id="74"/>
      </w:r>
      <w:r w:rsidRPr="00694ACA">
        <w:rPr>
          <w:lang w:val="ru-RU"/>
        </w:rPr>
        <w:t>.</w:t>
      </w:r>
    </w:p>
    <w:p w14:paraId="0498662B" w14:textId="77777777" w:rsidR="001119AF" w:rsidRPr="00694ACA" w:rsidRDefault="001119AF" w:rsidP="00D278A3">
      <w:pPr>
        <w:pStyle w:val="Heading3"/>
        <w:ind w:right="-472"/>
        <w:rPr>
          <w:highlight w:val="lightGray"/>
          <w:lang w:val="ru-RU"/>
        </w:rPr>
      </w:pPr>
      <w:bookmarkStart w:id="286" w:name="_Toc57297386"/>
      <w:r w:rsidRPr="00694ACA">
        <w:rPr>
          <w:lang w:val="ru-RU"/>
        </w:rPr>
        <w:t>Консультационные услуги и эксперты</w:t>
      </w:r>
      <w:bookmarkEnd w:id="286"/>
    </w:p>
    <w:p w14:paraId="6594418E" w14:textId="77777777" w:rsidR="001119AF" w:rsidRPr="00694ACA" w:rsidRDefault="001119AF" w:rsidP="00D278A3">
      <w:pPr>
        <w:ind w:left="-284" w:right="-472"/>
        <w:rPr>
          <w:highlight w:val="lightGray"/>
          <w:lang w:val="ru-RU"/>
        </w:rPr>
      </w:pPr>
      <w:r w:rsidRPr="00694ACA">
        <w:rPr>
          <w:lang w:val="ru-RU"/>
        </w:rPr>
        <w:t>53. Разработка большей части материалов курсов и в целом вклад в деятельность МСЭ по развитию потенциала осуществляются за счет добровольных взносов отдельных лиц и учреждений, не в последнюю очередь в рамках деятельности исследовательских комиссий. Фактические затраты, понесенные ЦПМ и другими партнерскими организациями при выполнении своего функционала, неизвестны, но представляется, что финансовая модель ЦПМ не может быть полностью жизнеспособной для многих ЦПМ, если измерять ее только с финансовой точки зрения, особенно для тех ЦПМ, которые привлекают мало студентов</w:t>
      </w:r>
      <w:r w:rsidRPr="00694ACA">
        <w:rPr>
          <w:rStyle w:val="FootnoteReference"/>
          <w:lang w:val="ru-RU"/>
        </w:rPr>
        <w:footnoteReference w:id="75"/>
      </w:r>
      <w:r w:rsidRPr="00694ACA">
        <w:rPr>
          <w:lang w:val="ru-RU"/>
        </w:rPr>
        <w:t>.</w:t>
      </w:r>
    </w:p>
    <w:p w14:paraId="03A3DECC" w14:textId="5806A6D2" w:rsidR="001119AF" w:rsidRPr="00694ACA" w:rsidRDefault="001119AF" w:rsidP="00C62EF0">
      <w:pPr>
        <w:ind w:left="-284" w:right="-472"/>
        <w:rPr>
          <w:highlight w:val="lightGray"/>
          <w:lang w:val="ru-RU"/>
        </w:rPr>
      </w:pPr>
      <w:r w:rsidRPr="00694ACA">
        <w:rPr>
          <w:lang w:val="ru-RU"/>
        </w:rPr>
        <w:t>54. МСЭ также нанимает внешних консультантов для разработки и проведения мероприятий по развитию потенциала и профессиональной подготовке, средний объем затрат на которые в течение последних пяти лет составляет 757 тыс. швейцарских франков (Таблица 2)</w:t>
      </w:r>
      <w:r w:rsidRPr="00694ACA">
        <w:rPr>
          <w:rStyle w:val="FootnoteReference"/>
          <w:lang w:val="ru-RU"/>
        </w:rPr>
        <w:footnoteReference w:id="76"/>
      </w:r>
      <w:r w:rsidRPr="00694ACA">
        <w:rPr>
          <w:lang w:val="ru-RU"/>
        </w:rPr>
        <w:t>. Некоторые из участников опроса, проведенного для подготовки настоящего отчета, отметили противоречие между утверждениями МСЭ о</w:t>
      </w:r>
      <w:r w:rsidR="006026DB" w:rsidRPr="00694ACA">
        <w:rPr>
          <w:lang w:val="ru-RU"/>
        </w:rPr>
        <w:t> </w:t>
      </w:r>
      <w:r w:rsidRPr="00694ACA">
        <w:rPr>
          <w:lang w:val="ru-RU"/>
        </w:rPr>
        <w:t xml:space="preserve">том, что персонал Союза </w:t>
      </w:r>
      <w:r w:rsidRPr="00694ACA">
        <w:rPr>
          <w:lang w:val="ru-RU"/>
        </w:rPr>
        <w:lastRenderedPageBreak/>
        <w:t>является ведущими мировыми экспертами в своих областях, и тем, что МСЭ по</w:t>
      </w:r>
      <w:r w:rsidR="006026DB" w:rsidRPr="00694ACA">
        <w:rPr>
          <w:lang w:val="ru-RU"/>
        </w:rPr>
        <w:noBreakHyphen/>
      </w:r>
      <w:r w:rsidRPr="00694ACA">
        <w:rPr>
          <w:lang w:val="ru-RU"/>
        </w:rPr>
        <w:t>прежнему необходимо привлекать значительное число внешних экспертов для разработки и ведения деятельности в области развития своего потенциала и профессиональной подготовки.</w:t>
      </w:r>
    </w:p>
    <w:p w14:paraId="40A6F567" w14:textId="542D724E" w:rsidR="001119AF" w:rsidRPr="00694ACA" w:rsidRDefault="001119AF" w:rsidP="00F64BEE">
      <w:pPr>
        <w:keepNext/>
        <w:ind w:left="-284" w:right="-471"/>
        <w:rPr>
          <w:b/>
          <w:bCs/>
          <w:i/>
          <w:iCs/>
          <w:lang w:val="ru-RU"/>
        </w:rPr>
      </w:pPr>
      <w:r w:rsidRPr="00694ACA">
        <w:rPr>
          <w:b/>
          <w:bCs/>
          <w:i/>
          <w:iCs/>
          <w:lang w:val="ru-RU"/>
        </w:rPr>
        <w:t>Таблица 2: Затраты на привлечение внешних консультантов для разработки и ведения деятельности в области развития потенциала и профессиональной подготовки для МСЭ (тыс.</w:t>
      </w:r>
      <w:r w:rsidR="006026DB" w:rsidRPr="00694ACA">
        <w:rPr>
          <w:b/>
          <w:bCs/>
          <w:i/>
          <w:iCs/>
          <w:lang w:val="ru-RU"/>
        </w:rPr>
        <w:t> </w:t>
      </w:r>
      <w:r w:rsidRPr="00694ACA">
        <w:rPr>
          <w:b/>
          <w:bCs/>
          <w:i/>
          <w:iCs/>
          <w:lang w:val="ru-RU"/>
        </w:rPr>
        <w:t>швейцарских франков)</w:t>
      </w:r>
    </w:p>
    <w:tbl>
      <w:tblPr>
        <w:tblW w:w="9639" w:type="dxa"/>
        <w:jc w:val="center"/>
        <w:tblLayout w:type="fixed"/>
        <w:tblLook w:val="04A0" w:firstRow="1" w:lastRow="0" w:firstColumn="1" w:lastColumn="0" w:noHBand="0" w:noVBand="1"/>
      </w:tblPr>
      <w:tblGrid>
        <w:gridCol w:w="4678"/>
        <w:gridCol w:w="992"/>
        <w:gridCol w:w="992"/>
        <w:gridCol w:w="992"/>
        <w:gridCol w:w="992"/>
        <w:gridCol w:w="993"/>
      </w:tblGrid>
      <w:tr w:rsidR="002B0D90" w:rsidRPr="00694ACA" w14:paraId="51E764D8" w14:textId="77777777" w:rsidTr="009C4800">
        <w:trPr>
          <w:trHeight w:hRule="exact" w:val="318"/>
          <w:jc w:val="center"/>
        </w:trPr>
        <w:tc>
          <w:tcPr>
            <w:tcW w:w="4678"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325E02FF" w14:textId="77777777" w:rsidR="002B0D90" w:rsidRPr="00694ACA" w:rsidRDefault="002B0D90" w:rsidP="00F64BEE">
            <w:pPr>
              <w:keepNext/>
              <w:spacing w:after="0"/>
              <w:rPr>
                <w:rFonts w:eastAsia="Times New Roman" w:cs="Calibri"/>
                <w:b/>
                <w:bCs/>
                <w:color w:val="000000"/>
                <w:sz w:val="18"/>
                <w:szCs w:val="18"/>
                <w:lang w:val="ru-RU" w:eastAsia="en-GB" w:bidi="ne-NP"/>
              </w:rPr>
            </w:pPr>
            <w:r w:rsidRPr="00694ACA">
              <w:rPr>
                <w:rFonts w:eastAsia="Times New Roman" w:cs="Calibri"/>
                <w:b/>
                <w:bCs/>
                <w:color w:val="000000"/>
                <w:sz w:val="18"/>
                <w:szCs w:val="18"/>
                <w:lang w:val="ru-RU" w:eastAsia="en-GB" w:bidi="ne-NP"/>
              </w:rPr>
              <w:t>Сектор МСЭ</w:t>
            </w:r>
          </w:p>
        </w:tc>
        <w:tc>
          <w:tcPr>
            <w:tcW w:w="992" w:type="dxa"/>
            <w:tcBorders>
              <w:top w:val="single" w:sz="4" w:space="0" w:color="auto"/>
              <w:left w:val="nil"/>
              <w:bottom w:val="single" w:sz="4" w:space="0" w:color="auto"/>
              <w:right w:val="single" w:sz="4" w:space="0" w:color="auto"/>
            </w:tcBorders>
            <w:shd w:val="clear" w:color="000000" w:fill="B4C6E7"/>
            <w:noWrap/>
            <w:vAlign w:val="center"/>
            <w:hideMark/>
          </w:tcPr>
          <w:p w14:paraId="5BA5B33F" w14:textId="77777777" w:rsidR="002B0D90" w:rsidRPr="00694ACA" w:rsidRDefault="002B0D90" w:rsidP="00F64BEE">
            <w:pPr>
              <w:keepNext/>
              <w:spacing w:after="0"/>
              <w:jc w:val="center"/>
              <w:rPr>
                <w:rFonts w:eastAsia="Times New Roman" w:cs="Calibri"/>
                <w:b/>
                <w:bCs/>
                <w:color w:val="000000"/>
                <w:sz w:val="18"/>
                <w:szCs w:val="18"/>
                <w:lang w:val="ru-RU" w:eastAsia="en-GB" w:bidi="ne-NP"/>
              </w:rPr>
            </w:pPr>
            <w:r w:rsidRPr="00694ACA">
              <w:rPr>
                <w:rFonts w:eastAsia="Times New Roman" w:cs="Calibri"/>
                <w:b/>
                <w:bCs/>
                <w:color w:val="000000"/>
                <w:sz w:val="18"/>
                <w:szCs w:val="18"/>
                <w:lang w:val="ru-RU" w:eastAsia="en-GB" w:bidi="ne-NP"/>
              </w:rPr>
              <w:t>2016 г.</w:t>
            </w:r>
          </w:p>
        </w:tc>
        <w:tc>
          <w:tcPr>
            <w:tcW w:w="992" w:type="dxa"/>
            <w:tcBorders>
              <w:top w:val="single" w:sz="4" w:space="0" w:color="auto"/>
              <w:left w:val="nil"/>
              <w:bottom w:val="single" w:sz="4" w:space="0" w:color="auto"/>
              <w:right w:val="single" w:sz="4" w:space="0" w:color="auto"/>
            </w:tcBorders>
            <w:shd w:val="clear" w:color="000000" w:fill="B4C6E7"/>
            <w:noWrap/>
            <w:vAlign w:val="center"/>
            <w:hideMark/>
          </w:tcPr>
          <w:p w14:paraId="7EDA6414" w14:textId="77777777" w:rsidR="002B0D90" w:rsidRPr="00694ACA" w:rsidRDefault="002B0D90" w:rsidP="00F64BEE">
            <w:pPr>
              <w:keepNext/>
              <w:spacing w:after="0"/>
              <w:jc w:val="center"/>
              <w:rPr>
                <w:rFonts w:eastAsia="Times New Roman" w:cs="Calibri"/>
                <w:b/>
                <w:bCs/>
                <w:color w:val="000000"/>
                <w:sz w:val="18"/>
                <w:szCs w:val="18"/>
                <w:lang w:val="ru-RU" w:eastAsia="en-GB" w:bidi="ne-NP"/>
              </w:rPr>
            </w:pPr>
            <w:r w:rsidRPr="00694ACA">
              <w:rPr>
                <w:rFonts w:eastAsia="Times New Roman" w:cs="Calibri"/>
                <w:b/>
                <w:bCs/>
                <w:color w:val="000000"/>
                <w:sz w:val="18"/>
                <w:szCs w:val="18"/>
                <w:lang w:val="ru-RU" w:eastAsia="en-GB" w:bidi="ne-NP"/>
              </w:rPr>
              <w:t>2017 г.</w:t>
            </w:r>
          </w:p>
        </w:tc>
        <w:tc>
          <w:tcPr>
            <w:tcW w:w="992" w:type="dxa"/>
            <w:tcBorders>
              <w:top w:val="single" w:sz="4" w:space="0" w:color="auto"/>
              <w:left w:val="nil"/>
              <w:bottom w:val="single" w:sz="4" w:space="0" w:color="auto"/>
              <w:right w:val="single" w:sz="4" w:space="0" w:color="auto"/>
            </w:tcBorders>
            <w:shd w:val="clear" w:color="000000" w:fill="B4C6E7"/>
            <w:noWrap/>
            <w:vAlign w:val="center"/>
            <w:hideMark/>
          </w:tcPr>
          <w:p w14:paraId="1B3E5E8F" w14:textId="77777777" w:rsidR="002B0D90" w:rsidRPr="00694ACA" w:rsidRDefault="002B0D90" w:rsidP="00F64BEE">
            <w:pPr>
              <w:keepNext/>
              <w:spacing w:after="0"/>
              <w:jc w:val="center"/>
              <w:rPr>
                <w:rFonts w:eastAsia="Times New Roman" w:cs="Calibri"/>
                <w:b/>
                <w:bCs/>
                <w:color w:val="000000"/>
                <w:sz w:val="18"/>
                <w:szCs w:val="18"/>
                <w:lang w:val="ru-RU" w:eastAsia="en-GB" w:bidi="ne-NP"/>
              </w:rPr>
            </w:pPr>
            <w:r w:rsidRPr="00694ACA">
              <w:rPr>
                <w:rFonts w:eastAsia="Times New Roman" w:cs="Calibri"/>
                <w:b/>
                <w:bCs/>
                <w:color w:val="000000"/>
                <w:sz w:val="18"/>
                <w:szCs w:val="18"/>
                <w:lang w:val="ru-RU" w:eastAsia="en-GB" w:bidi="ne-NP"/>
              </w:rPr>
              <w:t>2018 г.</w:t>
            </w:r>
          </w:p>
        </w:tc>
        <w:tc>
          <w:tcPr>
            <w:tcW w:w="992" w:type="dxa"/>
            <w:tcBorders>
              <w:top w:val="single" w:sz="4" w:space="0" w:color="auto"/>
              <w:left w:val="nil"/>
              <w:bottom w:val="single" w:sz="4" w:space="0" w:color="auto"/>
              <w:right w:val="single" w:sz="4" w:space="0" w:color="auto"/>
            </w:tcBorders>
            <w:shd w:val="clear" w:color="000000" w:fill="B4C6E7"/>
            <w:noWrap/>
            <w:vAlign w:val="center"/>
            <w:hideMark/>
          </w:tcPr>
          <w:p w14:paraId="42BE6133" w14:textId="77777777" w:rsidR="002B0D90" w:rsidRPr="00694ACA" w:rsidRDefault="002B0D90" w:rsidP="00F64BEE">
            <w:pPr>
              <w:keepNext/>
              <w:spacing w:after="0"/>
              <w:jc w:val="center"/>
              <w:rPr>
                <w:rFonts w:eastAsia="Times New Roman" w:cs="Calibri"/>
                <w:b/>
                <w:bCs/>
                <w:color w:val="000000"/>
                <w:sz w:val="18"/>
                <w:szCs w:val="18"/>
                <w:lang w:val="ru-RU" w:eastAsia="en-GB" w:bidi="ne-NP"/>
              </w:rPr>
            </w:pPr>
            <w:r w:rsidRPr="00694ACA">
              <w:rPr>
                <w:rFonts w:eastAsia="Times New Roman" w:cs="Calibri"/>
                <w:b/>
                <w:bCs/>
                <w:color w:val="000000"/>
                <w:sz w:val="18"/>
                <w:szCs w:val="18"/>
                <w:lang w:val="ru-RU" w:eastAsia="en-GB" w:bidi="ne-NP"/>
              </w:rPr>
              <w:t>2019 г.</w:t>
            </w:r>
          </w:p>
        </w:tc>
        <w:tc>
          <w:tcPr>
            <w:tcW w:w="993" w:type="dxa"/>
            <w:tcBorders>
              <w:top w:val="single" w:sz="4" w:space="0" w:color="auto"/>
              <w:left w:val="nil"/>
              <w:bottom w:val="single" w:sz="4" w:space="0" w:color="auto"/>
              <w:right w:val="single" w:sz="4" w:space="0" w:color="auto"/>
            </w:tcBorders>
            <w:shd w:val="clear" w:color="000000" w:fill="B4C6E7"/>
            <w:noWrap/>
            <w:vAlign w:val="center"/>
            <w:hideMark/>
          </w:tcPr>
          <w:p w14:paraId="1CA3C5C9" w14:textId="77777777" w:rsidR="002B0D90" w:rsidRPr="00694ACA" w:rsidRDefault="002B0D90" w:rsidP="00F64BEE">
            <w:pPr>
              <w:keepNext/>
              <w:spacing w:after="0"/>
              <w:jc w:val="center"/>
              <w:rPr>
                <w:rFonts w:eastAsia="Times New Roman" w:cs="Calibri"/>
                <w:b/>
                <w:bCs/>
                <w:color w:val="000000"/>
                <w:sz w:val="18"/>
                <w:szCs w:val="18"/>
                <w:lang w:val="ru-RU" w:eastAsia="en-GB" w:bidi="ne-NP"/>
              </w:rPr>
            </w:pPr>
            <w:r w:rsidRPr="00694ACA">
              <w:rPr>
                <w:rFonts w:eastAsia="Times New Roman" w:cs="Calibri"/>
                <w:b/>
                <w:bCs/>
                <w:color w:val="000000"/>
                <w:sz w:val="18"/>
                <w:szCs w:val="18"/>
                <w:lang w:val="ru-RU" w:eastAsia="en-GB" w:bidi="ne-NP"/>
              </w:rPr>
              <w:t>2020 г.</w:t>
            </w:r>
          </w:p>
        </w:tc>
      </w:tr>
      <w:tr w:rsidR="00F64BEE" w:rsidRPr="00694ACA" w14:paraId="5DD250D8" w14:textId="77777777" w:rsidTr="009C4800">
        <w:trPr>
          <w:trHeight w:val="340"/>
          <w:jc w:val="center"/>
        </w:trPr>
        <w:tc>
          <w:tcPr>
            <w:tcW w:w="4678" w:type="dxa"/>
            <w:tcBorders>
              <w:top w:val="nil"/>
              <w:left w:val="single" w:sz="4" w:space="0" w:color="auto"/>
              <w:bottom w:val="single" w:sz="4" w:space="0" w:color="auto"/>
              <w:right w:val="single" w:sz="4" w:space="0" w:color="auto"/>
            </w:tcBorders>
            <w:shd w:val="clear" w:color="auto" w:fill="auto"/>
            <w:noWrap/>
            <w:vAlign w:val="center"/>
            <w:hideMark/>
          </w:tcPr>
          <w:p w14:paraId="35148E7B" w14:textId="77777777" w:rsidR="00F64BEE" w:rsidRPr="00694ACA" w:rsidRDefault="00F64BEE" w:rsidP="00F64BEE">
            <w:pPr>
              <w:keepNext/>
              <w:spacing w:after="0"/>
              <w:rPr>
                <w:rFonts w:eastAsia="Times New Roman" w:cs="Calibri"/>
                <w:b/>
                <w:bCs/>
                <w:color w:val="000000"/>
                <w:sz w:val="18"/>
                <w:szCs w:val="18"/>
                <w:lang w:val="ru-RU" w:eastAsia="en-GB" w:bidi="ne-NP"/>
              </w:rPr>
            </w:pPr>
            <w:r w:rsidRPr="00694ACA">
              <w:rPr>
                <w:rFonts w:eastAsia="Times New Roman" w:cs="Calibri"/>
                <w:b/>
                <w:bCs/>
                <w:color w:val="000000"/>
                <w:sz w:val="18"/>
                <w:szCs w:val="18"/>
                <w:lang w:val="ru-RU" w:eastAsia="en-GB" w:bidi="ne-NP"/>
              </w:rPr>
              <w:t>БСЭ*</w:t>
            </w:r>
          </w:p>
        </w:tc>
        <w:tc>
          <w:tcPr>
            <w:tcW w:w="992" w:type="dxa"/>
            <w:tcBorders>
              <w:top w:val="nil"/>
              <w:left w:val="nil"/>
              <w:bottom w:val="single" w:sz="4" w:space="0" w:color="auto"/>
              <w:right w:val="single" w:sz="4" w:space="0" w:color="auto"/>
            </w:tcBorders>
            <w:shd w:val="clear" w:color="auto" w:fill="auto"/>
            <w:noWrap/>
            <w:vAlign w:val="center"/>
            <w:hideMark/>
          </w:tcPr>
          <w:p w14:paraId="70AAE09E" w14:textId="2B546147" w:rsidR="00F64BEE" w:rsidRPr="00694ACA" w:rsidRDefault="00F64BEE" w:rsidP="00F64BEE">
            <w:pPr>
              <w:keepNext/>
              <w:spacing w:after="0"/>
              <w:jc w:val="right"/>
              <w:rPr>
                <w:rFonts w:eastAsia="Times New Roman" w:cs="Calibri"/>
                <w:color w:val="000000"/>
                <w:sz w:val="18"/>
                <w:szCs w:val="18"/>
                <w:lang w:val="ru-RU" w:eastAsia="en-GB" w:bidi="ne-NP"/>
              </w:rPr>
            </w:pPr>
            <w:r w:rsidRPr="00694ACA">
              <w:rPr>
                <w:rFonts w:eastAsia="Times New Roman" w:cs="Calibri"/>
                <w:color w:val="000000"/>
                <w:sz w:val="18"/>
                <w:szCs w:val="18"/>
                <w:lang w:val="ru-RU" w:eastAsia="en-GB" w:bidi="ne-NP"/>
              </w:rPr>
              <w:t>25</w:t>
            </w:r>
          </w:p>
        </w:tc>
        <w:tc>
          <w:tcPr>
            <w:tcW w:w="992" w:type="dxa"/>
            <w:tcBorders>
              <w:top w:val="nil"/>
              <w:left w:val="nil"/>
              <w:bottom w:val="single" w:sz="4" w:space="0" w:color="auto"/>
              <w:right w:val="single" w:sz="4" w:space="0" w:color="auto"/>
            </w:tcBorders>
            <w:shd w:val="clear" w:color="auto" w:fill="auto"/>
            <w:noWrap/>
            <w:vAlign w:val="center"/>
            <w:hideMark/>
          </w:tcPr>
          <w:p w14:paraId="667808BA" w14:textId="1D8EDC3E" w:rsidR="00F64BEE" w:rsidRPr="00694ACA" w:rsidRDefault="00F64BEE" w:rsidP="00F64BEE">
            <w:pPr>
              <w:keepNext/>
              <w:spacing w:after="0"/>
              <w:jc w:val="right"/>
              <w:rPr>
                <w:rFonts w:eastAsia="Times New Roman" w:cs="Calibri"/>
                <w:color w:val="000000"/>
                <w:sz w:val="18"/>
                <w:szCs w:val="18"/>
                <w:lang w:val="ru-RU" w:eastAsia="en-GB" w:bidi="ne-NP"/>
              </w:rPr>
            </w:pPr>
            <w:r w:rsidRPr="00694ACA">
              <w:rPr>
                <w:rFonts w:eastAsia="Times New Roman" w:cs="Calibri"/>
                <w:color w:val="000000"/>
                <w:sz w:val="18"/>
                <w:szCs w:val="18"/>
                <w:lang w:val="ru-RU" w:eastAsia="en-GB" w:bidi="ne-NP"/>
              </w:rPr>
              <w:t>25</w:t>
            </w:r>
          </w:p>
        </w:tc>
        <w:tc>
          <w:tcPr>
            <w:tcW w:w="992" w:type="dxa"/>
            <w:tcBorders>
              <w:top w:val="nil"/>
              <w:left w:val="nil"/>
              <w:bottom w:val="single" w:sz="4" w:space="0" w:color="auto"/>
              <w:right w:val="single" w:sz="4" w:space="0" w:color="auto"/>
            </w:tcBorders>
            <w:shd w:val="clear" w:color="auto" w:fill="auto"/>
            <w:noWrap/>
            <w:vAlign w:val="center"/>
            <w:hideMark/>
          </w:tcPr>
          <w:p w14:paraId="25F3C72D" w14:textId="0B6284FD" w:rsidR="00F64BEE" w:rsidRPr="00694ACA" w:rsidRDefault="00F64BEE" w:rsidP="00F64BEE">
            <w:pPr>
              <w:keepNext/>
              <w:spacing w:after="0"/>
              <w:jc w:val="right"/>
              <w:rPr>
                <w:rFonts w:eastAsia="Times New Roman" w:cs="Calibri"/>
                <w:color w:val="000000"/>
                <w:sz w:val="18"/>
                <w:szCs w:val="18"/>
                <w:lang w:val="ru-RU" w:eastAsia="en-GB" w:bidi="ne-NP"/>
              </w:rPr>
            </w:pPr>
            <w:r w:rsidRPr="00694ACA">
              <w:rPr>
                <w:rFonts w:eastAsia="Times New Roman" w:cs="Calibri"/>
                <w:color w:val="000000"/>
                <w:sz w:val="18"/>
                <w:szCs w:val="18"/>
                <w:lang w:val="ru-RU" w:eastAsia="en-GB" w:bidi="ne-NP"/>
              </w:rPr>
              <w:t>40</w:t>
            </w:r>
          </w:p>
        </w:tc>
        <w:tc>
          <w:tcPr>
            <w:tcW w:w="992" w:type="dxa"/>
            <w:tcBorders>
              <w:top w:val="nil"/>
              <w:left w:val="nil"/>
              <w:bottom w:val="single" w:sz="4" w:space="0" w:color="auto"/>
              <w:right w:val="single" w:sz="4" w:space="0" w:color="auto"/>
            </w:tcBorders>
            <w:shd w:val="clear" w:color="auto" w:fill="auto"/>
            <w:noWrap/>
            <w:vAlign w:val="center"/>
            <w:hideMark/>
          </w:tcPr>
          <w:p w14:paraId="142CC9A4" w14:textId="28CDE6CD" w:rsidR="00F64BEE" w:rsidRPr="00694ACA" w:rsidRDefault="00F64BEE" w:rsidP="00F64BEE">
            <w:pPr>
              <w:keepNext/>
              <w:spacing w:after="0"/>
              <w:jc w:val="right"/>
              <w:rPr>
                <w:rFonts w:eastAsia="Times New Roman" w:cs="Calibri"/>
                <w:color w:val="000000"/>
                <w:sz w:val="18"/>
                <w:szCs w:val="18"/>
                <w:lang w:val="ru-RU" w:eastAsia="en-GB" w:bidi="ne-NP"/>
              </w:rPr>
            </w:pPr>
            <w:r w:rsidRPr="00694ACA">
              <w:rPr>
                <w:rFonts w:eastAsia="Times New Roman" w:cs="Calibri"/>
                <w:color w:val="000000"/>
                <w:sz w:val="18"/>
                <w:szCs w:val="18"/>
                <w:lang w:val="ru-RU" w:eastAsia="en-GB" w:bidi="ne-NP"/>
              </w:rPr>
              <w:t>50</w:t>
            </w:r>
          </w:p>
        </w:tc>
        <w:tc>
          <w:tcPr>
            <w:tcW w:w="993" w:type="dxa"/>
            <w:tcBorders>
              <w:top w:val="nil"/>
              <w:left w:val="nil"/>
              <w:bottom w:val="single" w:sz="4" w:space="0" w:color="auto"/>
              <w:right w:val="single" w:sz="4" w:space="0" w:color="auto"/>
            </w:tcBorders>
            <w:shd w:val="clear" w:color="auto" w:fill="auto"/>
            <w:noWrap/>
            <w:vAlign w:val="center"/>
            <w:hideMark/>
          </w:tcPr>
          <w:p w14:paraId="15404636" w14:textId="1527F03C" w:rsidR="00F64BEE" w:rsidRPr="00694ACA" w:rsidRDefault="00F64BEE" w:rsidP="00F64BEE">
            <w:pPr>
              <w:keepNext/>
              <w:spacing w:after="0"/>
              <w:jc w:val="right"/>
              <w:rPr>
                <w:rFonts w:eastAsia="Times New Roman" w:cs="Calibri"/>
                <w:color w:val="000000"/>
                <w:sz w:val="18"/>
                <w:szCs w:val="18"/>
                <w:lang w:val="ru-RU" w:eastAsia="en-GB" w:bidi="ne-NP"/>
              </w:rPr>
            </w:pPr>
            <w:r w:rsidRPr="00694ACA">
              <w:rPr>
                <w:rFonts w:eastAsia="Times New Roman" w:cs="Calibri"/>
                <w:color w:val="000000"/>
                <w:sz w:val="18"/>
                <w:szCs w:val="18"/>
                <w:lang w:val="ru-RU" w:eastAsia="en-GB" w:bidi="ne-NP"/>
              </w:rPr>
              <w:t>25</w:t>
            </w:r>
          </w:p>
        </w:tc>
      </w:tr>
      <w:tr w:rsidR="00F64BEE" w:rsidRPr="00694ACA" w14:paraId="423944DF" w14:textId="77777777" w:rsidTr="009C4800">
        <w:trPr>
          <w:trHeight w:val="340"/>
          <w:jc w:val="center"/>
        </w:trPr>
        <w:tc>
          <w:tcPr>
            <w:tcW w:w="4678" w:type="dxa"/>
            <w:tcBorders>
              <w:top w:val="nil"/>
              <w:left w:val="single" w:sz="4" w:space="0" w:color="auto"/>
              <w:bottom w:val="single" w:sz="4" w:space="0" w:color="auto"/>
              <w:right w:val="single" w:sz="4" w:space="0" w:color="auto"/>
            </w:tcBorders>
            <w:shd w:val="clear" w:color="auto" w:fill="auto"/>
            <w:noWrap/>
            <w:vAlign w:val="center"/>
          </w:tcPr>
          <w:p w14:paraId="68745664" w14:textId="77777777" w:rsidR="00F64BEE" w:rsidRPr="00694ACA" w:rsidRDefault="00F64BEE" w:rsidP="00F64BEE">
            <w:pPr>
              <w:keepNext/>
              <w:spacing w:after="0"/>
              <w:rPr>
                <w:rFonts w:eastAsia="Times New Roman" w:cs="Calibri"/>
                <w:b/>
                <w:bCs/>
                <w:color w:val="000000"/>
                <w:sz w:val="18"/>
                <w:szCs w:val="18"/>
                <w:lang w:val="ru-RU" w:eastAsia="en-GB" w:bidi="ne-NP"/>
              </w:rPr>
            </w:pPr>
            <w:r w:rsidRPr="00694ACA">
              <w:rPr>
                <w:rFonts w:eastAsia="Times New Roman" w:cs="Calibri"/>
                <w:b/>
                <w:bCs/>
                <w:color w:val="000000"/>
                <w:sz w:val="18"/>
                <w:szCs w:val="18"/>
                <w:lang w:val="ru-RU" w:eastAsia="en-GB" w:bidi="ne-NP"/>
              </w:rPr>
              <w:t>БР*</w:t>
            </w:r>
          </w:p>
        </w:tc>
        <w:tc>
          <w:tcPr>
            <w:tcW w:w="992" w:type="dxa"/>
            <w:tcBorders>
              <w:top w:val="nil"/>
              <w:left w:val="nil"/>
              <w:bottom w:val="single" w:sz="4" w:space="0" w:color="auto"/>
              <w:right w:val="single" w:sz="4" w:space="0" w:color="auto"/>
            </w:tcBorders>
            <w:shd w:val="clear" w:color="auto" w:fill="auto"/>
            <w:noWrap/>
            <w:vAlign w:val="center"/>
          </w:tcPr>
          <w:p w14:paraId="5223380F" w14:textId="51B61884" w:rsidR="00F64BEE" w:rsidRPr="00694ACA" w:rsidRDefault="00F64BEE" w:rsidP="00F64BEE">
            <w:pPr>
              <w:keepNext/>
              <w:spacing w:after="0"/>
              <w:jc w:val="right"/>
              <w:rPr>
                <w:rFonts w:eastAsia="Times New Roman" w:cs="Calibri"/>
                <w:color w:val="000000"/>
                <w:sz w:val="18"/>
                <w:szCs w:val="18"/>
                <w:lang w:val="ru-RU" w:eastAsia="en-GB" w:bidi="ne-NP"/>
              </w:rPr>
            </w:pPr>
            <w:r w:rsidRPr="00694ACA">
              <w:rPr>
                <w:rFonts w:eastAsia="Times New Roman" w:cs="Calibri"/>
                <w:sz w:val="18"/>
                <w:szCs w:val="18"/>
                <w:lang w:val="ru-RU" w:eastAsia="en-GB" w:bidi="ne-NP"/>
              </w:rPr>
              <w:t>12</w:t>
            </w:r>
          </w:p>
        </w:tc>
        <w:tc>
          <w:tcPr>
            <w:tcW w:w="992" w:type="dxa"/>
            <w:tcBorders>
              <w:top w:val="nil"/>
              <w:left w:val="nil"/>
              <w:bottom w:val="single" w:sz="4" w:space="0" w:color="auto"/>
              <w:right w:val="single" w:sz="4" w:space="0" w:color="auto"/>
            </w:tcBorders>
            <w:shd w:val="clear" w:color="auto" w:fill="auto"/>
            <w:noWrap/>
            <w:vAlign w:val="center"/>
          </w:tcPr>
          <w:p w14:paraId="2C2A6959" w14:textId="4F573E80" w:rsidR="00F64BEE" w:rsidRPr="00694ACA" w:rsidRDefault="00F64BEE" w:rsidP="00F64BEE">
            <w:pPr>
              <w:keepNext/>
              <w:spacing w:after="0"/>
              <w:jc w:val="right"/>
              <w:rPr>
                <w:rFonts w:eastAsia="Times New Roman" w:cs="Calibri"/>
                <w:color w:val="000000"/>
                <w:sz w:val="18"/>
                <w:szCs w:val="18"/>
                <w:lang w:val="ru-RU" w:eastAsia="en-GB" w:bidi="ne-NP"/>
              </w:rPr>
            </w:pPr>
            <w:r w:rsidRPr="00694ACA">
              <w:rPr>
                <w:rFonts w:eastAsia="Times New Roman" w:cs="Calibri"/>
                <w:sz w:val="18"/>
                <w:szCs w:val="18"/>
                <w:lang w:val="ru-RU" w:eastAsia="en-GB" w:bidi="ne-NP"/>
              </w:rPr>
              <w:t>7</w:t>
            </w:r>
          </w:p>
        </w:tc>
        <w:tc>
          <w:tcPr>
            <w:tcW w:w="992" w:type="dxa"/>
            <w:tcBorders>
              <w:top w:val="nil"/>
              <w:left w:val="nil"/>
              <w:bottom w:val="single" w:sz="4" w:space="0" w:color="auto"/>
              <w:right w:val="single" w:sz="4" w:space="0" w:color="auto"/>
            </w:tcBorders>
            <w:shd w:val="clear" w:color="auto" w:fill="auto"/>
            <w:noWrap/>
            <w:vAlign w:val="center"/>
          </w:tcPr>
          <w:p w14:paraId="72184343" w14:textId="2FC1D3CB" w:rsidR="00F64BEE" w:rsidRPr="00694ACA" w:rsidRDefault="00F64BEE" w:rsidP="00F64BEE">
            <w:pPr>
              <w:keepNext/>
              <w:spacing w:after="0"/>
              <w:jc w:val="right"/>
              <w:rPr>
                <w:rFonts w:eastAsia="Times New Roman" w:cs="Calibri"/>
                <w:color w:val="000000"/>
                <w:sz w:val="18"/>
                <w:szCs w:val="18"/>
                <w:lang w:val="ru-RU" w:eastAsia="en-GB" w:bidi="ne-NP"/>
              </w:rPr>
            </w:pPr>
            <w:r w:rsidRPr="00694ACA">
              <w:rPr>
                <w:rFonts w:eastAsia="Times New Roman" w:cs="Calibri"/>
                <w:sz w:val="18"/>
                <w:szCs w:val="18"/>
                <w:lang w:val="ru-RU" w:eastAsia="en-GB" w:bidi="ne-NP"/>
              </w:rPr>
              <w:t>7</w:t>
            </w:r>
          </w:p>
        </w:tc>
        <w:tc>
          <w:tcPr>
            <w:tcW w:w="992" w:type="dxa"/>
            <w:tcBorders>
              <w:top w:val="nil"/>
              <w:left w:val="nil"/>
              <w:bottom w:val="single" w:sz="4" w:space="0" w:color="auto"/>
              <w:right w:val="single" w:sz="4" w:space="0" w:color="auto"/>
            </w:tcBorders>
            <w:shd w:val="clear" w:color="auto" w:fill="auto"/>
            <w:noWrap/>
            <w:vAlign w:val="center"/>
          </w:tcPr>
          <w:p w14:paraId="27D94991" w14:textId="68296987" w:rsidR="00F64BEE" w:rsidRPr="00694ACA" w:rsidRDefault="00F64BEE" w:rsidP="00F64BEE">
            <w:pPr>
              <w:keepNext/>
              <w:spacing w:after="0"/>
              <w:jc w:val="right"/>
              <w:rPr>
                <w:rFonts w:eastAsia="Times New Roman" w:cs="Calibri"/>
                <w:color w:val="000000"/>
                <w:sz w:val="18"/>
                <w:szCs w:val="18"/>
                <w:lang w:val="ru-RU" w:eastAsia="en-GB" w:bidi="ne-NP"/>
              </w:rPr>
            </w:pPr>
            <w:r w:rsidRPr="00694ACA">
              <w:rPr>
                <w:rFonts w:eastAsia="Times New Roman" w:cs="Calibri"/>
                <w:color w:val="000000"/>
                <w:sz w:val="18"/>
                <w:szCs w:val="18"/>
                <w:lang w:val="ru-RU" w:eastAsia="en-GB" w:bidi="ne-NP"/>
              </w:rPr>
              <w:t>14</w:t>
            </w:r>
          </w:p>
        </w:tc>
        <w:tc>
          <w:tcPr>
            <w:tcW w:w="993" w:type="dxa"/>
            <w:tcBorders>
              <w:top w:val="nil"/>
              <w:left w:val="nil"/>
              <w:bottom w:val="single" w:sz="4" w:space="0" w:color="auto"/>
              <w:right w:val="single" w:sz="4" w:space="0" w:color="auto"/>
            </w:tcBorders>
            <w:shd w:val="clear" w:color="auto" w:fill="auto"/>
            <w:noWrap/>
            <w:vAlign w:val="center"/>
          </w:tcPr>
          <w:p w14:paraId="55E80CA0" w14:textId="153E3638" w:rsidR="00F64BEE" w:rsidRPr="00694ACA" w:rsidRDefault="00F64BEE" w:rsidP="00F64BEE">
            <w:pPr>
              <w:keepNext/>
              <w:spacing w:after="0"/>
              <w:jc w:val="right"/>
              <w:rPr>
                <w:rFonts w:eastAsia="Times New Roman" w:cs="Calibri"/>
                <w:color w:val="000000"/>
                <w:sz w:val="18"/>
                <w:szCs w:val="18"/>
                <w:lang w:val="ru-RU" w:eastAsia="en-GB" w:bidi="ne-NP"/>
              </w:rPr>
            </w:pPr>
            <w:r w:rsidRPr="00694ACA">
              <w:rPr>
                <w:rFonts w:eastAsia="Times New Roman" w:cs="Calibri"/>
                <w:sz w:val="18"/>
                <w:szCs w:val="18"/>
                <w:lang w:val="ru-RU" w:eastAsia="en-GB" w:bidi="ne-NP"/>
              </w:rPr>
              <w:t>4</w:t>
            </w:r>
          </w:p>
        </w:tc>
      </w:tr>
      <w:tr w:rsidR="00F64BEE" w:rsidRPr="00694ACA" w14:paraId="4703CB37" w14:textId="77777777" w:rsidTr="009C4800">
        <w:trPr>
          <w:trHeight w:val="340"/>
          <w:jc w:val="center"/>
        </w:trPr>
        <w:tc>
          <w:tcPr>
            <w:tcW w:w="4678" w:type="dxa"/>
            <w:tcBorders>
              <w:top w:val="nil"/>
              <w:left w:val="single" w:sz="4" w:space="0" w:color="auto"/>
              <w:bottom w:val="single" w:sz="4" w:space="0" w:color="auto"/>
              <w:right w:val="single" w:sz="4" w:space="0" w:color="auto"/>
            </w:tcBorders>
            <w:shd w:val="clear" w:color="auto" w:fill="auto"/>
            <w:noWrap/>
            <w:vAlign w:val="center"/>
            <w:hideMark/>
          </w:tcPr>
          <w:p w14:paraId="2A13E452" w14:textId="77777777" w:rsidR="00F64BEE" w:rsidRPr="00694ACA" w:rsidRDefault="00F64BEE" w:rsidP="00F64BEE">
            <w:pPr>
              <w:keepNext/>
              <w:spacing w:after="0"/>
              <w:rPr>
                <w:rFonts w:eastAsia="Times New Roman" w:cs="Calibri"/>
                <w:b/>
                <w:bCs/>
                <w:color w:val="000000"/>
                <w:sz w:val="18"/>
                <w:szCs w:val="18"/>
                <w:lang w:val="ru-RU" w:eastAsia="en-GB" w:bidi="ne-NP"/>
              </w:rPr>
            </w:pPr>
            <w:r w:rsidRPr="00694ACA">
              <w:rPr>
                <w:rFonts w:eastAsia="Times New Roman" w:cs="Calibri"/>
                <w:b/>
                <w:bCs/>
                <w:color w:val="000000"/>
                <w:sz w:val="18"/>
                <w:szCs w:val="18"/>
                <w:lang w:val="ru-RU" w:eastAsia="en-GB" w:bidi="ne-NP"/>
              </w:rPr>
              <w:t>БРЭ – регулярный бюджет*</w:t>
            </w:r>
          </w:p>
        </w:tc>
        <w:tc>
          <w:tcPr>
            <w:tcW w:w="992" w:type="dxa"/>
            <w:tcBorders>
              <w:top w:val="nil"/>
              <w:left w:val="nil"/>
              <w:bottom w:val="single" w:sz="4" w:space="0" w:color="auto"/>
              <w:right w:val="single" w:sz="4" w:space="0" w:color="auto"/>
            </w:tcBorders>
            <w:shd w:val="clear" w:color="auto" w:fill="auto"/>
            <w:noWrap/>
            <w:vAlign w:val="center"/>
            <w:hideMark/>
          </w:tcPr>
          <w:p w14:paraId="582AF84D" w14:textId="7AC7B602" w:rsidR="00F64BEE" w:rsidRPr="00694ACA" w:rsidRDefault="00F64BEE" w:rsidP="00F64BEE">
            <w:pPr>
              <w:keepNext/>
              <w:spacing w:after="0"/>
              <w:jc w:val="right"/>
              <w:rPr>
                <w:rFonts w:eastAsia="Times New Roman" w:cs="Calibri"/>
                <w:color w:val="000000"/>
                <w:sz w:val="18"/>
                <w:szCs w:val="18"/>
                <w:lang w:val="ru-RU" w:eastAsia="en-GB" w:bidi="ne-NP"/>
              </w:rPr>
            </w:pPr>
            <w:r w:rsidRPr="00694ACA">
              <w:rPr>
                <w:rFonts w:eastAsia="Times New Roman" w:cs="Calibri"/>
                <w:color w:val="000000"/>
                <w:sz w:val="18"/>
                <w:szCs w:val="18"/>
                <w:lang w:val="ru-RU" w:eastAsia="en-GB" w:bidi="ne-NP"/>
              </w:rPr>
              <w:t>444</w:t>
            </w:r>
          </w:p>
        </w:tc>
        <w:tc>
          <w:tcPr>
            <w:tcW w:w="992" w:type="dxa"/>
            <w:tcBorders>
              <w:top w:val="nil"/>
              <w:left w:val="nil"/>
              <w:bottom w:val="single" w:sz="4" w:space="0" w:color="auto"/>
              <w:right w:val="single" w:sz="4" w:space="0" w:color="auto"/>
            </w:tcBorders>
            <w:shd w:val="clear" w:color="auto" w:fill="auto"/>
            <w:noWrap/>
            <w:vAlign w:val="center"/>
            <w:hideMark/>
          </w:tcPr>
          <w:p w14:paraId="03848C00" w14:textId="081799A1" w:rsidR="00F64BEE" w:rsidRPr="00694ACA" w:rsidRDefault="00F64BEE" w:rsidP="00F64BEE">
            <w:pPr>
              <w:keepNext/>
              <w:spacing w:after="0"/>
              <w:jc w:val="right"/>
              <w:rPr>
                <w:rFonts w:eastAsia="Times New Roman" w:cs="Calibri"/>
                <w:color w:val="000000"/>
                <w:sz w:val="18"/>
                <w:szCs w:val="18"/>
                <w:lang w:val="ru-RU" w:eastAsia="en-GB" w:bidi="ne-NP"/>
              </w:rPr>
            </w:pPr>
            <w:r w:rsidRPr="00694ACA">
              <w:rPr>
                <w:rFonts w:eastAsia="Times New Roman" w:cs="Calibri"/>
                <w:color w:val="000000"/>
                <w:sz w:val="18"/>
                <w:szCs w:val="18"/>
                <w:lang w:val="ru-RU" w:eastAsia="en-GB" w:bidi="ne-NP"/>
              </w:rPr>
              <w:t>363</w:t>
            </w:r>
          </w:p>
        </w:tc>
        <w:tc>
          <w:tcPr>
            <w:tcW w:w="992" w:type="dxa"/>
            <w:tcBorders>
              <w:top w:val="nil"/>
              <w:left w:val="nil"/>
              <w:bottom w:val="single" w:sz="4" w:space="0" w:color="auto"/>
              <w:right w:val="single" w:sz="4" w:space="0" w:color="auto"/>
            </w:tcBorders>
            <w:shd w:val="clear" w:color="auto" w:fill="auto"/>
            <w:noWrap/>
            <w:vAlign w:val="center"/>
            <w:hideMark/>
          </w:tcPr>
          <w:p w14:paraId="0EFB904E" w14:textId="5C0D4127" w:rsidR="00F64BEE" w:rsidRPr="00694ACA" w:rsidRDefault="00F64BEE" w:rsidP="00F64BEE">
            <w:pPr>
              <w:keepNext/>
              <w:spacing w:after="0"/>
              <w:jc w:val="right"/>
              <w:rPr>
                <w:rFonts w:eastAsia="Times New Roman" w:cs="Calibri"/>
                <w:color w:val="000000"/>
                <w:sz w:val="18"/>
                <w:szCs w:val="18"/>
                <w:lang w:val="ru-RU" w:eastAsia="en-GB" w:bidi="ne-NP"/>
              </w:rPr>
            </w:pPr>
            <w:r w:rsidRPr="00694ACA">
              <w:rPr>
                <w:rFonts w:eastAsia="Times New Roman" w:cs="Calibri"/>
                <w:color w:val="000000"/>
                <w:sz w:val="18"/>
                <w:szCs w:val="18"/>
                <w:lang w:val="ru-RU" w:eastAsia="en-GB" w:bidi="ne-NP"/>
              </w:rPr>
              <w:t>394</w:t>
            </w:r>
          </w:p>
        </w:tc>
        <w:tc>
          <w:tcPr>
            <w:tcW w:w="992" w:type="dxa"/>
            <w:tcBorders>
              <w:top w:val="nil"/>
              <w:left w:val="nil"/>
              <w:bottom w:val="single" w:sz="4" w:space="0" w:color="auto"/>
              <w:right w:val="single" w:sz="4" w:space="0" w:color="auto"/>
            </w:tcBorders>
            <w:shd w:val="clear" w:color="auto" w:fill="auto"/>
            <w:noWrap/>
            <w:vAlign w:val="center"/>
            <w:hideMark/>
          </w:tcPr>
          <w:p w14:paraId="63DBAB91" w14:textId="46412A8B" w:rsidR="00F64BEE" w:rsidRPr="00694ACA" w:rsidRDefault="00F64BEE" w:rsidP="00F64BEE">
            <w:pPr>
              <w:keepNext/>
              <w:spacing w:after="0"/>
              <w:jc w:val="right"/>
              <w:rPr>
                <w:rFonts w:eastAsia="Times New Roman" w:cs="Calibri"/>
                <w:color w:val="000000"/>
                <w:sz w:val="18"/>
                <w:szCs w:val="18"/>
                <w:lang w:val="ru-RU" w:eastAsia="en-GB" w:bidi="ne-NP"/>
              </w:rPr>
            </w:pPr>
            <w:r w:rsidRPr="00694ACA">
              <w:rPr>
                <w:rFonts w:eastAsia="Times New Roman" w:cs="Calibri"/>
                <w:color w:val="000000"/>
                <w:sz w:val="18"/>
                <w:szCs w:val="18"/>
                <w:lang w:val="ru-RU" w:eastAsia="en-GB" w:bidi="ne-NP"/>
              </w:rPr>
              <w:t>530</w:t>
            </w:r>
          </w:p>
        </w:tc>
        <w:tc>
          <w:tcPr>
            <w:tcW w:w="993" w:type="dxa"/>
            <w:tcBorders>
              <w:top w:val="nil"/>
              <w:left w:val="nil"/>
              <w:bottom w:val="single" w:sz="4" w:space="0" w:color="auto"/>
              <w:right w:val="single" w:sz="4" w:space="0" w:color="auto"/>
            </w:tcBorders>
            <w:shd w:val="clear" w:color="auto" w:fill="auto"/>
            <w:noWrap/>
            <w:vAlign w:val="center"/>
            <w:hideMark/>
          </w:tcPr>
          <w:p w14:paraId="7D51D275" w14:textId="1307F164" w:rsidR="00F64BEE" w:rsidRPr="00694ACA" w:rsidRDefault="00F64BEE" w:rsidP="00F64BEE">
            <w:pPr>
              <w:keepNext/>
              <w:spacing w:after="0"/>
              <w:jc w:val="right"/>
              <w:rPr>
                <w:rFonts w:eastAsia="Times New Roman" w:cs="Calibri"/>
                <w:color w:val="000000"/>
                <w:sz w:val="18"/>
                <w:szCs w:val="18"/>
                <w:lang w:val="ru-RU" w:eastAsia="en-GB" w:bidi="ne-NP"/>
              </w:rPr>
            </w:pPr>
            <w:r w:rsidRPr="00694ACA">
              <w:rPr>
                <w:rFonts w:eastAsia="Times New Roman" w:cs="Calibri"/>
                <w:color w:val="000000"/>
                <w:sz w:val="18"/>
                <w:szCs w:val="18"/>
                <w:lang w:val="ru-RU" w:eastAsia="en-GB" w:bidi="ne-NP"/>
              </w:rPr>
              <w:t>463</w:t>
            </w:r>
          </w:p>
        </w:tc>
      </w:tr>
      <w:tr w:rsidR="00F64BEE" w:rsidRPr="00694ACA" w14:paraId="6AB5000C" w14:textId="77777777" w:rsidTr="009C4800">
        <w:trPr>
          <w:trHeight w:val="340"/>
          <w:jc w:val="center"/>
        </w:trPr>
        <w:tc>
          <w:tcPr>
            <w:tcW w:w="4678" w:type="dxa"/>
            <w:tcBorders>
              <w:top w:val="nil"/>
              <w:left w:val="single" w:sz="4" w:space="0" w:color="auto"/>
              <w:bottom w:val="single" w:sz="4" w:space="0" w:color="auto"/>
              <w:right w:val="single" w:sz="4" w:space="0" w:color="auto"/>
            </w:tcBorders>
            <w:shd w:val="clear" w:color="auto" w:fill="auto"/>
            <w:noWrap/>
            <w:vAlign w:val="center"/>
            <w:hideMark/>
          </w:tcPr>
          <w:p w14:paraId="7797C86E" w14:textId="77777777" w:rsidR="00F64BEE" w:rsidRPr="00694ACA" w:rsidRDefault="00F64BEE" w:rsidP="00F64BEE">
            <w:pPr>
              <w:keepNext/>
              <w:spacing w:after="0"/>
              <w:rPr>
                <w:rFonts w:eastAsia="Times New Roman" w:cs="Calibri"/>
                <w:b/>
                <w:bCs/>
                <w:color w:val="000000"/>
                <w:sz w:val="18"/>
                <w:szCs w:val="18"/>
                <w:lang w:val="ru-RU" w:eastAsia="en-GB" w:bidi="ne-NP"/>
              </w:rPr>
            </w:pPr>
            <w:r w:rsidRPr="00694ACA">
              <w:rPr>
                <w:rFonts w:eastAsia="Times New Roman" w:cs="Calibri"/>
                <w:b/>
                <w:bCs/>
                <w:color w:val="000000"/>
                <w:sz w:val="18"/>
                <w:szCs w:val="18"/>
                <w:lang w:val="ru-RU" w:eastAsia="en-GB" w:bidi="ne-NP"/>
              </w:rPr>
              <w:t>БРЭ – внебюджетное финансирование*</w:t>
            </w:r>
          </w:p>
        </w:tc>
        <w:tc>
          <w:tcPr>
            <w:tcW w:w="992" w:type="dxa"/>
            <w:tcBorders>
              <w:top w:val="nil"/>
              <w:left w:val="nil"/>
              <w:bottom w:val="single" w:sz="4" w:space="0" w:color="auto"/>
              <w:right w:val="single" w:sz="4" w:space="0" w:color="auto"/>
            </w:tcBorders>
            <w:shd w:val="clear" w:color="auto" w:fill="auto"/>
            <w:noWrap/>
            <w:vAlign w:val="center"/>
            <w:hideMark/>
          </w:tcPr>
          <w:p w14:paraId="14F120CB" w14:textId="2C076BE6" w:rsidR="00F64BEE" w:rsidRPr="00694ACA" w:rsidRDefault="00F64BEE" w:rsidP="00F64BEE">
            <w:pPr>
              <w:keepNext/>
              <w:spacing w:after="0"/>
              <w:jc w:val="right"/>
              <w:rPr>
                <w:rFonts w:eastAsia="Times New Roman" w:cs="Calibri"/>
                <w:color w:val="000000"/>
                <w:sz w:val="18"/>
                <w:szCs w:val="18"/>
                <w:lang w:val="ru-RU" w:eastAsia="en-GB" w:bidi="ne-NP"/>
              </w:rPr>
            </w:pPr>
            <w:r w:rsidRPr="00694ACA">
              <w:rPr>
                <w:rFonts w:eastAsia="Times New Roman" w:cs="Calibri"/>
                <w:color w:val="000000"/>
                <w:sz w:val="18"/>
                <w:szCs w:val="18"/>
                <w:lang w:val="ru-RU" w:eastAsia="en-GB" w:bidi="ne-NP"/>
              </w:rPr>
              <w:t>271</w:t>
            </w:r>
          </w:p>
        </w:tc>
        <w:tc>
          <w:tcPr>
            <w:tcW w:w="992" w:type="dxa"/>
            <w:tcBorders>
              <w:top w:val="nil"/>
              <w:left w:val="nil"/>
              <w:bottom w:val="single" w:sz="4" w:space="0" w:color="auto"/>
              <w:right w:val="single" w:sz="4" w:space="0" w:color="auto"/>
            </w:tcBorders>
            <w:shd w:val="clear" w:color="auto" w:fill="auto"/>
            <w:noWrap/>
            <w:vAlign w:val="center"/>
            <w:hideMark/>
          </w:tcPr>
          <w:p w14:paraId="0183D6E7" w14:textId="60D4137E" w:rsidR="00F64BEE" w:rsidRPr="00694ACA" w:rsidRDefault="00F64BEE" w:rsidP="00F64BEE">
            <w:pPr>
              <w:keepNext/>
              <w:spacing w:after="0"/>
              <w:jc w:val="right"/>
              <w:rPr>
                <w:rFonts w:eastAsia="Times New Roman" w:cs="Calibri"/>
                <w:color w:val="000000"/>
                <w:sz w:val="18"/>
                <w:szCs w:val="18"/>
                <w:lang w:val="ru-RU" w:eastAsia="en-GB" w:bidi="ne-NP"/>
              </w:rPr>
            </w:pPr>
            <w:r w:rsidRPr="00694ACA">
              <w:rPr>
                <w:rFonts w:eastAsia="Times New Roman" w:cs="Calibri"/>
                <w:color w:val="000000"/>
                <w:sz w:val="18"/>
                <w:szCs w:val="18"/>
                <w:lang w:val="ru-RU" w:eastAsia="en-GB" w:bidi="ne-NP"/>
              </w:rPr>
              <w:t>365</w:t>
            </w:r>
          </w:p>
        </w:tc>
        <w:tc>
          <w:tcPr>
            <w:tcW w:w="992" w:type="dxa"/>
            <w:tcBorders>
              <w:top w:val="nil"/>
              <w:left w:val="nil"/>
              <w:bottom w:val="single" w:sz="4" w:space="0" w:color="auto"/>
              <w:right w:val="single" w:sz="4" w:space="0" w:color="auto"/>
            </w:tcBorders>
            <w:shd w:val="clear" w:color="auto" w:fill="auto"/>
            <w:noWrap/>
            <w:vAlign w:val="center"/>
            <w:hideMark/>
          </w:tcPr>
          <w:p w14:paraId="39D81683" w14:textId="742A6DD9" w:rsidR="00F64BEE" w:rsidRPr="00694ACA" w:rsidRDefault="00F64BEE" w:rsidP="00F64BEE">
            <w:pPr>
              <w:keepNext/>
              <w:spacing w:after="0"/>
              <w:jc w:val="right"/>
              <w:rPr>
                <w:rFonts w:eastAsia="Times New Roman" w:cs="Calibri"/>
                <w:color w:val="000000"/>
                <w:sz w:val="18"/>
                <w:szCs w:val="18"/>
                <w:lang w:val="ru-RU" w:eastAsia="en-GB" w:bidi="ne-NP"/>
              </w:rPr>
            </w:pPr>
            <w:r w:rsidRPr="00694ACA">
              <w:rPr>
                <w:rFonts w:eastAsia="Times New Roman" w:cs="Calibri"/>
                <w:color w:val="000000"/>
                <w:sz w:val="18"/>
                <w:szCs w:val="18"/>
                <w:lang w:val="ru-RU" w:eastAsia="en-GB" w:bidi="ne-NP"/>
              </w:rPr>
              <w:t>248</w:t>
            </w:r>
          </w:p>
        </w:tc>
        <w:tc>
          <w:tcPr>
            <w:tcW w:w="992" w:type="dxa"/>
            <w:tcBorders>
              <w:top w:val="nil"/>
              <w:left w:val="nil"/>
              <w:bottom w:val="single" w:sz="4" w:space="0" w:color="auto"/>
              <w:right w:val="single" w:sz="4" w:space="0" w:color="auto"/>
            </w:tcBorders>
            <w:shd w:val="clear" w:color="auto" w:fill="auto"/>
            <w:noWrap/>
            <w:vAlign w:val="center"/>
            <w:hideMark/>
          </w:tcPr>
          <w:p w14:paraId="31E47B14" w14:textId="13835A9C" w:rsidR="00F64BEE" w:rsidRPr="00694ACA" w:rsidRDefault="00F64BEE" w:rsidP="00F64BEE">
            <w:pPr>
              <w:keepNext/>
              <w:spacing w:after="0"/>
              <w:jc w:val="right"/>
              <w:rPr>
                <w:rFonts w:eastAsia="Times New Roman" w:cs="Calibri"/>
                <w:color w:val="000000"/>
                <w:sz w:val="18"/>
                <w:szCs w:val="18"/>
                <w:lang w:val="ru-RU" w:eastAsia="en-GB" w:bidi="ne-NP"/>
              </w:rPr>
            </w:pPr>
            <w:r w:rsidRPr="00694ACA">
              <w:rPr>
                <w:rFonts w:eastAsia="Times New Roman" w:cs="Calibri"/>
                <w:color w:val="000000"/>
                <w:sz w:val="18"/>
                <w:szCs w:val="18"/>
                <w:lang w:val="ru-RU" w:eastAsia="en-GB" w:bidi="ne-NP"/>
              </w:rPr>
              <w:t>264</w:t>
            </w:r>
          </w:p>
        </w:tc>
        <w:tc>
          <w:tcPr>
            <w:tcW w:w="993" w:type="dxa"/>
            <w:tcBorders>
              <w:top w:val="nil"/>
              <w:left w:val="nil"/>
              <w:bottom w:val="single" w:sz="4" w:space="0" w:color="auto"/>
              <w:right w:val="single" w:sz="4" w:space="0" w:color="auto"/>
            </w:tcBorders>
            <w:shd w:val="clear" w:color="auto" w:fill="auto"/>
            <w:noWrap/>
            <w:vAlign w:val="center"/>
            <w:hideMark/>
          </w:tcPr>
          <w:p w14:paraId="25528B41" w14:textId="42C51C78" w:rsidR="00F64BEE" w:rsidRPr="00694ACA" w:rsidRDefault="00F64BEE" w:rsidP="00F64BEE">
            <w:pPr>
              <w:keepNext/>
              <w:spacing w:after="0"/>
              <w:jc w:val="right"/>
              <w:rPr>
                <w:rFonts w:eastAsia="Times New Roman" w:cs="Calibri"/>
                <w:color w:val="000000"/>
                <w:sz w:val="18"/>
                <w:szCs w:val="18"/>
                <w:lang w:val="ru-RU" w:eastAsia="en-GB" w:bidi="ne-NP"/>
              </w:rPr>
            </w:pPr>
            <w:r w:rsidRPr="00694ACA">
              <w:rPr>
                <w:rFonts w:eastAsia="Times New Roman" w:cs="Calibri"/>
                <w:color w:val="000000"/>
                <w:sz w:val="18"/>
                <w:szCs w:val="18"/>
                <w:lang w:val="ru-RU" w:eastAsia="en-GB" w:bidi="ne-NP"/>
              </w:rPr>
              <w:t>234</w:t>
            </w:r>
          </w:p>
        </w:tc>
      </w:tr>
      <w:tr w:rsidR="00F64BEE" w:rsidRPr="00694ACA" w14:paraId="263D1EFB" w14:textId="77777777" w:rsidTr="009C4800">
        <w:trPr>
          <w:trHeight w:val="340"/>
          <w:jc w:val="center"/>
        </w:trPr>
        <w:tc>
          <w:tcPr>
            <w:tcW w:w="4678" w:type="dxa"/>
            <w:tcBorders>
              <w:top w:val="nil"/>
              <w:left w:val="single" w:sz="4" w:space="0" w:color="auto"/>
              <w:bottom w:val="single" w:sz="4" w:space="0" w:color="auto"/>
              <w:right w:val="single" w:sz="4" w:space="0" w:color="auto"/>
            </w:tcBorders>
            <w:shd w:val="clear" w:color="auto" w:fill="auto"/>
            <w:noWrap/>
            <w:vAlign w:val="center"/>
          </w:tcPr>
          <w:p w14:paraId="3AB35DD4" w14:textId="77777777" w:rsidR="00F64BEE" w:rsidRPr="00694ACA" w:rsidRDefault="00F64BEE" w:rsidP="00F64BEE">
            <w:pPr>
              <w:spacing w:after="0"/>
              <w:rPr>
                <w:rFonts w:eastAsia="Times New Roman" w:cs="Calibri"/>
                <w:b/>
                <w:bCs/>
                <w:color w:val="000000"/>
                <w:sz w:val="18"/>
                <w:szCs w:val="18"/>
                <w:lang w:val="ru-RU" w:eastAsia="en-GB" w:bidi="ne-NP"/>
              </w:rPr>
            </w:pPr>
            <w:r w:rsidRPr="00694ACA">
              <w:rPr>
                <w:rFonts w:eastAsia="Times New Roman" w:cs="Calibri"/>
                <w:b/>
                <w:bCs/>
                <w:color w:val="000000"/>
                <w:sz w:val="18"/>
                <w:szCs w:val="18"/>
                <w:lang w:val="ru-RU" w:eastAsia="en-GB" w:bidi="ne-NP"/>
              </w:rPr>
              <w:t>ИТОГО</w:t>
            </w:r>
          </w:p>
        </w:tc>
        <w:tc>
          <w:tcPr>
            <w:tcW w:w="992" w:type="dxa"/>
            <w:tcBorders>
              <w:top w:val="nil"/>
              <w:left w:val="nil"/>
              <w:bottom w:val="single" w:sz="4" w:space="0" w:color="auto"/>
              <w:right w:val="single" w:sz="4" w:space="0" w:color="auto"/>
            </w:tcBorders>
            <w:shd w:val="clear" w:color="auto" w:fill="auto"/>
            <w:noWrap/>
            <w:vAlign w:val="center"/>
          </w:tcPr>
          <w:p w14:paraId="0E23592C" w14:textId="600D291B" w:rsidR="00F64BEE" w:rsidRPr="00694ACA" w:rsidRDefault="00F64BEE" w:rsidP="00F64BEE">
            <w:pPr>
              <w:spacing w:after="0"/>
              <w:jc w:val="right"/>
              <w:rPr>
                <w:rFonts w:eastAsia="Times New Roman" w:cs="Calibri"/>
                <w:color w:val="000000"/>
                <w:sz w:val="18"/>
                <w:szCs w:val="18"/>
                <w:lang w:val="ru-RU" w:eastAsia="en-GB" w:bidi="ne-NP"/>
              </w:rPr>
            </w:pPr>
            <w:r w:rsidRPr="00694ACA">
              <w:rPr>
                <w:rFonts w:eastAsia="Times New Roman" w:cs="Calibri"/>
                <w:b/>
                <w:bCs/>
                <w:color w:val="000000"/>
                <w:sz w:val="18"/>
                <w:szCs w:val="18"/>
                <w:lang w:val="ru-RU" w:eastAsia="en-GB" w:bidi="ne-NP"/>
              </w:rPr>
              <w:t>752</w:t>
            </w:r>
          </w:p>
        </w:tc>
        <w:tc>
          <w:tcPr>
            <w:tcW w:w="992" w:type="dxa"/>
            <w:tcBorders>
              <w:top w:val="nil"/>
              <w:left w:val="nil"/>
              <w:bottom w:val="single" w:sz="4" w:space="0" w:color="auto"/>
              <w:right w:val="single" w:sz="4" w:space="0" w:color="auto"/>
            </w:tcBorders>
            <w:shd w:val="clear" w:color="auto" w:fill="auto"/>
            <w:noWrap/>
            <w:vAlign w:val="center"/>
          </w:tcPr>
          <w:p w14:paraId="7D20A793" w14:textId="2D621723" w:rsidR="00F64BEE" w:rsidRPr="00694ACA" w:rsidRDefault="00F64BEE" w:rsidP="00F64BEE">
            <w:pPr>
              <w:spacing w:after="0"/>
              <w:jc w:val="right"/>
              <w:rPr>
                <w:rFonts w:eastAsia="Times New Roman" w:cs="Calibri"/>
                <w:color w:val="000000"/>
                <w:sz w:val="18"/>
                <w:szCs w:val="18"/>
                <w:lang w:val="ru-RU" w:eastAsia="en-GB" w:bidi="ne-NP"/>
              </w:rPr>
            </w:pPr>
            <w:r w:rsidRPr="00694ACA">
              <w:rPr>
                <w:rFonts w:eastAsia="Times New Roman" w:cs="Calibri"/>
                <w:b/>
                <w:bCs/>
                <w:color w:val="000000"/>
                <w:sz w:val="18"/>
                <w:szCs w:val="18"/>
                <w:lang w:val="ru-RU" w:eastAsia="en-GB" w:bidi="ne-NP"/>
              </w:rPr>
              <w:t>760</w:t>
            </w:r>
          </w:p>
        </w:tc>
        <w:tc>
          <w:tcPr>
            <w:tcW w:w="992" w:type="dxa"/>
            <w:tcBorders>
              <w:top w:val="nil"/>
              <w:left w:val="nil"/>
              <w:bottom w:val="single" w:sz="4" w:space="0" w:color="auto"/>
              <w:right w:val="single" w:sz="4" w:space="0" w:color="auto"/>
            </w:tcBorders>
            <w:shd w:val="clear" w:color="auto" w:fill="auto"/>
            <w:noWrap/>
            <w:vAlign w:val="center"/>
          </w:tcPr>
          <w:p w14:paraId="68C9B440" w14:textId="56779DEE" w:rsidR="00F64BEE" w:rsidRPr="00694ACA" w:rsidRDefault="00F64BEE" w:rsidP="00F64BEE">
            <w:pPr>
              <w:spacing w:after="0"/>
              <w:jc w:val="right"/>
              <w:rPr>
                <w:rFonts w:eastAsia="Times New Roman" w:cs="Calibri"/>
                <w:color w:val="000000"/>
                <w:sz w:val="18"/>
                <w:szCs w:val="18"/>
                <w:lang w:val="ru-RU" w:eastAsia="en-GB" w:bidi="ne-NP"/>
              </w:rPr>
            </w:pPr>
            <w:r w:rsidRPr="00694ACA">
              <w:rPr>
                <w:rFonts w:eastAsia="Times New Roman" w:cs="Calibri"/>
                <w:b/>
                <w:bCs/>
                <w:color w:val="000000"/>
                <w:sz w:val="18"/>
                <w:szCs w:val="18"/>
                <w:lang w:val="ru-RU" w:eastAsia="en-GB" w:bidi="ne-NP"/>
              </w:rPr>
              <w:t>689</w:t>
            </w:r>
          </w:p>
        </w:tc>
        <w:tc>
          <w:tcPr>
            <w:tcW w:w="992" w:type="dxa"/>
            <w:tcBorders>
              <w:top w:val="nil"/>
              <w:left w:val="nil"/>
              <w:bottom w:val="single" w:sz="4" w:space="0" w:color="auto"/>
              <w:right w:val="single" w:sz="4" w:space="0" w:color="auto"/>
            </w:tcBorders>
            <w:shd w:val="clear" w:color="auto" w:fill="auto"/>
            <w:noWrap/>
            <w:vAlign w:val="center"/>
          </w:tcPr>
          <w:p w14:paraId="1D14F336" w14:textId="05741107" w:rsidR="00F64BEE" w:rsidRPr="00694ACA" w:rsidRDefault="00F64BEE" w:rsidP="00F64BEE">
            <w:pPr>
              <w:spacing w:after="0"/>
              <w:jc w:val="right"/>
              <w:rPr>
                <w:rFonts w:eastAsia="Times New Roman" w:cs="Calibri"/>
                <w:color w:val="000000"/>
                <w:sz w:val="18"/>
                <w:szCs w:val="18"/>
                <w:lang w:val="ru-RU" w:eastAsia="en-GB" w:bidi="ne-NP"/>
              </w:rPr>
            </w:pPr>
            <w:r w:rsidRPr="00694ACA">
              <w:rPr>
                <w:rFonts w:eastAsia="Times New Roman" w:cs="Calibri"/>
                <w:b/>
                <w:bCs/>
                <w:color w:val="000000"/>
                <w:sz w:val="18"/>
                <w:szCs w:val="18"/>
                <w:lang w:val="ru-RU" w:eastAsia="en-GB" w:bidi="ne-NP"/>
              </w:rPr>
              <w:t>858</w:t>
            </w:r>
          </w:p>
        </w:tc>
        <w:tc>
          <w:tcPr>
            <w:tcW w:w="993" w:type="dxa"/>
            <w:tcBorders>
              <w:top w:val="nil"/>
              <w:left w:val="nil"/>
              <w:bottom w:val="single" w:sz="4" w:space="0" w:color="auto"/>
              <w:right w:val="single" w:sz="4" w:space="0" w:color="auto"/>
            </w:tcBorders>
            <w:shd w:val="clear" w:color="auto" w:fill="auto"/>
            <w:noWrap/>
            <w:vAlign w:val="center"/>
          </w:tcPr>
          <w:p w14:paraId="47C3310A" w14:textId="211DEBC9" w:rsidR="00F64BEE" w:rsidRPr="00694ACA" w:rsidRDefault="00F64BEE" w:rsidP="00F64BEE">
            <w:pPr>
              <w:spacing w:after="0"/>
              <w:jc w:val="right"/>
              <w:rPr>
                <w:rFonts w:eastAsia="Times New Roman" w:cs="Calibri"/>
                <w:color w:val="000000"/>
                <w:sz w:val="18"/>
                <w:szCs w:val="18"/>
                <w:lang w:val="ru-RU" w:eastAsia="en-GB" w:bidi="ne-NP"/>
              </w:rPr>
            </w:pPr>
            <w:r w:rsidRPr="00694ACA">
              <w:rPr>
                <w:rFonts w:eastAsia="Times New Roman" w:cs="Calibri"/>
                <w:b/>
                <w:bCs/>
                <w:color w:val="000000"/>
                <w:sz w:val="18"/>
                <w:szCs w:val="18"/>
                <w:lang w:val="ru-RU" w:eastAsia="en-GB" w:bidi="ne-NP"/>
              </w:rPr>
              <w:t>726</w:t>
            </w:r>
          </w:p>
        </w:tc>
      </w:tr>
    </w:tbl>
    <w:p w14:paraId="0C0B47A2" w14:textId="473A630A" w:rsidR="001119AF" w:rsidRPr="00694ACA" w:rsidRDefault="001119AF" w:rsidP="00F64BEE">
      <w:pPr>
        <w:spacing w:before="200"/>
        <w:ind w:left="-284" w:right="-472"/>
        <w:rPr>
          <w:highlight w:val="lightGray"/>
          <w:lang w:val="ru-RU"/>
        </w:rPr>
      </w:pPr>
      <w:r w:rsidRPr="00694ACA">
        <w:rPr>
          <w:lang w:val="ru-RU"/>
        </w:rPr>
        <w:t>55.</w:t>
      </w:r>
      <w:r w:rsidR="00A579EF">
        <w:rPr>
          <w:lang w:val="ru-RU"/>
        </w:rPr>
        <w:t xml:space="preserve"> </w:t>
      </w:r>
      <w:r w:rsidRPr="00694ACA">
        <w:rPr>
          <w:lang w:val="ru-RU"/>
        </w:rPr>
        <w:t>Еще один интересный аспект найма консультантов и экспертов – это регионы, из которых они привлечены. Например, региональная принадлежность экспертов, внесших вклад в разработку программ профессиональной подготовки БРЭ (Приложение 5), выглядит очень асимметрично: 56% из Европы и 30% из Америки</w:t>
      </w:r>
      <w:r w:rsidRPr="00694ACA">
        <w:rPr>
          <w:rStyle w:val="FootnoteReference"/>
          <w:lang w:val="ru-RU"/>
        </w:rPr>
        <w:footnoteReference w:id="77"/>
      </w:r>
      <w:r w:rsidRPr="00694ACA">
        <w:rPr>
          <w:lang w:val="ru-RU"/>
        </w:rPr>
        <w:t>. Не было ни одного эксперта из Арабского региона, только один эксперт был из СНГ, и три – из Африки. Это отображает "баланс сил" при реализации по крайней мере части мероприятий МСЭ в области развития потенциала и профессиональной подготовки, которые разрабатываются и проводятся представителями более богатых и влиятельных стран и, таким образом, могут воспроизводить существующие глобальные цифровые структуры власти.</w:t>
      </w:r>
    </w:p>
    <w:p w14:paraId="27C7D451" w14:textId="77777777" w:rsidR="001119AF" w:rsidRPr="00694ACA" w:rsidRDefault="001119AF" w:rsidP="00D278A3">
      <w:pPr>
        <w:pStyle w:val="Heading3"/>
        <w:ind w:right="-472"/>
        <w:rPr>
          <w:highlight w:val="lightGray"/>
          <w:lang w:val="ru-RU"/>
        </w:rPr>
      </w:pPr>
      <w:bookmarkStart w:id="287" w:name="_Toc57297387"/>
      <w:r w:rsidRPr="00694ACA">
        <w:rPr>
          <w:lang w:val="ru-RU"/>
        </w:rPr>
        <w:t>Проекты и программы по развитию потенциала и профессиональной подготовке</w:t>
      </w:r>
      <w:bookmarkEnd w:id="287"/>
    </w:p>
    <w:p w14:paraId="3828DF53" w14:textId="12281E0D" w:rsidR="001119AF" w:rsidRPr="00694ACA" w:rsidRDefault="001119AF" w:rsidP="002B0D90">
      <w:pPr>
        <w:ind w:left="-284" w:right="-472"/>
        <w:rPr>
          <w:highlight w:val="lightGray"/>
          <w:lang w:val="ru-RU"/>
        </w:rPr>
      </w:pPr>
      <w:r w:rsidRPr="00694ACA">
        <w:rPr>
          <w:lang w:val="ru-RU"/>
        </w:rPr>
        <w:t>56. С января 2015 года БРЭ участвовало в 18 проектах, связанных непосредственно с развитием потенциала, краткие финансовые данные по которым приведены в швейцарский франках (в округленных цифрах): взнос МСЭ (A) 234 521, партнерские взносы (B) 2 396 914, сбор МСЭ с партнерских взносов (C) 56 527, а также общие затраты на проекты (A+B-C) 2 574 909. Это показывает, как, благодаря работе с партнерами (в</w:t>
      </w:r>
      <w:r w:rsidR="00097003" w:rsidRPr="00694ACA">
        <w:rPr>
          <w:lang w:val="ru-RU"/>
        </w:rPr>
        <w:t> </w:t>
      </w:r>
      <w:r w:rsidRPr="00694ACA">
        <w:rPr>
          <w:lang w:val="ru-RU"/>
        </w:rPr>
        <w:t>основном с правительствами Государств-Членов), МСЭ почти за шесть лет удалось потратить менее 250 000 швейцарских франков на содействие деятельности по развитию потенциала стоимостью более 2 500 000 швейцарских франков, получив при этом около 56 500 швейцарских франков прибыли для покрытия внутренних затрат (административное и оперативное обслуживание, обычно 7%</w:t>
      </w:r>
      <w:r w:rsidRPr="00694ACA">
        <w:rPr>
          <w:rStyle w:val="FootnoteReference"/>
          <w:lang w:val="ru-RU"/>
        </w:rPr>
        <w:footnoteReference w:id="78"/>
      </w:r>
      <w:r w:rsidRPr="00694ACA">
        <w:rPr>
          <w:lang w:val="ru-RU"/>
        </w:rPr>
        <w:t>). Кроме того, можно отметить, что с января 2015 года МСЭ предоставил около 5000 стипендий, в основном для прохождения какого-либо обучения</w:t>
      </w:r>
      <w:r w:rsidRPr="00694ACA">
        <w:rPr>
          <w:rStyle w:val="FootnoteReference"/>
          <w:lang w:val="ru-RU"/>
        </w:rPr>
        <w:footnoteReference w:id="79"/>
      </w:r>
      <w:r w:rsidRPr="00694ACA">
        <w:rPr>
          <w:lang w:val="ru-RU"/>
        </w:rPr>
        <w:t>.</w:t>
      </w:r>
    </w:p>
    <w:p w14:paraId="130C39F6" w14:textId="15EF2340" w:rsidR="001119AF" w:rsidRPr="00694ACA" w:rsidRDefault="001119AF" w:rsidP="004E18C5">
      <w:pPr>
        <w:ind w:left="-284" w:right="-472"/>
        <w:rPr>
          <w:highlight w:val="lightGray"/>
          <w:lang w:val="ru-RU"/>
        </w:rPr>
      </w:pPr>
      <w:r w:rsidRPr="00694ACA">
        <w:rPr>
          <w:lang w:val="ru-RU"/>
        </w:rPr>
        <w:t>57. На разработку каждого модуля учебных программ БРЭ было выделено от 5000 до 10 000 долл. США. Это означает, что при наличии 15 модулей в каждой программе затраты на разработку каждой программы составляли по крайней мере около 75 000 долл. США (исходя из более низкого значения – 5000 долл. США), так что суммарные затраты на все четыре программы составили около 300 000 долл. США.</w:t>
      </w:r>
    </w:p>
    <w:p w14:paraId="57185ECB" w14:textId="77777777" w:rsidR="001119AF" w:rsidRPr="00694ACA" w:rsidRDefault="001119AF" w:rsidP="00D278A3">
      <w:pPr>
        <w:pStyle w:val="Heading3"/>
        <w:ind w:right="-472"/>
        <w:rPr>
          <w:highlight w:val="lightGray"/>
          <w:lang w:val="ru-RU"/>
        </w:rPr>
      </w:pPr>
      <w:bookmarkStart w:id="288" w:name="_Toc57297389"/>
      <w:r w:rsidRPr="00694ACA">
        <w:rPr>
          <w:lang w:val="ru-RU"/>
        </w:rPr>
        <w:t>Цифровые услуги</w:t>
      </w:r>
      <w:bookmarkEnd w:id="288"/>
    </w:p>
    <w:p w14:paraId="5CF97613" w14:textId="4C465D84" w:rsidR="001119AF" w:rsidRPr="00694ACA" w:rsidRDefault="001119AF" w:rsidP="002B0D90">
      <w:pPr>
        <w:ind w:left="-284" w:right="-472"/>
        <w:rPr>
          <w:highlight w:val="lightGray"/>
          <w:lang w:val="ru-RU"/>
        </w:rPr>
      </w:pPr>
      <w:r w:rsidRPr="00694ACA">
        <w:rPr>
          <w:lang w:val="ru-RU"/>
        </w:rPr>
        <w:t xml:space="preserve">58. В период с января 2016 года по ноябрь 2020 года МСЭ заплатил 77 012,5 швейцарского франка за услуги хостинга, поддержки и технического обслуживания Академии МСЭ, при этом текущие платежи составляли 2 195 швейцарских франков в месяц. По-видимому, эта хорошее соотношение цены и качества для таких услуг. Однако перевод мероприятий по развитию потенциала и профессиональной подготовке в онлайновый режим во всем мире, отчасти в результате пандемии COVID-19, означает, что структура финансирования такой деятельности изменилась, особенно для тех, кто теперь самостоятельно оплачивает свое участие. На практике людям, ранее проходившим обучение очно, удалось сэкономить на поездках и техническом обслуживании, но их затраты на подключение и доступ к онлайновому обучению возрастут. Это является особой проблемой для тех, кто во многих беднейших с экономической точки зрения странах имеет высокую плату за подключение к ненадежным услугам, а следовательно, </w:t>
      </w:r>
      <w:r w:rsidRPr="00694ACA">
        <w:rPr>
          <w:lang w:val="ru-RU"/>
        </w:rPr>
        <w:lastRenderedPageBreak/>
        <w:t>это ограничивает возможности участников в полной мере извлечь выгоду из подобного обучения, особенно когда приходится подключаться из дома.</w:t>
      </w:r>
    </w:p>
    <w:p w14:paraId="6933990E" w14:textId="427E762E" w:rsidR="001119AF" w:rsidRPr="00694ACA" w:rsidRDefault="001119AF" w:rsidP="00D278A3">
      <w:pPr>
        <w:pStyle w:val="Heading2"/>
        <w:ind w:right="-472"/>
        <w:rPr>
          <w:highlight w:val="lightGray"/>
          <w:lang w:val="ru-RU"/>
        </w:rPr>
      </w:pPr>
      <w:bookmarkStart w:id="289" w:name="_Toc57297390"/>
      <w:r w:rsidRPr="00694ACA">
        <w:rPr>
          <w:lang w:val="ru-RU"/>
        </w:rPr>
        <w:t>6.2 Поступления</w:t>
      </w:r>
      <w:bookmarkEnd w:id="289"/>
    </w:p>
    <w:p w14:paraId="7B83AC56" w14:textId="4985E6C5" w:rsidR="001119AF" w:rsidRPr="00694ACA" w:rsidRDefault="001119AF" w:rsidP="00D278A3">
      <w:pPr>
        <w:ind w:left="-284" w:right="-472"/>
        <w:rPr>
          <w:lang w:val="ru-RU"/>
        </w:rPr>
      </w:pPr>
      <w:r w:rsidRPr="00694ACA">
        <w:rPr>
          <w:lang w:val="ru-RU"/>
        </w:rPr>
        <w:t xml:space="preserve">59. Большая часть </w:t>
      </w:r>
      <w:r w:rsidR="001226D4" w:rsidRPr="00694ACA">
        <w:rPr>
          <w:lang w:val="ru-RU"/>
        </w:rPr>
        <w:t>официальн</w:t>
      </w:r>
      <w:r w:rsidRPr="00694ACA">
        <w:rPr>
          <w:lang w:val="ru-RU"/>
        </w:rPr>
        <w:t>ого развития потенциала и профессиональной подготовки МСЭ (например, посредством участия в собраниях исследовательских комиссий, семинарах и семинарах-практикумах) входит в список услуг, оказываемых членам Союза, а следовательно, поступлений для МСЭ не будет. Точно так же ресурсы и учебные материалы, публикуемые МСЭ и бесплатно доступные в интернете, не приносят МСЭ дохода. Помимо этого, участвовать в не</w:t>
      </w:r>
      <w:r w:rsidR="001226D4" w:rsidRPr="00694ACA">
        <w:rPr>
          <w:lang w:val="ru-RU"/>
        </w:rPr>
        <w:t>официальн</w:t>
      </w:r>
      <w:r w:rsidRPr="00694ACA">
        <w:rPr>
          <w:lang w:val="ru-RU"/>
        </w:rPr>
        <w:t xml:space="preserve">ой деятельности в области развития потенциала и профессиональной подготовки (например, в мероприятиях МСЭ, таких как Ежегодные форумы ВВУИО и </w:t>
      </w:r>
      <w:r w:rsidR="001226D4" w:rsidRPr="00694ACA">
        <w:rPr>
          <w:lang w:val="ru-RU"/>
        </w:rPr>
        <w:t xml:space="preserve">Всемирные мероприятия ITU </w:t>
      </w:r>
      <w:proofErr w:type="spellStart"/>
      <w:r w:rsidRPr="00694ACA">
        <w:rPr>
          <w:lang w:val="ru-RU"/>
        </w:rPr>
        <w:t>Telecom</w:t>
      </w:r>
      <w:proofErr w:type="spellEnd"/>
      <w:r w:rsidRPr="00694ACA">
        <w:rPr>
          <w:lang w:val="ru-RU"/>
        </w:rPr>
        <w:t>) в основном можно бесплатно. В то же время у МСЭ есть некоторые поступления от ЦПМ.</w:t>
      </w:r>
    </w:p>
    <w:p w14:paraId="057761EC" w14:textId="2CE8F098" w:rsidR="001119AF" w:rsidRPr="00694ACA" w:rsidRDefault="001119AF" w:rsidP="00195591">
      <w:pPr>
        <w:pStyle w:val="Heading4"/>
        <w:ind w:right="-472"/>
        <w:rPr>
          <w:highlight w:val="lightGray"/>
          <w:lang w:val="ru-RU"/>
        </w:rPr>
      </w:pPr>
      <w:r w:rsidRPr="00694ACA">
        <w:rPr>
          <w:lang w:val="ru-RU"/>
        </w:rPr>
        <w:t xml:space="preserve">Модель центров </w:t>
      </w:r>
      <w:r w:rsidR="00B8544B" w:rsidRPr="00694ACA">
        <w:rPr>
          <w:lang w:val="ru-RU"/>
        </w:rPr>
        <w:t xml:space="preserve">профессионального </w:t>
      </w:r>
      <w:r w:rsidRPr="00694ACA">
        <w:rPr>
          <w:lang w:val="ru-RU"/>
        </w:rPr>
        <w:t>мастерства</w:t>
      </w:r>
    </w:p>
    <w:p w14:paraId="4FF445D1" w14:textId="29646CA5" w:rsidR="001119AF" w:rsidRPr="00694ACA" w:rsidRDefault="001119AF" w:rsidP="00195591">
      <w:pPr>
        <w:ind w:left="-284" w:right="-472"/>
        <w:rPr>
          <w:highlight w:val="lightGray"/>
          <w:lang w:val="ru-RU"/>
        </w:rPr>
      </w:pPr>
      <w:r w:rsidRPr="00694ACA">
        <w:rPr>
          <w:lang w:val="ru-RU"/>
        </w:rPr>
        <w:t xml:space="preserve">60. В настоящее время цены, устанавливаемые центрами </w:t>
      </w:r>
      <w:r w:rsidR="00B8544B" w:rsidRPr="00694ACA">
        <w:rPr>
          <w:lang w:val="ru-RU"/>
        </w:rPr>
        <w:t xml:space="preserve">профессионального </w:t>
      </w:r>
      <w:r w:rsidRPr="00694ACA">
        <w:rPr>
          <w:lang w:val="ru-RU"/>
        </w:rPr>
        <w:t>мастерства за участие в их курсах, согласовываются ежегодно на региональных собраниях руководящего комитета. Задача состоит в том, чтобы удерживать их на минимальном уровне, обеспечивая покрытие затрат на проведение курсов. Общая сумма сборов, ежегодно уплачиваемых центрами в БРЭ, значительно варьируется: цифры за 2016</w:t>
      </w:r>
      <w:r w:rsidR="006026DB" w:rsidRPr="00694ACA">
        <w:rPr>
          <w:lang w:val="ru-RU"/>
        </w:rPr>
        <w:t>−</w:t>
      </w:r>
      <w:r w:rsidRPr="00694ACA">
        <w:rPr>
          <w:lang w:val="ru-RU"/>
        </w:rPr>
        <w:t>2019</w:t>
      </w:r>
      <w:r w:rsidR="006026DB" w:rsidRPr="00694ACA">
        <w:rPr>
          <w:lang w:val="ru-RU"/>
        </w:rPr>
        <w:t> </w:t>
      </w:r>
      <w:r w:rsidRPr="00694ACA">
        <w:rPr>
          <w:lang w:val="ru-RU"/>
        </w:rPr>
        <w:t>годы колеблются от 44 358 швейцарских франков в 2019 году до 78 737 швейцарских франков в 2018 году. Это более чем покрывает затраты на цифровые услуги для платформы Академии МСЭ и, как правило, дополнительно компенсирует небольшую долю затрат на персонал.</w:t>
      </w:r>
    </w:p>
    <w:p w14:paraId="69274DC5" w14:textId="77777777" w:rsidR="001119AF" w:rsidRPr="00694ACA" w:rsidRDefault="001119AF" w:rsidP="00D278A3">
      <w:pPr>
        <w:pStyle w:val="Heading4"/>
        <w:ind w:right="-472"/>
        <w:rPr>
          <w:highlight w:val="lightGray"/>
          <w:lang w:val="ru-RU"/>
        </w:rPr>
      </w:pPr>
      <w:r w:rsidRPr="00694ACA">
        <w:rPr>
          <w:lang w:val="ru-RU"/>
        </w:rPr>
        <w:t>Финансовая документация ЦПМ</w:t>
      </w:r>
    </w:p>
    <w:p w14:paraId="23DF7F85" w14:textId="4E8C5300" w:rsidR="001119AF" w:rsidRPr="00694ACA" w:rsidRDefault="001119AF" w:rsidP="00D278A3">
      <w:pPr>
        <w:ind w:left="-284" w:right="-472"/>
        <w:rPr>
          <w:color w:val="404040" w:themeColor="text1" w:themeTint="BF"/>
          <w:highlight w:val="lightGray"/>
          <w:lang w:val="ru-RU"/>
        </w:rPr>
      </w:pPr>
      <w:r w:rsidRPr="00694ACA">
        <w:rPr>
          <w:color w:val="404040" w:themeColor="text1" w:themeTint="BF"/>
          <w:lang w:val="ru-RU"/>
        </w:rPr>
        <w:t>61. Финансовая документация доступна по 24 ЦПМ. В период 2015–2018 годов, по данным полной документации, поступившей от 13 ЦПМ, средний объем выдел</w:t>
      </w:r>
      <w:r w:rsidR="00B8544B" w:rsidRPr="00694ACA">
        <w:rPr>
          <w:color w:val="404040" w:themeColor="text1" w:themeTint="BF"/>
          <w:lang w:val="ru-RU"/>
        </w:rPr>
        <w:t>яемы</w:t>
      </w:r>
      <w:r w:rsidRPr="00694ACA">
        <w:rPr>
          <w:color w:val="404040" w:themeColor="text1" w:themeTint="BF"/>
          <w:lang w:val="ru-RU"/>
        </w:rPr>
        <w:t>х финансовых ресурсов состав</w:t>
      </w:r>
      <w:r w:rsidR="00B8544B" w:rsidRPr="00694ACA">
        <w:rPr>
          <w:color w:val="404040" w:themeColor="text1" w:themeTint="BF"/>
          <w:lang w:val="ru-RU"/>
        </w:rPr>
        <w:t>лял</w:t>
      </w:r>
      <w:r w:rsidRPr="00694ACA">
        <w:rPr>
          <w:color w:val="404040" w:themeColor="text1" w:themeTint="BF"/>
          <w:lang w:val="ru-RU"/>
        </w:rPr>
        <w:t xml:space="preserve"> 53 978</w:t>
      </w:r>
      <w:r w:rsidR="006026DB" w:rsidRPr="00694ACA">
        <w:rPr>
          <w:color w:val="404040" w:themeColor="text1" w:themeTint="BF"/>
          <w:lang w:val="ru-RU"/>
        </w:rPr>
        <w:t> </w:t>
      </w:r>
      <w:r w:rsidRPr="00694ACA">
        <w:rPr>
          <w:color w:val="404040" w:themeColor="text1" w:themeTint="BF"/>
          <w:lang w:val="ru-RU"/>
        </w:rPr>
        <w:t xml:space="preserve">долл. США </w:t>
      </w:r>
      <w:r w:rsidR="00B8544B" w:rsidRPr="00694ACA">
        <w:rPr>
          <w:color w:val="404040" w:themeColor="text1" w:themeTint="BF"/>
          <w:lang w:val="ru-RU"/>
        </w:rPr>
        <w:t>в течение четырех лет –</w:t>
      </w:r>
      <w:r w:rsidRPr="00694ACA">
        <w:rPr>
          <w:color w:val="404040" w:themeColor="text1" w:themeTint="BF"/>
          <w:lang w:val="ru-RU"/>
        </w:rPr>
        <w:t xml:space="preserve"> от 8 000 до 160 000 долл. США. За период 2015</w:t>
      </w:r>
      <w:r w:rsidR="006026DB" w:rsidRPr="00694ACA">
        <w:rPr>
          <w:color w:val="404040" w:themeColor="text1" w:themeTint="BF"/>
          <w:lang w:val="ru-RU"/>
        </w:rPr>
        <w:t>−</w:t>
      </w:r>
      <w:r w:rsidRPr="00694ACA">
        <w:rPr>
          <w:color w:val="404040" w:themeColor="text1" w:themeTint="BF"/>
          <w:lang w:val="ru-RU"/>
        </w:rPr>
        <w:t>2018 годов пять ЦПМ не предоставили никакой информации о взимаемой плате за обучение. Было бы целесообразно, чтобы МСЭ в будущем обязал ЦПМ представлять финансовую отчетность в соответствии с четкими требованиями и согласованными параметрами, обеспечивающими сопоставимость данных по ЦПМ во времени.</w:t>
      </w:r>
    </w:p>
    <w:p w14:paraId="502BDBF2" w14:textId="77777777" w:rsidR="001119AF" w:rsidRPr="00694ACA" w:rsidRDefault="001119AF" w:rsidP="00D278A3">
      <w:pPr>
        <w:pStyle w:val="Heading2"/>
        <w:ind w:right="-472"/>
        <w:rPr>
          <w:highlight w:val="lightGray"/>
          <w:lang w:val="ru-RU"/>
        </w:rPr>
      </w:pPr>
      <w:bookmarkStart w:id="290" w:name="_Toc57297391"/>
      <w:bookmarkStart w:id="291" w:name="_Toc58244110"/>
      <w:bookmarkStart w:id="292" w:name="_Toc58273432"/>
      <w:bookmarkStart w:id="293" w:name="_Toc58273661"/>
      <w:bookmarkStart w:id="294" w:name="_Toc58275263"/>
      <w:r w:rsidRPr="00694ACA">
        <w:rPr>
          <w:lang w:val="ru-RU"/>
        </w:rPr>
        <w:t>6.3 Выводы</w:t>
      </w:r>
      <w:bookmarkEnd w:id="290"/>
      <w:bookmarkEnd w:id="291"/>
      <w:bookmarkEnd w:id="292"/>
      <w:bookmarkEnd w:id="293"/>
      <w:bookmarkEnd w:id="294"/>
    </w:p>
    <w:p w14:paraId="3DA1A975" w14:textId="77777777" w:rsidR="001119AF" w:rsidRPr="00694ACA" w:rsidRDefault="001119AF" w:rsidP="00E719C1">
      <w:pPr>
        <w:ind w:left="-284" w:right="-472"/>
        <w:rPr>
          <w:highlight w:val="lightGray"/>
          <w:lang w:val="ru-RU"/>
        </w:rPr>
      </w:pPr>
      <w:r w:rsidRPr="00694ACA">
        <w:rPr>
          <w:lang w:val="ru-RU"/>
        </w:rPr>
        <w:t>62. Внутриорганизационные структуры МСЭ, особенно связанные с финансами, отображены в общедоступной документации Союза недостаточно прозрачно</w:t>
      </w:r>
      <w:r w:rsidRPr="00694ACA">
        <w:rPr>
          <w:rStyle w:val="FootnoteReference"/>
          <w:lang w:val="ru-RU"/>
        </w:rPr>
        <w:footnoteReference w:id="80"/>
      </w:r>
      <w:r w:rsidRPr="00694ACA">
        <w:rPr>
          <w:lang w:val="ru-RU"/>
        </w:rPr>
        <w:t>. Это вполне может представлять собой структурную проблему: в документах и выступлениях Союза речь идет о развитии потенциала (которое обычно называют "созданием" потенциала), при этом остается не совсем ясным, какая именно деятельность для этого ведется, как она финансируется и как оценивается. Если, например, в счетах и бюджете каждого Сектора будет отдельная строка для деятельности в области развития потенциала и профессиональной подготовки (с информацией об издержках и о поступлениях), то это поможет внести большую ясность.</w:t>
      </w:r>
    </w:p>
    <w:p w14:paraId="7DEEBF79" w14:textId="77777777" w:rsidR="001119AF" w:rsidRPr="00694ACA" w:rsidRDefault="001119AF" w:rsidP="00E719C1">
      <w:pPr>
        <w:pStyle w:val="Heading1"/>
        <w:ind w:right="-472"/>
        <w:rPr>
          <w:highlight w:val="lightGray"/>
          <w:lang w:val="ru-RU"/>
        </w:rPr>
      </w:pPr>
      <w:bookmarkStart w:id="295" w:name="_Toc57297419"/>
      <w:bookmarkStart w:id="296" w:name="_Toc58244115"/>
      <w:bookmarkStart w:id="297" w:name="_Toc58273437"/>
      <w:bookmarkStart w:id="298" w:name="_Toc58273666"/>
      <w:bookmarkStart w:id="299" w:name="_Toc58275268"/>
      <w:bookmarkStart w:id="300" w:name="_Toc58277304"/>
      <w:bookmarkStart w:id="301" w:name="_Toc61633867"/>
      <w:bookmarkStart w:id="302" w:name="_Toc65251979"/>
      <w:bookmarkStart w:id="303" w:name="_Toc71060744"/>
      <w:r w:rsidRPr="00694ACA">
        <w:rPr>
          <w:lang w:val="ru-RU"/>
        </w:rPr>
        <w:t>Раздел 7: Имеющиеся сильные и слабые стороны, а также области для улучшения в МСЭ</w:t>
      </w:r>
      <w:bookmarkEnd w:id="295"/>
      <w:bookmarkEnd w:id="296"/>
      <w:bookmarkEnd w:id="297"/>
      <w:bookmarkEnd w:id="298"/>
      <w:bookmarkEnd w:id="299"/>
      <w:bookmarkEnd w:id="300"/>
      <w:bookmarkEnd w:id="301"/>
      <w:bookmarkEnd w:id="302"/>
      <w:bookmarkEnd w:id="303"/>
    </w:p>
    <w:p w14:paraId="4B347A38" w14:textId="3919B850" w:rsidR="001119AF" w:rsidRPr="00694ACA" w:rsidRDefault="001119AF" w:rsidP="00E719C1">
      <w:pPr>
        <w:ind w:left="-284" w:right="-472"/>
        <w:rPr>
          <w:highlight w:val="lightGray"/>
          <w:lang w:val="ru-RU"/>
        </w:rPr>
      </w:pPr>
      <w:r w:rsidRPr="00694ACA">
        <w:rPr>
          <w:lang w:val="ru-RU"/>
        </w:rPr>
        <w:t>63. В настоящем разделе кратко излагаются основные сильные стороны и вызывающие обеспокоенность аспекты текущей деятельности МСЭ в области развития потенциала и профессиональной подготовки; раздел подготовлен на основе не только анализа внутренних процессов Союза, но и сравнения с другими учреждениями, а также с учетом мнений тех, кто участвовал в обследованиях, опросах и обсуждениях.</w:t>
      </w:r>
    </w:p>
    <w:p w14:paraId="37419A86" w14:textId="77777777" w:rsidR="001119AF" w:rsidRPr="00694ACA" w:rsidRDefault="001119AF" w:rsidP="00E719C1">
      <w:pPr>
        <w:pStyle w:val="Heading2"/>
        <w:ind w:right="-472"/>
        <w:rPr>
          <w:highlight w:val="lightGray"/>
          <w:lang w:val="ru-RU"/>
        </w:rPr>
      </w:pPr>
      <w:bookmarkStart w:id="304" w:name="_Toc58244116"/>
      <w:bookmarkStart w:id="305" w:name="_Toc58273438"/>
      <w:bookmarkStart w:id="306" w:name="_Toc58273667"/>
      <w:bookmarkStart w:id="307" w:name="_Toc58275269"/>
      <w:r w:rsidRPr="00694ACA">
        <w:rPr>
          <w:lang w:val="ru-RU"/>
        </w:rPr>
        <w:lastRenderedPageBreak/>
        <w:t>7.1 Сильные стороны</w:t>
      </w:r>
      <w:bookmarkEnd w:id="304"/>
      <w:bookmarkEnd w:id="305"/>
      <w:bookmarkEnd w:id="306"/>
      <w:bookmarkEnd w:id="307"/>
    </w:p>
    <w:p w14:paraId="6AD1DAE6" w14:textId="1A8CD368" w:rsidR="001119AF" w:rsidRPr="00694ACA" w:rsidRDefault="001119AF" w:rsidP="00E719C1">
      <w:pPr>
        <w:ind w:left="-284" w:right="-472"/>
        <w:rPr>
          <w:highlight w:val="lightGray"/>
          <w:lang w:val="ru-RU"/>
        </w:rPr>
      </w:pPr>
      <w:r w:rsidRPr="00694ACA">
        <w:rPr>
          <w:lang w:val="ru-RU"/>
        </w:rPr>
        <w:t>64. При подготовке настоящего обзора выявлены шесть основных сильных сторон имеющегося предложения услуг МСЭ в области развития потенциала и профессиональной подготовки, которые описаны ниже</w:t>
      </w:r>
      <w:r w:rsidRPr="00694ACA">
        <w:rPr>
          <w:rStyle w:val="FootnoteReference"/>
          <w:lang w:val="ru-RU"/>
        </w:rPr>
        <w:footnoteReference w:id="81"/>
      </w:r>
      <w:r w:rsidRPr="00694ACA">
        <w:rPr>
          <w:lang w:val="ru-RU"/>
        </w:rPr>
        <w:t>.</w:t>
      </w:r>
    </w:p>
    <w:p w14:paraId="0FC789B1" w14:textId="77777777" w:rsidR="001119AF" w:rsidRPr="00694ACA" w:rsidRDefault="001119AF" w:rsidP="002B0D90">
      <w:pPr>
        <w:pStyle w:val="ListParagraph"/>
        <w:numPr>
          <w:ilvl w:val="0"/>
          <w:numId w:val="4"/>
        </w:numPr>
        <w:ind w:right="-472"/>
        <w:rPr>
          <w:lang w:val="ru-RU"/>
        </w:rPr>
      </w:pPr>
      <w:r w:rsidRPr="00694ACA">
        <w:rPr>
          <w:b/>
          <w:bCs/>
          <w:lang w:val="ru-RU"/>
        </w:rPr>
        <w:t>Заслуживающий доверия поставщик</w:t>
      </w:r>
      <w:r w:rsidRPr="00694ACA">
        <w:rPr>
          <w:lang w:val="ru-RU"/>
        </w:rPr>
        <w:t>. Многие из тех, кто тесно сотрудничает с МСЭ, считают его заслуживающим доверия</w:t>
      </w:r>
      <w:r w:rsidRPr="00694ACA">
        <w:rPr>
          <w:b/>
          <w:bCs/>
          <w:lang w:val="ru-RU"/>
        </w:rPr>
        <w:t xml:space="preserve"> </w:t>
      </w:r>
      <w:r w:rsidRPr="00694ACA">
        <w:rPr>
          <w:lang w:val="ru-RU"/>
        </w:rPr>
        <w:t>поставщиком услуг по развитию потенциала и профессиональной подготовке. Это доверие основано на восприятии Союза как нейтрального, хорошо информированного, надежного и компетентного поставщика, который ориентируется на интересы своих членов.</w:t>
      </w:r>
    </w:p>
    <w:p w14:paraId="74FA0092" w14:textId="15D2B40B" w:rsidR="001119AF" w:rsidRPr="00694ACA" w:rsidRDefault="00F66A61" w:rsidP="002B0D90">
      <w:pPr>
        <w:pStyle w:val="ListParagraph"/>
        <w:numPr>
          <w:ilvl w:val="0"/>
          <w:numId w:val="4"/>
        </w:numPr>
        <w:ind w:right="-472"/>
        <w:rPr>
          <w:lang w:val="ru-RU"/>
        </w:rPr>
      </w:pPr>
      <w:r w:rsidRPr="00694ACA">
        <w:rPr>
          <w:b/>
          <w:bCs/>
          <w:lang w:val="ru-RU"/>
        </w:rPr>
        <w:t xml:space="preserve">Надлежащее </w:t>
      </w:r>
      <w:r w:rsidR="001119AF" w:rsidRPr="00694ACA">
        <w:rPr>
          <w:b/>
          <w:bCs/>
          <w:lang w:val="ru-RU"/>
        </w:rPr>
        <w:t>и соо</w:t>
      </w:r>
      <w:r w:rsidRPr="00694ACA">
        <w:rPr>
          <w:b/>
          <w:bCs/>
          <w:lang w:val="ru-RU"/>
        </w:rPr>
        <w:t xml:space="preserve">тветствующее </w:t>
      </w:r>
      <w:r w:rsidR="001119AF" w:rsidRPr="00694ACA">
        <w:rPr>
          <w:b/>
          <w:bCs/>
          <w:lang w:val="ru-RU"/>
        </w:rPr>
        <w:t>качество</w:t>
      </w:r>
      <w:r w:rsidR="001119AF" w:rsidRPr="00694ACA">
        <w:rPr>
          <w:lang w:val="ru-RU"/>
        </w:rPr>
        <w:t xml:space="preserve">. Качество актуального предложения услуг по развитию потенциала обычно воспринимается участниками как </w:t>
      </w:r>
      <w:r w:rsidRPr="00694ACA">
        <w:rPr>
          <w:lang w:val="ru-RU"/>
        </w:rPr>
        <w:t xml:space="preserve">надлежащее и </w:t>
      </w:r>
      <w:r w:rsidR="001119AF" w:rsidRPr="00694ACA">
        <w:rPr>
          <w:lang w:val="ru-RU"/>
        </w:rPr>
        <w:t>соо</w:t>
      </w:r>
      <w:r w:rsidRPr="00694ACA">
        <w:rPr>
          <w:lang w:val="ru-RU"/>
        </w:rPr>
        <w:t xml:space="preserve">тветствующее </w:t>
      </w:r>
      <w:r w:rsidR="001119AF" w:rsidRPr="00694ACA">
        <w:rPr>
          <w:lang w:val="ru-RU"/>
        </w:rPr>
        <w:t>их потребностям.</w:t>
      </w:r>
    </w:p>
    <w:p w14:paraId="35F4E6DD" w14:textId="77777777" w:rsidR="001119AF" w:rsidRPr="00694ACA" w:rsidRDefault="001119AF" w:rsidP="002B0D90">
      <w:pPr>
        <w:pStyle w:val="ListParagraph"/>
        <w:numPr>
          <w:ilvl w:val="0"/>
          <w:numId w:val="4"/>
        </w:numPr>
        <w:ind w:right="-472"/>
        <w:rPr>
          <w:lang w:val="ru-RU"/>
        </w:rPr>
      </w:pPr>
      <w:r w:rsidRPr="00694ACA">
        <w:rPr>
          <w:b/>
          <w:bCs/>
          <w:lang w:val="ru-RU"/>
        </w:rPr>
        <w:t>Целеустремленный и профессиональный персонал</w:t>
      </w:r>
      <w:r w:rsidRPr="00694ACA">
        <w:rPr>
          <w:lang w:val="ru-RU"/>
        </w:rPr>
        <w:t>. Сотрудники МСЭ, участвующие во всех видах деятельности по развитию потенциала и профессиональной подготовке во всех Секторах, в региональных отделениях и в штаб-квартире в Женеве, обычно воспринимаются как преданные своей работе, компетентные и готовые помочь.</w:t>
      </w:r>
    </w:p>
    <w:p w14:paraId="0F496FA6" w14:textId="77777777" w:rsidR="001119AF" w:rsidRPr="00694ACA" w:rsidRDefault="001119AF" w:rsidP="002B0D90">
      <w:pPr>
        <w:pStyle w:val="ListParagraph"/>
        <w:numPr>
          <w:ilvl w:val="0"/>
          <w:numId w:val="4"/>
        </w:numPr>
        <w:ind w:right="-472"/>
        <w:rPr>
          <w:lang w:val="ru-RU"/>
        </w:rPr>
      </w:pPr>
      <w:r w:rsidRPr="00694ACA">
        <w:rPr>
          <w:b/>
          <w:bCs/>
          <w:lang w:val="ru-RU"/>
        </w:rPr>
        <w:t>Внесенные недавно и вносимые в настоящее время улучшения портала Академии МСЭ</w:t>
      </w:r>
      <w:r w:rsidRPr="00694ACA">
        <w:rPr>
          <w:lang w:val="ru-RU"/>
        </w:rPr>
        <w:t>. Приветствуются недавние улучшения функциональности платформы Академии МСЭ.</w:t>
      </w:r>
    </w:p>
    <w:p w14:paraId="0F4CF219" w14:textId="359FA449" w:rsidR="001119AF" w:rsidRPr="00694ACA" w:rsidRDefault="001119AF" w:rsidP="002B0D90">
      <w:pPr>
        <w:pStyle w:val="ListParagraph"/>
        <w:numPr>
          <w:ilvl w:val="0"/>
          <w:numId w:val="4"/>
        </w:numPr>
        <w:ind w:right="-472"/>
        <w:rPr>
          <w:lang w:val="ru-RU"/>
        </w:rPr>
      </w:pPr>
      <w:r w:rsidRPr="00694ACA">
        <w:rPr>
          <w:b/>
          <w:bCs/>
          <w:lang w:val="ru-RU"/>
        </w:rPr>
        <w:t>Высоко ценимые сертификаты</w:t>
      </w:r>
      <w:r w:rsidRPr="00694ACA">
        <w:rPr>
          <w:lang w:val="ru-RU"/>
        </w:rPr>
        <w:t xml:space="preserve">. Сертификаты МСЭ </w:t>
      </w:r>
      <w:r w:rsidR="00F66A61" w:rsidRPr="00694ACA">
        <w:rPr>
          <w:lang w:val="ru-RU"/>
        </w:rPr>
        <w:t>высоко</w:t>
      </w:r>
      <w:r w:rsidRPr="00694ACA">
        <w:rPr>
          <w:lang w:val="ru-RU"/>
        </w:rPr>
        <w:t xml:space="preserve"> ценятся и </w:t>
      </w:r>
      <w:r w:rsidR="00F66A61" w:rsidRPr="00694ACA">
        <w:rPr>
          <w:lang w:val="ru-RU"/>
        </w:rPr>
        <w:t xml:space="preserve">широко </w:t>
      </w:r>
      <w:r w:rsidRPr="00694ACA">
        <w:rPr>
          <w:lang w:val="ru-RU"/>
        </w:rPr>
        <w:t>признаются, особенно когда они выданы совместно с престижными академическими или другими международными организациями.</w:t>
      </w:r>
    </w:p>
    <w:p w14:paraId="15F064CE" w14:textId="77777777" w:rsidR="001119AF" w:rsidRPr="00694ACA" w:rsidRDefault="001119AF" w:rsidP="002B0D90">
      <w:pPr>
        <w:pStyle w:val="ListParagraph"/>
        <w:numPr>
          <w:ilvl w:val="0"/>
          <w:numId w:val="4"/>
        </w:numPr>
        <w:spacing w:after="200"/>
        <w:ind w:right="-472"/>
        <w:rPr>
          <w:lang w:val="ru-RU"/>
        </w:rPr>
      </w:pPr>
      <w:r w:rsidRPr="00694ACA">
        <w:rPr>
          <w:b/>
          <w:bCs/>
          <w:lang w:val="ru-RU"/>
        </w:rPr>
        <w:t>Признание необходимости перемен</w:t>
      </w:r>
      <w:r w:rsidRPr="00694ACA">
        <w:rPr>
          <w:lang w:val="ru-RU"/>
        </w:rPr>
        <w:t>. Персонал всех Бюро МСЭ признает необходимость улучшений в управлении и обеспечении развития потенциала и профессиональной подготовки, а также приветствует настоящий обзор.</w:t>
      </w:r>
    </w:p>
    <w:p w14:paraId="4257DD65" w14:textId="77777777" w:rsidR="001119AF" w:rsidRPr="00694ACA" w:rsidRDefault="001119AF" w:rsidP="00E719C1">
      <w:pPr>
        <w:pStyle w:val="Heading2"/>
        <w:ind w:right="-472"/>
        <w:rPr>
          <w:highlight w:val="lightGray"/>
          <w:lang w:val="ru-RU"/>
        </w:rPr>
      </w:pPr>
      <w:bookmarkStart w:id="308" w:name="_Toc58244117"/>
      <w:bookmarkStart w:id="309" w:name="_Toc58273439"/>
      <w:bookmarkStart w:id="310" w:name="_Toc58273668"/>
      <w:bookmarkStart w:id="311" w:name="_Toc58275270"/>
      <w:r w:rsidRPr="00694ACA">
        <w:rPr>
          <w:lang w:val="ru-RU"/>
        </w:rPr>
        <w:t>7.2 Вопросы, вызывающие обеспокоенность</w:t>
      </w:r>
      <w:bookmarkEnd w:id="308"/>
      <w:bookmarkEnd w:id="309"/>
      <w:bookmarkEnd w:id="310"/>
      <w:bookmarkEnd w:id="311"/>
      <w:r w:rsidRPr="00694ACA">
        <w:rPr>
          <w:highlight w:val="lightGray"/>
          <w:lang w:val="ru-RU"/>
        </w:rPr>
        <w:tab/>
      </w:r>
    </w:p>
    <w:p w14:paraId="3FD54C20" w14:textId="754FBD0C" w:rsidR="001119AF" w:rsidRPr="00694ACA" w:rsidRDefault="001119AF" w:rsidP="00E719C1">
      <w:pPr>
        <w:ind w:left="-284" w:right="-472"/>
        <w:rPr>
          <w:highlight w:val="lightGray"/>
          <w:lang w:val="ru-RU"/>
        </w:rPr>
      </w:pPr>
      <w:r w:rsidRPr="00694ACA">
        <w:rPr>
          <w:lang w:val="ru-RU"/>
        </w:rPr>
        <w:t>65. Многие виды деятельности, проводимые в настоящее время МСЭ, пользуются поддержкой и оцениваются положительно, однако серьезного внимания требуют вопросы, перечисленные ниже.</w:t>
      </w:r>
    </w:p>
    <w:p w14:paraId="74D638B2" w14:textId="77777777" w:rsidR="001119AF" w:rsidRPr="00694ACA" w:rsidRDefault="001119AF" w:rsidP="002B0D90">
      <w:pPr>
        <w:pStyle w:val="ListParagraph"/>
        <w:numPr>
          <w:ilvl w:val="0"/>
          <w:numId w:val="5"/>
        </w:numPr>
        <w:ind w:right="-471"/>
        <w:rPr>
          <w:lang w:val="ru-RU"/>
        </w:rPr>
      </w:pPr>
      <w:r w:rsidRPr="00694ACA">
        <w:rPr>
          <w:b/>
          <w:bCs/>
          <w:lang w:val="ru-RU"/>
        </w:rPr>
        <w:t>Отсутствие четкой, целостной и последовательной стратегии</w:t>
      </w:r>
      <w:r w:rsidRPr="00694ACA">
        <w:rPr>
          <w:lang w:val="ru-RU"/>
        </w:rPr>
        <w:t xml:space="preserve">. У МСЭ нет согласованной общей стратегии, которая покрывала бы такие области, как задача, разработка и проведение мероприятий по развитию потенциала и профессиональной подготовке. Точно так же отсутствуют четкие и последовательные </w:t>
      </w:r>
      <w:proofErr w:type="spellStart"/>
      <w:r w:rsidRPr="00694ACA">
        <w:rPr>
          <w:lang w:val="ru-RU"/>
        </w:rPr>
        <w:t>внутрисекторальные</w:t>
      </w:r>
      <w:proofErr w:type="spellEnd"/>
      <w:r w:rsidRPr="00694ACA">
        <w:rPr>
          <w:lang w:val="ru-RU"/>
        </w:rPr>
        <w:t xml:space="preserve"> и </w:t>
      </w:r>
      <w:proofErr w:type="spellStart"/>
      <w:r w:rsidRPr="00694ACA">
        <w:rPr>
          <w:lang w:val="ru-RU"/>
        </w:rPr>
        <w:t>межсекторальные</w:t>
      </w:r>
      <w:proofErr w:type="spellEnd"/>
      <w:r w:rsidRPr="00694ACA">
        <w:rPr>
          <w:lang w:val="ru-RU"/>
        </w:rPr>
        <w:t xml:space="preserve"> стратегии по развитию потенциала и профессиональной подготовке.</w:t>
      </w:r>
    </w:p>
    <w:p w14:paraId="5949F308" w14:textId="77777777" w:rsidR="001119AF" w:rsidRPr="00694ACA" w:rsidRDefault="001119AF" w:rsidP="002B0D90">
      <w:pPr>
        <w:pStyle w:val="ListParagraph"/>
        <w:numPr>
          <w:ilvl w:val="0"/>
          <w:numId w:val="5"/>
        </w:numPr>
        <w:ind w:right="-471"/>
        <w:rPr>
          <w:lang w:val="ru-RU"/>
        </w:rPr>
      </w:pPr>
      <w:r w:rsidRPr="00694ACA">
        <w:rPr>
          <w:b/>
          <w:bCs/>
          <w:lang w:val="ru-RU"/>
        </w:rPr>
        <w:t>Отсутствие достаточного и надлежащего анализа потребностей</w:t>
      </w:r>
      <w:r w:rsidRPr="00694ACA">
        <w:rPr>
          <w:lang w:val="ru-RU"/>
        </w:rPr>
        <w:t>. Существует мало свидетельств какого-либо общего, системного и последовательного анализа потребностей членов МСЭ в развитии потенциала и профессиональной подготовке.</w:t>
      </w:r>
    </w:p>
    <w:p w14:paraId="04FD692E" w14:textId="77777777" w:rsidR="001119AF" w:rsidRPr="00694ACA" w:rsidRDefault="001119AF" w:rsidP="002B0D90">
      <w:pPr>
        <w:pStyle w:val="ListParagraph"/>
        <w:numPr>
          <w:ilvl w:val="0"/>
          <w:numId w:val="5"/>
        </w:numPr>
        <w:ind w:left="431" w:right="-471" w:hanging="357"/>
        <w:rPr>
          <w:lang w:val="ru-RU"/>
        </w:rPr>
      </w:pPr>
      <w:r w:rsidRPr="00694ACA">
        <w:rPr>
          <w:b/>
          <w:bCs/>
          <w:lang w:val="ru-RU"/>
        </w:rPr>
        <w:t>Слабые методы обеспечения качества</w:t>
      </w:r>
      <w:r w:rsidRPr="00694ACA">
        <w:rPr>
          <w:lang w:val="ru-RU"/>
        </w:rPr>
        <w:t xml:space="preserve">. Механизмы обеспечения качества и контроля развития потенциала и профессиональной подготовки относительно слабо развиты и не всегда могут гарантировать фактическое качество предоставляемых услуг по развитию потенциала и профессиональной подготовке. Кроме того, </w:t>
      </w:r>
      <w:proofErr w:type="spellStart"/>
      <w:r w:rsidRPr="00694ACA">
        <w:rPr>
          <w:lang w:val="ru-RU"/>
        </w:rPr>
        <w:t>б</w:t>
      </w:r>
      <w:r w:rsidRPr="00694ACA">
        <w:rPr>
          <w:rFonts w:ascii="Segoe UI" w:hAnsi="Segoe UI" w:cs="Segoe UI"/>
          <w:lang w:val="ru-RU"/>
        </w:rPr>
        <w:t>ó</w:t>
      </w:r>
      <w:r w:rsidRPr="00694ACA">
        <w:rPr>
          <w:lang w:val="ru-RU"/>
        </w:rPr>
        <w:t>льшая</w:t>
      </w:r>
      <w:proofErr w:type="spellEnd"/>
      <w:r w:rsidRPr="00694ACA">
        <w:rPr>
          <w:lang w:val="ru-RU"/>
        </w:rPr>
        <w:t xml:space="preserve"> часть отчетов о развитии потенциала сосредоточена на количестве (например, количестве семинаров-практикумов, курсов и учебных занятий), а не на качестве предлагаемых услуг.</w:t>
      </w:r>
    </w:p>
    <w:p w14:paraId="08B8B313" w14:textId="7599A234" w:rsidR="001119AF" w:rsidRPr="00694ACA" w:rsidRDefault="001119AF" w:rsidP="002B0D90">
      <w:pPr>
        <w:pStyle w:val="ListParagraph"/>
        <w:numPr>
          <w:ilvl w:val="0"/>
          <w:numId w:val="5"/>
        </w:numPr>
        <w:ind w:right="-471"/>
        <w:rPr>
          <w:lang w:val="ru-RU"/>
        </w:rPr>
      </w:pPr>
      <w:r w:rsidRPr="00694ACA">
        <w:rPr>
          <w:b/>
          <w:bCs/>
          <w:lang w:val="ru-RU"/>
        </w:rPr>
        <w:t>Узкое теоретическое или практическое институциональное понимание развития потенциала</w:t>
      </w:r>
      <w:r w:rsidRPr="00694ACA">
        <w:rPr>
          <w:lang w:val="ru-RU"/>
        </w:rPr>
        <w:t>. Оказалось, что осведомленность о разных аспектах развития потенциала и о его общей задаче в МСЭ носит ограниченный характер, особенно осведомленность о важных различиях развития институционального, организационного и индивидуального потенциала.</w:t>
      </w:r>
      <w:r w:rsidR="00A579EF">
        <w:rPr>
          <w:highlight w:val="lightGray"/>
          <w:lang w:val="ru-RU"/>
        </w:rPr>
        <w:t xml:space="preserve"> </w:t>
      </w:r>
    </w:p>
    <w:p w14:paraId="30BA9D92" w14:textId="77777777" w:rsidR="001119AF" w:rsidRPr="00694ACA" w:rsidRDefault="001119AF" w:rsidP="002B0D90">
      <w:pPr>
        <w:pStyle w:val="ListParagraph"/>
        <w:numPr>
          <w:ilvl w:val="0"/>
          <w:numId w:val="5"/>
        </w:numPr>
        <w:ind w:left="431" w:right="-471" w:hanging="357"/>
        <w:rPr>
          <w:lang w:val="ru-RU"/>
        </w:rPr>
      </w:pPr>
      <w:r w:rsidRPr="00694ACA">
        <w:rPr>
          <w:b/>
          <w:bCs/>
          <w:lang w:val="ru-RU"/>
        </w:rPr>
        <w:t>Недостаточная полнота, системность и последовательность отчетности</w:t>
      </w:r>
      <w:r w:rsidRPr="00694ACA">
        <w:rPr>
          <w:lang w:val="ru-RU"/>
        </w:rPr>
        <w:t>. В МСЭ отсутствует общая системная и связная отчетность о деятельности в области развития потенциала и профессиональной подготовки. МСЭ проводит широкий спектр мероприятий в области развития потенциала и профессиональной подготовки, но эти данные нигде не излагаются системно и полностью, а следовательно, не могут быть оценены во всей совокупности.</w:t>
      </w:r>
    </w:p>
    <w:p w14:paraId="023BB053" w14:textId="77777777" w:rsidR="001119AF" w:rsidRPr="00694ACA" w:rsidRDefault="001119AF" w:rsidP="002B0D90">
      <w:pPr>
        <w:pStyle w:val="ListParagraph"/>
        <w:numPr>
          <w:ilvl w:val="0"/>
          <w:numId w:val="5"/>
        </w:numPr>
        <w:ind w:left="431" w:right="-471" w:hanging="357"/>
        <w:rPr>
          <w:lang w:val="ru-RU"/>
        </w:rPr>
      </w:pPr>
      <w:r w:rsidRPr="00694ACA">
        <w:rPr>
          <w:b/>
          <w:bCs/>
          <w:lang w:val="ru-RU"/>
        </w:rPr>
        <w:t>Обеспокоенность качеством и актуальностью</w:t>
      </w:r>
      <w:r w:rsidRPr="00694ACA">
        <w:rPr>
          <w:lang w:val="ru-RU"/>
        </w:rPr>
        <w:t xml:space="preserve">. Несмотря на то, что качество в общем и целом воспринимается как высокое, опросы, проведенные для настоящего обследования, демонстрируют серьезную обеспокоенность как качеством, так и актуальностью большей части предлагаемого обучения. </w:t>
      </w:r>
      <w:r w:rsidRPr="00694ACA">
        <w:rPr>
          <w:lang w:val="ru-RU"/>
        </w:rPr>
        <w:lastRenderedPageBreak/>
        <w:t xml:space="preserve">Некоторые предлагаемые учебные занятия и курсы, несомненно, имеют высокое качество, однако это далеко не всегда так. </w:t>
      </w:r>
    </w:p>
    <w:p w14:paraId="46E8222A" w14:textId="77777777" w:rsidR="001119AF" w:rsidRPr="00694ACA" w:rsidRDefault="001119AF" w:rsidP="002B0D90">
      <w:pPr>
        <w:pStyle w:val="ListParagraph"/>
        <w:numPr>
          <w:ilvl w:val="0"/>
          <w:numId w:val="5"/>
        </w:numPr>
        <w:ind w:left="431" w:right="-471" w:hanging="357"/>
        <w:rPr>
          <w:lang w:val="ru-RU"/>
        </w:rPr>
      </w:pPr>
      <w:r w:rsidRPr="00694ACA">
        <w:rPr>
          <w:b/>
          <w:bCs/>
          <w:lang w:val="ru-RU"/>
        </w:rPr>
        <w:t>Недостаточно развернутая финансовая отчетность, касающаяся развития потенциала и профессиональной подготовки</w:t>
      </w:r>
      <w:r w:rsidRPr="00694ACA">
        <w:rPr>
          <w:lang w:val="ru-RU"/>
        </w:rPr>
        <w:t>. Финансовые системы МСЭ не позволяют подготовить точную и подробную отчетность о фактических затратах на развитие потенциала и профессиональную подготовку, которые МСЭ несет в настоящее время.</w:t>
      </w:r>
    </w:p>
    <w:p w14:paraId="52738013" w14:textId="77777777" w:rsidR="001119AF" w:rsidRPr="00694ACA" w:rsidRDefault="001119AF" w:rsidP="002B0D90">
      <w:pPr>
        <w:pStyle w:val="ListParagraph"/>
        <w:numPr>
          <w:ilvl w:val="0"/>
          <w:numId w:val="5"/>
        </w:numPr>
        <w:ind w:left="431" w:right="-471" w:hanging="357"/>
        <w:rPr>
          <w:lang w:val="ru-RU"/>
        </w:rPr>
      </w:pPr>
      <w:r w:rsidRPr="00694ACA">
        <w:rPr>
          <w:b/>
          <w:bCs/>
          <w:lang w:val="ru-RU"/>
        </w:rPr>
        <w:t>Необходимость расширения внутреннего обучения ведению деятельности по развитию потенциала и профессиональной подготовке</w:t>
      </w:r>
      <w:r w:rsidRPr="00694ACA">
        <w:rPr>
          <w:lang w:val="ru-RU"/>
        </w:rPr>
        <w:t>. Небольшое число сотрудников МСЭ прошли специальное формальное обучение по вопросам разработки, проведения и оценки высококачественных мероприятий в области развития потенциала и профессиональной подготовки. Многие сотрудники получили некоторый практический опыт проведения подобных мероприятий, другие проходили онлайновые курсы по улучшению навыков, однако</w:t>
      </w:r>
      <w:r w:rsidRPr="00694ACA">
        <w:rPr>
          <w:rFonts w:eastAsia="Lato" w:cs="Lato"/>
          <w:color w:val="434343"/>
          <w:szCs w:val="22"/>
          <w:lang w:val="ru-RU"/>
        </w:rPr>
        <w:t xml:space="preserve"> </w:t>
      </w:r>
      <w:r w:rsidRPr="00694ACA">
        <w:rPr>
          <w:lang w:val="ru-RU"/>
        </w:rPr>
        <w:t>культура обучения проведению мероприятий в области развития потенциала и профессиональной подготовки не является широко распространенной.</w:t>
      </w:r>
    </w:p>
    <w:p w14:paraId="34052914" w14:textId="77777777" w:rsidR="001119AF" w:rsidRPr="00694ACA" w:rsidRDefault="001119AF" w:rsidP="002B0D90">
      <w:pPr>
        <w:pStyle w:val="ListParagraph"/>
        <w:numPr>
          <w:ilvl w:val="0"/>
          <w:numId w:val="5"/>
        </w:numPr>
        <w:ind w:right="-471"/>
        <w:rPr>
          <w:lang w:val="ru-RU"/>
        </w:rPr>
      </w:pPr>
      <w:r w:rsidRPr="00694ACA">
        <w:rPr>
          <w:b/>
          <w:bCs/>
          <w:lang w:val="ru-RU"/>
        </w:rPr>
        <w:t>Расхождение между заявлениями и реальностью</w:t>
      </w:r>
      <w:r w:rsidRPr="00694ACA">
        <w:rPr>
          <w:lang w:val="ru-RU"/>
        </w:rPr>
        <w:t xml:space="preserve">. Когда была начата работа по подготовке настоящего обзора, наблюдалось значительное расхождение между тем, что сотрудники сообщали о проводимой работе по развитию потенциала и профессиональной подготовке, и тем, что говорилось на веб-сайте МСЭ (в том числе на портале Академии МСЭ) и в его документации. Это, несомненно, влияет на то, как возможные внешние пользователи (и другие лица) воспринимают работу МСЭ на местах, а следовательно, создает репутационный риск. </w:t>
      </w:r>
    </w:p>
    <w:p w14:paraId="04A64E29" w14:textId="77777777" w:rsidR="001119AF" w:rsidRPr="00694ACA" w:rsidRDefault="001119AF" w:rsidP="006026DB">
      <w:pPr>
        <w:spacing w:before="200"/>
        <w:ind w:left="-284" w:right="-472"/>
        <w:rPr>
          <w:b/>
          <w:bCs/>
          <w:highlight w:val="lightGray"/>
          <w:lang w:val="ru-RU"/>
        </w:rPr>
      </w:pPr>
      <w:r w:rsidRPr="00694ACA">
        <w:rPr>
          <w:lang w:val="ru-RU"/>
        </w:rPr>
        <w:t>66. Помимо этих структурных проблем, следует также отметить, что в МСЭ работает слишком мало опытных и высококвалифицированных сотрудников, для того чтобы Союз был способен должным образом удовлетворять широкие потребности и ожидания членов в плане предоставления услуг высшего качества по развитию потенциала и профессиональной подготовке.</w:t>
      </w:r>
    </w:p>
    <w:p w14:paraId="7B113F27" w14:textId="77777777" w:rsidR="001119AF" w:rsidRPr="00694ACA" w:rsidRDefault="001119AF" w:rsidP="00D278A3">
      <w:pPr>
        <w:pStyle w:val="Heading1"/>
        <w:ind w:right="-472"/>
        <w:rPr>
          <w:highlight w:val="lightGray"/>
          <w:lang w:val="ru-RU"/>
        </w:rPr>
      </w:pPr>
      <w:bookmarkStart w:id="312" w:name="_m95gj61avc9p" w:colFirst="0" w:colLast="0"/>
      <w:bookmarkStart w:id="313" w:name="_Toc57297392"/>
      <w:bookmarkStart w:id="314" w:name="_Toc58244111"/>
      <w:bookmarkStart w:id="315" w:name="_Toc58273433"/>
      <w:bookmarkStart w:id="316" w:name="_Toc58273662"/>
      <w:bookmarkStart w:id="317" w:name="_Toc58275264"/>
      <w:bookmarkStart w:id="318" w:name="_Toc58277303"/>
      <w:bookmarkStart w:id="319" w:name="_Toc61633866"/>
      <w:bookmarkStart w:id="320" w:name="_Toc65251980"/>
      <w:bookmarkStart w:id="321" w:name="_Toc71060745"/>
      <w:bookmarkEnd w:id="312"/>
      <w:r w:rsidRPr="00694ACA">
        <w:rPr>
          <w:lang w:val="ru-RU"/>
        </w:rPr>
        <w:t>Раздел 8: Более широкий контекст деятельности МСЭ по развитию потенциала и профессиональной подготовке</w:t>
      </w:r>
      <w:bookmarkEnd w:id="313"/>
      <w:bookmarkEnd w:id="314"/>
      <w:bookmarkEnd w:id="315"/>
      <w:bookmarkEnd w:id="316"/>
      <w:bookmarkEnd w:id="317"/>
      <w:bookmarkEnd w:id="318"/>
      <w:bookmarkEnd w:id="319"/>
      <w:bookmarkEnd w:id="320"/>
      <w:bookmarkEnd w:id="321"/>
    </w:p>
    <w:p w14:paraId="5FB0A737" w14:textId="77777777" w:rsidR="001119AF" w:rsidRPr="00694ACA" w:rsidRDefault="001119AF" w:rsidP="002B0D90">
      <w:pPr>
        <w:ind w:left="-284" w:right="-472"/>
        <w:rPr>
          <w:highlight w:val="lightGray"/>
          <w:lang w:val="ru-RU"/>
        </w:rPr>
      </w:pPr>
      <w:r w:rsidRPr="00694ACA">
        <w:rPr>
          <w:lang w:val="ru-RU"/>
        </w:rPr>
        <w:t>67. Очень много организаций по всему миру предоставляют высококачественные услуги по развитию потенциала и профессиональной подготовке в области информационно-коммуникационных технологий и фактически являются прямыми конкурентами для МСЭ, особенно для БРЭ, в большей части деятельности, которую стремится вести Союз</w:t>
      </w:r>
      <w:r w:rsidRPr="00694ACA">
        <w:rPr>
          <w:rStyle w:val="FootnoteReference"/>
          <w:lang w:val="ru-RU"/>
        </w:rPr>
        <w:footnoteReference w:id="82"/>
      </w:r>
      <w:r w:rsidRPr="00694ACA">
        <w:rPr>
          <w:lang w:val="ru-RU"/>
        </w:rPr>
        <w:t>. В связи с этим необходимо, чтобы МСЭ определил свои основные сильные стороны и конкурентные преимущества, опирался на них, а также использовал передовой опыт других учреждений системы ООН, для того чтобы предоставлять своим членам услуги высочайшего качества. МСЭ уже помогает своим членам, делает доступными и предлагает некоторые из имеющихся масштабных глобальных услуг, при этом важно четко различать услуги, которые МСЭ на практике оказывает и предоставляет самостоятельно, и услуги, которые предоставляют другие организации, но которые Союз делает доступными под своим брендом. В Приложении 6 представлен обзор финансовых моделей, используемых различными типами организаций при проведении такого рода деятельности.</w:t>
      </w:r>
    </w:p>
    <w:p w14:paraId="170BC020" w14:textId="77777777" w:rsidR="001119AF" w:rsidRPr="00694ACA" w:rsidRDefault="001119AF" w:rsidP="00D278A3">
      <w:pPr>
        <w:pStyle w:val="Heading2"/>
        <w:ind w:right="-472"/>
        <w:rPr>
          <w:highlight w:val="lightGray"/>
          <w:lang w:val="ru-RU"/>
        </w:rPr>
      </w:pPr>
      <w:bookmarkStart w:id="322" w:name="_Toc57297393"/>
      <w:bookmarkStart w:id="323" w:name="_Toc58244112"/>
      <w:bookmarkStart w:id="324" w:name="_Toc58273434"/>
      <w:bookmarkStart w:id="325" w:name="_Toc58273663"/>
      <w:bookmarkStart w:id="326" w:name="_Toc58275265"/>
      <w:r w:rsidRPr="00694ACA">
        <w:rPr>
          <w:lang w:val="ru-RU"/>
        </w:rPr>
        <w:t>8.1 Развитие потенциала и профессиональная подготовка в области цифровых технологий и электросвязи</w:t>
      </w:r>
      <w:bookmarkEnd w:id="322"/>
      <w:bookmarkEnd w:id="323"/>
      <w:bookmarkEnd w:id="324"/>
      <w:bookmarkEnd w:id="325"/>
      <w:bookmarkEnd w:id="326"/>
    </w:p>
    <w:p w14:paraId="38D6489E" w14:textId="77777777" w:rsidR="001119AF" w:rsidRPr="00694ACA" w:rsidRDefault="001119AF" w:rsidP="00D278A3">
      <w:pPr>
        <w:pStyle w:val="Heading3"/>
        <w:ind w:right="-472"/>
        <w:rPr>
          <w:highlight w:val="lightGray"/>
          <w:lang w:val="ru-RU"/>
        </w:rPr>
      </w:pPr>
      <w:bookmarkStart w:id="327" w:name="_Toc57297394"/>
      <w:r w:rsidRPr="00694ACA">
        <w:rPr>
          <w:lang w:val="ru-RU"/>
        </w:rPr>
        <w:t>Насыщенный рынок</w:t>
      </w:r>
      <w:bookmarkEnd w:id="327"/>
    </w:p>
    <w:p w14:paraId="0FACA9B2" w14:textId="11E870DD" w:rsidR="001119AF" w:rsidRPr="00694ACA" w:rsidRDefault="001119AF" w:rsidP="00D278A3">
      <w:pPr>
        <w:ind w:left="-284" w:right="-472"/>
        <w:rPr>
          <w:highlight w:val="lightGray"/>
          <w:lang w:val="ru-RU"/>
        </w:rPr>
      </w:pPr>
      <w:r w:rsidRPr="00694ACA">
        <w:rPr>
          <w:lang w:val="ru-RU"/>
        </w:rPr>
        <w:t xml:space="preserve">68. Очень качественные услуги по профессиональной подготовке и развитию потенциала в области конкретных аспектов ИКТ, цифровых технологий и электросвязи на самых разных уровнях и на нескольких языках предлагают сотни, если не тысячи, поставщиков по всему миру. МСЭ нанимает некоторых из них или поддерживает с ними партнерские отношения в целях осуществления деятельности по развитию потенциала и профессиональной подготовке под своим общим брендом. В прошлом году в этом секторе произошла резкая трансформация: </w:t>
      </w:r>
      <w:r w:rsidRPr="00694ACA">
        <w:rPr>
          <w:lang w:val="ru-RU"/>
        </w:rPr>
        <w:lastRenderedPageBreak/>
        <w:t>некоторые известные бренды значительно увеличили количество людей, вовлеченных в деятельность по развитию потенциала и профессиональной подготовке в области цифровых технологий и регламентации.</w:t>
      </w:r>
    </w:p>
    <w:p w14:paraId="6DF6D266" w14:textId="77777777" w:rsidR="001119AF" w:rsidRPr="00694ACA" w:rsidRDefault="001119AF" w:rsidP="00D278A3">
      <w:pPr>
        <w:ind w:left="-284" w:right="-472"/>
        <w:rPr>
          <w:highlight w:val="lightGray"/>
          <w:lang w:val="ru-RU"/>
        </w:rPr>
      </w:pPr>
      <w:r w:rsidRPr="00694ACA">
        <w:rPr>
          <w:lang w:val="ru-RU"/>
        </w:rPr>
        <w:t>69. Поэтому для МСЭ важно четко определить и надежно поддерживать свои основные конкурентные преимущества. Наиболее важными из этих заметных преимуществ являются (см. также п. 64):</w:t>
      </w:r>
    </w:p>
    <w:p w14:paraId="30F290DC" w14:textId="77777777" w:rsidR="001119AF" w:rsidRPr="00694ACA" w:rsidRDefault="001119AF" w:rsidP="002B0D90">
      <w:pPr>
        <w:pStyle w:val="Bulletspoint11"/>
        <w:rPr>
          <w:lang w:val="ru-RU"/>
        </w:rPr>
      </w:pPr>
      <w:r w:rsidRPr="00694ACA">
        <w:rPr>
          <w:lang w:val="ru-RU"/>
        </w:rPr>
        <w:t>нейтральность как в плане политики, так и в плане баланса государственного и частного секторов;</w:t>
      </w:r>
    </w:p>
    <w:p w14:paraId="64AC20DC" w14:textId="77777777" w:rsidR="001119AF" w:rsidRPr="00694ACA" w:rsidRDefault="001119AF" w:rsidP="002B0D90">
      <w:pPr>
        <w:pStyle w:val="Bulletspoint11"/>
        <w:rPr>
          <w:lang w:val="ru-RU"/>
        </w:rPr>
      </w:pPr>
      <w:r w:rsidRPr="00694ACA">
        <w:rPr>
          <w:lang w:val="ru-RU"/>
        </w:rPr>
        <w:t>благонадежность, связанная с его нейтральностью, а также с честностью и порядочностью его персонала</w:t>
      </w:r>
      <w:r w:rsidRPr="00694ACA">
        <w:rPr>
          <w:rStyle w:val="FootnoteReference"/>
          <w:lang w:val="ru-RU"/>
        </w:rPr>
        <w:footnoteReference w:id="83"/>
      </w:r>
      <w:r w:rsidRPr="00694ACA">
        <w:rPr>
          <w:lang w:val="ru-RU"/>
        </w:rPr>
        <w:t>;</w:t>
      </w:r>
    </w:p>
    <w:p w14:paraId="3A758910" w14:textId="77777777" w:rsidR="001119AF" w:rsidRPr="00694ACA" w:rsidRDefault="001119AF" w:rsidP="002B0D90">
      <w:pPr>
        <w:pStyle w:val="Bulletspoint11"/>
        <w:rPr>
          <w:lang w:val="ru-RU"/>
        </w:rPr>
      </w:pPr>
      <w:r w:rsidRPr="00694ACA">
        <w:rPr>
          <w:lang w:val="ru-RU"/>
        </w:rPr>
        <w:t xml:space="preserve">высокое качество услуг в целом и развитие потенциала в частности; </w:t>
      </w:r>
    </w:p>
    <w:p w14:paraId="4A180F4B" w14:textId="7EC89C8C" w:rsidR="001119AF" w:rsidRPr="00694ACA" w:rsidRDefault="001119AF" w:rsidP="002B0D90">
      <w:pPr>
        <w:pStyle w:val="Bulletspoint11"/>
        <w:rPr>
          <w:lang w:val="ru-RU"/>
        </w:rPr>
      </w:pPr>
      <w:r w:rsidRPr="00694ACA">
        <w:rPr>
          <w:lang w:val="ru-RU"/>
        </w:rPr>
        <w:t>ярк</w:t>
      </w:r>
      <w:r w:rsidR="002707C0" w:rsidRPr="00694ACA">
        <w:rPr>
          <w:lang w:val="ru-RU"/>
        </w:rPr>
        <w:t>о выраженная индивидуальность</w:t>
      </w:r>
      <w:r w:rsidRPr="00694ACA">
        <w:rPr>
          <w:lang w:val="ru-RU"/>
        </w:rPr>
        <w:t xml:space="preserve"> бренда.</w:t>
      </w:r>
    </w:p>
    <w:p w14:paraId="24C73B79" w14:textId="26DDC832" w:rsidR="001119AF" w:rsidRPr="00694ACA" w:rsidRDefault="001119AF" w:rsidP="00F64BEE">
      <w:pPr>
        <w:spacing w:before="200"/>
        <w:ind w:left="-284" w:right="-472"/>
        <w:rPr>
          <w:highlight w:val="lightGray"/>
          <w:lang w:val="ru-RU"/>
        </w:rPr>
      </w:pPr>
      <w:r w:rsidRPr="00694ACA">
        <w:rPr>
          <w:lang w:val="ru-RU"/>
        </w:rPr>
        <w:t>70. На практике не все из этих характеристик так надежны, как может показаться, и любая неспособность отвечать им является для Организации фактором риска. Что касается нейтральности, то существуют опасения, что МСЭ может быть слишком тесно связан с интересами частного сектора, особенно некоторых крупных корпораций</w:t>
      </w:r>
      <w:r w:rsidRPr="00694ACA">
        <w:rPr>
          <w:rStyle w:val="FootnoteReference"/>
          <w:lang w:val="ru-RU"/>
        </w:rPr>
        <w:footnoteReference w:id="84"/>
      </w:r>
      <w:r w:rsidRPr="00694ACA">
        <w:rPr>
          <w:lang w:val="ru-RU"/>
        </w:rPr>
        <w:t>; что касается качества предоставляемых услуг, то зачастую качество услуг других организаций выше</w:t>
      </w:r>
      <w:r w:rsidRPr="00694ACA">
        <w:rPr>
          <w:rStyle w:val="FootnoteReference"/>
          <w:lang w:val="ru-RU"/>
        </w:rPr>
        <w:footnoteReference w:id="85"/>
      </w:r>
      <w:r w:rsidRPr="00694ACA">
        <w:rPr>
          <w:lang w:val="ru-RU"/>
        </w:rPr>
        <w:t xml:space="preserve">; что касается </w:t>
      </w:r>
      <w:r w:rsidR="002707C0" w:rsidRPr="00694ACA">
        <w:rPr>
          <w:lang w:val="ru-RU"/>
        </w:rPr>
        <w:t>индивидуальности</w:t>
      </w:r>
      <w:r w:rsidRPr="00694ACA">
        <w:rPr>
          <w:lang w:val="ru-RU"/>
        </w:rPr>
        <w:t xml:space="preserve"> бренда, то многие из тех, кто находится за пределами сетей Союза, не знают о его существовании. Кроме того, поскольку большая часть образовательных услуг фактически предоставляется другими организациями или партнерами, они приобретают более высокий статус и их заметность растет по сравнению с МСЭ, даже несмотря на то, что обучение проводится в том числе под брендом МСЭ.</w:t>
      </w:r>
      <w:r w:rsidR="00A579EF">
        <w:rPr>
          <w:highlight w:val="lightGray"/>
          <w:lang w:val="ru-RU"/>
        </w:rPr>
        <w:t xml:space="preserve"> </w:t>
      </w:r>
    </w:p>
    <w:p w14:paraId="0A4147A9" w14:textId="77777777" w:rsidR="001119AF" w:rsidRPr="00694ACA" w:rsidRDefault="001119AF" w:rsidP="00D278A3">
      <w:pPr>
        <w:pStyle w:val="Heading3"/>
        <w:ind w:right="-472"/>
        <w:rPr>
          <w:highlight w:val="lightGray"/>
          <w:lang w:val="ru-RU"/>
        </w:rPr>
      </w:pPr>
      <w:bookmarkStart w:id="328" w:name="_Toc57297396"/>
      <w:r w:rsidRPr="00694ACA">
        <w:rPr>
          <w:lang w:val="ru-RU"/>
        </w:rPr>
        <w:t>Частный сектор</w:t>
      </w:r>
      <w:bookmarkEnd w:id="328"/>
    </w:p>
    <w:p w14:paraId="0566C270" w14:textId="77777777" w:rsidR="001119AF" w:rsidRPr="00694ACA" w:rsidRDefault="001119AF" w:rsidP="002B0D90">
      <w:pPr>
        <w:ind w:left="-284" w:right="-472"/>
        <w:rPr>
          <w:highlight w:val="lightGray"/>
          <w:lang w:val="ru-RU"/>
        </w:rPr>
      </w:pPr>
      <w:r w:rsidRPr="00694ACA">
        <w:rPr>
          <w:lang w:val="ru-RU"/>
        </w:rPr>
        <w:t xml:space="preserve">71. Многие </w:t>
      </w:r>
      <w:r w:rsidRPr="00694ACA">
        <w:rPr>
          <w:b/>
          <w:bCs/>
          <w:lang w:val="ru-RU"/>
        </w:rPr>
        <w:t>технологические компании</w:t>
      </w:r>
      <w:r w:rsidRPr="00694ACA">
        <w:rPr>
          <w:lang w:val="ru-RU"/>
        </w:rPr>
        <w:t xml:space="preserve"> уже давно проводят обучение, часто бесплатное и носящее общий характер, уделяя при этом главное внимание собственным продуктам. Среди наиболее известных – компании </w:t>
      </w:r>
      <w:proofErr w:type="spellStart"/>
      <w:r w:rsidRPr="00694ACA">
        <w:rPr>
          <w:lang w:val="ru-RU"/>
        </w:rPr>
        <w:t>Cisco</w:t>
      </w:r>
      <w:proofErr w:type="spellEnd"/>
      <w:r w:rsidRPr="00694ACA">
        <w:rPr>
          <w:rStyle w:val="FootnoteReference"/>
          <w:lang w:val="ru-RU"/>
        </w:rPr>
        <w:footnoteReference w:id="86"/>
      </w:r>
      <w:r w:rsidRPr="00694ACA">
        <w:rPr>
          <w:lang w:val="ru-RU"/>
        </w:rPr>
        <w:t xml:space="preserve">, </w:t>
      </w:r>
      <w:proofErr w:type="spellStart"/>
      <w:r w:rsidRPr="00694ACA">
        <w:rPr>
          <w:lang w:val="ru-RU"/>
        </w:rPr>
        <w:t>Huawei</w:t>
      </w:r>
      <w:proofErr w:type="spellEnd"/>
      <w:r w:rsidRPr="00694ACA">
        <w:rPr>
          <w:rStyle w:val="FootnoteReference"/>
          <w:lang w:val="ru-RU"/>
        </w:rPr>
        <w:footnoteReference w:id="87"/>
      </w:r>
      <w:r w:rsidRPr="00694ACA">
        <w:rPr>
          <w:lang w:val="ru-RU"/>
        </w:rPr>
        <w:t xml:space="preserve">, </w:t>
      </w:r>
      <w:proofErr w:type="spellStart"/>
      <w:r w:rsidRPr="00694ACA">
        <w:rPr>
          <w:lang w:val="ru-RU"/>
        </w:rPr>
        <w:t>Ericsson</w:t>
      </w:r>
      <w:proofErr w:type="spellEnd"/>
      <w:r w:rsidRPr="00694ACA">
        <w:rPr>
          <w:rStyle w:val="FootnoteReference"/>
          <w:lang w:val="ru-RU"/>
        </w:rPr>
        <w:footnoteReference w:id="88"/>
      </w:r>
      <w:r w:rsidRPr="00694ACA">
        <w:rPr>
          <w:lang w:val="ru-RU"/>
        </w:rPr>
        <w:t xml:space="preserve">, </w:t>
      </w:r>
      <w:proofErr w:type="spellStart"/>
      <w:r w:rsidRPr="00694ACA">
        <w:rPr>
          <w:lang w:val="ru-RU"/>
        </w:rPr>
        <w:t>Microsoft</w:t>
      </w:r>
      <w:proofErr w:type="spellEnd"/>
      <w:r w:rsidRPr="00694ACA">
        <w:rPr>
          <w:rStyle w:val="FootnoteReference"/>
          <w:lang w:val="ru-RU"/>
        </w:rPr>
        <w:footnoteReference w:id="89"/>
      </w:r>
      <w:r w:rsidRPr="00694ACA">
        <w:rPr>
          <w:lang w:val="ru-RU"/>
        </w:rPr>
        <w:t xml:space="preserve">, </w:t>
      </w:r>
      <w:proofErr w:type="spellStart"/>
      <w:r w:rsidRPr="00694ACA">
        <w:rPr>
          <w:lang w:val="ru-RU"/>
        </w:rPr>
        <w:t>Intel</w:t>
      </w:r>
      <w:proofErr w:type="spellEnd"/>
      <w:r w:rsidRPr="00694ACA">
        <w:rPr>
          <w:rStyle w:val="FootnoteReference"/>
          <w:lang w:val="ru-RU"/>
        </w:rPr>
        <w:footnoteReference w:id="90"/>
      </w:r>
      <w:r w:rsidRPr="00694ACA">
        <w:rPr>
          <w:lang w:val="ru-RU"/>
        </w:rPr>
        <w:t xml:space="preserve">, </w:t>
      </w:r>
      <w:proofErr w:type="spellStart"/>
      <w:r w:rsidRPr="00694ACA">
        <w:rPr>
          <w:lang w:val="ru-RU"/>
        </w:rPr>
        <w:t>Samsung</w:t>
      </w:r>
      <w:proofErr w:type="spellEnd"/>
      <w:r w:rsidRPr="00694ACA">
        <w:rPr>
          <w:rStyle w:val="FootnoteReference"/>
          <w:lang w:val="ru-RU"/>
        </w:rPr>
        <w:footnoteReference w:id="91"/>
      </w:r>
      <w:r w:rsidRPr="00694ACA">
        <w:rPr>
          <w:lang w:val="ru-RU"/>
        </w:rPr>
        <w:t xml:space="preserve"> и ZTE</w:t>
      </w:r>
      <w:r w:rsidRPr="00694ACA">
        <w:rPr>
          <w:rStyle w:val="FootnoteReference"/>
          <w:lang w:val="ru-RU"/>
        </w:rPr>
        <w:footnoteReference w:id="92"/>
      </w:r>
      <w:r w:rsidRPr="00694ACA">
        <w:rPr>
          <w:lang w:val="ru-RU"/>
        </w:rPr>
        <w:t>, однако весь список очень длинный (см. также BSNL в Индии</w:t>
      </w:r>
      <w:r w:rsidRPr="00694ACA">
        <w:rPr>
          <w:rStyle w:val="FootnoteReference"/>
          <w:lang w:val="ru-RU"/>
        </w:rPr>
        <w:footnoteReference w:id="93"/>
      </w:r>
      <w:r w:rsidRPr="00694ACA">
        <w:rPr>
          <w:lang w:val="ru-RU"/>
        </w:rPr>
        <w:t xml:space="preserve">). Лучшие из этих курсов отличаются очень высоким качеством и обеспечивают развитие потенциала и профессиональную подготовку в секторе цифровых технологий. Однако их конечная цель – в первую очередь развивать и поддерживать рынки сбыта своих продуктов. Большинство из этих компаний также выдают сертификаты о прохождении своих курсов, репутация которых значительно варьируется: например, в области сетевых технологий самую высокую репутацию имеют сертификаты </w:t>
      </w:r>
      <w:proofErr w:type="spellStart"/>
      <w:r w:rsidRPr="00694ACA">
        <w:rPr>
          <w:lang w:val="ru-RU"/>
        </w:rPr>
        <w:t>Cisco</w:t>
      </w:r>
      <w:proofErr w:type="spellEnd"/>
      <w:r w:rsidRPr="00694ACA">
        <w:rPr>
          <w:lang w:val="ru-RU"/>
        </w:rPr>
        <w:t xml:space="preserve"> и </w:t>
      </w:r>
      <w:proofErr w:type="spellStart"/>
      <w:r w:rsidRPr="00694ACA">
        <w:rPr>
          <w:lang w:val="ru-RU"/>
        </w:rPr>
        <w:t>Huawei</w:t>
      </w:r>
      <w:proofErr w:type="spellEnd"/>
      <w:r w:rsidRPr="00694ACA">
        <w:rPr>
          <w:lang w:val="ru-RU"/>
        </w:rPr>
        <w:t>. Однако выбор компаний – партнеров МСЭ имеет и геополитические последствия, которые могут нанести ущерб такому заметному конкурентному преимуществу МСЭ, как нейтральность, особенно во время повышенной политической и экономической напряженности между Китаем и США</w:t>
      </w:r>
      <w:r w:rsidRPr="00694ACA">
        <w:rPr>
          <w:rStyle w:val="FootnoteReference"/>
          <w:lang w:val="ru-RU"/>
        </w:rPr>
        <w:footnoteReference w:id="94"/>
      </w:r>
      <w:r w:rsidRPr="00694ACA">
        <w:rPr>
          <w:lang w:val="ru-RU"/>
        </w:rPr>
        <w:t>.</w:t>
      </w:r>
      <w:r w:rsidRPr="00694ACA">
        <w:rPr>
          <w:highlight w:val="lightGray"/>
          <w:lang w:val="ru-RU"/>
        </w:rPr>
        <w:t xml:space="preserve"> </w:t>
      </w:r>
    </w:p>
    <w:p w14:paraId="523E0453" w14:textId="77777777" w:rsidR="001119AF" w:rsidRPr="00694ACA" w:rsidRDefault="001119AF" w:rsidP="002B0D90">
      <w:pPr>
        <w:ind w:left="-284" w:right="-472"/>
        <w:rPr>
          <w:lang w:val="ru-RU"/>
        </w:rPr>
      </w:pPr>
      <w:r w:rsidRPr="00694ACA">
        <w:rPr>
          <w:lang w:val="ru-RU"/>
        </w:rPr>
        <w:t xml:space="preserve">72. Также существует большое количество </w:t>
      </w:r>
      <w:r w:rsidRPr="00694ACA">
        <w:rPr>
          <w:b/>
          <w:bCs/>
          <w:lang w:val="ru-RU"/>
        </w:rPr>
        <w:t>компаний по обучению</w:t>
      </w:r>
      <w:r w:rsidRPr="00694ACA">
        <w:rPr>
          <w:lang w:val="ru-RU"/>
        </w:rPr>
        <w:t xml:space="preserve">, которые оказывают услуги по развитию цифрового потенциала и обучению очень разного качества. Деятельность большинства из них не регламентируется и не сертифицируется. Например, по оценкам (2020 г.), к 2025 году мировой рынок образовательных технологий </w:t>
      </w:r>
      <w:r w:rsidRPr="00694ACA">
        <w:rPr>
          <w:lang w:val="ru-RU"/>
        </w:rPr>
        <w:lastRenderedPageBreak/>
        <w:t>достигнет 404 млрд. долл. США</w:t>
      </w:r>
      <w:r w:rsidRPr="00694ACA">
        <w:rPr>
          <w:rStyle w:val="FootnoteReference"/>
          <w:lang w:val="ru-RU"/>
        </w:rPr>
        <w:footnoteReference w:id="95"/>
      </w:r>
      <w:r w:rsidRPr="00694ACA">
        <w:rPr>
          <w:lang w:val="ru-RU"/>
        </w:rPr>
        <w:t>, а рынок цифровой трансформации в целом – 3 294 млрд. долл. США</w:t>
      </w:r>
      <w:r w:rsidRPr="00694ACA">
        <w:rPr>
          <w:rStyle w:val="FootnoteReference"/>
          <w:lang w:val="ru-RU"/>
        </w:rPr>
        <w:footnoteReference w:id="96"/>
      </w:r>
      <w:r w:rsidRPr="00694ACA">
        <w:rPr>
          <w:lang w:val="ru-RU"/>
        </w:rPr>
        <w:t>. К наиболее известным и занимающим видное место в онлайновом поиске компаниям и организациям по обучению относятся, например, ICDL</w:t>
      </w:r>
      <w:r w:rsidRPr="00694ACA">
        <w:rPr>
          <w:rStyle w:val="FootnoteReference"/>
          <w:lang w:val="ru-RU"/>
        </w:rPr>
        <w:footnoteReference w:id="97"/>
      </w:r>
      <w:r w:rsidRPr="00694ACA">
        <w:rPr>
          <w:lang w:val="ru-RU"/>
        </w:rPr>
        <w:t xml:space="preserve">, </w:t>
      </w:r>
      <w:proofErr w:type="spellStart"/>
      <w:r w:rsidRPr="00694ACA">
        <w:rPr>
          <w:lang w:val="ru-RU"/>
        </w:rPr>
        <w:t>UK’s</w:t>
      </w:r>
      <w:proofErr w:type="spellEnd"/>
      <w:r w:rsidRPr="00694ACA">
        <w:rPr>
          <w:lang w:val="ru-RU"/>
        </w:rPr>
        <w:t xml:space="preserve"> </w:t>
      </w:r>
      <w:proofErr w:type="spellStart"/>
      <w:r w:rsidRPr="00694ACA">
        <w:rPr>
          <w:lang w:val="ru-RU"/>
        </w:rPr>
        <w:t>City</w:t>
      </w:r>
      <w:proofErr w:type="spellEnd"/>
      <w:r w:rsidRPr="00694ACA">
        <w:rPr>
          <w:lang w:val="ru-RU"/>
        </w:rPr>
        <w:t xml:space="preserve"> </w:t>
      </w:r>
      <w:proofErr w:type="spellStart"/>
      <w:r w:rsidRPr="00694ACA">
        <w:rPr>
          <w:lang w:val="ru-RU"/>
        </w:rPr>
        <w:t>and</w:t>
      </w:r>
      <w:proofErr w:type="spellEnd"/>
      <w:r w:rsidRPr="00694ACA">
        <w:rPr>
          <w:lang w:val="ru-RU"/>
        </w:rPr>
        <w:t xml:space="preserve"> </w:t>
      </w:r>
      <w:proofErr w:type="spellStart"/>
      <w:r w:rsidRPr="00694ACA">
        <w:rPr>
          <w:lang w:val="ru-RU"/>
        </w:rPr>
        <w:t>Guilds</w:t>
      </w:r>
      <w:proofErr w:type="spellEnd"/>
      <w:r w:rsidRPr="00694ACA">
        <w:rPr>
          <w:rStyle w:val="FootnoteReference"/>
          <w:lang w:val="ru-RU"/>
        </w:rPr>
        <w:footnoteReference w:id="98"/>
      </w:r>
      <w:r w:rsidRPr="00694ACA">
        <w:rPr>
          <w:lang w:val="ru-RU"/>
        </w:rPr>
        <w:t xml:space="preserve">, </w:t>
      </w:r>
      <w:proofErr w:type="spellStart"/>
      <w:r w:rsidRPr="00694ACA">
        <w:rPr>
          <w:lang w:val="ru-RU"/>
        </w:rPr>
        <w:t>Digital</w:t>
      </w:r>
      <w:proofErr w:type="spellEnd"/>
      <w:r w:rsidRPr="00694ACA">
        <w:rPr>
          <w:lang w:val="ru-RU"/>
        </w:rPr>
        <w:t xml:space="preserve"> </w:t>
      </w:r>
      <w:proofErr w:type="spellStart"/>
      <w:r w:rsidRPr="00694ACA">
        <w:rPr>
          <w:lang w:val="ru-RU"/>
        </w:rPr>
        <w:t>Skills</w:t>
      </w:r>
      <w:proofErr w:type="spellEnd"/>
      <w:r w:rsidRPr="00694ACA">
        <w:rPr>
          <w:lang w:val="ru-RU"/>
        </w:rPr>
        <w:t xml:space="preserve"> </w:t>
      </w:r>
      <w:proofErr w:type="spellStart"/>
      <w:r w:rsidRPr="00694ACA">
        <w:rPr>
          <w:lang w:val="ru-RU"/>
        </w:rPr>
        <w:t>Foundation</w:t>
      </w:r>
      <w:proofErr w:type="spellEnd"/>
      <w:r w:rsidRPr="00694ACA">
        <w:rPr>
          <w:rStyle w:val="FootnoteReference"/>
          <w:lang w:val="ru-RU"/>
        </w:rPr>
        <w:footnoteReference w:id="99"/>
      </w:r>
      <w:r w:rsidRPr="00694ACA">
        <w:rPr>
          <w:lang w:val="ru-RU"/>
        </w:rPr>
        <w:t xml:space="preserve">, </w:t>
      </w:r>
      <w:proofErr w:type="spellStart"/>
      <w:r w:rsidRPr="00694ACA">
        <w:rPr>
          <w:lang w:val="ru-RU"/>
        </w:rPr>
        <w:t>Digital</w:t>
      </w:r>
      <w:proofErr w:type="spellEnd"/>
      <w:r w:rsidRPr="00694ACA">
        <w:rPr>
          <w:lang w:val="ru-RU"/>
        </w:rPr>
        <w:t xml:space="preserve"> </w:t>
      </w:r>
      <w:proofErr w:type="spellStart"/>
      <w:r w:rsidRPr="00694ACA">
        <w:rPr>
          <w:lang w:val="ru-RU"/>
        </w:rPr>
        <w:t>Skills</w:t>
      </w:r>
      <w:proofErr w:type="spellEnd"/>
      <w:r w:rsidRPr="00694ACA">
        <w:rPr>
          <w:lang w:val="ru-RU"/>
        </w:rPr>
        <w:t xml:space="preserve"> </w:t>
      </w:r>
      <w:proofErr w:type="spellStart"/>
      <w:r w:rsidRPr="00694ACA">
        <w:rPr>
          <w:lang w:val="ru-RU"/>
        </w:rPr>
        <w:t>Global</w:t>
      </w:r>
      <w:proofErr w:type="spellEnd"/>
      <w:r w:rsidRPr="00694ACA">
        <w:rPr>
          <w:rStyle w:val="FootnoteReference"/>
          <w:lang w:val="ru-RU"/>
        </w:rPr>
        <w:footnoteReference w:id="100"/>
      </w:r>
      <w:r w:rsidRPr="00694ACA">
        <w:rPr>
          <w:lang w:val="ru-RU"/>
        </w:rPr>
        <w:t xml:space="preserve"> и IIDE в Индии</w:t>
      </w:r>
      <w:r w:rsidRPr="00694ACA">
        <w:rPr>
          <w:rStyle w:val="FootnoteReference"/>
          <w:lang w:val="ru-RU"/>
        </w:rPr>
        <w:footnoteReference w:id="101"/>
      </w:r>
      <w:r w:rsidRPr="00694ACA">
        <w:rPr>
          <w:lang w:val="ru-RU"/>
        </w:rPr>
        <w:t>. Во многих странах есть учреждения, в которых можно получить национальные справочники организаций/компаний по обучению цифровым навыкам (например, в Корпорации цифровой экономики Малайзии</w:t>
      </w:r>
      <w:r w:rsidRPr="00694ACA">
        <w:rPr>
          <w:rStyle w:val="FootnoteReference"/>
          <w:lang w:val="ru-RU"/>
        </w:rPr>
        <w:footnoteReference w:id="102"/>
      </w:r>
      <w:r w:rsidRPr="00694ACA">
        <w:rPr>
          <w:lang w:val="ru-RU"/>
        </w:rPr>
        <w:t>). МСЭ как учреждение ООН, стремящееся обеспечить развитие потенциала и профессиональную подготовку за небольшую плату или бесплатно для своих членов, сталкивается с трудностями при позиционировании себя на этом рынке.</w:t>
      </w:r>
    </w:p>
    <w:p w14:paraId="3038C27D" w14:textId="77777777" w:rsidR="001119AF" w:rsidRPr="00694ACA" w:rsidRDefault="001119AF" w:rsidP="00D278A3">
      <w:pPr>
        <w:pStyle w:val="Heading3"/>
        <w:ind w:right="-472"/>
        <w:rPr>
          <w:highlight w:val="lightGray"/>
          <w:lang w:val="ru-RU"/>
        </w:rPr>
      </w:pPr>
      <w:r w:rsidRPr="00694ACA">
        <w:rPr>
          <w:lang w:val="ru-RU"/>
        </w:rPr>
        <w:t>Профессиональные органы, фонды и организации по стандартизации</w:t>
      </w:r>
    </w:p>
    <w:p w14:paraId="0C8A0330" w14:textId="77777777" w:rsidR="001119AF" w:rsidRPr="00694ACA" w:rsidRDefault="001119AF" w:rsidP="00D278A3">
      <w:pPr>
        <w:ind w:left="-284" w:right="-472"/>
        <w:rPr>
          <w:highlight w:val="lightGray"/>
          <w:lang w:val="ru-RU"/>
        </w:rPr>
      </w:pPr>
      <w:r w:rsidRPr="00694ACA">
        <w:rPr>
          <w:lang w:val="ru-RU"/>
        </w:rPr>
        <w:t>73. Многие профессиональные органы, фонды и организации, представляющие различные технологические секторы, не только проводят обучение, но и разрабатывают различные структуры для стандартов и сертификации.</w:t>
      </w:r>
    </w:p>
    <w:p w14:paraId="25A910BF" w14:textId="77777777" w:rsidR="001119AF" w:rsidRPr="00694ACA" w:rsidRDefault="001119AF" w:rsidP="002B0D90">
      <w:pPr>
        <w:ind w:left="-284" w:right="-472"/>
        <w:rPr>
          <w:rFonts w:cs="Arial"/>
          <w:lang w:val="ru-RU"/>
        </w:rPr>
      </w:pPr>
      <w:r w:rsidRPr="00694ACA">
        <w:rPr>
          <w:rFonts w:cs="Arial"/>
          <w:lang w:val="ru-RU"/>
        </w:rPr>
        <w:t xml:space="preserve">74. Сотни </w:t>
      </w:r>
      <w:r w:rsidRPr="00694ACA">
        <w:rPr>
          <w:rFonts w:cs="Arial"/>
          <w:b/>
          <w:bCs/>
          <w:lang w:val="ru-RU"/>
        </w:rPr>
        <w:t>профессиональных организаций</w:t>
      </w:r>
      <w:r w:rsidRPr="00694ACA">
        <w:rPr>
          <w:rFonts w:cs="Arial"/>
          <w:lang w:val="ru-RU"/>
        </w:rPr>
        <w:t xml:space="preserve"> имеют целью обеспечить развитие потенциала и профессиональную подготовку в области цифровых технологий для своих членов. Среди них хорошо известные организации, расположенные в США, такие как Ассоциация вычислительной техники (ACM)</w:t>
      </w:r>
      <w:r w:rsidRPr="00694ACA">
        <w:rPr>
          <w:rStyle w:val="FootnoteReference"/>
          <w:lang w:val="ru-RU"/>
        </w:rPr>
        <w:footnoteReference w:id="103"/>
      </w:r>
      <w:r w:rsidRPr="00694ACA">
        <w:rPr>
          <w:rFonts w:cs="Arial"/>
          <w:lang w:val="ru-RU"/>
        </w:rPr>
        <w:t>, Ассоциация женщин в вычислительной технике (AWC)</w:t>
      </w:r>
      <w:r w:rsidRPr="00694ACA">
        <w:rPr>
          <w:rStyle w:val="FootnoteReference"/>
          <w:rFonts w:cs="Arial"/>
          <w:lang w:val="ru-RU"/>
        </w:rPr>
        <w:footnoteReference w:id="104"/>
      </w:r>
      <w:r w:rsidRPr="00694ACA">
        <w:rPr>
          <w:rFonts w:cs="Arial"/>
          <w:lang w:val="ru-RU"/>
        </w:rPr>
        <w:t xml:space="preserve"> и Институт инженеров по электротехнике и радиоэлектронике (IEEE)</w:t>
      </w:r>
      <w:r w:rsidRPr="00694ACA">
        <w:rPr>
          <w:rStyle w:val="FootnoteReference"/>
          <w:rFonts w:cs="Arial"/>
          <w:lang w:val="ru-RU"/>
        </w:rPr>
        <w:footnoteReference w:id="105"/>
      </w:r>
      <w:r w:rsidRPr="00694ACA">
        <w:rPr>
          <w:rFonts w:cs="Arial"/>
          <w:lang w:val="ru-RU"/>
        </w:rPr>
        <w:t>, и гораздо менее известные, но более важные на своем уровне организации, такие как Компьютерное общество Шри-Ланки</w:t>
      </w:r>
      <w:r w:rsidRPr="00694ACA">
        <w:rPr>
          <w:rStyle w:val="FootnoteReference"/>
          <w:rFonts w:cs="Arial"/>
          <w:lang w:val="ru-RU"/>
        </w:rPr>
        <w:footnoteReference w:id="106"/>
      </w:r>
      <w:r w:rsidRPr="00694ACA">
        <w:rPr>
          <w:rFonts w:cs="Arial"/>
          <w:lang w:val="ru-RU"/>
        </w:rPr>
        <w:t>, Ассоциация информационных технологий Нигерии (ITAN)</w:t>
      </w:r>
      <w:r w:rsidRPr="00694ACA">
        <w:rPr>
          <w:rStyle w:val="FootnoteReference"/>
          <w:rFonts w:cs="Arial"/>
          <w:lang w:val="ru-RU"/>
        </w:rPr>
        <w:footnoteReference w:id="107"/>
      </w:r>
      <w:r w:rsidRPr="00694ACA">
        <w:rPr>
          <w:rFonts w:cs="Arial"/>
          <w:lang w:val="ru-RU"/>
        </w:rPr>
        <w:t xml:space="preserve"> или Британское компьютерное общество</w:t>
      </w:r>
      <w:r w:rsidRPr="00694ACA">
        <w:rPr>
          <w:rStyle w:val="FootnoteReference"/>
          <w:lang w:val="ru-RU"/>
        </w:rPr>
        <w:footnoteReference w:id="108"/>
      </w:r>
      <w:r w:rsidRPr="00694ACA">
        <w:rPr>
          <w:rFonts w:cs="Arial"/>
          <w:lang w:val="ru-RU"/>
        </w:rPr>
        <w:t>. Если МСЭ сочтет необходимым заниматься подобной деятельностью внутри стран, то следовало бы сотрудничать с лучшими местными организациями, так что это сотрудничество действительно поможет увеличить потенциал этих организаций местного уровня.</w:t>
      </w:r>
    </w:p>
    <w:p w14:paraId="61F42DBA" w14:textId="45A207C7" w:rsidR="001119AF" w:rsidRPr="00694ACA" w:rsidRDefault="001119AF" w:rsidP="002B0D90">
      <w:pPr>
        <w:ind w:left="-284" w:right="-472"/>
        <w:rPr>
          <w:rFonts w:cs="Arial"/>
          <w:highlight w:val="lightGray"/>
          <w:lang w:val="ru-RU"/>
        </w:rPr>
      </w:pPr>
      <w:r w:rsidRPr="00694ACA">
        <w:rPr>
          <w:lang w:val="ru-RU"/>
        </w:rPr>
        <w:t xml:space="preserve">75. Глобальные, региональные и национальные </w:t>
      </w:r>
      <w:r w:rsidRPr="00694ACA">
        <w:rPr>
          <w:b/>
          <w:bCs/>
          <w:lang w:val="ru-RU"/>
        </w:rPr>
        <w:t>организации по стандартизации</w:t>
      </w:r>
      <w:r w:rsidRPr="00694ACA">
        <w:rPr>
          <w:lang w:val="ru-RU"/>
        </w:rPr>
        <w:t xml:space="preserve"> также обеспечивают основу для обучения в области цифровых технологи и связи. По-видимому, наиболее известной является Международная организация по стандартизации (ИСО), которая много работает с профессиональными организациями: примером может служить публикация ISO/IEC 20006 "Информационные технологии для обучения, образования и профессиональной подготовки – Информационная модель для компетенции", выпущенная совместно с Международной электротехнической комиссией</w:t>
      </w:r>
      <w:r w:rsidRPr="00694ACA">
        <w:rPr>
          <w:rStyle w:val="FootnoteReference"/>
          <w:rFonts w:cs="Arial"/>
          <w:lang w:val="ru-RU"/>
        </w:rPr>
        <w:footnoteReference w:id="109"/>
      </w:r>
      <w:r w:rsidRPr="00694ACA">
        <w:rPr>
          <w:lang w:val="ru-RU"/>
        </w:rPr>
        <w:t>. На региональном уровне существуют такие органы, как Европейский комитет по стандартизации, который, например, выпустил публикацию "Структура электронных компетенций: Европейский стандарт для цифровой экономики"</w:t>
      </w:r>
      <w:r w:rsidRPr="00694ACA">
        <w:rPr>
          <w:rStyle w:val="FootnoteReference"/>
          <w:rFonts w:cs="Arial"/>
          <w:lang w:val="ru-RU"/>
        </w:rPr>
        <w:footnoteReference w:id="110"/>
      </w:r>
      <w:r w:rsidRPr="00694ACA">
        <w:rPr>
          <w:lang w:val="ru-RU"/>
        </w:rPr>
        <w:t>. Во</w:t>
      </w:r>
      <w:r w:rsidR="006026DB" w:rsidRPr="00694ACA">
        <w:rPr>
          <w:lang w:val="ru-RU"/>
        </w:rPr>
        <w:t> </w:t>
      </w:r>
      <w:r w:rsidRPr="00694ACA">
        <w:rPr>
          <w:lang w:val="ru-RU"/>
        </w:rPr>
        <w:t xml:space="preserve">многих странах есть собственные органы, специализирующиеся на стандартах обучения, которые часто связаны с их экзаменационными комиссиями в сфере образования. Первым таким органом был Британский институт стандартов, созданный в 1901 году, который в </w:t>
      </w:r>
      <w:r w:rsidRPr="00694ACA">
        <w:rPr>
          <w:lang w:val="ru-RU"/>
        </w:rPr>
        <w:lastRenderedPageBreak/>
        <w:t>настоящее время проводит обучение, а также готовит стандарты по широкому спектру вопросов ИКТ и электросвязи</w:t>
      </w:r>
      <w:r w:rsidRPr="00694ACA">
        <w:rPr>
          <w:rStyle w:val="FootnoteReference"/>
          <w:rFonts w:cs="Arial"/>
          <w:lang w:val="ru-RU"/>
        </w:rPr>
        <w:footnoteReference w:id="111"/>
      </w:r>
      <w:r w:rsidRPr="00694ACA">
        <w:rPr>
          <w:lang w:val="ru-RU"/>
        </w:rPr>
        <w:t>.</w:t>
      </w:r>
    </w:p>
    <w:p w14:paraId="6F8B1734" w14:textId="77777777" w:rsidR="001119AF" w:rsidRPr="00694ACA" w:rsidRDefault="001119AF" w:rsidP="00D278A3">
      <w:pPr>
        <w:ind w:left="-284" w:right="-472"/>
        <w:rPr>
          <w:rFonts w:cs="Arial"/>
          <w:highlight w:val="lightGray"/>
          <w:lang w:val="ru-RU"/>
        </w:rPr>
      </w:pPr>
      <w:r w:rsidRPr="00694ACA">
        <w:rPr>
          <w:rFonts w:cs="Arial"/>
          <w:lang w:val="ru-RU"/>
        </w:rPr>
        <w:t xml:space="preserve">76. Расширение сектора цифровых технологий привело к созданию множества глобальных и национальных </w:t>
      </w:r>
      <w:r w:rsidRPr="00694ACA">
        <w:rPr>
          <w:rFonts w:cs="Arial"/>
          <w:b/>
          <w:bCs/>
          <w:lang w:val="ru-RU"/>
        </w:rPr>
        <w:t>фондов</w:t>
      </w:r>
      <w:r w:rsidRPr="00694ACA">
        <w:rPr>
          <w:rFonts w:cs="Arial"/>
          <w:lang w:val="ru-RU"/>
        </w:rPr>
        <w:t>, занимающихся развитием цифрового потенциала. К ним относятся не только фонды, созданные теми, кто заработал свое состояние благодаря прямому участию в сфере цифровых технологий, например, Фонд Билла и Мелинды Гейтс</w:t>
      </w:r>
      <w:r w:rsidRPr="00694ACA">
        <w:rPr>
          <w:rStyle w:val="FootnoteReference"/>
          <w:rFonts w:cs="Arial"/>
          <w:lang w:val="ru-RU"/>
        </w:rPr>
        <w:footnoteReference w:id="112"/>
      </w:r>
      <w:r w:rsidRPr="00694ACA">
        <w:rPr>
          <w:rFonts w:cs="Arial"/>
          <w:lang w:val="ru-RU"/>
        </w:rPr>
        <w:t xml:space="preserve"> или Фонд </w:t>
      </w:r>
      <w:proofErr w:type="spellStart"/>
      <w:r w:rsidRPr="00694ACA">
        <w:rPr>
          <w:rFonts w:cs="Arial"/>
          <w:lang w:val="ru-RU"/>
        </w:rPr>
        <w:t>Хьюлетта</w:t>
      </w:r>
      <w:proofErr w:type="spellEnd"/>
      <w:r w:rsidRPr="00694ACA">
        <w:rPr>
          <w:rStyle w:val="FootnoteReference"/>
          <w:rFonts w:cs="Arial"/>
          <w:lang w:val="ru-RU"/>
        </w:rPr>
        <w:footnoteReference w:id="113"/>
      </w:r>
      <w:r w:rsidRPr="00694ACA">
        <w:rPr>
          <w:rFonts w:cs="Arial"/>
          <w:lang w:val="ru-RU"/>
        </w:rPr>
        <w:t>, но и гораздо более мелкие фонды, каждый из которых стремится вносить свой вклад в развитие потенциала и профессиональную подготовку в контексте цифровых технологий и электросвязи</w:t>
      </w:r>
      <w:r w:rsidRPr="00694ACA">
        <w:rPr>
          <w:rStyle w:val="FootnoteReference"/>
          <w:rFonts w:cs="Arial"/>
          <w:lang w:val="ru-RU"/>
        </w:rPr>
        <w:footnoteReference w:id="114"/>
      </w:r>
      <w:r w:rsidRPr="00694ACA">
        <w:rPr>
          <w:rFonts w:cs="Arial"/>
          <w:lang w:val="ru-RU"/>
        </w:rPr>
        <w:t xml:space="preserve">. </w:t>
      </w:r>
    </w:p>
    <w:p w14:paraId="46060F8A" w14:textId="77777777" w:rsidR="001119AF" w:rsidRPr="00694ACA" w:rsidRDefault="001119AF" w:rsidP="002B0D90">
      <w:pPr>
        <w:ind w:left="-284" w:right="-472"/>
        <w:rPr>
          <w:lang w:val="ru-RU"/>
        </w:rPr>
      </w:pPr>
      <w:r w:rsidRPr="00694ACA">
        <w:rPr>
          <w:lang w:val="ru-RU"/>
        </w:rPr>
        <w:t xml:space="preserve">77. Многие учреждения, которые </w:t>
      </w:r>
      <w:r w:rsidRPr="00694ACA">
        <w:rPr>
          <w:b/>
          <w:bCs/>
          <w:lang w:val="ru-RU"/>
        </w:rPr>
        <w:t>представляют интересы определенных групп</w:t>
      </w:r>
      <w:r w:rsidRPr="00694ACA">
        <w:rPr>
          <w:lang w:val="ru-RU"/>
        </w:rPr>
        <w:t>, не являясь при этом профессиональными ассоциациями, также проводят мероприятия в области развития потенциала и профессиональной подготовки для своих членов и от своего имени и заинтересованы в том, чтобы их взгляды помогали формировать политику правительств, международных организаций и субъектов гражданского общества. МСЭ уже является партнером одного из самых успешных из них – Ассоциации глобальной системы подвижной связи (Ассоциации GSM)</w:t>
      </w:r>
      <w:r w:rsidRPr="00694ACA">
        <w:rPr>
          <w:rStyle w:val="FootnoteReference"/>
          <w:lang w:val="ru-RU"/>
        </w:rPr>
        <w:footnoteReference w:id="115"/>
      </w:r>
      <w:r w:rsidRPr="00694ACA">
        <w:rPr>
          <w:lang w:val="ru-RU"/>
        </w:rPr>
        <w:t>, однако, несмотря на высокое качество деятельности Ассоциации, это обучение часто воспринимается как нечто тенденциозное и подготовленное в интересах операторов подвижной связи. Обучение, предлагаемое Институтом повышения квалификации в области электросвязи США (USTTI)</w:t>
      </w:r>
      <w:r w:rsidRPr="00694ACA">
        <w:rPr>
          <w:rStyle w:val="FootnoteReference"/>
          <w:lang w:val="ru-RU"/>
        </w:rPr>
        <w:footnoteReference w:id="116"/>
      </w:r>
      <w:r w:rsidRPr="00694ACA">
        <w:rPr>
          <w:lang w:val="ru-RU"/>
        </w:rPr>
        <w:t>, также считается очень качественным, однако есть мнение, что этот институт в значительной степени представляет интересы американских корпораций.</w:t>
      </w:r>
    </w:p>
    <w:p w14:paraId="718EFF77" w14:textId="77777777" w:rsidR="001119AF" w:rsidRPr="00694ACA" w:rsidRDefault="001119AF" w:rsidP="00D278A3">
      <w:pPr>
        <w:pStyle w:val="Heading3"/>
        <w:ind w:right="-472"/>
        <w:rPr>
          <w:highlight w:val="lightGray"/>
          <w:lang w:val="ru-RU"/>
        </w:rPr>
      </w:pPr>
      <w:r w:rsidRPr="00694ACA">
        <w:rPr>
          <w:lang w:val="ru-RU"/>
        </w:rPr>
        <w:t>Университеты, учреждения высшего образования и национальные институты</w:t>
      </w:r>
    </w:p>
    <w:p w14:paraId="15EB6C5F" w14:textId="1321B2C1" w:rsidR="001119AF" w:rsidRPr="00694ACA" w:rsidRDefault="001119AF" w:rsidP="00D278A3">
      <w:pPr>
        <w:ind w:left="-284" w:right="-472"/>
        <w:rPr>
          <w:highlight w:val="lightGray"/>
          <w:lang w:val="ru-RU"/>
        </w:rPr>
      </w:pPr>
      <w:r w:rsidRPr="00694ACA">
        <w:rPr>
          <w:lang w:val="ru-RU"/>
        </w:rPr>
        <w:t xml:space="preserve">78. Трудно оценить общее число доступных в мире магистерских программ в области цифровых технологий, ИКТ и электросвязи – их уже по крайней мере несколько сотен. На платформе </w:t>
      </w:r>
      <w:proofErr w:type="spellStart"/>
      <w:r w:rsidRPr="00694ACA">
        <w:rPr>
          <w:lang w:val="ru-RU"/>
        </w:rPr>
        <w:t>FindAMasters</w:t>
      </w:r>
      <w:proofErr w:type="spellEnd"/>
      <w:r w:rsidRPr="00694ACA">
        <w:rPr>
          <w:lang w:val="ru-RU"/>
        </w:rPr>
        <w:t xml:space="preserve"> доступна информация о 23 749 магистерских программах по всему миру: в названии 318 программ используется аббревиатура "ICT" (ИКТ), в 29 – слово "</w:t>
      </w:r>
      <w:proofErr w:type="spellStart"/>
      <w:r w:rsidRPr="00694ACA">
        <w:rPr>
          <w:lang w:val="ru-RU"/>
        </w:rPr>
        <w:t>telecom</w:t>
      </w:r>
      <w:proofErr w:type="spellEnd"/>
      <w:r w:rsidRPr="00694ACA">
        <w:rPr>
          <w:lang w:val="ru-RU"/>
        </w:rPr>
        <w:t>" (электросвязь) и в 3 342 – "</w:t>
      </w:r>
      <w:proofErr w:type="spellStart"/>
      <w:r w:rsidRPr="00694ACA">
        <w:rPr>
          <w:lang w:val="ru-RU"/>
        </w:rPr>
        <w:t>digital</w:t>
      </w:r>
      <w:proofErr w:type="spellEnd"/>
      <w:r w:rsidRPr="00694ACA">
        <w:rPr>
          <w:lang w:val="ru-RU"/>
        </w:rPr>
        <w:t>" (цифровой)</w:t>
      </w:r>
      <w:r w:rsidRPr="00694ACA">
        <w:rPr>
          <w:rStyle w:val="FootnoteReference"/>
          <w:lang w:val="ru-RU"/>
        </w:rPr>
        <w:footnoteReference w:id="117"/>
      </w:r>
      <w:r w:rsidRPr="00694ACA">
        <w:rPr>
          <w:lang w:val="ru-RU"/>
        </w:rPr>
        <w:t>. Поскольку эти программы уже существуют и многие из них предлагаются престижными университетами, расходование ценных и ограниченных ресурсов МСЭ в попытке разработать собственную магистерскую программу не представляется разумным, тем более что сам Союз не считается академической организацией. В то же время возможна совместная работа с небольшим количеством престижных университетов в целях содействия расширению существующих магистерских программ этих университетов; этот вариант следует рассмотреть, если спрос со стороны членов достаточно высок.</w:t>
      </w:r>
    </w:p>
    <w:p w14:paraId="03A940F9" w14:textId="77777777" w:rsidR="001119AF" w:rsidRPr="00694ACA" w:rsidRDefault="001119AF" w:rsidP="00D278A3">
      <w:pPr>
        <w:pStyle w:val="Heading3"/>
        <w:ind w:right="-472"/>
        <w:rPr>
          <w:highlight w:val="lightGray"/>
          <w:lang w:val="ru-RU"/>
        </w:rPr>
      </w:pPr>
      <w:bookmarkStart w:id="329" w:name="_Toc57297397"/>
      <w:r w:rsidRPr="00694ACA">
        <w:rPr>
          <w:lang w:val="ru-RU"/>
        </w:rPr>
        <w:t>Учреждения ООН и международные организации</w:t>
      </w:r>
      <w:bookmarkEnd w:id="329"/>
    </w:p>
    <w:p w14:paraId="0F2E3660" w14:textId="08647BA7" w:rsidR="001119AF" w:rsidRPr="00694ACA" w:rsidRDefault="001119AF" w:rsidP="002E70C8">
      <w:pPr>
        <w:ind w:left="-284" w:right="-472"/>
        <w:rPr>
          <w:highlight w:val="lightGray"/>
          <w:lang w:val="ru-RU"/>
        </w:rPr>
      </w:pPr>
      <w:r w:rsidRPr="00694ACA">
        <w:rPr>
          <w:lang w:val="ru-RU"/>
        </w:rPr>
        <w:t>79. Весомые и противоречивые факторы, определяющие баланс сотрудничества и конкуренции между учреждениями ООН, более чем очевидны в сфере цифровых технологий. В значительной степени это связано с тем, что эти технологии теперь стали центральным измерением в жизни людей и организаций во всем мире, а кроме того, они отражают проблемы ресурсного обеспечения учреждений ООН и приоритеты высшего руководства</w:t>
      </w:r>
      <w:r w:rsidRPr="00694ACA">
        <w:rPr>
          <w:rStyle w:val="FootnoteReference"/>
          <w:lang w:val="ru-RU"/>
        </w:rPr>
        <w:footnoteReference w:id="118"/>
      </w:r>
      <w:r w:rsidRPr="00694ACA">
        <w:rPr>
          <w:lang w:val="ru-RU"/>
        </w:rPr>
        <w:t xml:space="preserve">. Большинство учреждений ООН в той или иной степени занимаются развитием потенциала и профессиональной подготовкой в области использования ИКТ в контексте возможного использования этих технологий в своих интересах. Так, все учреждения, занимающиеся Направлениями деятельности ВВУИО, не теряют интерес к цифровым технологиям, и поэтому они уделяют больше внимания использованию этих технологий для развития </w:t>
      </w:r>
      <w:r w:rsidRPr="00694ACA">
        <w:rPr>
          <w:lang w:val="ru-RU"/>
        </w:rPr>
        <w:lastRenderedPageBreak/>
        <w:t>потенциала и профессиональной подготовки, чем другие учреждения ООН (в Приложении 4 дается обзор областей пересечения тематических приоритетов БРЭ и деятельности других учреждений ООН по развитию потенциала и профессиональной подготовке).</w:t>
      </w:r>
    </w:p>
    <w:p w14:paraId="7AE8B0E7" w14:textId="61128552" w:rsidR="001119AF" w:rsidRPr="00694ACA" w:rsidRDefault="001119AF" w:rsidP="00D278A3">
      <w:pPr>
        <w:ind w:left="-284" w:right="-472"/>
        <w:rPr>
          <w:highlight w:val="lightGray"/>
          <w:lang w:val="ru-RU"/>
        </w:rPr>
      </w:pPr>
      <w:r w:rsidRPr="00694ACA">
        <w:rPr>
          <w:lang w:val="ru-RU"/>
        </w:rPr>
        <w:t xml:space="preserve">80. Ранее МСЭ действительно был заинтересован в сотрудничестве с несколькими учреждениями ООН, в частности с ПРООН – в плане развития потенциала и профессиональной подготовки в области цифровых технологий внутри стран, с ЮНЕСКО – в таких темах, как ИИ, со Структурой "ООН-женщины" – в плане использования цифровых технологий женщинами, а также с МОТ – в плане кампании "Цифровые навыки". Эти партнерства имеют разную степень успешности. Однако прочную основу для дальнейшей, более существенной совместной работы по развитию потенциала в будущем, как рекомендовано в </w:t>
      </w:r>
      <w:r w:rsidRPr="00694ACA">
        <w:rPr>
          <w:i/>
          <w:iCs/>
          <w:lang w:val="ru-RU"/>
        </w:rPr>
        <w:t>Дорожной карте по цифровому сотрудничеству</w:t>
      </w:r>
      <w:r w:rsidRPr="00694ACA">
        <w:rPr>
          <w:rStyle w:val="FootnoteReference"/>
          <w:lang w:val="ru-RU"/>
        </w:rPr>
        <w:footnoteReference w:id="119"/>
      </w:r>
      <w:r w:rsidRPr="00694ACA">
        <w:rPr>
          <w:lang w:val="ru-RU"/>
        </w:rPr>
        <w:t xml:space="preserve">, обеспечивают именно давние отношения с ПРООН, в рамках которых МСЭ предоставляет технический опыт, а ПРООН предоставляет </w:t>
      </w:r>
      <w:proofErr w:type="spellStart"/>
      <w:r w:rsidRPr="00694ACA">
        <w:rPr>
          <w:lang w:val="ru-RU"/>
        </w:rPr>
        <w:t>внутристрановые</w:t>
      </w:r>
      <w:proofErr w:type="spellEnd"/>
      <w:r w:rsidRPr="00694ACA">
        <w:rPr>
          <w:lang w:val="ru-RU"/>
        </w:rPr>
        <w:t xml:space="preserve"> знания и поддержку.</w:t>
      </w:r>
    </w:p>
    <w:p w14:paraId="4BD77851" w14:textId="77777777" w:rsidR="001119AF" w:rsidRPr="00694ACA" w:rsidRDefault="001119AF" w:rsidP="00D278A3">
      <w:pPr>
        <w:pStyle w:val="Heading3"/>
        <w:ind w:right="-472"/>
        <w:rPr>
          <w:highlight w:val="lightGray"/>
          <w:lang w:val="ru-RU"/>
        </w:rPr>
      </w:pPr>
      <w:bookmarkStart w:id="330" w:name="_Toc57297399"/>
      <w:r w:rsidRPr="00694ACA">
        <w:rPr>
          <w:lang w:val="ru-RU"/>
        </w:rPr>
        <w:t>Другие международные учреждения</w:t>
      </w:r>
      <w:bookmarkEnd w:id="330"/>
    </w:p>
    <w:p w14:paraId="242F9292" w14:textId="381227AC" w:rsidR="001119AF" w:rsidRPr="00694ACA" w:rsidRDefault="001119AF" w:rsidP="00D278A3">
      <w:pPr>
        <w:ind w:left="-284" w:right="-472"/>
        <w:rPr>
          <w:highlight w:val="lightGray"/>
          <w:lang w:val="ru-RU"/>
        </w:rPr>
      </w:pPr>
      <w:r w:rsidRPr="00694ACA">
        <w:rPr>
          <w:lang w:val="ru-RU"/>
        </w:rPr>
        <w:t>81. Другие международные и региональные учреждения также обеспечивают развитие потенциала и профессиональную подготовку в сфере использования цифровых технологий и электросвязи как путем поддержки правительств (развитие институционального и организационного потенциала), так и путем обучения людей на всех уровнях. МСЭ уже работает с некоторыми из этих учреждений (такими как ICANN и ISOC) и совместно с ними проводит мероприятия в области развития потенциала либо делает обучение, проводимое этими международными организациями, доступным для заинтересованных лиц</w:t>
      </w:r>
      <w:r w:rsidRPr="00694ACA">
        <w:rPr>
          <w:rStyle w:val="FootnoteReference"/>
          <w:lang w:val="ru-RU"/>
        </w:rPr>
        <w:footnoteReference w:id="120"/>
      </w:r>
      <w:r w:rsidRPr="00694ACA">
        <w:rPr>
          <w:lang w:val="ru-RU"/>
        </w:rPr>
        <w:t xml:space="preserve">. Кроме того, те, кто в большей степени ориентируется на региональное развитие потенциала и профессиональную подготовку, часто предпочитают региональные организации, такие как </w:t>
      </w:r>
      <w:r w:rsidR="00FE0FC6" w:rsidRPr="00694ACA">
        <w:rPr>
          <w:lang w:val="ru-RU"/>
        </w:rPr>
        <w:t>КСЭ</w:t>
      </w:r>
      <w:r w:rsidRPr="00694ACA">
        <w:rPr>
          <w:lang w:val="ru-RU"/>
        </w:rPr>
        <w:t xml:space="preserve">, </w:t>
      </w:r>
      <w:r w:rsidR="00FE0FC6" w:rsidRPr="00694ACA">
        <w:rPr>
          <w:lang w:val="ru-RU"/>
        </w:rPr>
        <w:t>ОЭС</w:t>
      </w:r>
      <w:r w:rsidRPr="00694ACA">
        <w:rPr>
          <w:lang w:val="ru-RU"/>
        </w:rPr>
        <w:t>, Межамериканский банк развития или Исламский банк развития.</w:t>
      </w:r>
    </w:p>
    <w:p w14:paraId="5016A808" w14:textId="77777777" w:rsidR="001119AF" w:rsidRPr="00694ACA" w:rsidRDefault="001119AF" w:rsidP="00D278A3">
      <w:pPr>
        <w:pStyle w:val="Heading3"/>
        <w:ind w:right="-472"/>
        <w:rPr>
          <w:highlight w:val="lightGray"/>
          <w:lang w:val="ru-RU"/>
        </w:rPr>
      </w:pPr>
      <w:bookmarkStart w:id="331" w:name="_Toc57297400"/>
      <w:r w:rsidRPr="00694ACA">
        <w:rPr>
          <w:lang w:val="ru-RU"/>
        </w:rPr>
        <w:t>Развитие потенциала и профессиональная подготовка для гражданского общества</w:t>
      </w:r>
      <w:bookmarkEnd w:id="331"/>
    </w:p>
    <w:p w14:paraId="10390F34" w14:textId="5D2027D0" w:rsidR="001119AF" w:rsidRPr="00694ACA" w:rsidRDefault="001119AF" w:rsidP="002B0D90">
      <w:pPr>
        <w:ind w:left="-284" w:right="-472"/>
        <w:rPr>
          <w:lang w:val="ru-RU"/>
        </w:rPr>
      </w:pPr>
      <w:r w:rsidRPr="00694ACA">
        <w:rPr>
          <w:lang w:val="ru-RU"/>
        </w:rPr>
        <w:t>82. В мире существуют десятки тысяч "ориентированных на развитие" организаций гражданского общества разного масштаба, многие из которых оказывают услуги по развитию потенциала и профессиональной подготовке в области и с помощью использования цифровых технологий, чью деятельность зачастую финансируют многосторонние и двусторонние доноры. Это особенно характерно для сфер здравоохранения и образования</w:t>
      </w:r>
      <w:r w:rsidRPr="00694ACA">
        <w:rPr>
          <w:rStyle w:val="FootnoteReference"/>
          <w:lang w:val="ru-RU"/>
        </w:rPr>
        <w:footnoteReference w:id="121"/>
      </w:r>
      <w:r w:rsidRPr="00694ACA">
        <w:rPr>
          <w:lang w:val="ru-RU"/>
        </w:rPr>
        <w:t xml:space="preserve"> и частично совпадает с проводимой БРЭ работой в тематических областях инноваций, охвата, услуг и окружающей среды. Большая часть этой деятельности гражданского общества направлена в первую очередь на предоставление </w:t>
      </w:r>
      <w:r w:rsidRPr="00694ACA">
        <w:rPr>
          <w:i/>
          <w:iCs/>
          <w:lang w:val="ru-RU"/>
        </w:rPr>
        <w:t>людям</w:t>
      </w:r>
      <w:r w:rsidRPr="00694ACA">
        <w:rPr>
          <w:lang w:val="ru-RU"/>
        </w:rPr>
        <w:t xml:space="preserve"> возможности доступа к этим технологиям и их использования; гораздо меньше усилий направлено непосредственно на обеспечение развития </w:t>
      </w:r>
      <w:r w:rsidRPr="00694ACA">
        <w:rPr>
          <w:i/>
          <w:iCs/>
          <w:lang w:val="ru-RU"/>
        </w:rPr>
        <w:t xml:space="preserve">институционального </w:t>
      </w:r>
      <w:r w:rsidRPr="00694ACA">
        <w:rPr>
          <w:lang w:val="ru-RU"/>
        </w:rPr>
        <w:t>или</w:t>
      </w:r>
      <w:r w:rsidRPr="00694ACA">
        <w:rPr>
          <w:i/>
          <w:iCs/>
          <w:lang w:val="ru-RU"/>
        </w:rPr>
        <w:t xml:space="preserve"> организационного</w:t>
      </w:r>
      <w:r w:rsidRPr="00694ACA">
        <w:rPr>
          <w:lang w:val="ru-RU"/>
        </w:rPr>
        <w:t xml:space="preserve"> потенциала. Это повышает упоминавшуюся выше степень напряженности при удержании баланса, к которому стремятся члены МСЭ, – баланса между предоставлением высококачественных услуг по развитию потенциала отдельным лицам и государственным администрациям, и это подталкивает МСЭ к тому, чтобы рассмотреть возможность развития более тесных отношений с организациями гражданского общества, если будет принято решение </w:t>
      </w:r>
      <w:proofErr w:type="spellStart"/>
      <w:r w:rsidRPr="00694ACA">
        <w:rPr>
          <w:lang w:val="ru-RU"/>
        </w:rPr>
        <w:t>приоритизировать</w:t>
      </w:r>
      <w:proofErr w:type="spellEnd"/>
      <w:r w:rsidRPr="00694ACA">
        <w:rPr>
          <w:lang w:val="ru-RU"/>
        </w:rPr>
        <w:t xml:space="preserve"> развитие потенциала и профессиональную подготовку на индивидуальном уровне</w:t>
      </w:r>
      <w:r w:rsidRPr="00694ACA">
        <w:rPr>
          <w:rStyle w:val="FootnoteReference"/>
          <w:rFonts w:cs="Arial"/>
          <w:lang w:val="ru-RU"/>
        </w:rPr>
        <w:footnoteReference w:id="122"/>
      </w:r>
      <w:r w:rsidRPr="00694ACA">
        <w:rPr>
          <w:lang w:val="ru-RU"/>
        </w:rPr>
        <w:t>.</w:t>
      </w:r>
    </w:p>
    <w:p w14:paraId="7808FEA0" w14:textId="480CDC12" w:rsidR="001119AF" w:rsidRPr="00694ACA" w:rsidRDefault="001119AF" w:rsidP="00163538">
      <w:pPr>
        <w:pStyle w:val="Heading2"/>
        <w:spacing w:before="0" w:after="0"/>
        <w:ind w:right="-472"/>
        <w:rPr>
          <w:highlight w:val="lightGray"/>
          <w:lang w:val="ru-RU"/>
        </w:rPr>
      </w:pPr>
      <w:bookmarkStart w:id="332" w:name="_Toc57297403"/>
      <w:bookmarkStart w:id="333" w:name="_Toc58244113"/>
      <w:bookmarkStart w:id="334" w:name="_Toc58273435"/>
      <w:bookmarkStart w:id="335" w:name="_Toc58273664"/>
      <w:bookmarkStart w:id="336" w:name="_Toc58275266"/>
      <w:r w:rsidRPr="00694ACA">
        <w:rPr>
          <w:lang w:val="ru-RU"/>
        </w:rPr>
        <w:lastRenderedPageBreak/>
        <w:t>8.2 Методы развития потенциала и профессиональной подготовки в учреждениях ООН</w:t>
      </w:r>
      <w:bookmarkEnd w:id="332"/>
      <w:bookmarkEnd w:id="333"/>
      <w:bookmarkEnd w:id="334"/>
      <w:bookmarkEnd w:id="335"/>
      <w:bookmarkEnd w:id="336"/>
    </w:p>
    <w:p w14:paraId="0C1D3DEF" w14:textId="77777777" w:rsidR="001119AF" w:rsidRPr="00694ACA" w:rsidRDefault="001119AF" w:rsidP="00D278A3">
      <w:pPr>
        <w:ind w:left="-284" w:right="-472"/>
        <w:rPr>
          <w:rFonts w:cs="Arial"/>
          <w:highlight w:val="lightGray"/>
          <w:lang w:val="ru-RU"/>
        </w:rPr>
      </w:pPr>
      <w:r w:rsidRPr="00694ACA">
        <w:rPr>
          <w:rFonts w:cs="Arial"/>
          <w:lang w:val="ru-RU"/>
        </w:rPr>
        <w:t>83. Важно, чтобы МСЭ использовал опыт других учреждений ООН в области развития потенциала и профессиональной подготовки, чтобы достичь высочайшего качества услуг, особенно в свете структурных изменений, необходимых ввиду пандемии COVID-19 и ее долгосрочных последствий. Учреждения все более и более активно переходят в онлайновый режим работы, поэтому в настоящем разделе основное внимание уделено онлайновой деятельности, хотя не только ей. Соответствующий контекст описывается тремя важными обобщениями:</w:t>
      </w:r>
    </w:p>
    <w:p w14:paraId="58DDAC66" w14:textId="77777777" w:rsidR="001119AF" w:rsidRPr="00694ACA" w:rsidRDefault="001119AF" w:rsidP="002B0D90">
      <w:pPr>
        <w:pStyle w:val="Bulletspoint11"/>
        <w:rPr>
          <w:lang w:val="ru-RU"/>
        </w:rPr>
      </w:pPr>
      <w:r w:rsidRPr="00694ACA">
        <w:rPr>
          <w:lang w:val="ru-RU"/>
        </w:rPr>
        <w:t>Способы предоставления услуг разными учреждениями ООН очень различаются, и значительная экономия средств и синергия могут быть достигнуты за счет более тесного сотрудничества учреждений через единую платформу или платформы ООН.</w:t>
      </w:r>
    </w:p>
    <w:p w14:paraId="4B2BB632" w14:textId="77777777" w:rsidR="001119AF" w:rsidRPr="00694ACA" w:rsidRDefault="001119AF" w:rsidP="002B0D90">
      <w:pPr>
        <w:pStyle w:val="Bulletspoint11"/>
        <w:rPr>
          <w:lang w:val="ru-RU"/>
        </w:rPr>
      </w:pPr>
      <w:r w:rsidRPr="00694ACA">
        <w:rPr>
          <w:lang w:val="ru-RU"/>
        </w:rPr>
        <w:t>В учреждениях ООН долгосрочное влияние пандемии COVID-19 будет проявляться в необходимости изменить формат проведения большой части мероприятий по развитию потенциала и профессиональной подготовке с очного на онлайновый.</w:t>
      </w:r>
    </w:p>
    <w:p w14:paraId="66F980A4" w14:textId="77777777" w:rsidR="001119AF" w:rsidRPr="00694ACA" w:rsidRDefault="001119AF" w:rsidP="002B0D90">
      <w:pPr>
        <w:pStyle w:val="Bulletspoint11"/>
        <w:rPr>
          <w:lang w:val="ru-RU"/>
        </w:rPr>
      </w:pPr>
      <w:r w:rsidRPr="00694ACA">
        <w:rPr>
          <w:lang w:val="ru-RU"/>
        </w:rPr>
        <w:t xml:space="preserve">Многие учреждения ООН используют систему </w:t>
      </w:r>
      <w:proofErr w:type="spellStart"/>
      <w:r w:rsidRPr="00694ACA">
        <w:rPr>
          <w:lang w:val="ru-RU"/>
        </w:rPr>
        <w:t>Moodle</w:t>
      </w:r>
      <w:proofErr w:type="spellEnd"/>
      <w:r w:rsidRPr="00694ACA">
        <w:rPr>
          <w:rStyle w:val="FootnoteReference"/>
          <w:lang w:val="ru-RU"/>
        </w:rPr>
        <w:footnoteReference w:id="123"/>
      </w:r>
      <w:r w:rsidRPr="00694ACA">
        <w:rPr>
          <w:lang w:val="ru-RU"/>
        </w:rPr>
        <w:t xml:space="preserve"> в качестве базовой системы управления обучением, в первую очередь из-за ее "открытости" и низкой стоимости, однако все учреждения используют ее по-разному и все они создали на своих платформах очень разные услуги и "атмосферу".</w:t>
      </w:r>
    </w:p>
    <w:p w14:paraId="0CC903AD" w14:textId="30BA50A4" w:rsidR="001119AF" w:rsidRPr="00694ACA" w:rsidRDefault="001119AF" w:rsidP="00D278A3">
      <w:pPr>
        <w:pStyle w:val="Heading3"/>
        <w:ind w:right="-472"/>
        <w:rPr>
          <w:highlight w:val="lightGray"/>
          <w:lang w:val="ru-RU"/>
        </w:rPr>
      </w:pPr>
      <w:bookmarkStart w:id="337" w:name="_Toc57297404"/>
      <w:r w:rsidRPr="00694ACA">
        <w:rPr>
          <w:lang w:val="ru-RU"/>
        </w:rPr>
        <w:t>Интеграция платформ развития потенциала и профессиональной подготовки в систему ООН</w:t>
      </w:r>
      <w:bookmarkEnd w:id="337"/>
    </w:p>
    <w:p w14:paraId="169EAD23" w14:textId="132613AC" w:rsidR="001119AF" w:rsidRPr="00694ACA" w:rsidRDefault="001119AF" w:rsidP="002B0D90">
      <w:pPr>
        <w:ind w:left="-284" w:right="-472"/>
        <w:rPr>
          <w:highlight w:val="lightGray"/>
          <w:lang w:val="ru-RU"/>
        </w:rPr>
      </w:pPr>
      <w:r w:rsidRPr="00694ACA">
        <w:rPr>
          <w:lang w:val="ru-RU"/>
        </w:rPr>
        <w:t xml:space="preserve">84. Обычно учреждения ООН рассматривают внешнюю деятельность по развитию потенциала (или "созданию потенциала", как говорят все еще очень часто) и профессиональной подготовке полностью отдельно от внутренней деятельности по развитию персонала (часто называемой "обучение и развитие", или "L&amp;D") и нередко используют для них разные цифровые платформы. Эти учреждения могли бы сократить расходы, объединив платформы для внутренней и внешней деятельности (см. пример ЮНИСЕФ). Учреждения ООН могли бы добиться еще большей экономии путем объединения и совместного использования нескольких всеобъемлющих образовательных платформ, вместо того чтобы создавать свои собственные. Примечательно, что в докладе Объединенной инспекционной группы за 2020 год о политике и платформах в поддержку обучения в учреждениях ООН была высказана критика существующих видов практики, подчеркивалось, что такое обучение должно носить более программный характер и что отсутствует систематическая концепция </w:t>
      </w:r>
      <w:proofErr w:type="spellStart"/>
      <w:r w:rsidRPr="00694ACA">
        <w:rPr>
          <w:lang w:val="ru-RU"/>
        </w:rPr>
        <w:t>межучрежденческого</w:t>
      </w:r>
      <w:proofErr w:type="spellEnd"/>
      <w:r w:rsidRPr="00694ACA">
        <w:rPr>
          <w:lang w:val="ru-RU"/>
        </w:rPr>
        <w:t xml:space="preserve"> сотрудничества, что новые технологии используются бессистемно и непоследовательно, а сами сотрудники должны принимать более активное участие в этой работе</w:t>
      </w:r>
      <w:r w:rsidRPr="00694ACA">
        <w:rPr>
          <w:rStyle w:val="FootnoteReference"/>
          <w:lang w:val="ru-RU"/>
        </w:rPr>
        <w:footnoteReference w:id="124"/>
      </w:r>
      <w:r w:rsidRPr="00694ACA">
        <w:rPr>
          <w:lang w:val="ru-RU"/>
        </w:rPr>
        <w:t>. В этом контексте некоторые из тех, с кем проводились консультации в ходе подготовки настоящего отчета, подчеркнули, что МСЭ как специализированное учреждение ООН в области ИКТ и электросвязи вместе со своими членами из частного сектора, являющимися ведущими специалистами отрасли, должны иметь самую лучшую цифровую платформу обучения среди всех учреждений ООН и что, возможно, было бы целесообразно создать новую платформу обучения, которой также могли бы пользоваться другие учреждения ООН, обладающие меньшим опытом.</w:t>
      </w:r>
    </w:p>
    <w:p w14:paraId="6064CE69" w14:textId="3E381403" w:rsidR="001119AF" w:rsidRPr="00694ACA" w:rsidRDefault="001119AF" w:rsidP="00D278A3">
      <w:pPr>
        <w:pStyle w:val="Heading3"/>
        <w:ind w:right="-472"/>
        <w:rPr>
          <w:highlight w:val="lightGray"/>
          <w:lang w:val="ru-RU"/>
        </w:rPr>
      </w:pPr>
      <w:bookmarkStart w:id="338" w:name="_Toc57297406"/>
      <w:r w:rsidRPr="00694ACA">
        <w:rPr>
          <w:lang w:val="ru-RU"/>
        </w:rPr>
        <w:t>Известные платформы других учреждений ООН</w:t>
      </w:r>
      <w:bookmarkEnd w:id="338"/>
    </w:p>
    <w:p w14:paraId="164F82EA" w14:textId="21BCB837" w:rsidR="001119AF" w:rsidRPr="00694ACA" w:rsidRDefault="001119AF" w:rsidP="00CD1316">
      <w:pPr>
        <w:ind w:left="-284" w:right="-472"/>
        <w:rPr>
          <w:rFonts w:cs="Arial"/>
          <w:highlight w:val="lightGray"/>
          <w:lang w:val="ru-RU"/>
        </w:rPr>
      </w:pPr>
      <w:r w:rsidRPr="00694ACA">
        <w:rPr>
          <w:lang w:val="ru-RU"/>
        </w:rPr>
        <w:t>85. В настоящем разделе кратко описывается деятельность Продовольственной и сельскохозяйственной организации (ФАО), Международного учебного центра Международной организации труда (МУЦ</w:t>
      </w:r>
      <w:r w:rsidR="00F458BC" w:rsidRPr="00694ACA">
        <w:rPr>
          <w:lang w:val="ru-RU"/>
        </w:rPr>
        <w:t xml:space="preserve"> </w:t>
      </w:r>
      <w:r w:rsidRPr="00694ACA">
        <w:rPr>
          <w:lang w:val="ru-RU"/>
        </w:rPr>
        <w:t xml:space="preserve">МОТ), ЮНИСЕФ, Учебного и научно-исследовательского института Организации Объединенных Наций (ЮНИТАР) и Колледжа персонала системы Организации Объединенных Наций (КПСООН), при этом особое внимание уделяется их </w:t>
      </w:r>
      <w:r w:rsidRPr="00694ACA">
        <w:rPr>
          <w:lang w:val="ru-RU"/>
        </w:rPr>
        <w:lastRenderedPageBreak/>
        <w:t>цифровым платформам. Дальнейшее сотрудничество МСЭ с этими организациями было бы ценным, не в последнюю очередь в плане содействия развитию общего видения у тех, кто участвует в подобной деятельности</w:t>
      </w:r>
      <w:r w:rsidRPr="00694ACA">
        <w:rPr>
          <w:rStyle w:val="FootnoteReference"/>
          <w:rFonts w:cs="Arial"/>
          <w:lang w:val="ru-RU"/>
        </w:rPr>
        <w:footnoteReference w:id="125"/>
      </w:r>
      <w:r w:rsidRPr="00694ACA">
        <w:rPr>
          <w:lang w:val="ru-RU"/>
        </w:rPr>
        <w:t>.</w:t>
      </w:r>
      <w:bookmarkStart w:id="339" w:name="_Toc57297407"/>
    </w:p>
    <w:p w14:paraId="035E0CA6" w14:textId="77777777" w:rsidR="001119AF" w:rsidRPr="00694ACA" w:rsidRDefault="001119AF" w:rsidP="002B0D90">
      <w:pPr>
        <w:ind w:left="-284" w:right="-472"/>
        <w:rPr>
          <w:lang w:val="ru-RU"/>
        </w:rPr>
      </w:pPr>
      <w:r w:rsidRPr="00694ACA">
        <w:rPr>
          <w:lang w:val="ru-RU"/>
        </w:rPr>
        <w:t xml:space="preserve">86. </w:t>
      </w:r>
      <w:r w:rsidRPr="00694ACA">
        <w:rPr>
          <w:b/>
          <w:bCs/>
          <w:lang w:val="ru-RU"/>
        </w:rPr>
        <w:t>Академия электронного обучения ФАО</w:t>
      </w:r>
      <w:r w:rsidRPr="00694ACA">
        <w:rPr>
          <w:rStyle w:val="FootnoteReference"/>
          <w:lang w:val="ru-RU"/>
        </w:rPr>
        <w:footnoteReference w:id="126"/>
      </w:r>
      <w:r w:rsidRPr="00694ACA">
        <w:rPr>
          <w:lang w:val="ru-RU"/>
        </w:rPr>
        <w:t>. Недавно ФАО обновила свою платформу электронного обучения, которая стала гораздо более визуально привлекательной, а также простой в навигации и использовании. Сейчас на ней предлагается более 350 бесплатных многоязычных курсов электронного образования, имеющих разные форматы, среди которых курсы со свободным графиком, массовые открытые онлайновые курсы (МООК), технические вебинары, онлайновые курсы с преподавателем, мобильное обучение, очные учебные семинары-практикумы, а также университетские программы магистратуры и аспирантуры. Они явно разработаны с ориентацией на ЦУР и, являясь глобальным общественным благом, вносят непосредственный вклад в "обеспечение всеохватного и справедливого качественного образования и поощрение возможности обучения на протяжении всей жизни для всех" (ЦУР 4)</w:t>
      </w:r>
      <w:r w:rsidRPr="00694ACA">
        <w:rPr>
          <w:rStyle w:val="FootnoteReference"/>
          <w:rFonts w:eastAsia="Times New Roman" w:cs="Arial"/>
          <w:lang w:val="ru-RU" w:bidi="ne-NP"/>
        </w:rPr>
        <w:footnoteReference w:id="127"/>
      </w:r>
      <w:r w:rsidRPr="00694ACA">
        <w:rPr>
          <w:lang w:val="ru-RU"/>
        </w:rPr>
        <w:t xml:space="preserve">. Целевая аудитория этой Академии – представители директивных органов, государственные служащие и технический персонал, разработчики политик, программ и проектов и, в частности, лица, занимающиеся выполнением и содействием выполнению Повестки дня в области устойчивого развития на период до 2030 года. Важной особенностью подхода ФАО к дизайну является то, что он явно ориентирован на учащихся, и особенно впечатляет то, что на этапе разработки и предоставления материалов ФАО сотрудничает со 123 партнерами со всего мира, большинство из которых являются престижными организациями. Также есть хорошее решение для мобильного обучения. </w:t>
      </w:r>
      <w:bookmarkEnd w:id="339"/>
    </w:p>
    <w:p w14:paraId="4A17F447" w14:textId="7314370A" w:rsidR="001119AF" w:rsidRPr="00694ACA" w:rsidRDefault="001119AF" w:rsidP="002B0D90">
      <w:pPr>
        <w:ind w:left="-284" w:right="-472"/>
        <w:rPr>
          <w:lang w:val="ru-RU"/>
        </w:rPr>
      </w:pPr>
      <w:r w:rsidRPr="00694ACA">
        <w:rPr>
          <w:lang w:val="ru-RU"/>
        </w:rPr>
        <w:t>87.</w:t>
      </w:r>
      <w:bookmarkStart w:id="340" w:name="_Toc57297408"/>
      <w:r w:rsidRPr="00694ACA">
        <w:rPr>
          <w:lang w:val="ru-RU"/>
        </w:rPr>
        <w:t xml:space="preserve"> </w:t>
      </w:r>
      <w:r w:rsidRPr="00694ACA">
        <w:rPr>
          <w:b/>
          <w:bCs/>
          <w:lang w:val="ru-RU"/>
        </w:rPr>
        <w:t>Международный учебный центр Международной организации труда (МУЦ</w:t>
      </w:r>
      <w:r w:rsidR="00F458BC" w:rsidRPr="00694ACA">
        <w:rPr>
          <w:b/>
          <w:bCs/>
          <w:lang w:val="ru-RU"/>
        </w:rPr>
        <w:t xml:space="preserve"> </w:t>
      </w:r>
      <w:r w:rsidRPr="00694ACA">
        <w:rPr>
          <w:b/>
          <w:bCs/>
          <w:lang w:val="ru-RU"/>
        </w:rPr>
        <w:t>МОТ)</w:t>
      </w:r>
      <w:r w:rsidRPr="00694ACA">
        <w:rPr>
          <w:rStyle w:val="FootnoteReference"/>
          <w:lang w:val="ru-RU"/>
        </w:rPr>
        <w:footnoteReference w:id="128"/>
      </w:r>
      <w:r w:rsidRPr="00694ACA">
        <w:rPr>
          <w:lang w:val="ru-RU"/>
        </w:rPr>
        <w:t>. Международный учебный центр МОТ, расположенный в Турине (Италия), был основан в 1960-е годы и имеет долгую богатую историю; МОТ является одним из немногих учреждений ООН с собственным учебным центром (см. п. 108). В последние годы МУЦ</w:t>
      </w:r>
      <w:r w:rsidR="00F458BC" w:rsidRPr="00694ACA">
        <w:rPr>
          <w:lang w:val="ru-RU"/>
        </w:rPr>
        <w:t xml:space="preserve"> </w:t>
      </w:r>
      <w:r w:rsidRPr="00694ACA">
        <w:rPr>
          <w:lang w:val="ru-RU"/>
        </w:rPr>
        <w:t>МОТ стремится быть на переднем крае в сфере предоставления услуг онлайнового цифрового обучения и обеспечения качества. Для этого в 2019 году Центр инициировал процесс сопоставления своей деятельности с международным стандартом ISO 29993, который содержит требования, предъявляемые к образовательным услугам, предоставляемым вне формального образования. В 2019 году в нем работало чуть менее 140 сотрудников в 11 подразделениях, его доход составил 42,46 млн. евро, издержки – 41,252 млн. евро, а активы – 16,323 млн. евро</w:t>
      </w:r>
      <w:r w:rsidRPr="00694ACA">
        <w:rPr>
          <w:rStyle w:val="FootnoteReference"/>
          <w:lang w:val="ru-RU"/>
        </w:rPr>
        <w:footnoteReference w:id="129"/>
      </w:r>
      <w:r w:rsidRPr="00694ACA">
        <w:rPr>
          <w:lang w:val="ru-RU"/>
        </w:rPr>
        <w:t xml:space="preserve">. Традиционно обучение проводилось в нем в основном очно, однако в последние годы доля студентов, обучающихся дистанционно и в онлайновом режиме, быстро выросла, а пандемия COVID-19 привела к резкому усилению тенденции к онлайновому дистанционному обучению, серьезной перестройке платформы обучения (исторически основанной на </w:t>
      </w:r>
      <w:proofErr w:type="spellStart"/>
      <w:r w:rsidRPr="00694ACA">
        <w:rPr>
          <w:lang w:val="ru-RU"/>
        </w:rPr>
        <w:t>Moodle</w:t>
      </w:r>
      <w:proofErr w:type="spellEnd"/>
      <w:r w:rsidRPr="00694ACA">
        <w:rPr>
          <w:lang w:val="ru-RU"/>
        </w:rPr>
        <w:t xml:space="preserve">) в 2020 году и созданию для пользователей нового опыта на </w:t>
      </w:r>
      <w:proofErr w:type="spellStart"/>
      <w:r w:rsidRPr="00694ACA">
        <w:rPr>
          <w:lang w:val="ru-RU"/>
        </w:rPr>
        <w:t>eCampus</w:t>
      </w:r>
      <w:proofErr w:type="spellEnd"/>
      <w:r w:rsidRPr="00694ACA">
        <w:rPr>
          <w:lang w:val="ru-RU"/>
        </w:rPr>
        <w:t>.</w:t>
      </w:r>
      <w:bookmarkEnd w:id="340"/>
    </w:p>
    <w:p w14:paraId="14031592" w14:textId="77777777" w:rsidR="001119AF" w:rsidRPr="00694ACA" w:rsidRDefault="001119AF" w:rsidP="002B0D90">
      <w:pPr>
        <w:ind w:left="-284" w:right="-472"/>
        <w:rPr>
          <w:lang w:val="ru-RU"/>
        </w:rPr>
      </w:pPr>
      <w:r w:rsidRPr="00694ACA">
        <w:rPr>
          <w:lang w:val="ru-RU"/>
        </w:rPr>
        <w:t>88.</w:t>
      </w:r>
      <w:bookmarkStart w:id="341" w:name="_Toc57297409"/>
      <w:r w:rsidRPr="00694ACA">
        <w:rPr>
          <w:lang w:val="ru-RU"/>
        </w:rPr>
        <w:t xml:space="preserve"> </w:t>
      </w:r>
      <w:r w:rsidRPr="00694ACA">
        <w:rPr>
          <w:b/>
          <w:bCs/>
          <w:lang w:val="ru-RU"/>
        </w:rPr>
        <w:t>ЮНИСЕФ</w:t>
      </w:r>
      <w:r w:rsidRPr="00694ACA">
        <w:rPr>
          <w:rStyle w:val="FootnoteReference"/>
          <w:lang w:val="ru-RU"/>
        </w:rPr>
        <w:footnoteReference w:id="130"/>
      </w:r>
      <w:r w:rsidRPr="00694ACA">
        <w:rPr>
          <w:lang w:val="ru-RU"/>
        </w:rPr>
        <w:t xml:space="preserve">. Платформа </w:t>
      </w:r>
      <w:proofErr w:type="spellStart"/>
      <w:r w:rsidRPr="00694ACA">
        <w:rPr>
          <w:lang w:val="ru-RU"/>
        </w:rPr>
        <w:t>Agora</w:t>
      </w:r>
      <w:proofErr w:type="spellEnd"/>
      <w:r w:rsidRPr="00694ACA">
        <w:rPr>
          <w:lang w:val="ru-RU"/>
        </w:rPr>
        <w:t xml:space="preserve">, созданная ЮНИСЕФ на базе </w:t>
      </w:r>
      <w:proofErr w:type="spellStart"/>
      <w:r w:rsidRPr="00694ACA">
        <w:rPr>
          <w:lang w:val="ru-RU"/>
        </w:rPr>
        <w:t>Totara</w:t>
      </w:r>
      <w:proofErr w:type="spellEnd"/>
      <w:r w:rsidRPr="00694ACA">
        <w:rPr>
          <w:rStyle w:val="FootnoteReference"/>
          <w:lang w:val="ru-RU"/>
        </w:rPr>
        <w:footnoteReference w:id="131"/>
      </w:r>
      <w:r w:rsidRPr="00694ACA">
        <w:rPr>
          <w:lang w:val="ru-RU"/>
        </w:rPr>
        <w:t xml:space="preserve"> и начавшая работать в 2015 году, широко признается одной из самых успешных платформ в портфеле управления обучением ООН. Курсы на ней доступны не только для сотрудников ЮНИСЕФ. В 2019 году на ней было 60 066 активных пользователей (из них 42 951 не из ЮНИСЕФ), которые прослушали 123 281 курс (из них 69 180 курсов прослушали сотрудники и консультанты ЮНИСЕФ); наиболее популярными курсами были обязательные курсы для самостоятельного изучения. Во время пандемии COVID-19 платформа была быстро адаптирована; команда, обеспечивающая работу платформы, ведет </w:t>
      </w:r>
      <w:r w:rsidRPr="00694ACA">
        <w:rPr>
          <w:lang w:val="ru-RU"/>
        </w:rPr>
        <w:lastRenderedPageBreak/>
        <w:t>подготовку более 150 новых учебных мероприятий, а летом 2020 года также обеспечивала управление соединениями (около 500 000 соединений каждый месяц).</w:t>
      </w:r>
      <w:bookmarkEnd w:id="341"/>
    </w:p>
    <w:p w14:paraId="555F4A58" w14:textId="43711066" w:rsidR="001119AF" w:rsidRPr="00694ACA" w:rsidRDefault="001119AF" w:rsidP="00ED5E07">
      <w:pPr>
        <w:ind w:left="-284" w:right="-472"/>
        <w:rPr>
          <w:lang w:val="ru-RU"/>
        </w:rPr>
      </w:pPr>
      <w:bookmarkStart w:id="342" w:name="_Toc57297410"/>
      <w:r w:rsidRPr="00694ACA">
        <w:rPr>
          <w:lang w:val="ru-RU"/>
        </w:rPr>
        <w:t xml:space="preserve">89. </w:t>
      </w:r>
      <w:r w:rsidRPr="00694ACA">
        <w:rPr>
          <w:b/>
          <w:bCs/>
          <w:lang w:val="ru-RU"/>
        </w:rPr>
        <w:t>Учебный и научно-исследовательский институт ООН (ЮНИТАР)</w:t>
      </w:r>
      <w:r w:rsidRPr="00694ACA">
        <w:rPr>
          <w:rStyle w:val="FootnoteReference"/>
          <w:lang w:val="ru-RU"/>
        </w:rPr>
        <w:footnoteReference w:id="132"/>
      </w:r>
      <w:r w:rsidRPr="00694ACA">
        <w:rPr>
          <w:lang w:val="ru-RU"/>
        </w:rPr>
        <w:t xml:space="preserve">. ЮНИТАР был создан для того, чтобы помочь </w:t>
      </w:r>
      <w:proofErr w:type="spellStart"/>
      <w:r w:rsidRPr="00694ACA">
        <w:rPr>
          <w:lang w:val="ru-RU"/>
        </w:rPr>
        <w:t>деколонизир</w:t>
      </w:r>
      <w:r w:rsidR="00276E1B" w:rsidRPr="00694ACA">
        <w:rPr>
          <w:lang w:val="ru-RU"/>
        </w:rPr>
        <w:t>ующимся</w:t>
      </w:r>
      <w:proofErr w:type="spellEnd"/>
      <w:r w:rsidR="00276E1B" w:rsidRPr="00694ACA">
        <w:rPr>
          <w:lang w:val="ru-RU"/>
        </w:rPr>
        <w:t xml:space="preserve"> </w:t>
      </w:r>
      <w:r w:rsidRPr="00694ACA">
        <w:rPr>
          <w:lang w:val="ru-RU"/>
        </w:rPr>
        <w:t xml:space="preserve">странам встроиться в международную систему, и таким образом он продолжает оставаться важной демократизирующей силой в развитии человеческого потенциала. Эта работа ведется благодаря преподаванию широчайшего диапазона курсов, от курсов базового обучения до программ высшего образования первого уровня и магистратуры, а также благодаря проведению менее стандартных мероприятий, таких как летняя учебная программа для молодых лидеров. До недавнего времени обучение в ЮНИТАР проводилось в очной форме, но Институт быстро адаптировался к растущему спросу на обучение в онлайновом режиме. ЮНИТАР также выполняет функции секретариата для инициативы UN </w:t>
      </w:r>
      <w:proofErr w:type="spellStart"/>
      <w:r w:rsidRPr="00694ACA">
        <w:rPr>
          <w:lang w:val="ru-RU"/>
        </w:rPr>
        <w:t>CC:e-Learn</w:t>
      </w:r>
      <w:proofErr w:type="spellEnd"/>
      <w:r w:rsidRPr="00694ACA">
        <w:rPr>
          <w:lang w:val="ru-RU"/>
        </w:rPr>
        <w:t>, которая особенно интересна тем, что объединяет более 30 многосторонних организаций в целях обеспечения системного и скоординированного подхода к разнообразному обучению по теме изменения климата. В учебной среде ЮНИТАР 348 176 пользователей, им выдано 106 465 сертификатов</w:t>
      </w:r>
      <w:r w:rsidRPr="00694ACA">
        <w:rPr>
          <w:rStyle w:val="FootnoteReference"/>
          <w:lang w:val="ru-RU"/>
        </w:rPr>
        <w:footnoteReference w:id="133"/>
      </w:r>
      <w:r w:rsidRPr="00694ACA">
        <w:rPr>
          <w:lang w:val="ru-RU"/>
        </w:rPr>
        <w:t xml:space="preserve">. Платформы ЮНИТАР и </w:t>
      </w:r>
      <w:proofErr w:type="spellStart"/>
      <w:r w:rsidRPr="00694ACA">
        <w:rPr>
          <w:lang w:val="ru-RU"/>
        </w:rPr>
        <w:t>CC:e-Learn</w:t>
      </w:r>
      <w:proofErr w:type="spellEnd"/>
      <w:r w:rsidRPr="00694ACA">
        <w:rPr>
          <w:lang w:val="ru-RU"/>
        </w:rPr>
        <w:t xml:space="preserve"> выстроены на базе </w:t>
      </w:r>
      <w:proofErr w:type="spellStart"/>
      <w:r w:rsidRPr="00694ACA">
        <w:rPr>
          <w:lang w:val="ru-RU"/>
        </w:rPr>
        <w:t>Moodle</w:t>
      </w:r>
      <w:proofErr w:type="spellEnd"/>
      <w:r w:rsidRPr="00694ACA">
        <w:rPr>
          <w:lang w:val="ru-RU"/>
        </w:rPr>
        <w:t>, хотя их дизайн и "атмосфера" сильно различаются.</w:t>
      </w:r>
    </w:p>
    <w:bookmarkEnd w:id="342"/>
    <w:p w14:paraId="265957F5" w14:textId="6D668068" w:rsidR="001119AF" w:rsidRPr="00694ACA" w:rsidRDefault="001119AF" w:rsidP="002B0D90">
      <w:pPr>
        <w:ind w:left="-284" w:right="-472"/>
        <w:rPr>
          <w:lang w:val="ru-RU"/>
        </w:rPr>
      </w:pPr>
      <w:r w:rsidRPr="00694ACA">
        <w:rPr>
          <w:lang w:val="ru-RU"/>
        </w:rPr>
        <w:t xml:space="preserve">90. </w:t>
      </w:r>
      <w:r w:rsidRPr="00694ACA">
        <w:rPr>
          <w:b/>
          <w:bCs/>
          <w:lang w:val="ru-RU"/>
        </w:rPr>
        <w:t>Колледж персонала системы Организации Объединенных Наций (КПСООН)</w:t>
      </w:r>
      <w:r w:rsidRPr="00694ACA">
        <w:rPr>
          <w:rStyle w:val="FootnoteReference"/>
          <w:lang w:val="ru-RU"/>
        </w:rPr>
        <w:footnoteReference w:id="134"/>
      </w:r>
      <w:r w:rsidRPr="00694ACA">
        <w:rPr>
          <w:lang w:val="ru-RU"/>
        </w:rPr>
        <w:t>. Последним примером, имеющим отношение к настоящему обзору, является работа КПСООН, задача которого заключается в содействии повышению эффективности, результативности и гибкости ООН благодаря обучению, профессиональной подготовке и распространению знаний. Штаб-квартира Колледжа расположена в Турине (Италия), а его второй кампус – в Бонне (Германия), и он предоставляет обучение четырех основных типов: очные курсы, дистанционное обучение, стратегические обмены и семинары. Его виртуальный кампус (</w:t>
      </w:r>
      <w:proofErr w:type="spellStart"/>
      <w:r w:rsidRPr="00694ACA">
        <w:rPr>
          <w:lang w:val="ru-RU"/>
        </w:rPr>
        <w:t>UNKAmpus</w:t>
      </w:r>
      <w:proofErr w:type="spellEnd"/>
      <w:r w:rsidRPr="00694ACA">
        <w:rPr>
          <w:lang w:val="ru-RU"/>
        </w:rPr>
        <w:t>) доступен для выпускников и учащихся, которые зарегистрировались для участия в его мероприятиях, а на его веб-сайте утверждается, что он "находится в авангарде усилий системы ООН по обеспечению всесторонних, доступных и эффективных образовательных возможностей для персонала"</w:t>
      </w:r>
      <w:r w:rsidRPr="00694ACA">
        <w:rPr>
          <w:rStyle w:val="FootnoteReference"/>
          <w:rFonts w:eastAsia="Times New Roman" w:cs="Arial"/>
          <w:lang w:val="ru-RU" w:bidi="ne-NP"/>
        </w:rPr>
        <w:footnoteReference w:id="135"/>
      </w:r>
      <w:r w:rsidRPr="00694ACA">
        <w:rPr>
          <w:lang w:val="ru-RU"/>
        </w:rPr>
        <w:t xml:space="preserve">. КПСООН использует </w:t>
      </w:r>
      <w:proofErr w:type="spellStart"/>
      <w:r w:rsidRPr="00694ACA">
        <w:rPr>
          <w:lang w:val="ru-RU"/>
        </w:rPr>
        <w:t>Claned</w:t>
      </w:r>
      <w:proofErr w:type="spellEnd"/>
      <w:r w:rsidRPr="00694ACA">
        <w:rPr>
          <w:rStyle w:val="FootnoteReference"/>
          <w:rFonts w:cs="Arial"/>
          <w:lang w:val="ru-RU"/>
        </w:rPr>
        <w:footnoteReference w:id="136"/>
      </w:r>
      <w:r w:rsidRPr="00694ACA">
        <w:rPr>
          <w:lang w:val="ru-RU"/>
        </w:rPr>
        <w:t xml:space="preserve"> в качестве платформы социального обучения как для онлайновых, так и для очных курсов. Кроме того, это единственное учреждение системы ООН, которому в настоящее время юридически разрешено внедрять </w:t>
      </w:r>
      <w:proofErr w:type="spellStart"/>
      <w:r w:rsidRPr="00694ACA">
        <w:rPr>
          <w:lang w:val="ru-RU"/>
        </w:rPr>
        <w:t>Moodle</w:t>
      </w:r>
      <w:proofErr w:type="spellEnd"/>
      <w:r w:rsidRPr="00694ACA">
        <w:rPr>
          <w:lang w:val="ru-RU"/>
        </w:rPr>
        <w:t xml:space="preserve"> </w:t>
      </w:r>
      <w:proofErr w:type="spellStart"/>
      <w:r w:rsidRPr="00694ACA">
        <w:rPr>
          <w:lang w:val="ru-RU"/>
        </w:rPr>
        <w:t>Workplace</w:t>
      </w:r>
      <w:proofErr w:type="spellEnd"/>
      <w:r w:rsidRPr="00694ACA">
        <w:rPr>
          <w:lang w:val="ru-RU"/>
        </w:rPr>
        <w:t xml:space="preserve"> вне модели </w:t>
      </w:r>
      <w:proofErr w:type="spellStart"/>
      <w:r w:rsidRPr="00694ACA">
        <w:rPr>
          <w:lang w:val="ru-RU"/>
        </w:rPr>
        <w:t>Moodle</w:t>
      </w:r>
      <w:proofErr w:type="spellEnd"/>
      <w:r w:rsidRPr="00694ACA">
        <w:rPr>
          <w:lang w:val="ru-RU"/>
        </w:rPr>
        <w:t xml:space="preserve"> </w:t>
      </w:r>
      <w:proofErr w:type="spellStart"/>
      <w:r w:rsidRPr="00694ACA">
        <w:rPr>
          <w:lang w:val="ru-RU"/>
        </w:rPr>
        <w:t>Partners</w:t>
      </w:r>
      <w:proofErr w:type="spellEnd"/>
      <w:r w:rsidRPr="00694ACA">
        <w:rPr>
          <w:lang w:val="ru-RU"/>
        </w:rPr>
        <w:t xml:space="preserve"> благодаря соглашению с </w:t>
      </w:r>
      <w:proofErr w:type="spellStart"/>
      <w:r w:rsidRPr="00694ACA">
        <w:rPr>
          <w:lang w:val="ru-RU"/>
        </w:rPr>
        <w:t>Moodle</w:t>
      </w:r>
      <w:proofErr w:type="spellEnd"/>
      <w:r w:rsidRPr="00694ACA">
        <w:rPr>
          <w:lang w:val="ru-RU"/>
        </w:rPr>
        <w:t xml:space="preserve"> </w:t>
      </w:r>
      <w:proofErr w:type="spellStart"/>
      <w:r w:rsidRPr="00694ACA">
        <w:rPr>
          <w:lang w:val="ru-RU"/>
        </w:rPr>
        <w:t>Foundation</w:t>
      </w:r>
      <w:proofErr w:type="spellEnd"/>
      <w:r w:rsidRPr="00694ACA">
        <w:rPr>
          <w:rStyle w:val="FootnoteReference"/>
          <w:rFonts w:cs="Arial"/>
          <w:lang w:val="ru-RU"/>
        </w:rPr>
        <w:footnoteReference w:id="137"/>
      </w:r>
      <w:r w:rsidRPr="00694ACA">
        <w:rPr>
          <w:lang w:val="ru-RU"/>
        </w:rPr>
        <w:t>. В недавнем докладе Объединенной инспекционной группы отмечается, что КПСООН имеет большой потенциал по централизованному предоставлению образовательных услуг системе ООН, но почти половина всех учреждений ООН не пользуется его услугами, отчасти из-за их стоимости, которая является высокой в условиях ограниченности имеющихся у них ресурсов или по сравнению со стоимостью аналогичных предложений других поставщиков</w:t>
      </w:r>
      <w:r w:rsidRPr="00694ACA">
        <w:rPr>
          <w:rStyle w:val="FootnoteReference"/>
          <w:rFonts w:cs="Arial"/>
          <w:lang w:val="ru-RU"/>
        </w:rPr>
        <w:footnoteReference w:id="138"/>
      </w:r>
      <w:r w:rsidRPr="00694ACA">
        <w:rPr>
          <w:lang w:val="ru-RU"/>
        </w:rPr>
        <w:t>.</w:t>
      </w:r>
      <w:bookmarkEnd w:id="195"/>
      <w:bookmarkEnd w:id="196"/>
      <w:bookmarkEnd w:id="197"/>
      <w:bookmarkEnd w:id="198"/>
      <w:bookmarkEnd w:id="199"/>
      <w:bookmarkEnd w:id="200"/>
    </w:p>
    <w:p w14:paraId="683F9905" w14:textId="2C75C716" w:rsidR="004B77F6" w:rsidRPr="00694ACA" w:rsidRDefault="004B77F6" w:rsidP="00D278A3">
      <w:pPr>
        <w:pStyle w:val="Heading1"/>
        <w:ind w:right="-472"/>
        <w:rPr>
          <w:lang w:val="ru-RU"/>
        </w:rPr>
      </w:pPr>
      <w:bookmarkStart w:id="343" w:name="_l8dn4r8uz6x6"/>
      <w:bookmarkStart w:id="344" w:name="_5hsoka3mhu0l" w:colFirst="0" w:colLast="0"/>
      <w:bookmarkStart w:id="345" w:name="_4zi7xxvbmdm8" w:colFirst="0" w:colLast="0"/>
      <w:bookmarkStart w:id="346" w:name="_Toc57297431"/>
      <w:bookmarkStart w:id="347" w:name="_Toc58244121"/>
      <w:bookmarkStart w:id="348" w:name="_Toc58273443"/>
      <w:bookmarkStart w:id="349" w:name="_Toc58273672"/>
      <w:bookmarkStart w:id="350" w:name="_Toc58275274"/>
      <w:bookmarkStart w:id="351" w:name="_Toc58277306"/>
      <w:bookmarkStart w:id="352" w:name="_Toc61633869"/>
      <w:bookmarkStart w:id="353" w:name="_Toc65251981"/>
      <w:bookmarkStart w:id="354" w:name="_Toc71060746"/>
      <w:bookmarkStart w:id="355" w:name="_Toc57297467"/>
      <w:bookmarkStart w:id="356" w:name="_Toc58244128"/>
      <w:bookmarkStart w:id="357" w:name="_Toc58273450"/>
      <w:bookmarkStart w:id="358" w:name="_Toc58273679"/>
      <w:bookmarkStart w:id="359" w:name="_Toc58275281"/>
      <w:bookmarkStart w:id="360" w:name="_Toc58277307"/>
      <w:bookmarkEnd w:id="343"/>
      <w:bookmarkEnd w:id="344"/>
      <w:bookmarkEnd w:id="345"/>
      <w:r w:rsidRPr="00694ACA">
        <w:rPr>
          <w:lang w:val="ru-RU"/>
        </w:rPr>
        <w:t xml:space="preserve">Раздел 9: Необходимость создания нового Института </w:t>
      </w:r>
      <w:r w:rsidR="00180067" w:rsidRPr="00694ACA">
        <w:rPr>
          <w:lang w:val="ru-RU"/>
        </w:rPr>
        <w:t>профессиональной подготовки</w:t>
      </w:r>
      <w:r w:rsidRPr="00694ACA">
        <w:rPr>
          <w:lang w:val="ru-RU"/>
        </w:rPr>
        <w:t xml:space="preserve"> МСЭ и выделение ресурсов на его функционирование</w:t>
      </w:r>
      <w:bookmarkEnd w:id="346"/>
      <w:bookmarkEnd w:id="347"/>
      <w:bookmarkEnd w:id="348"/>
      <w:bookmarkEnd w:id="349"/>
      <w:bookmarkEnd w:id="350"/>
      <w:bookmarkEnd w:id="351"/>
      <w:bookmarkEnd w:id="352"/>
      <w:bookmarkEnd w:id="353"/>
      <w:bookmarkEnd w:id="354"/>
    </w:p>
    <w:p w14:paraId="6ADE53BE" w14:textId="48CED69C" w:rsidR="004B77F6" w:rsidRPr="00694ACA" w:rsidRDefault="004B77F6" w:rsidP="0004793E">
      <w:pPr>
        <w:ind w:left="-284" w:right="-472"/>
        <w:rPr>
          <w:lang w:val="ru-RU"/>
        </w:rPr>
      </w:pPr>
      <w:bookmarkStart w:id="361" w:name="_1bcpuupylei0"/>
      <w:bookmarkEnd w:id="361"/>
      <w:r w:rsidRPr="00694ACA">
        <w:rPr>
          <w:lang w:val="ru-RU"/>
        </w:rPr>
        <w:t>91. В данно</w:t>
      </w:r>
      <w:r w:rsidR="00850B21" w:rsidRPr="00694ACA">
        <w:rPr>
          <w:lang w:val="ru-RU"/>
        </w:rPr>
        <w:t>м</w:t>
      </w:r>
      <w:r w:rsidRPr="00694ACA">
        <w:rPr>
          <w:lang w:val="ru-RU"/>
        </w:rPr>
        <w:t xml:space="preserve"> </w:t>
      </w:r>
      <w:r w:rsidR="00850B21" w:rsidRPr="00694ACA">
        <w:rPr>
          <w:lang w:val="ru-RU"/>
        </w:rPr>
        <w:t xml:space="preserve">обзоре </w:t>
      </w:r>
      <w:r w:rsidRPr="00694ACA">
        <w:rPr>
          <w:lang w:val="ru-RU"/>
        </w:rPr>
        <w:t xml:space="preserve">особое внимание уделяется вопросу необходимости создания и выделения ресурсов на деятельность будущего Института МСЭ по </w:t>
      </w:r>
      <w:r w:rsidR="00180067" w:rsidRPr="00694ACA">
        <w:rPr>
          <w:lang w:val="ru-RU"/>
        </w:rPr>
        <w:t xml:space="preserve">развитию </w:t>
      </w:r>
      <w:r w:rsidRPr="00694ACA">
        <w:rPr>
          <w:lang w:val="ru-RU"/>
        </w:rPr>
        <w:t xml:space="preserve">потенциала и </w:t>
      </w:r>
      <w:r w:rsidR="00180067" w:rsidRPr="00694ACA">
        <w:rPr>
          <w:lang w:val="ru-RU"/>
        </w:rPr>
        <w:t xml:space="preserve">профессиональной </w:t>
      </w:r>
      <w:r w:rsidRPr="00694ACA">
        <w:rPr>
          <w:lang w:val="ru-RU"/>
        </w:rPr>
        <w:t xml:space="preserve">подготовке, и в данном разделе приведены доводы в пользу и против создания такого института. В результате анализа был сделан следующий вывод: связанные с созданием такого Института сложности, как правило, перевешивают потенциальные выгоды, однако, если их можно решить, то для МСЭ создание такого Института станет вполне осуществимым проектом. В приведенном ниже разделе 10 на рассмотрение выносится другая рекомендация, предусматривающая </w:t>
      </w:r>
      <w:r w:rsidRPr="00694ACA">
        <w:rPr>
          <w:lang w:val="ru-RU"/>
        </w:rPr>
        <w:lastRenderedPageBreak/>
        <w:t>создание в рамках действующей структуры МСЭ специализированного подразделения, которое могло бы при меньшем объеме неблагоприятных факторов предоставить многие из преимуществ такого учреждения.</w:t>
      </w:r>
    </w:p>
    <w:p w14:paraId="6E3F94AF" w14:textId="6D2030FE" w:rsidR="004B77F6" w:rsidRPr="00694ACA" w:rsidRDefault="004B77F6" w:rsidP="00D278A3">
      <w:pPr>
        <w:ind w:left="-284" w:right="-472"/>
        <w:rPr>
          <w:lang w:val="ru-RU"/>
        </w:rPr>
      </w:pPr>
      <w:r w:rsidRPr="00694ACA">
        <w:rPr>
          <w:lang w:val="ru-RU"/>
        </w:rPr>
        <w:t xml:space="preserve">92. В данном разделе прежде всего рассматривается совокупная потребность в создании Института, учитывающая как позицию заинтересованных сторон, так и данные, касающиеся нынешнего глобального положения, изложенного в предыдущем </w:t>
      </w:r>
      <w:r w:rsidR="00027036" w:rsidRPr="00694ACA">
        <w:rPr>
          <w:lang w:val="ru-RU"/>
        </w:rPr>
        <w:t xml:space="preserve">разделе </w:t>
      </w:r>
      <w:r w:rsidRPr="00694ACA">
        <w:rPr>
          <w:lang w:val="ru-RU"/>
        </w:rPr>
        <w:t>8. Далее в нем анализируется пример из выборки учреждений ООН, которые фактически сформировали свои собственные Институты.</w:t>
      </w:r>
      <w:r w:rsidR="00A579EF">
        <w:rPr>
          <w:lang w:val="ru-RU"/>
        </w:rPr>
        <w:t xml:space="preserve"> </w:t>
      </w:r>
      <w:r w:rsidRPr="00694ACA">
        <w:rPr>
          <w:lang w:val="ru-RU"/>
        </w:rPr>
        <w:t xml:space="preserve">С учетом вышеизложенного в </w:t>
      </w:r>
      <w:r w:rsidR="00027036" w:rsidRPr="00694ACA">
        <w:rPr>
          <w:lang w:val="ru-RU"/>
        </w:rPr>
        <w:t xml:space="preserve">разделе </w:t>
      </w:r>
      <w:r w:rsidRPr="00694ACA">
        <w:rPr>
          <w:lang w:val="ru-RU"/>
        </w:rPr>
        <w:t xml:space="preserve">9.3 представлены преимущества и возможности, которые мог бы дать Институт МСЭ по </w:t>
      </w:r>
      <w:r w:rsidR="00367DAA" w:rsidRPr="00694ACA">
        <w:rPr>
          <w:lang w:val="ru-RU"/>
        </w:rPr>
        <w:t>развитию потенциала и профессиональной подготовке</w:t>
      </w:r>
      <w:r w:rsidRPr="00694ACA">
        <w:rPr>
          <w:lang w:val="ru-RU"/>
        </w:rPr>
        <w:t xml:space="preserve">, а в </w:t>
      </w:r>
      <w:r w:rsidR="00027036" w:rsidRPr="00694ACA">
        <w:rPr>
          <w:lang w:val="ru-RU"/>
        </w:rPr>
        <w:t xml:space="preserve">разделе </w:t>
      </w:r>
      <w:r w:rsidRPr="00694ACA">
        <w:rPr>
          <w:lang w:val="ru-RU"/>
        </w:rPr>
        <w:t>9.4 </w:t>
      </w:r>
      <w:r w:rsidR="00312F72">
        <w:rPr>
          <w:lang w:val="ru-RU"/>
        </w:rPr>
        <w:t>−</w:t>
      </w:r>
      <w:r w:rsidRPr="00694ACA">
        <w:rPr>
          <w:lang w:val="ru-RU"/>
        </w:rPr>
        <w:t xml:space="preserve"> анализ проблем, связанных с созданием такого института. Далее в </w:t>
      </w:r>
      <w:r w:rsidR="00027036" w:rsidRPr="00694ACA">
        <w:rPr>
          <w:lang w:val="ru-RU"/>
        </w:rPr>
        <w:t xml:space="preserve">разделе </w:t>
      </w:r>
      <w:r w:rsidRPr="00694ACA">
        <w:rPr>
          <w:lang w:val="ru-RU"/>
        </w:rPr>
        <w:t xml:space="preserve">9.5 подробно описывается возможный формат функционирования Института МСЭ, а в </w:t>
      </w:r>
      <w:r w:rsidR="00027036" w:rsidRPr="00694ACA">
        <w:rPr>
          <w:lang w:val="ru-RU"/>
        </w:rPr>
        <w:t xml:space="preserve">разделе </w:t>
      </w:r>
      <w:r w:rsidRPr="00694ACA">
        <w:rPr>
          <w:lang w:val="ru-RU"/>
        </w:rPr>
        <w:t xml:space="preserve">9.6 предлагаются способы включения этих функций в состав общего круга деятельности МСЭ. В заключение в </w:t>
      </w:r>
      <w:r w:rsidR="00027036" w:rsidRPr="00694ACA">
        <w:rPr>
          <w:lang w:val="ru-RU"/>
        </w:rPr>
        <w:t xml:space="preserve">разделе </w:t>
      </w:r>
      <w:r w:rsidRPr="00694ACA">
        <w:rPr>
          <w:lang w:val="ru-RU"/>
        </w:rPr>
        <w:t>9.</w:t>
      </w:r>
      <w:r w:rsidR="00F25D37" w:rsidRPr="00694ACA">
        <w:rPr>
          <w:lang w:val="ru-RU"/>
        </w:rPr>
        <w:t>7</w:t>
      </w:r>
      <w:r w:rsidRPr="00694ACA">
        <w:rPr>
          <w:lang w:val="ru-RU"/>
        </w:rPr>
        <w:t xml:space="preserve"> подробно описаны финансовые аспекты деятельности Института, в том числе механизмы окупаемости затрат и потенциальные бизнес-модели.</w:t>
      </w:r>
    </w:p>
    <w:p w14:paraId="1837F6BC" w14:textId="7A42F71B" w:rsidR="004B77F6" w:rsidRPr="00694ACA" w:rsidRDefault="004B77F6" w:rsidP="00C630F8">
      <w:pPr>
        <w:pStyle w:val="Heading2"/>
        <w:ind w:right="-472"/>
        <w:rPr>
          <w:lang w:val="ru-RU"/>
        </w:rPr>
      </w:pPr>
      <w:bookmarkStart w:id="362" w:name="_Toc57297432"/>
      <w:bookmarkStart w:id="363" w:name="_Toc58244122"/>
      <w:bookmarkStart w:id="364" w:name="_Toc58273444"/>
      <w:bookmarkStart w:id="365" w:name="_Toc58273673"/>
      <w:bookmarkStart w:id="366" w:name="_Toc58275275"/>
      <w:r w:rsidRPr="00694ACA">
        <w:rPr>
          <w:lang w:val="ru-RU"/>
        </w:rPr>
        <w:t xml:space="preserve">9.1 Необходимость создания Института по </w:t>
      </w:r>
      <w:r w:rsidR="00367DAA" w:rsidRPr="00694ACA">
        <w:rPr>
          <w:lang w:val="ru-RU"/>
        </w:rPr>
        <w:t>развитию</w:t>
      </w:r>
      <w:r w:rsidRPr="00694ACA">
        <w:rPr>
          <w:lang w:val="ru-RU"/>
        </w:rPr>
        <w:t xml:space="preserve"> потенциала и </w:t>
      </w:r>
      <w:r w:rsidR="00367DAA" w:rsidRPr="00694ACA">
        <w:rPr>
          <w:lang w:val="ru-RU"/>
        </w:rPr>
        <w:t xml:space="preserve">профессиональной </w:t>
      </w:r>
      <w:r w:rsidRPr="00694ACA">
        <w:rPr>
          <w:lang w:val="ru-RU"/>
        </w:rPr>
        <w:t>подготовке</w:t>
      </w:r>
    </w:p>
    <w:p w14:paraId="36015933" w14:textId="0748AA95" w:rsidR="004B77F6" w:rsidRPr="00694ACA" w:rsidRDefault="004B77F6" w:rsidP="00C630F8">
      <w:pPr>
        <w:ind w:left="-284"/>
        <w:rPr>
          <w:lang w:val="ru-RU"/>
        </w:rPr>
      </w:pPr>
      <w:r w:rsidRPr="00694ACA">
        <w:rPr>
          <w:lang w:val="ru-RU"/>
        </w:rPr>
        <w:t xml:space="preserve">93. Необходимость создания нового Института МСЭ по </w:t>
      </w:r>
      <w:r w:rsidR="00367DAA" w:rsidRPr="00694ACA">
        <w:rPr>
          <w:lang w:val="ru-RU"/>
        </w:rPr>
        <w:t xml:space="preserve">развитию потенциала и профессиональной подготовке </w:t>
      </w:r>
      <w:r w:rsidRPr="00694ACA">
        <w:rPr>
          <w:lang w:val="ru-RU"/>
        </w:rPr>
        <w:t>можно проанализировать с учетом двух основных точек зрения: на основе позиции и соображений членов МСЭ и других заинтересованных сторон, а также исходя из существующего общемирового положения дел. На основании имеющихся данных можно заключить, что мнения относительно целесообразности и перспективности создания такого учреждения МСЭ весьма неоднозначны.</w:t>
      </w:r>
    </w:p>
    <w:p w14:paraId="6CC7B744" w14:textId="6BAD6AD5" w:rsidR="004B77F6" w:rsidRPr="00694ACA" w:rsidRDefault="004B77F6" w:rsidP="00C630F8">
      <w:pPr>
        <w:pStyle w:val="Heading3"/>
        <w:rPr>
          <w:lang w:val="ru-RU"/>
        </w:rPr>
      </w:pPr>
      <w:r w:rsidRPr="00694ACA">
        <w:rPr>
          <w:lang w:val="ru-RU"/>
        </w:rPr>
        <w:t xml:space="preserve">Позиция заинтересованных сторон в отношении создания Института МСЭ по </w:t>
      </w:r>
      <w:bookmarkEnd w:id="362"/>
      <w:bookmarkEnd w:id="363"/>
      <w:bookmarkEnd w:id="364"/>
      <w:bookmarkEnd w:id="365"/>
      <w:bookmarkEnd w:id="366"/>
      <w:r w:rsidR="00367DAA" w:rsidRPr="00694ACA">
        <w:rPr>
          <w:lang w:val="ru-RU"/>
        </w:rPr>
        <w:t>развитию потенциала и профессиональной подготовке</w:t>
      </w:r>
    </w:p>
    <w:p w14:paraId="44CE9F51" w14:textId="4A904843" w:rsidR="004B77F6" w:rsidRPr="00694ACA" w:rsidRDefault="004B77F6" w:rsidP="00441C29">
      <w:pPr>
        <w:ind w:left="-284" w:right="-472"/>
        <w:rPr>
          <w:lang w:val="ru-RU"/>
        </w:rPr>
      </w:pPr>
      <w:r w:rsidRPr="00694ACA">
        <w:rPr>
          <w:lang w:val="ru-RU"/>
        </w:rPr>
        <w:t xml:space="preserve">94. В ходе консультаций по данному вопросу заинтересованные стороны МСЭ высказали различные мнения о том, будет ли целесообразным создание Института по </w:t>
      </w:r>
      <w:r w:rsidR="00367DAA" w:rsidRPr="00694ACA">
        <w:rPr>
          <w:lang w:val="ru-RU"/>
        </w:rPr>
        <w:t>развитию потенциала и профессиональной подготовке</w:t>
      </w:r>
      <w:r w:rsidRPr="00694ACA">
        <w:rPr>
          <w:lang w:val="ru-RU"/>
        </w:rPr>
        <w:t xml:space="preserve">. Следует отметить, что ни один из 369 человек, которые ранее участвовали в работе МСЭ </w:t>
      </w:r>
      <w:r w:rsidR="00367DAA" w:rsidRPr="00694ACA">
        <w:rPr>
          <w:lang w:val="ru-RU"/>
        </w:rPr>
        <w:t>по развитию потенциала и профессиональной подготовке</w:t>
      </w:r>
      <w:r w:rsidRPr="00694ACA">
        <w:rPr>
          <w:lang w:val="ru-RU"/>
        </w:rPr>
        <w:t xml:space="preserve"> и ответили на рассматриваемый вопрос о возможности оптимизации такого процесса, не высказал предположение о том, что создание такого Института позволит достичь этой цели.</w:t>
      </w:r>
      <w:r w:rsidR="00A579EF">
        <w:rPr>
          <w:lang w:val="ru-RU"/>
        </w:rPr>
        <w:t xml:space="preserve"> </w:t>
      </w:r>
      <w:r w:rsidRPr="00694ACA">
        <w:rPr>
          <w:lang w:val="ru-RU"/>
        </w:rPr>
        <w:t xml:space="preserve">Тем не менее в целом идея создания Института была поддержана членами, а также </w:t>
      </w:r>
      <w:r w:rsidR="00742D09" w:rsidRPr="00694ACA">
        <w:rPr>
          <w:lang w:val="ru-RU"/>
        </w:rPr>
        <w:t xml:space="preserve">председателями </w:t>
      </w:r>
      <w:r w:rsidRPr="00694ACA">
        <w:rPr>
          <w:lang w:val="ru-RU"/>
        </w:rPr>
        <w:t xml:space="preserve">и заместителями </w:t>
      </w:r>
      <w:r w:rsidR="00742D09" w:rsidRPr="00694ACA">
        <w:rPr>
          <w:lang w:val="ru-RU"/>
        </w:rPr>
        <w:t xml:space="preserve">председателей исследовательских </w:t>
      </w:r>
      <w:r w:rsidRPr="00694ACA">
        <w:rPr>
          <w:lang w:val="ru-RU"/>
        </w:rPr>
        <w:t>комисси</w:t>
      </w:r>
      <w:r w:rsidR="00742D09" w:rsidRPr="00694ACA">
        <w:rPr>
          <w:lang w:val="ru-RU"/>
        </w:rPr>
        <w:t>й</w:t>
      </w:r>
      <w:r w:rsidRPr="00694ACA">
        <w:rPr>
          <w:lang w:val="ru-RU"/>
        </w:rPr>
        <w:t xml:space="preserve"> с незначительным расхождением во мнениях относительно того, должен ли Институт быть виртуальным или физическим; при этом члены отнеслись к идее создания Института несколько более позитивно, чем </w:t>
      </w:r>
      <w:r w:rsidR="00742D09" w:rsidRPr="00694ACA">
        <w:rPr>
          <w:lang w:val="ru-RU"/>
        </w:rPr>
        <w:t xml:space="preserve">председатели </w:t>
      </w:r>
      <w:r w:rsidRPr="00694ACA">
        <w:rPr>
          <w:lang w:val="ru-RU"/>
        </w:rPr>
        <w:t xml:space="preserve">и заместители </w:t>
      </w:r>
      <w:r w:rsidR="00742D09" w:rsidRPr="00694ACA">
        <w:rPr>
          <w:lang w:val="ru-RU"/>
        </w:rPr>
        <w:t xml:space="preserve">председателей </w:t>
      </w:r>
      <w:r w:rsidRPr="00694ACA">
        <w:rPr>
          <w:lang w:val="ru-RU"/>
        </w:rPr>
        <w:t>ИК (см. таблицу 3). Из общего числа членов 41,6 % определенно поддержали идею создания виртуального Института, а 48 % определенно поддержали идею создания физического учреждения.</w:t>
      </w:r>
      <w:r w:rsidR="00A579EF">
        <w:rPr>
          <w:lang w:val="ru-RU"/>
        </w:rPr>
        <w:t xml:space="preserve"> </w:t>
      </w:r>
      <w:r w:rsidRPr="00694ACA">
        <w:rPr>
          <w:lang w:val="ru-RU"/>
        </w:rPr>
        <w:t xml:space="preserve">Однако следует отметить, что члены, </w:t>
      </w:r>
      <w:r w:rsidR="00742D09" w:rsidRPr="00694ACA">
        <w:rPr>
          <w:lang w:val="ru-RU"/>
        </w:rPr>
        <w:t xml:space="preserve">председатели </w:t>
      </w:r>
      <w:r w:rsidRPr="00694ACA">
        <w:rPr>
          <w:lang w:val="ru-RU"/>
        </w:rPr>
        <w:t xml:space="preserve">и заместители </w:t>
      </w:r>
      <w:r w:rsidR="00742D09" w:rsidRPr="00694ACA">
        <w:rPr>
          <w:lang w:val="ru-RU"/>
        </w:rPr>
        <w:t xml:space="preserve">председателей </w:t>
      </w:r>
      <w:r w:rsidRPr="00694ACA">
        <w:rPr>
          <w:lang w:val="ru-RU"/>
        </w:rPr>
        <w:t>ИК в большей степени поддерживают другие возможные сценарии (не представленные в таблице 3), такие как укрепление партнерских связей и расширение существующей системы ЦПМ, нежели создание института.</w:t>
      </w:r>
      <w:r w:rsidR="00A579EF">
        <w:rPr>
          <w:lang w:val="ru-RU"/>
        </w:rPr>
        <w:t xml:space="preserve"> </w:t>
      </w:r>
      <w:r w:rsidRPr="00694ACA">
        <w:rPr>
          <w:lang w:val="ru-RU"/>
        </w:rPr>
        <w:t xml:space="preserve">Это прежде всего говорит о том, что, даже при наличии поддержки в пользу изменений механизмов МСЭ </w:t>
      </w:r>
      <w:r w:rsidR="00367DAA" w:rsidRPr="00694ACA">
        <w:rPr>
          <w:lang w:val="ru-RU"/>
        </w:rPr>
        <w:t>по развитию потенциала и профессиональной подготовке</w:t>
      </w:r>
      <w:r w:rsidRPr="00694ACA">
        <w:rPr>
          <w:lang w:val="ru-RU"/>
        </w:rPr>
        <w:t>, создание Института отнюдь не является приоритетным вариантом.</w:t>
      </w:r>
      <w:r w:rsidR="00A579EF">
        <w:rPr>
          <w:lang w:val="ru-RU"/>
        </w:rPr>
        <w:t xml:space="preserve"> </w:t>
      </w:r>
      <w:r w:rsidRPr="00694ACA">
        <w:rPr>
          <w:lang w:val="ru-RU"/>
        </w:rPr>
        <w:t xml:space="preserve">Вместе с тем, только 17 % </w:t>
      </w:r>
      <w:r w:rsidR="00175F3F" w:rsidRPr="00694ACA">
        <w:rPr>
          <w:lang w:val="ru-RU"/>
        </w:rPr>
        <w:t>Государств –</w:t>
      </w:r>
      <w:r w:rsidRPr="00694ACA">
        <w:rPr>
          <w:lang w:val="ru-RU"/>
        </w:rPr>
        <w:t xml:space="preserve"> </w:t>
      </w:r>
      <w:r w:rsidR="00175F3F" w:rsidRPr="00694ACA">
        <w:rPr>
          <w:lang w:val="ru-RU"/>
        </w:rPr>
        <w:t xml:space="preserve">Членов </w:t>
      </w:r>
      <w:r w:rsidRPr="00694ACA">
        <w:rPr>
          <w:lang w:val="ru-RU"/>
        </w:rPr>
        <w:t>МСЭ откликнулись на предложенный им опрос; по этой причине крайне важно, чтобы все члены имели больше возможностей для ознакомления с представленными ниже доказательствами.</w:t>
      </w:r>
      <w:r w:rsidR="00A579EF">
        <w:rPr>
          <w:lang w:val="ru-RU"/>
        </w:rPr>
        <w:t xml:space="preserve"> </w:t>
      </w:r>
    </w:p>
    <w:p w14:paraId="45C2CAC1" w14:textId="5637F13C" w:rsidR="004B77F6" w:rsidRPr="00694ACA" w:rsidRDefault="004B77F6" w:rsidP="00DA72CE">
      <w:pPr>
        <w:ind w:left="-284" w:right="-472"/>
        <w:rPr>
          <w:b/>
          <w:bCs/>
          <w:i/>
          <w:iCs/>
          <w:lang w:val="ru-RU"/>
        </w:rPr>
      </w:pPr>
      <w:r w:rsidRPr="00694ACA">
        <w:rPr>
          <w:b/>
          <w:i/>
          <w:lang w:val="ru-RU"/>
        </w:rPr>
        <w:t xml:space="preserve">Таблица 3: Сводка мнений респондентов опроса о создании физического или виртуального института МСЭ </w:t>
      </w:r>
      <w:r w:rsidR="00367DAA" w:rsidRPr="00694ACA">
        <w:rPr>
          <w:b/>
          <w:i/>
          <w:lang w:val="ru-RU"/>
        </w:rPr>
        <w:t>по развитию потенциала и профессиональной подготовке</w:t>
      </w:r>
    </w:p>
    <w:tbl>
      <w:tblPr>
        <w:tblW w:w="10348" w:type="dxa"/>
        <w:tblInd w:w="-572" w:type="dxa"/>
        <w:tblLayout w:type="fixed"/>
        <w:tblLook w:val="04A0" w:firstRow="1" w:lastRow="0" w:firstColumn="1" w:lastColumn="0" w:noHBand="0" w:noVBand="1"/>
      </w:tblPr>
      <w:tblGrid>
        <w:gridCol w:w="2552"/>
        <w:gridCol w:w="1559"/>
        <w:gridCol w:w="1559"/>
        <w:gridCol w:w="1418"/>
        <w:gridCol w:w="1559"/>
        <w:gridCol w:w="1701"/>
      </w:tblGrid>
      <w:tr w:rsidR="004B77F6" w:rsidRPr="00694ACA" w14:paraId="3ED18039" w14:textId="77777777" w:rsidTr="004B77F6">
        <w:trPr>
          <w:trHeight w:val="318"/>
        </w:trPr>
        <w:tc>
          <w:tcPr>
            <w:tcW w:w="2552"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5CE93045" w14:textId="77777777" w:rsidR="004B77F6" w:rsidRPr="00694ACA" w:rsidRDefault="004B77F6" w:rsidP="00567716">
            <w:pPr>
              <w:spacing w:after="0"/>
              <w:rPr>
                <w:rFonts w:eastAsia="Times New Roman" w:cs="Calibri"/>
                <w:b/>
                <w:bCs/>
                <w:color w:val="000000"/>
                <w:sz w:val="18"/>
                <w:szCs w:val="18"/>
                <w:lang w:val="ru-RU" w:eastAsia="en-GB" w:bidi="ne-NP"/>
              </w:rPr>
            </w:pPr>
          </w:p>
        </w:tc>
        <w:tc>
          <w:tcPr>
            <w:tcW w:w="1559" w:type="dxa"/>
            <w:tcBorders>
              <w:top w:val="single" w:sz="4" w:space="0" w:color="auto"/>
              <w:left w:val="nil"/>
              <w:bottom w:val="single" w:sz="4" w:space="0" w:color="auto"/>
              <w:right w:val="single" w:sz="4" w:space="0" w:color="auto"/>
            </w:tcBorders>
            <w:shd w:val="clear" w:color="000000" w:fill="B4C6E7"/>
            <w:vAlign w:val="center"/>
          </w:tcPr>
          <w:p w14:paraId="78ED9EF4" w14:textId="77777777" w:rsidR="004B77F6" w:rsidRPr="00694ACA" w:rsidRDefault="004B77F6" w:rsidP="004B77F6">
            <w:pPr>
              <w:spacing w:after="0"/>
              <w:jc w:val="center"/>
              <w:rPr>
                <w:rFonts w:eastAsia="Times New Roman" w:cs="Calibri"/>
                <w:b/>
                <w:bCs/>
                <w:color w:val="000000"/>
                <w:sz w:val="18"/>
                <w:szCs w:val="18"/>
                <w:lang w:val="ru-RU"/>
              </w:rPr>
            </w:pPr>
            <w:r w:rsidRPr="00694ACA">
              <w:rPr>
                <w:b/>
                <w:color w:val="auto"/>
                <w:sz w:val="18"/>
                <w:szCs w:val="18"/>
                <w:lang w:val="ru-RU"/>
              </w:rPr>
              <w:t>Определенно поддерживаю</w:t>
            </w:r>
          </w:p>
        </w:tc>
        <w:tc>
          <w:tcPr>
            <w:tcW w:w="1559" w:type="dxa"/>
            <w:tcBorders>
              <w:top w:val="single" w:sz="4" w:space="0" w:color="auto"/>
              <w:left w:val="single" w:sz="4" w:space="0" w:color="auto"/>
              <w:bottom w:val="single" w:sz="4" w:space="0" w:color="auto"/>
              <w:right w:val="single" w:sz="4" w:space="0" w:color="auto"/>
            </w:tcBorders>
            <w:shd w:val="clear" w:color="000000" w:fill="B4C6E7"/>
            <w:vAlign w:val="center"/>
          </w:tcPr>
          <w:p w14:paraId="4EF7F951" w14:textId="77777777" w:rsidR="004B77F6" w:rsidRPr="00694ACA" w:rsidRDefault="004B77F6" w:rsidP="004B77F6">
            <w:pPr>
              <w:spacing w:after="0"/>
              <w:jc w:val="center"/>
              <w:rPr>
                <w:rFonts w:eastAsia="Times New Roman" w:cs="Calibri"/>
                <w:b/>
                <w:bCs/>
                <w:color w:val="000000"/>
                <w:sz w:val="18"/>
                <w:szCs w:val="18"/>
                <w:lang w:val="ru-RU"/>
              </w:rPr>
            </w:pPr>
            <w:r w:rsidRPr="00694ACA">
              <w:rPr>
                <w:b/>
                <w:color w:val="auto"/>
                <w:sz w:val="18"/>
                <w:szCs w:val="18"/>
                <w:lang w:val="ru-RU"/>
              </w:rPr>
              <w:t>Частично поддерживаю</w:t>
            </w:r>
          </w:p>
        </w:tc>
        <w:tc>
          <w:tcPr>
            <w:tcW w:w="1418" w:type="dxa"/>
            <w:tcBorders>
              <w:top w:val="single" w:sz="4" w:space="0" w:color="auto"/>
              <w:left w:val="nil"/>
              <w:bottom w:val="single" w:sz="4" w:space="0" w:color="auto"/>
              <w:right w:val="single" w:sz="4" w:space="0" w:color="auto"/>
            </w:tcBorders>
            <w:shd w:val="clear" w:color="000000" w:fill="B4C6E7"/>
            <w:vAlign w:val="center"/>
          </w:tcPr>
          <w:p w14:paraId="1A2469E0" w14:textId="77777777" w:rsidR="004B77F6" w:rsidRPr="00694ACA" w:rsidRDefault="004B77F6" w:rsidP="004B77F6">
            <w:pPr>
              <w:spacing w:after="0"/>
              <w:jc w:val="center"/>
              <w:rPr>
                <w:rFonts w:eastAsia="Times New Roman" w:cs="Calibri"/>
                <w:b/>
                <w:bCs/>
                <w:color w:val="000000"/>
                <w:sz w:val="18"/>
                <w:szCs w:val="18"/>
                <w:lang w:val="ru-RU"/>
              </w:rPr>
            </w:pPr>
            <w:r w:rsidRPr="00694ACA">
              <w:rPr>
                <w:b/>
                <w:color w:val="auto"/>
                <w:sz w:val="18"/>
                <w:szCs w:val="18"/>
                <w:lang w:val="ru-RU"/>
              </w:rPr>
              <w:t>Нейтральная позиция</w:t>
            </w:r>
          </w:p>
        </w:tc>
        <w:tc>
          <w:tcPr>
            <w:tcW w:w="1559" w:type="dxa"/>
            <w:tcBorders>
              <w:top w:val="single" w:sz="4" w:space="0" w:color="auto"/>
              <w:left w:val="nil"/>
              <w:bottom w:val="single" w:sz="4" w:space="0" w:color="auto"/>
              <w:right w:val="single" w:sz="4" w:space="0" w:color="auto"/>
            </w:tcBorders>
            <w:shd w:val="clear" w:color="000000" w:fill="B4C6E7"/>
            <w:vAlign w:val="center"/>
          </w:tcPr>
          <w:p w14:paraId="01FE7ADD" w14:textId="7705F163" w:rsidR="004B77F6" w:rsidRPr="00694ACA" w:rsidRDefault="004B77F6" w:rsidP="004B77F6">
            <w:pPr>
              <w:spacing w:after="0"/>
              <w:jc w:val="center"/>
              <w:rPr>
                <w:rFonts w:eastAsia="Times New Roman" w:cs="Calibri"/>
                <w:b/>
                <w:bCs/>
                <w:color w:val="000000"/>
                <w:sz w:val="18"/>
                <w:szCs w:val="18"/>
                <w:lang w:val="ru-RU"/>
              </w:rPr>
            </w:pPr>
            <w:r w:rsidRPr="00694ACA">
              <w:rPr>
                <w:b/>
                <w:color w:val="auto"/>
                <w:sz w:val="18"/>
                <w:szCs w:val="18"/>
                <w:lang w:val="ru-RU"/>
              </w:rPr>
              <w:t>Частично не поддерживаю</w:t>
            </w:r>
          </w:p>
        </w:tc>
        <w:tc>
          <w:tcPr>
            <w:tcW w:w="1701" w:type="dxa"/>
            <w:tcBorders>
              <w:top w:val="single" w:sz="4" w:space="0" w:color="auto"/>
              <w:left w:val="nil"/>
              <w:bottom w:val="single" w:sz="4" w:space="0" w:color="auto"/>
              <w:right w:val="single" w:sz="4" w:space="0" w:color="auto"/>
            </w:tcBorders>
            <w:shd w:val="clear" w:color="000000" w:fill="B4C6E7"/>
            <w:vAlign w:val="center"/>
          </w:tcPr>
          <w:p w14:paraId="1ABC2483" w14:textId="77777777" w:rsidR="004B77F6" w:rsidRPr="00694ACA" w:rsidRDefault="004B77F6" w:rsidP="004B77F6">
            <w:pPr>
              <w:spacing w:after="0"/>
              <w:jc w:val="center"/>
              <w:rPr>
                <w:rFonts w:eastAsia="Times New Roman" w:cs="Calibri"/>
                <w:b/>
                <w:bCs/>
                <w:color w:val="000000"/>
                <w:sz w:val="18"/>
                <w:szCs w:val="18"/>
                <w:lang w:val="ru-RU"/>
              </w:rPr>
            </w:pPr>
            <w:r w:rsidRPr="00694ACA">
              <w:rPr>
                <w:b/>
                <w:color w:val="auto"/>
                <w:sz w:val="18"/>
                <w:szCs w:val="18"/>
                <w:lang w:val="ru-RU"/>
              </w:rPr>
              <w:t>Определенно не поддерживаю</w:t>
            </w:r>
          </w:p>
        </w:tc>
      </w:tr>
      <w:tr w:rsidR="004B77F6" w:rsidRPr="00694ACA" w14:paraId="15D83376" w14:textId="77777777" w:rsidTr="004B77F6">
        <w:trPr>
          <w:trHeight w:val="318"/>
        </w:trPr>
        <w:tc>
          <w:tcPr>
            <w:tcW w:w="2552" w:type="dxa"/>
            <w:tcBorders>
              <w:top w:val="nil"/>
              <w:left w:val="single" w:sz="4" w:space="0" w:color="auto"/>
              <w:bottom w:val="single" w:sz="4" w:space="0" w:color="auto"/>
              <w:right w:val="single" w:sz="4" w:space="0" w:color="auto"/>
            </w:tcBorders>
            <w:shd w:val="clear" w:color="auto" w:fill="auto"/>
            <w:noWrap/>
            <w:hideMark/>
          </w:tcPr>
          <w:p w14:paraId="0630D1E5" w14:textId="77777777" w:rsidR="004B77F6" w:rsidRPr="00694ACA" w:rsidRDefault="004B77F6" w:rsidP="00567716">
            <w:pPr>
              <w:spacing w:after="0"/>
              <w:rPr>
                <w:rFonts w:eastAsia="Times New Roman" w:cs="Calibri"/>
                <w:b/>
                <w:bCs/>
                <w:color w:val="000000"/>
                <w:sz w:val="18"/>
                <w:szCs w:val="18"/>
                <w:lang w:val="ru-RU"/>
              </w:rPr>
            </w:pPr>
            <w:r w:rsidRPr="00694ACA">
              <w:rPr>
                <w:b/>
                <w:color w:val="auto"/>
                <w:sz w:val="18"/>
                <w:szCs w:val="18"/>
                <w:lang w:val="ru-RU"/>
              </w:rPr>
              <w:t>Виртуальный институт — Ответы членов</w:t>
            </w:r>
          </w:p>
        </w:tc>
        <w:tc>
          <w:tcPr>
            <w:tcW w:w="1559" w:type="dxa"/>
            <w:tcBorders>
              <w:top w:val="single" w:sz="4" w:space="0" w:color="auto"/>
              <w:left w:val="nil"/>
              <w:bottom w:val="single" w:sz="4" w:space="0" w:color="auto"/>
              <w:right w:val="single" w:sz="4" w:space="0" w:color="auto"/>
            </w:tcBorders>
            <w:vAlign w:val="center"/>
          </w:tcPr>
          <w:p w14:paraId="19F0E0BC" w14:textId="77777777" w:rsidR="004B77F6" w:rsidRPr="00694ACA" w:rsidRDefault="004B77F6" w:rsidP="004B77F6">
            <w:pPr>
              <w:spacing w:after="0"/>
              <w:jc w:val="right"/>
              <w:rPr>
                <w:rFonts w:eastAsia="Times New Roman" w:cs="Calibri"/>
                <w:color w:val="000000"/>
                <w:sz w:val="18"/>
                <w:szCs w:val="18"/>
                <w:lang w:val="ru-RU"/>
              </w:rPr>
            </w:pPr>
            <w:r w:rsidRPr="00694ACA">
              <w:rPr>
                <w:color w:val="auto"/>
                <w:sz w:val="18"/>
                <w:szCs w:val="18"/>
                <w:lang w:val="ru-RU"/>
              </w:rPr>
              <w:t>41,6 %</w:t>
            </w:r>
          </w:p>
        </w:tc>
        <w:tc>
          <w:tcPr>
            <w:tcW w:w="1559" w:type="dxa"/>
            <w:tcBorders>
              <w:top w:val="single" w:sz="4" w:space="0" w:color="auto"/>
              <w:left w:val="single" w:sz="4" w:space="0" w:color="auto"/>
              <w:bottom w:val="single" w:sz="4" w:space="0" w:color="auto"/>
              <w:right w:val="single" w:sz="4" w:space="0" w:color="auto"/>
            </w:tcBorders>
            <w:vAlign w:val="center"/>
          </w:tcPr>
          <w:p w14:paraId="48EA5C05" w14:textId="77777777" w:rsidR="004B77F6" w:rsidRPr="00694ACA" w:rsidRDefault="004B77F6" w:rsidP="004B77F6">
            <w:pPr>
              <w:spacing w:after="0"/>
              <w:jc w:val="right"/>
              <w:rPr>
                <w:rFonts w:eastAsia="Times New Roman" w:cs="Calibri"/>
                <w:color w:val="000000"/>
                <w:sz w:val="18"/>
                <w:szCs w:val="18"/>
                <w:lang w:val="ru-RU"/>
              </w:rPr>
            </w:pPr>
            <w:r w:rsidRPr="00694ACA">
              <w:rPr>
                <w:color w:val="auto"/>
                <w:sz w:val="18"/>
                <w:szCs w:val="18"/>
                <w:lang w:val="ru-RU"/>
              </w:rPr>
              <w:t>37,5 %</w:t>
            </w:r>
          </w:p>
        </w:tc>
        <w:tc>
          <w:tcPr>
            <w:tcW w:w="1418" w:type="dxa"/>
            <w:tcBorders>
              <w:top w:val="nil"/>
              <w:left w:val="nil"/>
              <w:bottom w:val="single" w:sz="4" w:space="0" w:color="auto"/>
              <w:right w:val="single" w:sz="4" w:space="0" w:color="auto"/>
            </w:tcBorders>
            <w:vAlign w:val="center"/>
          </w:tcPr>
          <w:p w14:paraId="61D90FD8" w14:textId="77777777" w:rsidR="004B77F6" w:rsidRPr="00694ACA" w:rsidRDefault="004B77F6" w:rsidP="004B77F6">
            <w:pPr>
              <w:spacing w:after="0"/>
              <w:jc w:val="right"/>
              <w:rPr>
                <w:rFonts w:eastAsia="Times New Roman" w:cs="Calibri"/>
                <w:color w:val="000000"/>
                <w:sz w:val="18"/>
                <w:szCs w:val="18"/>
                <w:lang w:val="ru-RU"/>
              </w:rPr>
            </w:pPr>
            <w:r w:rsidRPr="00694ACA">
              <w:rPr>
                <w:color w:val="auto"/>
                <w:sz w:val="18"/>
                <w:szCs w:val="18"/>
                <w:lang w:val="ru-RU"/>
              </w:rPr>
              <w:t>12,5 %</w:t>
            </w:r>
          </w:p>
        </w:tc>
        <w:tc>
          <w:tcPr>
            <w:tcW w:w="1559" w:type="dxa"/>
            <w:tcBorders>
              <w:top w:val="nil"/>
              <w:left w:val="nil"/>
              <w:bottom w:val="single" w:sz="4" w:space="0" w:color="auto"/>
              <w:right w:val="single" w:sz="4" w:space="0" w:color="auto"/>
            </w:tcBorders>
            <w:vAlign w:val="center"/>
          </w:tcPr>
          <w:p w14:paraId="5F41BE1D" w14:textId="77777777" w:rsidR="004B77F6" w:rsidRPr="00694ACA" w:rsidRDefault="004B77F6" w:rsidP="004B77F6">
            <w:pPr>
              <w:spacing w:after="0"/>
              <w:jc w:val="right"/>
              <w:rPr>
                <w:rFonts w:eastAsia="Times New Roman" w:cs="Calibri"/>
                <w:color w:val="000000"/>
                <w:sz w:val="18"/>
                <w:szCs w:val="18"/>
                <w:lang w:val="ru-RU"/>
              </w:rPr>
            </w:pPr>
            <w:r w:rsidRPr="00694ACA">
              <w:rPr>
                <w:color w:val="auto"/>
                <w:sz w:val="18"/>
                <w:szCs w:val="18"/>
                <w:lang w:val="ru-RU"/>
              </w:rPr>
              <w:t>4,2 %</w:t>
            </w:r>
          </w:p>
        </w:tc>
        <w:tc>
          <w:tcPr>
            <w:tcW w:w="1701" w:type="dxa"/>
            <w:tcBorders>
              <w:top w:val="nil"/>
              <w:left w:val="nil"/>
              <w:bottom w:val="single" w:sz="4" w:space="0" w:color="auto"/>
              <w:right w:val="single" w:sz="4" w:space="0" w:color="auto"/>
            </w:tcBorders>
            <w:vAlign w:val="center"/>
          </w:tcPr>
          <w:p w14:paraId="782746E8" w14:textId="77777777" w:rsidR="004B77F6" w:rsidRPr="00694ACA" w:rsidRDefault="004B77F6" w:rsidP="004B77F6">
            <w:pPr>
              <w:spacing w:after="0"/>
              <w:jc w:val="right"/>
              <w:rPr>
                <w:rFonts w:eastAsia="Times New Roman" w:cs="Calibri"/>
                <w:color w:val="000000"/>
                <w:sz w:val="18"/>
                <w:szCs w:val="18"/>
                <w:lang w:val="ru-RU"/>
              </w:rPr>
            </w:pPr>
            <w:r w:rsidRPr="00694ACA">
              <w:rPr>
                <w:color w:val="auto"/>
                <w:sz w:val="18"/>
                <w:szCs w:val="18"/>
                <w:lang w:val="ru-RU"/>
              </w:rPr>
              <w:t>4,2 %</w:t>
            </w:r>
          </w:p>
        </w:tc>
      </w:tr>
      <w:tr w:rsidR="004B77F6" w:rsidRPr="00694ACA" w14:paraId="460F3D73" w14:textId="77777777" w:rsidTr="004B77F6">
        <w:trPr>
          <w:trHeight w:val="318"/>
        </w:trPr>
        <w:tc>
          <w:tcPr>
            <w:tcW w:w="2552" w:type="dxa"/>
            <w:tcBorders>
              <w:top w:val="nil"/>
              <w:left w:val="single" w:sz="4" w:space="0" w:color="auto"/>
              <w:bottom w:val="single" w:sz="4" w:space="0" w:color="auto"/>
              <w:right w:val="single" w:sz="4" w:space="0" w:color="auto"/>
            </w:tcBorders>
            <w:shd w:val="clear" w:color="auto" w:fill="auto"/>
            <w:noWrap/>
          </w:tcPr>
          <w:p w14:paraId="223AEF0A" w14:textId="06E9ED66" w:rsidR="004B77F6" w:rsidRPr="00694ACA" w:rsidRDefault="004B77F6" w:rsidP="00567716">
            <w:pPr>
              <w:spacing w:after="0"/>
              <w:rPr>
                <w:rFonts w:eastAsia="Times New Roman" w:cs="Calibri"/>
                <w:b/>
                <w:bCs/>
                <w:color w:val="000000"/>
                <w:sz w:val="18"/>
                <w:szCs w:val="18"/>
                <w:lang w:val="ru-RU"/>
              </w:rPr>
            </w:pPr>
            <w:r w:rsidRPr="00694ACA">
              <w:rPr>
                <w:b/>
                <w:color w:val="auto"/>
                <w:sz w:val="18"/>
                <w:szCs w:val="18"/>
                <w:lang w:val="ru-RU"/>
              </w:rPr>
              <w:t xml:space="preserve">Виртуальный институт — Ответы </w:t>
            </w:r>
            <w:r w:rsidR="00742D09" w:rsidRPr="00694ACA">
              <w:rPr>
                <w:b/>
                <w:color w:val="auto"/>
                <w:sz w:val="18"/>
                <w:szCs w:val="18"/>
                <w:lang w:val="ru-RU"/>
              </w:rPr>
              <w:t xml:space="preserve">председателей </w:t>
            </w:r>
            <w:r w:rsidRPr="00694ACA">
              <w:rPr>
                <w:b/>
                <w:color w:val="auto"/>
                <w:sz w:val="18"/>
                <w:szCs w:val="18"/>
                <w:lang w:val="ru-RU"/>
              </w:rPr>
              <w:t xml:space="preserve">и заместителей </w:t>
            </w:r>
            <w:r w:rsidR="00742D09" w:rsidRPr="00694ACA">
              <w:rPr>
                <w:b/>
                <w:color w:val="auto"/>
                <w:sz w:val="18"/>
                <w:szCs w:val="18"/>
                <w:lang w:val="ru-RU"/>
              </w:rPr>
              <w:t xml:space="preserve">председателей </w:t>
            </w:r>
            <w:r w:rsidRPr="00694ACA">
              <w:rPr>
                <w:b/>
                <w:color w:val="auto"/>
                <w:sz w:val="18"/>
                <w:szCs w:val="18"/>
                <w:lang w:val="ru-RU"/>
              </w:rPr>
              <w:t>ИК</w:t>
            </w:r>
          </w:p>
        </w:tc>
        <w:tc>
          <w:tcPr>
            <w:tcW w:w="1559" w:type="dxa"/>
            <w:tcBorders>
              <w:top w:val="single" w:sz="4" w:space="0" w:color="auto"/>
              <w:left w:val="nil"/>
              <w:bottom w:val="single" w:sz="4" w:space="0" w:color="auto"/>
              <w:right w:val="single" w:sz="4" w:space="0" w:color="auto"/>
            </w:tcBorders>
            <w:vAlign w:val="center"/>
          </w:tcPr>
          <w:p w14:paraId="49F11CD0" w14:textId="77777777" w:rsidR="004B77F6" w:rsidRPr="00694ACA" w:rsidRDefault="004B77F6" w:rsidP="004B77F6">
            <w:pPr>
              <w:spacing w:after="0"/>
              <w:jc w:val="right"/>
              <w:rPr>
                <w:rFonts w:eastAsia="Times New Roman" w:cs="Calibri"/>
                <w:color w:val="000000"/>
                <w:sz w:val="18"/>
                <w:szCs w:val="18"/>
                <w:lang w:val="ru-RU"/>
              </w:rPr>
            </w:pPr>
            <w:r w:rsidRPr="00694ACA">
              <w:rPr>
                <w:color w:val="auto"/>
                <w:sz w:val="18"/>
                <w:szCs w:val="18"/>
                <w:lang w:val="ru-RU"/>
              </w:rPr>
              <w:t>36,8 %</w:t>
            </w:r>
          </w:p>
        </w:tc>
        <w:tc>
          <w:tcPr>
            <w:tcW w:w="1559" w:type="dxa"/>
            <w:tcBorders>
              <w:top w:val="single" w:sz="4" w:space="0" w:color="auto"/>
              <w:left w:val="single" w:sz="4" w:space="0" w:color="auto"/>
              <w:bottom w:val="single" w:sz="4" w:space="0" w:color="auto"/>
              <w:right w:val="single" w:sz="4" w:space="0" w:color="auto"/>
            </w:tcBorders>
            <w:vAlign w:val="center"/>
          </w:tcPr>
          <w:p w14:paraId="41EB2AA8" w14:textId="77777777" w:rsidR="004B77F6" w:rsidRPr="00694ACA" w:rsidRDefault="004B77F6" w:rsidP="004B77F6">
            <w:pPr>
              <w:spacing w:after="0"/>
              <w:jc w:val="right"/>
              <w:rPr>
                <w:rFonts w:eastAsia="Times New Roman" w:cs="Calibri"/>
                <w:color w:val="000000"/>
                <w:sz w:val="18"/>
                <w:szCs w:val="18"/>
                <w:lang w:val="ru-RU"/>
              </w:rPr>
            </w:pPr>
            <w:r w:rsidRPr="00694ACA">
              <w:rPr>
                <w:color w:val="auto"/>
                <w:sz w:val="18"/>
                <w:szCs w:val="18"/>
                <w:lang w:val="ru-RU"/>
              </w:rPr>
              <w:t>31,6 %</w:t>
            </w:r>
          </w:p>
        </w:tc>
        <w:tc>
          <w:tcPr>
            <w:tcW w:w="1418" w:type="dxa"/>
            <w:tcBorders>
              <w:top w:val="nil"/>
              <w:left w:val="nil"/>
              <w:bottom w:val="single" w:sz="4" w:space="0" w:color="auto"/>
              <w:right w:val="single" w:sz="4" w:space="0" w:color="auto"/>
            </w:tcBorders>
            <w:vAlign w:val="center"/>
          </w:tcPr>
          <w:p w14:paraId="75D059BA" w14:textId="77777777" w:rsidR="004B77F6" w:rsidRPr="00694ACA" w:rsidRDefault="004B77F6" w:rsidP="004B77F6">
            <w:pPr>
              <w:spacing w:after="0"/>
              <w:jc w:val="right"/>
              <w:rPr>
                <w:rFonts w:eastAsia="Times New Roman" w:cs="Calibri"/>
                <w:color w:val="000000"/>
                <w:sz w:val="18"/>
                <w:szCs w:val="18"/>
                <w:lang w:val="ru-RU"/>
              </w:rPr>
            </w:pPr>
            <w:r w:rsidRPr="00694ACA">
              <w:rPr>
                <w:color w:val="auto"/>
                <w:sz w:val="18"/>
                <w:szCs w:val="18"/>
                <w:lang w:val="ru-RU"/>
              </w:rPr>
              <w:t>21,1 %</w:t>
            </w:r>
          </w:p>
        </w:tc>
        <w:tc>
          <w:tcPr>
            <w:tcW w:w="1559" w:type="dxa"/>
            <w:tcBorders>
              <w:top w:val="nil"/>
              <w:left w:val="nil"/>
              <w:bottom w:val="single" w:sz="4" w:space="0" w:color="auto"/>
              <w:right w:val="single" w:sz="4" w:space="0" w:color="auto"/>
            </w:tcBorders>
            <w:vAlign w:val="center"/>
          </w:tcPr>
          <w:p w14:paraId="550F2796" w14:textId="77777777" w:rsidR="004B77F6" w:rsidRPr="00694ACA" w:rsidRDefault="004B77F6" w:rsidP="004B77F6">
            <w:pPr>
              <w:spacing w:after="0"/>
              <w:jc w:val="right"/>
              <w:rPr>
                <w:rFonts w:eastAsia="Times New Roman" w:cs="Calibri"/>
                <w:color w:val="000000"/>
                <w:sz w:val="18"/>
                <w:szCs w:val="18"/>
                <w:lang w:val="ru-RU"/>
              </w:rPr>
            </w:pPr>
            <w:r w:rsidRPr="00694ACA">
              <w:rPr>
                <w:color w:val="auto"/>
                <w:sz w:val="18"/>
                <w:szCs w:val="18"/>
                <w:lang w:val="ru-RU"/>
              </w:rPr>
              <w:t>10,5 %</w:t>
            </w:r>
          </w:p>
        </w:tc>
        <w:tc>
          <w:tcPr>
            <w:tcW w:w="1701" w:type="dxa"/>
            <w:tcBorders>
              <w:top w:val="nil"/>
              <w:left w:val="nil"/>
              <w:bottom w:val="single" w:sz="4" w:space="0" w:color="auto"/>
              <w:right w:val="single" w:sz="4" w:space="0" w:color="auto"/>
            </w:tcBorders>
            <w:vAlign w:val="center"/>
          </w:tcPr>
          <w:p w14:paraId="416E7870" w14:textId="77777777" w:rsidR="004B77F6" w:rsidRPr="00694ACA" w:rsidRDefault="004B77F6" w:rsidP="004B77F6">
            <w:pPr>
              <w:spacing w:after="0"/>
              <w:jc w:val="right"/>
              <w:rPr>
                <w:rFonts w:eastAsia="Times New Roman" w:cs="Calibri"/>
                <w:color w:val="000000"/>
                <w:sz w:val="18"/>
                <w:szCs w:val="18"/>
                <w:lang w:val="ru-RU"/>
              </w:rPr>
            </w:pPr>
            <w:r w:rsidRPr="00694ACA">
              <w:rPr>
                <w:color w:val="auto"/>
                <w:sz w:val="18"/>
                <w:szCs w:val="18"/>
                <w:lang w:val="ru-RU"/>
              </w:rPr>
              <w:t> </w:t>
            </w:r>
          </w:p>
        </w:tc>
      </w:tr>
      <w:tr w:rsidR="004B77F6" w:rsidRPr="00694ACA" w14:paraId="1E22FB7C" w14:textId="77777777" w:rsidTr="004B77F6">
        <w:trPr>
          <w:trHeight w:val="318"/>
        </w:trPr>
        <w:tc>
          <w:tcPr>
            <w:tcW w:w="2552" w:type="dxa"/>
            <w:tcBorders>
              <w:top w:val="single" w:sz="4" w:space="0" w:color="auto"/>
              <w:left w:val="single" w:sz="4" w:space="0" w:color="auto"/>
              <w:bottom w:val="single" w:sz="4" w:space="0" w:color="auto"/>
              <w:right w:val="single" w:sz="4" w:space="0" w:color="auto"/>
            </w:tcBorders>
            <w:shd w:val="clear" w:color="auto" w:fill="auto"/>
            <w:noWrap/>
          </w:tcPr>
          <w:p w14:paraId="51B539AC" w14:textId="77777777" w:rsidR="004B77F6" w:rsidRPr="00694ACA" w:rsidRDefault="004B77F6" w:rsidP="00567716">
            <w:pPr>
              <w:spacing w:after="0"/>
              <w:rPr>
                <w:rFonts w:eastAsia="Times New Roman" w:cs="Times New Roman"/>
                <w:b/>
                <w:bCs/>
                <w:color w:val="auto"/>
                <w:sz w:val="18"/>
                <w:szCs w:val="18"/>
                <w:lang w:val="ru-RU"/>
              </w:rPr>
            </w:pPr>
            <w:r w:rsidRPr="00694ACA">
              <w:rPr>
                <w:b/>
                <w:color w:val="auto"/>
                <w:sz w:val="18"/>
                <w:szCs w:val="18"/>
                <w:lang w:val="ru-RU"/>
              </w:rPr>
              <w:t>Физический институт — Ответы членов</w:t>
            </w:r>
          </w:p>
        </w:tc>
        <w:tc>
          <w:tcPr>
            <w:tcW w:w="1559" w:type="dxa"/>
            <w:tcBorders>
              <w:top w:val="single" w:sz="4" w:space="0" w:color="auto"/>
              <w:left w:val="nil"/>
              <w:bottom w:val="single" w:sz="4" w:space="0" w:color="auto"/>
              <w:right w:val="single" w:sz="4" w:space="0" w:color="auto"/>
            </w:tcBorders>
            <w:vAlign w:val="center"/>
          </w:tcPr>
          <w:p w14:paraId="30724D9B" w14:textId="77777777" w:rsidR="004B77F6" w:rsidRPr="00694ACA" w:rsidRDefault="004B77F6" w:rsidP="004B77F6">
            <w:pPr>
              <w:spacing w:after="0"/>
              <w:jc w:val="right"/>
              <w:rPr>
                <w:rFonts w:eastAsia="Times New Roman" w:cs="Calibri"/>
                <w:color w:val="000000"/>
                <w:sz w:val="18"/>
                <w:szCs w:val="18"/>
                <w:lang w:val="ru-RU"/>
              </w:rPr>
            </w:pPr>
            <w:r w:rsidRPr="00694ACA">
              <w:rPr>
                <w:color w:val="auto"/>
                <w:sz w:val="18"/>
                <w:szCs w:val="18"/>
                <w:lang w:val="ru-RU"/>
              </w:rPr>
              <w:t>48 %</w:t>
            </w:r>
          </w:p>
        </w:tc>
        <w:tc>
          <w:tcPr>
            <w:tcW w:w="1559" w:type="dxa"/>
            <w:tcBorders>
              <w:top w:val="single" w:sz="4" w:space="0" w:color="auto"/>
              <w:left w:val="single" w:sz="4" w:space="0" w:color="auto"/>
              <w:bottom w:val="single" w:sz="4" w:space="0" w:color="auto"/>
              <w:right w:val="single" w:sz="4" w:space="0" w:color="auto"/>
            </w:tcBorders>
            <w:vAlign w:val="center"/>
          </w:tcPr>
          <w:p w14:paraId="2C181025" w14:textId="77777777" w:rsidR="004B77F6" w:rsidRPr="00694ACA" w:rsidRDefault="004B77F6" w:rsidP="004B77F6">
            <w:pPr>
              <w:spacing w:after="0"/>
              <w:jc w:val="right"/>
              <w:rPr>
                <w:rFonts w:eastAsia="Times New Roman" w:cs="Calibri"/>
                <w:color w:val="000000"/>
                <w:sz w:val="18"/>
                <w:szCs w:val="18"/>
                <w:lang w:val="ru-RU"/>
              </w:rPr>
            </w:pPr>
            <w:r w:rsidRPr="00694ACA">
              <w:rPr>
                <w:color w:val="auto"/>
                <w:sz w:val="18"/>
                <w:szCs w:val="18"/>
                <w:lang w:val="ru-RU"/>
              </w:rPr>
              <w:t>32 %</w:t>
            </w:r>
          </w:p>
        </w:tc>
        <w:tc>
          <w:tcPr>
            <w:tcW w:w="1418" w:type="dxa"/>
            <w:tcBorders>
              <w:top w:val="single" w:sz="4" w:space="0" w:color="auto"/>
              <w:left w:val="nil"/>
              <w:bottom w:val="single" w:sz="4" w:space="0" w:color="auto"/>
              <w:right w:val="single" w:sz="4" w:space="0" w:color="auto"/>
            </w:tcBorders>
            <w:vAlign w:val="center"/>
          </w:tcPr>
          <w:p w14:paraId="3230374E" w14:textId="77777777" w:rsidR="004B77F6" w:rsidRPr="00694ACA" w:rsidRDefault="004B77F6" w:rsidP="004B77F6">
            <w:pPr>
              <w:spacing w:after="0"/>
              <w:jc w:val="right"/>
              <w:rPr>
                <w:rFonts w:eastAsia="Times New Roman" w:cs="Calibri"/>
                <w:color w:val="000000"/>
                <w:sz w:val="18"/>
                <w:szCs w:val="18"/>
                <w:lang w:val="ru-RU"/>
              </w:rPr>
            </w:pPr>
            <w:r w:rsidRPr="00694ACA">
              <w:rPr>
                <w:color w:val="auto"/>
                <w:sz w:val="18"/>
                <w:szCs w:val="18"/>
                <w:lang w:val="ru-RU"/>
              </w:rPr>
              <w:t>20 %</w:t>
            </w:r>
          </w:p>
        </w:tc>
        <w:tc>
          <w:tcPr>
            <w:tcW w:w="1559" w:type="dxa"/>
            <w:tcBorders>
              <w:top w:val="single" w:sz="4" w:space="0" w:color="auto"/>
              <w:left w:val="nil"/>
              <w:bottom w:val="single" w:sz="4" w:space="0" w:color="auto"/>
              <w:right w:val="single" w:sz="4" w:space="0" w:color="auto"/>
            </w:tcBorders>
            <w:vAlign w:val="center"/>
          </w:tcPr>
          <w:p w14:paraId="7EC67955" w14:textId="77777777" w:rsidR="004B77F6" w:rsidRPr="00694ACA" w:rsidRDefault="004B77F6" w:rsidP="004B77F6">
            <w:pPr>
              <w:spacing w:after="0"/>
              <w:jc w:val="right"/>
              <w:rPr>
                <w:rFonts w:eastAsia="Times New Roman" w:cs="Calibri"/>
                <w:color w:val="000000"/>
                <w:sz w:val="18"/>
                <w:szCs w:val="18"/>
                <w:lang w:val="ru-RU"/>
              </w:rPr>
            </w:pPr>
            <w:r w:rsidRPr="00694ACA">
              <w:rPr>
                <w:color w:val="auto"/>
                <w:sz w:val="18"/>
                <w:szCs w:val="18"/>
                <w:lang w:val="ru-RU"/>
              </w:rPr>
              <w:t> </w:t>
            </w:r>
          </w:p>
        </w:tc>
        <w:tc>
          <w:tcPr>
            <w:tcW w:w="1701" w:type="dxa"/>
            <w:tcBorders>
              <w:top w:val="single" w:sz="4" w:space="0" w:color="auto"/>
              <w:left w:val="nil"/>
              <w:bottom w:val="single" w:sz="4" w:space="0" w:color="auto"/>
              <w:right w:val="single" w:sz="4" w:space="0" w:color="auto"/>
            </w:tcBorders>
            <w:vAlign w:val="center"/>
          </w:tcPr>
          <w:p w14:paraId="1F29B575" w14:textId="77777777" w:rsidR="004B77F6" w:rsidRPr="00694ACA" w:rsidRDefault="004B77F6" w:rsidP="004B77F6">
            <w:pPr>
              <w:spacing w:after="0"/>
              <w:jc w:val="right"/>
              <w:rPr>
                <w:rFonts w:eastAsia="Times New Roman" w:cs="Calibri"/>
                <w:color w:val="000000"/>
                <w:sz w:val="18"/>
                <w:szCs w:val="18"/>
                <w:lang w:val="ru-RU"/>
              </w:rPr>
            </w:pPr>
            <w:r w:rsidRPr="00694ACA">
              <w:rPr>
                <w:color w:val="auto"/>
                <w:sz w:val="18"/>
                <w:szCs w:val="18"/>
                <w:lang w:val="ru-RU"/>
              </w:rPr>
              <w:t> </w:t>
            </w:r>
          </w:p>
        </w:tc>
      </w:tr>
      <w:tr w:rsidR="004B77F6" w:rsidRPr="00694ACA" w14:paraId="722CA059" w14:textId="77777777" w:rsidTr="004B77F6">
        <w:trPr>
          <w:trHeight w:val="318"/>
        </w:trPr>
        <w:tc>
          <w:tcPr>
            <w:tcW w:w="2552" w:type="dxa"/>
            <w:tcBorders>
              <w:top w:val="single" w:sz="4" w:space="0" w:color="auto"/>
              <w:left w:val="single" w:sz="4" w:space="0" w:color="auto"/>
              <w:bottom w:val="single" w:sz="4" w:space="0" w:color="auto"/>
              <w:right w:val="single" w:sz="4" w:space="0" w:color="auto"/>
            </w:tcBorders>
            <w:shd w:val="clear" w:color="auto" w:fill="auto"/>
            <w:noWrap/>
          </w:tcPr>
          <w:p w14:paraId="3F167D71" w14:textId="2DA35ADF" w:rsidR="004B77F6" w:rsidRPr="00694ACA" w:rsidRDefault="004B77F6" w:rsidP="00567716">
            <w:pPr>
              <w:spacing w:after="0"/>
              <w:rPr>
                <w:rFonts w:eastAsia="Times New Roman" w:cs="Calibri"/>
                <w:b/>
                <w:bCs/>
                <w:color w:val="000000"/>
                <w:sz w:val="18"/>
                <w:szCs w:val="18"/>
                <w:lang w:val="ru-RU"/>
              </w:rPr>
            </w:pPr>
            <w:r w:rsidRPr="00694ACA">
              <w:rPr>
                <w:b/>
                <w:color w:val="auto"/>
                <w:sz w:val="18"/>
                <w:szCs w:val="18"/>
                <w:lang w:val="ru-RU"/>
              </w:rPr>
              <w:lastRenderedPageBreak/>
              <w:t xml:space="preserve">Физический институт — Ответы </w:t>
            </w:r>
            <w:r w:rsidR="00742D09" w:rsidRPr="00694ACA">
              <w:rPr>
                <w:b/>
                <w:color w:val="auto"/>
                <w:sz w:val="18"/>
                <w:szCs w:val="18"/>
                <w:lang w:val="ru-RU"/>
              </w:rPr>
              <w:t xml:space="preserve">председателей </w:t>
            </w:r>
            <w:r w:rsidRPr="00694ACA">
              <w:rPr>
                <w:b/>
                <w:color w:val="auto"/>
                <w:sz w:val="18"/>
                <w:szCs w:val="18"/>
                <w:lang w:val="ru-RU"/>
              </w:rPr>
              <w:t xml:space="preserve">и заместителей </w:t>
            </w:r>
            <w:r w:rsidR="00742D09" w:rsidRPr="00694ACA">
              <w:rPr>
                <w:b/>
                <w:color w:val="auto"/>
                <w:sz w:val="18"/>
                <w:szCs w:val="18"/>
                <w:lang w:val="ru-RU"/>
              </w:rPr>
              <w:t xml:space="preserve">председателей </w:t>
            </w:r>
            <w:r w:rsidRPr="00694ACA">
              <w:rPr>
                <w:b/>
                <w:color w:val="auto"/>
                <w:sz w:val="18"/>
                <w:szCs w:val="18"/>
                <w:lang w:val="ru-RU"/>
              </w:rPr>
              <w:t>ИК</w:t>
            </w:r>
          </w:p>
        </w:tc>
        <w:tc>
          <w:tcPr>
            <w:tcW w:w="1559" w:type="dxa"/>
            <w:tcBorders>
              <w:top w:val="single" w:sz="4" w:space="0" w:color="auto"/>
              <w:left w:val="single" w:sz="4" w:space="0" w:color="auto"/>
              <w:bottom w:val="single" w:sz="4" w:space="0" w:color="auto"/>
              <w:right w:val="single" w:sz="4" w:space="0" w:color="auto"/>
            </w:tcBorders>
            <w:vAlign w:val="center"/>
          </w:tcPr>
          <w:p w14:paraId="5CD73722" w14:textId="77777777" w:rsidR="004B77F6" w:rsidRPr="00694ACA" w:rsidRDefault="004B77F6" w:rsidP="004B77F6">
            <w:pPr>
              <w:spacing w:after="0"/>
              <w:jc w:val="right"/>
              <w:rPr>
                <w:rFonts w:eastAsia="Times New Roman" w:cs="Calibri"/>
                <w:color w:val="000000"/>
                <w:sz w:val="18"/>
                <w:szCs w:val="18"/>
                <w:lang w:val="ru-RU"/>
              </w:rPr>
            </w:pPr>
            <w:r w:rsidRPr="00694ACA">
              <w:rPr>
                <w:color w:val="auto"/>
                <w:sz w:val="18"/>
                <w:szCs w:val="18"/>
                <w:lang w:val="ru-RU"/>
              </w:rPr>
              <w:t>34,2 %</w:t>
            </w:r>
          </w:p>
        </w:tc>
        <w:tc>
          <w:tcPr>
            <w:tcW w:w="1559" w:type="dxa"/>
            <w:tcBorders>
              <w:top w:val="single" w:sz="4" w:space="0" w:color="auto"/>
              <w:left w:val="single" w:sz="4" w:space="0" w:color="auto"/>
              <w:bottom w:val="single" w:sz="4" w:space="0" w:color="auto"/>
              <w:right w:val="single" w:sz="4" w:space="0" w:color="auto"/>
            </w:tcBorders>
            <w:vAlign w:val="center"/>
          </w:tcPr>
          <w:p w14:paraId="476B0072" w14:textId="77777777" w:rsidR="004B77F6" w:rsidRPr="00694ACA" w:rsidRDefault="004B77F6" w:rsidP="004B77F6">
            <w:pPr>
              <w:spacing w:after="0"/>
              <w:jc w:val="right"/>
              <w:rPr>
                <w:rFonts w:eastAsia="Times New Roman" w:cs="Calibri"/>
                <w:color w:val="000000"/>
                <w:sz w:val="18"/>
                <w:szCs w:val="18"/>
                <w:lang w:val="ru-RU"/>
              </w:rPr>
            </w:pPr>
            <w:r w:rsidRPr="00694ACA">
              <w:rPr>
                <w:color w:val="auto"/>
                <w:sz w:val="18"/>
                <w:szCs w:val="18"/>
                <w:lang w:val="ru-RU"/>
              </w:rPr>
              <w:t>21,1 %</w:t>
            </w:r>
          </w:p>
        </w:tc>
        <w:tc>
          <w:tcPr>
            <w:tcW w:w="1418" w:type="dxa"/>
            <w:tcBorders>
              <w:top w:val="single" w:sz="4" w:space="0" w:color="auto"/>
              <w:left w:val="single" w:sz="4" w:space="0" w:color="auto"/>
              <w:bottom w:val="single" w:sz="4" w:space="0" w:color="auto"/>
              <w:right w:val="single" w:sz="4" w:space="0" w:color="auto"/>
            </w:tcBorders>
            <w:vAlign w:val="center"/>
          </w:tcPr>
          <w:p w14:paraId="6EFD013C" w14:textId="77777777" w:rsidR="004B77F6" w:rsidRPr="00694ACA" w:rsidRDefault="004B77F6" w:rsidP="004B77F6">
            <w:pPr>
              <w:spacing w:after="0"/>
              <w:jc w:val="right"/>
              <w:rPr>
                <w:rFonts w:eastAsia="Times New Roman" w:cs="Calibri"/>
                <w:color w:val="000000"/>
                <w:sz w:val="18"/>
                <w:szCs w:val="18"/>
                <w:lang w:val="ru-RU"/>
              </w:rPr>
            </w:pPr>
            <w:r w:rsidRPr="00694ACA">
              <w:rPr>
                <w:color w:val="auto"/>
                <w:sz w:val="18"/>
                <w:szCs w:val="18"/>
                <w:lang w:val="ru-RU"/>
              </w:rPr>
              <w:t>18,4 %</w:t>
            </w:r>
          </w:p>
        </w:tc>
        <w:tc>
          <w:tcPr>
            <w:tcW w:w="1559" w:type="dxa"/>
            <w:tcBorders>
              <w:top w:val="single" w:sz="4" w:space="0" w:color="auto"/>
              <w:left w:val="single" w:sz="4" w:space="0" w:color="auto"/>
              <w:bottom w:val="single" w:sz="4" w:space="0" w:color="auto"/>
              <w:right w:val="single" w:sz="4" w:space="0" w:color="auto"/>
            </w:tcBorders>
            <w:vAlign w:val="center"/>
          </w:tcPr>
          <w:p w14:paraId="7B25433E" w14:textId="77777777" w:rsidR="004B77F6" w:rsidRPr="00694ACA" w:rsidRDefault="004B77F6" w:rsidP="004B77F6">
            <w:pPr>
              <w:spacing w:after="0"/>
              <w:jc w:val="right"/>
              <w:rPr>
                <w:rFonts w:eastAsia="Times New Roman" w:cs="Calibri"/>
                <w:color w:val="000000"/>
                <w:sz w:val="18"/>
                <w:szCs w:val="18"/>
                <w:lang w:val="ru-RU"/>
              </w:rPr>
            </w:pPr>
            <w:r w:rsidRPr="00694ACA">
              <w:rPr>
                <w:color w:val="auto"/>
                <w:sz w:val="18"/>
                <w:szCs w:val="18"/>
                <w:lang w:val="ru-RU"/>
              </w:rPr>
              <w:t>15,8 %</w:t>
            </w:r>
          </w:p>
        </w:tc>
        <w:tc>
          <w:tcPr>
            <w:tcW w:w="1701" w:type="dxa"/>
            <w:tcBorders>
              <w:top w:val="single" w:sz="4" w:space="0" w:color="auto"/>
              <w:left w:val="single" w:sz="4" w:space="0" w:color="auto"/>
              <w:bottom w:val="single" w:sz="4" w:space="0" w:color="auto"/>
              <w:right w:val="single" w:sz="4" w:space="0" w:color="auto"/>
            </w:tcBorders>
            <w:vAlign w:val="center"/>
          </w:tcPr>
          <w:p w14:paraId="5F91A9D1" w14:textId="77777777" w:rsidR="004B77F6" w:rsidRPr="00694ACA" w:rsidRDefault="004B77F6" w:rsidP="004B77F6">
            <w:pPr>
              <w:spacing w:after="0"/>
              <w:jc w:val="right"/>
              <w:rPr>
                <w:rFonts w:eastAsia="Times New Roman" w:cs="Calibri"/>
                <w:color w:val="000000"/>
                <w:sz w:val="18"/>
                <w:szCs w:val="18"/>
                <w:lang w:val="ru-RU"/>
              </w:rPr>
            </w:pPr>
            <w:r w:rsidRPr="00694ACA">
              <w:rPr>
                <w:color w:val="auto"/>
                <w:sz w:val="18"/>
                <w:szCs w:val="18"/>
                <w:lang w:val="ru-RU"/>
              </w:rPr>
              <w:t>10,5 %</w:t>
            </w:r>
          </w:p>
        </w:tc>
      </w:tr>
    </w:tbl>
    <w:p w14:paraId="5124F42C" w14:textId="21B5867D" w:rsidR="004B77F6" w:rsidRPr="00694ACA" w:rsidRDefault="004B77F6" w:rsidP="004B77F6">
      <w:pPr>
        <w:spacing w:before="120"/>
        <w:ind w:left="-284" w:right="-472"/>
        <w:rPr>
          <w:lang w:val="ru-RU"/>
        </w:rPr>
      </w:pPr>
      <w:r w:rsidRPr="00694ACA">
        <w:rPr>
          <w:lang w:val="ru-RU"/>
        </w:rPr>
        <w:t>95. Результаты 65 проведенных в рамках этого исследования опросов наглядно указывают на то, что мнения заинтересованных сторон о том, следует ли создавать Институт, и если да, то каким должен быть его формат, существенно разнятся.</w:t>
      </w:r>
      <w:r w:rsidR="00A579EF">
        <w:rPr>
          <w:lang w:val="ru-RU"/>
        </w:rPr>
        <w:t xml:space="preserve"> </w:t>
      </w:r>
      <w:r w:rsidRPr="00694ACA">
        <w:rPr>
          <w:lang w:val="ru-RU"/>
        </w:rPr>
        <w:t>По поводу целесообразности создания Института было высказано почти столько же мнений, сколько и респондентов, однако в целом наблюдалось четкое понимание того, что в конкретном случае имеются как преимущества, так и недостатки. В частности, респонденты отметили:</w:t>
      </w:r>
    </w:p>
    <w:p w14:paraId="11B81959" w14:textId="77777777" w:rsidR="004B77F6" w:rsidRPr="00694ACA" w:rsidRDefault="004B77F6" w:rsidP="00403EDE">
      <w:pPr>
        <w:pStyle w:val="Bulletspoint11"/>
        <w:rPr>
          <w:lang w:val="ru-RU"/>
        </w:rPr>
      </w:pPr>
      <w:r w:rsidRPr="00694ACA">
        <w:rPr>
          <w:lang w:val="ru-RU"/>
        </w:rPr>
        <w:t>потребность такого учреждения в существенном и стабильном финансировании;</w:t>
      </w:r>
    </w:p>
    <w:p w14:paraId="5EB12B3F" w14:textId="77777777" w:rsidR="004B77F6" w:rsidRPr="00694ACA" w:rsidRDefault="004B77F6" w:rsidP="00403EDE">
      <w:pPr>
        <w:pStyle w:val="Bulletspoint11"/>
        <w:rPr>
          <w:lang w:val="ru-RU"/>
        </w:rPr>
      </w:pPr>
      <w:r w:rsidRPr="00694ACA">
        <w:rPr>
          <w:lang w:val="ru-RU"/>
        </w:rPr>
        <w:t>опасения по поводу того, располагает ли МСЭ необходимым для создания эффективного Института потенциалом, особенно в плане укомплектования персоналом и специальных знаний;</w:t>
      </w:r>
    </w:p>
    <w:p w14:paraId="4DD4E767" w14:textId="77777777" w:rsidR="004B77F6" w:rsidRPr="00694ACA" w:rsidRDefault="004B77F6" w:rsidP="00403EDE">
      <w:pPr>
        <w:pStyle w:val="Bulletspoint11"/>
        <w:rPr>
          <w:lang w:val="ru-RU"/>
        </w:rPr>
      </w:pPr>
      <w:r w:rsidRPr="00694ACA">
        <w:rPr>
          <w:lang w:val="ru-RU"/>
        </w:rPr>
        <w:t>важность заинтересованности самого МСЭ в реализации поставленных задач, если МСЭ приступит к формированию Института, а также опасения по поводу того, сможет ли МСЭ реализовать эти задачи в полном объеме;</w:t>
      </w:r>
    </w:p>
    <w:p w14:paraId="7BBE3A3F" w14:textId="10632F88" w:rsidR="004B77F6" w:rsidRPr="00694ACA" w:rsidRDefault="004B77F6" w:rsidP="00403EDE">
      <w:pPr>
        <w:pStyle w:val="Bulletspoint11"/>
        <w:rPr>
          <w:lang w:val="ru-RU"/>
        </w:rPr>
      </w:pPr>
      <w:r w:rsidRPr="00694ACA">
        <w:rPr>
          <w:lang w:val="ru-RU"/>
        </w:rPr>
        <w:t xml:space="preserve">потребность в том, чтобы МСЭ уделял первоочередное внимание другим более актуальным проблемам, а не тратил время и ресурсы на реструктуризацию программы </w:t>
      </w:r>
      <w:r w:rsidR="00180067" w:rsidRPr="00694ACA">
        <w:rPr>
          <w:lang w:val="ru-RU"/>
        </w:rPr>
        <w:t>развития</w:t>
      </w:r>
      <w:r w:rsidRPr="00694ACA">
        <w:rPr>
          <w:lang w:val="ru-RU"/>
        </w:rPr>
        <w:t xml:space="preserve"> потенциала и </w:t>
      </w:r>
      <w:r w:rsidR="00180067" w:rsidRPr="00694ACA">
        <w:rPr>
          <w:lang w:val="ru-RU"/>
        </w:rPr>
        <w:t xml:space="preserve">профессиональной </w:t>
      </w:r>
      <w:r w:rsidRPr="00694ACA">
        <w:rPr>
          <w:lang w:val="ru-RU"/>
        </w:rPr>
        <w:t>подготовки, которая реализуется должным образом;</w:t>
      </w:r>
    </w:p>
    <w:p w14:paraId="4BCD8F4D" w14:textId="6EE1ED08" w:rsidR="004B77F6" w:rsidRPr="00694ACA" w:rsidRDefault="004B77F6" w:rsidP="00403EDE">
      <w:pPr>
        <w:pStyle w:val="Bulletspoint11"/>
        <w:rPr>
          <w:lang w:val="ru-RU"/>
        </w:rPr>
      </w:pPr>
      <w:r w:rsidRPr="00694ACA">
        <w:rPr>
          <w:lang w:val="ru-RU"/>
        </w:rPr>
        <w:t>признание того, что МСЭ не является академической структурой (но при этом предусматривает академическое членство), и сомнения по поводу того, следует ли ему предпринимать попытки по формированию Института;</w:t>
      </w:r>
    </w:p>
    <w:p w14:paraId="27FF6619" w14:textId="0C9D45FC" w:rsidR="004B77F6" w:rsidRPr="00694ACA" w:rsidRDefault="004B77F6" w:rsidP="00403EDE">
      <w:pPr>
        <w:pStyle w:val="Bulletspoint11"/>
        <w:rPr>
          <w:lang w:val="ru-RU"/>
        </w:rPr>
      </w:pPr>
      <w:r w:rsidRPr="00694ACA">
        <w:rPr>
          <w:lang w:val="ru-RU"/>
        </w:rPr>
        <w:t xml:space="preserve">трудности, связанные с расширением деятельности </w:t>
      </w:r>
      <w:r w:rsidR="00367DAA" w:rsidRPr="00694ACA">
        <w:rPr>
          <w:lang w:val="ru-RU"/>
        </w:rPr>
        <w:t>по развитию потенциала и профессиональной подготовке</w:t>
      </w:r>
      <w:r w:rsidRPr="00694ACA">
        <w:rPr>
          <w:lang w:val="ru-RU"/>
        </w:rPr>
        <w:t>, особенно сейчас, когда государства борются с последствиями кризиса, вызванного пандемией COVID-19;</w:t>
      </w:r>
    </w:p>
    <w:p w14:paraId="0BFCA0DB" w14:textId="79AAA3FB" w:rsidR="004B77F6" w:rsidRPr="00694ACA" w:rsidRDefault="004B77F6" w:rsidP="00403EDE">
      <w:pPr>
        <w:pStyle w:val="Bulletspoint11"/>
        <w:rPr>
          <w:lang w:val="ru-RU"/>
        </w:rPr>
      </w:pPr>
      <w:r w:rsidRPr="00694ACA">
        <w:rPr>
          <w:lang w:val="ru-RU"/>
        </w:rPr>
        <w:t xml:space="preserve">признание факта существования множества других организаций, оказывающих очень высококачественные услуги </w:t>
      </w:r>
      <w:r w:rsidR="00367DAA" w:rsidRPr="00694ACA">
        <w:rPr>
          <w:lang w:val="ru-RU"/>
        </w:rPr>
        <w:t>по развитию потенциала и профессиональной подготовке</w:t>
      </w:r>
      <w:r w:rsidRPr="00694ACA">
        <w:rPr>
          <w:lang w:val="ru-RU"/>
        </w:rPr>
        <w:t>, и того факта, что МСЭ будет сложно конкурировать с этими организациями.</w:t>
      </w:r>
    </w:p>
    <w:p w14:paraId="75B3A7E1" w14:textId="77777777" w:rsidR="004B77F6" w:rsidRPr="00694ACA" w:rsidRDefault="004B77F6" w:rsidP="002E497D">
      <w:pPr>
        <w:pStyle w:val="Heading3"/>
        <w:rPr>
          <w:lang w:val="ru-RU"/>
        </w:rPr>
      </w:pPr>
      <w:r w:rsidRPr="00694ACA">
        <w:rPr>
          <w:lang w:val="ru-RU"/>
        </w:rPr>
        <w:t>Необходимость создания Института МСЭ в контексте существующего общемирового положения дел</w:t>
      </w:r>
    </w:p>
    <w:p w14:paraId="083C5708" w14:textId="15FD3B28" w:rsidR="004B77F6" w:rsidRPr="00694ACA" w:rsidRDefault="004B77F6" w:rsidP="002E497D">
      <w:pPr>
        <w:ind w:left="-284"/>
        <w:rPr>
          <w:lang w:val="ru-RU"/>
        </w:rPr>
      </w:pPr>
      <w:r w:rsidRPr="00694ACA">
        <w:rPr>
          <w:lang w:val="ru-RU"/>
        </w:rPr>
        <w:t xml:space="preserve">96. В </w:t>
      </w:r>
      <w:r w:rsidR="00EC7637" w:rsidRPr="00694ACA">
        <w:rPr>
          <w:lang w:val="ru-RU"/>
        </w:rPr>
        <w:t xml:space="preserve">разделе </w:t>
      </w:r>
      <w:r w:rsidRPr="00694ACA">
        <w:rPr>
          <w:lang w:val="ru-RU"/>
        </w:rPr>
        <w:t xml:space="preserve">8 дается краткий обзор множества доступных государствам и отдельным лицам возможностей </w:t>
      </w:r>
      <w:r w:rsidR="00180067" w:rsidRPr="00694ACA">
        <w:rPr>
          <w:lang w:val="ru-RU"/>
        </w:rPr>
        <w:t>развития потенциала и профессиональной подготовки</w:t>
      </w:r>
      <w:r w:rsidRPr="00694ACA">
        <w:rPr>
          <w:lang w:val="ru-RU"/>
        </w:rPr>
        <w:t>, предоставляемых не только по каналам МСЭ.</w:t>
      </w:r>
      <w:r w:rsidR="00A579EF">
        <w:rPr>
          <w:lang w:val="ru-RU"/>
        </w:rPr>
        <w:t xml:space="preserve"> </w:t>
      </w:r>
      <w:r w:rsidRPr="00694ACA">
        <w:rPr>
          <w:lang w:val="ru-RU"/>
        </w:rPr>
        <w:t>В нем показано, что:</w:t>
      </w:r>
    </w:p>
    <w:p w14:paraId="0DE37DCA" w14:textId="298218C4" w:rsidR="004B77F6" w:rsidRPr="00694ACA" w:rsidRDefault="004B77F6" w:rsidP="004B77F6">
      <w:pPr>
        <w:pStyle w:val="ListParagraph"/>
        <w:numPr>
          <w:ilvl w:val="0"/>
          <w:numId w:val="42"/>
        </w:numPr>
        <w:rPr>
          <w:lang w:val="ru-RU"/>
        </w:rPr>
      </w:pPr>
      <w:r w:rsidRPr="00694ACA">
        <w:rPr>
          <w:lang w:val="ru-RU"/>
        </w:rPr>
        <w:t xml:space="preserve">в значительной мере нынешняя </w:t>
      </w:r>
      <w:r w:rsidR="00F222BC" w:rsidRPr="00694ACA">
        <w:rPr>
          <w:lang w:val="ru-RU"/>
        </w:rPr>
        <w:t xml:space="preserve">профессиональная </w:t>
      </w:r>
      <w:r w:rsidRPr="00694ACA">
        <w:rPr>
          <w:lang w:val="ru-RU"/>
        </w:rPr>
        <w:t>подготовка МСЭ дублирует деятельность других организаций; МСЭ частично заимствует эти сторонние ресурсы и предоставляет их своим членам в рамках партнерских и иных соглашений;</w:t>
      </w:r>
    </w:p>
    <w:p w14:paraId="6B5D647B" w14:textId="1F41AB1E" w:rsidR="004B77F6" w:rsidRPr="00694ACA" w:rsidRDefault="004B77F6" w:rsidP="004B77F6">
      <w:pPr>
        <w:pStyle w:val="ListParagraph"/>
        <w:numPr>
          <w:ilvl w:val="0"/>
          <w:numId w:val="42"/>
        </w:numPr>
        <w:rPr>
          <w:lang w:val="ru-RU"/>
        </w:rPr>
      </w:pPr>
      <w:r w:rsidRPr="00694ACA">
        <w:rPr>
          <w:lang w:val="ru-RU"/>
        </w:rPr>
        <w:t xml:space="preserve">основными областями, в которых другие организации не в состоянии обеспечить надлежащее </w:t>
      </w:r>
      <w:r w:rsidR="00367DAA" w:rsidRPr="00694ACA">
        <w:rPr>
          <w:lang w:val="ru-RU"/>
        </w:rPr>
        <w:t>развитие потенциала</w:t>
      </w:r>
      <w:r w:rsidRPr="00694ACA">
        <w:rPr>
          <w:lang w:val="ru-RU"/>
        </w:rPr>
        <w:t xml:space="preserve">, являются возможности для эффективного участия </w:t>
      </w:r>
      <w:r w:rsidR="00175F3F" w:rsidRPr="00694ACA">
        <w:rPr>
          <w:lang w:val="ru-RU"/>
        </w:rPr>
        <w:t>Государств –</w:t>
      </w:r>
      <w:r w:rsidRPr="00694ACA">
        <w:rPr>
          <w:lang w:val="ru-RU"/>
        </w:rPr>
        <w:t xml:space="preserve"> </w:t>
      </w:r>
      <w:r w:rsidR="00175F3F" w:rsidRPr="00694ACA">
        <w:rPr>
          <w:lang w:val="ru-RU"/>
        </w:rPr>
        <w:t xml:space="preserve">Членов </w:t>
      </w:r>
      <w:r w:rsidRPr="00694ACA">
        <w:rPr>
          <w:lang w:val="ru-RU"/>
        </w:rPr>
        <w:t>МСЭ в подмандатных вопросах международной ответственности, в первую очередь с учетом функции МСЭ-R в области глобального управления радиочастотным спектром и спутниковыми орбитами, а также в меньшей степени с учетом функции МСЭ-Т по содействию разработке международных стандартов;</w:t>
      </w:r>
    </w:p>
    <w:p w14:paraId="78E4A210" w14:textId="1E2D1CE4" w:rsidR="004B77F6" w:rsidRPr="00694ACA" w:rsidRDefault="004B77F6" w:rsidP="004B77F6">
      <w:pPr>
        <w:pStyle w:val="ListParagraph"/>
        <w:numPr>
          <w:ilvl w:val="0"/>
          <w:numId w:val="42"/>
        </w:numPr>
        <w:rPr>
          <w:lang w:val="ru-RU"/>
        </w:rPr>
      </w:pPr>
      <w:r w:rsidRPr="00694ACA">
        <w:rPr>
          <w:lang w:val="ru-RU"/>
        </w:rPr>
        <w:t xml:space="preserve">областями наибольшей конкуренции, но в равной степени и потенциального сотрудничества, являются меры по </w:t>
      </w:r>
      <w:r w:rsidR="00180067" w:rsidRPr="00694ACA">
        <w:rPr>
          <w:lang w:val="ru-RU"/>
        </w:rPr>
        <w:t>развитию потенциала и профессиональной подготовке</w:t>
      </w:r>
      <w:r w:rsidRPr="00694ACA">
        <w:rPr>
          <w:lang w:val="ru-RU"/>
        </w:rPr>
        <w:t>, предлагаемые БРЭ;</w:t>
      </w:r>
    </w:p>
    <w:p w14:paraId="762A48DA" w14:textId="62AED8E6" w:rsidR="004B77F6" w:rsidRPr="00694ACA" w:rsidRDefault="004B77F6" w:rsidP="004B77F6">
      <w:pPr>
        <w:pStyle w:val="ListParagraph"/>
        <w:numPr>
          <w:ilvl w:val="0"/>
          <w:numId w:val="42"/>
        </w:numPr>
        <w:rPr>
          <w:lang w:val="ru-RU"/>
        </w:rPr>
      </w:pPr>
      <w:r w:rsidRPr="00694ACA">
        <w:rPr>
          <w:lang w:val="ru-RU"/>
        </w:rPr>
        <w:t xml:space="preserve">многие участники предпочли бы </w:t>
      </w:r>
      <w:r w:rsidR="00F222BC" w:rsidRPr="00694ACA">
        <w:rPr>
          <w:lang w:val="ru-RU"/>
        </w:rPr>
        <w:t xml:space="preserve">профессиональную </w:t>
      </w:r>
      <w:r w:rsidRPr="00694ACA">
        <w:rPr>
          <w:lang w:val="ru-RU"/>
        </w:rPr>
        <w:t xml:space="preserve">подготовку в МСЭ, а не у других поставщиков, поскольку такая программа оптимальна в плане соотношения цены и качества, МСЭ является политически нейтральным и непредвзятым, выдаваемые им сертификаты высоко ценятся, а качество подготовки соответствует предъявляемым требованиям; </w:t>
      </w:r>
    </w:p>
    <w:p w14:paraId="4F39DBF0" w14:textId="1EA7A582" w:rsidR="004B77F6" w:rsidRPr="00694ACA" w:rsidRDefault="004B77F6" w:rsidP="004B77F6">
      <w:pPr>
        <w:pStyle w:val="ListParagraph"/>
        <w:numPr>
          <w:ilvl w:val="0"/>
          <w:numId w:val="42"/>
        </w:numPr>
        <w:rPr>
          <w:lang w:val="ru-RU"/>
        </w:rPr>
      </w:pPr>
      <w:r w:rsidRPr="00694ACA">
        <w:rPr>
          <w:lang w:val="ru-RU"/>
        </w:rPr>
        <w:t xml:space="preserve">высококачественные услуги </w:t>
      </w:r>
      <w:r w:rsidR="00367DAA" w:rsidRPr="00694ACA">
        <w:rPr>
          <w:lang w:val="ru-RU"/>
        </w:rPr>
        <w:t>по развитию потенциала и профессиональной подготовке</w:t>
      </w:r>
      <w:r w:rsidRPr="00694ACA">
        <w:rPr>
          <w:lang w:val="ru-RU"/>
        </w:rPr>
        <w:t xml:space="preserve"> могут предоставляться самыми разными организациями, и для их осуществления не всегда требуется официальное учреждение.</w:t>
      </w:r>
    </w:p>
    <w:p w14:paraId="0DC5DD5F" w14:textId="75BA0EFB" w:rsidR="004B77F6" w:rsidRPr="00694ACA" w:rsidRDefault="004B77F6" w:rsidP="004B77F6">
      <w:pPr>
        <w:spacing w:before="120"/>
        <w:ind w:left="-284"/>
        <w:rPr>
          <w:lang w:val="ru-RU"/>
        </w:rPr>
      </w:pPr>
      <w:r w:rsidRPr="00694ACA">
        <w:rPr>
          <w:lang w:val="ru-RU"/>
        </w:rPr>
        <w:lastRenderedPageBreak/>
        <w:t xml:space="preserve">97. Нижеупомянутые наблюдения могут существенно повлиять на деятельность МСЭ в плане </w:t>
      </w:r>
      <w:r w:rsidR="00180067" w:rsidRPr="00694ACA">
        <w:rPr>
          <w:lang w:val="ru-RU"/>
        </w:rPr>
        <w:t xml:space="preserve">развития потенциала и профессиональной подготовки </w:t>
      </w:r>
      <w:r w:rsidRPr="00694ACA">
        <w:rPr>
          <w:lang w:val="ru-RU"/>
        </w:rPr>
        <w:t>и, соответственно, на потребность в создании Института.</w:t>
      </w:r>
      <w:r w:rsidR="00A579EF">
        <w:rPr>
          <w:lang w:val="ru-RU"/>
        </w:rPr>
        <w:t xml:space="preserve"> </w:t>
      </w:r>
      <w:r w:rsidRPr="00694ACA">
        <w:rPr>
          <w:lang w:val="ru-RU"/>
        </w:rPr>
        <w:t>К числу наиболее важных из них относятся следующие:</w:t>
      </w:r>
    </w:p>
    <w:p w14:paraId="7ACA2D98" w14:textId="51F7C31C" w:rsidR="004B77F6" w:rsidRPr="00694ACA" w:rsidRDefault="004B77F6" w:rsidP="004B77F6">
      <w:pPr>
        <w:pStyle w:val="ListParagraph"/>
        <w:numPr>
          <w:ilvl w:val="0"/>
          <w:numId w:val="43"/>
        </w:numPr>
        <w:rPr>
          <w:lang w:val="ru-RU"/>
        </w:rPr>
      </w:pPr>
      <w:r w:rsidRPr="00694ACA">
        <w:rPr>
          <w:lang w:val="ru-RU"/>
        </w:rPr>
        <w:t xml:space="preserve">все меры МСЭ по </w:t>
      </w:r>
      <w:r w:rsidR="00180067" w:rsidRPr="00694ACA">
        <w:rPr>
          <w:lang w:val="ru-RU"/>
        </w:rPr>
        <w:t xml:space="preserve">развитию потенциала и профессиональной подготовке </w:t>
      </w:r>
      <w:r w:rsidRPr="00694ACA">
        <w:rPr>
          <w:lang w:val="ru-RU"/>
        </w:rPr>
        <w:t>должны быть высочайшего качества — Союз должен всегда стремиться к наивысшему качеству и никоим образом не довольствоваться лишь приемлемым уровнем;</w:t>
      </w:r>
    </w:p>
    <w:p w14:paraId="3944273E" w14:textId="77777777" w:rsidR="004B77F6" w:rsidRPr="00694ACA" w:rsidRDefault="004B77F6" w:rsidP="004B77F6">
      <w:pPr>
        <w:pStyle w:val="ListParagraph"/>
        <w:numPr>
          <w:ilvl w:val="0"/>
          <w:numId w:val="43"/>
        </w:numPr>
        <w:rPr>
          <w:lang w:val="ru-RU"/>
        </w:rPr>
      </w:pPr>
      <w:r w:rsidRPr="00694ACA">
        <w:rPr>
          <w:lang w:val="ru-RU"/>
        </w:rPr>
        <w:t>его приоритетом должны быть главные конкурентные преимущества МСЭ;</w:t>
      </w:r>
    </w:p>
    <w:p w14:paraId="06A2354B" w14:textId="1A622EA9" w:rsidR="004B77F6" w:rsidRPr="00694ACA" w:rsidRDefault="004B77F6" w:rsidP="004B77F6">
      <w:pPr>
        <w:pStyle w:val="ListParagraph"/>
        <w:numPr>
          <w:ilvl w:val="0"/>
          <w:numId w:val="43"/>
        </w:numPr>
        <w:rPr>
          <w:lang w:val="ru-RU"/>
        </w:rPr>
      </w:pPr>
      <w:r w:rsidRPr="00694ACA">
        <w:rPr>
          <w:lang w:val="ru-RU"/>
        </w:rPr>
        <w:t xml:space="preserve">Институт должен свести к минимуму потенциальные угрозы для репутации МСЭ, обеспечивая дальнейшую эффективность его деятельности в области </w:t>
      </w:r>
      <w:r w:rsidR="00180067" w:rsidRPr="00694ACA">
        <w:rPr>
          <w:lang w:val="ru-RU"/>
        </w:rPr>
        <w:t xml:space="preserve">развития потенциала и профессиональной подготовки </w:t>
      </w:r>
      <w:r w:rsidRPr="00694ACA">
        <w:rPr>
          <w:lang w:val="ru-RU"/>
        </w:rPr>
        <w:t>при растущей глобальной конкуренции;</w:t>
      </w:r>
    </w:p>
    <w:p w14:paraId="17E32177" w14:textId="286B3EE3" w:rsidR="004B77F6" w:rsidRPr="00694ACA" w:rsidRDefault="004B77F6" w:rsidP="004B77F6">
      <w:pPr>
        <w:pStyle w:val="ListParagraph"/>
        <w:numPr>
          <w:ilvl w:val="0"/>
          <w:numId w:val="43"/>
        </w:numPr>
        <w:rPr>
          <w:lang w:val="ru-RU"/>
        </w:rPr>
      </w:pPr>
      <w:r w:rsidRPr="00694ACA">
        <w:rPr>
          <w:lang w:val="ru-RU"/>
        </w:rPr>
        <w:t xml:space="preserve">он должен гарантировать непрерывное и эффективное </w:t>
      </w:r>
      <w:r w:rsidR="00367DAA" w:rsidRPr="00694ACA">
        <w:rPr>
          <w:lang w:val="ru-RU"/>
        </w:rPr>
        <w:t>развитие потенциала</w:t>
      </w:r>
      <w:r w:rsidRPr="00694ACA">
        <w:rPr>
          <w:lang w:val="ru-RU"/>
        </w:rPr>
        <w:t xml:space="preserve"> и подготовку кадров в тех сферах, в которых он обладает исключительными преимуществами; </w:t>
      </w:r>
    </w:p>
    <w:p w14:paraId="7F8793F0" w14:textId="65513B9D" w:rsidR="004B77F6" w:rsidRPr="00694ACA" w:rsidRDefault="004B77F6" w:rsidP="004B77F6">
      <w:pPr>
        <w:pStyle w:val="ListParagraph"/>
        <w:numPr>
          <w:ilvl w:val="0"/>
          <w:numId w:val="43"/>
        </w:numPr>
        <w:rPr>
          <w:lang w:val="ru-RU"/>
        </w:rPr>
      </w:pPr>
      <w:r w:rsidRPr="00694ACA">
        <w:rPr>
          <w:lang w:val="ru-RU"/>
        </w:rPr>
        <w:t xml:space="preserve">он должен направлять свои ограниченные ресурсы на </w:t>
      </w:r>
      <w:r w:rsidR="00367DAA" w:rsidRPr="00694ACA">
        <w:rPr>
          <w:lang w:val="ru-RU"/>
        </w:rPr>
        <w:t>развитие потенциала и профессиональную подготовку</w:t>
      </w:r>
      <w:r w:rsidRPr="00694ACA">
        <w:rPr>
          <w:lang w:val="ru-RU"/>
        </w:rPr>
        <w:t xml:space="preserve"> в тех сферах, в которых он может оказать наибольшее влияние.</w:t>
      </w:r>
    </w:p>
    <w:p w14:paraId="0F4369DB" w14:textId="77777777" w:rsidR="004B77F6" w:rsidRPr="00694ACA" w:rsidRDefault="004B77F6" w:rsidP="00B90152">
      <w:pPr>
        <w:pStyle w:val="Heading3"/>
        <w:rPr>
          <w:lang w:val="ru-RU"/>
        </w:rPr>
      </w:pPr>
      <w:r w:rsidRPr="00694ACA">
        <w:rPr>
          <w:lang w:val="ru-RU"/>
        </w:rPr>
        <w:t>Каким должен быть формат Института?</w:t>
      </w:r>
    </w:p>
    <w:p w14:paraId="2840C037" w14:textId="3B5A842E" w:rsidR="004B77F6" w:rsidRPr="00694ACA" w:rsidRDefault="004B77F6" w:rsidP="002E497D">
      <w:pPr>
        <w:ind w:left="-284"/>
        <w:rPr>
          <w:lang w:val="ru-RU"/>
        </w:rPr>
      </w:pPr>
      <w:r w:rsidRPr="00694ACA">
        <w:rPr>
          <w:lang w:val="ru-RU"/>
        </w:rPr>
        <w:t>98. Вышеизложенные наблюдения относительно потребности создания учреждения и вытекающих отсюда проблем приводят к двум важным аспектам, которые следует учитывать при принятии решений, касающихся будущего Института МСЭ: должен ли Институт быть виртуальным или физическим, и насколько широкой должна быть сфера его компетенции.</w:t>
      </w:r>
      <w:r w:rsidR="00A579EF">
        <w:rPr>
          <w:lang w:val="ru-RU"/>
        </w:rPr>
        <w:t xml:space="preserve"> </w:t>
      </w:r>
      <w:r w:rsidRPr="00694ACA">
        <w:rPr>
          <w:lang w:val="ru-RU"/>
        </w:rPr>
        <w:t xml:space="preserve">Более подробно эти аспекты рассматриваются в данном разделе, однако в следующих двух пунктах дается краткий обзор мнений, высказанных по каждому из них в рамках данного </w:t>
      </w:r>
      <w:r w:rsidR="00BE7DA9" w:rsidRPr="00694ACA">
        <w:rPr>
          <w:lang w:val="ru-RU"/>
        </w:rPr>
        <w:t>отчета</w:t>
      </w:r>
      <w:r w:rsidRPr="00694ACA">
        <w:rPr>
          <w:lang w:val="ru-RU"/>
        </w:rPr>
        <w:t xml:space="preserve"> и в его итоговой рекомендации, что позволяет использовать их в качестве возможных дальнейших шагов.</w:t>
      </w:r>
    </w:p>
    <w:p w14:paraId="571AC6A9" w14:textId="490D5CA3" w:rsidR="004B77F6" w:rsidRPr="00694ACA" w:rsidRDefault="004B77F6" w:rsidP="002E497D">
      <w:pPr>
        <w:ind w:left="-284"/>
        <w:rPr>
          <w:lang w:val="ru-RU"/>
        </w:rPr>
      </w:pPr>
      <w:r w:rsidRPr="00694ACA">
        <w:rPr>
          <w:lang w:val="ru-RU"/>
        </w:rPr>
        <w:t>99. Во-первых, в течение долгих лет высказывались различные мнения о достоинствах и значимости виртуальных институтов, причем не только в академической и прикладной литературе</w:t>
      </w:r>
      <w:r w:rsidRPr="00694ACA">
        <w:rPr>
          <w:rStyle w:val="FootnoteReference"/>
          <w:lang w:val="ru-RU"/>
        </w:rPr>
        <w:footnoteReference w:id="139"/>
      </w:r>
      <w:r w:rsidRPr="00694ACA">
        <w:rPr>
          <w:lang w:val="ru-RU"/>
        </w:rPr>
        <w:t xml:space="preserve">, но и среди опрошенных в рамках данного </w:t>
      </w:r>
      <w:r w:rsidR="00BE7DA9" w:rsidRPr="00694ACA">
        <w:rPr>
          <w:lang w:val="ru-RU"/>
        </w:rPr>
        <w:t>отчет</w:t>
      </w:r>
      <w:r w:rsidRPr="00694ACA">
        <w:rPr>
          <w:lang w:val="ru-RU"/>
        </w:rPr>
        <w:t>а.</w:t>
      </w:r>
      <w:r w:rsidR="00A579EF">
        <w:rPr>
          <w:lang w:val="ru-RU"/>
        </w:rPr>
        <w:t xml:space="preserve"> </w:t>
      </w:r>
      <w:r w:rsidRPr="00694ACA">
        <w:rPr>
          <w:lang w:val="ru-RU"/>
        </w:rPr>
        <w:t xml:space="preserve">По сути, в данном </w:t>
      </w:r>
      <w:r w:rsidR="00BE7DA9" w:rsidRPr="00694ACA">
        <w:rPr>
          <w:lang w:val="ru-RU"/>
        </w:rPr>
        <w:t>отчет</w:t>
      </w:r>
      <w:r w:rsidRPr="00694ACA">
        <w:rPr>
          <w:lang w:val="ru-RU"/>
        </w:rPr>
        <w:t xml:space="preserve">е поддерживается мнение о том, что термин </w:t>
      </w:r>
      <w:r w:rsidR="006E72AD" w:rsidRPr="00694ACA">
        <w:rPr>
          <w:lang w:val="ru-RU"/>
        </w:rPr>
        <w:t>"</w:t>
      </w:r>
      <w:r w:rsidRPr="00694ACA">
        <w:rPr>
          <w:lang w:val="ru-RU"/>
        </w:rPr>
        <w:t>Институт</w:t>
      </w:r>
      <w:r w:rsidR="006E72AD" w:rsidRPr="00694ACA">
        <w:rPr>
          <w:lang w:val="ru-RU"/>
        </w:rPr>
        <w:t>"</w:t>
      </w:r>
      <w:r w:rsidRPr="00694ACA">
        <w:rPr>
          <w:lang w:val="ru-RU"/>
        </w:rPr>
        <w:t xml:space="preserve"> должен по трем основным причинам обозначать </w:t>
      </w:r>
      <w:r w:rsidRPr="00694ACA">
        <w:rPr>
          <w:b/>
          <w:lang w:val="ru-RU"/>
        </w:rPr>
        <w:t>физическое лицо существенной величины</w:t>
      </w:r>
      <w:r w:rsidRPr="009C4800">
        <w:rPr>
          <w:bCs/>
          <w:lang w:val="ru-RU"/>
        </w:rPr>
        <w:t xml:space="preserve">, </w:t>
      </w:r>
      <w:r w:rsidRPr="00694ACA">
        <w:rPr>
          <w:lang w:val="ru-RU"/>
        </w:rPr>
        <w:t>особенно в контексте МСЭ, хотя далее в разделе рассматриваются и другие причины:</w:t>
      </w:r>
    </w:p>
    <w:p w14:paraId="39442294" w14:textId="6CD19CC5" w:rsidR="004B77F6" w:rsidRPr="00694ACA" w:rsidRDefault="00FD36D1" w:rsidP="004B77F6">
      <w:pPr>
        <w:pStyle w:val="ListParagraph"/>
        <w:numPr>
          <w:ilvl w:val="0"/>
          <w:numId w:val="45"/>
        </w:numPr>
        <w:rPr>
          <w:lang w:val="ru-RU"/>
        </w:rPr>
      </w:pPr>
      <w:r w:rsidRPr="00694ACA">
        <w:rPr>
          <w:lang w:val="ru-RU"/>
        </w:rPr>
        <w:t xml:space="preserve">термин </w:t>
      </w:r>
      <w:r w:rsidR="006E72AD" w:rsidRPr="00694ACA">
        <w:rPr>
          <w:lang w:val="ru-RU"/>
        </w:rPr>
        <w:t>"</w:t>
      </w:r>
      <w:r w:rsidR="004B77F6" w:rsidRPr="00694ACA">
        <w:rPr>
          <w:lang w:val="ru-RU"/>
        </w:rPr>
        <w:t>Виртуальный институт</w:t>
      </w:r>
      <w:r w:rsidR="006E72AD" w:rsidRPr="00694ACA">
        <w:rPr>
          <w:lang w:val="ru-RU"/>
        </w:rPr>
        <w:t>"</w:t>
      </w:r>
      <w:r w:rsidR="004B77F6" w:rsidRPr="00694ACA">
        <w:rPr>
          <w:lang w:val="ru-RU"/>
        </w:rPr>
        <w:t xml:space="preserve"> часто (но не всегда) используется для придания важности чему-то небольшому или малозначительному; если МСЭ планирует создать Институт, то он должен быть чем-то существенным и высококачественным;</w:t>
      </w:r>
    </w:p>
    <w:p w14:paraId="05EF51CC" w14:textId="08A17D1B" w:rsidR="004B77F6" w:rsidRPr="00694ACA" w:rsidRDefault="00FD36D1" w:rsidP="004B77F6">
      <w:pPr>
        <w:pStyle w:val="ListParagraph"/>
        <w:numPr>
          <w:ilvl w:val="0"/>
          <w:numId w:val="45"/>
        </w:numPr>
        <w:rPr>
          <w:lang w:val="ru-RU"/>
        </w:rPr>
      </w:pPr>
      <w:r w:rsidRPr="00694ACA">
        <w:rPr>
          <w:lang w:val="ru-RU"/>
        </w:rPr>
        <w:t xml:space="preserve">в </w:t>
      </w:r>
      <w:r w:rsidR="004B77F6" w:rsidRPr="00694ACA">
        <w:rPr>
          <w:lang w:val="ru-RU"/>
        </w:rPr>
        <w:t xml:space="preserve">недавнем докладе ОИГ об академических учреждениях в рамках системы ООН содержатся четкие рекомендации, касающиеся необходимости обеспечения единообразия и точности терминологии, и высказывается критика по поводу чрезмерного увеличения числа виртуальных структур; </w:t>
      </w:r>
    </w:p>
    <w:p w14:paraId="4921C445" w14:textId="77777777" w:rsidR="004B77F6" w:rsidRPr="00694ACA" w:rsidRDefault="004B77F6" w:rsidP="004B77F6">
      <w:pPr>
        <w:pStyle w:val="ListParagraph"/>
        <w:numPr>
          <w:ilvl w:val="0"/>
          <w:numId w:val="45"/>
        </w:numPr>
        <w:ind w:left="431" w:hanging="357"/>
        <w:rPr>
          <w:lang w:val="ru-RU"/>
        </w:rPr>
      </w:pPr>
      <w:r w:rsidRPr="00694ACA">
        <w:rPr>
          <w:lang w:val="ru-RU"/>
        </w:rPr>
        <w:t>в состав МСЭ уже входит виртуальная Академия, и, вероятно, практически нецелесообразно создавать Виртуальный Институт для ее замещения.</w:t>
      </w:r>
    </w:p>
    <w:p w14:paraId="76F620D7" w14:textId="3B4C535A" w:rsidR="004B77F6" w:rsidRPr="00694ACA" w:rsidRDefault="004B77F6" w:rsidP="004B77F6">
      <w:pPr>
        <w:spacing w:before="120"/>
        <w:ind w:left="-284"/>
        <w:rPr>
          <w:lang w:val="ru-RU"/>
        </w:rPr>
      </w:pPr>
      <w:r w:rsidRPr="00694ACA">
        <w:rPr>
          <w:lang w:val="ru-RU"/>
        </w:rPr>
        <w:t xml:space="preserve">Тем не менее, это не означает, что Институт не должен обладать какими-либо виртуальными элементами, и это не подразумевает, что вся подготовка в </w:t>
      </w:r>
      <w:r w:rsidR="006E72AD" w:rsidRPr="00694ACA">
        <w:rPr>
          <w:lang w:val="ru-RU"/>
        </w:rPr>
        <w:t>"</w:t>
      </w:r>
      <w:r w:rsidRPr="00694ACA">
        <w:rPr>
          <w:lang w:val="ru-RU"/>
        </w:rPr>
        <w:t>реальном</w:t>
      </w:r>
      <w:r w:rsidR="006E72AD" w:rsidRPr="00694ACA">
        <w:rPr>
          <w:lang w:val="ru-RU"/>
        </w:rPr>
        <w:t>"</w:t>
      </w:r>
      <w:r w:rsidRPr="00694ACA">
        <w:rPr>
          <w:lang w:val="ru-RU"/>
        </w:rPr>
        <w:t xml:space="preserve"> Институте будет проводиться очно.</w:t>
      </w:r>
      <w:r w:rsidR="00A579EF">
        <w:rPr>
          <w:lang w:val="ru-RU"/>
        </w:rPr>
        <w:t xml:space="preserve"> </w:t>
      </w:r>
      <w:r w:rsidRPr="00694ACA">
        <w:rPr>
          <w:lang w:val="ru-RU"/>
        </w:rPr>
        <w:t>Значительная часть деятельности будущего Института действительно будет осуществляться в виртуальном режиме, особенно с учетом последних разработок в области онлайн-обучения, развитие которых ускорилось благодаря опыту, накопленному в борьбе с COVID-19.</w:t>
      </w:r>
      <w:r w:rsidR="00A579EF">
        <w:rPr>
          <w:lang w:val="ru-RU"/>
        </w:rPr>
        <w:t xml:space="preserve"> </w:t>
      </w:r>
      <w:r w:rsidRPr="00694ACA">
        <w:rPr>
          <w:lang w:val="ru-RU"/>
        </w:rPr>
        <w:t xml:space="preserve">Кроме того, появление </w:t>
      </w:r>
      <w:r w:rsidR="006E72AD" w:rsidRPr="00694ACA">
        <w:rPr>
          <w:lang w:val="ru-RU"/>
        </w:rPr>
        <w:t>"</w:t>
      </w:r>
      <w:r w:rsidRPr="00694ACA">
        <w:rPr>
          <w:lang w:val="ru-RU"/>
        </w:rPr>
        <w:t>реального</w:t>
      </w:r>
      <w:r w:rsidR="006E72AD" w:rsidRPr="00694ACA">
        <w:rPr>
          <w:lang w:val="ru-RU"/>
        </w:rPr>
        <w:t>"</w:t>
      </w:r>
      <w:r w:rsidRPr="00694ACA">
        <w:rPr>
          <w:lang w:val="ru-RU"/>
        </w:rPr>
        <w:t xml:space="preserve"> Института не всегда подразумевает обязательное присутствие всех сотрудников в одном месте, хотя в данном </w:t>
      </w:r>
      <w:r w:rsidR="00BE7DA9" w:rsidRPr="00694ACA">
        <w:rPr>
          <w:lang w:val="ru-RU"/>
        </w:rPr>
        <w:t>отчет</w:t>
      </w:r>
      <w:r w:rsidRPr="00694ACA">
        <w:rPr>
          <w:lang w:val="ru-RU"/>
        </w:rPr>
        <w:t>е отмечается, что в таком случае будет обеспечено плодотворное взаимодействие.</w:t>
      </w:r>
    </w:p>
    <w:p w14:paraId="5B56D862" w14:textId="3348AFD2" w:rsidR="004B77F6" w:rsidRPr="00694ACA" w:rsidRDefault="004B77F6" w:rsidP="00360439">
      <w:pPr>
        <w:ind w:left="-284"/>
        <w:rPr>
          <w:lang w:val="ru-RU"/>
        </w:rPr>
      </w:pPr>
      <w:r w:rsidRPr="00694ACA">
        <w:rPr>
          <w:lang w:val="ru-RU"/>
        </w:rPr>
        <w:lastRenderedPageBreak/>
        <w:t>100. Важным моментом, требующим рассмотрения, является также определение объема полномочий того или иного института.</w:t>
      </w:r>
      <w:r w:rsidR="00A579EF">
        <w:rPr>
          <w:lang w:val="ru-RU"/>
        </w:rPr>
        <w:t xml:space="preserve"> </w:t>
      </w:r>
      <w:r w:rsidRPr="00694ACA">
        <w:rPr>
          <w:lang w:val="ru-RU"/>
        </w:rPr>
        <w:t xml:space="preserve">В данном </w:t>
      </w:r>
      <w:r w:rsidR="00BE7DA9" w:rsidRPr="00694ACA">
        <w:rPr>
          <w:lang w:val="ru-RU"/>
        </w:rPr>
        <w:t>отчет</w:t>
      </w:r>
      <w:r w:rsidRPr="00694ACA">
        <w:rPr>
          <w:lang w:val="ru-RU"/>
        </w:rPr>
        <w:t>е высказывается рекомендация о том, что</w:t>
      </w:r>
      <w:r w:rsidRPr="00694ACA">
        <w:rPr>
          <w:b/>
          <w:lang w:val="ru-RU"/>
        </w:rPr>
        <w:t xml:space="preserve"> </w:t>
      </w:r>
      <w:r w:rsidRPr="00694ACA">
        <w:rPr>
          <w:lang w:val="ru-RU"/>
        </w:rPr>
        <w:t xml:space="preserve">в первую очередь Институту следует </w:t>
      </w:r>
      <w:r w:rsidRPr="00694ACA">
        <w:rPr>
          <w:b/>
          <w:lang w:val="ru-RU"/>
        </w:rPr>
        <w:t xml:space="preserve">сконцентрировать усилия на </w:t>
      </w:r>
      <w:r w:rsidR="002E5573" w:rsidRPr="00694ACA">
        <w:rPr>
          <w:b/>
          <w:lang w:val="ru-RU"/>
        </w:rPr>
        <w:t>развитии</w:t>
      </w:r>
      <w:r w:rsidRPr="00694ACA">
        <w:rPr>
          <w:b/>
          <w:lang w:val="ru-RU"/>
        </w:rPr>
        <w:t xml:space="preserve"> институционального и организационного потенциала и на подготовке кадров</w:t>
      </w:r>
      <w:r w:rsidRPr="00694ACA">
        <w:rPr>
          <w:lang w:val="ru-RU"/>
        </w:rPr>
        <w:t xml:space="preserve">, предоставляемых </w:t>
      </w:r>
      <w:r w:rsidR="00175F3F" w:rsidRPr="00694ACA">
        <w:rPr>
          <w:lang w:val="ru-RU"/>
        </w:rPr>
        <w:t>Государствам-Членам</w:t>
      </w:r>
      <w:r w:rsidRPr="00694ACA">
        <w:rPr>
          <w:bCs/>
          <w:lang w:val="ru-RU"/>
        </w:rPr>
        <w:t xml:space="preserve">. </w:t>
      </w:r>
      <w:r w:rsidRPr="00694ACA">
        <w:rPr>
          <w:lang w:val="ru-RU"/>
        </w:rPr>
        <w:t>Этот подход опирается на три основные предпосылки:</w:t>
      </w:r>
    </w:p>
    <w:p w14:paraId="2DB8003E" w14:textId="6D1BAE0F" w:rsidR="004B77F6" w:rsidRPr="00694ACA" w:rsidRDefault="004B77F6" w:rsidP="004B77F6">
      <w:pPr>
        <w:pStyle w:val="ListParagraph"/>
        <w:numPr>
          <w:ilvl w:val="0"/>
          <w:numId w:val="46"/>
        </w:numPr>
        <w:rPr>
          <w:lang w:val="ru-RU"/>
        </w:rPr>
      </w:pPr>
      <w:r w:rsidRPr="00694ACA">
        <w:rPr>
          <w:lang w:val="ru-RU"/>
        </w:rPr>
        <w:t xml:space="preserve">что МСЭ располагает ограниченными ресурсами для </w:t>
      </w:r>
      <w:r w:rsidR="00180067" w:rsidRPr="00694ACA">
        <w:rPr>
          <w:lang w:val="ru-RU"/>
        </w:rPr>
        <w:t>развития потенциала и профессиональной подготовки</w:t>
      </w:r>
      <w:r w:rsidRPr="00694ACA">
        <w:rPr>
          <w:lang w:val="ru-RU"/>
        </w:rPr>
        <w:t>, и поэтому ему следует определиться с выбором приоритетных направлений своей деятельности;</w:t>
      </w:r>
    </w:p>
    <w:p w14:paraId="06EE1FCC" w14:textId="77777777" w:rsidR="004B77F6" w:rsidRPr="00694ACA" w:rsidRDefault="004B77F6" w:rsidP="004B77F6">
      <w:pPr>
        <w:pStyle w:val="ListParagraph"/>
        <w:numPr>
          <w:ilvl w:val="0"/>
          <w:numId w:val="46"/>
        </w:numPr>
        <w:rPr>
          <w:lang w:val="ru-RU"/>
        </w:rPr>
      </w:pPr>
      <w:r w:rsidRPr="00694ACA">
        <w:rPr>
          <w:lang w:val="ru-RU"/>
        </w:rPr>
        <w:t>что предпочтительнее сконцентрировать усилия на хорошем выполнении нескольких задач, нежели на попытках решить множество проблем, в результате чего не удастся удовлетворительно выполнить ни одну из них; а также</w:t>
      </w:r>
    </w:p>
    <w:p w14:paraId="78467D58" w14:textId="2E322D29" w:rsidR="004B77F6" w:rsidRPr="00694ACA" w:rsidRDefault="004B77F6" w:rsidP="004B77F6">
      <w:pPr>
        <w:pStyle w:val="ListParagraph"/>
        <w:numPr>
          <w:ilvl w:val="0"/>
          <w:numId w:val="46"/>
        </w:numPr>
        <w:rPr>
          <w:lang w:val="ru-RU"/>
        </w:rPr>
      </w:pPr>
      <w:r w:rsidRPr="00694ACA">
        <w:rPr>
          <w:lang w:val="ru-RU"/>
        </w:rPr>
        <w:t xml:space="preserve">что другие организации по всему миру уже занимаются реализацией широкого спектра деятельности </w:t>
      </w:r>
      <w:r w:rsidR="00367DAA" w:rsidRPr="00694ACA">
        <w:rPr>
          <w:lang w:val="ru-RU"/>
        </w:rPr>
        <w:t>по развитию потенциала и профессиональной подготовке</w:t>
      </w:r>
      <w:r w:rsidRPr="00694ACA">
        <w:rPr>
          <w:lang w:val="ru-RU"/>
        </w:rPr>
        <w:t xml:space="preserve"> в области цифровых технологий, и многие из них в большей степени, чем МСЭ, подходят для такой деятельности.</w:t>
      </w:r>
    </w:p>
    <w:p w14:paraId="10B47D0D" w14:textId="09DE9438" w:rsidR="004B77F6" w:rsidRPr="00694ACA" w:rsidRDefault="004B77F6" w:rsidP="004B77F6">
      <w:pPr>
        <w:spacing w:before="120" w:after="0"/>
        <w:ind w:left="-284" w:right="-471"/>
        <w:rPr>
          <w:lang w:val="ru-RU"/>
        </w:rPr>
      </w:pPr>
      <w:r w:rsidRPr="00694ACA">
        <w:rPr>
          <w:lang w:val="ru-RU"/>
        </w:rPr>
        <w:t xml:space="preserve">Кроме того, если будет принято решение о том, что МСЭ должен обеспечить доступ к </w:t>
      </w:r>
      <w:r w:rsidR="009421AE" w:rsidRPr="00694ACA">
        <w:rPr>
          <w:lang w:val="ru-RU"/>
        </w:rPr>
        <w:t>развитию потенциала</w:t>
      </w:r>
      <w:r w:rsidRPr="00694ACA">
        <w:rPr>
          <w:lang w:val="ru-RU"/>
        </w:rPr>
        <w:t xml:space="preserve"> на индивидуальном уровне или организовать такую деятельность, то такая задача может быть решена с помощью других средств, не связанных с Институтом. Помимо этого, в будущем Институт может разработать онлайн-курсы для более широкого частного использования.</w:t>
      </w:r>
      <w:r w:rsidR="00A579EF">
        <w:rPr>
          <w:lang w:val="ru-RU"/>
        </w:rPr>
        <w:t xml:space="preserve"> </w:t>
      </w:r>
      <w:r w:rsidRPr="00694ACA">
        <w:rPr>
          <w:lang w:val="ru-RU"/>
        </w:rPr>
        <w:t xml:space="preserve">Для этого необходимо также дополнительно рассмотреть вопрос о соотношении между услугами </w:t>
      </w:r>
      <w:r w:rsidR="00367DAA" w:rsidRPr="00694ACA">
        <w:rPr>
          <w:lang w:val="ru-RU"/>
        </w:rPr>
        <w:t>по развитию потенциала и профессиональной подготовке</w:t>
      </w:r>
      <w:r w:rsidRPr="00694ACA">
        <w:rPr>
          <w:lang w:val="ru-RU"/>
        </w:rPr>
        <w:t>, фактически предоставляемыми сотрудниками и экспертами МСЭ, и теми видами деятельности, которым он лишь оказывает содействие. Приоритетным направлением деятельности Института должно быть первое.</w:t>
      </w:r>
    </w:p>
    <w:p w14:paraId="772E181D" w14:textId="77777777" w:rsidR="004B77F6" w:rsidRPr="00694ACA" w:rsidRDefault="004B77F6" w:rsidP="00ED5E07">
      <w:pPr>
        <w:pStyle w:val="Heading2"/>
        <w:ind w:right="-472"/>
        <w:rPr>
          <w:lang w:val="ru-RU"/>
        </w:rPr>
      </w:pPr>
      <w:bookmarkStart w:id="367" w:name="_Toc57297411"/>
      <w:bookmarkStart w:id="368" w:name="_Toc58244114"/>
      <w:bookmarkStart w:id="369" w:name="_Toc58273436"/>
      <w:bookmarkStart w:id="370" w:name="_Toc58273665"/>
      <w:bookmarkStart w:id="371" w:name="_Toc58275267"/>
      <w:r w:rsidRPr="00694ACA">
        <w:rPr>
          <w:lang w:val="ru-RU"/>
        </w:rPr>
        <w:t>9.2 Практика ООН в отношении институтов</w:t>
      </w:r>
      <w:bookmarkEnd w:id="367"/>
      <w:bookmarkEnd w:id="368"/>
      <w:bookmarkEnd w:id="369"/>
      <w:bookmarkEnd w:id="370"/>
      <w:bookmarkEnd w:id="371"/>
    </w:p>
    <w:p w14:paraId="3E5FF9CF" w14:textId="7BD856DF" w:rsidR="004B77F6" w:rsidRPr="00694ACA" w:rsidRDefault="004B77F6" w:rsidP="00ED5E07">
      <w:pPr>
        <w:ind w:left="-284" w:right="-472"/>
        <w:rPr>
          <w:lang w:val="ru-RU"/>
        </w:rPr>
      </w:pPr>
      <w:r w:rsidRPr="00694ACA">
        <w:rPr>
          <w:lang w:val="ru-RU"/>
        </w:rPr>
        <w:t>101. Ряд учреждений ООН располагают богатым опытом создания институтов различного рода и организации их работы для решения конкретных задач, входящих в сферу их компетенции.</w:t>
      </w:r>
      <w:r w:rsidR="00A579EF">
        <w:rPr>
          <w:lang w:val="ru-RU"/>
        </w:rPr>
        <w:t xml:space="preserve"> </w:t>
      </w:r>
      <w:r w:rsidRPr="00694ACA">
        <w:rPr>
          <w:lang w:val="ru-RU"/>
        </w:rPr>
        <w:t>Такая практика не столь распространена, хотя ЮНЕСКО, в частности, весьма активно проводит такую политику.</w:t>
      </w:r>
      <w:r w:rsidR="00A579EF">
        <w:rPr>
          <w:lang w:val="ru-RU"/>
        </w:rPr>
        <w:t xml:space="preserve"> </w:t>
      </w:r>
      <w:r w:rsidRPr="00694ACA">
        <w:rPr>
          <w:lang w:val="ru-RU"/>
        </w:rPr>
        <w:t>В этом разделе представлен обзор ряда примеров такой политики ООН в отношении институтов; на его основе можно проанализировать преимущества и трудности, с которыми столкнется МСЭ в случае принятия решения о создании своего собственного Института</w:t>
      </w:r>
      <w:r w:rsidRPr="00694ACA">
        <w:rPr>
          <w:rStyle w:val="FootnoteReference"/>
          <w:lang w:val="ru-RU"/>
        </w:rPr>
        <w:footnoteReference w:id="140"/>
      </w:r>
      <w:r w:rsidRPr="00694ACA">
        <w:rPr>
          <w:lang w:val="ru-RU"/>
        </w:rPr>
        <w:t xml:space="preserve">. Основное внимание уделяется именно </w:t>
      </w:r>
      <w:r w:rsidR="006E72AD" w:rsidRPr="00694ACA">
        <w:rPr>
          <w:lang w:val="ru-RU"/>
        </w:rPr>
        <w:t>"</w:t>
      </w:r>
      <w:r w:rsidRPr="00694ACA">
        <w:rPr>
          <w:lang w:val="ru-RU"/>
        </w:rPr>
        <w:t>реальным</w:t>
      </w:r>
      <w:r w:rsidR="006E72AD" w:rsidRPr="00694ACA">
        <w:rPr>
          <w:lang w:val="ru-RU"/>
        </w:rPr>
        <w:t>"</w:t>
      </w:r>
      <w:r w:rsidRPr="00694ACA">
        <w:rPr>
          <w:lang w:val="ru-RU"/>
        </w:rPr>
        <w:t xml:space="preserve"> институтам</w:t>
      </w:r>
      <w:r w:rsidRPr="00694ACA">
        <w:rPr>
          <w:rStyle w:val="FootnoteReference"/>
          <w:lang w:val="ru-RU"/>
        </w:rPr>
        <w:footnoteReference w:id="141"/>
      </w:r>
      <w:r w:rsidRPr="00694ACA">
        <w:rPr>
          <w:lang w:val="ru-RU"/>
        </w:rPr>
        <w:t xml:space="preserve">, а не учреждениям, </w:t>
      </w:r>
      <w:r w:rsidR="006A687A" w:rsidRPr="00694ACA">
        <w:rPr>
          <w:lang w:val="ru-RU"/>
        </w:rPr>
        <w:t>которые, по сути,</w:t>
      </w:r>
      <w:r w:rsidRPr="00694ACA">
        <w:rPr>
          <w:lang w:val="ru-RU"/>
        </w:rPr>
        <w:t xml:space="preserve"> используют термин </w:t>
      </w:r>
      <w:r w:rsidR="006E72AD" w:rsidRPr="00694ACA">
        <w:rPr>
          <w:lang w:val="ru-RU"/>
        </w:rPr>
        <w:t>"</w:t>
      </w:r>
      <w:r w:rsidRPr="00694ACA">
        <w:rPr>
          <w:lang w:val="ru-RU"/>
        </w:rPr>
        <w:t>институт</w:t>
      </w:r>
      <w:r w:rsidR="006E72AD" w:rsidRPr="00694ACA">
        <w:rPr>
          <w:lang w:val="ru-RU"/>
        </w:rPr>
        <w:t>"</w:t>
      </w:r>
      <w:r w:rsidRPr="00694ACA">
        <w:rPr>
          <w:lang w:val="ru-RU"/>
        </w:rPr>
        <w:t xml:space="preserve"> для обозначения небольшого виртуального объекта.</w:t>
      </w:r>
      <w:r w:rsidR="00A579EF">
        <w:rPr>
          <w:lang w:val="ru-RU"/>
        </w:rPr>
        <w:t xml:space="preserve"> </w:t>
      </w:r>
      <w:r w:rsidRPr="00694ACA">
        <w:rPr>
          <w:lang w:val="ru-RU"/>
        </w:rPr>
        <w:t xml:space="preserve">В </w:t>
      </w:r>
      <w:r w:rsidR="00BE7DA9" w:rsidRPr="00694ACA">
        <w:rPr>
          <w:lang w:val="ru-RU"/>
        </w:rPr>
        <w:t>отчет</w:t>
      </w:r>
      <w:r w:rsidRPr="00694ACA">
        <w:rPr>
          <w:lang w:val="ru-RU"/>
        </w:rPr>
        <w:t>е делается акцент на работе УООН (Университета Организации Объединенных Наций), ЮНЕСКО и МУЦ</w:t>
      </w:r>
      <w:r w:rsidR="00F458BC" w:rsidRPr="00694ACA">
        <w:rPr>
          <w:lang w:val="ru-RU"/>
        </w:rPr>
        <w:t xml:space="preserve"> </w:t>
      </w:r>
      <w:r w:rsidRPr="00694ACA">
        <w:rPr>
          <w:lang w:val="ru-RU"/>
        </w:rPr>
        <w:t>МОТ, а также упоминается новая перспективная "Академия ВОЗ".</w:t>
      </w:r>
    </w:p>
    <w:p w14:paraId="02FF5BFC" w14:textId="77777777" w:rsidR="004B77F6" w:rsidRPr="00694ACA" w:rsidRDefault="004B77F6" w:rsidP="00ED5E07">
      <w:pPr>
        <w:pStyle w:val="Heading3"/>
        <w:ind w:right="-472"/>
        <w:rPr>
          <w:szCs w:val="28"/>
          <w:lang w:val="ru-RU"/>
        </w:rPr>
      </w:pPr>
      <w:bookmarkStart w:id="372" w:name="_Toc57297412"/>
      <w:r w:rsidRPr="00694ACA">
        <w:rPr>
          <w:lang w:val="ru-RU"/>
        </w:rPr>
        <w:t>Университет Организации Объединенных Наций (УООН)</w:t>
      </w:r>
      <w:r w:rsidRPr="00694ACA">
        <w:rPr>
          <w:rStyle w:val="FootnoteReference"/>
          <w:lang w:val="ru-RU"/>
        </w:rPr>
        <w:footnoteReference w:id="142"/>
      </w:r>
      <w:bookmarkEnd w:id="372"/>
    </w:p>
    <w:p w14:paraId="19788799" w14:textId="252FB74B" w:rsidR="004B77F6" w:rsidRPr="00694ACA" w:rsidRDefault="004B77F6" w:rsidP="00ED5E07">
      <w:pPr>
        <w:ind w:left="-284" w:right="-472"/>
        <w:rPr>
          <w:lang w:val="ru-RU"/>
        </w:rPr>
      </w:pPr>
      <w:r w:rsidRPr="00694ACA">
        <w:rPr>
          <w:lang w:val="ru-RU"/>
        </w:rPr>
        <w:t>102. УООН — это международная научно-исследовательская организация и центр постдипломного образования, штаб-квартира которого находится в Токио (Япония) и который объединяет 14 институтов, расположенных в 12 странах мира. Эти институты сильно различаются по размеру и финансированию и специализируются на совершенно разных областях деятельности</w:t>
      </w:r>
      <w:r w:rsidRPr="00694ACA">
        <w:rPr>
          <w:rStyle w:val="FootnoteReference"/>
          <w:lang w:val="ru-RU"/>
        </w:rPr>
        <w:footnoteReference w:id="143"/>
      </w:r>
      <w:r w:rsidRPr="00694ACA">
        <w:rPr>
          <w:lang w:val="ru-RU"/>
        </w:rPr>
        <w:t>, однако все они имеют сходную структуру.</w:t>
      </w:r>
      <w:r w:rsidR="00A579EF">
        <w:rPr>
          <w:lang w:val="ru-RU"/>
        </w:rPr>
        <w:t xml:space="preserve"> </w:t>
      </w:r>
      <w:r w:rsidRPr="00694ACA">
        <w:rPr>
          <w:lang w:val="ru-RU"/>
        </w:rPr>
        <w:t>При каждом институте действует свой Консультативный совет, однако директора институтов подотчетны непосредственно Ректору, а не Консультативному совету.</w:t>
      </w:r>
      <w:r w:rsidR="00A579EF">
        <w:rPr>
          <w:lang w:val="ru-RU"/>
        </w:rPr>
        <w:t xml:space="preserve"> </w:t>
      </w:r>
      <w:r w:rsidRPr="00694ACA">
        <w:rPr>
          <w:lang w:val="ru-RU"/>
        </w:rPr>
        <w:t xml:space="preserve">Главным органом управления является Совет УООН, в состав которого входят Ректор УООН (который также </w:t>
      </w:r>
      <w:r w:rsidRPr="00694ACA">
        <w:rPr>
          <w:lang w:val="ru-RU"/>
        </w:rPr>
        <w:lastRenderedPageBreak/>
        <w:t>является заместителем Генерального Секретаря ООН), 12 назначаемых членов Совета (которые являются физическими лицами) и 3 члена по должности (</w:t>
      </w:r>
      <w:proofErr w:type="spellStart"/>
      <w:r w:rsidRPr="00694ACA">
        <w:rPr>
          <w:i/>
          <w:lang w:val="ru-RU"/>
        </w:rPr>
        <w:t>ex</w:t>
      </w:r>
      <w:proofErr w:type="spellEnd"/>
      <w:r w:rsidRPr="00694ACA">
        <w:rPr>
          <w:i/>
          <w:lang w:val="ru-RU"/>
        </w:rPr>
        <w:t xml:space="preserve"> </w:t>
      </w:r>
      <w:proofErr w:type="spellStart"/>
      <w:r w:rsidRPr="00694ACA">
        <w:rPr>
          <w:i/>
          <w:lang w:val="ru-RU"/>
        </w:rPr>
        <w:t>officio</w:t>
      </w:r>
      <w:proofErr w:type="spellEnd"/>
      <w:r w:rsidRPr="00694ACA">
        <w:rPr>
          <w:lang w:val="ru-RU"/>
        </w:rPr>
        <w:t>) (Генеральный Секретарь ООН, Генеральный директор ЮНЕСКО и Исполнительный директор ЮНИТАР).</w:t>
      </w:r>
      <w:r w:rsidR="00A579EF">
        <w:rPr>
          <w:lang w:val="ru-RU"/>
        </w:rPr>
        <w:t xml:space="preserve"> </w:t>
      </w:r>
      <w:r w:rsidRPr="00694ACA">
        <w:rPr>
          <w:lang w:val="ru-RU"/>
        </w:rPr>
        <w:t>Взаимосвязи УООН с другими образовательными и учебными заведениями ООН подчеркивают его особую уместность в данном анализе.</w:t>
      </w:r>
    </w:p>
    <w:p w14:paraId="3FF6C323" w14:textId="5272C2CE" w:rsidR="004B77F6" w:rsidRPr="00694ACA" w:rsidRDefault="004B77F6" w:rsidP="00ED5E07">
      <w:pPr>
        <w:ind w:left="-284" w:right="-472"/>
        <w:rPr>
          <w:lang w:val="ru-RU"/>
        </w:rPr>
      </w:pPr>
      <w:r w:rsidRPr="00694ACA">
        <w:rPr>
          <w:lang w:val="ru-RU"/>
        </w:rPr>
        <w:t>103. Цель каждого из Институтов УООН — стать центрами передового опыта в конкретной области исследований.</w:t>
      </w:r>
      <w:r w:rsidR="00A579EF">
        <w:rPr>
          <w:lang w:val="ru-RU"/>
        </w:rPr>
        <w:t xml:space="preserve"> </w:t>
      </w:r>
      <w:r w:rsidRPr="00694ACA">
        <w:rPr>
          <w:lang w:val="ru-RU"/>
        </w:rPr>
        <w:t>Деятельность этих центров направлена не на чрезмерную разбросанность задач, а на выявление сравнительных преимуществ и их использование в целях обеспечения максимально высокого качества исследований и подготовки кадров в этой конкретной нише.</w:t>
      </w:r>
      <w:r w:rsidR="00A579EF">
        <w:rPr>
          <w:lang w:val="ru-RU"/>
        </w:rPr>
        <w:t xml:space="preserve"> </w:t>
      </w:r>
      <w:r w:rsidRPr="00694ACA">
        <w:rPr>
          <w:lang w:val="ru-RU"/>
        </w:rPr>
        <w:t>Упор также сделан на финансовую обеспеченность, дающую как стабильность, так и независимость.</w:t>
      </w:r>
      <w:r w:rsidR="00A579EF">
        <w:rPr>
          <w:lang w:val="ru-RU"/>
        </w:rPr>
        <w:t xml:space="preserve"> </w:t>
      </w:r>
      <w:r w:rsidRPr="00694ACA">
        <w:rPr>
          <w:lang w:val="ru-RU"/>
        </w:rPr>
        <w:t>Соглашения со странами, на территории которых расположены эти институты, многокомпонентные и различаются друг от друга, но в целом для создания института УООН требуется стартовая сумма в размере 35–45 миллионов долларов США в качестве целевого капитала.</w:t>
      </w:r>
      <w:r w:rsidR="00A579EF">
        <w:rPr>
          <w:lang w:val="ru-RU"/>
        </w:rPr>
        <w:t xml:space="preserve"> </w:t>
      </w:r>
      <w:r w:rsidRPr="00694ACA">
        <w:rPr>
          <w:lang w:val="ru-RU"/>
        </w:rPr>
        <w:t>Это, однако, приносит доход лишь в размере 1–2 миллионов долларов США в год, что достаточно только для найма примерно 7–8 основных сотрудников.</w:t>
      </w:r>
      <w:r w:rsidR="00A579EF">
        <w:rPr>
          <w:lang w:val="ru-RU"/>
        </w:rPr>
        <w:t xml:space="preserve"> </w:t>
      </w:r>
      <w:r w:rsidRPr="00694ACA">
        <w:rPr>
          <w:lang w:val="ru-RU"/>
        </w:rPr>
        <w:t>В добавок к заработной плате и эксплуатационным издержкам требуется также изыскать финансирование для строительства физического здания института, что обычно предоставляется правительством страны местонахождения Института.</w:t>
      </w:r>
      <w:r w:rsidR="00A579EF">
        <w:rPr>
          <w:lang w:val="ru-RU"/>
        </w:rPr>
        <w:t xml:space="preserve"> </w:t>
      </w:r>
      <w:r w:rsidRPr="00694ACA">
        <w:rPr>
          <w:lang w:val="ru-RU"/>
        </w:rPr>
        <w:t>Другим интересным аспектом УООН является многообразие механизмов действия различных Консультативных советов, поскольку они фактически носят исключительно консультативный характер и не имеют никаких полномочий в отношении таких вопросов, как финансы.</w:t>
      </w:r>
      <w:r w:rsidR="00A579EF">
        <w:rPr>
          <w:lang w:val="ru-RU"/>
        </w:rPr>
        <w:t xml:space="preserve"> </w:t>
      </w:r>
      <w:r w:rsidRPr="00694ACA">
        <w:rPr>
          <w:lang w:val="ru-RU"/>
        </w:rPr>
        <w:t>Как отмечалось выше, Директора подотчетны Ректору, а не председателю их Консультативного совета, вследствие чего для успешной работы Института крайне важно, чтобы Директора, Председатели и Ректор располагали действенными и открытыми каналами связи и соблюдали договоренности.</w:t>
      </w:r>
      <w:r w:rsidR="00A579EF">
        <w:rPr>
          <w:lang w:val="ru-RU"/>
        </w:rPr>
        <w:t xml:space="preserve"> </w:t>
      </w:r>
      <w:r w:rsidRPr="00694ACA">
        <w:rPr>
          <w:lang w:val="ru-RU"/>
        </w:rPr>
        <w:t>В тех случаях, где такая система успешно работает, она может быть весьма эффективной, однако подобные структуры управления также могут быть сопряжены с трудностями, о чем более подробно рассказывается далее в других контекстах.</w:t>
      </w:r>
    </w:p>
    <w:p w14:paraId="78A8FC4A" w14:textId="77777777" w:rsidR="004B77F6" w:rsidRPr="00694ACA" w:rsidRDefault="004B77F6" w:rsidP="00ED5E07">
      <w:pPr>
        <w:pStyle w:val="Heading3"/>
        <w:ind w:right="-472"/>
        <w:rPr>
          <w:lang w:val="ru-RU"/>
        </w:rPr>
      </w:pPr>
      <w:bookmarkStart w:id="373" w:name="_Toc57297413"/>
      <w:r w:rsidRPr="00694ACA">
        <w:rPr>
          <w:lang w:val="ru-RU"/>
        </w:rPr>
        <w:t>Институты ЮНЕСКО</w:t>
      </w:r>
      <w:bookmarkEnd w:id="373"/>
    </w:p>
    <w:p w14:paraId="05E39647" w14:textId="44159526" w:rsidR="004B77F6" w:rsidRPr="00694ACA" w:rsidRDefault="004B77F6" w:rsidP="00ED5E07">
      <w:pPr>
        <w:ind w:left="-284" w:right="-472"/>
        <w:rPr>
          <w:lang w:val="ru-RU"/>
        </w:rPr>
      </w:pPr>
      <w:r w:rsidRPr="00694ACA">
        <w:rPr>
          <w:lang w:val="ru-RU"/>
        </w:rPr>
        <w:t>104. ЮНЕСКО обладает одной из наиболее всесторонних структур институтов в рамках системы ООН: 11 институтов категории 1 и 81 институт и центр категории 2</w:t>
      </w:r>
      <w:r w:rsidRPr="00694ACA">
        <w:rPr>
          <w:rStyle w:val="FootnoteReference"/>
          <w:lang w:val="ru-RU"/>
        </w:rPr>
        <w:footnoteReference w:id="144"/>
      </w:r>
      <w:r w:rsidRPr="00694ACA">
        <w:rPr>
          <w:lang w:val="ru-RU"/>
        </w:rPr>
        <w:t>. Кроме того, ЮНЕСКО руководит крупной программой сотрудничества с университетами, которая реализуется в рамках программы сети кафедр УНИТВИН/ЮНЕСКО, в настоящее время насчитывающей более 830 кафедр ЮНЕСКО и совместных программ УНИТВИН более чем в 110 государствах — членах ЮНЕСКО</w:t>
      </w:r>
      <w:r w:rsidRPr="00694ACA">
        <w:rPr>
          <w:rStyle w:val="FootnoteReference"/>
          <w:lang w:val="ru-RU"/>
        </w:rPr>
        <w:footnoteReference w:id="145"/>
      </w:r>
      <w:r w:rsidRPr="00694ACA">
        <w:rPr>
          <w:lang w:val="ru-RU"/>
        </w:rPr>
        <w:t>.</w:t>
      </w:r>
    </w:p>
    <w:p w14:paraId="0708CAC8" w14:textId="5F26CCBA" w:rsidR="004B77F6" w:rsidRPr="00694ACA" w:rsidRDefault="004B77F6" w:rsidP="00ED5E07">
      <w:pPr>
        <w:ind w:left="-284" w:right="-472"/>
        <w:rPr>
          <w:lang w:val="ru-RU"/>
        </w:rPr>
      </w:pPr>
      <w:r w:rsidRPr="00694ACA">
        <w:rPr>
          <w:lang w:val="ru-RU"/>
        </w:rPr>
        <w:t>105. Институты ЮНЕСКО разнообразны и многогранны в плане структур управления и областей деятельности, что отчасти зависит от структур, преобладавших на момент их создания.</w:t>
      </w:r>
      <w:r w:rsidR="00A579EF">
        <w:rPr>
          <w:lang w:val="ru-RU"/>
        </w:rPr>
        <w:t xml:space="preserve"> </w:t>
      </w:r>
      <w:r w:rsidRPr="00694ACA">
        <w:rPr>
          <w:lang w:val="ru-RU"/>
        </w:rPr>
        <w:t>Однако в целом операционный бюджет 7 образовательных Институтов в течение двухгодичного периода 2018–19 гг. составил 75,8 миллионов долларов США, МЦТФ — 54,8 миллионов долларов США и ИСЮ — 22,0 миллиона долларов США (из расчета выделенного бюджета в размере 595,2 миллионов долларов США</w:t>
      </w:r>
      <w:r w:rsidRPr="00694ACA">
        <w:rPr>
          <w:rStyle w:val="FootnoteReference"/>
          <w:lang w:val="ru-RU"/>
        </w:rPr>
        <w:footnoteReference w:id="146"/>
      </w:r>
      <w:r w:rsidRPr="00694ACA">
        <w:rPr>
          <w:lang w:val="ru-RU"/>
        </w:rPr>
        <w:t>)</w:t>
      </w:r>
      <w:r w:rsidRPr="00694ACA">
        <w:rPr>
          <w:rStyle w:val="FootnoteReference"/>
          <w:lang w:val="ru-RU"/>
        </w:rPr>
        <w:footnoteReference w:id="147"/>
      </w:r>
      <w:r w:rsidRPr="00694ACA">
        <w:rPr>
          <w:lang w:val="ru-RU"/>
        </w:rPr>
        <w:t>.</w:t>
      </w:r>
      <w:r w:rsidR="00A579EF">
        <w:rPr>
          <w:lang w:val="ru-RU"/>
        </w:rPr>
        <w:t xml:space="preserve"> </w:t>
      </w:r>
      <w:r w:rsidRPr="00694ACA">
        <w:rPr>
          <w:lang w:val="ru-RU"/>
        </w:rPr>
        <w:t>Это свидетельствует о значительных расходах, связанных с функционированием полномасштабных институтов.</w:t>
      </w:r>
      <w:r w:rsidR="00A579EF">
        <w:rPr>
          <w:lang w:val="ru-RU"/>
        </w:rPr>
        <w:t xml:space="preserve"> </w:t>
      </w:r>
      <w:r w:rsidRPr="00694ACA">
        <w:rPr>
          <w:lang w:val="ru-RU"/>
        </w:rPr>
        <w:t xml:space="preserve">Для выполнения своих программ и миссий многим институтам </w:t>
      </w:r>
      <w:r w:rsidRPr="00694ACA">
        <w:rPr>
          <w:lang w:val="ru-RU"/>
        </w:rPr>
        <w:lastRenderedPageBreak/>
        <w:t>также приходится привлекать значительные объемы внебюджетных средств.</w:t>
      </w:r>
      <w:r w:rsidR="00A579EF">
        <w:rPr>
          <w:lang w:val="ru-RU"/>
        </w:rPr>
        <w:t xml:space="preserve"> </w:t>
      </w:r>
      <w:r w:rsidRPr="00694ACA">
        <w:rPr>
          <w:lang w:val="ru-RU"/>
        </w:rPr>
        <w:t>Поэтому, например</w:t>
      </w:r>
      <w:r w:rsidRPr="00694ACA">
        <w:rPr>
          <w:rStyle w:val="FootnoteReference"/>
          <w:lang w:val="ru-RU"/>
        </w:rPr>
        <w:footnoteReference w:id="148"/>
      </w:r>
      <w:r w:rsidRPr="00694ACA">
        <w:rPr>
          <w:lang w:val="ru-RU"/>
        </w:rPr>
        <w:t>, в ИЮОЖ лишь около 10 % от всего штата сотрудников (50 человек) получают заработную плату из бюджета ЮНЕСКО, а заработная плата подавляющего большинства сотрудников поступает из других источников.</w:t>
      </w:r>
      <w:r w:rsidR="00A579EF">
        <w:rPr>
          <w:lang w:val="ru-RU"/>
        </w:rPr>
        <w:t xml:space="preserve"> </w:t>
      </w:r>
      <w:r w:rsidRPr="00694ACA">
        <w:rPr>
          <w:lang w:val="ru-RU"/>
        </w:rPr>
        <w:t>Механизмы финансирования деятельности институтов ЮНЕСКО сложны, однако институты категории 1 получают финансирование в основном из бюджета ЮНЕСКО, утвержденного на Генеральной конференции, а затем привлекают дополнительные добровольные взносы и стараются изыскать внебюджетные средства для финансирования проектов</w:t>
      </w:r>
      <w:r w:rsidRPr="00694ACA">
        <w:rPr>
          <w:rStyle w:val="FootnoteReference"/>
          <w:lang w:val="ru-RU"/>
        </w:rPr>
        <w:footnoteReference w:id="149"/>
      </w:r>
      <w:r w:rsidRPr="00694ACA">
        <w:rPr>
          <w:lang w:val="ru-RU"/>
        </w:rPr>
        <w:t>.</w:t>
      </w:r>
    </w:p>
    <w:p w14:paraId="77581BD7" w14:textId="34F3C0D5" w:rsidR="004B77F6" w:rsidRPr="00694ACA" w:rsidRDefault="004B77F6" w:rsidP="00EA6062">
      <w:pPr>
        <w:ind w:left="-284"/>
        <w:rPr>
          <w:lang w:val="ru-RU"/>
        </w:rPr>
      </w:pPr>
      <w:r w:rsidRPr="00694ACA">
        <w:rPr>
          <w:lang w:val="ru-RU"/>
        </w:rPr>
        <w:t>106. Ряд институтов ЮНЕСКО создавался как инструмент, с помощью которого то или иное государство-член, пожелавшее внести свой вклад в выполнение масштабной миссии ЮНЕСКО, могло бы сделать такой вклад, направив свои усилия в конкретную интересующую его область.</w:t>
      </w:r>
      <w:r w:rsidR="00A579EF">
        <w:rPr>
          <w:lang w:val="ru-RU"/>
        </w:rPr>
        <w:t xml:space="preserve"> </w:t>
      </w:r>
      <w:r w:rsidRPr="00694ACA">
        <w:rPr>
          <w:lang w:val="ru-RU"/>
        </w:rPr>
        <w:t>К примеру, Германия благодаря своей давней поддержке технически-профессионального образования и обучения на протяжении всей жизни учредила два таких института такого профиля — в Гамбурге (ИЮОЖ) и Бонне (ЮНЕВОК</w:t>
      </w:r>
      <w:r w:rsidRPr="00694ACA">
        <w:rPr>
          <w:rStyle w:val="FootnoteReference"/>
          <w:lang w:val="ru-RU"/>
        </w:rPr>
        <w:footnoteReference w:id="150"/>
      </w:r>
      <w:r w:rsidRPr="00694ACA">
        <w:rPr>
          <w:lang w:val="ru-RU"/>
        </w:rPr>
        <w:t>).</w:t>
      </w:r>
      <w:r w:rsidR="00A579EF">
        <w:rPr>
          <w:lang w:val="ru-RU"/>
        </w:rPr>
        <w:t xml:space="preserve"> </w:t>
      </w:r>
      <w:r w:rsidRPr="00694ACA">
        <w:rPr>
          <w:lang w:val="ru-RU"/>
        </w:rPr>
        <w:t>МИПО также получает от французского правительства финансовые средства на содержание своего здания, но не имеет основного финансирования для операционного бюджета.</w:t>
      </w:r>
      <w:r w:rsidR="00A579EF">
        <w:rPr>
          <w:lang w:val="ru-RU"/>
        </w:rPr>
        <w:t xml:space="preserve"> </w:t>
      </w:r>
      <w:r w:rsidRPr="00694ACA">
        <w:rPr>
          <w:lang w:val="ru-RU"/>
        </w:rPr>
        <w:t>Большая часть поступлений в бюджет МИПО обеспечивается за счет заключения договоров с другими учреждениями на реализацию конкретных проектов.</w:t>
      </w:r>
      <w:r w:rsidR="00A579EF">
        <w:rPr>
          <w:lang w:val="ru-RU"/>
        </w:rPr>
        <w:t xml:space="preserve"> </w:t>
      </w:r>
      <w:r w:rsidRPr="00694ACA">
        <w:rPr>
          <w:lang w:val="ru-RU"/>
        </w:rPr>
        <w:t>Иная модель используется и в МЦТФ: расположенный к северу от Триеста кампус поддерживается итальянским правительством; на протяжении 56 лет МЦТФ занимался предоставлением надлежащего профессионального обучения более чем 140 000 ученым из развивающихся стран, в основном посредством очной подготовки, а в последнее время — посредством дистанционного обучения</w:t>
      </w:r>
      <w:r w:rsidRPr="00694ACA">
        <w:rPr>
          <w:rStyle w:val="FootnoteReference"/>
          <w:lang w:val="ru-RU"/>
        </w:rPr>
        <w:footnoteReference w:id="151"/>
      </w:r>
      <w:r w:rsidRPr="00694ACA">
        <w:rPr>
          <w:lang w:val="ru-RU"/>
        </w:rPr>
        <w:t>.</w:t>
      </w:r>
    </w:p>
    <w:p w14:paraId="0A31085C" w14:textId="7E08E03C" w:rsidR="004B77F6" w:rsidRPr="00694ACA" w:rsidRDefault="004B77F6" w:rsidP="00ED5E07">
      <w:pPr>
        <w:ind w:left="-284" w:right="-472"/>
        <w:rPr>
          <w:lang w:val="ru-RU"/>
        </w:rPr>
      </w:pPr>
      <w:r w:rsidRPr="00694ACA">
        <w:rPr>
          <w:lang w:val="ru-RU"/>
        </w:rPr>
        <w:t xml:space="preserve">107. Считается, что главное достоинство этих институтов состоит в их размерах, более низком уровне бюрократии и сравнительной автономии, особенно в плане финансов, что подразумевает их большую гибкость и многофункциональность в выполнении своих функций благодаря проведению высококачественных исследований и </w:t>
      </w:r>
      <w:r w:rsidR="009421AE" w:rsidRPr="00694ACA">
        <w:rPr>
          <w:lang w:val="ru-RU"/>
        </w:rPr>
        <w:t>развитию потенциала</w:t>
      </w:r>
      <w:r w:rsidRPr="00694ACA">
        <w:rPr>
          <w:lang w:val="ru-RU"/>
        </w:rPr>
        <w:t>.</w:t>
      </w:r>
      <w:r w:rsidR="00A579EF">
        <w:rPr>
          <w:lang w:val="ru-RU"/>
        </w:rPr>
        <w:t xml:space="preserve"> </w:t>
      </w:r>
      <w:r w:rsidRPr="00694ACA">
        <w:rPr>
          <w:lang w:val="ru-RU"/>
        </w:rPr>
        <w:t xml:space="preserve">В ходе </w:t>
      </w:r>
      <w:r w:rsidR="00B1190F" w:rsidRPr="00694ACA">
        <w:rPr>
          <w:lang w:val="ru-RU"/>
        </w:rPr>
        <w:t>интервью</w:t>
      </w:r>
      <w:r w:rsidRPr="00694ACA">
        <w:rPr>
          <w:lang w:val="ru-RU"/>
        </w:rPr>
        <w:t xml:space="preserve"> в рамках подготовки настоящего </w:t>
      </w:r>
      <w:r w:rsidR="00BE7DA9" w:rsidRPr="00694ACA">
        <w:rPr>
          <w:lang w:val="ru-RU"/>
        </w:rPr>
        <w:t>отчет</w:t>
      </w:r>
      <w:r w:rsidRPr="00694ACA">
        <w:rPr>
          <w:lang w:val="ru-RU"/>
        </w:rPr>
        <w:t>а было отмечено, что спонсоры предпочитают работать с такими институтами, поскольку они, как правило, обладают практическим опытом и могут выполнять свои задачи быстрее и эффективнее, чем вышестоящие органы.</w:t>
      </w:r>
      <w:r w:rsidR="00A579EF">
        <w:rPr>
          <w:lang w:val="ru-RU"/>
        </w:rPr>
        <w:t xml:space="preserve"> </w:t>
      </w:r>
      <w:r w:rsidRPr="00694ACA">
        <w:rPr>
          <w:lang w:val="ru-RU"/>
        </w:rPr>
        <w:t>Тем не менее, такая ситуация может привести к появлению трений, если спонсор отдает предпочтение работе с институтом, а не с вышестоящим органом.</w:t>
      </w:r>
    </w:p>
    <w:p w14:paraId="161A71A3" w14:textId="14241724" w:rsidR="004B77F6" w:rsidRPr="00694ACA" w:rsidRDefault="004B77F6" w:rsidP="00ED5E07">
      <w:pPr>
        <w:pStyle w:val="Heading3"/>
        <w:ind w:right="-472"/>
        <w:rPr>
          <w:lang w:val="ru-RU"/>
        </w:rPr>
      </w:pPr>
      <w:bookmarkStart w:id="374" w:name="_Toc57297414"/>
      <w:r w:rsidRPr="00694ACA">
        <w:rPr>
          <w:rStyle w:val="Heading4Char"/>
          <w:lang w:val="ru-RU"/>
        </w:rPr>
        <w:t>МУЦ</w:t>
      </w:r>
      <w:r w:rsidR="00F458BC" w:rsidRPr="00694ACA">
        <w:rPr>
          <w:rStyle w:val="Heading4Char"/>
          <w:lang w:val="ru-RU"/>
        </w:rPr>
        <w:t xml:space="preserve"> </w:t>
      </w:r>
      <w:r w:rsidRPr="00694ACA">
        <w:rPr>
          <w:rStyle w:val="Heading4Char"/>
          <w:lang w:val="ru-RU"/>
        </w:rPr>
        <w:t>МОТ</w:t>
      </w:r>
      <w:r w:rsidRPr="00694ACA">
        <w:rPr>
          <w:rStyle w:val="FootnoteReference"/>
          <w:lang w:val="ru-RU"/>
        </w:rPr>
        <w:footnoteReference w:id="152"/>
      </w:r>
      <w:bookmarkEnd w:id="374"/>
    </w:p>
    <w:p w14:paraId="0F86473F" w14:textId="5E39ECE4" w:rsidR="004B77F6" w:rsidRPr="00694ACA" w:rsidRDefault="004B77F6" w:rsidP="00ED5E07">
      <w:pPr>
        <w:ind w:left="-284" w:right="-472"/>
        <w:rPr>
          <w:lang w:val="ru-RU"/>
        </w:rPr>
      </w:pPr>
      <w:r w:rsidRPr="00694ACA">
        <w:rPr>
          <w:lang w:val="ru-RU"/>
        </w:rPr>
        <w:t>108. Несмотря на то, что Международный учебный центр МОТ (МУЦ</w:t>
      </w:r>
      <w:r w:rsidR="00F458BC" w:rsidRPr="00694ACA">
        <w:rPr>
          <w:lang w:val="ru-RU"/>
        </w:rPr>
        <w:t xml:space="preserve"> </w:t>
      </w:r>
      <w:r w:rsidRPr="00694ACA">
        <w:rPr>
          <w:lang w:val="ru-RU"/>
        </w:rPr>
        <w:t xml:space="preserve">МОТ) именуется </w:t>
      </w:r>
      <w:r w:rsidR="006E72AD" w:rsidRPr="00694ACA">
        <w:rPr>
          <w:lang w:val="ru-RU"/>
        </w:rPr>
        <w:t>"</w:t>
      </w:r>
      <w:r w:rsidRPr="00694ACA">
        <w:rPr>
          <w:lang w:val="ru-RU"/>
        </w:rPr>
        <w:t>центром</w:t>
      </w:r>
      <w:r w:rsidR="006E72AD" w:rsidRPr="00694ACA">
        <w:rPr>
          <w:lang w:val="ru-RU"/>
        </w:rPr>
        <w:t>"</w:t>
      </w:r>
      <w:r w:rsidRPr="00694ACA">
        <w:rPr>
          <w:lang w:val="ru-RU"/>
        </w:rPr>
        <w:t xml:space="preserve">, он функционирует аналогично институтам других специализированных учреждений ООН; в связи с этим он включен в этот </w:t>
      </w:r>
      <w:r w:rsidR="00BE7DA9" w:rsidRPr="00694ACA">
        <w:rPr>
          <w:lang w:val="ru-RU"/>
        </w:rPr>
        <w:t>отчет</w:t>
      </w:r>
      <w:r w:rsidRPr="00694ACA">
        <w:rPr>
          <w:lang w:val="ru-RU"/>
        </w:rPr>
        <w:t xml:space="preserve"> в качестве еще одного примера разнообразия моделей, которые можно взять за образец.</w:t>
      </w:r>
      <w:r w:rsidR="00A579EF">
        <w:rPr>
          <w:lang w:val="ru-RU"/>
        </w:rPr>
        <w:t xml:space="preserve"> </w:t>
      </w:r>
      <w:r w:rsidRPr="00694ACA">
        <w:rPr>
          <w:lang w:val="ru-RU"/>
        </w:rPr>
        <w:t>Как отмечалось выше в отношении МЦТФ и КПСООН, правительство Италии с самого начала существования ООН активно участвует в создании институтов, и МУЦ</w:t>
      </w:r>
      <w:r w:rsidR="00F458BC" w:rsidRPr="00694ACA">
        <w:rPr>
          <w:lang w:val="ru-RU"/>
        </w:rPr>
        <w:t xml:space="preserve"> </w:t>
      </w:r>
      <w:r w:rsidRPr="00694ACA">
        <w:rPr>
          <w:lang w:val="ru-RU"/>
        </w:rPr>
        <w:t>МОТ служит еще одним тому подтверждением.</w:t>
      </w:r>
      <w:r w:rsidR="00A579EF">
        <w:rPr>
          <w:lang w:val="ru-RU"/>
        </w:rPr>
        <w:t xml:space="preserve"> </w:t>
      </w:r>
      <w:r w:rsidRPr="00694ACA">
        <w:rPr>
          <w:lang w:val="ru-RU"/>
        </w:rPr>
        <w:t>Организация была основана совместно с МОТ в 1964 году в Туринском парке на берегу реки, и ее миссия заключается в обеспечении всех женщин и мужчин достойной работой.</w:t>
      </w:r>
    </w:p>
    <w:p w14:paraId="2D67E4E0" w14:textId="1896266C" w:rsidR="004B77F6" w:rsidRPr="00694ACA" w:rsidRDefault="004B77F6" w:rsidP="00ED5E07">
      <w:pPr>
        <w:ind w:left="-284" w:right="-472"/>
        <w:rPr>
          <w:rFonts w:eastAsia="Times New Roman" w:cs="Arial"/>
          <w:lang w:val="ru-RU"/>
        </w:rPr>
      </w:pPr>
      <w:r w:rsidRPr="00694ACA">
        <w:rPr>
          <w:lang w:val="ru-RU"/>
        </w:rPr>
        <w:t>109. В прошлом месторасположение кампуса (как и в случае с МЦТФ ЮНЕСКО) позволяло организации размещать обучающихся на очной основе по гораздо более низким ценам, по сравнению с гостиницами.</w:t>
      </w:r>
      <w:r w:rsidR="00A579EF">
        <w:rPr>
          <w:lang w:val="ru-RU"/>
        </w:rPr>
        <w:t xml:space="preserve"> </w:t>
      </w:r>
      <w:r w:rsidRPr="00694ACA">
        <w:rPr>
          <w:lang w:val="ru-RU"/>
        </w:rPr>
        <w:t>Однако в связи с ростом масштабов интерактивного обучения МУЦ</w:t>
      </w:r>
      <w:r w:rsidR="00F458BC" w:rsidRPr="00694ACA">
        <w:rPr>
          <w:lang w:val="ru-RU"/>
        </w:rPr>
        <w:t xml:space="preserve"> </w:t>
      </w:r>
      <w:r w:rsidRPr="00694ACA">
        <w:rPr>
          <w:lang w:val="ru-RU"/>
        </w:rPr>
        <w:t>МОТ вынужден искать альтернативные варианты использования своих помещений.</w:t>
      </w:r>
      <w:r w:rsidR="00A579EF">
        <w:rPr>
          <w:lang w:val="ru-RU"/>
        </w:rPr>
        <w:t xml:space="preserve"> </w:t>
      </w:r>
      <w:r w:rsidRPr="00694ACA">
        <w:rPr>
          <w:lang w:val="ru-RU"/>
        </w:rPr>
        <w:t>Основное финансирование по-прежнему предоставляется МОТ и правительством Италии, однако финансовую и техническую поддержку также оказывают Всемирный банк, Европейский союз, банки финансирования развития, благотворительные фонды и правительства других стран (особенно Португалии, Ирландии и Японии).</w:t>
      </w:r>
      <w:r w:rsidR="00A579EF">
        <w:rPr>
          <w:lang w:val="ru-RU"/>
        </w:rPr>
        <w:t xml:space="preserve"> </w:t>
      </w:r>
      <w:r w:rsidRPr="00694ACA">
        <w:rPr>
          <w:lang w:val="ru-RU"/>
        </w:rPr>
        <w:t xml:space="preserve">Состоящий из 24 членов Совет назначается Административным советом МОТ, при этом половину должностей занимают правительственные представители, а вторую половину — представители </w:t>
      </w:r>
      <w:r w:rsidRPr="00694ACA">
        <w:rPr>
          <w:lang w:val="ru-RU"/>
        </w:rPr>
        <w:lastRenderedPageBreak/>
        <w:t>организаций предпринимателей и рабочих.</w:t>
      </w:r>
      <w:r w:rsidR="00A579EF">
        <w:rPr>
          <w:lang w:val="ru-RU"/>
        </w:rPr>
        <w:t xml:space="preserve"> </w:t>
      </w:r>
      <w:r w:rsidRPr="00694ACA">
        <w:rPr>
          <w:lang w:val="ru-RU"/>
        </w:rPr>
        <w:t xml:space="preserve">В нем также представлены правительство Италии, администрация области Пьемонт, города Турин и Промышленный </w:t>
      </w:r>
      <w:r w:rsidR="006E72AD" w:rsidRPr="00694ACA">
        <w:rPr>
          <w:lang w:val="ru-RU"/>
        </w:rPr>
        <w:t xml:space="preserve">союз </w:t>
      </w:r>
      <w:r w:rsidRPr="00694ACA">
        <w:rPr>
          <w:lang w:val="ru-RU"/>
        </w:rPr>
        <w:t>Турина (</w:t>
      </w:r>
      <w:proofErr w:type="spellStart"/>
      <w:r w:rsidRPr="00694ACA">
        <w:rPr>
          <w:lang w:val="ru-RU"/>
        </w:rPr>
        <w:t>Unione</w:t>
      </w:r>
      <w:proofErr w:type="spellEnd"/>
      <w:r w:rsidRPr="00694ACA">
        <w:rPr>
          <w:lang w:val="ru-RU"/>
        </w:rPr>
        <w:t xml:space="preserve"> </w:t>
      </w:r>
      <w:proofErr w:type="spellStart"/>
      <w:r w:rsidRPr="00694ACA">
        <w:rPr>
          <w:lang w:val="ru-RU"/>
        </w:rPr>
        <w:t>Industriale</w:t>
      </w:r>
      <w:proofErr w:type="spellEnd"/>
      <w:r w:rsidRPr="00694ACA">
        <w:rPr>
          <w:lang w:val="ru-RU"/>
        </w:rPr>
        <w:t xml:space="preserve"> </w:t>
      </w:r>
      <w:proofErr w:type="spellStart"/>
      <w:r w:rsidRPr="00694ACA">
        <w:rPr>
          <w:lang w:val="ru-RU"/>
        </w:rPr>
        <w:t>Torino</w:t>
      </w:r>
      <w:proofErr w:type="spellEnd"/>
      <w:r w:rsidRPr="00694ACA">
        <w:rPr>
          <w:lang w:val="ru-RU"/>
        </w:rPr>
        <w:t>)</w:t>
      </w:r>
      <w:r w:rsidR="00DF434F" w:rsidRPr="00694ACA">
        <w:rPr>
          <w:rStyle w:val="FootnoteReference"/>
          <w:rFonts w:eastAsia="Times New Roman" w:cs="Arial"/>
          <w:lang w:val="ru-RU" w:bidi="ne-NP"/>
        </w:rPr>
        <w:footnoteReference w:id="153"/>
      </w:r>
      <w:r w:rsidRPr="00694ACA">
        <w:rPr>
          <w:lang w:val="ru-RU"/>
        </w:rPr>
        <w:t>.</w:t>
      </w:r>
    </w:p>
    <w:p w14:paraId="05C42691" w14:textId="77777777" w:rsidR="004B77F6" w:rsidRPr="00694ACA" w:rsidRDefault="004B77F6" w:rsidP="007C3B2F">
      <w:pPr>
        <w:pStyle w:val="Heading3"/>
        <w:rPr>
          <w:lang w:val="ru-RU"/>
        </w:rPr>
      </w:pPr>
      <w:r w:rsidRPr="00694ACA">
        <w:rPr>
          <w:lang w:val="ru-RU"/>
        </w:rPr>
        <w:t>Академия ВОЗ</w:t>
      </w:r>
      <w:r w:rsidRPr="00694ACA">
        <w:rPr>
          <w:rStyle w:val="FootnoteReference"/>
          <w:lang w:val="ru-RU" w:bidi="ne-NP"/>
        </w:rPr>
        <w:footnoteReference w:id="154"/>
      </w:r>
    </w:p>
    <w:p w14:paraId="51083D33" w14:textId="622639F3" w:rsidR="004B77F6" w:rsidRPr="00694ACA" w:rsidRDefault="004B77F6" w:rsidP="00754F7C">
      <w:pPr>
        <w:ind w:left="-284"/>
        <w:rPr>
          <w:rFonts w:ascii="Times New Roman" w:hAnsi="Times New Roman" w:cs="Times New Roman"/>
          <w:sz w:val="24"/>
          <w:szCs w:val="24"/>
          <w:lang w:val="ru-RU"/>
        </w:rPr>
      </w:pPr>
      <w:r w:rsidRPr="00694ACA">
        <w:rPr>
          <w:lang w:val="ru-RU"/>
        </w:rPr>
        <w:t>110. Правительство Франции и Всемирная организация здравоохранения в июне 2019 года объявили о</w:t>
      </w:r>
      <w:r w:rsidR="00A37EF8">
        <w:rPr>
          <w:lang w:val="ru-RU"/>
        </w:rPr>
        <w:t> </w:t>
      </w:r>
      <w:r w:rsidRPr="00694ACA">
        <w:rPr>
          <w:lang w:val="ru-RU"/>
        </w:rPr>
        <w:t>своих грандиозных целях по созданию Академии ВОЗ в Лионе</w:t>
      </w:r>
      <w:r w:rsidR="00DF434F" w:rsidRPr="00694ACA">
        <w:rPr>
          <w:rStyle w:val="FootnoteReference"/>
          <w:lang w:val="ru-RU"/>
        </w:rPr>
        <w:footnoteReference w:id="155"/>
      </w:r>
      <w:r w:rsidRPr="00694ACA">
        <w:rPr>
          <w:lang w:val="ru-RU"/>
        </w:rPr>
        <w:t>.</w:t>
      </w:r>
      <w:r w:rsidR="00A579EF">
        <w:rPr>
          <w:lang w:val="ru-RU"/>
        </w:rPr>
        <w:t xml:space="preserve"> </w:t>
      </w:r>
      <w:r w:rsidRPr="00694ACA">
        <w:rPr>
          <w:lang w:val="ru-RU"/>
        </w:rPr>
        <w:t>Цель проекта — преобразование цифрового и гибридного образовательного пространства в сфере здравоохранения для формирования навыков, необходимых для достижения общемировых целей в области здравоохранения к 2030 году.</w:t>
      </w:r>
      <w:r w:rsidR="00A579EF">
        <w:rPr>
          <w:lang w:val="ru-RU"/>
        </w:rPr>
        <w:t xml:space="preserve"> </w:t>
      </w:r>
      <w:r w:rsidRPr="00694ACA">
        <w:rPr>
          <w:lang w:val="ru-RU"/>
        </w:rPr>
        <w:t>В</w:t>
      </w:r>
      <w:r w:rsidR="00A579EF">
        <w:rPr>
          <w:lang w:val="ru-RU"/>
        </w:rPr>
        <w:t> </w:t>
      </w:r>
      <w:r w:rsidRPr="00694ACA">
        <w:rPr>
          <w:lang w:val="ru-RU"/>
        </w:rPr>
        <w:t xml:space="preserve">Лионе будет построен современный кампус, который будет заниматься координацией учебных представительств </w:t>
      </w:r>
      <w:r w:rsidR="006E72AD" w:rsidRPr="00694ACA">
        <w:rPr>
          <w:lang w:val="ru-RU"/>
        </w:rPr>
        <w:t>"</w:t>
      </w:r>
      <w:r w:rsidRPr="00694ACA">
        <w:rPr>
          <w:lang w:val="ru-RU"/>
        </w:rPr>
        <w:t>во всех шести регионах ВОЗ для обеспечения высококачественного, многоязычного, гибридного и персонифицированного цифрового обучения на базе новейшего учебно-</w:t>
      </w:r>
      <w:proofErr w:type="spellStart"/>
      <w:r w:rsidRPr="00694ACA">
        <w:rPr>
          <w:lang w:val="ru-RU"/>
        </w:rPr>
        <w:t>симуляционного</w:t>
      </w:r>
      <w:proofErr w:type="spellEnd"/>
      <w:r w:rsidRPr="00694ACA">
        <w:rPr>
          <w:lang w:val="ru-RU"/>
        </w:rPr>
        <w:t xml:space="preserve"> центра по чрезвычайным ситуациям в области здравоохранения</w:t>
      </w:r>
      <w:r w:rsidR="006E72AD" w:rsidRPr="00694ACA">
        <w:rPr>
          <w:lang w:val="ru-RU"/>
        </w:rPr>
        <w:t>"</w:t>
      </w:r>
      <w:r w:rsidR="00DF434F" w:rsidRPr="00694ACA">
        <w:rPr>
          <w:rStyle w:val="FootnoteReference"/>
          <w:lang w:val="ru-RU"/>
        </w:rPr>
        <w:footnoteReference w:id="156"/>
      </w:r>
      <w:r w:rsidRPr="00694ACA">
        <w:rPr>
          <w:lang w:val="ru-RU"/>
        </w:rPr>
        <w:t>.</w:t>
      </w:r>
      <w:r w:rsidR="00A579EF">
        <w:rPr>
          <w:lang w:val="ru-RU"/>
        </w:rPr>
        <w:t xml:space="preserve"> </w:t>
      </w:r>
      <w:r w:rsidRPr="00694ACA">
        <w:rPr>
          <w:lang w:val="ru-RU"/>
        </w:rPr>
        <w:t xml:space="preserve">Учреждение предназначено для </w:t>
      </w:r>
      <w:r w:rsidR="00367DAA" w:rsidRPr="00694ACA">
        <w:rPr>
          <w:lang w:val="ru-RU"/>
        </w:rPr>
        <w:t>развития потенциала</w:t>
      </w:r>
      <w:r w:rsidRPr="00694ACA">
        <w:rPr>
          <w:lang w:val="ru-RU"/>
        </w:rPr>
        <w:t xml:space="preserve"> и подготовки руководителей, администраторов, исследователей, медицинских работников и общественных организаторов в публичном и частном секторах, и ставит перед собой масштабные цели — к 2023 году повысить уровень квалификации более чем 10 миллионов человек с помощью цифрового и гибридного обучения, а также ежегодно обучать 60 000 человек непосредственно на рабочих местах.</w:t>
      </w:r>
      <w:r w:rsidR="00A579EF">
        <w:rPr>
          <w:lang w:val="ru-RU"/>
        </w:rPr>
        <w:t xml:space="preserve"> </w:t>
      </w:r>
      <w:r w:rsidRPr="00694ACA">
        <w:rPr>
          <w:lang w:val="ru-RU"/>
        </w:rPr>
        <w:t xml:space="preserve">Следует отметить, что единственным заявлением о финансировании в концептуальной сводке за 2019 год было следующее: </w:t>
      </w:r>
      <w:r w:rsidR="006E72AD" w:rsidRPr="00694ACA">
        <w:rPr>
          <w:lang w:val="ru-RU"/>
        </w:rPr>
        <w:t>"</w:t>
      </w:r>
      <w:r w:rsidRPr="00694ACA">
        <w:rPr>
          <w:lang w:val="ru-RU"/>
        </w:rPr>
        <w:t>ВОЗ изучила потенциальные модели финансирования жизнеспособного открытого доступа к обучению, подкрепленные субсидиями на обучение, талонами на образование и дифференцированными расценками на адаптированные услуги, опираясь на выводы, полученные из журналов открытого доступа, а также из материалов обучения криптовалютам и краудфандингу. Согласно результатам анализа, такое финансирование является обеспеченным и дает каждой заинтересованной стороне возможность воспользоваться услугами Академии</w:t>
      </w:r>
      <w:r w:rsidR="006E72AD" w:rsidRPr="00694ACA">
        <w:rPr>
          <w:lang w:val="ru-RU"/>
        </w:rPr>
        <w:t>"</w:t>
      </w:r>
      <w:r w:rsidR="00DF434F" w:rsidRPr="00694ACA">
        <w:rPr>
          <w:rStyle w:val="FootnoteReference"/>
          <w:lang w:val="ru-RU"/>
        </w:rPr>
        <w:footnoteReference w:id="157"/>
      </w:r>
      <w:r w:rsidRPr="00694ACA">
        <w:rPr>
          <w:lang w:val="ru-RU"/>
        </w:rPr>
        <w:t>.</w:t>
      </w:r>
      <w:r w:rsidR="00A579EF">
        <w:rPr>
          <w:lang w:val="ru-RU"/>
        </w:rPr>
        <w:t xml:space="preserve"> </w:t>
      </w:r>
      <w:r w:rsidRPr="00694ACA">
        <w:rPr>
          <w:lang w:val="ru-RU"/>
        </w:rPr>
        <w:t>Академия ВОЗ не является отдельным юридическим лицом, она формируется как внутреннее подразделение ВОЗ, возглавляемое Старшим сотрудником по вопросам обучения уровня помощника Генерального директора и находящееся под руководством Генерального директора.</w:t>
      </w:r>
      <w:r w:rsidR="00A579EF">
        <w:rPr>
          <w:lang w:val="ru-RU"/>
        </w:rPr>
        <w:t xml:space="preserve"> </w:t>
      </w:r>
      <w:r w:rsidRPr="00694ACA">
        <w:rPr>
          <w:lang w:val="ru-RU"/>
        </w:rPr>
        <w:t>Интересно, что в смете по программам ВОЗ на 2020</w:t>
      </w:r>
      <w:r w:rsidR="00312F72">
        <w:rPr>
          <w:lang w:val="ru-RU"/>
        </w:rPr>
        <w:t>−</w:t>
      </w:r>
      <w:r w:rsidR="00DF434F" w:rsidRPr="00694ACA">
        <w:rPr>
          <w:lang w:val="ru-RU"/>
        </w:rPr>
        <w:t>20</w:t>
      </w:r>
      <w:r w:rsidRPr="00694ACA">
        <w:rPr>
          <w:lang w:val="ru-RU"/>
        </w:rPr>
        <w:t>21</w:t>
      </w:r>
      <w:r w:rsidR="00312F72">
        <w:rPr>
          <w:lang w:val="ru-RU"/>
        </w:rPr>
        <w:t> </w:t>
      </w:r>
      <w:r w:rsidRPr="00694ACA">
        <w:rPr>
          <w:lang w:val="ru-RU"/>
        </w:rPr>
        <w:t>г</w:t>
      </w:r>
      <w:r w:rsidR="00DF434F" w:rsidRPr="00694ACA">
        <w:rPr>
          <w:lang w:val="ru-RU"/>
        </w:rPr>
        <w:t>оды</w:t>
      </w:r>
      <w:r w:rsidRPr="00694ACA">
        <w:rPr>
          <w:lang w:val="ru-RU"/>
        </w:rPr>
        <w:t xml:space="preserve"> Академия ВОЗ не упоминается</w:t>
      </w:r>
      <w:r w:rsidR="00DF434F" w:rsidRPr="00694ACA">
        <w:rPr>
          <w:rStyle w:val="FootnoteReference"/>
          <w:lang w:val="ru-RU"/>
        </w:rPr>
        <w:footnoteReference w:id="158"/>
      </w:r>
      <w:r w:rsidRPr="00694ACA">
        <w:rPr>
          <w:lang w:val="ru-RU"/>
        </w:rPr>
        <w:t>.</w:t>
      </w:r>
    </w:p>
    <w:p w14:paraId="4420B408" w14:textId="77777777" w:rsidR="004B77F6" w:rsidRPr="00694ACA" w:rsidRDefault="004B77F6" w:rsidP="00ED5E07">
      <w:pPr>
        <w:pStyle w:val="Heading3"/>
        <w:ind w:right="-472"/>
        <w:rPr>
          <w:lang w:val="ru-RU"/>
        </w:rPr>
      </w:pPr>
      <w:bookmarkStart w:id="375" w:name="_Toc57297415"/>
      <w:r w:rsidRPr="00694ACA">
        <w:rPr>
          <w:lang w:val="ru-RU"/>
        </w:rPr>
        <w:t>Возможности и трудности, с которыми сталкиваются институты</w:t>
      </w:r>
      <w:bookmarkEnd w:id="375"/>
    </w:p>
    <w:p w14:paraId="35A75CF7" w14:textId="73518A2D" w:rsidR="004B77F6" w:rsidRPr="00694ACA" w:rsidRDefault="004B77F6" w:rsidP="00CB7689">
      <w:pPr>
        <w:ind w:left="-284" w:right="-472"/>
        <w:rPr>
          <w:lang w:val="ru-RU"/>
        </w:rPr>
      </w:pPr>
      <w:r w:rsidRPr="00694ACA">
        <w:rPr>
          <w:lang w:val="ru-RU"/>
        </w:rPr>
        <w:t xml:space="preserve">111. Приведенные примеры демонстрируют, что характер и функции институтов в рамках системы ООН значительно различаются, однако из них можно извлечь три важных вывода, актуальных для настоящего </w:t>
      </w:r>
      <w:r w:rsidR="00BE7DA9" w:rsidRPr="00694ACA">
        <w:rPr>
          <w:lang w:val="ru-RU"/>
        </w:rPr>
        <w:t>отчет</w:t>
      </w:r>
      <w:r w:rsidRPr="00694ACA">
        <w:rPr>
          <w:lang w:val="ru-RU"/>
        </w:rPr>
        <w:t>а.</w:t>
      </w:r>
      <w:r w:rsidR="00A579EF">
        <w:rPr>
          <w:lang w:val="ru-RU"/>
        </w:rPr>
        <w:t xml:space="preserve"> </w:t>
      </w:r>
      <w:r w:rsidRPr="00694ACA">
        <w:rPr>
          <w:lang w:val="ru-RU"/>
        </w:rPr>
        <w:t xml:space="preserve">При условии, что МСЭ учредит отдельный Институт </w:t>
      </w:r>
      <w:r w:rsidR="00180067" w:rsidRPr="00694ACA">
        <w:rPr>
          <w:lang w:val="ru-RU"/>
        </w:rPr>
        <w:t>профессиональной подготовки</w:t>
      </w:r>
      <w:r w:rsidRPr="00694ACA">
        <w:rPr>
          <w:lang w:val="ru-RU"/>
        </w:rPr>
        <w:t>, наибольшее внимание потребуется уделить: достижению баланса в отношении финансовых вопросов, возможностей и рисков; формированию оптимальной структуры управления; а также регулированию работы Института.</w:t>
      </w:r>
      <w:bookmarkStart w:id="376" w:name="_Toc57297416"/>
    </w:p>
    <w:p w14:paraId="70A64333" w14:textId="397279D9" w:rsidR="004B77F6" w:rsidRPr="00694ACA" w:rsidRDefault="004B77F6" w:rsidP="00CB7689">
      <w:pPr>
        <w:ind w:left="-284" w:right="-472"/>
        <w:rPr>
          <w:lang w:val="ru-RU"/>
        </w:rPr>
      </w:pPr>
      <w:r w:rsidRPr="00694ACA">
        <w:rPr>
          <w:lang w:val="ru-RU"/>
        </w:rPr>
        <w:t xml:space="preserve">112. </w:t>
      </w:r>
      <w:r w:rsidRPr="00694ACA">
        <w:rPr>
          <w:b/>
          <w:lang w:val="ru-RU"/>
        </w:rPr>
        <w:t>Финансовые вопросы, возможности и риски</w:t>
      </w:r>
      <w:bookmarkEnd w:id="376"/>
      <w:r w:rsidRPr="00694ACA">
        <w:rPr>
          <w:bCs/>
          <w:lang w:val="ru-RU"/>
        </w:rPr>
        <w:t>.</w:t>
      </w:r>
      <w:r w:rsidR="00A579EF">
        <w:rPr>
          <w:bCs/>
          <w:lang w:val="ru-RU"/>
        </w:rPr>
        <w:t xml:space="preserve"> </w:t>
      </w:r>
      <w:r w:rsidRPr="00694ACA">
        <w:rPr>
          <w:lang w:val="ru-RU"/>
        </w:rPr>
        <w:t>Чем большей финансовой независимостью обладает институт, тем вероятнее наличие у него большей гибкости, поскольку в этом случае институту не придется зависеть от бюрократии и ограничений вышестоящего органа.</w:t>
      </w:r>
      <w:r w:rsidR="00A579EF">
        <w:rPr>
          <w:lang w:val="ru-RU"/>
        </w:rPr>
        <w:t xml:space="preserve"> </w:t>
      </w:r>
      <w:r w:rsidRPr="00694ACA">
        <w:rPr>
          <w:lang w:val="ru-RU"/>
        </w:rPr>
        <w:t>Вместе с тем, такая ситуация может стать источником трений, например, если институт испытывает финансовые трудности и вышестоящему учреждению приходится его поддерживать, или же в случае сокращения предполагаемого основного финансирования вышестоящим органом, например, если правительство решает выйти из состава организации.</w:t>
      </w:r>
      <w:r w:rsidR="00A579EF">
        <w:rPr>
          <w:lang w:val="ru-RU"/>
        </w:rPr>
        <w:t xml:space="preserve"> </w:t>
      </w:r>
      <w:r w:rsidRPr="00694ACA">
        <w:rPr>
          <w:lang w:val="ru-RU"/>
        </w:rPr>
        <w:t>Если деятельность институтов хорошо организована и они способны привлекать значительные внешние средства за счет выигранных тендерных проектов или путем предоставления услуг другим организациям, они могут быть весьма эффективными.</w:t>
      </w:r>
      <w:r w:rsidR="00A579EF">
        <w:rPr>
          <w:lang w:val="ru-RU"/>
        </w:rPr>
        <w:t xml:space="preserve"> </w:t>
      </w:r>
      <w:r w:rsidRPr="00694ACA">
        <w:rPr>
          <w:lang w:val="ru-RU"/>
        </w:rPr>
        <w:t>Однако это требует значительных усилий, хорошей репутации, создаваемой высококачественной деятельностью, превосходных навыков общения и ориентации на востребованную область деятельности.</w:t>
      </w:r>
      <w:r w:rsidR="00A579EF">
        <w:rPr>
          <w:lang w:val="ru-RU"/>
        </w:rPr>
        <w:t xml:space="preserve"> </w:t>
      </w:r>
      <w:r w:rsidRPr="00694ACA">
        <w:rPr>
          <w:lang w:val="ru-RU"/>
        </w:rPr>
        <w:t xml:space="preserve">Не все эти качества присущи каждому институту </w:t>
      </w:r>
      <w:r w:rsidRPr="00694ACA">
        <w:rPr>
          <w:lang w:val="ru-RU"/>
        </w:rPr>
        <w:lastRenderedPageBreak/>
        <w:t>ООН, и тем самым их эффективность не всегда гарантирована.</w:t>
      </w:r>
      <w:r w:rsidR="00A579EF">
        <w:rPr>
          <w:lang w:val="ru-RU"/>
        </w:rPr>
        <w:t xml:space="preserve"> </w:t>
      </w:r>
      <w:r w:rsidRPr="00694ACA">
        <w:rPr>
          <w:lang w:val="ru-RU"/>
        </w:rPr>
        <w:t>В особенности это справедливо в отношении недавно созданных институтов, не имеющих достаточного целевого капитала или стабильного долгосрочного финансирования для формирования необходимой для их существования критической массы.</w:t>
      </w:r>
    </w:p>
    <w:p w14:paraId="356CE2B4" w14:textId="74EFD819" w:rsidR="004B77F6" w:rsidRPr="00694ACA" w:rsidRDefault="004B77F6" w:rsidP="00ED5E07">
      <w:pPr>
        <w:ind w:left="-284" w:right="-472"/>
        <w:rPr>
          <w:lang w:val="ru-RU"/>
        </w:rPr>
      </w:pPr>
      <w:r w:rsidRPr="00694ACA">
        <w:rPr>
          <w:lang w:val="ru-RU"/>
        </w:rPr>
        <w:t>113.</w:t>
      </w:r>
      <w:r w:rsidR="00A579EF">
        <w:rPr>
          <w:lang w:val="ru-RU"/>
        </w:rPr>
        <w:t xml:space="preserve"> </w:t>
      </w:r>
      <w:r w:rsidRPr="00694ACA">
        <w:rPr>
          <w:b/>
          <w:lang w:val="ru-RU"/>
        </w:rPr>
        <w:t>Структуры управления</w:t>
      </w:r>
      <w:r w:rsidRPr="00694ACA">
        <w:rPr>
          <w:bCs/>
          <w:lang w:val="ru-RU"/>
        </w:rPr>
        <w:t xml:space="preserve">. </w:t>
      </w:r>
      <w:r w:rsidRPr="00694ACA">
        <w:rPr>
          <w:lang w:val="ru-RU"/>
        </w:rPr>
        <w:t>Институты ООН являются частью головного учреждения ООН, но в то же время они отделены от него.</w:t>
      </w:r>
      <w:r w:rsidR="00A579EF">
        <w:rPr>
          <w:lang w:val="ru-RU"/>
        </w:rPr>
        <w:t xml:space="preserve"> </w:t>
      </w:r>
      <w:r w:rsidRPr="00694ACA">
        <w:rPr>
          <w:lang w:val="ru-RU"/>
        </w:rPr>
        <w:t>Такой подход предоставляет возможности для более масштабной международной деятельности и универсальных инноваций, но вместе с тем может привести к возникновению проблем в области управления.</w:t>
      </w:r>
      <w:r w:rsidR="00A579EF">
        <w:rPr>
          <w:lang w:val="ru-RU"/>
        </w:rPr>
        <w:t xml:space="preserve"> </w:t>
      </w:r>
      <w:r w:rsidRPr="00694ACA">
        <w:rPr>
          <w:lang w:val="ru-RU"/>
        </w:rPr>
        <w:t>К числу возможностей следует отнести потенциал для привлечения новых партнеров, внешних вкладов и знаний от членов Совета, а также свободу действий в плане положительного отклика на новые внешние факторы, приспособиться к которым их вышестоящий орган может быть не в состоянии.</w:t>
      </w:r>
      <w:r w:rsidR="00A579EF">
        <w:rPr>
          <w:lang w:val="ru-RU"/>
        </w:rPr>
        <w:t xml:space="preserve"> </w:t>
      </w:r>
      <w:r w:rsidRPr="00694ACA">
        <w:rPr>
          <w:lang w:val="ru-RU"/>
        </w:rPr>
        <w:t>Тем не менее, вполне возможно возникновение трений в отношении направления, в котором Совет может пожелать развивать институт, а также в отношении основной миссии и целей, на которых может настаивать головное учреждение.</w:t>
      </w:r>
      <w:r w:rsidR="00A579EF">
        <w:rPr>
          <w:lang w:val="ru-RU"/>
        </w:rPr>
        <w:t xml:space="preserve"> </w:t>
      </w:r>
      <w:r w:rsidRPr="00694ACA">
        <w:rPr>
          <w:lang w:val="ru-RU"/>
        </w:rPr>
        <w:t>Очень многое в данном случае определяется степенью независимости в финансовых вопросах и политике, предоставленной институту и его Совету головным учреждением, а эти факторы в различных учреждениях существенно разнятся.</w:t>
      </w:r>
      <w:r w:rsidR="00A579EF">
        <w:rPr>
          <w:lang w:val="ru-RU"/>
        </w:rPr>
        <w:t xml:space="preserve"> </w:t>
      </w:r>
      <w:r w:rsidRPr="00694ACA">
        <w:rPr>
          <w:lang w:val="ru-RU"/>
        </w:rPr>
        <w:t>В контексте управления очень важен баланс между автономией и контролем.</w:t>
      </w:r>
      <w:r w:rsidR="00A579EF">
        <w:rPr>
          <w:lang w:val="ru-RU"/>
        </w:rPr>
        <w:t xml:space="preserve"> </w:t>
      </w:r>
      <w:r w:rsidRPr="00694ACA">
        <w:rPr>
          <w:lang w:val="ru-RU"/>
        </w:rPr>
        <w:t>Для достижения успеха очень важно наличие механизмов, с помощью которых руководители организации, директора институтов и председатели советов могут конструктивно и творчески сотрудничать в интересах организации и ее института.</w:t>
      </w:r>
    </w:p>
    <w:p w14:paraId="2D41F1E0" w14:textId="29B451C0" w:rsidR="004B77F6" w:rsidRPr="00694ACA" w:rsidRDefault="004B77F6" w:rsidP="00755228">
      <w:pPr>
        <w:ind w:left="-284" w:right="-472"/>
        <w:rPr>
          <w:lang w:val="ru-RU"/>
        </w:rPr>
      </w:pPr>
      <w:r w:rsidRPr="00694ACA">
        <w:rPr>
          <w:lang w:val="ru-RU"/>
        </w:rPr>
        <w:t xml:space="preserve">114. </w:t>
      </w:r>
      <w:r w:rsidRPr="00694ACA">
        <w:rPr>
          <w:b/>
          <w:lang w:val="ru-RU"/>
        </w:rPr>
        <w:t>Здания и кампусы в условиях растущей виртуальности</w:t>
      </w:r>
      <w:r w:rsidRPr="00694ACA">
        <w:rPr>
          <w:bCs/>
          <w:lang w:val="ru-RU"/>
        </w:rPr>
        <w:t>.</w:t>
      </w:r>
      <w:r w:rsidR="00A579EF">
        <w:rPr>
          <w:bCs/>
          <w:lang w:val="ru-RU"/>
        </w:rPr>
        <w:t xml:space="preserve"> </w:t>
      </w:r>
      <w:r w:rsidRPr="00694ACA">
        <w:rPr>
          <w:lang w:val="ru-RU"/>
        </w:rPr>
        <w:t>Еще до начала пандемии COVID-19 растущая стоимость очного обучения и быстрое развитие дистанционного онлайн-обучения ставили перед институтами, расположенными в кампусах, все более сложные задачи.</w:t>
      </w:r>
      <w:r w:rsidR="00A579EF">
        <w:rPr>
          <w:lang w:val="ru-RU"/>
        </w:rPr>
        <w:t xml:space="preserve"> </w:t>
      </w:r>
      <w:r w:rsidRPr="00694ACA">
        <w:rPr>
          <w:lang w:val="ru-RU"/>
        </w:rPr>
        <w:t xml:space="preserve">Это относится как к университетам, так и к международным </w:t>
      </w:r>
      <w:r w:rsidR="00E16B52" w:rsidRPr="00694ACA">
        <w:rPr>
          <w:lang w:val="ru-RU"/>
        </w:rPr>
        <w:t>учреждениям</w:t>
      </w:r>
      <w:r w:rsidRPr="00694ACA">
        <w:rPr>
          <w:lang w:val="ru-RU"/>
        </w:rPr>
        <w:t xml:space="preserve"> и другим типам учебных и исследовательских институтов.</w:t>
      </w:r>
      <w:r w:rsidR="00A579EF">
        <w:rPr>
          <w:lang w:val="ru-RU"/>
        </w:rPr>
        <w:t xml:space="preserve"> </w:t>
      </w:r>
      <w:r w:rsidRPr="00694ACA">
        <w:rPr>
          <w:lang w:val="ru-RU"/>
        </w:rPr>
        <w:t>И</w:t>
      </w:r>
      <w:r w:rsidR="009C4800">
        <w:rPr>
          <w:lang w:val="en-US"/>
        </w:rPr>
        <w:t> </w:t>
      </w:r>
      <w:r w:rsidRPr="00694ACA">
        <w:rPr>
          <w:lang w:val="ru-RU"/>
        </w:rPr>
        <w:t xml:space="preserve">действительно, управление и надлежащая оценка стоимости </w:t>
      </w:r>
      <w:r w:rsidR="006E72AD" w:rsidRPr="00694ACA">
        <w:rPr>
          <w:lang w:val="ru-RU"/>
        </w:rPr>
        <w:t>"</w:t>
      </w:r>
      <w:r w:rsidRPr="00694ACA">
        <w:rPr>
          <w:lang w:val="ru-RU"/>
        </w:rPr>
        <w:t>пространства</w:t>
      </w:r>
      <w:r w:rsidR="006E72AD" w:rsidRPr="00694ACA">
        <w:rPr>
          <w:lang w:val="ru-RU"/>
        </w:rPr>
        <w:t>"</w:t>
      </w:r>
      <w:r w:rsidRPr="00694ACA">
        <w:rPr>
          <w:lang w:val="ru-RU"/>
        </w:rPr>
        <w:t xml:space="preserve"> в контексте офисных помещений, учебных аудиторий и жилья играют решающую роль в обеспечении их эффективного и рационального использования.</w:t>
      </w:r>
      <w:r w:rsidR="00A579EF">
        <w:rPr>
          <w:lang w:val="ru-RU"/>
        </w:rPr>
        <w:t xml:space="preserve"> </w:t>
      </w:r>
      <w:r w:rsidRPr="00694ACA">
        <w:rPr>
          <w:lang w:val="ru-RU"/>
        </w:rPr>
        <w:t xml:space="preserve">К примеру, во многих традиционных университетах в течение года не используется значительная часть помещений, и эти </w:t>
      </w:r>
      <w:r w:rsidR="006E72AD" w:rsidRPr="00694ACA">
        <w:rPr>
          <w:lang w:val="ru-RU"/>
        </w:rPr>
        <w:t>"</w:t>
      </w:r>
      <w:r w:rsidRPr="00694ACA">
        <w:rPr>
          <w:lang w:val="ru-RU"/>
        </w:rPr>
        <w:t>потери</w:t>
      </w:r>
      <w:r w:rsidR="006E72AD" w:rsidRPr="00694ACA">
        <w:rPr>
          <w:lang w:val="ru-RU"/>
        </w:rPr>
        <w:t>"</w:t>
      </w:r>
      <w:r w:rsidRPr="00694ACA">
        <w:rPr>
          <w:lang w:val="ru-RU"/>
        </w:rPr>
        <w:t xml:space="preserve"> редко учитываются в их бизнес-моделях.</w:t>
      </w:r>
      <w:r w:rsidR="00A579EF">
        <w:rPr>
          <w:lang w:val="ru-RU"/>
        </w:rPr>
        <w:t xml:space="preserve"> </w:t>
      </w:r>
      <w:r w:rsidRPr="00694ACA">
        <w:rPr>
          <w:lang w:val="ru-RU"/>
        </w:rPr>
        <w:t>Аналогичные сложности возникают и в других типах институтов, особенно в тех, которые расположены на территории кампусов, поскольку зачастую вопросы управления жилыми помещениями и другими зданиями становятся более важными, чем проведение непосредственно исследовательской и образовательной деятельности.</w:t>
      </w:r>
      <w:r w:rsidR="00A579EF">
        <w:rPr>
          <w:lang w:val="ru-RU"/>
        </w:rPr>
        <w:t xml:space="preserve"> </w:t>
      </w:r>
      <w:r w:rsidRPr="00694ACA">
        <w:rPr>
          <w:lang w:val="ru-RU"/>
        </w:rPr>
        <w:t>В результате обусловленного пандемией COVID-19 недавнего перехода практически всех ранее очных курсов на онлайн-обучение, расположенные на территориях кампусов учреждения сразу же столкнулись с дополнительными финансовыми проблемами.</w:t>
      </w:r>
      <w:r w:rsidR="00A579EF">
        <w:rPr>
          <w:lang w:val="ru-RU"/>
        </w:rPr>
        <w:t xml:space="preserve"> </w:t>
      </w:r>
      <w:r w:rsidRPr="00694ACA">
        <w:rPr>
          <w:lang w:val="ru-RU"/>
        </w:rPr>
        <w:t xml:space="preserve">Более того, весьма вероятно, что в долгосрочной перспективе персонал таких учреждений, освоивший методику эффективного онлайн-обучения, сумеет заменить им большую часть очных курсов по </w:t>
      </w:r>
      <w:r w:rsidR="009421AE" w:rsidRPr="00694ACA">
        <w:rPr>
          <w:lang w:val="ru-RU"/>
        </w:rPr>
        <w:t>развитию потенциала</w:t>
      </w:r>
      <w:r w:rsidRPr="00694ACA">
        <w:rPr>
          <w:lang w:val="ru-RU"/>
        </w:rPr>
        <w:t>.</w:t>
      </w:r>
      <w:r w:rsidR="00A579EF">
        <w:rPr>
          <w:lang w:val="ru-RU"/>
        </w:rPr>
        <w:t xml:space="preserve"> </w:t>
      </w:r>
      <w:r w:rsidRPr="00694ACA">
        <w:rPr>
          <w:lang w:val="ru-RU"/>
        </w:rPr>
        <w:t>Таким образом, пандемия COVID-19 в значительной степени усилила и ускорила уже наметившуюся тенденцию.</w:t>
      </w:r>
      <w:r w:rsidR="00A579EF">
        <w:rPr>
          <w:lang w:val="ru-RU"/>
        </w:rPr>
        <w:t xml:space="preserve"> </w:t>
      </w:r>
      <w:r w:rsidRPr="00694ACA">
        <w:rPr>
          <w:lang w:val="ru-RU"/>
        </w:rPr>
        <w:t xml:space="preserve">Однако существует и обратная тенденция: в настоящее время многим людям не хватает физического общения, и поэтому в будущем отдельные очные </w:t>
      </w:r>
      <w:r w:rsidR="00B4758B" w:rsidRPr="00694ACA">
        <w:rPr>
          <w:lang w:val="ru-RU"/>
        </w:rPr>
        <w:t xml:space="preserve">учебные занятия </w:t>
      </w:r>
      <w:r w:rsidRPr="00694ACA">
        <w:rPr>
          <w:lang w:val="ru-RU"/>
        </w:rPr>
        <w:t>и другие мероприятия могут стать более значимыми</w:t>
      </w:r>
      <w:r w:rsidR="00DF434F" w:rsidRPr="00694ACA">
        <w:rPr>
          <w:rStyle w:val="FootnoteReference"/>
          <w:lang w:val="ru-RU"/>
        </w:rPr>
        <w:footnoteReference w:id="159"/>
      </w:r>
      <w:r w:rsidRPr="00694ACA">
        <w:rPr>
          <w:lang w:val="ru-RU"/>
        </w:rPr>
        <w:t>. Для успешной работы институтов и учебных организаций очень важно будет найти баланс между этими двумя противоположными тенденциями.</w:t>
      </w:r>
      <w:r w:rsidR="00A579EF">
        <w:rPr>
          <w:lang w:val="ru-RU"/>
        </w:rPr>
        <w:t xml:space="preserve"> </w:t>
      </w:r>
      <w:r w:rsidRPr="00694ACA">
        <w:rPr>
          <w:lang w:val="ru-RU"/>
        </w:rPr>
        <w:t>Отчасти решением этой задачи станет повышение уровня гибкости как систем взаимоотношений между сотрудниками внутри организации, так и материальной базы.</w:t>
      </w:r>
    </w:p>
    <w:p w14:paraId="55E8FA16" w14:textId="5521F90B" w:rsidR="004B77F6" w:rsidRPr="00694ACA" w:rsidRDefault="004B77F6" w:rsidP="00755228">
      <w:pPr>
        <w:ind w:left="-284"/>
        <w:rPr>
          <w:lang w:val="ru-RU"/>
        </w:rPr>
      </w:pPr>
      <w:r w:rsidRPr="00694ACA">
        <w:rPr>
          <w:lang w:val="ru-RU"/>
        </w:rPr>
        <w:t xml:space="preserve">115. В будущем все </w:t>
      </w:r>
      <w:r w:rsidR="00E16B52" w:rsidRPr="00694ACA">
        <w:rPr>
          <w:lang w:val="ru-RU"/>
        </w:rPr>
        <w:t>учреждения</w:t>
      </w:r>
      <w:r w:rsidRPr="00694ACA">
        <w:rPr>
          <w:lang w:val="ru-RU"/>
        </w:rPr>
        <w:t xml:space="preserve"> ООН столкнутся с еще одним важным обстоятельством — изменением стиля работы и потребностями в кадрах.</w:t>
      </w:r>
      <w:r w:rsidR="00A579EF">
        <w:rPr>
          <w:lang w:val="ru-RU"/>
        </w:rPr>
        <w:t xml:space="preserve"> </w:t>
      </w:r>
      <w:r w:rsidRPr="00694ACA">
        <w:rPr>
          <w:lang w:val="ru-RU"/>
        </w:rPr>
        <w:t>Нет сомнений в том, что пандемия COVID-19 убедила людей и организации в том, что в скором будущем произойдут фундаментальные изменения в отношении привычных офисных помещений и рабочей среды.</w:t>
      </w:r>
      <w:r w:rsidR="00A579EF">
        <w:rPr>
          <w:lang w:val="ru-RU"/>
        </w:rPr>
        <w:t xml:space="preserve"> </w:t>
      </w:r>
      <w:r w:rsidRPr="00694ACA">
        <w:rPr>
          <w:lang w:val="ru-RU"/>
        </w:rPr>
        <w:t>Все это скажется на использовании помещений МСЭ, и, в первую очередь, на оценке стоимости создания нового института.</w:t>
      </w:r>
      <w:r w:rsidR="00A579EF">
        <w:rPr>
          <w:lang w:val="ru-RU"/>
        </w:rPr>
        <w:t xml:space="preserve"> </w:t>
      </w:r>
      <w:r w:rsidRPr="00694ACA">
        <w:rPr>
          <w:lang w:val="ru-RU"/>
        </w:rPr>
        <w:t>Организациям крайне необходимо четкое представление об использовании и, соответственно, стоимости каждого типа управляемых ими помещений.</w:t>
      </w:r>
      <w:r w:rsidR="00A579EF">
        <w:rPr>
          <w:lang w:val="ru-RU"/>
        </w:rPr>
        <w:t xml:space="preserve"> </w:t>
      </w:r>
      <w:r w:rsidRPr="00694ACA">
        <w:rPr>
          <w:lang w:val="ru-RU"/>
        </w:rPr>
        <w:t>Как отмечалось выше, многие Институты ООН располагают собственными зданиями, функционирующими на средства стран пребывания, и детализация этих расходов не всегда доступна; но даже при таких обстоятельствах организациям важно знать условную стоимость своих помещений, а также варианты использования, на которые эти средства выделяются.</w:t>
      </w:r>
      <w:r w:rsidR="00A579EF">
        <w:rPr>
          <w:lang w:val="ru-RU"/>
        </w:rPr>
        <w:t xml:space="preserve"> </w:t>
      </w:r>
      <w:r w:rsidRPr="00694ACA">
        <w:rPr>
          <w:lang w:val="ru-RU"/>
        </w:rPr>
        <w:t>Стоимость создания любого нового института должна учитывать подобные данные, а в отсутствие иных вариантов для расчета сметы можно использовать стандартные цифры.</w:t>
      </w:r>
      <w:r w:rsidR="00A579EF">
        <w:rPr>
          <w:lang w:val="ru-RU"/>
        </w:rPr>
        <w:t xml:space="preserve"> </w:t>
      </w:r>
      <w:r w:rsidRPr="00694ACA">
        <w:rPr>
          <w:lang w:val="ru-RU"/>
        </w:rPr>
        <w:t xml:space="preserve">Например, в </w:t>
      </w:r>
      <w:r w:rsidR="009C4800">
        <w:rPr>
          <w:lang w:val="en-US"/>
        </w:rPr>
        <w:t>IV </w:t>
      </w:r>
      <w:r w:rsidRPr="00694ACA">
        <w:rPr>
          <w:lang w:val="ru-RU"/>
        </w:rPr>
        <w:t xml:space="preserve">квартале 2019 года средняя стоимость аренды элитной коммерческой офисной недвижимости в Женеве составила 644 евро за кв. метр в год, в то время как в Париже этот показатель составил 865 евро, а в Варшаве </w:t>
      </w:r>
      <w:r w:rsidRPr="00694ACA">
        <w:rPr>
          <w:lang w:val="ru-RU"/>
        </w:rPr>
        <w:lastRenderedPageBreak/>
        <w:t>или Будапеште — 300 евро</w:t>
      </w:r>
      <w:r w:rsidR="00DF434F" w:rsidRPr="00694ACA">
        <w:rPr>
          <w:rStyle w:val="FootnoteReference"/>
          <w:lang w:val="ru-RU"/>
        </w:rPr>
        <w:footnoteReference w:id="160"/>
      </w:r>
      <w:r w:rsidRPr="00694ACA">
        <w:rPr>
          <w:lang w:val="ru-RU"/>
        </w:rPr>
        <w:t>. Другими словами, размещение института в Будапеште подразумевает, что при одинаковой цене его площадь может быть в два раза больше, чем в Женеве.</w:t>
      </w:r>
    </w:p>
    <w:p w14:paraId="65CF046B" w14:textId="770652FD" w:rsidR="004B77F6" w:rsidRPr="00694ACA" w:rsidRDefault="004B77F6" w:rsidP="00D278A3">
      <w:pPr>
        <w:pStyle w:val="Heading2"/>
        <w:ind w:right="-472"/>
        <w:rPr>
          <w:lang w:val="ru-RU"/>
        </w:rPr>
      </w:pPr>
      <w:bookmarkStart w:id="377" w:name="_Toc57297433"/>
      <w:bookmarkStart w:id="378" w:name="_Toc58244123"/>
      <w:bookmarkStart w:id="379" w:name="_Toc58273445"/>
      <w:bookmarkStart w:id="380" w:name="_Toc58273674"/>
      <w:bookmarkStart w:id="381" w:name="_Toc58275276"/>
      <w:r w:rsidRPr="00694ACA">
        <w:rPr>
          <w:lang w:val="ru-RU"/>
        </w:rPr>
        <w:t xml:space="preserve">9.3 Преимущества и возможности создания Института МСЭ </w:t>
      </w:r>
      <w:r w:rsidR="00367DAA" w:rsidRPr="00694ACA">
        <w:rPr>
          <w:lang w:val="ru-RU"/>
        </w:rPr>
        <w:t>по развитию потенциала и профессиональной подготовке</w:t>
      </w:r>
      <w:bookmarkEnd w:id="377"/>
      <w:bookmarkEnd w:id="378"/>
      <w:bookmarkEnd w:id="379"/>
      <w:bookmarkEnd w:id="380"/>
      <w:bookmarkEnd w:id="381"/>
    </w:p>
    <w:p w14:paraId="51E96253" w14:textId="77777777" w:rsidR="004B77F6" w:rsidRPr="00694ACA" w:rsidRDefault="004B77F6" w:rsidP="00EF5C99">
      <w:pPr>
        <w:ind w:left="-284" w:right="-472"/>
        <w:rPr>
          <w:szCs w:val="20"/>
          <w:lang w:val="ru-RU"/>
        </w:rPr>
      </w:pPr>
      <w:r w:rsidRPr="00694ACA">
        <w:rPr>
          <w:lang w:val="ru-RU"/>
        </w:rPr>
        <w:t>116. В основу концепции создания Института МСЭ заложены четыре основных преимущества и возможности, однако их конкретная значимость зависит от типа создаваемого института, и многое можно было бы реализовать также другими способами:</w:t>
      </w:r>
    </w:p>
    <w:p w14:paraId="016DE1BF" w14:textId="6FD37497" w:rsidR="004B77F6" w:rsidRPr="00694ACA" w:rsidRDefault="004B77F6" w:rsidP="004B77F6">
      <w:pPr>
        <w:pStyle w:val="Bulletspoint11"/>
        <w:numPr>
          <w:ilvl w:val="0"/>
          <w:numId w:val="6"/>
        </w:numPr>
        <w:ind w:right="-472"/>
        <w:rPr>
          <w:szCs w:val="20"/>
          <w:lang w:val="ru-RU"/>
        </w:rPr>
      </w:pPr>
      <w:r w:rsidRPr="00694ACA">
        <w:rPr>
          <w:b/>
          <w:lang w:val="ru-RU"/>
        </w:rPr>
        <w:t>Ясность цели</w:t>
      </w:r>
      <w:r w:rsidRPr="00694ACA">
        <w:rPr>
          <w:lang w:val="ru-RU"/>
        </w:rPr>
        <w:t>.</w:t>
      </w:r>
      <w:r w:rsidR="00A579EF">
        <w:rPr>
          <w:lang w:val="ru-RU"/>
        </w:rPr>
        <w:t xml:space="preserve"> </w:t>
      </w:r>
      <w:r w:rsidRPr="00694ACA">
        <w:rPr>
          <w:lang w:val="ru-RU"/>
        </w:rPr>
        <w:t xml:space="preserve">Несомненно, создание института любого типа внесет большую определенность во мнение членов, участников и всего международного сообщества о заинтересованности МСЭ в </w:t>
      </w:r>
      <w:r w:rsidR="00367DAA" w:rsidRPr="00694ACA">
        <w:rPr>
          <w:lang w:val="ru-RU"/>
        </w:rPr>
        <w:t>развитии потенциала и профессиональной подготовке</w:t>
      </w:r>
      <w:r w:rsidRPr="00694ACA">
        <w:rPr>
          <w:lang w:val="ru-RU"/>
        </w:rPr>
        <w:t>.</w:t>
      </w:r>
      <w:r w:rsidR="00A579EF">
        <w:rPr>
          <w:lang w:val="ru-RU"/>
        </w:rPr>
        <w:t xml:space="preserve"> </w:t>
      </w:r>
      <w:r w:rsidRPr="00694ACA">
        <w:rPr>
          <w:lang w:val="ru-RU"/>
        </w:rPr>
        <w:t xml:space="preserve">Кроме того, это открыло бы возможности для более четкой и целенаправленной реализации, отчетности и аттестации. </w:t>
      </w:r>
    </w:p>
    <w:p w14:paraId="6F7A1CD3" w14:textId="3257D2D3" w:rsidR="004B77F6" w:rsidRPr="00694ACA" w:rsidRDefault="004B77F6" w:rsidP="004B77F6">
      <w:pPr>
        <w:pStyle w:val="Bulletspoint11"/>
        <w:numPr>
          <w:ilvl w:val="0"/>
          <w:numId w:val="6"/>
        </w:numPr>
        <w:ind w:right="-472"/>
        <w:rPr>
          <w:szCs w:val="20"/>
          <w:lang w:val="ru-RU"/>
        </w:rPr>
      </w:pPr>
      <w:r w:rsidRPr="00694ACA">
        <w:rPr>
          <w:b/>
          <w:lang w:val="ru-RU"/>
        </w:rPr>
        <w:t xml:space="preserve">Централизованная координация и предоставление услуг </w:t>
      </w:r>
      <w:r w:rsidR="00367DAA" w:rsidRPr="00694ACA">
        <w:rPr>
          <w:b/>
          <w:lang w:val="ru-RU"/>
        </w:rPr>
        <w:t>по развитию потенциала и профессиональной подготовке</w:t>
      </w:r>
      <w:r w:rsidRPr="00694ACA">
        <w:rPr>
          <w:lang w:val="ru-RU"/>
        </w:rPr>
        <w:t xml:space="preserve">. Создание Института позволит объединить все мероприятия </w:t>
      </w:r>
      <w:r w:rsidR="00367DAA" w:rsidRPr="00694ACA">
        <w:rPr>
          <w:lang w:val="ru-RU"/>
        </w:rPr>
        <w:t>по развитию потенциала и профессиональной подготовке</w:t>
      </w:r>
      <w:r w:rsidRPr="00694ACA">
        <w:rPr>
          <w:lang w:val="ru-RU"/>
        </w:rPr>
        <w:t xml:space="preserve"> в единую структуру, что обеспечит качество и единообразие реализации проекта в рамках всего МСЭ. Такой подход поможет устранить существующую ныне неоднородность в разработке и реализации программ и недостаток общей координации и руководства.</w:t>
      </w:r>
      <w:r w:rsidR="00A579EF">
        <w:rPr>
          <w:lang w:val="ru-RU"/>
        </w:rPr>
        <w:t xml:space="preserve"> </w:t>
      </w:r>
      <w:r w:rsidRPr="00694ACA">
        <w:rPr>
          <w:lang w:val="ru-RU"/>
        </w:rPr>
        <w:t>Кроме того, это должно повысить качество.</w:t>
      </w:r>
    </w:p>
    <w:p w14:paraId="3AB0AC96" w14:textId="1D28DA50" w:rsidR="004B77F6" w:rsidRPr="00694ACA" w:rsidRDefault="004B77F6" w:rsidP="004B77F6">
      <w:pPr>
        <w:pStyle w:val="Bulletspoint11"/>
        <w:numPr>
          <w:ilvl w:val="0"/>
          <w:numId w:val="6"/>
        </w:numPr>
        <w:ind w:right="-472"/>
        <w:rPr>
          <w:i/>
          <w:iCs/>
          <w:szCs w:val="20"/>
          <w:lang w:val="ru-RU"/>
        </w:rPr>
      </w:pPr>
      <w:r w:rsidRPr="00694ACA">
        <w:rPr>
          <w:b/>
          <w:lang w:val="ru-RU"/>
        </w:rPr>
        <w:t>Укомплектование персоналом: формирование команды квалифицированных кадров</w:t>
      </w:r>
      <w:r w:rsidRPr="00694ACA">
        <w:rPr>
          <w:lang w:val="ru-RU"/>
        </w:rPr>
        <w:t>.</w:t>
      </w:r>
      <w:r w:rsidR="00A579EF">
        <w:rPr>
          <w:lang w:val="ru-RU"/>
        </w:rPr>
        <w:t xml:space="preserve"> </w:t>
      </w:r>
      <w:r w:rsidRPr="00694ACA">
        <w:rPr>
          <w:lang w:val="ru-RU"/>
        </w:rPr>
        <w:t xml:space="preserve">Для МСЭ крайне важно увеличить штат квалифицированных сотрудников, участвующих в разработке и реализации его программ </w:t>
      </w:r>
      <w:r w:rsidR="00367DAA" w:rsidRPr="00694ACA">
        <w:rPr>
          <w:lang w:val="ru-RU"/>
        </w:rPr>
        <w:t>по развитию потенциала и профессиональной подготовке</w:t>
      </w:r>
      <w:r w:rsidR="00DF434F" w:rsidRPr="00694ACA">
        <w:rPr>
          <w:rStyle w:val="FootnoteReference"/>
          <w:lang w:val="ru-RU"/>
        </w:rPr>
        <w:footnoteReference w:id="161"/>
      </w:r>
      <w:r w:rsidRPr="00694ACA">
        <w:rPr>
          <w:lang w:val="ru-RU"/>
        </w:rPr>
        <w:t>.</w:t>
      </w:r>
      <w:r w:rsidR="00A579EF">
        <w:rPr>
          <w:lang w:val="ru-RU"/>
        </w:rPr>
        <w:t xml:space="preserve"> </w:t>
      </w:r>
      <w:r w:rsidRPr="00694ACA">
        <w:rPr>
          <w:lang w:val="ru-RU"/>
        </w:rPr>
        <w:t>Создание Института могло бы также поспособствовать формированию команды внутренних и внешних специалистов, главным образом за счет привлечения нештатных ученых и экспертов к совместной с сотрудниками МСЭ разработке материалов и курсов.</w:t>
      </w:r>
    </w:p>
    <w:p w14:paraId="26D9C518" w14:textId="52470DE8" w:rsidR="004B77F6" w:rsidRPr="00694ACA" w:rsidRDefault="004B77F6" w:rsidP="004B77F6">
      <w:pPr>
        <w:pStyle w:val="Bulletspoint11"/>
        <w:numPr>
          <w:ilvl w:val="0"/>
          <w:numId w:val="6"/>
        </w:numPr>
        <w:ind w:right="-472"/>
        <w:rPr>
          <w:i/>
          <w:iCs/>
          <w:lang w:val="ru-RU"/>
        </w:rPr>
      </w:pPr>
      <w:r w:rsidRPr="00694ACA">
        <w:rPr>
          <w:b/>
          <w:lang w:val="ru-RU"/>
        </w:rPr>
        <w:t xml:space="preserve">Подтверждение заинтересованности в </w:t>
      </w:r>
      <w:r w:rsidR="00367DAA" w:rsidRPr="00694ACA">
        <w:rPr>
          <w:b/>
          <w:lang w:val="ru-RU"/>
        </w:rPr>
        <w:t>развитии потенциала и профессиональной подготовке</w:t>
      </w:r>
      <w:r w:rsidRPr="00694ACA">
        <w:rPr>
          <w:lang w:val="ru-RU"/>
        </w:rPr>
        <w:t xml:space="preserve">. Создание мощного нового, ультрасовременного физического Института будет убедительным свидетельством и глобальным заявлением о заинтересованности страны пребывания и МСЭ в </w:t>
      </w:r>
      <w:r w:rsidR="00367DAA" w:rsidRPr="00694ACA">
        <w:rPr>
          <w:lang w:val="ru-RU"/>
        </w:rPr>
        <w:t>развитии потенциала и профессиональной подготовке</w:t>
      </w:r>
      <w:r w:rsidRPr="00694ACA">
        <w:rPr>
          <w:lang w:val="ru-RU"/>
        </w:rPr>
        <w:t>.</w:t>
      </w:r>
      <w:r w:rsidR="00A579EF">
        <w:rPr>
          <w:lang w:val="ru-RU"/>
        </w:rPr>
        <w:t xml:space="preserve"> </w:t>
      </w:r>
      <w:r w:rsidRPr="00694ACA">
        <w:rPr>
          <w:lang w:val="ru-RU"/>
        </w:rPr>
        <w:t>Однако необходимо выяснить, действительно ли объем средств, необходимых для создания физического института, как, например, для открытия новой перспективной Академии ВОЗ в Лионе, является оптимальным использованием ресурсов любого учреждения ООН</w:t>
      </w:r>
      <w:r w:rsidR="00DF434F" w:rsidRPr="00694ACA">
        <w:rPr>
          <w:rStyle w:val="FootnoteReference"/>
          <w:lang w:val="ru-RU"/>
        </w:rPr>
        <w:footnoteReference w:id="162"/>
      </w:r>
      <w:r w:rsidRPr="00694ACA">
        <w:rPr>
          <w:lang w:val="ru-RU"/>
        </w:rPr>
        <w:t>.</w:t>
      </w:r>
    </w:p>
    <w:p w14:paraId="0B6AF1F4" w14:textId="7124C278" w:rsidR="004B77F6" w:rsidRPr="00694ACA" w:rsidRDefault="004B77F6" w:rsidP="00D278A3">
      <w:pPr>
        <w:pStyle w:val="Heading2"/>
        <w:ind w:right="-472"/>
        <w:rPr>
          <w:lang w:val="ru-RU"/>
        </w:rPr>
      </w:pPr>
      <w:bookmarkStart w:id="382" w:name="_Toc57297434"/>
      <w:bookmarkStart w:id="383" w:name="_Toc58244124"/>
      <w:bookmarkStart w:id="384" w:name="_Toc58273446"/>
      <w:bookmarkStart w:id="385" w:name="_Toc58273675"/>
      <w:bookmarkStart w:id="386" w:name="_Toc58275277"/>
      <w:r w:rsidRPr="00694ACA">
        <w:rPr>
          <w:lang w:val="ru-RU"/>
        </w:rPr>
        <w:t xml:space="preserve">9.4 Проблемы, связанные с созданием Института МСЭ </w:t>
      </w:r>
      <w:r w:rsidR="00367DAA" w:rsidRPr="00694ACA">
        <w:rPr>
          <w:lang w:val="ru-RU"/>
        </w:rPr>
        <w:t>по развитию потенциала и профессиональной подготовке</w:t>
      </w:r>
      <w:bookmarkEnd w:id="382"/>
      <w:bookmarkEnd w:id="383"/>
      <w:bookmarkEnd w:id="384"/>
      <w:bookmarkEnd w:id="385"/>
      <w:bookmarkEnd w:id="386"/>
    </w:p>
    <w:p w14:paraId="20D0D504" w14:textId="4ECF4AF3" w:rsidR="004B77F6" w:rsidRPr="00694ACA" w:rsidRDefault="004B77F6" w:rsidP="00EF5C99">
      <w:pPr>
        <w:ind w:left="-284" w:right="-472"/>
        <w:rPr>
          <w:szCs w:val="20"/>
          <w:lang w:val="ru-RU"/>
        </w:rPr>
      </w:pPr>
      <w:r w:rsidRPr="00694ACA">
        <w:rPr>
          <w:lang w:val="ru-RU"/>
        </w:rPr>
        <w:t>117.</w:t>
      </w:r>
      <w:r w:rsidR="00A579EF">
        <w:rPr>
          <w:lang w:val="ru-RU"/>
        </w:rPr>
        <w:t xml:space="preserve"> </w:t>
      </w:r>
      <w:r w:rsidRPr="00694ACA">
        <w:rPr>
          <w:lang w:val="ru-RU"/>
        </w:rPr>
        <w:t xml:space="preserve">В противовес этим потенциальным преимуществам имеются девять конкретных проблем, которые необходимо будет решить, если МСЭ намерен создать свой собственный институт </w:t>
      </w:r>
      <w:r w:rsidR="00367DAA" w:rsidRPr="00694ACA">
        <w:rPr>
          <w:lang w:val="ru-RU"/>
        </w:rPr>
        <w:t>по развитию потенциала и профессиональной подготовке</w:t>
      </w:r>
      <w:r w:rsidRPr="00694ACA">
        <w:rPr>
          <w:lang w:val="ru-RU"/>
        </w:rPr>
        <w:t>.</w:t>
      </w:r>
    </w:p>
    <w:p w14:paraId="0688B6D9" w14:textId="1DBB7ADA" w:rsidR="004B77F6" w:rsidRPr="00694ACA" w:rsidRDefault="004B77F6" w:rsidP="004B77F6">
      <w:pPr>
        <w:pStyle w:val="ListParagraph"/>
        <w:numPr>
          <w:ilvl w:val="0"/>
          <w:numId w:val="7"/>
        </w:numPr>
        <w:spacing w:after="200"/>
        <w:ind w:right="-472"/>
        <w:rPr>
          <w:szCs w:val="20"/>
          <w:lang w:val="ru-RU"/>
        </w:rPr>
      </w:pPr>
      <w:bookmarkStart w:id="387" w:name="_Toc57297436"/>
      <w:r w:rsidRPr="00694ACA">
        <w:rPr>
          <w:b/>
          <w:lang w:val="ru-RU"/>
        </w:rPr>
        <w:t>Структуры управления</w:t>
      </w:r>
      <w:bookmarkEnd w:id="387"/>
      <w:r w:rsidRPr="00694ACA">
        <w:rPr>
          <w:lang w:val="ru-RU"/>
        </w:rPr>
        <w:t>. В разделе 9.2 об Институтах в рамках системы ООН были отмечены сложности и проблемы, которые могут возникнуть в таких Институтах даже в случае формирования изначально надежных структур управления.</w:t>
      </w:r>
      <w:r w:rsidR="00A579EF">
        <w:rPr>
          <w:lang w:val="ru-RU"/>
        </w:rPr>
        <w:t xml:space="preserve"> </w:t>
      </w:r>
      <w:r w:rsidRPr="00694ACA">
        <w:rPr>
          <w:lang w:val="ru-RU"/>
        </w:rPr>
        <w:t>Эти проблемы в немалой степени обусловлены функциями Советов, а также тем, выполняют ли они исключительно консультативную роль или же наделены некоторыми контролирующими функциями.</w:t>
      </w:r>
      <w:r w:rsidR="00A579EF">
        <w:rPr>
          <w:lang w:val="ru-RU"/>
        </w:rPr>
        <w:t xml:space="preserve"> </w:t>
      </w:r>
      <w:r w:rsidRPr="00694ACA">
        <w:rPr>
          <w:lang w:val="ru-RU"/>
        </w:rPr>
        <w:t>Степень их финансовой независимости также является еще одним важным вопросом.</w:t>
      </w:r>
      <w:r w:rsidR="00A579EF">
        <w:rPr>
          <w:lang w:val="ru-RU"/>
        </w:rPr>
        <w:t xml:space="preserve"> </w:t>
      </w:r>
      <w:r w:rsidRPr="00694ACA">
        <w:rPr>
          <w:lang w:val="ru-RU"/>
        </w:rPr>
        <w:t xml:space="preserve">С учетом того, что МСЭ пока не располагает структурой управления, позволяющей создавать </w:t>
      </w:r>
      <w:proofErr w:type="spellStart"/>
      <w:r w:rsidRPr="00694ACA">
        <w:rPr>
          <w:lang w:val="ru-RU"/>
        </w:rPr>
        <w:t>квазинезависимые</w:t>
      </w:r>
      <w:proofErr w:type="spellEnd"/>
      <w:r w:rsidRPr="00694ACA">
        <w:rPr>
          <w:lang w:val="ru-RU"/>
        </w:rPr>
        <w:t xml:space="preserve"> институты, связанные с ними проблемы управления позволяют предположить, что для </w:t>
      </w:r>
      <w:r w:rsidRPr="00694ACA">
        <w:rPr>
          <w:lang w:val="ru-RU"/>
        </w:rPr>
        <w:lastRenderedPageBreak/>
        <w:t>реализации такого варианта необходимо, чтобы преимущества в значительной степени перевесили все возможные недостатки.</w:t>
      </w:r>
    </w:p>
    <w:p w14:paraId="45DB65BE" w14:textId="2419C357" w:rsidR="004B77F6" w:rsidRPr="00694ACA" w:rsidRDefault="004B77F6" w:rsidP="004B77F6">
      <w:pPr>
        <w:pStyle w:val="ListParagraph"/>
        <w:numPr>
          <w:ilvl w:val="0"/>
          <w:numId w:val="7"/>
        </w:numPr>
        <w:spacing w:after="200"/>
        <w:ind w:right="-472"/>
        <w:rPr>
          <w:szCs w:val="20"/>
          <w:lang w:val="ru-RU"/>
        </w:rPr>
      </w:pPr>
      <w:bookmarkStart w:id="388" w:name="_Toc57297437"/>
      <w:r w:rsidRPr="00694ACA">
        <w:rPr>
          <w:b/>
          <w:lang w:val="ru-RU"/>
        </w:rPr>
        <w:t>Финансовые последствия</w:t>
      </w:r>
      <w:bookmarkEnd w:id="388"/>
      <w:r w:rsidRPr="00694ACA">
        <w:rPr>
          <w:lang w:val="ru-RU"/>
        </w:rPr>
        <w:t>. Необходимый для создания Института большой объем финансовых средств может оказаться неподъемным, особенно в нынешних экономических условиях.</w:t>
      </w:r>
      <w:r w:rsidR="00A579EF">
        <w:rPr>
          <w:lang w:val="ru-RU"/>
        </w:rPr>
        <w:t xml:space="preserve"> </w:t>
      </w:r>
      <w:r w:rsidRPr="00694ACA">
        <w:rPr>
          <w:lang w:val="ru-RU"/>
        </w:rPr>
        <w:t xml:space="preserve">Ресурсное обеспечение более подробно рассматривается ниже, однако потребуется принять непростые решения о степени финансовой независимости Института и о возможных способах получения доходов, особенно в условиях, где члены МСЭ по обыкновению получают большую часть услуг </w:t>
      </w:r>
      <w:r w:rsidR="00367DAA" w:rsidRPr="00694ACA">
        <w:rPr>
          <w:lang w:val="ru-RU"/>
        </w:rPr>
        <w:t>по развитию потенциала и профессиональной подготовке</w:t>
      </w:r>
      <w:r w:rsidRPr="00694ACA">
        <w:rPr>
          <w:lang w:val="ru-RU"/>
        </w:rPr>
        <w:t xml:space="preserve"> бесплатно или за небольшую плату.</w:t>
      </w:r>
      <w:r w:rsidR="00A579EF">
        <w:rPr>
          <w:lang w:val="ru-RU"/>
        </w:rPr>
        <w:t xml:space="preserve"> </w:t>
      </w:r>
      <w:r w:rsidRPr="00694ACA">
        <w:rPr>
          <w:lang w:val="ru-RU"/>
        </w:rPr>
        <w:t>Практически нет смысла создавать Институт, если заранее не будут обеспечены все финансовые издержки.</w:t>
      </w:r>
    </w:p>
    <w:p w14:paraId="0CDB0BBC" w14:textId="77EB45AF" w:rsidR="004B77F6" w:rsidRPr="00694ACA" w:rsidRDefault="004B77F6" w:rsidP="004B77F6">
      <w:pPr>
        <w:pStyle w:val="ListParagraph"/>
        <w:numPr>
          <w:ilvl w:val="0"/>
          <w:numId w:val="7"/>
        </w:numPr>
        <w:spacing w:after="200"/>
        <w:ind w:right="-472"/>
        <w:rPr>
          <w:szCs w:val="20"/>
          <w:lang w:val="ru-RU"/>
        </w:rPr>
      </w:pPr>
      <w:bookmarkStart w:id="389" w:name="_Toc57297438"/>
      <w:r w:rsidRPr="00694ACA">
        <w:rPr>
          <w:b/>
          <w:lang w:val="ru-RU"/>
        </w:rPr>
        <w:t>Переход на онлайн-обучение, особенно в условиях пандемии COVID-19</w:t>
      </w:r>
      <w:bookmarkEnd w:id="389"/>
      <w:r w:rsidRPr="00694ACA">
        <w:rPr>
          <w:lang w:val="ru-RU"/>
        </w:rPr>
        <w:t xml:space="preserve">. В будущем многие, если не большинство, мероприятий </w:t>
      </w:r>
      <w:r w:rsidR="00367DAA" w:rsidRPr="00694ACA">
        <w:rPr>
          <w:lang w:val="ru-RU"/>
        </w:rPr>
        <w:t>по развитию потенциала и профессиональной подготовке</w:t>
      </w:r>
      <w:r w:rsidRPr="00694ACA">
        <w:rPr>
          <w:lang w:val="ru-RU"/>
        </w:rPr>
        <w:t xml:space="preserve"> будут проводиться в режиме онлайн.</w:t>
      </w:r>
      <w:r w:rsidR="00A579EF">
        <w:rPr>
          <w:lang w:val="ru-RU"/>
        </w:rPr>
        <w:t xml:space="preserve"> </w:t>
      </w:r>
      <w:r w:rsidRPr="00694ACA">
        <w:rPr>
          <w:lang w:val="ru-RU"/>
        </w:rPr>
        <w:t>Часть мероприятий будут по-прежнему проводиться в очном формате, причем неформальное обучение — конференции, семинары и другие социальные мероприятия — вполне может стать еще более востребованным.</w:t>
      </w:r>
      <w:r w:rsidR="00A579EF">
        <w:rPr>
          <w:lang w:val="ru-RU"/>
        </w:rPr>
        <w:t xml:space="preserve"> </w:t>
      </w:r>
      <w:r w:rsidRPr="00694ACA">
        <w:rPr>
          <w:lang w:val="ru-RU"/>
        </w:rPr>
        <w:t>Учитывая значительный рост популярности онлайн-обучения и возможность того, что очное обучение будет проводиться на национальном и региональном уровнях, целесообразность создания единого физического учреждения может быть не столь обоснованной ни в настоящее время, ни в обозримом будущем.</w:t>
      </w:r>
    </w:p>
    <w:p w14:paraId="4A5DD961" w14:textId="0C324A7F" w:rsidR="004B77F6" w:rsidRPr="00694ACA" w:rsidRDefault="004B77F6" w:rsidP="004B77F6">
      <w:pPr>
        <w:pStyle w:val="ListParagraph"/>
        <w:numPr>
          <w:ilvl w:val="0"/>
          <w:numId w:val="7"/>
        </w:numPr>
        <w:spacing w:after="200"/>
        <w:ind w:right="-472"/>
        <w:rPr>
          <w:szCs w:val="20"/>
          <w:lang w:val="ru-RU"/>
        </w:rPr>
      </w:pPr>
      <w:bookmarkStart w:id="390" w:name="_Toc57297439"/>
      <w:r w:rsidRPr="00694ACA">
        <w:rPr>
          <w:b/>
          <w:lang w:val="ru-RU"/>
        </w:rPr>
        <w:t xml:space="preserve">Глобальная конкуренция в области </w:t>
      </w:r>
      <w:bookmarkEnd w:id="390"/>
      <w:r w:rsidR="00180067" w:rsidRPr="00694ACA">
        <w:rPr>
          <w:b/>
          <w:lang w:val="ru-RU"/>
        </w:rPr>
        <w:t>развития потенциала и профессиональной подготовки</w:t>
      </w:r>
      <w:r w:rsidRPr="00694ACA">
        <w:rPr>
          <w:bCs/>
          <w:lang w:val="ru-RU"/>
        </w:rPr>
        <w:t>.</w:t>
      </w:r>
      <w:r w:rsidR="00A579EF">
        <w:rPr>
          <w:bCs/>
          <w:lang w:val="ru-RU"/>
        </w:rPr>
        <w:t xml:space="preserve"> </w:t>
      </w:r>
      <w:r w:rsidRPr="00694ACA">
        <w:rPr>
          <w:lang w:val="ru-RU"/>
        </w:rPr>
        <w:t xml:space="preserve">Как отмечается в данном </w:t>
      </w:r>
      <w:r w:rsidR="00BE7DA9" w:rsidRPr="00694ACA">
        <w:rPr>
          <w:lang w:val="ru-RU"/>
        </w:rPr>
        <w:t>отчет</w:t>
      </w:r>
      <w:r w:rsidRPr="00694ACA">
        <w:rPr>
          <w:lang w:val="ru-RU"/>
        </w:rPr>
        <w:t xml:space="preserve">е, сектор </w:t>
      </w:r>
      <w:r w:rsidR="00180067" w:rsidRPr="00694ACA">
        <w:rPr>
          <w:lang w:val="ru-RU"/>
        </w:rPr>
        <w:t xml:space="preserve">развития потенциала и профессиональной подготовки </w:t>
      </w:r>
      <w:r w:rsidRPr="00694ACA">
        <w:rPr>
          <w:lang w:val="ru-RU"/>
        </w:rPr>
        <w:t xml:space="preserve">в области цифровых технологий и </w:t>
      </w:r>
      <w:r w:rsidR="00180067" w:rsidRPr="00694ACA">
        <w:rPr>
          <w:lang w:val="ru-RU"/>
        </w:rPr>
        <w:t>электросвязи</w:t>
      </w:r>
      <w:r w:rsidRPr="00694ACA">
        <w:rPr>
          <w:lang w:val="ru-RU"/>
        </w:rPr>
        <w:t xml:space="preserve"> и так достаточно насыщен, и продолжает расти.</w:t>
      </w:r>
      <w:r w:rsidR="00A579EF">
        <w:rPr>
          <w:lang w:val="ru-RU"/>
        </w:rPr>
        <w:t xml:space="preserve"> </w:t>
      </w:r>
      <w:r w:rsidRPr="00694ACA">
        <w:rPr>
          <w:lang w:val="ru-RU"/>
        </w:rPr>
        <w:t>Прочие реалистичные сценарии (Приложение 7) и то, что в настоящее время большая часть деятельности в этой области под эгидой МСЭ фактически осуществляется партнерами или привлеченными экспертами, говорят о том, что для создания в рамках МСЭ комплексного высококлассного института, который мог бы эффективно конкурировать в этой сфере, потребуются значительные амбиции и усилия.</w:t>
      </w:r>
    </w:p>
    <w:p w14:paraId="0D692CEB" w14:textId="7DDB7C56" w:rsidR="004B77F6" w:rsidRPr="00694ACA" w:rsidRDefault="004B77F6" w:rsidP="004B77F6">
      <w:pPr>
        <w:pStyle w:val="ListParagraph"/>
        <w:numPr>
          <w:ilvl w:val="0"/>
          <w:numId w:val="7"/>
        </w:numPr>
        <w:spacing w:after="200"/>
        <w:ind w:right="-472"/>
        <w:rPr>
          <w:rFonts w:eastAsia="Times New Roman" w:cs="Arial"/>
          <w:szCs w:val="20"/>
          <w:lang w:val="ru-RU"/>
        </w:rPr>
      </w:pPr>
      <w:bookmarkStart w:id="391" w:name="_Toc57297440"/>
      <w:r w:rsidRPr="00694ACA">
        <w:rPr>
          <w:b/>
          <w:lang w:val="ru-RU"/>
        </w:rPr>
        <w:t>Обеспечение физического присутствия</w:t>
      </w:r>
      <w:bookmarkEnd w:id="391"/>
      <w:r w:rsidRPr="00694ACA">
        <w:rPr>
          <w:lang w:val="ru-RU"/>
        </w:rPr>
        <w:t>. Управление физическим институтом сопряжено со значительными затратами и сложностями.</w:t>
      </w:r>
      <w:r w:rsidR="00A579EF">
        <w:rPr>
          <w:lang w:val="ru-RU"/>
        </w:rPr>
        <w:t xml:space="preserve"> </w:t>
      </w:r>
      <w:r w:rsidRPr="00694ACA">
        <w:rPr>
          <w:lang w:val="ru-RU"/>
        </w:rPr>
        <w:t>Более того, переход от очной формы обучения в результате длительного влияния пандемии COVID-19, скорее всего, приведет к существенной реорганизации уже существующих и будущих институтов такого рода.</w:t>
      </w:r>
      <w:r w:rsidR="00A579EF">
        <w:rPr>
          <w:lang w:val="ru-RU"/>
        </w:rPr>
        <w:t xml:space="preserve"> </w:t>
      </w:r>
      <w:r w:rsidRPr="00694ACA">
        <w:rPr>
          <w:lang w:val="ru-RU"/>
        </w:rPr>
        <w:t>Наличие кампуса и помещений не является обязательным для института, однако страны пребывания зачастую охотно предоставляют такие помещения.</w:t>
      </w:r>
      <w:r w:rsidR="00A579EF">
        <w:rPr>
          <w:lang w:val="ru-RU"/>
        </w:rPr>
        <w:t xml:space="preserve"> </w:t>
      </w:r>
      <w:r w:rsidRPr="00694ACA">
        <w:rPr>
          <w:lang w:val="ru-RU"/>
        </w:rPr>
        <w:t>Реализация амбициозных планов по созданию Академии ВОЗ в Лионе, о которой Франция объявила в 2019 году, теперь в свете последних событий выглядит более проблематичной</w:t>
      </w:r>
      <w:r w:rsidR="00DF434F" w:rsidRPr="00694ACA">
        <w:rPr>
          <w:rStyle w:val="FootnoteReference"/>
          <w:lang w:val="ru-RU"/>
        </w:rPr>
        <w:footnoteReference w:id="163"/>
      </w:r>
      <w:r w:rsidRPr="00694ACA">
        <w:rPr>
          <w:lang w:val="ru-RU"/>
        </w:rPr>
        <w:t xml:space="preserve">. </w:t>
      </w:r>
    </w:p>
    <w:p w14:paraId="16ECDC36" w14:textId="66FBA104" w:rsidR="004B77F6" w:rsidRPr="00694ACA" w:rsidRDefault="004B77F6" w:rsidP="004B77F6">
      <w:pPr>
        <w:pStyle w:val="ListParagraph"/>
        <w:numPr>
          <w:ilvl w:val="0"/>
          <w:numId w:val="7"/>
        </w:numPr>
        <w:spacing w:after="200"/>
        <w:ind w:right="-472"/>
        <w:rPr>
          <w:szCs w:val="20"/>
          <w:lang w:val="ru-RU"/>
        </w:rPr>
      </w:pPr>
      <w:bookmarkStart w:id="392" w:name="_Toc57297435"/>
      <w:r w:rsidRPr="00694ACA">
        <w:rPr>
          <w:b/>
          <w:lang w:val="ru-RU"/>
        </w:rPr>
        <w:t>Терминология, связанная с деятельностью институтов и академий</w:t>
      </w:r>
      <w:bookmarkEnd w:id="392"/>
      <w:r w:rsidRPr="00694ACA">
        <w:rPr>
          <w:lang w:val="ru-RU"/>
        </w:rPr>
        <w:t xml:space="preserve">. Как правило, под термином </w:t>
      </w:r>
      <w:r w:rsidR="006E72AD" w:rsidRPr="00694ACA">
        <w:rPr>
          <w:lang w:val="ru-RU"/>
        </w:rPr>
        <w:t>"</w:t>
      </w:r>
      <w:r w:rsidRPr="00694ACA">
        <w:rPr>
          <w:lang w:val="ru-RU"/>
        </w:rPr>
        <w:t>институт</w:t>
      </w:r>
      <w:r w:rsidR="006E72AD" w:rsidRPr="00694ACA">
        <w:rPr>
          <w:lang w:val="ru-RU"/>
        </w:rPr>
        <w:t>"</w:t>
      </w:r>
      <w:r w:rsidRPr="00694ACA">
        <w:rPr>
          <w:lang w:val="ru-RU"/>
        </w:rPr>
        <w:t xml:space="preserve"> подразумевается крупная организация, имеющая определенную цель, обычно связанную с наукой, образованием, исследованиями или смежными видами деятельности</w:t>
      </w:r>
      <w:r w:rsidR="00DF434F" w:rsidRPr="00694ACA">
        <w:rPr>
          <w:rStyle w:val="FootnoteReference"/>
          <w:lang w:val="ru-RU"/>
        </w:rPr>
        <w:footnoteReference w:id="164"/>
      </w:r>
      <w:r w:rsidRPr="00694ACA">
        <w:rPr>
          <w:lang w:val="ru-RU"/>
        </w:rPr>
        <w:t>.</w:t>
      </w:r>
      <w:r w:rsidR="00A579EF">
        <w:rPr>
          <w:lang w:val="ru-RU"/>
        </w:rPr>
        <w:t xml:space="preserve"> </w:t>
      </w:r>
      <w:r w:rsidRPr="00694ACA">
        <w:rPr>
          <w:lang w:val="ru-RU"/>
        </w:rPr>
        <w:t>В</w:t>
      </w:r>
      <w:r w:rsidR="00DF434F" w:rsidRPr="00694ACA">
        <w:rPr>
          <w:lang w:val="ru-RU"/>
        </w:rPr>
        <w:t> </w:t>
      </w:r>
      <w:r w:rsidRPr="00694ACA">
        <w:rPr>
          <w:lang w:val="ru-RU"/>
        </w:rPr>
        <w:t xml:space="preserve">представлении большинства людей институт — это крупная физическая организация, которая подразумевает наличие здания, персонала и ресурсов, а институт </w:t>
      </w:r>
      <w:r w:rsidR="00B4758B" w:rsidRPr="00694ACA">
        <w:rPr>
          <w:lang w:val="ru-RU"/>
        </w:rPr>
        <w:t xml:space="preserve">профессиональной </w:t>
      </w:r>
      <w:r w:rsidRPr="00694ACA">
        <w:rPr>
          <w:lang w:val="ru-RU"/>
        </w:rPr>
        <w:t>подготовк</w:t>
      </w:r>
      <w:r w:rsidR="00B4758B" w:rsidRPr="00694ACA">
        <w:rPr>
          <w:lang w:val="ru-RU"/>
        </w:rPr>
        <w:t>и</w:t>
      </w:r>
      <w:r w:rsidRPr="00694ACA">
        <w:rPr>
          <w:lang w:val="ru-RU"/>
        </w:rPr>
        <w:t xml:space="preserve"> также предполагает наличие помещений для проведения различных занятий и/или получения практического опыта в очной форме.</w:t>
      </w:r>
      <w:r w:rsidR="00A579EF">
        <w:rPr>
          <w:lang w:val="ru-RU"/>
        </w:rPr>
        <w:t xml:space="preserve"> </w:t>
      </w:r>
      <w:r w:rsidRPr="00694ACA">
        <w:rPr>
          <w:lang w:val="ru-RU"/>
        </w:rPr>
        <w:t xml:space="preserve">В последнее время более свободное употребление термина </w:t>
      </w:r>
      <w:r w:rsidR="006E72AD" w:rsidRPr="00694ACA">
        <w:rPr>
          <w:lang w:val="ru-RU"/>
        </w:rPr>
        <w:t>"</w:t>
      </w:r>
      <w:r w:rsidRPr="00694ACA">
        <w:rPr>
          <w:lang w:val="ru-RU"/>
        </w:rPr>
        <w:t>виртуальные институты</w:t>
      </w:r>
      <w:r w:rsidR="006E72AD" w:rsidRPr="00694ACA">
        <w:rPr>
          <w:lang w:val="ru-RU"/>
        </w:rPr>
        <w:t>"</w:t>
      </w:r>
      <w:r w:rsidRPr="00694ACA">
        <w:rPr>
          <w:rStyle w:val="FootnoteReference"/>
          <w:lang w:val="ru-RU"/>
        </w:rPr>
        <w:footnoteReference w:id="165"/>
      </w:r>
      <w:r w:rsidRPr="00694ACA">
        <w:rPr>
          <w:lang w:val="ru-RU"/>
        </w:rPr>
        <w:t xml:space="preserve"> для претенциозного обозначения небольших организаций нередко подвергается критике, особенно в тех случаях, когда под этим термином нет никакой подоплеки.</w:t>
      </w:r>
      <w:r w:rsidR="00A579EF">
        <w:rPr>
          <w:lang w:val="ru-RU"/>
        </w:rPr>
        <w:t xml:space="preserve"> </w:t>
      </w:r>
      <w:r w:rsidRPr="00694ACA">
        <w:rPr>
          <w:lang w:val="ru-RU"/>
        </w:rPr>
        <w:t xml:space="preserve">Следовательно, само понятие института, реального или виртуального, не лишено противоречивости. Высказанная ОИГ в адрес Академий ООН критика в равной степени относится к любому использованию термина Институт (в частности, термина </w:t>
      </w:r>
      <w:r w:rsidR="006E72AD" w:rsidRPr="00694ACA">
        <w:rPr>
          <w:lang w:val="ru-RU"/>
        </w:rPr>
        <w:t>"</w:t>
      </w:r>
      <w:r w:rsidRPr="00694ACA">
        <w:rPr>
          <w:lang w:val="ru-RU"/>
        </w:rPr>
        <w:t>Виртуальный институт</w:t>
      </w:r>
      <w:r w:rsidR="006E72AD" w:rsidRPr="00694ACA">
        <w:rPr>
          <w:lang w:val="ru-RU"/>
        </w:rPr>
        <w:t>"</w:t>
      </w:r>
      <w:r w:rsidRPr="00694ACA">
        <w:rPr>
          <w:lang w:val="ru-RU"/>
        </w:rPr>
        <w:t xml:space="preserve">), особенно в условиях </w:t>
      </w:r>
      <w:r w:rsidRPr="00694ACA">
        <w:rPr>
          <w:lang w:val="ru-RU"/>
        </w:rPr>
        <w:lastRenderedPageBreak/>
        <w:t>наличия в системе ООН множества физических институтов</w:t>
      </w:r>
      <w:r w:rsidR="00DF434F" w:rsidRPr="00694ACA">
        <w:rPr>
          <w:rStyle w:val="FootnoteReference"/>
          <w:lang w:val="ru-RU"/>
        </w:rPr>
        <w:footnoteReference w:id="166"/>
      </w:r>
      <w:r w:rsidRPr="00694ACA">
        <w:rPr>
          <w:lang w:val="ru-RU"/>
        </w:rPr>
        <w:t>.</w:t>
      </w:r>
      <w:r w:rsidR="00A579EF">
        <w:rPr>
          <w:lang w:val="ru-RU"/>
        </w:rPr>
        <w:t xml:space="preserve"> </w:t>
      </w:r>
      <w:r w:rsidRPr="00694ACA">
        <w:rPr>
          <w:lang w:val="ru-RU"/>
        </w:rPr>
        <w:t xml:space="preserve">По этой причине в настоящем </w:t>
      </w:r>
      <w:r w:rsidR="00BE7DA9" w:rsidRPr="00694ACA">
        <w:rPr>
          <w:lang w:val="ru-RU"/>
        </w:rPr>
        <w:t>отчет</w:t>
      </w:r>
      <w:r w:rsidRPr="00694ACA">
        <w:rPr>
          <w:lang w:val="ru-RU"/>
        </w:rPr>
        <w:t>е дана четкая рекомендация: МСЭ не следует создавать нечто маленькое и виртуальное и попросту именовать это Институтом.</w:t>
      </w:r>
    </w:p>
    <w:p w14:paraId="17C8B6DF" w14:textId="2DE0C47D" w:rsidR="004B77F6" w:rsidRPr="00694ACA" w:rsidRDefault="004B77F6" w:rsidP="004B77F6">
      <w:pPr>
        <w:pStyle w:val="ListParagraph"/>
        <w:numPr>
          <w:ilvl w:val="0"/>
          <w:numId w:val="7"/>
        </w:numPr>
        <w:spacing w:after="200"/>
        <w:ind w:right="-472"/>
        <w:rPr>
          <w:szCs w:val="20"/>
          <w:lang w:val="ru-RU"/>
        </w:rPr>
      </w:pPr>
      <w:bookmarkStart w:id="393" w:name="_Toc57297441"/>
      <w:r w:rsidRPr="00694ACA">
        <w:rPr>
          <w:b/>
          <w:lang w:val="ru-RU"/>
        </w:rPr>
        <w:t>Интересы членов и других заинтересованных сторон</w:t>
      </w:r>
      <w:bookmarkEnd w:id="393"/>
      <w:r w:rsidRPr="00694ACA">
        <w:rPr>
          <w:lang w:val="ru-RU"/>
        </w:rPr>
        <w:t>.</w:t>
      </w:r>
      <w:r w:rsidR="00A579EF">
        <w:rPr>
          <w:lang w:val="ru-RU"/>
        </w:rPr>
        <w:t xml:space="preserve"> </w:t>
      </w:r>
      <w:r w:rsidRPr="00694ACA">
        <w:rPr>
          <w:lang w:val="ru-RU"/>
        </w:rPr>
        <w:t>В отношении того, следует ли МСЭ осуществлять проект создания Института, мнения неоднозначны: есть как сторонники идеи, так и противники.</w:t>
      </w:r>
      <w:r w:rsidR="00A579EF">
        <w:rPr>
          <w:lang w:val="ru-RU"/>
        </w:rPr>
        <w:t xml:space="preserve"> </w:t>
      </w:r>
      <w:r w:rsidRPr="00694ACA">
        <w:rPr>
          <w:lang w:val="ru-RU"/>
        </w:rPr>
        <w:t>Налицо тот факт, что идея создания МСЭ собственного Института не находит единодушной поддержки большинства.</w:t>
      </w:r>
      <w:r w:rsidR="00A579EF">
        <w:rPr>
          <w:lang w:val="ru-RU"/>
        </w:rPr>
        <w:t xml:space="preserve"> </w:t>
      </w:r>
      <w:r w:rsidRPr="00694ACA">
        <w:rPr>
          <w:lang w:val="ru-RU"/>
        </w:rPr>
        <w:t xml:space="preserve">Кроме того, вспоминаются неудачные примеры учебных институтов, созданных МСЭ и ПРООН во второй половине 20 века (например, </w:t>
      </w:r>
      <w:r w:rsidR="00E16B52" w:rsidRPr="00694ACA">
        <w:rPr>
          <w:lang w:val="ru-RU"/>
        </w:rPr>
        <w:t>AFRALTI</w:t>
      </w:r>
      <w:r w:rsidRPr="00694ACA">
        <w:rPr>
          <w:lang w:val="ru-RU"/>
        </w:rPr>
        <w:t>), многие из которых впоследствии были приватизированы, проданы или расформированы.</w:t>
      </w:r>
    </w:p>
    <w:p w14:paraId="0A1C45C8" w14:textId="58D38D3F" w:rsidR="004B77F6" w:rsidRPr="00694ACA" w:rsidRDefault="004B77F6" w:rsidP="004B77F6">
      <w:pPr>
        <w:pStyle w:val="ListParagraph"/>
        <w:numPr>
          <w:ilvl w:val="0"/>
          <w:numId w:val="7"/>
        </w:numPr>
        <w:spacing w:after="200"/>
        <w:ind w:right="-472"/>
        <w:rPr>
          <w:szCs w:val="20"/>
          <w:lang w:val="ru-RU"/>
        </w:rPr>
      </w:pPr>
      <w:bookmarkStart w:id="394" w:name="_Toc57297442"/>
      <w:r w:rsidRPr="00694ACA">
        <w:rPr>
          <w:b/>
          <w:lang w:val="ru-RU"/>
        </w:rPr>
        <w:t>Выбор страны пребывания</w:t>
      </w:r>
      <w:bookmarkEnd w:id="394"/>
      <w:r w:rsidRPr="00694ACA">
        <w:rPr>
          <w:lang w:val="ru-RU"/>
        </w:rPr>
        <w:t>.</w:t>
      </w:r>
      <w:r w:rsidR="00A579EF">
        <w:rPr>
          <w:lang w:val="ru-RU"/>
        </w:rPr>
        <w:t xml:space="preserve"> </w:t>
      </w:r>
      <w:r w:rsidRPr="00694ACA">
        <w:rPr>
          <w:lang w:val="ru-RU"/>
        </w:rPr>
        <w:t>Выбор страны пребывания может оказаться политически деликатным вопросом, в зависимости от того, какие страны готовы поддержать Институт.</w:t>
      </w:r>
      <w:r w:rsidR="00A579EF">
        <w:rPr>
          <w:lang w:val="ru-RU"/>
        </w:rPr>
        <w:t xml:space="preserve"> </w:t>
      </w:r>
      <w:r w:rsidRPr="00694ACA">
        <w:rPr>
          <w:lang w:val="ru-RU"/>
        </w:rPr>
        <w:t>Для создания Института необходимо выбрать место, в которое новые высококвалифицированные сотрудники будут готовы перебазироваться, куда легко получить въездную визу людям со всего мира, где созданы хорошие условия для цифрового подключения и поддержки, и которое, желательно, не входит в число самых дорогих мест по стоимости жизни.</w:t>
      </w:r>
    </w:p>
    <w:p w14:paraId="79ADC90B" w14:textId="4206B4E8" w:rsidR="004B77F6" w:rsidRPr="00694ACA" w:rsidRDefault="004B77F6" w:rsidP="004B77F6">
      <w:pPr>
        <w:pStyle w:val="ListParagraph"/>
        <w:numPr>
          <w:ilvl w:val="0"/>
          <w:numId w:val="7"/>
        </w:numPr>
        <w:spacing w:after="200"/>
        <w:ind w:right="-472"/>
        <w:rPr>
          <w:szCs w:val="20"/>
          <w:lang w:val="ru-RU"/>
        </w:rPr>
      </w:pPr>
      <w:bookmarkStart w:id="395" w:name="_Toc57297443"/>
      <w:r w:rsidRPr="00694ACA">
        <w:rPr>
          <w:b/>
          <w:lang w:val="ru-RU"/>
        </w:rPr>
        <w:t xml:space="preserve">Потеря </w:t>
      </w:r>
      <w:r w:rsidR="002707C0" w:rsidRPr="00694ACA">
        <w:rPr>
          <w:b/>
          <w:lang w:val="ru-RU"/>
        </w:rPr>
        <w:t xml:space="preserve">индивидуальности </w:t>
      </w:r>
      <w:r w:rsidRPr="00694ACA">
        <w:rPr>
          <w:b/>
          <w:lang w:val="ru-RU"/>
        </w:rPr>
        <w:t>бренда Академии</w:t>
      </w:r>
      <w:bookmarkEnd w:id="395"/>
      <w:r w:rsidRPr="006679E4">
        <w:rPr>
          <w:bCs/>
          <w:lang w:val="ru-RU"/>
        </w:rPr>
        <w:t>.</w:t>
      </w:r>
      <w:r w:rsidR="00A579EF">
        <w:rPr>
          <w:bCs/>
          <w:lang w:val="ru-RU"/>
        </w:rPr>
        <w:t xml:space="preserve"> </w:t>
      </w:r>
      <w:r w:rsidRPr="00694ACA">
        <w:rPr>
          <w:lang w:val="ru-RU"/>
        </w:rPr>
        <w:t>Ряд опрошенных отметили, что МСЭ уже затратил много времени и усилий на создание бренда Академии МСЭ, и выразили обеспокоенность тем, что создание нового института может умалить достоинства уже созданного бренда.</w:t>
      </w:r>
      <w:r w:rsidR="00A579EF">
        <w:rPr>
          <w:lang w:val="ru-RU"/>
        </w:rPr>
        <w:t xml:space="preserve"> </w:t>
      </w:r>
      <w:r w:rsidRPr="00694ACA">
        <w:rPr>
          <w:lang w:val="ru-RU"/>
        </w:rPr>
        <w:t>В данном контексте было бы также неразумно просто переименовать Академию МСЭ в Институт МСЭ.</w:t>
      </w:r>
    </w:p>
    <w:p w14:paraId="1B069E77" w14:textId="77777777" w:rsidR="004B77F6" w:rsidRPr="00694ACA" w:rsidRDefault="004B77F6" w:rsidP="00D278A3">
      <w:pPr>
        <w:pStyle w:val="Heading2"/>
        <w:ind w:right="-472"/>
        <w:rPr>
          <w:lang w:val="ru-RU"/>
        </w:rPr>
      </w:pPr>
      <w:bookmarkStart w:id="396" w:name="_Toc57297444"/>
      <w:bookmarkStart w:id="397" w:name="_Toc58244125"/>
      <w:bookmarkStart w:id="398" w:name="_Toc58273447"/>
      <w:bookmarkStart w:id="399" w:name="_Toc58273676"/>
      <w:bookmarkStart w:id="400" w:name="_Toc58275278"/>
      <w:r w:rsidRPr="00694ACA">
        <w:rPr>
          <w:lang w:val="ru-RU"/>
        </w:rPr>
        <w:t xml:space="preserve">9.5 Идеальный Институт МСЭ </w:t>
      </w:r>
      <w:bookmarkEnd w:id="396"/>
      <w:bookmarkEnd w:id="397"/>
      <w:bookmarkEnd w:id="398"/>
      <w:bookmarkEnd w:id="399"/>
      <w:bookmarkEnd w:id="400"/>
    </w:p>
    <w:p w14:paraId="67F9EB42" w14:textId="54001871" w:rsidR="004B77F6" w:rsidRPr="00694ACA" w:rsidRDefault="004B77F6" w:rsidP="00D278A3">
      <w:pPr>
        <w:ind w:left="-284" w:right="-472"/>
        <w:rPr>
          <w:lang w:val="ru-RU"/>
        </w:rPr>
      </w:pPr>
      <w:r w:rsidRPr="00694ACA">
        <w:rPr>
          <w:lang w:val="ru-RU"/>
        </w:rPr>
        <w:t>118. Существует множество различных вариантов возможных форм Института МСЭ.</w:t>
      </w:r>
      <w:r w:rsidR="00A579EF">
        <w:rPr>
          <w:lang w:val="ru-RU"/>
        </w:rPr>
        <w:t xml:space="preserve"> </w:t>
      </w:r>
      <w:r w:rsidRPr="00694ACA">
        <w:rPr>
          <w:lang w:val="ru-RU"/>
        </w:rPr>
        <w:t>С одной стороны, он может быть относительно небольшим и основываться на текущей деятельности Академии МСЭ; с другой стороны, он может быть престижным, дорогим</w:t>
      </w:r>
      <w:r w:rsidRPr="00694ACA">
        <w:rPr>
          <w:rStyle w:val="FootnoteReference"/>
          <w:lang w:val="ru-RU"/>
        </w:rPr>
        <w:footnoteReference w:id="167"/>
      </w:r>
      <w:r w:rsidRPr="00694ACA">
        <w:rPr>
          <w:lang w:val="ru-RU"/>
        </w:rPr>
        <w:t xml:space="preserve"> и авторитетным учреждением, как, например, строящаяся в Лионе новая Академия ВОЗ</w:t>
      </w:r>
      <w:r w:rsidR="00DF434F" w:rsidRPr="00694ACA">
        <w:rPr>
          <w:rStyle w:val="FootnoteReference"/>
          <w:lang w:val="ru-RU"/>
        </w:rPr>
        <w:footnoteReference w:id="168"/>
      </w:r>
      <w:r w:rsidRPr="00694ACA">
        <w:rPr>
          <w:lang w:val="ru-RU"/>
        </w:rPr>
        <w:t>.</w:t>
      </w:r>
      <w:r w:rsidR="00A579EF">
        <w:rPr>
          <w:lang w:val="ru-RU"/>
        </w:rPr>
        <w:t xml:space="preserve"> </w:t>
      </w:r>
      <w:r w:rsidRPr="00694ACA">
        <w:rPr>
          <w:lang w:val="ru-RU"/>
        </w:rPr>
        <w:t xml:space="preserve">В том случае, если МСЭ решит создать свой собственный институт, в данном </w:t>
      </w:r>
      <w:r w:rsidR="00BE7DA9" w:rsidRPr="00694ACA">
        <w:rPr>
          <w:lang w:val="ru-RU"/>
        </w:rPr>
        <w:t>отчет</w:t>
      </w:r>
      <w:r w:rsidRPr="00694ACA">
        <w:rPr>
          <w:lang w:val="ru-RU"/>
        </w:rPr>
        <w:t xml:space="preserve">е дается рекомендация создать институт среднего размера, который </w:t>
      </w:r>
      <w:r w:rsidR="00E16B52" w:rsidRPr="00694ACA">
        <w:rPr>
          <w:lang w:val="ru-RU"/>
        </w:rPr>
        <w:t>обеспечит</w:t>
      </w:r>
      <w:r w:rsidRPr="00694ACA">
        <w:rPr>
          <w:lang w:val="ru-RU"/>
        </w:rPr>
        <w:t xml:space="preserve"> благоприятные условия для взаимодействия со штаб-квартирой МСЭ и другими </w:t>
      </w:r>
      <w:r w:rsidR="00E16B52" w:rsidRPr="00694ACA">
        <w:rPr>
          <w:lang w:val="ru-RU"/>
        </w:rPr>
        <w:t>учреждениями</w:t>
      </w:r>
      <w:r w:rsidRPr="00694ACA">
        <w:rPr>
          <w:lang w:val="ru-RU"/>
        </w:rPr>
        <w:t xml:space="preserve"> ООН, если он будет располагаться в каком-либо здании в районе Женевы.</w:t>
      </w:r>
      <w:r w:rsidR="00A579EF">
        <w:rPr>
          <w:lang w:val="ru-RU"/>
        </w:rPr>
        <w:t xml:space="preserve"> </w:t>
      </w:r>
      <w:r w:rsidRPr="00694ACA">
        <w:rPr>
          <w:lang w:val="ru-RU"/>
        </w:rPr>
        <w:t xml:space="preserve">Деятельность </w:t>
      </w:r>
      <w:r w:rsidRPr="00694ACA">
        <w:rPr>
          <w:lang w:val="ru-RU"/>
        </w:rPr>
        <w:lastRenderedPageBreak/>
        <w:t xml:space="preserve">Института должна быть в основном направлена на разработку и реализацию собственных мероприятий МСЭ </w:t>
      </w:r>
      <w:r w:rsidR="00367DAA" w:rsidRPr="00694ACA">
        <w:rPr>
          <w:lang w:val="ru-RU"/>
        </w:rPr>
        <w:t>по развитию потенциала и профессиональной подготовке</w:t>
      </w:r>
      <w:r w:rsidRPr="00694ACA">
        <w:rPr>
          <w:lang w:val="ru-RU"/>
        </w:rPr>
        <w:t>.</w:t>
      </w:r>
    </w:p>
    <w:p w14:paraId="79C32D5F" w14:textId="77777777" w:rsidR="004B77F6" w:rsidRPr="00694ACA" w:rsidRDefault="004B77F6" w:rsidP="00D278A3">
      <w:pPr>
        <w:pStyle w:val="Heading3"/>
        <w:ind w:right="-472"/>
        <w:rPr>
          <w:lang w:val="ru-RU"/>
        </w:rPr>
      </w:pPr>
      <w:bookmarkStart w:id="401" w:name="_Toc57297445"/>
      <w:r w:rsidRPr="00694ACA">
        <w:rPr>
          <w:lang w:val="ru-RU"/>
        </w:rPr>
        <w:t>Задачи</w:t>
      </w:r>
      <w:bookmarkEnd w:id="401"/>
    </w:p>
    <w:p w14:paraId="4FB09304" w14:textId="5191F8EF" w:rsidR="004B77F6" w:rsidRPr="00694ACA" w:rsidRDefault="004B77F6" w:rsidP="00D278A3">
      <w:pPr>
        <w:ind w:left="-284" w:right="-472"/>
        <w:rPr>
          <w:lang w:val="ru-RU"/>
        </w:rPr>
      </w:pPr>
      <w:r w:rsidRPr="00694ACA">
        <w:rPr>
          <w:lang w:val="ru-RU"/>
        </w:rPr>
        <w:t xml:space="preserve">119. Общей задачей Института будет разработка и предоставление максимально качественных и уместных услуг </w:t>
      </w:r>
      <w:r w:rsidR="00367DAA" w:rsidRPr="00694ACA">
        <w:rPr>
          <w:lang w:val="ru-RU"/>
        </w:rPr>
        <w:t>по развитию потенциала и профессиональной подготовке</w:t>
      </w:r>
      <w:r w:rsidRPr="00694ACA">
        <w:rPr>
          <w:lang w:val="ru-RU"/>
        </w:rPr>
        <w:t xml:space="preserve"> для правительств и регулирующих органов в </w:t>
      </w:r>
      <w:r w:rsidR="00175F3F" w:rsidRPr="00694ACA">
        <w:rPr>
          <w:lang w:val="ru-RU"/>
        </w:rPr>
        <w:t>Государствах –</w:t>
      </w:r>
      <w:r w:rsidRPr="00694ACA">
        <w:rPr>
          <w:lang w:val="ru-RU"/>
        </w:rPr>
        <w:t xml:space="preserve"> </w:t>
      </w:r>
      <w:r w:rsidR="00175F3F" w:rsidRPr="00694ACA">
        <w:rPr>
          <w:lang w:val="ru-RU"/>
        </w:rPr>
        <w:t>Ч</w:t>
      </w:r>
      <w:r w:rsidRPr="00694ACA">
        <w:rPr>
          <w:lang w:val="ru-RU"/>
        </w:rPr>
        <w:t>ленах МСЭ.</w:t>
      </w:r>
      <w:r w:rsidR="00A579EF">
        <w:rPr>
          <w:lang w:val="ru-RU"/>
        </w:rPr>
        <w:t xml:space="preserve"> </w:t>
      </w:r>
      <w:r w:rsidRPr="00694ACA">
        <w:rPr>
          <w:lang w:val="ru-RU"/>
        </w:rPr>
        <w:t xml:space="preserve">Согласно рекомендациям </w:t>
      </w:r>
      <w:r w:rsidR="00BE7DA9" w:rsidRPr="00694ACA">
        <w:rPr>
          <w:lang w:val="ru-RU"/>
        </w:rPr>
        <w:t>отчет</w:t>
      </w:r>
      <w:r w:rsidRPr="00694ACA">
        <w:rPr>
          <w:lang w:val="ru-RU"/>
        </w:rPr>
        <w:t>а, Институт будет решать пять более конкретных задач:</w:t>
      </w:r>
    </w:p>
    <w:p w14:paraId="4404E3E2" w14:textId="6EF0B135" w:rsidR="004B77F6" w:rsidRPr="00694ACA" w:rsidRDefault="00E27BAE" w:rsidP="00D22069">
      <w:pPr>
        <w:pStyle w:val="Bulletspoint11"/>
        <w:rPr>
          <w:lang w:val="ru-RU"/>
        </w:rPr>
      </w:pPr>
      <w:r w:rsidRPr="00694ACA">
        <w:rPr>
          <w:lang w:val="ru-RU"/>
        </w:rPr>
        <w:t xml:space="preserve">обеспечение </w:t>
      </w:r>
      <w:r w:rsidR="004B77F6" w:rsidRPr="00694ACA">
        <w:rPr>
          <w:lang w:val="ru-RU"/>
        </w:rPr>
        <w:t>высокого качества ресурсов и форм обучения;</w:t>
      </w:r>
    </w:p>
    <w:p w14:paraId="0AA7305E" w14:textId="3ED31BDE" w:rsidR="004B77F6" w:rsidRPr="00694ACA" w:rsidRDefault="00E27BAE" w:rsidP="00D22069">
      <w:pPr>
        <w:pStyle w:val="Bulletspoint11"/>
        <w:rPr>
          <w:lang w:val="ru-RU"/>
        </w:rPr>
      </w:pPr>
      <w:r w:rsidRPr="00694ACA">
        <w:rPr>
          <w:lang w:val="ru-RU"/>
        </w:rPr>
        <w:t xml:space="preserve">акцент </w:t>
      </w:r>
      <w:r w:rsidR="004B77F6" w:rsidRPr="00694ACA">
        <w:rPr>
          <w:lang w:val="ru-RU"/>
        </w:rPr>
        <w:t xml:space="preserve">на поддержке институциональных и организационных потребностей </w:t>
      </w:r>
      <w:r w:rsidR="00175F3F" w:rsidRPr="00694ACA">
        <w:rPr>
          <w:lang w:val="ru-RU"/>
        </w:rPr>
        <w:t>Государств –</w:t>
      </w:r>
      <w:r w:rsidR="004B77F6" w:rsidRPr="00694ACA">
        <w:rPr>
          <w:lang w:val="ru-RU"/>
        </w:rPr>
        <w:t xml:space="preserve"> </w:t>
      </w:r>
      <w:r w:rsidR="00175F3F" w:rsidRPr="00694ACA">
        <w:rPr>
          <w:lang w:val="ru-RU"/>
        </w:rPr>
        <w:t xml:space="preserve">Членов </w:t>
      </w:r>
      <w:r w:rsidR="004B77F6" w:rsidRPr="00694ACA">
        <w:rPr>
          <w:lang w:val="ru-RU"/>
        </w:rPr>
        <w:t xml:space="preserve">МСЭ в надлежащем использовании цифровых технологий и </w:t>
      </w:r>
      <w:r w:rsidR="00175F3F" w:rsidRPr="00694ACA">
        <w:rPr>
          <w:lang w:val="ru-RU"/>
        </w:rPr>
        <w:t>электросвязи</w:t>
      </w:r>
      <w:r w:rsidR="004B77F6" w:rsidRPr="00694ACA">
        <w:rPr>
          <w:lang w:val="ru-RU"/>
        </w:rPr>
        <w:t xml:space="preserve">; </w:t>
      </w:r>
    </w:p>
    <w:p w14:paraId="4AF742C4" w14:textId="3A8C0B14" w:rsidR="004B77F6" w:rsidRPr="00694ACA" w:rsidRDefault="00E27BAE" w:rsidP="00D22069">
      <w:pPr>
        <w:pStyle w:val="Bulletspoint11"/>
        <w:rPr>
          <w:lang w:val="ru-RU"/>
        </w:rPr>
      </w:pPr>
      <w:r w:rsidRPr="00694ACA">
        <w:rPr>
          <w:lang w:val="ru-RU"/>
        </w:rPr>
        <w:t xml:space="preserve">упор </w:t>
      </w:r>
      <w:r w:rsidR="004B77F6" w:rsidRPr="00694ACA">
        <w:rPr>
          <w:lang w:val="ru-RU"/>
        </w:rPr>
        <w:t>на предоставление эффективных и актуальных решений в области обучения и развития, отвечающих потребностям членов, а не только на использование цифровых ресурсов;</w:t>
      </w:r>
    </w:p>
    <w:p w14:paraId="0AC93106" w14:textId="042D3DFC" w:rsidR="004B77F6" w:rsidRPr="00694ACA" w:rsidRDefault="00E27BAE" w:rsidP="00D22069">
      <w:pPr>
        <w:pStyle w:val="Bulletspoint11"/>
        <w:rPr>
          <w:lang w:val="ru-RU"/>
        </w:rPr>
      </w:pPr>
      <w:r w:rsidRPr="00694ACA">
        <w:rPr>
          <w:lang w:val="ru-RU"/>
        </w:rPr>
        <w:t xml:space="preserve">партнерское </w:t>
      </w:r>
      <w:r w:rsidR="004B77F6" w:rsidRPr="00694ACA">
        <w:rPr>
          <w:lang w:val="ru-RU"/>
        </w:rPr>
        <w:t xml:space="preserve">сотрудничество, особенно с ПРООН и другими </w:t>
      </w:r>
      <w:r w:rsidR="00E16B52" w:rsidRPr="00694ACA">
        <w:rPr>
          <w:lang w:val="ru-RU"/>
        </w:rPr>
        <w:t>учреждениями</w:t>
      </w:r>
      <w:r w:rsidR="004B77F6" w:rsidRPr="00694ACA">
        <w:rPr>
          <w:lang w:val="ru-RU"/>
        </w:rPr>
        <w:t xml:space="preserve"> ООН</w:t>
      </w:r>
      <w:r w:rsidR="004B77F6" w:rsidRPr="00694ACA">
        <w:rPr>
          <w:rStyle w:val="FootnoteReference"/>
          <w:lang w:val="ru-RU"/>
        </w:rPr>
        <w:footnoteReference w:id="169"/>
      </w:r>
      <w:r w:rsidR="004B77F6" w:rsidRPr="00694ACA">
        <w:rPr>
          <w:lang w:val="ru-RU"/>
        </w:rPr>
        <w:t xml:space="preserve">, а также с лучшими университетами мира; </w:t>
      </w:r>
      <w:r w:rsidRPr="00694ACA">
        <w:rPr>
          <w:lang w:val="ru-RU"/>
        </w:rPr>
        <w:t>а также</w:t>
      </w:r>
    </w:p>
    <w:p w14:paraId="636A6228" w14:textId="37EE2003" w:rsidR="004B77F6" w:rsidRPr="00694ACA" w:rsidRDefault="00E27BAE" w:rsidP="00D22069">
      <w:pPr>
        <w:pStyle w:val="Bulletspoint11"/>
        <w:rPr>
          <w:lang w:val="ru-RU"/>
        </w:rPr>
      </w:pPr>
      <w:r w:rsidRPr="00694ACA">
        <w:rPr>
          <w:lang w:val="ru-RU"/>
        </w:rPr>
        <w:t xml:space="preserve">высокая </w:t>
      </w:r>
      <w:r w:rsidR="004B77F6" w:rsidRPr="00694ACA">
        <w:rPr>
          <w:lang w:val="ru-RU"/>
        </w:rPr>
        <w:t>гибкость и способность адаптироваться к быстро изменяющимся условиям, потребностям и цифровым инновациям</w:t>
      </w:r>
      <w:r w:rsidR="00DF434F" w:rsidRPr="00694ACA">
        <w:rPr>
          <w:rStyle w:val="FootnoteReference"/>
          <w:lang w:val="ru-RU"/>
        </w:rPr>
        <w:footnoteReference w:id="170"/>
      </w:r>
      <w:r w:rsidR="004B77F6" w:rsidRPr="00694ACA">
        <w:rPr>
          <w:lang w:val="ru-RU"/>
        </w:rPr>
        <w:t>.</w:t>
      </w:r>
    </w:p>
    <w:p w14:paraId="03449477" w14:textId="77777777" w:rsidR="004B77F6" w:rsidRPr="00694ACA" w:rsidRDefault="004B77F6" w:rsidP="00D278A3">
      <w:pPr>
        <w:pStyle w:val="Heading3"/>
        <w:ind w:right="-472"/>
        <w:rPr>
          <w:lang w:val="ru-RU"/>
        </w:rPr>
      </w:pPr>
      <w:bookmarkStart w:id="402" w:name="_Toc57297446"/>
      <w:r w:rsidRPr="00694ACA">
        <w:rPr>
          <w:lang w:val="ru-RU"/>
        </w:rPr>
        <w:t>Укомплектование персоналом</w:t>
      </w:r>
      <w:bookmarkEnd w:id="402"/>
    </w:p>
    <w:p w14:paraId="79005D56" w14:textId="284F7D89" w:rsidR="004B77F6" w:rsidRPr="00694ACA" w:rsidRDefault="004B77F6" w:rsidP="00EF5C99">
      <w:pPr>
        <w:ind w:left="-284" w:right="-472"/>
        <w:rPr>
          <w:lang w:val="ru-RU"/>
        </w:rPr>
      </w:pPr>
      <w:r w:rsidRPr="00694ACA">
        <w:rPr>
          <w:lang w:val="ru-RU"/>
        </w:rPr>
        <w:t>120 Для решения этих задач необходимо сформировать команду высококвалифицированных и опытных сотрудников, заинтересованных в развитии и реализации проекта Института.</w:t>
      </w:r>
      <w:r w:rsidR="00A579EF">
        <w:rPr>
          <w:lang w:val="ru-RU"/>
        </w:rPr>
        <w:t xml:space="preserve"> </w:t>
      </w:r>
      <w:r w:rsidRPr="00694ACA">
        <w:rPr>
          <w:lang w:val="ru-RU"/>
        </w:rPr>
        <w:t xml:space="preserve">В </w:t>
      </w:r>
      <w:r w:rsidR="00BE7DA9" w:rsidRPr="00694ACA">
        <w:rPr>
          <w:lang w:val="ru-RU"/>
        </w:rPr>
        <w:t>отчет</w:t>
      </w:r>
      <w:r w:rsidRPr="00694ACA">
        <w:rPr>
          <w:lang w:val="ru-RU"/>
        </w:rPr>
        <w:t>е содержится рекомендация о том, что на первых порах в Институте должны работать как минимум 15 основных сотрудников, количество которых через пять лет увеличится до 25</w:t>
      </w:r>
      <w:r w:rsidR="00DF434F" w:rsidRPr="00694ACA">
        <w:rPr>
          <w:rStyle w:val="FootnoteReference"/>
          <w:lang w:val="ru-RU"/>
        </w:rPr>
        <w:footnoteReference w:id="171"/>
      </w:r>
      <w:r w:rsidRPr="00694ACA">
        <w:rPr>
          <w:lang w:val="ru-RU"/>
        </w:rPr>
        <w:t>.</w:t>
      </w:r>
      <w:r w:rsidR="00A579EF">
        <w:rPr>
          <w:lang w:val="ru-RU"/>
        </w:rPr>
        <w:t xml:space="preserve"> </w:t>
      </w:r>
      <w:r w:rsidRPr="00694ACA">
        <w:rPr>
          <w:lang w:val="ru-RU"/>
        </w:rPr>
        <w:t>Это минимальный начальный уровень штата, необходимый для успешного функционирования Института, и с самого начала необходимо обеспечить его гарантированное финансирование.</w:t>
      </w:r>
      <w:r w:rsidR="00A579EF">
        <w:rPr>
          <w:lang w:val="ru-RU"/>
        </w:rPr>
        <w:t xml:space="preserve"> </w:t>
      </w:r>
      <w:r w:rsidRPr="00694ACA">
        <w:rPr>
          <w:lang w:val="ru-RU"/>
        </w:rPr>
        <w:t xml:space="preserve">Персонал Института будет формироваться из специалистов, обладающих опытом в области </w:t>
      </w:r>
      <w:r w:rsidR="00180067" w:rsidRPr="00694ACA">
        <w:rPr>
          <w:lang w:val="ru-RU"/>
        </w:rPr>
        <w:t xml:space="preserve">развития потенциала и профессиональной подготовки </w:t>
      </w:r>
      <w:r w:rsidRPr="00694ACA">
        <w:rPr>
          <w:lang w:val="ru-RU"/>
        </w:rPr>
        <w:t>в сфере ИКТ и электросвязи, особенно (но не исключительно) с использованием онлайн-среды.</w:t>
      </w:r>
      <w:r w:rsidR="00A579EF">
        <w:rPr>
          <w:lang w:val="ru-RU"/>
        </w:rPr>
        <w:t xml:space="preserve"> </w:t>
      </w:r>
      <w:r w:rsidRPr="00694ACA">
        <w:rPr>
          <w:lang w:val="ru-RU"/>
        </w:rPr>
        <w:t>Часть сотрудников будет привлечена из действующего штата МСЭ, и важным элементом работы Института будет развитие тесных партнерских отношений и поддержки с коллегами во всех трех секторах МСЭ, а также в Генеральном секретариате. При этом не весь персонал должен находиться в Институте; не исключено, что часть сотрудников будет находиться в регионах и участвовать в работе Института виртуально.</w:t>
      </w:r>
      <w:r w:rsidR="00A579EF">
        <w:rPr>
          <w:lang w:val="ru-RU"/>
        </w:rPr>
        <w:t xml:space="preserve"> </w:t>
      </w:r>
      <w:r w:rsidRPr="00694ACA">
        <w:rPr>
          <w:lang w:val="ru-RU"/>
        </w:rPr>
        <w:t>Другим вариантом может быть привлечение некоторых региональных сотрудников МСЭ к работе Института с отведением на работу в нем, например, 10 % своего рабочего времени</w:t>
      </w:r>
      <w:r w:rsidR="00DF434F" w:rsidRPr="00694ACA">
        <w:rPr>
          <w:rStyle w:val="FootnoteReference"/>
          <w:lang w:val="ru-RU"/>
        </w:rPr>
        <w:footnoteReference w:id="172"/>
      </w:r>
      <w:r w:rsidRPr="00694ACA">
        <w:rPr>
          <w:lang w:val="ru-RU"/>
        </w:rPr>
        <w:t>.</w:t>
      </w:r>
    </w:p>
    <w:p w14:paraId="1E09B0B8" w14:textId="77777777" w:rsidR="004B77F6" w:rsidRPr="00694ACA" w:rsidRDefault="004B77F6" w:rsidP="00D278A3">
      <w:pPr>
        <w:pStyle w:val="Heading3"/>
        <w:ind w:right="-472"/>
        <w:rPr>
          <w:lang w:val="ru-RU"/>
        </w:rPr>
      </w:pPr>
      <w:bookmarkStart w:id="403" w:name="_Toc57297447"/>
      <w:r w:rsidRPr="00694ACA">
        <w:rPr>
          <w:lang w:val="ru-RU"/>
        </w:rPr>
        <w:t>Структура и местоположение</w:t>
      </w:r>
      <w:bookmarkEnd w:id="403"/>
    </w:p>
    <w:p w14:paraId="74CD52CA" w14:textId="2701D2E1" w:rsidR="004B77F6" w:rsidRPr="00694ACA" w:rsidRDefault="004B77F6" w:rsidP="000E4325">
      <w:pPr>
        <w:ind w:left="-284" w:right="-472"/>
        <w:rPr>
          <w:lang w:val="ru-RU"/>
        </w:rPr>
      </w:pPr>
      <w:r w:rsidRPr="00694ACA">
        <w:rPr>
          <w:lang w:val="ru-RU"/>
        </w:rPr>
        <w:t>121. Критически важным требованием является выбор точного местоположения потенциального Института, и в этом случае многое будет зависеть от финансовой поддержки со стороны правительства соответствующей страны пребывания.</w:t>
      </w:r>
      <w:r w:rsidR="00A579EF">
        <w:rPr>
          <w:lang w:val="ru-RU"/>
        </w:rPr>
        <w:t xml:space="preserve"> </w:t>
      </w:r>
      <w:r w:rsidRPr="00694ACA">
        <w:rPr>
          <w:lang w:val="ru-RU"/>
        </w:rPr>
        <w:t>Анализ доступной в настоящее время недвижимости в районе Женевы, например, показывает, что соответствующие объекты недвижимости могут стоить 13</w:t>
      </w:r>
      <w:r w:rsidR="00F87161" w:rsidRPr="00694ACA">
        <w:rPr>
          <w:lang w:val="ru-RU"/>
        </w:rPr>
        <w:t>−</w:t>
      </w:r>
      <w:r w:rsidRPr="00694ACA">
        <w:rPr>
          <w:lang w:val="ru-RU"/>
        </w:rPr>
        <w:t>15</w:t>
      </w:r>
      <w:r w:rsidR="00F87161" w:rsidRPr="00694ACA">
        <w:rPr>
          <w:lang w:val="ru-RU"/>
        </w:rPr>
        <w:t> </w:t>
      </w:r>
      <w:r w:rsidRPr="00694ACA">
        <w:rPr>
          <w:lang w:val="ru-RU"/>
        </w:rPr>
        <w:t>миллионов швейцарских франков.</w:t>
      </w:r>
      <w:r w:rsidR="00A579EF">
        <w:rPr>
          <w:lang w:val="ru-RU"/>
        </w:rPr>
        <w:t xml:space="preserve"> </w:t>
      </w:r>
      <w:r w:rsidRPr="00694ACA">
        <w:rPr>
          <w:lang w:val="ru-RU"/>
        </w:rPr>
        <w:t>Структура, формат и местоположение Института играют решающую роль в плане продуктивности его сотрудников и того престижного образа, который Институт стремится создать.</w:t>
      </w:r>
      <w:r w:rsidR="00A579EF">
        <w:rPr>
          <w:lang w:val="ru-RU"/>
        </w:rPr>
        <w:t xml:space="preserve"> </w:t>
      </w:r>
      <w:r w:rsidRPr="00694ACA">
        <w:rPr>
          <w:lang w:val="ru-RU"/>
        </w:rPr>
        <w:t>По всей вероятности, также важно, чтобы Институт был самостоятельным учреждением, независимым от главного здания МСЭ.</w:t>
      </w:r>
      <w:r w:rsidR="00A579EF">
        <w:rPr>
          <w:lang w:val="ru-RU"/>
        </w:rPr>
        <w:t xml:space="preserve"> </w:t>
      </w:r>
      <w:r w:rsidRPr="00694ACA">
        <w:rPr>
          <w:lang w:val="ru-RU"/>
        </w:rPr>
        <w:t xml:space="preserve">На основе оценки офисных помещений, необходимых для выполнения определенных академических функций, возможно рассчитать примерную площадь </w:t>
      </w:r>
      <w:r w:rsidRPr="00694ACA">
        <w:rPr>
          <w:lang w:val="ru-RU"/>
        </w:rPr>
        <w:lastRenderedPageBreak/>
        <w:t>для размещения нового института</w:t>
      </w:r>
      <w:r w:rsidR="00DF434F" w:rsidRPr="00694ACA">
        <w:rPr>
          <w:rStyle w:val="FootnoteReference"/>
          <w:lang w:val="ru-RU"/>
        </w:rPr>
        <w:footnoteReference w:id="173"/>
      </w:r>
      <w:r w:rsidRPr="00694ACA">
        <w:rPr>
          <w:lang w:val="ru-RU"/>
        </w:rPr>
        <w:t>.</w:t>
      </w:r>
      <w:r w:rsidR="00A579EF">
        <w:rPr>
          <w:lang w:val="ru-RU"/>
        </w:rPr>
        <w:t xml:space="preserve"> </w:t>
      </w:r>
      <w:r w:rsidRPr="00694ACA">
        <w:rPr>
          <w:lang w:val="ru-RU"/>
        </w:rPr>
        <w:t>Для размещения предполагаемого персонала и обеспечения функциональности потребуется минимум 508 м</w:t>
      </w:r>
      <w:r w:rsidRPr="00694ACA">
        <w:rPr>
          <w:vertAlign w:val="superscript"/>
          <w:lang w:val="ru-RU"/>
        </w:rPr>
        <w:t>2</w:t>
      </w:r>
      <w:r w:rsidRPr="00694ACA">
        <w:rPr>
          <w:rStyle w:val="FootnoteReference"/>
          <w:lang w:val="ru-RU"/>
        </w:rPr>
        <w:footnoteReference w:id="174"/>
      </w:r>
      <w:r w:rsidR="00DF434F" w:rsidRPr="00694ACA">
        <w:rPr>
          <w:lang w:val="ru-RU"/>
        </w:rPr>
        <w:t>,</w:t>
      </w:r>
      <w:r w:rsidRPr="00694ACA">
        <w:rPr>
          <w:lang w:val="ru-RU"/>
        </w:rPr>
        <w:t xml:space="preserve"> но к этой площади необходимо добавить туалетные комнаты, коридоры, столовые и помещения для других целей.</w:t>
      </w:r>
      <w:r w:rsidR="00A579EF">
        <w:rPr>
          <w:lang w:val="ru-RU"/>
        </w:rPr>
        <w:t xml:space="preserve"> </w:t>
      </w:r>
      <w:r w:rsidRPr="00694ACA">
        <w:rPr>
          <w:lang w:val="ru-RU"/>
        </w:rPr>
        <w:t>Крайне важно, чтобы Институт располагал самыми современными возможностями цифровой связи с хорошей скоростью загрузки и выгрузки данных.</w:t>
      </w:r>
      <w:r w:rsidR="00A579EF">
        <w:rPr>
          <w:lang w:val="ru-RU"/>
        </w:rPr>
        <w:t xml:space="preserve"> </w:t>
      </w:r>
      <w:r w:rsidRPr="00694ACA">
        <w:rPr>
          <w:lang w:val="ru-RU"/>
        </w:rPr>
        <w:t>Такое подключение следует планировать с учетом предполагаемого уровня, необходимого в течение как минимум пяти лет после начала работы.</w:t>
      </w:r>
      <w:r w:rsidR="00A579EF">
        <w:rPr>
          <w:lang w:val="ru-RU"/>
        </w:rPr>
        <w:t xml:space="preserve"> </w:t>
      </w:r>
      <w:r w:rsidRPr="00694ACA">
        <w:rPr>
          <w:lang w:val="ru-RU"/>
        </w:rPr>
        <w:t>Кроме того, необходимо учесть расходы на оборудование высококлассной студии звукозаписи, а также на обеспечение персонала соответствующими цифровыми технологиями, их обслуживание и периодическое обновление.</w:t>
      </w:r>
      <w:r w:rsidR="00A579EF">
        <w:rPr>
          <w:lang w:val="ru-RU"/>
        </w:rPr>
        <w:t xml:space="preserve"> </w:t>
      </w:r>
      <w:r w:rsidRPr="00694ACA">
        <w:rPr>
          <w:lang w:val="ru-RU"/>
        </w:rPr>
        <w:t>Имеются аргументы как в пользу внутреннего управления цифровой инфраструктурой Института, так и в пользу привлечения услуг сторонних организаций.</w:t>
      </w:r>
      <w:r w:rsidR="00A579EF">
        <w:rPr>
          <w:lang w:val="ru-RU"/>
        </w:rPr>
        <w:t xml:space="preserve"> </w:t>
      </w:r>
      <w:r w:rsidRPr="00694ACA">
        <w:rPr>
          <w:lang w:val="ru-RU"/>
        </w:rPr>
        <w:t>С одной стороны, в подобных организациях предпочтение все чаще отдается услугам сторонних организаций, однако при разработке более детальных предложений для нового Института следует проанализировать оба варианта и оценить их на предмет соотношения цены и качества. В любом случае, независимо от принятого решения, необходимо, чтобы все сотрудники Института были в высшей степени технически грамотными.</w:t>
      </w:r>
    </w:p>
    <w:p w14:paraId="03EE0852" w14:textId="77777777" w:rsidR="004B77F6" w:rsidRPr="00694ACA" w:rsidRDefault="004B77F6" w:rsidP="00D278A3">
      <w:pPr>
        <w:pStyle w:val="Heading3"/>
        <w:ind w:right="-472"/>
        <w:rPr>
          <w:lang w:val="ru-RU"/>
        </w:rPr>
      </w:pPr>
      <w:bookmarkStart w:id="404" w:name="_Toc57297448"/>
      <w:r w:rsidRPr="00694ACA">
        <w:rPr>
          <w:lang w:val="ru-RU"/>
        </w:rPr>
        <w:t>Управление</w:t>
      </w:r>
      <w:bookmarkEnd w:id="404"/>
    </w:p>
    <w:p w14:paraId="5DC1EBDB" w14:textId="062926B3" w:rsidR="004B77F6" w:rsidRPr="00694ACA" w:rsidRDefault="004B77F6" w:rsidP="00D278A3">
      <w:pPr>
        <w:ind w:left="-284" w:right="-472"/>
        <w:rPr>
          <w:lang w:val="ru-RU"/>
        </w:rPr>
      </w:pPr>
      <w:r w:rsidRPr="00694ACA">
        <w:rPr>
          <w:lang w:val="ru-RU"/>
        </w:rPr>
        <w:t>122. Эффективная и надежная модель управления, позволяющая Институту функционировать в рамках МСЭ и в то же время независимо от него, станет важным элементом его успешной деятельности.</w:t>
      </w:r>
      <w:r w:rsidR="00A579EF">
        <w:rPr>
          <w:lang w:val="ru-RU"/>
        </w:rPr>
        <w:t xml:space="preserve"> </w:t>
      </w:r>
      <w:r w:rsidRPr="00694ACA">
        <w:rPr>
          <w:lang w:val="ru-RU"/>
        </w:rPr>
        <w:t>Ключевыми элементами этой модели могут быть:</w:t>
      </w:r>
    </w:p>
    <w:p w14:paraId="738227FE" w14:textId="74ACEABE" w:rsidR="004B77F6" w:rsidRPr="00694ACA" w:rsidRDefault="004B77F6" w:rsidP="00D22069">
      <w:pPr>
        <w:pStyle w:val="Bulletspoint11"/>
        <w:rPr>
          <w:lang w:val="ru-RU"/>
        </w:rPr>
      </w:pPr>
      <w:r w:rsidRPr="00694ACA">
        <w:rPr>
          <w:lang w:val="ru-RU"/>
        </w:rPr>
        <w:t>Директор, который будет подотчетен непосредственно Генеральному секретарю МСЭ и будет являться членом Консультативного совета по должности (</w:t>
      </w:r>
      <w:r w:rsidR="008B728A" w:rsidRPr="00694ACA">
        <w:rPr>
          <w:lang w:val="ru-RU"/>
        </w:rPr>
        <w:t>"</w:t>
      </w:r>
      <w:proofErr w:type="spellStart"/>
      <w:r w:rsidRPr="00694ACA">
        <w:rPr>
          <w:lang w:val="ru-RU"/>
        </w:rPr>
        <w:t>ex</w:t>
      </w:r>
      <w:proofErr w:type="spellEnd"/>
      <w:r w:rsidRPr="00694ACA">
        <w:rPr>
          <w:lang w:val="ru-RU"/>
        </w:rPr>
        <w:t xml:space="preserve"> </w:t>
      </w:r>
      <w:proofErr w:type="spellStart"/>
      <w:r w:rsidRPr="00694ACA">
        <w:rPr>
          <w:lang w:val="ru-RU"/>
        </w:rPr>
        <w:t>officio</w:t>
      </w:r>
      <w:proofErr w:type="spellEnd"/>
      <w:r w:rsidR="008B728A" w:rsidRPr="00694ACA">
        <w:rPr>
          <w:lang w:val="ru-RU"/>
        </w:rPr>
        <w:t>"</w:t>
      </w:r>
      <w:r w:rsidRPr="00694ACA">
        <w:rPr>
          <w:lang w:val="ru-RU"/>
        </w:rPr>
        <w:t>).</w:t>
      </w:r>
    </w:p>
    <w:p w14:paraId="634529A4" w14:textId="661BDD49" w:rsidR="004B77F6" w:rsidRPr="00694ACA" w:rsidRDefault="004B77F6" w:rsidP="00D22069">
      <w:pPr>
        <w:pStyle w:val="Bulletspoint11"/>
        <w:rPr>
          <w:lang w:val="ru-RU"/>
        </w:rPr>
      </w:pPr>
      <w:r w:rsidRPr="00694ACA">
        <w:rPr>
          <w:lang w:val="ru-RU"/>
        </w:rPr>
        <w:t xml:space="preserve">Независимый Консультативный совет Института в составе 7–9 сторонних специалистов с богатым опытом работы в области </w:t>
      </w:r>
      <w:r w:rsidR="00180067" w:rsidRPr="00694ACA">
        <w:rPr>
          <w:lang w:val="ru-RU"/>
        </w:rPr>
        <w:t xml:space="preserve">развития потенциала и профессиональной подготовки </w:t>
      </w:r>
      <w:r w:rsidRPr="00694ACA">
        <w:rPr>
          <w:lang w:val="ru-RU"/>
        </w:rPr>
        <w:t>с использованием цифровых технологий, возглавляемый авторитетным и высокопоставленным председателем.</w:t>
      </w:r>
      <w:r w:rsidR="00A579EF">
        <w:rPr>
          <w:lang w:val="ru-RU"/>
        </w:rPr>
        <w:t xml:space="preserve"> </w:t>
      </w:r>
      <w:r w:rsidRPr="00694ACA">
        <w:rPr>
          <w:lang w:val="ru-RU"/>
        </w:rPr>
        <w:t>Функции совета будут заключаться в предоставлении консультаций, и его собрания должны проводиться не реже двух раз в год, при этом Директор будет проводить ежемесячные совещания с Председателем.</w:t>
      </w:r>
    </w:p>
    <w:p w14:paraId="6F5B67D8" w14:textId="77777777" w:rsidR="004B77F6" w:rsidRPr="00694ACA" w:rsidRDefault="004B77F6" w:rsidP="00D22069">
      <w:pPr>
        <w:pStyle w:val="Bulletspoint11"/>
        <w:rPr>
          <w:lang w:val="ru-RU"/>
        </w:rPr>
      </w:pPr>
      <w:r w:rsidRPr="00694ACA">
        <w:rPr>
          <w:lang w:val="ru-RU"/>
        </w:rPr>
        <w:t>Председатель Консультативного совета будет проводить ежеквартальные совещания с Генеральным секретарем МСЭ.</w:t>
      </w:r>
    </w:p>
    <w:p w14:paraId="20ABBF8F" w14:textId="77777777" w:rsidR="004B77F6" w:rsidRPr="00694ACA" w:rsidRDefault="004B77F6" w:rsidP="00D22069">
      <w:pPr>
        <w:pStyle w:val="Bulletspoint11"/>
        <w:rPr>
          <w:lang w:val="ru-RU"/>
        </w:rPr>
      </w:pPr>
      <w:r w:rsidRPr="00694ACA">
        <w:rPr>
          <w:lang w:val="ru-RU"/>
        </w:rPr>
        <w:t>Совет директоров, состоящий из старших сотрудников Института и по одному представителю от каждого бюро МСЭ, будет собираться не реже шести раз в год и выполнять функции оперативного надзора за управлением Институтом.</w:t>
      </w:r>
    </w:p>
    <w:p w14:paraId="77E08E9D" w14:textId="77777777" w:rsidR="004B77F6" w:rsidRPr="00694ACA" w:rsidRDefault="004B77F6" w:rsidP="00A105CB">
      <w:pPr>
        <w:pStyle w:val="Bulletspoint11"/>
        <w:rPr>
          <w:lang w:val="ru-RU"/>
        </w:rPr>
      </w:pPr>
      <w:r w:rsidRPr="00694ACA">
        <w:rPr>
          <w:lang w:val="ru-RU"/>
        </w:rPr>
        <w:t>Все финансовые вопросы будут напрямую передаваться Совету МСЭ через ИК МСЭ, но ежеквартальные отчеты будут представляться консультативному совету для ознакомления и консультаций.</w:t>
      </w:r>
      <w:bookmarkEnd w:id="355"/>
      <w:bookmarkEnd w:id="356"/>
      <w:bookmarkEnd w:id="357"/>
      <w:bookmarkEnd w:id="358"/>
      <w:bookmarkEnd w:id="359"/>
      <w:bookmarkEnd w:id="360"/>
    </w:p>
    <w:p w14:paraId="7CCC09AE" w14:textId="77777777" w:rsidR="004B77F6" w:rsidRPr="00694ACA" w:rsidRDefault="004B77F6" w:rsidP="00A105CB">
      <w:pPr>
        <w:pStyle w:val="Heading3"/>
        <w:ind w:right="-472"/>
        <w:rPr>
          <w:lang w:val="ru-RU"/>
        </w:rPr>
      </w:pPr>
      <w:bookmarkStart w:id="405" w:name="_Toc57297449"/>
      <w:r w:rsidRPr="00694ACA">
        <w:rPr>
          <w:lang w:val="ru-RU"/>
        </w:rPr>
        <w:t>Сферы воздействия</w:t>
      </w:r>
    </w:p>
    <w:p w14:paraId="3A9C40BD" w14:textId="2DACC1B5" w:rsidR="004B77F6" w:rsidRPr="00694ACA" w:rsidRDefault="004B77F6" w:rsidP="00A105CB">
      <w:pPr>
        <w:ind w:left="-284" w:right="-472"/>
        <w:rPr>
          <w:lang w:val="ru-RU"/>
        </w:rPr>
      </w:pPr>
      <w:r w:rsidRPr="00694ACA">
        <w:rPr>
          <w:lang w:val="ru-RU"/>
        </w:rPr>
        <w:t xml:space="preserve">123. Существуют два альтернативных варианта основного направления деятельности Института: концентрация усилий преимущественно на развитии потенциала в интересах правительств (в том числе регуляторных органов) </w:t>
      </w:r>
      <w:r w:rsidR="00175F3F" w:rsidRPr="00694ACA">
        <w:rPr>
          <w:lang w:val="ru-RU"/>
        </w:rPr>
        <w:t xml:space="preserve">Государств-Членов </w:t>
      </w:r>
      <w:r w:rsidRPr="00694ACA">
        <w:rPr>
          <w:lang w:val="ru-RU"/>
        </w:rPr>
        <w:t>(развитие организационного и институционального потенциала) или осуществление такой деятельности наряду с разработкой и предоставлением ресурсов непосредственно отдельным лицам (развитие индивидуального потенциала).</w:t>
      </w:r>
      <w:r w:rsidR="00A579EF">
        <w:rPr>
          <w:lang w:val="ru-RU"/>
        </w:rPr>
        <w:t xml:space="preserve"> </w:t>
      </w:r>
      <w:r w:rsidRPr="00694ACA">
        <w:rPr>
          <w:lang w:val="ru-RU"/>
        </w:rPr>
        <w:t xml:space="preserve">Согласно содержащейся в отчете рекомендации, Институту следует сосредоточиться </w:t>
      </w:r>
      <w:r w:rsidRPr="00694ACA">
        <w:rPr>
          <w:lang w:val="ru-RU"/>
        </w:rPr>
        <w:lastRenderedPageBreak/>
        <w:t>прежде всего на реализации первого варианта, однако для достижения более амбициозных целей он мог бы также попытаться реализовать и второй вариант.</w:t>
      </w:r>
      <w:r w:rsidR="00A579EF">
        <w:rPr>
          <w:lang w:val="ru-RU"/>
        </w:rPr>
        <w:t xml:space="preserve"> </w:t>
      </w:r>
      <w:r w:rsidRPr="00694ACA">
        <w:rPr>
          <w:lang w:val="ru-RU"/>
        </w:rPr>
        <w:t>Многое будет зависеть от наличия финансовых средств и степени кадрового наполнения.</w:t>
      </w:r>
      <w:r w:rsidR="00A579EF">
        <w:rPr>
          <w:lang w:val="ru-RU"/>
        </w:rPr>
        <w:t xml:space="preserve"> </w:t>
      </w:r>
      <w:r w:rsidRPr="00694ACA">
        <w:rPr>
          <w:lang w:val="ru-RU"/>
        </w:rPr>
        <w:t>Крайне важно — сохранить гибкость модели, с тем чтобы в случае изменения спроса ее можно было бы оперативно адаптировать.</w:t>
      </w:r>
      <w:r w:rsidR="00A579EF">
        <w:rPr>
          <w:lang w:val="ru-RU"/>
        </w:rPr>
        <w:t xml:space="preserve"> </w:t>
      </w:r>
      <w:r w:rsidRPr="00694ACA">
        <w:rPr>
          <w:lang w:val="ru-RU"/>
        </w:rPr>
        <w:t>Такая способность дала бы Институту явное преимущество.</w:t>
      </w:r>
      <w:r w:rsidR="00A579EF">
        <w:rPr>
          <w:lang w:val="ru-RU"/>
        </w:rPr>
        <w:t xml:space="preserve"> </w:t>
      </w:r>
      <w:r w:rsidRPr="00694ACA">
        <w:rPr>
          <w:lang w:val="ru-RU"/>
        </w:rPr>
        <w:t xml:space="preserve">Среди факторов, которые следует учитывать при определении сфер воздействия, первостепенное значение имеют тщательный ежегодный анализ потребностей членов МСЭ, а также процесс преобразования таких потребностей в соответствующие, учитывающие конкретные учебные материалы и методы обучения. Такой процесс будет в значительной степени опираться на существующие сильные стороны МСЭ в области </w:t>
      </w:r>
      <w:r w:rsidR="00180067" w:rsidRPr="00694ACA">
        <w:rPr>
          <w:lang w:val="ru-RU"/>
        </w:rPr>
        <w:t>развития потенциала и профессиональной подготовки</w:t>
      </w:r>
      <w:r w:rsidRPr="00694ACA">
        <w:rPr>
          <w:lang w:val="ru-RU"/>
        </w:rPr>
        <w:t>, однако при этом он позволит поднять их на новый уровень и будет направлен на информирование членов МСЭ о новейших разработках в секторе цифровых технологий.</w:t>
      </w:r>
    </w:p>
    <w:p w14:paraId="176C5520" w14:textId="4CC86203" w:rsidR="004B77F6" w:rsidRPr="00694ACA" w:rsidRDefault="004B77F6" w:rsidP="00A105CB">
      <w:pPr>
        <w:ind w:left="-284" w:right="-472"/>
        <w:rPr>
          <w:lang w:val="ru-RU"/>
        </w:rPr>
      </w:pPr>
      <w:r w:rsidRPr="00694ACA">
        <w:rPr>
          <w:lang w:val="ru-RU"/>
        </w:rPr>
        <w:t xml:space="preserve">124. </w:t>
      </w:r>
      <w:r w:rsidR="00180067" w:rsidRPr="00694ACA">
        <w:rPr>
          <w:b/>
          <w:bCs/>
          <w:lang w:val="ru-RU"/>
        </w:rPr>
        <w:t>Развитие</w:t>
      </w:r>
      <w:r w:rsidRPr="00694ACA">
        <w:rPr>
          <w:b/>
          <w:bCs/>
          <w:lang w:val="ru-RU"/>
        </w:rPr>
        <w:t xml:space="preserve"> институционального и организационного потенциала и подготовка государственных служащих и сотрудников регуляторных органов</w:t>
      </w:r>
      <w:r w:rsidRPr="00694ACA">
        <w:rPr>
          <w:lang w:val="ru-RU"/>
        </w:rPr>
        <w:t>.</w:t>
      </w:r>
      <w:r w:rsidR="00A579EF">
        <w:rPr>
          <w:lang w:val="ru-RU"/>
        </w:rPr>
        <w:t xml:space="preserve"> </w:t>
      </w:r>
      <w:r w:rsidRPr="00694ACA">
        <w:rPr>
          <w:lang w:val="ru-RU"/>
        </w:rPr>
        <w:t xml:space="preserve">Основное воздействие, которое, как предполагается, окажет Институт, будет заключаться в первую очередь в обеспечении </w:t>
      </w:r>
      <w:r w:rsidR="00180067" w:rsidRPr="00694ACA">
        <w:rPr>
          <w:lang w:val="ru-RU"/>
        </w:rPr>
        <w:t>профессиональной подготовки</w:t>
      </w:r>
      <w:r w:rsidRPr="00694ACA">
        <w:rPr>
          <w:lang w:val="ru-RU"/>
        </w:rPr>
        <w:t xml:space="preserve"> и предоставлении поддержки правительствам и регуляторным органам в следующих основных широких сферах воздействия:</w:t>
      </w:r>
    </w:p>
    <w:p w14:paraId="320A6486" w14:textId="41497B22" w:rsidR="004B77F6" w:rsidRPr="00694ACA" w:rsidRDefault="004B77F6" w:rsidP="004B77F6">
      <w:pPr>
        <w:pStyle w:val="ListParagraph"/>
        <w:numPr>
          <w:ilvl w:val="0"/>
          <w:numId w:val="47"/>
        </w:numPr>
        <w:ind w:right="-472"/>
        <w:rPr>
          <w:lang w:val="ru-RU"/>
        </w:rPr>
      </w:pPr>
      <w:r w:rsidRPr="00694ACA">
        <w:rPr>
          <w:lang w:val="ru-RU"/>
        </w:rPr>
        <w:t xml:space="preserve">сотрудничество с МСЭ и работа в МСЭ – поддержка вовлеченности всех членов, особенно государств (включая регуляторные органы), </w:t>
      </w:r>
      <w:r w:rsidR="00074F43" w:rsidRPr="00694ACA">
        <w:rPr>
          <w:lang w:val="ru-RU"/>
        </w:rPr>
        <w:t xml:space="preserve">при </w:t>
      </w:r>
      <w:r w:rsidRPr="00694ACA">
        <w:rPr>
          <w:lang w:val="ru-RU"/>
        </w:rPr>
        <w:t>реализаци</w:t>
      </w:r>
      <w:r w:rsidR="00074F43" w:rsidRPr="00694ACA">
        <w:rPr>
          <w:lang w:val="ru-RU"/>
        </w:rPr>
        <w:t>и</w:t>
      </w:r>
      <w:r w:rsidRPr="00694ACA">
        <w:rPr>
          <w:lang w:val="ru-RU"/>
        </w:rPr>
        <w:t xml:space="preserve"> основных направлений и механизмов осуществления деятельности каждого Бюро.</w:t>
      </w:r>
      <w:r w:rsidR="00A579EF">
        <w:rPr>
          <w:lang w:val="ru-RU"/>
        </w:rPr>
        <w:t xml:space="preserve"> </w:t>
      </w:r>
      <w:r w:rsidRPr="00694ACA">
        <w:rPr>
          <w:lang w:val="ru-RU"/>
        </w:rPr>
        <w:t xml:space="preserve">По сути, такое </w:t>
      </w:r>
      <w:r w:rsidR="00367DAA" w:rsidRPr="00694ACA">
        <w:rPr>
          <w:lang w:val="ru-RU"/>
        </w:rPr>
        <w:t>развитие потенциала и профессиональная подготовка</w:t>
      </w:r>
      <w:r w:rsidRPr="00694ACA">
        <w:rPr>
          <w:lang w:val="ru-RU"/>
        </w:rPr>
        <w:t xml:space="preserve"> будут направлены на достижение результатов за счет повышения эффективности взаимодействия всех членов с секретариатом МСЭ;</w:t>
      </w:r>
    </w:p>
    <w:p w14:paraId="53BF2F7C" w14:textId="6C76D87C" w:rsidR="004B77F6" w:rsidRPr="00694ACA" w:rsidRDefault="004B77F6" w:rsidP="004B77F6">
      <w:pPr>
        <w:pStyle w:val="ListParagraph"/>
        <w:numPr>
          <w:ilvl w:val="0"/>
          <w:numId w:val="47"/>
        </w:numPr>
        <w:ind w:right="-472"/>
        <w:rPr>
          <w:lang w:val="ru-RU"/>
        </w:rPr>
      </w:pPr>
      <w:r w:rsidRPr="00694ACA">
        <w:rPr>
          <w:lang w:val="ru-RU"/>
        </w:rPr>
        <w:t xml:space="preserve">активизация деятельности </w:t>
      </w:r>
      <w:r w:rsidR="00367DAA" w:rsidRPr="00694ACA">
        <w:rPr>
          <w:lang w:val="ru-RU"/>
        </w:rPr>
        <w:t>по развитию потенциала и профессиональной подготовке</w:t>
      </w:r>
      <w:r w:rsidRPr="00694ACA">
        <w:rPr>
          <w:lang w:val="ru-RU"/>
        </w:rPr>
        <w:t xml:space="preserve"> имеет важное значение для каждого Сектора — в настоящее время каждое Бюро МСЭ использует различные способы взаимодействия с членами, что отчасти отражает технические требования, существующие в том или ином Секторе (радиосвязь, стандартизация и развитие) (с более подробной информацией о методах работы можно ознакомиться в пунктах 137 и 144).</w:t>
      </w:r>
      <w:r w:rsidR="00A579EF">
        <w:rPr>
          <w:lang w:val="ru-RU"/>
        </w:rPr>
        <w:t xml:space="preserve"> </w:t>
      </w:r>
      <w:r w:rsidRPr="00694ACA">
        <w:rPr>
          <w:lang w:val="ru-RU"/>
        </w:rPr>
        <w:t>Первостепенная задача Института будет заключаться в том, чтобы оказать воздействие при обеспечении поддержки такого разнообразия;</w:t>
      </w:r>
      <w:r w:rsidR="00A579EF">
        <w:rPr>
          <w:lang w:val="ru-RU"/>
        </w:rPr>
        <w:t xml:space="preserve"> </w:t>
      </w:r>
    </w:p>
    <w:p w14:paraId="688D9AD6" w14:textId="3394EC16" w:rsidR="004B77F6" w:rsidRPr="00694ACA" w:rsidRDefault="004B77F6" w:rsidP="004B77F6">
      <w:pPr>
        <w:pStyle w:val="ListParagraph"/>
        <w:numPr>
          <w:ilvl w:val="0"/>
          <w:numId w:val="47"/>
        </w:numPr>
        <w:ind w:right="-472"/>
        <w:rPr>
          <w:lang w:val="ru-RU"/>
        </w:rPr>
      </w:pPr>
      <w:r w:rsidRPr="00694ACA">
        <w:rPr>
          <w:lang w:val="ru-RU"/>
        </w:rPr>
        <w:t xml:space="preserve">оказание воздействия для удовлетворения выявленных потребностей государств — одной из основополагающих функций Института будет проведение тщательного анализа потребностей </w:t>
      </w:r>
      <w:r w:rsidR="00175F3F" w:rsidRPr="00694ACA">
        <w:rPr>
          <w:lang w:val="ru-RU"/>
        </w:rPr>
        <w:t xml:space="preserve">Государств-Членов </w:t>
      </w:r>
      <w:r w:rsidRPr="00694ACA">
        <w:rPr>
          <w:lang w:val="ru-RU"/>
        </w:rPr>
        <w:t>на регулярной основе, по результатам которого Институт будет составлять планы работы на год.</w:t>
      </w:r>
      <w:r w:rsidR="00A579EF">
        <w:rPr>
          <w:lang w:val="ru-RU"/>
        </w:rPr>
        <w:t xml:space="preserve"> </w:t>
      </w:r>
      <w:r w:rsidRPr="00694ACA">
        <w:rPr>
          <w:lang w:val="ru-RU"/>
        </w:rPr>
        <w:t>При этом Институту придется проявлять достаточную гибкость, чтобы оперативно реагировать на новые потребности по мере их возникновения;</w:t>
      </w:r>
    </w:p>
    <w:p w14:paraId="1B79E813" w14:textId="591977EC" w:rsidR="004B77F6" w:rsidRPr="00694ACA" w:rsidRDefault="004B77F6" w:rsidP="004B77F6">
      <w:pPr>
        <w:pStyle w:val="ListParagraph"/>
        <w:numPr>
          <w:ilvl w:val="0"/>
          <w:numId w:val="47"/>
        </w:numPr>
        <w:ind w:right="-472"/>
        <w:rPr>
          <w:lang w:val="ru-RU"/>
        </w:rPr>
      </w:pPr>
      <w:r w:rsidRPr="00694ACA">
        <w:rPr>
          <w:lang w:val="ru-RU"/>
        </w:rPr>
        <w:t>концентрация усилий на обеспечении уникального вклада МСЭ — Институт отдаст предпочтение тем областям, в которых он обладает сильными конкурентными преимуществами, в частности тем, которые не охвачены деятельностью других учреждений ООН (см. пункты 69, 97 и Приложение 4).</w:t>
      </w:r>
      <w:r w:rsidR="00A579EF">
        <w:rPr>
          <w:lang w:val="ru-RU"/>
        </w:rPr>
        <w:t xml:space="preserve"> </w:t>
      </w:r>
      <w:r w:rsidRPr="00694ACA">
        <w:rPr>
          <w:lang w:val="ru-RU"/>
        </w:rPr>
        <w:t>в областях, где наблюдается частичное дублирование деятельности с другими учреждениями, Институту следует попытаться обеспечить развитие соответствующего потенциала и профессиональную подготовку сотрудников правительств и регуляторных органов путем создания надлежащих и эффективных партнерств;</w:t>
      </w:r>
    </w:p>
    <w:p w14:paraId="2EC8DCB2" w14:textId="0B597EC5" w:rsidR="004B77F6" w:rsidRPr="00694ACA" w:rsidRDefault="004B77F6" w:rsidP="004B77F6">
      <w:pPr>
        <w:pStyle w:val="ListParagraph"/>
        <w:numPr>
          <w:ilvl w:val="0"/>
          <w:numId w:val="47"/>
        </w:numPr>
        <w:ind w:right="-472"/>
        <w:rPr>
          <w:lang w:val="ru-RU"/>
        </w:rPr>
      </w:pPr>
      <w:r w:rsidRPr="00694ACA">
        <w:rPr>
          <w:lang w:val="ru-RU"/>
        </w:rPr>
        <w:t xml:space="preserve">пребывание в авангарде новейших технологических разработок — поскольку МСЭ обладает идеальными условиями (не в последнюю очередь благодаря своим членам из числа представителей частного сектора и академических организаций) для поддержания ведущей роли в области технологических новинок, ему необходимо сделать особый упор на регулярном предоставлении правительствам актуальной информации о </w:t>
      </w:r>
      <w:r w:rsidR="00367DAA" w:rsidRPr="00694ACA">
        <w:rPr>
          <w:lang w:val="ru-RU"/>
        </w:rPr>
        <w:t>развитии потенциала и профессиональной подготовке</w:t>
      </w:r>
      <w:r w:rsidRPr="00694ACA">
        <w:rPr>
          <w:lang w:val="ru-RU"/>
        </w:rPr>
        <w:t>;</w:t>
      </w:r>
    </w:p>
    <w:p w14:paraId="6AC7708D" w14:textId="542861C8" w:rsidR="004B77F6" w:rsidRPr="00694ACA" w:rsidRDefault="002E5573" w:rsidP="004B77F6">
      <w:pPr>
        <w:pStyle w:val="ListParagraph"/>
        <w:numPr>
          <w:ilvl w:val="0"/>
          <w:numId w:val="47"/>
        </w:numPr>
        <w:ind w:right="-472"/>
        <w:rPr>
          <w:lang w:val="ru-RU"/>
        </w:rPr>
      </w:pPr>
      <w:r w:rsidRPr="00694ACA">
        <w:rPr>
          <w:lang w:val="ru-RU"/>
        </w:rPr>
        <w:t>развитие</w:t>
      </w:r>
      <w:r w:rsidR="004B77F6" w:rsidRPr="00694ACA">
        <w:rPr>
          <w:lang w:val="ru-RU"/>
        </w:rPr>
        <w:t xml:space="preserve"> потенциала и проведение профессиональной подготовки сотрудников правительств в целях расширения прав и возможностей всех своих граждан с помощью цифровых технологий — МСЭ может оказать большее глобальное воздействие, если не будет пытаться достичь этой цели в общемировом масштабе в одиночку, а усилит потенциал правительств соответствующих стран, необходимый для расширения прав и возможностей их граждан.</w:t>
      </w:r>
    </w:p>
    <w:p w14:paraId="2C0EF001" w14:textId="7DF642CD" w:rsidR="004B77F6" w:rsidRPr="00694ACA" w:rsidRDefault="004B77F6" w:rsidP="008B728A">
      <w:pPr>
        <w:spacing w:before="120"/>
        <w:ind w:left="-284" w:right="-472"/>
        <w:rPr>
          <w:lang w:val="ru-RU"/>
        </w:rPr>
      </w:pPr>
      <w:r w:rsidRPr="00694ACA">
        <w:rPr>
          <w:lang w:val="ru-RU"/>
        </w:rPr>
        <w:t xml:space="preserve">125. </w:t>
      </w:r>
      <w:r w:rsidRPr="00694ACA">
        <w:rPr>
          <w:b/>
          <w:bCs/>
          <w:lang w:val="ru-RU"/>
        </w:rPr>
        <w:t xml:space="preserve">Оказание воздействия путем </w:t>
      </w:r>
      <w:r w:rsidR="00367DAA" w:rsidRPr="00694ACA">
        <w:rPr>
          <w:b/>
          <w:bCs/>
          <w:lang w:val="ru-RU"/>
        </w:rPr>
        <w:t>развития потенциала</w:t>
      </w:r>
      <w:r w:rsidRPr="00694ACA">
        <w:rPr>
          <w:b/>
          <w:bCs/>
          <w:lang w:val="ru-RU"/>
        </w:rPr>
        <w:t xml:space="preserve"> </w:t>
      </w:r>
      <w:r w:rsidR="00175F3F" w:rsidRPr="00694ACA">
        <w:rPr>
          <w:b/>
          <w:bCs/>
          <w:lang w:val="ru-RU"/>
        </w:rPr>
        <w:t xml:space="preserve">Государств-Членов </w:t>
      </w:r>
      <w:r w:rsidRPr="00694ACA">
        <w:rPr>
          <w:b/>
          <w:bCs/>
          <w:lang w:val="ru-RU"/>
        </w:rPr>
        <w:t>для расширения прав и возможностей отдельных лиц в пределах соответствующих границ</w:t>
      </w:r>
      <w:r w:rsidRPr="00694ACA">
        <w:rPr>
          <w:lang w:val="ru-RU"/>
        </w:rPr>
        <w:t>.</w:t>
      </w:r>
      <w:r w:rsidR="00A579EF">
        <w:rPr>
          <w:lang w:val="ru-RU"/>
        </w:rPr>
        <w:t xml:space="preserve"> </w:t>
      </w:r>
      <w:r w:rsidRPr="00694ACA">
        <w:rPr>
          <w:lang w:val="ru-RU"/>
        </w:rPr>
        <w:t xml:space="preserve">В данном отчете настоятельно рекомендуется направить деятельность МСЭ в области </w:t>
      </w:r>
      <w:r w:rsidR="00180067" w:rsidRPr="00694ACA">
        <w:rPr>
          <w:lang w:val="ru-RU"/>
        </w:rPr>
        <w:t>развития потенциала и профессиональной подготовки</w:t>
      </w:r>
      <w:r w:rsidRPr="00694ACA">
        <w:rPr>
          <w:lang w:val="ru-RU"/>
        </w:rPr>
        <w:t xml:space="preserve"> в первую очередь на удовлетворение потребностей его членов, в частности правительств государств и национальных регуляторных органов. В то же время в последнем абзаце пункта 124 выше отмечается, что МСЭ имеет потенциал для повышения степени своего воздействия в еще одной области — создание благоприятных условий и оказание содействия государствам в повышении своей способности добиваться потенциальных результатов в сфере развития с помощью </w:t>
      </w:r>
      <w:r w:rsidRPr="00694ACA">
        <w:rPr>
          <w:lang w:val="ru-RU"/>
        </w:rPr>
        <w:lastRenderedPageBreak/>
        <w:t>цифровых технологий в интересах тех, кто живет в пределах их границ.</w:t>
      </w:r>
      <w:r w:rsidR="00A579EF">
        <w:rPr>
          <w:lang w:val="ru-RU"/>
        </w:rPr>
        <w:t xml:space="preserve"> </w:t>
      </w:r>
      <w:r w:rsidRPr="00694ACA">
        <w:rPr>
          <w:lang w:val="ru-RU"/>
        </w:rPr>
        <w:t>Для эффективной работы в этом направлении необходимо обратить внимание на роль цифровых технологий не только в повышении темпов экономического развития, но и в снижении вреда, который они наносят, как прямо, так и косвенно.</w:t>
      </w:r>
      <w:r w:rsidR="00A579EF">
        <w:rPr>
          <w:lang w:val="ru-RU"/>
        </w:rPr>
        <w:t xml:space="preserve"> </w:t>
      </w:r>
      <w:r w:rsidRPr="00694ACA">
        <w:rPr>
          <w:lang w:val="ru-RU"/>
        </w:rPr>
        <w:t xml:space="preserve">Прежде всего, с точки зрения обеспечения справедливости в контексте развития (см., в частности, ЦУР 10) </w:t>
      </w:r>
      <w:r w:rsidR="00367DAA" w:rsidRPr="00694ACA">
        <w:rPr>
          <w:lang w:val="ru-RU"/>
        </w:rPr>
        <w:t>развитие потенциала и профессиональная подготовка</w:t>
      </w:r>
      <w:r w:rsidRPr="00694ACA">
        <w:rPr>
          <w:lang w:val="ru-RU"/>
        </w:rPr>
        <w:t xml:space="preserve"> необходимы для того, чтобы снизить тенденцию формирования неравенства в результате применения цифровых технологий между теми, кто может получить доступ к ним и пользоваться ими, и теми, кто этого сделать не может.</w:t>
      </w:r>
      <w:r w:rsidR="00A579EF">
        <w:rPr>
          <w:lang w:val="ru-RU"/>
        </w:rPr>
        <w:t xml:space="preserve"> </w:t>
      </w:r>
      <w:r w:rsidRPr="00694ACA">
        <w:rPr>
          <w:lang w:val="ru-RU"/>
        </w:rPr>
        <w:t xml:space="preserve">Поэтому все меры </w:t>
      </w:r>
      <w:r w:rsidR="00367DAA" w:rsidRPr="00694ACA">
        <w:rPr>
          <w:lang w:val="ru-RU"/>
        </w:rPr>
        <w:t>по развитию потенциала и профессиональной подготовке</w:t>
      </w:r>
      <w:r w:rsidRPr="00694ACA">
        <w:rPr>
          <w:lang w:val="ru-RU"/>
        </w:rPr>
        <w:t xml:space="preserve"> должны быть направлены на содействие обеспечению охвата цифровыми технологиями и поддержания соответствующего разнообразия.</w:t>
      </w:r>
      <w:r w:rsidR="00A579EF">
        <w:rPr>
          <w:lang w:val="ru-RU"/>
        </w:rPr>
        <w:t xml:space="preserve"> </w:t>
      </w:r>
      <w:r w:rsidRPr="00694ACA">
        <w:rPr>
          <w:lang w:val="ru-RU"/>
        </w:rPr>
        <w:t>Ниже приведены некоторые шаги, которые могут помочь достичь такого воздействия:</w:t>
      </w:r>
    </w:p>
    <w:p w14:paraId="541A1AD9" w14:textId="038E0A9A" w:rsidR="004B77F6" w:rsidRPr="00694ACA" w:rsidRDefault="004B77F6" w:rsidP="004B77F6">
      <w:pPr>
        <w:pStyle w:val="ListParagraph"/>
        <w:numPr>
          <w:ilvl w:val="0"/>
          <w:numId w:val="48"/>
        </w:numPr>
        <w:ind w:right="-472"/>
        <w:rPr>
          <w:lang w:val="ru-RU"/>
        </w:rPr>
      </w:pPr>
      <w:r w:rsidRPr="00694ACA">
        <w:rPr>
          <w:i/>
          <w:iCs/>
          <w:lang w:val="ru-RU"/>
        </w:rPr>
        <w:t>создание комплектов материалов для правительств по обеспечению охвата</w:t>
      </w:r>
      <w:r w:rsidRPr="00694ACA">
        <w:rPr>
          <w:lang w:val="ru-RU"/>
        </w:rPr>
        <w:t> — такие комплекты материалов (и обучение навыкам их применения) могут иметь самый разный характер, но при этом они должны быть достаточно гибкими для обеспечения учета различных национальных особенностей членов.</w:t>
      </w:r>
      <w:r w:rsidR="00A579EF">
        <w:rPr>
          <w:lang w:val="ru-RU"/>
        </w:rPr>
        <w:t xml:space="preserve"> </w:t>
      </w:r>
      <w:r w:rsidRPr="00694ACA">
        <w:rPr>
          <w:lang w:val="ru-RU"/>
        </w:rPr>
        <w:t>Их основная цель — помочь правительствам добиться более высоких результатов в развитии в интересах всех своих граждан с помощью цифровых технологий.</w:t>
      </w:r>
      <w:r w:rsidR="00A579EF">
        <w:rPr>
          <w:lang w:val="ru-RU"/>
        </w:rPr>
        <w:t xml:space="preserve"> </w:t>
      </w:r>
      <w:r w:rsidRPr="00694ACA">
        <w:rPr>
          <w:lang w:val="ru-RU"/>
        </w:rPr>
        <w:t xml:space="preserve">Такие комплекты материалов позволили бы, например, МСЭ отказаться от организации собственных курсов </w:t>
      </w:r>
      <w:r w:rsidR="00367DAA" w:rsidRPr="00694ACA">
        <w:rPr>
          <w:lang w:val="ru-RU"/>
        </w:rPr>
        <w:t>по развитию потенциала и профессиональной подготовке</w:t>
      </w:r>
      <w:r w:rsidRPr="00694ACA">
        <w:rPr>
          <w:lang w:val="ru-RU"/>
        </w:rPr>
        <w:t xml:space="preserve"> для отдельных лиц, предоставив правительствам во всем мире возможность самим делать это для своих граждан.</w:t>
      </w:r>
      <w:r w:rsidR="00A579EF">
        <w:rPr>
          <w:lang w:val="ru-RU"/>
        </w:rPr>
        <w:t xml:space="preserve"> </w:t>
      </w:r>
      <w:r w:rsidRPr="00694ACA">
        <w:rPr>
          <w:lang w:val="ru-RU"/>
        </w:rPr>
        <w:t xml:space="preserve">Воздействие МСЭ будет достигаться за счет мультипликационного эффекта взаимодействия со всеми </w:t>
      </w:r>
      <w:r w:rsidR="00175F3F" w:rsidRPr="00694ACA">
        <w:rPr>
          <w:lang w:val="ru-RU"/>
        </w:rPr>
        <w:t xml:space="preserve">Государствами-Членами </w:t>
      </w:r>
      <w:r w:rsidRPr="00694ACA">
        <w:rPr>
          <w:lang w:val="ru-RU"/>
        </w:rPr>
        <w:t>во всем мире;</w:t>
      </w:r>
    </w:p>
    <w:p w14:paraId="0884DFCF" w14:textId="03256FD3" w:rsidR="004B77F6" w:rsidRPr="00694ACA" w:rsidRDefault="004B77F6" w:rsidP="004B77F6">
      <w:pPr>
        <w:pStyle w:val="ListParagraph"/>
        <w:numPr>
          <w:ilvl w:val="0"/>
          <w:numId w:val="48"/>
        </w:numPr>
        <w:ind w:right="-472"/>
        <w:rPr>
          <w:lang w:val="ru-RU"/>
        </w:rPr>
      </w:pPr>
      <w:r w:rsidRPr="00694ACA">
        <w:rPr>
          <w:i/>
          <w:iCs/>
          <w:lang w:val="ru-RU"/>
        </w:rPr>
        <w:t>повышение способности Членов Секторов обеспечивать разнообразие и охват</w:t>
      </w:r>
      <w:r w:rsidRPr="00694ACA">
        <w:rPr>
          <w:lang w:val="ru-RU"/>
        </w:rPr>
        <w:t xml:space="preserve"> — Институт мог бы также разработать целевые мероприятия </w:t>
      </w:r>
      <w:r w:rsidR="00367DAA" w:rsidRPr="00694ACA">
        <w:rPr>
          <w:lang w:val="ru-RU"/>
        </w:rPr>
        <w:t>по развитию потенциала и профессиональной подготовке</w:t>
      </w:r>
      <w:r w:rsidRPr="00694ACA">
        <w:rPr>
          <w:lang w:val="ru-RU"/>
        </w:rPr>
        <w:t>, с тем чтобы помочь Членам Секторов (компаниям и корпорациям) повысить степень понимания и урегулирования наиболее значимых вопросов, связанных с разнообразием, а также рациональным применением цифровых технологий (например, обеспечение учета гендерной проблематики, инвалидности/доступности, интересов мигрантов и беженцев, этнических меньшинств, молодежи, не посещающей школу, и фактора электронных отходов);</w:t>
      </w:r>
    </w:p>
    <w:p w14:paraId="6C8ACE08" w14:textId="77777777" w:rsidR="004B77F6" w:rsidRPr="00694ACA" w:rsidRDefault="004B77F6" w:rsidP="004B77F6">
      <w:pPr>
        <w:pStyle w:val="ListParagraph"/>
        <w:numPr>
          <w:ilvl w:val="0"/>
          <w:numId w:val="48"/>
        </w:numPr>
        <w:ind w:right="-472"/>
        <w:rPr>
          <w:lang w:val="ru-RU"/>
        </w:rPr>
      </w:pPr>
      <w:r w:rsidRPr="00694ACA">
        <w:rPr>
          <w:i/>
          <w:iCs/>
          <w:lang w:val="ru-RU"/>
        </w:rPr>
        <w:t>создание базовых образовательных ресурсов как глобальных общественных благ</w:t>
      </w:r>
      <w:r w:rsidRPr="00694ACA">
        <w:rPr>
          <w:lang w:val="ru-RU"/>
        </w:rPr>
        <w:t> — при выявлении потребности в высококачественных онлайновых образовательных ресурсах Институт мог бы также разработать свои собственные бесплатные для конечного пользователя материалы, доступ к которым пользователи могли бы получить на портале Института (как рекомендуется в соответствии с требованиями лицензий CC BY SA</w:t>
      </w:r>
      <w:r w:rsidRPr="00694ACA">
        <w:rPr>
          <w:rStyle w:val="FootnoteReference"/>
          <w:lang w:val="ru-RU"/>
        </w:rPr>
        <w:footnoteReference w:id="175"/>
      </w:r>
      <w:r w:rsidRPr="00694ACA">
        <w:rPr>
          <w:lang w:val="ru-RU"/>
        </w:rPr>
        <w:t>).</w:t>
      </w:r>
    </w:p>
    <w:p w14:paraId="240EEDD6" w14:textId="77777777" w:rsidR="004B77F6" w:rsidRPr="00694ACA" w:rsidRDefault="004B77F6" w:rsidP="00A105CB">
      <w:pPr>
        <w:pStyle w:val="Heading3"/>
        <w:ind w:right="-472"/>
        <w:rPr>
          <w:lang w:val="ru-RU"/>
        </w:rPr>
      </w:pPr>
      <w:r w:rsidRPr="00694ACA">
        <w:rPr>
          <w:lang w:val="ru-RU"/>
        </w:rPr>
        <w:t>Функции</w:t>
      </w:r>
    </w:p>
    <w:p w14:paraId="6BC6F7FE" w14:textId="77777777" w:rsidR="004B77F6" w:rsidRPr="00694ACA" w:rsidRDefault="004B77F6" w:rsidP="00A105CB">
      <w:pPr>
        <w:ind w:left="-284" w:right="-472"/>
        <w:rPr>
          <w:lang w:val="ru-RU"/>
        </w:rPr>
      </w:pPr>
      <w:r w:rsidRPr="00694ACA">
        <w:rPr>
          <w:lang w:val="ru-RU"/>
        </w:rPr>
        <w:t>126. Несмотря на то, что функции Института будут тесно связаны с установленными для него целями и сферами воздействия, его плотное взаимодействие с коллегами из трех Секторов МСЭ позволило бы:</w:t>
      </w:r>
    </w:p>
    <w:p w14:paraId="4B24AF87" w14:textId="1C637052" w:rsidR="004B77F6" w:rsidRPr="00694ACA" w:rsidRDefault="004B77F6" w:rsidP="004B77F6">
      <w:pPr>
        <w:pStyle w:val="Bulletspoint11"/>
        <w:rPr>
          <w:lang w:val="ru-RU"/>
        </w:rPr>
      </w:pPr>
      <w:r w:rsidRPr="00694ACA">
        <w:rPr>
          <w:lang w:val="ru-RU"/>
        </w:rPr>
        <w:t xml:space="preserve">разработать и предоставить всем членам (прежде всего </w:t>
      </w:r>
      <w:r w:rsidR="00175F3F" w:rsidRPr="00694ACA">
        <w:rPr>
          <w:lang w:val="ru-RU"/>
        </w:rPr>
        <w:t xml:space="preserve">Государствам-Членам </w:t>
      </w:r>
      <w:r w:rsidRPr="00694ACA">
        <w:rPr>
          <w:lang w:val="ru-RU"/>
        </w:rPr>
        <w:t>и Членам Секторов) ресурсы и инструменты профессиональной подготовки наивысшего качества в области цифровых технологий и электросвязи по тем направлениям, которые еще не охвачены соответствующими услугами других поставщиков на достаточно высоком уровне;</w:t>
      </w:r>
    </w:p>
    <w:p w14:paraId="596EA961" w14:textId="77777777" w:rsidR="004B77F6" w:rsidRPr="00694ACA" w:rsidRDefault="004B77F6" w:rsidP="004B77F6">
      <w:pPr>
        <w:pStyle w:val="Bulletspoint11"/>
        <w:rPr>
          <w:lang w:val="ru-RU"/>
        </w:rPr>
      </w:pPr>
      <w:r w:rsidRPr="00694ACA">
        <w:rPr>
          <w:lang w:val="ru-RU"/>
        </w:rPr>
        <w:t>разработать и предоставить бесплатные и доступные материалы наивысшего качества для самостоятельного обучения, независимо от категории пользователей и обстоятельств использования, посвященные тем направлениям, которые еще не охвачены соответствующими услугами других поставщиков на достаточно высоком уровне;</w:t>
      </w:r>
    </w:p>
    <w:p w14:paraId="0564D831" w14:textId="7ACB735E" w:rsidR="004B77F6" w:rsidRPr="00694ACA" w:rsidRDefault="004B77F6" w:rsidP="004B77F6">
      <w:pPr>
        <w:pStyle w:val="Bulletspoint11"/>
        <w:rPr>
          <w:lang w:val="ru-RU"/>
        </w:rPr>
      </w:pPr>
      <w:r w:rsidRPr="00694ACA">
        <w:rPr>
          <w:lang w:val="ru-RU"/>
        </w:rPr>
        <w:t xml:space="preserve">разработать и обеспечить поддержку портала высочайшего качества для предоставления услуг </w:t>
      </w:r>
      <w:r w:rsidR="00367DAA" w:rsidRPr="00694ACA">
        <w:rPr>
          <w:lang w:val="ru-RU"/>
        </w:rPr>
        <w:t>по развитию потенциала и профессиональной подготовке</w:t>
      </w:r>
      <w:r w:rsidRPr="00694ACA">
        <w:rPr>
          <w:lang w:val="ru-RU"/>
        </w:rPr>
        <w:t>;</w:t>
      </w:r>
    </w:p>
    <w:p w14:paraId="08C67D23" w14:textId="77777777" w:rsidR="004B77F6" w:rsidRPr="00694ACA" w:rsidRDefault="004B77F6" w:rsidP="004B77F6">
      <w:pPr>
        <w:pStyle w:val="Bulletspoint11"/>
        <w:rPr>
          <w:lang w:val="ru-RU"/>
        </w:rPr>
      </w:pPr>
      <w:r w:rsidRPr="00694ACA">
        <w:rPr>
          <w:lang w:val="ru-RU"/>
        </w:rPr>
        <w:t>определить лучших из существующих поставщиков соответствующих материалов и услуг по подготовке кадров и разработать официальные соглашения с ними для обеспечения возможности использования портала МСЭ в целях предоставления людям доступа к прохождению такой профессиональной подготовки (всех уровней, начиная с базового обучения и заканчивая более высоким уровнем образования);</w:t>
      </w:r>
    </w:p>
    <w:p w14:paraId="41BB5712" w14:textId="3E9EDB5F" w:rsidR="004B77F6" w:rsidRPr="00694ACA" w:rsidRDefault="004B77F6" w:rsidP="004B77F6">
      <w:pPr>
        <w:pStyle w:val="Bulletspoint11"/>
        <w:rPr>
          <w:lang w:val="ru-RU"/>
        </w:rPr>
      </w:pPr>
      <w:r w:rsidRPr="00694ACA">
        <w:rPr>
          <w:lang w:val="ru-RU"/>
        </w:rPr>
        <w:lastRenderedPageBreak/>
        <w:t xml:space="preserve">тесно взаимодействовать со всеми Секторами МСЭ для выявления соответствующих потребностей в области </w:t>
      </w:r>
      <w:r w:rsidR="00180067" w:rsidRPr="00694ACA">
        <w:rPr>
          <w:lang w:val="ru-RU"/>
        </w:rPr>
        <w:t>развития потенциала и профессиональной подготовки</w:t>
      </w:r>
      <w:r w:rsidRPr="00694ACA">
        <w:rPr>
          <w:lang w:val="ru-RU"/>
        </w:rPr>
        <w:t>, а также совместно разрабатывать соответствующие учебные ресурсы и методы обеспечения их использования (включая разработку учебных ресурсов на основе недавно выпущенных публикаций МСЭ);</w:t>
      </w:r>
    </w:p>
    <w:p w14:paraId="4B081F96" w14:textId="77777777" w:rsidR="004B77F6" w:rsidRPr="00694ACA" w:rsidRDefault="004B77F6" w:rsidP="004B77F6">
      <w:pPr>
        <w:pStyle w:val="Bulletspoint11"/>
        <w:rPr>
          <w:lang w:val="ru-RU"/>
        </w:rPr>
      </w:pPr>
      <w:r w:rsidRPr="00694ACA">
        <w:rPr>
          <w:lang w:val="ru-RU"/>
        </w:rPr>
        <w:t>при необходимости установить официальные партнерские отношения с тщательно отобранными и разнообразными партнерами для разработки и предоставления материалов и проведения профессиональной подготовки на совместной основе (особенно с другими учреждениями ООН, в частности ПРООН для осуществления соответствующей деятельности внутри страны);</w:t>
      </w:r>
    </w:p>
    <w:p w14:paraId="11B0935D" w14:textId="77777777" w:rsidR="004B77F6" w:rsidRPr="00694ACA" w:rsidRDefault="004B77F6" w:rsidP="004B77F6">
      <w:pPr>
        <w:pStyle w:val="Bulletspoint11"/>
        <w:rPr>
          <w:lang w:val="ru-RU"/>
        </w:rPr>
      </w:pPr>
      <w:r w:rsidRPr="00694ACA">
        <w:rPr>
          <w:lang w:val="ru-RU"/>
        </w:rPr>
        <w:t>организовывать очные учебные мероприятия при необходимости применения такой формы обучения вместо онлайновой (возможно, 10–20 % от общего объема учебных мероприятий);</w:t>
      </w:r>
    </w:p>
    <w:p w14:paraId="3E121068" w14:textId="16E11A25" w:rsidR="004B77F6" w:rsidRPr="00694ACA" w:rsidRDefault="004B77F6" w:rsidP="004B77F6">
      <w:pPr>
        <w:pStyle w:val="Bulletspoint11"/>
        <w:rPr>
          <w:lang w:val="ru-RU"/>
        </w:rPr>
      </w:pPr>
      <w:r w:rsidRPr="00694ACA">
        <w:rPr>
          <w:lang w:val="ru-RU"/>
        </w:rPr>
        <w:t xml:space="preserve">принимать </w:t>
      </w:r>
      <w:r w:rsidR="006E72AD" w:rsidRPr="00694ACA">
        <w:rPr>
          <w:lang w:val="ru-RU"/>
        </w:rPr>
        <w:t>"</w:t>
      </w:r>
      <w:r w:rsidRPr="00694ACA">
        <w:rPr>
          <w:lang w:val="ru-RU"/>
        </w:rPr>
        <w:t>выдающихся стипендиатов</w:t>
      </w:r>
      <w:r w:rsidR="006E72AD" w:rsidRPr="00694ACA">
        <w:rPr>
          <w:lang w:val="ru-RU"/>
        </w:rPr>
        <w:t>"</w:t>
      </w:r>
      <w:r w:rsidRPr="00694ACA">
        <w:rPr>
          <w:lang w:val="ru-RU"/>
        </w:rPr>
        <w:t xml:space="preserve"> из других организаций (особенно университетов высокого уровня), с тем чтобы они могли участвовать в работе МСЭ и вносить свой вклад в разработку новых ресурсов (а также в возможную разработку курсов на получение ученых степеней с участием МСЭ в той или иной степени), а также приглашать в Институт коллег (в том числе ученых и инструкторов) из менее обеспеченных стран для совершенствования ими своих собственных навыков и практики путем выполнения работы совместно с сотрудниками Института;</w:t>
      </w:r>
    </w:p>
    <w:p w14:paraId="560C3368" w14:textId="519B6C00" w:rsidR="004B77F6" w:rsidRPr="00694ACA" w:rsidRDefault="004B77F6" w:rsidP="004B77F6">
      <w:pPr>
        <w:pStyle w:val="Bulletspoint11"/>
        <w:rPr>
          <w:lang w:val="ru-RU"/>
        </w:rPr>
      </w:pPr>
      <w:r w:rsidRPr="00694ACA">
        <w:rPr>
          <w:lang w:val="ru-RU"/>
        </w:rPr>
        <w:t xml:space="preserve">созывать международные совещания и мероприятия высокого уровня по вопросам </w:t>
      </w:r>
      <w:r w:rsidR="00180067" w:rsidRPr="00694ACA">
        <w:rPr>
          <w:lang w:val="ru-RU"/>
        </w:rPr>
        <w:t xml:space="preserve">развития потенциала и профессиональной подготовки </w:t>
      </w:r>
      <w:r w:rsidRPr="00694ACA">
        <w:rPr>
          <w:lang w:val="ru-RU"/>
        </w:rPr>
        <w:t>в области цифровых технологий и электросвязи;</w:t>
      </w:r>
    </w:p>
    <w:p w14:paraId="2D1CFD84" w14:textId="77777777" w:rsidR="004B77F6" w:rsidRPr="00694ACA" w:rsidRDefault="004B77F6" w:rsidP="004B77F6">
      <w:pPr>
        <w:pStyle w:val="Bulletspoint11"/>
        <w:rPr>
          <w:lang w:val="ru-RU"/>
        </w:rPr>
      </w:pPr>
      <w:r w:rsidRPr="00694ACA">
        <w:rPr>
          <w:lang w:val="ru-RU"/>
        </w:rPr>
        <w:t>выполнять роль учебной организации и проводить обучение всех своих сотрудников (≤10 % их времени) для повышения ими (а также сотрудниками других учреждений МСЭ) своей квалификации на регулярной основе.</w:t>
      </w:r>
    </w:p>
    <w:p w14:paraId="4C367789" w14:textId="77777777" w:rsidR="004B77F6" w:rsidRPr="00694ACA" w:rsidRDefault="004B77F6" w:rsidP="00A105CB">
      <w:pPr>
        <w:pStyle w:val="Heading3"/>
        <w:ind w:right="-472"/>
        <w:rPr>
          <w:lang w:val="ru-RU"/>
        </w:rPr>
      </w:pPr>
      <w:r w:rsidRPr="00694ACA">
        <w:rPr>
          <w:lang w:val="ru-RU"/>
        </w:rPr>
        <w:t>Методы работы в МСЭ</w:t>
      </w:r>
    </w:p>
    <w:p w14:paraId="6094A0A7" w14:textId="0ECFB9D8" w:rsidR="004B77F6" w:rsidRPr="00694ACA" w:rsidRDefault="004B77F6" w:rsidP="00A105CB">
      <w:pPr>
        <w:ind w:left="-284"/>
        <w:rPr>
          <w:lang w:val="ru-RU"/>
        </w:rPr>
      </w:pPr>
      <w:r w:rsidRPr="00694ACA">
        <w:rPr>
          <w:lang w:val="ru-RU"/>
        </w:rPr>
        <w:t xml:space="preserve">127. Институт будет функционировать как автономное, </w:t>
      </w:r>
      <w:proofErr w:type="spellStart"/>
      <w:r w:rsidRPr="00694ACA">
        <w:rPr>
          <w:lang w:val="ru-RU"/>
        </w:rPr>
        <w:t>квазинезависимое</w:t>
      </w:r>
      <w:proofErr w:type="spellEnd"/>
      <w:r w:rsidRPr="00694ACA">
        <w:rPr>
          <w:lang w:val="ru-RU"/>
        </w:rPr>
        <w:t xml:space="preserve"> учреждение, подотчетное непосредственно Генеральному секретарю (пункт 122).</w:t>
      </w:r>
      <w:r w:rsidR="00A579EF">
        <w:rPr>
          <w:lang w:val="ru-RU"/>
        </w:rPr>
        <w:t xml:space="preserve"> </w:t>
      </w:r>
      <w:r w:rsidRPr="00694ACA">
        <w:rPr>
          <w:lang w:val="ru-RU"/>
        </w:rPr>
        <w:t>В то же время крайне важно, чтобы его сотрудники эффективно и творчески подходили к взаимодействию с сотрудниками всех трех Бюро и Генерального секретариата.</w:t>
      </w:r>
      <w:r w:rsidR="00A579EF">
        <w:rPr>
          <w:lang w:val="ru-RU"/>
        </w:rPr>
        <w:t xml:space="preserve"> </w:t>
      </w:r>
      <w:r w:rsidRPr="00694ACA">
        <w:rPr>
          <w:lang w:val="ru-RU"/>
        </w:rPr>
        <w:t xml:space="preserve">В настоящее время все эти органы используют различные методы </w:t>
      </w:r>
      <w:r w:rsidR="00DC6B52" w:rsidRPr="00694ACA">
        <w:rPr>
          <w:lang w:val="ru-RU"/>
        </w:rPr>
        <w:t>развития потенциала и профессиональной подготовки</w:t>
      </w:r>
      <w:r w:rsidRPr="00694ACA">
        <w:rPr>
          <w:lang w:val="ru-RU"/>
        </w:rPr>
        <w:t>, в связи с чем на начальном этапе необходимо будет разработать диверсифицированные методы взаимодействия с каждым из них в соответствии с тем, как они осуществляют такую деятельность.</w:t>
      </w:r>
      <w:r w:rsidR="00A579EF">
        <w:rPr>
          <w:lang w:val="ru-RU"/>
        </w:rPr>
        <w:t xml:space="preserve"> </w:t>
      </w:r>
      <w:r w:rsidRPr="00694ACA">
        <w:rPr>
          <w:lang w:val="ru-RU"/>
        </w:rPr>
        <w:t xml:space="preserve">В то же время предполагается, что наличие единого Института, ответственного за все мероприятия МСЭ </w:t>
      </w:r>
      <w:r w:rsidR="00367DAA" w:rsidRPr="00694ACA">
        <w:rPr>
          <w:lang w:val="ru-RU"/>
        </w:rPr>
        <w:t>по развитию потенциала и профессиональной подготовке</w:t>
      </w:r>
      <w:r w:rsidRPr="00694ACA">
        <w:rPr>
          <w:lang w:val="ru-RU"/>
        </w:rPr>
        <w:t>, со временем позволит сделать обслуживание его членов более надежным и комплексным.</w:t>
      </w:r>
      <w:r w:rsidR="00A579EF">
        <w:rPr>
          <w:lang w:val="ru-RU"/>
        </w:rPr>
        <w:t xml:space="preserve"> </w:t>
      </w:r>
      <w:r w:rsidRPr="00694ACA">
        <w:rPr>
          <w:lang w:val="ru-RU"/>
        </w:rPr>
        <w:t>По сути, Институт будет функционировать преимущественно для обслуживания членов, сотрудничая при этом с имеющимися в Бюро специалистами, а также по необходимости оказывать услуги внешним пользователям на основе партнерских отношений (см. пункты 131–136).</w:t>
      </w:r>
    </w:p>
    <w:p w14:paraId="40E4175C" w14:textId="5E5C733F" w:rsidR="004B77F6" w:rsidRPr="00694ACA" w:rsidRDefault="004B77F6" w:rsidP="00A105CB">
      <w:pPr>
        <w:ind w:left="-284"/>
        <w:rPr>
          <w:lang w:val="ru-RU"/>
        </w:rPr>
      </w:pPr>
      <w:r w:rsidRPr="00694ACA">
        <w:rPr>
          <w:lang w:val="ru-RU"/>
        </w:rPr>
        <w:t xml:space="preserve">128. Сотрудники Института, прежде всего, привнесут в работу МСЭ дополнительные высококачественные экспертные знания в области разработки и внедрения эффективных инструментов </w:t>
      </w:r>
      <w:r w:rsidR="00DC6B52" w:rsidRPr="00694ACA">
        <w:rPr>
          <w:lang w:val="ru-RU"/>
        </w:rPr>
        <w:t xml:space="preserve">развития потенциала и профессиональной подготовки </w:t>
      </w:r>
      <w:r w:rsidRPr="00694ACA">
        <w:rPr>
          <w:lang w:val="ru-RU"/>
        </w:rPr>
        <w:t>в сфере ИКТ и электросвязи.</w:t>
      </w:r>
      <w:r w:rsidR="00A579EF">
        <w:rPr>
          <w:lang w:val="ru-RU"/>
        </w:rPr>
        <w:t xml:space="preserve"> </w:t>
      </w:r>
      <w:r w:rsidRPr="00694ACA">
        <w:rPr>
          <w:lang w:val="ru-RU"/>
        </w:rPr>
        <w:t>В</w:t>
      </w:r>
      <w:r w:rsidR="00A579EF">
        <w:rPr>
          <w:lang w:val="ru-RU"/>
        </w:rPr>
        <w:t> </w:t>
      </w:r>
      <w:r w:rsidRPr="00694ACA">
        <w:rPr>
          <w:lang w:val="ru-RU"/>
        </w:rPr>
        <w:t xml:space="preserve">рамках обеспечения эффективного и надлежащего </w:t>
      </w:r>
      <w:r w:rsidR="00367DAA" w:rsidRPr="00694ACA">
        <w:rPr>
          <w:lang w:val="ru-RU"/>
        </w:rPr>
        <w:t>развития потенциала</w:t>
      </w:r>
      <w:r w:rsidRPr="00694ACA">
        <w:rPr>
          <w:lang w:val="ru-RU"/>
        </w:rPr>
        <w:t xml:space="preserve"> в онлайновом и очном режиме они будут играть роль специалистов и экспертов в тех или иных областях.</w:t>
      </w:r>
    </w:p>
    <w:p w14:paraId="09610575" w14:textId="699A919F" w:rsidR="004B77F6" w:rsidRPr="00694ACA" w:rsidRDefault="004B77F6" w:rsidP="00A105CB">
      <w:pPr>
        <w:ind w:left="-284"/>
        <w:rPr>
          <w:lang w:val="ru-RU"/>
        </w:rPr>
      </w:pPr>
      <w:r w:rsidRPr="00694ACA">
        <w:rPr>
          <w:lang w:val="ru-RU"/>
        </w:rPr>
        <w:t xml:space="preserve">129. В первую очередь руководству Института необходимо будет определить и обсудить с каждым Бюро вопрос о том, как лучше организовать взаимодействие для повышения эффективности предусмотренных мандатом мероприятий по </w:t>
      </w:r>
      <w:r w:rsidR="00DC6B52" w:rsidRPr="00694ACA">
        <w:rPr>
          <w:lang w:val="ru-RU"/>
        </w:rPr>
        <w:t>развитию потенциала и профессиональной подготовке</w:t>
      </w:r>
      <w:r w:rsidRPr="00694ACA">
        <w:rPr>
          <w:lang w:val="ru-RU"/>
        </w:rPr>
        <w:t>.</w:t>
      </w:r>
      <w:r w:rsidR="00A579EF">
        <w:rPr>
          <w:lang w:val="ru-RU"/>
        </w:rPr>
        <w:t xml:space="preserve"> </w:t>
      </w:r>
      <w:r w:rsidRPr="00694ACA">
        <w:rPr>
          <w:lang w:val="ru-RU"/>
        </w:rPr>
        <w:t>Ниже приведены некоторые из способов взаимодействия с Бюро в целях удовлетворения потребностей каждого Сектора:</w:t>
      </w:r>
    </w:p>
    <w:p w14:paraId="6A1B1598" w14:textId="799320EB" w:rsidR="004B77F6" w:rsidRPr="00694ACA" w:rsidRDefault="004B77F6" w:rsidP="004B77F6">
      <w:pPr>
        <w:pStyle w:val="ListParagraph"/>
        <w:numPr>
          <w:ilvl w:val="0"/>
          <w:numId w:val="49"/>
        </w:numPr>
        <w:rPr>
          <w:lang w:val="ru-RU"/>
        </w:rPr>
      </w:pPr>
      <w:r w:rsidRPr="00694ACA">
        <w:rPr>
          <w:i/>
          <w:iCs/>
          <w:lang w:val="ru-RU"/>
        </w:rPr>
        <w:t>совершенствование существующих методов работы</w:t>
      </w:r>
      <w:r w:rsidRPr="00694ACA">
        <w:rPr>
          <w:lang w:val="ru-RU"/>
        </w:rPr>
        <w:t>.</w:t>
      </w:r>
      <w:r w:rsidR="00A579EF">
        <w:rPr>
          <w:lang w:val="ru-RU"/>
        </w:rPr>
        <w:t xml:space="preserve"> </w:t>
      </w:r>
      <w:r w:rsidRPr="00694ACA">
        <w:rPr>
          <w:lang w:val="ru-RU"/>
        </w:rPr>
        <w:t xml:space="preserve">В случаях, когда Бюро хотят сохранить свои существующие структуры и методы работы, сотрудникам Института можно было бы предложить альтернативные пути повышения эффективности и качества предоставления услуг по </w:t>
      </w:r>
      <w:r w:rsidR="00DC6B52" w:rsidRPr="00694ACA">
        <w:rPr>
          <w:lang w:val="ru-RU"/>
        </w:rPr>
        <w:t xml:space="preserve">развитию потенциала и профессиональной подготовке </w:t>
      </w:r>
      <w:r w:rsidRPr="00694ACA">
        <w:rPr>
          <w:lang w:val="ru-RU"/>
        </w:rPr>
        <w:t>как в онлайновой, так и в очной форме.</w:t>
      </w:r>
      <w:r w:rsidR="00A579EF">
        <w:rPr>
          <w:lang w:val="ru-RU"/>
        </w:rPr>
        <w:t xml:space="preserve"> </w:t>
      </w:r>
      <w:r w:rsidRPr="00694ACA">
        <w:rPr>
          <w:lang w:val="ru-RU"/>
        </w:rPr>
        <w:t>Можно надеяться, что со временем Институт завоюет репутацию уважаемого и пользующегося доверием партнера, в связи с чем совместными усилиями можно будет разработать новые методы работы;</w:t>
      </w:r>
    </w:p>
    <w:p w14:paraId="2C185BFC" w14:textId="17201249" w:rsidR="004B77F6" w:rsidRPr="00694ACA" w:rsidRDefault="004B77F6" w:rsidP="004B77F6">
      <w:pPr>
        <w:pStyle w:val="ListParagraph"/>
        <w:numPr>
          <w:ilvl w:val="0"/>
          <w:numId w:val="49"/>
        </w:numPr>
        <w:rPr>
          <w:lang w:val="ru-RU"/>
        </w:rPr>
      </w:pPr>
      <w:r w:rsidRPr="00694ACA">
        <w:rPr>
          <w:i/>
          <w:iCs/>
          <w:lang w:val="ru-RU"/>
        </w:rPr>
        <w:t>внедрение новых методов работы</w:t>
      </w:r>
      <w:r w:rsidRPr="00694ACA">
        <w:rPr>
          <w:lang w:val="ru-RU"/>
        </w:rPr>
        <w:t xml:space="preserve">. В случаях, когда Бюро стремятся изыскать новые пути предоставления услуг </w:t>
      </w:r>
      <w:r w:rsidR="00367DAA" w:rsidRPr="00694ACA">
        <w:rPr>
          <w:lang w:val="ru-RU"/>
        </w:rPr>
        <w:t>по развитию потенциала и профессиональной подготовке</w:t>
      </w:r>
      <w:r w:rsidRPr="00694ACA">
        <w:rPr>
          <w:lang w:val="ru-RU"/>
        </w:rPr>
        <w:t>, сотрудники Института могли бы разработать и реализовать такие мероприятия в сотрудничестве с ними.</w:t>
      </w:r>
      <w:r w:rsidR="00A579EF">
        <w:rPr>
          <w:lang w:val="ru-RU"/>
        </w:rPr>
        <w:t xml:space="preserve"> </w:t>
      </w:r>
      <w:r w:rsidRPr="00694ACA">
        <w:rPr>
          <w:lang w:val="ru-RU"/>
        </w:rPr>
        <w:t xml:space="preserve">Это можно было бы </w:t>
      </w:r>
      <w:r w:rsidRPr="00694ACA">
        <w:rPr>
          <w:lang w:val="ru-RU"/>
        </w:rPr>
        <w:lastRenderedPageBreak/>
        <w:t>сделать несколькими способами, включая следующие: Институт просто консультирует сотрудников Бюро; сотрудники Института и Бюро совместно разрабатывают материалы и структуру мероприятий, которые впоследствии проводятся экспертами Бюро; Бюро привлекают внешние организации для выполнения большинства задач по разработке и предоставлению услуг Институту;</w:t>
      </w:r>
    </w:p>
    <w:p w14:paraId="3D8D9E60" w14:textId="5F57166D" w:rsidR="004B77F6" w:rsidRPr="00694ACA" w:rsidRDefault="004B77F6" w:rsidP="004B77F6">
      <w:pPr>
        <w:pStyle w:val="ListParagraph"/>
        <w:numPr>
          <w:ilvl w:val="0"/>
          <w:numId w:val="49"/>
        </w:numPr>
        <w:rPr>
          <w:lang w:val="ru-RU"/>
        </w:rPr>
      </w:pPr>
      <w:r w:rsidRPr="00694ACA">
        <w:rPr>
          <w:i/>
          <w:iCs/>
          <w:lang w:val="ru-RU"/>
        </w:rPr>
        <w:t xml:space="preserve">разработка совершенно новых способов </w:t>
      </w:r>
      <w:r w:rsidR="00DC6B52" w:rsidRPr="00694ACA">
        <w:rPr>
          <w:i/>
          <w:iCs/>
          <w:lang w:val="ru-RU"/>
        </w:rPr>
        <w:t>развития потенциала и профессиональной подготовки</w:t>
      </w:r>
      <w:r w:rsidRPr="00694ACA">
        <w:rPr>
          <w:lang w:val="ru-RU"/>
        </w:rPr>
        <w:t>.</w:t>
      </w:r>
      <w:r w:rsidR="00A579EF">
        <w:rPr>
          <w:lang w:val="ru-RU"/>
        </w:rPr>
        <w:t xml:space="preserve"> </w:t>
      </w:r>
      <w:r w:rsidRPr="00694ACA">
        <w:rPr>
          <w:lang w:val="ru-RU"/>
        </w:rPr>
        <w:t xml:space="preserve">Ключевое преимущество модели создания Института будет заключаться в его способности проанализировать все сферы деятельности МСЭ и выявить потребности в совершенно новых областях </w:t>
      </w:r>
      <w:r w:rsidR="00367DAA" w:rsidRPr="00694ACA">
        <w:rPr>
          <w:lang w:val="ru-RU"/>
        </w:rPr>
        <w:t>развития потенциала</w:t>
      </w:r>
      <w:r w:rsidRPr="00694ACA">
        <w:rPr>
          <w:lang w:val="ru-RU"/>
        </w:rPr>
        <w:t xml:space="preserve"> и подготовки кадров.</w:t>
      </w:r>
      <w:r w:rsidR="00A579EF">
        <w:rPr>
          <w:lang w:val="ru-RU"/>
        </w:rPr>
        <w:t xml:space="preserve"> </w:t>
      </w:r>
      <w:r w:rsidRPr="00694ACA">
        <w:rPr>
          <w:lang w:val="ru-RU"/>
        </w:rPr>
        <w:t>Если такие будут выявлены, то при разработке новых материалов или методов их представления Институт будет опираться на полученный МСЭ опыт в области контента или его базу экспертных данных в области подготовки кадров;</w:t>
      </w:r>
    </w:p>
    <w:p w14:paraId="7D019BD1" w14:textId="5F29BB7D" w:rsidR="004B77F6" w:rsidRPr="00694ACA" w:rsidRDefault="004B77F6" w:rsidP="004B77F6">
      <w:pPr>
        <w:pStyle w:val="ListParagraph"/>
        <w:numPr>
          <w:ilvl w:val="0"/>
          <w:numId w:val="49"/>
        </w:numPr>
        <w:rPr>
          <w:lang w:val="ru-RU"/>
        </w:rPr>
      </w:pPr>
      <w:r w:rsidRPr="00694ACA">
        <w:rPr>
          <w:i/>
          <w:iCs/>
          <w:lang w:val="ru-RU"/>
        </w:rPr>
        <w:t>проведение высококачественной профессиональной подготовки соответствующих сотрудников МСЭ по вопросам разработки и проведения учебных курсов с использованием онлайновых методов.</w:t>
      </w:r>
      <w:r w:rsidRPr="00694ACA">
        <w:rPr>
          <w:lang w:val="ru-RU"/>
        </w:rPr>
        <w:t xml:space="preserve"> Многие сотрудники, участвующие в настоящее время в разработке и осуществлении мероприятий МСЭ по </w:t>
      </w:r>
      <w:r w:rsidR="00367DAA" w:rsidRPr="00694ACA">
        <w:rPr>
          <w:lang w:val="ru-RU"/>
        </w:rPr>
        <w:t>развитию</w:t>
      </w:r>
      <w:r w:rsidRPr="00694ACA">
        <w:rPr>
          <w:lang w:val="ru-RU"/>
        </w:rPr>
        <w:t xml:space="preserve"> потенциала и </w:t>
      </w:r>
      <w:r w:rsidR="00367DAA" w:rsidRPr="00694ACA">
        <w:rPr>
          <w:lang w:val="ru-RU"/>
        </w:rPr>
        <w:t xml:space="preserve">профессиональной </w:t>
      </w:r>
      <w:r w:rsidRPr="00694ACA">
        <w:rPr>
          <w:lang w:val="ru-RU"/>
        </w:rPr>
        <w:t>подготовк</w:t>
      </w:r>
      <w:r w:rsidR="00367DAA" w:rsidRPr="00694ACA">
        <w:rPr>
          <w:lang w:val="ru-RU"/>
        </w:rPr>
        <w:t>е</w:t>
      </w:r>
      <w:r w:rsidRPr="00694ACA">
        <w:rPr>
          <w:lang w:val="ru-RU"/>
        </w:rPr>
        <w:t>, с радостью прошли бы обучение и повышение квалификации.</w:t>
      </w:r>
      <w:r w:rsidR="00A579EF">
        <w:rPr>
          <w:lang w:val="ru-RU"/>
        </w:rPr>
        <w:t xml:space="preserve"> </w:t>
      </w:r>
      <w:r w:rsidRPr="00694ACA">
        <w:rPr>
          <w:lang w:val="ru-RU"/>
        </w:rPr>
        <w:t xml:space="preserve">Провести такое обучение, с тем чтобы они почувствовали себя увереннее и смогли эффективнее обеспечить </w:t>
      </w:r>
      <w:r w:rsidR="00367DAA" w:rsidRPr="00694ACA">
        <w:rPr>
          <w:lang w:val="ru-RU"/>
        </w:rPr>
        <w:t>развитие потенциала и профессиональную подготовку</w:t>
      </w:r>
      <w:r w:rsidRPr="00694ACA">
        <w:rPr>
          <w:lang w:val="ru-RU"/>
        </w:rPr>
        <w:t xml:space="preserve"> на высоком уровне, стало бы еще одной ключевой функцией Института.</w:t>
      </w:r>
    </w:p>
    <w:p w14:paraId="09795BC5" w14:textId="3CBED6A6" w:rsidR="004B77F6" w:rsidRPr="00694ACA" w:rsidRDefault="004B77F6" w:rsidP="008B728A">
      <w:pPr>
        <w:spacing w:before="120"/>
        <w:ind w:left="-284"/>
        <w:rPr>
          <w:lang w:val="ru-RU"/>
        </w:rPr>
      </w:pPr>
      <w:r w:rsidRPr="00694ACA">
        <w:rPr>
          <w:lang w:val="ru-RU"/>
        </w:rPr>
        <w:t xml:space="preserve">130. Институт мог бы также внести значительный вклад в деятельность МСЭ </w:t>
      </w:r>
      <w:r w:rsidR="00367DAA" w:rsidRPr="00694ACA">
        <w:rPr>
          <w:lang w:val="ru-RU"/>
        </w:rPr>
        <w:t>по развитию потенциала и профессиональной подготовке</w:t>
      </w:r>
      <w:r w:rsidRPr="00694ACA">
        <w:rPr>
          <w:lang w:val="ru-RU"/>
        </w:rPr>
        <w:t>, разработав и внедрив на общеорганизационном уровне дополнительные или усовершенствованные услуги и функциональные возможности, в том числе:</w:t>
      </w:r>
    </w:p>
    <w:p w14:paraId="0FC24E44" w14:textId="75CDA864" w:rsidR="004B77F6" w:rsidRPr="00694ACA" w:rsidRDefault="004B77F6" w:rsidP="004B77F6">
      <w:pPr>
        <w:pStyle w:val="ListParagraph"/>
        <w:numPr>
          <w:ilvl w:val="0"/>
          <w:numId w:val="50"/>
        </w:numPr>
        <w:rPr>
          <w:lang w:val="ru-RU"/>
        </w:rPr>
      </w:pPr>
      <w:r w:rsidRPr="00694ACA">
        <w:rPr>
          <w:lang w:val="ru-RU"/>
        </w:rPr>
        <w:t xml:space="preserve">регулярный анализ потребностей членов в </w:t>
      </w:r>
      <w:r w:rsidR="00367DAA" w:rsidRPr="00694ACA">
        <w:rPr>
          <w:lang w:val="ru-RU"/>
        </w:rPr>
        <w:t>развитии потенциала и профессиональной подготовке</w:t>
      </w:r>
      <w:r w:rsidRPr="00694ACA">
        <w:rPr>
          <w:lang w:val="ru-RU"/>
        </w:rPr>
        <w:t>;</w:t>
      </w:r>
    </w:p>
    <w:p w14:paraId="2C4134EF" w14:textId="77777777" w:rsidR="004B77F6" w:rsidRPr="00694ACA" w:rsidRDefault="004B77F6" w:rsidP="004B77F6">
      <w:pPr>
        <w:pStyle w:val="ListParagraph"/>
        <w:numPr>
          <w:ilvl w:val="0"/>
          <w:numId w:val="50"/>
        </w:numPr>
        <w:rPr>
          <w:lang w:val="ru-RU"/>
        </w:rPr>
      </w:pPr>
      <w:r w:rsidRPr="00694ACA">
        <w:rPr>
          <w:lang w:val="ru-RU"/>
        </w:rPr>
        <w:t>обеспечение высокого уровня качества и внедрение эффективных механизмов обеспечения качества;</w:t>
      </w:r>
    </w:p>
    <w:p w14:paraId="5C98916F" w14:textId="77777777" w:rsidR="004B77F6" w:rsidRPr="00694ACA" w:rsidRDefault="004B77F6" w:rsidP="004B77F6">
      <w:pPr>
        <w:pStyle w:val="ListParagraph"/>
        <w:numPr>
          <w:ilvl w:val="0"/>
          <w:numId w:val="50"/>
        </w:numPr>
        <w:rPr>
          <w:lang w:val="ru-RU"/>
        </w:rPr>
      </w:pPr>
      <w:r w:rsidRPr="00694ACA">
        <w:rPr>
          <w:lang w:val="ru-RU"/>
        </w:rPr>
        <w:t>мониторинг результатов в области развития;</w:t>
      </w:r>
    </w:p>
    <w:p w14:paraId="64103CA5" w14:textId="77777777" w:rsidR="004B77F6" w:rsidRPr="00694ACA" w:rsidRDefault="004B77F6" w:rsidP="004B77F6">
      <w:pPr>
        <w:pStyle w:val="ListParagraph"/>
        <w:numPr>
          <w:ilvl w:val="0"/>
          <w:numId w:val="50"/>
        </w:numPr>
        <w:rPr>
          <w:lang w:val="ru-RU"/>
        </w:rPr>
      </w:pPr>
      <w:r w:rsidRPr="00694ACA">
        <w:rPr>
          <w:lang w:val="ru-RU"/>
        </w:rPr>
        <w:t>проведение мероприятий для поддержания взаимоотношений с выпускниками (пункт 168);</w:t>
      </w:r>
    </w:p>
    <w:p w14:paraId="5DF3604E" w14:textId="099890E6" w:rsidR="004B77F6" w:rsidRPr="00694ACA" w:rsidRDefault="004B77F6" w:rsidP="004B77F6">
      <w:pPr>
        <w:pStyle w:val="ListParagraph"/>
        <w:numPr>
          <w:ilvl w:val="0"/>
          <w:numId w:val="50"/>
        </w:numPr>
        <w:rPr>
          <w:lang w:val="ru-RU"/>
        </w:rPr>
      </w:pPr>
      <w:r w:rsidRPr="00694ACA">
        <w:rPr>
          <w:lang w:val="ru-RU"/>
        </w:rPr>
        <w:t xml:space="preserve">осуществление обзорной деятельности для определения потребностей в области </w:t>
      </w:r>
      <w:r w:rsidR="00367DAA" w:rsidRPr="00694ACA">
        <w:rPr>
          <w:lang w:val="ru-RU"/>
        </w:rPr>
        <w:t>развития потенциала</w:t>
      </w:r>
      <w:r w:rsidRPr="00694ACA">
        <w:rPr>
          <w:lang w:val="ru-RU"/>
        </w:rPr>
        <w:t xml:space="preserve"> и подготовки кадров, которые могут возникнуть у членов в течение ближайших пяти лет;</w:t>
      </w:r>
    </w:p>
    <w:p w14:paraId="5CC26C6C" w14:textId="1DD61453" w:rsidR="004B77F6" w:rsidRPr="00694ACA" w:rsidRDefault="004B77F6" w:rsidP="004B77F6">
      <w:pPr>
        <w:pStyle w:val="ListParagraph"/>
        <w:numPr>
          <w:ilvl w:val="0"/>
          <w:numId w:val="50"/>
        </w:numPr>
        <w:rPr>
          <w:lang w:val="ru-RU"/>
        </w:rPr>
      </w:pPr>
      <w:r w:rsidRPr="00694ACA">
        <w:rPr>
          <w:lang w:val="ru-RU"/>
        </w:rPr>
        <w:t xml:space="preserve">ведение реестра экспертов, в частности (но не ограничиваясь) с привлечением Членов Секторов и Академических организаций; </w:t>
      </w:r>
    </w:p>
    <w:p w14:paraId="29C64E24" w14:textId="77777777" w:rsidR="004B77F6" w:rsidRPr="00694ACA" w:rsidRDefault="004B77F6" w:rsidP="004B77F6">
      <w:pPr>
        <w:pStyle w:val="ListParagraph"/>
        <w:numPr>
          <w:ilvl w:val="0"/>
          <w:numId w:val="50"/>
        </w:numPr>
        <w:rPr>
          <w:lang w:val="ru-RU"/>
        </w:rPr>
      </w:pPr>
      <w:r w:rsidRPr="00694ACA">
        <w:rPr>
          <w:lang w:val="ru-RU"/>
        </w:rPr>
        <w:t>налаживание партнерских отношений со смежными органами при возникновении такой необходимости (пункты 131–136).</w:t>
      </w:r>
    </w:p>
    <w:p w14:paraId="0AF4DC91" w14:textId="77777777" w:rsidR="004B77F6" w:rsidRPr="00694ACA" w:rsidRDefault="004B77F6" w:rsidP="008B728A">
      <w:pPr>
        <w:pStyle w:val="Heading3"/>
        <w:rPr>
          <w:lang w:val="ru-RU"/>
        </w:rPr>
      </w:pPr>
      <w:r w:rsidRPr="00694ACA">
        <w:rPr>
          <w:lang w:val="ru-RU"/>
        </w:rPr>
        <w:t>Партнерства</w:t>
      </w:r>
    </w:p>
    <w:p w14:paraId="6EBE5581" w14:textId="00D4E789" w:rsidR="004B77F6" w:rsidRPr="00694ACA" w:rsidRDefault="004B77F6" w:rsidP="00A105CB">
      <w:pPr>
        <w:ind w:left="-284"/>
        <w:rPr>
          <w:lang w:val="ru-RU"/>
        </w:rPr>
      </w:pPr>
      <w:r w:rsidRPr="00694ACA">
        <w:rPr>
          <w:lang w:val="ru-RU"/>
        </w:rPr>
        <w:t xml:space="preserve">131. В настоящем отчете повсеместно отмечается, что рынок ИКТ и электросвязи, а также услуг в области </w:t>
      </w:r>
      <w:r w:rsidR="00367DAA" w:rsidRPr="00694ACA">
        <w:rPr>
          <w:lang w:val="ru-RU"/>
        </w:rPr>
        <w:t>развития потенциала и профессиональной подготовки</w:t>
      </w:r>
      <w:r w:rsidRPr="00694ACA">
        <w:rPr>
          <w:lang w:val="ru-RU"/>
        </w:rPr>
        <w:t xml:space="preserve"> весьма перенасыщен, поэтому ключевой задачей Института будет определить сферы, в которых он может наилучшим образом повысить эффективность существующих глобальных предложений для членов МСЭ и системы ООН.</w:t>
      </w:r>
      <w:r w:rsidR="00A579EF">
        <w:rPr>
          <w:lang w:val="ru-RU"/>
        </w:rPr>
        <w:t xml:space="preserve"> </w:t>
      </w:r>
      <w:r w:rsidRPr="00694ACA">
        <w:rPr>
          <w:lang w:val="ru-RU"/>
        </w:rPr>
        <w:t>В</w:t>
      </w:r>
      <w:r w:rsidR="00A579EF">
        <w:rPr>
          <w:lang w:val="ru-RU"/>
        </w:rPr>
        <w:t> </w:t>
      </w:r>
      <w:r w:rsidRPr="00694ACA">
        <w:rPr>
          <w:lang w:val="ru-RU"/>
        </w:rPr>
        <w:t>данном разделе обращается внимание на то, что есть несколько способов, как Институт сможет этого добиться, однако для него также важно наладить эффективные высококачественные партнерские отношения с другими поставщиками услуг.</w:t>
      </w:r>
      <w:r w:rsidR="00A579EF">
        <w:rPr>
          <w:lang w:val="ru-RU"/>
        </w:rPr>
        <w:t xml:space="preserve"> </w:t>
      </w:r>
      <w:r w:rsidRPr="00694ACA">
        <w:rPr>
          <w:lang w:val="ru-RU"/>
        </w:rPr>
        <w:t>Его персоналу придется осторожно балансировать между сотрудничеством и конкуренцией, охраняя и защищая при этом свои ключевые конкурентные преимущества.</w:t>
      </w:r>
      <w:r w:rsidR="00A579EF">
        <w:rPr>
          <w:lang w:val="ru-RU"/>
        </w:rPr>
        <w:t xml:space="preserve"> </w:t>
      </w:r>
      <w:r w:rsidRPr="00694ACA">
        <w:rPr>
          <w:lang w:val="ru-RU"/>
        </w:rPr>
        <w:t>В некоторых случаях необходимо будет тесно взаимодействовать с организациями, обладающими соответствующим опытом, которого не хватает МСЭ. В других случаях более предпочтительным может оказаться решение привлечь другое учреждение или партнера к проведению профессиональной подготовки в сферах, где у МСЭ нет такой возможности.</w:t>
      </w:r>
      <w:r w:rsidR="00A579EF">
        <w:rPr>
          <w:lang w:val="ru-RU"/>
        </w:rPr>
        <w:t xml:space="preserve"> </w:t>
      </w:r>
    </w:p>
    <w:p w14:paraId="16E323DC" w14:textId="14684783" w:rsidR="004B77F6" w:rsidRPr="00694ACA" w:rsidRDefault="004B77F6" w:rsidP="00A105CB">
      <w:pPr>
        <w:ind w:left="-284" w:right="-472"/>
        <w:rPr>
          <w:lang w:val="ru-RU"/>
        </w:rPr>
      </w:pPr>
      <w:r w:rsidRPr="00694ACA">
        <w:rPr>
          <w:lang w:val="ru-RU"/>
        </w:rPr>
        <w:t>132. Развитие гибких взаимоотношений с другими учреждениями ООН, в частности с ПРООН, а также с существующими и потенциально новыми Членами Секторов и Академическими организациями станет неотъемлемым компонентом деятельности Института, чем, в том числе, объясняется необходимость назначения отдельного сотрудника, ответственного за данное направление.</w:t>
      </w:r>
      <w:r w:rsidR="00A579EF">
        <w:rPr>
          <w:lang w:val="ru-RU"/>
        </w:rPr>
        <w:t xml:space="preserve"> </w:t>
      </w:r>
      <w:r w:rsidRPr="00694ACA">
        <w:rPr>
          <w:lang w:val="ru-RU"/>
        </w:rPr>
        <w:t xml:space="preserve">В то же время это один из компонентов, которые </w:t>
      </w:r>
      <w:r w:rsidRPr="00694ACA">
        <w:rPr>
          <w:lang w:val="ru-RU"/>
        </w:rPr>
        <w:lastRenderedPageBreak/>
        <w:t xml:space="preserve">можно значительно расширить в целях разделения затрат, потенциального снижения рисков и повышения качества услуг </w:t>
      </w:r>
      <w:r w:rsidR="00367DAA" w:rsidRPr="00694ACA">
        <w:rPr>
          <w:lang w:val="ru-RU"/>
        </w:rPr>
        <w:t>по развитию потенциала и профессиональной подготовке</w:t>
      </w:r>
      <w:r w:rsidR="008B728A" w:rsidRPr="00694ACA">
        <w:rPr>
          <w:rStyle w:val="FootnoteReference"/>
          <w:lang w:val="ru-RU"/>
        </w:rPr>
        <w:footnoteReference w:id="176"/>
      </w:r>
      <w:r w:rsidRPr="00694ACA">
        <w:rPr>
          <w:lang w:val="ru-RU"/>
        </w:rPr>
        <w:t xml:space="preserve">. </w:t>
      </w:r>
    </w:p>
    <w:p w14:paraId="22E37B47" w14:textId="01BA5748" w:rsidR="004B77F6" w:rsidRPr="00694ACA" w:rsidRDefault="004B77F6" w:rsidP="00A105CB">
      <w:pPr>
        <w:ind w:left="-284" w:right="-472"/>
        <w:rPr>
          <w:lang w:val="ru-RU"/>
        </w:rPr>
      </w:pPr>
      <w:r w:rsidRPr="00694ACA">
        <w:rPr>
          <w:lang w:val="ru-RU"/>
        </w:rPr>
        <w:t xml:space="preserve">133. Прежде чем использовать термин </w:t>
      </w:r>
      <w:r w:rsidR="006E72AD" w:rsidRPr="00694ACA">
        <w:rPr>
          <w:lang w:val="ru-RU"/>
        </w:rPr>
        <w:t>"</w:t>
      </w:r>
      <w:r w:rsidRPr="00694ACA">
        <w:rPr>
          <w:lang w:val="ru-RU"/>
        </w:rPr>
        <w:t>партнер</w:t>
      </w:r>
      <w:r w:rsidR="006E72AD" w:rsidRPr="00694ACA">
        <w:rPr>
          <w:lang w:val="ru-RU"/>
        </w:rPr>
        <w:t>"</w:t>
      </w:r>
      <w:r w:rsidRPr="00694ACA">
        <w:rPr>
          <w:lang w:val="ru-RU"/>
        </w:rPr>
        <w:t>, Институту необходимо сформировать четкое и согласованное понимание того, что под ним подразумевается, а также внедрить надежную, тщательно продуманную и обязательную для исполнения концепцию партнерства, на основе которой будут осуществляться все его партнерские отношения.</w:t>
      </w:r>
      <w:r w:rsidR="00A579EF">
        <w:rPr>
          <w:lang w:val="ru-RU"/>
        </w:rPr>
        <w:t xml:space="preserve"> </w:t>
      </w:r>
      <w:r w:rsidRPr="00694ACA">
        <w:rPr>
          <w:lang w:val="ru-RU"/>
        </w:rPr>
        <w:t>Такая прозрачная концепция партнерства необходима для того, чтобы все партнеры имели исчерпывающее представление о том, чего следует ожидать от участия в таких отношениях и к каким затратам и выгодам они могут привести.</w:t>
      </w:r>
      <w:r w:rsidR="00A579EF">
        <w:rPr>
          <w:lang w:val="ru-RU"/>
        </w:rPr>
        <w:t xml:space="preserve"> </w:t>
      </w:r>
      <w:r w:rsidRPr="00694ACA">
        <w:rPr>
          <w:lang w:val="ru-RU"/>
        </w:rPr>
        <w:t xml:space="preserve">В то же время она крайне важна и для МСЭ, который среди некоторых представителей других учреждений ООН имеет репутацию учреждения, деятельность которого больше направлена на продвижении интересов частного сектора, чем на </w:t>
      </w:r>
      <w:r w:rsidR="006E72AD" w:rsidRPr="00694ACA">
        <w:rPr>
          <w:lang w:val="ru-RU"/>
        </w:rPr>
        <w:t>"</w:t>
      </w:r>
      <w:r w:rsidRPr="00694ACA">
        <w:rPr>
          <w:lang w:val="ru-RU"/>
        </w:rPr>
        <w:t>развивающихся странах</w:t>
      </w:r>
      <w:r w:rsidR="006E72AD" w:rsidRPr="00694ACA">
        <w:rPr>
          <w:lang w:val="ru-RU"/>
        </w:rPr>
        <w:t>"</w:t>
      </w:r>
      <w:r w:rsidRPr="00694ACA">
        <w:rPr>
          <w:lang w:val="ru-RU"/>
        </w:rPr>
        <w:t xml:space="preserve"> и потенциальном вкладе гражданского общества.</w:t>
      </w:r>
    </w:p>
    <w:p w14:paraId="0BFD09CB" w14:textId="14131FFD" w:rsidR="004B77F6" w:rsidRPr="00694ACA" w:rsidRDefault="004B77F6" w:rsidP="00A105CB">
      <w:pPr>
        <w:ind w:left="-284" w:right="-472"/>
        <w:rPr>
          <w:lang w:val="ru-RU"/>
        </w:rPr>
      </w:pPr>
      <w:r w:rsidRPr="00694ACA">
        <w:rPr>
          <w:lang w:val="ru-RU"/>
        </w:rPr>
        <w:t>134. Ниже приведены потенциальные сферы, в которых сотрудничество Института с партнерами могло бы быть наиболее эффективным:</w:t>
      </w:r>
    </w:p>
    <w:p w14:paraId="056D70AA" w14:textId="77777777" w:rsidR="004B77F6" w:rsidRPr="00694ACA" w:rsidRDefault="004B77F6" w:rsidP="004B77F6">
      <w:pPr>
        <w:pStyle w:val="ListParagraph"/>
        <w:numPr>
          <w:ilvl w:val="0"/>
          <w:numId w:val="51"/>
        </w:numPr>
        <w:ind w:right="-472"/>
        <w:rPr>
          <w:lang w:val="ru-RU"/>
        </w:rPr>
      </w:pPr>
      <w:r w:rsidRPr="00694ACA">
        <w:rPr>
          <w:lang w:val="ru-RU"/>
        </w:rPr>
        <w:t>ведение реестра утвержденных партнеров, которых можно рекомендовать членам, интересующимся прохождением тех или иных видов профессиональной подготовки;</w:t>
      </w:r>
    </w:p>
    <w:p w14:paraId="5287DAE9" w14:textId="1EED05C0" w:rsidR="004B77F6" w:rsidRPr="00694ACA" w:rsidRDefault="004B77F6" w:rsidP="004B77F6">
      <w:pPr>
        <w:pStyle w:val="ListParagraph"/>
        <w:numPr>
          <w:ilvl w:val="0"/>
          <w:numId w:val="51"/>
        </w:numPr>
        <w:ind w:right="-472"/>
        <w:rPr>
          <w:lang w:val="ru-RU"/>
        </w:rPr>
      </w:pPr>
      <w:r w:rsidRPr="00694ACA">
        <w:rPr>
          <w:lang w:val="ru-RU"/>
        </w:rPr>
        <w:t xml:space="preserve">разработка совместных мероприятий </w:t>
      </w:r>
      <w:r w:rsidR="00367DAA" w:rsidRPr="00694ACA">
        <w:rPr>
          <w:lang w:val="ru-RU"/>
        </w:rPr>
        <w:t>по развитию потенциала и профессиональной подготовке</w:t>
      </w:r>
      <w:r w:rsidRPr="00694ACA">
        <w:rPr>
          <w:lang w:val="ru-RU"/>
        </w:rPr>
        <w:t>, как общего характера, так и адаптированных к тем или иным потребностям членов;</w:t>
      </w:r>
    </w:p>
    <w:p w14:paraId="40E5FC7A" w14:textId="77777777" w:rsidR="004B77F6" w:rsidRPr="00694ACA" w:rsidRDefault="004B77F6" w:rsidP="004B77F6">
      <w:pPr>
        <w:pStyle w:val="ListParagraph"/>
        <w:numPr>
          <w:ilvl w:val="0"/>
          <w:numId w:val="51"/>
        </w:numPr>
        <w:ind w:right="-472"/>
        <w:rPr>
          <w:lang w:val="ru-RU"/>
        </w:rPr>
      </w:pPr>
      <w:r w:rsidRPr="00694ACA">
        <w:rPr>
          <w:lang w:val="ru-RU"/>
        </w:rPr>
        <w:t>разработка модели посредничества (см. Приложение 7), с помощью которой МСЭ мог бы гарантировать привлечение минимального числа участников со значительной скидкой или партнеры могли бы предложить членам МСЭ скидки на стандартные для них расценки на обучение;</w:t>
      </w:r>
    </w:p>
    <w:p w14:paraId="5213BA5F" w14:textId="77777777" w:rsidR="004B77F6" w:rsidRPr="00694ACA" w:rsidRDefault="004B77F6" w:rsidP="004B77F6">
      <w:pPr>
        <w:pStyle w:val="ListParagraph"/>
        <w:numPr>
          <w:ilvl w:val="0"/>
          <w:numId w:val="51"/>
        </w:numPr>
        <w:ind w:right="-472"/>
        <w:rPr>
          <w:lang w:val="ru-RU"/>
        </w:rPr>
      </w:pPr>
      <w:r w:rsidRPr="00694ACA">
        <w:rPr>
          <w:lang w:val="ru-RU"/>
        </w:rPr>
        <w:t>разработка бесплатных онлайновых курсов совместно с другими учреждениями ООН в сферах, представляющих взаимный интерес;</w:t>
      </w:r>
    </w:p>
    <w:p w14:paraId="59E1B77C" w14:textId="77777777" w:rsidR="004B77F6" w:rsidRPr="00694ACA" w:rsidRDefault="004B77F6" w:rsidP="004B77F6">
      <w:pPr>
        <w:pStyle w:val="ListParagraph"/>
        <w:numPr>
          <w:ilvl w:val="0"/>
          <w:numId w:val="51"/>
        </w:numPr>
        <w:ind w:right="-472"/>
        <w:rPr>
          <w:lang w:val="ru-RU"/>
        </w:rPr>
      </w:pPr>
      <w:r w:rsidRPr="00694ACA">
        <w:rPr>
          <w:lang w:val="ru-RU"/>
        </w:rPr>
        <w:t>проведение учебных курсов для партнеров на платформе МСЭ;</w:t>
      </w:r>
    </w:p>
    <w:p w14:paraId="4348FC3E" w14:textId="00A34ED0" w:rsidR="004B77F6" w:rsidRPr="00694ACA" w:rsidRDefault="004B77F6" w:rsidP="004B77F6">
      <w:pPr>
        <w:pStyle w:val="ListParagraph"/>
        <w:numPr>
          <w:ilvl w:val="0"/>
          <w:numId w:val="51"/>
        </w:numPr>
        <w:ind w:right="-472"/>
        <w:rPr>
          <w:lang w:val="ru-RU"/>
        </w:rPr>
      </w:pPr>
      <w:r w:rsidRPr="00694ACA">
        <w:rPr>
          <w:lang w:val="ru-RU"/>
        </w:rPr>
        <w:t>взаимодействие с национальными или региональными партнерами по реализации проектов по проведению профессиональной подготовки в очной форме.</w:t>
      </w:r>
    </w:p>
    <w:p w14:paraId="77811E50" w14:textId="5FDFE3D6" w:rsidR="004B77F6" w:rsidRPr="00694ACA" w:rsidRDefault="004B77F6" w:rsidP="008B728A">
      <w:pPr>
        <w:spacing w:before="120"/>
        <w:ind w:left="-284" w:right="-472"/>
        <w:rPr>
          <w:lang w:val="ru-RU"/>
        </w:rPr>
      </w:pPr>
      <w:r w:rsidRPr="00694ACA">
        <w:rPr>
          <w:lang w:val="ru-RU"/>
        </w:rPr>
        <w:t xml:space="preserve">135. Усилия, в настоящее время совместно предпринимаемые МСЭ и ПРООН, свидетельствует о твердой готовности обеих сторон сотрудничать в области </w:t>
      </w:r>
      <w:r w:rsidR="00367DAA" w:rsidRPr="00694ACA">
        <w:rPr>
          <w:lang w:val="ru-RU"/>
        </w:rPr>
        <w:t>развития потенциала и профессиональной подготовки</w:t>
      </w:r>
      <w:r w:rsidRPr="00694ACA">
        <w:rPr>
          <w:lang w:val="ru-RU"/>
        </w:rPr>
        <w:t>.</w:t>
      </w:r>
      <w:r w:rsidR="00A579EF">
        <w:rPr>
          <w:lang w:val="ru-RU"/>
        </w:rPr>
        <w:t xml:space="preserve"> </w:t>
      </w:r>
      <w:r w:rsidRPr="00694ACA">
        <w:rPr>
          <w:lang w:val="ru-RU"/>
        </w:rPr>
        <w:t xml:space="preserve">Согласно положениям </w:t>
      </w:r>
      <w:r w:rsidRPr="00694ACA">
        <w:rPr>
          <w:i/>
          <w:lang w:val="ru-RU"/>
        </w:rPr>
        <w:t>Дорожной карты Генерального секретаря Организации Объединенных Наций по цифровому сотрудничеству</w:t>
      </w:r>
      <w:r w:rsidRPr="00694ACA">
        <w:rPr>
          <w:lang w:val="ru-RU"/>
        </w:rPr>
        <w:t xml:space="preserve">, обоим учреждениям рекомендовано взаимодействовать в области развития цифрового потенциала, особенно учитывая обстоятельства, при которых ПРООН претендует на роль </w:t>
      </w:r>
      <w:r w:rsidR="006E72AD" w:rsidRPr="00694ACA">
        <w:rPr>
          <w:lang w:val="ru-RU"/>
        </w:rPr>
        <w:t>"</w:t>
      </w:r>
      <w:r w:rsidRPr="00694ACA">
        <w:rPr>
          <w:lang w:val="ru-RU"/>
        </w:rPr>
        <w:t>идейного лидера цифрового развития</w:t>
      </w:r>
      <w:r w:rsidR="006E72AD" w:rsidRPr="00694ACA">
        <w:rPr>
          <w:lang w:val="ru-RU"/>
        </w:rPr>
        <w:t>"</w:t>
      </w:r>
      <w:r w:rsidR="008B728A" w:rsidRPr="00694ACA">
        <w:rPr>
          <w:rStyle w:val="FootnoteReference"/>
          <w:lang w:val="ru-RU"/>
        </w:rPr>
        <w:footnoteReference w:id="177"/>
      </w:r>
      <w:r w:rsidRPr="00694ACA">
        <w:rPr>
          <w:lang w:val="ru-RU"/>
        </w:rPr>
        <w:t>.</w:t>
      </w:r>
      <w:r w:rsidR="00A579EF">
        <w:rPr>
          <w:lang w:val="ru-RU"/>
        </w:rPr>
        <w:t xml:space="preserve"> </w:t>
      </w:r>
      <w:r w:rsidRPr="00694ACA">
        <w:rPr>
          <w:i/>
          <w:lang w:val="ru-RU"/>
        </w:rPr>
        <w:t>Дорожной картой</w:t>
      </w:r>
      <w:r w:rsidRPr="00694ACA">
        <w:rPr>
          <w:lang w:val="ru-RU"/>
        </w:rPr>
        <w:t xml:space="preserve"> предусмотрен мандат на создание </w:t>
      </w:r>
      <w:r w:rsidR="006E72AD" w:rsidRPr="00694ACA">
        <w:rPr>
          <w:lang w:val="ru-RU"/>
        </w:rPr>
        <w:t>"</w:t>
      </w:r>
      <w:r w:rsidRPr="00694ACA">
        <w:rPr>
          <w:lang w:val="ru-RU"/>
        </w:rPr>
        <w:t>совместного органа</w:t>
      </w:r>
      <w:r w:rsidR="006E72AD" w:rsidRPr="00694ACA">
        <w:rPr>
          <w:lang w:val="ru-RU"/>
        </w:rPr>
        <w:t>"</w:t>
      </w:r>
      <w:r w:rsidRPr="00694ACA">
        <w:rPr>
          <w:lang w:val="ru-RU"/>
        </w:rPr>
        <w:t>, а не нового Института.</w:t>
      </w:r>
      <w:r w:rsidR="00A579EF">
        <w:rPr>
          <w:lang w:val="ru-RU"/>
        </w:rPr>
        <w:t xml:space="preserve"> </w:t>
      </w:r>
      <w:r w:rsidRPr="00694ACA">
        <w:rPr>
          <w:lang w:val="ru-RU"/>
        </w:rPr>
        <w:t xml:space="preserve">Участники ведущегося обсуждения с ПРООН высказываются в поддержку мнения, что с самого начала такой совместный </w:t>
      </w:r>
      <w:r w:rsidR="006E72AD" w:rsidRPr="00694ACA">
        <w:rPr>
          <w:lang w:val="ru-RU"/>
        </w:rPr>
        <w:t>"</w:t>
      </w:r>
      <w:r w:rsidRPr="00694ACA">
        <w:rPr>
          <w:lang w:val="ru-RU"/>
        </w:rPr>
        <w:t>орган</w:t>
      </w:r>
      <w:r w:rsidR="006E72AD" w:rsidRPr="00694ACA">
        <w:rPr>
          <w:lang w:val="ru-RU"/>
        </w:rPr>
        <w:t>"</w:t>
      </w:r>
      <w:r w:rsidRPr="00694ACA">
        <w:rPr>
          <w:lang w:val="ru-RU"/>
        </w:rPr>
        <w:t xml:space="preserve"> будет обладать повышенной гибкостью, маневренностью и способностью объединить сильные стороны обоих учреждений для достижения лучших результатов в области развития в интересах правительств </w:t>
      </w:r>
      <w:r w:rsidR="00175F3F" w:rsidRPr="00694ACA">
        <w:rPr>
          <w:lang w:val="ru-RU"/>
        </w:rPr>
        <w:t>Государств-Членов</w:t>
      </w:r>
      <w:r w:rsidRPr="00694ACA">
        <w:rPr>
          <w:lang w:val="ru-RU"/>
        </w:rPr>
        <w:t>.</w:t>
      </w:r>
      <w:r w:rsidR="00A579EF">
        <w:rPr>
          <w:lang w:val="ru-RU"/>
        </w:rPr>
        <w:t xml:space="preserve"> </w:t>
      </w:r>
      <w:r w:rsidRPr="00694ACA">
        <w:rPr>
          <w:lang w:val="ru-RU"/>
        </w:rPr>
        <w:t>Если бы МСЭ создал Институт, разрабатывающий высококачественные ресурсы, то не имеющая аналогов сеть страновых отделений ПРООН и ее уникальный практический опыт в области проведения ориентированных на развитие мероприятий на местах стали бы отличным механизмом для широкого распространения таких ресурсов на страновом уровне и открыли бы новые возможности для их реализации в очной форме при возникновении такой необходимости.</w:t>
      </w:r>
      <w:r w:rsidR="00A579EF">
        <w:rPr>
          <w:lang w:val="ru-RU"/>
        </w:rPr>
        <w:t xml:space="preserve"> </w:t>
      </w:r>
      <w:r w:rsidRPr="00694ACA">
        <w:rPr>
          <w:lang w:val="ru-RU"/>
        </w:rPr>
        <w:t>Более того, в местах с низкой возможностью установления соединений и возможными перебоями в поставках электричества ПРООН могла бы помочь обеспечить соответствующую высококачественную инфраструктуру для прохождения профессиональной подготовки в онлайновой форме.</w:t>
      </w:r>
    </w:p>
    <w:p w14:paraId="2F74E6B6" w14:textId="6EB8BC45" w:rsidR="004B77F6" w:rsidRPr="00694ACA" w:rsidRDefault="004B77F6" w:rsidP="00A105CB">
      <w:pPr>
        <w:ind w:left="-284" w:right="-472"/>
        <w:rPr>
          <w:lang w:val="ru-RU"/>
        </w:rPr>
      </w:pPr>
      <w:r w:rsidRPr="00694ACA">
        <w:rPr>
          <w:lang w:val="ru-RU"/>
        </w:rPr>
        <w:t>136.</w:t>
      </w:r>
      <w:r w:rsidR="00A579EF">
        <w:rPr>
          <w:lang w:val="ru-RU"/>
        </w:rPr>
        <w:t xml:space="preserve"> </w:t>
      </w:r>
      <w:r w:rsidRPr="00694ACA">
        <w:rPr>
          <w:lang w:val="ru-RU"/>
        </w:rPr>
        <w:t>Институт также может рассмотреть возможные варианты обмена персоналом между различными организациями и прикомандирования сотрудников одной организации к другой.</w:t>
      </w:r>
      <w:r w:rsidR="00A579EF">
        <w:rPr>
          <w:lang w:val="ru-RU"/>
        </w:rPr>
        <w:t xml:space="preserve"> </w:t>
      </w:r>
      <w:r w:rsidRPr="00694ACA">
        <w:rPr>
          <w:lang w:val="ru-RU"/>
        </w:rPr>
        <w:t xml:space="preserve">Хотя в настоящем отчете рекомендуется расположить большинство сотрудников Института в одном и том же месте, один из возможных — это направить по одному сотруднику в несколько регионов или во все регионы деятельности МСЭ в целях обеспечения </w:t>
      </w:r>
      <w:r w:rsidRPr="00694ACA">
        <w:rPr>
          <w:lang w:val="ru-RU"/>
        </w:rPr>
        <w:lastRenderedPageBreak/>
        <w:t>учета региональных особенностей по всему миру.</w:t>
      </w:r>
      <w:r w:rsidR="00A579EF">
        <w:rPr>
          <w:lang w:val="ru-RU"/>
        </w:rPr>
        <w:t xml:space="preserve"> </w:t>
      </w:r>
      <w:r w:rsidRPr="00694ACA">
        <w:rPr>
          <w:lang w:val="ru-RU"/>
        </w:rPr>
        <w:t>В качестве альтернативы можно предложить компетентным региональным сотрудникам ПРООН принять участие в совещаниях по планированию и деятельности по реализации соответствующих мероприятий.</w:t>
      </w:r>
    </w:p>
    <w:p w14:paraId="32C3B381" w14:textId="77777777" w:rsidR="004B77F6" w:rsidRPr="00694ACA" w:rsidRDefault="004B77F6" w:rsidP="00A105CB">
      <w:pPr>
        <w:pStyle w:val="Heading3"/>
        <w:ind w:right="-472"/>
        <w:rPr>
          <w:lang w:val="ru-RU"/>
        </w:rPr>
      </w:pPr>
      <w:r w:rsidRPr="00694ACA">
        <w:rPr>
          <w:lang w:val="ru-RU"/>
        </w:rPr>
        <w:t>Методы предоставления услуг</w:t>
      </w:r>
    </w:p>
    <w:p w14:paraId="18CA181C" w14:textId="7DEC100D" w:rsidR="004B77F6" w:rsidRPr="00694ACA" w:rsidRDefault="004B77F6" w:rsidP="00A105CB">
      <w:pPr>
        <w:ind w:left="-284" w:right="-472"/>
        <w:rPr>
          <w:lang w:val="ru-RU"/>
        </w:rPr>
      </w:pPr>
      <w:r w:rsidRPr="00694ACA">
        <w:rPr>
          <w:lang w:val="ru-RU"/>
        </w:rPr>
        <w:t xml:space="preserve">137. Институт обеспечит гибкий подход к </w:t>
      </w:r>
      <w:r w:rsidR="00367DAA" w:rsidRPr="00694ACA">
        <w:rPr>
          <w:lang w:val="ru-RU"/>
        </w:rPr>
        <w:t>развитию потенциала и профессиональной подготовке</w:t>
      </w:r>
      <w:r w:rsidRPr="00694ACA">
        <w:rPr>
          <w:lang w:val="ru-RU"/>
        </w:rPr>
        <w:t>, выбрав те методы (какими бы они ни были), которые больше всего подходят учащимся, поскольку универсального метода не существует.</w:t>
      </w:r>
      <w:r w:rsidR="00A579EF">
        <w:rPr>
          <w:lang w:val="ru-RU"/>
        </w:rPr>
        <w:t xml:space="preserve"> </w:t>
      </w:r>
      <w:r w:rsidRPr="00694ACA">
        <w:rPr>
          <w:lang w:val="ru-RU"/>
        </w:rPr>
        <w:t>В то же время особый акцент будет сделан на комбинировании не</w:t>
      </w:r>
      <w:r w:rsidR="001226D4" w:rsidRPr="00694ACA">
        <w:rPr>
          <w:lang w:val="ru-RU"/>
        </w:rPr>
        <w:t>официальн</w:t>
      </w:r>
      <w:r w:rsidRPr="00694ACA">
        <w:rPr>
          <w:lang w:val="ru-RU"/>
        </w:rPr>
        <w:t xml:space="preserve">ых и </w:t>
      </w:r>
      <w:r w:rsidR="001226D4" w:rsidRPr="00694ACA">
        <w:rPr>
          <w:lang w:val="ru-RU"/>
        </w:rPr>
        <w:t>официальн</w:t>
      </w:r>
      <w:r w:rsidRPr="00694ACA">
        <w:rPr>
          <w:lang w:val="ru-RU"/>
        </w:rPr>
        <w:t xml:space="preserve">ых методов </w:t>
      </w:r>
      <w:r w:rsidR="00367DAA" w:rsidRPr="00694ACA">
        <w:rPr>
          <w:lang w:val="ru-RU"/>
        </w:rPr>
        <w:t>развития потенциала</w:t>
      </w:r>
      <w:r w:rsidRPr="00694ACA">
        <w:rPr>
          <w:lang w:val="ru-RU"/>
        </w:rPr>
        <w:t>, при этом будет осуществлен поиск возможных путей систематизации не</w:t>
      </w:r>
      <w:r w:rsidR="001226D4" w:rsidRPr="00694ACA">
        <w:rPr>
          <w:lang w:val="ru-RU"/>
        </w:rPr>
        <w:t>официальн</w:t>
      </w:r>
      <w:r w:rsidRPr="00694ACA">
        <w:rPr>
          <w:lang w:val="ru-RU"/>
        </w:rPr>
        <w:t>ых мероприятий. В самом широком смысле такие методы будут включать (представленные оценочные данные рассчитаны в процентном соотношении к базовому уровню по состоянию на 2021 год и впоследствии будут изменены):</w:t>
      </w:r>
    </w:p>
    <w:p w14:paraId="1C0B9F26" w14:textId="77777777" w:rsidR="004B77F6" w:rsidRPr="00694ACA" w:rsidRDefault="004B77F6" w:rsidP="004B77F6">
      <w:pPr>
        <w:pStyle w:val="Bulletspoint11"/>
        <w:rPr>
          <w:lang w:val="ru-RU"/>
        </w:rPr>
      </w:pPr>
      <w:r w:rsidRPr="00694ACA">
        <w:rPr>
          <w:lang w:val="ru-RU"/>
        </w:rPr>
        <w:t>онлайновые учебные курсы (вероятно около 60–70 %; включая как курсы, проводимые под руководством преподавателя, так и те, которые предназначены для самостоятельного обучения);</w:t>
      </w:r>
    </w:p>
    <w:p w14:paraId="04E53865" w14:textId="77777777" w:rsidR="004B77F6" w:rsidRPr="00694ACA" w:rsidRDefault="004B77F6" w:rsidP="004B77F6">
      <w:pPr>
        <w:pStyle w:val="Bulletspoint11"/>
        <w:rPr>
          <w:lang w:val="ru-RU"/>
        </w:rPr>
      </w:pPr>
      <w:r w:rsidRPr="00694ACA">
        <w:rPr>
          <w:lang w:val="ru-RU"/>
        </w:rPr>
        <w:t>очное обучение (вероятно около 10–20 %);</w:t>
      </w:r>
    </w:p>
    <w:p w14:paraId="68B12805" w14:textId="77777777" w:rsidR="004B77F6" w:rsidRPr="00694ACA" w:rsidRDefault="004B77F6" w:rsidP="004B77F6">
      <w:pPr>
        <w:pStyle w:val="Bulletspoint11"/>
        <w:rPr>
          <w:lang w:val="ru-RU"/>
        </w:rPr>
      </w:pPr>
      <w:r w:rsidRPr="00694ACA">
        <w:rPr>
          <w:lang w:val="ru-RU"/>
        </w:rPr>
        <w:t>комбинация онлайновых и очных мероприятий (10–20 %).</w:t>
      </w:r>
    </w:p>
    <w:p w14:paraId="4E8EA09A" w14:textId="3C6DFE89" w:rsidR="004B77F6" w:rsidRPr="00694ACA" w:rsidRDefault="004B77F6" w:rsidP="008B728A">
      <w:pPr>
        <w:spacing w:before="120"/>
        <w:ind w:left="-284" w:right="-472"/>
        <w:rPr>
          <w:lang w:val="ru-RU"/>
        </w:rPr>
      </w:pPr>
      <w:r w:rsidRPr="00694ACA">
        <w:rPr>
          <w:lang w:val="ru-RU"/>
        </w:rPr>
        <w:t>Некоторые очные мероприятия пройдут в помещении Института, однако большинство из них будут проведены сотрудниками или обученными ими лицами, а также местными сотрудниками МСЭ и сотрудниками других учреждений системы ООН (в частности ПРООН) на региональном уровне.</w:t>
      </w:r>
      <w:r w:rsidR="00A579EF">
        <w:rPr>
          <w:lang w:val="ru-RU"/>
        </w:rPr>
        <w:t xml:space="preserve"> </w:t>
      </w:r>
      <w:r w:rsidRPr="00694ACA">
        <w:rPr>
          <w:lang w:val="ru-RU"/>
        </w:rPr>
        <w:t>Будет также разработан вариант предоставления специализированных услуг по наставничеству, который будет включен в широкий детализированный комплекс онлайновых/очных услуг, представленный в краткой форме выше.</w:t>
      </w:r>
    </w:p>
    <w:p w14:paraId="25EC306B" w14:textId="577FA3F8" w:rsidR="004B77F6" w:rsidRPr="00694ACA" w:rsidRDefault="004B77F6" w:rsidP="008B728A">
      <w:pPr>
        <w:ind w:left="-284" w:right="-472"/>
        <w:rPr>
          <w:lang w:val="ru-RU"/>
        </w:rPr>
      </w:pPr>
      <w:r w:rsidRPr="00694ACA">
        <w:rPr>
          <w:lang w:val="ru-RU"/>
        </w:rPr>
        <w:t>138.</w:t>
      </w:r>
      <w:r w:rsidR="00A579EF">
        <w:rPr>
          <w:lang w:val="ru-RU"/>
        </w:rPr>
        <w:t xml:space="preserve"> </w:t>
      </w:r>
      <w:r w:rsidRPr="00694ACA">
        <w:rPr>
          <w:lang w:val="ru-RU"/>
        </w:rPr>
        <w:t xml:space="preserve">В рамках своей внутриорганизационной деятельности по </w:t>
      </w:r>
      <w:r w:rsidR="00367DAA" w:rsidRPr="00694ACA">
        <w:rPr>
          <w:lang w:val="ru-RU"/>
        </w:rPr>
        <w:t>развитию потенциала и профессиональной подготовке</w:t>
      </w:r>
      <w:r w:rsidRPr="00694ACA">
        <w:rPr>
          <w:lang w:val="ru-RU"/>
        </w:rPr>
        <w:t xml:space="preserve"> МСЭ традиционно уделяет значительное внимание вопросу ее интеграции с региональными семинарами и практикумами, а также с другими формами региональных мероприятий. Еще неизвестно, будет ли в той или иной степени сохранен их очный формат или же они большей частью будут заменены виртуальными онлайновыми мероприятиями на фоне пандемии COVID-19.</w:t>
      </w:r>
      <w:r w:rsidR="00A579EF">
        <w:rPr>
          <w:lang w:val="ru-RU"/>
        </w:rPr>
        <w:t xml:space="preserve"> </w:t>
      </w:r>
      <w:r w:rsidRPr="00694ACA">
        <w:rPr>
          <w:lang w:val="ru-RU"/>
        </w:rPr>
        <w:t>В краткосрочной перспективе онлайновые формы проведения мероприятий останутся нормой, пока не будут устранены угрозы здоровью, связанные с COVID-19; сохранению таких форм, по всей вероятности, будет способствовать и воздействие, оказываемое соответствующими угрозами в долгосрочной перспективе.</w:t>
      </w:r>
      <w:r w:rsidR="00A579EF">
        <w:rPr>
          <w:lang w:val="ru-RU"/>
        </w:rPr>
        <w:t xml:space="preserve"> </w:t>
      </w:r>
      <w:r w:rsidRPr="00694ACA">
        <w:rPr>
          <w:lang w:val="ru-RU"/>
        </w:rPr>
        <w:t>Тем не менее на фоне ограничительных мер, с которыми многие люди столкнулись в 2020–2021 годах, очные встречи и обучение приобрели особое значение.</w:t>
      </w:r>
      <w:r w:rsidR="00A579EF">
        <w:rPr>
          <w:lang w:val="ru-RU"/>
        </w:rPr>
        <w:t xml:space="preserve"> </w:t>
      </w:r>
      <w:r w:rsidRPr="00694ACA">
        <w:rPr>
          <w:lang w:val="ru-RU"/>
        </w:rPr>
        <w:t xml:space="preserve">Поэтому некоторые очные мероприятия </w:t>
      </w:r>
      <w:r w:rsidR="00367DAA" w:rsidRPr="00694ACA">
        <w:rPr>
          <w:lang w:val="ru-RU"/>
        </w:rPr>
        <w:t>по развитию потенциала и профессиональной подготовке</w:t>
      </w:r>
      <w:r w:rsidRPr="00694ACA">
        <w:rPr>
          <w:lang w:val="ru-RU"/>
        </w:rPr>
        <w:t>, а также не</w:t>
      </w:r>
      <w:r w:rsidR="001226D4" w:rsidRPr="00694ACA">
        <w:rPr>
          <w:lang w:val="ru-RU"/>
        </w:rPr>
        <w:t>официальн</w:t>
      </w:r>
      <w:r w:rsidRPr="00694ACA">
        <w:rPr>
          <w:lang w:val="ru-RU"/>
        </w:rPr>
        <w:t>ые возможности, открывающиеся в рамках регулярной программы собраний и мероприятий МСЭ, сохранят за собой важную роль.</w:t>
      </w:r>
      <w:r w:rsidR="00A579EF">
        <w:rPr>
          <w:lang w:val="ru-RU"/>
        </w:rPr>
        <w:t xml:space="preserve"> </w:t>
      </w:r>
      <w:r w:rsidRPr="00694ACA">
        <w:rPr>
          <w:lang w:val="ru-RU"/>
        </w:rPr>
        <w:t>Гибкая модель функционирования Института, предусматривающая наличие экспертных знаний в области проведения обучения как в онлайновой, так и в очной форме, позволит оперативно реагировать на изменение спроса со стороны членов.</w:t>
      </w:r>
    </w:p>
    <w:p w14:paraId="710A4260" w14:textId="77777777" w:rsidR="004B77F6" w:rsidRPr="00694ACA" w:rsidRDefault="004B77F6" w:rsidP="008B728A">
      <w:pPr>
        <w:pStyle w:val="Heading3"/>
        <w:rPr>
          <w:lang w:val="ru-RU"/>
        </w:rPr>
      </w:pPr>
      <w:r w:rsidRPr="00694ACA">
        <w:rPr>
          <w:lang w:val="ru-RU"/>
        </w:rPr>
        <w:t>Предполагаемые бенефициары и уровень профессиональной подготовки</w:t>
      </w:r>
    </w:p>
    <w:p w14:paraId="31A13DFC" w14:textId="4DB5EE95" w:rsidR="004B77F6" w:rsidRPr="00694ACA" w:rsidRDefault="004B77F6" w:rsidP="00A105CB">
      <w:pPr>
        <w:ind w:left="-284" w:right="-472"/>
        <w:rPr>
          <w:lang w:val="ru-RU"/>
        </w:rPr>
      </w:pPr>
      <w:r w:rsidRPr="00694ACA">
        <w:rPr>
          <w:lang w:val="ru-RU"/>
        </w:rPr>
        <w:t xml:space="preserve">139. Институту необходимо направить свои усилия на развитие институционального и организационного потенциала, при этом основной предполагаемой группой бенефициаров такой деятельности будут сотрудники администраций и регуляторных органов </w:t>
      </w:r>
      <w:r w:rsidR="00175F3F" w:rsidRPr="00694ACA">
        <w:rPr>
          <w:lang w:val="ru-RU"/>
        </w:rPr>
        <w:t>Государств-Членов</w:t>
      </w:r>
      <w:r w:rsidRPr="00694ACA">
        <w:rPr>
          <w:lang w:val="ru-RU"/>
        </w:rPr>
        <w:t>, а также Члены Секторов МСЭ и Академические организации.</w:t>
      </w:r>
      <w:r w:rsidR="00A579EF">
        <w:rPr>
          <w:lang w:val="ru-RU"/>
        </w:rPr>
        <w:t xml:space="preserve"> </w:t>
      </w:r>
      <w:r w:rsidRPr="00694ACA">
        <w:rPr>
          <w:lang w:val="ru-RU"/>
        </w:rPr>
        <w:t>Стоит отметить, что Институт намерен избежать дублирования существующих услуг высококачественной и актуальной профессиональной подготовки, предоставляемых другими поставщиками, сосредоточив свое внимание на тех областях, в которых МСЭ доказал наличие у себя конкурентных преимуществ и свою актуальность как внутри системы ООН, так и в целом.</w:t>
      </w:r>
      <w:r w:rsidR="00A579EF">
        <w:rPr>
          <w:lang w:val="ru-RU"/>
        </w:rPr>
        <w:t xml:space="preserve"> </w:t>
      </w:r>
    </w:p>
    <w:p w14:paraId="11D3AF9C" w14:textId="21E1276A" w:rsidR="004B77F6" w:rsidRPr="00694ACA" w:rsidRDefault="004B77F6" w:rsidP="00A105CB">
      <w:pPr>
        <w:ind w:left="-284" w:right="-472"/>
        <w:rPr>
          <w:lang w:val="ru-RU"/>
        </w:rPr>
      </w:pPr>
      <w:r w:rsidRPr="00694ACA">
        <w:rPr>
          <w:lang w:val="ru-RU"/>
        </w:rPr>
        <w:t>140. Что касается уровня подготовки, то основной упор будет сделан на профессиональную подготовку (от</w:t>
      </w:r>
      <w:r w:rsidR="006679E4">
        <w:rPr>
          <w:lang w:val="ru-RU"/>
        </w:rPr>
        <w:t> </w:t>
      </w:r>
      <w:r w:rsidRPr="00694ACA">
        <w:rPr>
          <w:lang w:val="ru-RU"/>
        </w:rPr>
        <w:t>базового до продвинутого уровня).</w:t>
      </w:r>
      <w:r w:rsidR="00A579EF">
        <w:rPr>
          <w:lang w:val="ru-RU"/>
        </w:rPr>
        <w:t xml:space="preserve"> </w:t>
      </w:r>
      <w:r w:rsidRPr="00694ACA">
        <w:rPr>
          <w:lang w:val="ru-RU"/>
        </w:rPr>
        <w:t>Институт не будет заниматься разработкой собственных программ неполного высшего образования и аспирантуры, поскольку они уже широко представлены в университетах.</w:t>
      </w:r>
      <w:r w:rsidR="00A579EF">
        <w:rPr>
          <w:lang w:val="ru-RU"/>
        </w:rPr>
        <w:t xml:space="preserve"> </w:t>
      </w:r>
      <w:r w:rsidRPr="00694ACA">
        <w:rPr>
          <w:lang w:val="ru-RU"/>
        </w:rPr>
        <w:t>Однако, если университеты, показавшие высокое качество обучения, проявят заинтересованность в</w:t>
      </w:r>
      <w:r w:rsidR="006679E4">
        <w:rPr>
          <w:lang w:val="ru-RU"/>
        </w:rPr>
        <w:t> </w:t>
      </w:r>
      <w:r w:rsidRPr="00694ACA">
        <w:rPr>
          <w:lang w:val="ru-RU"/>
        </w:rPr>
        <w:t>разработке курсов с привлечением (и использованием бренда) МСЭ в той или иной степени, такую возможность можно будет рассмотреть.</w:t>
      </w:r>
      <w:r w:rsidR="00A579EF">
        <w:rPr>
          <w:lang w:val="ru-RU"/>
        </w:rPr>
        <w:t xml:space="preserve"> </w:t>
      </w:r>
      <w:r w:rsidRPr="00694ACA">
        <w:rPr>
          <w:lang w:val="ru-RU"/>
        </w:rPr>
        <w:t xml:space="preserve">Чтобы защитить свой бренд, Институту следует отдать предпочтение партнерству или сотрудничеству с наиболее </w:t>
      </w:r>
      <w:r w:rsidRPr="00694ACA">
        <w:rPr>
          <w:lang w:val="ru-RU"/>
        </w:rPr>
        <w:lastRenderedPageBreak/>
        <w:t>авторитетными университетами (например, входящими в топ-500 мирового рейтинга QS</w:t>
      </w:r>
      <w:r w:rsidRPr="00694ACA">
        <w:rPr>
          <w:rStyle w:val="FootnoteReference"/>
          <w:lang w:val="ru-RU"/>
        </w:rPr>
        <w:footnoteReference w:id="178"/>
      </w:r>
      <w:r w:rsidRPr="00694ACA">
        <w:rPr>
          <w:lang w:val="ru-RU"/>
        </w:rPr>
        <w:t>) и университетами, имеющими определенную специализацию или расположенными в определенных регионах</w:t>
      </w:r>
      <w:r w:rsidRPr="00694ACA">
        <w:rPr>
          <w:rStyle w:val="FootnoteReference"/>
          <w:lang w:val="ru-RU"/>
        </w:rPr>
        <w:footnoteReference w:id="179"/>
      </w:r>
      <w:r w:rsidRPr="00694ACA">
        <w:rPr>
          <w:lang w:val="ru-RU"/>
        </w:rPr>
        <w:t>.</w:t>
      </w:r>
    </w:p>
    <w:p w14:paraId="0104BCF5" w14:textId="5F42B197" w:rsidR="004B77F6" w:rsidRPr="00694ACA" w:rsidRDefault="004B77F6" w:rsidP="00A105CB">
      <w:pPr>
        <w:ind w:left="-284" w:right="-472"/>
        <w:rPr>
          <w:lang w:val="ru-RU"/>
        </w:rPr>
      </w:pPr>
      <w:r w:rsidRPr="00694ACA">
        <w:rPr>
          <w:lang w:val="ru-RU"/>
        </w:rPr>
        <w:t xml:space="preserve">141. В то же время, если Институт (или другие коллеги в рамках МСЭ) выявит какой-то значительный пробел в глобальной системе профессиональной подготовки, препятствующий предоставлению </w:t>
      </w:r>
      <w:r w:rsidRPr="00694ACA">
        <w:rPr>
          <w:i/>
          <w:iCs/>
          <w:lang w:val="ru-RU"/>
        </w:rPr>
        <w:t>отдельным лицам</w:t>
      </w:r>
      <w:r w:rsidRPr="00694ACA">
        <w:rPr>
          <w:lang w:val="ru-RU"/>
        </w:rPr>
        <w:t xml:space="preserve"> информации о тех или иных аспектах его деятельности, сотрудники Института также изучат возможность разработки дополнительных бесплатных и открытых учебных ресурсов, доступ к которым будет открыт на портале Института.</w:t>
      </w:r>
      <w:r w:rsidR="00A579EF">
        <w:rPr>
          <w:lang w:val="ru-RU"/>
        </w:rPr>
        <w:t xml:space="preserve"> </w:t>
      </w:r>
      <w:r w:rsidRPr="00694ACA">
        <w:rPr>
          <w:lang w:val="ru-RU"/>
        </w:rPr>
        <w:t>В первую очередь, они могли бы, не разрабатывая полный курс, подготовить унифицированные шаблоны, охватывающие ключевые вопросы, на основе которых инструкторы из других учреждений могли бы впоследствии разработать собственные курсы на национальном уровне.</w:t>
      </w:r>
      <w:r w:rsidR="00A579EF">
        <w:rPr>
          <w:lang w:val="ru-RU"/>
        </w:rPr>
        <w:t xml:space="preserve"> </w:t>
      </w:r>
      <w:r w:rsidRPr="00694ACA">
        <w:rPr>
          <w:lang w:val="ru-RU"/>
        </w:rPr>
        <w:t>В</w:t>
      </w:r>
      <w:r w:rsidR="006679E4">
        <w:rPr>
          <w:lang w:val="ru-RU"/>
        </w:rPr>
        <w:t> </w:t>
      </w:r>
      <w:r w:rsidRPr="00694ACA">
        <w:rPr>
          <w:lang w:val="ru-RU"/>
        </w:rPr>
        <w:t>исключительных случаях Институт мог бы разработать целые курсы на нескольких языках для глобального рынка, однако ожидается, что такой сценарий не станет частым явлением.</w:t>
      </w:r>
    </w:p>
    <w:p w14:paraId="2DD1A8D8" w14:textId="77777777" w:rsidR="004B77F6" w:rsidRPr="00694ACA" w:rsidRDefault="004B77F6" w:rsidP="00A105CB">
      <w:pPr>
        <w:pStyle w:val="Heading3"/>
        <w:rPr>
          <w:lang w:val="ru-RU"/>
        </w:rPr>
      </w:pPr>
      <w:r w:rsidRPr="00694ACA">
        <w:rPr>
          <w:lang w:val="ru-RU"/>
        </w:rPr>
        <w:t>Примеры продукции</w:t>
      </w:r>
    </w:p>
    <w:p w14:paraId="5F4735E4" w14:textId="77777777" w:rsidR="004B77F6" w:rsidRPr="00694ACA" w:rsidRDefault="004B77F6" w:rsidP="00A105CB">
      <w:pPr>
        <w:ind w:left="-284"/>
        <w:rPr>
          <w:lang w:val="ru-RU"/>
        </w:rPr>
      </w:pPr>
      <w:r w:rsidRPr="00694ACA">
        <w:rPr>
          <w:lang w:val="ru-RU"/>
        </w:rPr>
        <w:t>142. Разработка материалов и ресурсов Института будет осуществляться с использованием различных методов, которые в целом будут отвечать типовому процессу обеспечения качества, включающему как минимум следующие этапы:</w:t>
      </w:r>
    </w:p>
    <w:p w14:paraId="49EB65D9" w14:textId="77777777" w:rsidR="004B77F6" w:rsidRPr="00694ACA" w:rsidRDefault="004B77F6" w:rsidP="004B77F6">
      <w:pPr>
        <w:pStyle w:val="Bulletspoint11"/>
        <w:rPr>
          <w:lang w:val="ru-RU"/>
        </w:rPr>
      </w:pPr>
      <w:r w:rsidRPr="00694ACA">
        <w:rPr>
          <w:lang w:val="ru-RU"/>
        </w:rPr>
        <w:t>оценка потребностей в прохождении профессиональной подготовки;</w:t>
      </w:r>
    </w:p>
    <w:p w14:paraId="66AF1B48" w14:textId="77777777" w:rsidR="004B77F6" w:rsidRPr="00694ACA" w:rsidRDefault="004B77F6" w:rsidP="004B77F6">
      <w:pPr>
        <w:pStyle w:val="Bulletspoint11"/>
        <w:rPr>
          <w:lang w:val="ru-RU"/>
        </w:rPr>
      </w:pPr>
      <w:r w:rsidRPr="00694ACA">
        <w:rPr>
          <w:lang w:val="ru-RU"/>
        </w:rPr>
        <w:t>аудитория/участники, для которых они предназначены;</w:t>
      </w:r>
    </w:p>
    <w:p w14:paraId="66B6971C" w14:textId="77777777" w:rsidR="004B77F6" w:rsidRPr="00694ACA" w:rsidRDefault="004B77F6" w:rsidP="004B77F6">
      <w:pPr>
        <w:pStyle w:val="Bulletspoint11"/>
        <w:rPr>
          <w:lang w:val="ru-RU"/>
        </w:rPr>
      </w:pPr>
      <w:r w:rsidRPr="00694ACA">
        <w:rPr>
          <w:lang w:val="ru-RU"/>
        </w:rPr>
        <w:t>цели и предполагаемые результаты профессиональной подготовки;</w:t>
      </w:r>
    </w:p>
    <w:p w14:paraId="05CFF3FA" w14:textId="77777777" w:rsidR="004B77F6" w:rsidRPr="00694ACA" w:rsidRDefault="004B77F6" w:rsidP="004B77F6">
      <w:pPr>
        <w:pStyle w:val="Bulletspoint11"/>
        <w:rPr>
          <w:lang w:val="ru-RU"/>
        </w:rPr>
      </w:pPr>
      <w:r w:rsidRPr="00694ACA">
        <w:rPr>
          <w:lang w:val="ru-RU"/>
        </w:rPr>
        <w:t>название, структура и содержание;</w:t>
      </w:r>
    </w:p>
    <w:p w14:paraId="15CF7964" w14:textId="77777777" w:rsidR="004B77F6" w:rsidRPr="00694ACA" w:rsidRDefault="004B77F6" w:rsidP="004B77F6">
      <w:pPr>
        <w:pStyle w:val="Bulletspoint11"/>
        <w:rPr>
          <w:lang w:val="ru-RU"/>
        </w:rPr>
      </w:pPr>
      <w:r w:rsidRPr="00694ACA">
        <w:rPr>
          <w:lang w:val="ru-RU"/>
        </w:rPr>
        <w:t>способ(-ы) проведения;</w:t>
      </w:r>
    </w:p>
    <w:p w14:paraId="5370B450" w14:textId="77777777" w:rsidR="004B77F6" w:rsidRPr="00694ACA" w:rsidRDefault="004B77F6" w:rsidP="004B77F6">
      <w:pPr>
        <w:pStyle w:val="Bulletspoint11"/>
        <w:rPr>
          <w:lang w:val="ru-RU"/>
        </w:rPr>
      </w:pPr>
      <w:r w:rsidRPr="00694ACA">
        <w:rPr>
          <w:lang w:val="ru-RU"/>
        </w:rPr>
        <w:t>учебные материалы и ресурсы (мультимедиа);</w:t>
      </w:r>
    </w:p>
    <w:p w14:paraId="25C249BD" w14:textId="77777777" w:rsidR="004B77F6" w:rsidRPr="00694ACA" w:rsidRDefault="004B77F6" w:rsidP="004B77F6">
      <w:pPr>
        <w:pStyle w:val="Bulletspoint11"/>
        <w:rPr>
          <w:lang w:val="ru-RU"/>
        </w:rPr>
      </w:pPr>
      <w:r w:rsidRPr="00694ACA">
        <w:rPr>
          <w:lang w:val="ru-RU"/>
        </w:rPr>
        <w:t>обеспечение соответствия тех, кто проводит профессиональную подготовку;</w:t>
      </w:r>
    </w:p>
    <w:p w14:paraId="2993A7FC" w14:textId="77777777" w:rsidR="004B77F6" w:rsidRPr="00694ACA" w:rsidRDefault="004B77F6" w:rsidP="004B77F6">
      <w:pPr>
        <w:pStyle w:val="Bulletspoint11"/>
        <w:rPr>
          <w:lang w:val="ru-RU"/>
        </w:rPr>
      </w:pPr>
      <w:r w:rsidRPr="00694ACA">
        <w:rPr>
          <w:lang w:val="ru-RU"/>
        </w:rPr>
        <w:t>продвижение курса на рынке;</w:t>
      </w:r>
    </w:p>
    <w:p w14:paraId="20A03D99" w14:textId="77777777" w:rsidR="004B77F6" w:rsidRPr="00694ACA" w:rsidRDefault="004B77F6" w:rsidP="004B77F6">
      <w:pPr>
        <w:pStyle w:val="Bulletspoint11"/>
        <w:rPr>
          <w:lang w:val="ru-RU"/>
        </w:rPr>
      </w:pPr>
      <w:r w:rsidRPr="00694ACA">
        <w:rPr>
          <w:lang w:val="ru-RU"/>
        </w:rPr>
        <w:t>оценка и сертификация (при необходимости);</w:t>
      </w:r>
    </w:p>
    <w:p w14:paraId="3E67E243" w14:textId="77777777" w:rsidR="004B77F6" w:rsidRPr="00694ACA" w:rsidRDefault="004B77F6" w:rsidP="004B77F6">
      <w:pPr>
        <w:pStyle w:val="Bulletspoint11"/>
        <w:rPr>
          <w:lang w:val="ru-RU"/>
        </w:rPr>
      </w:pPr>
      <w:r w:rsidRPr="00694ACA">
        <w:rPr>
          <w:lang w:val="ru-RU"/>
        </w:rPr>
        <w:t>оценка результатов профессиональной подготовки (взаимодействие с сетью выпускников).</w:t>
      </w:r>
    </w:p>
    <w:p w14:paraId="2487E056" w14:textId="5497F920" w:rsidR="004B77F6" w:rsidRPr="00694ACA" w:rsidRDefault="004B77F6" w:rsidP="008B728A">
      <w:pPr>
        <w:spacing w:before="120" w:after="0"/>
        <w:ind w:left="-284"/>
        <w:rPr>
          <w:lang w:val="ru-RU"/>
        </w:rPr>
      </w:pPr>
      <w:r w:rsidRPr="00694ACA">
        <w:rPr>
          <w:lang w:val="ru-RU"/>
        </w:rPr>
        <w:t xml:space="preserve">143. Как можно больше материалов и ресурсов Института должны быть доступны в различных формах для обеспечения максимального охвата, а все, что разработано за счет государственного финансирования, должно находиться в свободном доступе, возможно, с использованием лицензий </w:t>
      </w:r>
      <w:proofErr w:type="spellStart"/>
      <w:r w:rsidRPr="00694ACA">
        <w:rPr>
          <w:lang w:val="ru-RU"/>
        </w:rPr>
        <w:t>Creative</w:t>
      </w:r>
      <w:proofErr w:type="spellEnd"/>
      <w:r w:rsidRPr="00694ACA">
        <w:rPr>
          <w:lang w:val="ru-RU"/>
        </w:rPr>
        <w:t xml:space="preserve"> </w:t>
      </w:r>
      <w:proofErr w:type="spellStart"/>
      <w:r w:rsidRPr="00694ACA">
        <w:rPr>
          <w:lang w:val="ru-RU"/>
        </w:rPr>
        <w:t>Commons</w:t>
      </w:r>
      <w:proofErr w:type="spellEnd"/>
      <w:r w:rsidRPr="00694ACA">
        <w:rPr>
          <w:lang w:val="ru-RU"/>
        </w:rPr>
        <w:t xml:space="preserve"> (если это так, то желательно, чтобы это были лицензии CC BY-SA</w:t>
      </w:r>
      <w:r w:rsidRPr="00694ACA">
        <w:rPr>
          <w:rStyle w:val="FootnoteReference"/>
          <w:lang w:val="ru-RU"/>
        </w:rPr>
        <w:footnoteReference w:id="180"/>
      </w:r>
      <w:r w:rsidRPr="00694ACA">
        <w:rPr>
          <w:lang w:val="ru-RU"/>
        </w:rPr>
        <w:t>).</w:t>
      </w:r>
      <w:r w:rsidR="00A579EF">
        <w:rPr>
          <w:lang w:val="ru-RU"/>
        </w:rPr>
        <w:t xml:space="preserve"> </w:t>
      </w:r>
      <w:r w:rsidRPr="00694ACA">
        <w:rPr>
          <w:lang w:val="ru-RU"/>
        </w:rPr>
        <w:t>Ниже приведены семь основных видов мероприятий, позволяющих получить представление о том, что Институт может разработать (примеры приведены исключительно в целях иллюстрации и могут быть разработаны с привлечением соответствующих заинтересованных сторон):</w:t>
      </w:r>
    </w:p>
    <w:p w14:paraId="0BB61764" w14:textId="103B3262" w:rsidR="004B77F6" w:rsidRPr="00694ACA" w:rsidRDefault="004B77F6" w:rsidP="004B77F6">
      <w:pPr>
        <w:pStyle w:val="TOC9"/>
        <w:rPr>
          <w:i/>
          <w:iCs/>
          <w:lang w:val="ru-RU"/>
        </w:rPr>
      </w:pPr>
      <w:r w:rsidRPr="00694ACA">
        <w:rPr>
          <w:i/>
          <w:iCs/>
          <w:lang w:val="ru-RU"/>
        </w:rPr>
        <w:t>автономные онлайновые ресурсы для самостоятельного обучения:</w:t>
      </w:r>
      <w:r w:rsidR="00A579EF">
        <w:rPr>
          <w:lang w:val="ru-RU"/>
        </w:rPr>
        <w:t xml:space="preserve"> </w:t>
      </w:r>
      <w:r w:rsidRPr="00694ACA">
        <w:rPr>
          <w:lang w:val="ru-RU"/>
        </w:rPr>
        <w:t>Они должны быть интуитивно понятными, удобными для использования учащимися и включать тщательно продуманные тесты для текущего оценивания.</w:t>
      </w:r>
      <w:r w:rsidR="00A579EF">
        <w:rPr>
          <w:lang w:val="ru-RU"/>
        </w:rPr>
        <w:t xml:space="preserve"> </w:t>
      </w:r>
      <w:r w:rsidRPr="00694ACA">
        <w:rPr>
          <w:lang w:val="ru-RU"/>
        </w:rPr>
        <w:t>Указанные ресурсы могут быть представлены в виде модулей, рассчитанных на один час каждый:</w:t>
      </w:r>
    </w:p>
    <w:p w14:paraId="63AC0A21" w14:textId="77777777" w:rsidR="004B77F6" w:rsidRPr="00694ACA" w:rsidRDefault="004B77F6" w:rsidP="004B77F6">
      <w:pPr>
        <w:pStyle w:val="TOC9"/>
        <w:numPr>
          <w:ilvl w:val="1"/>
          <w:numId w:val="57"/>
        </w:numPr>
        <w:rPr>
          <w:lang w:val="ru-RU"/>
        </w:rPr>
      </w:pPr>
      <w:r w:rsidRPr="00694ACA">
        <w:rPr>
          <w:lang w:val="ru-RU"/>
        </w:rPr>
        <w:t>ознакомительная информация о деятельности МСЭ, предназначенная для сотрудников новых организаций-членов (правительств, Секторов, Академических организаций) (общая продолжительность — 5 часов);</w:t>
      </w:r>
    </w:p>
    <w:p w14:paraId="5A0D73AC" w14:textId="77777777" w:rsidR="004B77F6" w:rsidRPr="00694ACA" w:rsidRDefault="004B77F6" w:rsidP="004B77F6">
      <w:pPr>
        <w:pStyle w:val="ListParagraph"/>
        <w:numPr>
          <w:ilvl w:val="1"/>
          <w:numId w:val="57"/>
        </w:numPr>
        <w:rPr>
          <w:lang w:val="ru-RU"/>
        </w:rPr>
      </w:pPr>
      <w:r w:rsidRPr="00694ACA">
        <w:rPr>
          <w:lang w:val="ru-RU"/>
        </w:rPr>
        <w:t>ознакомительная информация о криптовалютах, предназначенная для сотрудников среднего звена органов регулирования электросвязи (общая продолжительность — 20 часов);</w:t>
      </w:r>
    </w:p>
    <w:p w14:paraId="511B6599" w14:textId="77777777" w:rsidR="004B77F6" w:rsidRPr="00694ACA" w:rsidRDefault="004B77F6" w:rsidP="004B77F6">
      <w:pPr>
        <w:pStyle w:val="TOC9"/>
        <w:rPr>
          <w:lang w:val="ru-RU"/>
        </w:rPr>
      </w:pPr>
      <w:r w:rsidRPr="00694ACA">
        <w:rPr>
          <w:i/>
          <w:iCs/>
          <w:lang w:val="ru-RU"/>
        </w:rPr>
        <w:t>очные семинары-практикумы высокого уровня, проводимые на территории соответствующих стран</w:t>
      </w:r>
      <w:r w:rsidRPr="00694ACA">
        <w:rPr>
          <w:lang w:val="ru-RU"/>
        </w:rPr>
        <w:t xml:space="preserve"> (часто совместно с ПРООН):</w:t>
      </w:r>
    </w:p>
    <w:p w14:paraId="23158FCD" w14:textId="447E8A8D" w:rsidR="004B77F6" w:rsidRPr="00694ACA" w:rsidRDefault="004B77F6" w:rsidP="004B77F6">
      <w:pPr>
        <w:pStyle w:val="TOC9"/>
        <w:numPr>
          <w:ilvl w:val="1"/>
          <w:numId w:val="57"/>
        </w:numPr>
        <w:rPr>
          <w:lang w:val="ru-RU"/>
        </w:rPr>
      </w:pPr>
      <w:r w:rsidRPr="00694ACA">
        <w:rPr>
          <w:lang w:val="ru-RU"/>
        </w:rPr>
        <w:lastRenderedPageBreak/>
        <w:t>двухдневные региональные семинары</w:t>
      </w:r>
      <w:r w:rsidR="00C15309" w:rsidRPr="00694ACA">
        <w:rPr>
          <w:lang w:val="ru-RU"/>
        </w:rPr>
        <w:t>-практикумы</w:t>
      </w:r>
      <w:r w:rsidRPr="00694ACA">
        <w:rPr>
          <w:lang w:val="ru-RU"/>
        </w:rPr>
        <w:t xml:space="preserve"> для сотрудников высшего звена регуляторных органов, посвященные последствиям проведения аукционов по продаже спектра в интересах развития;</w:t>
      </w:r>
    </w:p>
    <w:p w14:paraId="0D3A708F" w14:textId="529DB4E9" w:rsidR="004B77F6" w:rsidRPr="00694ACA" w:rsidRDefault="004B77F6" w:rsidP="004B77F6">
      <w:pPr>
        <w:pStyle w:val="ListParagraph"/>
        <w:numPr>
          <w:ilvl w:val="1"/>
          <w:numId w:val="57"/>
        </w:numPr>
        <w:rPr>
          <w:lang w:val="ru-RU"/>
        </w:rPr>
      </w:pPr>
      <w:r w:rsidRPr="00694ACA">
        <w:rPr>
          <w:lang w:val="ru-RU"/>
        </w:rPr>
        <w:t>двухдневный региональный семинар</w:t>
      </w:r>
      <w:r w:rsidR="00C15309" w:rsidRPr="00694ACA">
        <w:rPr>
          <w:lang w:val="ru-RU"/>
        </w:rPr>
        <w:t>-практикум</w:t>
      </w:r>
      <w:r w:rsidRPr="00694ACA">
        <w:rPr>
          <w:lang w:val="ru-RU"/>
        </w:rPr>
        <w:t xml:space="preserve"> </w:t>
      </w:r>
      <w:r w:rsidR="006E72AD" w:rsidRPr="00694ACA">
        <w:rPr>
          <w:lang w:val="ru-RU"/>
        </w:rPr>
        <w:t>"</w:t>
      </w:r>
      <w:r w:rsidRPr="00694ACA">
        <w:rPr>
          <w:lang w:val="ru-RU"/>
        </w:rPr>
        <w:t>Смягчение негативных экологических последствий бизнес-моделей с применением цифровых технологий в Восточной Африке</w:t>
      </w:r>
      <w:r w:rsidR="006E72AD" w:rsidRPr="00694ACA">
        <w:rPr>
          <w:lang w:val="ru-RU"/>
        </w:rPr>
        <w:t>"</w:t>
      </w:r>
      <w:r w:rsidRPr="00694ACA">
        <w:rPr>
          <w:lang w:val="ru-RU"/>
        </w:rPr>
        <w:t>;</w:t>
      </w:r>
    </w:p>
    <w:p w14:paraId="15FCE38F" w14:textId="7B527A21" w:rsidR="004B77F6" w:rsidRPr="00694ACA" w:rsidRDefault="004B77F6" w:rsidP="004B77F6">
      <w:pPr>
        <w:pStyle w:val="TOC9"/>
        <w:rPr>
          <w:lang w:val="ru-RU"/>
        </w:rPr>
      </w:pPr>
      <w:r w:rsidRPr="00694ACA">
        <w:rPr>
          <w:i/>
          <w:iCs/>
          <w:lang w:val="ru-RU"/>
        </w:rPr>
        <w:t>онлайновые учебные курсы при участии наставника</w:t>
      </w:r>
      <w:r w:rsidRPr="00694ACA">
        <w:rPr>
          <w:lang w:val="ru-RU"/>
        </w:rPr>
        <w:t xml:space="preserve"> (некоторые проводятся совместно с партнерами).</w:t>
      </w:r>
      <w:r w:rsidR="00A579EF">
        <w:rPr>
          <w:lang w:val="ru-RU"/>
        </w:rPr>
        <w:t xml:space="preserve"> </w:t>
      </w:r>
      <w:r w:rsidRPr="00694ACA">
        <w:rPr>
          <w:lang w:val="ru-RU"/>
        </w:rPr>
        <w:t>Имея различную продолжительность, они будут состоять из блоков длительностью, как правило, один час, но не более двух часов в день.</w:t>
      </w:r>
      <w:r w:rsidR="00A579EF">
        <w:rPr>
          <w:lang w:val="ru-RU"/>
        </w:rPr>
        <w:t xml:space="preserve"> </w:t>
      </w:r>
      <w:r w:rsidRPr="00694ACA">
        <w:rPr>
          <w:lang w:val="ru-RU"/>
        </w:rPr>
        <w:t>Это могут быть курсы, предусматривающие сертификацию на основе оценки, или просто учебные курсы без проведения какой-либо оценки:</w:t>
      </w:r>
    </w:p>
    <w:p w14:paraId="21B2B4FA" w14:textId="77777777" w:rsidR="004B77F6" w:rsidRPr="00694ACA" w:rsidRDefault="004B77F6" w:rsidP="004B77F6">
      <w:pPr>
        <w:pStyle w:val="TOC9"/>
        <w:numPr>
          <w:ilvl w:val="1"/>
          <w:numId w:val="57"/>
        </w:numPr>
        <w:rPr>
          <w:lang w:val="ru-RU"/>
        </w:rPr>
      </w:pPr>
      <w:r w:rsidRPr="00694ACA">
        <w:rPr>
          <w:lang w:val="ru-RU"/>
        </w:rPr>
        <w:t>новая информация о последних стандартах в области электросвязи (3 дня) (может предусматривать сертификацию при условии проведения оценки);</w:t>
      </w:r>
    </w:p>
    <w:p w14:paraId="5FD58DFF" w14:textId="7A7BF003" w:rsidR="004B77F6" w:rsidRPr="00694ACA" w:rsidRDefault="006E72AD" w:rsidP="004B77F6">
      <w:pPr>
        <w:pStyle w:val="TOC9"/>
        <w:numPr>
          <w:ilvl w:val="1"/>
          <w:numId w:val="57"/>
        </w:numPr>
        <w:rPr>
          <w:lang w:val="ru-RU"/>
        </w:rPr>
      </w:pPr>
      <w:r w:rsidRPr="00694ACA">
        <w:rPr>
          <w:lang w:val="ru-RU"/>
        </w:rPr>
        <w:t>"</w:t>
      </w:r>
      <w:r w:rsidR="004B77F6" w:rsidRPr="00694ACA">
        <w:rPr>
          <w:lang w:val="ru-RU"/>
        </w:rPr>
        <w:t>Все о цифровых вызовах в СИДС: доведение реальной ситуации до сведения глобальных корпораций</w:t>
      </w:r>
      <w:r w:rsidRPr="00694ACA">
        <w:rPr>
          <w:lang w:val="ru-RU"/>
        </w:rPr>
        <w:t>"</w:t>
      </w:r>
      <w:r w:rsidR="004B77F6" w:rsidRPr="00694ACA">
        <w:rPr>
          <w:lang w:val="ru-RU"/>
        </w:rPr>
        <w:t xml:space="preserve"> (2 дня);</w:t>
      </w:r>
    </w:p>
    <w:p w14:paraId="1EB54BCD" w14:textId="26FA03AF" w:rsidR="004B77F6" w:rsidRPr="00694ACA" w:rsidRDefault="006E72AD" w:rsidP="004B77F6">
      <w:pPr>
        <w:pStyle w:val="TOC9"/>
        <w:numPr>
          <w:ilvl w:val="1"/>
          <w:numId w:val="57"/>
        </w:numPr>
        <w:rPr>
          <w:lang w:val="ru-RU"/>
        </w:rPr>
      </w:pPr>
      <w:r w:rsidRPr="00694ACA">
        <w:rPr>
          <w:lang w:val="ru-RU"/>
        </w:rPr>
        <w:t>"</w:t>
      </w:r>
      <w:r w:rsidR="004B77F6" w:rsidRPr="00694ACA">
        <w:rPr>
          <w:lang w:val="ru-RU"/>
        </w:rPr>
        <w:t>Цифровое вещание</w:t>
      </w:r>
      <w:r w:rsidRPr="00694ACA">
        <w:rPr>
          <w:lang w:val="ru-RU"/>
        </w:rPr>
        <w:t>"</w:t>
      </w:r>
      <w:r w:rsidR="004B77F6" w:rsidRPr="00694ACA">
        <w:rPr>
          <w:lang w:val="ru-RU"/>
        </w:rPr>
        <w:t xml:space="preserve"> (продолжительность 20 дней, 2 занятия по 2 часа в неделю, с дополнительными материалами для самостоятельного обучения)</w:t>
      </w:r>
      <w:r w:rsidR="004B77F6" w:rsidRPr="00694ACA">
        <w:rPr>
          <w:rStyle w:val="FootnoteReference"/>
          <w:lang w:val="ru-RU"/>
        </w:rPr>
        <w:footnoteReference w:id="181"/>
      </w:r>
      <w:r w:rsidR="004B77F6" w:rsidRPr="00694ACA">
        <w:rPr>
          <w:lang w:val="ru-RU"/>
        </w:rPr>
        <w:t>;</w:t>
      </w:r>
    </w:p>
    <w:p w14:paraId="2C29BAFC" w14:textId="5952F25F" w:rsidR="004B77F6" w:rsidRPr="00694ACA" w:rsidRDefault="004B77F6" w:rsidP="004B77F6">
      <w:pPr>
        <w:pStyle w:val="TOC9"/>
        <w:rPr>
          <w:i/>
          <w:iCs/>
          <w:lang w:val="ru-RU"/>
        </w:rPr>
      </w:pPr>
      <w:r w:rsidRPr="00694ACA">
        <w:rPr>
          <w:i/>
          <w:iCs/>
          <w:lang w:val="ru-RU"/>
        </w:rPr>
        <w:t>программы и группы наставничества.</w:t>
      </w:r>
      <w:r w:rsidR="00A579EF">
        <w:rPr>
          <w:lang w:val="ru-RU"/>
        </w:rPr>
        <w:t xml:space="preserve"> </w:t>
      </w:r>
      <w:r w:rsidRPr="00694ACA">
        <w:rPr>
          <w:lang w:val="ru-RU"/>
        </w:rPr>
        <w:t>Считаясь одним из наиболее эффективных способов развития потенциала, наставничество может иметь разные формы и продолжительность, в</w:t>
      </w:r>
      <w:r w:rsidR="00312F72">
        <w:rPr>
          <w:rFonts w:hint="eastAsia"/>
          <w:lang w:val="ru-RU"/>
        </w:rPr>
        <w:t> </w:t>
      </w:r>
      <w:r w:rsidRPr="00694ACA">
        <w:rPr>
          <w:lang w:val="ru-RU"/>
        </w:rPr>
        <w:t>зависимости от наличия времени, потребностей и опыта:</w:t>
      </w:r>
    </w:p>
    <w:p w14:paraId="57F72246" w14:textId="305EF949" w:rsidR="004B77F6" w:rsidRPr="00694ACA" w:rsidRDefault="006E72AD" w:rsidP="004B77F6">
      <w:pPr>
        <w:pStyle w:val="TOC9"/>
        <w:numPr>
          <w:ilvl w:val="1"/>
          <w:numId w:val="57"/>
        </w:numPr>
        <w:rPr>
          <w:lang w:val="ru-RU"/>
        </w:rPr>
      </w:pPr>
      <w:r w:rsidRPr="00694ACA">
        <w:rPr>
          <w:lang w:val="ru-RU"/>
        </w:rPr>
        <w:t>"</w:t>
      </w:r>
      <w:r w:rsidR="004B77F6" w:rsidRPr="00694ACA">
        <w:rPr>
          <w:lang w:val="ru-RU"/>
        </w:rPr>
        <w:t>Женщины-участницы ВКРЭ</w:t>
      </w:r>
      <w:r w:rsidRPr="00694ACA">
        <w:rPr>
          <w:lang w:val="ru-RU"/>
        </w:rPr>
        <w:t>"</w:t>
      </w:r>
      <w:r w:rsidR="004B77F6" w:rsidRPr="00694ACA">
        <w:rPr>
          <w:lang w:val="ru-RU"/>
        </w:rPr>
        <w:t>;</w:t>
      </w:r>
    </w:p>
    <w:p w14:paraId="3EEAB145" w14:textId="57A35ACE" w:rsidR="004B77F6" w:rsidRPr="00694ACA" w:rsidRDefault="006E72AD" w:rsidP="004B77F6">
      <w:pPr>
        <w:pStyle w:val="TOC9"/>
        <w:numPr>
          <w:ilvl w:val="1"/>
          <w:numId w:val="57"/>
        </w:numPr>
        <w:rPr>
          <w:lang w:val="ru-RU"/>
        </w:rPr>
      </w:pPr>
      <w:r w:rsidRPr="00694ACA">
        <w:rPr>
          <w:lang w:val="ru-RU"/>
        </w:rPr>
        <w:t>"</w:t>
      </w:r>
      <w:r w:rsidR="004B77F6" w:rsidRPr="00694ACA">
        <w:rPr>
          <w:lang w:val="ru-RU"/>
        </w:rPr>
        <w:t>Охват в интересах высшего руководства в секторе цифровых технологий</w:t>
      </w:r>
      <w:r w:rsidRPr="00694ACA">
        <w:rPr>
          <w:lang w:val="ru-RU"/>
        </w:rPr>
        <w:t>"</w:t>
      </w:r>
      <w:r w:rsidR="004B77F6" w:rsidRPr="00694ACA">
        <w:rPr>
          <w:lang w:val="ru-RU"/>
        </w:rPr>
        <w:t>;</w:t>
      </w:r>
    </w:p>
    <w:p w14:paraId="4C9F75BD" w14:textId="6607EDFA" w:rsidR="004B77F6" w:rsidRPr="00694ACA" w:rsidRDefault="004B77F6" w:rsidP="004B77F6">
      <w:pPr>
        <w:pStyle w:val="TOC9"/>
        <w:rPr>
          <w:lang w:val="ru-RU"/>
        </w:rPr>
      </w:pPr>
      <w:r w:rsidRPr="00694ACA">
        <w:rPr>
          <w:i/>
          <w:iCs/>
          <w:lang w:val="ru-RU"/>
        </w:rPr>
        <w:t>лекции высокого уровня и групповые обсуждения с участием экспертов.</w:t>
      </w:r>
      <w:r w:rsidR="00A579EF">
        <w:rPr>
          <w:lang w:val="ru-RU"/>
        </w:rPr>
        <w:t xml:space="preserve"> </w:t>
      </w:r>
      <w:r w:rsidRPr="00694ACA">
        <w:rPr>
          <w:lang w:val="ru-RU"/>
        </w:rPr>
        <w:t>В этой рубрике предлагается множество разных мероприятий, включая следующие:</w:t>
      </w:r>
    </w:p>
    <w:p w14:paraId="1C74AD0D" w14:textId="41537DF7" w:rsidR="004B77F6" w:rsidRPr="00694ACA" w:rsidRDefault="004B77F6" w:rsidP="004B77F6">
      <w:pPr>
        <w:pStyle w:val="TOC9"/>
        <w:numPr>
          <w:ilvl w:val="1"/>
          <w:numId w:val="57"/>
        </w:numPr>
        <w:rPr>
          <w:lang w:val="ru-RU"/>
        </w:rPr>
      </w:pPr>
      <w:r w:rsidRPr="00694ACA">
        <w:rPr>
          <w:lang w:val="ru-RU"/>
        </w:rPr>
        <w:t>лекция выдающегося деятеля, посвященная важным вопросам и проводимая ежемесячно в онлайновом или очном формате, – открытая для участия представителей общественности лекция с возможностью привлечения физической аудитории.</w:t>
      </w:r>
      <w:r w:rsidR="00A579EF">
        <w:rPr>
          <w:lang w:val="ru-RU"/>
        </w:rPr>
        <w:t xml:space="preserve"> </w:t>
      </w:r>
      <w:r w:rsidRPr="00694ACA">
        <w:rPr>
          <w:lang w:val="ru-RU"/>
        </w:rPr>
        <w:t>Представители каждого Сектора могут проводить циклы лекций, посвященных деятельности такого Сектора, на ежемесячной основе;</w:t>
      </w:r>
    </w:p>
    <w:p w14:paraId="431F99F3" w14:textId="77777777" w:rsidR="004B77F6" w:rsidRPr="00694ACA" w:rsidRDefault="004B77F6" w:rsidP="004B77F6">
      <w:pPr>
        <w:pStyle w:val="TOC9"/>
        <w:numPr>
          <w:ilvl w:val="1"/>
          <w:numId w:val="57"/>
        </w:numPr>
        <w:rPr>
          <w:lang w:val="ru-RU"/>
        </w:rPr>
      </w:pPr>
      <w:r w:rsidRPr="00694ACA">
        <w:rPr>
          <w:lang w:val="ru-RU"/>
        </w:rPr>
        <w:t>онлайновые тематические групповые обсуждения ключевых вопросов с участием экспертов, на которых собираются вместе как опытные докладчики, так и более молодые сотрудники;</w:t>
      </w:r>
    </w:p>
    <w:p w14:paraId="2E61CB08" w14:textId="3298018F" w:rsidR="004B77F6" w:rsidRPr="00694ACA" w:rsidRDefault="004B77F6" w:rsidP="004B77F6">
      <w:pPr>
        <w:pStyle w:val="TOC9"/>
        <w:rPr>
          <w:lang w:val="ru-RU"/>
        </w:rPr>
      </w:pPr>
      <w:r w:rsidRPr="00694ACA">
        <w:rPr>
          <w:i/>
          <w:iCs/>
          <w:lang w:val="ru-RU"/>
        </w:rPr>
        <w:t>практические занятия.</w:t>
      </w:r>
      <w:r w:rsidR="00A579EF">
        <w:rPr>
          <w:lang w:val="ru-RU"/>
        </w:rPr>
        <w:t xml:space="preserve"> </w:t>
      </w:r>
      <w:r w:rsidRPr="00694ACA">
        <w:rPr>
          <w:lang w:val="ru-RU"/>
        </w:rPr>
        <w:t xml:space="preserve">Некоторые </w:t>
      </w:r>
      <w:r w:rsidR="00B4758B" w:rsidRPr="00694ACA">
        <w:rPr>
          <w:lang w:val="ru-RU"/>
        </w:rPr>
        <w:t>учебные занятия</w:t>
      </w:r>
      <w:r w:rsidRPr="00694ACA">
        <w:rPr>
          <w:lang w:val="ru-RU"/>
        </w:rPr>
        <w:t>, проводимые в настоящее время БР, например, помогают участникам, посещающим семинары</w:t>
      </w:r>
      <w:r w:rsidR="005F6921" w:rsidRPr="00694ACA">
        <w:rPr>
          <w:lang w:val="ru-RU"/>
        </w:rPr>
        <w:t>-практикумы</w:t>
      </w:r>
      <w:r w:rsidRPr="00694ACA">
        <w:rPr>
          <w:lang w:val="ru-RU"/>
        </w:rPr>
        <w:t>/</w:t>
      </w:r>
      <w:r w:rsidR="005F6921" w:rsidRPr="00694ACA">
        <w:rPr>
          <w:lang w:val="ru-RU"/>
        </w:rPr>
        <w:t>семинары</w:t>
      </w:r>
      <w:r w:rsidRPr="00694ACA">
        <w:rPr>
          <w:lang w:val="ru-RU"/>
        </w:rPr>
        <w:t>, получить практические навыки использования программного обеспечения, необходимого для распределения спектра.</w:t>
      </w:r>
      <w:r w:rsidR="00A579EF">
        <w:rPr>
          <w:lang w:val="ru-RU"/>
        </w:rPr>
        <w:t xml:space="preserve"> </w:t>
      </w:r>
      <w:r w:rsidRPr="00694ACA">
        <w:rPr>
          <w:lang w:val="ru-RU"/>
        </w:rPr>
        <w:t>Дальнейшее обучение практическим навыкам может быть разработано как в очной, так и в онлайновой форме, а также может предусматривать использование видео и поддержку со стороны содействующей организации:</w:t>
      </w:r>
    </w:p>
    <w:p w14:paraId="78B6BDE1" w14:textId="77777777" w:rsidR="004B77F6" w:rsidRPr="00694ACA" w:rsidRDefault="004B77F6" w:rsidP="004B77F6">
      <w:pPr>
        <w:pStyle w:val="TOC9"/>
        <w:numPr>
          <w:ilvl w:val="1"/>
          <w:numId w:val="57"/>
        </w:numPr>
        <w:rPr>
          <w:lang w:val="ru-RU"/>
        </w:rPr>
      </w:pPr>
      <w:r w:rsidRPr="00694ACA">
        <w:rPr>
          <w:lang w:val="ru-RU"/>
        </w:rPr>
        <w:t>онлайновый практический курс по обеспечению успешного участия в Полномочных конференциях МСЭ (включая демонстрацию видеоматериалов, проведение ролевых игр, викторин);</w:t>
      </w:r>
    </w:p>
    <w:p w14:paraId="159F67FD" w14:textId="4795A24F" w:rsidR="004B77F6" w:rsidRPr="00694ACA" w:rsidRDefault="004B77F6" w:rsidP="004B77F6">
      <w:pPr>
        <w:pStyle w:val="TOC9"/>
        <w:rPr>
          <w:lang w:val="ru-RU"/>
        </w:rPr>
      </w:pPr>
      <w:r w:rsidRPr="00694ACA">
        <w:rPr>
          <w:i/>
          <w:lang w:val="ru-RU"/>
        </w:rPr>
        <w:t>онлайновые ресурсы (отрытые образовательные ресурсы в свободном доступе).</w:t>
      </w:r>
      <w:r w:rsidRPr="00694ACA">
        <w:rPr>
          <w:lang w:val="ru-RU"/>
        </w:rPr>
        <w:t xml:space="preserve"> МСЭ издает не только официальные, но и множество других публикаций.</w:t>
      </w:r>
      <w:r w:rsidR="00A579EF">
        <w:rPr>
          <w:lang w:val="ru-RU"/>
        </w:rPr>
        <w:t xml:space="preserve"> </w:t>
      </w:r>
      <w:r w:rsidRPr="00694ACA">
        <w:rPr>
          <w:lang w:val="ru-RU"/>
        </w:rPr>
        <w:t>Можно было бы подготовить краткие ознакомительные материалы с рекомендациями по использованию таких публикаций и на этой основе разработать полные курсы.</w:t>
      </w:r>
      <w:r w:rsidR="00A579EF">
        <w:rPr>
          <w:lang w:val="ru-RU"/>
        </w:rPr>
        <w:t xml:space="preserve"> </w:t>
      </w:r>
      <w:r w:rsidRPr="00694ACA">
        <w:rPr>
          <w:lang w:val="ru-RU"/>
        </w:rPr>
        <w:t>Ниже приведены примеры, основанные на недавних публикациях</w:t>
      </w:r>
      <w:r w:rsidR="008B728A" w:rsidRPr="00694ACA">
        <w:rPr>
          <w:rStyle w:val="FootnoteReference"/>
          <w:lang w:val="ru-RU"/>
        </w:rPr>
        <w:footnoteReference w:id="182"/>
      </w:r>
      <w:r w:rsidRPr="00694ACA">
        <w:rPr>
          <w:lang w:val="ru-RU"/>
        </w:rPr>
        <w:t>:</w:t>
      </w:r>
    </w:p>
    <w:p w14:paraId="1F650325" w14:textId="051ACB63" w:rsidR="004B77F6" w:rsidRPr="00694ACA" w:rsidRDefault="006E72AD" w:rsidP="004B77F6">
      <w:pPr>
        <w:pStyle w:val="TOC9"/>
        <w:numPr>
          <w:ilvl w:val="1"/>
          <w:numId w:val="57"/>
        </w:numPr>
        <w:rPr>
          <w:lang w:val="ru-RU"/>
        </w:rPr>
      </w:pPr>
      <w:r w:rsidRPr="00694ACA">
        <w:rPr>
          <w:lang w:val="ru-RU"/>
        </w:rPr>
        <w:t>"</w:t>
      </w:r>
      <w:r w:rsidR="004B77F6" w:rsidRPr="00694ACA">
        <w:rPr>
          <w:lang w:val="ru-RU"/>
        </w:rPr>
        <w:t>Как получить доступ к статистике МСЭ и как интерпретировать ее</w:t>
      </w:r>
      <w:r w:rsidRPr="00694ACA">
        <w:rPr>
          <w:lang w:val="ru-RU"/>
        </w:rPr>
        <w:t>"</w:t>
      </w:r>
      <w:r w:rsidR="004B77F6" w:rsidRPr="00694ACA">
        <w:rPr>
          <w:lang w:val="ru-RU"/>
        </w:rPr>
        <w:t>;</w:t>
      </w:r>
    </w:p>
    <w:p w14:paraId="013658B2" w14:textId="496E27F2" w:rsidR="004B77F6" w:rsidRPr="00694ACA" w:rsidRDefault="004B77F6" w:rsidP="004B77F6">
      <w:pPr>
        <w:pStyle w:val="TOC9"/>
        <w:numPr>
          <w:ilvl w:val="1"/>
          <w:numId w:val="57"/>
        </w:numPr>
        <w:rPr>
          <w:lang w:val="ru-RU"/>
        </w:rPr>
      </w:pPr>
      <w:r w:rsidRPr="00694ACA">
        <w:rPr>
          <w:lang w:val="ru-RU"/>
        </w:rPr>
        <w:lastRenderedPageBreak/>
        <w:t xml:space="preserve">ресурс по оценке подключения в условиях кризиса на основе отчета </w:t>
      </w:r>
      <w:r w:rsidR="006E72AD" w:rsidRPr="00694ACA">
        <w:rPr>
          <w:i/>
          <w:lang w:val="ru-RU"/>
        </w:rPr>
        <w:t>"</w:t>
      </w:r>
      <w:r w:rsidRPr="00694ACA">
        <w:rPr>
          <w:i/>
          <w:lang w:val="ru-RU"/>
        </w:rPr>
        <w:t>Оценка возможности установления цифрового соединения во время пандемии COVID-19</w:t>
      </w:r>
      <w:r w:rsidR="006E72AD" w:rsidRPr="00694ACA">
        <w:rPr>
          <w:i/>
          <w:lang w:val="ru-RU"/>
        </w:rPr>
        <w:t>"</w:t>
      </w:r>
      <w:r w:rsidRPr="00694ACA">
        <w:rPr>
          <w:rStyle w:val="FootnoteReference"/>
          <w:lang w:val="ru-RU"/>
        </w:rPr>
        <w:footnoteReference w:id="183"/>
      </w:r>
      <w:r w:rsidRPr="00694ACA">
        <w:rPr>
          <w:lang w:val="ru-RU"/>
        </w:rPr>
        <w:t>;</w:t>
      </w:r>
    </w:p>
    <w:p w14:paraId="1CF54543" w14:textId="4E78F3C9" w:rsidR="004B77F6" w:rsidRPr="00694ACA" w:rsidRDefault="004B77F6" w:rsidP="004B77F6">
      <w:pPr>
        <w:pStyle w:val="ListParagraph"/>
        <w:numPr>
          <w:ilvl w:val="1"/>
          <w:numId w:val="57"/>
        </w:numPr>
        <w:rPr>
          <w:lang w:val="ru-RU"/>
        </w:rPr>
      </w:pPr>
      <w:r w:rsidRPr="00694ACA">
        <w:rPr>
          <w:lang w:val="ru-RU"/>
        </w:rPr>
        <w:t xml:space="preserve">Ознакомительная информация и советы по совместному регулированию на основе отчета </w:t>
      </w:r>
      <w:r w:rsidR="006E72AD" w:rsidRPr="00694ACA">
        <w:rPr>
          <w:i/>
          <w:lang w:val="ru-RU"/>
        </w:rPr>
        <w:t>"</w:t>
      </w:r>
      <w:r w:rsidRPr="00694ACA">
        <w:rPr>
          <w:i/>
          <w:lang w:val="ru-RU"/>
        </w:rPr>
        <w:t>Глобальные регуляторные перспективы в области ИКТ – определение дальнейших шагов в направлении совместного регулирования, 2020 год</w:t>
      </w:r>
      <w:r w:rsidR="008B728A" w:rsidRPr="00694ACA">
        <w:rPr>
          <w:rStyle w:val="FootnoteReference"/>
          <w:lang w:val="ru-RU" w:eastAsia="en-GB"/>
        </w:rPr>
        <w:footnoteReference w:id="184"/>
      </w:r>
      <w:r w:rsidRPr="00694ACA">
        <w:rPr>
          <w:lang w:val="ru-RU"/>
        </w:rPr>
        <w:t>.</w:t>
      </w:r>
    </w:p>
    <w:p w14:paraId="1E152432" w14:textId="5B90CF06" w:rsidR="004B77F6" w:rsidRPr="00694ACA" w:rsidRDefault="004B77F6" w:rsidP="008B728A">
      <w:pPr>
        <w:spacing w:before="120"/>
        <w:ind w:left="-284" w:right="-472"/>
        <w:rPr>
          <w:lang w:val="ru-RU"/>
        </w:rPr>
      </w:pPr>
      <w:r w:rsidRPr="00694ACA">
        <w:rPr>
          <w:lang w:val="ru-RU"/>
        </w:rPr>
        <w:t xml:space="preserve">144. Ниже приведены два примера с кратким описанием процессов, через которые сотрудникам Института, вероятно, придется пройти при разработке такой </w:t>
      </w:r>
      <w:r w:rsidR="006E72AD" w:rsidRPr="00694ACA">
        <w:rPr>
          <w:lang w:val="ru-RU"/>
        </w:rPr>
        <w:t>"</w:t>
      </w:r>
      <w:r w:rsidRPr="00694ACA">
        <w:rPr>
          <w:lang w:val="ru-RU"/>
        </w:rPr>
        <w:t>продукции</w:t>
      </w:r>
      <w:r w:rsidR="006E72AD" w:rsidRPr="00694ACA">
        <w:rPr>
          <w:lang w:val="ru-RU"/>
        </w:rPr>
        <w:t>"</w:t>
      </w:r>
      <w:r w:rsidRPr="00694ACA">
        <w:rPr>
          <w:lang w:val="ru-RU"/>
        </w:rPr>
        <w:t>.</w:t>
      </w:r>
    </w:p>
    <w:tbl>
      <w:tblPr>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0"/>
      </w:tblGrid>
      <w:tr w:rsidR="004B77F6" w:rsidRPr="00D577E1" w14:paraId="0A7C3D52" w14:textId="77777777" w:rsidTr="00A105CB">
        <w:tc>
          <w:tcPr>
            <w:tcW w:w="9923" w:type="dxa"/>
            <w:tcBorders>
              <w:top w:val="single" w:sz="8" w:space="0" w:color="407C9B"/>
              <w:left w:val="nil"/>
              <w:bottom w:val="nil"/>
              <w:right w:val="nil"/>
            </w:tcBorders>
            <w:shd w:val="clear" w:color="auto" w:fill="407C9B"/>
            <w:tcMar>
              <w:top w:w="100" w:type="dxa"/>
              <w:left w:w="100" w:type="dxa"/>
              <w:bottom w:w="100" w:type="dxa"/>
              <w:right w:w="100" w:type="dxa"/>
            </w:tcMar>
            <w:hideMark/>
          </w:tcPr>
          <w:p w14:paraId="2C1A5D5B" w14:textId="396FEC72" w:rsidR="004B77F6" w:rsidRPr="00694ACA" w:rsidRDefault="004B77F6">
            <w:pPr>
              <w:spacing w:after="0" w:line="276" w:lineRule="auto"/>
              <w:rPr>
                <w:b/>
                <w:color w:val="FFFFFF"/>
                <w:sz w:val="21"/>
                <w:szCs w:val="21"/>
                <w:lang w:val="ru-RU"/>
              </w:rPr>
            </w:pPr>
            <w:r w:rsidRPr="00694ACA">
              <w:rPr>
                <w:b/>
                <w:color w:val="FFFFFF"/>
                <w:sz w:val="21"/>
                <w:lang w:val="ru-RU"/>
              </w:rPr>
              <w:t xml:space="preserve">Пример 1: действия в ответ на запрос БР о проведении обучения практическим навыкам </w:t>
            </w:r>
            <w:r w:rsidR="005F6921" w:rsidRPr="00694ACA">
              <w:rPr>
                <w:b/>
                <w:color w:val="FFFFFF"/>
                <w:sz w:val="21"/>
                <w:lang w:val="ru-RU"/>
              </w:rPr>
              <w:t>контроля за использованием</w:t>
            </w:r>
            <w:r w:rsidRPr="00694ACA">
              <w:rPr>
                <w:b/>
                <w:color w:val="FFFFFF"/>
                <w:sz w:val="21"/>
                <w:lang w:val="ru-RU"/>
              </w:rPr>
              <w:t xml:space="preserve"> спектра в Западной Африке</w:t>
            </w:r>
          </w:p>
        </w:tc>
      </w:tr>
      <w:tr w:rsidR="004B77F6" w:rsidRPr="00D577E1" w14:paraId="27563F58" w14:textId="77777777" w:rsidTr="00A105CB">
        <w:tc>
          <w:tcPr>
            <w:tcW w:w="9923" w:type="dxa"/>
            <w:tcBorders>
              <w:top w:val="nil"/>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vAlign w:val="bottom"/>
            <w:hideMark/>
          </w:tcPr>
          <w:p w14:paraId="5B493908" w14:textId="451D1B8A" w:rsidR="004B77F6" w:rsidRPr="00694ACA" w:rsidRDefault="004B77F6">
            <w:pPr>
              <w:spacing w:line="276" w:lineRule="auto"/>
              <w:rPr>
                <w:color w:val="407C9B"/>
                <w:szCs w:val="20"/>
                <w:lang w:val="ru-RU"/>
              </w:rPr>
            </w:pPr>
            <w:r w:rsidRPr="00694ACA">
              <w:rPr>
                <w:b/>
                <w:bCs/>
                <w:color w:val="407C9B"/>
                <w:lang w:val="ru-RU"/>
              </w:rPr>
              <w:t>Источник запроса</w:t>
            </w:r>
            <w:r w:rsidRPr="006679E4">
              <w:rPr>
                <w:color w:val="407C9B"/>
                <w:lang w:val="ru-RU"/>
              </w:rPr>
              <w:t xml:space="preserve">: </w:t>
            </w:r>
            <w:r w:rsidRPr="00694ACA">
              <w:rPr>
                <w:color w:val="407C9B"/>
                <w:lang w:val="ru-RU"/>
              </w:rPr>
              <w:t xml:space="preserve">БР установило наличие у членов организации в Западной Африке потребности в обучении навыкам работы с </w:t>
            </w:r>
            <w:r w:rsidR="005F6921" w:rsidRPr="00694ACA">
              <w:rPr>
                <w:color w:val="407C9B"/>
                <w:lang w:val="ru-RU"/>
              </w:rPr>
              <w:t xml:space="preserve">новейшим </w:t>
            </w:r>
            <w:r w:rsidRPr="00694ACA">
              <w:rPr>
                <w:color w:val="407C9B"/>
                <w:lang w:val="ru-RU"/>
              </w:rPr>
              <w:t xml:space="preserve">оборудованием для </w:t>
            </w:r>
            <w:r w:rsidR="005F6921" w:rsidRPr="00694ACA">
              <w:rPr>
                <w:color w:val="407C9B"/>
                <w:lang w:val="ru-RU"/>
              </w:rPr>
              <w:t xml:space="preserve">контроля за использованием </w:t>
            </w:r>
            <w:r w:rsidRPr="00694ACA">
              <w:rPr>
                <w:color w:val="407C9B"/>
                <w:lang w:val="ru-RU"/>
              </w:rPr>
              <w:t>спектра.</w:t>
            </w:r>
          </w:p>
          <w:p w14:paraId="231DDFFB" w14:textId="77777777" w:rsidR="004B77F6" w:rsidRPr="00694ACA" w:rsidRDefault="004B77F6">
            <w:pPr>
              <w:spacing w:line="276" w:lineRule="auto"/>
              <w:jc w:val="center"/>
              <w:rPr>
                <w:color w:val="407C9B"/>
                <w:szCs w:val="20"/>
                <w:lang w:val="ru-RU"/>
              </w:rPr>
            </w:pPr>
            <w:r w:rsidRPr="00694ACA">
              <w:rPr>
                <w:color w:val="407C9B"/>
                <w:szCs w:val="20"/>
                <w:lang w:val="ru-RU"/>
              </w:rPr>
              <w:sym w:font="Wingdings" w:char="F0EA"/>
            </w:r>
          </w:p>
          <w:p w14:paraId="4C2669EA" w14:textId="77777777" w:rsidR="004B77F6" w:rsidRPr="00694ACA" w:rsidRDefault="004B77F6">
            <w:pPr>
              <w:spacing w:line="276" w:lineRule="auto"/>
              <w:rPr>
                <w:color w:val="407C9B"/>
                <w:szCs w:val="20"/>
                <w:lang w:val="ru-RU"/>
              </w:rPr>
            </w:pPr>
            <w:r w:rsidRPr="00694ACA">
              <w:rPr>
                <w:b/>
                <w:bCs/>
                <w:color w:val="407C9B"/>
                <w:lang w:val="ru-RU"/>
              </w:rPr>
              <w:t>Анализ потребностей</w:t>
            </w:r>
            <w:r w:rsidRPr="006679E4">
              <w:rPr>
                <w:color w:val="407C9B"/>
                <w:lang w:val="ru-RU"/>
              </w:rPr>
              <w:t xml:space="preserve">: </w:t>
            </w:r>
            <w:r w:rsidRPr="00694ACA">
              <w:rPr>
                <w:color w:val="407C9B"/>
                <w:lang w:val="ru-RU"/>
              </w:rPr>
              <w:t>сотрудники Института обсуждают с соответствующими сотрудниками БР и членами МСЭ в регионах то, как точно определить существующие потребности, какие формы предоставления услуг являются предпочтительными, какой опыт был приобретен в прошлом, какой требуется уровень подготовки, какое количество лиц, вероятно, необходимо обучить, какой требуется объем финансирования, а также другую соответствующую информацию.</w:t>
            </w:r>
          </w:p>
          <w:p w14:paraId="78BA05A7" w14:textId="77777777" w:rsidR="004B77F6" w:rsidRPr="00694ACA" w:rsidRDefault="004B77F6">
            <w:pPr>
              <w:spacing w:line="276" w:lineRule="auto"/>
              <w:jc w:val="center"/>
              <w:rPr>
                <w:color w:val="407C9B"/>
                <w:szCs w:val="20"/>
                <w:lang w:val="ru-RU"/>
              </w:rPr>
            </w:pPr>
            <w:r w:rsidRPr="00694ACA">
              <w:rPr>
                <w:color w:val="407C9B"/>
                <w:szCs w:val="20"/>
                <w:lang w:val="ru-RU"/>
              </w:rPr>
              <w:sym w:font="Wingdings" w:char="F0EA"/>
            </w:r>
          </w:p>
          <w:p w14:paraId="1377DB18" w14:textId="77777777" w:rsidR="004B77F6" w:rsidRPr="00694ACA" w:rsidRDefault="004B77F6">
            <w:pPr>
              <w:spacing w:line="276" w:lineRule="auto"/>
              <w:rPr>
                <w:color w:val="407C9B"/>
                <w:szCs w:val="20"/>
                <w:lang w:val="ru-RU"/>
              </w:rPr>
            </w:pPr>
            <w:r w:rsidRPr="00694ACA">
              <w:rPr>
                <w:b/>
                <w:bCs/>
                <w:color w:val="407C9B"/>
                <w:lang w:val="ru-RU"/>
              </w:rPr>
              <w:t>Анализ существующей ситуации</w:t>
            </w:r>
            <w:r w:rsidRPr="00694ACA">
              <w:rPr>
                <w:color w:val="407C9B"/>
                <w:lang w:val="ru-RU"/>
              </w:rPr>
              <w:t>: анализ существующей в мире ситуации на предмет того, какие соответствующие курсы и материалы уже могут быть доступными; обсуждение с существующими поставщиками услуг.</w:t>
            </w:r>
          </w:p>
          <w:p w14:paraId="781CF245" w14:textId="77777777" w:rsidR="004B77F6" w:rsidRPr="00694ACA" w:rsidRDefault="004B77F6">
            <w:pPr>
              <w:spacing w:line="276" w:lineRule="auto"/>
              <w:jc w:val="center"/>
              <w:rPr>
                <w:color w:val="407C9B"/>
                <w:szCs w:val="20"/>
                <w:lang w:val="ru-RU"/>
              </w:rPr>
            </w:pPr>
            <w:r w:rsidRPr="00694ACA">
              <w:rPr>
                <w:color w:val="407C9B"/>
                <w:szCs w:val="20"/>
                <w:lang w:val="ru-RU"/>
              </w:rPr>
              <w:sym w:font="Wingdings" w:char="F0EA"/>
            </w:r>
          </w:p>
          <w:p w14:paraId="09873702" w14:textId="66239D83" w:rsidR="004B77F6" w:rsidRPr="00694ACA" w:rsidRDefault="004B77F6">
            <w:pPr>
              <w:spacing w:line="276" w:lineRule="auto"/>
              <w:rPr>
                <w:color w:val="407C9B"/>
                <w:szCs w:val="20"/>
                <w:lang w:val="ru-RU"/>
              </w:rPr>
            </w:pPr>
            <w:r w:rsidRPr="00694ACA">
              <w:rPr>
                <w:b/>
                <w:bCs/>
                <w:color w:val="407C9B"/>
                <w:lang w:val="ru-RU"/>
              </w:rPr>
              <w:t>Определение необходимого персонала</w:t>
            </w:r>
            <w:r w:rsidRPr="00694ACA">
              <w:rPr>
                <w:color w:val="407C9B"/>
                <w:lang w:val="ru-RU"/>
              </w:rPr>
              <w:t xml:space="preserve">: анализ показал, что в компании </w:t>
            </w:r>
            <w:proofErr w:type="spellStart"/>
            <w:r w:rsidRPr="00694ACA">
              <w:rPr>
                <w:color w:val="407C9B"/>
                <w:lang w:val="ru-RU"/>
              </w:rPr>
              <w:t>Rohde</w:t>
            </w:r>
            <w:proofErr w:type="spellEnd"/>
            <w:r w:rsidRPr="00694ACA">
              <w:rPr>
                <w:color w:val="407C9B"/>
                <w:lang w:val="ru-RU"/>
              </w:rPr>
              <w:t xml:space="preserve"> &amp; </w:t>
            </w:r>
            <w:proofErr w:type="spellStart"/>
            <w:r w:rsidRPr="00694ACA">
              <w:rPr>
                <w:color w:val="407C9B"/>
                <w:lang w:val="ru-RU"/>
              </w:rPr>
              <w:t>Schwarz</w:t>
            </w:r>
            <w:proofErr w:type="spellEnd"/>
            <w:r w:rsidRPr="00694ACA">
              <w:rPr>
                <w:color w:val="407C9B"/>
                <w:lang w:val="ru-RU"/>
              </w:rPr>
              <w:t xml:space="preserve"> (член МСЭ) уже прошла виртуальн</w:t>
            </w:r>
            <w:r w:rsidR="005F6921" w:rsidRPr="00694ACA">
              <w:rPr>
                <w:color w:val="407C9B"/>
                <w:lang w:val="ru-RU"/>
              </w:rPr>
              <w:t>ая</w:t>
            </w:r>
            <w:r w:rsidRPr="00694ACA">
              <w:rPr>
                <w:color w:val="407C9B"/>
                <w:lang w:val="ru-RU"/>
              </w:rPr>
              <w:t xml:space="preserve"> презентаци</w:t>
            </w:r>
            <w:r w:rsidR="005F6921" w:rsidRPr="00694ACA">
              <w:rPr>
                <w:color w:val="407C9B"/>
                <w:lang w:val="ru-RU"/>
              </w:rPr>
              <w:t>я</w:t>
            </w:r>
            <w:r w:rsidRPr="00694ACA">
              <w:rPr>
                <w:color w:val="407C9B"/>
                <w:lang w:val="ru-RU"/>
              </w:rPr>
              <w:t xml:space="preserve"> соответствующих услуг, и компания готова принять участие.</w:t>
            </w:r>
            <w:r w:rsidR="00A579EF">
              <w:rPr>
                <w:color w:val="407C9B"/>
                <w:lang w:val="ru-RU"/>
              </w:rPr>
              <w:t xml:space="preserve"> </w:t>
            </w:r>
            <w:r w:rsidRPr="00694ACA">
              <w:rPr>
                <w:color w:val="407C9B"/>
                <w:lang w:val="ru-RU"/>
              </w:rPr>
              <w:t>Рассмотрение возможности привлечения к работе дополнительных организаций, действующих на местном уровне в странах Западной Африки (как в англоязычных, так и во франкоязычных странах).</w:t>
            </w:r>
            <w:r w:rsidR="00A579EF">
              <w:rPr>
                <w:color w:val="407C9B"/>
                <w:lang w:val="ru-RU"/>
              </w:rPr>
              <w:t xml:space="preserve"> </w:t>
            </w:r>
            <w:r w:rsidRPr="00694ACA">
              <w:rPr>
                <w:color w:val="407C9B"/>
                <w:lang w:val="ru-RU"/>
              </w:rPr>
              <w:t>Обсуждение вопроса о том, желает ли БР принять непосредственное участие в разработке и реализации.</w:t>
            </w:r>
          </w:p>
          <w:p w14:paraId="2355F79C" w14:textId="77777777" w:rsidR="004B77F6" w:rsidRPr="00694ACA" w:rsidRDefault="004B77F6">
            <w:pPr>
              <w:spacing w:line="276" w:lineRule="auto"/>
              <w:jc w:val="center"/>
              <w:rPr>
                <w:color w:val="407C9B"/>
                <w:szCs w:val="20"/>
                <w:lang w:val="ru-RU"/>
              </w:rPr>
            </w:pPr>
            <w:r w:rsidRPr="00694ACA">
              <w:rPr>
                <w:color w:val="407C9B"/>
                <w:szCs w:val="20"/>
                <w:lang w:val="ru-RU"/>
              </w:rPr>
              <w:sym w:font="Wingdings" w:char="F0EA"/>
            </w:r>
          </w:p>
          <w:p w14:paraId="3408D1C5" w14:textId="5FF88DDA" w:rsidR="004B77F6" w:rsidRPr="00694ACA" w:rsidRDefault="004B77F6">
            <w:pPr>
              <w:spacing w:line="276" w:lineRule="auto"/>
              <w:rPr>
                <w:color w:val="407C9B"/>
                <w:szCs w:val="20"/>
                <w:lang w:val="ru-RU"/>
              </w:rPr>
            </w:pPr>
            <w:r w:rsidRPr="00694ACA">
              <w:rPr>
                <w:b/>
                <w:bCs/>
                <w:color w:val="407C9B"/>
                <w:lang w:val="ru-RU"/>
              </w:rPr>
              <w:t>Оптимальный механизм предоставления услуг</w:t>
            </w:r>
            <w:r w:rsidRPr="00694ACA">
              <w:rPr>
                <w:color w:val="407C9B"/>
                <w:lang w:val="ru-RU"/>
              </w:rPr>
              <w:t xml:space="preserve">: члены, представляющие страны Западной Африки, решительно выступают за очное обучение (ввиду необходимости проведения практических занятий, а также учитывая то, что некоторые участники имеют ограниченные возможности для установления соединений, в частности в Нигере и Мали) и готовы покрыть местные расходы </w:t>
            </w:r>
            <w:r w:rsidR="005F6921" w:rsidRPr="00694ACA">
              <w:rPr>
                <w:color w:val="407C9B"/>
                <w:lang w:val="ru-RU"/>
              </w:rPr>
              <w:t>инструкторов</w:t>
            </w:r>
            <w:r w:rsidRPr="00694ACA">
              <w:rPr>
                <w:color w:val="407C9B"/>
                <w:lang w:val="ru-RU"/>
              </w:rPr>
              <w:t xml:space="preserve"> (вероятно, будет решено организовать мероприятия для франкоязычных участников в Абиджане, а для англоязычных — в Аккре).</w:t>
            </w:r>
          </w:p>
          <w:p w14:paraId="516451F3" w14:textId="77777777" w:rsidR="004B77F6" w:rsidRPr="00694ACA" w:rsidRDefault="004B77F6">
            <w:pPr>
              <w:spacing w:line="276" w:lineRule="auto"/>
              <w:jc w:val="center"/>
              <w:rPr>
                <w:color w:val="407C9B"/>
                <w:szCs w:val="20"/>
                <w:lang w:val="ru-RU"/>
              </w:rPr>
            </w:pPr>
            <w:r w:rsidRPr="00694ACA">
              <w:rPr>
                <w:color w:val="407C9B"/>
                <w:szCs w:val="20"/>
                <w:lang w:val="ru-RU"/>
              </w:rPr>
              <w:sym w:font="Wingdings" w:char="F0EA"/>
            </w:r>
          </w:p>
          <w:p w14:paraId="10A8B9E3" w14:textId="77777777" w:rsidR="004B77F6" w:rsidRPr="00694ACA" w:rsidRDefault="004B77F6">
            <w:pPr>
              <w:spacing w:line="276" w:lineRule="auto"/>
              <w:rPr>
                <w:color w:val="407C9B"/>
                <w:szCs w:val="20"/>
                <w:lang w:val="ru-RU"/>
              </w:rPr>
            </w:pPr>
            <w:r w:rsidRPr="00694ACA">
              <w:rPr>
                <w:b/>
                <w:bCs/>
                <w:color w:val="407C9B"/>
                <w:lang w:val="ru-RU"/>
              </w:rPr>
              <w:t>Разработка контента</w:t>
            </w:r>
            <w:r w:rsidRPr="00694ACA">
              <w:rPr>
                <w:color w:val="407C9B"/>
                <w:lang w:val="ru-RU"/>
              </w:rPr>
              <w:t xml:space="preserve">: Подразделение взаимодействует с БР и членами (включая </w:t>
            </w:r>
            <w:proofErr w:type="spellStart"/>
            <w:r w:rsidRPr="00694ACA">
              <w:rPr>
                <w:color w:val="407C9B"/>
                <w:lang w:val="ru-RU"/>
              </w:rPr>
              <w:t>Rohde</w:t>
            </w:r>
            <w:proofErr w:type="spellEnd"/>
            <w:r w:rsidRPr="00694ACA">
              <w:rPr>
                <w:color w:val="407C9B"/>
                <w:lang w:val="ru-RU"/>
              </w:rPr>
              <w:t xml:space="preserve"> &amp; </w:t>
            </w:r>
            <w:proofErr w:type="spellStart"/>
            <w:r w:rsidRPr="00694ACA">
              <w:rPr>
                <w:color w:val="407C9B"/>
                <w:lang w:val="ru-RU"/>
              </w:rPr>
              <w:t>Schwarz</w:t>
            </w:r>
            <w:proofErr w:type="spellEnd"/>
            <w:r w:rsidRPr="00694ACA">
              <w:rPr>
                <w:color w:val="407C9B"/>
                <w:lang w:val="ru-RU"/>
              </w:rPr>
              <w:t>), в том числе с миссиями ПРООН в Кот-д'Ивуаре и Гане, для разработки материалов с учетом особенностей Западной Африки.</w:t>
            </w:r>
          </w:p>
          <w:p w14:paraId="33EFEE71" w14:textId="77777777" w:rsidR="004B77F6" w:rsidRPr="00694ACA" w:rsidRDefault="004B77F6">
            <w:pPr>
              <w:spacing w:line="276" w:lineRule="auto"/>
              <w:jc w:val="center"/>
              <w:rPr>
                <w:color w:val="407C9B"/>
                <w:szCs w:val="20"/>
                <w:lang w:val="ru-RU"/>
              </w:rPr>
            </w:pPr>
            <w:r w:rsidRPr="00694ACA">
              <w:rPr>
                <w:color w:val="407C9B"/>
                <w:szCs w:val="20"/>
                <w:lang w:val="ru-RU"/>
              </w:rPr>
              <w:lastRenderedPageBreak/>
              <w:sym w:font="Wingdings" w:char="F0EA"/>
            </w:r>
          </w:p>
          <w:p w14:paraId="169B28A4" w14:textId="68F9D6E6" w:rsidR="004B77F6" w:rsidRPr="00694ACA" w:rsidRDefault="004B77F6">
            <w:pPr>
              <w:spacing w:line="276" w:lineRule="auto"/>
              <w:rPr>
                <w:color w:val="407C9B"/>
                <w:szCs w:val="20"/>
                <w:lang w:val="ru-RU"/>
              </w:rPr>
            </w:pPr>
            <w:r w:rsidRPr="00694ACA">
              <w:rPr>
                <w:b/>
                <w:bCs/>
                <w:color w:val="407C9B"/>
                <w:lang w:val="ru-RU"/>
              </w:rPr>
              <w:t>Обеспечение качества</w:t>
            </w:r>
            <w:r w:rsidRPr="00694ACA">
              <w:rPr>
                <w:color w:val="407C9B"/>
                <w:lang w:val="ru-RU"/>
              </w:rPr>
              <w:t>: материалы и формы проведения курсов подвергаются внутреннему контролю качества (также с участием БР) и впоследствии пересматриваются.</w:t>
            </w:r>
            <w:r w:rsidR="00A579EF">
              <w:rPr>
                <w:color w:val="407C9B"/>
                <w:lang w:val="ru-RU"/>
              </w:rPr>
              <w:t xml:space="preserve"> </w:t>
            </w:r>
            <w:r w:rsidRPr="00694ACA">
              <w:rPr>
                <w:color w:val="407C9B"/>
                <w:lang w:val="ru-RU"/>
              </w:rPr>
              <w:t>Обеспечение качества также предусматривает оценку программы после ее завершения.</w:t>
            </w:r>
          </w:p>
          <w:p w14:paraId="5972C8E9" w14:textId="77777777" w:rsidR="004B77F6" w:rsidRPr="00694ACA" w:rsidRDefault="004B77F6">
            <w:pPr>
              <w:spacing w:line="276" w:lineRule="auto"/>
              <w:jc w:val="center"/>
              <w:rPr>
                <w:color w:val="407C9B"/>
                <w:szCs w:val="20"/>
                <w:lang w:val="ru-RU"/>
              </w:rPr>
            </w:pPr>
            <w:r w:rsidRPr="00694ACA">
              <w:rPr>
                <w:color w:val="407C9B"/>
                <w:szCs w:val="20"/>
                <w:lang w:val="ru-RU"/>
              </w:rPr>
              <w:sym w:font="Wingdings" w:char="F0EA"/>
            </w:r>
          </w:p>
          <w:p w14:paraId="2392685D" w14:textId="77777777" w:rsidR="004B77F6" w:rsidRPr="00694ACA" w:rsidRDefault="004B77F6">
            <w:pPr>
              <w:spacing w:line="276" w:lineRule="auto"/>
              <w:rPr>
                <w:color w:val="407C9B"/>
                <w:szCs w:val="20"/>
                <w:lang w:val="ru-RU"/>
              </w:rPr>
            </w:pPr>
            <w:r w:rsidRPr="00694ACA">
              <w:rPr>
                <w:b/>
                <w:bCs/>
                <w:color w:val="407C9B"/>
                <w:lang w:val="ru-RU"/>
              </w:rPr>
              <w:t>Маркетинг</w:t>
            </w:r>
            <w:r w:rsidRPr="00694ACA">
              <w:rPr>
                <w:color w:val="407C9B"/>
                <w:lang w:val="ru-RU"/>
              </w:rPr>
              <w:t>: Подразделение взаимодействует с членами для привлечения участников (некоторые из которых не будут членами МСЭ и должны будут заплатить и таким образом покрыть часть расходов).</w:t>
            </w:r>
          </w:p>
          <w:p w14:paraId="42BA89D5" w14:textId="77777777" w:rsidR="004B77F6" w:rsidRPr="00694ACA" w:rsidRDefault="004B77F6">
            <w:pPr>
              <w:spacing w:line="276" w:lineRule="auto"/>
              <w:jc w:val="center"/>
              <w:rPr>
                <w:color w:val="407C9B"/>
                <w:szCs w:val="20"/>
                <w:lang w:val="ru-RU"/>
              </w:rPr>
            </w:pPr>
            <w:r w:rsidRPr="00694ACA">
              <w:rPr>
                <w:color w:val="407C9B"/>
                <w:szCs w:val="20"/>
                <w:lang w:val="ru-RU"/>
              </w:rPr>
              <w:sym w:font="Wingdings" w:char="F0EA"/>
            </w:r>
          </w:p>
          <w:p w14:paraId="09468640" w14:textId="77777777" w:rsidR="004B77F6" w:rsidRPr="00694ACA" w:rsidRDefault="004B77F6">
            <w:pPr>
              <w:spacing w:line="276" w:lineRule="auto"/>
              <w:rPr>
                <w:color w:val="407C9B"/>
                <w:szCs w:val="20"/>
                <w:lang w:val="ru-RU"/>
              </w:rPr>
            </w:pPr>
            <w:r w:rsidRPr="00694ACA">
              <w:rPr>
                <w:b/>
                <w:bCs/>
                <w:color w:val="407C9B"/>
                <w:lang w:val="ru-RU"/>
              </w:rPr>
              <w:t>Реализация</w:t>
            </w:r>
            <w:r w:rsidRPr="00694ACA">
              <w:rPr>
                <w:color w:val="407C9B"/>
                <w:lang w:val="ru-RU"/>
              </w:rPr>
              <w:t>: в соответствии с запросом два трехдневных семинара-практикума будут проведены в офисах ПРООН в Аккре и Абиджане (при этом будет вестись запись соответствующих компонентов).</w:t>
            </w:r>
          </w:p>
          <w:p w14:paraId="7198FEDE" w14:textId="77777777" w:rsidR="004B77F6" w:rsidRPr="00694ACA" w:rsidRDefault="004B77F6">
            <w:pPr>
              <w:spacing w:line="276" w:lineRule="auto"/>
              <w:jc w:val="center"/>
              <w:rPr>
                <w:color w:val="407C9B"/>
                <w:szCs w:val="20"/>
                <w:lang w:val="ru-RU"/>
              </w:rPr>
            </w:pPr>
            <w:r w:rsidRPr="00694ACA">
              <w:rPr>
                <w:color w:val="407C9B"/>
                <w:szCs w:val="20"/>
                <w:lang w:val="ru-RU"/>
              </w:rPr>
              <w:sym w:font="Wingdings" w:char="F0EA"/>
            </w:r>
          </w:p>
          <w:p w14:paraId="15767EA4" w14:textId="0AE6A274" w:rsidR="004B77F6" w:rsidRPr="00694ACA" w:rsidRDefault="004B77F6">
            <w:pPr>
              <w:spacing w:line="276" w:lineRule="auto"/>
              <w:rPr>
                <w:color w:val="407C9B"/>
                <w:szCs w:val="20"/>
                <w:lang w:val="ru-RU"/>
              </w:rPr>
            </w:pPr>
            <w:r w:rsidRPr="00694ACA">
              <w:rPr>
                <w:b/>
                <w:bCs/>
                <w:color w:val="407C9B"/>
                <w:lang w:val="ru-RU"/>
              </w:rPr>
              <w:t>Варианты переориентации</w:t>
            </w:r>
            <w:r w:rsidRPr="00694ACA">
              <w:rPr>
                <w:color w:val="407C9B"/>
                <w:lang w:val="ru-RU"/>
              </w:rPr>
              <w:t xml:space="preserve">: рассмотрение и согласование членами команды значимости превращения такого </w:t>
            </w:r>
            <w:r w:rsidR="00B4758B" w:rsidRPr="00694ACA">
              <w:rPr>
                <w:color w:val="407C9B"/>
                <w:lang w:val="ru-RU"/>
              </w:rPr>
              <w:t xml:space="preserve">учебного занятия </w:t>
            </w:r>
            <w:r w:rsidRPr="00694ACA">
              <w:rPr>
                <w:color w:val="407C9B"/>
                <w:lang w:val="ru-RU"/>
              </w:rPr>
              <w:t>в базовый бесплатный онлайновый ресурс Академии МСЭ для самостоятельного обучения (с использованием видеоматериалов, указанных выше).</w:t>
            </w:r>
            <w:r w:rsidR="00A579EF">
              <w:rPr>
                <w:color w:val="407C9B"/>
                <w:lang w:val="ru-RU"/>
              </w:rPr>
              <w:t xml:space="preserve"> </w:t>
            </w:r>
            <w:proofErr w:type="spellStart"/>
            <w:r w:rsidRPr="00694ACA">
              <w:rPr>
                <w:color w:val="407C9B"/>
                <w:lang w:val="ru-RU"/>
              </w:rPr>
              <w:t>Контекстуализация</w:t>
            </w:r>
            <w:proofErr w:type="spellEnd"/>
            <w:r w:rsidRPr="00694ACA">
              <w:rPr>
                <w:color w:val="407C9B"/>
                <w:lang w:val="ru-RU"/>
              </w:rPr>
              <w:t xml:space="preserve"> с учетом местных особенностей (включая язык и изображения) была проведена по согласованию с БР там, где это было наиболее необходимо.</w:t>
            </w:r>
          </w:p>
          <w:p w14:paraId="7DE513F2" w14:textId="77777777" w:rsidR="004B77F6" w:rsidRPr="00694ACA" w:rsidRDefault="004B77F6">
            <w:pPr>
              <w:spacing w:line="276" w:lineRule="auto"/>
              <w:jc w:val="center"/>
              <w:rPr>
                <w:color w:val="407C9B"/>
                <w:szCs w:val="20"/>
                <w:lang w:val="ru-RU"/>
              </w:rPr>
            </w:pPr>
            <w:r w:rsidRPr="00694ACA">
              <w:rPr>
                <w:color w:val="407C9B"/>
                <w:szCs w:val="20"/>
                <w:lang w:val="ru-RU"/>
              </w:rPr>
              <w:sym w:font="Wingdings" w:char="F0EA"/>
            </w:r>
          </w:p>
          <w:p w14:paraId="583B17DC" w14:textId="77777777" w:rsidR="004B77F6" w:rsidRPr="00694ACA" w:rsidRDefault="004B77F6">
            <w:pPr>
              <w:spacing w:line="276" w:lineRule="auto"/>
              <w:rPr>
                <w:color w:val="407C9B"/>
                <w:szCs w:val="20"/>
                <w:lang w:val="ru-RU"/>
              </w:rPr>
            </w:pPr>
            <w:r w:rsidRPr="00694ACA">
              <w:rPr>
                <w:b/>
                <w:bCs/>
                <w:color w:val="407C9B"/>
                <w:lang w:val="ru-RU"/>
              </w:rPr>
              <w:t>Возмещение затрат</w:t>
            </w:r>
            <w:r w:rsidRPr="00694ACA">
              <w:rPr>
                <w:color w:val="407C9B"/>
                <w:lang w:val="ru-RU"/>
              </w:rPr>
              <w:t xml:space="preserve">: на ранних этапах была согласована структура – бесплатные услуги для членов (в рамках их членства), Кот-д'Ивуар и Гана покрывают расходы на местном уровне, ПРООН оказывает содействие финансированию расходов на местном уровне (и предоставляет бесплатные консультации), дополнительные участники вносят свой вклад в финансирование расходов, 50 % рабочего времени обеспечивается за счет Подразделения, БР предоставляет некоторое финансирование, </w:t>
            </w:r>
            <w:proofErr w:type="spellStart"/>
            <w:r w:rsidRPr="00694ACA">
              <w:rPr>
                <w:color w:val="407C9B"/>
                <w:lang w:val="ru-RU"/>
              </w:rPr>
              <w:t>Rohde</w:t>
            </w:r>
            <w:proofErr w:type="spellEnd"/>
            <w:r w:rsidRPr="00694ACA">
              <w:rPr>
                <w:color w:val="407C9B"/>
                <w:lang w:val="ru-RU"/>
              </w:rPr>
              <w:t xml:space="preserve"> &amp; </w:t>
            </w:r>
            <w:proofErr w:type="spellStart"/>
            <w:r w:rsidRPr="00694ACA">
              <w:rPr>
                <w:color w:val="407C9B"/>
                <w:lang w:val="ru-RU"/>
              </w:rPr>
              <w:t>Schwarz</w:t>
            </w:r>
            <w:proofErr w:type="spellEnd"/>
            <w:r w:rsidRPr="00694ACA">
              <w:rPr>
                <w:color w:val="407C9B"/>
                <w:lang w:val="ru-RU"/>
              </w:rPr>
              <w:t xml:space="preserve"> предоставляет свои услуги бесплатно.</w:t>
            </w:r>
          </w:p>
          <w:p w14:paraId="6E0F30F4" w14:textId="77777777" w:rsidR="004B77F6" w:rsidRPr="00694ACA" w:rsidRDefault="004B77F6">
            <w:pPr>
              <w:spacing w:line="276" w:lineRule="auto"/>
              <w:jc w:val="center"/>
              <w:rPr>
                <w:color w:val="407C9B"/>
                <w:szCs w:val="20"/>
                <w:lang w:val="ru-RU"/>
              </w:rPr>
            </w:pPr>
            <w:r w:rsidRPr="00694ACA">
              <w:rPr>
                <w:color w:val="407C9B"/>
                <w:szCs w:val="20"/>
                <w:lang w:val="ru-RU"/>
              </w:rPr>
              <w:sym w:font="Wingdings" w:char="F0EA"/>
            </w:r>
          </w:p>
          <w:p w14:paraId="57D5FF45" w14:textId="77777777" w:rsidR="004B77F6" w:rsidRPr="00694ACA" w:rsidRDefault="004B77F6">
            <w:pPr>
              <w:spacing w:line="276" w:lineRule="auto"/>
              <w:rPr>
                <w:color w:val="407C9B"/>
                <w:szCs w:val="20"/>
                <w:lang w:val="ru-RU"/>
              </w:rPr>
            </w:pPr>
            <w:r w:rsidRPr="00694ACA">
              <w:rPr>
                <w:b/>
                <w:bCs/>
                <w:color w:val="407C9B"/>
                <w:lang w:val="ru-RU"/>
              </w:rPr>
              <w:t>Управление действиями выпускников</w:t>
            </w:r>
            <w:r w:rsidRPr="00694ACA">
              <w:rPr>
                <w:color w:val="407C9B"/>
                <w:lang w:val="ru-RU"/>
              </w:rPr>
              <w:t>: участникам необходимо предоставить свою контактную информацию и предложить присоединиться к группе выпускников; с ними необходимо связаться спустя 3 месяца, 6 месяцев и 1 год, с тем чтобы узнать, какую пользу они извлекли из пройденного обучения, а также получить их предложения и замечания относительно того, как программу обучения можно улучшить в будущем.</w:t>
            </w:r>
          </w:p>
          <w:p w14:paraId="47AED302" w14:textId="77777777" w:rsidR="004B77F6" w:rsidRPr="00694ACA" w:rsidRDefault="004B77F6">
            <w:pPr>
              <w:spacing w:line="276" w:lineRule="auto"/>
              <w:jc w:val="center"/>
              <w:rPr>
                <w:color w:val="407C9B"/>
                <w:szCs w:val="20"/>
                <w:lang w:val="ru-RU"/>
              </w:rPr>
            </w:pPr>
            <w:r w:rsidRPr="00694ACA">
              <w:rPr>
                <w:color w:val="407C9B"/>
                <w:szCs w:val="20"/>
                <w:lang w:val="ru-RU"/>
              </w:rPr>
              <w:sym w:font="Wingdings" w:char="F0EA"/>
            </w:r>
          </w:p>
          <w:p w14:paraId="18E1BE82" w14:textId="77777777" w:rsidR="004B77F6" w:rsidRPr="00694ACA" w:rsidRDefault="004B77F6">
            <w:pPr>
              <w:spacing w:line="276" w:lineRule="auto"/>
              <w:rPr>
                <w:lang w:val="ru-RU"/>
              </w:rPr>
            </w:pPr>
            <w:r w:rsidRPr="00694ACA">
              <w:rPr>
                <w:b/>
                <w:bCs/>
                <w:color w:val="407C9B"/>
                <w:lang w:val="ru-RU"/>
              </w:rPr>
              <w:t>Внутренний контроль</w:t>
            </w:r>
            <w:r w:rsidRPr="00694ACA">
              <w:rPr>
                <w:color w:val="407C9B"/>
                <w:lang w:val="ru-RU"/>
              </w:rPr>
              <w:t>: вопрос обучения рассматривается на ближайшем ежеквартальном собрании Подразделения.</w:t>
            </w:r>
          </w:p>
        </w:tc>
      </w:tr>
    </w:tbl>
    <w:p w14:paraId="32C8DCB3" w14:textId="77777777" w:rsidR="004B77F6" w:rsidRPr="00694ACA" w:rsidRDefault="004B77F6" w:rsidP="00A105CB">
      <w:pPr>
        <w:ind w:left="-284" w:right="-472"/>
        <w:rPr>
          <w:lang w:val="ru-RU"/>
        </w:rPr>
      </w:pPr>
    </w:p>
    <w:tbl>
      <w:tblPr>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0"/>
      </w:tblGrid>
      <w:tr w:rsidR="004B77F6" w:rsidRPr="00D577E1" w14:paraId="28B95FE9" w14:textId="77777777" w:rsidTr="00A105CB">
        <w:tc>
          <w:tcPr>
            <w:tcW w:w="9923" w:type="dxa"/>
            <w:tcBorders>
              <w:top w:val="single" w:sz="8" w:space="0" w:color="407C9B"/>
              <w:left w:val="nil"/>
              <w:bottom w:val="nil"/>
              <w:right w:val="nil"/>
            </w:tcBorders>
            <w:shd w:val="clear" w:color="auto" w:fill="407C9B"/>
            <w:tcMar>
              <w:top w:w="100" w:type="dxa"/>
              <w:left w:w="100" w:type="dxa"/>
              <w:bottom w:w="100" w:type="dxa"/>
              <w:right w:w="100" w:type="dxa"/>
            </w:tcMar>
            <w:hideMark/>
          </w:tcPr>
          <w:p w14:paraId="5EC78EAD" w14:textId="77777777" w:rsidR="004B77F6" w:rsidRPr="00694ACA" w:rsidRDefault="004B77F6">
            <w:pPr>
              <w:spacing w:after="0" w:line="276" w:lineRule="auto"/>
              <w:rPr>
                <w:b/>
                <w:color w:val="FFFFFF"/>
                <w:sz w:val="21"/>
                <w:szCs w:val="21"/>
                <w:lang w:val="ru-RU"/>
              </w:rPr>
            </w:pPr>
            <w:r w:rsidRPr="00694ACA">
              <w:rPr>
                <w:b/>
                <w:color w:val="FFFFFF"/>
                <w:sz w:val="21"/>
                <w:lang w:val="ru-RU"/>
              </w:rPr>
              <w:t xml:space="preserve">Пример 2: учет интересов СИДС: изменение структуры субъектов и объектов деятельности в области развития потенциала и профессиональной подготовки </w:t>
            </w:r>
          </w:p>
        </w:tc>
      </w:tr>
      <w:tr w:rsidR="004B77F6" w:rsidRPr="00D577E1" w14:paraId="766A868D" w14:textId="77777777" w:rsidTr="00A105CB">
        <w:tc>
          <w:tcPr>
            <w:tcW w:w="9923" w:type="dxa"/>
            <w:tcBorders>
              <w:top w:val="nil"/>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vAlign w:val="bottom"/>
            <w:hideMark/>
          </w:tcPr>
          <w:p w14:paraId="6AA1380C" w14:textId="2521B06D" w:rsidR="004B77F6" w:rsidRPr="00694ACA" w:rsidRDefault="004B77F6">
            <w:pPr>
              <w:spacing w:line="276" w:lineRule="auto"/>
              <w:rPr>
                <w:color w:val="407C9B"/>
                <w:szCs w:val="20"/>
                <w:lang w:val="ru-RU"/>
              </w:rPr>
            </w:pPr>
            <w:r w:rsidRPr="00694ACA">
              <w:rPr>
                <w:b/>
                <w:bCs/>
                <w:color w:val="407C9B"/>
                <w:lang w:val="ru-RU"/>
              </w:rPr>
              <w:t>Источник запроса</w:t>
            </w:r>
            <w:r w:rsidRPr="006679E4">
              <w:rPr>
                <w:color w:val="407C9B"/>
                <w:lang w:val="ru-RU"/>
              </w:rPr>
              <w:t xml:space="preserve">: </w:t>
            </w:r>
            <w:r w:rsidRPr="00694ACA">
              <w:rPr>
                <w:color w:val="407C9B"/>
                <w:lang w:val="ru-RU"/>
              </w:rPr>
              <w:t>по результатам посвященного вопросам СИДС собрания, прошедшего в рамках ВВУИО 2021</w:t>
            </w:r>
            <w:r w:rsidR="00CE7628" w:rsidRPr="00694ACA">
              <w:rPr>
                <w:color w:val="407C9B"/>
                <w:lang w:val="ru-RU"/>
              </w:rPr>
              <w:t xml:space="preserve"> года</w:t>
            </w:r>
            <w:r w:rsidRPr="00694ACA">
              <w:rPr>
                <w:color w:val="407C9B"/>
                <w:lang w:val="ru-RU"/>
              </w:rPr>
              <w:t xml:space="preserve">, представители правительств трех тихоокеанских и одного карибского островных государств обратились с просьбой помочь им в реализации кардинально новой формы развития потенциала компаний частного сектора, </w:t>
            </w:r>
            <w:r w:rsidRPr="00694ACA">
              <w:rPr>
                <w:color w:val="407C9B"/>
                <w:lang w:val="ru-RU"/>
              </w:rPr>
              <w:lastRenderedPageBreak/>
              <w:t>с тем чтобы помочь этим компаниям лучше понять принципы работы и удовлетворения потребностей людей, живущих на территории СИДС.</w:t>
            </w:r>
          </w:p>
          <w:p w14:paraId="45F00C5C" w14:textId="77777777" w:rsidR="004B77F6" w:rsidRPr="00694ACA" w:rsidRDefault="004B77F6">
            <w:pPr>
              <w:spacing w:line="276" w:lineRule="auto"/>
              <w:jc w:val="center"/>
              <w:rPr>
                <w:color w:val="407C9B"/>
                <w:szCs w:val="20"/>
                <w:lang w:val="ru-RU"/>
              </w:rPr>
            </w:pPr>
            <w:r w:rsidRPr="00694ACA">
              <w:rPr>
                <w:color w:val="407C9B"/>
                <w:szCs w:val="20"/>
                <w:lang w:val="ru-RU"/>
              </w:rPr>
              <w:sym w:font="Wingdings" w:char="F0EA"/>
            </w:r>
          </w:p>
          <w:p w14:paraId="251703C2" w14:textId="6B0A4FF3" w:rsidR="004B77F6" w:rsidRPr="00694ACA" w:rsidRDefault="004B77F6">
            <w:pPr>
              <w:spacing w:line="276" w:lineRule="auto"/>
              <w:rPr>
                <w:color w:val="407C9B"/>
                <w:szCs w:val="20"/>
                <w:lang w:val="ru-RU"/>
              </w:rPr>
            </w:pPr>
            <w:r w:rsidRPr="00694ACA">
              <w:rPr>
                <w:b/>
                <w:bCs/>
                <w:color w:val="407C9B"/>
                <w:lang w:val="ru-RU"/>
              </w:rPr>
              <w:t>Анализ потребностей</w:t>
            </w:r>
            <w:r w:rsidRPr="006679E4">
              <w:rPr>
                <w:color w:val="407C9B"/>
                <w:lang w:val="ru-RU"/>
              </w:rPr>
              <w:t>:</w:t>
            </w:r>
            <w:r w:rsidRPr="00694ACA">
              <w:rPr>
                <w:color w:val="407C9B"/>
                <w:lang w:val="ru-RU"/>
              </w:rPr>
              <w:t xml:space="preserve"> сотрудники Подразделения проводят ряд встреч с представителями других СИДС для подробного обсуждения и определения конкретных вопросов, которые они хотят решить, соответствующей целевой аудитории и механизма работы.</w:t>
            </w:r>
            <w:r w:rsidR="00A579EF">
              <w:rPr>
                <w:color w:val="407C9B"/>
                <w:lang w:val="ru-RU"/>
              </w:rPr>
              <w:t xml:space="preserve"> </w:t>
            </w:r>
            <w:r w:rsidRPr="00694ACA">
              <w:rPr>
                <w:color w:val="407C9B"/>
                <w:lang w:val="ru-RU"/>
              </w:rPr>
              <w:t>Также проводятся переговоры с потенциальными компаниями Членов Секторов, с тем чтобы определить возможную степень их заинтересованности.</w:t>
            </w:r>
            <w:r w:rsidR="00A579EF">
              <w:rPr>
                <w:color w:val="407C9B"/>
                <w:lang w:val="ru-RU"/>
              </w:rPr>
              <w:t xml:space="preserve"> </w:t>
            </w:r>
            <w:r w:rsidRPr="00694ACA">
              <w:rPr>
                <w:color w:val="407C9B"/>
                <w:lang w:val="ru-RU"/>
              </w:rPr>
              <w:t>Было принято решение о том, что основные усилия необходимо направить на предоставление государственных услуг, особенно в сфере здравоохранения и образования, с использованием цифровых технологий.</w:t>
            </w:r>
          </w:p>
          <w:p w14:paraId="7EF7F740" w14:textId="77777777" w:rsidR="004B77F6" w:rsidRPr="00694ACA" w:rsidRDefault="004B77F6">
            <w:pPr>
              <w:spacing w:line="276" w:lineRule="auto"/>
              <w:jc w:val="center"/>
              <w:rPr>
                <w:color w:val="407C9B"/>
                <w:szCs w:val="20"/>
                <w:lang w:val="ru-RU"/>
              </w:rPr>
            </w:pPr>
            <w:r w:rsidRPr="00694ACA">
              <w:rPr>
                <w:color w:val="407C9B"/>
                <w:szCs w:val="20"/>
                <w:lang w:val="ru-RU"/>
              </w:rPr>
              <w:sym w:font="Wingdings" w:char="F0EA"/>
            </w:r>
          </w:p>
          <w:p w14:paraId="09D540EC" w14:textId="77777777" w:rsidR="004B77F6" w:rsidRPr="00694ACA" w:rsidRDefault="004B77F6">
            <w:pPr>
              <w:spacing w:line="276" w:lineRule="auto"/>
              <w:rPr>
                <w:color w:val="407C9B"/>
                <w:szCs w:val="20"/>
                <w:lang w:val="ru-RU"/>
              </w:rPr>
            </w:pPr>
            <w:r w:rsidRPr="00694ACA">
              <w:rPr>
                <w:b/>
                <w:bCs/>
                <w:color w:val="407C9B"/>
                <w:lang w:val="ru-RU"/>
              </w:rPr>
              <w:t>Анализ существующей ситуации</w:t>
            </w:r>
            <w:r w:rsidRPr="006679E4">
              <w:rPr>
                <w:color w:val="407C9B"/>
                <w:lang w:val="ru-RU"/>
              </w:rPr>
              <w:t>:</w:t>
            </w:r>
            <w:r w:rsidRPr="00694ACA">
              <w:rPr>
                <w:color w:val="407C9B"/>
                <w:lang w:val="ru-RU"/>
              </w:rPr>
              <w:t xml:space="preserve"> поверхностный анализ показывает, что ранее такая работа практически не проводилась и это может оказаться первым из цикла новых учебных мероприятий, проведенных теми, на кого преимущественно и были направлены учебные мероприятия в прошлом, что изменит традиционную структуру взаимоотношений в рамках деятельности по развитию потенциала. </w:t>
            </w:r>
          </w:p>
          <w:p w14:paraId="55285C26" w14:textId="77777777" w:rsidR="004B77F6" w:rsidRPr="00694ACA" w:rsidRDefault="004B77F6">
            <w:pPr>
              <w:spacing w:line="276" w:lineRule="auto"/>
              <w:jc w:val="center"/>
              <w:rPr>
                <w:color w:val="407C9B"/>
                <w:szCs w:val="20"/>
                <w:lang w:val="ru-RU"/>
              </w:rPr>
            </w:pPr>
            <w:r w:rsidRPr="00694ACA">
              <w:rPr>
                <w:color w:val="407C9B"/>
                <w:szCs w:val="20"/>
                <w:lang w:val="ru-RU"/>
              </w:rPr>
              <w:sym w:font="Wingdings" w:char="F0EA"/>
            </w:r>
          </w:p>
          <w:p w14:paraId="08640369" w14:textId="77777777" w:rsidR="004B77F6" w:rsidRPr="00694ACA" w:rsidRDefault="004B77F6">
            <w:pPr>
              <w:spacing w:line="276" w:lineRule="auto"/>
              <w:rPr>
                <w:color w:val="407C9B"/>
                <w:szCs w:val="20"/>
                <w:lang w:val="ru-RU"/>
              </w:rPr>
            </w:pPr>
            <w:r w:rsidRPr="00694ACA">
              <w:rPr>
                <w:b/>
                <w:bCs/>
                <w:color w:val="407C9B"/>
                <w:lang w:val="ru-RU"/>
              </w:rPr>
              <w:t>Определение необходимого персонала</w:t>
            </w:r>
            <w:r w:rsidRPr="006679E4">
              <w:rPr>
                <w:color w:val="407C9B"/>
                <w:lang w:val="ru-RU"/>
              </w:rPr>
              <w:t xml:space="preserve">: </w:t>
            </w:r>
            <w:r w:rsidRPr="00694ACA">
              <w:rPr>
                <w:color w:val="407C9B"/>
                <w:lang w:val="ru-RU"/>
              </w:rPr>
              <w:t>руководство из 3 стран Тихоокеанского региона и 3 стран Карибского бассейна, коллеги из ЮНЕСКО, ВОЗ и ПРООН, СИДС и сотрудники основного подразделения (возможно, также некоторые компании).</w:t>
            </w:r>
          </w:p>
          <w:p w14:paraId="7FE3924E" w14:textId="77777777" w:rsidR="004B77F6" w:rsidRPr="00694ACA" w:rsidRDefault="004B77F6">
            <w:pPr>
              <w:spacing w:line="276" w:lineRule="auto"/>
              <w:jc w:val="center"/>
              <w:rPr>
                <w:color w:val="407C9B"/>
                <w:szCs w:val="20"/>
                <w:lang w:val="ru-RU"/>
              </w:rPr>
            </w:pPr>
            <w:r w:rsidRPr="00694ACA">
              <w:rPr>
                <w:color w:val="407C9B"/>
                <w:szCs w:val="20"/>
                <w:lang w:val="ru-RU"/>
              </w:rPr>
              <w:sym w:font="Wingdings" w:char="F0EA"/>
            </w:r>
          </w:p>
          <w:p w14:paraId="5870BF42" w14:textId="6A7346D7" w:rsidR="004B77F6" w:rsidRPr="00694ACA" w:rsidRDefault="004B77F6">
            <w:pPr>
              <w:spacing w:line="276" w:lineRule="auto"/>
              <w:rPr>
                <w:color w:val="407C9B"/>
                <w:szCs w:val="20"/>
                <w:lang w:val="ru-RU"/>
              </w:rPr>
            </w:pPr>
            <w:r w:rsidRPr="00694ACA">
              <w:rPr>
                <w:b/>
                <w:bCs/>
                <w:color w:val="407C9B"/>
                <w:lang w:val="ru-RU"/>
              </w:rPr>
              <w:t>Оптимальный механизм предоставления услуг</w:t>
            </w:r>
            <w:r w:rsidRPr="006679E4">
              <w:rPr>
                <w:color w:val="407C9B"/>
                <w:lang w:val="ru-RU"/>
              </w:rPr>
              <w:t>:</w:t>
            </w:r>
            <w:r w:rsidRPr="00694ACA">
              <w:rPr>
                <w:color w:val="407C9B"/>
                <w:lang w:val="ru-RU"/>
              </w:rPr>
              <w:t xml:space="preserve"> в ходе обсуждения с заинтересованными сторонами было принято решение, что это должен быть трехдневный (7 часов в день) онлайновый семинар-практикум, который будет проводиться дважды: один раз в часовом поясе Тихоокеанского региона, второй раз в часовом поясе Карибского бассейна.</w:t>
            </w:r>
            <w:r w:rsidR="00A579EF">
              <w:rPr>
                <w:color w:val="407C9B"/>
                <w:lang w:val="ru-RU"/>
              </w:rPr>
              <w:t xml:space="preserve"> </w:t>
            </w:r>
            <w:r w:rsidRPr="00694ACA">
              <w:rPr>
                <w:color w:val="407C9B"/>
                <w:lang w:val="ru-RU"/>
              </w:rPr>
              <w:t xml:space="preserve">Он будет включать в себя различные мероприятия с широким участием, в том числе составление графических схем связей, работу в малых рабочих группах с использованием </w:t>
            </w:r>
            <w:proofErr w:type="spellStart"/>
            <w:r w:rsidRPr="00694ACA">
              <w:rPr>
                <w:color w:val="407C9B"/>
                <w:lang w:val="ru-RU"/>
              </w:rPr>
              <w:t>Jamboard</w:t>
            </w:r>
            <w:proofErr w:type="spellEnd"/>
            <w:r w:rsidRPr="00694ACA">
              <w:rPr>
                <w:color w:val="407C9B"/>
                <w:lang w:val="ru-RU"/>
              </w:rPr>
              <w:t xml:space="preserve"> (или аналога), а также ролевые игры.</w:t>
            </w:r>
          </w:p>
          <w:p w14:paraId="786629CE" w14:textId="77777777" w:rsidR="004B77F6" w:rsidRPr="00694ACA" w:rsidRDefault="004B77F6">
            <w:pPr>
              <w:spacing w:line="276" w:lineRule="auto"/>
              <w:jc w:val="center"/>
              <w:rPr>
                <w:color w:val="407C9B"/>
                <w:szCs w:val="20"/>
                <w:lang w:val="ru-RU"/>
              </w:rPr>
            </w:pPr>
            <w:r w:rsidRPr="00694ACA">
              <w:rPr>
                <w:color w:val="407C9B"/>
                <w:szCs w:val="20"/>
                <w:lang w:val="ru-RU"/>
              </w:rPr>
              <w:sym w:font="Wingdings" w:char="F0EA"/>
            </w:r>
          </w:p>
          <w:p w14:paraId="025EB415" w14:textId="77777777" w:rsidR="004B77F6" w:rsidRPr="00694ACA" w:rsidRDefault="004B77F6">
            <w:pPr>
              <w:spacing w:line="276" w:lineRule="auto"/>
              <w:rPr>
                <w:color w:val="407C9B"/>
                <w:szCs w:val="20"/>
                <w:lang w:val="ru-RU"/>
              </w:rPr>
            </w:pPr>
            <w:r w:rsidRPr="00694ACA">
              <w:rPr>
                <w:b/>
                <w:bCs/>
                <w:color w:val="407C9B"/>
                <w:lang w:val="ru-RU"/>
              </w:rPr>
              <w:t>Разработка контента</w:t>
            </w:r>
            <w:r w:rsidRPr="006679E4">
              <w:rPr>
                <w:color w:val="407C9B"/>
                <w:lang w:val="ru-RU"/>
              </w:rPr>
              <w:t>:</w:t>
            </w:r>
            <w:r w:rsidRPr="00694ACA">
              <w:rPr>
                <w:color w:val="407C9B"/>
                <w:lang w:val="ru-RU"/>
              </w:rPr>
              <w:t xml:space="preserve"> Подразделение взаимодействует с компетентными представителями СИДС, заинтересованными коллегами из БРЭ и региональными коллегами из МСЭ в Карибском и Тихоокеанском регионах, разрабатывает высококачественный контент и ресурсы.</w:t>
            </w:r>
          </w:p>
          <w:p w14:paraId="062F4101" w14:textId="77777777" w:rsidR="004B77F6" w:rsidRPr="00694ACA" w:rsidRDefault="004B77F6">
            <w:pPr>
              <w:spacing w:line="276" w:lineRule="auto"/>
              <w:jc w:val="center"/>
              <w:rPr>
                <w:color w:val="407C9B"/>
                <w:szCs w:val="20"/>
                <w:lang w:val="ru-RU"/>
              </w:rPr>
            </w:pPr>
            <w:r w:rsidRPr="00694ACA">
              <w:rPr>
                <w:color w:val="407C9B"/>
                <w:szCs w:val="20"/>
                <w:lang w:val="ru-RU"/>
              </w:rPr>
              <w:sym w:font="Wingdings" w:char="F0EA"/>
            </w:r>
          </w:p>
          <w:p w14:paraId="5DDD7FC2" w14:textId="77777777" w:rsidR="004B77F6" w:rsidRPr="00694ACA" w:rsidRDefault="004B77F6">
            <w:pPr>
              <w:spacing w:line="276" w:lineRule="auto"/>
              <w:rPr>
                <w:color w:val="407C9B"/>
                <w:szCs w:val="20"/>
                <w:lang w:val="ru-RU"/>
              </w:rPr>
            </w:pPr>
            <w:r w:rsidRPr="00694ACA">
              <w:rPr>
                <w:b/>
                <w:color w:val="407C9B"/>
                <w:lang w:val="ru-RU"/>
              </w:rPr>
              <w:t>Обеспечение качества</w:t>
            </w:r>
            <w:r w:rsidRPr="00694ACA">
              <w:rPr>
                <w:color w:val="407C9B"/>
                <w:lang w:val="ru-RU"/>
              </w:rPr>
              <w:t>: осуществляется внутренний процесс обеспечения качества, а также проводится тщательная проверка с привлечением ряда членов МСЭ из частного сектора для обеспечения соответствия материалов.</w:t>
            </w:r>
          </w:p>
          <w:p w14:paraId="157B0F62" w14:textId="77777777" w:rsidR="004B77F6" w:rsidRPr="00694ACA" w:rsidRDefault="004B77F6">
            <w:pPr>
              <w:spacing w:line="276" w:lineRule="auto"/>
              <w:jc w:val="center"/>
              <w:rPr>
                <w:color w:val="407C9B"/>
                <w:szCs w:val="20"/>
                <w:lang w:val="ru-RU"/>
              </w:rPr>
            </w:pPr>
            <w:r w:rsidRPr="00694ACA">
              <w:rPr>
                <w:color w:val="407C9B"/>
                <w:szCs w:val="20"/>
                <w:lang w:val="ru-RU"/>
              </w:rPr>
              <w:sym w:font="Wingdings" w:char="F0EA"/>
            </w:r>
          </w:p>
          <w:p w14:paraId="2D09EBF5" w14:textId="1A2594F3" w:rsidR="004B77F6" w:rsidRPr="00694ACA" w:rsidRDefault="004B77F6">
            <w:pPr>
              <w:spacing w:line="276" w:lineRule="auto"/>
              <w:rPr>
                <w:color w:val="407C9B"/>
                <w:szCs w:val="20"/>
                <w:lang w:val="ru-RU"/>
              </w:rPr>
            </w:pPr>
            <w:r w:rsidRPr="00694ACA">
              <w:rPr>
                <w:b/>
                <w:bCs/>
                <w:color w:val="407C9B"/>
                <w:lang w:val="ru-RU"/>
              </w:rPr>
              <w:t>Маркетинг</w:t>
            </w:r>
            <w:r w:rsidRPr="006679E4">
              <w:rPr>
                <w:color w:val="407C9B"/>
                <w:lang w:val="ru-RU"/>
              </w:rPr>
              <w:t>:</w:t>
            </w:r>
            <w:r w:rsidRPr="00694ACA">
              <w:rPr>
                <w:color w:val="407C9B"/>
                <w:lang w:val="ru-RU"/>
              </w:rPr>
              <w:t xml:space="preserve"> на начальном этапе преимущественно посредством членов МСЭ, а также путем проведения глобальной кампании под лозунгом </w:t>
            </w:r>
            <w:r w:rsidR="006E72AD" w:rsidRPr="00694ACA">
              <w:rPr>
                <w:color w:val="407C9B"/>
                <w:lang w:val="ru-RU"/>
              </w:rPr>
              <w:t>"</w:t>
            </w:r>
            <w:r w:rsidRPr="00694ACA">
              <w:rPr>
                <w:color w:val="407C9B"/>
                <w:lang w:val="ru-RU"/>
              </w:rPr>
              <w:t xml:space="preserve">Знаете ли вы, что такое СИДС? Что нужно знать глобальным технологическим компаниям, если они хотят осуществлять эффективную деятельность на территории малых </w:t>
            </w:r>
            <w:r w:rsidRPr="00694ACA">
              <w:rPr>
                <w:color w:val="407C9B"/>
                <w:lang w:val="ru-RU"/>
              </w:rPr>
              <w:lastRenderedPageBreak/>
              <w:t>островных развивающихся государств</w:t>
            </w:r>
            <w:r w:rsidR="006E72AD" w:rsidRPr="00694ACA">
              <w:rPr>
                <w:color w:val="407C9B"/>
                <w:lang w:val="ru-RU"/>
              </w:rPr>
              <w:t>"</w:t>
            </w:r>
            <w:r w:rsidRPr="00694ACA">
              <w:rPr>
                <w:color w:val="407C9B"/>
                <w:lang w:val="ru-RU"/>
              </w:rPr>
              <w:t>.</w:t>
            </w:r>
            <w:r w:rsidR="00A579EF">
              <w:rPr>
                <w:color w:val="407C9B"/>
                <w:lang w:val="ru-RU"/>
              </w:rPr>
              <w:t xml:space="preserve"> </w:t>
            </w:r>
            <w:r w:rsidRPr="00694ACA">
              <w:rPr>
                <w:color w:val="407C9B"/>
                <w:lang w:val="ru-RU"/>
              </w:rPr>
              <w:t xml:space="preserve">Распространение коротких видеороликов по ключевым вопросам по одному в неделю в преддверии </w:t>
            </w:r>
            <w:r w:rsidR="00B4758B" w:rsidRPr="00694ACA">
              <w:rPr>
                <w:color w:val="407C9B"/>
                <w:lang w:val="ru-RU"/>
              </w:rPr>
              <w:t>учебного занятия</w:t>
            </w:r>
            <w:r w:rsidRPr="00694ACA">
              <w:rPr>
                <w:color w:val="407C9B"/>
                <w:lang w:val="ru-RU"/>
              </w:rPr>
              <w:t>.</w:t>
            </w:r>
          </w:p>
          <w:p w14:paraId="70ADE92C" w14:textId="77777777" w:rsidR="004B77F6" w:rsidRPr="00694ACA" w:rsidRDefault="004B77F6">
            <w:pPr>
              <w:spacing w:line="276" w:lineRule="auto"/>
              <w:jc w:val="center"/>
              <w:rPr>
                <w:color w:val="407C9B"/>
                <w:szCs w:val="20"/>
                <w:lang w:val="ru-RU"/>
              </w:rPr>
            </w:pPr>
            <w:r w:rsidRPr="00694ACA">
              <w:rPr>
                <w:color w:val="407C9B"/>
                <w:szCs w:val="20"/>
                <w:lang w:val="ru-RU"/>
              </w:rPr>
              <w:sym w:font="Wingdings" w:char="F0EA"/>
            </w:r>
          </w:p>
          <w:p w14:paraId="5AD72EA6" w14:textId="77777777" w:rsidR="004B77F6" w:rsidRPr="00694ACA" w:rsidRDefault="004B77F6">
            <w:pPr>
              <w:spacing w:line="276" w:lineRule="auto"/>
              <w:rPr>
                <w:color w:val="407C9B"/>
                <w:szCs w:val="20"/>
                <w:lang w:val="ru-RU"/>
              </w:rPr>
            </w:pPr>
            <w:r w:rsidRPr="00694ACA">
              <w:rPr>
                <w:b/>
                <w:bCs/>
                <w:color w:val="407C9B"/>
                <w:lang w:val="ru-RU"/>
              </w:rPr>
              <w:t>Реализация</w:t>
            </w:r>
            <w:r w:rsidRPr="006679E4">
              <w:rPr>
                <w:color w:val="407C9B"/>
                <w:lang w:val="ru-RU"/>
              </w:rPr>
              <w:t>:</w:t>
            </w:r>
            <w:r w:rsidRPr="00694ACA">
              <w:rPr>
                <w:color w:val="407C9B"/>
                <w:lang w:val="ru-RU"/>
              </w:rPr>
              <w:t xml:space="preserve"> онлайн, 3 дня в часовом поясе Карибского региона и 3 дня в часовом поясе Тихоокеанского региона.</w:t>
            </w:r>
          </w:p>
          <w:p w14:paraId="0C258547" w14:textId="77777777" w:rsidR="004B77F6" w:rsidRPr="00694ACA" w:rsidRDefault="004B77F6">
            <w:pPr>
              <w:spacing w:line="276" w:lineRule="auto"/>
              <w:jc w:val="center"/>
              <w:rPr>
                <w:color w:val="407C9B"/>
                <w:szCs w:val="20"/>
                <w:lang w:val="ru-RU"/>
              </w:rPr>
            </w:pPr>
            <w:r w:rsidRPr="00694ACA">
              <w:rPr>
                <w:color w:val="407C9B"/>
                <w:szCs w:val="20"/>
                <w:lang w:val="ru-RU"/>
              </w:rPr>
              <w:sym w:font="Wingdings" w:char="F0EA"/>
            </w:r>
          </w:p>
          <w:p w14:paraId="1676A8A5" w14:textId="0F39F522" w:rsidR="004B77F6" w:rsidRPr="00694ACA" w:rsidRDefault="004B77F6">
            <w:pPr>
              <w:spacing w:line="276" w:lineRule="auto"/>
              <w:rPr>
                <w:color w:val="407C9B"/>
                <w:szCs w:val="20"/>
                <w:lang w:val="ru-RU"/>
              </w:rPr>
            </w:pPr>
            <w:r w:rsidRPr="00694ACA">
              <w:rPr>
                <w:b/>
                <w:bCs/>
                <w:color w:val="407C9B"/>
                <w:lang w:val="ru-RU"/>
              </w:rPr>
              <w:t>Варианты переориентации</w:t>
            </w:r>
            <w:r w:rsidRPr="006679E4">
              <w:rPr>
                <w:color w:val="407C9B"/>
                <w:lang w:val="ru-RU"/>
              </w:rPr>
              <w:t>:</w:t>
            </w:r>
            <w:r w:rsidRPr="00694ACA">
              <w:rPr>
                <w:color w:val="407C9B"/>
                <w:lang w:val="ru-RU"/>
              </w:rPr>
              <w:t xml:space="preserve"> это также можно сделать </w:t>
            </w:r>
            <w:r w:rsidR="006E72AD" w:rsidRPr="00694ACA">
              <w:rPr>
                <w:color w:val="407C9B"/>
                <w:lang w:val="ru-RU"/>
              </w:rPr>
              <w:t>"</w:t>
            </w:r>
            <w:r w:rsidRPr="00694ACA">
              <w:rPr>
                <w:color w:val="407C9B"/>
                <w:lang w:val="ru-RU"/>
              </w:rPr>
              <w:t>вживую</w:t>
            </w:r>
            <w:r w:rsidR="006E72AD" w:rsidRPr="00694ACA">
              <w:rPr>
                <w:color w:val="407C9B"/>
                <w:lang w:val="ru-RU"/>
              </w:rPr>
              <w:t>"</w:t>
            </w:r>
            <w:r w:rsidRPr="00694ACA">
              <w:rPr>
                <w:color w:val="407C9B"/>
                <w:lang w:val="ru-RU"/>
              </w:rPr>
              <w:t xml:space="preserve"> в очном формате (или в сокращенной форме) в рамках предстоящих собраний ООН по вопросам СИДС.</w:t>
            </w:r>
            <w:r w:rsidRPr="00694ACA">
              <w:rPr>
                <w:b/>
                <w:bCs/>
                <w:color w:val="407C9B"/>
                <w:lang w:val="ru-RU"/>
              </w:rPr>
              <w:t xml:space="preserve"> </w:t>
            </w:r>
          </w:p>
          <w:p w14:paraId="61309017" w14:textId="77777777" w:rsidR="004B77F6" w:rsidRPr="00694ACA" w:rsidRDefault="004B77F6">
            <w:pPr>
              <w:spacing w:line="276" w:lineRule="auto"/>
              <w:jc w:val="center"/>
              <w:rPr>
                <w:color w:val="407C9B"/>
                <w:szCs w:val="20"/>
                <w:lang w:val="ru-RU"/>
              </w:rPr>
            </w:pPr>
            <w:r w:rsidRPr="00694ACA">
              <w:rPr>
                <w:b/>
                <w:bCs/>
                <w:color w:val="407C9B"/>
                <w:szCs w:val="20"/>
                <w:lang w:val="ru-RU"/>
              </w:rPr>
              <w:sym w:font="Wingdings" w:char="F0EA"/>
            </w:r>
          </w:p>
          <w:p w14:paraId="1F14AD81" w14:textId="794E74D2" w:rsidR="004B77F6" w:rsidRPr="00694ACA" w:rsidRDefault="004B77F6">
            <w:pPr>
              <w:spacing w:line="276" w:lineRule="auto"/>
              <w:rPr>
                <w:color w:val="407C9B"/>
                <w:szCs w:val="20"/>
                <w:lang w:val="ru-RU"/>
              </w:rPr>
            </w:pPr>
            <w:r w:rsidRPr="00694ACA">
              <w:rPr>
                <w:b/>
                <w:bCs/>
                <w:color w:val="407C9B"/>
                <w:lang w:val="ru-RU"/>
              </w:rPr>
              <w:t>Возмещение затрат</w:t>
            </w:r>
            <w:r w:rsidRPr="006679E4">
              <w:rPr>
                <w:color w:val="407C9B"/>
                <w:lang w:val="ru-RU"/>
              </w:rPr>
              <w:t>:</w:t>
            </w:r>
            <w:r w:rsidRPr="00694ACA">
              <w:rPr>
                <w:color w:val="407C9B"/>
                <w:lang w:val="ru-RU"/>
              </w:rPr>
              <w:t xml:space="preserve"> многое будет зависеть от того, какие затраты понесет рынок.</w:t>
            </w:r>
            <w:r w:rsidR="00A579EF">
              <w:rPr>
                <w:color w:val="407C9B"/>
                <w:lang w:val="ru-RU"/>
              </w:rPr>
              <w:t xml:space="preserve"> </w:t>
            </w:r>
            <w:r w:rsidRPr="00694ACA">
              <w:rPr>
                <w:color w:val="407C9B"/>
                <w:lang w:val="ru-RU"/>
              </w:rPr>
              <w:t>Одним из вариантов будет плата для участников из частного сектора, хотя финансирование со стороны доноров или спонсорская помощь также возможны.</w:t>
            </w:r>
            <w:r w:rsidR="00A579EF">
              <w:rPr>
                <w:color w:val="407C9B"/>
                <w:lang w:val="ru-RU"/>
              </w:rPr>
              <w:t xml:space="preserve"> </w:t>
            </w:r>
            <w:r w:rsidRPr="00694ACA">
              <w:rPr>
                <w:color w:val="407C9B"/>
                <w:lang w:val="ru-RU"/>
              </w:rPr>
              <w:t>Работа в стране/регионе может также частично финансироваться за счет спонсорской помощи местных компаний и правительств.</w:t>
            </w:r>
            <w:r w:rsidR="00A579EF">
              <w:rPr>
                <w:color w:val="407C9B"/>
                <w:lang w:val="ru-RU"/>
              </w:rPr>
              <w:t xml:space="preserve"> </w:t>
            </w:r>
            <w:r w:rsidRPr="00694ACA">
              <w:rPr>
                <w:color w:val="407C9B"/>
                <w:lang w:val="ru-RU"/>
              </w:rPr>
              <w:t>Как только расходы будут покрыты, доступ к нему должен быть открыт на бесплатной основе как глобальному онлайновому ресурсу.</w:t>
            </w:r>
          </w:p>
          <w:p w14:paraId="7750FDF5" w14:textId="77777777" w:rsidR="004B77F6" w:rsidRPr="00694ACA" w:rsidRDefault="004B77F6">
            <w:pPr>
              <w:spacing w:line="276" w:lineRule="auto"/>
              <w:jc w:val="center"/>
              <w:rPr>
                <w:color w:val="407C9B"/>
                <w:szCs w:val="20"/>
                <w:lang w:val="ru-RU"/>
              </w:rPr>
            </w:pPr>
            <w:r w:rsidRPr="00694ACA">
              <w:rPr>
                <w:color w:val="407C9B"/>
                <w:szCs w:val="20"/>
                <w:lang w:val="ru-RU"/>
              </w:rPr>
              <w:sym w:font="Wingdings" w:char="F0EA"/>
            </w:r>
          </w:p>
          <w:p w14:paraId="792BA6DF" w14:textId="1C9F8532" w:rsidR="004B77F6" w:rsidRPr="00694ACA" w:rsidRDefault="004B77F6">
            <w:pPr>
              <w:spacing w:line="276" w:lineRule="auto"/>
              <w:rPr>
                <w:color w:val="407C9B"/>
                <w:szCs w:val="20"/>
                <w:lang w:val="ru-RU"/>
              </w:rPr>
            </w:pPr>
            <w:r w:rsidRPr="00694ACA">
              <w:rPr>
                <w:b/>
                <w:bCs/>
                <w:color w:val="407C9B"/>
                <w:lang w:val="ru-RU"/>
              </w:rPr>
              <w:t>Управление действиями выпускников</w:t>
            </w:r>
            <w:r w:rsidRPr="006679E4">
              <w:rPr>
                <w:color w:val="407C9B"/>
                <w:lang w:val="ru-RU"/>
              </w:rPr>
              <w:t xml:space="preserve">: </w:t>
            </w:r>
            <w:r w:rsidRPr="00694ACA">
              <w:rPr>
                <w:color w:val="407C9B"/>
                <w:lang w:val="ru-RU"/>
              </w:rPr>
              <w:t>одним из вариантов может стать активное внедрение группой компаний хорошо продуманного подхода к удовлетворению потребностей СИДС</w:t>
            </w:r>
            <w:r w:rsidR="00CE7628" w:rsidRPr="00694ACA">
              <w:rPr>
                <w:color w:val="407C9B"/>
                <w:lang w:val="ru-RU"/>
              </w:rPr>
              <w:t>; кроме того</w:t>
            </w:r>
            <w:r w:rsidRPr="00694ACA">
              <w:rPr>
                <w:color w:val="407C9B"/>
                <w:lang w:val="ru-RU"/>
              </w:rPr>
              <w:t>, для обмена передовой практикой и опытом было бы полезно создать сеть из числа представителей СИДС и для них, что можно было бы сделать под руководством БРЭ.</w:t>
            </w:r>
          </w:p>
          <w:p w14:paraId="1AADB76B" w14:textId="77777777" w:rsidR="004B77F6" w:rsidRPr="00694ACA" w:rsidRDefault="004B77F6">
            <w:pPr>
              <w:spacing w:line="276" w:lineRule="auto"/>
              <w:jc w:val="center"/>
              <w:rPr>
                <w:color w:val="407C9B"/>
                <w:szCs w:val="20"/>
                <w:lang w:val="ru-RU"/>
              </w:rPr>
            </w:pPr>
            <w:r w:rsidRPr="00694ACA">
              <w:rPr>
                <w:color w:val="407C9B"/>
                <w:szCs w:val="20"/>
                <w:lang w:val="ru-RU"/>
              </w:rPr>
              <w:sym w:font="Wingdings" w:char="F0EA"/>
            </w:r>
          </w:p>
          <w:p w14:paraId="156247D5" w14:textId="1F7482A1" w:rsidR="004B77F6" w:rsidRPr="00694ACA" w:rsidRDefault="004B77F6">
            <w:pPr>
              <w:spacing w:line="276" w:lineRule="auto"/>
              <w:rPr>
                <w:szCs w:val="20"/>
                <w:lang w:val="ru-RU"/>
              </w:rPr>
            </w:pPr>
            <w:r w:rsidRPr="00694ACA">
              <w:rPr>
                <w:b/>
                <w:color w:val="407C9B"/>
                <w:lang w:val="ru-RU"/>
              </w:rPr>
              <w:t>Внутренний контроль</w:t>
            </w:r>
            <w:r w:rsidRPr="00694ACA">
              <w:rPr>
                <w:color w:val="407C9B"/>
                <w:lang w:val="ru-RU"/>
              </w:rPr>
              <w:t>: вопрос обучения рассматривается на ближайшем ежеквартальном собрании Подразделения; определяются уроки на будущее; связь с выпускниками регулярно поддерживается для получения информации о том, что им удалось (или не удалось) применить на практике, и в свете этого о</w:t>
            </w:r>
            <w:r w:rsidR="002969DD">
              <w:rPr>
                <w:color w:val="407C9B"/>
                <w:lang w:val="ru-RU"/>
              </w:rPr>
              <w:t> </w:t>
            </w:r>
            <w:r w:rsidRPr="00694ACA">
              <w:rPr>
                <w:color w:val="407C9B"/>
                <w:lang w:val="ru-RU"/>
              </w:rPr>
              <w:t>том, как можно улучшить обучение в будущем.</w:t>
            </w:r>
          </w:p>
        </w:tc>
      </w:tr>
    </w:tbl>
    <w:p w14:paraId="6FB8B6B2" w14:textId="29FA4372" w:rsidR="004B77F6" w:rsidRPr="00694ACA" w:rsidRDefault="004B77F6" w:rsidP="00A105CB">
      <w:pPr>
        <w:pStyle w:val="Heading2"/>
        <w:ind w:right="-472"/>
        <w:rPr>
          <w:rFonts w:cs="Times New Roman"/>
          <w:lang w:val="ru-RU"/>
        </w:rPr>
      </w:pPr>
      <w:r w:rsidRPr="00694ACA">
        <w:rPr>
          <w:lang w:val="ru-RU"/>
        </w:rPr>
        <w:lastRenderedPageBreak/>
        <w:t>9.6 Взаимосвязь с существующей деятельностью МСЭ</w:t>
      </w:r>
    </w:p>
    <w:p w14:paraId="1C45C506" w14:textId="46B3E938" w:rsidR="004B77F6" w:rsidRPr="00694ACA" w:rsidRDefault="004B77F6" w:rsidP="00A105CB">
      <w:pPr>
        <w:ind w:left="-284" w:right="-472"/>
        <w:rPr>
          <w:lang w:val="ru-RU"/>
        </w:rPr>
      </w:pPr>
      <w:r w:rsidRPr="00694ACA">
        <w:rPr>
          <w:lang w:val="ru-RU"/>
        </w:rPr>
        <w:t>145. Институт создан непосредственно для того, чтобы использовать лучшие из существующих практических методов МСЭ и преодолеть сохраняющиеся препятствия.</w:t>
      </w:r>
      <w:r w:rsidR="00A579EF">
        <w:rPr>
          <w:lang w:val="ru-RU"/>
        </w:rPr>
        <w:t xml:space="preserve"> </w:t>
      </w:r>
      <w:r w:rsidRPr="00694ACA">
        <w:rPr>
          <w:lang w:val="ru-RU"/>
        </w:rPr>
        <w:t>Ниже приведены сферы надлежащей практики, которые Институт будет внедрять и развивать:</w:t>
      </w:r>
    </w:p>
    <w:p w14:paraId="3BA4427C" w14:textId="44778891" w:rsidR="004B77F6" w:rsidRPr="00694ACA" w:rsidRDefault="004B77F6" w:rsidP="004B77F6">
      <w:pPr>
        <w:pStyle w:val="Bulletspoint11"/>
        <w:rPr>
          <w:lang w:val="ru-RU"/>
        </w:rPr>
      </w:pPr>
      <w:proofErr w:type="spellStart"/>
      <w:r w:rsidRPr="00694ACA">
        <w:rPr>
          <w:b/>
          <w:bCs/>
          <w:lang w:val="ru-RU"/>
        </w:rPr>
        <w:t>межсекторальное</w:t>
      </w:r>
      <w:proofErr w:type="spellEnd"/>
      <w:r w:rsidRPr="00694ACA">
        <w:rPr>
          <w:b/>
          <w:bCs/>
          <w:lang w:val="ru-RU"/>
        </w:rPr>
        <w:t xml:space="preserve"> сотрудничество</w:t>
      </w:r>
      <w:r w:rsidRPr="006679E4">
        <w:rPr>
          <w:lang w:val="ru-RU"/>
        </w:rPr>
        <w:t>.</w:t>
      </w:r>
      <w:r w:rsidR="00A579EF">
        <w:rPr>
          <w:lang w:val="ru-RU"/>
        </w:rPr>
        <w:t xml:space="preserve"> </w:t>
      </w:r>
      <w:r w:rsidRPr="00694ACA">
        <w:rPr>
          <w:lang w:val="ru-RU"/>
        </w:rPr>
        <w:t>Выход за существующие рамки Секторов МСЭ будет способствовать сотрудничеству между сотрудниками всех Секторов и послужит отличной основой, которой сможет воспользоваться каждый Сектор;</w:t>
      </w:r>
    </w:p>
    <w:p w14:paraId="27975794" w14:textId="138DD2BF" w:rsidR="004B77F6" w:rsidRPr="00694ACA" w:rsidRDefault="004B77F6" w:rsidP="004B77F6">
      <w:pPr>
        <w:pStyle w:val="Bulletspoint11"/>
        <w:rPr>
          <w:lang w:val="ru-RU"/>
        </w:rPr>
      </w:pPr>
      <w:r w:rsidRPr="00694ACA">
        <w:rPr>
          <w:b/>
          <w:bCs/>
          <w:lang w:val="ru-RU"/>
        </w:rPr>
        <w:t>региональные знания и опыт</w:t>
      </w:r>
      <w:r w:rsidRPr="006679E4">
        <w:rPr>
          <w:lang w:val="ru-RU"/>
        </w:rPr>
        <w:t>.</w:t>
      </w:r>
      <w:r w:rsidR="00A579EF">
        <w:rPr>
          <w:lang w:val="ru-RU"/>
        </w:rPr>
        <w:t xml:space="preserve"> </w:t>
      </w:r>
      <w:r w:rsidRPr="00694ACA">
        <w:rPr>
          <w:lang w:val="ru-RU"/>
        </w:rPr>
        <w:t xml:space="preserve">Региональные отделения уже помогают МСЭ лучше понять потребности членов, и этот важный компонент необходимо развивать, с тем чтобы обеспечить соответствие деятельности Института фактическому спросу; </w:t>
      </w:r>
    </w:p>
    <w:p w14:paraId="74079C02" w14:textId="598107C8" w:rsidR="004B77F6" w:rsidRPr="00694ACA" w:rsidRDefault="004B77F6" w:rsidP="004B77F6">
      <w:pPr>
        <w:pStyle w:val="Bulletspoint11"/>
        <w:rPr>
          <w:lang w:val="ru-RU"/>
        </w:rPr>
      </w:pPr>
      <w:r w:rsidRPr="00694ACA">
        <w:rPr>
          <w:b/>
          <w:bCs/>
          <w:lang w:val="ru-RU"/>
        </w:rPr>
        <w:t>существующее сотрудничество с ПРООН</w:t>
      </w:r>
      <w:r w:rsidRPr="006679E4">
        <w:rPr>
          <w:lang w:val="ru-RU"/>
        </w:rPr>
        <w:t>.</w:t>
      </w:r>
      <w:r w:rsidR="00A579EF">
        <w:rPr>
          <w:lang w:val="ru-RU"/>
        </w:rPr>
        <w:t xml:space="preserve"> </w:t>
      </w:r>
      <w:r w:rsidRPr="00694ACA">
        <w:rPr>
          <w:lang w:val="ru-RU"/>
        </w:rPr>
        <w:t>Как отмечено выше (пункты 21 и 80), со стратегической точки зрения было бы также целесообразно развивать хорошо налаженное сотрудничество с ПРООН, что позволило бы не только обеспечить еще более глубокое понимание региональных и национальных требований, но и при необходимости помочь в проведении обучения на местах;</w:t>
      </w:r>
    </w:p>
    <w:p w14:paraId="62F8F15C" w14:textId="17A6D38D" w:rsidR="004B77F6" w:rsidRPr="00694ACA" w:rsidRDefault="004B77F6" w:rsidP="004B77F6">
      <w:pPr>
        <w:pStyle w:val="Bulletspoint11"/>
        <w:rPr>
          <w:lang w:val="ru-RU"/>
        </w:rPr>
      </w:pPr>
      <w:r w:rsidRPr="00694ACA">
        <w:rPr>
          <w:b/>
          <w:bCs/>
          <w:lang w:val="ru-RU"/>
        </w:rPr>
        <w:t>обеспечение соответствия с приоритетными тематическими направлениями деятельности МСЭ и, в частности, БРЭ</w:t>
      </w:r>
      <w:r w:rsidRPr="006679E4">
        <w:rPr>
          <w:lang w:val="ru-RU"/>
        </w:rPr>
        <w:t>.</w:t>
      </w:r>
      <w:r w:rsidR="00A579EF">
        <w:rPr>
          <w:lang w:val="ru-RU"/>
        </w:rPr>
        <w:t xml:space="preserve"> </w:t>
      </w:r>
      <w:r w:rsidRPr="00694ACA">
        <w:rPr>
          <w:lang w:val="ru-RU"/>
        </w:rPr>
        <w:t xml:space="preserve">Принятие дальнейших действий по результатам недавней реструктуризации БРЭ с </w:t>
      </w:r>
      <w:r w:rsidRPr="00694ACA">
        <w:rPr>
          <w:lang w:val="ru-RU"/>
        </w:rPr>
        <w:lastRenderedPageBreak/>
        <w:t>более четким разграничением ее деятельности на тематические направления и развитие существующих взаимоотношений между ними и CSD требуют более взвешенного подхода, который позволил бы Институту обеспечить возможность использования высококачественных ресурсов в рамках каждого из тематических направлений</w:t>
      </w:r>
      <w:r w:rsidRPr="00694ACA">
        <w:rPr>
          <w:rStyle w:val="FootnoteReference"/>
          <w:lang w:val="ru-RU"/>
        </w:rPr>
        <w:footnoteReference w:id="185"/>
      </w:r>
      <w:r w:rsidRPr="00694ACA">
        <w:rPr>
          <w:lang w:val="ru-RU"/>
        </w:rPr>
        <w:t>;</w:t>
      </w:r>
    </w:p>
    <w:p w14:paraId="03504159" w14:textId="5D5A5E47" w:rsidR="004B77F6" w:rsidRPr="00694ACA" w:rsidRDefault="004B77F6" w:rsidP="004B77F6">
      <w:pPr>
        <w:pStyle w:val="Bulletspoint11"/>
        <w:rPr>
          <w:lang w:val="ru-RU"/>
        </w:rPr>
      </w:pPr>
      <w:r w:rsidRPr="00694ACA">
        <w:rPr>
          <w:b/>
          <w:bCs/>
          <w:lang w:val="ru-RU"/>
        </w:rPr>
        <w:t>взаимоотношения с членами и партнерами</w:t>
      </w:r>
      <w:r w:rsidRPr="006679E4">
        <w:rPr>
          <w:lang w:val="ru-RU"/>
        </w:rPr>
        <w:t>.</w:t>
      </w:r>
      <w:r w:rsidR="00A579EF">
        <w:rPr>
          <w:lang w:val="ru-RU"/>
        </w:rPr>
        <w:t xml:space="preserve"> </w:t>
      </w:r>
      <w:r w:rsidRPr="00694ACA">
        <w:rPr>
          <w:lang w:val="ru-RU"/>
        </w:rPr>
        <w:t>МСЭ и его сотрудники имеют положительный имидж и в целом пользуются уважением.</w:t>
      </w:r>
      <w:r w:rsidR="00A579EF">
        <w:rPr>
          <w:lang w:val="ru-RU"/>
        </w:rPr>
        <w:t xml:space="preserve"> </w:t>
      </w:r>
      <w:r w:rsidRPr="00694ACA">
        <w:rPr>
          <w:lang w:val="ru-RU"/>
        </w:rPr>
        <w:t>Крайне важно, чтобы новый Институт обеспечил сохранение этого достижения и укрепление общей репутации МСЭ.</w:t>
      </w:r>
    </w:p>
    <w:p w14:paraId="38E7AE87" w14:textId="00FA3267" w:rsidR="004B77F6" w:rsidRPr="00694ACA" w:rsidRDefault="004B77F6" w:rsidP="00A105CB">
      <w:pPr>
        <w:pStyle w:val="Heading2"/>
        <w:ind w:right="-472"/>
        <w:rPr>
          <w:lang w:val="ru-RU"/>
        </w:rPr>
      </w:pPr>
      <w:r w:rsidRPr="00694ACA">
        <w:rPr>
          <w:lang w:val="ru-RU"/>
        </w:rPr>
        <w:t>9.7 Последствия с точки зрения выделения необходимых ресурсов</w:t>
      </w:r>
    </w:p>
    <w:p w14:paraId="2B1F378E" w14:textId="77777777" w:rsidR="004B77F6" w:rsidRPr="00694ACA" w:rsidRDefault="004B77F6" w:rsidP="00A105CB">
      <w:pPr>
        <w:ind w:left="-284" w:right="-472"/>
        <w:rPr>
          <w:lang w:val="ru-RU"/>
        </w:rPr>
      </w:pPr>
      <w:r w:rsidRPr="00694ACA">
        <w:rPr>
          <w:lang w:val="ru-RU"/>
        </w:rPr>
        <w:t>146. В настоящем разделе приводится оценка уровня затрат, связанных с созданием и функционированием такого Института, а также содержится обобщенная информация о потенциальных бизнес-моделях реализации такого проекта.</w:t>
      </w:r>
    </w:p>
    <w:p w14:paraId="67A30A24" w14:textId="77777777" w:rsidR="004B77F6" w:rsidRPr="00694ACA" w:rsidRDefault="004B77F6" w:rsidP="00A105CB">
      <w:pPr>
        <w:pStyle w:val="Heading3"/>
        <w:ind w:right="-472"/>
        <w:rPr>
          <w:lang w:val="ru-RU"/>
        </w:rPr>
      </w:pPr>
      <w:r w:rsidRPr="00694ACA">
        <w:rPr>
          <w:lang w:val="ru-RU"/>
        </w:rPr>
        <w:t xml:space="preserve">Базовые расходы на содержание Института </w:t>
      </w:r>
    </w:p>
    <w:p w14:paraId="74C8F2D2" w14:textId="1ACCBB38" w:rsidR="004B77F6" w:rsidRPr="00694ACA" w:rsidRDefault="004B77F6" w:rsidP="00A105CB">
      <w:pPr>
        <w:ind w:left="-284" w:right="-472"/>
        <w:rPr>
          <w:lang w:val="ru-RU"/>
        </w:rPr>
      </w:pPr>
      <w:r w:rsidRPr="00694ACA">
        <w:rPr>
          <w:lang w:val="ru-RU"/>
        </w:rPr>
        <w:t xml:space="preserve">147. Трудно с точностью спрогнозировать, какие расходы могут быть связаны с созданием нового Института, однако опыт других институтов ООН и информация о типовых потребностях в области </w:t>
      </w:r>
      <w:r w:rsidR="00367DAA" w:rsidRPr="00694ACA">
        <w:rPr>
          <w:lang w:val="ru-RU"/>
        </w:rPr>
        <w:t>развития потенциала и профессиональной подготовки</w:t>
      </w:r>
      <w:r w:rsidRPr="00694ACA">
        <w:rPr>
          <w:lang w:val="ru-RU"/>
        </w:rPr>
        <w:t xml:space="preserve"> позволяют предположить, что приведенные ниже оценочные данные являются обоснованными.</w:t>
      </w:r>
    </w:p>
    <w:p w14:paraId="5C186A22" w14:textId="18CE1EE6" w:rsidR="004B77F6" w:rsidRPr="00694ACA" w:rsidRDefault="004B77F6" w:rsidP="00A105CB">
      <w:pPr>
        <w:ind w:left="-284" w:right="-472"/>
        <w:rPr>
          <w:lang w:val="ru-RU"/>
        </w:rPr>
      </w:pPr>
      <w:r w:rsidRPr="00694ACA">
        <w:rPr>
          <w:lang w:val="ru-RU"/>
        </w:rPr>
        <w:t xml:space="preserve">148. </w:t>
      </w:r>
      <w:r w:rsidRPr="00694ACA">
        <w:rPr>
          <w:b/>
          <w:lang w:val="ru-RU"/>
        </w:rPr>
        <w:t>Помещения</w:t>
      </w:r>
      <w:r w:rsidRPr="006679E4">
        <w:rPr>
          <w:bCs/>
          <w:lang w:val="ru-RU"/>
        </w:rPr>
        <w:t>.</w:t>
      </w:r>
      <w:r w:rsidR="00A579EF">
        <w:rPr>
          <w:lang w:val="ru-RU"/>
        </w:rPr>
        <w:t xml:space="preserve"> </w:t>
      </w:r>
      <w:r w:rsidRPr="00694ACA">
        <w:rPr>
          <w:lang w:val="ru-RU"/>
        </w:rPr>
        <w:t>Приведенные ниже расчеты показывают, во сколько обойдется аренда помещений для нового Института, если допустить, что МСЭ не захочет приобретать недвижимость</w:t>
      </w:r>
      <w:r w:rsidRPr="00694ACA">
        <w:rPr>
          <w:rStyle w:val="FootnoteReference"/>
          <w:lang w:val="ru-RU"/>
        </w:rPr>
        <w:footnoteReference w:id="186"/>
      </w:r>
      <w:r w:rsidRPr="00694ACA">
        <w:rPr>
          <w:lang w:val="ru-RU"/>
        </w:rPr>
        <w:t>:</w:t>
      </w:r>
    </w:p>
    <w:p w14:paraId="2FAC8055" w14:textId="070389C0" w:rsidR="004B77F6" w:rsidRPr="00694ACA" w:rsidRDefault="004B77F6" w:rsidP="004B77F6">
      <w:pPr>
        <w:pStyle w:val="Bulletspoint11"/>
        <w:rPr>
          <w:lang w:val="ru-RU"/>
        </w:rPr>
      </w:pPr>
      <w:r w:rsidRPr="00694ACA">
        <w:rPr>
          <w:lang w:val="ru-RU"/>
        </w:rPr>
        <w:t>служебные и иные функциональные помещения = 508 м</w:t>
      </w:r>
      <w:r w:rsidRPr="00694ACA">
        <w:rPr>
          <w:vertAlign w:val="superscript"/>
          <w:lang w:val="ru-RU"/>
        </w:rPr>
        <w:t>2</w:t>
      </w:r>
      <w:r w:rsidRPr="00694ACA">
        <w:rPr>
          <w:lang w:val="ru-RU"/>
        </w:rPr>
        <w:t>;</w:t>
      </w:r>
      <w:r w:rsidR="00A579EF">
        <w:rPr>
          <w:vertAlign w:val="superscript"/>
          <w:lang w:val="ru-RU"/>
        </w:rPr>
        <w:t xml:space="preserve"> </w:t>
      </w:r>
    </w:p>
    <w:p w14:paraId="07C3F887" w14:textId="77777777" w:rsidR="004B77F6" w:rsidRPr="00694ACA" w:rsidRDefault="004B77F6" w:rsidP="004B77F6">
      <w:pPr>
        <w:pStyle w:val="Bulletspoint11"/>
        <w:rPr>
          <w:lang w:val="ru-RU"/>
        </w:rPr>
      </w:pPr>
      <w:r w:rsidRPr="00694ACA">
        <w:rPr>
          <w:lang w:val="ru-RU"/>
        </w:rPr>
        <w:t>еще 25 % необходимы на коридоры и удобства, т. е. +127 м</w:t>
      </w:r>
      <w:r w:rsidRPr="00694ACA">
        <w:rPr>
          <w:vertAlign w:val="superscript"/>
          <w:lang w:val="ru-RU"/>
        </w:rPr>
        <w:t>2</w:t>
      </w:r>
      <w:r w:rsidRPr="00694ACA">
        <w:rPr>
          <w:lang w:val="ru-RU"/>
        </w:rPr>
        <w:t>;</w:t>
      </w:r>
    </w:p>
    <w:p w14:paraId="0421F6A3" w14:textId="77777777" w:rsidR="004B77F6" w:rsidRPr="00694ACA" w:rsidRDefault="004B77F6" w:rsidP="004B77F6">
      <w:pPr>
        <w:pStyle w:val="Bulletspoint11"/>
        <w:rPr>
          <w:lang w:val="ru-RU"/>
        </w:rPr>
      </w:pPr>
      <w:r w:rsidRPr="00694ACA">
        <w:rPr>
          <w:lang w:val="ru-RU"/>
        </w:rPr>
        <w:t>таким образом, общая потребность в помещениях составит около 635 м</w:t>
      </w:r>
      <w:r w:rsidRPr="00694ACA">
        <w:rPr>
          <w:vertAlign w:val="superscript"/>
          <w:lang w:val="ru-RU"/>
        </w:rPr>
        <w:t>2</w:t>
      </w:r>
      <w:r w:rsidRPr="00694ACA">
        <w:rPr>
          <w:lang w:val="ru-RU"/>
        </w:rPr>
        <w:t>;</w:t>
      </w:r>
    </w:p>
    <w:p w14:paraId="25FF8968" w14:textId="77777777" w:rsidR="004B77F6" w:rsidRPr="00694ACA" w:rsidRDefault="004B77F6" w:rsidP="004B77F6">
      <w:pPr>
        <w:pStyle w:val="Bulletspoint11"/>
        <w:rPr>
          <w:lang w:val="ru-RU"/>
        </w:rPr>
      </w:pPr>
      <w:r w:rsidRPr="00694ACA">
        <w:rPr>
          <w:lang w:val="ru-RU"/>
        </w:rPr>
        <w:t>в зависимости от местоположения, как указано в качестве примера ниже, годовые расходы на аренду в этом случае будут следующими:</w:t>
      </w:r>
    </w:p>
    <w:p w14:paraId="57472B7A" w14:textId="625A975E" w:rsidR="004B77F6" w:rsidRPr="00694ACA" w:rsidRDefault="004B77F6" w:rsidP="004B77F6">
      <w:pPr>
        <w:pStyle w:val="Bulletspoint11"/>
        <w:numPr>
          <w:ilvl w:val="1"/>
          <w:numId w:val="1"/>
        </w:numPr>
        <w:rPr>
          <w:lang w:val="ru-RU"/>
        </w:rPr>
      </w:pPr>
      <w:r w:rsidRPr="00694ACA">
        <w:rPr>
          <w:lang w:val="ru-RU"/>
        </w:rPr>
        <w:t>Женева</w:t>
      </w:r>
      <w:r w:rsidRPr="00694ACA">
        <w:rPr>
          <w:rStyle w:val="FootnoteReference"/>
          <w:lang w:val="ru-RU"/>
        </w:rPr>
        <w:footnoteReference w:id="187"/>
      </w:r>
      <w:r w:rsidRPr="00694ACA">
        <w:rPr>
          <w:lang w:val="ru-RU"/>
        </w:rPr>
        <w:t xml:space="preserve">: район CBD, Женевского университета (635 x 644 евро) = </w:t>
      </w:r>
      <w:r w:rsidR="00CE7628" w:rsidRPr="00694ACA">
        <w:rPr>
          <w:lang w:val="ru-RU"/>
        </w:rPr>
        <w:br/>
        <w:t xml:space="preserve">= </w:t>
      </w:r>
      <w:r w:rsidRPr="00694ACA">
        <w:rPr>
          <w:lang w:val="ru-RU"/>
        </w:rPr>
        <w:t>408</w:t>
      </w:r>
      <w:r w:rsidR="00CE7628" w:rsidRPr="00694ACA">
        <w:rPr>
          <w:lang w:val="ru-RU"/>
        </w:rPr>
        <w:t> </w:t>
      </w:r>
      <w:r w:rsidRPr="00694ACA">
        <w:rPr>
          <w:lang w:val="ru-RU"/>
        </w:rPr>
        <w:t>940 швейцарских франков;</w:t>
      </w:r>
    </w:p>
    <w:p w14:paraId="605BD936" w14:textId="7CDB9A83" w:rsidR="004B77F6" w:rsidRPr="00694ACA" w:rsidRDefault="004B77F6" w:rsidP="004B77F6">
      <w:pPr>
        <w:pStyle w:val="Bulletspoint11"/>
        <w:numPr>
          <w:ilvl w:val="1"/>
          <w:numId w:val="1"/>
        </w:numPr>
        <w:rPr>
          <w:lang w:val="ru-RU"/>
        </w:rPr>
      </w:pPr>
      <w:r w:rsidRPr="00694ACA">
        <w:rPr>
          <w:lang w:val="ru-RU"/>
        </w:rPr>
        <w:t>Женева</w:t>
      </w:r>
      <w:r w:rsidRPr="00694ACA">
        <w:rPr>
          <w:rStyle w:val="FootnoteReference"/>
          <w:lang w:val="ru-RU"/>
        </w:rPr>
        <w:footnoteReference w:id="188"/>
      </w:r>
      <w:r w:rsidRPr="00694ACA">
        <w:rPr>
          <w:lang w:val="ru-RU"/>
        </w:rPr>
        <w:t xml:space="preserve">: район </w:t>
      </w:r>
      <w:proofErr w:type="spellStart"/>
      <w:r w:rsidRPr="00694ACA">
        <w:rPr>
          <w:lang w:val="ru-RU"/>
        </w:rPr>
        <w:t>Шампель</w:t>
      </w:r>
      <w:proofErr w:type="spellEnd"/>
      <w:r w:rsidRPr="00694ACA">
        <w:rPr>
          <w:lang w:val="ru-RU"/>
        </w:rPr>
        <w:t xml:space="preserve">, </w:t>
      </w:r>
      <w:proofErr w:type="spellStart"/>
      <w:r w:rsidRPr="00694ACA">
        <w:rPr>
          <w:lang w:val="ru-RU"/>
        </w:rPr>
        <w:t>Флориссан</w:t>
      </w:r>
      <w:proofErr w:type="spellEnd"/>
      <w:r w:rsidRPr="00694ACA">
        <w:rPr>
          <w:lang w:val="ru-RU"/>
        </w:rPr>
        <w:t xml:space="preserve">, </w:t>
      </w:r>
      <w:proofErr w:type="spellStart"/>
      <w:r w:rsidRPr="00694ACA">
        <w:rPr>
          <w:lang w:val="ru-RU"/>
        </w:rPr>
        <w:t>Корнаван</w:t>
      </w:r>
      <w:proofErr w:type="spellEnd"/>
      <w:r w:rsidRPr="00694ACA">
        <w:rPr>
          <w:lang w:val="ru-RU"/>
        </w:rPr>
        <w:t>, Паки, PAV. (635 x 450 евро) =</w:t>
      </w:r>
      <w:r w:rsidR="00CE7628" w:rsidRPr="00694ACA">
        <w:rPr>
          <w:lang w:val="ru-RU"/>
        </w:rPr>
        <w:br/>
        <w:t>=</w:t>
      </w:r>
      <w:r w:rsidRPr="00694ACA">
        <w:rPr>
          <w:lang w:val="ru-RU"/>
        </w:rPr>
        <w:t xml:space="preserve"> 285</w:t>
      </w:r>
      <w:r w:rsidR="00CE7628" w:rsidRPr="00694ACA">
        <w:rPr>
          <w:lang w:val="ru-RU"/>
        </w:rPr>
        <w:t> </w:t>
      </w:r>
      <w:r w:rsidRPr="00694ACA">
        <w:rPr>
          <w:lang w:val="ru-RU"/>
        </w:rPr>
        <w:t>750 швейцарских франков;</w:t>
      </w:r>
    </w:p>
    <w:p w14:paraId="3EA8CA0E" w14:textId="64D20504" w:rsidR="004B77F6" w:rsidRPr="00694ACA" w:rsidRDefault="004B77F6" w:rsidP="004B77F6">
      <w:pPr>
        <w:pStyle w:val="Bulletspoint11"/>
        <w:numPr>
          <w:ilvl w:val="1"/>
          <w:numId w:val="1"/>
        </w:numPr>
        <w:rPr>
          <w:lang w:val="ru-RU"/>
        </w:rPr>
      </w:pPr>
      <w:r w:rsidRPr="00694ACA">
        <w:rPr>
          <w:lang w:val="ru-RU"/>
        </w:rPr>
        <w:t>Будапешт: (635 x 300 евро) = 190</w:t>
      </w:r>
      <w:r w:rsidR="00CE7628" w:rsidRPr="00694ACA">
        <w:rPr>
          <w:lang w:val="ru-RU"/>
        </w:rPr>
        <w:t> </w:t>
      </w:r>
      <w:r w:rsidRPr="00694ACA">
        <w:rPr>
          <w:lang w:val="ru-RU"/>
        </w:rPr>
        <w:t>500 швейцарских франков.</w:t>
      </w:r>
    </w:p>
    <w:p w14:paraId="2A5B9A7E" w14:textId="75784F35" w:rsidR="004B77F6" w:rsidRPr="00694ACA" w:rsidRDefault="004B77F6" w:rsidP="008B728A">
      <w:pPr>
        <w:spacing w:before="120"/>
        <w:ind w:left="-284"/>
        <w:rPr>
          <w:lang w:val="ru-RU"/>
        </w:rPr>
      </w:pPr>
      <w:r w:rsidRPr="00694ACA">
        <w:rPr>
          <w:lang w:val="ru-RU"/>
        </w:rPr>
        <w:t>149.</w:t>
      </w:r>
      <w:r w:rsidRPr="00694ACA">
        <w:rPr>
          <w:b/>
          <w:lang w:val="ru-RU"/>
        </w:rPr>
        <w:t xml:space="preserve"> Укомплектование персоналом</w:t>
      </w:r>
      <w:r w:rsidRPr="006679E4">
        <w:rPr>
          <w:bCs/>
          <w:lang w:val="ru-RU"/>
        </w:rPr>
        <w:t>.</w:t>
      </w:r>
      <w:r w:rsidR="00A579EF">
        <w:rPr>
          <w:lang w:val="ru-RU"/>
        </w:rPr>
        <w:t xml:space="preserve"> </w:t>
      </w:r>
      <w:r w:rsidRPr="00694ACA">
        <w:rPr>
          <w:lang w:val="ru-RU"/>
        </w:rPr>
        <w:t>Базовые расходы МСЭ на содержание 15 сотрудников, как указано выше (пункт 148), составят 2</w:t>
      </w:r>
      <w:r w:rsidR="00CE7628" w:rsidRPr="00694ACA">
        <w:rPr>
          <w:lang w:val="ru-RU"/>
        </w:rPr>
        <w:t> </w:t>
      </w:r>
      <w:r w:rsidRPr="00694ACA">
        <w:rPr>
          <w:lang w:val="ru-RU"/>
        </w:rPr>
        <w:t>623</w:t>
      </w:r>
      <w:r w:rsidR="00CE7628" w:rsidRPr="00694ACA">
        <w:rPr>
          <w:lang w:val="ru-RU"/>
        </w:rPr>
        <w:t> </w:t>
      </w:r>
      <w:r w:rsidRPr="00694ACA">
        <w:rPr>
          <w:lang w:val="ru-RU"/>
        </w:rPr>
        <w:t>281 швейцарский франк (исходя из среднегодовых и стандартных расходов МСЭ)</w:t>
      </w:r>
      <w:r w:rsidRPr="00694ACA">
        <w:rPr>
          <w:rStyle w:val="FootnoteReference"/>
          <w:lang w:val="ru-RU"/>
        </w:rPr>
        <w:footnoteReference w:id="189"/>
      </w:r>
      <w:r w:rsidRPr="00694ACA">
        <w:rPr>
          <w:lang w:val="ru-RU"/>
        </w:rPr>
        <w:t xml:space="preserve">. </w:t>
      </w:r>
    </w:p>
    <w:p w14:paraId="17428DB2" w14:textId="089A18AC" w:rsidR="004B77F6" w:rsidRPr="00694ACA" w:rsidRDefault="004B77F6" w:rsidP="00A105CB">
      <w:pPr>
        <w:ind w:left="-284"/>
        <w:rPr>
          <w:i/>
          <w:iCs/>
          <w:lang w:val="ru-RU"/>
        </w:rPr>
      </w:pPr>
      <w:r w:rsidRPr="00694ACA">
        <w:rPr>
          <w:lang w:val="ru-RU"/>
        </w:rPr>
        <w:t xml:space="preserve">150. </w:t>
      </w:r>
      <w:r w:rsidRPr="00694ACA">
        <w:rPr>
          <w:b/>
          <w:lang w:val="ru-RU"/>
        </w:rPr>
        <w:t>Цифровые технологии и поддержка</w:t>
      </w:r>
      <w:r w:rsidRPr="006679E4">
        <w:rPr>
          <w:bCs/>
          <w:lang w:val="ru-RU"/>
        </w:rPr>
        <w:t>.</w:t>
      </w:r>
      <w:r w:rsidR="00A579EF">
        <w:rPr>
          <w:bCs/>
          <w:i/>
          <w:lang w:val="ru-RU"/>
        </w:rPr>
        <w:t xml:space="preserve"> </w:t>
      </w:r>
      <w:r w:rsidRPr="00694ACA">
        <w:rPr>
          <w:lang w:val="ru-RU"/>
        </w:rPr>
        <w:t>Смету расходов на поддержку цифровых технологий (включая лицензии на аппаратное и программное обеспечение) можно составить на основе текущих расходов МСЭ или сравнения с другими организациями:</w:t>
      </w:r>
    </w:p>
    <w:p w14:paraId="6F42A8CC" w14:textId="300FC97A" w:rsidR="004B77F6" w:rsidRPr="00694ACA" w:rsidRDefault="004B77F6" w:rsidP="004B77F6">
      <w:pPr>
        <w:pStyle w:val="Bulletspoint11"/>
        <w:rPr>
          <w:lang w:val="ru-RU"/>
        </w:rPr>
      </w:pPr>
      <w:r w:rsidRPr="00694ACA">
        <w:rPr>
          <w:lang w:val="ru-RU"/>
        </w:rPr>
        <w:t>начальные затраты на цифровые технологии, включая самые базовые студийные технологии для съемок и записи: = 15 x 9174 швейцарских франков = 137</w:t>
      </w:r>
      <w:r w:rsidR="00CE7628" w:rsidRPr="00694ACA">
        <w:rPr>
          <w:lang w:val="ru-RU"/>
        </w:rPr>
        <w:t> </w:t>
      </w:r>
      <w:r w:rsidRPr="00694ACA">
        <w:rPr>
          <w:lang w:val="ru-RU"/>
        </w:rPr>
        <w:t>610 швейцарских франков;</w:t>
      </w:r>
    </w:p>
    <w:p w14:paraId="6B5290B8" w14:textId="629EE9AB" w:rsidR="004B77F6" w:rsidRPr="00694ACA" w:rsidRDefault="004B77F6" w:rsidP="004B77F6">
      <w:pPr>
        <w:pStyle w:val="Bulletspoint11"/>
        <w:rPr>
          <w:lang w:val="ru-RU"/>
        </w:rPr>
      </w:pPr>
      <w:r w:rsidRPr="00694ACA">
        <w:rPr>
          <w:lang w:val="ru-RU"/>
        </w:rPr>
        <w:t>годовые затраты на замену/обслуживание (при условии замены в течение 3 лет: 45</w:t>
      </w:r>
      <w:r w:rsidR="00CE7628" w:rsidRPr="00694ACA">
        <w:rPr>
          <w:lang w:val="ru-RU"/>
        </w:rPr>
        <w:t> </w:t>
      </w:r>
      <w:r w:rsidRPr="00694ACA">
        <w:rPr>
          <w:lang w:val="ru-RU"/>
        </w:rPr>
        <w:t>870</w:t>
      </w:r>
      <w:r w:rsidR="00CE7628" w:rsidRPr="00694ACA">
        <w:rPr>
          <w:lang w:val="ru-RU"/>
        </w:rPr>
        <w:t> </w:t>
      </w:r>
      <w:r w:rsidRPr="00694ACA">
        <w:rPr>
          <w:lang w:val="ru-RU"/>
        </w:rPr>
        <w:t>швейцарских франков, плюс возможность установления высококачественного надежного соединения: 10</w:t>
      </w:r>
      <w:r w:rsidR="00CE7628" w:rsidRPr="00694ACA">
        <w:rPr>
          <w:lang w:val="ru-RU"/>
        </w:rPr>
        <w:t> </w:t>
      </w:r>
      <w:r w:rsidRPr="00694ACA">
        <w:rPr>
          <w:lang w:val="ru-RU"/>
        </w:rPr>
        <w:t>000 швейцарских франков) = 55</w:t>
      </w:r>
      <w:r w:rsidR="00CE7628" w:rsidRPr="00694ACA">
        <w:rPr>
          <w:lang w:val="ru-RU"/>
        </w:rPr>
        <w:t> </w:t>
      </w:r>
      <w:r w:rsidRPr="00694ACA">
        <w:rPr>
          <w:lang w:val="ru-RU"/>
        </w:rPr>
        <w:t>870 швейцарских франков;</w:t>
      </w:r>
    </w:p>
    <w:p w14:paraId="5986D15D" w14:textId="46F12945" w:rsidR="004B77F6" w:rsidRPr="00694ACA" w:rsidRDefault="004B77F6" w:rsidP="004B77F6">
      <w:pPr>
        <w:pStyle w:val="Bulletspoint11"/>
        <w:rPr>
          <w:lang w:val="ru-RU"/>
        </w:rPr>
      </w:pPr>
      <w:r w:rsidRPr="00694ACA">
        <w:rPr>
          <w:lang w:val="ru-RU"/>
        </w:rPr>
        <w:lastRenderedPageBreak/>
        <w:t>затраты на хостинг и обслуживание платформы (в настоящее время 2195 швейцарских франков в месяц, что является очень хорошей суммой) оцениваются в 2500 швейцарских франков в месяц или 30</w:t>
      </w:r>
      <w:r w:rsidR="00CE7628" w:rsidRPr="00694ACA">
        <w:rPr>
          <w:lang w:val="ru-RU"/>
        </w:rPr>
        <w:t> </w:t>
      </w:r>
      <w:r w:rsidRPr="00694ACA">
        <w:rPr>
          <w:lang w:val="ru-RU"/>
        </w:rPr>
        <w:t>000 швейцарских франков в год.</w:t>
      </w:r>
    </w:p>
    <w:p w14:paraId="2F69EEF9" w14:textId="2B223F61" w:rsidR="004B77F6" w:rsidRPr="00694ACA" w:rsidRDefault="004B77F6" w:rsidP="008B728A">
      <w:pPr>
        <w:ind w:left="-284" w:right="-472"/>
        <w:rPr>
          <w:lang w:val="ru-RU"/>
        </w:rPr>
      </w:pPr>
      <w:r w:rsidRPr="00694ACA">
        <w:rPr>
          <w:lang w:val="ru-RU"/>
        </w:rPr>
        <w:t>Если будет принято решение о необходимости создания новой цифровой платформы, то дополнительные расходы могут значительно варьироваться в зависимости от того, насколько нужно будет переработать существующую платформу и сможет ли кто-либо из партнеров МСЭ оказать поддержку.</w:t>
      </w:r>
      <w:r w:rsidR="00A579EF">
        <w:rPr>
          <w:lang w:val="ru-RU"/>
        </w:rPr>
        <w:t xml:space="preserve"> </w:t>
      </w:r>
      <w:r w:rsidRPr="00694ACA">
        <w:rPr>
          <w:lang w:val="ru-RU"/>
        </w:rPr>
        <w:t>В целом расходы могут составлять от 50</w:t>
      </w:r>
      <w:r w:rsidR="00CE7628" w:rsidRPr="00694ACA">
        <w:rPr>
          <w:lang w:val="ru-RU"/>
        </w:rPr>
        <w:t> </w:t>
      </w:r>
      <w:r w:rsidRPr="00694ACA">
        <w:rPr>
          <w:lang w:val="ru-RU"/>
        </w:rPr>
        <w:t>000 до 100</w:t>
      </w:r>
      <w:r w:rsidR="00CE7628" w:rsidRPr="00694ACA">
        <w:rPr>
          <w:lang w:val="ru-RU"/>
        </w:rPr>
        <w:t> </w:t>
      </w:r>
      <w:r w:rsidRPr="00694ACA">
        <w:rPr>
          <w:lang w:val="ru-RU"/>
        </w:rPr>
        <w:t>000 швейцарских франков, однако при этом они в значительной степени подвержены колебаниям в зависимости от требований и опыта поставщика.</w:t>
      </w:r>
      <w:r w:rsidR="00A579EF">
        <w:rPr>
          <w:lang w:val="ru-RU"/>
        </w:rPr>
        <w:t xml:space="preserve"> </w:t>
      </w:r>
      <w:r w:rsidRPr="00694ACA">
        <w:rPr>
          <w:lang w:val="ru-RU"/>
        </w:rPr>
        <w:t>Стоит отметить, что платформа Института МСЭ должна быть лучшей в рамках системы ООН, в связи с чем потребуется ее регулярное обслуживание и усовершенствование, с тем чтобы обеспечить возможность поддержания ее в соответствующем состоянии.</w:t>
      </w:r>
    </w:p>
    <w:p w14:paraId="6B53449D" w14:textId="4B9103AB" w:rsidR="004B77F6" w:rsidRPr="00694ACA" w:rsidRDefault="004B77F6" w:rsidP="008B728A">
      <w:pPr>
        <w:ind w:left="-284" w:right="-472"/>
        <w:rPr>
          <w:lang w:val="ru-RU"/>
        </w:rPr>
      </w:pPr>
      <w:r w:rsidRPr="00694ACA">
        <w:rPr>
          <w:lang w:val="ru-RU"/>
        </w:rPr>
        <w:t xml:space="preserve">151. </w:t>
      </w:r>
      <w:r w:rsidRPr="00694ACA">
        <w:rPr>
          <w:b/>
          <w:lang w:val="ru-RU"/>
        </w:rPr>
        <w:t>Дополнительные накладные расходы и расходы по проекту</w:t>
      </w:r>
      <w:r w:rsidRPr="006679E4">
        <w:rPr>
          <w:bCs/>
          <w:lang w:val="ru-RU"/>
        </w:rPr>
        <w:t>.</w:t>
      </w:r>
      <w:r w:rsidR="00A579EF">
        <w:rPr>
          <w:lang w:val="ru-RU"/>
        </w:rPr>
        <w:t xml:space="preserve"> </w:t>
      </w:r>
      <w:r w:rsidRPr="00694ACA">
        <w:rPr>
          <w:lang w:val="ru-RU"/>
        </w:rPr>
        <w:t>Помимо этих базовых расходов возникнут многочисленные дополнительные расходы, включая расходы на поездки, стипендии, размещение и наем внешних экспертов и консультантов.</w:t>
      </w:r>
      <w:r w:rsidR="00A579EF">
        <w:rPr>
          <w:lang w:val="ru-RU"/>
        </w:rPr>
        <w:t xml:space="preserve"> </w:t>
      </w:r>
      <w:r w:rsidRPr="00694ACA">
        <w:rPr>
          <w:lang w:val="ru-RU"/>
        </w:rPr>
        <w:t>Такие расходы, вероятно, будут сильно варьироваться в зависимости от того, какие именно функции Институт будет выполнять, однако на основе стандартных оценок накладных расходов, используемых МСЭ, можно произвести соответствующие приблизительные расчеты.</w:t>
      </w:r>
    </w:p>
    <w:p w14:paraId="747C208F" w14:textId="77777777" w:rsidR="004B77F6" w:rsidRPr="00694ACA" w:rsidRDefault="004B77F6" w:rsidP="008B728A">
      <w:pPr>
        <w:pStyle w:val="Heading3"/>
        <w:rPr>
          <w:lang w:val="ru-RU"/>
        </w:rPr>
      </w:pPr>
      <w:r w:rsidRPr="00694ACA">
        <w:rPr>
          <w:lang w:val="ru-RU"/>
        </w:rPr>
        <w:t>Бизнес-модели и возмещение затрат</w:t>
      </w:r>
    </w:p>
    <w:p w14:paraId="58FA12F2" w14:textId="4F1A2034" w:rsidR="004B77F6" w:rsidRPr="00694ACA" w:rsidRDefault="004B77F6" w:rsidP="00A105CB">
      <w:pPr>
        <w:ind w:left="-284" w:right="-472"/>
        <w:rPr>
          <w:rFonts w:eastAsia="Times New Roman" w:cs="Arial"/>
          <w:color w:val="404040" w:themeColor="text1" w:themeTint="BF"/>
          <w:lang w:val="ru-RU"/>
        </w:rPr>
      </w:pPr>
      <w:r w:rsidRPr="00694ACA">
        <w:rPr>
          <w:color w:val="404040" w:themeColor="text1" w:themeTint="BF"/>
          <w:lang w:val="ru-RU"/>
        </w:rPr>
        <w:t>152. Существует множество бизнес-моделей с различными источниками возмещения затрат, отвечающими требованиям тех или иных аспектов деятельности Института, которые он мог бы рассмотреть.</w:t>
      </w:r>
      <w:r w:rsidR="00A579EF">
        <w:rPr>
          <w:color w:val="404040" w:themeColor="text1" w:themeTint="BF"/>
          <w:lang w:val="ru-RU"/>
        </w:rPr>
        <w:t xml:space="preserve"> </w:t>
      </w:r>
      <w:r w:rsidRPr="00694ACA">
        <w:rPr>
          <w:color w:val="404040" w:themeColor="text1" w:themeTint="BF"/>
          <w:lang w:val="ru-RU"/>
        </w:rPr>
        <w:t>Ниже приведен краткий обзор семи из них:</w:t>
      </w:r>
    </w:p>
    <w:p w14:paraId="0CB5B7A4" w14:textId="53C07697" w:rsidR="004B77F6" w:rsidRPr="00694ACA" w:rsidRDefault="004B77F6" w:rsidP="00A105CB">
      <w:pPr>
        <w:ind w:left="-284" w:right="-472"/>
        <w:rPr>
          <w:rFonts w:eastAsia="Times New Roman" w:cs="Arial"/>
          <w:color w:val="404040" w:themeColor="text1" w:themeTint="BF"/>
          <w:lang w:val="ru-RU"/>
        </w:rPr>
      </w:pPr>
      <w:r w:rsidRPr="00694ACA">
        <w:rPr>
          <w:lang w:val="ru-RU"/>
        </w:rPr>
        <w:t xml:space="preserve">153. </w:t>
      </w:r>
      <w:r w:rsidRPr="00694ACA">
        <w:rPr>
          <w:b/>
          <w:lang w:val="ru-RU"/>
        </w:rPr>
        <w:t>Поддержка принимающей страны</w:t>
      </w:r>
      <w:r w:rsidRPr="006679E4">
        <w:rPr>
          <w:bCs/>
          <w:lang w:val="ru-RU"/>
        </w:rPr>
        <w:t xml:space="preserve">. </w:t>
      </w:r>
      <w:r w:rsidRPr="00694ACA">
        <w:rPr>
          <w:lang w:val="ru-RU"/>
        </w:rPr>
        <w:t>Большинство институтов ООН в той или иной форме финансируется за счет значительной материальной поддержки со стороны принимающей страны (и/или местных органов власти), обычно покрывающей расходы, связанные с использованием (арендой/приобретением) и эксплуатацией недвижимости, в которой размещается такой Институт, и частично расходы на кадровое обеспечение.</w:t>
      </w:r>
      <w:r w:rsidR="00A579EF">
        <w:rPr>
          <w:lang w:val="ru-RU"/>
        </w:rPr>
        <w:t xml:space="preserve"> </w:t>
      </w:r>
      <w:r w:rsidRPr="00694ACA">
        <w:rPr>
          <w:lang w:val="ru-RU"/>
        </w:rPr>
        <w:t>Для того чтобы МСЭ мог рассмотреть вопрос о создании независимого Института, необходимо, чтобы принимающая страна предоставила недвижимость, а также покрыла базовые расходы на кадровое обеспечение и текущие расходы, пожертвовав на эти цели средства в сумме не менее 50 млн долларов США</w:t>
      </w:r>
      <w:r w:rsidRPr="00694ACA">
        <w:rPr>
          <w:rStyle w:val="FootnoteReference"/>
          <w:lang w:val="ru-RU" w:bidi="ne-NP"/>
        </w:rPr>
        <w:footnoteReference w:id="190"/>
      </w:r>
      <w:r w:rsidRPr="00694ACA">
        <w:rPr>
          <w:lang w:val="ru-RU"/>
        </w:rPr>
        <w:t xml:space="preserve"> или взяв на себя обязательство ежегодно предоставлять средства в сумме 2,5 млн долларов США в течение гарантированного периода, охватывающего не менее 5</w:t>
      </w:r>
      <w:r w:rsidR="00CE7628" w:rsidRPr="00694ACA">
        <w:rPr>
          <w:lang w:val="ru-RU"/>
        </w:rPr>
        <w:t> </w:t>
      </w:r>
      <w:r w:rsidRPr="00694ACA">
        <w:rPr>
          <w:lang w:val="ru-RU"/>
        </w:rPr>
        <w:t>лет, с последующим выделением соответствующих траншей один раз в пять лет при условии удовлетворительных показателей осуществления деятельности.</w:t>
      </w:r>
      <w:r w:rsidR="00A579EF">
        <w:rPr>
          <w:lang w:val="ru-RU"/>
        </w:rPr>
        <w:t xml:space="preserve"> </w:t>
      </w:r>
      <w:r w:rsidRPr="00694ACA">
        <w:rPr>
          <w:lang w:val="ru-RU"/>
        </w:rPr>
        <w:t>Хотя последний подход обеспечил бы Институту значительно больший доход с учетом нынешнего инвестиционного климата, он был бы сопряжен с риском прекращения финансирования уже после первых пяти лет</w:t>
      </w:r>
      <w:r w:rsidR="008B728A" w:rsidRPr="00694ACA">
        <w:rPr>
          <w:rStyle w:val="FootnoteReference"/>
          <w:lang w:val="ru-RU" w:bidi="ne-NP"/>
        </w:rPr>
        <w:footnoteReference w:id="191"/>
      </w:r>
      <w:r w:rsidRPr="00694ACA">
        <w:rPr>
          <w:lang w:val="ru-RU"/>
        </w:rPr>
        <w:t>.</w:t>
      </w:r>
    </w:p>
    <w:p w14:paraId="3252CD5F" w14:textId="0D1E5DED" w:rsidR="004B77F6" w:rsidRPr="00694ACA" w:rsidRDefault="004B77F6" w:rsidP="00A105CB">
      <w:pPr>
        <w:ind w:left="-284" w:right="-472"/>
        <w:rPr>
          <w:rFonts w:eastAsia="Times New Roman" w:cs="Arial"/>
          <w:color w:val="404040" w:themeColor="text1" w:themeTint="BF"/>
          <w:lang w:val="ru-RU"/>
        </w:rPr>
      </w:pPr>
      <w:r w:rsidRPr="00694ACA">
        <w:rPr>
          <w:lang w:val="ru-RU"/>
        </w:rPr>
        <w:t xml:space="preserve">154. </w:t>
      </w:r>
      <w:r w:rsidRPr="00694ACA">
        <w:rPr>
          <w:b/>
          <w:bCs/>
          <w:lang w:val="ru-RU"/>
        </w:rPr>
        <w:t xml:space="preserve">Дополнительные взносы </w:t>
      </w:r>
      <w:r w:rsidR="00175F3F" w:rsidRPr="00694ACA">
        <w:rPr>
          <w:b/>
          <w:bCs/>
          <w:lang w:val="ru-RU"/>
        </w:rPr>
        <w:t>Государств-Членов</w:t>
      </w:r>
      <w:r w:rsidRPr="006679E4">
        <w:rPr>
          <w:lang w:val="ru-RU"/>
        </w:rPr>
        <w:t>.</w:t>
      </w:r>
      <w:r w:rsidRPr="00694ACA">
        <w:rPr>
          <w:lang w:val="ru-RU"/>
        </w:rPr>
        <w:t xml:space="preserve"> Многие институты ООН также финансируются за счет дополнительных целевых взносов </w:t>
      </w:r>
      <w:r w:rsidR="00175F3F" w:rsidRPr="00694ACA">
        <w:rPr>
          <w:lang w:val="ru-RU"/>
        </w:rPr>
        <w:t>Государств-Членов</w:t>
      </w:r>
      <w:r w:rsidRPr="00694ACA">
        <w:rPr>
          <w:lang w:val="ru-RU"/>
        </w:rPr>
        <w:t>, будь то взносы на финансирование мероприятий или эксплуатации зданий. Есть много способов поощрения стран, делающих такие дополнительные взносы. Например, в их честь можно назвать те или иные объекты (такие как студию звукозаписи или аудиторию), на всех материалах, выпускаемых Институтом, можно разместить их логотипы, или же можно организовать в их честь ежегодные мероприятия или цикл публичных лекций.</w:t>
      </w:r>
    </w:p>
    <w:p w14:paraId="2D9D713B" w14:textId="0E4AE53C" w:rsidR="004B77F6" w:rsidRPr="00694ACA" w:rsidRDefault="004B77F6" w:rsidP="00A105CB">
      <w:pPr>
        <w:ind w:left="-284" w:right="-472"/>
        <w:rPr>
          <w:rFonts w:eastAsia="Times New Roman" w:cs="Arial"/>
          <w:color w:val="404040" w:themeColor="text1" w:themeTint="BF"/>
          <w:lang w:val="ru-RU"/>
        </w:rPr>
      </w:pPr>
      <w:r w:rsidRPr="00694ACA">
        <w:rPr>
          <w:lang w:val="ru-RU"/>
        </w:rPr>
        <w:t xml:space="preserve">155. </w:t>
      </w:r>
      <w:r w:rsidRPr="00694ACA">
        <w:rPr>
          <w:b/>
          <w:bCs/>
          <w:lang w:val="ru-RU"/>
        </w:rPr>
        <w:t>Финансирование за счет регулярных членских взносов</w:t>
      </w:r>
      <w:r w:rsidRPr="006679E4">
        <w:rPr>
          <w:lang w:val="ru-RU"/>
        </w:rPr>
        <w:t>.</w:t>
      </w:r>
      <w:r w:rsidR="00A579EF">
        <w:rPr>
          <w:lang w:val="ru-RU"/>
        </w:rPr>
        <w:t xml:space="preserve"> </w:t>
      </w:r>
      <w:r w:rsidRPr="00694ACA">
        <w:rPr>
          <w:lang w:val="ru-RU"/>
        </w:rPr>
        <w:t>Взносы членов МСЭ необходимо использовать для обеспечения базовой повседневной деятельности по разработке и предоставлению всем членам основных учебных ресурсов.</w:t>
      </w:r>
      <w:r w:rsidR="00A579EF">
        <w:rPr>
          <w:lang w:val="ru-RU"/>
        </w:rPr>
        <w:t xml:space="preserve"> </w:t>
      </w:r>
      <w:r w:rsidRPr="00694ACA">
        <w:rPr>
          <w:lang w:val="ru-RU"/>
        </w:rPr>
        <w:t>В обмен на ежегодно вносимые ими взносы члены ожидают получить определенные услуги, и деятельность по развитию потенциала и проведению профессиональной подготовки является одной из наиболее значимых и наглядных из них.</w:t>
      </w:r>
      <w:r w:rsidR="00A579EF">
        <w:rPr>
          <w:lang w:val="ru-RU"/>
        </w:rPr>
        <w:t xml:space="preserve"> </w:t>
      </w:r>
      <w:r w:rsidRPr="00694ACA">
        <w:rPr>
          <w:lang w:val="ru-RU"/>
        </w:rPr>
        <w:t xml:space="preserve">Многие из опрошенных лиц высказались в пользу того, что МСЭ должен направлять </w:t>
      </w:r>
      <w:r w:rsidRPr="00694ACA">
        <w:rPr>
          <w:lang w:val="ru-RU"/>
        </w:rPr>
        <w:lastRenderedPageBreak/>
        <w:t>больше средств из своего бюджета на развитие потенциала и профессиональную подготовку</w:t>
      </w:r>
      <w:r w:rsidR="008B728A" w:rsidRPr="00694ACA">
        <w:rPr>
          <w:rStyle w:val="FootnoteReference"/>
          <w:rFonts w:eastAsia="Times New Roman" w:cs="Arial"/>
          <w:color w:val="404040" w:themeColor="text1" w:themeTint="BF"/>
          <w:lang w:val="ru-RU" w:bidi="ne-NP"/>
        </w:rPr>
        <w:footnoteReference w:id="192"/>
      </w:r>
      <w:r w:rsidRPr="00694ACA">
        <w:rPr>
          <w:lang w:val="ru-RU"/>
        </w:rPr>
        <w:t>. Взамен всем платящим взносы членам можно гарантировать бесплатное прохождение определенной специальной дополнительной подготовки (которая в противном случае предоставлялась бы на платной основе) вдобавок к той, которая в онлайновой форме находится в открытом доступе.</w:t>
      </w:r>
      <w:r w:rsidR="00A579EF">
        <w:rPr>
          <w:lang w:val="ru-RU"/>
        </w:rPr>
        <w:t xml:space="preserve"> </w:t>
      </w:r>
      <w:r w:rsidRPr="00694ACA">
        <w:rPr>
          <w:lang w:val="ru-RU"/>
        </w:rPr>
        <w:t>Дальнейшее обучение члены могли бы проходить за дополнительную плату. Такой вариант потребует существенной реструктуризации предоставляемой МСЭ централизованной поддержки в области развития потенциала и профессиональной подготовки, объем которой, по оценкам, составляет лишь около 2–3 % от общей суммы расходов.</w:t>
      </w:r>
    </w:p>
    <w:p w14:paraId="0C0DB55C" w14:textId="08500D42" w:rsidR="004B77F6" w:rsidRPr="00694ACA" w:rsidRDefault="004B77F6" w:rsidP="00A105CB">
      <w:pPr>
        <w:ind w:left="-284" w:right="-472"/>
        <w:rPr>
          <w:rFonts w:eastAsia="Times New Roman" w:cs="Arial"/>
          <w:color w:val="404040" w:themeColor="text1" w:themeTint="BF"/>
          <w:lang w:val="ru-RU"/>
        </w:rPr>
      </w:pPr>
      <w:r w:rsidRPr="00694ACA">
        <w:rPr>
          <w:lang w:val="ru-RU"/>
        </w:rPr>
        <w:t xml:space="preserve">156. </w:t>
      </w:r>
      <w:r w:rsidRPr="00694ACA">
        <w:rPr>
          <w:b/>
          <w:bCs/>
          <w:lang w:val="ru-RU"/>
        </w:rPr>
        <w:t>Финансирование конкретных проектов совместно с партнерами</w:t>
      </w:r>
      <w:r w:rsidRPr="006679E4">
        <w:rPr>
          <w:lang w:val="ru-RU"/>
        </w:rPr>
        <w:t>.</w:t>
      </w:r>
      <w:r w:rsidRPr="00694ACA">
        <w:rPr>
          <w:lang w:val="ru-RU"/>
        </w:rPr>
        <w:t xml:space="preserve"> В настоящее время проекты МСЭ частично финансируются за счет средств партнеров, хотя МСЭ также часто вносит свой вклад в это.</w:t>
      </w:r>
      <w:r w:rsidR="00A579EF">
        <w:rPr>
          <w:lang w:val="ru-RU"/>
        </w:rPr>
        <w:t xml:space="preserve"> </w:t>
      </w:r>
      <w:r w:rsidRPr="00694ACA">
        <w:rPr>
          <w:lang w:val="ru-RU"/>
        </w:rPr>
        <w:t>Такие договоренности можно было бы сохранить, однако Институту крайне важно установить четкие принципы и методы реализации партнерства, с тем чтобы выполнение соответствующих договоренностей осуществлялось в соответствии с ними.</w:t>
      </w:r>
      <w:r w:rsidR="00A579EF">
        <w:rPr>
          <w:lang w:val="ru-RU"/>
        </w:rPr>
        <w:t xml:space="preserve"> </w:t>
      </w:r>
      <w:r w:rsidRPr="00694ACA">
        <w:rPr>
          <w:lang w:val="ru-RU"/>
        </w:rPr>
        <w:t>Кроме того, Институт вместе с партнерами мог бы участвовать в тендерах на проведение совместных мероприятий по развитию потенциала и профессиональной подготовке при содействии третьих сторон, таких как многосторонние или двусторонние донорские организации и фонды. Разработка новых учебных курсов, онлайновая версия которых будет находит</w:t>
      </w:r>
      <w:r w:rsidR="00CC7C38" w:rsidRPr="00694ACA">
        <w:rPr>
          <w:lang w:val="ru-RU"/>
        </w:rPr>
        <w:t>ь</w:t>
      </w:r>
      <w:r w:rsidRPr="00694ACA">
        <w:rPr>
          <w:lang w:val="ru-RU"/>
        </w:rPr>
        <w:t>ся в свободном доступе для самостоятельного обучения, предоставит Институту прекрасную возможность объединить усилия с партнерами, в частности с учреждениями ООН, работающими в смежных областях.</w:t>
      </w:r>
    </w:p>
    <w:p w14:paraId="04F3447F" w14:textId="5F7E352B" w:rsidR="004B77F6" w:rsidRPr="00694ACA" w:rsidRDefault="004B77F6" w:rsidP="00A105CB">
      <w:pPr>
        <w:ind w:left="-284" w:right="-472"/>
        <w:rPr>
          <w:rFonts w:eastAsia="Times New Roman" w:cs="Arial"/>
          <w:color w:val="404040" w:themeColor="text1" w:themeTint="BF"/>
          <w:lang w:val="ru-RU"/>
        </w:rPr>
      </w:pPr>
      <w:r w:rsidRPr="00694ACA">
        <w:rPr>
          <w:lang w:val="ru-RU"/>
        </w:rPr>
        <w:t xml:space="preserve">157. </w:t>
      </w:r>
      <w:r w:rsidRPr="00694ACA">
        <w:rPr>
          <w:b/>
          <w:bCs/>
          <w:lang w:val="ru-RU"/>
        </w:rPr>
        <w:t>Финансирование со стороны партнеров</w:t>
      </w:r>
      <w:r w:rsidRPr="006679E4">
        <w:rPr>
          <w:lang w:val="ru-RU"/>
        </w:rPr>
        <w:t>.</w:t>
      </w:r>
      <w:r w:rsidR="00A579EF">
        <w:rPr>
          <w:lang w:val="ru-RU"/>
        </w:rPr>
        <w:t xml:space="preserve"> </w:t>
      </w:r>
      <w:r w:rsidRPr="00694ACA">
        <w:rPr>
          <w:lang w:val="ru-RU"/>
        </w:rPr>
        <w:t xml:space="preserve">Взаимоотношения с партнерами по развитию потенциала и профессиональной подготовке в рамках МСЭ несут в себе фактор риска, заключающийся в субъективной предвзятости, будь то в отношении той или иной компании, организации гражданского общества или </w:t>
      </w:r>
      <w:r w:rsidR="00175F3F" w:rsidRPr="00694ACA">
        <w:rPr>
          <w:lang w:val="ru-RU"/>
        </w:rPr>
        <w:t>Государства-Члена</w:t>
      </w:r>
      <w:r w:rsidRPr="00694ACA">
        <w:rPr>
          <w:lang w:val="ru-RU"/>
        </w:rPr>
        <w:t>.</w:t>
      </w:r>
      <w:r w:rsidR="00A579EF">
        <w:rPr>
          <w:lang w:val="ru-RU"/>
        </w:rPr>
        <w:t xml:space="preserve"> </w:t>
      </w:r>
      <w:r w:rsidRPr="00694ACA">
        <w:rPr>
          <w:lang w:val="ru-RU"/>
        </w:rPr>
        <w:t>Однако после того как будут установлены всеобъемлющие и прозрачные условия партнерства, появится возможность использования еще одного механизма финансирования — прямой поддержки со стороны партнеров.</w:t>
      </w:r>
      <w:r w:rsidR="00A579EF">
        <w:rPr>
          <w:lang w:val="ru-RU"/>
        </w:rPr>
        <w:t xml:space="preserve"> </w:t>
      </w:r>
      <w:r w:rsidRPr="00694ACA">
        <w:rPr>
          <w:lang w:val="ru-RU"/>
        </w:rPr>
        <w:t>В идеале такой механизм финансирования нужно было бы реализовать путем предоставления Институту средств непосредственно от партнера, однако это труднодостижимо, и чаще всего партнеры вносят свой вклад в неденежной форме.</w:t>
      </w:r>
      <w:r w:rsidR="00A579EF">
        <w:rPr>
          <w:lang w:val="ru-RU"/>
        </w:rPr>
        <w:t xml:space="preserve"> </w:t>
      </w:r>
    </w:p>
    <w:p w14:paraId="039766DA" w14:textId="75CE8FC8" w:rsidR="004B77F6" w:rsidRPr="00694ACA" w:rsidRDefault="004B77F6" w:rsidP="00A105CB">
      <w:pPr>
        <w:ind w:left="-284" w:right="-472"/>
        <w:rPr>
          <w:rFonts w:eastAsia="Times New Roman" w:cs="Arial"/>
          <w:color w:val="404040" w:themeColor="text1" w:themeTint="BF"/>
          <w:lang w:val="ru-RU"/>
        </w:rPr>
      </w:pPr>
      <w:r w:rsidRPr="00694ACA">
        <w:rPr>
          <w:lang w:val="ru-RU"/>
        </w:rPr>
        <w:t xml:space="preserve">158. </w:t>
      </w:r>
      <w:r w:rsidRPr="00694ACA">
        <w:rPr>
          <w:b/>
          <w:bCs/>
          <w:lang w:val="ru-RU"/>
        </w:rPr>
        <w:t xml:space="preserve">Взимание платы за услуги по </w:t>
      </w:r>
      <w:r w:rsidR="009421AE" w:rsidRPr="00694ACA">
        <w:rPr>
          <w:b/>
          <w:bCs/>
          <w:lang w:val="ru-RU"/>
        </w:rPr>
        <w:t>развитию потенциала</w:t>
      </w:r>
      <w:r w:rsidRPr="00694ACA">
        <w:rPr>
          <w:b/>
          <w:bCs/>
          <w:lang w:val="ru-RU"/>
        </w:rPr>
        <w:t xml:space="preserve"> и проведению профессиональной подготовки на уровне себестоимости или по сниженной ставке</w:t>
      </w:r>
      <w:r w:rsidRPr="006679E4">
        <w:rPr>
          <w:lang w:val="ru-RU"/>
        </w:rPr>
        <w:t>.</w:t>
      </w:r>
      <w:r w:rsidR="00A579EF">
        <w:rPr>
          <w:lang w:val="ru-RU"/>
        </w:rPr>
        <w:t xml:space="preserve"> </w:t>
      </w:r>
      <w:r w:rsidRPr="00694ACA">
        <w:rPr>
          <w:lang w:val="ru-RU"/>
        </w:rPr>
        <w:t xml:space="preserve">В идеале, как отмечалось выше, все мероприятия Института </w:t>
      </w:r>
      <w:r w:rsidR="00367DAA" w:rsidRPr="00694ACA">
        <w:rPr>
          <w:lang w:val="ru-RU"/>
        </w:rPr>
        <w:t>по развитию потенциала и профессиональной подготовке</w:t>
      </w:r>
      <w:r w:rsidRPr="00694ACA">
        <w:rPr>
          <w:lang w:val="ru-RU"/>
        </w:rPr>
        <w:t xml:space="preserve"> должны быть доступны для правительств </w:t>
      </w:r>
      <w:r w:rsidR="00175F3F" w:rsidRPr="00694ACA">
        <w:rPr>
          <w:lang w:val="ru-RU"/>
        </w:rPr>
        <w:t xml:space="preserve">Государств-Членов </w:t>
      </w:r>
      <w:r w:rsidRPr="00694ACA">
        <w:rPr>
          <w:lang w:val="ru-RU"/>
        </w:rPr>
        <w:t>и регуляторных органов на бесплатной основе</w:t>
      </w:r>
      <w:r w:rsidRPr="00694ACA">
        <w:rPr>
          <w:rStyle w:val="FootnoteReference"/>
          <w:rFonts w:eastAsia="Times New Roman" w:cs="Arial"/>
          <w:color w:val="404040" w:themeColor="text1" w:themeTint="BF"/>
          <w:lang w:val="ru-RU" w:bidi="ne-NP"/>
        </w:rPr>
        <w:footnoteReference w:id="193"/>
      </w:r>
      <w:r w:rsidRPr="00694ACA">
        <w:rPr>
          <w:lang w:val="ru-RU"/>
        </w:rPr>
        <w:t>. Однако это не всегда возможно, и тогда возникает вопрос о цене, которую другие лица (в том числе те, которые не являются членами) должны платить за прохождение такого обучения.</w:t>
      </w:r>
      <w:r w:rsidR="00A579EF">
        <w:rPr>
          <w:lang w:val="ru-RU"/>
        </w:rPr>
        <w:t xml:space="preserve"> </w:t>
      </w:r>
      <w:r w:rsidRPr="00694ACA">
        <w:rPr>
          <w:lang w:val="ru-RU"/>
        </w:rPr>
        <w:t xml:space="preserve">Крайне важно обеспечить четкий и последовательный расчет реальных расходов на планирование, разработку и проведение всех мероприятий </w:t>
      </w:r>
      <w:r w:rsidR="00367DAA" w:rsidRPr="00694ACA">
        <w:rPr>
          <w:lang w:val="ru-RU"/>
        </w:rPr>
        <w:t>по развитию потенциала и профессиональной подготовке</w:t>
      </w:r>
      <w:r w:rsidRPr="00694ACA">
        <w:rPr>
          <w:lang w:val="ru-RU"/>
        </w:rPr>
        <w:t>, осуществляемых Институтом.</w:t>
      </w:r>
      <w:r w:rsidR="00A579EF">
        <w:rPr>
          <w:lang w:val="ru-RU"/>
        </w:rPr>
        <w:t xml:space="preserve"> </w:t>
      </w:r>
      <w:r w:rsidRPr="00694ACA">
        <w:rPr>
          <w:lang w:val="ru-RU"/>
        </w:rPr>
        <w:t>После того как такие расчеты будут произведены, Институт сможет оценить количество людей, которые нуждаются в прохождении соответствующей подготовки, и определить цену предоставления таких услуг, достаточную для покрытия расходов, что позволит взимать соответствующую плату.</w:t>
      </w:r>
      <w:r w:rsidR="00A579EF">
        <w:rPr>
          <w:lang w:val="ru-RU"/>
        </w:rPr>
        <w:t xml:space="preserve"> </w:t>
      </w:r>
      <w:r w:rsidRPr="00694ACA">
        <w:rPr>
          <w:lang w:val="ru-RU"/>
        </w:rPr>
        <w:t>При этом можно было бы также рассмотреть возможность дифференцированного взимания платы, с тем чтобы те, кто в наименьшей степени могут позволить себе участвовать, оплачивали бы лишь часть суммы общих расходов.</w:t>
      </w:r>
    </w:p>
    <w:p w14:paraId="62515AD6" w14:textId="59B079FF" w:rsidR="004B77F6" w:rsidRPr="00694ACA" w:rsidRDefault="004B77F6" w:rsidP="00A105CB">
      <w:pPr>
        <w:ind w:left="-284" w:right="-472"/>
        <w:rPr>
          <w:rFonts w:eastAsia="Times New Roman" w:cs="Arial"/>
          <w:color w:val="404040" w:themeColor="text1" w:themeTint="BF"/>
          <w:lang w:val="ru-RU"/>
        </w:rPr>
      </w:pPr>
      <w:r w:rsidRPr="00694ACA">
        <w:rPr>
          <w:lang w:val="ru-RU"/>
        </w:rPr>
        <w:t xml:space="preserve">159. </w:t>
      </w:r>
      <w:r w:rsidRPr="00694ACA">
        <w:rPr>
          <w:b/>
          <w:bCs/>
          <w:lang w:val="ru-RU"/>
        </w:rPr>
        <w:t>Тендер на осуществление тех или иных видов деятельности</w:t>
      </w:r>
      <w:r w:rsidRPr="006679E4">
        <w:rPr>
          <w:lang w:val="ru-RU"/>
        </w:rPr>
        <w:t>.</w:t>
      </w:r>
      <w:r w:rsidR="00A579EF">
        <w:rPr>
          <w:lang w:val="ru-RU"/>
        </w:rPr>
        <w:t xml:space="preserve"> </w:t>
      </w:r>
      <w:r w:rsidRPr="00694ACA">
        <w:rPr>
          <w:lang w:val="ru-RU"/>
        </w:rPr>
        <w:t>Еще один способ получения дохода Институтом — проведение тендеров на осуществление дополнительных мероприятий наряду с основной деятельностью.</w:t>
      </w:r>
      <w:r w:rsidR="00A579EF">
        <w:rPr>
          <w:lang w:val="ru-RU"/>
        </w:rPr>
        <w:t xml:space="preserve"> </w:t>
      </w:r>
      <w:r w:rsidRPr="00694ACA">
        <w:rPr>
          <w:lang w:val="ru-RU"/>
        </w:rPr>
        <w:t>Это важный инструмент, который позволил бы увеличить число сотрудников и расширить их знания и опыт, после чего эти поступления можно было бы реинвестировать в источник доходов Института, что позволило бы нанять дополнительный персонал.</w:t>
      </w:r>
      <w:r w:rsidR="00A579EF">
        <w:rPr>
          <w:lang w:val="ru-RU"/>
        </w:rPr>
        <w:t xml:space="preserve"> </w:t>
      </w:r>
      <w:r w:rsidRPr="00694ACA">
        <w:rPr>
          <w:lang w:val="ru-RU"/>
        </w:rPr>
        <w:t>В то же время чрезмерная ориентация на получение финансирования за счет внешних источников может отвлечь Институт от его основной деятельности по предоставлению услуг членам МСЭ.</w:t>
      </w:r>
    </w:p>
    <w:p w14:paraId="6616B2EF" w14:textId="620D0EB6" w:rsidR="004B77F6" w:rsidRPr="00694ACA" w:rsidRDefault="004B77F6" w:rsidP="008B728A">
      <w:pPr>
        <w:pStyle w:val="Heading1"/>
        <w:rPr>
          <w:rFonts w:cs="Times New Roman"/>
          <w:lang w:val="ru-RU"/>
        </w:rPr>
      </w:pPr>
      <w:bookmarkStart w:id="406" w:name="_Toc65251982"/>
      <w:bookmarkStart w:id="407" w:name="_Toc71060747"/>
      <w:r w:rsidRPr="00694ACA">
        <w:rPr>
          <w:lang w:val="ru-RU"/>
        </w:rPr>
        <w:lastRenderedPageBreak/>
        <w:t>Раздел 10: Рекомендации</w:t>
      </w:r>
      <w:bookmarkEnd w:id="406"/>
      <w:bookmarkEnd w:id="407"/>
    </w:p>
    <w:p w14:paraId="0FDB69F2" w14:textId="596CA4E1" w:rsidR="004B77F6" w:rsidRPr="00694ACA" w:rsidRDefault="004B77F6" w:rsidP="00A105CB">
      <w:pPr>
        <w:ind w:left="-284" w:right="-472"/>
        <w:rPr>
          <w:rFonts w:eastAsia="Times New Roman" w:cs="Arial"/>
          <w:color w:val="404040" w:themeColor="text1" w:themeTint="BF"/>
          <w:lang w:val="ru-RU"/>
        </w:rPr>
      </w:pPr>
      <w:r w:rsidRPr="00694ACA">
        <w:rPr>
          <w:color w:val="404040" w:themeColor="text1" w:themeTint="BF"/>
          <w:lang w:val="ru-RU"/>
        </w:rPr>
        <w:t xml:space="preserve">160. Любая стратегия МСЭ в области </w:t>
      </w:r>
      <w:r w:rsidR="00367DAA" w:rsidRPr="00694ACA">
        <w:rPr>
          <w:color w:val="404040" w:themeColor="text1" w:themeTint="BF"/>
          <w:lang w:val="ru-RU"/>
        </w:rPr>
        <w:t>развития потенциала и профессиональной подготовки</w:t>
      </w:r>
      <w:r w:rsidRPr="00694ACA">
        <w:rPr>
          <w:color w:val="404040" w:themeColor="text1" w:themeTint="BF"/>
          <w:lang w:val="ru-RU"/>
        </w:rPr>
        <w:t>, которая будет разработана в будущем на более долгосрочную перспективу, в значительной степени обусловлена планами и решениями членов МСЭ, а также связанными с ним политическими и культурными факторами в более широком контексте.</w:t>
      </w:r>
      <w:r w:rsidR="00A579EF">
        <w:rPr>
          <w:color w:val="404040" w:themeColor="text1" w:themeTint="BF"/>
          <w:lang w:val="ru-RU"/>
        </w:rPr>
        <w:t xml:space="preserve"> </w:t>
      </w:r>
      <w:r w:rsidRPr="00694ACA">
        <w:rPr>
          <w:color w:val="404040" w:themeColor="text1" w:themeTint="BF"/>
          <w:lang w:val="ru-RU"/>
        </w:rPr>
        <w:t>Кроме того, существуют значительные ограничения структурного характера, как, например, действующие соглашения с ЦПМ, а также необходимость согласования любых кардинальных изменений на основе проведения конференций МСЭ (Полномочной конференции, ВКР, ВКРЭ, ВАСЭ), что означает, что любые существенные изменения, возможно, придется осуществлять поэтапно в течение нескольких лет.</w:t>
      </w:r>
      <w:r w:rsidR="00A579EF">
        <w:rPr>
          <w:color w:val="404040" w:themeColor="text1" w:themeTint="BF"/>
          <w:lang w:val="ru-RU"/>
        </w:rPr>
        <w:t xml:space="preserve"> </w:t>
      </w:r>
      <w:r w:rsidRPr="00694ACA">
        <w:rPr>
          <w:color w:val="404040" w:themeColor="text1" w:themeTint="BF"/>
          <w:lang w:val="ru-RU"/>
        </w:rPr>
        <w:t>Необходимо будет также разработать стратегии прекращения деятельности по тем направлениям, которые потеряли свою актуальность.</w:t>
      </w:r>
      <w:r w:rsidR="00A579EF">
        <w:rPr>
          <w:color w:val="404040" w:themeColor="text1" w:themeTint="BF"/>
          <w:lang w:val="ru-RU"/>
        </w:rPr>
        <w:t xml:space="preserve"> </w:t>
      </w:r>
    </w:p>
    <w:p w14:paraId="6F7C2AB3" w14:textId="2CB7E7A5" w:rsidR="004B77F6" w:rsidRPr="00694ACA" w:rsidRDefault="004B77F6" w:rsidP="00A105CB">
      <w:pPr>
        <w:ind w:left="-284" w:right="-472"/>
        <w:rPr>
          <w:rFonts w:eastAsia="Times New Roman" w:cs="Arial"/>
          <w:color w:val="404040" w:themeColor="text1" w:themeTint="BF"/>
          <w:lang w:val="ru-RU"/>
        </w:rPr>
      </w:pPr>
      <w:r w:rsidRPr="00694ACA">
        <w:rPr>
          <w:color w:val="404040" w:themeColor="text1" w:themeTint="BF"/>
          <w:lang w:val="ru-RU"/>
        </w:rPr>
        <w:t xml:space="preserve">161. </w:t>
      </w:r>
      <w:r w:rsidRPr="00694ACA">
        <w:rPr>
          <w:lang w:val="ru-RU"/>
        </w:rPr>
        <w:t>В основе представленных ниже рекомендаций лежат фактические данные, собранные в результате анализа существующей практики МСЭ (</w:t>
      </w:r>
      <w:r w:rsidR="00EC7637" w:rsidRPr="00694ACA">
        <w:rPr>
          <w:lang w:val="ru-RU"/>
        </w:rPr>
        <w:t xml:space="preserve">раздел </w:t>
      </w:r>
      <w:r w:rsidRPr="00694ACA">
        <w:rPr>
          <w:lang w:val="ru-RU"/>
        </w:rPr>
        <w:t>4), развитие практики других организациях (</w:t>
      </w:r>
      <w:r w:rsidR="00EC7637" w:rsidRPr="00694ACA">
        <w:rPr>
          <w:lang w:val="ru-RU"/>
        </w:rPr>
        <w:t xml:space="preserve">раздел </w:t>
      </w:r>
      <w:r w:rsidRPr="00694ACA">
        <w:rPr>
          <w:lang w:val="ru-RU"/>
        </w:rPr>
        <w:t>8) и мнения заинтересованных сторон, а также существующие примеры передового опыта других организаций в области развития потенциала и профессиональной подготовки.</w:t>
      </w:r>
      <w:r w:rsidR="00A579EF">
        <w:rPr>
          <w:color w:val="404040" w:themeColor="text1" w:themeTint="BF"/>
          <w:lang w:val="ru-RU"/>
        </w:rPr>
        <w:t xml:space="preserve"> </w:t>
      </w:r>
      <w:r w:rsidRPr="00694ACA">
        <w:rPr>
          <w:color w:val="404040" w:themeColor="text1" w:themeTint="BF"/>
          <w:lang w:val="ru-RU"/>
        </w:rPr>
        <w:t xml:space="preserve">Стоит также отметить, что цель этих рекомендаций состоит в том, чтобы в будущем МСЭ вышел за рамки адекватного и обычного и обеспечил как можно более высокий уровень качества развития потенциала и профессиональной подготовки с учетом потребностей </w:t>
      </w:r>
      <w:r w:rsidR="00175F3F" w:rsidRPr="00694ACA">
        <w:rPr>
          <w:color w:val="404040" w:themeColor="text1" w:themeTint="BF"/>
          <w:lang w:val="ru-RU"/>
        </w:rPr>
        <w:t>Государств</w:t>
      </w:r>
      <w:r w:rsidRPr="00694ACA">
        <w:rPr>
          <w:color w:val="404040" w:themeColor="text1" w:themeTint="BF"/>
          <w:lang w:val="ru-RU"/>
        </w:rPr>
        <w:t>-</w:t>
      </w:r>
      <w:r w:rsidR="00175F3F" w:rsidRPr="00694ACA">
        <w:rPr>
          <w:color w:val="404040" w:themeColor="text1" w:themeTint="BF"/>
          <w:lang w:val="ru-RU"/>
        </w:rPr>
        <w:t>Членов</w:t>
      </w:r>
      <w:r w:rsidRPr="00694ACA">
        <w:rPr>
          <w:rStyle w:val="FootnoteReference"/>
          <w:rFonts w:eastAsia="Times New Roman" w:cs="Arial"/>
          <w:color w:val="404040" w:themeColor="text1" w:themeTint="BF"/>
          <w:lang w:val="ru-RU" w:bidi="ne-NP"/>
        </w:rPr>
        <w:footnoteReference w:id="194"/>
      </w:r>
      <w:r w:rsidRPr="00694ACA">
        <w:rPr>
          <w:color w:val="404040" w:themeColor="text1" w:themeTint="BF"/>
          <w:lang w:val="ru-RU"/>
        </w:rPr>
        <w:t>, компаний из частного сектора и организаций гражданского общества.</w:t>
      </w:r>
    </w:p>
    <w:p w14:paraId="097F014D" w14:textId="2001252D" w:rsidR="004B77F6" w:rsidRPr="00694ACA" w:rsidRDefault="004B77F6" w:rsidP="00A105CB">
      <w:pPr>
        <w:pStyle w:val="Heading2"/>
        <w:ind w:right="-472"/>
        <w:rPr>
          <w:rFonts w:cs="Times New Roman"/>
          <w:lang w:val="ru-RU"/>
        </w:rPr>
      </w:pPr>
      <w:r w:rsidRPr="00694ACA">
        <w:rPr>
          <w:lang w:val="ru-RU"/>
        </w:rPr>
        <w:t>10.1 Рекомендации на краткосрочную перспективу</w:t>
      </w:r>
    </w:p>
    <w:p w14:paraId="6861AC94" w14:textId="3244DE45" w:rsidR="004B77F6" w:rsidRPr="00694ACA" w:rsidRDefault="004B77F6" w:rsidP="00A105CB">
      <w:pPr>
        <w:ind w:left="-284" w:right="-472"/>
        <w:rPr>
          <w:lang w:val="ru-RU"/>
        </w:rPr>
      </w:pPr>
      <w:r w:rsidRPr="00694ACA">
        <w:rPr>
          <w:color w:val="404040" w:themeColor="text1" w:themeTint="BF"/>
          <w:lang w:val="ru-RU"/>
        </w:rPr>
        <w:t xml:space="preserve">162. В настоящем разделе приведены десять связанных друг с другом рекомендаций с акцентом на фундаментальных практических мерах, которые необходимо принять в течение следующих шести месяцев для повышения эффективности деятельности МСЭ </w:t>
      </w:r>
      <w:r w:rsidR="00367DAA" w:rsidRPr="00694ACA">
        <w:rPr>
          <w:color w:val="404040" w:themeColor="text1" w:themeTint="BF"/>
          <w:lang w:val="ru-RU"/>
        </w:rPr>
        <w:t>по развитию потенциала и профессиональной подготовке</w:t>
      </w:r>
      <w:r w:rsidRPr="00694ACA">
        <w:rPr>
          <w:color w:val="404040" w:themeColor="text1" w:themeTint="BF"/>
          <w:lang w:val="ru-RU"/>
        </w:rPr>
        <w:t>.</w:t>
      </w:r>
      <w:r w:rsidR="00A579EF">
        <w:rPr>
          <w:color w:val="404040" w:themeColor="text1" w:themeTint="BF"/>
          <w:lang w:val="ru-RU"/>
        </w:rPr>
        <w:t xml:space="preserve"> </w:t>
      </w:r>
      <w:r w:rsidRPr="00694ACA">
        <w:rPr>
          <w:color w:val="404040" w:themeColor="text1" w:themeTint="BF"/>
          <w:lang w:val="ru-RU"/>
        </w:rPr>
        <w:t>Все эти меры необходимо предпринять независимо от того, какую долгосрочную рекомендацию на практике выберет МСЭ.</w:t>
      </w:r>
      <w:r w:rsidR="00A579EF">
        <w:rPr>
          <w:color w:val="404040" w:themeColor="text1" w:themeTint="BF"/>
          <w:lang w:val="ru-RU"/>
        </w:rPr>
        <w:t xml:space="preserve"> </w:t>
      </w:r>
      <w:r w:rsidRPr="00694ACA">
        <w:rPr>
          <w:color w:val="404040" w:themeColor="text1" w:themeTint="BF"/>
          <w:lang w:val="ru-RU"/>
        </w:rPr>
        <w:t>Хотя все они относятся к МСЭ в целом, во многих случаях естественным лидером в их реализации на начальном этапе будет БРЭ.</w:t>
      </w:r>
      <w:r w:rsidR="00A579EF">
        <w:rPr>
          <w:color w:val="404040" w:themeColor="text1" w:themeTint="BF"/>
          <w:lang w:val="ru-RU"/>
        </w:rPr>
        <w:t xml:space="preserve"> </w:t>
      </w:r>
      <w:r w:rsidRPr="00694ACA">
        <w:rPr>
          <w:color w:val="404040" w:themeColor="text1" w:themeTint="BF"/>
          <w:lang w:val="ru-RU"/>
        </w:rPr>
        <w:t xml:space="preserve">Рекомендации не только важны сами по себе, но и закладывают основу для создания принципиально иного подхода к </w:t>
      </w:r>
      <w:r w:rsidR="009421AE" w:rsidRPr="00694ACA">
        <w:rPr>
          <w:color w:val="404040" w:themeColor="text1" w:themeTint="BF"/>
          <w:lang w:val="ru-RU"/>
        </w:rPr>
        <w:t>развитию потенциала и профессиональной подготовке</w:t>
      </w:r>
      <w:r w:rsidRPr="00694ACA">
        <w:rPr>
          <w:color w:val="404040" w:themeColor="text1" w:themeTint="BF"/>
          <w:lang w:val="ru-RU"/>
        </w:rPr>
        <w:t xml:space="preserve"> в рамках МСЭ, который более подробно рассматривается в следующем разделе, посвященном рекомендациям на долгосрочную перспективу.</w:t>
      </w:r>
      <w:r w:rsidR="00A579EF">
        <w:rPr>
          <w:color w:val="404040" w:themeColor="text1" w:themeTint="BF"/>
          <w:lang w:val="ru-RU"/>
        </w:rPr>
        <w:t xml:space="preserve"> </w:t>
      </w:r>
    </w:p>
    <w:p w14:paraId="0626A028" w14:textId="77777777" w:rsidR="004B77F6" w:rsidRPr="00694ACA" w:rsidRDefault="004B77F6" w:rsidP="00A105CB">
      <w:pPr>
        <w:pStyle w:val="Heading3"/>
        <w:ind w:right="-472"/>
        <w:rPr>
          <w:lang w:val="ru-RU"/>
        </w:rPr>
      </w:pPr>
      <w:r w:rsidRPr="00694ACA">
        <w:rPr>
          <w:lang w:val="ru-RU"/>
        </w:rPr>
        <w:t>Краткосрочная рекомендация № 1: последовательная и комплексная стратегия и подход</w:t>
      </w:r>
    </w:p>
    <w:p w14:paraId="12DAD1B6" w14:textId="55699751" w:rsidR="004B77F6" w:rsidRPr="00694ACA" w:rsidRDefault="004B77F6" w:rsidP="00A105CB">
      <w:pPr>
        <w:ind w:left="-284" w:right="-472"/>
        <w:rPr>
          <w:lang w:val="ru-RU"/>
        </w:rPr>
      </w:pPr>
      <w:r w:rsidRPr="00694ACA">
        <w:rPr>
          <w:lang w:val="ru-RU"/>
        </w:rPr>
        <w:t>163.</w:t>
      </w:r>
      <w:r w:rsidRPr="00694ACA">
        <w:rPr>
          <w:b/>
          <w:lang w:val="ru-RU"/>
        </w:rPr>
        <w:t xml:space="preserve"> МСЭ необходимо разработать всеобъемлющую официальную стратегию </w:t>
      </w:r>
      <w:r w:rsidR="00367DAA" w:rsidRPr="00694ACA">
        <w:rPr>
          <w:b/>
          <w:lang w:val="ru-RU"/>
        </w:rPr>
        <w:t>развития потенциала и профессиональной подготовки</w:t>
      </w:r>
      <w:r w:rsidRPr="00694ACA">
        <w:rPr>
          <w:b/>
          <w:lang w:val="ru-RU"/>
        </w:rPr>
        <w:t>, с тем чтобы сотрудники организации точно знали, к чему они стремятся, а существующие и потенциальные пользователи имели четкое представление о том, чего они могут ожидать</w:t>
      </w:r>
      <w:r w:rsidRPr="006679E4">
        <w:rPr>
          <w:bCs/>
          <w:lang w:val="ru-RU"/>
        </w:rPr>
        <w:t>.</w:t>
      </w:r>
      <w:r w:rsidR="00A579EF">
        <w:rPr>
          <w:bCs/>
          <w:lang w:val="ru-RU"/>
        </w:rPr>
        <w:t xml:space="preserve"> </w:t>
      </w:r>
      <w:r w:rsidRPr="00694ACA">
        <w:rPr>
          <w:lang w:val="ru-RU"/>
        </w:rPr>
        <w:t>В частности, при разработке такой стратегии следует учесть следующие ключевые факторы:</w:t>
      </w:r>
    </w:p>
    <w:p w14:paraId="6FABE8EA" w14:textId="45C7865F" w:rsidR="004B77F6" w:rsidRPr="00694ACA" w:rsidRDefault="004B77F6" w:rsidP="004B77F6">
      <w:pPr>
        <w:pStyle w:val="Bulletspoint11"/>
        <w:rPr>
          <w:lang w:val="ru-RU"/>
        </w:rPr>
      </w:pPr>
      <w:r w:rsidRPr="00694ACA">
        <w:rPr>
          <w:lang w:val="ru-RU"/>
        </w:rPr>
        <w:t xml:space="preserve">в ней необходимо четко определить те направления </w:t>
      </w:r>
      <w:r w:rsidR="00367DAA" w:rsidRPr="00694ACA">
        <w:rPr>
          <w:lang w:val="ru-RU"/>
        </w:rPr>
        <w:t>развития потенциала</w:t>
      </w:r>
      <w:r w:rsidRPr="00694ACA">
        <w:rPr>
          <w:lang w:val="ru-RU"/>
        </w:rPr>
        <w:t xml:space="preserve"> (институционального, организационного и/или индивидуального), которые являются основными для МСЭ;</w:t>
      </w:r>
    </w:p>
    <w:p w14:paraId="311342E2" w14:textId="1B0F5D14" w:rsidR="004B77F6" w:rsidRPr="00694ACA" w:rsidRDefault="004B77F6" w:rsidP="004B77F6">
      <w:pPr>
        <w:pStyle w:val="Bulletspoint11"/>
        <w:rPr>
          <w:lang w:val="ru-RU"/>
        </w:rPr>
      </w:pPr>
      <w:r w:rsidRPr="00694ACA">
        <w:rPr>
          <w:lang w:val="ru-RU"/>
        </w:rPr>
        <w:t>она должна охватывать весь спектр деятельности МСЭ, включая все соответствующие Сектора и группы, действующие в рамках МСЭ (особенно БР, БРЭ, БСЭ, а также отдел по людским ресурсам при ГС);</w:t>
      </w:r>
    </w:p>
    <w:p w14:paraId="4AF9A4E7" w14:textId="207FCB41" w:rsidR="004B77F6" w:rsidRPr="00694ACA" w:rsidRDefault="004B77F6" w:rsidP="004B77F6">
      <w:pPr>
        <w:pStyle w:val="Bulletspoint11"/>
        <w:rPr>
          <w:lang w:val="ru-RU"/>
        </w:rPr>
      </w:pPr>
      <w:r w:rsidRPr="00694ACA">
        <w:rPr>
          <w:lang w:val="ru-RU"/>
        </w:rPr>
        <w:t xml:space="preserve">она должна быть направлена на повышение общего уровня качества </w:t>
      </w:r>
      <w:r w:rsidR="00367DAA" w:rsidRPr="00694ACA">
        <w:rPr>
          <w:lang w:val="ru-RU"/>
        </w:rPr>
        <w:t>развития потенциала и профессиональной подготовки</w:t>
      </w:r>
      <w:r w:rsidRPr="00694ACA">
        <w:rPr>
          <w:lang w:val="ru-RU"/>
        </w:rPr>
        <w:t xml:space="preserve"> МСЭ за счет усиления концентрации усилий на определенных направлениях деятельности и прекращения деятельности по тем направлениям, где МСЭ более не обладает конкурентными преимуществами;</w:t>
      </w:r>
    </w:p>
    <w:p w14:paraId="663812B9" w14:textId="69F4F07B" w:rsidR="004B77F6" w:rsidRPr="00694ACA" w:rsidRDefault="004B77F6" w:rsidP="004B77F6">
      <w:pPr>
        <w:pStyle w:val="Bulletspoint11"/>
        <w:rPr>
          <w:lang w:val="ru-RU"/>
        </w:rPr>
      </w:pPr>
      <w:r w:rsidRPr="00694ACA">
        <w:rPr>
          <w:lang w:val="ru-RU"/>
        </w:rPr>
        <w:t>общий бюджет ее реализации не должен превышать примерно 15% от суммы общих расходов МСЭ;</w:t>
      </w:r>
    </w:p>
    <w:p w14:paraId="10333720" w14:textId="77777777" w:rsidR="004B77F6" w:rsidRPr="00694ACA" w:rsidRDefault="004B77F6" w:rsidP="004B77F6">
      <w:pPr>
        <w:pStyle w:val="Bulletspoint11"/>
        <w:rPr>
          <w:lang w:val="ru-RU"/>
        </w:rPr>
      </w:pPr>
      <w:r w:rsidRPr="00694ACA">
        <w:rPr>
          <w:lang w:val="ru-RU"/>
        </w:rPr>
        <w:t>одно из направлений, в рамках которого можно разработать такую стратегию, указывается в рекомендациях, охватывающих более долгосрочную перспективу.</w:t>
      </w:r>
    </w:p>
    <w:p w14:paraId="17D67A07" w14:textId="77777777" w:rsidR="004B77F6" w:rsidRPr="00694ACA" w:rsidRDefault="004B77F6" w:rsidP="00A105CB">
      <w:pPr>
        <w:pStyle w:val="Heading3"/>
        <w:ind w:right="-472"/>
        <w:rPr>
          <w:lang w:val="ru-RU"/>
        </w:rPr>
      </w:pPr>
      <w:r w:rsidRPr="00694ACA">
        <w:rPr>
          <w:lang w:val="ru-RU"/>
        </w:rPr>
        <w:lastRenderedPageBreak/>
        <w:t>Краткосрочная рекомендация № 2: наглядность и присутствие в сети</w:t>
      </w:r>
    </w:p>
    <w:p w14:paraId="1A142940" w14:textId="54D988DC" w:rsidR="004B77F6" w:rsidRPr="00694ACA" w:rsidRDefault="004B77F6" w:rsidP="00A105CB">
      <w:pPr>
        <w:ind w:left="-284" w:right="-472"/>
        <w:rPr>
          <w:lang w:val="ru-RU"/>
        </w:rPr>
      </w:pPr>
      <w:r w:rsidRPr="00694ACA">
        <w:rPr>
          <w:lang w:val="ru-RU"/>
        </w:rPr>
        <w:t xml:space="preserve">164. </w:t>
      </w:r>
      <w:r w:rsidRPr="00694ACA">
        <w:rPr>
          <w:b/>
          <w:lang w:val="ru-RU"/>
        </w:rPr>
        <w:t xml:space="preserve">МСЭ необходимо разработать четкую, комплексную стратегию маркетинга и популяризации всех своих мероприятий </w:t>
      </w:r>
      <w:r w:rsidR="00367DAA" w:rsidRPr="00694ACA">
        <w:rPr>
          <w:b/>
          <w:lang w:val="ru-RU"/>
        </w:rPr>
        <w:t>по развитию потенциала и профессиональной подготовке</w:t>
      </w:r>
      <w:r w:rsidRPr="00694ACA">
        <w:rPr>
          <w:b/>
          <w:lang w:val="ru-RU"/>
        </w:rPr>
        <w:t>, в частности для обеспечения актуальности и достоверности всех материалов, размещаемых на его веб-сайте (и на связанных с ним порталах)</w:t>
      </w:r>
      <w:r w:rsidRPr="00694ACA">
        <w:rPr>
          <w:rStyle w:val="FootnoteReference"/>
          <w:lang w:val="ru-RU"/>
        </w:rPr>
        <w:footnoteReference w:id="195"/>
      </w:r>
      <w:r w:rsidRPr="00694ACA">
        <w:rPr>
          <w:lang w:val="ru-RU"/>
        </w:rPr>
        <w:t>.</w:t>
      </w:r>
      <w:r w:rsidR="00A579EF">
        <w:rPr>
          <w:lang w:val="ru-RU"/>
        </w:rPr>
        <w:t xml:space="preserve"> </w:t>
      </w:r>
      <w:r w:rsidRPr="00694ACA">
        <w:rPr>
          <w:lang w:val="ru-RU"/>
        </w:rPr>
        <w:t>Это предусматривает, среди прочего, следующее:</w:t>
      </w:r>
    </w:p>
    <w:p w14:paraId="127F3366" w14:textId="447466EA" w:rsidR="004B77F6" w:rsidRPr="00694ACA" w:rsidRDefault="004B77F6" w:rsidP="004B77F6">
      <w:pPr>
        <w:pStyle w:val="Bulletspoint11"/>
        <w:rPr>
          <w:lang w:val="ru-RU"/>
        </w:rPr>
      </w:pPr>
      <w:r w:rsidRPr="00694ACA">
        <w:rPr>
          <w:lang w:val="ru-RU"/>
        </w:rPr>
        <w:t xml:space="preserve">создание высококачественной единой онлайновой точки доступа ко всей информации о </w:t>
      </w:r>
      <w:r w:rsidR="00367DAA" w:rsidRPr="00694ACA">
        <w:rPr>
          <w:lang w:val="ru-RU"/>
        </w:rPr>
        <w:t>развитии потенциала и профессиональной подготовке</w:t>
      </w:r>
      <w:r w:rsidRPr="00694ACA">
        <w:rPr>
          <w:lang w:val="ru-RU"/>
        </w:rPr>
        <w:t xml:space="preserve"> МСЭ, направление на которую должно осуществляться со всех ссылок на такую информацию на главном веб-сайте МСЭ;</w:t>
      </w:r>
    </w:p>
    <w:p w14:paraId="34E39DE8" w14:textId="77777777" w:rsidR="004B77F6" w:rsidRPr="00694ACA" w:rsidRDefault="004B77F6" w:rsidP="004B77F6">
      <w:pPr>
        <w:pStyle w:val="Bulletspoint11"/>
        <w:rPr>
          <w:lang w:val="ru-RU"/>
        </w:rPr>
      </w:pPr>
      <w:r w:rsidRPr="00694ACA">
        <w:rPr>
          <w:lang w:val="ru-RU"/>
        </w:rPr>
        <w:t>обязанности по обеспечению такого цифрового присутствия возлагаются на одного из сотрудников МСЭ, обладающего большим опытом в области маркетинга;</w:t>
      </w:r>
    </w:p>
    <w:p w14:paraId="1B2D9C8F" w14:textId="77777777" w:rsidR="004B77F6" w:rsidRPr="00694ACA" w:rsidRDefault="004B77F6" w:rsidP="004B77F6">
      <w:pPr>
        <w:pStyle w:val="Bulletspoint11"/>
        <w:rPr>
          <w:lang w:val="ru-RU"/>
        </w:rPr>
      </w:pPr>
      <w:r w:rsidRPr="00694ACA">
        <w:rPr>
          <w:lang w:val="ru-RU"/>
        </w:rPr>
        <w:t>при разработке стратегии МСЭ должен опираться на примеры передового опыта, приведенные в настоящем отчете, и прилагать усилия, необходимые для получения новой цифровой средой широкого признания в качестве лидера рынка в соответствующей области.</w:t>
      </w:r>
    </w:p>
    <w:p w14:paraId="3FDBD42B" w14:textId="1B073EF3" w:rsidR="004B77F6" w:rsidRPr="00694ACA" w:rsidRDefault="004B77F6" w:rsidP="00A105CB">
      <w:pPr>
        <w:pStyle w:val="Heading3"/>
        <w:ind w:right="-472"/>
        <w:rPr>
          <w:lang w:val="ru-RU"/>
        </w:rPr>
      </w:pPr>
      <w:r w:rsidRPr="00694ACA">
        <w:rPr>
          <w:lang w:val="ru-RU"/>
        </w:rPr>
        <w:t xml:space="preserve">Краткосрочная рекомендация № 3: использование более простого и понятного механизма реализации предлагаемых МСЭ инструментов для </w:t>
      </w:r>
      <w:r w:rsidR="00367DAA" w:rsidRPr="00694ACA">
        <w:rPr>
          <w:lang w:val="ru-RU"/>
        </w:rPr>
        <w:t>развития потенциала и профессиональной подготовки</w:t>
      </w:r>
    </w:p>
    <w:p w14:paraId="6F6754A1" w14:textId="1C85351A" w:rsidR="004B77F6" w:rsidRPr="00694ACA" w:rsidRDefault="004B77F6" w:rsidP="00A105CB">
      <w:pPr>
        <w:ind w:left="-284" w:right="-472"/>
        <w:rPr>
          <w:lang w:val="ru-RU"/>
        </w:rPr>
      </w:pPr>
      <w:r w:rsidRPr="00694ACA">
        <w:rPr>
          <w:lang w:val="ru-RU"/>
        </w:rPr>
        <w:t xml:space="preserve">165. </w:t>
      </w:r>
      <w:r w:rsidRPr="00694ACA">
        <w:rPr>
          <w:b/>
          <w:lang w:val="ru-RU"/>
        </w:rPr>
        <w:t xml:space="preserve">МСЭ необходимо разработать более простой и понятный механизм реализации предлагаемых им инструментов в области </w:t>
      </w:r>
      <w:r w:rsidR="00367DAA" w:rsidRPr="00694ACA">
        <w:rPr>
          <w:b/>
          <w:lang w:val="ru-RU"/>
        </w:rPr>
        <w:t>развития потенциала и профессиональной подготовки</w:t>
      </w:r>
      <w:r w:rsidRPr="00694ACA">
        <w:rPr>
          <w:b/>
          <w:lang w:val="ru-RU"/>
        </w:rPr>
        <w:t xml:space="preserve"> с учетом целей и результатов такой деятельности, с тем чтобы дать возможность сотрудникам и независимым пользователям лучше понять соответствующие предложения и методы их реализации</w:t>
      </w:r>
      <w:r w:rsidRPr="006679E4">
        <w:rPr>
          <w:bCs/>
          <w:lang w:val="ru-RU"/>
        </w:rPr>
        <w:t xml:space="preserve">. </w:t>
      </w:r>
      <w:r w:rsidRPr="00694ACA">
        <w:rPr>
          <w:lang w:val="ru-RU"/>
        </w:rPr>
        <w:t>Такой механизм должен учитывать цели и ожидаемые результаты обучения и должен быть направлен на выполнение следующих задач:</w:t>
      </w:r>
    </w:p>
    <w:p w14:paraId="6A268A9D" w14:textId="061A6EFE" w:rsidR="004B77F6" w:rsidRPr="00694ACA" w:rsidRDefault="004B77F6" w:rsidP="004B77F6">
      <w:pPr>
        <w:pStyle w:val="Bulletspoint11"/>
        <w:rPr>
          <w:lang w:val="ru-RU"/>
        </w:rPr>
      </w:pPr>
      <w:r w:rsidRPr="00694ACA">
        <w:rPr>
          <w:lang w:val="ru-RU"/>
        </w:rPr>
        <w:t xml:space="preserve">обеспечить четкое понимание цели всех мероприятий </w:t>
      </w:r>
      <w:r w:rsidR="00367DAA" w:rsidRPr="00694ACA">
        <w:rPr>
          <w:lang w:val="ru-RU"/>
        </w:rPr>
        <w:t>по развитию потенциала и профессиональной подготовке</w:t>
      </w:r>
      <w:r w:rsidRPr="00694ACA">
        <w:rPr>
          <w:lang w:val="ru-RU"/>
        </w:rPr>
        <w:t xml:space="preserve"> и их результатов с точки зрения развития;</w:t>
      </w:r>
    </w:p>
    <w:p w14:paraId="63A0990D" w14:textId="77777777" w:rsidR="004B77F6" w:rsidRPr="00694ACA" w:rsidRDefault="004B77F6" w:rsidP="004B77F6">
      <w:pPr>
        <w:pStyle w:val="Bulletspoint11"/>
        <w:rPr>
          <w:lang w:val="ru-RU"/>
        </w:rPr>
      </w:pPr>
      <w:r w:rsidRPr="00694ACA">
        <w:rPr>
          <w:lang w:val="ru-RU"/>
        </w:rPr>
        <w:t>стремиться обеспечить максимально возможное качество обучения, независимо от обстоятельств;</w:t>
      </w:r>
    </w:p>
    <w:p w14:paraId="231C76C5" w14:textId="63DF2ACC" w:rsidR="004B77F6" w:rsidRPr="00694ACA" w:rsidRDefault="004B77F6" w:rsidP="004B77F6">
      <w:pPr>
        <w:pStyle w:val="Bulletspoint11"/>
        <w:rPr>
          <w:lang w:val="ru-RU"/>
        </w:rPr>
      </w:pPr>
      <w:r w:rsidRPr="00694ACA">
        <w:rPr>
          <w:lang w:val="ru-RU"/>
        </w:rPr>
        <w:t xml:space="preserve">обратить внимание на то, что большинство мероприятий </w:t>
      </w:r>
      <w:r w:rsidR="00367DAA" w:rsidRPr="00694ACA">
        <w:rPr>
          <w:lang w:val="ru-RU"/>
        </w:rPr>
        <w:t>по развитию потенциала и профессиональной подготовке</w:t>
      </w:r>
      <w:r w:rsidRPr="00694ACA">
        <w:rPr>
          <w:lang w:val="ru-RU"/>
        </w:rPr>
        <w:t xml:space="preserve"> в будущем будут проводиться в онлайновом режиме, признав при этом, что в некоторых случаях подготовку лучше всего проводить в очной форме;</w:t>
      </w:r>
    </w:p>
    <w:p w14:paraId="16051E63" w14:textId="29E81F79" w:rsidR="004B77F6" w:rsidRPr="00694ACA" w:rsidRDefault="004B77F6" w:rsidP="004B77F6">
      <w:pPr>
        <w:pStyle w:val="Bulletspoint11"/>
        <w:rPr>
          <w:lang w:val="ru-RU"/>
        </w:rPr>
      </w:pPr>
      <w:r w:rsidRPr="00694ACA">
        <w:rPr>
          <w:lang w:val="ru-RU"/>
        </w:rPr>
        <w:t xml:space="preserve">разделить </w:t>
      </w:r>
      <w:r w:rsidR="001226D4" w:rsidRPr="00694ACA">
        <w:rPr>
          <w:lang w:val="ru-RU"/>
        </w:rPr>
        <w:t>официальн</w:t>
      </w:r>
      <w:r w:rsidRPr="00694ACA">
        <w:rPr>
          <w:lang w:val="ru-RU"/>
        </w:rPr>
        <w:t>ые и не</w:t>
      </w:r>
      <w:r w:rsidR="001226D4" w:rsidRPr="00694ACA">
        <w:rPr>
          <w:lang w:val="ru-RU"/>
        </w:rPr>
        <w:t>официальн</w:t>
      </w:r>
      <w:r w:rsidRPr="00694ACA">
        <w:rPr>
          <w:lang w:val="ru-RU"/>
        </w:rPr>
        <w:t xml:space="preserve">ые методы </w:t>
      </w:r>
      <w:r w:rsidR="00367DAA" w:rsidRPr="00694ACA">
        <w:rPr>
          <w:lang w:val="ru-RU"/>
        </w:rPr>
        <w:t>развития потенциала и профессиональной подготовки</w:t>
      </w:r>
      <w:r w:rsidRPr="00694ACA">
        <w:rPr>
          <w:lang w:val="ru-RU"/>
        </w:rPr>
        <w:t>, признав при этом, что и то, и другое имеет важное значение;</w:t>
      </w:r>
    </w:p>
    <w:p w14:paraId="5D6B85FE" w14:textId="77777777" w:rsidR="004B77F6" w:rsidRPr="00694ACA" w:rsidRDefault="004B77F6" w:rsidP="004B77F6">
      <w:pPr>
        <w:pStyle w:val="Bulletspoint11"/>
        <w:rPr>
          <w:lang w:val="ru-RU"/>
        </w:rPr>
      </w:pPr>
      <w:r w:rsidRPr="00694ACA">
        <w:rPr>
          <w:lang w:val="ru-RU"/>
        </w:rPr>
        <w:t>надлежащим образом организовать поэтапное прекращение деятельности во всех областях, где, согласно существующему мнению, больше не обеспечиваются максимально возможный уровень качества, соотношения цены и качества и актуальности.</w:t>
      </w:r>
    </w:p>
    <w:p w14:paraId="01004CCD" w14:textId="77777777" w:rsidR="004B77F6" w:rsidRPr="00694ACA" w:rsidRDefault="004B77F6" w:rsidP="00A105CB">
      <w:pPr>
        <w:pStyle w:val="Heading3"/>
        <w:ind w:right="-472"/>
        <w:rPr>
          <w:lang w:val="ru-RU"/>
        </w:rPr>
      </w:pPr>
      <w:r w:rsidRPr="00694ACA">
        <w:rPr>
          <w:lang w:val="ru-RU"/>
        </w:rPr>
        <w:t>Краткосрочная рекомендация № 4: приверженность принципам неукоснительного обеспечения качества</w:t>
      </w:r>
    </w:p>
    <w:p w14:paraId="038EFAB1" w14:textId="1DF6D684" w:rsidR="004B77F6" w:rsidRPr="00694ACA" w:rsidRDefault="004B77F6" w:rsidP="00A105CB">
      <w:pPr>
        <w:ind w:left="-284" w:right="-472"/>
        <w:rPr>
          <w:lang w:val="ru-RU"/>
        </w:rPr>
      </w:pPr>
      <w:r w:rsidRPr="00694ACA">
        <w:rPr>
          <w:lang w:val="ru-RU"/>
        </w:rPr>
        <w:t xml:space="preserve">166. </w:t>
      </w:r>
      <w:r w:rsidRPr="00694ACA">
        <w:rPr>
          <w:b/>
          <w:lang w:val="ru-RU"/>
        </w:rPr>
        <w:t xml:space="preserve">МСЭ необходимо взять на себя обязательство разработать инструменты высококачественного, эффективного и надлежащего </w:t>
      </w:r>
      <w:r w:rsidR="00367DAA" w:rsidRPr="00694ACA">
        <w:rPr>
          <w:b/>
          <w:lang w:val="ru-RU"/>
        </w:rPr>
        <w:t>развития потенциала и профессиональной подготовки</w:t>
      </w:r>
      <w:r w:rsidRPr="00694ACA">
        <w:rPr>
          <w:b/>
          <w:lang w:val="ru-RU"/>
        </w:rPr>
        <w:t>, с тем чтобы учащиеся были уверены в том, что предоставляемые услуги являются актуальными, имеют исключительное качество и принесут пользу им и их организациям</w:t>
      </w:r>
      <w:r w:rsidRPr="006679E4">
        <w:rPr>
          <w:bCs/>
          <w:lang w:val="ru-RU"/>
        </w:rPr>
        <w:t>.</w:t>
      </w:r>
      <w:r w:rsidR="00A579EF">
        <w:rPr>
          <w:bCs/>
          <w:lang w:val="ru-RU"/>
        </w:rPr>
        <w:t xml:space="preserve"> </w:t>
      </w:r>
      <w:r w:rsidRPr="00694ACA">
        <w:rPr>
          <w:lang w:val="ru-RU"/>
        </w:rPr>
        <w:t>МСЭ крайне важно сделать четкий акцент на качестве результатов обучения, а не количестве проводимых курсов.</w:t>
      </w:r>
      <w:r w:rsidR="00A579EF">
        <w:rPr>
          <w:lang w:val="ru-RU"/>
        </w:rPr>
        <w:t xml:space="preserve"> </w:t>
      </w:r>
      <w:r w:rsidRPr="00694ACA">
        <w:rPr>
          <w:lang w:val="ru-RU"/>
        </w:rPr>
        <w:t>Для обеспечения такой приверженности необходимо предусмотреть выполнение как минимум следующих требований при разработке всех соответствующих мероприятий:</w:t>
      </w:r>
    </w:p>
    <w:p w14:paraId="1F33FDD8" w14:textId="4C70AD10" w:rsidR="004B77F6" w:rsidRPr="00694ACA" w:rsidRDefault="004B77F6" w:rsidP="004B77F6">
      <w:pPr>
        <w:pStyle w:val="Bulletspoint11"/>
        <w:rPr>
          <w:lang w:val="ru-RU"/>
        </w:rPr>
      </w:pPr>
      <w:r w:rsidRPr="00694ACA">
        <w:rPr>
          <w:lang w:val="ru-RU"/>
        </w:rPr>
        <w:t xml:space="preserve">тщательный анализ потребностей в </w:t>
      </w:r>
      <w:r w:rsidR="002E5573" w:rsidRPr="00694ACA">
        <w:rPr>
          <w:lang w:val="ru-RU"/>
        </w:rPr>
        <w:t>развитии</w:t>
      </w:r>
      <w:r w:rsidRPr="00694ACA">
        <w:rPr>
          <w:lang w:val="ru-RU"/>
        </w:rPr>
        <w:t xml:space="preserve"> потенциала и </w:t>
      </w:r>
      <w:r w:rsidR="002E5573" w:rsidRPr="00694ACA">
        <w:rPr>
          <w:lang w:val="ru-RU"/>
        </w:rPr>
        <w:t xml:space="preserve">профессиональной </w:t>
      </w:r>
      <w:r w:rsidRPr="00694ACA">
        <w:rPr>
          <w:lang w:val="ru-RU"/>
        </w:rPr>
        <w:t>подготовк</w:t>
      </w:r>
      <w:r w:rsidR="002E5573" w:rsidRPr="00694ACA">
        <w:rPr>
          <w:lang w:val="ru-RU"/>
        </w:rPr>
        <w:t>е</w:t>
      </w:r>
      <w:r w:rsidRPr="00694ACA">
        <w:rPr>
          <w:lang w:val="ru-RU"/>
        </w:rPr>
        <w:t xml:space="preserve"> среди членов учреждения и лиц, в интересах которых оно разрабатывает такие мероприятия;</w:t>
      </w:r>
    </w:p>
    <w:p w14:paraId="289E0685" w14:textId="77777777" w:rsidR="004B77F6" w:rsidRPr="00694ACA" w:rsidRDefault="004B77F6" w:rsidP="004B77F6">
      <w:pPr>
        <w:pStyle w:val="Bulletspoint11"/>
        <w:rPr>
          <w:lang w:val="ru-RU"/>
        </w:rPr>
      </w:pPr>
      <w:r w:rsidRPr="00694ACA">
        <w:rPr>
          <w:lang w:val="ru-RU"/>
        </w:rPr>
        <w:t>формулирование понятного названия и описания всех соответствующих мероприятий;</w:t>
      </w:r>
    </w:p>
    <w:p w14:paraId="516CD599" w14:textId="77777777" w:rsidR="004B77F6" w:rsidRPr="00694ACA" w:rsidRDefault="004B77F6" w:rsidP="004B77F6">
      <w:pPr>
        <w:pStyle w:val="Bulletspoint11"/>
        <w:rPr>
          <w:lang w:val="ru-RU"/>
        </w:rPr>
      </w:pPr>
      <w:r w:rsidRPr="00694ACA">
        <w:rPr>
          <w:lang w:val="ru-RU"/>
        </w:rPr>
        <w:t>четкое определение целей обучения с обязательным обеспечением их непосредственной привязки к потребностям в обучении;</w:t>
      </w:r>
    </w:p>
    <w:p w14:paraId="574B3665" w14:textId="77777777" w:rsidR="004B77F6" w:rsidRPr="00694ACA" w:rsidRDefault="004B77F6" w:rsidP="004B77F6">
      <w:pPr>
        <w:pStyle w:val="Bulletspoint11"/>
        <w:rPr>
          <w:lang w:val="ru-RU"/>
        </w:rPr>
      </w:pPr>
      <w:r w:rsidRPr="00694ACA">
        <w:rPr>
          <w:lang w:val="ru-RU"/>
        </w:rPr>
        <w:lastRenderedPageBreak/>
        <w:t>четкая ориентация на содержание, структуру и высококачественные учебные ресурсы, а также обеспечение оптимального метода обучения;</w:t>
      </w:r>
    </w:p>
    <w:p w14:paraId="7B72A0BF" w14:textId="77777777" w:rsidR="004B77F6" w:rsidRPr="00694ACA" w:rsidRDefault="004B77F6" w:rsidP="004B77F6">
      <w:pPr>
        <w:pStyle w:val="Bulletspoint11"/>
        <w:rPr>
          <w:lang w:val="ru-RU"/>
        </w:rPr>
      </w:pPr>
      <w:r w:rsidRPr="00694ACA">
        <w:rPr>
          <w:lang w:val="ru-RU"/>
        </w:rPr>
        <w:t>привлечение высококвалифицированных инструкторов и содействующих организаций в случае возникновения такой необходимости;</w:t>
      </w:r>
    </w:p>
    <w:p w14:paraId="778DBA57" w14:textId="77777777" w:rsidR="004B77F6" w:rsidRPr="00694ACA" w:rsidRDefault="004B77F6" w:rsidP="004B77F6">
      <w:pPr>
        <w:pStyle w:val="Bulletspoint11"/>
        <w:rPr>
          <w:lang w:val="ru-RU"/>
        </w:rPr>
      </w:pPr>
      <w:r w:rsidRPr="00694ACA">
        <w:rPr>
          <w:lang w:val="ru-RU"/>
        </w:rPr>
        <w:t>проявление твердой приверженности оценке реальных результатов обучения и принятие последующих мер вместе с учащимися;</w:t>
      </w:r>
    </w:p>
    <w:p w14:paraId="13329EA8" w14:textId="3CDDC68E" w:rsidR="004B77F6" w:rsidRPr="00694ACA" w:rsidRDefault="004B77F6" w:rsidP="004B77F6">
      <w:pPr>
        <w:pStyle w:val="Bulletspoint11"/>
        <w:rPr>
          <w:lang w:val="ru-RU"/>
        </w:rPr>
      </w:pPr>
      <w:r w:rsidRPr="00694ACA">
        <w:rPr>
          <w:lang w:val="ru-RU"/>
        </w:rPr>
        <w:t xml:space="preserve">усиление приверженности мониторингу, оценке и предоставлению отчетности по всем мероприятиям в области </w:t>
      </w:r>
      <w:r w:rsidR="00367DAA" w:rsidRPr="00694ACA">
        <w:rPr>
          <w:lang w:val="ru-RU"/>
        </w:rPr>
        <w:t>развития потенциала и профессиональной подготовки</w:t>
      </w:r>
      <w:r w:rsidRPr="00694ACA">
        <w:rPr>
          <w:lang w:val="ru-RU"/>
        </w:rPr>
        <w:t>.</w:t>
      </w:r>
    </w:p>
    <w:p w14:paraId="17FD6109" w14:textId="097571C3" w:rsidR="004B77F6" w:rsidRPr="00694ACA" w:rsidRDefault="004B77F6" w:rsidP="00A105CB">
      <w:pPr>
        <w:pStyle w:val="Heading3"/>
        <w:ind w:right="-472"/>
        <w:rPr>
          <w:lang w:val="ru-RU"/>
        </w:rPr>
      </w:pPr>
      <w:r w:rsidRPr="00694ACA">
        <w:rPr>
          <w:lang w:val="ru-RU"/>
        </w:rPr>
        <w:t xml:space="preserve">Краткосрочная рекомендация № 5: расширение возможностей сотрудников МСЭ по обеспечению высокоэффективного </w:t>
      </w:r>
      <w:r w:rsidR="00367DAA" w:rsidRPr="00694ACA">
        <w:rPr>
          <w:lang w:val="ru-RU"/>
        </w:rPr>
        <w:t>развития потенциала</w:t>
      </w:r>
      <w:r w:rsidRPr="00694ACA">
        <w:rPr>
          <w:lang w:val="ru-RU"/>
        </w:rPr>
        <w:t xml:space="preserve"> и профессиональной подготовки его членов и соответствующих других лиц</w:t>
      </w:r>
    </w:p>
    <w:p w14:paraId="6E804D1D" w14:textId="79B9B000" w:rsidR="004B77F6" w:rsidRPr="00694ACA" w:rsidRDefault="004B77F6" w:rsidP="00A105CB">
      <w:pPr>
        <w:ind w:left="-284" w:right="-472"/>
        <w:rPr>
          <w:lang w:val="ru-RU"/>
        </w:rPr>
      </w:pPr>
      <w:r w:rsidRPr="00694ACA">
        <w:rPr>
          <w:lang w:val="ru-RU"/>
        </w:rPr>
        <w:t xml:space="preserve">167. </w:t>
      </w:r>
      <w:r w:rsidRPr="00694ACA">
        <w:rPr>
          <w:b/>
          <w:lang w:val="ru-RU"/>
        </w:rPr>
        <w:t xml:space="preserve">МСЭ необходимо внедрить механизмы, которые позволят всем соответствующим сотрудникам пройти как можно более качественную подготовку по проведению высококачественных мероприятий в интересах </w:t>
      </w:r>
      <w:r w:rsidR="00175F3F" w:rsidRPr="00694ACA">
        <w:rPr>
          <w:b/>
          <w:lang w:val="ru-RU"/>
        </w:rPr>
        <w:t xml:space="preserve">Государств-Членов </w:t>
      </w:r>
      <w:r w:rsidRPr="00694ACA">
        <w:rPr>
          <w:b/>
          <w:lang w:val="ru-RU"/>
        </w:rPr>
        <w:t>и соответствующих других лиц (см. Рекомендацию</w:t>
      </w:r>
      <w:r w:rsidR="00CC7C38" w:rsidRPr="00694ACA">
        <w:rPr>
          <w:b/>
          <w:lang w:val="ru-RU"/>
        </w:rPr>
        <w:t> </w:t>
      </w:r>
      <w:r w:rsidRPr="00694ACA">
        <w:rPr>
          <w:b/>
          <w:lang w:val="ru-RU"/>
        </w:rPr>
        <w:t>№</w:t>
      </w:r>
      <w:r w:rsidR="00CC7C38" w:rsidRPr="00694ACA">
        <w:rPr>
          <w:b/>
          <w:lang w:val="ru-RU"/>
        </w:rPr>
        <w:t> </w:t>
      </w:r>
      <w:r w:rsidRPr="00694ACA">
        <w:rPr>
          <w:b/>
          <w:lang w:val="ru-RU"/>
        </w:rPr>
        <w:t>4 выше)</w:t>
      </w:r>
      <w:r w:rsidRPr="006679E4">
        <w:rPr>
          <w:bCs/>
          <w:lang w:val="ru-RU"/>
        </w:rPr>
        <w:t>.</w:t>
      </w:r>
      <w:r w:rsidR="00A579EF">
        <w:rPr>
          <w:bCs/>
          <w:lang w:val="ru-RU"/>
        </w:rPr>
        <w:t xml:space="preserve"> </w:t>
      </w:r>
      <w:r w:rsidRPr="00694ACA">
        <w:rPr>
          <w:lang w:val="ru-RU"/>
        </w:rPr>
        <w:t xml:space="preserve">Организации, занимающиеся вопросам обучения, хорошо понимают значимость эффективного </w:t>
      </w:r>
      <w:r w:rsidR="00367DAA" w:rsidRPr="00694ACA">
        <w:rPr>
          <w:lang w:val="ru-RU"/>
        </w:rPr>
        <w:t>развития потенциала и профессиональной подготовки</w:t>
      </w:r>
      <w:r w:rsidRPr="00694ACA">
        <w:rPr>
          <w:lang w:val="ru-RU"/>
        </w:rPr>
        <w:t>, а также то, что для осуществления такой деятельности персонал должен пройти надлежащую подготовку в области разработки, реализации и оценки.</w:t>
      </w:r>
      <w:r w:rsidR="00A579EF">
        <w:rPr>
          <w:lang w:val="ru-RU"/>
        </w:rPr>
        <w:t xml:space="preserve"> </w:t>
      </w:r>
      <w:r w:rsidRPr="00694ACA">
        <w:rPr>
          <w:lang w:val="ru-RU"/>
        </w:rPr>
        <w:t xml:space="preserve">Все сотрудники МСЭ, занимающиеся вопросами </w:t>
      </w:r>
      <w:r w:rsidR="00367DAA" w:rsidRPr="00694ACA">
        <w:rPr>
          <w:lang w:val="ru-RU"/>
        </w:rPr>
        <w:t>развития потенциала и профессиональной подготовки</w:t>
      </w:r>
      <w:r w:rsidRPr="00694ACA">
        <w:rPr>
          <w:lang w:val="ru-RU"/>
        </w:rPr>
        <w:t>, должны сами пройти соответствующее повышение квалификации, в частности:</w:t>
      </w:r>
    </w:p>
    <w:p w14:paraId="4B1B503D" w14:textId="2E791167" w:rsidR="004B77F6" w:rsidRPr="00694ACA" w:rsidRDefault="004B77F6" w:rsidP="004B77F6">
      <w:pPr>
        <w:pStyle w:val="Bulletspoint11"/>
        <w:rPr>
          <w:lang w:val="ru-RU"/>
        </w:rPr>
      </w:pPr>
      <w:r w:rsidRPr="00694ACA">
        <w:rPr>
          <w:lang w:val="ru-RU"/>
        </w:rPr>
        <w:t xml:space="preserve">необходимо выявлять пробелы в обучении сотрудников, занимающихся вопросами </w:t>
      </w:r>
      <w:r w:rsidR="00367DAA" w:rsidRPr="00694ACA">
        <w:rPr>
          <w:lang w:val="ru-RU"/>
        </w:rPr>
        <w:t>развития потенциала и профессиональной подготовки</w:t>
      </w:r>
      <w:r w:rsidRPr="00694ACA">
        <w:rPr>
          <w:lang w:val="ru-RU"/>
        </w:rPr>
        <w:t>, путем обсуждения их потребностей в обучении на постоянной основе;</w:t>
      </w:r>
    </w:p>
    <w:p w14:paraId="71E213FE" w14:textId="21AE193B" w:rsidR="004B77F6" w:rsidRPr="00694ACA" w:rsidRDefault="004B77F6" w:rsidP="004B77F6">
      <w:pPr>
        <w:pStyle w:val="Bulletspoint11"/>
        <w:rPr>
          <w:lang w:val="ru-RU"/>
        </w:rPr>
      </w:pPr>
      <w:r w:rsidRPr="00694ACA">
        <w:rPr>
          <w:lang w:val="ru-RU"/>
        </w:rPr>
        <w:t xml:space="preserve">необходимо разработать высококачественные учебные ресурсы для сотрудников МСЭ, с тем чтобы они могли получить должное понимание того, что требуется для обеспечения высочайшего уровня </w:t>
      </w:r>
      <w:r w:rsidR="00367DAA" w:rsidRPr="00694ACA">
        <w:rPr>
          <w:lang w:val="ru-RU"/>
        </w:rPr>
        <w:t>развития потенциала</w:t>
      </w:r>
      <w:r w:rsidRPr="00694ACA">
        <w:rPr>
          <w:lang w:val="ru-RU"/>
        </w:rPr>
        <w:t xml:space="preserve"> и профессиональной подготовки (это можно сделать в сотрудничестве с другими учреждениями ООН);</w:t>
      </w:r>
    </w:p>
    <w:p w14:paraId="0925DD54" w14:textId="53A60DF3" w:rsidR="004B77F6" w:rsidRPr="00694ACA" w:rsidRDefault="004B77F6" w:rsidP="004B77F6">
      <w:pPr>
        <w:pStyle w:val="Bulletspoint11"/>
        <w:rPr>
          <w:lang w:val="ru-RU"/>
        </w:rPr>
      </w:pPr>
      <w:r w:rsidRPr="00694ACA">
        <w:rPr>
          <w:lang w:val="ru-RU"/>
        </w:rPr>
        <w:t xml:space="preserve">перед тем как быть допущенными к разработке и осуществлению соответствующих мероприятий, всем сотрудникам, в той или иной степени участвующим в </w:t>
      </w:r>
      <w:r w:rsidR="002E5573" w:rsidRPr="00694ACA">
        <w:rPr>
          <w:lang w:val="ru-RU"/>
        </w:rPr>
        <w:t>развитии</w:t>
      </w:r>
      <w:r w:rsidRPr="00694ACA">
        <w:rPr>
          <w:lang w:val="ru-RU"/>
        </w:rPr>
        <w:t xml:space="preserve"> потенциала и проведении профессиональной подготовки, необходимо пройти соответствующую подготовку.</w:t>
      </w:r>
      <w:r w:rsidR="00A579EF">
        <w:rPr>
          <w:lang w:val="ru-RU"/>
        </w:rPr>
        <w:t xml:space="preserve"> </w:t>
      </w:r>
      <w:r w:rsidRPr="00694ACA">
        <w:rPr>
          <w:lang w:val="ru-RU"/>
        </w:rPr>
        <w:t>Соответствующие руководители высшего звена должны подавать пример в прохождении такой профессиональной подготовки, в том числе с тем чтобы обеспечить лучшее понимание всех этапов и процессов, связанных с ее проведением.</w:t>
      </w:r>
    </w:p>
    <w:p w14:paraId="0CA8A248" w14:textId="77777777" w:rsidR="004B77F6" w:rsidRPr="00694ACA" w:rsidRDefault="004B77F6" w:rsidP="00A105CB">
      <w:pPr>
        <w:pStyle w:val="Heading3"/>
        <w:ind w:right="-472"/>
        <w:rPr>
          <w:lang w:val="ru-RU"/>
        </w:rPr>
      </w:pPr>
      <w:r w:rsidRPr="00694ACA">
        <w:rPr>
          <w:lang w:val="ru-RU"/>
        </w:rPr>
        <w:t>Краткосрочная рекомендация № 6: формирование динамичной и разносторонней сети выпускников</w:t>
      </w:r>
    </w:p>
    <w:p w14:paraId="3C665190" w14:textId="43CBDC49" w:rsidR="004B77F6" w:rsidRPr="00694ACA" w:rsidRDefault="004B77F6" w:rsidP="00A105CB">
      <w:pPr>
        <w:ind w:left="-284" w:right="-472"/>
        <w:rPr>
          <w:lang w:val="ru-RU"/>
        </w:rPr>
      </w:pPr>
      <w:r w:rsidRPr="00694ACA">
        <w:rPr>
          <w:lang w:val="ru-RU"/>
        </w:rPr>
        <w:t xml:space="preserve">168. </w:t>
      </w:r>
      <w:r w:rsidRPr="00694ACA">
        <w:rPr>
          <w:b/>
          <w:lang w:val="ru-RU"/>
        </w:rPr>
        <w:t xml:space="preserve">МСЭ необходимо сформировать динамичную и разностороннюю сеть выпускников для всех, кто проходит его курсы, с тем чтобы: а) иметь возможность отчитываться о реальных результатах обучения (и развитии в более широком смысле) тех, кого он обучает, b) создать сообщество квалифицированных выпускников, услугами и советами которых он может впоследствии воспользоваться, и с) сформировать более широкую сеть лиц, пропагандирующих его деятельность </w:t>
      </w:r>
      <w:r w:rsidR="00367DAA" w:rsidRPr="00694ACA">
        <w:rPr>
          <w:b/>
          <w:lang w:val="ru-RU"/>
        </w:rPr>
        <w:t>по развитию потенциала и профессиональной подготовке</w:t>
      </w:r>
      <w:r w:rsidRPr="006679E4">
        <w:rPr>
          <w:bCs/>
          <w:lang w:val="ru-RU"/>
        </w:rPr>
        <w:t>.</w:t>
      </w:r>
      <w:r w:rsidR="00A579EF">
        <w:rPr>
          <w:bCs/>
          <w:lang w:val="ru-RU"/>
        </w:rPr>
        <w:t xml:space="preserve"> </w:t>
      </w:r>
      <w:r w:rsidRPr="00694ACA">
        <w:rPr>
          <w:lang w:val="ru-RU"/>
        </w:rPr>
        <w:t>В частности, для этого необходимо:</w:t>
      </w:r>
    </w:p>
    <w:p w14:paraId="3C53DE00" w14:textId="77777777" w:rsidR="004B77F6" w:rsidRPr="00694ACA" w:rsidRDefault="004B77F6" w:rsidP="004B77F6">
      <w:pPr>
        <w:pStyle w:val="Bulletspoint11"/>
        <w:rPr>
          <w:lang w:val="ru-RU"/>
        </w:rPr>
      </w:pPr>
      <w:r w:rsidRPr="00694ACA">
        <w:rPr>
          <w:lang w:val="ru-RU"/>
        </w:rPr>
        <w:t>назначить квалифицированного специалиста по работе с выпускниками, функцией которого будет внедрить такую сеть;</w:t>
      </w:r>
    </w:p>
    <w:p w14:paraId="787873EC" w14:textId="77777777" w:rsidR="004B77F6" w:rsidRPr="00694ACA" w:rsidRDefault="004B77F6" w:rsidP="004B77F6">
      <w:pPr>
        <w:pStyle w:val="Bulletspoint11"/>
        <w:rPr>
          <w:lang w:val="ru-RU"/>
        </w:rPr>
      </w:pPr>
      <w:r w:rsidRPr="00694ACA">
        <w:rPr>
          <w:lang w:val="ru-RU"/>
        </w:rPr>
        <w:t>определиться с оптимальной онлайновой платформой для функционирования сети выпускников и запустить ее;</w:t>
      </w:r>
    </w:p>
    <w:p w14:paraId="40042157" w14:textId="77777777" w:rsidR="004B77F6" w:rsidRPr="00694ACA" w:rsidRDefault="004B77F6" w:rsidP="004B77F6">
      <w:pPr>
        <w:pStyle w:val="Bulletspoint11"/>
        <w:rPr>
          <w:lang w:val="ru-RU"/>
        </w:rPr>
      </w:pPr>
      <w:r w:rsidRPr="00694ACA">
        <w:rPr>
          <w:lang w:val="ru-RU"/>
        </w:rPr>
        <w:t>создать условия, при которых такая сеть будет служить, в первую очередь, интересам выпускников, стимулируя таким образом их готовность внести свой вклад в дальнейшую работу МСЭ в этой области;</w:t>
      </w:r>
    </w:p>
    <w:p w14:paraId="797FE324" w14:textId="5F4DB23B" w:rsidR="004B77F6" w:rsidRPr="00694ACA" w:rsidRDefault="004B77F6" w:rsidP="004B77F6">
      <w:pPr>
        <w:pStyle w:val="Bulletspoint11"/>
        <w:rPr>
          <w:lang w:val="ru-RU"/>
        </w:rPr>
      </w:pPr>
      <w:r w:rsidRPr="00694ACA">
        <w:rPr>
          <w:lang w:val="ru-RU"/>
        </w:rPr>
        <w:t xml:space="preserve">поддерживать регулярную и систематическую связь с выпускниками для получения дополнительной информации о том, как проводимые под руководством МСЭ мероприятия </w:t>
      </w:r>
      <w:r w:rsidR="00367DAA" w:rsidRPr="00694ACA">
        <w:rPr>
          <w:lang w:val="ru-RU"/>
        </w:rPr>
        <w:t xml:space="preserve">по </w:t>
      </w:r>
      <w:r w:rsidR="00367DAA" w:rsidRPr="00694ACA">
        <w:rPr>
          <w:lang w:val="ru-RU"/>
        </w:rPr>
        <w:lastRenderedPageBreak/>
        <w:t>развитию потенциала и профессиональной подготовке</w:t>
      </w:r>
      <w:r w:rsidRPr="00694ACA">
        <w:rPr>
          <w:lang w:val="ru-RU"/>
        </w:rPr>
        <w:t xml:space="preserve"> помогли достичь эффективных и надлежащих результатов в области развития.</w:t>
      </w:r>
    </w:p>
    <w:p w14:paraId="3A39C26E" w14:textId="2C2755E2" w:rsidR="004B77F6" w:rsidRPr="00694ACA" w:rsidRDefault="004B77F6" w:rsidP="00A105CB">
      <w:pPr>
        <w:pStyle w:val="Heading3"/>
        <w:ind w:right="-472"/>
        <w:rPr>
          <w:lang w:val="ru-RU"/>
        </w:rPr>
      </w:pPr>
      <w:r w:rsidRPr="00694ACA">
        <w:rPr>
          <w:lang w:val="ru-RU"/>
        </w:rPr>
        <w:t xml:space="preserve">Краткосрочная рекомендация № 7: формирование статьи расходов на все мероприятия </w:t>
      </w:r>
      <w:r w:rsidR="00367DAA" w:rsidRPr="00694ACA">
        <w:rPr>
          <w:lang w:val="ru-RU"/>
        </w:rPr>
        <w:t>по развитию потенциала и профессиональной подготовке</w:t>
      </w:r>
      <w:r w:rsidRPr="00694ACA">
        <w:rPr>
          <w:lang w:val="ru-RU"/>
        </w:rPr>
        <w:t xml:space="preserve"> в рамках деятельности МСЭ</w:t>
      </w:r>
    </w:p>
    <w:p w14:paraId="54E4D498" w14:textId="5C9E08ED" w:rsidR="004B77F6" w:rsidRPr="00694ACA" w:rsidRDefault="004B77F6" w:rsidP="00A105CB">
      <w:pPr>
        <w:ind w:left="-284" w:right="-472"/>
        <w:rPr>
          <w:lang w:val="ru-RU"/>
        </w:rPr>
      </w:pPr>
      <w:r w:rsidRPr="00694ACA">
        <w:rPr>
          <w:lang w:val="ru-RU"/>
        </w:rPr>
        <w:t xml:space="preserve">169. </w:t>
      </w:r>
      <w:r w:rsidRPr="00694ACA">
        <w:rPr>
          <w:b/>
          <w:lang w:val="ru-RU"/>
        </w:rPr>
        <w:t xml:space="preserve">В рамках деятельности МСЭ в целом необходимо сформировать статью расходов на все мероприятия </w:t>
      </w:r>
      <w:r w:rsidR="00367DAA" w:rsidRPr="00694ACA">
        <w:rPr>
          <w:b/>
          <w:lang w:val="ru-RU"/>
        </w:rPr>
        <w:t>по развитию потенциала и профессиональной подготовке</w:t>
      </w:r>
      <w:r w:rsidRPr="00694ACA">
        <w:rPr>
          <w:b/>
          <w:lang w:val="ru-RU"/>
        </w:rPr>
        <w:t>, с тем чтобы во всех Секторах и по МСЭ в целом можно было установить и гарантировать уровень расходов и эффективность использования средств</w:t>
      </w:r>
      <w:r w:rsidRPr="006679E4">
        <w:rPr>
          <w:bCs/>
          <w:lang w:val="ru-RU"/>
        </w:rPr>
        <w:t>.</w:t>
      </w:r>
      <w:r w:rsidR="00A579EF">
        <w:rPr>
          <w:bCs/>
          <w:lang w:val="ru-RU"/>
        </w:rPr>
        <w:t xml:space="preserve"> </w:t>
      </w:r>
      <w:r w:rsidRPr="00694ACA">
        <w:rPr>
          <w:lang w:val="ru-RU"/>
        </w:rPr>
        <w:t>В частности, следует учесть следующие аспекты:</w:t>
      </w:r>
    </w:p>
    <w:p w14:paraId="69BCB4DE" w14:textId="31BEEDBE" w:rsidR="004B77F6" w:rsidRPr="00694ACA" w:rsidRDefault="004B77F6" w:rsidP="004B77F6">
      <w:pPr>
        <w:pStyle w:val="Bulletspoint11"/>
        <w:rPr>
          <w:lang w:val="ru-RU"/>
        </w:rPr>
      </w:pPr>
      <w:r w:rsidRPr="00694ACA">
        <w:rPr>
          <w:lang w:val="ru-RU"/>
        </w:rPr>
        <w:t xml:space="preserve">создать условия, которые позволят в рамках бюджета каждого Сектора сформировать единую статью расходов на </w:t>
      </w:r>
      <w:r w:rsidR="00367DAA" w:rsidRPr="00694ACA">
        <w:rPr>
          <w:lang w:val="ru-RU"/>
        </w:rPr>
        <w:t>развитие потенциала и профессиональную подготовку</w:t>
      </w:r>
      <w:r w:rsidRPr="00694ACA">
        <w:rPr>
          <w:lang w:val="ru-RU"/>
        </w:rPr>
        <w:t xml:space="preserve"> и при этом оперативно получать обобщенные данные по МСЭ в целом;</w:t>
      </w:r>
    </w:p>
    <w:p w14:paraId="077386D6" w14:textId="711E5BE3" w:rsidR="004B77F6" w:rsidRPr="00694ACA" w:rsidRDefault="004B77F6" w:rsidP="004B77F6">
      <w:pPr>
        <w:pStyle w:val="Bulletspoint11"/>
        <w:rPr>
          <w:lang w:val="ru-RU"/>
        </w:rPr>
      </w:pPr>
      <w:r w:rsidRPr="00694ACA">
        <w:rPr>
          <w:lang w:val="ru-RU"/>
        </w:rPr>
        <w:t xml:space="preserve">сотрудники должны выделять время непосредственно на </w:t>
      </w:r>
      <w:r w:rsidR="00367DAA" w:rsidRPr="00694ACA">
        <w:rPr>
          <w:lang w:val="ru-RU"/>
        </w:rPr>
        <w:t>развитие потенциала и профессиональную подготовку</w:t>
      </w:r>
      <w:r w:rsidRPr="00694ACA">
        <w:rPr>
          <w:lang w:val="ru-RU"/>
        </w:rPr>
        <w:t xml:space="preserve"> (это может быть нелегко, но следует попытаться);</w:t>
      </w:r>
    </w:p>
    <w:p w14:paraId="76087F94" w14:textId="134AAAB8" w:rsidR="004B77F6" w:rsidRPr="00694ACA" w:rsidRDefault="004B77F6" w:rsidP="004B77F6">
      <w:pPr>
        <w:pStyle w:val="Bulletspoint11"/>
        <w:rPr>
          <w:lang w:val="ru-RU"/>
        </w:rPr>
      </w:pPr>
      <w:r w:rsidRPr="00694ACA">
        <w:rPr>
          <w:lang w:val="ru-RU"/>
        </w:rPr>
        <w:t xml:space="preserve">регулярно проверять процессы закупок с точки зрения учета таких факторов, как возраст, пол, этническая принадлежность, страна и сектор, при проведении любых мероприятий, направленных на </w:t>
      </w:r>
      <w:r w:rsidR="00367DAA" w:rsidRPr="00694ACA">
        <w:rPr>
          <w:lang w:val="ru-RU"/>
        </w:rPr>
        <w:t>развитие потенциала и профессиональную подготовку</w:t>
      </w:r>
      <w:r w:rsidRPr="00694ACA">
        <w:rPr>
          <w:lang w:val="ru-RU"/>
        </w:rPr>
        <w:t>.</w:t>
      </w:r>
    </w:p>
    <w:p w14:paraId="3F1347AD" w14:textId="77777777" w:rsidR="004B77F6" w:rsidRPr="00694ACA" w:rsidRDefault="004B77F6" w:rsidP="00A105CB">
      <w:pPr>
        <w:pStyle w:val="Heading3"/>
        <w:ind w:right="-472"/>
        <w:rPr>
          <w:lang w:val="ru-RU"/>
        </w:rPr>
      </w:pPr>
      <w:r w:rsidRPr="00694ACA">
        <w:rPr>
          <w:lang w:val="ru-RU"/>
        </w:rPr>
        <w:t>Краткосрочная рекомендация № 8: Академия МСЭ</w:t>
      </w:r>
    </w:p>
    <w:p w14:paraId="61B19BE0" w14:textId="3C6953AF" w:rsidR="004B77F6" w:rsidRPr="00694ACA" w:rsidRDefault="004B77F6" w:rsidP="00A105CB">
      <w:pPr>
        <w:ind w:left="-284" w:right="-472"/>
        <w:rPr>
          <w:lang w:val="ru-RU"/>
        </w:rPr>
      </w:pPr>
      <w:r w:rsidRPr="00694ACA">
        <w:rPr>
          <w:lang w:val="ru-RU"/>
        </w:rPr>
        <w:t xml:space="preserve">170. </w:t>
      </w:r>
      <w:r w:rsidRPr="00694ACA">
        <w:rPr>
          <w:b/>
          <w:lang w:val="ru-RU"/>
        </w:rPr>
        <w:t>Необходимо активно осуществлять непрерывное усовершенствование платформы Академии МСЭ, с тем чтобы предоставить учащимся больше возможностей для использования ее функционала и сделать Академию МСЭ законодателем моды в области профессионального мастерства среди учреждений ООН</w:t>
      </w:r>
      <w:r w:rsidRPr="006679E4">
        <w:rPr>
          <w:bCs/>
          <w:lang w:val="ru-RU"/>
        </w:rPr>
        <w:t>.</w:t>
      </w:r>
      <w:r w:rsidR="00A579EF">
        <w:rPr>
          <w:bCs/>
          <w:lang w:val="ru-RU"/>
        </w:rPr>
        <w:t xml:space="preserve"> </w:t>
      </w:r>
      <w:r w:rsidRPr="00694ACA">
        <w:rPr>
          <w:lang w:val="ru-RU"/>
        </w:rPr>
        <w:t>Несмотря на то, что в течение последних двух лет дизайн и функциональные возможности платформы Академии МСЭ значительно улучшились, работу в этом направлении необходимо продолжить для удержания лидерских позиций в данной области.</w:t>
      </w:r>
      <w:r w:rsidR="00A579EF">
        <w:rPr>
          <w:lang w:val="ru-RU"/>
        </w:rPr>
        <w:t xml:space="preserve"> </w:t>
      </w:r>
      <w:r w:rsidRPr="00694ACA">
        <w:rPr>
          <w:lang w:val="ru-RU"/>
        </w:rPr>
        <w:t>С этой целью на основе, в частности, замечаний и предложений, сделанных в рамках настоящего обзора ранее, были разработаны конкретные рекомендации, предусматривающие, среди прочего, следующее:</w:t>
      </w:r>
    </w:p>
    <w:p w14:paraId="75B5CD05" w14:textId="77777777" w:rsidR="004B77F6" w:rsidRPr="00694ACA" w:rsidRDefault="004B77F6" w:rsidP="004B77F6">
      <w:pPr>
        <w:pStyle w:val="Bulletspoint11"/>
        <w:rPr>
          <w:lang w:val="ru-RU"/>
        </w:rPr>
      </w:pPr>
      <w:r w:rsidRPr="00694ACA">
        <w:rPr>
          <w:lang w:val="ru-RU"/>
        </w:rPr>
        <w:t>тщательный анализ и обсуждение с другими поставщиками схожих услуг вопросов развития данной платформы, а также обсуждение возможности объединения или создания совместных платформ с другими учреждениями ООН и различных последствий таких действий для каждой из сторон;</w:t>
      </w:r>
    </w:p>
    <w:p w14:paraId="5A872131" w14:textId="77777777" w:rsidR="004B77F6" w:rsidRPr="00694ACA" w:rsidRDefault="004B77F6" w:rsidP="004B77F6">
      <w:pPr>
        <w:pStyle w:val="Bulletspoint11"/>
        <w:rPr>
          <w:lang w:val="ru-RU"/>
        </w:rPr>
      </w:pPr>
      <w:r w:rsidRPr="00694ACA">
        <w:rPr>
          <w:lang w:val="ru-RU"/>
        </w:rPr>
        <w:t xml:space="preserve">подробное обсуждение, в частности с ПРООН, текущей работы над развитием платформы и, возможно, будущего сотрудничества в контексте </w:t>
      </w:r>
      <w:r w:rsidRPr="00694ACA">
        <w:rPr>
          <w:i/>
          <w:lang w:val="ru-RU"/>
        </w:rPr>
        <w:t>Дорожной карты Генерального секретаря Организации Объединенных Наций по цифровому сотрудничеству</w:t>
      </w:r>
      <w:r w:rsidRPr="00694ACA">
        <w:rPr>
          <w:lang w:val="ru-RU"/>
        </w:rPr>
        <w:t>;</w:t>
      </w:r>
    </w:p>
    <w:p w14:paraId="0D112FB1" w14:textId="77777777" w:rsidR="004B77F6" w:rsidRPr="00694ACA" w:rsidRDefault="004B77F6" w:rsidP="004B77F6">
      <w:pPr>
        <w:pStyle w:val="Bulletspoint11"/>
        <w:rPr>
          <w:lang w:val="ru-RU"/>
        </w:rPr>
      </w:pPr>
      <w:r w:rsidRPr="00694ACA">
        <w:rPr>
          <w:lang w:val="ru-RU"/>
        </w:rPr>
        <w:t>создание механизма обратной связи, с тем чтобы пользователи регулярно предоставляли свои замечания и предложения по дизайну и функциональным возможностям платформы.</w:t>
      </w:r>
    </w:p>
    <w:p w14:paraId="675F5970" w14:textId="77777777" w:rsidR="004B77F6" w:rsidRPr="00694ACA" w:rsidRDefault="004B77F6" w:rsidP="00A105CB">
      <w:pPr>
        <w:pStyle w:val="Heading3"/>
        <w:ind w:right="-472"/>
        <w:rPr>
          <w:lang w:val="ru-RU"/>
        </w:rPr>
      </w:pPr>
      <w:r w:rsidRPr="00694ACA">
        <w:rPr>
          <w:lang w:val="ru-RU"/>
        </w:rPr>
        <w:t>Краткосрочная рекомендация № 9: сеть центров профессионального мастерства</w:t>
      </w:r>
    </w:p>
    <w:p w14:paraId="4FF70A1C" w14:textId="2F821AC9" w:rsidR="004B77F6" w:rsidRPr="00694ACA" w:rsidRDefault="004B77F6" w:rsidP="00A105CB">
      <w:pPr>
        <w:ind w:left="-284" w:right="-472"/>
        <w:rPr>
          <w:lang w:val="ru-RU"/>
        </w:rPr>
      </w:pPr>
      <w:r w:rsidRPr="00694ACA">
        <w:rPr>
          <w:lang w:val="ru-RU"/>
        </w:rPr>
        <w:t xml:space="preserve">171. </w:t>
      </w:r>
      <w:r w:rsidRPr="00694ACA">
        <w:rPr>
          <w:b/>
          <w:lang w:val="ru-RU"/>
        </w:rPr>
        <w:t>Необходимо предпринять незамедлительные меры как по оптимизации, так и по повышению качества предоставления услуг в рамках сети ЦПМ, с тем чтобы пользователи могли получать услуги с гарантией высочайшего качества в тех областях, где в их организациях существует соответствующая потребность</w:t>
      </w:r>
      <w:r w:rsidRPr="006679E4">
        <w:rPr>
          <w:bCs/>
          <w:lang w:val="ru-RU"/>
        </w:rPr>
        <w:t>.</w:t>
      </w:r>
      <w:r w:rsidR="00A579EF">
        <w:rPr>
          <w:bCs/>
          <w:lang w:val="ru-RU"/>
        </w:rPr>
        <w:t xml:space="preserve"> </w:t>
      </w:r>
      <w:r w:rsidRPr="00694ACA">
        <w:rPr>
          <w:lang w:val="ru-RU"/>
        </w:rPr>
        <w:t>Сеть ЦПМ неоднородна по качеству и статусу, и хотя она довольно популярна, во многих областях ее деятельность можно улучшить.</w:t>
      </w:r>
      <w:r w:rsidR="00A579EF">
        <w:rPr>
          <w:lang w:val="ru-RU"/>
        </w:rPr>
        <w:t xml:space="preserve"> </w:t>
      </w:r>
      <w:r w:rsidRPr="00694ACA">
        <w:rPr>
          <w:lang w:val="ru-RU"/>
        </w:rPr>
        <w:t>Соглашения, заключенные с ЦПМ на текущий четырехлетний цикл, необходимо выполнять, однако при этом важно извлечь уроки из деятельности этой сети и по возможности учесть их при разработке будущей структуры деятельности МСЭ в целом.</w:t>
      </w:r>
      <w:r w:rsidR="00A579EF">
        <w:rPr>
          <w:lang w:val="ru-RU"/>
        </w:rPr>
        <w:t xml:space="preserve"> </w:t>
      </w:r>
      <w:r w:rsidRPr="00694ACA">
        <w:rPr>
          <w:lang w:val="ru-RU"/>
        </w:rPr>
        <w:t>В краткосрочной перспективе:</w:t>
      </w:r>
    </w:p>
    <w:p w14:paraId="534BA7A4" w14:textId="77777777" w:rsidR="004B77F6" w:rsidRPr="00694ACA" w:rsidRDefault="004B77F6" w:rsidP="004B77F6">
      <w:pPr>
        <w:pStyle w:val="Bulletspoint11"/>
        <w:rPr>
          <w:lang w:val="ru-RU"/>
        </w:rPr>
      </w:pPr>
      <w:r w:rsidRPr="00694ACA">
        <w:rPr>
          <w:lang w:val="ru-RU"/>
        </w:rPr>
        <w:t>действуя через свои региональные отделения, МСЭ должен стремиться использовать все средства для содействия повышению эффективности и результативности (как в количественном, так и в качественном отношении) деятельности ЦПМ в соответствующих регионах;</w:t>
      </w:r>
    </w:p>
    <w:p w14:paraId="186B25C2" w14:textId="77777777" w:rsidR="004B77F6" w:rsidRPr="00694ACA" w:rsidRDefault="004B77F6" w:rsidP="004B77F6">
      <w:pPr>
        <w:pStyle w:val="Bulletspoint11"/>
        <w:rPr>
          <w:lang w:val="ru-RU"/>
        </w:rPr>
      </w:pPr>
      <w:r w:rsidRPr="00694ACA">
        <w:rPr>
          <w:lang w:val="ru-RU"/>
        </w:rPr>
        <w:t>опираясь на материалы, собранные для настоящего обзора на основе предложений и замечаний координаторов и участников деятельности ЦПМ, сотрудникам МСЭ необходимо рассмотреть ряд возможных сценариев реализации программы ЦПМ в следующем цикле, если по каким-либо причинам содержащиеся в настоящем отчете рекомендации, которые охватывают более долгосрочную перспективу, не будут выполнены;</w:t>
      </w:r>
    </w:p>
    <w:p w14:paraId="61943B85" w14:textId="77777777" w:rsidR="004B77F6" w:rsidRPr="00694ACA" w:rsidRDefault="004B77F6" w:rsidP="004B77F6">
      <w:pPr>
        <w:pStyle w:val="Bulletspoint11"/>
        <w:rPr>
          <w:lang w:val="ru-RU"/>
        </w:rPr>
      </w:pPr>
      <w:r w:rsidRPr="00694ACA">
        <w:rPr>
          <w:lang w:val="ru-RU"/>
        </w:rPr>
        <w:lastRenderedPageBreak/>
        <w:t>необходимо незамедлительно внедрить новую форму обратной связи, с тем чтобы обеспечить сбор более полных и систематических данных о потребностях учащихся, качестве обучения и актуальности курса для достижения целей их организации;</w:t>
      </w:r>
    </w:p>
    <w:p w14:paraId="0EBC586D" w14:textId="77777777" w:rsidR="004B77F6" w:rsidRPr="00694ACA" w:rsidRDefault="004B77F6" w:rsidP="004B77F6">
      <w:pPr>
        <w:pStyle w:val="Bulletspoint11"/>
        <w:rPr>
          <w:lang w:val="ru-RU"/>
        </w:rPr>
      </w:pPr>
      <w:r w:rsidRPr="00694ACA">
        <w:rPr>
          <w:lang w:val="ru-RU"/>
        </w:rPr>
        <w:t>всем участникам необходимо предложить присоединиться к новой сети выпускников и в течение соответственно 6 и 12 месяцев после окончания курса предоставить свои замечания и предложения для получения более полного представления о результатах обучения;</w:t>
      </w:r>
    </w:p>
    <w:p w14:paraId="6A9911C8" w14:textId="77777777" w:rsidR="004B77F6" w:rsidRPr="00694ACA" w:rsidRDefault="004B77F6" w:rsidP="004B77F6">
      <w:pPr>
        <w:pStyle w:val="Bulletspoint11"/>
        <w:rPr>
          <w:lang w:val="ru-RU"/>
        </w:rPr>
      </w:pPr>
      <w:r w:rsidRPr="00694ACA">
        <w:rPr>
          <w:lang w:val="ru-RU"/>
        </w:rPr>
        <w:t>маркетинговую стратегию ЦПМ необходимо существенно усилить.</w:t>
      </w:r>
    </w:p>
    <w:p w14:paraId="0D4C0ABD" w14:textId="77777777" w:rsidR="004B77F6" w:rsidRPr="00694ACA" w:rsidRDefault="004B77F6" w:rsidP="00A105CB">
      <w:pPr>
        <w:pStyle w:val="Heading3"/>
        <w:ind w:right="-472"/>
        <w:rPr>
          <w:lang w:val="ru-RU"/>
        </w:rPr>
      </w:pPr>
      <w:r w:rsidRPr="00694ACA">
        <w:rPr>
          <w:lang w:val="ru-RU"/>
        </w:rPr>
        <w:t xml:space="preserve">Краткосрочная рекомендация № 10: формирование хорошо продуманных и спланированных партнерств </w:t>
      </w:r>
    </w:p>
    <w:p w14:paraId="3944A969" w14:textId="2081F042" w:rsidR="004B77F6" w:rsidRPr="00694ACA" w:rsidRDefault="004B77F6" w:rsidP="00A105CB">
      <w:pPr>
        <w:ind w:left="-284" w:right="-472"/>
        <w:rPr>
          <w:b/>
          <w:bCs/>
          <w:lang w:val="ru-RU"/>
        </w:rPr>
      </w:pPr>
      <w:r w:rsidRPr="00694ACA">
        <w:rPr>
          <w:lang w:val="ru-RU"/>
        </w:rPr>
        <w:t xml:space="preserve">172. </w:t>
      </w:r>
      <w:r w:rsidRPr="00694ACA">
        <w:rPr>
          <w:b/>
          <w:lang w:val="ru-RU"/>
        </w:rPr>
        <w:t xml:space="preserve">МСЭ необходимо создать хорошо продуманный и четко структурированный механизм партнерства в области обучения для налаживания положительного прозрачного диалога с партнерами в целях повышения качества, эффективности и объективности мероприятий, направленных на </w:t>
      </w:r>
      <w:r w:rsidR="00367DAA" w:rsidRPr="00694ACA">
        <w:rPr>
          <w:b/>
          <w:lang w:val="ru-RU"/>
        </w:rPr>
        <w:t>развитие потенциала и профессиональную подготовку</w:t>
      </w:r>
      <w:r w:rsidRPr="00694ACA">
        <w:rPr>
          <w:b/>
          <w:lang w:val="ru-RU"/>
        </w:rPr>
        <w:t>, и в то же время снижения рисков для репутации МСЭ</w:t>
      </w:r>
      <w:r w:rsidRPr="006679E4">
        <w:rPr>
          <w:bCs/>
          <w:lang w:val="ru-RU"/>
        </w:rPr>
        <w:t>.</w:t>
      </w:r>
      <w:r w:rsidR="00A579EF">
        <w:rPr>
          <w:bCs/>
          <w:lang w:val="ru-RU"/>
        </w:rPr>
        <w:t xml:space="preserve"> </w:t>
      </w:r>
      <w:r w:rsidRPr="00694ACA">
        <w:rPr>
          <w:lang w:val="ru-RU"/>
        </w:rPr>
        <w:t xml:space="preserve">В настоящем отчете на разных этапах отмечалось, что сотрудничество со структурами, осуществляющими от имени МСЭ деятельность </w:t>
      </w:r>
      <w:r w:rsidR="00367DAA" w:rsidRPr="00694ACA">
        <w:rPr>
          <w:lang w:val="ru-RU"/>
        </w:rPr>
        <w:t>по развитию потенциала и профессиональной подготовке</w:t>
      </w:r>
      <w:r w:rsidRPr="00694ACA">
        <w:rPr>
          <w:lang w:val="ru-RU"/>
        </w:rPr>
        <w:t>, которые, по мнению некоторых, представляют тот или иной Сектор или национальные интересы, создает риск для репутации МСЭ.</w:t>
      </w:r>
      <w:r w:rsidR="00A579EF">
        <w:rPr>
          <w:lang w:val="ru-RU"/>
        </w:rPr>
        <w:t xml:space="preserve"> </w:t>
      </w:r>
      <w:r w:rsidRPr="00694ACA">
        <w:rPr>
          <w:lang w:val="ru-RU"/>
        </w:rPr>
        <w:t>Это сложная и в некоторой степени труднопреодолимая проблема, однако наличие официальной и прозрачной политики в отношении таких партнерств может помочь ее устранить и в то же время может повысить качество предоставления услуг.</w:t>
      </w:r>
    </w:p>
    <w:p w14:paraId="1A23F631" w14:textId="77777777" w:rsidR="004B77F6" w:rsidRPr="00694ACA" w:rsidRDefault="004B77F6" w:rsidP="004B77F6">
      <w:pPr>
        <w:pStyle w:val="Bulletspoint11"/>
        <w:rPr>
          <w:lang w:val="ru-RU"/>
        </w:rPr>
      </w:pPr>
      <w:r w:rsidRPr="00694ACA">
        <w:rPr>
          <w:lang w:val="ru-RU"/>
        </w:rPr>
        <w:t>БРЭ необходимо разработать четкий механизм налаживания партнерских отношений в области обучения в соответствии с существующими протоколами МСЭ для создания партнерств;</w:t>
      </w:r>
    </w:p>
    <w:p w14:paraId="70A86F7E" w14:textId="77777777" w:rsidR="004B77F6" w:rsidRPr="00694ACA" w:rsidRDefault="004B77F6" w:rsidP="004B77F6">
      <w:pPr>
        <w:pStyle w:val="Bulletspoint11"/>
        <w:rPr>
          <w:lang w:val="ru-RU"/>
        </w:rPr>
      </w:pPr>
      <w:r w:rsidRPr="00694ACA">
        <w:rPr>
          <w:lang w:val="ru-RU"/>
        </w:rPr>
        <w:t>при этом необходимо также учесть существующий передовой опыт и обеспечить соответствие более широким соглашениям ООН, как, например, те, которые продвигает Бюро Организации Объединенных Наций по вопросам партнерства</w:t>
      </w:r>
      <w:r w:rsidRPr="00694ACA">
        <w:rPr>
          <w:rStyle w:val="FootnoteReference"/>
          <w:lang w:val="ru-RU"/>
        </w:rPr>
        <w:footnoteReference w:id="196"/>
      </w:r>
      <w:r w:rsidRPr="00694ACA">
        <w:rPr>
          <w:lang w:val="ru-RU"/>
        </w:rPr>
        <w:t>;</w:t>
      </w:r>
    </w:p>
    <w:p w14:paraId="08CA2FBC" w14:textId="77777777" w:rsidR="004B77F6" w:rsidRPr="00694ACA" w:rsidRDefault="004B77F6" w:rsidP="004B77F6">
      <w:pPr>
        <w:pStyle w:val="Bulletspoint11"/>
        <w:rPr>
          <w:lang w:val="ru-RU"/>
        </w:rPr>
      </w:pPr>
      <w:r w:rsidRPr="00694ACA">
        <w:rPr>
          <w:lang w:val="ru-RU"/>
        </w:rPr>
        <w:t>указанный механизм должен быть четким и прозрачным с точки зрения выгод и затрат, ожидаемых партнерами, МСЭ и его членами;</w:t>
      </w:r>
    </w:p>
    <w:p w14:paraId="4F95F59F" w14:textId="0A560F43" w:rsidR="004B77F6" w:rsidRPr="00694ACA" w:rsidRDefault="002707C0" w:rsidP="004B77F6">
      <w:pPr>
        <w:pStyle w:val="Bulletspoint11"/>
        <w:rPr>
          <w:lang w:val="ru-RU"/>
        </w:rPr>
      </w:pPr>
      <w:r w:rsidRPr="00694ACA">
        <w:rPr>
          <w:lang w:val="ru-RU"/>
        </w:rPr>
        <w:t xml:space="preserve">необходимо </w:t>
      </w:r>
      <w:r w:rsidR="004B77F6" w:rsidRPr="00694ACA">
        <w:rPr>
          <w:lang w:val="ru-RU"/>
        </w:rPr>
        <w:t xml:space="preserve">прекратить практику свободного использования термина </w:t>
      </w:r>
      <w:r w:rsidR="006E72AD" w:rsidRPr="00694ACA">
        <w:rPr>
          <w:lang w:val="ru-RU"/>
        </w:rPr>
        <w:t>"</w:t>
      </w:r>
      <w:r w:rsidR="004B77F6" w:rsidRPr="00694ACA">
        <w:rPr>
          <w:lang w:val="ru-RU"/>
        </w:rPr>
        <w:t>партнерство</w:t>
      </w:r>
      <w:r w:rsidR="006E72AD" w:rsidRPr="00694ACA">
        <w:rPr>
          <w:lang w:val="ru-RU"/>
        </w:rPr>
        <w:t>"</w:t>
      </w:r>
      <w:r w:rsidR="004B77F6" w:rsidRPr="00694ACA">
        <w:rPr>
          <w:lang w:val="ru-RU"/>
        </w:rPr>
        <w:t xml:space="preserve"> для обозначения широкого спектра различных методов в контексте </w:t>
      </w:r>
      <w:r w:rsidR="00367DAA" w:rsidRPr="00694ACA">
        <w:rPr>
          <w:lang w:val="ru-RU"/>
        </w:rPr>
        <w:t>развития потенциала и профессиональной подготовки</w:t>
      </w:r>
      <w:r w:rsidR="004B77F6" w:rsidRPr="00694ACA">
        <w:rPr>
          <w:lang w:val="ru-RU"/>
        </w:rPr>
        <w:t>, если только такое использование не отвечает определениям, действующим в рамках установленного механизма.</w:t>
      </w:r>
    </w:p>
    <w:p w14:paraId="46FCA2B0" w14:textId="7D7F843D" w:rsidR="004B77F6" w:rsidRPr="00694ACA" w:rsidRDefault="004B77F6" w:rsidP="00A105CB">
      <w:pPr>
        <w:pStyle w:val="Heading2"/>
        <w:ind w:right="-472"/>
        <w:rPr>
          <w:lang w:val="ru-RU"/>
        </w:rPr>
      </w:pPr>
      <w:r w:rsidRPr="00694ACA">
        <w:rPr>
          <w:lang w:val="ru-RU"/>
        </w:rPr>
        <w:t>10.2 Рекомендация на более долгосрочную перспективу</w:t>
      </w:r>
    </w:p>
    <w:p w14:paraId="64FA102E" w14:textId="5481B5D1" w:rsidR="004B77F6" w:rsidRPr="00694ACA" w:rsidRDefault="004B77F6" w:rsidP="00A105CB">
      <w:pPr>
        <w:ind w:left="-284" w:right="-472"/>
        <w:rPr>
          <w:lang w:val="ru-RU"/>
        </w:rPr>
      </w:pPr>
      <w:r w:rsidRPr="00694ACA">
        <w:rPr>
          <w:lang w:val="ru-RU"/>
        </w:rPr>
        <w:t xml:space="preserve">173. Возможность создания МСЭ своего собственного Института — это перспективный и потенциально интересный вариант, как указано в </w:t>
      </w:r>
      <w:r w:rsidR="00EC7637" w:rsidRPr="00694ACA">
        <w:rPr>
          <w:lang w:val="ru-RU"/>
        </w:rPr>
        <w:t xml:space="preserve">разделе </w:t>
      </w:r>
      <w:r w:rsidRPr="00694ACA">
        <w:rPr>
          <w:lang w:val="ru-RU"/>
        </w:rPr>
        <w:t>9 выше.</w:t>
      </w:r>
      <w:r w:rsidR="00A579EF">
        <w:rPr>
          <w:lang w:val="ru-RU"/>
        </w:rPr>
        <w:t xml:space="preserve"> </w:t>
      </w:r>
      <w:r w:rsidRPr="00694ACA">
        <w:rPr>
          <w:lang w:val="ru-RU"/>
        </w:rPr>
        <w:t>Однако связанные с ним затраты, сложный характер необходимых структур управления и необходимость сохранения физического лица в среде профессиональной подготовки, которая становится все более виртуальной, позволяют предположить, что в настоящее время он не является оптимальным для МСЭ</w:t>
      </w:r>
      <w:r w:rsidR="008B728A" w:rsidRPr="00694ACA">
        <w:rPr>
          <w:rStyle w:val="FootnoteReference"/>
          <w:lang w:val="ru-RU"/>
        </w:rPr>
        <w:footnoteReference w:id="197"/>
      </w:r>
      <w:r w:rsidRPr="00694ACA">
        <w:rPr>
          <w:lang w:val="ru-RU"/>
        </w:rPr>
        <w:t>. Вместо этого, согласно общей рекомендации на долгосрочную перспективу, приведенной в настоящем отчете:</w:t>
      </w:r>
    </w:p>
    <w:p w14:paraId="684B912C" w14:textId="2FB11125" w:rsidR="004B77F6" w:rsidRPr="00694ACA" w:rsidRDefault="004B77F6" w:rsidP="00A105CB">
      <w:pPr>
        <w:ind w:left="-284" w:right="-472"/>
        <w:rPr>
          <w:b/>
          <w:bCs/>
          <w:lang w:val="ru-RU"/>
        </w:rPr>
      </w:pPr>
      <w:r w:rsidRPr="00694ACA">
        <w:rPr>
          <w:b/>
          <w:lang w:val="ru-RU"/>
        </w:rPr>
        <w:t>МСЭ должен создать в рамках своих существующих организационных структур солидную централизованную структуру (или Подразделение)</w:t>
      </w:r>
      <w:r w:rsidRPr="00694ACA">
        <w:rPr>
          <w:rStyle w:val="FootnoteReference"/>
          <w:lang w:val="ru-RU"/>
        </w:rPr>
        <w:footnoteReference w:id="198"/>
      </w:r>
      <w:r w:rsidRPr="00694ACA">
        <w:rPr>
          <w:b/>
          <w:lang w:val="ru-RU"/>
        </w:rPr>
        <w:t>, которая обеспечивала бы выполнение служебной функции по управлению и проведению мероприятий МСЭ в области развития потенциала и профессиональной подготовки</w:t>
      </w:r>
      <w:r w:rsidRPr="006679E4">
        <w:rPr>
          <w:bCs/>
          <w:lang w:val="ru-RU"/>
        </w:rPr>
        <w:t>.</w:t>
      </w:r>
      <w:r w:rsidR="00A579EF">
        <w:rPr>
          <w:bCs/>
          <w:lang w:val="ru-RU"/>
        </w:rPr>
        <w:t xml:space="preserve"> </w:t>
      </w:r>
    </w:p>
    <w:p w14:paraId="360D245E" w14:textId="77777777" w:rsidR="004B77F6" w:rsidRPr="00694ACA" w:rsidRDefault="004B77F6" w:rsidP="00A105CB">
      <w:pPr>
        <w:pStyle w:val="Heading3"/>
        <w:ind w:right="-472"/>
        <w:rPr>
          <w:lang w:val="ru-RU"/>
        </w:rPr>
      </w:pPr>
      <w:r w:rsidRPr="00694ACA">
        <w:rPr>
          <w:lang w:val="ru-RU"/>
        </w:rPr>
        <w:lastRenderedPageBreak/>
        <w:t>Что из себя может представлять такое Подразделение: краткий обзор</w:t>
      </w:r>
    </w:p>
    <w:p w14:paraId="31390CC1" w14:textId="5028768B" w:rsidR="004B77F6" w:rsidRPr="00694ACA" w:rsidRDefault="004B77F6" w:rsidP="00A105CB">
      <w:pPr>
        <w:ind w:left="-284" w:right="-472"/>
        <w:rPr>
          <w:lang w:val="ru-RU"/>
        </w:rPr>
      </w:pPr>
      <w:r w:rsidRPr="00694ACA">
        <w:rPr>
          <w:lang w:val="ru-RU"/>
        </w:rPr>
        <w:t>174.</w:t>
      </w:r>
      <w:r w:rsidR="00A579EF">
        <w:rPr>
          <w:lang w:val="ru-RU"/>
        </w:rPr>
        <w:t xml:space="preserve"> </w:t>
      </w:r>
      <w:r w:rsidRPr="00694ACA">
        <w:rPr>
          <w:lang w:val="ru-RU"/>
        </w:rPr>
        <w:t>По сути, такое Подразделение выполняло бы многие из описанных выше функций потенциального Института, однако было бы менее автономным, не требовало бы новых и сложных структур управления и не было бы столь дорогостоящим.</w:t>
      </w:r>
      <w:r w:rsidR="00A579EF">
        <w:rPr>
          <w:lang w:val="ru-RU"/>
        </w:rPr>
        <w:t xml:space="preserve"> </w:t>
      </w:r>
      <w:r w:rsidRPr="00694ACA">
        <w:rPr>
          <w:lang w:val="ru-RU"/>
        </w:rPr>
        <w:t>При рассмотрении данной рекомендации необходимо учесть четыре основополагающих элемента, связанных с функционированием такого Подразделения:</w:t>
      </w:r>
    </w:p>
    <w:p w14:paraId="74AB2373" w14:textId="77777777" w:rsidR="004B77F6" w:rsidRPr="00694ACA" w:rsidRDefault="004B77F6" w:rsidP="004B77F6">
      <w:pPr>
        <w:pStyle w:val="Bulletspoint11"/>
        <w:rPr>
          <w:lang w:val="ru-RU"/>
        </w:rPr>
      </w:pPr>
      <w:r w:rsidRPr="00694ACA">
        <w:rPr>
          <w:lang w:val="ru-RU"/>
        </w:rPr>
        <w:t>задача Подразделения — предоставлять услуги всем соответствующим Бюро и Департаментам МСЭ, а также оказывать им поддержку и взаимодействовать с ними тем или иным образом для совместной разработки соответствующих учебных ресурсов высочайшего качества и (в соответствующих случаях) проведения профессиональной подготовки, преимущественно в интересах членов МСЭ, но не ограничиваясь ими;</w:t>
      </w:r>
    </w:p>
    <w:p w14:paraId="647BDCB9" w14:textId="5259AAE4" w:rsidR="004B77F6" w:rsidRPr="00694ACA" w:rsidRDefault="004B77F6" w:rsidP="004B77F6">
      <w:pPr>
        <w:pStyle w:val="Bulletspoint11"/>
        <w:rPr>
          <w:lang w:val="ru-RU"/>
        </w:rPr>
      </w:pPr>
      <w:r w:rsidRPr="00694ACA">
        <w:rPr>
          <w:lang w:val="ru-RU"/>
        </w:rPr>
        <w:t xml:space="preserve">на начальном этапе Подразделение будет состоять примерно </w:t>
      </w:r>
      <w:r w:rsidR="002707C0" w:rsidRPr="00694ACA">
        <w:rPr>
          <w:lang w:val="ru-RU"/>
        </w:rPr>
        <w:t xml:space="preserve">из </w:t>
      </w:r>
      <w:r w:rsidRPr="00694ACA">
        <w:rPr>
          <w:lang w:val="ru-RU"/>
        </w:rPr>
        <w:t xml:space="preserve">15 сотрудников, обладающих опытом во всех сферах </w:t>
      </w:r>
      <w:r w:rsidR="00367DAA" w:rsidRPr="00694ACA">
        <w:rPr>
          <w:lang w:val="ru-RU"/>
        </w:rPr>
        <w:t>развития потенциала и профессиональной подготовки</w:t>
      </w:r>
      <w:r w:rsidRPr="00694ACA">
        <w:rPr>
          <w:lang w:val="ru-RU"/>
        </w:rPr>
        <w:t xml:space="preserve"> в соответствии с мандатом МСЭ (от разработки концепции и планирования до организации и проведения).</w:t>
      </w:r>
      <w:r w:rsidR="00A579EF">
        <w:rPr>
          <w:lang w:val="ru-RU"/>
        </w:rPr>
        <w:t xml:space="preserve"> </w:t>
      </w:r>
      <w:r w:rsidRPr="00694ACA">
        <w:rPr>
          <w:lang w:val="ru-RU"/>
        </w:rPr>
        <w:t>Хотя они могут выполнять свои функции, находясь в разных местах, размещение сотрудников преимущественно в одном помещении позволит наладить эффективное взаимодействие;</w:t>
      </w:r>
    </w:p>
    <w:p w14:paraId="7ECF9F69" w14:textId="4330DBE5" w:rsidR="004B77F6" w:rsidRPr="00694ACA" w:rsidRDefault="004B77F6" w:rsidP="004B77F6">
      <w:pPr>
        <w:pStyle w:val="Bulletspoint11"/>
        <w:rPr>
          <w:lang w:val="ru-RU"/>
        </w:rPr>
      </w:pPr>
      <w:r w:rsidRPr="00694ACA">
        <w:rPr>
          <w:lang w:val="ru-RU"/>
        </w:rPr>
        <w:t xml:space="preserve">Подразделение создаст </w:t>
      </w:r>
      <w:r w:rsidR="002707C0" w:rsidRPr="00694ACA">
        <w:rPr>
          <w:lang w:val="ru-RU"/>
        </w:rPr>
        <w:t xml:space="preserve">сеть выпускников </w:t>
      </w:r>
      <w:r w:rsidRPr="00694ACA">
        <w:rPr>
          <w:lang w:val="ru-RU"/>
        </w:rPr>
        <w:t xml:space="preserve">и будет поддерживать </w:t>
      </w:r>
      <w:r w:rsidR="002707C0" w:rsidRPr="00694ACA">
        <w:rPr>
          <w:lang w:val="ru-RU"/>
        </w:rPr>
        <w:t xml:space="preserve">ее </w:t>
      </w:r>
      <w:r w:rsidRPr="00694ACA">
        <w:rPr>
          <w:lang w:val="ru-RU"/>
        </w:rPr>
        <w:t>функционирование, с тем чтобы обеспечить надлежащую оценку результатов профессиональной подготовки и создать глобальную сеть коллег из прошедших соответствующую подготовку сотрудников организаций, приверженных обеспечению эффективного обучения для выполнения предусмотренных мандатом МСЭ задач; при этом такие организации также смогут поддерживать и наставлять друг друга;</w:t>
      </w:r>
    </w:p>
    <w:p w14:paraId="7E238929" w14:textId="30D0A783" w:rsidR="004B77F6" w:rsidRPr="00694ACA" w:rsidRDefault="004B77F6" w:rsidP="004B77F6">
      <w:pPr>
        <w:pStyle w:val="Bulletspoint11"/>
        <w:rPr>
          <w:lang w:val="ru-RU"/>
        </w:rPr>
      </w:pPr>
      <w:r w:rsidRPr="00694ACA">
        <w:rPr>
          <w:lang w:val="ru-RU"/>
        </w:rPr>
        <w:t xml:space="preserve">Подразделение сконцентрирует свои усилия преимущественно на разработке и организации собственных мероприятий </w:t>
      </w:r>
      <w:r w:rsidR="00367DAA" w:rsidRPr="00694ACA">
        <w:rPr>
          <w:lang w:val="ru-RU"/>
        </w:rPr>
        <w:t>по развитию потенциала и профессиональной подготовке</w:t>
      </w:r>
      <w:r w:rsidRPr="00694ACA">
        <w:rPr>
          <w:lang w:val="ru-RU"/>
        </w:rPr>
        <w:t>, отказавшись от содействия другим организациям в проведении таких мероприятий в интересах членов МСЭ.</w:t>
      </w:r>
    </w:p>
    <w:p w14:paraId="3451DA37" w14:textId="73033EC6" w:rsidR="004B77F6" w:rsidRPr="00694ACA" w:rsidRDefault="004B77F6" w:rsidP="00A105CB">
      <w:pPr>
        <w:pStyle w:val="Heading2"/>
        <w:rPr>
          <w:bCs/>
          <w:lang w:val="ru-RU"/>
        </w:rPr>
      </w:pPr>
      <w:r w:rsidRPr="00694ACA">
        <w:rPr>
          <w:b w:val="0"/>
          <w:lang w:val="ru-RU"/>
        </w:rPr>
        <w:t xml:space="preserve">Роль </w:t>
      </w:r>
      <w:r w:rsidR="002707C0" w:rsidRPr="00694ACA">
        <w:rPr>
          <w:b w:val="0"/>
          <w:lang w:val="ru-RU"/>
        </w:rPr>
        <w:t>индивидуальности</w:t>
      </w:r>
      <w:r w:rsidRPr="00694ACA">
        <w:rPr>
          <w:b w:val="0"/>
          <w:lang w:val="ru-RU"/>
        </w:rPr>
        <w:t xml:space="preserve"> бренда</w:t>
      </w:r>
    </w:p>
    <w:p w14:paraId="432D2E3F" w14:textId="584CBE70" w:rsidR="004B77F6" w:rsidRPr="00694ACA" w:rsidRDefault="004B77F6" w:rsidP="00A105CB">
      <w:pPr>
        <w:ind w:left="-284" w:right="-472"/>
        <w:rPr>
          <w:i/>
          <w:iCs/>
          <w:lang w:val="ru-RU"/>
        </w:rPr>
      </w:pPr>
      <w:r w:rsidRPr="00694ACA">
        <w:rPr>
          <w:lang w:val="ru-RU"/>
        </w:rPr>
        <w:t>175. Хотя Академия МСЭ уже в определенной степени обеспечила положительную идентификацию бренда, она все еще требует значительного усиления.</w:t>
      </w:r>
      <w:r w:rsidR="00A579EF">
        <w:rPr>
          <w:lang w:val="ru-RU"/>
        </w:rPr>
        <w:t xml:space="preserve"> </w:t>
      </w:r>
      <w:r w:rsidRPr="00694ACA">
        <w:rPr>
          <w:lang w:val="ru-RU"/>
        </w:rPr>
        <w:t>В целом, согласно содержащимся в настоящем отчете рекомендациям, для Института было бы предпочтительней не создавать новый бренд, будь то реальный или виртуальный, а перезапустить уже существующий бренд.</w:t>
      </w:r>
      <w:r w:rsidR="00A579EF">
        <w:rPr>
          <w:lang w:val="ru-RU"/>
        </w:rPr>
        <w:t xml:space="preserve"> </w:t>
      </w:r>
      <w:r w:rsidRPr="00694ACA">
        <w:rPr>
          <w:lang w:val="ru-RU"/>
        </w:rPr>
        <w:t>В докладе ОИГ ООН (2020 г.)</w:t>
      </w:r>
      <w:r w:rsidRPr="00694ACA">
        <w:rPr>
          <w:rStyle w:val="FootnoteReference"/>
          <w:lang w:val="ru-RU"/>
        </w:rPr>
        <w:footnoteReference w:id="199"/>
      </w:r>
      <w:r w:rsidRPr="00694ACA">
        <w:rPr>
          <w:lang w:val="ru-RU"/>
        </w:rPr>
        <w:t xml:space="preserve"> также содержатся серьезные замечания относительно необходимости повышения степени единообразного использования термина </w:t>
      </w:r>
      <w:r w:rsidR="006E72AD" w:rsidRPr="00694ACA">
        <w:rPr>
          <w:lang w:val="ru-RU"/>
        </w:rPr>
        <w:t>"</w:t>
      </w:r>
      <w:r w:rsidRPr="00694ACA">
        <w:rPr>
          <w:lang w:val="ru-RU"/>
        </w:rPr>
        <w:t>Академия</w:t>
      </w:r>
      <w:r w:rsidR="006E72AD" w:rsidRPr="00694ACA">
        <w:rPr>
          <w:lang w:val="ru-RU"/>
        </w:rPr>
        <w:t>"</w:t>
      </w:r>
      <w:r w:rsidRPr="00694ACA">
        <w:rPr>
          <w:lang w:val="ru-RU"/>
        </w:rPr>
        <w:t xml:space="preserve"> в контексте системы ООН, и то, как МСЭ его использует в настоящее время, по-видимому, в целом соответствует его использованию рядом других учреждений ООН (как ФАО, например).</w:t>
      </w:r>
      <w:r w:rsidR="00A579EF">
        <w:rPr>
          <w:lang w:val="ru-RU"/>
        </w:rPr>
        <w:t xml:space="preserve"> </w:t>
      </w:r>
      <w:r w:rsidRPr="00694ACA">
        <w:rPr>
          <w:lang w:val="ru-RU"/>
        </w:rPr>
        <w:t xml:space="preserve">Несмотря на то, что другие учреждения ООН (например, ЮНКТАД) используют термин </w:t>
      </w:r>
      <w:r w:rsidR="006E72AD" w:rsidRPr="00694ACA">
        <w:rPr>
          <w:lang w:val="ru-RU"/>
        </w:rPr>
        <w:t>"</w:t>
      </w:r>
      <w:r w:rsidRPr="00694ACA">
        <w:rPr>
          <w:lang w:val="ru-RU"/>
        </w:rPr>
        <w:t>Виртуальный институт</w:t>
      </w:r>
      <w:r w:rsidR="006E72AD" w:rsidRPr="00694ACA">
        <w:rPr>
          <w:lang w:val="ru-RU"/>
        </w:rPr>
        <w:t>"</w:t>
      </w:r>
      <w:r w:rsidRPr="00694ACA">
        <w:rPr>
          <w:lang w:val="ru-RU"/>
        </w:rPr>
        <w:t xml:space="preserve">, слово </w:t>
      </w:r>
      <w:r w:rsidR="006E72AD" w:rsidRPr="00694ACA">
        <w:rPr>
          <w:lang w:val="ru-RU"/>
        </w:rPr>
        <w:t>"</w:t>
      </w:r>
      <w:r w:rsidRPr="00694ACA">
        <w:rPr>
          <w:lang w:val="ru-RU"/>
        </w:rPr>
        <w:t>институт</w:t>
      </w:r>
      <w:r w:rsidR="006E72AD" w:rsidRPr="00694ACA">
        <w:rPr>
          <w:lang w:val="ru-RU"/>
        </w:rPr>
        <w:t>"</w:t>
      </w:r>
      <w:r w:rsidRPr="00694ACA">
        <w:rPr>
          <w:lang w:val="ru-RU"/>
        </w:rPr>
        <w:t xml:space="preserve"> по-прежнему употребляется в основном для обозначения физического органа, в связи с чем мы предлагаем использовать этот термин исключительно в таком контексте.</w:t>
      </w:r>
      <w:r w:rsidR="00A579EF">
        <w:rPr>
          <w:lang w:val="ru-RU"/>
        </w:rPr>
        <w:t xml:space="preserve"> </w:t>
      </w:r>
      <w:r w:rsidRPr="00694ACA">
        <w:rPr>
          <w:lang w:val="ru-RU"/>
        </w:rPr>
        <w:t>Более того, в настоящем отчете высказывается предположение о том, что оживить известный виртуальный бренд (Академия МСЭ), вероятно, целесообразнее, чем создавать новый, если между виртуальным институтом и виртуальной академией реальной разницы не существует</w:t>
      </w:r>
      <w:r w:rsidRPr="00694ACA">
        <w:rPr>
          <w:rStyle w:val="FootnoteReference"/>
          <w:lang w:val="ru-RU"/>
        </w:rPr>
        <w:footnoteReference w:id="200"/>
      </w:r>
      <w:r w:rsidRPr="00694ACA">
        <w:rPr>
          <w:lang w:val="ru-RU"/>
        </w:rPr>
        <w:t>.</w:t>
      </w:r>
    </w:p>
    <w:p w14:paraId="3753FE8E" w14:textId="77777777" w:rsidR="004B77F6" w:rsidRPr="00694ACA" w:rsidRDefault="004B77F6" w:rsidP="00A105CB">
      <w:pPr>
        <w:pStyle w:val="Heading3"/>
        <w:ind w:right="-472"/>
        <w:rPr>
          <w:lang w:val="ru-RU"/>
        </w:rPr>
      </w:pPr>
      <w:r w:rsidRPr="00694ACA">
        <w:rPr>
          <w:lang w:val="ru-RU"/>
        </w:rPr>
        <w:t>Основные характеристики такого Подразделения</w:t>
      </w:r>
    </w:p>
    <w:p w14:paraId="2C5954FE" w14:textId="77777777" w:rsidR="004B77F6" w:rsidRPr="00694ACA" w:rsidRDefault="004B77F6" w:rsidP="00A105CB">
      <w:pPr>
        <w:ind w:left="-284" w:right="-472"/>
        <w:rPr>
          <w:lang w:val="ru-RU"/>
        </w:rPr>
      </w:pPr>
      <w:r w:rsidRPr="00694ACA">
        <w:rPr>
          <w:lang w:val="ru-RU"/>
        </w:rPr>
        <w:t>176. Чтобы лучше понять характер Подразделения, которое предлагается создать, необходимо рассмотреть четыре тесно взаимосвязанных компонента, которые контрастируют с тем, как МСЭ осуществляет свою деятельность в настоящее время:</w:t>
      </w:r>
    </w:p>
    <w:p w14:paraId="7A1E7215" w14:textId="7A689D0E" w:rsidR="004B77F6" w:rsidRPr="00694ACA" w:rsidRDefault="004B77F6" w:rsidP="004B77F6">
      <w:pPr>
        <w:pStyle w:val="ListParagraph"/>
        <w:numPr>
          <w:ilvl w:val="0"/>
          <w:numId w:val="52"/>
        </w:numPr>
        <w:ind w:right="-472"/>
        <w:rPr>
          <w:lang w:val="ru-RU"/>
        </w:rPr>
      </w:pPr>
      <w:r w:rsidRPr="00694ACA">
        <w:rPr>
          <w:b/>
          <w:bCs/>
          <w:lang w:val="ru-RU"/>
        </w:rPr>
        <w:t>использование сравнительных преимуществ МСЭ</w:t>
      </w:r>
      <w:r w:rsidRPr="00694ACA">
        <w:rPr>
          <w:i/>
          <w:lang w:val="ru-RU"/>
        </w:rPr>
        <w:t xml:space="preserve">. </w:t>
      </w:r>
      <w:r w:rsidRPr="00694ACA">
        <w:rPr>
          <w:lang w:val="ru-RU"/>
        </w:rPr>
        <w:t xml:space="preserve">На главной странице веб-сайта МСЭ сказано, что он </w:t>
      </w:r>
      <w:r w:rsidR="006E72AD" w:rsidRPr="00694ACA">
        <w:rPr>
          <w:lang w:val="ru-RU"/>
        </w:rPr>
        <w:t>"</w:t>
      </w:r>
      <w:r w:rsidRPr="00694ACA">
        <w:rPr>
          <w:lang w:val="ru-RU"/>
        </w:rPr>
        <w:t xml:space="preserve">является специализированным учреждением Организации Объединенных Наций в области </w:t>
      </w:r>
      <w:r w:rsidRPr="00694ACA">
        <w:rPr>
          <w:lang w:val="ru-RU"/>
        </w:rPr>
        <w:lastRenderedPageBreak/>
        <w:t>информационных и коммуникационных технологий (ИКТ)</w:t>
      </w:r>
      <w:r w:rsidR="006E72AD" w:rsidRPr="00694ACA">
        <w:rPr>
          <w:lang w:val="ru-RU"/>
        </w:rPr>
        <w:t>"</w:t>
      </w:r>
      <w:r w:rsidRPr="00694ACA">
        <w:rPr>
          <w:rStyle w:val="FootnoteReference"/>
          <w:lang w:val="ru-RU"/>
        </w:rPr>
        <w:footnoteReference w:id="201"/>
      </w:r>
      <w:r w:rsidRPr="00694ACA">
        <w:rPr>
          <w:lang w:val="ru-RU"/>
        </w:rPr>
        <w:t>. В то же время ИКТ — это очень широкое понятие, значение которого часто оспаривается в системе ООН и за ее пределами.</w:t>
      </w:r>
      <w:r w:rsidR="00A579EF">
        <w:rPr>
          <w:lang w:val="ru-RU"/>
        </w:rPr>
        <w:t xml:space="preserve"> </w:t>
      </w:r>
      <w:r w:rsidRPr="00694ACA">
        <w:rPr>
          <w:lang w:val="ru-RU"/>
        </w:rPr>
        <w:t xml:space="preserve">Так, </w:t>
      </w:r>
      <w:r w:rsidRPr="00694ACA">
        <w:rPr>
          <w:i/>
          <w:lang w:val="ru-RU"/>
        </w:rPr>
        <w:t>Дорожная карта Генерального секретаря Организации Объединенных Наций по цифровому сотрудничеству</w:t>
      </w:r>
      <w:r w:rsidRPr="00694ACA">
        <w:rPr>
          <w:rStyle w:val="FootnoteReference"/>
          <w:lang w:val="ru-RU"/>
        </w:rPr>
        <w:footnoteReference w:id="202"/>
      </w:r>
      <w:r w:rsidRPr="00694ACA">
        <w:rPr>
          <w:lang w:val="ru-RU"/>
        </w:rPr>
        <w:t xml:space="preserve"> четко дает понять, что ИКТ — это повестка дня всей системы ООН; при этом в отчете за июнь 2020 года МСЭ упоминается по существу лишь трижды. В частности, отмечается роль, которую он может сыграть в </w:t>
      </w:r>
      <w:r w:rsidR="006E72AD" w:rsidRPr="00694ACA">
        <w:rPr>
          <w:lang w:val="ru-RU"/>
        </w:rPr>
        <w:t>"</w:t>
      </w:r>
      <w:r w:rsidR="002E5573" w:rsidRPr="00694ACA">
        <w:rPr>
          <w:lang w:val="ru-RU"/>
        </w:rPr>
        <w:t>развитии</w:t>
      </w:r>
      <w:r w:rsidRPr="00694ACA">
        <w:rPr>
          <w:lang w:val="ru-RU"/>
        </w:rPr>
        <w:t xml:space="preserve"> потенциала</w:t>
      </w:r>
      <w:r w:rsidR="006E72AD" w:rsidRPr="00694ACA">
        <w:rPr>
          <w:lang w:val="ru-RU"/>
        </w:rPr>
        <w:t>"</w:t>
      </w:r>
      <w:r w:rsidRPr="00694ACA">
        <w:rPr>
          <w:lang w:val="ru-RU"/>
        </w:rPr>
        <w:t xml:space="preserve"> (используя терминологию Генерального секретаря ООН)</w:t>
      </w:r>
      <w:r w:rsidRPr="00694ACA">
        <w:rPr>
          <w:rStyle w:val="FootnoteReference"/>
          <w:lang w:val="ru-RU"/>
        </w:rPr>
        <w:footnoteReference w:id="203"/>
      </w:r>
      <w:r w:rsidRPr="00694ACA">
        <w:rPr>
          <w:lang w:val="ru-RU"/>
        </w:rPr>
        <w:t xml:space="preserve">. Поскольку данный отчет был подготовлен по заказу МСЭ, особое внимание в нем уделяется тому, что именно делает МСЭ уникальным и каковы его основные конкурентные преимущества в области </w:t>
      </w:r>
      <w:r w:rsidR="00367DAA" w:rsidRPr="00694ACA">
        <w:rPr>
          <w:lang w:val="ru-RU"/>
        </w:rPr>
        <w:t>развития потенциала и профессиональной подготовки</w:t>
      </w:r>
      <w:r w:rsidRPr="00694ACA">
        <w:rPr>
          <w:lang w:val="ru-RU"/>
        </w:rPr>
        <w:t>.</w:t>
      </w:r>
      <w:r w:rsidR="00A579EF">
        <w:rPr>
          <w:lang w:val="ru-RU"/>
        </w:rPr>
        <w:t xml:space="preserve"> </w:t>
      </w:r>
      <w:r w:rsidRPr="00694ACA">
        <w:rPr>
          <w:i/>
          <w:lang w:val="ru-RU"/>
        </w:rPr>
        <w:t>Среди них</w:t>
      </w:r>
      <w:r w:rsidRPr="00694ACA">
        <w:rPr>
          <w:lang w:val="ru-RU"/>
        </w:rPr>
        <w:t> — присутствие частных компаний среди Членов Секторов МСЭ, работа МСЭ-R по распределению спектра и спутниковых орбит, отдельные компоненты работы МСЭ-T по стандартизации</w:t>
      </w:r>
      <w:r w:rsidRPr="00694ACA">
        <w:rPr>
          <w:rStyle w:val="FootnoteReference"/>
          <w:lang w:val="ru-RU"/>
        </w:rPr>
        <w:footnoteReference w:id="204"/>
      </w:r>
      <w:r w:rsidRPr="00694ACA">
        <w:rPr>
          <w:lang w:val="ru-RU"/>
        </w:rPr>
        <w:t xml:space="preserve">, а также весьма тесная поддержка </w:t>
      </w:r>
      <w:r w:rsidR="00175F3F" w:rsidRPr="00694ACA">
        <w:rPr>
          <w:lang w:val="ru-RU"/>
        </w:rPr>
        <w:t>Государств</w:t>
      </w:r>
      <w:r w:rsidRPr="00694ACA">
        <w:rPr>
          <w:lang w:val="ru-RU"/>
        </w:rPr>
        <w:t>-</w:t>
      </w:r>
      <w:r w:rsidR="00175F3F" w:rsidRPr="00694ACA">
        <w:rPr>
          <w:lang w:val="ru-RU"/>
        </w:rPr>
        <w:t xml:space="preserve">Членов </w:t>
      </w:r>
      <w:r w:rsidRPr="00694ACA">
        <w:rPr>
          <w:lang w:val="ru-RU"/>
        </w:rPr>
        <w:t>со стороны МСЭ-D и их взаимодействие в ряде экономически бедных стран мира по таким вопросам, как регулирование, кибербезопасность и широкополосная связь</w:t>
      </w:r>
      <w:r w:rsidRPr="00694ACA">
        <w:rPr>
          <w:rStyle w:val="FootnoteReference"/>
          <w:lang w:val="ru-RU"/>
        </w:rPr>
        <w:footnoteReference w:id="205"/>
      </w:r>
      <w:r w:rsidRPr="00694ACA">
        <w:rPr>
          <w:lang w:val="ru-RU"/>
        </w:rPr>
        <w:t xml:space="preserve">; </w:t>
      </w:r>
    </w:p>
    <w:p w14:paraId="7D0B7959" w14:textId="267ED7D7" w:rsidR="004B77F6" w:rsidRPr="00694ACA" w:rsidRDefault="004B77F6" w:rsidP="004B77F6">
      <w:pPr>
        <w:pStyle w:val="ListParagraph"/>
        <w:numPr>
          <w:ilvl w:val="0"/>
          <w:numId w:val="52"/>
        </w:numPr>
        <w:ind w:right="-472"/>
        <w:rPr>
          <w:lang w:val="ru-RU"/>
        </w:rPr>
      </w:pPr>
      <w:r w:rsidRPr="00694ACA">
        <w:rPr>
          <w:b/>
          <w:bCs/>
          <w:lang w:val="ru-RU"/>
        </w:rPr>
        <w:t>понимание реальных потребностей членов первостепенно</w:t>
      </w:r>
      <w:r w:rsidRPr="006679E4">
        <w:rPr>
          <w:lang w:val="ru-RU"/>
        </w:rPr>
        <w:t>.</w:t>
      </w:r>
      <w:r w:rsidRPr="00694ACA">
        <w:rPr>
          <w:i/>
          <w:lang w:val="ru-RU"/>
        </w:rPr>
        <w:t xml:space="preserve"> </w:t>
      </w:r>
      <w:r w:rsidRPr="00694ACA">
        <w:rPr>
          <w:lang w:val="ru-RU"/>
        </w:rPr>
        <w:t xml:space="preserve">Многие из мероприятий по </w:t>
      </w:r>
      <w:r w:rsidR="009421AE" w:rsidRPr="00694ACA">
        <w:rPr>
          <w:lang w:val="ru-RU"/>
        </w:rPr>
        <w:t>развитию потенциала</w:t>
      </w:r>
      <w:r w:rsidRPr="00694ACA">
        <w:rPr>
          <w:lang w:val="ru-RU"/>
        </w:rPr>
        <w:t>, проводимых МСЭ в настоящее время, как правило, ориентированы на предложение, и не всегда понятно, как именно они отвечают реальным потребностям и требованиям членов.</w:t>
      </w:r>
      <w:r w:rsidR="00A579EF">
        <w:rPr>
          <w:lang w:val="ru-RU"/>
        </w:rPr>
        <w:t xml:space="preserve"> </w:t>
      </w:r>
      <w:r w:rsidRPr="00694ACA">
        <w:rPr>
          <w:lang w:val="ru-RU"/>
        </w:rPr>
        <w:t xml:space="preserve">МСЭ должен иметь в своем арсенале четкие последовательно структурированные инструменты, обеспечивающие глубокое понимание того, какие именно потребности есть у администрации того или иного </w:t>
      </w:r>
      <w:r w:rsidR="00175F3F" w:rsidRPr="00694ACA">
        <w:rPr>
          <w:lang w:val="ru-RU"/>
        </w:rPr>
        <w:t>Государства</w:t>
      </w:r>
      <w:r w:rsidRPr="00694ACA">
        <w:rPr>
          <w:lang w:val="ru-RU"/>
        </w:rPr>
        <w:t>-</w:t>
      </w:r>
      <w:r w:rsidR="00175F3F" w:rsidRPr="00694ACA">
        <w:rPr>
          <w:lang w:val="ru-RU"/>
        </w:rPr>
        <w:t>Члена</w:t>
      </w:r>
      <w:r w:rsidRPr="00694ACA">
        <w:rPr>
          <w:lang w:val="ru-RU"/>
        </w:rPr>
        <w:t xml:space="preserve">, какие способы </w:t>
      </w:r>
      <w:r w:rsidR="00367DAA" w:rsidRPr="00694ACA">
        <w:rPr>
          <w:lang w:val="ru-RU"/>
        </w:rPr>
        <w:t>развития потенциала</w:t>
      </w:r>
      <w:r w:rsidRPr="00694ACA">
        <w:rPr>
          <w:lang w:val="ru-RU"/>
        </w:rPr>
        <w:t xml:space="preserve"> такой администрации в результате совместных с ней усилий наиболее эффективны, какие </w:t>
      </w:r>
      <w:r w:rsidR="00B4758B" w:rsidRPr="00694ACA">
        <w:rPr>
          <w:lang w:val="ru-RU"/>
        </w:rPr>
        <w:t xml:space="preserve">учебные занятия </w:t>
      </w:r>
      <w:r w:rsidRPr="00694ACA">
        <w:rPr>
          <w:lang w:val="ru-RU"/>
        </w:rPr>
        <w:t>представители такой администрации уже прошли и как можно оценить результаты такого развития;</w:t>
      </w:r>
    </w:p>
    <w:p w14:paraId="3C3B56ED" w14:textId="712EBFAE" w:rsidR="004B77F6" w:rsidRPr="00694ACA" w:rsidRDefault="004B77F6" w:rsidP="004B77F6">
      <w:pPr>
        <w:pStyle w:val="ListParagraph"/>
        <w:numPr>
          <w:ilvl w:val="0"/>
          <w:numId w:val="52"/>
        </w:numPr>
        <w:ind w:right="-472"/>
        <w:rPr>
          <w:lang w:val="ru-RU"/>
        </w:rPr>
      </w:pPr>
      <w:r w:rsidRPr="00694ACA">
        <w:rPr>
          <w:b/>
          <w:bCs/>
          <w:lang w:val="ru-RU"/>
        </w:rPr>
        <w:t>понимание сложных рыночных отношений</w:t>
      </w:r>
      <w:r w:rsidRPr="006679E4">
        <w:rPr>
          <w:lang w:val="ru-RU"/>
        </w:rPr>
        <w:t>.</w:t>
      </w:r>
      <w:r w:rsidRPr="00694ACA">
        <w:rPr>
          <w:lang w:val="ru-RU"/>
        </w:rPr>
        <w:t xml:space="preserve"> В мире существует множество поставщиков высококлассных услуг </w:t>
      </w:r>
      <w:r w:rsidR="00367DAA" w:rsidRPr="00694ACA">
        <w:rPr>
          <w:lang w:val="ru-RU"/>
        </w:rPr>
        <w:t>по развитию потенциала и профессиональной подготовке</w:t>
      </w:r>
      <w:r w:rsidRPr="00694ACA">
        <w:rPr>
          <w:lang w:val="ru-RU"/>
        </w:rPr>
        <w:t xml:space="preserve"> в области цифровых технологий и коммуникаций самых разных масштабов и уровней (</w:t>
      </w:r>
      <w:r w:rsidR="00EC7637" w:rsidRPr="00694ACA">
        <w:rPr>
          <w:lang w:val="ru-RU"/>
        </w:rPr>
        <w:t xml:space="preserve">раздел </w:t>
      </w:r>
      <w:r w:rsidRPr="00694ACA">
        <w:rPr>
          <w:lang w:val="ru-RU"/>
        </w:rPr>
        <w:t>8).</w:t>
      </w:r>
      <w:r w:rsidR="00A579EF">
        <w:rPr>
          <w:lang w:val="ru-RU"/>
        </w:rPr>
        <w:t xml:space="preserve"> </w:t>
      </w:r>
      <w:r w:rsidRPr="00694ACA">
        <w:rPr>
          <w:lang w:val="ru-RU"/>
        </w:rPr>
        <w:t>МСЭ крайне важно не тратить имеющиеся у него ограниченные ресурсы на проведение мероприятий, дублирующих те, которые уже существуют, а указать членам на наличие других возможностей, которыми они могут воспользоваться, а также определить незанятые сегменты рынка, где он может занять лидирующие позиции за счет своих ключевых сильных сторон;</w:t>
      </w:r>
    </w:p>
    <w:p w14:paraId="4B8284DC" w14:textId="5428E46E" w:rsidR="004B77F6" w:rsidRPr="00694ACA" w:rsidRDefault="004B77F6" w:rsidP="004B77F6">
      <w:pPr>
        <w:pStyle w:val="ListParagraph"/>
        <w:numPr>
          <w:ilvl w:val="0"/>
          <w:numId w:val="52"/>
        </w:numPr>
        <w:ind w:right="-472"/>
        <w:rPr>
          <w:szCs w:val="18"/>
          <w:lang w:val="ru-RU"/>
        </w:rPr>
      </w:pPr>
      <w:r w:rsidRPr="00694ACA">
        <w:rPr>
          <w:b/>
          <w:bCs/>
          <w:lang w:val="ru-RU"/>
        </w:rPr>
        <w:t>выполнение ряда задач на весьма высоком уровне: качество является приоритетом</w:t>
      </w:r>
      <w:r w:rsidRPr="00694ACA">
        <w:rPr>
          <w:lang w:val="ru-RU"/>
        </w:rPr>
        <w:t>.</w:t>
      </w:r>
      <w:r w:rsidRPr="00694ACA">
        <w:rPr>
          <w:i/>
          <w:lang w:val="ru-RU"/>
        </w:rPr>
        <w:t xml:space="preserve"> </w:t>
      </w:r>
      <w:r w:rsidRPr="00694ACA">
        <w:rPr>
          <w:lang w:val="ru-RU"/>
        </w:rPr>
        <w:t xml:space="preserve">МСЭ располагает лишь ограниченными ресурсами, однако представленные здесь данные, в частности те, которые были получены благодаря действующим механизмам отчетности, свидетельствуют о том, что иногда во главу угла ставится количество (потраченные ресурсы и полученные результаты), а не качество. Цель этих заключительных рекомендаций — сделать так, чтобы не выходя за рамки доступных ему ресурсов, МСЭ имел все возможности для предоставления своим членам услуг </w:t>
      </w:r>
      <w:r w:rsidR="00367DAA" w:rsidRPr="00694ACA">
        <w:rPr>
          <w:lang w:val="ru-RU"/>
        </w:rPr>
        <w:t>по развитию потенциала и профессиональной подготовке</w:t>
      </w:r>
      <w:r w:rsidRPr="00694ACA">
        <w:rPr>
          <w:lang w:val="ru-RU"/>
        </w:rPr>
        <w:t xml:space="preserve"> высочайшего качества.</w:t>
      </w:r>
    </w:p>
    <w:p w14:paraId="692FBFB1" w14:textId="77777777" w:rsidR="004B77F6" w:rsidRPr="00694ACA" w:rsidRDefault="004B77F6" w:rsidP="00A105CB">
      <w:pPr>
        <w:pStyle w:val="Heading3"/>
        <w:ind w:right="-472"/>
        <w:rPr>
          <w:lang w:val="ru-RU"/>
        </w:rPr>
      </w:pPr>
      <w:r w:rsidRPr="00694ACA">
        <w:rPr>
          <w:lang w:val="ru-RU"/>
        </w:rPr>
        <w:t>Взаимоотношения с другими учреждениями ООН</w:t>
      </w:r>
    </w:p>
    <w:p w14:paraId="67D9C5FC" w14:textId="65DA8655" w:rsidR="004B77F6" w:rsidRPr="00694ACA" w:rsidRDefault="004B77F6" w:rsidP="00A105CB">
      <w:pPr>
        <w:ind w:left="-284" w:right="-472"/>
        <w:rPr>
          <w:szCs w:val="18"/>
          <w:lang w:val="ru-RU"/>
        </w:rPr>
      </w:pPr>
      <w:r w:rsidRPr="00694ACA">
        <w:rPr>
          <w:lang w:val="ru-RU"/>
        </w:rPr>
        <w:t xml:space="preserve">177. </w:t>
      </w:r>
      <w:r w:rsidR="000707AA" w:rsidRPr="00694ACA">
        <w:rPr>
          <w:lang w:val="ru-RU"/>
        </w:rPr>
        <w:t>В д</w:t>
      </w:r>
      <w:r w:rsidRPr="00694ACA">
        <w:rPr>
          <w:lang w:val="ru-RU"/>
        </w:rPr>
        <w:t>анн</w:t>
      </w:r>
      <w:r w:rsidR="000707AA" w:rsidRPr="00694ACA">
        <w:rPr>
          <w:lang w:val="ru-RU"/>
        </w:rPr>
        <w:t>ом</w:t>
      </w:r>
      <w:r w:rsidRPr="00694ACA">
        <w:rPr>
          <w:lang w:val="ru-RU"/>
        </w:rPr>
        <w:t xml:space="preserve"> отчет</w:t>
      </w:r>
      <w:r w:rsidR="000707AA" w:rsidRPr="00694ACA">
        <w:rPr>
          <w:lang w:val="ru-RU"/>
        </w:rPr>
        <w:t>е</w:t>
      </w:r>
      <w:r w:rsidRPr="00694ACA">
        <w:rPr>
          <w:lang w:val="ru-RU"/>
        </w:rPr>
        <w:t xml:space="preserve"> показа</w:t>
      </w:r>
      <w:r w:rsidR="000707AA" w:rsidRPr="00694ACA">
        <w:rPr>
          <w:lang w:val="ru-RU"/>
        </w:rPr>
        <w:t>но</w:t>
      </w:r>
      <w:r w:rsidRPr="00694ACA">
        <w:rPr>
          <w:lang w:val="ru-RU"/>
        </w:rPr>
        <w:t xml:space="preserve">, что в настоящий момент большинство учреждений ООН осуществляют, по крайней мере, некоторую деятельность по </w:t>
      </w:r>
      <w:r w:rsidR="009421AE" w:rsidRPr="00694ACA">
        <w:rPr>
          <w:lang w:val="ru-RU"/>
        </w:rPr>
        <w:t>развитию потенциала</w:t>
      </w:r>
      <w:r w:rsidRPr="00694ACA">
        <w:rPr>
          <w:lang w:val="ru-RU"/>
        </w:rPr>
        <w:t>, необходимого для того, чтобы понять, как цифровые технологии могут способствовать выполнению их основных мандатов</w:t>
      </w:r>
      <w:r w:rsidRPr="00694ACA">
        <w:rPr>
          <w:rStyle w:val="FootnoteReference"/>
          <w:lang w:val="ru-RU"/>
        </w:rPr>
        <w:footnoteReference w:id="206"/>
      </w:r>
      <w:r w:rsidRPr="00694ACA">
        <w:rPr>
          <w:lang w:val="ru-RU"/>
        </w:rPr>
        <w:t>.</w:t>
      </w:r>
      <w:r w:rsidR="00A579EF">
        <w:rPr>
          <w:lang w:val="ru-RU"/>
        </w:rPr>
        <w:t xml:space="preserve"> </w:t>
      </w:r>
      <w:r w:rsidRPr="00694ACA">
        <w:rPr>
          <w:lang w:val="ru-RU"/>
        </w:rPr>
        <w:t xml:space="preserve">Поэтому очень важно, чтобы МСЭ воспользовался этой возможностью и установил тесное сотрудничество с другими соответствующими учреждениями </w:t>
      </w:r>
      <w:r w:rsidRPr="00694ACA">
        <w:rPr>
          <w:lang w:val="ru-RU"/>
        </w:rPr>
        <w:lastRenderedPageBreak/>
        <w:t>ООН, с тем чтобы помочь им обеспечить оптимальное качество обучения навыкам использования таких технологий в рамках предусмотренных для них мандатов.</w:t>
      </w:r>
      <w:r w:rsidR="00A579EF">
        <w:rPr>
          <w:lang w:val="ru-RU"/>
        </w:rPr>
        <w:t xml:space="preserve"> </w:t>
      </w:r>
      <w:r w:rsidRPr="00694ACA">
        <w:rPr>
          <w:lang w:val="ru-RU"/>
        </w:rPr>
        <w:t>Новому Подразделению необходимо наладить особенно тесное взаимодействие с ПРООН в сфере планирования и достижения ориентированных на развитие результатов; при этом присутствие ПРООН на национальном и региональном уровнях станет существенным движущим фактором в осуществления совместной деятельности.</w:t>
      </w:r>
    </w:p>
    <w:p w14:paraId="288D48D6" w14:textId="77777777" w:rsidR="004B77F6" w:rsidRPr="00694ACA" w:rsidRDefault="004B77F6" w:rsidP="00A105CB">
      <w:pPr>
        <w:pStyle w:val="Heading3"/>
        <w:ind w:right="-472"/>
        <w:rPr>
          <w:lang w:val="ru-RU"/>
        </w:rPr>
      </w:pPr>
      <w:r w:rsidRPr="00694ACA">
        <w:rPr>
          <w:lang w:val="ru-RU"/>
        </w:rPr>
        <w:t>Что Подразделение будет делать на практике</w:t>
      </w:r>
    </w:p>
    <w:p w14:paraId="4F300FFC" w14:textId="5C64FB04" w:rsidR="004B77F6" w:rsidRPr="00694ACA" w:rsidRDefault="004B77F6" w:rsidP="00A105CB">
      <w:pPr>
        <w:ind w:left="-284" w:right="-472"/>
        <w:rPr>
          <w:lang w:val="ru-RU"/>
        </w:rPr>
      </w:pPr>
      <w:r w:rsidRPr="00694ACA">
        <w:rPr>
          <w:lang w:val="ru-RU"/>
        </w:rPr>
        <w:t xml:space="preserve">178. Используя гибкий подход, данное Подразделение будет взаимодействовать с коллегами из других подразделений МСЭ, а также с членами и партнерами для разработки и проведения мероприятий </w:t>
      </w:r>
      <w:r w:rsidR="00367DAA" w:rsidRPr="00694ACA">
        <w:rPr>
          <w:lang w:val="ru-RU"/>
        </w:rPr>
        <w:t>по развитию потенциала и профессиональной подготовке</w:t>
      </w:r>
      <w:r w:rsidRPr="00694ACA">
        <w:rPr>
          <w:lang w:val="ru-RU"/>
        </w:rPr>
        <w:t xml:space="preserve"> высочайшего качества.</w:t>
      </w:r>
      <w:r w:rsidR="00A579EF">
        <w:rPr>
          <w:lang w:val="ru-RU"/>
        </w:rPr>
        <w:t xml:space="preserve"> </w:t>
      </w:r>
      <w:r w:rsidRPr="00694ACA">
        <w:rPr>
          <w:lang w:val="ru-RU"/>
        </w:rPr>
        <w:t xml:space="preserve">Такое взаимодействие будет предусматривать содействие каждому Сектору в разработке и осуществлении мероприятий по </w:t>
      </w:r>
      <w:r w:rsidR="009421AE" w:rsidRPr="00694ACA">
        <w:rPr>
          <w:lang w:val="ru-RU"/>
        </w:rPr>
        <w:t>развитию потенциала</w:t>
      </w:r>
      <w:r w:rsidRPr="00694ACA">
        <w:rPr>
          <w:lang w:val="ru-RU"/>
        </w:rPr>
        <w:t xml:space="preserve"> по тому же принципу, какой был описан выше для Института (</w:t>
      </w:r>
      <w:r w:rsidR="00EC7637" w:rsidRPr="00694ACA">
        <w:rPr>
          <w:lang w:val="ru-RU"/>
        </w:rPr>
        <w:t xml:space="preserve">раздел </w:t>
      </w:r>
      <w:r w:rsidRPr="00694ACA">
        <w:rPr>
          <w:lang w:val="ru-RU"/>
        </w:rPr>
        <w:t>8).</w:t>
      </w:r>
      <w:r w:rsidR="00A579EF">
        <w:rPr>
          <w:lang w:val="ru-RU"/>
        </w:rPr>
        <w:t xml:space="preserve"> </w:t>
      </w:r>
      <w:r w:rsidRPr="00694ACA">
        <w:rPr>
          <w:lang w:val="ru-RU"/>
        </w:rPr>
        <w:t>Требования к кадровому обеспечению также должны быть в целом схожи с теми, которые предлагаются для Института.</w:t>
      </w:r>
      <w:r w:rsidR="00A579EF">
        <w:rPr>
          <w:lang w:val="ru-RU"/>
        </w:rPr>
        <w:t xml:space="preserve"> </w:t>
      </w:r>
      <w:r w:rsidRPr="00694ACA">
        <w:rPr>
          <w:lang w:val="ru-RU"/>
        </w:rPr>
        <w:t>Многие из результатов будут аналогичны тем, которые может достичь Институт (см.</w:t>
      </w:r>
      <w:r w:rsidR="0076070C" w:rsidRPr="00694ACA">
        <w:rPr>
          <w:lang w:val="ru-RU"/>
        </w:rPr>
        <w:t> </w:t>
      </w:r>
      <w:r w:rsidRPr="00694ACA">
        <w:rPr>
          <w:lang w:val="ru-RU"/>
        </w:rPr>
        <w:t>пункты</w:t>
      </w:r>
      <w:r w:rsidR="0076070C" w:rsidRPr="00694ACA">
        <w:rPr>
          <w:lang w:val="ru-RU"/>
        </w:rPr>
        <w:t> </w:t>
      </w:r>
      <w:r w:rsidRPr="00694ACA">
        <w:rPr>
          <w:lang w:val="ru-RU"/>
        </w:rPr>
        <w:t>137</w:t>
      </w:r>
      <w:r w:rsidR="008B728A" w:rsidRPr="00694ACA">
        <w:rPr>
          <w:lang w:val="ru-RU"/>
        </w:rPr>
        <w:t>−</w:t>
      </w:r>
      <w:r w:rsidRPr="00694ACA">
        <w:rPr>
          <w:lang w:val="ru-RU"/>
        </w:rPr>
        <w:t>144), поэтому здесь они не дублируются.</w:t>
      </w:r>
    </w:p>
    <w:p w14:paraId="01E21303" w14:textId="0913E87B" w:rsidR="004B77F6" w:rsidRPr="00694ACA" w:rsidRDefault="004B77F6" w:rsidP="00A105CB">
      <w:pPr>
        <w:ind w:left="-284" w:right="-472"/>
        <w:rPr>
          <w:lang w:val="ru-RU"/>
        </w:rPr>
      </w:pPr>
      <w:r w:rsidRPr="00694ACA">
        <w:rPr>
          <w:lang w:val="ru-RU"/>
        </w:rPr>
        <w:t xml:space="preserve">179. </w:t>
      </w:r>
      <w:r w:rsidRPr="00694ACA">
        <w:rPr>
          <w:b/>
          <w:bCs/>
          <w:lang w:val="ru-RU"/>
        </w:rPr>
        <w:t xml:space="preserve">Большая часть мероприятий </w:t>
      </w:r>
      <w:r w:rsidR="00367DAA" w:rsidRPr="00694ACA">
        <w:rPr>
          <w:b/>
          <w:bCs/>
          <w:lang w:val="ru-RU"/>
        </w:rPr>
        <w:t>по развитию потенциала и профессиональной подготовке</w:t>
      </w:r>
      <w:r w:rsidRPr="00694ACA">
        <w:rPr>
          <w:b/>
          <w:bCs/>
          <w:lang w:val="ru-RU"/>
        </w:rPr>
        <w:t xml:space="preserve"> будет проводиться в онлайновом режиме</w:t>
      </w:r>
      <w:r w:rsidRPr="00694ACA">
        <w:rPr>
          <w:i/>
          <w:lang w:val="ru-RU"/>
        </w:rPr>
        <w:t xml:space="preserve">. </w:t>
      </w:r>
      <w:r w:rsidRPr="00694ACA">
        <w:rPr>
          <w:lang w:val="ru-RU"/>
        </w:rPr>
        <w:t>Как и в случае с рекомендациями по Институту, в краткосрочной перспективе (по крайней мере, в 2021 году) примерная структура мероприятий, проводимых Подразделением, будет следующей:</w:t>
      </w:r>
    </w:p>
    <w:p w14:paraId="5900131C" w14:textId="77777777" w:rsidR="004B77F6" w:rsidRPr="00694ACA" w:rsidRDefault="004B77F6" w:rsidP="004B77F6">
      <w:pPr>
        <w:pStyle w:val="Bulletspoint11"/>
        <w:rPr>
          <w:lang w:val="ru-RU"/>
        </w:rPr>
      </w:pPr>
      <w:r w:rsidRPr="00694ACA">
        <w:rPr>
          <w:lang w:val="ru-RU"/>
        </w:rPr>
        <w:t>онлайновые учебные курсы (вероятно около 60–70 %; включая как курсы, проводимые под руководством преподавателя, так и те, которые предназначены для самостоятельного обучения);</w:t>
      </w:r>
    </w:p>
    <w:p w14:paraId="72E9FBC7" w14:textId="77777777" w:rsidR="004B77F6" w:rsidRPr="00694ACA" w:rsidRDefault="004B77F6" w:rsidP="004B77F6">
      <w:pPr>
        <w:pStyle w:val="Bulletspoint11"/>
        <w:rPr>
          <w:lang w:val="ru-RU"/>
        </w:rPr>
      </w:pPr>
      <w:r w:rsidRPr="00694ACA">
        <w:rPr>
          <w:lang w:val="ru-RU"/>
        </w:rPr>
        <w:t>очное обучение (вероятно около 10–20 %);</w:t>
      </w:r>
    </w:p>
    <w:p w14:paraId="156CF3A3" w14:textId="77777777" w:rsidR="004B77F6" w:rsidRPr="00694ACA" w:rsidRDefault="004B77F6" w:rsidP="004B77F6">
      <w:pPr>
        <w:pStyle w:val="Bulletspoint11"/>
        <w:rPr>
          <w:lang w:val="ru-RU"/>
        </w:rPr>
      </w:pPr>
      <w:r w:rsidRPr="00694ACA">
        <w:rPr>
          <w:lang w:val="ru-RU"/>
        </w:rPr>
        <w:t>комбинация онлайновых и очных мероприятий (10–20 %).</w:t>
      </w:r>
    </w:p>
    <w:p w14:paraId="0A69B690" w14:textId="4F791CD1" w:rsidR="004B77F6" w:rsidRPr="00694ACA" w:rsidRDefault="004B77F6" w:rsidP="0076070C">
      <w:pPr>
        <w:spacing w:before="120"/>
        <w:ind w:left="-284" w:right="-472"/>
        <w:rPr>
          <w:lang w:val="ru-RU"/>
        </w:rPr>
      </w:pPr>
      <w:r w:rsidRPr="00694ACA">
        <w:rPr>
          <w:lang w:val="ru-RU"/>
        </w:rPr>
        <w:t>В то же время во многих частях мира возможности для установления цифровых соединений все еще недостаточны для обеспечения по-настоящему качественного интерактивного участия в обучении, даже в столицах; к тому же, существуют различные обстоятельства, при которых необходимость очного обучения остается актуальной, в том числе в сфере обучения практическим навыкам</w:t>
      </w:r>
      <w:r w:rsidRPr="00694ACA">
        <w:rPr>
          <w:rStyle w:val="FootnoteReference"/>
          <w:lang w:val="ru-RU"/>
        </w:rPr>
        <w:footnoteReference w:id="207"/>
      </w:r>
      <w:r w:rsidRPr="00694ACA">
        <w:rPr>
          <w:lang w:val="ru-RU"/>
        </w:rPr>
        <w:t>.</w:t>
      </w:r>
      <w:r w:rsidR="00A579EF">
        <w:rPr>
          <w:lang w:val="ru-RU"/>
        </w:rPr>
        <w:t xml:space="preserve"> </w:t>
      </w:r>
    </w:p>
    <w:p w14:paraId="148D595A" w14:textId="72964989" w:rsidR="004B77F6" w:rsidRPr="00694ACA" w:rsidRDefault="004B77F6" w:rsidP="00A105CB">
      <w:pPr>
        <w:ind w:left="-284" w:right="-472"/>
        <w:rPr>
          <w:lang w:val="ru-RU"/>
        </w:rPr>
      </w:pPr>
      <w:r w:rsidRPr="00694ACA">
        <w:rPr>
          <w:lang w:val="ru-RU"/>
        </w:rPr>
        <w:t>180</w:t>
      </w:r>
      <w:r w:rsidRPr="00694ACA">
        <w:rPr>
          <w:b/>
          <w:lang w:val="ru-RU"/>
        </w:rPr>
        <w:t xml:space="preserve">. </w:t>
      </w:r>
      <w:r w:rsidRPr="00694ACA">
        <w:rPr>
          <w:b/>
          <w:bCs/>
          <w:lang w:val="ru-RU"/>
        </w:rPr>
        <w:t>Максимально возможное качество учебной платформы</w:t>
      </w:r>
      <w:r w:rsidRPr="00694ACA">
        <w:rPr>
          <w:i/>
          <w:lang w:val="ru-RU"/>
        </w:rPr>
        <w:t xml:space="preserve">. </w:t>
      </w:r>
      <w:r w:rsidRPr="00694ACA">
        <w:rPr>
          <w:lang w:val="ru-RU"/>
        </w:rPr>
        <w:t>Новая команда, отвечающая за работу Подразделения, должна незамедлительно провести анализ других существующих в ООН учебных платформ, учтя сравнительные характеристики и предложения, изложенные в настоящем отчете (пункты 85–90).</w:t>
      </w:r>
      <w:r w:rsidR="00A579EF">
        <w:rPr>
          <w:lang w:val="ru-RU"/>
        </w:rPr>
        <w:t xml:space="preserve"> </w:t>
      </w:r>
      <w:r w:rsidRPr="00694ACA">
        <w:rPr>
          <w:lang w:val="ru-RU"/>
        </w:rPr>
        <w:t>Она также должна взаимодействовать с сотрудниками существующих программ, занимающихся изучением возможности создания совместной платформы для групп учреждений ООН.</w:t>
      </w:r>
      <w:r w:rsidR="00A579EF">
        <w:rPr>
          <w:lang w:val="ru-RU"/>
        </w:rPr>
        <w:t xml:space="preserve"> </w:t>
      </w:r>
      <w:r w:rsidRPr="00694ACA">
        <w:rPr>
          <w:lang w:val="ru-RU"/>
        </w:rPr>
        <w:t xml:space="preserve">Признавая значительные успехи, недавно достигнутые с помощью портала Академии МСЭ, и отмечая, что пользователи имеют очень разные предпочтения и ожидания в отношении среды обучения, авторы настоящего отчета, тем не менее, рекомендуют МСЭ рассмотреть возможность внесения дальнейших существенных изменений в механизм функционирования данной платформы или, если необходимо, полной модификации нового Подразделения, хотя и, вероятно, с сохранением платформы </w:t>
      </w:r>
      <w:proofErr w:type="spellStart"/>
      <w:r w:rsidRPr="00694ACA">
        <w:rPr>
          <w:lang w:val="ru-RU"/>
        </w:rPr>
        <w:t>Moodle</w:t>
      </w:r>
      <w:proofErr w:type="spellEnd"/>
      <w:r w:rsidRPr="00694ACA">
        <w:rPr>
          <w:lang w:val="ru-RU"/>
        </w:rPr>
        <w:t xml:space="preserve"> с открытым исходным кодом.</w:t>
      </w:r>
      <w:r w:rsidR="00A579EF">
        <w:rPr>
          <w:lang w:val="ru-RU"/>
        </w:rPr>
        <w:t xml:space="preserve"> </w:t>
      </w:r>
    </w:p>
    <w:p w14:paraId="0DA99D87" w14:textId="5376BC64" w:rsidR="004B77F6" w:rsidRPr="00694ACA" w:rsidRDefault="004B77F6" w:rsidP="00A105CB">
      <w:pPr>
        <w:ind w:left="-284" w:right="-472"/>
        <w:rPr>
          <w:lang w:val="ru-RU"/>
        </w:rPr>
      </w:pPr>
      <w:r w:rsidRPr="00694ACA">
        <w:rPr>
          <w:lang w:val="ru-RU"/>
        </w:rPr>
        <w:t>181.</w:t>
      </w:r>
      <w:r w:rsidRPr="00694ACA">
        <w:rPr>
          <w:b/>
          <w:lang w:val="ru-RU"/>
        </w:rPr>
        <w:t xml:space="preserve"> </w:t>
      </w:r>
      <w:r w:rsidRPr="00694ACA">
        <w:rPr>
          <w:b/>
          <w:bCs/>
          <w:lang w:val="ru-RU"/>
        </w:rPr>
        <w:t>Маркетинг и анализ пробелов</w:t>
      </w:r>
      <w:r w:rsidRPr="006679E4">
        <w:rPr>
          <w:lang w:val="ru-RU"/>
        </w:rPr>
        <w:t>.</w:t>
      </w:r>
      <w:r w:rsidRPr="00694ACA">
        <w:rPr>
          <w:i/>
          <w:lang w:val="ru-RU"/>
        </w:rPr>
        <w:t xml:space="preserve"> </w:t>
      </w:r>
      <w:r w:rsidRPr="00694ACA">
        <w:rPr>
          <w:lang w:val="ru-RU"/>
        </w:rPr>
        <w:t xml:space="preserve">Сотрудникам Подразделения необходимо будет поддерживать отличный уровень знаний и осведомленности о более комплексных изменениях в области онлайновых мероприятий </w:t>
      </w:r>
      <w:r w:rsidR="00367DAA" w:rsidRPr="00694ACA">
        <w:rPr>
          <w:lang w:val="ru-RU"/>
        </w:rPr>
        <w:t>по развитию потенциала и профессиональной подготовке</w:t>
      </w:r>
      <w:r w:rsidRPr="00694ACA">
        <w:rPr>
          <w:lang w:val="ru-RU"/>
        </w:rPr>
        <w:t xml:space="preserve"> в сферах специализации МСЭ, в том числе для сохранения лидирующих позиций в данном направлении и обеспечения способности оперативно выявлять и устранять пробелы на стыке между цифровыми технологиями и международным развитием.</w:t>
      </w:r>
      <w:r w:rsidR="00A579EF">
        <w:rPr>
          <w:lang w:val="ru-RU"/>
        </w:rPr>
        <w:t xml:space="preserve"> </w:t>
      </w:r>
      <w:r w:rsidRPr="00694ACA">
        <w:rPr>
          <w:lang w:val="ru-RU"/>
        </w:rPr>
        <w:t>Подразделение также будет отвечать за маркетинг и продвижение своих учебных мероприятий и продуктов.</w:t>
      </w:r>
    </w:p>
    <w:p w14:paraId="3F0CF0A0" w14:textId="74B55395" w:rsidR="004B77F6" w:rsidRPr="00694ACA" w:rsidRDefault="004B77F6" w:rsidP="00A105CB">
      <w:pPr>
        <w:ind w:left="-284" w:right="-472"/>
        <w:rPr>
          <w:lang w:val="ru-RU"/>
        </w:rPr>
      </w:pPr>
      <w:r w:rsidRPr="00694ACA">
        <w:rPr>
          <w:lang w:val="ru-RU"/>
        </w:rPr>
        <w:t xml:space="preserve">182. </w:t>
      </w:r>
      <w:r w:rsidRPr="00694ACA">
        <w:rPr>
          <w:b/>
          <w:bCs/>
          <w:lang w:val="ru-RU"/>
        </w:rPr>
        <w:t>Взаимодействие с партнерами и другими поставщиками</w:t>
      </w:r>
      <w:r w:rsidRPr="006679E4">
        <w:rPr>
          <w:lang w:val="ru-RU"/>
        </w:rPr>
        <w:t>.</w:t>
      </w:r>
      <w:r w:rsidRPr="00694ACA">
        <w:rPr>
          <w:i/>
          <w:lang w:val="ru-RU"/>
        </w:rPr>
        <w:t xml:space="preserve"> </w:t>
      </w:r>
      <w:r w:rsidRPr="00694ACA">
        <w:rPr>
          <w:lang w:val="ru-RU"/>
        </w:rPr>
        <w:t>Как и в случае с потенциальным Институтом (п. 131), Подразделению необходимо будет обеспечить надлежащий баланс между сотрудничеством и конкуренцией с другими организациями, сохранив при этом ключевые конкурентные преимущества МСЭ.</w:t>
      </w:r>
      <w:r w:rsidR="00A579EF">
        <w:rPr>
          <w:lang w:val="ru-RU"/>
        </w:rPr>
        <w:t xml:space="preserve"> </w:t>
      </w:r>
      <w:r w:rsidRPr="00694ACA">
        <w:rPr>
          <w:lang w:val="ru-RU"/>
        </w:rPr>
        <w:t xml:space="preserve">В некоторых случаях будет целесообразно поддерживать тесное взаимодействие с организациями, обладающими необходимым опытом, отсутствующим у МСЭ, с тем чтобы совместно предоставлять членам соответствующие услуги, в то время как в других </w:t>
      </w:r>
      <w:r w:rsidRPr="00694ACA">
        <w:rPr>
          <w:lang w:val="ru-RU"/>
        </w:rPr>
        <w:lastRenderedPageBreak/>
        <w:t>случаях может иметь смысл предложить членам работать напрямую с другой организацией, поскольку для них этот вариант будет более экономически эффективным.</w:t>
      </w:r>
      <w:r w:rsidR="00A579EF">
        <w:rPr>
          <w:lang w:val="ru-RU"/>
        </w:rPr>
        <w:t xml:space="preserve"> </w:t>
      </w:r>
    </w:p>
    <w:p w14:paraId="6E7806E2" w14:textId="27007695" w:rsidR="004B77F6" w:rsidRPr="00694ACA" w:rsidRDefault="004B77F6" w:rsidP="00A105CB">
      <w:pPr>
        <w:ind w:left="-284" w:right="-472"/>
        <w:rPr>
          <w:lang w:val="ru-RU"/>
        </w:rPr>
      </w:pPr>
      <w:r w:rsidRPr="00694ACA">
        <w:rPr>
          <w:lang w:val="ru-RU"/>
        </w:rPr>
        <w:t xml:space="preserve">183. </w:t>
      </w:r>
      <w:r w:rsidRPr="00694ACA">
        <w:rPr>
          <w:b/>
          <w:bCs/>
          <w:lang w:val="ru-RU"/>
        </w:rPr>
        <w:t>Управление действиями выпускников</w:t>
      </w:r>
      <w:r w:rsidRPr="006679E4">
        <w:rPr>
          <w:lang w:val="ru-RU"/>
        </w:rPr>
        <w:t>.</w:t>
      </w:r>
      <w:r w:rsidRPr="00694ACA">
        <w:rPr>
          <w:i/>
          <w:lang w:val="ru-RU"/>
        </w:rPr>
        <w:t xml:space="preserve"> </w:t>
      </w:r>
      <w:r w:rsidRPr="00694ACA">
        <w:rPr>
          <w:lang w:val="ru-RU"/>
        </w:rPr>
        <w:t xml:space="preserve">Одним из основных аспектов деятельности Подразделения будет развитие и поддержание широкой сети выпускников, как для поддержки непрерывного профессионального развития тех, кто участвовал в проведенных </w:t>
      </w:r>
      <w:r w:rsidR="00B4758B" w:rsidRPr="00694ACA">
        <w:rPr>
          <w:lang w:val="ru-RU"/>
        </w:rPr>
        <w:t>для них учебных занятиях</w:t>
      </w:r>
      <w:r w:rsidRPr="00694ACA">
        <w:rPr>
          <w:lang w:val="ru-RU"/>
        </w:rPr>
        <w:t xml:space="preserve">, так и для лучшего понимания результатов обучения и развития, предусмотренных такими </w:t>
      </w:r>
      <w:r w:rsidR="00B4758B" w:rsidRPr="00694ACA">
        <w:rPr>
          <w:lang w:val="ru-RU"/>
        </w:rPr>
        <w:t>учебными занятиями</w:t>
      </w:r>
      <w:r w:rsidRPr="00694ACA">
        <w:rPr>
          <w:lang w:val="ru-RU"/>
        </w:rPr>
        <w:t>.</w:t>
      </w:r>
      <w:r w:rsidR="00A579EF">
        <w:rPr>
          <w:lang w:val="ru-RU"/>
        </w:rPr>
        <w:t xml:space="preserve"> </w:t>
      </w:r>
      <w:r w:rsidRPr="00694ACA">
        <w:rPr>
          <w:lang w:val="ru-RU"/>
        </w:rPr>
        <w:t>В основе таких действий будут лежать краткосрочные мероприятия, рекомендованные выше (см. пункты 168 и 174).</w:t>
      </w:r>
      <w:r w:rsidR="00A579EF">
        <w:rPr>
          <w:lang w:val="ru-RU"/>
        </w:rPr>
        <w:t xml:space="preserve"> </w:t>
      </w:r>
      <w:r w:rsidRPr="00694ACA">
        <w:rPr>
          <w:lang w:val="ru-RU"/>
        </w:rPr>
        <w:t>В</w:t>
      </w:r>
      <w:r w:rsidR="0076070C" w:rsidRPr="00694ACA">
        <w:rPr>
          <w:lang w:val="ru-RU"/>
        </w:rPr>
        <w:t> </w:t>
      </w:r>
      <w:r w:rsidRPr="00694ACA">
        <w:rPr>
          <w:lang w:val="ru-RU"/>
        </w:rPr>
        <w:t>идеале платформа для управления действиями выпускников должна быть интегрирована в рекомендованную выше учебную платформу, однако для этого необходимо провести тщательный анализ и оценку оптимального варианта такой интеграции</w:t>
      </w:r>
      <w:r w:rsidRPr="00694ACA">
        <w:rPr>
          <w:rStyle w:val="FootnoteReference"/>
          <w:lang w:val="ru-RU"/>
        </w:rPr>
        <w:footnoteReference w:id="208"/>
      </w:r>
      <w:r w:rsidRPr="00694ACA">
        <w:rPr>
          <w:lang w:val="ru-RU"/>
        </w:rPr>
        <w:t>.</w:t>
      </w:r>
    </w:p>
    <w:p w14:paraId="0DAD075D" w14:textId="77777777" w:rsidR="004B77F6" w:rsidRPr="00694ACA" w:rsidRDefault="004B77F6" w:rsidP="00A105CB">
      <w:pPr>
        <w:pStyle w:val="Heading3"/>
        <w:ind w:right="-472"/>
        <w:rPr>
          <w:lang w:val="ru-RU"/>
        </w:rPr>
      </w:pPr>
      <w:r w:rsidRPr="00694ACA">
        <w:rPr>
          <w:lang w:val="ru-RU"/>
        </w:rPr>
        <w:t>Штатное расписание, месторасположение и консультативный совет</w:t>
      </w:r>
    </w:p>
    <w:p w14:paraId="4200269E" w14:textId="5398379F" w:rsidR="004B77F6" w:rsidRPr="00694ACA" w:rsidRDefault="004B77F6" w:rsidP="00A105CB">
      <w:pPr>
        <w:ind w:left="-284" w:right="-472"/>
        <w:rPr>
          <w:lang w:val="ru-RU"/>
        </w:rPr>
      </w:pPr>
      <w:r w:rsidRPr="00694ACA">
        <w:rPr>
          <w:lang w:val="ru-RU"/>
        </w:rPr>
        <w:t xml:space="preserve">184. </w:t>
      </w:r>
      <w:r w:rsidRPr="00694ACA">
        <w:rPr>
          <w:b/>
          <w:bCs/>
          <w:lang w:val="ru-RU"/>
        </w:rPr>
        <w:t>Штатное расписание</w:t>
      </w:r>
      <w:r w:rsidRPr="00694ACA">
        <w:rPr>
          <w:lang w:val="ru-RU"/>
        </w:rPr>
        <w:t xml:space="preserve"> нового Подразделения будет в целом аналогичным тому, которое необходимо для реализации модели создания Института, подробно рассмотренной выше; при этом будет внесен ряд изменений, касающихся предлагаемого масштаба</w:t>
      </w:r>
      <w:r w:rsidRPr="00694ACA">
        <w:rPr>
          <w:rStyle w:val="FootnoteReference"/>
          <w:lang w:val="ru-RU"/>
        </w:rPr>
        <w:footnoteReference w:id="209"/>
      </w:r>
      <w:r w:rsidRPr="00694ACA">
        <w:rPr>
          <w:lang w:val="ru-RU"/>
        </w:rPr>
        <w:t>.</w:t>
      </w:r>
      <w:r w:rsidR="00A579EF">
        <w:rPr>
          <w:lang w:val="ru-RU"/>
        </w:rPr>
        <w:t xml:space="preserve"> </w:t>
      </w:r>
      <w:r w:rsidRPr="00694ACA">
        <w:rPr>
          <w:lang w:val="ru-RU"/>
        </w:rPr>
        <w:t>Опыт других учреждений ООН дает основания предположить, что такие подразделения работают максимально эффективно при наличии сотрудников с надлежащим опытом применения цифровых технологий, даже если для выполнения большей части функций в области дизайна и разработки привлекаются сторонние организации.</w:t>
      </w:r>
      <w:r w:rsidR="00A579EF">
        <w:rPr>
          <w:lang w:val="ru-RU"/>
        </w:rPr>
        <w:t xml:space="preserve"> </w:t>
      </w:r>
      <w:r w:rsidRPr="00694ACA">
        <w:rPr>
          <w:lang w:val="ru-RU"/>
        </w:rPr>
        <w:t>Все остальные функции персонала имеют легко прослеживаемую и непосредственную связь с указанными выше процессами.</w:t>
      </w:r>
      <w:r w:rsidR="00A579EF">
        <w:rPr>
          <w:lang w:val="ru-RU"/>
        </w:rPr>
        <w:t xml:space="preserve"> </w:t>
      </w:r>
      <w:r w:rsidRPr="00694ACA">
        <w:rPr>
          <w:lang w:val="ru-RU"/>
        </w:rPr>
        <w:t>По оценкам, общие расходы МСЭ на заработную плату составят 2</w:t>
      </w:r>
      <w:r w:rsidR="003339C6" w:rsidRPr="00694ACA">
        <w:rPr>
          <w:lang w:val="ru-RU"/>
        </w:rPr>
        <w:t> </w:t>
      </w:r>
      <w:r w:rsidRPr="00694ACA">
        <w:rPr>
          <w:lang w:val="ru-RU"/>
        </w:rPr>
        <w:t>569</w:t>
      </w:r>
      <w:r w:rsidR="003339C6" w:rsidRPr="00694ACA">
        <w:rPr>
          <w:lang w:val="ru-RU"/>
        </w:rPr>
        <w:t> </w:t>
      </w:r>
      <w:r w:rsidRPr="00694ACA">
        <w:rPr>
          <w:lang w:val="ru-RU"/>
        </w:rPr>
        <w:t>450 швейцарских франков. Это минимальный уровень финансирования, который необходим для эффективной работы Подразделения; при этом в отчете высказывается предположение о том, что благодаря привлечению дополнительного финансирования, в том числе за счет проведения тендеров и организации курсов, доходы будут расти, что позволит увеличить численность персонала Подразделения.</w:t>
      </w:r>
      <w:r w:rsidR="00A579EF">
        <w:rPr>
          <w:lang w:val="ru-RU"/>
        </w:rPr>
        <w:t xml:space="preserve"> </w:t>
      </w:r>
      <w:r w:rsidRPr="00694ACA">
        <w:rPr>
          <w:lang w:val="ru-RU"/>
        </w:rPr>
        <w:t>Этому также может способствовать интенсивная программа оплачиваемой стажировки</w:t>
      </w:r>
      <w:r w:rsidRPr="00694ACA">
        <w:rPr>
          <w:rStyle w:val="FootnoteReference"/>
          <w:lang w:val="ru-RU"/>
        </w:rPr>
        <w:footnoteReference w:id="210"/>
      </w:r>
      <w:r w:rsidRPr="00694ACA">
        <w:rPr>
          <w:lang w:val="ru-RU"/>
        </w:rPr>
        <w:t>.</w:t>
      </w:r>
      <w:r w:rsidR="00A579EF">
        <w:rPr>
          <w:lang w:val="ru-RU"/>
        </w:rPr>
        <w:t xml:space="preserve"> </w:t>
      </w:r>
    </w:p>
    <w:p w14:paraId="1AD65F35" w14:textId="77777777" w:rsidR="004B77F6" w:rsidRPr="00694ACA" w:rsidRDefault="004B77F6" w:rsidP="00A105CB">
      <w:pPr>
        <w:pStyle w:val="Heading4"/>
        <w:ind w:right="-472"/>
        <w:rPr>
          <w:lang w:val="ru-RU"/>
        </w:rPr>
      </w:pPr>
      <w:r w:rsidRPr="00694ACA">
        <w:rPr>
          <w:lang w:val="ru-RU"/>
        </w:rPr>
        <w:t>Месторасположение</w:t>
      </w:r>
    </w:p>
    <w:p w14:paraId="2D0F25A2" w14:textId="3C9E6F04" w:rsidR="004B77F6" w:rsidRPr="00694ACA" w:rsidRDefault="004B77F6" w:rsidP="00A105CB">
      <w:pPr>
        <w:ind w:left="-284" w:right="-472"/>
        <w:rPr>
          <w:lang w:val="ru-RU"/>
        </w:rPr>
      </w:pPr>
      <w:r w:rsidRPr="00694ACA">
        <w:rPr>
          <w:lang w:val="ru-RU"/>
        </w:rPr>
        <w:t xml:space="preserve">185. В данном отчете содержится рекомендация, в соответствии с которой ввиду синергетического эффекта, который сохраняется при совместном физическом расположении, а также необходимости тесного взаимодействия с коллегами из других Секторов на регулярной основе </w:t>
      </w:r>
      <w:r w:rsidRPr="00694ACA">
        <w:rPr>
          <w:b/>
          <w:lang w:val="ru-RU"/>
        </w:rPr>
        <w:t>штаб-квартира МСЭ в Женеве должна служить физическим местонахождением</w:t>
      </w:r>
      <w:r w:rsidRPr="00694ACA">
        <w:rPr>
          <w:lang w:val="ru-RU"/>
        </w:rPr>
        <w:t xml:space="preserve"> для большинства сотрудников Подразделения.</w:t>
      </w:r>
      <w:r w:rsidRPr="00694ACA">
        <w:rPr>
          <w:rStyle w:val="FootnoteReference"/>
          <w:lang w:val="ru-RU"/>
        </w:rPr>
        <w:footnoteReference w:id="211"/>
      </w:r>
      <w:r w:rsidRPr="00694ACA">
        <w:rPr>
          <w:lang w:val="ru-RU"/>
        </w:rPr>
        <w:t xml:space="preserve"> Тем не менее это не является обязательным требованием для всех, в связи с чем варианты кадрового обеспечения с рассредоточением сотрудников также можно рассмотреть в соответствии с более широкой кадровой политикой МСЭ.</w:t>
      </w:r>
      <w:r w:rsidR="00A579EF">
        <w:rPr>
          <w:lang w:val="ru-RU"/>
        </w:rPr>
        <w:t xml:space="preserve"> </w:t>
      </w:r>
      <w:r w:rsidRPr="00694ACA">
        <w:rPr>
          <w:lang w:val="ru-RU"/>
        </w:rPr>
        <w:t>Кроме того, интересным вариантом может оказаться механизм совместной ротации с ПРООН, при котором различные сотрудники ПРООН и члены данного Подразделения периодически будут сменять друг друга в Нью-Йорке и Женеве, что поможет обеспечить более тесное взаимодействие и взаимопонимание между двумя учреждениями.</w:t>
      </w:r>
      <w:r w:rsidR="00A579EF">
        <w:rPr>
          <w:lang w:val="ru-RU"/>
        </w:rPr>
        <w:t xml:space="preserve"> </w:t>
      </w:r>
    </w:p>
    <w:p w14:paraId="3923863A" w14:textId="77777777" w:rsidR="004B77F6" w:rsidRPr="00694ACA" w:rsidRDefault="004B77F6" w:rsidP="00A105CB">
      <w:pPr>
        <w:pStyle w:val="Heading4"/>
        <w:ind w:right="-472"/>
        <w:rPr>
          <w:lang w:val="ru-RU"/>
        </w:rPr>
      </w:pPr>
      <w:r w:rsidRPr="00694ACA">
        <w:rPr>
          <w:lang w:val="ru-RU"/>
        </w:rPr>
        <w:t>Механизмы управления и предоставления отчетности</w:t>
      </w:r>
    </w:p>
    <w:p w14:paraId="22E138C3" w14:textId="60F8B113" w:rsidR="004B77F6" w:rsidRPr="00694ACA" w:rsidRDefault="004B77F6" w:rsidP="00A105CB">
      <w:pPr>
        <w:ind w:left="-284" w:right="-472"/>
        <w:rPr>
          <w:lang w:val="ru-RU"/>
        </w:rPr>
      </w:pPr>
      <w:r w:rsidRPr="00694ACA">
        <w:rPr>
          <w:lang w:val="ru-RU"/>
        </w:rPr>
        <w:t xml:space="preserve">186. Место подразделения в </w:t>
      </w:r>
      <w:r w:rsidRPr="00694ACA">
        <w:rPr>
          <w:b/>
          <w:bCs/>
          <w:lang w:val="ru-RU"/>
        </w:rPr>
        <w:t>организационной структуре</w:t>
      </w:r>
      <w:r w:rsidRPr="00694ACA">
        <w:rPr>
          <w:lang w:val="ru-RU"/>
        </w:rPr>
        <w:t xml:space="preserve"> МСЭ имеет важное значение, и это необходимо учитывать, однако его определение будет в значительной степени обусловлено тем, какие внутренние механизмы окажутся оптимальными и максимально эффективными в условиях существующей структуры управления и распределения финансирования в МСЭ.</w:t>
      </w:r>
      <w:r w:rsidR="00A579EF">
        <w:rPr>
          <w:lang w:val="ru-RU"/>
        </w:rPr>
        <w:t xml:space="preserve"> </w:t>
      </w:r>
      <w:r w:rsidRPr="00694ACA">
        <w:rPr>
          <w:lang w:val="ru-RU"/>
        </w:rPr>
        <w:t xml:space="preserve">Рекомендуется назначить специальную группу независимых консультантов для содействия </w:t>
      </w:r>
      <w:r w:rsidRPr="00694ACA">
        <w:rPr>
          <w:lang w:val="ru-RU"/>
        </w:rPr>
        <w:lastRenderedPageBreak/>
        <w:t>работе Подразделения, которая может состоять из 6 человек (например, по одному от каждого региона) и будет подотчетной Директору Подразделения.</w:t>
      </w:r>
      <w:r w:rsidR="00A579EF">
        <w:rPr>
          <w:lang w:val="ru-RU"/>
        </w:rPr>
        <w:t xml:space="preserve"> </w:t>
      </w:r>
      <w:r w:rsidRPr="00694ACA">
        <w:rPr>
          <w:lang w:val="ru-RU"/>
        </w:rPr>
        <w:t>В связи с этим возникает вопрос о будущем действующей ГИСП</w:t>
      </w:r>
      <w:r w:rsidRPr="00694ACA">
        <w:rPr>
          <w:rStyle w:val="FootnoteReference"/>
          <w:lang w:val="ru-RU"/>
        </w:rPr>
        <w:footnoteReference w:id="212"/>
      </w:r>
      <w:r w:rsidRPr="00694ACA">
        <w:rPr>
          <w:lang w:val="ru-RU"/>
        </w:rPr>
        <w:t>, состоящей из 12 человек, хотя, в качестве альтернативы, ее можно было бы сохранить в качестве консультативного совета при новом Подразделении.</w:t>
      </w:r>
      <w:r w:rsidR="00A579EF">
        <w:rPr>
          <w:lang w:val="ru-RU"/>
        </w:rPr>
        <w:t xml:space="preserve"> </w:t>
      </w:r>
      <w:r w:rsidRPr="00694ACA">
        <w:rPr>
          <w:lang w:val="ru-RU"/>
        </w:rPr>
        <w:t>Еще один вариант — иметь и консультативную группу преимущественно для повседневной работы, и ГИСП преимущественно для выполнения функции надзора.</w:t>
      </w:r>
    </w:p>
    <w:p w14:paraId="354B5493" w14:textId="77777777" w:rsidR="004B77F6" w:rsidRPr="00694ACA" w:rsidRDefault="004B77F6" w:rsidP="00A105CB">
      <w:pPr>
        <w:pStyle w:val="Heading3"/>
        <w:ind w:right="-472"/>
        <w:rPr>
          <w:lang w:val="ru-RU"/>
        </w:rPr>
      </w:pPr>
      <w:r w:rsidRPr="00694ACA">
        <w:rPr>
          <w:lang w:val="ru-RU"/>
        </w:rPr>
        <w:t>Другие потребности в ресурсах</w:t>
      </w:r>
    </w:p>
    <w:p w14:paraId="25F86D09" w14:textId="3DD2BA88" w:rsidR="004B77F6" w:rsidRPr="00694ACA" w:rsidRDefault="004B77F6" w:rsidP="00A105CB">
      <w:pPr>
        <w:ind w:left="-284" w:right="-472"/>
        <w:rPr>
          <w:lang w:val="ru-RU"/>
        </w:rPr>
      </w:pPr>
      <w:r w:rsidRPr="00694ACA">
        <w:rPr>
          <w:lang w:val="ru-RU"/>
        </w:rPr>
        <w:t>187. Принципиальное отличие этой рекомендации от той, которая предназначена для Института, заключается в существенном сокращении расходов ввиду отсутствия необходимости финансировать содержание здания и связанных с ним помещений.</w:t>
      </w:r>
      <w:r w:rsidR="00A579EF">
        <w:rPr>
          <w:lang w:val="ru-RU"/>
        </w:rPr>
        <w:t xml:space="preserve"> </w:t>
      </w:r>
      <w:r w:rsidRPr="00694ACA">
        <w:rPr>
          <w:lang w:val="ru-RU"/>
        </w:rPr>
        <w:t>Некоторые потребности в отношении цифровых технологий и поддержки будут ниже, и их можно будет включить в общие накладные расходы на новое здание штаб-квартиры МСЭ</w:t>
      </w:r>
      <w:r w:rsidR="0076070C" w:rsidRPr="00694ACA">
        <w:rPr>
          <w:rStyle w:val="FootnoteReference"/>
          <w:lang w:val="ru-RU"/>
        </w:rPr>
        <w:footnoteReference w:id="213"/>
      </w:r>
      <w:r w:rsidRPr="00694ACA">
        <w:rPr>
          <w:lang w:val="ru-RU"/>
        </w:rPr>
        <w:t>.</w:t>
      </w:r>
      <w:r w:rsidR="00A579EF">
        <w:rPr>
          <w:lang w:val="ru-RU"/>
        </w:rPr>
        <w:t xml:space="preserve"> </w:t>
      </w:r>
      <w:r w:rsidRPr="00694ACA">
        <w:rPr>
          <w:lang w:val="ru-RU"/>
        </w:rPr>
        <w:t>Тем не менее потребность в специализированном оборудовании и программном обеспечении для этого подразделения, а также в хостинге и обслуживании портала необходимо будет удовлетворить в рамках бюджета.</w:t>
      </w:r>
    </w:p>
    <w:p w14:paraId="467BBFBF" w14:textId="77777777" w:rsidR="004B77F6" w:rsidRPr="00694ACA" w:rsidRDefault="004B77F6" w:rsidP="00A105CB">
      <w:pPr>
        <w:pStyle w:val="Heading3"/>
        <w:ind w:right="-472"/>
        <w:rPr>
          <w:lang w:val="ru-RU"/>
        </w:rPr>
      </w:pPr>
      <w:r w:rsidRPr="00694ACA">
        <w:rPr>
          <w:lang w:val="ru-RU"/>
        </w:rPr>
        <w:t>Комбинирование бизнес-моделей</w:t>
      </w:r>
    </w:p>
    <w:p w14:paraId="1477D52F" w14:textId="0707D3D8" w:rsidR="004B77F6" w:rsidRPr="00694ACA" w:rsidRDefault="004B77F6" w:rsidP="00A105CB">
      <w:pPr>
        <w:ind w:left="-284" w:right="-472"/>
        <w:rPr>
          <w:lang w:val="ru-RU"/>
        </w:rPr>
      </w:pPr>
      <w:r w:rsidRPr="00694ACA">
        <w:rPr>
          <w:lang w:val="ru-RU"/>
        </w:rPr>
        <w:t>188. В пунктах 149–156, посвященных разным вариантам функционирования Института, выделены семь основных бизнес-моделей, которые можно было бы использовать для обеспечения его работы, исходя из существующих примеров и передовой практики других учреждений ООН и компаний.</w:t>
      </w:r>
      <w:r w:rsidR="00A579EF">
        <w:rPr>
          <w:lang w:val="ru-RU"/>
        </w:rPr>
        <w:t xml:space="preserve"> </w:t>
      </w:r>
      <w:r w:rsidRPr="00694ACA">
        <w:rPr>
          <w:lang w:val="ru-RU"/>
        </w:rPr>
        <w:t xml:space="preserve">Многие из них сохраняют актуальность с точки зрения создания рекомендуемого подразделения, однако для того, чтобы оно успешно функционировало, МСЭ должен взять на себя твердое обязательство выделить значительно больше средств на базовое финансирование </w:t>
      </w:r>
      <w:r w:rsidR="00367DAA" w:rsidRPr="00694ACA">
        <w:rPr>
          <w:lang w:val="ru-RU"/>
        </w:rPr>
        <w:t>развития потенциала и профессиональной подготовки</w:t>
      </w:r>
      <w:r w:rsidRPr="00694ACA">
        <w:rPr>
          <w:lang w:val="ru-RU"/>
        </w:rPr>
        <w:t>. На практике акцент на различных потоках финансирования, вероятно, будет меняться по мере развития Подразделения, в том числе в ответ на потребности членов и с учетом извлеченных уроков в отношении того, как можно максимально эффективно использовать ресурсы.</w:t>
      </w:r>
      <w:r w:rsidR="00A579EF">
        <w:rPr>
          <w:lang w:val="ru-RU"/>
        </w:rPr>
        <w:t xml:space="preserve"> </w:t>
      </w:r>
    </w:p>
    <w:p w14:paraId="543A3AE6" w14:textId="48F96D31" w:rsidR="004B77F6" w:rsidRPr="00694ACA" w:rsidRDefault="004B77F6" w:rsidP="00A105CB">
      <w:pPr>
        <w:ind w:left="-284" w:right="-472"/>
        <w:rPr>
          <w:lang w:val="ru-RU"/>
        </w:rPr>
      </w:pPr>
      <w:r w:rsidRPr="00694ACA">
        <w:rPr>
          <w:lang w:val="ru-RU"/>
        </w:rPr>
        <w:t>189. Подразделение должно разработать четкий и прозрачный метод определения затрат на проведение каждого учебного мероприятия (особенно в рамках рабочего времени персонала), что позволит обеспечить принятие решения о соответствующем источнике финансирования (бюджетной статье).</w:t>
      </w:r>
      <w:r w:rsidR="00A579EF">
        <w:rPr>
          <w:lang w:val="ru-RU"/>
        </w:rPr>
        <w:t xml:space="preserve"> </w:t>
      </w:r>
      <w:r w:rsidRPr="00694ACA">
        <w:rPr>
          <w:lang w:val="ru-RU"/>
        </w:rPr>
        <w:t>Это потребует четкого распределения времени, отведенного сотрудникам Подразделения на выполнение каждого мероприятия, а также внедрения в Подразделении новой системы внутреннего финансового учета.</w:t>
      </w:r>
      <w:r w:rsidR="00A579EF">
        <w:rPr>
          <w:lang w:val="ru-RU"/>
        </w:rPr>
        <w:t xml:space="preserve"> </w:t>
      </w:r>
      <w:r w:rsidRPr="00694ACA">
        <w:rPr>
          <w:lang w:val="ru-RU"/>
        </w:rPr>
        <w:t>В то же время это будет сделано исключительно внутри Подразделения и на данном этапе не будет иметь каких-либо более широких последствий для бюджета и систем бухгалтерского учета в МСЭ</w:t>
      </w:r>
      <w:r w:rsidR="006679E4" w:rsidRPr="00694ACA">
        <w:rPr>
          <w:rStyle w:val="FootnoteReference"/>
          <w:lang w:val="ru-RU"/>
        </w:rPr>
        <w:footnoteReference w:id="214"/>
      </w:r>
      <w:r w:rsidRPr="00694ACA">
        <w:rPr>
          <w:lang w:val="ru-RU"/>
        </w:rPr>
        <w:t>.</w:t>
      </w:r>
    </w:p>
    <w:p w14:paraId="58F266B0" w14:textId="37892ACD" w:rsidR="004B77F6" w:rsidRPr="00694ACA" w:rsidRDefault="004B77F6" w:rsidP="00A105CB">
      <w:pPr>
        <w:ind w:left="-284" w:right="-472"/>
        <w:rPr>
          <w:lang w:val="ru-RU"/>
        </w:rPr>
      </w:pPr>
      <w:r w:rsidRPr="00694ACA">
        <w:rPr>
          <w:lang w:val="ru-RU"/>
        </w:rPr>
        <w:t>190. Кроме того, для извлечения пользы из участия в тендерах на получение внешних контрактов и использования возможностей для получения дохода, позволяющего нанимать дополнительный персонал, Подразделению необходимо применять достаточно гибкий и творческий подход с финансовой точки зрения.</w:t>
      </w:r>
      <w:r w:rsidR="00A579EF">
        <w:rPr>
          <w:lang w:val="ru-RU"/>
        </w:rPr>
        <w:t xml:space="preserve"> </w:t>
      </w:r>
    </w:p>
    <w:p w14:paraId="665A65AC" w14:textId="22983D6A" w:rsidR="004B77F6" w:rsidRPr="00694ACA" w:rsidRDefault="004B77F6" w:rsidP="00A105CB">
      <w:pPr>
        <w:ind w:left="-284" w:right="-472"/>
        <w:rPr>
          <w:lang w:val="ru-RU"/>
        </w:rPr>
      </w:pPr>
      <w:r w:rsidRPr="00694ACA">
        <w:rPr>
          <w:lang w:val="ru-RU"/>
        </w:rPr>
        <w:t xml:space="preserve">191. Подразделению необходимо внедрить принцип, согласно которому все мероприятия </w:t>
      </w:r>
      <w:r w:rsidR="00367DAA" w:rsidRPr="00694ACA">
        <w:rPr>
          <w:lang w:val="ru-RU"/>
        </w:rPr>
        <w:t>по развитию потенциала и профессиональной подготовке</w:t>
      </w:r>
      <w:r w:rsidRPr="00694ACA">
        <w:rPr>
          <w:lang w:val="ru-RU"/>
        </w:rPr>
        <w:t xml:space="preserve"> должны финансироваться и обеспечиваться ресурсами в полном объеме, однако после того как затраты на разработку материалов для таких курсов или </w:t>
      </w:r>
      <w:r w:rsidR="00B4758B" w:rsidRPr="00694ACA">
        <w:rPr>
          <w:lang w:val="ru-RU"/>
        </w:rPr>
        <w:t xml:space="preserve">учебных занятий </w:t>
      </w:r>
      <w:r w:rsidRPr="00694ACA">
        <w:rPr>
          <w:lang w:val="ru-RU"/>
        </w:rPr>
        <w:t>будут покрыты, все полученные в результате ресурсы станут открытыми образовательными ресурсами и доступ к ним для будущих пользователей становится свободным.</w:t>
      </w:r>
      <w:r w:rsidR="00A579EF">
        <w:rPr>
          <w:lang w:val="ru-RU"/>
        </w:rPr>
        <w:t xml:space="preserve"> </w:t>
      </w:r>
    </w:p>
    <w:p w14:paraId="34FB5B5D" w14:textId="7901C70F" w:rsidR="004B77F6" w:rsidRPr="00694ACA" w:rsidRDefault="004B77F6" w:rsidP="00A105CB">
      <w:pPr>
        <w:pStyle w:val="Heading2"/>
        <w:ind w:right="-472"/>
        <w:rPr>
          <w:lang w:val="ru-RU"/>
        </w:rPr>
      </w:pPr>
      <w:r w:rsidRPr="00694ACA">
        <w:rPr>
          <w:lang w:val="ru-RU"/>
        </w:rPr>
        <w:t>10.3 Временные рамки</w:t>
      </w:r>
    </w:p>
    <w:p w14:paraId="29ECDD7F" w14:textId="77777777" w:rsidR="004B77F6" w:rsidRPr="00694ACA" w:rsidRDefault="004B77F6" w:rsidP="00A105CB">
      <w:pPr>
        <w:ind w:left="-284" w:right="-472"/>
        <w:rPr>
          <w:lang w:val="ru-RU"/>
        </w:rPr>
      </w:pPr>
      <w:r w:rsidRPr="00694ACA">
        <w:rPr>
          <w:lang w:val="ru-RU"/>
        </w:rPr>
        <w:t>192. Выполнение указанных рекомендаций предлагается разделить на четыре основных этапа:</w:t>
      </w:r>
    </w:p>
    <w:p w14:paraId="7EFA1B63" w14:textId="77777777" w:rsidR="004B77F6" w:rsidRPr="00694ACA" w:rsidRDefault="004B77F6" w:rsidP="004B77F6">
      <w:pPr>
        <w:pStyle w:val="ListParagraph"/>
        <w:numPr>
          <w:ilvl w:val="0"/>
          <w:numId w:val="54"/>
        </w:numPr>
        <w:ind w:right="-472"/>
        <w:rPr>
          <w:lang w:val="ru-RU"/>
        </w:rPr>
      </w:pPr>
      <w:r w:rsidRPr="00694ACA">
        <w:rPr>
          <w:lang w:val="ru-RU"/>
        </w:rPr>
        <w:t>1-й этап: взятие на себя обязательства по реализации в течение 2021 года;</w:t>
      </w:r>
    </w:p>
    <w:p w14:paraId="5BF9A564" w14:textId="77777777" w:rsidR="004B77F6" w:rsidRPr="00694ACA" w:rsidRDefault="004B77F6" w:rsidP="004B77F6">
      <w:pPr>
        <w:pStyle w:val="ListParagraph"/>
        <w:numPr>
          <w:ilvl w:val="0"/>
          <w:numId w:val="54"/>
        </w:numPr>
        <w:ind w:right="-472"/>
        <w:rPr>
          <w:lang w:val="ru-RU"/>
        </w:rPr>
      </w:pPr>
      <w:r w:rsidRPr="00694ACA">
        <w:rPr>
          <w:lang w:val="ru-RU"/>
        </w:rPr>
        <w:t>2-й этап: выполнение краткосрочных рекомендаций в 2021–2022 годах;</w:t>
      </w:r>
    </w:p>
    <w:p w14:paraId="134AD40F" w14:textId="628E2641" w:rsidR="004B77F6" w:rsidRPr="00694ACA" w:rsidRDefault="004B77F6" w:rsidP="004B77F6">
      <w:pPr>
        <w:pStyle w:val="ListParagraph"/>
        <w:numPr>
          <w:ilvl w:val="0"/>
          <w:numId w:val="54"/>
        </w:numPr>
        <w:ind w:right="-472"/>
        <w:rPr>
          <w:lang w:val="ru-RU"/>
        </w:rPr>
      </w:pPr>
      <w:r w:rsidRPr="00694ACA">
        <w:rPr>
          <w:lang w:val="ru-RU"/>
        </w:rPr>
        <w:lastRenderedPageBreak/>
        <w:t xml:space="preserve">3-й этап: создание нового Подразделения </w:t>
      </w:r>
      <w:r w:rsidR="00367DAA" w:rsidRPr="00694ACA">
        <w:rPr>
          <w:lang w:val="ru-RU"/>
        </w:rPr>
        <w:t>по развитию потенциала и профессиональной подготовке</w:t>
      </w:r>
      <w:r w:rsidRPr="006679E4">
        <w:rPr>
          <w:rStyle w:val="FootnoteReference"/>
          <w:lang w:val="ru-RU"/>
        </w:rPr>
        <w:footnoteReference w:id="215"/>
      </w:r>
      <w:r w:rsidRPr="00694ACA">
        <w:rPr>
          <w:lang w:val="ru-RU"/>
        </w:rPr>
        <w:t>;</w:t>
      </w:r>
    </w:p>
    <w:p w14:paraId="38B5F80D" w14:textId="77777777" w:rsidR="004B77F6" w:rsidRPr="00694ACA" w:rsidRDefault="004B77F6" w:rsidP="004B77F6">
      <w:pPr>
        <w:pStyle w:val="ListParagraph"/>
        <w:numPr>
          <w:ilvl w:val="0"/>
          <w:numId w:val="54"/>
        </w:numPr>
        <w:ind w:right="-472"/>
        <w:rPr>
          <w:lang w:val="ru-RU"/>
        </w:rPr>
      </w:pPr>
      <w:r w:rsidRPr="00694ACA">
        <w:rPr>
          <w:lang w:val="ru-RU"/>
        </w:rPr>
        <w:t>4-й этап: полное введение в действие в середине 2023 года.</w:t>
      </w:r>
    </w:p>
    <w:p w14:paraId="37F9D1D5" w14:textId="543E84F5" w:rsidR="004B77F6" w:rsidRPr="00694ACA" w:rsidRDefault="004B77F6" w:rsidP="00A105CB">
      <w:pPr>
        <w:pStyle w:val="Heading2"/>
        <w:ind w:right="-472"/>
        <w:rPr>
          <w:lang w:val="ru-RU"/>
        </w:rPr>
      </w:pPr>
      <w:r w:rsidRPr="00694ACA">
        <w:rPr>
          <w:lang w:val="ru-RU"/>
        </w:rPr>
        <w:t>10.4 Деятельность, потерявшая свою актуальность</w:t>
      </w:r>
    </w:p>
    <w:p w14:paraId="05F39A52" w14:textId="77777777" w:rsidR="004B77F6" w:rsidRPr="00694ACA" w:rsidRDefault="004B77F6" w:rsidP="00A105CB">
      <w:pPr>
        <w:ind w:left="-284" w:right="-472"/>
        <w:rPr>
          <w:lang w:val="ru-RU"/>
        </w:rPr>
      </w:pPr>
      <w:r w:rsidRPr="00694ACA">
        <w:rPr>
          <w:lang w:val="ru-RU"/>
        </w:rPr>
        <w:t>193. Четыре направления деятельности с трудом вписываются в модели нового Института или Подразделения, причем по целому ряду причин:</w:t>
      </w:r>
    </w:p>
    <w:p w14:paraId="6D73E945" w14:textId="27E68A1B" w:rsidR="004B77F6" w:rsidRPr="00694ACA" w:rsidRDefault="004B77F6" w:rsidP="004B77F6">
      <w:pPr>
        <w:pStyle w:val="ListParagraph"/>
        <w:numPr>
          <w:ilvl w:val="0"/>
          <w:numId w:val="55"/>
        </w:numPr>
        <w:ind w:right="-472"/>
        <w:rPr>
          <w:lang w:val="ru-RU"/>
        </w:rPr>
      </w:pPr>
      <w:r w:rsidRPr="00694ACA">
        <w:rPr>
          <w:b/>
          <w:bCs/>
          <w:lang w:val="ru-RU"/>
        </w:rPr>
        <w:t>центры цифровой подготовки (</w:t>
      </w:r>
      <w:r w:rsidR="003339C6" w:rsidRPr="00694ACA">
        <w:rPr>
          <w:b/>
          <w:bCs/>
          <w:lang w:val="ru-RU"/>
        </w:rPr>
        <w:t>DTC</w:t>
      </w:r>
      <w:r w:rsidRPr="00694ACA">
        <w:rPr>
          <w:b/>
          <w:bCs/>
          <w:lang w:val="ru-RU"/>
        </w:rPr>
        <w:t>)</w:t>
      </w:r>
      <w:r w:rsidRPr="00694ACA">
        <w:rPr>
          <w:lang w:val="ru-RU"/>
        </w:rPr>
        <w:t xml:space="preserve"> (пункт 30).</w:t>
      </w:r>
      <w:r w:rsidR="00A579EF">
        <w:rPr>
          <w:lang w:val="ru-RU"/>
        </w:rPr>
        <w:t xml:space="preserve"> </w:t>
      </w:r>
      <w:r w:rsidRPr="00694ACA">
        <w:rPr>
          <w:lang w:val="ru-RU"/>
        </w:rPr>
        <w:t xml:space="preserve">Обе модели, предусматривающие создание как Института, так и Подразделения, рекомендуют МСЭ сосредоточиться не на содействии внедрению или предоставлении на местах практических решений базового уровня, разработанных непосредственно для широких слоев населения, а на развитии </w:t>
      </w:r>
      <w:r w:rsidRPr="00694ACA">
        <w:rPr>
          <w:i/>
          <w:iCs/>
          <w:lang w:val="ru-RU"/>
        </w:rPr>
        <w:t>институционального</w:t>
      </w:r>
      <w:r w:rsidRPr="00694ACA">
        <w:rPr>
          <w:lang w:val="ru-RU"/>
        </w:rPr>
        <w:t xml:space="preserve"> и </w:t>
      </w:r>
      <w:r w:rsidRPr="00694ACA">
        <w:rPr>
          <w:i/>
          <w:iCs/>
          <w:lang w:val="ru-RU"/>
        </w:rPr>
        <w:t>организационного</w:t>
      </w:r>
      <w:r w:rsidRPr="00694ACA">
        <w:rPr>
          <w:lang w:val="ru-RU"/>
        </w:rPr>
        <w:t xml:space="preserve"> потенциала на более высоком уровне</w:t>
      </w:r>
      <w:r w:rsidRPr="00694ACA">
        <w:rPr>
          <w:rStyle w:val="FootnoteReference"/>
          <w:lang w:val="ru-RU"/>
        </w:rPr>
        <w:footnoteReference w:id="216"/>
      </w:r>
      <w:r w:rsidRPr="00694ACA">
        <w:rPr>
          <w:lang w:val="ru-RU"/>
        </w:rPr>
        <w:t>.</w:t>
      </w:r>
      <w:r w:rsidR="00A579EF">
        <w:rPr>
          <w:lang w:val="ru-RU"/>
        </w:rPr>
        <w:t xml:space="preserve"> </w:t>
      </w:r>
      <w:r w:rsidRPr="00694ACA">
        <w:rPr>
          <w:lang w:val="ru-RU"/>
        </w:rPr>
        <w:t>Услуги профессиональной подготовки, которые Институт или Подразделение могли бы предоставлять заинтересованным правительствам (в сотрудничестве с другими учреждениями ООН, такими как ООН и МОТ, а также другими партнерами), будут направлены на создание условий, которые позволят правительствам самим внедрять программы эффективного обучения навыкам использования цифровых технологий в рамках своих систем непрерывного образования.</w:t>
      </w:r>
      <w:r w:rsidR="00A579EF">
        <w:rPr>
          <w:lang w:val="ru-RU"/>
        </w:rPr>
        <w:t xml:space="preserve"> </w:t>
      </w:r>
      <w:r w:rsidRPr="00694ACA">
        <w:rPr>
          <w:lang w:val="ru-RU"/>
        </w:rPr>
        <w:t xml:space="preserve">Данная концепция имеет все шансы стать масштабным проектом, который в долгосрочной перспективе позволит расширить права и возможности большего числа людей, чем действующие на местном уровне центры сети </w:t>
      </w:r>
      <w:r w:rsidR="003339C6" w:rsidRPr="00694ACA">
        <w:rPr>
          <w:lang w:val="ru-RU"/>
        </w:rPr>
        <w:t xml:space="preserve">DTC </w:t>
      </w:r>
      <w:r w:rsidRPr="00694ACA">
        <w:rPr>
          <w:lang w:val="ru-RU"/>
        </w:rPr>
        <w:t>вместе взятые.</w:t>
      </w:r>
      <w:r w:rsidR="00A579EF">
        <w:rPr>
          <w:lang w:val="ru-RU"/>
        </w:rPr>
        <w:t xml:space="preserve"> </w:t>
      </w:r>
      <w:r w:rsidRPr="00694ACA">
        <w:rPr>
          <w:lang w:val="ru-RU"/>
        </w:rPr>
        <w:t>Более того, все подобные инициативы должны эффективно взаимодействовать с широким кругом партнеров на местном и международном уровнях, поэтому вместо того, чтобы закреплять их за небольшим кругом своих избранных партнеров, для МСЭ было бы предпочтительно обучить правительства навыкам формирования своих собственных цифровых партнерств с представителями частного сектора, гражданского общества и других международных организаций.</w:t>
      </w:r>
      <w:r w:rsidR="00A579EF">
        <w:rPr>
          <w:lang w:val="ru-RU"/>
        </w:rPr>
        <w:t xml:space="preserve"> </w:t>
      </w:r>
      <w:r w:rsidRPr="00694ACA">
        <w:rPr>
          <w:lang w:val="ru-RU"/>
        </w:rPr>
        <w:t xml:space="preserve">При этом, однако, нет причин, по которым деятельность </w:t>
      </w:r>
      <w:r w:rsidR="003339C6" w:rsidRPr="00694ACA">
        <w:rPr>
          <w:lang w:val="ru-RU"/>
        </w:rPr>
        <w:t xml:space="preserve">DTC </w:t>
      </w:r>
      <w:r w:rsidRPr="00694ACA">
        <w:rPr>
          <w:lang w:val="ru-RU"/>
        </w:rPr>
        <w:t>не могла бы и дальше получать поддержку в рамках отдельной инициативы БРЭ;</w:t>
      </w:r>
    </w:p>
    <w:p w14:paraId="12C8DFB9" w14:textId="5C2B79AE" w:rsidR="004B77F6" w:rsidRPr="00694ACA" w:rsidRDefault="004B77F6" w:rsidP="004B77F6">
      <w:pPr>
        <w:pStyle w:val="ListParagraph"/>
        <w:numPr>
          <w:ilvl w:val="0"/>
          <w:numId w:val="55"/>
        </w:numPr>
        <w:ind w:right="-472"/>
        <w:rPr>
          <w:lang w:val="ru-RU"/>
        </w:rPr>
      </w:pPr>
      <w:r w:rsidRPr="00694ACA">
        <w:rPr>
          <w:b/>
          <w:bCs/>
          <w:lang w:val="ru-RU"/>
        </w:rPr>
        <w:t>сеть центров профессионального мастерства</w:t>
      </w:r>
      <w:r w:rsidRPr="00694ACA">
        <w:rPr>
          <w:lang w:val="ru-RU"/>
        </w:rPr>
        <w:t>.</w:t>
      </w:r>
      <w:r w:rsidR="00A579EF">
        <w:rPr>
          <w:lang w:val="ru-RU"/>
        </w:rPr>
        <w:t xml:space="preserve"> </w:t>
      </w:r>
      <w:r w:rsidRPr="00694ACA">
        <w:rPr>
          <w:lang w:val="ru-RU"/>
        </w:rPr>
        <w:t>Название ЦПМ отражает не совсем то, чем эти центры являются на самом деле, и хотя некоторые из них в прошлом предоставляли отдельным лицам возможность пройти превосходную содержательную профессиональную подготовку, качество предоставляемых ими услуг не стабильно, а лежащая в основе их функционирования бизнес-модель вызывает беспокойство (пункты 29 и 172).</w:t>
      </w:r>
      <w:r w:rsidR="00A579EF">
        <w:rPr>
          <w:lang w:val="ru-RU"/>
        </w:rPr>
        <w:t xml:space="preserve"> </w:t>
      </w:r>
      <w:r w:rsidRPr="00694ACA">
        <w:rPr>
          <w:lang w:val="ru-RU"/>
        </w:rPr>
        <w:t>Доказательств того, что ЦПМ внесли значительный вклад в улучшение результатов развития, мало, хотя они, безусловно, позволили отдельным участникам получить значимые для них сертификаты об успешном окончании обучения.</w:t>
      </w:r>
      <w:r w:rsidR="00A579EF">
        <w:rPr>
          <w:lang w:val="ru-RU"/>
        </w:rPr>
        <w:t xml:space="preserve"> </w:t>
      </w:r>
      <w:r w:rsidRPr="00694ACA">
        <w:rPr>
          <w:lang w:val="ru-RU"/>
        </w:rPr>
        <w:t xml:space="preserve">Если </w:t>
      </w:r>
      <w:r w:rsidR="00175F3F" w:rsidRPr="00694ACA">
        <w:rPr>
          <w:lang w:val="ru-RU"/>
        </w:rPr>
        <w:t xml:space="preserve">Государства-Члены </w:t>
      </w:r>
      <w:r w:rsidRPr="00694ACA">
        <w:rPr>
          <w:lang w:val="ru-RU"/>
        </w:rPr>
        <w:t>по-прежнему ощущают потребность в такой подготовке, то сотрудникам нового Подразделения следует воспользоваться временем, оставшимся до окончания действия текущих соглашений ЦПМ в 2022 году, с тем чтобы построить новую модель посредничества и/или партнерства, которая поможет МСЭ эффективнее содействовать обеспечению доступа к лучшим из множества высококачественных программ профессиональной подготовки, действующих в разных регионах мира.</w:t>
      </w:r>
      <w:r w:rsidR="00A579EF">
        <w:rPr>
          <w:lang w:val="ru-RU"/>
        </w:rPr>
        <w:t xml:space="preserve"> </w:t>
      </w:r>
      <w:r w:rsidRPr="00694ACA">
        <w:rPr>
          <w:lang w:val="ru-RU"/>
        </w:rPr>
        <w:t xml:space="preserve">Предполагается, однако, что </w:t>
      </w:r>
      <w:proofErr w:type="spellStart"/>
      <w:r w:rsidRPr="00694ACA">
        <w:rPr>
          <w:lang w:val="ru-RU"/>
        </w:rPr>
        <w:t>новосозданная</w:t>
      </w:r>
      <w:proofErr w:type="spellEnd"/>
      <w:r w:rsidRPr="00694ACA">
        <w:rPr>
          <w:lang w:val="ru-RU"/>
        </w:rPr>
        <w:t xml:space="preserve"> Подразделением собственная программа высококачественного обучения позволит обеспечить большую часть потребностей </w:t>
      </w:r>
      <w:r w:rsidR="00175F3F" w:rsidRPr="00694ACA">
        <w:rPr>
          <w:lang w:val="ru-RU"/>
        </w:rPr>
        <w:t xml:space="preserve">Государств-Членов </w:t>
      </w:r>
      <w:r w:rsidRPr="00694ACA">
        <w:rPr>
          <w:lang w:val="ru-RU"/>
        </w:rPr>
        <w:t xml:space="preserve">в </w:t>
      </w:r>
      <w:r w:rsidR="00367DAA" w:rsidRPr="00694ACA">
        <w:rPr>
          <w:lang w:val="ru-RU"/>
        </w:rPr>
        <w:t>развитии потенциала и профессиональной подготовке</w:t>
      </w:r>
      <w:r w:rsidRPr="00694ACA">
        <w:rPr>
          <w:lang w:val="ru-RU"/>
        </w:rPr>
        <w:t xml:space="preserve"> в наиболее значимых сферах;</w:t>
      </w:r>
    </w:p>
    <w:p w14:paraId="3F3B8629" w14:textId="35043EA6" w:rsidR="004B77F6" w:rsidRPr="00694ACA" w:rsidRDefault="004B77F6" w:rsidP="004B77F6">
      <w:pPr>
        <w:pStyle w:val="ListParagraph"/>
        <w:numPr>
          <w:ilvl w:val="0"/>
          <w:numId w:val="55"/>
        </w:numPr>
        <w:ind w:right="-472"/>
        <w:rPr>
          <w:lang w:val="ru-RU"/>
        </w:rPr>
      </w:pPr>
      <w:r w:rsidRPr="00694ACA">
        <w:rPr>
          <w:b/>
          <w:bCs/>
          <w:lang w:val="ru-RU"/>
        </w:rPr>
        <w:t xml:space="preserve">Отдел </w:t>
      </w:r>
      <w:r w:rsidR="00F906C2" w:rsidRPr="00694ACA">
        <w:rPr>
          <w:b/>
          <w:bCs/>
          <w:lang w:val="ru-RU"/>
        </w:rPr>
        <w:t>развития</w:t>
      </w:r>
      <w:r w:rsidRPr="00694ACA">
        <w:rPr>
          <w:b/>
          <w:bCs/>
          <w:lang w:val="ru-RU"/>
        </w:rPr>
        <w:t xml:space="preserve"> потенциала и </w:t>
      </w:r>
      <w:r w:rsidR="00F906C2" w:rsidRPr="00694ACA">
        <w:rPr>
          <w:b/>
          <w:bCs/>
          <w:lang w:val="ru-RU"/>
        </w:rPr>
        <w:t xml:space="preserve">цифровых </w:t>
      </w:r>
      <w:r w:rsidRPr="00694ACA">
        <w:rPr>
          <w:b/>
          <w:bCs/>
          <w:lang w:val="ru-RU"/>
        </w:rPr>
        <w:t>навыков (CSD)</w:t>
      </w:r>
      <w:r w:rsidRPr="00694ACA">
        <w:rPr>
          <w:lang w:val="ru-RU"/>
        </w:rPr>
        <w:t>. CSD рекомендуется заменить новым центральным Подразделением, при этом последнее необязательно должно входить в структуру БРЭ.</w:t>
      </w:r>
      <w:r w:rsidR="00A579EF">
        <w:rPr>
          <w:lang w:val="ru-RU"/>
        </w:rPr>
        <w:t xml:space="preserve"> </w:t>
      </w:r>
      <w:r w:rsidRPr="00694ACA">
        <w:rPr>
          <w:lang w:val="ru-RU"/>
        </w:rPr>
        <w:t>Предоставление Подразделению центральной роли в рамках МСЭ будет способствовать взаимодействию со всеми Бюро и учреждениями организации в целом.</w:t>
      </w:r>
      <w:r w:rsidR="00A579EF">
        <w:rPr>
          <w:lang w:val="ru-RU"/>
        </w:rPr>
        <w:t xml:space="preserve"> </w:t>
      </w:r>
      <w:r w:rsidRPr="00694ACA">
        <w:rPr>
          <w:lang w:val="ru-RU"/>
        </w:rPr>
        <w:t>Действующих сотрудников CSD, которые пожелают перейти в новое Подразделение, можно будет оперативно включить в его состав;</w:t>
      </w:r>
    </w:p>
    <w:p w14:paraId="6996B772" w14:textId="26580BE0" w:rsidR="004B77F6" w:rsidRPr="00694ACA" w:rsidRDefault="004B77F6" w:rsidP="004B77F6">
      <w:pPr>
        <w:pStyle w:val="ListParagraph"/>
        <w:numPr>
          <w:ilvl w:val="0"/>
          <w:numId w:val="55"/>
        </w:numPr>
        <w:ind w:right="-472"/>
        <w:rPr>
          <w:lang w:val="ru-RU"/>
        </w:rPr>
      </w:pPr>
      <w:r w:rsidRPr="00694ACA">
        <w:rPr>
          <w:b/>
          <w:bCs/>
          <w:lang w:val="ru-RU"/>
        </w:rPr>
        <w:t xml:space="preserve">программы профессиональной подготовки (SMTP, </w:t>
      </w:r>
      <w:proofErr w:type="spellStart"/>
      <w:r w:rsidRPr="00694ACA">
        <w:rPr>
          <w:b/>
          <w:bCs/>
          <w:lang w:val="ru-RU"/>
        </w:rPr>
        <w:t>QoSTP</w:t>
      </w:r>
      <w:proofErr w:type="spellEnd"/>
      <w:r w:rsidRPr="00694ACA">
        <w:rPr>
          <w:b/>
          <w:bCs/>
          <w:lang w:val="ru-RU"/>
        </w:rPr>
        <w:t xml:space="preserve">, </w:t>
      </w:r>
      <w:proofErr w:type="spellStart"/>
      <w:r w:rsidRPr="00694ACA">
        <w:rPr>
          <w:b/>
          <w:bCs/>
          <w:lang w:val="ru-RU"/>
        </w:rPr>
        <w:t>IoTTP</w:t>
      </w:r>
      <w:proofErr w:type="spellEnd"/>
      <w:r w:rsidRPr="00694ACA">
        <w:rPr>
          <w:b/>
          <w:bCs/>
          <w:lang w:val="ru-RU"/>
        </w:rPr>
        <w:t xml:space="preserve"> и ICTCCTP) и магистерская программа </w:t>
      </w:r>
      <w:proofErr w:type="spellStart"/>
      <w:r w:rsidRPr="00694ACA">
        <w:rPr>
          <w:b/>
          <w:bCs/>
          <w:lang w:val="ru-RU"/>
        </w:rPr>
        <w:t>eMCM</w:t>
      </w:r>
      <w:proofErr w:type="spellEnd"/>
      <w:r w:rsidRPr="006679E4">
        <w:rPr>
          <w:lang w:val="ru-RU"/>
        </w:rPr>
        <w:t>.</w:t>
      </w:r>
      <w:r w:rsidR="00A579EF">
        <w:rPr>
          <w:lang w:val="ru-RU"/>
        </w:rPr>
        <w:t xml:space="preserve"> </w:t>
      </w:r>
      <w:r w:rsidRPr="00694ACA">
        <w:rPr>
          <w:lang w:val="ru-RU"/>
        </w:rPr>
        <w:t>Независимо от того, какая рекомендация, охватывающая долгосрочную перспективу, будет выбрана, ответственная за ее внедрение команда должна направить основные усилия на то, чтобы обеспечить выполнение ряда задач на действительно высоком уровне.</w:t>
      </w:r>
      <w:r w:rsidR="00A579EF">
        <w:rPr>
          <w:lang w:val="ru-RU"/>
        </w:rPr>
        <w:t xml:space="preserve"> </w:t>
      </w:r>
      <w:r w:rsidRPr="00694ACA">
        <w:rPr>
          <w:lang w:val="ru-RU"/>
        </w:rPr>
        <w:t>По</w:t>
      </w:r>
      <w:r w:rsidR="002969DD">
        <w:rPr>
          <w:lang w:val="ru-RU"/>
        </w:rPr>
        <w:t> </w:t>
      </w:r>
      <w:r w:rsidRPr="00694ACA">
        <w:rPr>
          <w:lang w:val="ru-RU"/>
        </w:rPr>
        <w:t>имеющимся на сегодняшний день данным, указанные программы МСЭ привлекли относительно небольшое количество людей и пока не принесли ожидаемых результатов.</w:t>
      </w:r>
      <w:r w:rsidR="00A579EF">
        <w:rPr>
          <w:lang w:val="ru-RU"/>
        </w:rPr>
        <w:t xml:space="preserve"> </w:t>
      </w:r>
      <w:r w:rsidRPr="00694ACA">
        <w:rPr>
          <w:lang w:val="ru-RU"/>
        </w:rPr>
        <w:t xml:space="preserve">Кроме того, существует множество других курсов более высокого уровня и </w:t>
      </w:r>
      <w:r w:rsidRPr="00694ACA">
        <w:rPr>
          <w:lang w:val="ru-RU"/>
        </w:rPr>
        <w:lastRenderedPageBreak/>
        <w:t>магистерских программ, на участие в которых могут претендовать достаточно квалифицированные и заинтересованные люди.</w:t>
      </w:r>
      <w:r w:rsidR="00A579EF">
        <w:rPr>
          <w:lang w:val="ru-RU"/>
        </w:rPr>
        <w:t xml:space="preserve"> </w:t>
      </w:r>
      <w:r w:rsidRPr="00694ACA">
        <w:rPr>
          <w:lang w:val="ru-RU"/>
        </w:rPr>
        <w:t>При наличии значительного спроса со стороны членов Институт или Подразделение может определить лучшие из существующих программ и, действуя как посредник, попытаться организовать снижение платы за участия в них для членов.</w:t>
      </w:r>
      <w:r w:rsidR="00A579EF">
        <w:rPr>
          <w:lang w:val="ru-RU"/>
        </w:rPr>
        <w:t xml:space="preserve"> </w:t>
      </w:r>
      <w:r w:rsidRPr="00694ACA">
        <w:rPr>
          <w:lang w:val="ru-RU"/>
        </w:rPr>
        <w:t>Кроме того, Институт или Подразделение может попытаться установить партнерство с небольшим числом существующих поставщиков, предоставляющих услуги наивысшего качества, внося свой вклад в разработку их программ при получении соответствующего предложения или действительно разрабатывая совместные программы.</w:t>
      </w:r>
    </w:p>
    <w:p w14:paraId="20421EDA" w14:textId="77777777" w:rsidR="004B77F6" w:rsidRPr="00694ACA" w:rsidRDefault="004B77F6" w:rsidP="006679E4">
      <w:pPr>
        <w:spacing w:before="120"/>
        <w:ind w:left="-284" w:right="-472"/>
        <w:rPr>
          <w:lang w:val="ru-RU"/>
        </w:rPr>
      </w:pPr>
      <w:r w:rsidRPr="00694ACA">
        <w:rPr>
          <w:lang w:val="ru-RU"/>
        </w:rPr>
        <w:t>Если МСЭ пожелает оставить какие-либо из указанных программ, их осуществление можно без особых сложностей продолжить в рамках компетенции БРЭ; при этом управление ими будет осуществляться полностью автономно от Института или Подразделения.</w:t>
      </w:r>
    </w:p>
    <w:p w14:paraId="23A64845" w14:textId="3B5F5995" w:rsidR="004B77F6" w:rsidRPr="00694ACA" w:rsidRDefault="004B77F6" w:rsidP="00A105CB">
      <w:pPr>
        <w:pStyle w:val="Heading1"/>
        <w:rPr>
          <w:lang w:val="ru-RU"/>
        </w:rPr>
      </w:pPr>
      <w:bookmarkStart w:id="408" w:name="_Toc65251983"/>
      <w:bookmarkStart w:id="409" w:name="_Toc71060748"/>
      <w:r w:rsidRPr="00694ACA">
        <w:rPr>
          <w:lang w:val="ru-RU"/>
        </w:rPr>
        <w:t>Раздел 11: Выводы</w:t>
      </w:r>
      <w:bookmarkEnd w:id="408"/>
      <w:bookmarkEnd w:id="409"/>
    </w:p>
    <w:p w14:paraId="3D2F45F3" w14:textId="11CD6055" w:rsidR="004B77F6" w:rsidRPr="00694ACA" w:rsidRDefault="004B77F6" w:rsidP="00A105CB">
      <w:pPr>
        <w:ind w:left="-284" w:right="-472"/>
        <w:rPr>
          <w:lang w:val="ru-RU"/>
        </w:rPr>
      </w:pPr>
      <w:r w:rsidRPr="00694ACA">
        <w:rPr>
          <w:lang w:val="ru-RU"/>
        </w:rPr>
        <w:t>194. В основе настоящего отчета лежат данные, в том числе аналитические, полученные от более чем 500</w:t>
      </w:r>
      <w:r w:rsidR="003339C6" w:rsidRPr="00694ACA">
        <w:rPr>
          <w:lang w:val="ru-RU"/>
        </w:rPr>
        <w:t> </w:t>
      </w:r>
      <w:r w:rsidRPr="00694ACA">
        <w:rPr>
          <w:lang w:val="ru-RU"/>
        </w:rPr>
        <w:t>человек, около 8% из которых в настоящее время работают в МСЭ.</w:t>
      </w:r>
      <w:r w:rsidR="00A579EF">
        <w:rPr>
          <w:lang w:val="ru-RU"/>
        </w:rPr>
        <w:t xml:space="preserve"> </w:t>
      </w:r>
      <w:r w:rsidRPr="00694ACA">
        <w:rPr>
          <w:lang w:val="ru-RU"/>
        </w:rPr>
        <w:t xml:space="preserve">Хотя члены МСЭ с большим уважением относятся к этой организации и удовлетворены адекватностью его текущей деятельности </w:t>
      </w:r>
      <w:r w:rsidR="00367DAA" w:rsidRPr="00694ACA">
        <w:rPr>
          <w:lang w:val="ru-RU"/>
        </w:rPr>
        <w:t>по развитию потенциала и профессиональной подготовке</w:t>
      </w:r>
      <w:r w:rsidRPr="00694ACA">
        <w:rPr>
          <w:lang w:val="ru-RU"/>
        </w:rPr>
        <w:t>, настало время для радикального изменения применяемого подхода, если в будущем МСЭ и его члены хотят стать признанным и ведущим в мире поставщиком таких услуг в области цифровых технологий и электросвязи.</w:t>
      </w:r>
      <w:r w:rsidR="00A579EF">
        <w:rPr>
          <w:lang w:val="ru-RU"/>
        </w:rPr>
        <w:t xml:space="preserve"> </w:t>
      </w:r>
      <w:r w:rsidRPr="00694ACA">
        <w:rPr>
          <w:lang w:val="ru-RU"/>
        </w:rPr>
        <w:t>МСЭ имеет все шансы занять место лидера среди учреждений ООН в этой области, особенно благодаря Членам Секторов и Академическим организациям.</w:t>
      </w:r>
      <w:r w:rsidR="00A579EF">
        <w:rPr>
          <w:lang w:val="ru-RU"/>
        </w:rPr>
        <w:t xml:space="preserve"> </w:t>
      </w:r>
      <w:r w:rsidRPr="00694ACA">
        <w:rPr>
          <w:lang w:val="ru-RU"/>
        </w:rPr>
        <w:t>Однако для достижения этой цели ему необходимо поставить новые амбициозные задачи и определить новое направление движения.</w:t>
      </w:r>
      <w:r w:rsidR="00A579EF">
        <w:rPr>
          <w:lang w:val="ru-RU"/>
        </w:rPr>
        <w:t xml:space="preserve"> </w:t>
      </w:r>
      <w:r w:rsidRPr="00694ACA">
        <w:rPr>
          <w:lang w:val="ru-RU"/>
        </w:rPr>
        <w:t xml:space="preserve">Чтобы выйти за рамки традиционного, необходимо разработать концепцию, предусматривающую оказание администрациям </w:t>
      </w:r>
      <w:r w:rsidR="00175F3F" w:rsidRPr="00694ACA">
        <w:rPr>
          <w:lang w:val="ru-RU"/>
        </w:rPr>
        <w:t xml:space="preserve">Государств-Членов </w:t>
      </w:r>
      <w:r w:rsidRPr="00694ACA">
        <w:rPr>
          <w:lang w:val="ru-RU"/>
        </w:rPr>
        <w:t>поддержки в удовлетворении их потребностей, сформировать стремление быть лучшим в том, чего можно достичь, и взять на себя обязательство обеспечить необходимое финансирование для предоставления ресурсов и проведения мероприятий высокого качества.</w:t>
      </w:r>
      <w:r w:rsidR="00A579EF">
        <w:rPr>
          <w:lang w:val="ru-RU"/>
        </w:rPr>
        <w:t xml:space="preserve"> </w:t>
      </w:r>
      <w:r w:rsidRPr="00694ACA">
        <w:rPr>
          <w:lang w:val="ru-RU"/>
        </w:rPr>
        <w:t>МСЭ должен рационально развивать свои уникальные конкурентные преимущества и стремиться быть лучшим в том, что он делает. Для этого необходимо не распылять свой талант и опыт чрезмерно, а сконцентрироваться на по-настоящему качественном выполнении нескольких задач.</w:t>
      </w:r>
    </w:p>
    <w:p w14:paraId="599B4EAC" w14:textId="75015A41" w:rsidR="004B77F6" w:rsidRPr="00694ACA" w:rsidRDefault="004B77F6" w:rsidP="00A105CB">
      <w:pPr>
        <w:ind w:left="-284" w:right="-472"/>
        <w:rPr>
          <w:lang w:val="ru-RU"/>
        </w:rPr>
      </w:pPr>
      <w:r w:rsidRPr="00694ACA">
        <w:rPr>
          <w:lang w:val="ru-RU"/>
        </w:rPr>
        <w:t xml:space="preserve">195. Согласно приведенной в отчете основной рекомендации на долгосрочную перспективу, МСЭ должен создать сильное централизованное Подразделение для обеспечения высококачественного </w:t>
      </w:r>
      <w:r w:rsidR="00367DAA" w:rsidRPr="00694ACA">
        <w:rPr>
          <w:lang w:val="ru-RU"/>
        </w:rPr>
        <w:t>развития потенциала и профессиональной подготовки</w:t>
      </w:r>
      <w:r w:rsidRPr="00694ACA">
        <w:rPr>
          <w:lang w:val="ru-RU"/>
        </w:rPr>
        <w:t xml:space="preserve"> во всех своих Секторах.</w:t>
      </w:r>
      <w:r w:rsidR="00A579EF">
        <w:rPr>
          <w:lang w:val="ru-RU"/>
        </w:rPr>
        <w:t xml:space="preserve"> </w:t>
      </w:r>
      <w:r w:rsidRPr="00694ACA">
        <w:rPr>
          <w:lang w:val="ru-RU"/>
        </w:rPr>
        <w:t xml:space="preserve">Это более предпочтительный вариант по сравнению с идеей создания </w:t>
      </w:r>
      <w:proofErr w:type="spellStart"/>
      <w:r w:rsidRPr="00694ACA">
        <w:rPr>
          <w:lang w:val="ru-RU"/>
        </w:rPr>
        <w:t>квазинезависимого</w:t>
      </w:r>
      <w:proofErr w:type="spellEnd"/>
      <w:r w:rsidRPr="00694ACA">
        <w:rPr>
          <w:lang w:val="ru-RU"/>
        </w:rPr>
        <w:t xml:space="preserve"> Института, который будет иметь практически те же самые функции.</w:t>
      </w:r>
    </w:p>
    <w:p w14:paraId="3625FCB1" w14:textId="55933F61" w:rsidR="004B77F6" w:rsidRPr="00694ACA" w:rsidRDefault="004B77F6" w:rsidP="00A105CB">
      <w:pPr>
        <w:ind w:left="-284" w:right="-472"/>
        <w:rPr>
          <w:lang w:val="ru-RU"/>
        </w:rPr>
      </w:pPr>
      <w:r w:rsidRPr="00694ACA">
        <w:rPr>
          <w:lang w:val="ru-RU"/>
        </w:rPr>
        <w:t>196. Выбор, однако, зависит от того, чего хотят члены МСЭ.</w:t>
      </w:r>
      <w:r w:rsidR="00A579EF">
        <w:rPr>
          <w:lang w:val="ru-RU"/>
        </w:rPr>
        <w:t xml:space="preserve"> </w:t>
      </w:r>
      <w:r w:rsidRPr="00694ACA">
        <w:rPr>
          <w:lang w:val="ru-RU"/>
        </w:rPr>
        <w:t xml:space="preserve">При наличии необходимых ресурсов и желания создать </w:t>
      </w:r>
      <w:proofErr w:type="spellStart"/>
      <w:r w:rsidR="004F5F29" w:rsidRPr="00694ACA">
        <w:rPr>
          <w:lang w:val="ru-RU"/>
        </w:rPr>
        <w:t>квази</w:t>
      </w:r>
      <w:r w:rsidRPr="00694ACA">
        <w:rPr>
          <w:lang w:val="ru-RU"/>
        </w:rPr>
        <w:t>независимый</w:t>
      </w:r>
      <w:proofErr w:type="spellEnd"/>
      <w:r w:rsidRPr="00694ACA">
        <w:rPr>
          <w:lang w:val="ru-RU"/>
        </w:rPr>
        <w:t xml:space="preserve"> Институт этот альтернативный вариант является реалистичным и обоснованным.</w:t>
      </w:r>
      <w:r w:rsidR="00A579EF">
        <w:rPr>
          <w:lang w:val="ru-RU"/>
        </w:rPr>
        <w:t xml:space="preserve"> </w:t>
      </w:r>
      <w:r w:rsidRPr="00694ACA">
        <w:rPr>
          <w:lang w:val="ru-RU"/>
        </w:rPr>
        <w:t>Тем не менее для того, чтобы добиться успеха, потребуется очень серьезное финансирование, эффективное руководство, сильное управление и всесторонняя поддержка со стороны членов организации.</w:t>
      </w:r>
      <w:r w:rsidR="00A579EF">
        <w:rPr>
          <w:lang w:val="ru-RU"/>
        </w:rPr>
        <w:t xml:space="preserve"> </w:t>
      </w:r>
      <w:r w:rsidRPr="00694ACA">
        <w:rPr>
          <w:lang w:val="ru-RU"/>
        </w:rPr>
        <w:t>Подводя итог, авторы данного отчета делают вывод, что создание нового централизованного Подразделения рекомендуется как более надежный и устойчивый и менее рискованный вариант, чем создание нового Института.</w:t>
      </w:r>
    </w:p>
    <w:p w14:paraId="6A5BF4D4" w14:textId="3CFB47CC" w:rsidR="004B77F6" w:rsidRPr="00694ACA" w:rsidRDefault="004B77F6" w:rsidP="00A105CB">
      <w:pPr>
        <w:ind w:left="-284" w:right="-472"/>
        <w:rPr>
          <w:lang w:val="ru-RU"/>
        </w:rPr>
      </w:pPr>
      <w:r w:rsidRPr="00694ACA">
        <w:rPr>
          <w:lang w:val="ru-RU"/>
        </w:rPr>
        <w:t>197. По крайней мере, МСЭ необходимо как можно скорее приступить к выполнению десяти краткосрочных рекомендаций, содержащихся в настоящем отчете, чтобы не проиграть конкуренцию как внутри системы ООН, так и за ее пределами.</w:t>
      </w:r>
      <w:r w:rsidR="00A579EF">
        <w:rPr>
          <w:lang w:val="ru-RU"/>
        </w:rPr>
        <w:t xml:space="preserve"> </w:t>
      </w:r>
      <w:r w:rsidRPr="00694ACA">
        <w:rPr>
          <w:lang w:val="ru-RU"/>
        </w:rPr>
        <w:t xml:space="preserve">Если МСЭ не предпримет никаких решительных мер, то его роль как ведущего поставщика услуг по </w:t>
      </w:r>
      <w:r w:rsidR="009421AE" w:rsidRPr="00694ACA">
        <w:rPr>
          <w:lang w:val="ru-RU"/>
        </w:rPr>
        <w:t>развитию потенциала</w:t>
      </w:r>
      <w:r w:rsidRPr="00694ACA">
        <w:rPr>
          <w:lang w:val="ru-RU"/>
        </w:rPr>
        <w:t xml:space="preserve"> и проведению профессиональной подготовки по направлениям, предусмотренным его мандатом, будет поставлена под угрозу.</w:t>
      </w:r>
      <w:r w:rsidR="00A579EF">
        <w:rPr>
          <w:lang w:val="ru-RU"/>
        </w:rPr>
        <w:t xml:space="preserve"> </w:t>
      </w:r>
      <w:r w:rsidRPr="00694ACA">
        <w:rPr>
          <w:lang w:val="ru-RU"/>
        </w:rPr>
        <w:t xml:space="preserve">Указанные рекомендации на краткосрочную перспективу имеют простую формулировку, являются выполнимыми и должны быть реализованы независимо от того, чего МСЭ хочет добиться в долгосрочной перспективе. </w:t>
      </w:r>
    </w:p>
    <w:p w14:paraId="64CC63BF" w14:textId="4A5AF0C4" w:rsidR="004B77F6" w:rsidRPr="00694ACA" w:rsidRDefault="004B77F6" w:rsidP="00A105CB">
      <w:pPr>
        <w:ind w:left="-284" w:right="-472"/>
        <w:rPr>
          <w:lang w:val="ru-RU"/>
        </w:rPr>
      </w:pPr>
      <w:r w:rsidRPr="00694ACA">
        <w:rPr>
          <w:lang w:val="ru-RU"/>
        </w:rPr>
        <w:t>198.</w:t>
      </w:r>
      <w:r w:rsidR="00A579EF">
        <w:rPr>
          <w:lang w:val="ru-RU"/>
        </w:rPr>
        <w:t xml:space="preserve"> </w:t>
      </w:r>
      <w:r w:rsidRPr="00694ACA">
        <w:rPr>
          <w:lang w:val="ru-RU"/>
        </w:rPr>
        <w:t>Если говорить в более широком смысле, то в отчете приведены пять более широких выводов, которые МСЭ необходимо учесть:</w:t>
      </w:r>
    </w:p>
    <w:p w14:paraId="101B8476" w14:textId="0F95D654" w:rsidR="004B77F6" w:rsidRPr="00694ACA" w:rsidRDefault="004B77F6" w:rsidP="004B77F6">
      <w:pPr>
        <w:pStyle w:val="ListParagraph"/>
        <w:numPr>
          <w:ilvl w:val="0"/>
          <w:numId w:val="56"/>
        </w:numPr>
        <w:ind w:right="-472"/>
        <w:rPr>
          <w:lang w:val="ru-RU"/>
        </w:rPr>
      </w:pPr>
      <w:r w:rsidRPr="00694ACA">
        <w:rPr>
          <w:b/>
          <w:bCs/>
          <w:lang w:val="ru-RU"/>
        </w:rPr>
        <w:t xml:space="preserve">баланс между мероприятиями по </w:t>
      </w:r>
      <w:r w:rsidR="002E5573" w:rsidRPr="00694ACA">
        <w:rPr>
          <w:b/>
          <w:bCs/>
          <w:lang w:val="ru-RU"/>
        </w:rPr>
        <w:t>развитию</w:t>
      </w:r>
      <w:r w:rsidRPr="00694ACA">
        <w:rPr>
          <w:b/>
          <w:bCs/>
          <w:lang w:val="ru-RU"/>
        </w:rPr>
        <w:t xml:space="preserve"> институционального, организационного и индивидуального потенциала и проведению соответствующей профессиональной подготовки</w:t>
      </w:r>
      <w:r w:rsidRPr="006679E4">
        <w:rPr>
          <w:lang w:val="ru-RU"/>
        </w:rPr>
        <w:t>.</w:t>
      </w:r>
      <w:r w:rsidR="00A579EF">
        <w:rPr>
          <w:lang w:val="ru-RU"/>
        </w:rPr>
        <w:t xml:space="preserve"> </w:t>
      </w:r>
      <w:r w:rsidRPr="00694ACA">
        <w:rPr>
          <w:lang w:val="ru-RU"/>
        </w:rPr>
        <w:t xml:space="preserve">Этот вопрос имеет более широкое значение для других учреждений ООН и МСЭ, однако в условиях ограниченных ресурсов </w:t>
      </w:r>
      <w:r w:rsidRPr="00694ACA">
        <w:rPr>
          <w:lang w:val="ru-RU"/>
        </w:rPr>
        <w:lastRenderedPageBreak/>
        <w:t xml:space="preserve">необходимо принять решение о том, желает ли МСЭ осуществлять </w:t>
      </w:r>
      <w:r w:rsidR="002E5573" w:rsidRPr="00694ACA">
        <w:rPr>
          <w:lang w:val="ru-RU"/>
        </w:rPr>
        <w:t>развитие</w:t>
      </w:r>
      <w:r w:rsidRPr="00694ACA">
        <w:rPr>
          <w:lang w:val="ru-RU"/>
        </w:rPr>
        <w:t xml:space="preserve"> потенциала на всех этих трех уровнях.</w:t>
      </w:r>
      <w:r w:rsidR="00A579EF">
        <w:rPr>
          <w:lang w:val="ru-RU"/>
        </w:rPr>
        <w:t xml:space="preserve"> </w:t>
      </w:r>
      <w:r w:rsidRPr="00694ACA">
        <w:rPr>
          <w:lang w:val="ru-RU"/>
        </w:rPr>
        <w:t>В отчете рекомендуется сосредоточиться преимущественно на первых двух, поскольку таким образом правительства и регуляторные органы смогут лучше донести преимущества использования ИКТ и электросвязи до всех людей, живущих в пределах границ соответствующих государств, а поддержка МСЭ будет иметь гораздо более широкий охват, чем если бы он сосредоточился в основном на поддержке более ограниченного числа людей;</w:t>
      </w:r>
    </w:p>
    <w:p w14:paraId="0AB54FD4" w14:textId="10863E17" w:rsidR="004B77F6" w:rsidRPr="00694ACA" w:rsidRDefault="004B77F6" w:rsidP="004B77F6">
      <w:pPr>
        <w:pStyle w:val="Bulletspoint11"/>
        <w:numPr>
          <w:ilvl w:val="0"/>
          <w:numId w:val="56"/>
        </w:numPr>
        <w:rPr>
          <w:lang w:val="ru-RU"/>
        </w:rPr>
      </w:pPr>
      <w:r w:rsidRPr="00694ACA">
        <w:rPr>
          <w:b/>
          <w:lang w:val="ru-RU"/>
        </w:rPr>
        <w:t xml:space="preserve">баланс между разработкой и проведением собственных мероприятий по </w:t>
      </w:r>
      <w:r w:rsidR="009421AE" w:rsidRPr="00694ACA">
        <w:rPr>
          <w:b/>
          <w:lang w:val="ru-RU"/>
        </w:rPr>
        <w:t>развитию потенциала</w:t>
      </w:r>
      <w:r w:rsidRPr="00694ACA">
        <w:rPr>
          <w:b/>
          <w:lang w:val="ru-RU"/>
        </w:rPr>
        <w:t xml:space="preserve"> и проведению соответствующей профессиональной подготовки с одной стороны и содействием другим в проведении такой подготовки в интересах членов с другой стороны</w:t>
      </w:r>
      <w:r w:rsidRPr="006679E4">
        <w:rPr>
          <w:bCs/>
          <w:lang w:val="ru-RU"/>
        </w:rPr>
        <w:t>.</w:t>
      </w:r>
      <w:r w:rsidR="00A579EF">
        <w:rPr>
          <w:bCs/>
          <w:lang w:val="ru-RU"/>
        </w:rPr>
        <w:t xml:space="preserve"> </w:t>
      </w:r>
      <w:r w:rsidRPr="00694ACA">
        <w:rPr>
          <w:lang w:val="ru-RU"/>
        </w:rPr>
        <w:t xml:space="preserve">В основе всего отчета лежат данные, свидетельствующие о том, что </w:t>
      </w:r>
      <w:r w:rsidR="00B94547" w:rsidRPr="00694ACA">
        <w:rPr>
          <w:lang w:val="ru-RU"/>
        </w:rPr>
        <w:t xml:space="preserve">деятельность </w:t>
      </w:r>
      <w:r w:rsidRPr="00694ACA">
        <w:rPr>
          <w:lang w:val="ru-RU"/>
        </w:rPr>
        <w:t>новы</w:t>
      </w:r>
      <w:r w:rsidR="00B94547" w:rsidRPr="00694ACA">
        <w:rPr>
          <w:lang w:val="ru-RU"/>
        </w:rPr>
        <w:t>х</w:t>
      </w:r>
      <w:r w:rsidRPr="00694ACA">
        <w:rPr>
          <w:lang w:val="ru-RU"/>
        </w:rPr>
        <w:t xml:space="preserve"> структур, которые планируется создать, должн</w:t>
      </w:r>
      <w:r w:rsidR="00B94547" w:rsidRPr="00694ACA">
        <w:rPr>
          <w:lang w:val="ru-RU"/>
        </w:rPr>
        <w:t>а</w:t>
      </w:r>
      <w:r w:rsidRPr="00694ACA">
        <w:rPr>
          <w:lang w:val="ru-RU"/>
        </w:rPr>
        <w:t xml:space="preserve"> быть направлен</w:t>
      </w:r>
      <w:r w:rsidR="00B94547" w:rsidRPr="00694ACA">
        <w:rPr>
          <w:lang w:val="ru-RU"/>
        </w:rPr>
        <w:t>а</w:t>
      </w:r>
      <w:r w:rsidRPr="00694ACA">
        <w:rPr>
          <w:lang w:val="ru-RU"/>
        </w:rPr>
        <w:t xml:space="preserve"> в первую очередь на то, чтобы дать МСЭ возможность разрабатывать и предоставлять собственные высококачественные ресурсы по </w:t>
      </w:r>
      <w:r w:rsidR="009421AE" w:rsidRPr="00694ACA">
        <w:rPr>
          <w:lang w:val="ru-RU"/>
        </w:rPr>
        <w:t>развитию потенциала</w:t>
      </w:r>
      <w:r w:rsidRPr="00694ACA">
        <w:rPr>
          <w:lang w:val="ru-RU"/>
        </w:rPr>
        <w:t xml:space="preserve"> и проведению профессиональной подготовки, а не просто содействовать получению членами доступа к профессиональной подготовке, предоставляемой другими.</w:t>
      </w:r>
      <w:r w:rsidR="00A579EF">
        <w:rPr>
          <w:lang w:val="ru-RU"/>
        </w:rPr>
        <w:t xml:space="preserve"> </w:t>
      </w:r>
      <w:r w:rsidRPr="00694ACA">
        <w:rPr>
          <w:lang w:val="ru-RU"/>
        </w:rPr>
        <w:t>Можно и далее поддерживать реализацию второй модели на основе соглашений о партнерстве и посредничестве, если это потребуется членам, однако в отчете МСЭ рекомендуется сосредоточить особое внимание на тех областях, где у него есть явные конкурентные преимущества;</w:t>
      </w:r>
    </w:p>
    <w:p w14:paraId="68C42AE4" w14:textId="43EA6CEB" w:rsidR="004B77F6" w:rsidRPr="00694ACA" w:rsidRDefault="004B77F6" w:rsidP="004B77F6">
      <w:pPr>
        <w:pStyle w:val="Bulletspoint11"/>
        <w:numPr>
          <w:ilvl w:val="0"/>
          <w:numId w:val="56"/>
        </w:numPr>
        <w:rPr>
          <w:lang w:val="ru-RU"/>
        </w:rPr>
      </w:pPr>
      <w:r w:rsidRPr="00694ACA">
        <w:rPr>
          <w:b/>
          <w:bCs/>
          <w:lang w:val="ru-RU"/>
        </w:rPr>
        <w:t xml:space="preserve">придание приоритетного значения </w:t>
      </w:r>
      <w:r w:rsidR="009421AE" w:rsidRPr="00694ACA">
        <w:rPr>
          <w:b/>
          <w:bCs/>
          <w:lang w:val="ru-RU"/>
        </w:rPr>
        <w:t>развитию потенциала и профессиональной подготовке</w:t>
      </w:r>
      <w:r w:rsidRPr="00694ACA">
        <w:rPr>
          <w:b/>
          <w:bCs/>
          <w:lang w:val="ru-RU"/>
        </w:rPr>
        <w:t xml:space="preserve"> в плане МСЭ на 2020–2023 </w:t>
      </w:r>
      <w:r w:rsidR="00B94547" w:rsidRPr="00694ACA">
        <w:rPr>
          <w:b/>
          <w:bCs/>
          <w:lang w:val="ru-RU"/>
        </w:rPr>
        <w:t xml:space="preserve">годы </w:t>
      </w:r>
      <w:r w:rsidRPr="00694ACA">
        <w:rPr>
          <w:b/>
          <w:bCs/>
          <w:lang w:val="ru-RU"/>
        </w:rPr>
        <w:t xml:space="preserve">и </w:t>
      </w:r>
      <w:r w:rsidR="00B94547" w:rsidRPr="00694ACA">
        <w:rPr>
          <w:b/>
          <w:bCs/>
          <w:lang w:val="ru-RU"/>
        </w:rPr>
        <w:t xml:space="preserve">в </w:t>
      </w:r>
      <w:r w:rsidRPr="00694ACA">
        <w:rPr>
          <w:b/>
          <w:bCs/>
          <w:lang w:val="ru-RU"/>
        </w:rPr>
        <w:t>последующи</w:t>
      </w:r>
      <w:r w:rsidR="00B94547" w:rsidRPr="00694ACA">
        <w:rPr>
          <w:b/>
          <w:bCs/>
          <w:lang w:val="ru-RU"/>
        </w:rPr>
        <w:t>й период</w:t>
      </w:r>
      <w:r w:rsidRPr="006679E4">
        <w:rPr>
          <w:lang w:val="ru-RU"/>
        </w:rPr>
        <w:t>.</w:t>
      </w:r>
      <w:r w:rsidR="00A579EF">
        <w:rPr>
          <w:lang w:val="ru-RU"/>
        </w:rPr>
        <w:t xml:space="preserve"> </w:t>
      </w:r>
      <w:r w:rsidR="00367DAA" w:rsidRPr="00694ACA">
        <w:rPr>
          <w:lang w:val="ru-RU"/>
        </w:rPr>
        <w:t>Развитие потенциала и профессиональная подготовка</w:t>
      </w:r>
      <w:r w:rsidRPr="00694ACA">
        <w:rPr>
          <w:lang w:val="ru-RU"/>
        </w:rPr>
        <w:t xml:space="preserve"> не занимают видного места в текущем плане МСЭ.</w:t>
      </w:r>
      <w:r w:rsidR="00A579EF">
        <w:rPr>
          <w:lang w:val="ru-RU"/>
        </w:rPr>
        <w:t xml:space="preserve"> </w:t>
      </w:r>
      <w:r w:rsidRPr="00694ACA">
        <w:rPr>
          <w:lang w:val="ru-RU"/>
        </w:rPr>
        <w:t>Членам и Совету необходимо согласовать, сколько внимания они хотят уделить им, при этом в данном отчете высказывается предположение о том, что сейчас идеальное время для придания этим вопросам гораздо большего приоритета, с тем чтобы МСЭ мог еще больше утвердиться в качестве ведущего учреждения ООН в области обучения навыкам использования цифровых технологий в целях развития;</w:t>
      </w:r>
    </w:p>
    <w:p w14:paraId="48AE537B" w14:textId="1532756F" w:rsidR="004B77F6" w:rsidRPr="00694ACA" w:rsidRDefault="004B77F6" w:rsidP="004B77F6">
      <w:pPr>
        <w:pStyle w:val="Bulletspoint11"/>
        <w:numPr>
          <w:ilvl w:val="0"/>
          <w:numId w:val="56"/>
        </w:numPr>
        <w:rPr>
          <w:lang w:val="ru-RU"/>
        </w:rPr>
      </w:pPr>
      <w:r w:rsidRPr="00694ACA">
        <w:rPr>
          <w:b/>
          <w:bCs/>
          <w:lang w:val="ru-RU"/>
        </w:rPr>
        <w:t>механизмы составления бюджета и предоставления отчетности</w:t>
      </w:r>
      <w:r w:rsidRPr="006679E4">
        <w:rPr>
          <w:lang w:val="ru-RU"/>
        </w:rPr>
        <w:t>.</w:t>
      </w:r>
      <w:r w:rsidR="00A579EF">
        <w:rPr>
          <w:lang w:val="ru-RU"/>
        </w:rPr>
        <w:t xml:space="preserve"> </w:t>
      </w:r>
      <w:r w:rsidRPr="00694ACA">
        <w:rPr>
          <w:lang w:val="ru-RU"/>
        </w:rPr>
        <w:t xml:space="preserve">В отчете рекомендуется оперативно внедрить новые механизмы составления бюджета, с тем чтобы обеспечить полную и прозрачную отчетность о расходах и доходах по всем аспектам деятельности МСЭ в области </w:t>
      </w:r>
      <w:r w:rsidR="00367DAA" w:rsidRPr="00694ACA">
        <w:rPr>
          <w:lang w:val="ru-RU"/>
        </w:rPr>
        <w:t>развития потенциала и профессиональной подготовки</w:t>
      </w:r>
      <w:r w:rsidRPr="00694ACA">
        <w:rPr>
          <w:lang w:val="ru-RU"/>
        </w:rPr>
        <w:t xml:space="preserve"> и тем самым содействовать обеспечению качества предоставляемых услуг;</w:t>
      </w:r>
    </w:p>
    <w:p w14:paraId="62C569AD" w14:textId="41F59E1B" w:rsidR="004B77F6" w:rsidRPr="00694ACA" w:rsidRDefault="004B77F6" w:rsidP="004B77F6">
      <w:pPr>
        <w:pStyle w:val="Bulletspoint11"/>
        <w:numPr>
          <w:ilvl w:val="0"/>
          <w:numId w:val="56"/>
        </w:numPr>
        <w:rPr>
          <w:lang w:val="ru-RU"/>
        </w:rPr>
      </w:pPr>
      <w:r w:rsidRPr="00694ACA">
        <w:rPr>
          <w:b/>
          <w:bCs/>
          <w:lang w:val="ru-RU"/>
        </w:rPr>
        <w:t>стремление к совершенству</w:t>
      </w:r>
      <w:r w:rsidRPr="006679E4">
        <w:rPr>
          <w:lang w:val="ru-RU"/>
        </w:rPr>
        <w:t>.</w:t>
      </w:r>
      <w:r w:rsidR="00A579EF">
        <w:rPr>
          <w:lang w:val="ru-RU"/>
        </w:rPr>
        <w:t xml:space="preserve"> </w:t>
      </w:r>
      <w:r w:rsidRPr="00694ACA">
        <w:rPr>
          <w:lang w:val="ru-RU"/>
        </w:rPr>
        <w:t>Это также возможность для МСЭ подтвердить свою приверженность стремлению к совершенству при проведении соответствующих мероприятий.</w:t>
      </w:r>
      <w:r w:rsidR="00A579EF">
        <w:rPr>
          <w:lang w:val="ru-RU"/>
        </w:rPr>
        <w:t xml:space="preserve"> </w:t>
      </w:r>
      <w:r w:rsidRPr="00694ACA">
        <w:rPr>
          <w:lang w:val="ru-RU"/>
        </w:rPr>
        <w:t xml:space="preserve">Для этого необходимо принять необходимость и продемонстрировать готовность отказаться от потерявших актуальность проектов и инициатив по мере изменения приоритетов и повестки дня, даже если такие изменения являются результатом внешних факторов, как </w:t>
      </w:r>
      <w:r w:rsidR="00B94547" w:rsidRPr="00694ACA">
        <w:rPr>
          <w:lang w:val="ru-RU"/>
        </w:rPr>
        <w:t xml:space="preserve">например </w:t>
      </w:r>
      <w:r w:rsidRPr="00694ACA">
        <w:rPr>
          <w:lang w:val="ru-RU"/>
        </w:rPr>
        <w:t>COVID-19.</w:t>
      </w:r>
      <w:r w:rsidR="00A579EF">
        <w:rPr>
          <w:lang w:val="ru-RU"/>
        </w:rPr>
        <w:t xml:space="preserve"> </w:t>
      </w:r>
      <w:r w:rsidRPr="00694ACA">
        <w:rPr>
          <w:lang w:val="ru-RU"/>
        </w:rPr>
        <w:t xml:space="preserve">Таким образом, может потребоваться пересмотреть деятельность в рамках каждого Сектора в соответствии с принципом </w:t>
      </w:r>
      <w:r w:rsidR="006E72AD" w:rsidRPr="00694ACA">
        <w:rPr>
          <w:lang w:val="ru-RU"/>
        </w:rPr>
        <w:t>"</w:t>
      </w:r>
      <w:r w:rsidRPr="00694ACA">
        <w:rPr>
          <w:lang w:val="ru-RU"/>
        </w:rPr>
        <w:t>лучше делать меньше, да лучше</w:t>
      </w:r>
      <w:r w:rsidR="006E72AD" w:rsidRPr="00694ACA">
        <w:rPr>
          <w:lang w:val="ru-RU"/>
        </w:rPr>
        <w:t>"</w:t>
      </w:r>
      <w:r w:rsidRPr="00694ACA">
        <w:rPr>
          <w:lang w:val="ru-RU"/>
        </w:rPr>
        <w:t>.</w:t>
      </w:r>
      <w:bookmarkEnd w:id="405"/>
    </w:p>
    <w:p w14:paraId="4A740370" w14:textId="77777777" w:rsidR="004B77F6" w:rsidRPr="00694ACA" w:rsidRDefault="004B77F6">
      <w:pPr>
        <w:spacing w:line="276" w:lineRule="auto"/>
        <w:rPr>
          <w:lang w:val="ru-RU" w:eastAsia="en-GB"/>
        </w:rPr>
      </w:pPr>
      <w:r w:rsidRPr="00694ACA">
        <w:rPr>
          <w:lang w:val="ru-RU"/>
        </w:rPr>
        <w:br w:type="page"/>
      </w:r>
    </w:p>
    <w:p w14:paraId="5FB4C79D" w14:textId="77777777" w:rsidR="004B77F6" w:rsidRPr="00694ACA" w:rsidRDefault="004B77F6" w:rsidP="00A105CB">
      <w:pPr>
        <w:pStyle w:val="Heading1"/>
        <w:rPr>
          <w:lang w:val="ru-RU"/>
        </w:rPr>
      </w:pPr>
      <w:bookmarkStart w:id="410" w:name="_Toc65251984"/>
      <w:bookmarkStart w:id="411" w:name="_Toc71060749"/>
      <w:r w:rsidRPr="00694ACA">
        <w:rPr>
          <w:lang w:val="ru-RU"/>
        </w:rPr>
        <w:lastRenderedPageBreak/>
        <w:t>Приложения</w:t>
      </w:r>
      <w:bookmarkEnd w:id="410"/>
      <w:bookmarkEnd w:id="411"/>
    </w:p>
    <w:p w14:paraId="355AA967" w14:textId="77777777" w:rsidR="004B77F6" w:rsidRPr="00694ACA" w:rsidRDefault="004B77F6" w:rsidP="00A105CB">
      <w:pPr>
        <w:pStyle w:val="Heading2"/>
        <w:rPr>
          <w:lang w:val="ru-RU"/>
        </w:rPr>
      </w:pPr>
      <w:r w:rsidRPr="00694ACA">
        <w:rPr>
          <w:lang w:val="ru-RU"/>
        </w:rPr>
        <w:t>Приложение 1: Техническое задание по договору CTR-S-BDT-2020-007</w:t>
      </w:r>
    </w:p>
    <w:p w14:paraId="7221A650" w14:textId="77777777" w:rsidR="004B77F6" w:rsidRPr="00694ACA" w:rsidRDefault="004B77F6" w:rsidP="004451CC">
      <w:pPr>
        <w:pStyle w:val="Heading3"/>
        <w:rPr>
          <w:rFonts w:cstheme="minorHAnsi"/>
          <w:lang w:val="ru-RU"/>
        </w:rPr>
      </w:pPr>
      <w:r w:rsidRPr="00694ACA">
        <w:rPr>
          <w:lang w:val="ru-RU"/>
        </w:rPr>
        <w:t>Базовая информация</w:t>
      </w:r>
    </w:p>
    <w:p w14:paraId="0FF6395C" w14:textId="3895274B" w:rsidR="004B77F6" w:rsidRPr="00694ACA" w:rsidRDefault="004B77F6" w:rsidP="004451CC">
      <w:pPr>
        <w:ind w:left="-284" w:right="-472"/>
        <w:rPr>
          <w:lang w:val="ru-RU"/>
        </w:rPr>
      </w:pPr>
      <w:r w:rsidRPr="00694ACA">
        <w:rPr>
          <w:lang w:val="ru-RU"/>
        </w:rPr>
        <w:t xml:space="preserve">Одной из основных функций МСЭ является укрепление потенциала в области развития цифровых технологий в соответствии с резолюциями ВКРЭ и Полномочной конференции. Этот мандат реализуется путем выполнения ряда программ и проектов, в том числе на базе платформы Академии МСЭ для электронного обучения, центров профессионального мастерства МСЭ, национальных и региональных семинаров-практикумов по </w:t>
      </w:r>
      <w:r w:rsidR="009421AE" w:rsidRPr="00694ACA">
        <w:rPr>
          <w:lang w:val="ru-RU"/>
        </w:rPr>
        <w:t>развитию потенциала</w:t>
      </w:r>
      <w:r w:rsidRPr="00694ACA">
        <w:rPr>
          <w:lang w:val="ru-RU"/>
        </w:rPr>
        <w:t xml:space="preserve">, а также в рамках других видов деятельности в области подготовки кадров, осуществляемой совместно с партнерами из частного сектора, академическими организациями и другими поставщиками услуг профессиональной подготовки. Мероприятия по </w:t>
      </w:r>
      <w:r w:rsidR="009421AE" w:rsidRPr="00694ACA">
        <w:rPr>
          <w:lang w:val="ru-RU"/>
        </w:rPr>
        <w:t>развитию потенциала</w:t>
      </w:r>
      <w:r w:rsidRPr="00694ACA">
        <w:rPr>
          <w:lang w:val="ru-RU"/>
        </w:rPr>
        <w:t xml:space="preserve"> охватывают все сферы работы МСЭ — от управления</w:t>
      </w:r>
      <w:r w:rsidR="003F2D84" w:rsidRPr="00694ACA">
        <w:rPr>
          <w:lang w:val="ru-RU"/>
        </w:rPr>
        <w:t xml:space="preserve"> использованием </w:t>
      </w:r>
      <w:r w:rsidRPr="00694ACA">
        <w:rPr>
          <w:lang w:val="ru-RU"/>
        </w:rPr>
        <w:t>спектр</w:t>
      </w:r>
      <w:r w:rsidR="003F2D84" w:rsidRPr="00694ACA">
        <w:rPr>
          <w:lang w:val="ru-RU"/>
        </w:rPr>
        <w:t>а</w:t>
      </w:r>
      <w:r w:rsidRPr="00694ACA">
        <w:rPr>
          <w:lang w:val="ru-RU"/>
        </w:rPr>
        <w:t xml:space="preserve">, беспроводной и фиксированной связи, </w:t>
      </w:r>
      <w:proofErr w:type="spellStart"/>
      <w:r w:rsidRPr="00694ACA">
        <w:rPr>
          <w:lang w:val="ru-RU"/>
        </w:rPr>
        <w:t>IoT</w:t>
      </w:r>
      <w:proofErr w:type="spellEnd"/>
      <w:r w:rsidRPr="00694ACA">
        <w:rPr>
          <w:lang w:val="ru-RU"/>
        </w:rPr>
        <w:t xml:space="preserve"> и цифрового радиовещания до кибербезопасности, цифровой экономики и инноваций, охвата цифровыми технологиями и связанных с интернетом вопросов политики. Мероприятия по </w:t>
      </w:r>
      <w:r w:rsidR="009421AE" w:rsidRPr="00694ACA">
        <w:rPr>
          <w:lang w:val="ru-RU"/>
        </w:rPr>
        <w:t>развитию потенциала</w:t>
      </w:r>
      <w:r w:rsidRPr="00694ACA">
        <w:rPr>
          <w:lang w:val="ru-RU"/>
        </w:rPr>
        <w:t xml:space="preserve"> прежде всего направлены на членов МСЭ, включая официальных должностных лиц, регуляторные органы, компании сектора электросвязи и ИКТ, а также других специалистов в области цифровых технологий и более широкое сообщество. </w:t>
      </w:r>
    </w:p>
    <w:p w14:paraId="74034048" w14:textId="58AA8D43" w:rsidR="004B77F6" w:rsidRPr="00694ACA" w:rsidRDefault="004B77F6" w:rsidP="004451CC">
      <w:pPr>
        <w:ind w:left="-284" w:right="-472"/>
        <w:rPr>
          <w:lang w:val="ru-RU"/>
        </w:rPr>
      </w:pPr>
      <w:r w:rsidRPr="00694ACA">
        <w:rPr>
          <w:lang w:val="ru-RU"/>
        </w:rPr>
        <w:t xml:space="preserve">Более подробная информация о работе МСЭ по </w:t>
      </w:r>
      <w:r w:rsidR="009421AE" w:rsidRPr="00694ACA">
        <w:rPr>
          <w:lang w:val="ru-RU"/>
        </w:rPr>
        <w:t>развитию потенциала</w:t>
      </w:r>
      <w:r w:rsidRPr="00694ACA">
        <w:rPr>
          <w:lang w:val="ru-RU"/>
        </w:rPr>
        <w:t xml:space="preserve"> приводится на веб-сайте МСЭ:</w:t>
      </w:r>
    </w:p>
    <w:p w14:paraId="3BC5FD66" w14:textId="5189411F" w:rsidR="004B77F6" w:rsidRPr="00694ACA" w:rsidRDefault="00D577E1" w:rsidP="004451CC">
      <w:pPr>
        <w:pStyle w:val="FootnoteText"/>
        <w:spacing w:before="120"/>
        <w:rPr>
          <w:rStyle w:val="Hyperlink"/>
          <w:sz w:val="20"/>
          <w:szCs w:val="22"/>
          <w:lang w:val="ru-RU"/>
        </w:rPr>
      </w:pPr>
      <w:hyperlink r:id="rId19" w:history="1">
        <w:r w:rsidR="004B77F6" w:rsidRPr="00694ACA">
          <w:rPr>
            <w:rStyle w:val="Hyperlink"/>
            <w:sz w:val="20"/>
            <w:szCs w:val="22"/>
            <w:lang w:val="ru-RU"/>
          </w:rPr>
          <w:t>https://www.itu.int/en/Pages/default.aspx</w:t>
        </w:r>
      </w:hyperlink>
    </w:p>
    <w:p w14:paraId="3596F39E" w14:textId="77777777" w:rsidR="004B77F6" w:rsidRPr="00694ACA" w:rsidRDefault="00D577E1" w:rsidP="004451CC">
      <w:pPr>
        <w:pStyle w:val="FootnoteText"/>
        <w:spacing w:before="120"/>
        <w:rPr>
          <w:rStyle w:val="Hyperlink"/>
          <w:sz w:val="20"/>
          <w:szCs w:val="22"/>
          <w:lang w:val="ru-RU"/>
        </w:rPr>
      </w:pPr>
      <w:hyperlink r:id="rId20" w:history="1">
        <w:r w:rsidR="004B77F6" w:rsidRPr="00694ACA">
          <w:rPr>
            <w:rStyle w:val="Hyperlink"/>
            <w:sz w:val="20"/>
            <w:szCs w:val="22"/>
            <w:lang w:val="ru-RU"/>
          </w:rPr>
          <w:t>https://www.itu.int/en/ITU-D/Pages/Regional-Presence.aspx</w:t>
        </w:r>
      </w:hyperlink>
    </w:p>
    <w:p w14:paraId="7B0CCBC3" w14:textId="77777777" w:rsidR="004B77F6" w:rsidRPr="00694ACA" w:rsidRDefault="00D577E1" w:rsidP="004451CC">
      <w:pPr>
        <w:pStyle w:val="FootnoteText"/>
        <w:spacing w:before="120"/>
        <w:rPr>
          <w:rStyle w:val="Hyperlink"/>
          <w:sz w:val="20"/>
          <w:szCs w:val="22"/>
          <w:lang w:val="ru-RU"/>
        </w:rPr>
      </w:pPr>
      <w:hyperlink r:id="rId21" w:history="1">
        <w:r w:rsidR="004B77F6" w:rsidRPr="00694ACA">
          <w:rPr>
            <w:rStyle w:val="Hyperlink"/>
            <w:sz w:val="20"/>
            <w:szCs w:val="22"/>
            <w:lang w:val="ru-RU"/>
          </w:rPr>
          <w:t>https://www.itu.int/en/events/Pages/Upcoming-Workshops-and-Seminars.aspx</w:t>
        </w:r>
      </w:hyperlink>
    </w:p>
    <w:p w14:paraId="34F1F01A" w14:textId="77777777" w:rsidR="004B77F6" w:rsidRPr="00694ACA" w:rsidRDefault="00D577E1" w:rsidP="004451CC">
      <w:pPr>
        <w:pStyle w:val="FootnoteText"/>
        <w:spacing w:before="120"/>
        <w:rPr>
          <w:rStyle w:val="Hyperlink"/>
          <w:sz w:val="20"/>
          <w:szCs w:val="22"/>
          <w:lang w:val="ru-RU"/>
        </w:rPr>
      </w:pPr>
      <w:hyperlink r:id="rId22" w:history="1">
        <w:r w:rsidR="004B77F6" w:rsidRPr="00694ACA">
          <w:rPr>
            <w:rStyle w:val="Hyperlink"/>
            <w:sz w:val="20"/>
            <w:szCs w:val="22"/>
            <w:lang w:val="ru-RU"/>
          </w:rPr>
          <w:t>https://academy.itu.int/</w:t>
        </w:r>
      </w:hyperlink>
    </w:p>
    <w:p w14:paraId="4094DD74" w14:textId="77777777" w:rsidR="004B77F6" w:rsidRPr="00694ACA" w:rsidRDefault="004B77F6" w:rsidP="004451CC">
      <w:pPr>
        <w:pStyle w:val="Heading3"/>
        <w:rPr>
          <w:rFonts w:cstheme="minorHAnsi"/>
          <w:lang w:val="ru-RU"/>
        </w:rPr>
      </w:pPr>
      <w:r w:rsidRPr="00694ACA">
        <w:rPr>
          <w:lang w:val="ru-RU"/>
        </w:rPr>
        <w:t>Мандат</w:t>
      </w:r>
    </w:p>
    <w:p w14:paraId="2A0073F9" w14:textId="0F235AB4" w:rsidR="004B77F6" w:rsidRPr="00694ACA" w:rsidRDefault="004B77F6" w:rsidP="004451CC">
      <w:pPr>
        <w:ind w:left="-284" w:right="-472"/>
        <w:rPr>
          <w:lang w:val="ru-RU"/>
        </w:rPr>
      </w:pPr>
      <w:r w:rsidRPr="00694ACA">
        <w:rPr>
          <w:lang w:val="ru-RU"/>
        </w:rPr>
        <w:t xml:space="preserve">Консультант проведет углубленный анализ и обзор текущих мероприятий по </w:t>
      </w:r>
      <w:r w:rsidR="009421AE" w:rsidRPr="00694ACA">
        <w:rPr>
          <w:lang w:val="ru-RU"/>
        </w:rPr>
        <w:t xml:space="preserve">профессиональной </w:t>
      </w:r>
      <w:r w:rsidRPr="00694ACA">
        <w:rPr>
          <w:lang w:val="ru-RU"/>
        </w:rPr>
        <w:t xml:space="preserve">подготовке и </w:t>
      </w:r>
      <w:r w:rsidR="009421AE" w:rsidRPr="00694ACA">
        <w:rPr>
          <w:lang w:val="ru-RU"/>
        </w:rPr>
        <w:t>развитию потенциала</w:t>
      </w:r>
      <w:r w:rsidRPr="00694ACA">
        <w:rPr>
          <w:lang w:val="ru-RU"/>
        </w:rPr>
        <w:t xml:space="preserve"> и даст оценку потребностей для организации института профессиональной подготовки при МСЭ (</w:t>
      </w:r>
      <w:r w:rsidR="006E72AD" w:rsidRPr="00694ACA">
        <w:rPr>
          <w:lang w:val="ru-RU"/>
        </w:rPr>
        <w:t>"</w:t>
      </w:r>
      <w:r w:rsidRPr="00694ACA">
        <w:rPr>
          <w:lang w:val="ru-RU"/>
        </w:rPr>
        <w:t>Исследование</w:t>
      </w:r>
      <w:r w:rsidR="006E72AD" w:rsidRPr="00694ACA">
        <w:rPr>
          <w:lang w:val="ru-RU"/>
        </w:rPr>
        <w:t>"</w:t>
      </w:r>
      <w:r w:rsidRPr="00694ACA">
        <w:rPr>
          <w:lang w:val="ru-RU"/>
        </w:rPr>
        <w:t xml:space="preserve">). </w:t>
      </w:r>
    </w:p>
    <w:p w14:paraId="6E6DE036" w14:textId="77777777" w:rsidR="004B77F6" w:rsidRPr="00694ACA" w:rsidRDefault="004B77F6" w:rsidP="004451CC">
      <w:pPr>
        <w:ind w:left="-284" w:right="-472"/>
        <w:rPr>
          <w:lang w:val="ru-RU"/>
        </w:rPr>
      </w:pPr>
      <w:r w:rsidRPr="00694ACA">
        <w:rPr>
          <w:lang w:val="ru-RU"/>
        </w:rPr>
        <w:t>Точнее, исследование должно охватывать следующие элементы:</w:t>
      </w:r>
    </w:p>
    <w:p w14:paraId="083F5FC5" w14:textId="77CDE645" w:rsidR="004B77F6" w:rsidRPr="00694ACA" w:rsidRDefault="004451CC" w:rsidP="004451CC">
      <w:pPr>
        <w:pStyle w:val="ListParagraph"/>
        <w:rPr>
          <w:b/>
          <w:bCs/>
          <w:lang w:val="ru-RU"/>
        </w:rPr>
      </w:pPr>
      <w:r w:rsidRPr="00694ACA">
        <w:rPr>
          <w:b/>
          <w:bCs/>
          <w:lang w:val="ru-RU"/>
        </w:rPr>
        <w:t>A</w:t>
      </w:r>
      <w:r w:rsidRPr="00694ACA">
        <w:rPr>
          <w:b/>
          <w:bCs/>
          <w:lang w:val="ru-RU"/>
        </w:rPr>
        <w:tab/>
      </w:r>
      <w:r w:rsidR="004B77F6" w:rsidRPr="00694ACA">
        <w:rPr>
          <w:b/>
          <w:bCs/>
          <w:lang w:val="ru-RU"/>
        </w:rPr>
        <w:t>Контекст и базовая информация</w:t>
      </w:r>
    </w:p>
    <w:p w14:paraId="0249CEA1" w14:textId="6C3953C2" w:rsidR="004B77F6" w:rsidRPr="00694ACA" w:rsidRDefault="004B77F6" w:rsidP="004451CC">
      <w:pPr>
        <w:pStyle w:val="ListParagraph"/>
        <w:spacing w:after="120"/>
        <w:contextualSpacing w:val="0"/>
        <w:rPr>
          <w:rFonts w:cstheme="minorHAnsi"/>
          <w:szCs w:val="22"/>
          <w:lang w:val="ru-RU"/>
        </w:rPr>
      </w:pPr>
      <w:r w:rsidRPr="00694ACA">
        <w:rPr>
          <w:lang w:val="ru-RU"/>
        </w:rPr>
        <w:t xml:space="preserve">Консультант проведет обзор существующих в мире программ/мероприятий по </w:t>
      </w:r>
      <w:r w:rsidR="009421AE" w:rsidRPr="00694ACA">
        <w:rPr>
          <w:lang w:val="ru-RU"/>
        </w:rPr>
        <w:t>развитию потенциала</w:t>
      </w:r>
      <w:r w:rsidRPr="00694ACA">
        <w:rPr>
          <w:lang w:val="ru-RU"/>
        </w:rPr>
        <w:t xml:space="preserve"> в области цифровых технологий, включая предлагаемые в рамках системы ООН (например, Банк технологий ООН) и соответствующими организациями частного сектора и другими важными участниками, используемые инструменты и платформы обучения, а также применяемые методы, и определит место подхода МСЭ к профессиональной подготовке и </w:t>
      </w:r>
      <w:r w:rsidR="009421AE" w:rsidRPr="00694ACA">
        <w:rPr>
          <w:lang w:val="ru-RU"/>
        </w:rPr>
        <w:t>развитию потенциала</w:t>
      </w:r>
      <w:r w:rsidRPr="00694ACA">
        <w:rPr>
          <w:lang w:val="ru-RU"/>
        </w:rPr>
        <w:t xml:space="preserve"> в глобальном контексте. Это, в том числе, предполагает обзор существующих бизнес-моделей предоставления услуг подготовки кадров, применяемых международными организациями и частными поставщиками услуг профессиональной подготовки (например, бесплатные, платные, виртуальные и т. п.).</w:t>
      </w:r>
    </w:p>
    <w:p w14:paraId="68F8E565" w14:textId="70D4B4FC" w:rsidR="004B77F6" w:rsidRPr="00694ACA" w:rsidRDefault="004451CC" w:rsidP="004451CC">
      <w:pPr>
        <w:pStyle w:val="ListParagraph"/>
        <w:rPr>
          <w:b/>
          <w:bCs/>
          <w:lang w:val="ru-RU"/>
        </w:rPr>
      </w:pPr>
      <w:r w:rsidRPr="00694ACA">
        <w:rPr>
          <w:b/>
          <w:bCs/>
          <w:lang w:val="ru-RU"/>
        </w:rPr>
        <w:t>B</w:t>
      </w:r>
      <w:r w:rsidRPr="00694ACA">
        <w:rPr>
          <w:b/>
          <w:bCs/>
          <w:lang w:val="ru-RU"/>
        </w:rPr>
        <w:tab/>
      </w:r>
      <w:r w:rsidR="004B77F6" w:rsidRPr="00694ACA">
        <w:rPr>
          <w:b/>
          <w:bCs/>
          <w:lang w:val="ru-RU"/>
        </w:rPr>
        <w:t xml:space="preserve">Анализ осуществляемой МСЭ деятельности по </w:t>
      </w:r>
      <w:r w:rsidR="009421AE" w:rsidRPr="00694ACA">
        <w:rPr>
          <w:b/>
          <w:bCs/>
          <w:lang w:val="ru-RU"/>
        </w:rPr>
        <w:t>развитию потенциала</w:t>
      </w:r>
    </w:p>
    <w:p w14:paraId="2F85491B" w14:textId="3A38E595" w:rsidR="004B77F6" w:rsidRPr="00694ACA" w:rsidRDefault="004B77F6" w:rsidP="004451CC">
      <w:pPr>
        <w:pStyle w:val="ListParagraph"/>
        <w:rPr>
          <w:lang w:val="ru-RU"/>
        </w:rPr>
      </w:pPr>
      <w:r w:rsidRPr="00694ACA">
        <w:rPr>
          <w:lang w:val="ru-RU"/>
        </w:rPr>
        <w:t xml:space="preserve">Консультант проведет анализ существующей деятельности по </w:t>
      </w:r>
      <w:r w:rsidR="009421AE" w:rsidRPr="00694ACA">
        <w:rPr>
          <w:lang w:val="ru-RU"/>
        </w:rPr>
        <w:t>развитию потенциала</w:t>
      </w:r>
      <w:r w:rsidRPr="00694ACA">
        <w:rPr>
          <w:lang w:val="ru-RU"/>
        </w:rPr>
        <w:t xml:space="preserve">, проводимой МСЭ (включая все три </w:t>
      </w:r>
      <w:r w:rsidR="003F2D84" w:rsidRPr="00694ACA">
        <w:rPr>
          <w:lang w:val="ru-RU"/>
        </w:rPr>
        <w:t xml:space="preserve">Бюро </w:t>
      </w:r>
      <w:r w:rsidRPr="00694ACA">
        <w:rPr>
          <w:lang w:val="ru-RU"/>
        </w:rPr>
        <w:t xml:space="preserve">и Генеральный секретариат, а также </w:t>
      </w:r>
      <w:r w:rsidR="003F2D84" w:rsidRPr="00694ACA">
        <w:rPr>
          <w:lang w:val="ru-RU"/>
        </w:rPr>
        <w:t xml:space="preserve">исследовательские </w:t>
      </w:r>
      <w:r w:rsidRPr="00694ACA">
        <w:rPr>
          <w:lang w:val="ru-RU"/>
        </w:rPr>
        <w:t>комиссии) и его партнерами, в том числе той деятельности, которая проводится в рамках Академии МСЭ и в партнерстве с сетью центров профессионального мастерства и другими поставщиками услуг профессиональной подготовки. Анализ будет охватывать как количественные, так и качественные аспекты деятельности и должен включать следующие моменты:</w:t>
      </w:r>
    </w:p>
    <w:p w14:paraId="27525C7D" w14:textId="77777777" w:rsidR="004B77F6" w:rsidRPr="00694ACA" w:rsidRDefault="004B77F6" w:rsidP="004451CC">
      <w:pPr>
        <w:pStyle w:val="Bulletspoint11"/>
        <w:ind w:left="1134" w:hanging="425"/>
        <w:rPr>
          <w:lang w:val="ru-RU"/>
        </w:rPr>
      </w:pPr>
      <w:r w:rsidRPr="00694ACA">
        <w:rPr>
          <w:lang w:val="ru-RU"/>
        </w:rPr>
        <w:t>типы семинаров-практикумов и курсов, целевые аудитории, используемый язык и финансовые модели;</w:t>
      </w:r>
    </w:p>
    <w:p w14:paraId="1DB2EC6C" w14:textId="77777777" w:rsidR="004B77F6" w:rsidRPr="00694ACA" w:rsidRDefault="004B77F6" w:rsidP="004451CC">
      <w:pPr>
        <w:pStyle w:val="Bulletspoint11"/>
        <w:ind w:left="1134" w:hanging="425"/>
        <w:rPr>
          <w:lang w:val="ru-RU"/>
        </w:rPr>
      </w:pPr>
      <w:r w:rsidRPr="00694ACA">
        <w:rPr>
          <w:lang w:val="ru-RU"/>
        </w:rPr>
        <w:t xml:space="preserve">качественная оценка методологии семинаров-практикумов и профессиональной подготовки, а также методов их организации; </w:t>
      </w:r>
    </w:p>
    <w:p w14:paraId="7424A9DF" w14:textId="13BCBD6D" w:rsidR="004B77F6" w:rsidRPr="00694ACA" w:rsidRDefault="004B77F6" w:rsidP="004451CC">
      <w:pPr>
        <w:pStyle w:val="Bulletspoint11"/>
        <w:ind w:left="1134" w:hanging="425"/>
        <w:rPr>
          <w:lang w:val="ru-RU"/>
        </w:rPr>
      </w:pPr>
      <w:r w:rsidRPr="00694ACA">
        <w:rPr>
          <w:lang w:val="ru-RU"/>
        </w:rPr>
        <w:lastRenderedPageBreak/>
        <w:t xml:space="preserve">оценка эффективности и результативности проведенных мероприятий по </w:t>
      </w:r>
      <w:r w:rsidR="009421AE" w:rsidRPr="00694ACA">
        <w:rPr>
          <w:lang w:val="ru-RU"/>
        </w:rPr>
        <w:t>развитию потенциала</w:t>
      </w:r>
      <w:r w:rsidRPr="00694ACA">
        <w:rPr>
          <w:lang w:val="ru-RU"/>
        </w:rPr>
        <w:t>;</w:t>
      </w:r>
    </w:p>
    <w:p w14:paraId="3D95CA85" w14:textId="77777777" w:rsidR="004B77F6" w:rsidRPr="00694ACA" w:rsidRDefault="004B77F6" w:rsidP="004451CC">
      <w:pPr>
        <w:pStyle w:val="Bulletspoint11"/>
        <w:ind w:left="1134" w:hanging="425"/>
        <w:rPr>
          <w:lang w:val="ru-RU"/>
        </w:rPr>
      </w:pPr>
      <w:r w:rsidRPr="00694ACA">
        <w:rPr>
          <w:lang w:val="ru-RU"/>
        </w:rPr>
        <w:t>перечень учебных материалов МСЭ, а также качественная оценка таких материалов;</w:t>
      </w:r>
    </w:p>
    <w:p w14:paraId="3687298F" w14:textId="58ACEF17" w:rsidR="004B77F6" w:rsidRPr="00694ACA" w:rsidRDefault="004B77F6" w:rsidP="004451CC">
      <w:pPr>
        <w:pStyle w:val="Bulletspoint11"/>
        <w:ind w:left="1134" w:hanging="425"/>
        <w:rPr>
          <w:lang w:val="ru-RU"/>
        </w:rPr>
      </w:pPr>
      <w:r w:rsidRPr="00694ACA">
        <w:rPr>
          <w:lang w:val="ru-RU"/>
        </w:rPr>
        <w:t xml:space="preserve">оценка финансовых и </w:t>
      </w:r>
      <w:r w:rsidR="003F2D84" w:rsidRPr="00694ACA">
        <w:rPr>
          <w:lang w:val="ru-RU"/>
        </w:rPr>
        <w:t>людских</w:t>
      </w:r>
      <w:r w:rsidRPr="00694ACA">
        <w:rPr>
          <w:lang w:val="ru-RU"/>
        </w:rPr>
        <w:t xml:space="preserve"> ресурсов, выделенных МСЭ.</w:t>
      </w:r>
    </w:p>
    <w:p w14:paraId="39B8DF28" w14:textId="3F122866" w:rsidR="004B77F6" w:rsidRPr="00694ACA" w:rsidRDefault="004451CC" w:rsidP="004451CC">
      <w:pPr>
        <w:pStyle w:val="ListParagraph"/>
        <w:spacing w:before="120"/>
        <w:rPr>
          <w:b/>
          <w:bCs/>
          <w:lang w:val="ru-RU"/>
        </w:rPr>
      </w:pPr>
      <w:r w:rsidRPr="00694ACA">
        <w:rPr>
          <w:b/>
          <w:bCs/>
          <w:lang w:val="ru-RU"/>
        </w:rPr>
        <w:t>C</w:t>
      </w:r>
      <w:r w:rsidRPr="00694ACA">
        <w:rPr>
          <w:b/>
          <w:bCs/>
          <w:lang w:val="ru-RU"/>
        </w:rPr>
        <w:tab/>
      </w:r>
      <w:r w:rsidR="004B77F6" w:rsidRPr="00694ACA">
        <w:rPr>
          <w:b/>
          <w:bCs/>
          <w:lang w:val="ru-RU"/>
        </w:rPr>
        <w:t>Существующие проблемы и направления, требующие совершенствования</w:t>
      </w:r>
    </w:p>
    <w:p w14:paraId="0455CCD7" w14:textId="13A99E19" w:rsidR="004B77F6" w:rsidRPr="00694ACA" w:rsidRDefault="004B77F6" w:rsidP="004451CC">
      <w:pPr>
        <w:pStyle w:val="ListParagraph"/>
        <w:spacing w:after="120"/>
        <w:contextualSpacing w:val="0"/>
        <w:rPr>
          <w:lang w:val="ru-RU"/>
        </w:rPr>
      </w:pPr>
      <w:r w:rsidRPr="00694ACA">
        <w:rPr>
          <w:lang w:val="ru-RU"/>
        </w:rPr>
        <w:t xml:space="preserve">На основании пунктов (1) и (2) выше консультант определит проблемы и направления, требующие совершенствования в плане организации профессиональной подготовки, включая рассматриваемые темы, целевую аудиторию и методологию проведения. При оценке будут принимать во внимание уже существующие на рынке варианты, предлагаемые другими учебными заведениями и аналогичными предприятиями, учрежденными в системе ООН или другими участниками, и определять основные конкурентные преимущества МСЭ и его рыночную нишу. Также будет изучаться вопрос о том, </w:t>
      </w:r>
      <w:r w:rsidR="006E72AD" w:rsidRPr="00694ACA">
        <w:rPr>
          <w:lang w:val="ru-RU"/>
        </w:rPr>
        <w:t>"</w:t>
      </w:r>
      <w:r w:rsidRPr="00694ACA">
        <w:rPr>
          <w:lang w:val="ru-RU"/>
        </w:rPr>
        <w:t>соответствует ли цели</w:t>
      </w:r>
      <w:r w:rsidR="006E72AD" w:rsidRPr="00694ACA">
        <w:rPr>
          <w:lang w:val="ru-RU"/>
        </w:rPr>
        <w:t>"</w:t>
      </w:r>
      <w:r w:rsidRPr="00694ACA">
        <w:rPr>
          <w:lang w:val="ru-RU"/>
        </w:rPr>
        <w:t xml:space="preserve"> деятельность МСЭ в области развития навыков и организации профессиональной подготовки.</w:t>
      </w:r>
    </w:p>
    <w:p w14:paraId="6A9FF645" w14:textId="34D57D52" w:rsidR="004B77F6" w:rsidRPr="00694ACA" w:rsidRDefault="004451CC" w:rsidP="004451CC">
      <w:pPr>
        <w:pStyle w:val="ListParagraph"/>
        <w:rPr>
          <w:b/>
          <w:bCs/>
          <w:lang w:val="ru-RU"/>
        </w:rPr>
      </w:pPr>
      <w:r w:rsidRPr="00694ACA">
        <w:rPr>
          <w:b/>
          <w:bCs/>
          <w:lang w:val="ru-RU"/>
        </w:rPr>
        <w:t>D</w:t>
      </w:r>
      <w:r w:rsidRPr="00694ACA">
        <w:rPr>
          <w:b/>
          <w:bCs/>
          <w:lang w:val="ru-RU"/>
        </w:rPr>
        <w:tab/>
      </w:r>
      <w:r w:rsidR="004B77F6" w:rsidRPr="00694ACA">
        <w:rPr>
          <w:b/>
          <w:bCs/>
          <w:lang w:val="ru-RU"/>
        </w:rPr>
        <w:t xml:space="preserve">Оценка потребности в новом институте </w:t>
      </w:r>
      <w:r w:rsidR="003F2D84" w:rsidRPr="00694ACA">
        <w:rPr>
          <w:b/>
          <w:bCs/>
          <w:lang w:val="ru-RU"/>
        </w:rPr>
        <w:t xml:space="preserve">профессиональной </w:t>
      </w:r>
      <w:r w:rsidR="004B77F6" w:rsidRPr="00694ACA">
        <w:rPr>
          <w:b/>
          <w:bCs/>
          <w:lang w:val="ru-RU"/>
        </w:rPr>
        <w:t>подготовки</w:t>
      </w:r>
    </w:p>
    <w:p w14:paraId="15B7AEAE" w14:textId="28D010DA" w:rsidR="004B77F6" w:rsidRPr="00694ACA" w:rsidRDefault="004B77F6" w:rsidP="004451CC">
      <w:pPr>
        <w:pStyle w:val="ListParagraph"/>
        <w:spacing w:after="120"/>
        <w:contextualSpacing w:val="0"/>
        <w:rPr>
          <w:lang w:val="ru-RU"/>
        </w:rPr>
      </w:pPr>
      <w:r w:rsidRPr="00694ACA">
        <w:rPr>
          <w:lang w:val="ru-RU"/>
        </w:rPr>
        <w:t xml:space="preserve">На основании пунктов (1) – (3) выше консультант проведет оценку потребности в учреждении нового института МСЭ по </w:t>
      </w:r>
      <w:r w:rsidR="003F2D84" w:rsidRPr="00694ACA">
        <w:rPr>
          <w:lang w:val="ru-RU"/>
        </w:rPr>
        <w:t xml:space="preserve">профессиональной </w:t>
      </w:r>
      <w:r w:rsidRPr="00694ACA">
        <w:rPr>
          <w:lang w:val="ru-RU"/>
        </w:rPr>
        <w:t xml:space="preserve">подготовке (физического и/или виртуального). Такая оценка будет включать обсуждение основных задач, сфер влияния, функций, методов организации и целевых групп такого института. Консультант далее рассмотрит, как такой новый институт может влиять или быть связанным с существующими мероприятиями по </w:t>
      </w:r>
      <w:r w:rsidR="009421AE" w:rsidRPr="00694ACA">
        <w:rPr>
          <w:lang w:val="ru-RU"/>
        </w:rPr>
        <w:t>развитию потенциала</w:t>
      </w:r>
      <w:r w:rsidRPr="00694ACA">
        <w:rPr>
          <w:lang w:val="ru-RU"/>
        </w:rPr>
        <w:t>, проводимыми МСЭ, включая те из них, которые организуются в рамках платформы Академии МСЭ, с целью исключения дублирования и объединения ресурсов.</w:t>
      </w:r>
    </w:p>
    <w:p w14:paraId="42B4F51E" w14:textId="286B11A7" w:rsidR="004B77F6" w:rsidRPr="00694ACA" w:rsidRDefault="004451CC" w:rsidP="004451CC">
      <w:pPr>
        <w:pStyle w:val="ListParagraph"/>
        <w:rPr>
          <w:b/>
          <w:bCs/>
          <w:lang w:val="ru-RU"/>
        </w:rPr>
      </w:pPr>
      <w:r w:rsidRPr="00694ACA">
        <w:rPr>
          <w:b/>
          <w:bCs/>
          <w:lang w:val="ru-RU"/>
        </w:rPr>
        <w:t>E</w:t>
      </w:r>
      <w:r w:rsidRPr="00694ACA">
        <w:rPr>
          <w:b/>
          <w:bCs/>
          <w:lang w:val="ru-RU"/>
        </w:rPr>
        <w:tab/>
      </w:r>
      <w:r w:rsidR="004B77F6" w:rsidRPr="00694ACA">
        <w:rPr>
          <w:b/>
          <w:bCs/>
          <w:lang w:val="ru-RU"/>
        </w:rPr>
        <w:t>Потребности в ресурсах и структура управления для нового института профессиональной подготовки</w:t>
      </w:r>
    </w:p>
    <w:p w14:paraId="332C6AAC" w14:textId="4EDB2C60" w:rsidR="004B77F6" w:rsidRPr="00694ACA" w:rsidRDefault="004B77F6" w:rsidP="004451CC">
      <w:pPr>
        <w:pStyle w:val="ListParagraph"/>
        <w:spacing w:after="120"/>
        <w:contextualSpacing w:val="0"/>
        <w:rPr>
          <w:lang w:val="ru-RU"/>
        </w:rPr>
      </w:pPr>
      <w:r w:rsidRPr="00694ACA">
        <w:rPr>
          <w:lang w:val="ru-RU"/>
        </w:rPr>
        <w:t>Консультант составит подробное предложение, описывающее человеческие и финансовые ресурсы, необходимые для учреждения, проведения деятельности и обслуживания института профессиональной подготовки МСЭ, опираясь на устойчивую бизнес-модель.</w:t>
      </w:r>
      <w:r w:rsidR="00A579EF">
        <w:rPr>
          <w:lang w:val="ru-RU"/>
        </w:rPr>
        <w:t xml:space="preserve"> </w:t>
      </w:r>
      <w:r w:rsidRPr="00694ACA">
        <w:rPr>
          <w:lang w:val="ru-RU"/>
        </w:rPr>
        <w:t xml:space="preserve">Консультант также разработает подробную структуру управления для такого института, учитывая роль МСЭ и других заинтересованных сторон. </w:t>
      </w:r>
    </w:p>
    <w:p w14:paraId="4A051C1B" w14:textId="0A814B47" w:rsidR="004B77F6" w:rsidRPr="00694ACA" w:rsidRDefault="004451CC" w:rsidP="004451CC">
      <w:pPr>
        <w:pStyle w:val="ListParagraph"/>
        <w:rPr>
          <w:b/>
          <w:bCs/>
          <w:lang w:val="ru-RU"/>
        </w:rPr>
      </w:pPr>
      <w:r w:rsidRPr="00694ACA">
        <w:rPr>
          <w:b/>
          <w:bCs/>
          <w:lang w:val="ru-RU"/>
        </w:rPr>
        <w:t>F</w:t>
      </w:r>
      <w:r w:rsidRPr="00694ACA">
        <w:rPr>
          <w:b/>
          <w:bCs/>
          <w:lang w:val="ru-RU"/>
        </w:rPr>
        <w:tab/>
      </w:r>
      <w:r w:rsidR="004B77F6" w:rsidRPr="00694ACA">
        <w:rPr>
          <w:b/>
          <w:bCs/>
          <w:lang w:val="ru-RU"/>
        </w:rPr>
        <w:t>Альтернативные варианты совершенствования работы МСЭ в области развития потенциала</w:t>
      </w:r>
    </w:p>
    <w:p w14:paraId="4114068F" w14:textId="714941FD" w:rsidR="004B77F6" w:rsidRPr="00694ACA" w:rsidRDefault="004B77F6" w:rsidP="004451CC">
      <w:pPr>
        <w:pStyle w:val="ListParagraph"/>
        <w:spacing w:after="120"/>
        <w:contextualSpacing w:val="0"/>
        <w:rPr>
          <w:lang w:val="ru-RU"/>
        </w:rPr>
      </w:pPr>
      <w:r w:rsidRPr="00694ACA">
        <w:rPr>
          <w:lang w:val="ru-RU"/>
        </w:rPr>
        <w:t xml:space="preserve">В дополнение к предложению по новому институту </w:t>
      </w:r>
      <w:r w:rsidR="003F2D84" w:rsidRPr="00694ACA">
        <w:rPr>
          <w:lang w:val="ru-RU"/>
        </w:rPr>
        <w:t xml:space="preserve">профессиональной </w:t>
      </w:r>
      <w:r w:rsidRPr="00694ACA">
        <w:rPr>
          <w:lang w:val="ru-RU"/>
        </w:rPr>
        <w:t xml:space="preserve">подготовки (см. пункты 4 и 5 выше) консультант должен представить альтернативные варианты укрепления работы МСЭ в области </w:t>
      </w:r>
      <w:r w:rsidR="00367DAA" w:rsidRPr="00694ACA">
        <w:rPr>
          <w:lang w:val="ru-RU"/>
        </w:rPr>
        <w:t>развития потенциала</w:t>
      </w:r>
      <w:r w:rsidRPr="00694ACA">
        <w:rPr>
          <w:lang w:val="ru-RU"/>
        </w:rPr>
        <w:t xml:space="preserve">, принимая во внимание существующие учебные программы, платформы и мероприятия. Такие варианты могут включать, среди прочего, учреждение партнерств с существующими институтами профессиональной подготовки (ООН, академические организации, частные предприятия), улучшение текущих программ реализации, внедрение новых стратегий профессиональной подготовки и обучения. По альтернативным вариантам/моделям необходимо предоставить требования по людским и финансовым ресурсам. </w:t>
      </w:r>
    </w:p>
    <w:p w14:paraId="67C2BE64" w14:textId="7D357446" w:rsidR="004B77F6" w:rsidRPr="00694ACA" w:rsidRDefault="004451CC" w:rsidP="004451CC">
      <w:pPr>
        <w:pStyle w:val="ListParagraph"/>
        <w:keepNext/>
        <w:rPr>
          <w:b/>
          <w:bCs/>
          <w:lang w:val="ru-RU"/>
        </w:rPr>
      </w:pPr>
      <w:r w:rsidRPr="00694ACA">
        <w:rPr>
          <w:b/>
          <w:bCs/>
          <w:lang w:val="ru-RU"/>
        </w:rPr>
        <w:t>G</w:t>
      </w:r>
      <w:r w:rsidRPr="00694ACA">
        <w:rPr>
          <w:b/>
          <w:bCs/>
          <w:lang w:val="ru-RU"/>
        </w:rPr>
        <w:tab/>
      </w:r>
      <w:r w:rsidR="004B77F6" w:rsidRPr="00694ACA">
        <w:rPr>
          <w:b/>
          <w:bCs/>
          <w:lang w:val="ru-RU"/>
        </w:rPr>
        <w:t>Рекомендации</w:t>
      </w:r>
    </w:p>
    <w:p w14:paraId="350EE5D5" w14:textId="77777777" w:rsidR="004B77F6" w:rsidRPr="00694ACA" w:rsidRDefault="004B77F6" w:rsidP="004451CC">
      <w:pPr>
        <w:pStyle w:val="ListParagraph"/>
        <w:spacing w:after="120"/>
        <w:contextualSpacing w:val="0"/>
        <w:rPr>
          <w:lang w:val="ru-RU"/>
        </w:rPr>
      </w:pPr>
      <w:r w:rsidRPr="00694ACA">
        <w:rPr>
          <w:lang w:val="ru-RU"/>
        </w:rPr>
        <w:t>На основании вышеизложенного консультант внесет рекомендации о дальнейшем направлении движения. Рекомендации должны принимать во внимание подход управления на основе результатов, которого придерживается МСЭ, и быть новаторскими (т. е. дополнять прежнюю работу, проведенную МСЭ в данной области (или отличаться от нее)).</w:t>
      </w:r>
    </w:p>
    <w:p w14:paraId="1793FE9D" w14:textId="77777777" w:rsidR="004B77F6" w:rsidRPr="00694ACA" w:rsidRDefault="004B77F6" w:rsidP="00A105CB">
      <w:pPr>
        <w:pStyle w:val="Heading2"/>
        <w:rPr>
          <w:lang w:val="ru-RU"/>
        </w:rPr>
      </w:pPr>
      <w:bookmarkStart w:id="412" w:name="_Toc61375562"/>
      <w:r w:rsidRPr="00694ACA">
        <w:rPr>
          <w:lang w:val="ru-RU"/>
        </w:rPr>
        <w:t>Приложение 2: Как структура отчета и применяемые методы обеспечивают реализацию ТЗ</w:t>
      </w:r>
      <w:bookmarkEnd w:id="412"/>
    </w:p>
    <w:tbl>
      <w:tblPr>
        <w:tblW w:w="10774" w:type="dxa"/>
        <w:tblInd w:w="-70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410"/>
        <w:gridCol w:w="1701"/>
        <w:gridCol w:w="1134"/>
        <w:gridCol w:w="1134"/>
        <w:gridCol w:w="1134"/>
        <w:gridCol w:w="851"/>
        <w:gridCol w:w="1276"/>
        <w:gridCol w:w="1134"/>
      </w:tblGrid>
      <w:tr w:rsidR="004B77F6" w:rsidRPr="00694ACA" w14:paraId="78B8E3AB" w14:textId="77777777" w:rsidTr="004451CC">
        <w:trPr>
          <w:cantSplit/>
          <w:trHeight w:val="1198"/>
        </w:trPr>
        <w:tc>
          <w:tcPr>
            <w:tcW w:w="2410" w:type="dxa"/>
            <w:tcBorders>
              <w:top w:val="nil"/>
              <w:left w:val="nil"/>
              <w:bottom w:val="single" w:sz="4" w:space="0" w:color="FFFFFF" w:themeColor="background1"/>
              <w:right w:val="single" w:sz="4" w:space="0" w:color="FFFFFF" w:themeColor="background1"/>
            </w:tcBorders>
            <w:shd w:val="clear" w:color="auto" w:fill="407C9B"/>
            <w:vAlign w:val="center"/>
          </w:tcPr>
          <w:p w14:paraId="239B8588" w14:textId="77777777" w:rsidR="004B77F6" w:rsidRPr="00694ACA" w:rsidRDefault="004B77F6" w:rsidP="004451CC">
            <w:pPr>
              <w:spacing w:after="0"/>
              <w:jc w:val="center"/>
              <w:rPr>
                <w:b/>
                <w:bCs/>
                <w:color w:val="FFFFFF" w:themeColor="background1"/>
                <w:sz w:val="16"/>
                <w:szCs w:val="16"/>
                <w:lang w:val="ru-RU"/>
              </w:rPr>
            </w:pPr>
            <w:r w:rsidRPr="00694ACA">
              <w:rPr>
                <w:b/>
                <w:color w:val="FFFFFF" w:themeColor="background1"/>
                <w:sz w:val="16"/>
                <w:szCs w:val="16"/>
                <w:lang w:val="ru-RU"/>
              </w:rPr>
              <w:t>Соответствующий элемент ТЗ</w:t>
            </w:r>
          </w:p>
        </w:tc>
        <w:tc>
          <w:tcPr>
            <w:tcW w:w="1701" w:type="dxa"/>
            <w:tcBorders>
              <w:top w:val="nil"/>
              <w:left w:val="single" w:sz="4" w:space="0" w:color="FFFFFF" w:themeColor="background1"/>
              <w:bottom w:val="single" w:sz="4" w:space="0" w:color="FFFFFF" w:themeColor="background1"/>
              <w:right w:val="single" w:sz="4" w:space="0" w:color="FFFFFF" w:themeColor="background1"/>
            </w:tcBorders>
            <w:shd w:val="clear" w:color="auto" w:fill="407C9B"/>
            <w:vAlign w:val="center"/>
          </w:tcPr>
          <w:p w14:paraId="205E8A99" w14:textId="0DA1E798" w:rsidR="004B77F6" w:rsidRPr="00694ACA" w:rsidRDefault="004B77F6" w:rsidP="004451CC">
            <w:pPr>
              <w:spacing w:after="0"/>
              <w:jc w:val="center"/>
              <w:rPr>
                <w:b/>
                <w:bCs/>
                <w:color w:val="FFFFFF" w:themeColor="background1"/>
                <w:sz w:val="16"/>
                <w:szCs w:val="16"/>
                <w:lang w:val="ru-RU"/>
              </w:rPr>
            </w:pPr>
            <w:r w:rsidRPr="00694ACA">
              <w:rPr>
                <w:b/>
                <w:color w:val="FFFFFF" w:themeColor="background1"/>
                <w:sz w:val="16"/>
                <w:szCs w:val="16"/>
                <w:lang w:val="ru-RU"/>
              </w:rPr>
              <w:t>Соответствующий раздел отчета</w:t>
            </w:r>
          </w:p>
        </w:tc>
        <w:tc>
          <w:tcPr>
            <w:tcW w:w="1134" w:type="dxa"/>
            <w:tcBorders>
              <w:top w:val="nil"/>
              <w:left w:val="single" w:sz="4" w:space="0" w:color="FFFFFF" w:themeColor="background1"/>
              <w:bottom w:val="single" w:sz="4" w:space="0" w:color="FFFFFF" w:themeColor="background1"/>
              <w:right w:val="single" w:sz="4" w:space="0" w:color="FFFFFF" w:themeColor="background1"/>
            </w:tcBorders>
            <w:shd w:val="clear" w:color="auto" w:fill="407C9B"/>
            <w:vAlign w:val="center"/>
          </w:tcPr>
          <w:p w14:paraId="65F7E167" w14:textId="173E7728" w:rsidR="004B77F6" w:rsidRPr="00694ACA" w:rsidRDefault="004B77F6" w:rsidP="004451CC">
            <w:pPr>
              <w:spacing w:after="0"/>
              <w:jc w:val="center"/>
              <w:rPr>
                <w:b/>
                <w:bCs/>
                <w:color w:val="FFFFFF" w:themeColor="background1"/>
                <w:sz w:val="16"/>
                <w:szCs w:val="16"/>
                <w:lang w:val="ru-RU"/>
              </w:rPr>
            </w:pPr>
            <w:r w:rsidRPr="00694ACA">
              <w:rPr>
                <w:b/>
                <w:color w:val="FFFFFF" w:themeColor="background1"/>
                <w:sz w:val="16"/>
                <w:szCs w:val="16"/>
                <w:lang w:val="ru-RU"/>
              </w:rPr>
              <w:t>Страницы отчета</w:t>
            </w:r>
          </w:p>
        </w:tc>
        <w:tc>
          <w:tcPr>
            <w:tcW w:w="1134" w:type="dxa"/>
            <w:tcBorders>
              <w:top w:val="nil"/>
              <w:left w:val="single" w:sz="4" w:space="0" w:color="FFFFFF" w:themeColor="background1"/>
              <w:bottom w:val="single" w:sz="4" w:space="0" w:color="FFFFFF" w:themeColor="background1"/>
              <w:right w:val="single" w:sz="4" w:space="0" w:color="FFFFFF" w:themeColor="background1"/>
            </w:tcBorders>
            <w:shd w:val="clear" w:color="auto" w:fill="407C9B"/>
            <w:vAlign w:val="center"/>
          </w:tcPr>
          <w:p w14:paraId="718F13BE" w14:textId="77777777" w:rsidR="004B77F6" w:rsidRPr="00694ACA" w:rsidRDefault="004B77F6" w:rsidP="004451CC">
            <w:pPr>
              <w:spacing w:after="0"/>
              <w:jc w:val="center"/>
              <w:rPr>
                <w:b/>
                <w:bCs/>
                <w:color w:val="FFFFFF" w:themeColor="background1"/>
                <w:sz w:val="16"/>
                <w:szCs w:val="16"/>
                <w:lang w:val="ru-RU"/>
              </w:rPr>
            </w:pPr>
            <w:r w:rsidRPr="00694ACA">
              <w:rPr>
                <w:b/>
                <w:color w:val="FFFFFF" w:themeColor="background1"/>
                <w:sz w:val="16"/>
                <w:szCs w:val="16"/>
                <w:lang w:val="ru-RU"/>
              </w:rPr>
              <w:t>Литература и онлайн-ресурсы</w:t>
            </w:r>
          </w:p>
        </w:tc>
        <w:tc>
          <w:tcPr>
            <w:tcW w:w="1134" w:type="dxa"/>
            <w:tcBorders>
              <w:top w:val="nil"/>
              <w:left w:val="single" w:sz="4" w:space="0" w:color="FFFFFF" w:themeColor="background1"/>
              <w:bottom w:val="single" w:sz="4" w:space="0" w:color="FFFFFF" w:themeColor="background1"/>
              <w:right w:val="single" w:sz="4" w:space="0" w:color="FFFFFF" w:themeColor="background1"/>
            </w:tcBorders>
            <w:shd w:val="clear" w:color="auto" w:fill="407C9B"/>
            <w:vAlign w:val="center"/>
          </w:tcPr>
          <w:p w14:paraId="18F54C5F" w14:textId="77777777" w:rsidR="004B77F6" w:rsidRPr="00694ACA" w:rsidRDefault="004B77F6" w:rsidP="004451CC">
            <w:pPr>
              <w:spacing w:after="0"/>
              <w:jc w:val="center"/>
              <w:rPr>
                <w:b/>
                <w:bCs/>
                <w:color w:val="FFFFFF" w:themeColor="background1"/>
                <w:sz w:val="16"/>
                <w:szCs w:val="16"/>
                <w:lang w:val="ru-RU"/>
              </w:rPr>
            </w:pPr>
            <w:r w:rsidRPr="00694ACA">
              <w:rPr>
                <w:b/>
                <w:color w:val="FFFFFF" w:themeColor="background1"/>
                <w:sz w:val="16"/>
                <w:szCs w:val="16"/>
                <w:lang w:val="ru-RU"/>
              </w:rPr>
              <w:t>Документы и веб-сайт МСЭ</w:t>
            </w:r>
          </w:p>
        </w:tc>
        <w:tc>
          <w:tcPr>
            <w:tcW w:w="851" w:type="dxa"/>
            <w:tcBorders>
              <w:top w:val="nil"/>
              <w:left w:val="single" w:sz="4" w:space="0" w:color="FFFFFF" w:themeColor="background1"/>
              <w:bottom w:val="single" w:sz="4" w:space="0" w:color="FFFFFF" w:themeColor="background1"/>
              <w:right w:val="single" w:sz="4" w:space="0" w:color="FFFFFF" w:themeColor="background1"/>
            </w:tcBorders>
            <w:shd w:val="clear" w:color="auto" w:fill="407C9B"/>
            <w:vAlign w:val="center"/>
          </w:tcPr>
          <w:p w14:paraId="157FA52B" w14:textId="77777777" w:rsidR="004B77F6" w:rsidRPr="00694ACA" w:rsidRDefault="004B77F6" w:rsidP="004451CC">
            <w:pPr>
              <w:spacing w:after="0"/>
              <w:jc w:val="center"/>
              <w:rPr>
                <w:b/>
                <w:bCs/>
                <w:color w:val="FFFFFF" w:themeColor="background1"/>
                <w:sz w:val="16"/>
                <w:szCs w:val="16"/>
                <w:lang w:val="ru-RU"/>
              </w:rPr>
            </w:pPr>
            <w:r w:rsidRPr="00694ACA">
              <w:rPr>
                <w:b/>
                <w:color w:val="FFFFFF" w:themeColor="background1"/>
                <w:sz w:val="16"/>
                <w:szCs w:val="16"/>
                <w:lang w:val="ru-RU"/>
              </w:rPr>
              <w:t>Опросы</w:t>
            </w:r>
          </w:p>
        </w:tc>
        <w:tc>
          <w:tcPr>
            <w:tcW w:w="1276" w:type="dxa"/>
            <w:tcBorders>
              <w:top w:val="nil"/>
              <w:left w:val="single" w:sz="4" w:space="0" w:color="FFFFFF" w:themeColor="background1"/>
              <w:bottom w:val="single" w:sz="4" w:space="0" w:color="FFFFFF" w:themeColor="background1"/>
              <w:right w:val="single" w:sz="4" w:space="0" w:color="FFFFFF" w:themeColor="background1"/>
            </w:tcBorders>
            <w:shd w:val="clear" w:color="auto" w:fill="407C9B"/>
            <w:vAlign w:val="center"/>
          </w:tcPr>
          <w:p w14:paraId="5CF00F21" w14:textId="1A1AD59A" w:rsidR="004B77F6" w:rsidRPr="00694ACA" w:rsidRDefault="003F2D84" w:rsidP="004451CC">
            <w:pPr>
              <w:spacing w:after="0"/>
              <w:jc w:val="center"/>
              <w:rPr>
                <w:b/>
                <w:bCs/>
                <w:color w:val="FFFFFF" w:themeColor="background1"/>
                <w:sz w:val="16"/>
                <w:szCs w:val="16"/>
                <w:lang w:val="ru-RU"/>
              </w:rPr>
            </w:pPr>
            <w:proofErr w:type="spellStart"/>
            <w:r w:rsidRPr="00694ACA">
              <w:rPr>
                <w:b/>
                <w:color w:val="FFFFFF" w:themeColor="background1"/>
                <w:sz w:val="16"/>
                <w:szCs w:val="16"/>
                <w:lang w:val="ru-RU"/>
              </w:rPr>
              <w:t>Дискуссион-ные</w:t>
            </w:r>
            <w:proofErr w:type="spellEnd"/>
            <w:r w:rsidRPr="00694ACA">
              <w:rPr>
                <w:b/>
                <w:color w:val="FFFFFF" w:themeColor="background1"/>
                <w:sz w:val="16"/>
                <w:szCs w:val="16"/>
                <w:lang w:val="ru-RU"/>
              </w:rPr>
              <w:t xml:space="preserve"> г</w:t>
            </w:r>
            <w:r w:rsidR="004B77F6" w:rsidRPr="00694ACA">
              <w:rPr>
                <w:b/>
                <w:color w:val="FFFFFF" w:themeColor="background1"/>
                <w:sz w:val="16"/>
                <w:szCs w:val="16"/>
                <w:lang w:val="ru-RU"/>
              </w:rPr>
              <w:t xml:space="preserve">руппы </w:t>
            </w:r>
          </w:p>
        </w:tc>
        <w:tc>
          <w:tcPr>
            <w:tcW w:w="1134" w:type="dxa"/>
            <w:tcBorders>
              <w:top w:val="nil"/>
              <w:left w:val="single" w:sz="4" w:space="0" w:color="FFFFFF" w:themeColor="background1"/>
              <w:bottom w:val="single" w:sz="4" w:space="0" w:color="FFFFFF" w:themeColor="background1"/>
              <w:right w:val="nil"/>
            </w:tcBorders>
            <w:shd w:val="clear" w:color="auto" w:fill="407C9B"/>
            <w:vAlign w:val="center"/>
          </w:tcPr>
          <w:p w14:paraId="00813AC9" w14:textId="77777777" w:rsidR="004B77F6" w:rsidRPr="00694ACA" w:rsidRDefault="004B77F6" w:rsidP="004451CC">
            <w:pPr>
              <w:spacing w:after="0"/>
              <w:jc w:val="center"/>
              <w:rPr>
                <w:b/>
                <w:bCs/>
                <w:color w:val="FFFFFF" w:themeColor="background1"/>
                <w:sz w:val="16"/>
                <w:szCs w:val="16"/>
                <w:lang w:val="ru-RU"/>
              </w:rPr>
            </w:pPr>
            <w:r w:rsidRPr="00694ACA">
              <w:rPr>
                <w:b/>
                <w:color w:val="FFFFFF" w:themeColor="background1"/>
                <w:sz w:val="16"/>
                <w:szCs w:val="16"/>
                <w:lang w:val="ru-RU"/>
              </w:rPr>
              <w:t>Интервью</w:t>
            </w:r>
          </w:p>
        </w:tc>
      </w:tr>
      <w:tr w:rsidR="004B77F6" w:rsidRPr="00694ACA" w14:paraId="47D2388B" w14:textId="77777777" w:rsidTr="00F221C0">
        <w:tc>
          <w:tcPr>
            <w:tcW w:w="2410" w:type="dxa"/>
            <w:tcBorders>
              <w:top w:val="single" w:sz="4" w:space="0" w:color="FFFFFF" w:themeColor="background1"/>
              <w:left w:val="single" w:sz="4" w:space="0" w:color="FFFFFF"/>
              <w:bottom w:val="single" w:sz="4" w:space="0" w:color="FFFFFF"/>
              <w:right w:val="single" w:sz="4" w:space="0" w:color="FFFFFF"/>
            </w:tcBorders>
            <w:shd w:val="clear" w:color="auto" w:fill="F2F2F2" w:themeFill="background1" w:themeFillShade="F2"/>
          </w:tcPr>
          <w:p w14:paraId="68030F3B" w14:textId="77777777" w:rsidR="004B77F6" w:rsidRPr="00694ACA" w:rsidRDefault="004B77F6" w:rsidP="00F221C0">
            <w:pPr>
              <w:spacing w:after="0"/>
              <w:rPr>
                <w:b/>
                <w:bCs/>
                <w:color w:val="407C9B"/>
                <w:sz w:val="16"/>
                <w:szCs w:val="16"/>
                <w:lang w:val="ru-RU"/>
              </w:rPr>
            </w:pPr>
            <w:r w:rsidRPr="00694ACA">
              <w:rPr>
                <w:b/>
                <w:color w:val="407C9B"/>
                <w:sz w:val="16"/>
                <w:szCs w:val="16"/>
                <w:lang w:val="ru-RU"/>
              </w:rPr>
              <w:t>Контекст и базовая информация, обзор текущей ситуации (А)</w:t>
            </w:r>
          </w:p>
        </w:tc>
        <w:tc>
          <w:tcPr>
            <w:tcW w:w="1701" w:type="dxa"/>
            <w:tcBorders>
              <w:top w:val="single" w:sz="4" w:space="0" w:color="FFFFFF" w:themeColor="background1"/>
              <w:left w:val="single" w:sz="4" w:space="0" w:color="FFFFFF"/>
              <w:bottom w:val="single" w:sz="4" w:space="0" w:color="FFFFFF"/>
              <w:right w:val="single" w:sz="4" w:space="0" w:color="FFFFFF"/>
            </w:tcBorders>
            <w:shd w:val="clear" w:color="auto" w:fill="F2F2F2" w:themeFill="background1" w:themeFillShade="F2"/>
          </w:tcPr>
          <w:p w14:paraId="586C3667" w14:textId="77777777" w:rsidR="004B77F6" w:rsidRPr="00694ACA" w:rsidRDefault="004B77F6" w:rsidP="00F221C0">
            <w:pPr>
              <w:spacing w:after="0"/>
              <w:rPr>
                <w:color w:val="407C9B"/>
                <w:sz w:val="16"/>
                <w:szCs w:val="16"/>
                <w:lang w:val="ru-RU"/>
              </w:rPr>
            </w:pPr>
            <w:r w:rsidRPr="00694ACA">
              <w:rPr>
                <w:color w:val="407C9B"/>
                <w:sz w:val="16"/>
                <w:szCs w:val="16"/>
                <w:lang w:val="ru-RU"/>
              </w:rPr>
              <w:t>Разделы 1, 2, 3 и 8</w:t>
            </w:r>
          </w:p>
        </w:tc>
        <w:tc>
          <w:tcPr>
            <w:tcW w:w="1134" w:type="dxa"/>
            <w:tcBorders>
              <w:top w:val="single" w:sz="4" w:space="0" w:color="FFFFFF" w:themeColor="background1"/>
              <w:left w:val="single" w:sz="4" w:space="0" w:color="FFFFFF"/>
              <w:bottom w:val="single" w:sz="4" w:space="0" w:color="FFFFFF"/>
              <w:right w:val="single" w:sz="4" w:space="0" w:color="FFFFFF"/>
            </w:tcBorders>
            <w:shd w:val="clear" w:color="auto" w:fill="auto"/>
          </w:tcPr>
          <w:p w14:paraId="4A7003CE" w14:textId="77777777" w:rsidR="004B77F6" w:rsidRPr="00694ACA" w:rsidRDefault="004B77F6" w:rsidP="00F221C0">
            <w:pPr>
              <w:spacing w:after="0"/>
              <w:rPr>
                <w:sz w:val="16"/>
                <w:szCs w:val="16"/>
                <w:lang w:val="ru-RU"/>
              </w:rPr>
            </w:pPr>
            <w:r w:rsidRPr="00694ACA">
              <w:rPr>
                <w:sz w:val="16"/>
                <w:szCs w:val="16"/>
                <w:lang w:val="ru-RU"/>
              </w:rPr>
              <w:t xml:space="preserve">10 страниц </w:t>
            </w:r>
          </w:p>
        </w:tc>
        <w:tc>
          <w:tcPr>
            <w:tcW w:w="1134" w:type="dxa"/>
            <w:tcBorders>
              <w:top w:val="single" w:sz="4" w:space="0" w:color="FFFFFF" w:themeColor="background1"/>
              <w:left w:val="single" w:sz="4" w:space="0" w:color="FFFFFF"/>
              <w:bottom w:val="single" w:sz="4" w:space="0" w:color="FFFFFF"/>
              <w:right w:val="single" w:sz="4" w:space="0" w:color="FFFFFF"/>
            </w:tcBorders>
            <w:shd w:val="clear" w:color="auto" w:fill="A6A6A6" w:themeFill="background1" w:themeFillShade="A6"/>
          </w:tcPr>
          <w:p w14:paraId="464ECF60" w14:textId="77777777" w:rsidR="004B77F6" w:rsidRPr="00694ACA" w:rsidRDefault="004B77F6" w:rsidP="00F221C0">
            <w:pPr>
              <w:spacing w:after="0"/>
              <w:rPr>
                <w:sz w:val="18"/>
                <w:szCs w:val="18"/>
                <w:lang w:val="ru-RU"/>
              </w:rPr>
            </w:pPr>
          </w:p>
        </w:tc>
        <w:tc>
          <w:tcPr>
            <w:tcW w:w="1134" w:type="dxa"/>
            <w:tcBorders>
              <w:top w:val="single" w:sz="4" w:space="0" w:color="FFFFFF" w:themeColor="background1"/>
              <w:left w:val="single" w:sz="4" w:space="0" w:color="FFFFFF"/>
              <w:bottom w:val="single" w:sz="4" w:space="0" w:color="FFFFFF"/>
              <w:right w:val="single" w:sz="4" w:space="0" w:color="FFFFFF"/>
            </w:tcBorders>
            <w:shd w:val="clear" w:color="auto" w:fill="A6A6A6" w:themeFill="background1" w:themeFillShade="A6"/>
          </w:tcPr>
          <w:p w14:paraId="58767209" w14:textId="77777777" w:rsidR="004B77F6" w:rsidRPr="00694ACA" w:rsidRDefault="004B77F6" w:rsidP="00F221C0">
            <w:pPr>
              <w:spacing w:after="0"/>
              <w:rPr>
                <w:sz w:val="18"/>
                <w:szCs w:val="18"/>
                <w:lang w:val="ru-RU"/>
              </w:rPr>
            </w:pPr>
          </w:p>
        </w:tc>
        <w:tc>
          <w:tcPr>
            <w:tcW w:w="851" w:type="dxa"/>
            <w:tcBorders>
              <w:top w:val="single" w:sz="4" w:space="0" w:color="FFFFFF" w:themeColor="background1"/>
              <w:left w:val="single" w:sz="4" w:space="0" w:color="FFFFFF"/>
              <w:bottom w:val="single" w:sz="4" w:space="0" w:color="FFFFFF"/>
              <w:right w:val="single" w:sz="4" w:space="0" w:color="FFFFFF"/>
            </w:tcBorders>
            <w:shd w:val="clear" w:color="auto" w:fill="D9D9D9" w:themeFill="background1" w:themeFillShade="D9"/>
          </w:tcPr>
          <w:p w14:paraId="5301AD24" w14:textId="77777777" w:rsidR="004B77F6" w:rsidRPr="00694ACA" w:rsidRDefault="004B77F6" w:rsidP="00F221C0">
            <w:pPr>
              <w:spacing w:after="0"/>
              <w:rPr>
                <w:sz w:val="18"/>
                <w:szCs w:val="18"/>
                <w:lang w:val="ru-RU"/>
              </w:rPr>
            </w:pPr>
          </w:p>
        </w:tc>
        <w:tc>
          <w:tcPr>
            <w:tcW w:w="1276" w:type="dxa"/>
            <w:tcBorders>
              <w:top w:val="single" w:sz="4" w:space="0" w:color="FFFFFF" w:themeColor="background1"/>
              <w:left w:val="single" w:sz="4" w:space="0" w:color="FFFFFF"/>
              <w:bottom w:val="single" w:sz="4" w:space="0" w:color="FFFFFF"/>
              <w:right w:val="single" w:sz="4" w:space="0" w:color="FFFFFF"/>
            </w:tcBorders>
            <w:shd w:val="clear" w:color="auto" w:fill="D9D9D9" w:themeFill="background1" w:themeFillShade="D9"/>
          </w:tcPr>
          <w:p w14:paraId="025C312C" w14:textId="77777777" w:rsidR="004B77F6" w:rsidRPr="00694ACA" w:rsidRDefault="004B77F6" w:rsidP="00F221C0">
            <w:pPr>
              <w:spacing w:after="0"/>
              <w:rPr>
                <w:sz w:val="18"/>
                <w:szCs w:val="18"/>
                <w:lang w:val="ru-RU"/>
              </w:rPr>
            </w:pPr>
          </w:p>
        </w:tc>
        <w:tc>
          <w:tcPr>
            <w:tcW w:w="1134" w:type="dxa"/>
            <w:tcBorders>
              <w:top w:val="single" w:sz="4" w:space="0" w:color="FFFFFF" w:themeColor="background1"/>
              <w:left w:val="single" w:sz="4" w:space="0" w:color="FFFFFF"/>
              <w:bottom w:val="single" w:sz="4" w:space="0" w:color="FFFFFF"/>
              <w:right w:val="single" w:sz="4" w:space="0" w:color="FFFFFF"/>
            </w:tcBorders>
            <w:shd w:val="clear" w:color="auto" w:fill="D9D9D9" w:themeFill="background1" w:themeFillShade="D9"/>
          </w:tcPr>
          <w:p w14:paraId="25D71876" w14:textId="77777777" w:rsidR="004B77F6" w:rsidRPr="00694ACA" w:rsidRDefault="004B77F6" w:rsidP="00F221C0">
            <w:pPr>
              <w:spacing w:after="0"/>
              <w:rPr>
                <w:sz w:val="18"/>
                <w:szCs w:val="18"/>
                <w:lang w:val="ru-RU"/>
              </w:rPr>
            </w:pPr>
          </w:p>
        </w:tc>
      </w:tr>
      <w:tr w:rsidR="004B77F6" w:rsidRPr="00694ACA" w14:paraId="037CF45C" w14:textId="77777777" w:rsidTr="00F221C0">
        <w:tc>
          <w:tcPr>
            <w:tcW w:w="2410"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66CFF686" w14:textId="0AA2DC98" w:rsidR="004B77F6" w:rsidRPr="00694ACA" w:rsidRDefault="004B77F6" w:rsidP="00F221C0">
            <w:pPr>
              <w:spacing w:after="0"/>
              <w:rPr>
                <w:b/>
                <w:bCs/>
                <w:color w:val="407C9B"/>
                <w:sz w:val="16"/>
                <w:szCs w:val="16"/>
                <w:lang w:val="ru-RU"/>
              </w:rPr>
            </w:pPr>
            <w:r w:rsidRPr="00694ACA">
              <w:rPr>
                <w:b/>
                <w:color w:val="407C9B"/>
                <w:sz w:val="16"/>
                <w:szCs w:val="16"/>
                <w:lang w:val="ru-RU"/>
              </w:rPr>
              <w:lastRenderedPageBreak/>
              <w:t xml:space="preserve">Анализ осуществляемой МСЭ деятельности по </w:t>
            </w:r>
            <w:r w:rsidR="009421AE" w:rsidRPr="00694ACA">
              <w:rPr>
                <w:b/>
                <w:color w:val="407C9B"/>
                <w:sz w:val="16"/>
                <w:szCs w:val="16"/>
                <w:lang w:val="ru-RU"/>
              </w:rPr>
              <w:t>развитию потенциала</w:t>
            </w:r>
            <w:r w:rsidRPr="00694ACA">
              <w:rPr>
                <w:b/>
                <w:color w:val="407C9B"/>
                <w:sz w:val="16"/>
                <w:szCs w:val="16"/>
                <w:lang w:val="ru-RU"/>
              </w:rPr>
              <w:t xml:space="preserve"> (B)</w:t>
            </w:r>
          </w:p>
        </w:tc>
        <w:tc>
          <w:tcPr>
            <w:tcW w:w="1701"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53315E33" w14:textId="77777777" w:rsidR="004B77F6" w:rsidRPr="00694ACA" w:rsidRDefault="004B77F6" w:rsidP="00F221C0">
            <w:pPr>
              <w:spacing w:after="0"/>
              <w:rPr>
                <w:color w:val="407C9B"/>
                <w:sz w:val="16"/>
                <w:szCs w:val="16"/>
                <w:lang w:val="ru-RU"/>
              </w:rPr>
            </w:pPr>
            <w:r w:rsidRPr="00694ACA">
              <w:rPr>
                <w:color w:val="407C9B"/>
                <w:sz w:val="16"/>
                <w:szCs w:val="16"/>
                <w:lang w:val="ru-RU"/>
              </w:rPr>
              <w:t>Разделы 4 и 6</w:t>
            </w:r>
          </w:p>
        </w:tc>
        <w:tc>
          <w:tcPr>
            <w:tcW w:w="1134" w:type="dxa"/>
            <w:tcBorders>
              <w:top w:val="single" w:sz="4" w:space="0" w:color="FFFFFF"/>
              <w:left w:val="single" w:sz="4" w:space="0" w:color="FFFFFF"/>
              <w:bottom w:val="single" w:sz="4" w:space="0" w:color="FFFFFF"/>
              <w:right w:val="single" w:sz="4" w:space="0" w:color="FFFFFF"/>
            </w:tcBorders>
            <w:shd w:val="clear" w:color="auto" w:fill="auto"/>
          </w:tcPr>
          <w:p w14:paraId="662C707E" w14:textId="747B6664" w:rsidR="004B77F6" w:rsidRPr="00694ACA" w:rsidRDefault="004B77F6" w:rsidP="00F221C0">
            <w:pPr>
              <w:spacing w:after="0"/>
              <w:rPr>
                <w:sz w:val="16"/>
                <w:szCs w:val="16"/>
                <w:lang w:val="ru-RU"/>
              </w:rPr>
            </w:pPr>
            <w:r w:rsidRPr="00694ACA">
              <w:rPr>
                <w:sz w:val="16"/>
                <w:szCs w:val="16"/>
                <w:lang w:val="ru-RU"/>
              </w:rPr>
              <w:t xml:space="preserve">10 страниц </w:t>
            </w:r>
          </w:p>
        </w:tc>
        <w:tc>
          <w:tcPr>
            <w:tcW w:w="1134"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51E4920D" w14:textId="77777777" w:rsidR="004B77F6" w:rsidRPr="00694ACA" w:rsidRDefault="004B77F6" w:rsidP="00F221C0">
            <w:pPr>
              <w:spacing w:after="0"/>
              <w:rPr>
                <w:sz w:val="18"/>
                <w:szCs w:val="18"/>
                <w:lang w:val="ru-RU"/>
              </w:rPr>
            </w:pPr>
          </w:p>
        </w:tc>
        <w:tc>
          <w:tcPr>
            <w:tcW w:w="1134" w:type="dxa"/>
            <w:tcBorders>
              <w:top w:val="single" w:sz="4" w:space="0" w:color="FFFFFF"/>
              <w:left w:val="single" w:sz="4" w:space="0" w:color="FFFFFF"/>
              <w:bottom w:val="single" w:sz="4" w:space="0" w:color="FFFFFF"/>
              <w:right w:val="single" w:sz="4" w:space="0" w:color="FFFFFF"/>
            </w:tcBorders>
            <w:shd w:val="clear" w:color="auto" w:fill="595959" w:themeFill="text1" w:themeFillTint="A6"/>
          </w:tcPr>
          <w:p w14:paraId="48C3D55D" w14:textId="77777777" w:rsidR="004B77F6" w:rsidRPr="00694ACA" w:rsidRDefault="004B77F6" w:rsidP="00F221C0">
            <w:pPr>
              <w:spacing w:after="0"/>
              <w:rPr>
                <w:sz w:val="18"/>
                <w:szCs w:val="18"/>
                <w:lang w:val="ru-RU"/>
              </w:rPr>
            </w:pPr>
          </w:p>
        </w:tc>
        <w:tc>
          <w:tcPr>
            <w:tcW w:w="851"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1BDD260E" w14:textId="77777777" w:rsidR="004B77F6" w:rsidRPr="00694ACA" w:rsidRDefault="004B77F6" w:rsidP="00F221C0">
            <w:pPr>
              <w:spacing w:after="0"/>
              <w:rPr>
                <w:sz w:val="18"/>
                <w:szCs w:val="18"/>
                <w:lang w:val="ru-RU"/>
              </w:rPr>
            </w:pPr>
          </w:p>
        </w:tc>
        <w:tc>
          <w:tcPr>
            <w:tcW w:w="1276"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0E09B5B0" w14:textId="77777777" w:rsidR="004B77F6" w:rsidRPr="00694ACA" w:rsidRDefault="004B77F6" w:rsidP="00F221C0">
            <w:pPr>
              <w:spacing w:after="0"/>
              <w:rPr>
                <w:sz w:val="18"/>
                <w:szCs w:val="18"/>
                <w:lang w:val="ru-RU"/>
              </w:rPr>
            </w:pPr>
          </w:p>
        </w:tc>
        <w:tc>
          <w:tcPr>
            <w:tcW w:w="1134"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258BE92C" w14:textId="77777777" w:rsidR="004B77F6" w:rsidRPr="00694ACA" w:rsidRDefault="004B77F6" w:rsidP="00F221C0">
            <w:pPr>
              <w:spacing w:after="0"/>
              <w:rPr>
                <w:sz w:val="18"/>
                <w:szCs w:val="18"/>
                <w:lang w:val="ru-RU"/>
              </w:rPr>
            </w:pPr>
          </w:p>
        </w:tc>
      </w:tr>
      <w:tr w:rsidR="004B77F6" w:rsidRPr="00694ACA" w14:paraId="109E19D2" w14:textId="77777777" w:rsidTr="00F221C0">
        <w:tc>
          <w:tcPr>
            <w:tcW w:w="2410"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6BB729D0" w14:textId="77777777" w:rsidR="004B77F6" w:rsidRPr="00694ACA" w:rsidRDefault="004B77F6" w:rsidP="00F221C0">
            <w:pPr>
              <w:spacing w:after="0"/>
              <w:rPr>
                <w:b/>
                <w:bCs/>
                <w:color w:val="407C9B"/>
                <w:sz w:val="16"/>
                <w:szCs w:val="16"/>
                <w:lang w:val="ru-RU"/>
              </w:rPr>
            </w:pPr>
            <w:r w:rsidRPr="00694ACA">
              <w:rPr>
                <w:b/>
                <w:color w:val="407C9B"/>
                <w:sz w:val="16"/>
                <w:szCs w:val="16"/>
                <w:lang w:val="ru-RU"/>
              </w:rPr>
              <w:t>Существующие проблемы и направления, требующие совершенствования (C)</w:t>
            </w:r>
          </w:p>
        </w:tc>
        <w:tc>
          <w:tcPr>
            <w:tcW w:w="1701"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6CCBF9D6" w14:textId="77777777" w:rsidR="004B77F6" w:rsidRPr="00694ACA" w:rsidRDefault="004B77F6" w:rsidP="00F221C0">
            <w:pPr>
              <w:spacing w:after="0"/>
              <w:rPr>
                <w:color w:val="407C9B"/>
                <w:sz w:val="16"/>
                <w:szCs w:val="16"/>
                <w:lang w:val="ru-RU"/>
              </w:rPr>
            </w:pPr>
            <w:r w:rsidRPr="00694ACA">
              <w:rPr>
                <w:color w:val="407C9B"/>
                <w:sz w:val="16"/>
                <w:szCs w:val="16"/>
                <w:lang w:val="ru-RU"/>
              </w:rPr>
              <w:t xml:space="preserve">Разделы 5 и 7 (и 8) </w:t>
            </w:r>
          </w:p>
        </w:tc>
        <w:tc>
          <w:tcPr>
            <w:tcW w:w="1134" w:type="dxa"/>
            <w:tcBorders>
              <w:top w:val="single" w:sz="4" w:space="0" w:color="FFFFFF"/>
              <w:left w:val="single" w:sz="4" w:space="0" w:color="FFFFFF"/>
              <w:bottom w:val="single" w:sz="4" w:space="0" w:color="FFFFFF"/>
              <w:right w:val="single" w:sz="4" w:space="0" w:color="FFFFFF"/>
            </w:tcBorders>
            <w:shd w:val="clear" w:color="auto" w:fill="auto"/>
          </w:tcPr>
          <w:p w14:paraId="683C6886" w14:textId="77777777" w:rsidR="004B77F6" w:rsidRPr="00694ACA" w:rsidRDefault="004B77F6" w:rsidP="00F221C0">
            <w:pPr>
              <w:spacing w:after="0"/>
              <w:rPr>
                <w:sz w:val="16"/>
                <w:szCs w:val="16"/>
                <w:lang w:val="ru-RU"/>
              </w:rPr>
            </w:pPr>
            <w:r w:rsidRPr="00694ACA">
              <w:rPr>
                <w:sz w:val="16"/>
                <w:szCs w:val="16"/>
                <w:lang w:val="ru-RU"/>
              </w:rPr>
              <w:t>5 страниц</w:t>
            </w:r>
          </w:p>
        </w:tc>
        <w:tc>
          <w:tcPr>
            <w:tcW w:w="1134"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7082B82A" w14:textId="77777777" w:rsidR="004B77F6" w:rsidRPr="00694ACA" w:rsidRDefault="004B77F6" w:rsidP="00F221C0">
            <w:pPr>
              <w:spacing w:after="0"/>
              <w:rPr>
                <w:sz w:val="18"/>
                <w:szCs w:val="18"/>
                <w:lang w:val="ru-RU"/>
              </w:rPr>
            </w:pPr>
          </w:p>
        </w:tc>
        <w:tc>
          <w:tcPr>
            <w:tcW w:w="1134"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61E01B24" w14:textId="77777777" w:rsidR="004B77F6" w:rsidRPr="00694ACA" w:rsidRDefault="004B77F6" w:rsidP="00F221C0">
            <w:pPr>
              <w:spacing w:after="0"/>
              <w:rPr>
                <w:sz w:val="18"/>
                <w:szCs w:val="18"/>
                <w:lang w:val="ru-RU"/>
              </w:rPr>
            </w:pPr>
          </w:p>
        </w:tc>
        <w:tc>
          <w:tcPr>
            <w:tcW w:w="851" w:type="dxa"/>
            <w:tcBorders>
              <w:top w:val="single" w:sz="4" w:space="0" w:color="FFFFFF"/>
              <w:left w:val="single" w:sz="4" w:space="0" w:color="FFFFFF"/>
              <w:bottom w:val="single" w:sz="4" w:space="0" w:color="FFFFFF"/>
              <w:right w:val="single" w:sz="4" w:space="0" w:color="FFFFFF"/>
            </w:tcBorders>
            <w:shd w:val="clear" w:color="auto" w:fill="595959" w:themeFill="text1" w:themeFillTint="A6"/>
          </w:tcPr>
          <w:p w14:paraId="6D7E25E4" w14:textId="77777777" w:rsidR="004B77F6" w:rsidRPr="00694ACA" w:rsidRDefault="004B77F6" w:rsidP="00F221C0">
            <w:pPr>
              <w:spacing w:after="0"/>
              <w:rPr>
                <w:sz w:val="18"/>
                <w:szCs w:val="18"/>
                <w:lang w:val="ru-RU"/>
              </w:rPr>
            </w:pPr>
          </w:p>
        </w:tc>
        <w:tc>
          <w:tcPr>
            <w:tcW w:w="1276" w:type="dxa"/>
            <w:tcBorders>
              <w:top w:val="single" w:sz="4" w:space="0" w:color="FFFFFF"/>
              <w:left w:val="single" w:sz="4" w:space="0" w:color="FFFFFF"/>
              <w:bottom w:val="single" w:sz="4" w:space="0" w:color="FFFFFF"/>
              <w:right w:val="single" w:sz="4" w:space="0" w:color="FFFFFF"/>
            </w:tcBorders>
            <w:shd w:val="clear" w:color="auto" w:fill="595959" w:themeFill="text1" w:themeFillTint="A6"/>
          </w:tcPr>
          <w:p w14:paraId="1B8098A9" w14:textId="77777777" w:rsidR="004B77F6" w:rsidRPr="00694ACA" w:rsidRDefault="004B77F6" w:rsidP="00F221C0">
            <w:pPr>
              <w:spacing w:after="0"/>
              <w:rPr>
                <w:sz w:val="18"/>
                <w:szCs w:val="18"/>
                <w:lang w:val="ru-RU"/>
              </w:rPr>
            </w:pPr>
          </w:p>
        </w:tc>
        <w:tc>
          <w:tcPr>
            <w:tcW w:w="1134" w:type="dxa"/>
            <w:tcBorders>
              <w:top w:val="single" w:sz="4" w:space="0" w:color="FFFFFF"/>
              <w:left w:val="single" w:sz="4" w:space="0" w:color="FFFFFF"/>
              <w:bottom w:val="single" w:sz="4" w:space="0" w:color="FFFFFF"/>
              <w:right w:val="single" w:sz="4" w:space="0" w:color="FFFFFF"/>
            </w:tcBorders>
            <w:shd w:val="clear" w:color="auto" w:fill="595959" w:themeFill="text1" w:themeFillTint="A6"/>
          </w:tcPr>
          <w:p w14:paraId="2F6D568D" w14:textId="77777777" w:rsidR="004B77F6" w:rsidRPr="00694ACA" w:rsidRDefault="004B77F6" w:rsidP="00F221C0">
            <w:pPr>
              <w:spacing w:after="0"/>
              <w:rPr>
                <w:sz w:val="18"/>
                <w:szCs w:val="18"/>
                <w:lang w:val="ru-RU"/>
              </w:rPr>
            </w:pPr>
          </w:p>
        </w:tc>
      </w:tr>
      <w:tr w:rsidR="004B77F6" w:rsidRPr="00694ACA" w14:paraId="4FA3A724" w14:textId="77777777" w:rsidTr="00F221C0">
        <w:tc>
          <w:tcPr>
            <w:tcW w:w="2410"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1C51426A" w14:textId="4AFAEE03" w:rsidR="004B77F6" w:rsidRPr="00694ACA" w:rsidRDefault="004B77F6" w:rsidP="00F221C0">
            <w:pPr>
              <w:spacing w:after="0"/>
              <w:rPr>
                <w:b/>
                <w:bCs/>
                <w:color w:val="407C9B"/>
                <w:sz w:val="16"/>
                <w:szCs w:val="16"/>
                <w:lang w:val="ru-RU"/>
              </w:rPr>
            </w:pPr>
            <w:r w:rsidRPr="00694ACA">
              <w:rPr>
                <w:b/>
                <w:color w:val="407C9B"/>
                <w:sz w:val="16"/>
                <w:szCs w:val="16"/>
                <w:lang w:val="ru-RU"/>
              </w:rPr>
              <w:t xml:space="preserve">Оценка потребности в новом институте </w:t>
            </w:r>
            <w:r w:rsidR="003F2D84" w:rsidRPr="00694ACA">
              <w:rPr>
                <w:b/>
                <w:color w:val="407C9B"/>
                <w:sz w:val="16"/>
                <w:szCs w:val="16"/>
                <w:lang w:val="ru-RU"/>
              </w:rPr>
              <w:t xml:space="preserve">профессиональной </w:t>
            </w:r>
            <w:r w:rsidRPr="00694ACA">
              <w:rPr>
                <w:b/>
                <w:color w:val="407C9B"/>
                <w:sz w:val="16"/>
                <w:szCs w:val="16"/>
                <w:lang w:val="ru-RU"/>
              </w:rPr>
              <w:t>подготовки (D)</w:t>
            </w:r>
          </w:p>
        </w:tc>
        <w:tc>
          <w:tcPr>
            <w:tcW w:w="1701"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746DAE07" w14:textId="77777777" w:rsidR="004B77F6" w:rsidRPr="00694ACA" w:rsidRDefault="004B77F6" w:rsidP="00F221C0">
            <w:pPr>
              <w:spacing w:after="0"/>
              <w:rPr>
                <w:color w:val="407C9B"/>
                <w:sz w:val="16"/>
                <w:szCs w:val="16"/>
                <w:lang w:val="ru-RU"/>
              </w:rPr>
            </w:pPr>
            <w:r w:rsidRPr="00694ACA">
              <w:rPr>
                <w:color w:val="407C9B"/>
                <w:sz w:val="16"/>
                <w:szCs w:val="16"/>
                <w:lang w:val="ru-RU"/>
              </w:rPr>
              <w:t>Раздел 9</w:t>
            </w:r>
          </w:p>
        </w:tc>
        <w:tc>
          <w:tcPr>
            <w:tcW w:w="1134" w:type="dxa"/>
            <w:tcBorders>
              <w:top w:val="single" w:sz="4" w:space="0" w:color="FFFFFF"/>
              <w:left w:val="single" w:sz="4" w:space="0" w:color="FFFFFF"/>
              <w:bottom w:val="single" w:sz="4" w:space="0" w:color="FFFFFF"/>
              <w:right w:val="single" w:sz="4" w:space="0" w:color="FFFFFF"/>
            </w:tcBorders>
            <w:shd w:val="clear" w:color="auto" w:fill="auto"/>
          </w:tcPr>
          <w:p w14:paraId="387783F7" w14:textId="26DC8231" w:rsidR="004B77F6" w:rsidRPr="00694ACA" w:rsidRDefault="004B77F6" w:rsidP="00F221C0">
            <w:pPr>
              <w:spacing w:after="0"/>
              <w:rPr>
                <w:sz w:val="16"/>
                <w:szCs w:val="16"/>
                <w:lang w:val="ru-RU"/>
              </w:rPr>
            </w:pPr>
            <w:r w:rsidRPr="00694ACA">
              <w:rPr>
                <w:sz w:val="16"/>
                <w:szCs w:val="16"/>
                <w:lang w:val="ru-RU"/>
              </w:rPr>
              <w:t>25 страниц</w:t>
            </w:r>
          </w:p>
        </w:tc>
        <w:tc>
          <w:tcPr>
            <w:tcW w:w="1134"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5C0E6CB3" w14:textId="77777777" w:rsidR="004B77F6" w:rsidRPr="00694ACA" w:rsidRDefault="004B77F6" w:rsidP="00F221C0">
            <w:pPr>
              <w:spacing w:after="0"/>
              <w:rPr>
                <w:sz w:val="18"/>
                <w:szCs w:val="18"/>
                <w:lang w:val="ru-RU"/>
              </w:rPr>
            </w:pPr>
          </w:p>
        </w:tc>
        <w:tc>
          <w:tcPr>
            <w:tcW w:w="1134"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306D044B" w14:textId="77777777" w:rsidR="004B77F6" w:rsidRPr="00694ACA" w:rsidRDefault="004B77F6" w:rsidP="00F221C0">
            <w:pPr>
              <w:spacing w:after="0"/>
              <w:rPr>
                <w:sz w:val="18"/>
                <w:szCs w:val="18"/>
                <w:lang w:val="ru-RU"/>
              </w:rPr>
            </w:pPr>
          </w:p>
        </w:tc>
        <w:tc>
          <w:tcPr>
            <w:tcW w:w="851"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614A6EFC" w14:textId="77777777" w:rsidR="004B77F6" w:rsidRPr="00694ACA" w:rsidRDefault="004B77F6" w:rsidP="00F221C0">
            <w:pPr>
              <w:spacing w:after="0"/>
              <w:rPr>
                <w:sz w:val="18"/>
                <w:szCs w:val="18"/>
                <w:lang w:val="ru-RU"/>
              </w:rPr>
            </w:pPr>
          </w:p>
        </w:tc>
        <w:tc>
          <w:tcPr>
            <w:tcW w:w="1276"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7F90AD28" w14:textId="77777777" w:rsidR="004B77F6" w:rsidRPr="00694ACA" w:rsidRDefault="004B77F6" w:rsidP="00F221C0">
            <w:pPr>
              <w:spacing w:after="0"/>
              <w:rPr>
                <w:sz w:val="18"/>
                <w:szCs w:val="18"/>
                <w:lang w:val="ru-RU"/>
              </w:rPr>
            </w:pPr>
          </w:p>
        </w:tc>
        <w:tc>
          <w:tcPr>
            <w:tcW w:w="1134" w:type="dxa"/>
            <w:tcBorders>
              <w:top w:val="single" w:sz="4" w:space="0" w:color="FFFFFF"/>
              <w:left w:val="single" w:sz="4" w:space="0" w:color="FFFFFF"/>
              <w:bottom w:val="single" w:sz="4" w:space="0" w:color="FFFFFF"/>
              <w:right w:val="single" w:sz="4" w:space="0" w:color="FFFFFF"/>
            </w:tcBorders>
            <w:shd w:val="clear" w:color="auto" w:fill="595959" w:themeFill="text1" w:themeFillTint="A6"/>
          </w:tcPr>
          <w:p w14:paraId="6C4FE225" w14:textId="77777777" w:rsidR="004B77F6" w:rsidRPr="00694ACA" w:rsidRDefault="004B77F6" w:rsidP="00F221C0">
            <w:pPr>
              <w:spacing w:after="0"/>
              <w:rPr>
                <w:sz w:val="18"/>
                <w:szCs w:val="18"/>
                <w:lang w:val="ru-RU"/>
              </w:rPr>
            </w:pPr>
          </w:p>
        </w:tc>
      </w:tr>
      <w:tr w:rsidR="004B77F6" w:rsidRPr="00694ACA" w14:paraId="144CE17C" w14:textId="77777777" w:rsidTr="00F221C0">
        <w:tc>
          <w:tcPr>
            <w:tcW w:w="2410"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544FFA1A" w14:textId="733DDB07" w:rsidR="004B77F6" w:rsidRPr="00694ACA" w:rsidRDefault="004B77F6" w:rsidP="00F221C0">
            <w:pPr>
              <w:spacing w:after="0"/>
              <w:rPr>
                <w:b/>
                <w:bCs/>
                <w:color w:val="407C9B"/>
                <w:sz w:val="16"/>
                <w:szCs w:val="16"/>
                <w:lang w:val="ru-RU"/>
              </w:rPr>
            </w:pPr>
            <w:r w:rsidRPr="00694ACA">
              <w:rPr>
                <w:b/>
                <w:color w:val="407C9B"/>
                <w:sz w:val="16"/>
                <w:szCs w:val="16"/>
                <w:lang w:val="ru-RU"/>
              </w:rPr>
              <w:t xml:space="preserve">Варианты совершенствования работы МСЭ в области </w:t>
            </w:r>
            <w:r w:rsidR="00367DAA" w:rsidRPr="00694ACA">
              <w:rPr>
                <w:b/>
                <w:color w:val="407C9B"/>
                <w:sz w:val="16"/>
                <w:szCs w:val="16"/>
                <w:lang w:val="ru-RU"/>
              </w:rPr>
              <w:t>развития потенциала</w:t>
            </w:r>
          </w:p>
        </w:tc>
        <w:tc>
          <w:tcPr>
            <w:tcW w:w="1701"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1B3A921C" w14:textId="77777777" w:rsidR="004B77F6" w:rsidRPr="00694ACA" w:rsidRDefault="004B77F6" w:rsidP="00F221C0">
            <w:pPr>
              <w:spacing w:after="0"/>
              <w:rPr>
                <w:color w:val="407C9B"/>
                <w:sz w:val="16"/>
                <w:szCs w:val="16"/>
                <w:lang w:val="ru-RU"/>
              </w:rPr>
            </w:pPr>
            <w:r w:rsidRPr="00694ACA">
              <w:rPr>
                <w:color w:val="407C9B"/>
                <w:sz w:val="16"/>
                <w:szCs w:val="16"/>
                <w:lang w:val="ru-RU"/>
              </w:rPr>
              <w:t>Раздел 9</w:t>
            </w:r>
          </w:p>
        </w:tc>
        <w:tc>
          <w:tcPr>
            <w:tcW w:w="1134" w:type="dxa"/>
            <w:tcBorders>
              <w:top w:val="single" w:sz="4" w:space="0" w:color="FFFFFF"/>
              <w:left w:val="single" w:sz="4" w:space="0" w:color="FFFFFF"/>
              <w:bottom w:val="single" w:sz="4" w:space="0" w:color="FFFFFF"/>
              <w:right w:val="single" w:sz="4" w:space="0" w:color="FFFFFF"/>
            </w:tcBorders>
            <w:shd w:val="clear" w:color="auto" w:fill="auto"/>
          </w:tcPr>
          <w:p w14:paraId="31040DC5" w14:textId="77777777" w:rsidR="004B77F6" w:rsidRPr="00694ACA" w:rsidRDefault="004B77F6" w:rsidP="00F221C0">
            <w:pPr>
              <w:spacing w:after="0"/>
              <w:rPr>
                <w:sz w:val="16"/>
                <w:szCs w:val="16"/>
                <w:lang w:val="ru-RU"/>
              </w:rPr>
            </w:pPr>
            <w:r w:rsidRPr="00694ACA">
              <w:rPr>
                <w:sz w:val="16"/>
                <w:szCs w:val="16"/>
                <w:lang w:val="ru-RU"/>
              </w:rPr>
              <w:t>Как и выше</w:t>
            </w:r>
          </w:p>
        </w:tc>
        <w:tc>
          <w:tcPr>
            <w:tcW w:w="1134"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039110FE" w14:textId="77777777" w:rsidR="004B77F6" w:rsidRPr="00694ACA" w:rsidRDefault="004B77F6" w:rsidP="00F221C0">
            <w:pPr>
              <w:spacing w:after="0"/>
              <w:rPr>
                <w:sz w:val="18"/>
                <w:szCs w:val="18"/>
                <w:lang w:val="ru-RU"/>
              </w:rPr>
            </w:pPr>
          </w:p>
        </w:tc>
        <w:tc>
          <w:tcPr>
            <w:tcW w:w="1134"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6F458C41" w14:textId="77777777" w:rsidR="004B77F6" w:rsidRPr="00694ACA" w:rsidRDefault="004B77F6" w:rsidP="00F221C0">
            <w:pPr>
              <w:spacing w:after="0"/>
              <w:rPr>
                <w:sz w:val="18"/>
                <w:szCs w:val="18"/>
                <w:lang w:val="ru-RU"/>
              </w:rPr>
            </w:pPr>
          </w:p>
        </w:tc>
        <w:tc>
          <w:tcPr>
            <w:tcW w:w="851"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5A228B5A" w14:textId="77777777" w:rsidR="004B77F6" w:rsidRPr="00694ACA" w:rsidRDefault="004B77F6" w:rsidP="00F221C0">
            <w:pPr>
              <w:spacing w:after="0"/>
              <w:rPr>
                <w:sz w:val="18"/>
                <w:szCs w:val="18"/>
                <w:lang w:val="ru-RU"/>
              </w:rPr>
            </w:pPr>
          </w:p>
        </w:tc>
        <w:tc>
          <w:tcPr>
            <w:tcW w:w="1276"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7A48F1B4" w14:textId="77777777" w:rsidR="004B77F6" w:rsidRPr="00694ACA" w:rsidRDefault="004B77F6" w:rsidP="00F221C0">
            <w:pPr>
              <w:spacing w:after="0"/>
              <w:rPr>
                <w:sz w:val="18"/>
                <w:szCs w:val="18"/>
                <w:lang w:val="ru-RU"/>
              </w:rPr>
            </w:pPr>
          </w:p>
        </w:tc>
        <w:tc>
          <w:tcPr>
            <w:tcW w:w="1134"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5B6D89D0" w14:textId="77777777" w:rsidR="004B77F6" w:rsidRPr="00694ACA" w:rsidRDefault="004B77F6" w:rsidP="00F221C0">
            <w:pPr>
              <w:spacing w:after="0"/>
              <w:rPr>
                <w:sz w:val="18"/>
                <w:szCs w:val="18"/>
                <w:lang w:val="ru-RU"/>
              </w:rPr>
            </w:pPr>
          </w:p>
        </w:tc>
      </w:tr>
      <w:tr w:rsidR="004B77F6" w:rsidRPr="00694ACA" w14:paraId="42E95365" w14:textId="77777777" w:rsidTr="00F221C0">
        <w:tc>
          <w:tcPr>
            <w:tcW w:w="2410"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6472FB41" w14:textId="55D0814D" w:rsidR="004B77F6" w:rsidRPr="00694ACA" w:rsidRDefault="004B77F6" w:rsidP="00F221C0">
            <w:pPr>
              <w:spacing w:after="0"/>
              <w:rPr>
                <w:b/>
                <w:bCs/>
                <w:color w:val="407C9B"/>
                <w:sz w:val="16"/>
                <w:szCs w:val="16"/>
                <w:lang w:val="ru-RU"/>
              </w:rPr>
            </w:pPr>
            <w:r w:rsidRPr="00694ACA">
              <w:rPr>
                <w:b/>
                <w:color w:val="407C9B"/>
                <w:sz w:val="16"/>
                <w:szCs w:val="16"/>
                <w:lang w:val="ru-RU"/>
              </w:rPr>
              <w:t xml:space="preserve">Потребности в ресурсах и структура управления для нового института </w:t>
            </w:r>
            <w:r w:rsidR="003F2D84" w:rsidRPr="00694ACA">
              <w:rPr>
                <w:b/>
                <w:color w:val="407C9B"/>
                <w:sz w:val="16"/>
                <w:szCs w:val="16"/>
                <w:lang w:val="ru-RU"/>
              </w:rPr>
              <w:t xml:space="preserve">профессиональной </w:t>
            </w:r>
            <w:r w:rsidRPr="00694ACA">
              <w:rPr>
                <w:b/>
                <w:color w:val="407C9B"/>
                <w:sz w:val="16"/>
                <w:szCs w:val="16"/>
                <w:lang w:val="ru-RU"/>
              </w:rPr>
              <w:t>подготовки</w:t>
            </w:r>
          </w:p>
        </w:tc>
        <w:tc>
          <w:tcPr>
            <w:tcW w:w="1701"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2A1DE912" w14:textId="77777777" w:rsidR="004B77F6" w:rsidRPr="00694ACA" w:rsidRDefault="004B77F6" w:rsidP="00F221C0">
            <w:pPr>
              <w:spacing w:after="0"/>
              <w:rPr>
                <w:color w:val="407C9B"/>
                <w:sz w:val="16"/>
                <w:szCs w:val="16"/>
                <w:lang w:val="ru-RU"/>
              </w:rPr>
            </w:pPr>
            <w:r w:rsidRPr="00694ACA">
              <w:rPr>
                <w:color w:val="407C9B"/>
                <w:sz w:val="16"/>
                <w:szCs w:val="16"/>
                <w:lang w:val="ru-RU"/>
              </w:rPr>
              <w:t>Раздел 9</w:t>
            </w:r>
          </w:p>
        </w:tc>
        <w:tc>
          <w:tcPr>
            <w:tcW w:w="1134" w:type="dxa"/>
            <w:tcBorders>
              <w:top w:val="single" w:sz="4" w:space="0" w:color="FFFFFF"/>
              <w:left w:val="single" w:sz="4" w:space="0" w:color="FFFFFF"/>
              <w:bottom w:val="single" w:sz="4" w:space="0" w:color="FFFFFF"/>
              <w:right w:val="single" w:sz="4" w:space="0" w:color="FFFFFF"/>
            </w:tcBorders>
            <w:shd w:val="clear" w:color="auto" w:fill="auto"/>
          </w:tcPr>
          <w:p w14:paraId="58832610" w14:textId="77777777" w:rsidR="004B77F6" w:rsidRPr="00694ACA" w:rsidRDefault="004B77F6" w:rsidP="00F221C0">
            <w:pPr>
              <w:spacing w:after="0"/>
              <w:rPr>
                <w:sz w:val="16"/>
                <w:szCs w:val="16"/>
                <w:lang w:val="ru-RU"/>
              </w:rPr>
            </w:pPr>
            <w:r w:rsidRPr="00694ACA">
              <w:rPr>
                <w:sz w:val="16"/>
                <w:szCs w:val="16"/>
                <w:lang w:val="ru-RU"/>
              </w:rPr>
              <w:t>Как и выше</w:t>
            </w:r>
          </w:p>
        </w:tc>
        <w:tc>
          <w:tcPr>
            <w:tcW w:w="1134"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3A581B70" w14:textId="77777777" w:rsidR="004B77F6" w:rsidRPr="00694ACA" w:rsidRDefault="004B77F6" w:rsidP="00F221C0">
            <w:pPr>
              <w:spacing w:after="0"/>
              <w:rPr>
                <w:sz w:val="18"/>
                <w:szCs w:val="18"/>
                <w:lang w:val="ru-RU"/>
              </w:rPr>
            </w:pPr>
          </w:p>
        </w:tc>
        <w:tc>
          <w:tcPr>
            <w:tcW w:w="1134"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6121798B" w14:textId="77777777" w:rsidR="004B77F6" w:rsidRPr="00694ACA" w:rsidRDefault="004B77F6" w:rsidP="00F221C0">
            <w:pPr>
              <w:spacing w:after="0"/>
              <w:rPr>
                <w:sz w:val="18"/>
                <w:szCs w:val="18"/>
                <w:lang w:val="ru-RU"/>
              </w:rPr>
            </w:pPr>
          </w:p>
        </w:tc>
        <w:tc>
          <w:tcPr>
            <w:tcW w:w="851"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5C40ABE0" w14:textId="77777777" w:rsidR="004B77F6" w:rsidRPr="00694ACA" w:rsidRDefault="004B77F6" w:rsidP="00F221C0">
            <w:pPr>
              <w:spacing w:after="0"/>
              <w:rPr>
                <w:sz w:val="18"/>
                <w:szCs w:val="18"/>
                <w:lang w:val="ru-RU"/>
              </w:rPr>
            </w:pPr>
          </w:p>
        </w:tc>
        <w:tc>
          <w:tcPr>
            <w:tcW w:w="1276"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380E9D2C" w14:textId="77777777" w:rsidR="004B77F6" w:rsidRPr="00694ACA" w:rsidRDefault="004B77F6" w:rsidP="00F221C0">
            <w:pPr>
              <w:spacing w:after="0"/>
              <w:rPr>
                <w:sz w:val="18"/>
                <w:szCs w:val="18"/>
                <w:lang w:val="ru-RU"/>
              </w:rPr>
            </w:pPr>
          </w:p>
        </w:tc>
        <w:tc>
          <w:tcPr>
            <w:tcW w:w="1134"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23B070EF" w14:textId="77777777" w:rsidR="004B77F6" w:rsidRPr="00694ACA" w:rsidRDefault="004B77F6" w:rsidP="00F221C0">
            <w:pPr>
              <w:spacing w:after="0"/>
              <w:rPr>
                <w:sz w:val="18"/>
                <w:szCs w:val="18"/>
                <w:lang w:val="ru-RU"/>
              </w:rPr>
            </w:pPr>
          </w:p>
        </w:tc>
      </w:tr>
      <w:tr w:rsidR="004B77F6" w:rsidRPr="00694ACA" w14:paraId="4FE9DEB5" w14:textId="77777777" w:rsidTr="00F221C0">
        <w:tc>
          <w:tcPr>
            <w:tcW w:w="2410"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0C3129FA" w14:textId="77777777" w:rsidR="004B77F6" w:rsidRPr="00694ACA" w:rsidRDefault="004B77F6" w:rsidP="00F221C0">
            <w:pPr>
              <w:spacing w:after="0"/>
              <w:rPr>
                <w:b/>
                <w:bCs/>
                <w:color w:val="407C9B"/>
                <w:sz w:val="16"/>
                <w:szCs w:val="16"/>
                <w:lang w:val="ru-RU"/>
              </w:rPr>
            </w:pPr>
            <w:r w:rsidRPr="00694ACA">
              <w:rPr>
                <w:b/>
                <w:color w:val="407C9B"/>
                <w:sz w:val="16"/>
                <w:szCs w:val="16"/>
                <w:lang w:val="ru-RU"/>
              </w:rPr>
              <w:t>Рекомендации</w:t>
            </w:r>
          </w:p>
        </w:tc>
        <w:tc>
          <w:tcPr>
            <w:tcW w:w="1701"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55241EF5" w14:textId="77777777" w:rsidR="004B77F6" w:rsidRPr="00694ACA" w:rsidRDefault="004B77F6" w:rsidP="00F221C0">
            <w:pPr>
              <w:spacing w:after="0"/>
              <w:rPr>
                <w:color w:val="407C9B"/>
                <w:sz w:val="16"/>
                <w:szCs w:val="16"/>
                <w:lang w:val="ru-RU"/>
              </w:rPr>
            </w:pPr>
            <w:r w:rsidRPr="00694ACA">
              <w:rPr>
                <w:color w:val="407C9B"/>
                <w:sz w:val="16"/>
                <w:szCs w:val="16"/>
                <w:lang w:val="ru-RU"/>
              </w:rPr>
              <w:t xml:space="preserve">Разделы 10 и 11 </w:t>
            </w:r>
          </w:p>
        </w:tc>
        <w:tc>
          <w:tcPr>
            <w:tcW w:w="1134" w:type="dxa"/>
            <w:tcBorders>
              <w:top w:val="single" w:sz="4" w:space="0" w:color="FFFFFF"/>
              <w:left w:val="single" w:sz="4" w:space="0" w:color="FFFFFF"/>
              <w:bottom w:val="single" w:sz="4" w:space="0" w:color="FFFFFF"/>
              <w:right w:val="single" w:sz="4" w:space="0" w:color="FFFFFF"/>
            </w:tcBorders>
            <w:shd w:val="clear" w:color="auto" w:fill="auto"/>
          </w:tcPr>
          <w:p w14:paraId="3BA01EB2" w14:textId="3D140D4E" w:rsidR="004B77F6" w:rsidRPr="00694ACA" w:rsidRDefault="004B77F6" w:rsidP="00F221C0">
            <w:pPr>
              <w:spacing w:after="0"/>
              <w:rPr>
                <w:sz w:val="16"/>
                <w:szCs w:val="16"/>
                <w:lang w:val="ru-RU"/>
              </w:rPr>
            </w:pPr>
            <w:r w:rsidRPr="00694ACA">
              <w:rPr>
                <w:sz w:val="16"/>
                <w:szCs w:val="16"/>
                <w:lang w:val="ru-RU"/>
              </w:rPr>
              <w:t>11 страниц</w:t>
            </w:r>
          </w:p>
        </w:tc>
        <w:tc>
          <w:tcPr>
            <w:tcW w:w="1134"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08C66277" w14:textId="77777777" w:rsidR="004B77F6" w:rsidRPr="00694ACA" w:rsidRDefault="004B77F6" w:rsidP="00F221C0">
            <w:pPr>
              <w:spacing w:after="0"/>
              <w:rPr>
                <w:sz w:val="18"/>
                <w:szCs w:val="18"/>
                <w:lang w:val="ru-RU"/>
              </w:rPr>
            </w:pPr>
          </w:p>
        </w:tc>
        <w:tc>
          <w:tcPr>
            <w:tcW w:w="1134"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3DBC33DE" w14:textId="77777777" w:rsidR="004B77F6" w:rsidRPr="00694ACA" w:rsidRDefault="004B77F6" w:rsidP="00F221C0">
            <w:pPr>
              <w:spacing w:after="0"/>
              <w:rPr>
                <w:sz w:val="18"/>
                <w:szCs w:val="18"/>
                <w:lang w:val="ru-RU"/>
              </w:rPr>
            </w:pPr>
          </w:p>
        </w:tc>
        <w:tc>
          <w:tcPr>
            <w:tcW w:w="851"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781E8DCF" w14:textId="77777777" w:rsidR="004B77F6" w:rsidRPr="00694ACA" w:rsidRDefault="004B77F6" w:rsidP="00F221C0">
            <w:pPr>
              <w:spacing w:after="0"/>
              <w:rPr>
                <w:sz w:val="18"/>
                <w:szCs w:val="18"/>
                <w:lang w:val="ru-RU"/>
              </w:rPr>
            </w:pPr>
          </w:p>
        </w:tc>
        <w:tc>
          <w:tcPr>
            <w:tcW w:w="1276"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473326F3" w14:textId="77777777" w:rsidR="004B77F6" w:rsidRPr="00694ACA" w:rsidRDefault="004B77F6" w:rsidP="00F221C0">
            <w:pPr>
              <w:spacing w:after="0"/>
              <w:rPr>
                <w:sz w:val="18"/>
                <w:szCs w:val="18"/>
                <w:lang w:val="ru-RU"/>
              </w:rPr>
            </w:pPr>
          </w:p>
        </w:tc>
        <w:tc>
          <w:tcPr>
            <w:tcW w:w="1134"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106A0FB9" w14:textId="77777777" w:rsidR="004B77F6" w:rsidRPr="00694ACA" w:rsidRDefault="004B77F6" w:rsidP="00F221C0">
            <w:pPr>
              <w:spacing w:after="0"/>
              <w:rPr>
                <w:sz w:val="18"/>
                <w:szCs w:val="18"/>
                <w:lang w:val="ru-RU"/>
              </w:rPr>
            </w:pPr>
          </w:p>
        </w:tc>
      </w:tr>
      <w:tr w:rsidR="004B77F6" w:rsidRPr="00694ACA" w14:paraId="51A6841A" w14:textId="77777777" w:rsidTr="00F221C0">
        <w:tc>
          <w:tcPr>
            <w:tcW w:w="2410"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5A11AFED" w14:textId="77777777" w:rsidR="004B77F6" w:rsidRPr="00694ACA" w:rsidRDefault="004B77F6" w:rsidP="00F221C0">
            <w:pPr>
              <w:spacing w:after="0"/>
              <w:rPr>
                <w:b/>
                <w:bCs/>
                <w:color w:val="407C9B"/>
                <w:sz w:val="16"/>
                <w:szCs w:val="16"/>
                <w:lang w:val="ru-RU"/>
              </w:rPr>
            </w:pPr>
            <w:r w:rsidRPr="00694ACA">
              <w:rPr>
                <w:b/>
                <w:color w:val="407C9B"/>
                <w:sz w:val="16"/>
                <w:szCs w:val="16"/>
                <w:lang w:val="ru-RU"/>
              </w:rPr>
              <w:t>Приложения</w:t>
            </w:r>
          </w:p>
        </w:tc>
        <w:tc>
          <w:tcPr>
            <w:tcW w:w="1701"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7396FFB2" w14:textId="77777777" w:rsidR="004B77F6" w:rsidRPr="00694ACA" w:rsidRDefault="004B77F6" w:rsidP="00F221C0">
            <w:pPr>
              <w:spacing w:after="0"/>
              <w:rPr>
                <w:color w:val="407C9B"/>
                <w:sz w:val="16"/>
                <w:szCs w:val="16"/>
                <w:lang w:val="ru-RU"/>
              </w:rPr>
            </w:pPr>
            <w:r w:rsidRPr="00694ACA">
              <w:rPr>
                <w:color w:val="407C9B"/>
                <w:sz w:val="16"/>
                <w:szCs w:val="16"/>
                <w:lang w:val="ru-RU"/>
              </w:rPr>
              <w:t>Разные разделы</w:t>
            </w:r>
          </w:p>
        </w:tc>
        <w:tc>
          <w:tcPr>
            <w:tcW w:w="1134" w:type="dxa"/>
            <w:tcBorders>
              <w:top w:val="single" w:sz="4" w:space="0" w:color="FFFFFF"/>
              <w:left w:val="single" w:sz="4" w:space="0" w:color="FFFFFF"/>
              <w:bottom w:val="single" w:sz="4" w:space="0" w:color="FFFFFF"/>
              <w:right w:val="single" w:sz="4" w:space="0" w:color="FFFFFF"/>
            </w:tcBorders>
            <w:shd w:val="clear" w:color="auto" w:fill="auto"/>
          </w:tcPr>
          <w:p w14:paraId="02DC3F63" w14:textId="77777777" w:rsidR="004B77F6" w:rsidRPr="00694ACA" w:rsidRDefault="004B77F6" w:rsidP="00F221C0">
            <w:pPr>
              <w:spacing w:after="0"/>
              <w:rPr>
                <w:sz w:val="16"/>
                <w:szCs w:val="16"/>
                <w:lang w:val="ru-RU"/>
              </w:rPr>
            </w:pPr>
            <w:r w:rsidRPr="00694ACA">
              <w:rPr>
                <w:sz w:val="16"/>
                <w:szCs w:val="16"/>
                <w:lang w:val="ru-RU"/>
              </w:rPr>
              <w:t xml:space="preserve">10 страниц </w:t>
            </w:r>
          </w:p>
        </w:tc>
        <w:tc>
          <w:tcPr>
            <w:tcW w:w="1134"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567865D9" w14:textId="77777777" w:rsidR="004B77F6" w:rsidRPr="00694ACA" w:rsidRDefault="004B77F6" w:rsidP="00F221C0">
            <w:pPr>
              <w:spacing w:after="0"/>
              <w:rPr>
                <w:sz w:val="18"/>
                <w:szCs w:val="18"/>
                <w:lang w:val="ru-RU"/>
              </w:rPr>
            </w:pPr>
          </w:p>
        </w:tc>
        <w:tc>
          <w:tcPr>
            <w:tcW w:w="1134"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63E8081B" w14:textId="77777777" w:rsidR="004B77F6" w:rsidRPr="00694ACA" w:rsidRDefault="004B77F6" w:rsidP="00F221C0">
            <w:pPr>
              <w:spacing w:after="0"/>
              <w:rPr>
                <w:sz w:val="18"/>
                <w:szCs w:val="18"/>
                <w:lang w:val="ru-RU"/>
              </w:rPr>
            </w:pPr>
          </w:p>
        </w:tc>
        <w:tc>
          <w:tcPr>
            <w:tcW w:w="851"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578BCF38" w14:textId="77777777" w:rsidR="004B77F6" w:rsidRPr="00694ACA" w:rsidRDefault="004B77F6" w:rsidP="00F221C0">
            <w:pPr>
              <w:spacing w:after="0"/>
              <w:rPr>
                <w:sz w:val="18"/>
                <w:szCs w:val="18"/>
                <w:lang w:val="ru-RU"/>
              </w:rPr>
            </w:pPr>
          </w:p>
        </w:tc>
        <w:tc>
          <w:tcPr>
            <w:tcW w:w="1276"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29998843" w14:textId="77777777" w:rsidR="004B77F6" w:rsidRPr="00694ACA" w:rsidRDefault="004B77F6" w:rsidP="00F221C0">
            <w:pPr>
              <w:spacing w:after="0"/>
              <w:rPr>
                <w:sz w:val="18"/>
                <w:szCs w:val="18"/>
                <w:lang w:val="ru-RU"/>
              </w:rPr>
            </w:pPr>
          </w:p>
        </w:tc>
        <w:tc>
          <w:tcPr>
            <w:tcW w:w="1134"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tcPr>
          <w:p w14:paraId="020D41EB" w14:textId="77777777" w:rsidR="004B77F6" w:rsidRPr="00694ACA" w:rsidRDefault="004B77F6" w:rsidP="00F221C0">
            <w:pPr>
              <w:spacing w:after="0"/>
              <w:rPr>
                <w:sz w:val="18"/>
                <w:szCs w:val="18"/>
                <w:lang w:val="ru-RU"/>
              </w:rPr>
            </w:pPr>
          </w:p>
        </w:tc>
      </w:tr>
    </w:tbl>
    <w:p w14:paraId="7206D3B8" w14:textId="6BE1C980" w:rsidR="004B77F6" w:rsidRPr="00694ACA" w:rsidRDefault="004B77F6" w:rsidP="00A105CB">
      <w:pPr>
        <w:pStyle w:val="Heading2"/>
        <w:rPr>
          <w:lang w:val="ru-RU"/>
        </w:rPr>
      </w:pPr>
      <w:bookmarkStart w:id="413" w:name="_Toc58273859"/>
      <w:bookmarkStart w:id="414" w:name="_Toc61375563"/>
      <w:r w:rsidRPr="00694ACA">
        <w:rPr>
          <w:lang w:val="ru-RU"/>
        </w:rPr>
        <w:t xml:space="preserve">Приложение 3: Структура для рассмотрения деятельности МСЭ </w:t>
      </w:r>
      <w:r w:rsidR="00367DAA" w:rsidRPr="00694ACA">
        <w:rPr>
          <w:lang w:val="ru-RU"/>
        </w:rPr>
        <w:t>по развитию потенциала и профессиональной подготовке</w:t>
      </w:r>
      <w:r w:rsidRPr="00694ACA">
        <w:rPr>
          <w:rStyle w:val="FootnoteReference"/>
          <w:b w:val="0"/>
          <w:bCs/>
          <w:lang w:val="ru-RU"/>
        </w:rPr>
        <w:footnoteReference w:id="217"/>
      </w:r>
      <w:bookmarkEnd w:id="413"/>
      <w:bookmarkEnd w:id="414"/>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0" w:type="dxa"/>
        </w:tblCellMar>
        <w:tblLook w:val="04A0" w:firstRow="1" w:lastRow="0" w:firstColumn="1" w:lastColumn="0" w:noHBand="0" w:noVBand="1"/>
      </w:tblPr>
      <w:tblGrid>
        <w:gridCol w:w="2050"/>
        <w:gridCol w:w="1935"/>
        <w:gridCol w:w="1810"/>
        <w:gridCol w:w="1834"/>
        <w:gridCol w:w="1731"/>
      </w:tblGrid>
      <w:tr w:rsidR="00B41CB0" w:rsidRPr="00D577E1" w14:paraId="178E0A64" w14:textId="77777777" w:rsidTr="004451CC">
        <w:tc>
          <w:tcPr>
            <w:tcW w:w="0" w:type="auto"/>
            <w:tcBorders>
              <w:top w:val="nil"/>
              <w:left w:val="nil"/>
              <w:bottom w:val="nil"/>
              <w:right w:val="nil"/>
            </w:tcBorders>
            <w:shd w:val="clear" w:color="auto" w:fill="407C9B"/>
            <w:vAlign w:val="center"/>
          </w:tcPr>
          <w:p w14:paraId="0AF53927" w14:textId="77777777" w:rsidR="004B77F6" w:rsidRPr="00694ACA" w:rsidRDefault="004B77F6" w:rsidP="004451CC">
            <w:pPr>
              <w:spacing w:after="0"/>
              <w:jc w:val="center"/>
              <w:rPr>
                <w:rFonts w:cs="Arial"/>
                <w:b/>
                <w:bCs/>
                <w:color w:val="FFFFFF"/>
                <w:sz w:val="18"/>
                <w:szCs w:val="18"/>
                <w:lang w:val="ru-RU"/>
              </w:rPr>
            </w:pPr>
            <w:r w:rsidRPr="00694ACA">
              <w:rPr>
                <w:b/>
                <w:color w:val="FFFFFF"/>
                <w:sz w:val="18"/>
                <w:szCs w:val="18"/>
                <w:lang w:val="ru-RU"/>
              </w:rPr>
              <w:t>Номенклатура</w:t>
            </w:r>
          </w:p>
        </w:tc>
        <w:tc>
          <w:tcPr>
            <w:tcW w:w="0" w:type="auto"/>
            <w:tcBorders>
              <w:top w:val="nil"/>
              <w:left w:val="nil"/>
              <w:bottom w:val="nil"/>
              <w:right w:val="nil"/>
            </w:tcBorders>
            <w:shd w:val="clear" w:color="auto" w:fill="407C9B"/>
            <w:vAlign w:val="center"/>
          </w:tcPr>
          <w:p w14:paraId="7C9E31A8" w14:textId="77777777" w:rsidR="004B77F6" w:rsidRPr="00694ACA" w:rsidRDefault="004B77F6" w:rsidP="004451CC">
            <w:pPr>
              <w:spacing w:after="0"/>
              <w:jc w:val="center"/>
              <w:rPr>
                <w:rFonts w:cs="Arial"/>
                <w:b/>
                <w:bCs/>
                <w:color w:val="FFFFFF"/>
                <w:sz w:val="18"/>
                <w:szCs w:val="18"/>
                <w:lang w:val="ru-RU"/>
              </w:rPr>
            </w:pPr>
            <w:r w:rsidRPr="00694ACA">
              <w:rPr>
                <w:b/>
                <w:color w:val="FFFFFF"/>
                <w:sz w:val="18"/>
                <w:szCs w:val="18"/>
                <w:lang w:val="ru-RU"/>
              </w:rPr>
              <w:t>БРЭ (МСЭ-D)</w:t>
            </w:r>
          </w:p>
        </w:tc>
        <w:tc>
          <w:tcPr>
            <w:tcW w:w="0" w:type="auto"/>
            <w:tcBorders>
              <w:top w:val="nil"/>
              <w:left w:val="nil"/>
              <w:bottom w:val="nil"/>
              <w:right w:val="nil"/>
            </w:tcBorders>
            <w:shd w:val="clear" w:color="auto" w:fill="407C9B"/>
            <w:vAlign w:val="center"/>
          </w:tcPr>
          <w:p w14:paraId="5BE3E57A" w14:textId="77777777" w:rsidR="004B77F6" w:rsidRPr="00694ACA" w:rsidRDefault="004B77F6" w:rsidP="004451CC">
            <w:pPr>
              <w:spacing w:after="0"/>
              <w:jc w:val="center"/>
              <w:rPr>
                <w:rFonts w:cs="Arial"/>
                <w:b/>
                <w:bCs/>
                <w:color w:val="FFFFFF"/>
                <w:sz w:val="18"/>
                <w:szCs w:val="18"/>
                <w:lang w:val="ru-RU"/>
              </w:rPr>
            </w:pPr>
            <w:r w:rsidRPr="00694ACA">
              <w:rPr>
                <w:b/>
                <w:color w:val="FFFFFF"/>
                <w:sz w:val="18"/>
                <w:szCs w:val="18"/>
                <w:lang w:val="ru-RU"/>
              </w:rPr>
              <w:t>БСЭ (МСЭ-T)</w:t>
            </w:r>
          </w:p>
        </w:tc>
        <w:tc>
          <w:tcPr>
            <w:tcW w:w="0" w:type="auto"/>
            <w:tcBorders>
              <w:top w:val="nil"/>
              <w:left w:val="nil"/>
              <w:bottom w:val="nil"/>
              <w:right w:val="nil"/>
            </w:tcBorders>
            <w:shd w:val="clear" w:color="auto" w:fill="407C9B"/>
            <w:vAlign w:val="center"/>
          </w:tcPr>
          <w:p w14:paraId="50E76571" w14:textId="77777777" w:rsidR="004B77F6" w:rsidRPr="00694ACA" w:rsidRDefault="004B77F6" w:rsidP="004451CC">
            <w:pPr>
              <w:spacing w:after="0"/>
              <w:jc w:val="center"/>
              <w:rPr>
                <w:rFonts w:cs="Arial"/>
                <w:b/>
                <w:bCs/>
                <w:color w:val="FFFFFF"/>
                <w:sz w:val="18"/>
                <w:szCs w:val="18"/>
                <w:lang w:val="ru-RU"/>
              </w:rPr>
            </w:pPr>
            <w:r w:rsidRPr="00694ACA">
              <w:rPr>
                <w:b/>
                <w:color w:val="FFFFFF"/>
                <w:sz w:val="18"/>
                <w:szCs w:val="18"/>
                <w:lang w:val="ru-RU"/>
              </w:rPr>
              <w:t>БР (МСЭ-R)</w:t>
            </w:r>
          </w:p>
        </w:tc>
        <w:tc>
          <w:tcPr>
            <w:tcW w:w="0" w:type="auto"/>
            <w:tcBorders>
              <w:top w:val="nil"/>
              <w:left w:val="nil"/>
              <w:bottom w:val="nil"/>
              <w:right w:val="nil"/>
            </w:tcBorders>
            <w:shd w:val="clear" w:color="auto" w:fill="407C9B"/>
            <w:vAlign w:val="center"/>
          </w:tcPr>
          <w:p w14:paraId="582B7E02" w14:textId="77777777" w:rsidR="004B77F6" w:rsidRPr="00694ACA" w:rsidRDefault="004B77F6" w:rsidP="004451CC">
            <w:pPr>
              <w:spacing w:after="0"/>
              <w:jc w:val="center"/>
              <w:rPr>
                <w:rFonts w:cs="Arial"/>
                <w:b/>
                <w:bCs/>
                <w:color w:val="FFFFFF"/>
                <w:sz w:val="18"/>
                <w:szCs w:val="18"/>
                <w:lang w:val="ru-RU"/>
              </w:rPr>
            </w:pPr>
            <w:r w:rsidRPr="00694ACA">
              <w:rPr>
                <w:b/>
                <w:color w:val="FFFFFF"/>
                <w:sz w:val="18"/>
                <w:szCs w:val="18"/>
                <w:lang w:val="ru-RU"/>
              </w:rPr>
              <w:t xml:space="preserve">ГС </w:t>
            </w:r>
            <w:r w:rsidRPr="00694ACA">
              <w:rPr>
                <w:color w:val="FFFFFF"/>
                <w:sz w:val="18"/>
                <w:szCs w:val="18"/>
                <w:lang w:val="ru-RU"/>
              </w:rPr>
              <w:t>(в целом по МСЭ)</w:t>
            </w:r>
          </w:p>
        </w:tc>
      </w:tr>
      <w:tr w:rsidR="004B77F6" w:rsidRPr="00D577E1" w14:paraId="6291F834" w14:textId="77777777" w:rsidTr="00F221C0">
        <w:tc>
          <w:tcPr>
            <w:tcW w:w="0" w:type="auto"/>
            <w:gridSpan w:val="5"/>
            <w:tcBorders>
              <w:top w:val="nil"/>
              <w:left w:val="single" w:sz="4" w:space="0" w:color="FFFFFF"/>
              <w:bottom w:val="single" w:sz="4" w:space="0" w:color="FFFFFF"/>
              <w:right w:val="single" w:sz="4" w:space="0" w:color="FFFFFF"/>
            </w:tcBorders>
            <w:shd w:val="clear" w:color="auto" w:fill="F2F2F2"/>
          </w:tcPr>
          <w:p w14:paraId="3F3154E0" w14:textId="152A459B" w:rsidR="004B77F6" w:rsidRPr="00694ACA" w:rsidRDefault="004B77F6" w:rsidP="00F221C0">
            <w:pPr>
              <w:spacing w:after="0"/>
              <w:rPr>
                <w:rFonts w:cs="Arial"/>
                <w:color w:val="407C9B"/>
                <w:szCs w:val="20"/>
                <w:lang w:val="ru-RU"/>
              </w:rPr>
            </w:pPr>
            <w:r w:rsidRPr="00694ACA">
              <w:rPr>
                <w:b/>
                <w:i/>
                <w:color w:val="407C9B"/>
                <w:sz w:val="18"/>
                <w:szCs w:val="20"/>
                <w:lang w:val="ru-RU"/>
              </w:rPr>
              <w:t>Официальные</w:t>
            </w:r>
            <w:r w:rsidRPr="00694ACA">
              <w:rPr>
                <w:color w:val="407C9B"/>
                <w:sz w:val="18"/>
                <w:szCs w:val="20"/>
                <w:lang w:val="ru-RU"/>
              </w:rPr>
              <w:t xml:space="preserve"> (наличие прямого упоминания и намерения </w:t>
            </w:r>
            <w:r w:rsidR="009421AE" w:rsidRPr="00694ACA">
              <w:rPr>
                <w:color w:val="407C9B"/>
                <w:sz w:val="18"/>
                <w:szCs w:val="20"/>
                <w:lang w:val="ru-RU"/>
              </w:rPr>
              <w:t>развития</w:t>
            </w:r>
            <w:r w:rsidRPr="00694ACA">
              <w:rPr>
                <w:color w:val="407C9B"/>
                <w:sz w:val="18"/>
                <w:szCs w:val="20"/>
                <w:lang w:val="ru-RU"/>
              </w:rPr>
              <w:t xml:space="preserve"> определенного потенциала или проведения профессиональной подготовки)</w:t>
            </w:r>
          </w:p>
        </w:tc>
      </w:tr>
      <w:tr w:rsidR="00B41CB0" w:rsidRPr="00694ACA" w14:paraId="0A495623" w14:textId="77777777" w:rsidTr="00F221C0">
        <w:trPr>
          <w:trHeight w:val="1217"/>
        </w:trPr>
        <w:tc>
          <w:tcPr>
            <w:tcW w:w="0" w:type="auto"/>
            <w:vMerge w:val="restart"/>
            <w:tcBorders>
              <w:top w:val="single" w:sz="4" w:space="0" w:color="FFFFFF"/>
              <w:left w:val="single" w:sz="4" w:space="0" w:color="FFFFFF"/>
              <w:bottom w:val="single" w:sz="4" w:space="0" w:color="FFFFFF"/>
              <w:right w:val="single" w:sz="4" w:space="0" w:color="FFFFFF"/>
            </w:tcBorders>
            <w:shd w:val="clear" w:color="auto" w:fill="F2F2F2"/>
          </w:tcPr>
          <w:p w14:paraId="14EBD323" w14:textId="77777777" w:rsidR="004B77F6" w:rsidRPr="00694ACA" w:rsidRDefault="004B77F6" w:rsidP="00F221C0">
            <w:pPr>
              <w:spacing w:after="0"/>
              <w:rPr>
                <w:rFonts w:cs="Arial"/>
                <w:b/>
                <w:bCs/>
                <w:color w:val="407C9B"/>
                <w:sz w:val="18"/>
                <w:szCs w:val="18"/>
                <w:lang w:val="ru-RU"/>
              </w:rPr>
            </w:pPr>
            <w:r w:rsidRPr="00694ACA">
              <w:rPr>
                <w:b/>
                <w:color w:val="407C9B"/>
                <w:sz w:val="18"/>
                <w:lang w:val="ru-RU"/>
              </w:rPr>
              <w:t>Учебные курсы (или курсы) (очные, смешанные или онлайновые) (обучение с инструктором или самостоятельно)</w:t>
            </w:r>
          </w:p>
        </w:tc>
        <w:tc>
          <w:tcPr>
            <w:tcW w:w="0" w:type="auto"/>
            <w:vMerge w:val="restart"/>
            <w:tcBorders>
              <w:top w:val="single" w:sz="4" w:space="0" w:color="FFFFFF"/>
              <w:left w:val="single" w:sz="4" w:space="0" w:color="FFFFFF"/>
              <w:bottom w:val="single" w:sz="4" w:space="0" w:color="FFFFFF"/>
              <w:right w:val="single" w:sz="4" w:space="0" w:color="FFFFFF"/>
            </w:tcBorders>
            <w:shd w:val="clear" w:color="auto" w:fill="D9D9D9"/>
          </w:tcPr>
          <w:p w14:paraId="360F9CF0" w14:textId="77777777" w:rsidR="004B77F6" w:rsidRPr="00694ACA" w:rsidRDefault="004B77F6" w:rsidP="00F221C0">
            <w:pPr>
              <w:spacing w:after="0"/>
              <w:rPr>
                <w:color w:val="407C9B"/>
                <w:sz w:val="18"/>
                <w:szCs w:val="18"/>
                <w:lang w:val="ru-RU"/>
              </w:rPr>
            </w:pPr>
            <w:r w:rsidRPr="00694ACA">
              <w:rPr>
                <w:color w:val="407C9B"/>
                <w:sz w:val="18"/>
                <w:lang w:val="ru-RU"/>
              </w:rPr>
              <w:t>Онлайн через платформу Академии</w:t>
            </w:r>
          </w:p>
          <w:p w14:paraId="10047802" w14:textId="77777777" w:rsidR="004B77F6" w:rsidRPr="00694ACA" w:rsidRDefault="004B77F6" w:rsidP="00F221C0">
            <w:pPr>
              <w:spacing w:after="0"/>
              <w:rPr>
                <w:color w:val="407C9B"/>
                <w:sz w:val="18"/>
                <w:szCs w:val="18"/>
                <w:lang w:val="ru-RU"/>
              </w:rPr>
            </w:pPr>
            <w:r w:rsidRPr="00694ACA">
              <w:rPr>
                <w:color w:val="407C9B"/>
                <w:sz w:val="18"/>
                <w:lang w:val="ru-RU"/>
              </w:rPr>
              <w:t>Через ЦПМ</w:t>
            </w:r>
          </w:p>
          <w:p w14:paraId="167CAFE2" w14:textId="77777777" w:rsidR="004B77F6" w:rsidRPr="00694ACA" w:rsidRDefault="004B77F6" w:rsidP="00F221C0">
            <w:pPr>
              <w:spacing w:after="0"/>
              <w:rPr>
                <w:color w:val="407C9B"/>
                <w:sz w:val="18"/>
                <w:szCs w:val="18"/>
                <w:lang w:val="ru-RU"/>
              </w:rPr>
            </w:pPr>
            <w:r w:rsidRPr="00694ACA">
              <w:rPr>
                <w:color w:val="407C9B"/>
                <w:sz w:val="18"/>
                <w:lang w:val="ru-RU"/>
              </w:rPr>
              <w:t>Через академическую организацию-партнера</w:t>
            </w:r>
          </w:p>
          <w:p w14:paraId="48742BB2" w14:textId="77777777" w:rsidR="004B77F6" w:rsidRPr="00694ACA" w:rsidRDefault="004B77F6" w:rsidP="00F221C0">
            <w:pPr>
              <w:spacing w:after="0"/>
              <w:rPr>
                <w:color w:val="407C9B"/>
                <w:sz w:val="18"/>
                <w:szCs w:val="18"/>
                <w:lang w:val="ru-RU"/>
              </w:rPr>
            </w:pPr>
            <w:r w:rsidRPr="00694ACA">
              <w:rPr>
                <w:color w:val="407C9B"/>
                <w:sz w:val="18"/>
                <w:lang w:val="ru-RU"/>
              </w:rPr>
              <w:t>Через партнерские учреждения</w:t>
            </w:r>
          </w:p>
          <w:p w14:paraId="2BBD2727" w14:textId="77777777" w:rsidR="004B77F6" w:rsidRPr="00694ACA" w:rsidRDefault="004B77F6" w:rsidP="00F221C0">
            <w:pPr>
              <w:spacing w:after="0"/>
              <w:rPr>
                <w:color w:val="407C9B"/>
                <w:sz w:val="18"/>
                <w:szCs w:val="18"/>
                <w:lang w:val="ru-RU"/>
              </w:rPr>
            </w:pPr>
            <w:r w:rsidRPr="00694ACA">
              <w:rPr>
                <w:color w:val="407C9B"/>
                <w:sz w:val="18"/>
                <w:lang w:val="ru-RU"/>
              </w:rPr>
              <w:t>В классе, онлайн и самообучение</w:t>
            </w:r>
          </w:p>
        </w:tc>
        <w:tc>
          <w:tcPr>
            <w:tcW w:w="0" w:type="auto"/>
            <w:tcBorders>
              <w:top w:val="single" w:sz="4" w:space="0" w:color="FFFFFF"/>
              <w:left w:val="single" w:sz="4" w:space="0" w:color="FFFFFF"/>
              <w:bottom w:val="single" w:sz="4" w:space="0" w:color="FFFFFF"/>
              <w:right w:val="single" w:sz="4" w:space="0" w:color="FFFFFF"/>
            </w:tcBorders>
            <w:shd w:val="clear" w:color="auto" w:fill="D9D9D9"/>
          </w:tcPr>
          <w:p w14:paraId="1293D4B1" w14:textId="77777777" w:rsidR="004B77F6" w:rsidRPr="00694ACA" w:rsidRDefault="004B77F6" w:rsidP="00F221C0">
            <w:pPr>
              <w:spacing w:after="0"/>
              <w:rPr>
                <w:color w:val="407C9B"/>
                <w:sz w:val="18"/>
                <w:szCs w:val="18"/>
                <w:lang w:val="ru-RU"/>
              </w:rPr>
            </w:pPr>
            <w:r w:rsidRPr="00694ACA">
              <w:rPr>
                <w:color w:val="407C9B"/>
                <w:sz w:val="18"/>
                <w:lang w:val="ru-RU"/>
              </w:rPr>
              <w:t>Онлайн (курс A.1)</w:t>
            </w:r>
          </w:p>
        </w:tc>
        <w:tc>
          <w:tcPr>
            <w:tcW w:w="0" w:type="auto"/>
            <w:vMerge w:val="restart"/>
            <w:tcBorders>
              <w:top w:val="single" w:sz="4" w:space="0" w:color="FFFFFF"/>
              <w:left w:val="single" w:sz="4" w:space="0" w:color="FFFFFF"/>
              <w:bottom w:val="single" w:sz="4" w:space="0" w:color="FFFFFF"/>
              <w:right w:val="single" w:sz="4" w:space="0" w:color="FFFFFF"/>
            </w:tcBorders>
            <w:shd w:val="clear" w:color="auto" w:fill="F2F2F2"/>
          </w:tcPr>
          <w:p w14:paraId="4C5355C1" w14:textId="77777777" w:rsidR="004B77F6" w:rsidRPr="00694ACA" w:rsidRDefault="004B77F6" w:rsidP="00F221C0">
            <w:pPr>
              <w:spacing w:after="0"/>
              <w:rPr>
                <w:sz w:val="18"/>
                <w:szCs w:val="18"/>
                <w:lang w:val="ru-RU"/>
              </w:rPr>
            </w:pPr>
          </w:p>
        </w:tc>
        <w:tc>
          <w:tcPr>
            <w:tcW w:w="0" w:type="auto"/>
            <w:vMerge w:val="restart"/>
            <w:tcBorders>
              <w:top w:val="single" w:sz="4" w:space="0" w:color="FFFFFF"/>
              <w:left w:val="single" w:sz="4" w:space="0" w:color="FFFFFF"/>
              <w:bottom w:val="single" w:sz="4" w:space="0" w:color="FFFFFF"/>
              <w:right w:val="single" w:sz="4" w:space="0" w:color="FFFFFF"/>
            </w:tcBorders>
            <w:shd w:val="clear" w:color="auto" w:fill="F2F2F2"/>
          </w:tcPr>
          <w:p w14:paraId="340DA395" w14:textId="77777777" w:rsidR="004B77F6" w:rsidRPr="00694ACA" w:rsidRDefault="004B77F6" w:rsidP="00F221C0">
            <w:pPr>
              <w:spacing w:after="0"/>
              <w:rPr>
                <w:sz w:val="18"/>
                <w:szCs w:val="18"/>
                <w:lang w:val="ru-RU"/>
              </w:rPr>
            </w:pPr>
          </w:p>
        </w:tc>
      </w:tr>
      <w:tr w:rsidR="00B41CB0" w:rsidRPr="00694ACA" w14:paraId="0E5F99AB" w14:textId="77777777" w:rsidTr="00F221C0">
        <w:trPr>
          <w:trHeight w:val="1216"/>
        </w:trPr>
        <w:tc>
          <w:tcPr>
            <w:tcW w:w="0" w:type="auto"/>
            <w:vMerge/>
            <w:tcBorders>
              <w:top w:val="single" w:sz="4" w:space="0" w:color="FFFFFF"/>
              <w:left w:val="single" w:sz="4" w:space="0" w:color="FFFFFF"/>
              <w:bottom w:val="single" w:sz="4" w:space="0" w:color="FFFFFF"/>
              <w:right w:val="single" w:sz="4" w:space="0" w:color="FFFFFF"/>
            </w:tcBorders>
            <w:shd w:val="clear" w:color="auto" w:fill="F2F2F2"/>
          </w:tcPr>
          <w:p w14:paraId="3A7A295F" w14:textId="77777777" w:rsidR="004B77F6" w:rsidRPr="00694ACA" w:rsidRDefault="004B77F6" w:rsidP="00F221C0">
            <w:pPr>
              <w:spacing w:after="0"/>
              <w:rPr>
                <w:rFonts w:cs="Arial"/>
                <w:b/>
                <w:bCs/>
                <w:color w:val="407C9B"/>
                <w:sz w:val="18"/>
                <w:szCs w:val="18"/>
                <w:lang w:val="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D9E2F3"/>
          </w:tcPr>
          <w:p w14:paraId="7B92053D" w14:textId="77777777" w:rsidR="004B77F6" w:rsidRPr="00694ACA" w:rsidRDefault="004B77F6" w:rsidP="00F221C0">
            <w:pPr>
              <w:numPr>
                <w:ilvl w:val="0"/>
                <w:numId w:val="2"/>
              </w:numPr>
              <w:spacing w:after="0"/>
              <w:outlineLvl w:val="1"/>
              <w:rPr>
                <w:sz w:val="18"/>
                <w:szCs w:val="18"/>
                <w:lang w:val="ru-RU" w:eastAsia="en-GB"/>
              </w:rPr>
            </w:pP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2BDFEC4C" w14:textId="7E960370" w:rsidR="004B77F6" w:rsidRPr="00694ACA" w:rsidRDefault="004B77F6" w:rsidP="00F221C0">
            <w:pPr>
              <w:spacing w:after="0"/>
              <w:rPr>
                <w:sz w:val="18"/>
                <w:szCs w:val="18"/>
                <w:lang w:val="ru-RU"/>
              </w:rPr>
            </w:pPr>
            <w:r w:rsidRPr="00694ACA">
              <w:rPr>
                <w:color w:val="407C9B"/>
                <w:sz w:val="18"/>
                <w:lang w:val="ru-RU"/>
              </w:rPr>
              <w:t xml:space="preserve">Курс </w:t>
            </w:r>
            <w:r w:rsidR="009D78B1" w:rsidRPr="00694ACA">
              <w:rPr>
                <w:color w:val="407C9B"/>
                <w:sz w:val="18"/>
                <w:lang w:val="ru-RU"/>
              </w:rPr>
              <w:t xml:space="preserve">по </w:t>
            </w:r>
            <w:r w:rsidRPr="00694ACA">
              <w:rPr>
                <w:color w:val="407C9B"/>
                <w:sz w:val="18"/>
                <w:lang w:val="ru-RU"/>
              </w:rPr>
              <w:t>СПП</w:t>
            </w:r>
            <w:r w:rsidRPr="00A64AB2">
              <w:rPr>
                <w:rStyle w:val="FootnoteReference"/>
                <w:rFonts w:eastAsiaTheme="minorHAnsi" w:cs="Arial"/>
                <w:color w:val="407C9B"/>
                <w:szCs w:val="20"/>
                <w:lang w:val="ru-RU"/>
              </w:rPr>
              <w:footnoteReference w:id="218"/>
            </w:r>
          </w:p>
        </w:tc>
        <w:tc>
          <w:tcPr>
            <w:tcW w:w="0" w:type="auto"/>
            <w:vMerge/>
            <w:tcBorders>
              <w:top w:val="single" w:sz="4" w:space="0" w:color="FFFFFF"/>
              <w:left w:val="single" w:sz="4" w:space="0" w:color="FFFFFF"/>
              <w:bottom w:val="single" w:sz="4" w:space="0" w:color="FFFFFF"/>
              <w:right w:val="single" w:sz="4" w:space="0" w:color="FFFFFF"/>
            </w:tcBorders>
            <w:shd w:val="clear" w:color="auto" w:fill="F2F2F2"/>
          </w:tcPr>
          <w:p w14:paraId="4878F241" w14:textId="77777777" w:rsidR="004B77F6" w:rsidRPr="00694ACA" w:rsidRDefault="004B77F6" w:rsidP="00F221C0">
            <w:pPr>
              <w:numPr>
                <w:ilvl w:val="0"/>
                <w:numId w:val="2"/>
              </w:numPr>
              <w:spacing w:after="0"/>
              <w:outlineLvl w:val="1"/>
              <w:rPr>
                <w:sz w:val="18"/>
                <w:szCs w:val="18"/>
                <w:lang w:val="ru-RU" w:eastAsia="en-GB"/>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F2F2F2"/>
          </w:tcPr>
          <w:p w14:paraId="62F28EDD" w14:textId="77777777" w:rsidR="004B77F6" w:rsidRPr="00694ACA" w:rsidRDefault="004B77F6" w:rsidP="00F221C0">
            <w:pPr>
              <w:spacing w:after="0"/>
              <w:rPr>
                <w:rFonts w:cs="Arial"/>
                <w:color w:val="407C9B"/>
                <w:sz w:val="18"/>
                <w:szCs w:val="18"/>
                <w:lang w:val="ru-RU"/>
              </w:rPr>
            </w:pPr>
          </w:p>
        </w:tc>
      </w:tr>
      <w:tr w:rsidR="00B41CB0" w:rsidRPr="00D577E1" w14:paraId="0910636B" w14:textId="77777777" w:rsidTr="00F221C0">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0496DF62" w14:textId="77777777" w:rsidR="004B77F6" w:rsidRPr="00694ACA" w:rsidRDefault="004B77F6" w:rsidP="00F221C0">
            <w:pPr>
              <w:spacing w:after="0"/>
              <w:rPr>
                <w:rFonts w:cs="Arial"/>
                <w:b/>
                <w:bCs/>
                <w:color w:val="407C9B"/>
                <w:sz w:val="18"/>
                <w:szCs w:val="18"/>
                <w:lang w:val="ru-RU"/>
              </w:rPr>
            </w:pPr>
            <w:r w:rsidRPr="00694ACA">
              <w:rPr>
                <w:b/>
                <w:color w:val="407C9B"/>
                <w:sz w:val="18"/>
                <w:lang w:val="ru-RU"/>
              </w:rPr>
              <w:t>Семинары/</w:t>
            </w:r>
          </w:p>
          <w:p w14:paraId="2B04772A" w14:textId="77777777" w:rsidR="004B77F6" w:rsidRPr="00694ACA" w:rsidRDefault="004B77F6" w:rsidP="00F221C0">
            <w:pPr>
              <w:spacing w:after="0"/>
              <w:rPr>
                <w:rFonts w:cs="Arial"/>
                <w:b/>
                <w:bCs/>
                <w:color w:val="407C9B"/>
                <w:sz w:val="18"/>
                <w:szCs w:val="18"/>
                <w:lang w:val="ru-RU"/>
              </w:rPr>
            </w:pPr>
            <w:r w:rsidRPr="00694ACA">
              <w:rPr>
                <w:b/>
                <w:color w:val="407C9B"/>
                <w:sz w:val="18"/>
                <w:lang w:val="ru-RU"/>
              </w:rPr>
              <w:t>вебинары</w:t>
            </w:r>
          </w:p>
        </w:tc>
        <w:tc>
          <w:tcPr>
            <w:tcW w:w="0" w:type="auto"/>
            <w:tcBorders>
              <w:top w:val="single" w:sz="4" w:space="0" w:color="FFFFFF"/>
              <w:left w:val="single" w:sz="4" w:space="0" w:color="FFFFFF"/>
              <w:bottom w:val="single" w:sz="4" w:space="0" w:color="FFFFFF"/>
              <w:right w:val="single" w:sz="4" w:space="0" w:color="FFFFFF"/>
            </w:tcBorders>
            <w:shd w:val="clear" w:color="auto" w:fill="D9D9D9"/>
          </w:tcPr>
          <w:p w14:paraId="655C4173" w14:textId="77777777" w:rsidR="004B77F6" w:rsidRPr="00694ACA" w:rsidRDefault="004B77F6" w:rsidP="00F221C0">
            <w:pPr>
              <w:spacing w:after="0"/>
              <w:rPr>
                <w:color w:val="407C9B"/>
                <w:sz w:val="18"/>
                <w:szCs w:val="18"/>
                <w:lang w:val="ru-RU"/>
              </w:rPr>
            </w:pPr>
            <w:r w:rsidRPr="00694ACA">
              <w:rPr>
                <w:color w:val="407C9B"/>
                <w:sz w:val="18"/>
                <w:lang w:val="ru-RU"/>
              </w:rPr>
              <w:t>Семинары</w:t>
            </w: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1F47C5A7" w14:textId="77777777" w:rsidR="004B77F6" w:rsidRPr="00694ACA" w:rsidRDefault="004B77F6" w:rsidP="00F221C0">
            <w:pPr>
              <w:spacing w:after="0"/>
              <w:rPr>
                <w:color w:val="407C9B"/>
                <w:sz w:val="18"/>
                <w:szCs w:val="18"/>
                <w:lang w:val="ru-RU"/>
              </w:rPr>
            </w:pPr>
            <w:r w:rsidRPr="00694ACA">
              <w:rPr>
                <w:color w:val="407C9B"/>
                <w:sz w:val="18"/>
                <w:lang w:val="ru-RU"/>
              </w:rPr>
              <w:t>Вебинары</w:t>
            </w:r>
          </w:p>
          <w:p w14:paraId="1F764839" w14:textId="77777777" w:rsidR="004B77F6" w:rsidRPr="00694ACA" w:rsidRDefault="004B77F6" w:rsidP="00F221C0">
            <w:pPr>
              <w:spacing w:after="0"/>
              <w:rPr>
                <w:color w:val="407C9B"/>
                <w:sz w:val="18"/>
                <w:szCs w:val="18"/>
                <w:lang w:val="ru-RU"/>
              </w:rPr>
            </w:pP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17BD8129" w14:textId="2859A7BB" w:rsidR="004B77F6" w:rsidRPr="00694ACA" w:rsidRDefault="004B77F6" w:rsidP="00F221C0">
            <w:pPr>
              <w:spacing w:after="0"/>
              <w:rPr>
                <w:color w:val="407C9B"/>
                <w:sz w:val="18"/>
                <w:szCs w:val="18"/>
                <w:lang w:val="ru-RU"/>
              </w:rPr>
            </w:pPr>
            <w:r w:rsidRPr="00694ACA">
              <w:rPr>
                <w:color w:val="407C9B"/>
                <w:sz w:val="18"/>
                <w:lang w:val="ru-RU"/>
              </w:rPr>
              <w:t>Семинары (</w:t>
            </w:r>
            <w:r w:rsidR="003F2D84" w:rsidRPr="00694ACA">
              <w:rPr>
                <w:color w:val="407C9B"/>
                <w:sz w:val="18"/>
                <w:lang w:val="ru-RU"/>
              </w:rPr>
              <w:t>ВСР</w:t>
            </w:r>
            <w:r w:rsidRPr="00694ACA">
              <w:rPr>
                <w:color w:val="407C9B"/>
                <w:sz w:val="18"/>
                <w:lang w:val="ru-RU"/>
              </w:rPr>
              <w:t xml:space="preserve">, </w:t>
            </w:r>
            <w:r w:rsidR="003F2D84" w:rsidRPr="00694ACA">
              <w:rPr>
                <w:color w:val="407C9B"/>
                <w:sz w:val="18"/>
                <w:lang w:val="ru-RU"/>
              </w:rPr>
              <w:t>РСР</w:t>
            </w:r>
            <w:r w:rsidRPr="00694ACA">
              <w:rPr>
                <w:color w:val="407C9B"/>
                <w:sz w:val="18"/>
                <w:lang w:val="ru-RU"/>
              </w:rPr>
              <w:t>) (сейчас больше вебинары) (и все больше на региональном уровне)</w:t>
            </w: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5C10BC30" w14:textId="77777777" w:rsidR="004B77F6" w:rsidRPr="00694ACA" w:rsidRDefault="004B77F6" w:rsidP="00F221C0">
            <w:pPr>
              <w:spacing w:after="0"/>
              <w:rPr>
                <w:color w:val="407C9B"/>
                <w:sz w:val="18"/>
                <w:szCs w:val="18"/>
                <w:lang w:val="ru-RU"/>
              </w:rPr>
            </w:pPr>
          </w:p>
        </w:tc>
      </w:tr>
      <w:tr w:rsidR="00B41CB0" w:rsidRPr="00694ACA" w14:paraId="7C221F27" w14:textId="77777777" w:rsidTr="00F221C0">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54C2BB83" w14:textId="77777777" w:rsidR="004B77F6" w:rsidRPr="00694ACA" w:rsidRDefault="004B77F6" w:rsidP="00F221C0">
            <w:pPr>
              <w:spacing w:after="0"/>
              <w:rPr>
                <w:rFonts w:cs="Arial"/>
                <w:b/>
                <w:bCs/>
                <w:color w:val="407C9B"/>
                <w:sz w:val="18"/>
                <w:szCs w:val="18"/>
                <w:lang w:val="ru-RU"/>
              </w:rPr>
            </w:pPr>
            <w:r w:rsidRPr="00694ACA">
              <w:rPr>
                <w:b/>
                <w:color w:val="407C9B"/>
                <w:sz w:val="18"/>
                <w:lang w:val="ru-RU"/>
              </w:rPr>
              <w:t>Программы профессиональной подготовки</w:t>
            </w:r>
          </w:p>
        </w:tc>
        <w:tc>
          <w:tcPr>
            <w:tcW w:w="0" w:type="auto"/>
            <w:tcBorders>
              <w:top w:val="single" w:sz="4" w:space="0" w:color="FFFFFF"/>
              <w:left w:val="single" w:sz="4" w:space="0" w:color="FFFFFF"/>
              <w:bottom w:val="single" w:sz="4" w:space="0" w:color="FFFFFF"/>
              <w:right w:val="single" w:sz="4" w:space="0" w:color="FFFFFF"/>
            </w:tcBorders>
            <w:shd w:val="clear" w:color="auto" w:fill="D9D9D9"/>
          </w:tcPr>
          <w:p w14:paraId="4DA080E8" w14:textId="77777777" w:rsidR="004B77F6" w:rsidRPr="00627280" w:rsidRDefault="004B77F6" w:rsidP="00F221C0">
            <w:pPr>
              <w:spacing w:after="0"/>
              <w:rPr>
                <w:color w:val="407C9B"/>
                <w:sz w:val="18"/>
                <w:szCs w:val="18"/>
                <w:lang w:val="en-US"/>
              </w:rPr>
            </w:pPr>
            <w:r w:rsidRPr="00627280">
              <w:rPr>
                <w:color w:val="407C9B"/>
                <w:sz w:val="18"/>
                <w:lang w:val="en-US"/>
              </w:rPr>
              <w:t>SMTP</w:t>
            </w:r>
          </w:p>
          <w:p w14:paraId="217E28D6" w14:textId="77777777" w:rsidR="004B77F6" w:rsidRPr="00627280" w:rsidRDefault="004B77F6" w:rsidP="00F221C0">
            <w:pPr>
              <w:spacing w:after="0"/>
              <w:rPr>
                <w:color w:val="407C9B"/>
                <w:sz w:val="18"/>
                <w:szCs w:val="18"/>
                <w:lang w:val="en-US"/>
              </w:rPr>
            </w:pPr>
            <w:proofErr w:type="spellStart"/>
            <w:r w:rsidRPr="00627280">
              <w:rPr>
                <w:color w:val="407C9B"/>
                <w:sz w:val="18"/>
                <w:lang w:val="en-US"/>
              </w:rPr>
              <w:t>QoSTP</w:t>
            </w:r>
            <w:proofErr w:type="spellEnd"/>
          </w:p>
          <w:p w14:paraId="7FF16A70" w14:textId="77777777" w:rsidR="004B77F6" w:rsidRPr="00627280" w:rsidRDefault="004B77F6" w:rsidP="00F221C0">
            <w:pPr>
              <w:spacing w:after="0"/>
              <w:rPr>
                <w:color w:val="407C9B"/>
                <w:sz w:val="18"/>
                <w:szCs w:val="18"/>
                <w:lang w:val="en-US"/>
              </w:rPr>
            </w:pPr>
            <w:proofErr w:type="spellStart"/>
            <w:r w:rsidRPr="00627280">
              <w:rPr>
                <w:color w:val="407C9B"/>
                <w:sz w:val="18"/>
                <w:lang w:val="en-US"/>
              </w:rPr>
              <w:t>IoTPP</w:t>
            </w:r>
            <w:proofErr w:type="spellEnd"/>
          </w:p>
          <w:p w14:paraId="6B8D3C93" w14:textId="5020AE86" w:rsidR="004B77F6" w:rsidRPr="00627280" w:rsidRDefault="00A641E7" w:rsidP="00F221C0">
            <w:pPr>
              <w:spacing w:after="0"/>
              <w:rPr>
                <w:color w:val="407C9B"/>
                <w:sz w:val="18"/>
                <w:szCs w:val="18"/>
                <w:lang w:val="en-US"/>
              </w:rPr>
            </w:pPr>
            <w:r w:rsidRPr="00627280">
              <w:rPr>
                <w:color w:val="407C9B"/>
                <w:sz w:val="18"/>
                <w:lang w:val="en-US"/>
              </w:rPr>
              <w:t>ICT&amp;CCTP</w:t>
            </w: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2459D734" w14:textId="77777777" w:rsidR="004B77F6" w:rsidRPr="00694ACA" w:rsidRDefault="004B77F6" w:rsidP="00F221C0">
            <w:pPr>
              <w:spacing w:after="0"/>
              <w:rPr>
                <w:color w:val="407C9B"/>
                <w:sz w:val="18"/>
                <w:szCs w:val="18"/>
                <w:lang w:val="ru-RU"/>
              </w:rPr>
            </w:pPr>
            <w:r w:rsidRPr="00694ACA">
              <w:rPr>
                <w:color w:val="407C9B"/>
                <w:sz w:val="18"/>
                <w:lang w:val="ru-RU"/>
              </w:rPr>
              <w:t>(см. в собраниях ИК)</w:t>
            </w:r>
          </w:p>
        </w:tc>
        <w:tc>
          <w:tcPr>
            <w:tcW w:w="0" w:type="auto"/>
            <w:tcBorders>
              <w:top w:val="single" w:sz="4" w:space="0" w:color="FFFFFF"/>
              <w:left w:val="single" w:sz="4" w:space="0" w:color="FFFFFF"/>
              <w:bottom w:val="single" w:sz="4" w:space="0" w:color="FFFFFF"/>
              <w:right w:val="single" w:sz="4" w:space="0" w:color="FFFFFF"/>
            </w:tcBorders>
            <w:shd w:val="clear" w:color="auto" w:fill="D9D9D9"/>
          </w:tcPr>
          <w:p w14:paraId="25A1ACDA" w14:textId="77777777" w:rsidR="004B77F6" w:rsidRPr="00694ACA" w:rsidRDefault="004B77F6" w:rsidP="00F221C0">
            <w:pPr>
              <w:spacing w:after="0"/>
              <w:rPr>
                <w:color w:val="407C9B"/>
                <w:sz w:val="18"/>
                <w:szCs w:val="18"/>
                <w:lang w:val="ru-RU"/>
              </w:rPr>
            </w:pPr>
            <w:r w:rsidRPr="00694ACA">
              <w:rPr>
                <w:color w:val="407C9B"/>
                <w:sz w:val="18"/>
                <w:lang w:val="ru-RU"/>
              </w:rPr>
              <w:t>SMTP (с БРЭ)</w:t>
            </w:r>
          </w:p>
          <w:p w14:paraId="4670DB32" w14:textId="77777777" w:rsidR="004B77F6" w:rsidRPr="00694ACA" w:rsidRDefault="004B77F6" w:rsidP="00F221C0">
            <w:pPr>
              <w:spacing w:after="0"/>
              <w:rPr>
                <w:color w:val="407C9B"/>
                <w:sz w:val="18"/>
                <w:szCs w:val="18"/>
                <w:lang w:val="ru-RU"/>
              </w:rPr>
            </w:pP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7295E940" w14:textId="77777777" w:rsidR="004B77F6" w:rsidRPr="00694ACA" w:rsidRDefault="004B77F6" w:rsidP="00F221C0">
            <w:pPr>
              <w:spacing w:after="0"/>
              <w:rPr>
                <w:color w:val="407C9B"/>
                <w:sz w:val="18"/>
                <w:szCs w:val="18"/>
                <w:lang w:val="ru-RU"/>
              </w:rPr>
            </w:pPr>
          </w:p>
        </w:tc>
      </w:tr>
      <w:tr w:rsidR="00B41CB0" w:rsidRPr="00694ACA" w14:paraId="7E7C8A8C" w14:textId="77777777" w:rsidTr="00F221C0">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44121261" w14:textId="1159E4A6" w:rsidR="004B77F6" w:rsidRPr="00694ACA" w:rsidRDefault="00A641E7" w:rsidP="00F221C0">
            <w:pPr>
              <w:spacing w:after="0"/>
              <w:rPr>
                <w:rFonts w:cs="Arial"/>
                <w:b/>
                <w:bCs/>
                <w:color w:val="407C9B"/>
                <w:sz w:val="18"/>
                <w:szCs w:val="18"/>
                <w:lang w:val="ru-RU"/>
              </w:rPr>
            </w:pPr>
            <w:r w:rsidRPr="00694ACA">
              <w:rPr>
                <w:b/>
                <w:color w:val="407C9B"/>
                <w:sz w:val="18"/>
                <w:lang w:val="ru-RU"/>
              </w:rPr>
              <w:t xml:space="preserve">Магистерские </w:t>
            </w:r>
            <w:r w:rsidR="004B77F6" w:rsidRPr="00694ACA">
              <w:rPr>
                <w:b/>
                <w:color w:val="407C9B"/>
                <w:sz w:val="18"/>
                <w:lang w:val="ru-RU"/>
              </w:rPr>
              <w:t>программ</w:t>
            </w:r>
            <w:r w:rsidRPr="00694ACA">
              <w:rPr>
                <w:b/>
                <w:color w:val="407C9B"/>
                <w:sz w:val="18"/>
                <w:lang w:val="ru-RU"/>
              </w:rPr>
              <w:t>ы</w:t>
            </w:r>
          </w:p>
        </w:tc>
        <w:tc>
          <w:tcPr>
            <w:tcW w:w="0" w:type="auto"/>
            <w:tcBorders>
              <w:top w:val="single" w:sz="4" w:space="0" w:color="FFFFFF"/>
              <w:left w:val="single" w:sz="4" w:space="0" w:color="FFFFFF"/>
              <w:bottom w:val="single" w:sz="4" w:space="0" w:color="FFFFFF"/>
              <w:right w:val="single" w:sz="4" w:space="0" w:color="FFFFFF"/>
            </w:tcBorders>
            <w:shd w:val="clear" w:color="auto" w:fill="D9D9D9"/>
          </w:tcPr>
          <w:p w14:paraId="0457ECC8" w14:textId="77777777" w:rsidR="004B77F6" w:rsidRPr="00694ACA" w:rsidRDefault="004B77F6" w:rsidP="00F221C0">
            <w:pPr>
              <w:spacing w:after="0"/>
              <w:rPr>
                <w:color w:val="407C9B"/>
                <w:sz w:val="18"/>
                <w:szCs w:val="18"/>
                <w:lang w:val="ru-RU"/>
              </w:rPr>
            </w:pPr>
            <w:proofErr w:type="spellStart"/>
            <w:r w:rsidRPr="00694ACA">
              <w:rPr>
                <w:color w:val="407C9B"/>
                <w:sz w:val="18"/>
                <w:lang w:val="ru-RU"/>
              </w:rPr>
              <w:t>eMCM</w:t>
            </w:r>
            <w:proofErr w:type="spellEnd"/>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3C236A75" w14:textId="77777777" w:rsidR="004B77F6" w:rsidRPr="00694ACA" w:rsidRDefault="004B77F6" w:rsidP="00F221C0">
            <w:pPr>
              <w:spacing w:after="0"/>
              <w:rPr>
                <w:color w:val="407C9B"/>
                <w:sz w:val="18"/>
                <w:szCs w:val="18"/>
                <w:lang w:val="ru-RU"/>
              </w:rPr>
            </w:pP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35B7CE04" w14:textId="77777777" w:rsidR="004B77F6" w:rsidRPr="00694ACA" w:rsidRDefault="004B77F6" w:rsidP="00F221C0">
            <w:pPr>
              <w:spacing w:after="0"/>
              <w:rPr>
                <w:color w:val="407C9B"/>
                <w:sz w:val="18"/>
                <w:szCs w:val="18"/>
                <w:lang w:val="ru-RU"/>
              </w:rPr>
            </w:pP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67673C2D" w14:textId="77777777" w:rsidR="004B77F6" w:rsidRPr="00694ACA" w:rsidRDefault="004B77F6" w:rsidP="00F221C0">
            <w:pPr>
              <w:spacing w:after="0"/>
              <w:rPr>
                <w:color w:val="407C9B"/>
                <w:sz w:val="18"/>
                <w:szCs w:val="18"/>
                <w:lang w:val="ru-RU"/>
              </w:rPr>
            </w:pPr>
          </w:p>
        </w:tc>
      </w:tr>
      <w:tr w:rsidR="00B41CB0" w:rsidRPr="00D577E1" w14:paraId="153593DD" w14:textId="77777777" w:rsidTr="00F221C0">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0ADC14E6" w14:textId="40A56DDA" w:rsidR="004B77F6" w:rsidRPr="00694ACA" w:rsidRDefault="00A641E7" w:rsidP="00F221C0">
            <w:pPr>
              <w:spacing w:after="0"/>
              <w:rPr>
                <w:rFonts w:cs="Arial"/>
                <w:b/>
                <w:bCs/>
                <w:color w:val="407C9B"/>
                <w:sz w:val="18"/>
                <w:szCs w:val="18"/>
                <w:lang w:val="ru-RU"/>
              </w:rPr>
            </w:pPr>
            <w:r w:rsidRPr="00694ACA">
              <w:rPr>
                <w:b/>
                <w:color w:val="407C9B"/>
                <w:sz w:val="18"/>
                <w:lang w:val="ru-RU"/>
              </w:rPr>
              <w:t xml:space="preserve">Практические занятия </w:t>
            </w:r>
            <w:r w:rsidR="004B77F6" w:rsidRPr="00694ACA">
              <w:rPr>
                <w:b/>
                <w:color w:val="407C9B"/>
                <w:sz w:val="18"/>
                <w:lang w:val="ru-RU"/>
              </w:rPr>
              <w:t>(практическое обучение)</w:t>
            </w: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381A6EBB" w14:textId="235936EC" w:rsidR="004B77F6" w:rsidRPr="00694ACA" w:rsidRDefault="00A641E7" w:rsidP="00F221C0">
            <w:pPr>
              <w:spacing w:after="0"/>
              <w:rPr>
                <w:color w:val="407C9B"/>
                <w:sz w:val="18"/>
                <w:szCs w:val="18"/>
                <w:lang w:val="ru-RU"/>
              </w:rPr>
            </w:pPr>
            <w:r w:rsidRPr="00694ACA">
              <w:rPr>
                <w:color w:val="407C9B"/>
                <w:sz w:val="18"/>
                <w:lang w:val="ru-RU"/>
              </w:rPr>
              <w:t>Практические занятия</w:t>
            </w: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6916D818" w14:textId="62EB97AE" w:rsidR="004B77F6" w:rsidRPr="00694ACA" w:rsidRDefault="00A641E7" w:rsidP="00F221C0">
            <w:pPr>
              <w:spacing w:after="0"/>
              <w:rPr>
                <w:color w:val="407C9B"/>
                <w:sz w:val="18"/>
                <w:szCs w:val="18"/>
                <w:lang w:val="ru-RU"/>
              </w:rPr>
            </w:pPr>
            <w:r w:rsidRPr="00694ACA">
              <w:rPr>
                <w:color w:val="407C9B"/>
                <w:sz w:val="18"/>
                <w:lang w:val="ru-RU"/>
              </w:rPr>
              <w:t xml:space="preserve">Практические занятия </w:t>
            </w:r>
            <w:r w:rsidR="004B77F6" w:rsidRPr="00694ACA">
              <w:rPr>
                <w:color w:val="407C9B"/>
                <w:sz w:val="18"/>
                <w:lang w:val="ru-RU"/>
              </w:rPr>
              <w:t>(практическое обучение)</w:t>
            </w:r>
          </w:p>
          <w:p w14:paraId="2C6CFA98" w14:textId="1EE3B0B0" w:rsidR="004B77F6" w:rsidRPr="00694ACA" w:rsidRDefault="00275C63" w:rsidP="00F221C0">
            <w:pPr>
              <w:spacing w:after="0"/>
              <w:rPr>
                <w:color w:val="407C9B"/>
                <w:sz w:val="18"/>
                <w:szCs w:val="18"/>
                <w:lang w:val="ru-RU"/>
              </w:rPr>
            </w:pPr>
            <w:r w:rsidRPr="00694ACA">
              <w:rPr>
                <w:color w:val="407C9B"/>
                <w:sz w:val="18"/>
                <w:lang w:val="ru-RU"/>
              </w:rPr>
              <w:t>ПРС</w:t>
            </w:r>
            <w:r w:rsidR="004B77F6" w:rsidRPr="00A64AB2">
              <w:rPr>
                <w:rStyle w:val="FootnoteReference"/>
                <w:rFonts w:eastAsiaTheme="minorHAnsi" w:cs="Arial"/>
                <w:color w:val="407C9B"/>
                <w:szCs w:val="20"/>
                <w:lang w:val="ru-RU"/>
              </w:rPr>
              <w:footnoteReference w:id="219"/>
            </w: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6BD665F1" w14:textId="72A3DFA5" w:rsidR="004B77F6" w:rsidRPr="00694ACA" w:rsidRDefault="004B77F6" w:rsidP="00F221C0">
            <w:pPr>
              <w:spacing w:after="0"/>
              <w:rPr>
                <w:color w:val="407C9B"/>
                <w:sz w:val="18"/>
                <w:szCs w:val="18"/>
                <w:lang w:val="ru-RU"/>
              </w:rPr>
            </w:pPr>
            <w:r w:rsidRPr="00694ACA">
              <w:rPr>
                <w:color w:val="407C9B"/>
                <w:sz w:val="18"/>
                <w:lang w:val="ru-RU"/>
              </w:rPr>
              <w:t>Практи</w:t>
            </w:r>
            <w:r w:rsidR="00A641E7" w:rsidRPr="00694ACA">
              <w:rPr>
                <w:color w:val="407C9B"/>
                <w:sz w:val="18"/>
                <w:lang w:val="ru-RU"/>
              </w:rPr>
              <w:t xml:space="preserve">ческие занятия </w:t>
            </w:r>
            <w:r w:rsidRPr="00694ACA">
              <w:rPr>
                <w:color w:val="407C9B"/>
                <w:sz w:val="18"/>
                <w:lang w:val="ru-RU"/>
              </w:rPr>
              <w:t>(в ходе семинаров</w:t>
            </w:r>
            <w:r w:rsidR="00A641E7" w:rsidRPr="00694ACA">
              <w:rPr>
                <w:color w:val="407C9B"/>
                <w:sz w:val="18"/>
                <w:lang w:val="ru-RU"/>
              </w:rPr>
              <w:t>-практикумов</w:t>
            </w:r>
            <w:r w:rsidRPr="00694ACA">
              <w:rPr>
                <w:color w:val="407C9B"/>
                <w:sz w:val="18"/>
                <w:lang w:val="ru-RU"/>
              </w:rPr>
              <w:t>)</w:t>
            </w: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1B11CEC1" w14:textId="77777777" w:rsidR="004B77F6" w:rsidRPr="00694ACA" w:rsidRDefault="004B77F6" w:rsidP="00F221C0">
            <w:pPr>
              <w:spacing w:after="0"/>
              <w:rPr>
                <w:color w:val="407C9B"/>
                <w:sz w:val="18"/>
                <w:szCs w:val="18"/>
                <w:lang w:val="ru-RU"/>
              </w:rPr>
            </w:pPr>
          </w:p>
        </w:tc>
      </w:tr>
      <w:tr w:rsidR="00B41CB0" w:rsidRPr="00694ACA" w14:paraId="7CFAC6B5" w14:textId="77777777" w:rsidTr="00F221C0">
        <w:trPr>
          <w:trHeight w:val="1307"/>
        </w:trPr>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43763F48" w14:textId="77777777" w:rsidR="004B77F6" w:rsidRPr="00694ACA" w:rsidRDefault="004B77F6" w:rsidP="00F221C0">
            <w:pPr>
              <w:spacing w:after="0"/>
              <w:rPr>
                <w:rFonts w:cs="Arial"/>
                <w:b/>
                <w:bCs/>
                <w:color w:val="407C9B"/>
                <w:sz w:val="18"/>
                <w:szCs w:val="18"/>
                <w:lang w:val="ru-RU"/>
              </w:rPr>
            </w:pPr>
            <w:r w:rsidRPr="00694ACA">
              <w:rPr>
                <w:b/>
                <w:color w:val="407C9B"/>
                <w:sz w:val="18"/>
                <w:lang w:val="ru-RU"/>
              </w:rPr>
              <w:lastRenderedPageBreak/>
              <w:t>Семинары-практикумы</w:t>
            </w: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2A667743" w14:textId="50577579" w:rsidR="004B77F6" w:rsidRPr="00694ACA" w:rsidRDefault="004B77F6" w:rsidP="00F221C0">
            <w:pPr>
              <w:spacing w:after="0"/>
              <w:rPr>
                <w:sz w:val="18"/>
                <w:szCs w:val="18"/>
                <w:lang w:val="ru-RU"/>
              </w:rPr>
            </w:pPr>
            <w:r w:rsidRPr="00694ACA">
              <w:rPr>
                <w:color w:val="407C9B"/>
                <w:sz w:val="18"/>
                <w:lang w:val="ru-RU"/>
              </w:rPr>
              <w:t>Очные семинары-практикумы (см. также региональные</w:t>
            </w:r>
            <w:r w:rsidR="00A641E7" w:rsidRPr="00694ACA">
              <w:rPr>
                <w:color w:val="407C9B"/>
                <w:sz w:val="18"/>
                <w:lang w:val="ru-RU"/>
              </w:rPr>
              <w:t xml:space="preserve"> группы </w:t>
            </w:r>
            <w:r w:rsidRPr="00694ACA">
              <w:rPr>
                <w:color w:val="407C9B"/>
                <w:sz w:val="18"/>
                <w:lang w:val="ru-RU"/>
              </w:rPr>
              <w:t xml:space="preserve">и </w:t>
            </w:r>
            <w:r w:rsidR="00A641E7" w:rsidRPr="00694ACA">
              <w:rPr>
                <w:color w:val="407C9B"/>
                <w:sz w:val="18"/>
                <w:lang w:val="ru-RU"/>
              </w:rPr>
              <w:t xml:space="preserve">исследовательские </w:t>
            </w:r>
            <w:r w:rsidRPr="00694ACA">
              <w:rPr>
                <w:color w:val="407C9B"/>
                <w:sz w:val="18"/>
                <w:lang w:val="ru-RU"/>
              </w:rPr>
              <w:t xml:space="preserve">комиссии) </w:t>
            </w: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37FA1178" w14:textId="61D99F25" w:rsidR="004B77F6" w:rsidRPr="00694ACA" w:rsidRDefault="004B77F6" w:rsidP="00F221C0">
            <w:pPr>
              <w:spacing w:after="0"/>
              <w:rPr>
                <w:color w:val="407C9B"/>
                <w:sz w:val="18"/>
                <w:szCs w:val="18"/>
                <w:lang w:val="ru-RU"/>
              </w:rPr>
            </w:pPr>
            <w:r w:rsidRPr="00694ACA">
              <w:rPr>
                <w:color w:val="407C9B"/>
                <w:sz w:val="18"/>
                <w:lang w:val="ru-RU"/>
              </w:rPr>
              <w:t xml:space="preserve">Семинары-практикумы (последовательно с собраниями ИК, региональных </w:t>
            </w:r>
            <w:r w:rsidR="00A641E7" w:rsidRPr="00694ACA">
              <w:rPr>
                <w:color w:val="407C9B"/>
                <w:sz w:val="18"/>
                <w:lang w:val="ru-RU"/>
              </w:rPr>
              <w:t>групп</w:t>
            </w:r>
            <w:r w:rsidRPr="00694ACA">
              <w:rPr>
                <w:color w:val="407C9B"/>
                <w:sz w:val="18"/>
                <w:lang w:val="ru-RU"/>
              </w:rPr>
              <w:t xml:space="preserve"> и оперативных групп)</w:t>
            </w: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0F7CF10D" w14:textId="77777777" w:rsidR="004B77F6" w:rsidRPr="00694ACA" w:rsidRDefault="004B77F6" w:rsidP="00F221C0">
            <w:pPr>
              <w:spacing w:after="0"/>
              <w:rPr>
                <w:color w:val="407C9B"/>
                <w:sz w:val="18"/>
                <w:szCs w:val="18"/>
                <w:lang w:val="ru-RU"/>
              </w:rPr>
            </w:pPr>
            <w:r w:rsidRPr="00694ACA">
              <w:rPr>
                <w:color w:val="407C9B"/>
                <w:sz w:val="18"/>
                <w:lang w:val="ru-RU"/>
              </w:rPr>
              <w:t>Региональные семинары-практикумы</w:t>
            </w:r>
          </w:p>
          <w:p w14:paraId="47384C00" w14:textId="77777777" w:rsidR="004B77F6" w:rsidRPr="00694ACA" w:rsidRDefault="004B77F6" w:rsidP="00F221C0">
            <w:pPr>
              <w:spacing w:after="0"/>
              <w:rPr>
                <w:color w:val="407C9B"/>
                <w:sz w:val="18"/>
                <w:szCs w:val="18"/>
                <w:lang w:val="ru-RU"/>
              </w:rPr>
            </w:pPr>
            <w:proofErr w:type="spellStart"/>
            <w:r w:rsidRPr="00694ACA">
              <w:rPr>
                <w:color w:val="407C9B"/>
                <w:sz w:val="18"/>
                <w:lang w:val="ru-RU"/>
              </w:rPr>
              <w:t>Межсекторальные</w:t>
            </w:r>
            <w:proofErr w:type="spellEnd"/>
            <w:r w:rsidRPr="00694ACA">
              <w:rPr>
                <w:color w:val="407C9B"/>
                <w:sz w:val="18"/>
                <w:lang w:val="ru-RU"/>
              </w:rPr>
              <w:t xml:space="preserve"> семинары-практикумы</w:t>
            </w:r>
          </w:p>
          <w:p w14:paraId="55C87264" w14:textId="77777777" w:rsidR="004B77F6" w:rsidRPr="00694ACA" w:rsidRDefault="004B77F6" w:rsidP="00F221C0">
            <w:pPr>
              <w:spacing w:after="0"/>
              <w:rPr>
                <w:color w:val="407C9B"/>
                <w:sz w:val="18"/>
                <w:szCs w:val="18"/>
                <w:lang w:val="ru-RU"/>
              </w:rPr>
            </w:pPr>
            <w:r w:rsidRPr="00694ACA">
              <w:rPr>
                <w:color w:val="407C9B"/>
                <w:sz w:val="18"/>
                <w:lang w:val="ru-RU"/>
              </w:rPr>
              <w:t>Межрегиональные семинары-практикумы</w:t>
            </w: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05D950BB" w14:textId="77777777" w:rsidR="004B77F6" w:rsidRPr="00694ACA" w:rsidRDefault="004B77F6" w:rsidP="00F221C0">
            <w:pPr>
              <w:spacing w:after="0"/>
              <w:rPr>
                <w:sz w:val="18"/>
                <w:szCs w:val="18"/>
                <w:lang w:val="ru-RU"/>
              </w:rPr>
            </w:pPr>
          </w:p>
        </w:tc>
      </w:tr>
      <w:tr w:rsidR="00B41CB0" w:rsidRPr="00694ACA" w14:paraId="0D5AEF02" w14:textId="77777777" w:rsidTr="00F221C0">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3BA61779" w14:textId="11BF526D" w:rsidR="004B77F6" w:rsidRPr="00694ACA" w:rsidRDefault="00B41CB0" w:rsidP="00F221C0">
            <w:pPr>
              <w:spacing w:after="0"/>
              <w:rPr>
                <w:rFonts w:cs="Arial"/>
                <w:b/>
                <w:bCs/>
                <w:color w:val="407C9B"/>
                <w:sz w:val="18"/>
                <w:szCs w:val="18"/>
                <w:lang w:val="ru-RU"/>
              </w:rPr>
            </w:pPr>
            <w:r w:rsidRPr="00694ACA">
              <w:rPr>
                <w:b/>
                <w:color w:val="407C9B"/>
                <w:sz w:val="18"/>
                <w:lang w:val="ru-RU"/>
              </w:rPr>
              <w:t>Практикумы</w:t>
            </w: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6DDF5166" w14:textId="77777777" w:rsidR="004B77F6" w:rsidRPr="00694ACA" w:rsidRDefault="004B77F6" w:rsidP="00F221C0">
            <w:pPr>
              <w:spacing w:after="0"/>
              <w:rPr>
                <w:sz w:val="18"/>
                <w:szCs w:val="18"/>
                <w:lang w:val="ru-RU"/>
              </w:rPr>
            </w:pP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2B42AB18" w14:textId="5EAB061E" w:rsidR="004B77F6" w:rsidRPr="00694ACA" w:rsidRDefault="00B41CB0" w:rsidP="00F221C0">
            <w:pPr>
              <w:spacing w:after="0"/>
              <w:rPr>
                <w:color w:val="407C9B"/>
                <w:sz w:val="18"/>
                <w:szCs w:val="18"/>
                <w:lang w:val="ru-RU"/>
              </w:rPr>
            </w:pPr>
            <w:r w:rsidRPr="00694ACA">
              <w:rPr>
                <w:color w:val="407C9B"/>
                <w:sz w:val="18"/>
                <w:lang w:val="ru-RU"/>
              </w:rPr>
              <w:t>Практикумы</w:t>
            </w:r>
          </w:p>
          <w:p w14:paraId="37AA8712" w14:textId="77777777" w:rsidR="004B77F6" w:rsidRPr="00694ACA" w:rsidRDefault="004B77F6" w:rsidP="00F221C0">
            <w:pPr>
              <w:spacing w:after="0"/>
              <w:rPr>
                <w:sz w:val="18"/>
                <w:szCs w:val="18"/>
                <w:lang w:val="ru-RU"/>
              </w:rPr>
            </w:pPr>
            <w:r w:rsidRPr="00694ACA">
              <w:rPr>
                <w:color w:val="407C9B"/>
                <w:sz w:val="18"/>
                <w:lang w:val="ru-RU"/>
              </w:rPr>
              <w:t>Безопасность FIGI</w:t>
            </w: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240C7EBB" w14:textId="77777777" w:rsidR="004B77F6" w:rsidRPr="00694ACA" w:rsidRDefault="004B77F6" w:rsidP="00F221C0">
            <w:pPr>
              <w:spacing w:after="0"/>
              <w:rPr>
                <w:sz w:val="18"/>
                <w:szCs w:val="18"/>
                <w:lang w:val="ru-RU"/>
              </w:rPr>
            </w:pP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0E668076" w14:textId="77777777" w:rsidR="004B77F6" w:rsidRPr="00694ACA" w:rsidRDefault="004B77F6" w:rsidP="00F221C0">
            <w:pPr>
              <w:spacing w:after="0"/>
              <w:rPr>
                <w:sz w:val="18"/>
                <w:szCs w:val="18"/>
                <w:lang w:val="ru-RU"/>
              </w:rPr>
            </w:pPr>
          </w:p>
        </w:tc>
      </w:tr>
      <w:tr w:rsidR="00B41CB0" w:rsidRPr="00694ACA" w14:paraId="50A3DD17" w14:textId="77777777" w:rsidTr="00F221C0">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748FE5C8" w14:textId="77777777" w:rsidR="004B77F6" w:rsidRPr="00694ACA" w:rsidRDefault="004B77F6" w:rsidP="00F221C0">
            <w:pPr>
              <w:spacing w:after="0"/>
              <w:rPr>
                <w:rFonts w:cs="Arial"/>
                <w:b/>
                <w:bCs/>
                <w:color w:val="407C9B"/>
                <w:sz w:val="18"/>
                <w:szCs w:val="18"/>
                <w:lang w:val="ru-RU"/>
              </w:rPr>
            </w:pPr>
            <w:r w:rsidRPr="00694ACA">
              <w:rPr>
                <w:b/>
                <w:color w:val="407C9B"/>
                <w:sz w:val="18"/>
                <w:lang w:val="ru-RU"/>
              </w:rPr>
              <w:t>Региональные мероприятия профессиональной подготовки (часто разработанные индивидуально по запросу члена)</w:t>
            </w: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4F6F237D" w14:textId="77777777" w:rsidR="004B77F6" w:rsidRPr="00694ACA" w:rsidRDefault="004B77F6" w:rsidP="00F221C0">
            <w:pPr>
              <w:spacing w:after="0"/>
              <w:rPr>
                <w:color w:val="407C9B"/>
                <w:sz w:val="18"/>
                <w:szCs w:val="18"/>
                <w:lang w:val="ru-RU"/>
              </w:rPr>
            </w:pPr>
            <w:r w:rsidRPr="00694ACA">
              <w:rPr>
                <w:color w:val="407C9B"/>
                <w:sz w:val="18"/>
                <w:lang w:val="ru-RU"/>
              </w:rPr>
              <w:t>Региональные мероприятия профессиональной подготовки</w:t>
            </w: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75B159BC" w14:textId="77777777" w:rsidR="004B77F6" w:rsidRPr="00694ACA" w:rsidRDefault="004B77F6" w:rsidP="00F221C0">
            <w:pPr>
              <w:spacing w:after="0"/>
              <w:rPr>
                <w:color w:val="407C9B"/>
                <w:sz w:val="18"/>
                <w:szCs w:val="18"/>
                <w:lang w:val="ru-RU"/>
              </w:rPr>
            </w:pPr>
            <w:r w:rsidRPr="00694ACA">
              <w:rPr>
                <w:color w:val="407C9B"/>
                <w:sz w:val="18"/>
                <w:lang w:val="ru-RU"/>
              </w:rPr>
              <w:t>Региональные мероприятия профессиональной подготовки (предоставление контента и экспертных знаний)</w:t>
            </w: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2FCC6DA5" w14:textId="77777777" w:rsidR="004B77F6" w:rsidRPr="00694ACA" w:rsidRDefault="004B77F6" w:rsidP="00F221C0">
            <w:pPr>
              <w:spacing w:after="0"/>
              <w:rPr>
                <w:color w:val="407C9B"/>
                <w:sz w:val="18"/>
                <w:szCs w:val="18"/>
                <w:lang w:val="ru-RU"/>
              </w:rPr>
            </w:pPr>
            <w:r w:rsidRPr="00694ACA">
              <w:rPr>
                <w:color w:val="407C9B"/>
                <w:sz w:val="18"/>
                <w:lang w:val="ru-RU"/>
              </w:rPr>
              <w:t>Региональные мероприятия профессиональной подготовки</w:t>
            </w: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50971F98" w14:textId="77777777" w:rsidR="004B77F6" w:rsidRPr="00694ACA" w:rsidRDefault="004B77F6" w:rsidP="00F221C0">
            <w:pPr>
              <w:spacing w:after="0"/>
              <w:rPr>
                <w:color w:val="407C9B"/>
                <w:sz w:val="18"/>
                <w:szCs w:val="18"/>
                <w:lang w:val="ru-RU"/>
              </w:rPr>
            </w:pPr>
          </w:p>
        </w:tc>
      </w:tr>
      <w:tr w:rsidR="00B41CB0" w:rsidRPr="00D577E1" w14:paraId="6E676F29" w14:textId="77777777" w:rsidTr="00F221C0">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39659126" w14:textId="77777777" w:rsidR="004B77F6" w:rsidRPr="00694ACA" w:rsidRDefault="004B77F6" w:rsidP="00F221C0">
            <w:pPr>
              <w:spacing w:after="0"/>
              <w:rPr>
                <w:rFonts w:cs="Arial"/>
                <w:b/>
                <w:bCs/>
                <w:color w:val="407C9B"/>
                <w:sz w:val="18"/>
                <w:szCs w:val="18"/>
                <w:lang w:val="ru-RU"/>
              </w:rPr>
            </w:pPr>
            <w:r w:rsidRPr="00694ACA">
              <w:rPr>
                <w:b/>
                <w:color w:val="407C9B"/>
                <w:sz w:val="18"/>
                <w:lang w:val="ru-RU"/>
              </w:rPr>
              <w:t>Тематические мероприятия профессиональной подготовки (часто разработанные индивидуально по запросу члена)</w:t>
            </w: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087E37D3" w14:textId="77777777" w:rsidR="004B77F6" w:rsidRPr="00694ACA" w:rsidRDefault="004B77F6" w:rsidP="00F221C0">
            <w:pPr>
              <w:spacing w:after="0"/>
              <w:rPr>
                <w:color w:val="407C9B"/>
                <w:sz w:val="18"/>
                <w:szCs w:val="18"/>
                <w:lang w:val="ru-RU"/>
              </w:rPr>
            </w:pPr>
            <w:r w:rsidRPr="00694ACA">
              <w:rPr>
                <w:color w:val="407C9B"/>
                <w:sz w:val="18"/>
                <w:lang w:val="ru-RU"/>
              </w:rPr>
              <w:t>Специализированная профессиональная подготовка в приоритетных областях</w:t>
            </w: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6D304509" w14:textId="77777777" w:rsidR="004B77F6" w:rsidRPr="00694ACA" w:rsidRDefault="004B77F6" w:rsidP="00F221C0">
            <w:pPr>
              <w:spacing w:after="0"/>
              <w:rPr>
                <w:color w:val="407C9B"/>
                <w:sz w:val="18"/>
                <w:szCs w:val="18"/>
                <w:lang w:val="ru-RU"/>
              </w:rPr>
            </w:pP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6FD54AA0" w14:textId="77777777" w:rsidR="004B77F6" w:rsidRPr="00694ACA" w:rsidRDefault="004B77F6" w:rsidP="00F221C0">
            <w:pPr>
              <w:spacing w:after="0"/>
              <w:rPr>
                <w:color w:val="407C9B"/>
                <w:sz w:val="18"/>
                <w:szCs w:val="18"/>
                <w:lang w:val="ru-RU"/>
              </w:rPr>
            </w:pP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649CCCBE" w14:textId="402D6EF9" w:rsidR="004B77F6" w:rsidRPr="00694ACA" w:rsidRDefault="004B77F6" w:rsidP="00F221C0">
            <w:pPr>
              <w:spacing w:after="0"/>
              <w:rPr>
                <w:color w:val="407C9B"/>
                <w:sz w:val="18"/>
                <w:szCs w:val="18"/>
                <w:lang w:val="ru-RU"/>
              </w:rPr>
            </w:pPr>
            <w:r w:rsidRPr="00694ACA">
              <w:rPr>
                <w:color w:val="407C9B"/>
                <w:sz w:val="18"/>
                <w:lang w:val="ru-RU"/>
              </w:rPr>
              <w:t xml:space="preserve">Профессиональная подготовка для МСП </w:t>
            </w:r>
            <w:r w:rsidR="00B41CB0" w:rsidRPr="00694ACA">
              <w:rPr>
                <w:color w:val="407C9B"/>
                <w:sz w:val="18"/>
                <w:lang w:val="ru-RU"/>
              </w:rPr>
              <w:t>в рамках Всемирных мероприятий</w:t>
            </w:r>
            <w:r w:rsidRPr="00694ACA">
              <w:rPr>
                <w:color w:val="407C9B"/>
                <w:sz w:val="18"/>
                <w:lang w:val="ru-RU"/>
              </w:rPr>
              <w:t xml:space="preserve"> </w:t>
            </w:r>
            <w:proofErr w:type="spellStart"/>
            <w:r w:rsidRPr="00694ACA">
              <w:rPr>
                <w:color w:val="407C9B"/>
                <w:sz w:val="18"/>
                <w:lang w:val="ru-RU"/>
              </w:rPr>
              <w:t>Telecom</w:t>
            </w:r>
            <w:proofErr w:type="spellEnd"/>
            <w:r w:rsidRPr="00694ACA">
              <w:rPr>
                <w:color w:val="407C9B"/>
                <w:sz w:val="18"/>
                <w:lang w:val="ru-RU"/>
              </w:rPr>
              <w:t xml:space="preserve"> </w:t>
            </w:r>
          </w:p>
        </w:tc>
      </w:tr>
      <w:tr w:rsidR="00B41CB0" w:rsidRPr="00D577E1" w14:paraId="2C661B2F" w14:textId="77777777" w:rsidTr="00F221C0">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11206571" w14:textId="546FDCE3" w:rsidR="004B77F6" w:rsidRPr="00694ACA" w:rsidRDefault="004B77F6" w:rsidP="00F221C0">
            <w:pPr>
              <w:spacing w:after="0"/>
              <w:rPr>
                <w:rFonts w:cs="Arial"/>
                <w:b/>
                <w:bCs/>
                <w:color w:val="407C9B"/>
                <w:sz w:val="18"/>
                <w:szCs w:val="18"/>
                <w:lang w:val="ru-RU"/>
              </w:rPr>
            </w:pPr>
            <w:r w:rsidRPr="00694ACA">
              <w:rPr>
                <w:b/>
                <w:color w:val="407C9B"/>
                <w:sz w:val="18"/>
                <w:lang w:val="ru-RU"/>
              </w:rPr>
              <w:t xml:space="preserve">Собрания </w:t>
            </w:r>
            <w:r w:rsidR="00B41CB0" w:rsidRPr="00694ACA">
              <w:rPr>
                <w:b/>
                <w:color w:val="407C9B"/>
                <w:sz w:val="18"/>
                <w:lang w:val="ru-RU"/>
              </w:rPr>
              <w:t xml:space="preserve">исследовательских </w:t>
            </w:r>
            <w:r w:rsidRPr="00694ACA">
              <w:rPr>
                <w:b/>
                <w:color w:val="407C9B"/>
                <w:sz w:val="18"/>
                <w:lang w:val="ru-RU"/>
              </w:rPr>
              <w:t>комиссий</w:t>
            </w: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22E0691C" w14:textId="77777777" w:rsidR="004B77F6" w:rsidRPr="00694ACA" w:rsidRDefault="004B77F6" w:rsidP="00F221C0">
            <w:pPr>
              <w:spacing w:after="0"/>
              <w:rPr>
                <w:color w:val="407C9B"/>
                <w:sz w:val="18"/>
                <w:szCs w:val="18"/>
                <w:lang w:val="ru-RU"/>
              </w:rPr>
            </w:pPr>
            <w:r w:rsidRPr="00694ACA">
              <w:rPr>
                <w:color w:val="407C9B"/>
                <w:sz w:val="18"/>
                <w:lang w:val="ru-RU"/>
              </w:rPr>
              <w:t>С семинарами-практикумами</w:t>
            </w: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162D0E79" w14:textId="77777777" w:rsidR="004B77F6" w:rsidRPr="00694ACA" w:rsidRDefault="004B77F6" w:rsidP="00F221C0">
            <w:pPr>
              <w:spacing w:after="0"/>
              <w:rPr>
                <w:color w:val="407C9B"/>
                <w:sz w:val="18"/>
                <w:szCs w:val="18"/>
                <w:lang w:val="ru-RU"/>
              </w:rPr>
            </w:pPr>
            <w:r w:rsidRPr="00694ACA">
              <w:rPr>
                <w:color w:val="407C9B"/>
                <w:sz w:val="18"/>
                <w:lang w:val="ru-RU"/>
              </w:rPr>
              <w:t>Семинары-практикумы, следующие за собраниями ИК</w:t>
            </w: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5990ED61" w14:textId="77777777" w:rsidR="004B77F6" w:rsidRPr="00694ACA" w:rsidRDefault="004B77F6" w:rsidP="00F221C0">
            <w:pPr>
              <w:spacing w:after="0"/>
              <w:rPr>
                <w:color w:val="407C9B"/>
                <w:sz w:val="18"/>
                <w:szCs w:val="18"/>
                <w:lang w:val="ru-RU"/>
              </w:rPr>
            </w:pP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27EF8FA3" w14:textId="77777777" w:rsidR="004B77F6" w:rsidRPr="00694ACA" w:rsidRDefault="004B77F6" w:rsidP="00F221C0">
            <w:pPr>
              <w:spacing w:after="0"/>
              <w:rPr>
                <w:color w:val="407C9B"/>
                <w:sz w:val="18"/>
                <w:szCs w:val="18"/>
                <w:lang w:val="ru-RU"/>
              </w:rPr>
            </w:pPr>
          </w:p>
        </w:tc>
      </w:tr>
      <w:tr w:rsidR="00B41CB0" w:rsidRPr="00D577E1" w14:paraId="2E5480C5" w14:textId="77777777" w:rsidTr="00F221C0">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48140CEA" w14:textId="06BA9832" w:rsidR="004B77F6" w:rsidRPr="00694ACA" w:rsidRDefault="004B77F6" w:rsidP="00F221C0">
            <w:pPr>
              <w:tabs>
                <w:tab w:val="left" w:pos="1743"/>
              </w:tabs>
              <w:spacing w:after="0"/>
              <w:rPr>
                <w:rFonts w:cs="Arial"/>
                <w:b/>
                <w:bCs/>
                <w:color w:val="407C9B"/>
                <w:sz w:val="18"/>
                <w:szCs w:val="18"/>
                <w:lang w:val="ru-RU"/>
              </w:rPr>
            </w:pPr>
            <w:r w:rsidRPr="00694ACA">
              <w:rPr>
                <w:b/>
                <w:color w:val="407C9B"/>
                <w:sz w:val="18"/>
                <w:lang w:val="ru-RU"/>
              </w:rPr>
              <w:t>Конференции и симпозиумы</w:t>
            </w:r>
            <w:r w:rsidRPr="00A64AB2">
              <w:rPr>
                <w:rStyle w:val="FootnoteReference"/>
                <w:rFonts w:eastAsiaTheme="minorHAnsi" w:cs="Arial"/>
                <w:color w:val="407C9B"/>
                <w:szCs w:val="20"/>
                <w:lang w:val="ru-RU"/>
              </w:rPr>
              <w:footnoteReference w:id="220"/>
            </w: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44403A55" w14:textId="77777777" w:rsidR="004B77F6" w:rsidRPr="00694ACA" w:rsidRDefault="004B77F6" w:rsidP="00F221C0">
            <w:pPr>
              <w:spacing w:after="0"/>
              <w:rPr>
                <w:color w:val="407C9B"/>
                <w:sz w:val="18"/>
                <w:szCs w:val="18"/>
                <w:lang w:val="ru-RU"/>
              </w:rPr>
            </w:pP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6F0ABA19" w14:textId="6C847B80" w:rsidR="004B77F6" w:rsidRPr="00694ACA" w:rsidRDefault="004B77F6" w:rsidP="00F221C0">
            <w:pPr>
              <w:spacing w:after="0"/>
              <w:rPr>
                <w:color w:val="407C9B"/>
                <w:sz w:val="18"/>
                <w:szCs w:val="18"/>
                <w:lang w:val="ru-RU"/>
              </w:rPr>
            </w:pPr>
            <w:r w:rsidRPr="00694ACA">
              <w:rPr>
                <w:color w:val="407C9B"/>
                <w:sz w:val="18"/>
                <w:lang w:val="ru-RU"/>
              </w:rPr>
              <w:t xml:space="preserve">Конференция </w:t>
            </w:r>
            <w:r w:rsidR="006E72AD" w:rsidRPr="00694ACA">
              <w:rPr>
                <w:color w:val="407C9B"/>
                <w:sz w:val="18"/>
                <w:lang w:val="ru-RU"/>
              </w:rPr>
              <w:t>"</w:t>
            </w:r>
            <w:r w:rsidRPr="00694ACA">
              <w:rPr>
                <w:color w:val="407C9B"/>
                <w:sz w:val="18"/>
                <w:lang w:val="ru-RU"/>
              </w:rPr>
              <w:t>Калейдоскоп</w:t>
            </w:r>
            <w:r w:rsidR="006E72AD" w:rsidRPr="00694ACA">
              <w:rPr>
                <w:color w:val="407C9B"/>
                <w:sz w:val="18"/>
                <w:lang w:val="ru-RU"/>
              </w:rPr>
              <w:t>"</w:t>
            </w:r>
          </w:p>
          <w:p w14:paraId="09924E84" w14:textId="10EC823A" w:rsidR="004B77F6" w:rsidRPr="00694ACA" w:rsidRDefault="009D78B1" w:rsidP="00F221C0">
            <w:pPr>
              <w:spacing w:after="0"/>
              <w:rPr>
                <w:color w:val="407C9B"/>
                <w:sz w:val="18"/>
                <w:szCs w:val="18"/>
                <w:lang w:val="ru-RU"/>
              </w:rPr>
            </w:pPr>
            <w:r w:rsidRPr="00694ACA">
              <w:rPr>
                <w:color w:val="407C9B"/>
                <w:sz w:val="18"/>
                <w:lang w:val="ru-RU"/>
              </w:rPr>
              <w:t>"ИИ во благо"</w:t>
            </w:r>
          </w:p>
          <w:p w14:paraId="4CDAD420" w14:textId="77777777" w:rsidR="004B77F6" w:rsidRPr="00694ACA" w:rsidRDefault="004B77F6" w:rsidP="00F221C0">
            <w:pPr>
              <w:spacing w:after="0"/>
              <w:rPr>
                <w:color w:val="407C9B"/>
                <w:sz w:val="18"/>
                <w:szCs w:val="18"/>
                <w:lang w:val="ru-RU"/>
              </w:rPr>
            </w:pPr>
            <w:r w:rsidRPr="00694ACA">
              <w:rPr>
                <w:color w:val="407C9B"/>
                <w:sz w:val="18"/>
                <w:lang w:val="ru-RU"/>
              </w:rPr>
              <w:t>Симпозиум FIGI</w:t>
            </w:r>
          </w:p>
          <w:p w14:paraId="0208B5FB" w14:textId="7E21F5BC" w:rsidR="004B77F6" w:rsidRPr="00694ACA" w:rsidRDefault="004B77F6" w:rsidP="00F221C0">
            <w:pPr>
              <w:spacing w:after="0"/>
              <w:rPr>
                <w:color w:val="407C9B"/>
                <w:sz w:val="18"/>
                <w:szCs w:val="18"/>
                <w:lang w:val="ru-RU"/>
              </w:rPr>
            </w:pPr>
            <w:r w:rsidRPr="00694ACA">
              <w:rPr>
                <w:color w:val="407C9B"/>
                <w:sz w:val="18"/>
                <w:lang w:val="ru-RU"/>
              </w:rPr>
              <w:t xml:space="preserve">Конференция </w:t>
            </w:r>
            <w:r w:rsidR="009D78B1" w:rsidRPr="00694ACA">
              <w:rPr>
                <w:color w:val="407C9B"/>
                <w:sz w:val="18"/>
                <w:lang w:val="ru-RU"/>
              </w:rPr>
              <w:t>"Будущий подключенный к сети автомобиль"</w:t>
            </w:r>
          </w:p>
          <w:p w14:paraId="233A164F" w14:textId="77777777" w:rsidR="004B77F6" w:rsidRPr="00694ACA" w:rsidRDefault="004B77F6" w:rsidP="00F221C0">
            <w:pPr>
              <w:spacing w:after="0"/>
              <w:rPr>
                <w:color w:val="407C9B"/>
                <w:sz w:val="18"/>
                <w:szCs w:val="18"/>
                <w:lang w:val="ru-RU"/>
              </w:rPr>
            </w:pPr>
            <w:r w:rsidRPr="00694ACA">
              <w:rPr>
                <w:color w:val="407C9B"/>
                <w:sz w:val="18"/>
                <w:lang w:val="ru-RU"/>
              </w:rPr>
              <w:t>U4SSC</w:t>
            </w: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06768A0E" w14:textId="77777777" w:rsidR="004B77F6" w:rsidRPr="00694ACA" w:rsidRDefault="004B77F6" w:rsidP="00F221C0">
            <w:pPr>
              <w:spacing w:after="0"/>
              <w:rPr>
                <w:color w:val="407C9B"/>
                <w:sz w:val="18"/>
                <w:szCs w:val="18"/>
                <w:lang w:val="ru-RU"/>
              </w:rPr>
            </w:pPr>
            <w:r w:rsidRPr="00694ACA">
              <w:rPr>
                <w:color w:val="407C9B"/>
                <w:sz w:val="18"/>
                <w:lang w:val="ru-RU"/>
              </w:rPr>
              <w:t>Симпозиумы (часто в связке с собраниями ИК)</w:t>
            </w: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0C9AEBCB" w14:textId="77777777" w:rsidR="004B77F6" w:rsidRPr="00694ACA" w:rsidRDefault="004B77F6" w:rsidP="00F221C0">
            <w:pPr>
              <w:spacing w:after="0"/>
              <w:rPr>
                <w:color w:val="407C9B"/>
                <w:sz w:val="18"/>
                <w:szCs w:val="18"/>
                <w:lang w:val="ru-RU"/>
              </w:rPr>
            </w:pPr>
          </w:p>
        </w:tc>
      </w:tr>
      <w:tr w:rsidR="00B41CB0" w:rsidRPr="00694ACA" w14:paraId="344C8144" w14:textId="77777777" w:rsidTr="00F221C0">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7ADCDDFB" w14:textId="77777777" w:rsidR="004B77F6" w:rsidRPr="00694ACA" w:rsidRDefault="004B77F6" w:rsidP="00F221C0">
            <w:pPr>
              <w:tabs>
                <w:tab w:val="left" w:pos="1743"/>
              </w:tabs>
              <w:spacing w:after="0"/>
              <w:rPr>
                <w:rFonts w:cs="Arial"/>
                <w:b/>
                <w:bCs/>
                <w:color w:val="407C9B"/>
                <w:sz w:val="18"/>
                <w:szCs w:val="18"/>
                <w:lang w:val="ru-RU"/>
              </w:rPr>
            </w:pPr>
            <w:r w:rsidRPr="00694ACA">
              <w:rPr>
                <w:b/>
                <w:color w:val="407C9B"/>
                <w:sz w:val="18"/>
                <w:lang w:val="ru-RU"/>
              </w:rPr>
              <w:t>Собрания и мероприятия</w:t>
            </w:r>
          </w:p>
        </w:tc>
        <w:tc>
          <w:tcPr>
            <w:tcW w:w="0" w:type="auto"/>
            <w:tcBorders>
              <w:top w:val="single" w:sz="4" w:space="0" w:color="FFFFFF"/>
              <w:left w:val="single" w:sz="4" w:space="0" w:color="FFFFFF"/>
              <w:bottom w:val="single" w:sz="4" w:space="0" w:color="FFFFFF"/>
              <w:right w:val="single" w:sz="4" w:space="0" w:color="FFFFFF"/>
            </w:tcBorders>
            <w:shd w:val="clear" w:color="auto" w:fill="D9D9D9"/>
          </w:tcPr>
          <w:p w14:paraId="063CCCEA" w14:textId="77777777" w:rsidR="004B77F6" w:rsidRPr="00694ACA" w:rsidRDefault="004B77F6" w:rsidP="00F221C0">
            <w:pPr>
              <w:spacing w:after="0"/>
              <w:rPr>
                <w:color w:val="407C9B"/>
                <w:sz w:val="18"/>
                <w:szCs w:val="18"/>
                <w:lang w:val="ru-RU"/>
              </w:rPr>
            </w:pPr>
            <w:r w:rsidRPr="00694ACA">
              <w:rPr>
                <w:color w:val="407C9B"/>
                <w:sz w:val="18"/>
                <w:lang w:val="ru-RU"/>
              </w:rPr>
              <w:t>Собрания и мероприятия</w:t>
            </w: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658DE1AE" w14:textId="77777777" w:rsidR="004B77F6" w:rsidRPr="00694ACA" w:rsidRDefault="004B77F6" w:rsidP="00F221C0">
            <w:pPr>
              <w:spacing w:after="0"/>
              <w:rPr>
                <w:color w:val="407C9B"/>
                <w:sz w:val="18"/>
                <w:szCs w:val="18"/>
                <w:lang w:val="ru-RU"/>
              </w:rPr>
            </w:pP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0F17C4A7" w14:textId="77777777" w:rsidR="004B77F6" w:rsidRPr="00694ACA" w:rsidRDefault="004B77F6" w:rsidP="00F221C0">
            <w:pPr>
              <w:spacing w:after="0"/>
              <w:rPr>
                <w:color w:val="407C9B"/>
                <w:sz w:val="18"/>
                <w:szCs w:val="18"/>
                <w:lang w:val="ru-RU"/>
              </w:rPr>
            </w:pP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1DDFF87C" w14:textId="77777777" w:rsidR="004B77F6" w:rsidRPr="00694ACA" w:rsidRDefault="004B77F6" w:rsidP="00F221C0">
            <w:pPr>
              <w:spacing w:after="0"/>
              <w:rPr>
                <w:color w:val="407C9B"/>
                <w:sz w:val="18"/>
                <w:szCs w:val="18"/>
                <w:lang w:val="ru-RU"/>
              </w:rPr>
            </w:pPr>
          </w:p>
        </w:tc>
      </w:tr>
      <w:tr w:rsidR="00B41CB0" w:rsidRPr="00D577E1" w14:paraId="7A8E2476" w14:textId="77777777" w:rsidTr="00F221C0">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293C064E" w14:textId="3F6D65E5" w:rsidR="004B77F6" w:rsidRPr="00694ACA" w:rsidRDefault="004B77F6" w:rsidP="00F221C0">
            <w:pPr>
              <w:tabs>
                <w:tab w:val="left" w:pos="1743"/>
              </w:tabs>
              <w:spacing w:after="0"/>
              <w:rPr>
                <w:rFonts w:cs="Arial"/>
                <w:b/>
                <w:bCs/>
                <w:color w:val="407C9B"/>
                <w:sz w:val="18"/>
                <w:szCs w:val="18"/>
                <w:lang w:val="ru-RU"/>
              </w:rPr>
            </w:pPr>
            <w:r w:rsidRPr="00694ACA">
              <w:rPr>
                <w:b/>
                <w:color w:val="407C9B"/>
                <w:sz w:val="18"/>
                <w:lang w:val="ru-RU"/>
              </w:rPr>
              <w:t>Наставничество</w:t>
            </w: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7ECAB6F9" w14:textId="77777777" w:rsidR="004B77F6" w:rsidRPr="00694ACA" w:rsidRDefault="004B77F6" w:rsidP="00F221C0">
            <w:pPr>
              <w:spacing w:after="0"/>
              <w:rPr>
                <w:color w:val="407C9B"/>
                <w:sz w:val="18"/>
                <w:szCs w:val="18"/>
                <w:lang w:val="ru-RU"/>
              </w:rPr>
            </w:pP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41DA6A17" w14:textId="77777777" w:rsidR="004B77F6" w:rsidRPr="00694ACA" w:rsidRDefault="004B77F6" w:rsidP="00F221C0">
            <w:pPr>
              <w:spacing w:after="0"/>
              <w:rPr>
                <w:color w:val="407C9B"/>
                <w:sz w:val="18"/>
                <w:szCs w:val="18"/>
                <w:lang w:val="ru-RU"/>
              </w:rPr>
            </w:pPr>
            <w:r w:rsidRPr="00694ACA">
              <w:rPr>
                <w:color w:val="407C9B"/>
                <w:sz w:val="18"/>
                <w:lang w:val="ru-RU"/>
              </w:rPr>
              <w:t>Наставничество через ИК</w:t>
            </w: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7324C31A" w14:textId="032A3EE8" w:rsidR="004B77F6" w:rsidRPr="00694ACA" w:rsidRDefault="004B77F6" w:rsidP="00F221C0">
            <w:pPr>
              <w:spacing w:after="0"/>
              <w:rPr>
                <w:color w:val="407C9B"/>
                <w:sz w:val="18"/>
                <w:szCs w:val="18"/>
                <w:lang w:val="ru-RU"/>
              </w:rPr>
            </w:pPr>
            <w:r w:rsidRPr="00694ACA">
              <w:rPr>
                <w:color w:val="407C9B"/>
                <w:sz w:val="18"/>
                <w:lang w:val="ru-RU"/>
              </w:rPr>
              <w:t xml:space="preserve">Наставничество (например, </w:t>
            </w:r>
            <w:r w:rsidR="00B41CB0" w:rsidRPr="00694ACA">
              <w:rPr>
                <w:color w:val="407C9B"/>
                <w:sz w:val="18"/>
                <w:lang w:val="ru-RU"/>
              </w:rPr>
              <w:t>"Сеть женщин"</w:t>
            </w:r>
            <w:r w:rsidRPr="00694ACA">
              <w:rPr>
                <w:color w:val="407C9B"/>
                <w:sz w:val="18"/>
                <w:lang w:val="ru-RU"/>
              </w:rPr>
              <w:t xml:space="preserve">; а также </w:t>
            </w:r>
            <w:r w:rsidR="00B41CB0" w:rsidRPr="00694ACA">
              <w:rPr>
                <w:color w:val="407C9B"/>
                <w:sz w:val="18"/>
                <w:lang w:val="ru-RU"/>
              </w:rPr>
              <w:t xml:space="preserve">председатели и заместители </w:t>
            </w:r>
            <w:r w:rsidRPr="00694ACA">
              <w:rPr>
                <w:color w:val="407C9B"/>
                <w:sz w:val="18"/>
                <w:lang w:val="ru-RU"/>
              </w:rPr>
              <w:t>председател</w:t>
            </w:r>
            <w:r w:rsidR="00B41CB0" w:rsidRPr="00694ACA">
              <w:rPr>
                <w:color w:val="407C9B"/>
                <w:sz w:val="18"/>
                <w:lang w:val="ru-RU"/>
              </w:rPr>
              <w:t>ей</w:t>
            </w:r>
            <w:r w:rsidRPr="00694ACA">
              <w:rPr>
                <w:color w:val="407C9B"/>
                <w:sz w:val="18"/>
                <w:lang w:val="ru-RU"/>
              </w:rPr>
              <w:t xml:space="preserve"> ИК и конференций)</w:t>
            </w: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645DB8F9" w14:textId="592DCA7C" w:rsidR="004B77F6" w:rsidRPr="00694ACA" w:rsidRDefault="00B41CB0" w:rsidP="00F221C0">
            <w:pPr>
              <w:spacing w:after="0"/>
              <w:rPr>
                <w:color w:val="407C9B"/>
                <w:sz w:val="18"/>
                <w:szCs w:val="18"/>
                <w:lang w:val="ru-RU"/>
              </w:rPr>
            </w:pPr>
            <w:r w:rsidRPr="00694ACA">
              <w:rPr>
                <w:color w:val="407C9B"/>
                <w:sz w:val="18"/>
                <w:lang w:val="ru-RU"/>
              </w:rPr>
              <w:t xml:space="preserve">Профессиональная подготовка для МСП в рамках Всемирных мероприятий </w:t>
            </w:r>
            <w:proofErr w:type="spellStart"/>
            <w:r w:rsidRPr="00694ACA">
              <w:rPr>
                <w:color w:val="407C9B"/>
                <w:sz w:val="18"/>
                <w:lang w:val="ru-RU"/>
              </w:rPr>
              <w:t>Telecom</w:t>
            </w:r>
            <w:proofErr w:type="spellEnd"/>
          </w:p>
        </w:tc>
      </w:tr>
      <w:tr w:rsidR="00B41CB0" w:rsidRPr="00694ACA" w14:paraId="11430258" w14:textId="77777777" w:rsidTr="00F221C0">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3A19B44F" w14:textId="77777777" w:rsidR="004B77F6" w:rsidRPr="00694ACA" w:rsidRDefault="004B77F6" w:rsidP="00F221C0">
            <w:pPr>
              <w:tabs>
                <w:tab w:val="left" w:pos="1743"/>
              </w:tabs>
              <w:spacing w:after="0"/>
              <w:rPr>
                <w:rFonts w:cs="Arial"/>
                <w:b/>
                <w:bCs/>
                <w:color w:val="407C9B"/>
                <w:sz w:val="18"/>
                <w:szCs w:val="18"/>
                <w:lang w:val="ru-RU"/>
              </w:rPr>
            </w:pPr>
            <w:r w:rsidRPr="00694ACA">
              <w:rPr>
                <w:b/>
                <w:color w:val="407C9B"/>
                <w:sz w:val="18"/>
                <w:lang w:val="ru-RU"/>
              </w:rPr>
              <w:t>Опросы</w:t>
            </w: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072714D7" w14:textId="77777777" w:rsidR="004B77F6" w:rsidRPr="00694ACA" w:rsidRDefault="004B77F6" w:rsidP="00F221C0">
            <w:pPr>
              <w:spacing w:after="0"/>
              <w:rPr>
                <w:color w:val="407C9B"/>
                <w:sz w:val="18"/>
                <w:szCs w:val="18"/>
                <w:lang w:val="ru-RU"/>
              </w:rPr>
            </w:pP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0157434B" w14:textId="73311900" w:rsidR="004B77F6" w:rsidRPr="00694ACA" w:rsidRDefault="004B77F6" w:rsidP="00F221C0">
            <w:pPr>
              <w:spacing w:after="0"/>
              <w:rPr>
                <w:color w:val="407C9B"/>
                <w:sz w:val="18"/>
                <w:szCs w:val="18"/>
                <w:lang w:val="ru-RU"/>
              </w:rPr>
            </w:pPr>
            <w:r w:rsidRPr="00694ACA">
              <w:rPr>
                <w:color w:val="407C9B"/>
                <w:sz w:val="18"/>
                <w:lang w:val="ru-RU"/>
              </w:rPr>
              <w:t xml:space="preserve">Опрос </w:t>
            </w:r>
            <w:r w:rsidR="00275C63" w:rsidRPr="00694ACA">
              <w:rPr>
                <w:color w:val="407C9B"/>
                <w:sz w:val="18"/>
                <w:lang w:val="ru-RU"/>
              </w:rPr>
              <w:t>ПРС</w:t>
            </w:r>
            <w:r w:rsidRPr="00A64AB2">
              <w:rPr>
                <w:rStyle w:val="FootnoteReference"/>
                <w:rFonts w:eastAsiaTheme="minorHAnsi" w:cs="Arial"/>
                <w:color w:val="407C9B"/>
                <w:szCs w:val="20"/>
                <w:lang w:val="ru-RU"/>
              </w:rPr>
              <w:footnoteReference w:id="221"/>
            </w: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0BBD36CB" w14:textId="77777777" w:rsidR="004B77F6" w:rsidRPr="00694ACA" w:rsidRDefault="004B77F6" w:rsidP="00F221C0">
            <w:pPr>
              <w:spacing w:after="0"/>
              <w:rPr>
                <w:color w:val="407C9B"/>
                <w:sz w:val="18"/>
                <w:szCs w:val="18"/>
                <w:lang w:val="ru-RU"/>
              </w:rPr>
            </w:pP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74EBB31B" w14:textId="77777777" w:rsidR="004B77F6" w:rsidRPr="00694ACA" w:rsidRDefault="004B77F6" w:rsidP="00F221C0">
            <w:pPr>
              <w:spacing w:after="0"/>
              <w:rPr>
                <w:color w:val="407C9B"/>
                <w:sz w:val="18"/>
                <w:szCs w:val="18"/>
                <w:lang w:val="ru-RU"/>
              </w:rPr>
            </w:pPr>
          </w:p>
        </w:tc>
      </w:tr>
      <w:tr w:rsidR="00B41CB0" w:rsidRPr="00694ACA" w14:paraId="2F4DFE7F" w14:textId="77777777" w:rsidTr="00F221C0">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52BD98A6" w14:textId="77777777" w:rsidR="004B77F6" w:rsidRPr="00694ACA" w:rsidRDefault="004B77F6" w:rsidP="00F221C0">
            <w:pPr>
              <w:tabs>
                <w:tab w:val="left" w:pos="1743"/>
              </w:tabs>
              <w:spacing w:after="0"/>
              <w:rPr>
                <w:rFonts w:cs="Arial"/>
                <w:b/>
                <w:bCs/>
                <w:color w:val="407C9B"/>
                <w:sz w:val="18"/>
                <w:szCs w:val="18"/>
                <w:lang w:val="ru-RU"/>
              </w:rPr>
            </w:pPr>
            <w:r w:rsidRPr="00694ACA">
              <w:rPr>
                <w:b/>
                <w:color w:val="407C9B"/>
                <w:sz w:val="18"/>
                <w:lang w:val="ru-RU"/>
              </w:rPr>
              <w:t>Обособленные программы</w:t>
            </w:r>
          </w:p>
        </w:tc>
        <w:tc>
          <w:tcPr>
            <w:tcW w:w="0" w:type="auto"/>
            <w:tcBorders>
              <w:top w:val="single" w:sz="4" w:space="0" w:color="FFFFFF"/>
              <w:left w:val="single" w:sz="4" w:space="0" w:color="FFFFFF"/>
              <w:bottom w:val="single" w:sz="4" w:space="0" w:color="FFFFFF"/>
              <w:right w:val="single" w:sz="4" w:space="0" w:color="FFFFFF"/>
            </w:tcBorders>
            <w:shd w:val="clear" w:color="auto" w:fill="D9D9D9"/>
          </w:tcPr>
          <w:p w14:paraId="4E95F85D" w14:textId="0D04D908" w:rsidR="004B77F6" w:rsidRPr="00694ACA" w:rsidRDefault="00275C63" w:rsidP="00F221C0">
            <w:pPr>
              <w:spacing w:after="0"/>
              <w:ind w:left="357"/>
              <w:outlineLvl w:val="1"/>
              <w:rPr>
                <w:sz w:val="18"/>
                <w:szCs w:val="18"/>
                <w:lang w:val="ru-RU"/>
              </w:rPr>
            </w:pPr>
            <w:r w:rsidRPr="00694ACA">
              <w:rPr>
                <w:color w:val="407C9B"/>
                <w:sz w:val="18"/>
                <w:lang w:val="ru-RU"/>
              </w:rPr>
              <w:t>ITC</w:t>
            </w:r>
            <w:r w:rsidR="004B77F6" w:rsidRPr="00A64AB2">
              <w:rPr>
                <w:rStyle w:val="FootnoteReference"/>
                <w:rFonts w:eastAsiaTheme="minorHAnsi" w:cs="Arial"/>
                <w:color w:val="407C9B"/>
                <w:szCs w:val="20"/>
                <w:lang w:val="ru-RU"/>
              </w:rPr>
              <w:footnoteReference w:id="222"/>
            </w:r>
          </w:p>
          <w:p w14:paraId="6A65DC60" w14:textId="77777777" w:rsidR="004B77F6" w:rsidRPr="00694ACA" w:rsidRDefault="004B77F6" w:rsidP="00F221C0">
            <w:pPr>
              <w:spacing w:after="0"/>
              <w:ind w:left="357"/>
              <w:outlineLvl w:val="1"/>
              <w:rPr>
                <w:sz w:val="18"/>
                <w:szCs w:val="18"/>
                <w:lang w:val="ru-RU"/>
              </w:rPr>
            </w:pPr>
            <w:r w:rsidRPr="00694ACA">
              <w:rPr>
                <w:color w:val="407C9B"/>
                <w:sz w:val="18"/>
                <w:lang w:val="ru-RU"/>
              </w:rPr>
              <w:t>DTC</w:t>
            </w: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60C451D9" w14:textId="77777777" w:rsidR="004B77F6" w:rsidRPr="00694ACA" w:rsidRDefault="004B77F6" w:rsidP="00F221C0">
            <w:pPr>
              <w:spacing w:after="0"/>
              <w:ind w:left="357"/>
              <w:outlineLvl w:val="1"/>
              <w:rPr>
                <w:sz w:val="18"/>
                <w:szCs w:val="18"/>
                <w:lang w:val="ru-RU" w:eastAsia="en-GB"/>
              </w:rPr>
            </w:pP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6684DF26" w14:textId="77777777" w:rsidR="004B77F6" w:rsidRPr="00694ACA" w:rsidRDefault="004B77F6" w:rsidP="00F221C0">
            <w:pPr>
              <w:spacing w:after="0"/>
              <w:ind w:left="357"/>
              <w:outlineLvl w:val="1"/>
              <w:rPr>
                <w:sz w:val="18"/>
                <w:szCs w:val="18"/>
                <w:lang w:val="ru-RU" w:eastAsia="en-GB"/>
              </w:rPr>
            </w:pP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1271B589" w14:textId="77777777" w:rsidR="004B77F6" w:rsidRPr="00694ACA" w:rsidRDefault="004B77F6" w:rsidP="00F221C0">
            <w:pPr>
              <w:spacing w:after="0"/>
              <w:rPr>
                <w:color w:val="407C9B"/>
                <w:sz w:val="18"/>
                <w:szCs w:val="18"/>
                <w:lang w:val="ru-RU" w:eastAsia="en-GB"/>
              </w:rPr>
            </w:pPr>
          </w:p>
        </w:tc>
      </w:tr>
      <w:tr w:rsidR="00B41CB0" w:rsidRPr="00694ACA" w14:paraId="54903EFA" w14:textId="77777777" w:rsidTr="00F221C0">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5E290AAD" w14:textId="77777777" w:rsidR="004B77F6" w:rsidRPr="00694ACA" w:rsidRDefault="004B77F6" w:rsidP="00F221C0">
            <w:pPr>
              <w:tabs>
                <w:tab w:val="left" w:pos="1743"/>
              </w:tabs>
              <w:spacing w:after="0"/>
              <w:rPr>
                <w:rFonts w:cs="Arial"/>
                <w:b/>
                <w:bCs/>
                <w:color w:val="407C9B"/>
                <w:sz w:val="18"/>
                <w:szCs w:val="18"/>
                <w:lang w:val="ru-RU"/>
              </w:rPr>
            </w:pPr>
          </w:p>
        </w:tc>
        <w:tc>
          <w:tcPr>
            <w:tcW w:w="0" w:type="auto"/>
            <w:tcBorders>
              <w:top w:val="single" w:sz="4" w:space="0" w:color="FFFFFF"/>
              <w:left w:val="single" w:sz="4" w:space="0" w:color="FFFFFF"/>
              <w:bottom w:val="single" w:sz="4" w:space="0" w:color="FFFFFF"/>
              <w:right w:val="single" w:sz="4" w:space="0" w:color="FFFFFF"/>
            </w:tcBorders>
            <w:shd w:val="clear" w:color="auto" w:fill="D9D9D9"/>
          </w:tcPr>
          <w:p w14:paraId="678B860E" w14:textId="77777777" w:rsidR="004B77F6" w:rsidRPr="00694ACA" w:rsidRDefault="004B77F6" w:rsidP="00F221C0">
            <w:pPr>
              <w:spacing w:after="0"/>
              <w:ind w:left="357"/>
              <w:outlineLvl w:val="1"/>
              <w:rPr>
                <w:sz w:val="18"/>
                <w:szCs w:val="18"/>
                <w:lang w:val="ru-RU" w:eastAsia="en-GB"/>
              </w:rPr>
            </w:pP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6EA2C6E9" w14:textId="77777777" w:rsidR="004B77F6" w:rsidRPr="00694ACA" w:rsidRDefault="004B77F6" w:rsidP="00F221C0">
            <w:pPr>
              <w:spacing w:after="0"/>
              <w:ind w:left="357"/>
              <w:outlineLvl w:val="1"/>
              <w:rPr>
                <w:sz w:val="18"/>
                <w:szCs w:val="18"/>
                <w:lang w:val="ru-RU" w:eastAsia="en-GB"/>
              </w:rPr>
            </w:pP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75B5D433" w14:textId="77777777" w:rsidR="004B77F6" w:rsidRPr="00694ACA" w:rsidRDefault="004B77F6" w:rsidP="00F221C0">
            <w:pPr>
              <w:spacing w:after="0"/>
              <w:ind w:left="357"/>
              <w:outlineLvl w:val="1"/>
              <w:rPr>
                <w:sz w:val="18"/>
                <w:szCs w:val="18"/>
                <w:lang w:val="ru-RU" w:eastAsia="en-GB"/>
              </w:rPr>
            </w:pP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5B9A9698" w14:textId="77777777" w:rsidR="004B77F6" w:rsidRPr="00694ACA" w:rsidRDefault="004B77F6" w:rsidP="00F221C0">
            <w:pPr>
              <w:spacing w:after="0"/>
              <w:rPr>
                <w:color w:val="407C9B"/>
                <w:sz w:val="18"/>
                <w:szCs w:val="18"/>
                <w:lang w:val="ru-RU" w:eastAsia="en-GB"/>
              </w:rPr>
            </w:pPr>
          </w:p>
        </w:tc>
      </w:tr>
      <w:tr w:rsidR="004B77F6" w:rsidRPr="00627280" w14:paraId="1A483814" w14:textId="77777777" w:rsidTr="00F221C0">
        <w:tc>
          <w:tcPr>
            <w:tcW w:w="0" w:type="auto"/>
            <w:gridSpan w:val="5"/>
            <w:tcBorders>
              <w:top w:val="single" w:sz="4" w:space="0" w:color="FFFFFF"/>
              <w:left w:val="single" w:sz="4" w:space="0" w:color="FFFFFF"/>
              <w:bottom w:val="single" w:sz="4" w:space="0" w:color="FFFFFF"/>
              <w:right w:val="single" w:sz="4" w:space="0" w:color="FFFFFF"/>
            </w:tcBorders>
            <w:shd w:val="clear" w:color="auto" w:fill="F2F2F2"/>
          </w:tcPr>
          <w:p w14:paraId="3CCCDD07" w14:textId="50D35EB9" w:rsidR="004B77F6" w:rsidRPr="00694ACA" w:rsidRDefault="004B77F6" w:rsidP="00F221C0">
            <w:pPr>
              <w:spacing w:after="0"/>
              <w:rPr>
                <w:i/>
                <w:iCs/>
                <w:color w:val="407C9B"/>
                <w:szCs w:val="20"/>
                <w:lang w:val="ru-RU"/>
              </w:rPr>
            </w:pPr>
            <w:r w:rsidRPr="00694ACA">
              <w:rPr>
                <w:b/>
                <w:i/>
                <w:color w:val="407C9B"/>
                <w:lang w:val="ru-RU"/>
              </w:rPr>
              <w:t>Неофициальные</w:t>
            </w:r>
            <w:r w:rsidRPr="00694ACA">
              <w:rPr>
                <w:i/>
                <w:color w:val="407C9B"/>
                <w:lang w:val="ru-RU"/>
              </w:rPr>
              <w:t xml:space="preserve"> (отсутствие прямого упоминания и намерения </w:t>
            </w:r>
            <w:r w:rsidR="009421AE" w:rsidRPr="00694ACA">
              <w:rPr>
                <w:i/>
                <w:color w:val="407C9B"/>
                <w:lang w:val="ru-RU"/>
              </w:rPr>
              <w:t>развития</w:t>
            </w:r>
            <w:r w:rsidRPr="00694ACA">
              <w:rPr>
                <w:i/>
                <w:color w:val="407C9B"/>
                <w:lang w:val="ru-RU"/>
              </w:rPr>
              <w:t xml:space="preserve"> определенного потенциала или проведения профессиональной подготовки со стороны МСЭ и зачастую отсутствие прямого </w:t>
            </w:r>
            <w:r w:rsidRPr="00694ACA">
              <w:rPr>
                <w:i/>
                <w:color w:val="407C9B"/>
                <w:lang w:val="ru-RU"/>
              </w:rPr>
              <w:lastRenderedPageBreak/>
              <w:t>финансирования участия со стороны МСЭ, но возможность получить ценные знания и опыт для участников)</w:t>
            </w:r>
          </w:p>
        </w:tc>
      </w:tr>
      <w:tr w:rsidR="00B41CB0" w:rsidRPr="00694ACA" w14:paraId="5EB05AE2" w14:textId="77777777" w:rsidTr="00F221C0">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5F9C0545" w14:textId="77777777" w:rsidR="004B77F6" w:rsidRPr="00694ACA" w:rsidRDefault="004B77F6" w:rsidP="00F221C0">
            <w:pPr>
              <w:spacing w:after="0"/>
              <w:rPr>
                <w:rFonts w:cs="Arial"/>
                <w:b/>
                <w:bCs/>
                <w:color w:val="407C9B"/>
                <w:sz w:val="18"/>
                <w:szCs w:val="18"/>
                <w:lang w:val="ru-RU"/>
              </w:rPr>
            </w:pPr>
            <w:r w:rsidRPr="00694ACA">
              <w:rPr>
                <w:b/>
                <w:color w:val="407C9B"/>
                <w:sz w:val="18"/>
                <w:lang w:val="ru-RU"/>
              </w:rPr>
              <w:lastRenderedPageBreak/>
              <w:t>Публикации МСЭ</w:t>
            </w: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7F831622" w14:textId="77777777" w:rsidR="004B77F6" w:rsidRPr="00694ACA" w:rsidRDefault="004B77F6" w:rsidP="00F221C0">
            <w:pPr>
              <w:spacing w:after="0"/>
              <w:rPr>
                <w:color w:val="407C9B"/>
                <w:sz w:val="18"/>
                <w:szCs w:val="18"/>
                <w:lang w:val="ru-RU"/>
              </w:rPr>
            </w:pPr>
            <w:r w:rsidRPr="00694ACA">
              <w:rPr>
                <w:color w:val="407C9B"/>
                <w:sz w:val="18"/>
                <w:lang w:val="ru-RU"/>
              </w:rPr>
              <w:t>Публикации</w:t>
            </w: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62F51009" w14:textId="77777777" w:rsidR="004B77F6" w:rsidRPr="00694ACA" w:rsidRDefault="004B77F6" w:rsidP="00F221C0">
            <w:pPr>
              <w:spacing w:after="0"/>
              <w:rPr>
                <w:color w:val="407C9B"/>
                <w:sz w:val="18"/>
                <w:szCs w:val="18"/>
                <w:lang w:val="ru-RU"/>
              </w:rPr>
            </w:pPr>
            <w:r w:rsidRPr="00694ACA">
              <w:rPr>
                <w:color w:val="407C9B"/>
                <w:sz w:val="18"/>
                <w:lang w:val="ru-RU"/>
              </w:rPr>
              <w:t>Публикации</w:t>
            </w: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6E750282" w14:textId="77777777" w:rsidR="004B77F6" w:rsidRPr="00694ACA" w:rsidRDefault="004B77F6" w:rsidP="00F221C0">
            <w:pPr>
              <w:spacing w:after="0"/>
              <w:rPr>
                <w:color w:val="407C9B"/>
                <w:sz w:val="18"/>
                <w:szCs w:val="18"/>
                <w:lang w:val="ru-RU"/>
              </w:rPr>
            </w:pPr>
            <w:r w:rsidRPr="00694ACA">
              <w:rPr>
                <w:color w:val="407C9B"/>
                <w:sz w:val="18"/>
                <w:lang w:val="ru-RU"/>
              </w:rPr>
              <w:t>Публикации</w:t>
            </w: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19EE1BE2" w14:textId="77777777" w:rsidR="004B77F6" w:rsidRPr="00694ACA" w:rsidRDefault="004B77F6" w:rsidP="00F221C0">
            <w:pPr>
              <w:spacing w:after="0"/>
              <w:rPr>
                <w:color w:val="407C9B"/>
                <w:sz w:val="18"/>
                <w:szCs w:val="18"/>
                <w:lang w:val="ru-RU"/>
              </w:rPr>
            </w:pPr>
            <w:r w:rsidRPr="00694ACA">
              <w:rPr>
                <w:color w:val="407C9B"/>
                <w:sz w:val="18"/>
                <w:lang w:val="ru-RU"/>
              </w:rPr>
              <w:t>Публикации</w:t>
            </w:r>
          </w:p>
        </w:tc>
      </w:tr>
      <w:tr w:rsidR="00B41CB0" w:rsidRPr="00694ACA" w14:paraId="4C3FAAF6" w14:textId="77777777" w:rsidTr="00F221C0">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2E9B6945" w14:textId="77777777" w:rsidR="004B77F6" w:rsidRPr="00694ACA" w:rsidRDefault="004B77F6" w:rsidP="00F221C0">
            <w:pPr>
              <w:spacing w:after="0"/>
              <w:rPr>
                <w:rFonts w:cs="Arial"/>
                <w:b/>
                <w:bCs/>
                <w:color w:val="407C9B"/>
                <w:sz w:val="18"/>
                <w:szCs w:val="18"/>
                <w:lang w:val="ru-RU"/>
              </w:rPr>
            </w:pPr>
            <w:r w:rsidRPr="00694ACA">
              <w:rPr>
                <w:b/>
                <w:color w:val="407C9B"/>
                <w:sz w:val="18"/>
                <w:lang w:val="ru-RU"/>
              </w:rPr>
              <w:t>Участие в собраниях ИК</w:t>
            </w: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1B223564" w14:textId="77777777" w:rsidR="004B77F6" w:rsidRPr="00694ACA" w:rsidRDefault="004B77F6" w:rsidP="00F221C0">
            <w:pPr>
              <w:spacing w:after="0"/>
              <w:rPr>
                <w:color w:val="407C9B"/>
                <w:sz w:val="18"/>
                <w:szCs w:val="18"/>
                <w:lang w:val="ru-RU"/>
              </w:rPr>
            </w:pPr>
            <w:r w:rsidRPr="00694ACA">
              <w:rPr>
                <w:color w:val="407C9B"/>
                <w:sz w:val="18"/>
                <w:lang w:val="ru-RU"/>
              </w:rPr>
              <w:t>Участие в собраниях ИК</w:t>
            </w: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0A66EF16" w14:textId="77777777" w:rsidR="004B77F6" w:rsidRPr="00694ACA" w:rsidRDefault="004B77F6" w:rsidP="00F221C0">
            <w:pPr>
              <w:spacing w:after="0"/>
              <w:rPr>
                <w:color w:val="407C9B"/>
                <w:sz w:val="18"/>
                <w:szCs w:val="18"/>
                <w:lang w:val="ru-RU"/>
              </w:rPr>
            </w:pPr>
            <w:r w:rsidRPr="00694ACA">
              <w:rPr>
                <w:color w:val="407C9B"/>
                <w:sz w:val="18"/>
                <w:lang w:val="ru-RU"/>
              </w:rPr>
              <w:t>Участие в собраниях ИК</w:t>
            </w: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29EEC37C" w14:textId="77777777" w:rsidR="004B77F6" w:rsidRPr="00694ACA" w:rsidRDefault="004B77F6" w:rsidP="00F221C0">
            <w:pPr>
              <w:spacing w:after="0"/>
              <w:rPr>
                <w:color w:val="407C9B"/>
                <w:sz w:val="18"/>
                <w:szCs w:val="18"/>
                <w:lang w:val="ru-RU"/>
              </w:rPr>
            </w:pPr>
            <w:r w:rsidRPr="00694ACA">
              <w:rPr>
                <w:color w:val="407C9B"/>
                <w:sz w:val="18"/>
                <w:lang w:val="ru-RU"/>
              </w:rPr>
              <w:t>Участие в собраниях ИК</w:t>
            </w: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47CE3121" w14:textId="77777777" w:rsidR="004B77F6" w:rsidRPr="00694ACA" w:rsidRDefault="004B77F6" w:rsidP="00F221C0">
            <w:pPr>
              <w:spacing w:after="0"/>
              <w:rPr>
                <w:color w:val="407C9B"/>
                <w:sz w:val="18"/>
                <w:szCs w:val="18"/>
                <w:lang w:val="ru-RU"/>
              </w:rPr>
            </w:pPr>
          </w:p>
        </w:tc>
      </w:tr>
      <w:tr w:rsidR="00B41CB0" w:rsidRPr="00D577E1" w14:paraId="35C12D0F" w14:textId="77777777" w:rsidTr="00F221C0">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418E6F64" w14:textId="77777777" w:rsidR="004B77F6" w:rsidRPr="00694ACA" w:rsidRDefault="004B77F6" w:rsidP="00F221C0">
            <w:pPr>
              <w:spacing w:after="0"/>
              <w:rPr>
                <w:rFonts w:cs="Arial"/>
                <w:b/>
                <w:bCs/>
                <w:color w:val="407C9B"/>
                <w:sz w:val="18"/>
                <w:szCs w:val="18"/>
                <w:lang w:val="ru-RU"/>
              </w:rPr>
            </w:pPr>
            <w:r w:rsidRPr="00694ACA">
              <w:rPr>
                <w:b/>
                <w:color w:val="407C9B"/>
                <w:sz w:val="18"/>
                <w:lang w:val="ru-RU"/>
              </w:rPr>
              <w:t>Участие в конференциях и симпозиумах</w:t>
            </w: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105428DF" w14:textId="77777777" w:rsidR="004B77F6" w:rsidRPr="00694ACA" w:rsidRDefault="004B77F6" w:rsidP="00F221C0">
            <w:pPr>
              <w:spacing w:after="0"/>
              <w:rPr>
                <w:color w:val="407C9B"/>
                <w:sz w:val="18"/>
                <w:szCs w:val="18"/>
                <w:lang w:val="ru-RU"/>
              </w:rPr>
            </w:pPr>
            <w:r w:rsidRPr="00694ACA">
              <w:rPr>
                <w:color w:val="407C9B"/>
                <w:sz w:val="18"/>
                <w:lang w:val="ru-RU"/>
              </w:rPr>
              <w:t>ВКРЭ</w:t>
            </w: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1F48F713" w14:textId="62EAD0B7" w:rsidR="004B77F6" w:rsidRPr="00694ACA" w:rsidRDefault="004B77F6" w:rsidP="00F221C0">
            <w:pPr>
              <w:spacing w:after="0"/>
              <w:rPr>
                <w:color w:val="407C9B"/>
                <w:sz w:val="18"/>
                <w:szCs w:val="18"/>
                <w:lang w:val="ru-RU"/>
              </w:rPr>
            </w:pPr>
            <w:r w:rsidRPr="00694ACA">
              <w:rPr>
                <w:color w:val="407C9B"/>
                <w:sz w:val="18"/>
                <w:lang w:val="ru-RU"/>
              </w:rPr>
              <w:t>ВАСЭ</w:t>
            </w: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4D3B60A1" w14:textId="77777777" w:rsidR="004B77F6" w:rsidRPr="00694ACA" w:rsidRDefault="004B77F6" w:rsidP="00F221C0">
            <w:pPr>
              <w:spacing w:after="0"/>
              <w:rPr>
                <w:color w:val="407C9B"/>
                <w:sz w:val="18"/>
                <w:szCs w:val="18"/>
                <w:lang w:val="ru-RU"/>
              </w:rPr>
            </w:pPr>
            <w:r w:rsidRPr="00694ACA">
              <w:rPr>
                <w:color w:val="407C9B"/>
                <w:sz w:val="18"/>
                <w:lang w:val="ru-RU"/>
              </w:rPr>
              <w:t>ВКР</w:t>
            </w:r>
            <w:r w:rsidRPr="00A64AB2">
              <w:rPr>
                <w:rStyle w:val="FootnoteReference"/>
                <w:rFonts w:eastAsiaTheme="minorHAnsi" w:cs="Arial"/>
                <w:color w:val="407C9B"/>
                <w:szCs w:val="20"/>
                <w:lang w:val="ru-RU"/>
              </w:rPr>
              <w:footnoteReference w:id="223"/>
            </w: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79F6DA53" w14:textId="77777777" w:rsidR="004B77F6" w:rsidRPr="00694ACA" w:rsidRDefault="004B77F6" w:rsidP="00F221C0">
            <w:pPr>
              <w:spacing w:after="0"/>
              <w:rPr>
                <w:color w:val="407C9B"/>
                <w:sz w:val="18"/>
                <w:szCs w:val="18"/>
                <w:lang w:val="ru-RU"/>
              </w:rPr>
            </w:pPr>
            <w:r w:rsidRPr="00694ACA">
              <w:rPr>
                <w:color w:val="407C9B"/>
                <w:sz w:val="18"/>
                <w:lang w:val="ru-RU"/>
              </w:rPr>
              <w:t>ВВУИО</w:t>
            </w:r>
          </w:p>
          <w:p w14:paraId="0E229A31" w14:textId="77777777" w:rsidR="004B77F6" w:rsidRPr="00694ACA" w:rsidRDefault="004B77F6" w:rsidP="00F221C0">
            <w:pPr>
              <w:spacing w:after="0"/>
              <w:rPr>
                <w:color w:val="407C9B"/>
                <w:sz w:val="18"/>
                <w:szCs w:val="18"/>
                <w:lang w:val="ru-RU"/>
              </w:rPr>
            </w:pPr>
            <w:r w:rsidRPr="00694ACA">
              <w:rPr>
                <w:color w:val="407C9B"/>
                <w:sz w:val="18"/>
                <w:lang w:val="ru-RU"/>
              </w:rPr>
              <w:t>ВКМЭ</w:t>
            </w:r>
          </w:p>
          <w:p w14:paraId="6081FCFA" w14:textId="77777777" w:rsidR="004B77F6" w:rsidRPr="00694ACA" w:rsidRDefault="004B77F6" w:rsidP="00F221C0">
            <w:pPr>
              <w:spacing w:after="0"/>
              <w:rPr>
                <w:color w:val="407C9B"/>
                <w:sz w:val="18"/>
                <w:szCs w:val="18"/>
                <w:lang w:val="ru-RU"/>
              </w:rPr>
            </w:pPr>
            <w:r w:rsidRPr="00694ACA">
              <w:rPr>
                <w:color w:val="407C9B"/>
                <w:sz w:val="18"/>
                <w:lang w:val="ru-RU"/>
              </w:rPr>
              <w:t>Полномочная конференция</w:t>
            </w:r>
          </w:p>
          <w:p w14:paraId="75D2DEFB" w14:textId="47C1246C" w:rsidR="004B77F6" w:rsidRPr="00694ACA" w:rsidRDefault="001226D4" w:rsidP="00F221C0">
            <w:pPr>
              <w:spacing w:after="0"/>
              <w:rPr>
                <w:color w:val="407C9B"/>
                <w:sz w:val="18"/>
                <w:szCs w:val="18"/>
                <w:lang w:val="ru-RU"/>
              </w:rPr>
            </w:pPr>
            <w:r w:rsidRPr="00694ACA">
              <w:rPr>
                <w:color w:val="407C9B"/>
                <w:sz w:val="18"/>
                <w:lang w:val="ru-RU"/>
              </w:rPr>
              <w:t xml:space="preserve">Всемирное мероприятие </w:t>
            </w:r>
            <w:proofErr w:type="spellStart"/>
            <w:r w:rsidRPr="00694ACA">
              <w:rPr>
                <w:color w:val="407C9B"/>
                <w:sz w:val="18"/>
                <w:lang w:val="ru-RU"/>
              </w:rPr>
              <w:t>Telecom</w:t>
            </w:r>
            <w:proofErr w:type="spellEnd"/>
            <w:r w:rsidRPr="00694ACA">
              <w:rPr>
                <w:color w:val="407C9B"/>
                <w:sz w:val="18"/>
                <w:lang w:val="ru-RU"/>
              </w:rPr>
              <w:t xml:space="preserve"> </w:t>
            </w:r>
            <w:r w:rsidR="004B77F6" w:rsidRPr="00694ACA">
              <w:rPr>
                <w:color w:val="407C9B"/>
                <w:sz w:val="18"/>
                <w:lang w:val="ru-RU"/>
              </w:rPr>
              <w:t xml:space="preserve">(и </w:t>
            </w:r>
            <w:r w:rsidRPr="00694ACA">
              <w:rPr>
                <w:color w:val="407C9B"/>
                <w:sz w:val="18"/>
                <w:lang w:val="ru-RU"/>
              </w:rPr>
              <w:t>Форум</w:t>
            </w:r>
            <w:r w:rsidR="004B77F6" w:rsidRPr="00694ACA">
              <w:rPr>
                <w:color w:val="407C9B"/>
                <w:sz w:val="18"/>
                <w:lang w:val="ru-RU"/>
              </w:rPr>
              <w:t>)</w:t>
            </w:r>
          </w:p>
        </w:tc>
      </w:tr>
      <w:tr w:rsidR="00B41CB0" w:rsidRPr="00D577E1" w14:paraId="5B20A1DE" w14:textId="77777777" w:rsidTr="00F221C0">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4EEA6540" w14:textId="77777777" w:rsidR="004B77F6" w:rsidRPr="00694ACA" w:rsidRDefault="004B77F6" w:rsidP="00F221C0">
            <w:pPr>
              <w:spacing w:after="0"/>
              <w:rPr>
                <w:rFonts w:cs="Arial"/>
                <w:b/>
                <w:bCs/>
                <w:color w:val="407C9B"/>
                <w:sz w:val="18"/>
                <w:szCs w:val="18"/>
                <w:lang w:val="ru-RU"/>
              </w:rPr>
            </w:pPr>
            <w:r w:rsidRPr="00694ACA">
              <w:rPr>
                <w:b/>
                <w:color w:val="407C9B"/>
                <w:sz w:val="18"/>
                <w:lang w:val="ru-RU"/>
              </w:rPr>
              <w:t>Региональные семинары-практикумы и семинары-практикумы по повышению осведомленности о политике</w:t>
            </w: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113B290F" w14:textId="77777777" w:rsidR="004B77F6" w:rsidRPr="00694ACA" w:rsidRDefault="004B77F6" w:rsidP="00F221C0">
            <w:pPr>
              <w:spacing w:after="0"/>
              <w:rPr>
                <w:sz w:val="18"/>
                <w:szCs w:val="18"/>
                <w:lang w:val="ru-RU"/>
              </w:rPr>
            </w:pP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25A2F200" w14:textId="77777777" w:rsidR="004B77F6" w:rsidRPr="00694ACA" w:rsidRDefault="004B77F6" w:rsidP="00F221C0">
            <w:pPr>
              <w:spacing w:after="0"/>
              <w:rPr>
                <w:sz w:val="18"/>
                <w:szCs w:val="18"/>
                <w:lang w:val="ru-RU"/>
              </w:rPr>
            </w:pP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772AC3C3" w14:textId="77777777" w:rsidR="004B77F6" w:rsidRPr="00694ACA" w:rsidRDefault="004B77F6" w:rsidP="00F221C0">
            <w:pPr>
              <w:spacing w:after="0"/>
              <w:rPr>
                <w:sz w:val="18"/>
                <w:szCs w:val="18"/>
                <w:lang w:val="ru-RU"/>
              </w:rPr>
            </w:pP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3EA500E8" w14:textId="77777777" w:rsidR="004B77F6" w:rsidRPr="00694ACA" w:rsidRDefault="004B77F6" w:rsidP="00F221C0">
            <w:pPr>
              <w:spacing w:after="0"/>
              <w:rPr>
                <w:sz w:val="18"/>
                <w:szCs w:val="18"/>
                <w:lang w:val="ru-RU"/>
              </w:rPr>
            </w:pPr>
          </w:p>
        </w:tc>
      </w:tr>
      <w:tr w:rsidR="00B41CB0" w:rsidRPr="00694ACA" w14:paraId="13F87D1B" w14:textId="77777777" w:rsidTr="00F221C0">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0DEE9678" w14:textId="77777777" w:rsidR="004B77F6" w:rsidRPr="00694ACA" w:rsidRDefault="004B77F6" w:rsidP="00F221C0">
            <w:pPr>
              <w:spacing w:after="0"/>
              <w:rPr>
                <w:rFonts w:cs="Arial"/>
                <w:b/>
                <w:bCs/>
                <w:color w:val="407C9B"/>
                <w:sz w:val="18"/>
                <w:szCs w:val="18"/>
                <w:lang w:val="ru-RU"/>
              </w:rPr>
            </w:pPr>
            <w:r w:rsidRPr="00694ACA">
              <w:rPr>
                <w:b/>
                <w:color w:val="407C9B"/>
                <w:sz w:val="18"/>
                <w:lang w:val="ru-RU"/>
              </w:rPr>
              <w:t>Собрания</w:t>
            </w:r>
          </w:p>
        </w:tc>
        <w:tc>
          <w:tcPr>
            <w:tcW w:w="0" w:type="auto"/>
            <w:tcBorders>
              <w:top w:val="single" w:sz="4" w:space="0" w:color="FFFFFF"/>
              <w:left w:val="single" w:sz="4" w:space="0" w:color="FFFFFF"/>
              <w:bottom w:val="single" w:sz="4" w:space="0" w:color="FFFFFF"/>
              <w:right w:val="single" w:sz="4" w:space="0" w:color="FFFFFF"/>
            </w:tcBorders>
            <w:shd w:val="clear" w:color="auto" w:fill="D9D9D9"/>
          </w:tcPr>
          <w:p w14:paraId="150F44C0" w14:textId="74213B77" w:rsidR="004B77F6" w:rsidRPr="00694ACA" w:rsidRDefault="004B77F6" w:rsidP="00F221C0">
            <w:pPr>
              <w:spacing w:after="0"/>
              <w:rPr>
                <w:color w:val="407C9B"/>
                <w:sz w:val="18"/>
                <w:szCs w:val="18"/>
                <w:lang w:val="ru-RU"/>
              </w:rPr>
            </w:pPr>
            <w:r w:rsidRPr="00694ACA">
              <w:rPr>
                <w:color w:val="407C9B"/>
                <w:sz w:val="18"/>
                <w:lang w:val="ru-RU"/>
              </w:rPr>
              <w:t xml:space="preserve">Глобальный симпозиум по </w:t>
            </w:r>
            <w:r w:rsidR="009421AE" w:rsidRPr="00694ACA">
              <w:rPr>
                <w:color w:val="407C9B"/>
                <w:sz w:val="18"/>
                <w:lang w:val="ru-RU"/>
              </w:rPr>
              <w:t>развитию потенциала</w:t>
            </w:r>
            <w:r w:rsidRPr="00694ACA">
              <w:rPr>
                <w:color w:val="407C9B"/>
                <w:sz w:val="18"/>
                <w:lang w:val="ru-RU"/>
              </w:rPr>
              <w:t xml:space="preserve"> в области ИКТ</w:t>
            </w:r>
          </w:p>
          <w:p w14:paraId="05CD3459" w14:textId="77777777" w:rsidR="004B77F6" w:rsidRPr="00694ACA" w:rsidRDefault="004B77F6" w:rsidP="00F221C0">
            <w:pPr>
              <w:spacing w:after="0"/>
              <w:rPr>
                <w:color w:val="407C9B"/>
                <w:sz w:val="18"/>
                <w:szCs w:val="18"/>
                <w:lang w:val="ru-RU"/>
              </w:rPr>
            </w:pPr>
            <w:r w:rsidRPr="00694ACA">
              <w:rPr>
                <w:color w:val="407C9B"/>
                <w:sz w:val="18"/>
                <w:lang w:val="ru-RU"/>
              </w:rPr>
              <w:t>Собрание партнеров Академии МСЭ</w:t>
            </w: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2C5DEF75" w14:textId="77777777" w:rsidR="004B77F6" w:rsidRPr="00694ACA" w:rsidRDefault="004B77F6" w:rsidP="00F221C0">
            <w:pPr>
              <w:spacing w:after="0"/>
              <w:rPr>
                <w:color w:val="407C9B"/>
                <w:sz w:val="18"/>
                <w:szCs w:val="18"/>
                <w:lang w:val="ru-RU"/>
              </w:rPr>
            </w:pP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2AB82D07" w14:textId="77777777" w:rsidR="004B77F6" w:rsidRPr="00694ACA" w:rsidRDefault="004B77F6" w:rsidP="00F221C0">
            <w:pPr>
              <w:spacing w:after="0"/>
              <w:rPr>
                <w:color w:val="407C9B"/>
                <w:sz w:val="18"/>
                <w:szCs w:val="18"/>
                <w:lang w:val="ru-RU"/>
              </w:rPr>
            </w:pP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76A430FE" w14:textId="77777777" w:rsidR="004B77F6" w:rsidRPr="00694ACA" w:rsidRDefault="004B77F6" w:rsidP="00F221C0">
            <w:pPr>
              <w:spacing w:after="0"/>
              <w:rPr>
                <w:color w:val="407C9B"/>
                <w:sz w:val="18"/>
                <w:szCs w:val="18"/>
                <w:lang w:val="ru-RU"/>
              </w:rPr>
            </w:pPr>
          </w:p>
        </w:tc>
      </w:tr>
      <w:tr w:rsidR="00B41CB0" w:rsidRPr="00694ACA" w14:paraId="6D037306" w14:textId="77777777" w:rsidTr="00F221C0">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3EE43FF6" w14:textId="77777777" w:rsidR="004B77F6" w:rsidRPr="00694ACA" w:rsidRDefault="004B77F6" w:rsidP="00F221C0">
            <w:pPr>
              <w:spacing w:after="0"/>
              <w:rPr>
                <w:rFonts w:cs="Arial"/>
                <w:b/>
                <w:bCs/>
                <w:color w:val="407C9B"/>
                <w:sz w:val="18"/>
                <w:szCs w:val="18"/>
                <w:lang w:val="ru-RU"/>
              </w:rPr>
            </w:pPr>
            <w:r w:rsidRPr="00694ACA">
              <w:rPr>
                <w:b/>
                <w:color w:val="407C9B"/>
                <w:sz w:val="18"/>
                <w:lang w:val="ru-RU"/>
              </w:rPr>
              <w:t>Общественные лекции</w:t>
            </w: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5576A153" w14:textId="77777777" w:rsidR="004B77F6" w:rsidRPr="00694ACA" w:rsidRDefault="004B77F6" w:rsidP="00F221C0">
            <w:pPr>
              <w:spacing w:after="0"/>
              <w:rPr>
                <w:color w:val="407C9B"/>
                <w:sz w:val="18"/>
                <w:szCs w:val="18"/>
                <w:lang w:val="ru-RU"/>
              </w:rPr>
            </w:pP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4317C8A4" w14:textId="77777777" w:rsidR="004B77F6" w:rsidRPr="00694ACA" w:rsidRDefault="004B77F6" w:rsidP="00F221C0">
            <w:pPr>
              <w:spacing w:after="0"/>
              <w:rPr>
                <w:color w:val="407C9B"/>
                <w:sz w:val="18"/>
                <w:szCs w:val="18"/>
                <w:lang w:val="ru-RU"/>
              </w:rPr>
            </w:pPr>
            <w:r w:rsidRPr="00694ACA">
              <w:rPr>
                <w:color w:val="407C9B"/>
                <w:sz w:val="18"/>
                <w:lang w:val="ru-RU"/>
              </w:rPr>
              <w:t>Лекции</w:t>
            </w: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02790D1B" w14:textId="77777777" w:rsidR="004B77F6" w:rsidRPr="00694ACA" w:rsidRDefault="004B77F6" w:rsidP="00F221C0">
            <w:pPr>
              <w:spacing w:after="0"/>
              <w:rPr>
                <w:color w:val="407C9B"/>
                <w:sz w:val="18"/>
                <w:szCs w:val="18"/>
                <w:lang w:val="ru-RU"/>
              </w:rPr>
            </w:pP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78F869E5" w14:textId="77777777" w:rsidR="004B77F6" w:rsidRPr="00694ACA" w:rsidRDefault="004B77F6" w:rsidP="00F221C0">
            <w:pPr>
              <w:spacing w:after="0"/>
              <w:rPr>
                <w:color w:val="407C9B"/>
                <w:sz w:val="18"/>
                <w:szCs w:val="18"/>
                <w:lang w:val="ru-RU"/>
              </w:rPr>
            </w:pPr>
          </w:p>
        </w:tc>
      </w:tr>
      <w:tr w:rsidR="00B41CB0" w:rsidRPr="00694ACA" w14:paraId="1ED837B7" w14:textId="77777777" w:rsidTr="00F221C0">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38608F43" w14:textId="77777777" w:rsidR="004B77F6" w:rsidRPr="00694ACA" w:rsidRDefault="004B77F6" w:rsidP="00F221C0">
            <w:pPr>
              <w:spacing w:after="0"/>
              <w:rPr>
                <w:rFonts w:cs="Arial"/>
                <w:b/>
                <w:bCs/>
                <w:color w:val="407C9B"/>
                <w:sz w:val="18"/>
                <w:szCs w:val="18"/>
                <w:lang w:val="ru-RU"/>
              </w:rPr>
            </w:pPr>
            <w:r w:rsidRPr="00694ACA">
              <w:rPr>
                <w:b/>
                <w:color w:val="407C9B"/>
                <w:sz w:val="18"/>
                <w:lang w:val="ru-RU"/>
              </w:rPr>
              <w:t>Семинары/вебинары</w:t>
            </w: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6B64CE56" w14:textId="77777777" w:rsidR="004B77F6" w:rsidRPr="00694ACA" w:rsidRDefault="004B77F6" w:rsidP="00F221C0">
            <w:pPr>
              <w:spacing w:after="0"/>
              <w:rPr>
                <w:color w:val="407C9B"/>
                <w:sz w:val="18"/>
                <w:szCs w:val="18"/>
                <w:lang w:val="ru-RU"/>
              </w:rPr>
            </w:pP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154CA0A5" w14:textId="77777777" w:rsidR="004B77F6" w:rsidRPr="00694ACA" w:rsidRDefault="004B77F6" w:rsidP="00F221C0">
            <w:pPr>
              <w:spacing w:after="0"/>
              <w:rPr>
                <w:color w:val="407C9B"/>
                <w:sz w:val="18"/>
                <w:szCs w:val="18"/>
                <w:lang w:val="ru-RU"/>
              </w:rPr>
            </w:pPr>
            <w:r w:rsidRPr="00694ACA">
              <w:rPr>
                <w:color w:val="407C9B"/>
                <w:sz w:val="18"/>
                <w:lang w:val="ru-RU"/>
              </w:rPr>
              <w:t>Вебинары</w:t>
            </w: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37BBA6E5" w14:textId="77777777" w:rsidR="004B77F6" w:rsidRPr="00694ACA" w:rsidRDefault="004B77F6" w:rsidP="00F221C0">
            <w:pPr>
              <w:spacing w:after="0"/>
              <w:rPr>
                <w:color w:val="407C9B"/>
                <w:sz w:val="18"/>
                <w:szCs w:val="18"/>
                <w:lang w:val="ru-RU"/>
              </w:rPr>
            </w:pPr>
          </w:p>
        </w:tc>
        <w:tc>
          <w:tcPr>
            <w:tcW w:w="0" w:type="auto"/>
            <w:tcBorders>
              <w:top w:val="single" w:sz="4" w:space="0" w:color="FFFFFF"/>
              <w:left w:val="single" w:sz="4" w:space="0" w:color="FFFFFF"/>
              <w:bottom w:val="single" w:sz="4" w:space="0" w:color="FFFFFF"/>
              <w:right w:val="single" w:sz="4" w:space="0" w:color="FFFFFF"/>
            </w:tcBorders>
            <w:shd w:val="clear" w:color="auto" w:fill="F2F2F2"/>
          </w:tcPr>
          <w:p w14:paraId="34FE6793" w14:textId="77777777" w:rsidR="004B77F6" w:rsidRPr="00694ACA" w:rsidRDefault="004B77F6" w:rsidP="00F221C0">
            <w:pPr>
              <w:spacing w:after="0"/>
              <w:rPr>
                <w:color w:val="407C9B"/>
                <w:sz w:val="18"/>
                <w:szCs w:val="18"/>
                <w:lang w:val="ru-RU"/>
              </w:rPr>
            </w:pPr>
          </w:p>
        </w:tc>
      </w:tr>
    </w:tbl>
    <w:p w14:paraId="4ED6D983" w14:textId="65E35CE6" w:rsidR="004B77F6" w:rsidRPr="00694ACA" w:rsidRDefault="004B77F6" w:rsidP="00A105CB">
      <w:pPr>
        <w:pStyle w:val="Heading2"/>
        <w:rPr>
          <w:lang w:val="ru-RU"/>
        </w:rPr>
      </w:pPr>
      <w:r w:rsidRPr="00694ACA">
        <w:rPr>
          <w:lang w:val="ru-RU"/>
        </w:rPr>
        <w:t xml:space="preserve">Приложение 4: Основные области совпадения тем </w:t>
      </w:r>
      <w:r w:rsidR="00275C63" w:rsidRPr="00694ACA">
        <w:rPr>
          <w:lang w:val="ru-RU"/>
        </w:rPr>
        <w:t xml:space="preserve">CD&amp;T </w:t>
      </w:r>
      <w:r w:rsidRPr="00694ACA">
        <w:rPr>
          <w:lang w:val="ru-RU"/>
        </w:rPr>
        <w:t xml:space="preserve">и мероприятия по </w:t>
      </w:r>
      <w:r w:rsidR="009421AE" w:rsidRPr="00694ACA">
        <w:rPr>
          <w:lang w:val="ru-RU"/>
        </w:rPr>
        <w:t>развитию потенциала</w:t>
      </w:r>
      <w:r w:rsidRPr="00694ACA">
        <w:rPr>
          <w:lang w:val="ru-RU"/>
        </w:rPr>
        <w:t xml:space="preserve"> и профессиональной подготовке, проводимые учреждениями ООН</w:t>
      </w:r>
    </w:p>
    <w:p w14:paraId="23635141" w14:textId="0F46D679" w:rsidR="004B77F6" w:rsidRPr="00694ACA" w:rsidRDefault="004B77F6" w:rsidP="00A105CB">
      <w:pPr>
        <w:ind w:left="-284"/>
        <w:rPr>
          <w:lang w:val="ru-RU"/>
        </w:rPr>
      </w:pPr>
      <w:r w:rsidRPr="00694ACA">
        <w:rPr>
          <w:lang w:val="ru-RU"/>
        </w:rPr>
        <w:t xml:space="preserve">В данной таблице указаны масштабы мероприятий по </w:t>
      </w:r>
      <w:r w:rsidR="009421AE" w:rsidRPr="00694ACA">
        <w:rPr>
          <w:lang w:val="ru-RU"/>
        </w:rPr>
        <w:t>развитию потенциала</w:t>
      </w:r>
      <w:r w:rsidRPr="00694ACA">
        <w:rPr>
          <w:lang w:val="ru-RU"/>
        </w:rPr>
        <w:t xml:space="preserve"> и профессиональной подготовке, проводимых учреждениями ООН в сфере цифровых технологий и электросвязи.</w:t>
      </w:r>
      <w:r w:rsidR="00A579EF">
        <w:rPr>
          <w:lang w:val="ru-RU"/>
        </w:rPr>
        <w:t xml:space="preserve"> </w:t>
      </w:r>
      <w:r w:rsidRPr="00694ACA">
        <w:rPr>
          <w:lang w:val="ru-RU"/>
        </w:rPr>
        <w:t xml:space="preserve">Приведенные цифры соответствуют количеству курсов и мероприятий, найденных по результатам поиска на платформах учреждений в связи с </w:t>
      </w:r>
      <w:r w:rsidR="002E5573" w:rsidRPr="00694ACA">
        <w:rPr>
          <w:lang w:val="ru-RU"/>
        </w:rPr>
        <w:t>развитием</w:t>
      </w:r>
      <w:r w:rsidRPr="00694ACA">
        <w:rPr>
          <w:lang w:val="ru-RU"/>
        </w:rPr>
        <w:t xml:space="preserve"> потенциала и профессиональной подготовкой (если они имеют такие платформы); символом </w:t>
      </w:r>
      <w:r w:rsidRPr="00694ACA">
        <w:rPr>
          <w:rFonts w:ascii="Wingdings 2" w:hAnsi="Wingdings 2"/>
          <w:lang w:val="ru-RU"/>
        </w:rPr>
        <w:t></w:t>
      </w:r>
      <w:r w:rsidRPr="00694ACA">
        <w:rPr>
          <w:lang w:val="ru-RU"/>
        </w:rPr>
        <w:t xml:space="preserve"> обозначены упоминания, касающиеся некоторых других форм </w:t>
      </w:r>
      <w:r w:rsidR="00367DAA" w:rsidRPr="00694ACA">
        <w:rPr>
          <w:lang w:val="ru-RU"/>
        </w:rPr>
        <w:t>развития потенциала</w:t>
      </w:r>
      <w:r w:rsidRPr="00694ACA">
        <w:rPr>
          <w:lang w:val="ru-RU"/>
        </w:rPr>
        <w:t xml:space="preserve"> в данных областях согласно документации, размещенной их на веб-сайтах</w:t>
      </w:r>
      <w:r w:rsidRPr="00694ACA">
        <w:rPr>
          <w:rStyle w:val="FootnoteReference"/>
          <w:lang w:val="ru-RU"/>
        </w:rPr>
        <w:footnoteReference w:id="224"/>
      </w:r>
      <w:r w:rsidRPr="00694ACA">
        <w:rPr>
          <w:lang w:val="ru-RU"/>
        </w:rPr>
        <w:t xml:space="preserve">. Цель состоит в демонстрации того, что многие другие учреждения ООН проводят работу по </w:t>
      </w:r>
      <w:r w:rsidR="009421AE" w:rsidRPr="00694ACA">
        <w:rPr>
          <w:lang w:val="ru-RU"/>
        </w:rPr>
        <w:t>развитию потенциала</w:t>
      </w:r>
      <w:r w:rsidRPr="00694ACA">
        <w:rPr>
          <w:lang w:val="ru-RU"/>
        </w:rPr>
        <w:t xml:space="preserve"> и профессиональной подготовке по приоритетным на данный момент темам БРЭ, и, несмотря на то что приведенные данные являются приблизительными, весьма вероятно, что они отражают заниженную оценку фактического масштаба подобной деятельности.</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2F2F2" w:themeFill="background1" w:themeFillShade="F2"/>
        <w:tblLook w:val="04A0" w:firstRow="1" w:lastRow="0" w:firstColumn="1" w:lastColumn="0" w:noHBand="0" w:noVBand="1"/>
      </w:tblPr>
      <w:tblGrid>
        <w:gridCol w:w="1555"/>
        <w:gridCol w:w="828"/>
        <w:gridCol w:w="828"/>
        <w:gridCol w:w="829"/>
        <w:gridCol w:w="828"/>
        <w:gridCol w:w="828"/>
        <w:gridCol w:w="829"/>
        <w:gridCol w:w="828"/>
        <w:gridCol w:w="828"/>
        <w:gridCol w:w="829"/>
        <w:gridCol w:w="6"/>
      </w:tblGrid>
      <w:tr w:rsidR="004B77F6" w:rsidRPr="00694ACA" w14:paraId="6154CF85" w14:textId="77777777" w:rsidTr="0068182E">
        <w:trPr>
          <w:gridAfter w:val="1"/>
          <w:wAfter w:w="6" w:type="dxa"/>
          <w:trHeight w:val="3007"/>
        </w:trPr>
        <w:tc>
          <w:tcPr>
            <w:tcW w:w="1555" w:type="dxa"/>
            <w:shd w:val="clear" w:color="auto" w:fill="407C9B"/>
          </w:tcPr>
          <w:p w14:paraId="3430FC36" w14:textId="77777777" w:rsidR="004B77F6" w:rsidRPr="00694ACA" w:rsidRDefault="004B77F6" w:rsidP="0068182E">
            <w:pPr>
              <w:keepNext/>
              <w:rPr>
                <w:rFonts w:ascii="Lato" w:hAnsi="Lato" w:cs="Arial"/>
                <w:color w:val="FFFFFF" w:themeColor="background1"/>
                <w:szCs w:val="20"/>
                <w:lang w:val="ru-RU"/>
              </w:rPr>
            </w:pPr>
          </w:p>
        </w:tc>
        <w:tc>
          <w:tcPr>
            <w:tcW w:w="828" w:type="dxa"/>
            <w:shd w:val="clear" w:color="auto" w:fill="407C9B"/>
            <w:textDirection w:val="btLr"/>
            <w:vAlign w:val="center"/>
          </w:tcPr>
          <w:p w14:paraId="5648760A" w14:textId="77777777" w:rsidR="004B77F6" w:rsidRPr="00694ACA" w:rsidRDefault="004B77F6" w:rsidP="0068182E">
            <w:pPr>
              <w:keepNext/>
              <w:jc w:val="center"/>
              <w:rPr>
                <w:rFonts w:ascii="Lato" w:hAnsi="Lato"/>
                <w:color w:val="FFFFFF" w:themeColor="background1"/>
                <w:sz w:val="18"/>
                <w:szCs w:val="22"/>
                <w:lang w:val="ru-RU"/>
              </w:rPr>
            </w:pPr>
            <w:r w:rsidRPr="00694ACA">
              <w:rPr>
                <w:rFonts w:ascii="Lato" w:hAnsi="Lato"/>
                <w:b/>
                <w:color w:val="FFFFFF" w:themeColor="background1"/>
                <w:sz w:val="18"/>
                <w:szCs w:val="22"/>
                <w:lang w:val="ru-RU"/>
              </w:rPr>
              <w:t>Кибербезопасность</w:t>
            </w:r>
          </w:p>
        </w:tc>
        <w:tc>
          <w:tcPr>
            <w:tcW w:w="828" w:type="dxa"/>
            <w:shd w:val="clear" w:color="auto" w:fill="407C9B"/>
            <w:textDirection w:val="btLr"/>
            <w:vAlign w:val="center"/>
          </w:tcPr>
          <w:p w14:paraId="34E52FFB" w14:textId="77777777" w:rsidR="004B77F6" w:rsidRPr="00694ACA" w:rsidRDefault="004B77F6" w:rsidP="0068182E">
            <w:pPr>
              <w:keepNext/>
              <w:jc w:val="center"/>
              <w:rPr>
                <w:rFonts w:ascii="Lato" w:hAnsi="Lato"/>
                <w:color w:val="FFFFFF" w:themeColor="background1"/>
                <w:sz w:val="18"/>
                <w:szCs w:val="22"/>
                <w:lang w:val="ru-RU"/>
              </w:rPr>
            </w:pPr>
            <w:r w:rsidRPr="00694ACA">
              <w:rPr>
                <w:rFonts w:ascii="Lato" w:hAnsi="Lato"/>
                <w:b/>
                <w:color w:val="FFFFFF" w:themeColor="background1"/>
                <w:sz w:val="18"/>
                <w:szCs w:val="22"/>
                <w:lang w:val="ru-RU"/>
              </w:rPr>
              <w:t>Охват цифровыми технологиями</w:t>
            </w:r>
          </w:p>
        </w:tc>
        <w:tc>
          <w:tcPr>
            <w:tcW w:w="829" w:type="dxa"/>
            <w:shd w:val="clear" w:color="auto" w:fill="407C9B"/>
            <w:textDirection w:val="btLr"/>
            <w:vAlign w:val="center"/>
          </w:tcPr>
          <w:p w14:paraId="576E7B8F" w14:textId="77777777" w:rsidR="004B77F6" w:rsidRPr="00694ACA" w:rsidRDefault="004B77F6" w:rsidP="0068182E">
            <w:pPr>
              <w:keepNext/>
              <w:jc w:val="center"/>
              <w:rPr>
                <w:rFonts w:ascii="Lato" w:hAnsi="Lato"/>
                <w:color w:val="FFFFFF" w:themeColor="background1"/>
                <w:sz w:val="18"/>
                <w:szCs w:val="22"/>
                <w:lang w:val="ru-RU"/>
              </w:rPr>
            </w:pPr>
            <w:r w:rsidRPr="00694ACA">
              <w:rPr>
                <w:rFonts w:ascii="Lato" w:hAnsi="Lato"/>
                <w:b/>
                <w:color w:val="FFFFFF" w:themeColor="background1"/>
                <w:sz w:val="18"/>
                <w:szCs w:val="22"/>
                <w:lang w:val="ru-RU"/>
              </w:rPr>
              <w:t>Экосистема цифровых инноваций</w:t>
            </w:r>
          </w:p>
        </w:tc>
        <w:tc>
          <w:tcPr>
            <w:tcW w:w="828" w:type="dxa"/>
            <w:shd w:val="clear" w:color="auto" w:fill="407C9B"/>
            <w:textDirection w:val="btLr"/>
            <w:vAlign w:val="center"/>
          </w:tcPr>
          <w:p w14:paraId="448712D0" w14:textId="77777777" w:rsidR="004B77F6" w:rsidRPr="00694ACA" w:rsidRDefault="004B77F6" w:rsidP="0068182E">
            <w:pPr>
              <w:keepNext/>
              <w:jc w:val="center"/>
              <w:rPr>
                <w:rFonts w:ascii="Lato" w:hAnsi="Lato"/>
                <w:color w:val="FFFFFF" w:themeColor="background1"/>
                <w:sz w:val="18"/>
                <w:szCs w:val="22"/>
                <w:lang w:val="ru-RU"/>
              </w:rPr>
            </w:pPr>
            <w:r w:rsidRPr="00694ACA">
              <w:rPr>
                <w:rFonts w:ascii="Lato" w:hAnsi="Lato"/>
                <w:b/>
                <w:color w:val="FFFFFF" w:themeColor="background1"/>
                <w:sz w:val="18"/>
                <w:szCs w:val="22"/>
                <w:lang w:val="ru-RU"/>
              </w:rPr>
              <w:t>Цифровые услуги и приложения</w:t>
            </w:r>
          </w:p>
        </w:tc>
        <w:tc>
          <w:tcPr>
            <w:tcW w:w="828" w:type="dxa"/>
            <w:shd w:val="clear" w:color="auto" w:fill="407C9B"/>
            <w:textDirection w:val="btLr"/>
            <w:vAlign w:val="center"/>
          </w:tcPr>
          <w:p w14:paraId="0CE984B1" w14:textId="77777777" w:rsidR="004B77F6" w:rsidRPr="00694ACA" w:rsidRDefault="004B77F6" w:rsidP="0068182E">
            <w:pPr>
              <w:keepNext/>
              <w:jc w:val="center"/>
              <w:rPr>
                <w:rFonts w:ascii="Lato" w:hAnsi="Lato"/>
                <w:color w:val="FFFFFF" w:themeColor="background1"/>
                <w:sz w:val="18"/>
                <w:szCs w:val="22"/>
                <w:lang w:val="ru-RU"/>
              </w:rPr>
            </w:pPr>
            <w:r w:rsidRPr="00694ACA">
              <w:rPr>
                <w:rFonts w:ascii="Lato" w:hAnsi="Lato"/>
                <w:b/>
                <w:color w:val="FFFFFF" w:themeColor="background1"/>
                <w:sz w:val="18"/>
                <w:szCs w:val="22"/>
                <w:lang w:val="ru-RU"/>
              </w:rPr>
              <w:t>Электросвязь в чрезвычайных ситуациях</w:t>
            </w:r>
          </w:p>
        </w:tc>
        <w:tc>
          <w:tcPr>
            <w:tcW w:w="829" w:type="dxa"/>
            <w:shd w:val="clear" w:color="auto" w:fill="407C9B"/>
            <w:textDirection w:val="btLr"/>
            <w:vAlign w:val="center"/>
          </w:tcPr>
          <w:p w14:paraId="75942695" w14:textId="77777777" w:rsidR="004B77F6" w:rsidRPr="00694ACA" w:rsidRDefault="004B77F6" w:rsidP="0068182E">
            <w:pPr>
              <w:keepNext/>
              <w:jc w:val="center"/>
              <w:rPr>
                <w:rFonts w:ascii="Lato" w:hAnsi="Lato"/>
                <w:color w:val="FFFFFF" w:themeColor="background1"/>
                <w:sz w:val="18"/>
                <w:szCs w:val="22"/>
                <w:lang w:val="ru-RU"/>
              </w:rPr>
            </w:pPr>
            <w:r w:rsidRPr="00694ACA">
              <w:rPr>
                <w:rFonts w:ascii="Lato" w:hAnsi="Lato"/>
                <w:b/>
                <w:color w:val="FFFFFF" w:themeColor="background1"/>
                <w:sz w:val="18"/>
                <w:szCs w:val="22"/>
                <w:lang w:val="ru-RU"/>
              </w:rPr>
              <w:t>Окружающая среда</w:t>
            </w:r>
          </w:p>
        </w:tc>
        <w:tc>
          <w:tcPr>
            <w:tcW w:w="828" w:type="dxa"/>
            <w:shd w:val="clear" w:color="auto" w:fill="407C9B"/>
            <w:textDirection w:val="btLr"/>
            <w:vAlign w:val="center"/>
          </w:tcPr>
          <w:p w14:paraId="4F990961" w14:textId="77777777" w:rsidR="004B77F6" w:rsidRPr="00694ACA" w:rsidRDefault="004B77F6" w:rsidP="0068182E">
            <w:pPr>
              <w:keepNext/>
              <w:jc w:val="center"/>
              <w:rPr>
                <w:rFonts w:ascii="Lato" w:hAnsi="Lato"/>
                <w:color w:val="FFFFFF" w:themeColor="background1"/>
                <w:sz w:val="18"/>
                <w:szCs w:val="22"/>
                <w:lang w:val="ru-RU"/>
              </w:rPr>
            </w:pPr>
            <w:r w:rsidRPr="00694ACA">
              <w:rPr>
                <w:rFonts w:ascii="Lato" w:hAnsi="Lato"/>
                <w:b/>
                <w:color w:val="FFFFFF" w:themeColor="background1"/>
                <w:sz w:val="18"/>
                <w:szCs w:val="22"/>
                <w:lang w:val="ru-RU"/>
              </w:rPr>
              <w:t>Сети и цифровая инфраструктура</w:t>
            </w:r>
          </w:p>
        </w:tc>
        <w:tc>
          <w:tcPr>
            <w:tcW w:w="828" w:type="dxa"/>
            <w:shd w:val="clear" w:color="auto" w:fill="407C9B"/>
            <w:textDirection w:val="btLr"/>
            <w:vAlign w:val="center"/>
          </w:tcPr>
          <w:p w14:paraId="3D09B3C4" w14:textId="77777777" w:rsidR="004B77F6" w:rsidRPr="00694ACA" w:rsidRDefault="004B77F6" w:rsidP="0068182E">
            <w:pPr>
              <w:keepNext/>
              <w:jc w:val="center"/>
              <w:rPr>
                <w:rFonts w:ascii="Lato" w:hAnsi="Lato"/>
                <w:color w:val="FFFFFF" w:themeColor="background1"/>
                <w:sz w:val="18"/>
                <w:szCs w:val="22"/>
                <w:lang w:val="ru-RU"/>
              </w:rPr>
            </w:pPr>
            <w:r w:rsidRPr="00694ACA">
              <w:rPr>
                <w:rFonts w:ascii="Lato" w:hAnsi="Lato"/>
                <w:b/>
                <w:color w:val="FFFFFF" w:themeColor="background1"/>
                <w:sz w:val="18"/>
                <w:szCs w:val="22"/>
                <w:lang w:val="ru-RU"/>
              </w:rPr>
              <w:t>Политика и регулирование</w:t>
            </w:r>
          </w:p>
        </w:tc>
        <w:tc>
          <w:tcPr>
            <w:tcW w:w="829" w:type="dxa"/>
            <w:shd w:val="clear" w:color="auto" w:fill="407C9B"/>
            <w:textDirection w:val="btLr"/>
            <w:vAlign w:val="center"/>
          </w:tcPr>
          <w:p w14:paraId="384244C3" w14:textId="77777777" w:rsidR="004B77F6" w:rsidRPr="00694ACA" w:rsidRDefault="004B77F6" w:rsidP="0068182E">
            <w:pPr>
              <w:keepNext/>
              <w:jc w:val="center"/>
              <w:rPr>
                <w:rFonts w:ascii="Lato" w:hAnsi="Lato"/>
                <w:color w:val="FFFFFF" w:themeColor="background1"/>
                <w:sz w:val="18"/>
                <w:szCs w:val="22"/>
                <w:lang w:val="ru-RU"/>
              </w:rPr>
            </w:pPr>
            <w:r w:rsidRPr="00694ACA">
              <w:rPr>
                <w:rFonts w:ascii="Lato" w:hAnsi="Lato"/>
                <w:b/>
                <w:color w:val="FFFFFF" w:themeColor="background1"/>
                <w:sz w:val="18"/>
                <w:szCs w:val="22"/>
                <w:lang w:val="ru-RU"/>
              </w:rPr>
              <w:t>Статистические данные</w:t>
            </w:r>
          </w:p>
        </w:tc>
      </w:tr>
      <w:tr w:rsidR="004B77F6" w:rsidRPr="00627280" w14:paraId="4E59D097" w14:textId="77777777" w:rsidTr="0068182E">
        <w:tc>
          <w:tcPr>
            <w:tcW w:w="9016" w:type="dxa"/>
            <w:gridSpan w:val="11"/>
            <w:shd w:val="clear" w:color="auto" w:fill="F2F2F2" w:themeFill="background1" w:themeFillShade="F2"/>
          </w:tcPr>
          <w:p w14:paraId="0DAA03A0" w14:textId="77777777" w:rsidR="004B77F6" w:rsidRPr="00694ACA" w:rsidRDefault="004B77F6" w:rsidP="00F221C0">
            <w:pPr>
              <w:rPr>
                <w:rFonts w:ascii="Lato" w:hAnsi="Lato" w:cs="Arial"/>
                <w:b/>
                <w:bCs/>
                <w:color w:val="407C9B"/>
                <w:szCs w:val="20"/>
                <w:lang w:val="ru-RU"/>
              </w:rPr>
            </w:pPr>
            <w:r w:rsidRPr="00694ACA">
              <w:rPr>
                <w:rFonts w:ascii="Lato" w:hAnsi="Lato"/>
                <w:b/>
                <w:color w:val="407C9B"/>
                <w:sz w:val="18"/>
                <w:szCs w:val="22"/>
                <w:lang w:val="ru-RU"/>
              </w:rPr>
              <w:t>Содействующие организации по направлениям деятельности ВВУИО</w:t>
            </w:r>
            <w:r w:rsidRPr="00A64AB2">
              <w:rPr>
                <w:rStyle w:val="FootnoteReference"/>
                <w:rFonts w:cs="Arial"/>
                <w:color w:val="407C9B"/>
                <w:szCs w:val="20"/>
                <w:lang w:val="ru-RU"/>
              </w:rPr>
              <w:footnoteReference w:id="225"/>
            </w:r>
          </w:p>
        </w:tc>
      </w:tr>
      <w:tr w:rsidR="004B77F6" w:rsidRPr="00694ACA" w14:paraId="7950DE5E" w14:textId="77777777" w:rsidTr="0068182E">
        <w:trPr>
          <w:gridAfter w:val="1"/>
          <w:wAfter w:w="6" w:type="dxa"/>
        </w:trPr>
        <w:tc>
          <w:tcPr>
            <w:tcW w:w="1555" w:type="dxa"/>
            <w:shd w:val="clear" w:color="auto" w:fill="F2F2F2" w:themeFill="background1" w:themeFillShade="F2"/>
          </w:tcPr>
          <w:p w14:paraId="66A404EC" w14:textId="77777777" w:rsidR="004B77F6" w:rsidRPr="00694ACA" w:rsidRDefault="004B77F6" w:rsidP="00F221C0">
            <w:pPr>
              <w:rPr>
                <w:rFonts w:ascii="Lato" w:hAnsi="Lato" w:cs="Arial"/>
                <w:color w:val="407C9B"/>
                <w:szCs w:val="20"/>
                <w:lang w:val="ru-RU"/>
              </w:rPr>
            </w:pPr>
            <w:r w:rsidRPr="00694ACA">
              <w:rPr>
                <w:rFonts w:ascii="Lato" w:hAnsi="Lato"/>
                <w:color w:val="407C9B"/>
                <w:sz w:val="18"/>
                <w:szCs w:val="22"/>
                <w:lang w:val="ru-RU"/>
              </w:rPr>
              <w:t>ФАО (Академия)</w:t>
            </w:r>
            <w:r w:rsidRPr="00694ACA">
              <w:rPr>
                <w:rStyle w:val="FootnoteReference"/>
                <w:rFonts w:cs="Arial"/>
                <w:color w:val="407C9B"/>
                <w:szCs w:val="20"/>
                <w:lang w:val="ru-RU"/>
              </w:rPr>
              <w:footnoteReference w:id="226"/>
            </w:r>
          </w:p>
        </w:tc>
        <w:tc>
          <w:tcPr>
            <w:tcW w:w="828" w:type="dxa"/>
            <w:shd w:val="clear" w:color="auto" w:fill="F2F2F2" w:themeFill="background1" w:themeFillShade="F2"/>
          </w:tcPr>
          <w:p w14:paraId="3D5DCA4B" w14:textId="77777777" w:rsidR="004B77F6" w:rsidRPr="00694ACA" w:rsidRDefault="004B77F6" w:rsidP="00F221C0">
            <w:pPr>
              <w:jc w:val="center"/>
              <w:rPr>
                <w:rFonts w:ascii="Lato" w:hAnsi="Lato"/>
                <w:color w:val="407C9B"/>
                <w:sz w:val="18"/>
                <w:szCs w:val="18"/>
                <w:lang w:val="ru-RU"/>
              </w:rPr>
            </w:pPr>
          </w:p>
        </w:tc>
        <w:tc>
          <w:tcPr>
            <w:tcW w:w="828" w:type="dxa"/>
            <w:shd w:val="clear" w:color="auto" w:fill="F2F2F2" w:themeFill="background1" w:themeFillShade="F2"/>
          </w:tcPr>
          <w:p w14:paraId="5226830D" w14:textId="77777777" w:rsidR="004B77F6" w:rsidRPr="00694ACA" w:rsidRDefault="004B77F6" w:rsidP="00F221C0">
            <w:pPr>
              <w:jc w:val="center"/>
              <w:rPr>
                <w:rFonts w:ascii="Lato" w:hAnsi="Lato"/>
                <w:color w:val="407C9B"/>
                <w:sz w:val="18"/>
                <w:szCs w:val="18"/>
                <w:lang w:val="ru-RU"/>
              </w:rPr>
            </w:pPr>
            <w:r w:rsidRPr="00694ACA">
              <w:rPr>
                <w:rFonts w:ascii="Lato" w:hAnsi="Lato"/>
                <w:color w:val="407C9B"/>
                <w:sz w:val="18"/>
                <w:szCs w:val="18"/>
                <w:lang w:val="ru-RU"/>
              </w:rPr>
              <w:t>3</w:t>
            </w:r>
          </w:p>
        </w:tc>
        <w:tc>
          <w:tcPr>
            <w:tcW w:w="829" w:type="dxa"/>
            <w:shd w:val="clear" w:color="auto" w:fill="F2F2F2" w:themeFill="background1" w:themeFillShade="F2"/>
          </w:tcPr>
          <w:p w14:paraId="2A7E6177" w14:textId="77777777" w:rsidR="004B77F6" w:rsidRPr="00694ACA" w:rsidRDefault="004B77F6" w:rsidP="00F221C0">
            <w:pPr>
              <w:jc w:val="center"/>
              <w:rPr>
                <w:rFonts w:ascii="Lato" w:hAnsi="Lato"/>
                <w:color w:val="407C9B"/>
                <w:sz w:val="18"/>
                <w:szCs w:val="18"/>
                <w:lang w:val="ru-RU"/>
              </w:rPr>
            </w:pPr>
            <w:r w:rsidRPr="00694ACA">
              <w:rPr>
                <w:rFonts w:ascii="Lato" w:hAnsi="Lato"/>
                <w:color w:val="407C9B"/>
                <w:sz w:val="18"/>
                <w:szCs w:val="18"/>
                <w:lang w:val="ru-RU"/>
              </w:rPr>
              <w:t>1</w:t>
            </w:r>
          </w:p>
        </w:tc>
        <w:tc>
          <w:tcPr>
            <w:tcW w:w="828" w:type="dxa"/>
            <w:shd w:val="clear" w:color="auto" w:fill="F2F2F2" w:themeFill="background1" w:themeFillShade="F2"/>
          </w:tcPr>
          <w:p w14:paraId="4D6DE09B" w14:textId="77777777" w:rsidR="004B77F6" w:rsidRPr="00694ACA" w:rsidRDefault="004B77F6" w:rsidP="00F221C0">
            <w:pPr>
              <w:jc w:val="center"/>
              <w:rPr>
                <w:rFonts w:ascii="Lato" w:hAnsi="Lato"/>
                <w:color w:val="407C9B"/>
                <w:sz w:val="18"/>
                <w:szCs w:val="18"/>
                <w:lang w:val="ru-RU"/>
              </w:rPr>
            </w:pPr>
            <w:r w:rsidRPr="00694ACA">
              <w:rPr>
                <w:rFonts w:ascii="Lato" w:hAnsi="Lato"/>
                <w:color w:val="407C9B"/>
                <w:sz w:val="18"/>
                <w:szCs w:val="18"/>
                <w:lang w:val="ru-RU"/>
              </w:rPr>
              <w:t>9</w:t>
            </w:r>
          </w:p>
        </w:tc>
        <w:tc>
          <w:tcPr>
            <w:tcW w:w="828" w:type="dxa"/>
            <w:shd w:val="clear" w:color="auto" w:fill="F2F2F2" w:themeFill="background1" w:themeFillShade="F2"/>
          </w:tcPr>
          <w:p w14:paraId="0B4E7400" w14:textId="77777777" w:rsidR="004B77F6" w:rsidRPr="00694ACA" w:rsidRDefault="004B77F6" w:rsidP="00F221C0">
            <w:pPr>
              <w:jc w:val="center"/>
              <w:rPr>
                <w:rFonts w:ascii="Lato" w:hAnsi="Lato"/>
                <w:color w:val="407C9B"/>
                <w:sz w:val="18"/>
                <w:szCs w:val="18"/>
                <w:lang w:val="ru-RU"/>
              </w:rPr>
            </w:pPr>
          </w:p>
        </w:tc>
        <w:tc>
          <w:tcPr>
            <w:tcW w:w="829" w:type="dxa"/>
            <w:shd w:val="clear" w:color="auto" w:fill="F2F2F2" w:themeFill="background1" w:themeFillShade="F2"/>
          </w:tcPr>
          <w:p w14:paraId="5BC4E7BC" w14:textId="77777777" w:rsidR="004B77F6" w:rsidRPr="00694ACA" w:rsidRDefault="004B77F6" w:rsidP="00F221C0">
            <w:pPr>
              <w:jc w:val="center"/>
              <w:rPr>
                <w:rFonts w:ascii="Lato" w:hAnsi="Lato"/>
                <w:color w:val="407C9B"/>
                <w:sz w:val="18"/>
                <w:szCs w:val="18"/>
                <w:lang w:val="ru-RU"/>
              </w:rPr>
            </w:pPr>
            <w:r w:rsidRPr="00694ACA">
              <w:rPr>
                <w:rFonts w:ascii="Lato" w:hAnsi="Lato"/>
                <w:color w:val="407C9B"/>
                <w:sz w:val="18"/>
                <w:szCs w:val="18"/>
                <w:lang w:val="ru-RU"/>
              </w:rPr>
              <w:t>&gt;10</w:t>
            </w:r>
          </w:p>
        </w:tc>
        <w:tc>
          <w:tcPr>
            <w:tcW w:w="828" w:type="dxa"/>
            <w:shd w:val="clear" w:color="auto" w:fill="F2F2F2" w:themeFill="background1" w:themeFillShade="F2"/>
          </w:tcPr>
          <w:p w14:paraId="2BFAF8EE" w14:textId="77777777" w:rsidR="004B77F6" w:rsidRPr="00694ACA" w:rsidRDefault="004B77F6" w:rsidP="00F221C0">
            <w:pPr>
              <w:jc w:val="center"/>
              <w:rPr>
                <w:rFonts w:ascii="Lato" w:hAnsi="Lato"/>
                <w:color w:val="407C9B"/>
                <w:sz w:val="18"/>
                <w:szCs w:val="18"/>
                <w:lang w:val="ru-RU"/>
              </w:rPr>
            </w:pPr>
            <w:r w:rsidRPr="00694ACA">
              <w:rPr>
                <w:rFonts w:ascii="Lato" w:hAnsi="Lato"/>
                <w:color w:val="407C9B"/>
                <w:sz w:val="18"/>
                <w:szCs w:val="18"/>
                <w:lang w:val="ru-RU"/>
              </w:rPr>
              <w:t>5</w:t>
            </w:r>
          </w:p>
        </w:tc>
        <w:tc>
          <w:tcPr>
            <w:tcW w:w="828" w:type="dxa"/>
            <w:shd w:val="clear" w:color="auto" w:fill="F2F2F2" w:themeFill="background1" w:themeFillShade="F2"/>
          </w:tcPr>
          <w:p w14:paraId="562C8FF0" w14:textId="77777777" w:rsidR="004B77F6" w:rsidRPr="00694ACA" w:rsidRDefault="004B77F6" w:rsidP="00F221C0">
            <w:pPr>
              <w:jc w:val="center"/>
              <w:rPr>
                <w:rFonts w:ascii="Lato" w:hAnsi="Lato"/>
                <w:color w:val="407C9B"/>
                <w:sz w:val="18"/>
                <w:szCs w:val="18"/>
                <w:lang w:val="ru-RU"/>
              </w:rPr>
            </w:pPr>
            <w:r w:rsidRPr="00694ACA">
              <w:rPr>
                <w:rFonts w:ascii="Lato" w:hAnsi="Lato"/>
                <w:color w:val="407C9B"/>
                <w:sz w:val="18"/>
                <w:szCs w:val="18"/>
                <w:lang w:val="ru-RU"/>
              </w:rPr>
              <w:t>P</w:t>
            </w:r>
          </w:p>
        </w:tc>
        <w:tc>
          <w:tcPr>
            <w:tcW w:w="829" w:type="dxa"/>
            <w:shd w:val="clear" w:color="auto" w:fill="F2F2F2" w:themeFill="background1" w:themeFillShade="F2"/>
          </w:tcPr>
          <w:p w14:paraId="069ABCFD" w14:textId="77777777" w:rsidR="004B77F6" w:rsidRPr="00694ACA" w:rsidRDefault="004B77F6" w:rsidP="00F221C0">
            <w:pPr>
              <w:jc w:val="center"/>
              <w:rPr>
                <w:rFonts w:ascii="Lato" w:hAnsi="Lato"/>
                <w:color w:val="407C9B"/>
                <w:sz w:val="18"/>
                <w:szCs w:val="18"/>
                <w:lang w:val="ru-RU"/>
              </w:rPr>
            </w:pPr>
          </w:p>
        </w:tc>
      </w:tr>
      <w:tr w:rsidR="004B77F6" w:rsidRPr="00694ACA" w14:paraId="06194EB0" w14:textId="77777777" w:rsidTr="0068182E">
        <w:trPr>
          <w:gridAfter w:val="1"/>
          <w:wAfter w:w="6" w:type="dxa"/>
        </w:trPr>
        <w:tc>
          <w:tcPr>
            <w:tcW w:w="1555" w:type="dxa"/>
            <w:shd w:val="clear" w:color="auto" w:fill="F2F2F2" w:themeFill="background1" w:themeFillShade="F2"/>
          </w:tcPr>
          <w:p w14:paraId="2E6FBFA6" w14:textId="48F96307" w:rsidR="004B77F6" w:rsidRPr="00694ACA" w:rsidRDefault="004B77F6" w:rsidP="00F221C0">
            <w:pPr>
              <w:rPr>
                <w:rFonts w:ascii="Lato" w:hAnsi="Lato" w:cs="Arial"/>
                <w:color w:val="407C9B"/>
                <w:szCs w:val="20"/>
                <w:lang w:val="ru-RU"/>
              </w:rPr>
            </w:pPr>
            <w:r w:rsidRPr="00694ACA">
              <w:rPr>
                <w:rFonts w:ascii="Lato" w:hAnsi="Lato"/>
                <w:color w:val="407C9B"/>
                <w:sz w:val="18"/>
                <w:szCs w:val="22"/>
                <w:lang w:val="ru-RU"/>
              </w:rPr>
              <w:t>МОТ (М</w:t>
            </w:r>
            <w:r w:rsidR="00275C63" w:rsidRPr="00694ACA">
              <w:rPr>
                <w:rFonts w:ascii="Lato" w:hAnsi="Lato"/>
                <w:color w:val="407C9B"/>
                <w:sz w:val="18"/>
                <w:szCs w:val="22"/>
                <w:lang w:val="ru-RU"/>
              </w:rPr>
              <w:t xml:space="preserve">УЦ </w:t>
            </w:r>
            <w:r w:rsidRPr="00694ACA">
              <w:rPr>
                <w:rFonts w:ascii="Lato" w:hAnsi="Lato"/>
                <w:color w:val="407C9B"/>
                <w:sz w:val="18"/>
                <w:szCs w:val="22"/>
                <w:lang w:val="ru-RU"/>
              </w:rPr>
              <w:t>МОТ)</w:t>
            </w:r>
            <w:r w:rsidRPr="00694ACA">
              <w:rPr>
                <w:rStyle w:val="FootnoteReference"/>
                <w:rFonts w:cs="Arial"/>
                <w:color w:val="407C9B"/>
                <w:szCs w:val="20"/>
                <w:lang w:val="ru-RU"/>
              </w:rPr>
              <w:footnoteReference w:id="227"/>
            </w:r>
          </w:p>
        </w:tc>
        <w:tc>
          <w:tcPr>
            <w:tcW w:w="828" w:type="dxa"/>
            <w:shd w:val="clear" w:color="auto" w:fill="F2F2F2" w:themeFill="background1" w:themeFillShade="F2"/>
          </w:tcPr>
          <w:p w14:paraId="101814C1" w14:textId="77777777" w:rsidR="004B77F6" w:rsidRPr="00694ACA" w:rsidRDefault="004B77F6" w:rsidP="00F221C0">
            <w:pPr>
              <w:jc w:val="center"/>
              <w:rPr>
                <w:rFonts w:ascii="Lato" w:hAnsi="Lato"/>
                <w:color w:val="407C9B"/>
                <w:sz w:val="18"/>
                <w:szCs w:val="18"/>
                <w:lang w:val="ru-RU"/>
              </w:rPr>
            </w:pPr>
          </w:p>
        </w:tc>
        <w:tc>
          <w:tcPr>
            <w:tcW w:w="828" w:type="dxa"/>
            <w:shd w:val="clear" w:color="auto" w:fill="F2F2F2" w:themeFill="background1" w:themeFillShade="F2"/>
          </w:tcPr>
          <w:p w14:paraId="06E0F49A" w14:textId="77777777" w:rsidR="004B77F6" w:rsidRPr="00694ACA" w:rsidRDefault="004B77F6" w:rsidP="00F221C0">
            <w:pPr>
              <w:jc w:val="center"/>
              <w:rPr>
                <w:rFonts w:ascii="Lato" w:hAnsi="Lato"/>
                <w:color w:val="407C9B"/>
                <w:sz w:val="18"/>
                <w:szCs w:val="18"/>
                <w:lang w:val="ru-RU"/>
              </w:rPr>
            </w:pPr>
          </w:p>
        </w:tc>
        <w:tc>
          <w:tcPr>
            <w:tcW w:w="829" w:type="dxa"/>
            <w:shd w:val="clear" w:color="auto" w:fill="F2F2F2" w:themeFill="background1" w:themeFillShade="F2"/>
          </w:tcPr>
          <w:p w14:paraId="7F146C2B" w14:textId="77777777" w:rsidR="004B77F6" w:rsidRPr="00694ACA" w:rsidRDefault="004B77F6" w:rsidP="00F221C0">
            <w:pPr>
              <w:jc w:val="center"/>
              <w:rPr>
                <w:rFonts w:ascii="Lato" w:hAnsi="Lato"/>
                <w:color w:val="407C9B"/>
                <w:sz w:val="18"/>
                <w:szCs w:val="18"/>
                <w:lang w:val="ru-RU"/>
              </w:rPr>
            </w:pPr>
            <w:r w:rsidRPr="00694ACA">
              <w:rPr>
                <w:rFonts w:ascii="Lato" w:hAnsi="Lato"/>
                <w:color w:val="407C9B"/>
                <w:sz w:val="18"/>
                <w:szCs w:val="18"/>
                <w:lang w:val="ru-RU"/>
              </w:rPr>
              <w:t>1</w:t>
            </w:r>
          </w:p>
        </w:tc>
        <w:tc>
          <w:tcPr>
            <w:tcW w:w="828" w:type="dxa"/>
            <w:shd w:val="clear" w:color="auto" w:fill="F2F2F2" w:themeFill="background1" w:themeFillShade="F2"/>
          </w:tcPr>
          <w:p w14:paraId="4D869E9D" w14:textId="77777777" w:rsidR="004B77F6" w:rsidRPr="00694ACA" w:rsidRDefault="004B77F6" w:rsidP="00F221C0">
            <w:pPr>
              <w:jc w:val="center"/>
              <w:rPr>
                <w:rFonts w:ascii="Lato" w:hAnsi="Lato"/>
                <w:color w:val="407C9B"/>
                <w:sz w:val="18"/>
                <w:szCs w:val="18"/>
                <w:lang w:val="ru-RU"/>
              </w:rPr>
            </w:pPr>
            <w:r w:rsidRPr="00694ACA">
              <w:rPr>
                <w:rFonts w:ascii="Lato" w:hAnsi="Lato"/>
                <w:color w:val="407C9B"/>
                <w:sz w:val="18"/>
                <w:szCs w:val="18"/>
                <w:lang w:val="ru-RU"/>
              </w:rPr>
              <w:t>3</w:t>
            </w:r>
          </w:p>
        </w:tc>
        <w:tc>
          <w:tcPr>
            <w:tcW w:w="828" w:type="dxa"/>
            <w:shd w:val="clear" w:color="auto" w:fill="F2F2F2" w:themeFill="background1" w:themeFillShade="F2"/>
          </w:tcPr>
          <w:p w14:paraId="407FC394" w14:textId="77777777" w:rsidR="004B77F6" w:rsidRPr="00694ACA" w:rsidRDefault="004B77F6" w:rsidP="00F221C0">
            <w:pPr>
              <w:jc w:val="center"/>
              <w:rPr>
                <w:rFonts w:ascii="Lato" w:hAnsi="Lato"/>
                <w:color w:val="407C9B"/>
                <w:sz w:val="18"/>
                <w:szCs w:val="18"/>
                <w:lang w:val="ru-RU"/>
              </w:rPr>
            </w:pPr>
            <w:r w:rsidRPr="00694ACA">
              <w:rPr>
                <w:rFonts w:ascii="Lato" w:hAnsi="Lato"/>
                <w:color w:val="407C9B"/>
                <w:sz w:val="18"/>
                <w:szCs w:val="18"/>
                <w:lang w:val="ru-RU"/>
              </w:rPr>
              <w:t>P</w:t>
            </w:r>
          </w:p>
        </w:tc>
        <w:tc>
          <w:tcPr>
            <w:tcW w:w="829" w:type="dxa"/>
            <w:shd w:val="clear" w:color="auto" w:fill="F2F2F2" w:themeFill="background1" w:themeFillShade="F2"/>
          </w:tcPr>
          <w:p w14:paraId="007ED6BE" w14:textId="77777777" w:rsidR="004B77F6" w:rsidRPr="00694ACA" w:rsidRDefault="004B77F6" w:rsidP="00F221C0">
            <w:pPr>
              <w:jc w:val="center"/>
              <w:rPr>
                <w:rFonts w:ascii="Lato" w:hAnsi="Lato"/>
                <w:color w:val="407C9B"/>
                <w:sz w:val="18"/>
                <w:szCs w:val="18"/>
                <w:lang w:val="ru-RU"/>
              </w:rPr>
            </w:pPr>
          </w:p>
        </w:tc>
        <w:tc>
          <w:tcPr>
            <w:tcW w:w="828" w:type="dxa"/>
            <w:shd w:val="clear" w:color="auto" w:fill="F2F2F2" w:themeFill="background1" w:themeFillShade="F2"/>
          </w:tcPr>
          <w:p w14:paraId="1D00DF90" w14:textId="77777777" w:rsidR="004B77F6" w:rsidRPr="00694ACA" w:rsidRDefault="004B77F6" w:rsidP="00F221C0">
            <w:pPr>
              <w:jc w:val="center"/>
              <w:rPr>
                <w:rFonts w:ascii="Lato" w:hAnsi="Lato"/>
                <w:color w:val="407C9B"/>
                <w:sz w:val="18"/>
                <w:szCs w:val="18"/>
                <w:lang w:val="ru-RU"/>
              </w:rPr>
            </w:pPr>
          </w:p>
        </w:tc>
        <w:tc>
          <w:tcPr>
            <w:tcW w:w="828" w:type="dxa"/>
            <w:shd w:val="clear" w:color="auto" w:fill="F2F2F2" w:themeFill="background1" w:themeFillShade="F2"/>
          </w:tcPr>
          <w:p w14:paraId="458D550E" w14:textId="77777777" w:rsidR="004B77F6" w:rsidRPr="00694ACA" w:rsidRDefault="004B77F6" w:rsidP="00F221C0">
            <w:pPr>
              <w:jc w:val="center"/>
              <w:rPr>
                <w:rFonts w:ascii="Lato" w:hAnsi="Lato"/>
                <w:color w:val="407C9B"/>
                <w:sz w:val="18"/>
                <w:szCs w:val="18"/>
                <w:lang w:val="ru-RU"/>
              </w:rPr>
            </w:pPr>
          </w:p>
        </w:tc>
        <w:tc>
          <w:tcPr>
            <w:tcW w:w="829" w:type="dxa"/>
            <w:shd w:val="clear" w:color="auto" w:fill="F2F2F2" w:themeFill="background1" w:themeFillShade="F2"/>
          </w:tcPr>
          <w:p w14:paraId="5A04D2D6" w14:textId="77777777" w:rsidR="004B77F6" w:rsidRPr="00694ACA" w:rsidRDefault="004B77F6" w:rsidP="00F221C0">
            <w:pPr>
              <w:jc w:val="center"/>
              <w:rPr>
                <w:rFonts w:ascii="Lato" w:hAnsi="Lato"/>
                <w:color w:val="407C9B"/>
                <w:sz w:val="18"/>
                <w:szCs w:val="18"/>
                <w:lang w:val="ru-RU"/>
              </w:rPr>
            </w:pPr>
          </w:p>
        </w:tc>
      </w:tr>
      <w:tr w:rsidR="004B77F6" w:rsidRPr="00694ACA" w14:paraId="1D5B272C" w14:textId="77777777" w:rsidTr="0068182E">
        <w:trPr>
          <w:gridAfter w:val="1"/>
          <w:wAfter w:w="6" w:type="dxa"/>
        </w:trPr>
        <w:tc>
          <w:tcPr>
            <w:tcW w:w="1555" w:type="dxa"/>
            <w:shd w:val="clear" w:color="auto" w:fill="F2F2F2" w:themeFill="background1" w:themeFillShade="F2"/>
          </w:tcPr>
          <w:p w14:paraId="13EC5B7B" w14:textId="5247A3D7" w:rsidR="004B77F6" w:rsidRPr="00694ACA" w:rsidRDefault="00275C63" w:rsidP="00A64AB2">
            <w:pPr>
              <w:keepNext/>
              <w:rPr>
                <w:rFonts w:ascii="Lato" w:hAnsi="Lato" w:cs="Arial"/>
                <w:color w:val="407C9B"/>
                <w:szCs w:val="20"/>
                <w:lang w:val="ru-RU"/>
              </w:rPr>
            </w:pPr>
            <w:r w:rsidRPr="00694ACA">
              <w:rPr>
                <w:rFonts w:ascii="Lato" w:hAnsi="Lato"/>
                <w:color w:val="407C9B"/>
                <w:sz w:val="18"/>
                <w:szCs w:val="22"/>
                <w:lang w:val="ru-RU"/>
              </w:rPr>
              <w:t>ITC</w:t>
            </w:r>
            <w:r w:rsidR="004B77F6" w:rsidRPr="00694ACA">
              <w:rPr>
                <w:rStyle w:val="FootnoteReference"/>
                <w:rFonts w:cs="Arial"/>
                <w:color w:val="407C9B"/>
                <w:szCs w:val="20"/>
                <w:lang w:val="ru-RU"/>
              </w:rPr>
              <w:footnoteReference w:id="228"/>
            </w:r>
          </w:p>
        </w:tc>
        <w:tc>
          <w:tcPr>
            <w:tcW w:w="828" w:type="dxa"/>
            <w:shd w:val="clear" w:color="auto" w:fill="F2F2F2" w:themeFill="background1" w:themeFillShade="F2"/>
          </w:tcPr>
          <w:p w14:paraId="6D7E313B" w14:textId="77777777" w:rsidR="004B77F6" w:rsidRPr="00694ACA" w:rsidRDefault="004B77F6" w:rsidP="00F221C0">
            <w:pPr>
              <w:jc w:val="center"/>
              <w:rPr>
                <w:rFonts w:ascii="Lato" w:hAnsi="Lato"/>
                <w:color w:val="407C9B"/>
                <w:sz w:val="18"/>
                <w:szCs w:val="18"/>
                <w:lang w:val="ru-RU"/>
              </w:rPr>
            </w:pPr>
          </w:p>
        </w:tc>
        <w:tc>
          <w:tcPr>
            <w:tcW w:w="828" w:type="dxa"/>
            <w:shd w:val="clear" w:color="auto" w:fill="F2F2F2" w:themeFill="background1" w:themeFillShade="F2"/>
          </w:tcPr>
          <w:p w14:paraId="1D33A371" w14:textId="77777777" w:rsidR="004B77F6" w:rsidRPr="00694ACA" w:rsidRDefault="004B77F6" w:rsidP="00F221C0">
            <w:pPr>
              <w:jc w:val="center"/>
              <w:rPr>
                <w:rFonts w:ascii="Lato" w:hAnsi="Lato"/>
                <w:color w:val="407C9B"/>
                <w:sz w:val="18"/>
                <w:szCs w:val="18"/>
                <w:lang w:val="ru-RU"/>
              </w:rPr>
            </w:pPr>
            <w:r w:rsidRPr="00694ACA">
              <w:rPr>
                <w:rFonts w:ascii="Lato" w:hAnsi="Lato"/>
                <w:color w:val="407C9B"/>
                <w:sz w:val="18"/>
                <w:szCs w:val="18"/>
                <w:lang w:val="ru-RU"/>
              </w:rPr>
              <w:t>P</w:t>
            </w:r>
          </w:p>
        </w:tc>
        <w:tc>
          <w:tcPr>
            <w:tcW w:w="829" w:type="dxa"/>
            <w:shd w:val="clear" w:color="auto" w:fill="F2F2F2" w:themeFill="background1" w:themeFillShade="F2"/>
          </w:tcPr>
          <w:p w14:paraId="6111D507" w14:textId="77777777" w:rsidR="004B77F6" w:rsidRPr="00694ACA" w:rsidRDefault="004B77F6" w:rsidP="00F221C0">
            <w:pPr>
              <w:jc w:val="center"/>
              <w:rPr>
                <w:rFonts w:ascii="Lato" w:hAnsi="Lato"/>
                <w:color w:val="407C9B"/>
                <w:sz w:val="18"/>
                <w:szCs w:val="18"/>
                <w:lang w:val="ru-RU"/>
              </w:rPr>
            </w:pPr>
          </w:p>
        </w:tc>
        <w:tc>
          <w:tcPr>
            <w:tcW w:w="828" w:type="dxa"/>
            <w:shd w:val="clear" w:color="auto" w:fill="F2F2F2" w:themeFill="background1" w:themeFillShade="F2"/>
          </w:tcPr>
          <w:p w14:paraId="0426697A" w14:textId="77777777" w:rsidR="004B77F6" w:rsidRPr="00694ACA" w:rsidRDefault="004B77F6" w:rsidP="00F221C0">
            <w:pPr>
              <w:jc w:val="center"/>
              <w:rPr>
                <w:rFonts w:ascii="Lato" w:hAnsi="Lato"/>
                <w:color w:val="407C9B"/>
                <w:sz w:val="18"/>
                <w:szCs w:val="18"/>
                <w:lang w:val="ru-RU"/>
              </w:rPr>
            </w:pPr>
            <w:r w:rsidRPr="00694ACA">
              <w:rPr>
                <w:rFonts w:ascii="Lato" w:hAnsi="Lato"/>
                <w:color w:val="407C9B"/>
                <w:sz w:val="18"/>
                <w:szCs w:val="18"/>
                <w:lang w:val="ru-RU"/>
              </w:rPr>
              <w:t>P</w:t>
            </w:r>
          </w:p>
        </w:tc>
        <w:tc>
          <w:tcPr>
            <w:tcW w:w="828" w:type="dxa"/>
            <w:shd w:val="clear" w:color="auto" w:fill="F2F2F2" w:themeFill="background1" w:themeFillShade="F2"/>
          </w:tcPr>
          <w:p w14:paraId="50A9316E" w14:textId="77777777" w:rsidR="004B77F6" w:rsidRPr="00694ACA" w:rsidRDefault="004B77F6" w:rsidP="00F221C0">
            <w:pPr>
              <w:jc w:val="center"/>
              <w:rPr>
                <w:rFonts w:ascii="Lato" w:hAnsi="Lato"/>
                <w:color w:val="407C9B"/>
                <w:sz w:val="18"/>
                <w:szCs w:val="18"/>
                <w:lang w:val="ru-RU"/>
              </w:rPr>
            </w:pPr>
          </w:p>
        </w:tc>
        <w:tc>
          <w:tcPr>
            <w:tcW w:w="829" w:type="dxa"/>
            <w:shd w:val="clear" w:color="auto" w:fill="F2F2F2" w:themeFill="background1" w:themeFillShade="F2"/>
          </w:tcPr>
          <w:p w14:paraId="05DA2713" w14:textId="77777777" w:rsidR="004B77F6" w:rsidRPr="00694ACA" w:rsidRDefault="004B77F6" w:rsidP="00F221C0">
            <w:pPr>
              <w:jc w:val="center"/>
              <w:rPr>
                <w:rFonts w:ascii="Lato" w:hAnsi="Lato"/>
                <w:color w:val="407C9B"/>
                <w:sz w:val="18"/>
                <w:szCs w:val="18"/>
                <w:lang w:val="ru-RU"/>
              </w:rPr>
            </w:pPr>
          </w:p>
        </w:tc>
        <w:tc>
          <w:tcPr>
            <w:tcW w:w="828" w:type="dxa"/>
            <w:shd w:val="clear" w:color="auto" w:fill="F2F2F2" w:themeFill="background1" w:themeFillShade="F2"/>
          </w:tcPr>
          <w:p w14:paraId="1D19BCC6" w14:textId="77777777" w:rsidR="004B77F6" w:rsidRPr="00694ACA" w:rsidRDefault="004B77F6" w:rsidP="00F221C0">
            <w:pPr>
              <w:jc w:val="center"/>
              <w:rPr>
                <w:rFonts w:ascii="Lato" w:hAnsi="Lato"/>
                <w:color w:val="407C9B"/>
                <w:sz w:val="18"/>
                <w:szCs w:val="18"/>
                <w:lang w:val="ru-RU"/>
              </w:rPr>
            </w:pPr>
            <w:r w:rsidRPr="00694ACA">
              <w:rPr>
                <w:rFonts w:ascii="Lato" w:hAnsi="Lato"/>
                <w:color w:val="407C9B"/>
                <w:sz w:val="18"/>
                <w:szCs w:val="18"/>
                <w:lang w:val="ru-RU"/>
              </w:rPr>
              <w:t>P</w:t>
            </w:r>
          </w:p>
        </w:tc>
        <w:tc>
          <w:tcPr>
            <w:tcW w:w="828" w:type="dxa"/>
            <w:shd w:val="clear" w:color="auto" w:fill="F2F2F2" w:themeFill="background1" w:themeFillShade="F2"/>
          </w:tcPr>
          <w:p w14:paraId="7F6BCC98" w14:textId="77777777" w:rsidR="004B77F6" w:rsidRPr="00694ACA" w:rsidRDefault="004B77F6" w:rsidP="00F221C0">
            <w:pPr>
              <w:jc w:val="center"/>
              <w:rPr>
                <w:rFonts w:ascii="Lato" w:hAnsi="Lato"/>
                <w:color w:val="407C9B"/>
                <w:sz w:val="18"/>
                <w:szCs w:val="18"/>
                <w:lang w:val="ru-RU"/>
              </w:rPr>
            </w:pPr>
            <w:r w:rsidRPr="00694ACA">
              <w:rPr>
                <w:rFonts w:ascii="Lato" w:hAnsi="Lato"/>
                <w:color w:val="407C9B"/>
                <w:sz w:val="18"/>
                <w:szCs w:val="18"/>
                <w:lang w:val="ru-RU"/>
              </w:rPr>
              <w:t>P</w:t>
            </w:r>
          </w:p>
        </w:tc>
        <w:tc>
          <w:tcPr>
            <w:tcW w:w="829" w:type="dxa"/>
            <w:shd w:val="clear" w:color="auto" w:fill="F2F2F2" w:themeFill="background1" w:themeFillShade="F2"/>
          </w:tcPr>
          <w:p w14:paraId="6594ED29" w14:textId="77777777" w:rsidR="004B77F6" w:rsidRPr="00694ACA" w:rsidRDefault="004B77F6" w:rsidP="00F221C0">
            <w:pPr>
              <w:jc w:val="center"/>
              <w:rPr>
                <w:rFonts w:ascii="Lato" w:hAnsi="Lato"/>
                <w:color w:val="407C9B"/>
                <w:sz w:val="18"/>
                <w:szCs w:val="18"/>
                <w:lang w:val="ru-RU"/>
              </w:rPr>
            </w:pPr>
          </w:p>
        </w:tc>
      </w:tr>
      <w:tr w:rsidR="004B77F6" w:rsidRPr="00694ACA" w14:paraId="71EF64E1" w14:textId="77777777" w:rsidTr="0068182E">
        <w:trPr>
          <w:gridAfter w:val="1"/>
          <w:wAfter w:w="6" w:type="dxa"/>
        </w:trPr>
        <w:tc>
          <w:tcPr>
            <w:tcW w:w="1555" w:type="dxa"/>
            <w:shd w:val="clear" w:color="auto" w:fill="F2F2F2" w:themeFill="background1" w:themeFillShade="F2"/>
          </w:tcPr>
          <w:p w14:paraId="4CFA7E54" w14:textId="77777777" w:rsidR="004B77F6" w:rsidRPr="00694ACA" w:rsidRDefault="004B77F6" w:rsidP="00F221C0">
            <w:pPr>
              <w:rPr>
                <w:rFonts w:ascii="Lato" w:hAnsi="Lato" w:cs="Arial"/>
                <w:color w:val="407C9B"/>
                <w:szCs w:val="20"/>
                <w:lang w:val="ru-RU"/>
              </w:rPr>
            </w:pPr>
            <w:r w:rsidRPr="00694ACA">
              <w:rPr>
                <w:rFonts w:ascii="Lato" w:hAnsi="Lato"/>
                <w:color w:val="407C9B"/>
                <w:sz w:val="18"/>
                <w:szCs w:val="22"/>
                <w:lang w:val="ru-RU"/>
              </w:rPr>
              <w:t>ЮНКТАД</w:t>
            </w:r>
            <w:r w:rsidRPr="00694ACA">
              <w:rPr>
                <w:rStyle w:val="FootnoteReference"/>
                <w:rFonts w:cs="Arial"/>
                <w:color w:val="407C9B"/>
                <w:szCs w:val="20"/>
                <w:lang w:val="ru-RU"/>
              </w:rPr>
              <w:footnoteReference w:id="229"/>
            </w:r>
          </w:p>
        </w:tc>
        <w:tc>
          <w:tcPr>
            <w:tcW w:w="828" w:type="dxa"/>
            <w:shd w:val="clear" w:color="auto" w:fill="F2F2F2" w:themeFill="background1" w:themeFillShade="F2"/>
          </w:tcPr>
          <w:p w14:paraId="40CD30F6" w14:textId="77777777" w:rsidR="004B77F6" w:rsidRPr="00694ACA" w:rsidRDefault="004B77F6" w:rsidP="00F221C0">
            <w:pPr>
              <w:jc w:val="center"/>
              <w:rPr>
                <w:rFonts w:ascii="Lato" w:hAnsi="Lato"/>
                <w:color w:val="407C9B"/>
                <w:sz w:val="18"/>
                <w:szCs w:val="18"/>
                <w:lang w:val="ru-RU"/>
              </w:rPr>
            </w:pPr>
          </w:p>
        </w:tc>
        <w:tc>
          <w:tcPr>
            <w:tcW w:w="828" w:type="dxa"/>
            <w:shd w:val="clear" w:color="auto" w:fill="F2F2F2" w:themeFill="background1" w:themeFillShade="F2"/>
          </w:tcPr>
          <w:p w14:paraId="1ADC1C0B" w14:textId="77777777" w:rsidR="004B77F6" w:rsidRPr="00694ACA" w:rsidRDefault="004B77F6" w:rsidP="00F221C0">
            <w:pPr>
              <w:jc w:val="center"/>
              <w:rPr>
                <w:rFonts w:ascii="Lato" w:hAnsi="Lato"/>
                <w:color w:val="407C9B"/>
                <w:sz w:val="18"/>
                <w:szCs w:val="18"/>
                <w:lang w:val="ru-RU"/>
              </w:rPr>
            </w:pPr>
            <w:r w:rsidRPr="00694ACA">
              <w:rPr>
                <w:rFonts w:ascii="Lato" w:hAnsi="Lato"/>
                <w:color w:val="407C9B"/>
                <w:sz w:val="18"/>
                <w:szCs w:val="18"/>
                <w:lang w:val="ru-RU"/>
              </w:rPr>
              <w:t>P</w:t>
            </w:r>
          </w:p>
        </w:tc>
        <w:tc>
          <w:tcPr>
            <w:tcW w:w="829" w:type="dxa"/>
            <w:shd w:val="clear" w:color="auto" w:fill="F2F2F2" w:themeFill="background1" w:themeFillShade="F2"/>
          </w:tcPr>
          <w:p w14:paraId="092CA133" w14:textId="77777777" w:rsidR="004B77F6" w:rsidRPr="00694ACA" w:rsidRDefault="004B77F6" w:rsidP="00F221C0">
            <w:pPr>
              <w:jc w:val="center"/>
              <w:rPr>
                <w:rFonts w:ascii="Lato" w:hAnsi="Lato"/>
                <w:color w:val="407C9B"/>
                <w:sz w:val="18"/>
                <w:szCs w:val="18"/>
                <w:lang w:val="ru-RU"/>
              </w:rPr>
            </w:pPr>
            <w:r w:rsidRPr="00694ACA">
              <w:rPr>
                <w:rFonts w:ascii="Lato" w:hAnsi="Lato"/>
                <w:color w:val="407C9B"/>
                <w:sz w:val="18"/>
                <w:szCs w:val="18"/>
                <w:lang w:val="ru-RU"/>
              </w:rPr>
              <w:t>P</w:t>
            </w:r>
          </w:p>
        </w:tc>
        <w:tc>
          <w:tcPr>
            <w:tcW w:w="828" w:type="dxa"/>
            <w:shd w:val="clear" w:color="auto" w:fill="F2F2F2" w:themeFill="background1" w:themeFillShade="F2"/>
          </w:tcPr>
          <w:p w14:paraId="1030D4C8" w14:textId="77777777" w:rsidR="004B77F6" w:rsidRPr="00694ACA" w:rsidRDefault="004B77F6" w:rsidP="00F221C0">
            <w:pPr>
              <w:jc w:val="center"/>
              <w:rPr>
                <w:rFonts w:ascii="Lato" w:hAnsi="Lato"/>
                <w:color w:val="407C9B"/>
                <w:sz w:val="18"/>
                <w:szCs w:val="18"/>
                <w:lang w:val="ru-RU"/>
              </w:rPr>
            </w:pPr>
            <w:r w:rsidRPr="00694ACA">
              <w:rPr>
                <w:rFonts w:ascii="Lato" w:hAnsi="Lato"/>
                <w:color w:val="407C9B"/>
                <w:sz w:val="18"/>
                <w:szCs w:val="18"/>
                <w:lang w:val="ru-RU"/>
              </w:rPr>
              <w:t>P</w:t>
            </w:r>
          </w:p>
        </w:tc>
        <w:tc>
          <w:tcPr>
            <w:tcW w:w="828" w:type="dxa"/>
            <w:shd w:val="clear" w:color="auto" w:fill="F2F2F2" w:themeFill="background1" w:themeFillShade="F2"/>
          </w:tcPr>
          <w:p w14:paraId="3C5FB96C" w14:textId="77777777" w:rsidR="004B77F6" w:rsidRPr="00694ACA" w:rsidRDefault="004B77F6" w:rsidP="00F221C0">
            <w:pPr>
              <w:jc w:val="center"/>
              <w:rPr>
                <w:rFonts w:ascii="Lato" w:hAnsi="Lato"/>
                <w:color w:val="407C9B"/>
                <w:sz w:val="18"/>
                <w:szCs w:val="18"/>
                <w:lang w:val="ru-RU"/>
              </w:rPr>
            </w:pPr>
          </w:p>
        </w:tc>
        <w:tc>
          <w:tcPr>
            <w:tcW w:w="829" w:type="dxa"/>
            <w:shd w:val="clear" w:color="auto" w:fill="F2F2F2" w:themeFill="background1" w:themeFillShade="F2"/>
          </w:tcPr>
          <w:p w14:paraId="3F5949FD" w14:textId="77777777" w:rsidR="004B77F6" w:rsidRPr="00694ACA" w:rsidRDefault="004B77F6" w:rsidP="00F221C0">
            <w:pPr>
              <w:jc w:val="center"/>
              <w:rPr>
                <w:rFonts w:ascii="Lato" w:hAnsi="Lato"/>
                <w:color w:val="407C9B"/>
                <w:sz w:val="18"/>
                <w:szCs w:val="18"/>
                <w:lang w:val="ru-RU"/>
              </w:rPr>
            </w:pPr>
            <w:r w:rsidRPr="00694ACA">
              <w:rPr>
                <w:rFonts w:ascii="Lato" w:hAnsi="Lato"/>
                <w:color w:val="407C9B"/>
                <w:sz w:val="18"/>
                <w:szCs w:val="18"/>
                <w:lang w:val="ru-RU"/>
              </w:rPr>
              <w:t>P</w:t>
            </w:r>
          </w:p>
        </w:tc>
        <w:tc>
          <w:tcPr>
            <w:tcW w:w="828" w:type="dxa"/>
            <w:shd w:val="clear" w:color="auto" w:fill="F2F2F2" w:themeFill="background1" w:themeFillShade="F2"/>
          </w:tcPr>
          <w:p w14:paraId="5F783C03" w14:textId="77777777" w:rsidR="004B77F6" w:rsidRPr="00694ACA" w:rsidRDefault="004B77F6" w:rsidP="00F221C0">
            <w:pPr>
              <w:jc w:val="center"/>
              <w:rPr>
                <w:rFonts w:ascii="Lato" w:hAnsi="Lato"/>
                <w:color w:val="407C9B"/>
                <w:sz w:val="18"/>
                <w:szCs w:val="18"/>
                <w:lang w:val="ru-RU"/>
              </w:rPr>
            </w:pPr>
          </w:p>
        </w:tc>
        <w:tc>
          <w:tcPr>
            <w:tcW w:w="828" w:type="dxa"/>
            <w:shd w:val="clear" w:color="auto" w:fill="F2F2F2" w:themeFill="background1" w:themeFillShade="F2"/>
          </w:tcPr>
          <w:p w14:paraId="22A31569" w14:textId="77777777" w:rsidR="004B77F6" w:rsidRPr="00694ACA" w:rsidRDefault="004B77F6" w:rsidP="00F221C0">
            <w:pPr>
              <w:jc w:val="center"/>
              <w:rPr>
                <w:rFonts w:ascii="Lato" w:hAnsi="Lato"/>
                <w:color w:val="407C9B"/>
                <w:sz w:val="18"/>
                <w:szCs w:val="18"/>
                <w:lang w:val="ru-RU"/>
              </w:rPr>
            </w:pPr>
            <w:r w:rsidRPr="00694ACA">
              <w:rPr>
                <w:rFonts w:ascii="Lato" w:hAnsi="Lato"/>
                <w:color w:val="407C9B"/>
                <w:sz w:val="18"/>
                <w:szCs w:val="18"/>
                <w:lang w:val="ru-RU"/>
              </w:rPr>
              <w:t>P</w:t>
            </w:r>
          </w:p>
        </w:tc>
        <w:tc>
          <w:tcPr>
            <w:tcW w:w="829" w:type="dxa"/>
            <w:shd w:val="clear" w:color="auto" w:fill="F2F2F2" w:themeFill="background1" w:themeFillShade="F2"/>
          </w:tcPr>
          <w:p w14:paraId="65791A36" w14:textId="77777777" w:rsidR="004B77F6" w:rsidRPr="00694ACA" w:rsidRDefault="004B77F6" w:rsidP="00F221C0">
            <w:pPr>
              <w:jc w:val="center"/>
              <w:rPr>
                <w:rFonts w:ascii="Lato" w:hAnsi="Lato"/>
                <w:color w:val="407C9B"/>
                <w:sz w:val="18"/>
                <w:szCs w:val="18"/>
                <w:lang w:val="ru-RU"/>
              </w:rPr>
            </w:pPr>
          </w:p>
        </w:tc>
      </w:tr>
      <w:tr w:rsidR="004B77F6" w:rsidRPr="00694ACA" w14:paraId="05C86E0D" w14:textId="77777777" w:rsidTr="0068182E">
        <w:trPr>
          <w:gridAfter w:val="1"/>
          <w:wAfter w:w="6" w:type="dxa"/>
        </w:trPr>
        <w:tc>
          <w:tcPr>
            <w:tcW w:w="1555" w:type="dxa"/>
            <w:shd w:val="clear" w:color="auto" w:fill="F2F2F2" w:themeFill="background1" w:themeFillShade="F2"/>
          </w:tcPr>
          <w:p w14:paraId="07FDEEB9" w14:textId="77777777" w:rsidR="004B77F6" w:rsidRPr="00694ACA" w:rsidRDefault="004B77F6" w:rsidP="00F221C0">
            <w:pPr>
              <w:rPr>
                <w:rFonts w:ascii="Lato" w:hAnsi="Lato" w:cs="Arial"/>
                <w:color w:val="407C9B"/>
                <w:szCs w:val="20"/>
                <w:lang w:val="ru-RU"/>
              </w:rPr>
            </w:pPr>
            <w:r w:rsidRPr="00694ACA">
              <w:rPr>
                <w:rFonts w:ascii="Lato" w:hAnsi="Lato"/>
                <w:color w:val="407C9B"/>
                <w:sz w:val="18"/>
                <w:szCs w:val="22"/>
                <w:lang w:val="ru-RU"/>
              </w:rPr>
              <w:t>ДЭСВ ООН</w:t>
            </w:r>
            <w:r w:rsidRPr="00694ACA">
              <w:rPr>
                <w:rStyle w:val="FootnoteReference"/>
                <w:rFonts w:cs="Arial"/>
                <w:color w:val="407C9B"/>
                <w:szCs w:val="20"/>
                <w:lang w:val="ru-RU"/>
              </w:rPr>
              <w:footnoteReference w:id="230"/>
            </w:r>
          </w:p>
        </w:tc>
        <w:tc>
          <w:tcPr>
            <w:tcW w:w="828" w:type="dxa"/>
            <w:shd w:val="clear" w:color="auto" w:fill="F2F2F2" w:themeFill="background1" w:themeFillShade="F2"/>
          </w:tcPr>
          <w:p w14:paraId="33BBE0BC" w14:textId="77777777" w:rsidR="004B77F6" w:rsidRPr="00694ACA" w:rsidRDefault="004B77F6" w:rsidP="00F221C0">
            <w:pPr>
              <w:jc w:val="center"/>
              <w:rPr>
                <w:rFonts w:ascii="Lato" w:hAnsi="Lato"/>
                <w:color w:val="407C9B"/>
                <w:sz w:val="18"/>
                <w:szCs w:val="18"/>
                <w:lang w:val="ru-RU"/>
              </w:rPr>
            </w:pPr>
          </w:p>
        </w:tc>
        <w:tc>
          <w:tcPr>
            <w:tcW w:w="828" w:type="dxa"/>
            <w:shd w:val="clear" w:color="auto" w:fill="F2F2F2" w:themeFill="background1" w:themeFillShade="F2"/>
          </w:tcPr>
          <w:p w14:paraId="49A9689C" w14:textId="77777777" w:rsidR="004B77F6" w:rsidRPr="00694ACA" w:rsidRDefault="004B77F6" w:rsidP="00F221C0">
            <w:pPr>
              <w:jc w:val="center"/>
              <w:rPr>
                <w:rFonts w:ascii="Lato" w:hAnsi="Lato"/>
                <w:color w:val="407C9B"/>
                <w:sz w:val="18"/>
                <w:szCs w:val="18"/>
                <w:lang w:val="ru-RU"/>
              </w:rPr>
            </w:pPr>
            <w:r w:rsidRPr="00694ACA">
              <w:rPr>
                <w:rFonts w:ascii="Lato" w:hAnsi="Lato"/>
                <w:color w:val="407C9B"/>
                <w:sz w:val="18"/>
                <w:szCs w:val="18"/>
                <w:lang w:val="ru-RU"/>
              </w:rPr>
              <w:t>P</w:t>
            </w:r>
          </w:p>
        </w:tc>
        <w:tc>
          <w:tcPr>
            <w:tcW w:w="829" w:type="dxa"/>
            <w:shd w:val="clear" w:color="auto" w:fill="F2F2F2" w:themeFill="background1" w:themeFillShade="F2"/>
          </w:tcPr>
          <w:p w14:paraId="031EFA1F" w14:textId="77777777" w:rsidR="004B77F6" w:rsidRPr="00694ACA" w:rsidRDefault="004B77F6" w:rsidP="00F221C0">
            <w:pPr>
              <w:jc w:val="center"/>
              <w:rPr>
                <w:rFonts w:ascii="Lato" w:hAnsi="Lato"/>
                <w:color w:val="407C9B"/>
                <w:sz w:val="18"/>
                <w:szCs w:val="18"/>
                <w:lang w:val="ru-RU"/>
              </w:rPr>
            </w:pPr>
          </w:p>
        </w:tc>
        <w:tc>
          <w:tcPr>
            <w:tcW w:w="828" w:type="dxa"/>
            <w:shd w:val="clear" w:color="auto" w:fill="F2F2F2" w:themeFill="background1" w:themeFillShade="F2"/>
          </w:tcPr>
          <w:p w14:paraId="566E3BBF" w14:textId="77777777" w:rsidR="004B77F6" w:rsidRPr="00694ACA" w:rsidRDefault="004B77F6" w:rsidP="00F221C0">
            <w:pPr>
              <w:jc w:val="center"/>
              <w:rPr>
                <w:rFonts w:ascii="Lato" w:hAnsi="Lato"/>
                <w:color w:val="407C9B"/>
                <w:sz w:val="18"/>
                <w:szCs w:val="18"/>
                <w:lang w:val="ru-RU"/>
              </w:rPr>
            </w:pPr>
          </w:p>
        </w:tc>
        <w:tc>
          <w:tcPr>
            <w:tcW w:w="828" w:type="dxa"/>
            <w:shd w:val="clear" w:color="auto" w:fill="F2F2F2" w:themeFill="background1" w:themeFillShade="F2"/>
          </w:tcPr>
          <w:p w14:paraId="5DF6E8FA" w14:textId="77777777" w:rsidR="004B77F6" w:rsidRPr="00694ACA" w:rsidRDefault="004B77F6" w:rsidP="00F221C0">
            <w:pPr>
              <w:jc w:val="center"/>
              <w:rPr>
                <w:rFonts w:ascii="Lato" w:hAnsi="Lato"/>
                <w:color w:val="407C9B"/>
                <w:sz w:val="18"/>
                <w:szCs w:val="18"/>
                <w:lang w:val="ru-RU"/>
              </w:rPr>
            </w:pPr>
          </w:p>
        </w:tc>
        <w:tc>
          <w:tcPr>
            <w:tcW w:w="829" w:type="dxa"/>
            <w:shd w:val="clear" w:color="auto" w:fill="F2F2F2" w:themeFill="background1" w:themeFillShade="F2"/>
          </w:tcPr>
          <w:p w14:paraId="6454A073" w14:textId="77777777" w:rsidR="004B77F6" w:rsidRPr="00694ACA" w:rsidRDefault="004B77F6" w:rsidP="00F221C0">
            <w:pPr>
              <w:jc w:val="center"/>
              <w:rPr>
                <w:rFonts w:ascii="Lato" w:hAnsi="Lato"/>
                <w:color w:val="407C9B"/>
                <w:sz w:val="18"/>
                <w:szCs w:val="18"/>
                <w:lang w:val="ru-RU"/>
              </w:rPr>
            </w:pPr>
          </w:p>
        </w:tc>
        <w:tc>
          <w:tcPr>
            <w:tcW w:w="828" w:type="dxa"/>
            <w:shd w:val="clear" w:color="auto" w:fill="F2F2F2" w:themeFill="background1" w:themeFillShade="F2"/>
          </w:tcPr>
          <w:p w14:paraId="1D9C4F9E" w14:textId="77777777" w:rsidR="004B77F6" w:rsidRPr="00694ACA" w:rsidRDefault="004B77F6" w:rsidP="00F221C0">
            <w:pPr>
              <w:jc w:val="center"/>
              <w:rPr>
                <w:rFonts w:ascii="Lato" w:hAnsi="Lato"/>
                <w:color w:val="407C9B"/>
                <w:sz w:val="18"/>
                <w:szCs w:val="18"/>
                <w:lang w:val="ru-RU"/>
              </w:rPr>
            </w:pPr>
          </w:p>
        </w:tc>
        <w:tc>
          <w:tcPr>
            <w:tcW w:w="828" w:type="dxa"/>
            <w:shd w:val="clear" w:color="auto" w:fill="F2F2F2" w:themeFill="background1" w:themeFillShade="F2"/>
          </w:tcPr>
          <w:p w14:paraId="10A73333" w14:textId="77777777" w:rsidR="004B77F6" w:rsidRPr="00694ACA" w:rsidRDefault="004B77F6" w:rsidP="00F221C0">
            <w:pPr>
              <w:jc w:val="center"/>
              <w:rPr>
                <w:rFonts w:ascii="Lato" w:hAnsi="Lato"/>
                <w:color w:val="407C9B"/>
                <w:sz w:val="18"/>
                <w:szCs w:val="18"/>
                <w:lang w:val="ru-RU"/>
              </w:rPr>
            </w:pPr>
            <w:r w:rsidRPr="00694ACA">
              <w:rPr>
                <w:rFonts w:ascii="Lato" w:hAnsi="Lato"/>
                <w:color w:val="407C9B"/>
                <w:sz w:val="18"/>
                <w:szCs w:val="18"/>
                <w:lang w:val="ru-RU"/>
              </w:rPr>
              <w:t>P</w:t>
            </w:r>
          </w:p>
        </w:tc>
        <w:tc>
          <w:tcPr>
            <w:tcW w:w="829" w:type="dxa"/>
            <w:shd w:val="clear" w:color="auto" w:fill="F2F2F2" w:themeFill="background1" w:themeFillShade="F2"/>
          </w:tcPr>
          <w:p w14:paraId="7963D3FC" w14:textId="77777777" w:rsidR="004B77F6" w:rsidRPr="00694ACA" w:rsidRDefault="004B77F6" w:rsidP="00F221C0">
            <w:pPr>
              <w:jc w:val="center"/>
              <w:rPr>
                <w:rFonts w:ascii="Lato" w:hAnsi="Lato"/>
                <w:color w:val="407C9B"/>
                <w:sz w:val="18"/>
                <w:szCs w:val="18"/>
                <w:lang w:val="ru-RU"/>
              </w:rPr>
            </w:pPr>
            <w:r w:rsidRPr="00694ACA">
              <w:rPr>
                <w:rFonts w:ascii="Lato" w:hAnsi="Lato"/>
                <w:color w:val="407C9B"/>
                <w:sz w:val="18"/>
                <w:szCs w:val="18"/>
                <w:lang w:val="ru-RU"/>
              </w:rPr>
              <w:t>P</w:t>
            </w:r>
          </w:p>
        </w:tc>
      </w:tr>
      <w:tr w:rsidR="004B77F6" w:rsidRPr="00694ACA" w14:paraId="0F6F7C59" w14:textId="77777777" w:rsidTr="0068182E">
        <w:trPr>
          <w:gridAfter w:val="1"/>
          <w:wAfter w:w="6" w:type="dxa"/>
        </w:trPr>
        <w:tc>
          <w:tcPr>
            <w:tcW w:w="1555" w:type="dxa"/>
            <w:shd w:val="clear" w:color="auto" w:fill="F2F2F2" w:themeFill="background1" w:themeFillShade="F2"/>
          </w:tcPr>
          <w:p w14:paraId="753293CE" w14:textId="77777777" w:rsidR="004B77F6" w:rsidRPr="00694ACA" w:rsidRDefault="004B77F6" w:rsidP="00F221C0">
            <w:pPr>
              <w:rPr>
                <w:rFonts w:ascii="Lato" w:hAnsi="Lato" w:cs="Arial"/>
                <w:color w:val="407C9B"/>
                <w:szCs w:val="20"/>
                <w:lang w:val="ru-RU"/>
              </w:rPr>
            </w:pPr>
            <w:r w:rsidRPr="00694ACA">
              <w:rPr>
                <w:rFonts w:ascii="Lato" w:hAnsi="Lato"/>
                <w:color w:val="407C9B"/>
                <w:sz w:val="18"/>
                <w:szCs w:val="22"/>
                <w:lang w:val="ru-RU"/>
              </w:rPr>
              <w:t>ПРООН</w:t>
            </w:r>
            <w:r w:rsidRPr="00694ACA">
              <w:rPr>
                <w:rStyle w:val="FootnoteReference"/>
                <w:rFonts w:cs="Arial"/>
                <w:color w:val="407C9B"/>
                <w:szCs w:val="20"/>
                <w:lang w:val="ru-RU"/>
              </w:rPr>
              <w:footnoteReference w:id="231"/>
            </w:r>
          </w:p>
        </w:tc>
        <w:tc>
          <w:tcPr>
            <w:tcW w:w="828" w:type="dxa"/>
            <w:shd w:val="clear" w:color="auto" w:fill="F2F2F2" w:themeFill="background1" w:themeFillShade="F2"/>
          </w:tcPr>
          <w:p w14:paraId="305D30AF" w14:textId="77777777" w:rsidR="004B77F6" w:rsidRPr="00694ACA" w:rsidRDefault="004B77F6" w:rsidP="00F221C0">
            <w:pPr>
              <w:jc w:val="center"/>
              <w:rPr>
                <w:rFonts w:ascii="Lato" w:hAnsi="Lato"/>
                <w:color w:val="407C9B"/>
                <w:sz w:val="18"/>
                <w:szCs w:val="18"/>
                <w:lang w:val="ru-RU"/>
              </w:rPr>
            </w:pPr>
          </w:p>
        </w:tc>
        <w:tc>
          <w:tcPr>
            <w:tcW w:w="828" w:type="dxa"/>
            <w:shd w:val="clear" w:color="auto" w:fill="F2F2F2" w:themeFill="background1" w:themeFillShade="F2"/>
          </w:tcPr>
          <w:p w14:paraId="02218451" w14:textId="77777777" w:rsidR="004B77F6" w:rsidRPr="00694ACA" w:rsidRDefault="004B77F6" w:rsidP="00F221C0">
            <w:pPr>
              <w:jc w:val="center"/>
              <w:rPr>
                <w:rFonts w:ascii="Lato" w:hAnsi="Lato"/>
                <w:color w:val="407C9B"/>
                <w:sz w:val="18"/>
                <w:szCs w:val="18"/>
                <w:lang w:val="ru-RU"/>
              </w:rPr>
            </w:pPr>
          </w:p>
        </w:tc>
        <w:tc>
          <w:tcPr>
            <w:tcW w:w="829" w:type="dxa"/>
            <w:shd w:val="clear" w:color="auto" w:fill="F2F2F2" w:themeFill="background1" w:themeFillShade="F2"/>
          </w:tcPr>
          <w:p w14:paraId="5ADDC9A0" w14:textId="77777777" w:rsidR="004B77F6" w:rsidRPr="00694ACA" w:rsidRDefault="004B77F6" w:rsidP="00F221C0">
            <w:pPr>
              <w:jc w:val="center"/>
              <w:rPr>
                <w:rFonts w:ascii="Lato" w:hAnsi="Lato"/>
                <w:color w:val="407C9B"/>
                <w:sz w:val="18"/>
                <w:szCs w:val="18"/>
                <w:lang w:val="ru-RU"/>
              </w:rPr>
            </w:pPr>
            <w:r w:rsidRPr="00694ACA">
              <w:rPr>
                <w:rFonts w:ascii="Lato" w:hAnsi="Lato"/>
                <w:color w:val="407C9B"/>
                <w:sz w:val="18"/>
                <w:szCs w:val="18"/>
                <w:lang w:val="ru-RU"/>
              </w:rPr>
              <w:t>P</w:t>
            </w:r>
          </w:p>
        </w:tc>
        <w:tc>
          <w:tcPr>
            <w:tcW w:w="828" w:type="dxa"/>
            <w:shd w:val="clear" w:color="auto" w:fill="F2F2F2" w:themeFill="background1" w:themeFillShade="F2"/>
          </w:tcPr>
          <w:p w14:paraId="098CF3CB" w14:textId="77777777" w:rsidR="004B77F6" w:rsidRPr="00694ACA" w:rsidRDefault="004B77F6" w:rsidP="00F221C0">
            <w:pPr>
              <w:jc w:val="center"/>
              <w:rPr>
                <w:rFonts w:ascii="Lato" w:hAnsi="Lato"/>
                <w:b/>
                <w:bCs/>
                <w:color w:val="407C9B"/>
                <w:sz w:val="18"/>
                <w:szCs w:val="18"/>
                <w:lang w:val="ru-RU"/>
              </w:rPr>
            </w:pPr>
            <w:r w:rsidRPr="00694ACA">
              <w:rPr>
                <w:rFonts w:ascii="Lato" w:hAnsi="Lato"/>
                <w:color w:val="407C9B"/>
                <w:sz w:val="18"/>
                <w:szCs w:val="18"/>
                <w:lang w:val="ru-RU"/>
              </w:rPr>
              <w:t>P</w:t>
            </w:r>
          </w:p>
        </w:tc>
        <w:tc>
          <w:tcPr>
            <w:tcW w:w="828" w:type="dxa"/>
            <w:shd w:val="clear" w:color="auto" w:fill="F2F2F2" w:themeFill="background1" w:themeFillShade="F2"/>
          </w:tcPr>
          <w:p w14:paraId="7F71761A" w14:textId="77777777" w:rsidR="004B77F6" w:rsidRPr="00694ACA" w:rsidRDefault="004B77F6" w:rsidP="00F221C0">
            <w:pPr>
              <w:jc w:val="center"/>
              <w:rPr>
                <w:rFonts w:ascii="Lato" w:hAnsi="Lato"/>
                <w:color w:val="407C9B"/>
                <w:sz w:val="18"/>
                <w:szCs w:val="18"/>
                <w:lang w:val="ru-RU"/>
              </w:rPr>
            </w:pPr>
          </w:p>
        </w:tc>
        <w:tc>
          <w:tcPr>
            <w:tcW w:w="829" w:type="dxa"/>
            <w:shd w:val="clear" w:color="auto" w:fill="F2F2F2" w:themeFill="background1" w:themeFillShade="F2"/>
          </w:tcPr>
          <w:p w14:paraId="3ECCCEF6" w14:textId="77777777" w:rsidR="004B77F6" w:rsidRPr="00694ACA" w:rsidRDefault="004B77F6" w:rsidP="00F221C0">
            <w:pPr>
              <w:jc w:val="center"/>
              <w:rPr>
                <w:rFonts w:ascii="Lato" w:hAnsi="Lato"/>
                <w:color w:val="407C9B"/>
                <w:sz w:val="18"/>
                <w:szCs w:val="18"/>
                <w:lang w:val="ru-RU"/>
              </w:rPr>
            </w:pPr>
          </w:p>
        </w:tc>
        <w:tc>
          <w:tcPr>
            <w:tcW w:w="828" w:type="dxa"/>
            <w:shd w:val="clear" w:color="auto" w:fill="F2F2F2" w:themeFill="background1" w:themeFillShade="F2"/>
          </w:tcPr>
          <w:p w14:paraId="522C9599" w14:textId="77777777" w:rsidR="004B77F6" w:rsidRPr="00694ACA" w:rsidRDefault="004B77F6" w:rsidP="00F221C0">
            <w:pPr>
              <w:jc w:val="center"/>
              <w:rPr>
                <w:rFonts w:ascii="Lato" w:hAnsi="Lato"/>
                <w:color w:val="407C9B"/>
                <w:sz w:val="18"/>
                <w:szCs w:val="18"/>
                <w:lang w:val="ru-RU"/>
              </w:rPr>
            </w:pPr>
          </w:p>
        </w:tc>
        <w:tc>
          <w:tcPr>
            <w:tcW w:w="828" w:type="dxa"/>
            <w:shd w:val="clear" w:color="auto" w:fill="F2F2F2" w:themeFill="background1" w:themeFillShade="F2"/>
          </w:tcPr>
          <w:p w14:paraId="1373ED72" w14:textId="77777777" w:rsidR="004B77F6" w:rsidRPr="00694ACA" w:rsidRDefault="004B77F6" w:rsidP="00F221C0">
            <w:pPr>
              <w:jc w:val="center"/>
              <w:rPr>
                <w:rFonts w:ascii="Lato" w:hAnsi="Lato"/>
                <w:color w:val="407C9B"/>
                <w:sz w:val="18"/>
                <w:szCs w:val="18"/>
                <w:lang w:val="ru-RU"/>
              </w:rPr>
            </w:pPr>
            <w:r w:rsidRPr="00694ACA">
              <w:rPr>
                <w:rFonts w:ascii="Lato" w:hAnsi="Lato"/>
                <w:color w:val="407C9B"/>
                <w:sz w:val="18"/>
                <w:szCs w:val="18"/>
                <w:lang w:val="ru-RU"/>
              </w:rPr>
              <w:t>P</w:t>
            </w:r>
          </w:p>
        </w:tc>
        <w:tc>
          <w:tcPr>
            <w:tcW w:w="829" w:type="dxa"/>
            <w:shd w:val="clear" w:color="auto" w:fill="F2F2F2" w:themeFill="background1" w:themeFillShade="F2"/>
          </w:tcPr>
          <w:p w14:paraId="6168E03D" w14:textId="77777777" w:rsidR="004B77F6" w:rsidRPr="00694ACA" w:rsidRDefault="004B77F6" w:rsidP="00F221C0">
            <w:pPr>
              <w:jc w:val="center"/>
              <w:rPr>
                <w:rFonts w:ascii="Lato" w:hAnsi="Lato"/>
                <w:color w:val="407C9B"/>
                <w:sz w:val="18"/>
                <w:szCs w:val="18"/>
                <w:lang w:val="ru-RU"/>
              </w:rPr>
            </w:pPr>
            <w:r w:rsidRPr="00694ACA">
              <w:rPr>
                <w:rFonts w:ascii="Lato" w:hAnsi="Lato"/>
                <w:color w:val="407C9B"/>
                <w:sz w:val="18"/>
                <w:szCs w:val="18"/>
                <w:lang w:val="ru-RU"/>
              </w:rPr>
              <w:t>P</w:t>
            </w:r>
          </w:p>
        </w:tc>
      </w:tr>
      <w:tr w:rsidR="004B77F6" w:rsidRPr="00694ACA" w14:paraId="4F344ED8" w14:textId="77777777" w:rsidTr="0068182E">
        <w:trPr>
          <w:gridAfter w:val="1"/>
          <w:wAfter w:w="6" w:type="dxa"/>
        </w:trPr>
        <w:tc>
          <w:tcPr>
            <w:tcW w:w="1555" w:type="dxa"/>
            <w:shd w:val="clear" w:color="auto" w:fill="F2F2F2" w:themeFill="background1" w:themeFillShade="F2"/>
          </w:tcPr>
          <w:p w14:paraId="4302234C" w14:textId="77777777" w:rsidR="004B77F6" w:rsidRPr="00694ACA" w:rsidRDefault="004B77F6" w:rsidP="00F221C0">
            <w:pPr>
              <w:rPr>
                <w:rFonts w:ascii="Lato" w:hAnsi="Lato" w:cs="Arial"/>
                <w:color w:val="407C9B"/>
                <w:szCs w:val="20"/>
                <w:lang w:val="ru-RU"/>
              </w:rPr>
            </w:pPr>
            <w:r w:rsidRPr="00694ACA">
              <w:rPr>
                <w:rFonts w:ascii="Lato" w:hAnsi="Lato"/>
                <w:color w:val="407C9B"/>
                <w:sz w:val="18"/>
                <w:szCs w:val="22"/>
                <w:lang w:val="ru-RU"/>
              </w:rPr>
              <w:t>ЮНЕСКО</w:t>
            </w:r>
            <w:r w:rsidRPr="00694ACA">
              <w:rPr>
                <w:rStyle w:val="FootnoteReference"/>
                <w:rFonts w:cs="Arial"/>
                <w:color w:val="407C9B"/>
                <w:szCs w:val="20"/>
                <w:lang w:val="ru-RU"/>
              </w:rPr>
              <w:footnoteReference w:id="232"/>
            </w:r>
          </w:p>
        </w:tc>
        <w:tc>
          <w:tcPr>
            <w:tcW w:w="828" w:type="dxa"/>
            <w:shd w:val="clear" w:color="auto" w:fill="F2F2F2" w:themeFill="background1" w:themeFillShade="F2"/>
          </w:tcPr>
          <w:p w14:paraId="4410E098" w14:textId="77777777" w:rsidR="004B77F6" w:rsidRPr="00694ACA" w:rsidRDefault="004B77F6" w:rsidP="00F221C0">
            <w:pPr>
              <w:jc w:val="center"/>
              <w:rPr>
                <w:rFonts w:ascii="Lato" w:hAnsi="Lato"/>
                <w:color w:val="407C9B"/>
                <w:sz w:val="18"/>
                <w:szCs w:val="18"/>
                <w:lang w:val="ru-RU"/>
              </w:rPr>
            </w:pPr>
            <w:r w:rsidRPr="00694ACA">
              <w:rPr>
                <w:rFonts w:ascii="Lato" w:hAnsi="Lato"/>
                <w:color w:val="407C9B"/>
                <w:sz w:val="18"/>
                <w:szCs w:val="18"/>
                <w:lang w:val="ru-RU"/>
              </w:rPr>
              <w:t>P</w:t>
            </w:r>
          </w:p>
        </w:tc>
        <w:tc>
          <w:tcPr>
            <w:tcW w:w="828" w:type="dxa"/>
            <w:shd w:val="clear" w:color="auto" w:fill="F2F2F2" w:themeFill="background1" w:themeFillShade="F2"/>
          </w:tcPr>
          <w:p w14:paraId="5684F3B8" w14:textId="77777777" w:rsidR="004B77F6" w:rsidRPr="00694ACA" w:rsidRDefault="004B77F6" w:rsidP="00F221C0">
            <w:pPr>
              <w:jc w:val="center"/>
              <w:rPr>
                <w:rFonts w:ascii="Lato" w:hAnsi="Lato"/>
                <w:color w:val="407C9B"/>
                <w:sz w:val="18"/>
                <w:szCs w:val="18"/>
                <w:lang w:val="ru-RU"/>
              </w:rPr>
            </w:pPr>
            <w:r w:rsidRPr="00694ACA">
              <w:rPr>
                <w:rFonts w:ascii="Lato" w:hAnsi="Lato"/>
                <w:color w:val="407C9B"/>
                <w:sz w:val="18"/>
                <w:szCs w:val="18"/>
                <w:lang w:val="ru-RU"/>
              </w:rPr>
              <w:t>P</w:t>
            </w:r>
          </w:p>
        </w:tc>
        <w:tc>
          <w:tcPr>
            <w:tcW w:w="829" w:type="dxa"/>
            <w:shd w:val="clear" w:color="auto" w:fill="F2F2F2" w:themeFill="background1" w:themeFillShade="F2"/>
          </w:tcPr>
          <w:p w14:paraId="4586C524" w14:textId="77777777" w:rsidR="004B77F6" w:rsidRPr="00694ACA" w:rsidRDefault="004B77F6" w:rsidP="00F221C0">
            <w:pPr>
              <w:jc w:val="center"/>
              <w:rPr>
                <w:rFonts w:ascii="Lato" w:hAnsi="Lato"/>
                <w:color w:val="407C9B"/>
                <w:sz w:val="18"/>
                <w:szCs w:val="18"/>
                <w:lang w:val="ru-RU"/>
              </w:rPr>
            </w:pPr>
            <w:r w:rsidRPr="00694ACA">
              <w:rPr>
                <w:rFonts w:ascii="Lato" w:hAnsi="Lato"/>
                <w:color w:val="407C9B"/>
                <w:sz w:val="18"/>
                <w:szCs w:val="18"/>
                <w:lang w:val="ru-RU"/>
              </w:rPr>
              <w:t>P</w:t>
            </w:r>
          </w:p>
        </w:tc>
        <w:tc>
          <w:tcPr>
            <w:tcW w:w="828" w:type="dxa"/>
            <w:shd w:val="clear" w:color="auto" w:fill="F2F2F2" w:themeFill="background1" w:themeFillShade="F2"/>
          </w:tcPr>
          <w:p w14:paraId="5E45D41D" w14:textId="77777777" w:rsidR="004B77F6" w:rsidRPr="00694ACA" w:rsidRDefault="004B77F6" w:rsidP="00F221C0">
            <w:pPr>
              <w:jc w:val="center"/>
              <w:rPr>
                <w:rFonts w:ascii="Lato" w:hAnsi="Lato"/>
                <w:color w:val="407C9B"/>
                <w:sz w:val="18"/>
                <w:szCs w:val="18"/>
                <w:lang w:val="ru-RU"/>
              </w:rPr>
            </w:pPr>
            <w:r w:rsidRPr="00694ACA">
              <w:rPr>
                <w:rFonts w:ascii="Lato" w:hAnsi="Lato"/>
                <w:color w:val="407C9B"/>
                <w:sz w:val="18"/>
                <w:szCs w:val="18"/>
                <w:lang w:val="ru-RU"/>
              </w:rPr>
              <w:t>P</w:t>
            </w:r>
          </w:p>
        </w:tc>
        <w:tc>
          <w:tcPr>
            <w:tcW w:w="828" w:type="dxa"/>
            <w:shd w:val="clear" w:color="auto" w:fill="F2F2F2" w:themeFill="background1" w:themeFillShade="F2"/>
          </w:tcPr>
          <w:p w14:paraId="37E734CD" w14:textId="77777777" w:rsidR="004B77F6" w:rsidRPr="00694ACA" w:rsidRDefault="004B77F6" w:rsidP="00F221C0">
            <w:pPr>
              <w:jc w:val="center"/>
              <w:rPr>
                <w:rFonts w:ascii="Lato" w:hAnsi="Lato"/>
                <w:color w:val="407C9B"/>
                <w:sz w:val="18"/>
                <w:szCs w:val="18"/>
                <w:lang w:val="ru-RU"/>
              </w:rPr>
            </w:pPr>
          </w:p>
        </w:tc>
        <w:tc>
          <w:tcPr>
            <w:tcW w:w="829" w:type="dxa"/>
            <w:shd w:val="clear" w:color="auto" w:fill="F2F2F2" w:themeFill="background1" w:themeFillShade="F2"/>
          </w:tcPr>
          <w:p w14:paraId="3BE17543" w14:textId="77777777" w:rsidR="004B77F6" w:rsidRPr="00694ACA" w:rsidRDefault="004B77F6" w:rsidP="00F221C0">
            <w:pPr>
              <w:jc w:val="center"/>
              <w:rPr>
                <w:rFonts w:ascii="Lato" w:hAnsi="Lato"/>
                <w:color w:val="407C9B"/>
                <w:sz w:val="18"/>
                <w:szCs w:val="18"/>
                <w:lang w:val="ru-RU"/>
              </w:rPr>
            </w:pPr>
          </w:p>
        </w:tc>
        <w:tc>
          <w:tcPr>
            <w:tcW w:w="828" w:type="dxa"/>
            <w:shd w:val="clear" w:color="auto" w:fill="F2F2F2" w:themeFill="background1" w:themeFillShade="F2"/>
          </w:tcPr>
          <w:p w14:paraId="535C6E8B" w14:textId="77777777" w:rsidR="004B77F6" w:rsidRPr="00694ACA" w:rsidRDefault="004B77F6" w:rsidP="00F221C0">
            <w:pPr>
              <w:jc w:val="center"/>
              <w:rPr>
                <w:rFonts w:ascii="Lato" w:hAnsi="Lato"/>
                <w:color w:val="407C9B"/>
                <w:sz w:val="18"/>
                <w:szCs w:val="18"/>
                <w:lang w:val="ru-RU"/>
              </w:rPr>
            </w:pPr>
          </w:p>
        </w:tc>
        <w:tc>
          <w:tcPr>
            <w:tcW w:w="828" w:type="dxa"/>
            <w:shd w:val="clear" w:color="auto" w:fill="F2F2F2" w:themeFill="background1" w:themeFillShade="F2"/>
          </w:tcPr>
          <w:p w14:paraId="1C09B738" w14:textId="77777777" w:rsidR="004B77F6" w:rsidRPr="00694ACA" w:rsidRDefault="004B77F6" w:rsidP="00F221C0">
            <w:pPr>
              <w:jc w:val="center"/>
              <w:rPr>
                <w:rFonts w:ascii="Lato" w:hAnsi="Lato"/>
                <w:color w:val="407C9B"/>
                <w:sz w:val="18"/>
                <w:szCs w:val="18"/>
                <w:lang w:val="ru-RU"/>
              </w:rPr>
            </w:pPr>
            <w:r w:rsidRPr="00694ACA">
              <w:rPr>
                <w:rFonts w:ascii="Lato" w:hAnsi="Lato"/>
                <w:color w:val="407C9B"/>
                <w:sz w:val="18"/>
                <w:szCs w:val="18"/>
                <w:lang w:val="ru-RU"/>
              </w:rPr>
              <w:t>P</w:t>
            </w:r>
          </w:p>
        </w:tc>
        <w:tc>
          <w:tcPr>
            <w:tcW w:w="829" w:type="dxa"/>
            <w:shd w:val="clear" w:color="auto" w:fill="F2F2F2" w:themeFill="background1" w:themeFillShade="F2"/>
          </w:tcPr>
          <w:p w14:paraId="3BC6A853" w14:textId="77777777" w:rsidR="004B77F6" w:rsidRPr="00694ACA" w:rsidRDefault="004B77F6" w:rsidP="00F221C0">
            <w:pPr>
              <w:jc w:val="center"/>
              <w:rPr>
                <w:rFonts w:ascii="Lato" w:hAnsi="Lato"/>
                <w:color w:val="407C9B"/>
                <w:sz w:val="18"/>
                <w:szCs w:val="18"/>
                <w:lang w:val="ru-RU"/>
              </w:rPr>
            </w:pPr>
            <w:r w:rsidRPr="00694ACA">
              <w:rPr>
                <w:rFonts w:ascii="Lato" w:hAnsi="Lato"/>
                <w:color w:val="407C9B"/>
                <w:sz w:val="18"/>
                <w:szCs w:val="18"/>
                <w:lang w:val="ru-RU"/>
              </w:rPr>
              <w:t>P</w:t>
            </w:r>
          </w:p>
        </w:tc>
      </w:tr>
      <w:tr w:rsidR="004B77F6" w:rsidRPr="00694ACA" w14:paraId="0FE3A71C" w14:textId="77777777" w:rsidTr="0068182E">
        <w:trPr>
          <w:gridAfter w:val="1"/>
          <w:wAfter w:w="6" w:type="dxa"/>
        </w:trPr>
        <w:tc>
          <w:tcPr>
            <w:tcW w:w="1555" w:type="dxa"/>
            <w:shd w:val="clear" w:color="auto" w:fill="F2F2F2" w:themeFill="background1" w:themeFillShade="F2"/>
          </w:tcPr>
          <w:p w14:paraId="24C19461" w14:textId="77777777" w:rsidR="004B77F6" w:rsidRPr="00694ACA" w:rsidRDefault="004B77F6" w:rsidP="00F221C0">
            <w:pPr>
              <w:rPr>
                <w:rFonts w:ascii="Lato" w:hAnsi="Lato" w:cs="Arial"/>
                <w:color w:val="407C9B"/>
                <w:szCs w:val="20"/>
                <w:lang w:val="ru-RU"/>
              </w:rPr>
            </w:pPr>
            <w:r w:rsidRPr="00694ACA">
              <w:rPr>
                <w:rFonts w:ascii="Lato" w:hAnsi="Lato"/>
                <w:color w:val="407C9B"/>
                <w:sz w:val="18"/>
                <w:szCs w:val="22"/>
                <w:lang w:val="ru-RU"/>
              </w:rPr>
              <w:t>ЮНЕП</w:t>
            </w:r>
            <w:r w:rsidRPr="00694ACA">
              <w:rPr>
                <w:rStyle w:val="FootnoteReference"/>
                <w:rFonts w:cs="Arial"/>
                <w:color w:val="407C9B"/>
                <w:szCs w:val="20"/>
                <w:lang w:val="ru-RU"/>
              </w:rPr>
              <w:footnoteReference w:id="233"/>
            </w:r>
          </w:p>
        </w:tc>
        <w:tc>
          <w:tcPr>
            <w:tcW w:w="828" w:type="dxa"/>
            <w:shd w:val="clear" w:color="auto" w:fill="F2F2F2" w:themeFill="background1" w:themeFillShade="F2"/>
          </w:tcPr>
          <w:p w14:paraId="316613E6" w14:textId="77777777" w:rsidR="004B77F6" w:rsidRPr="00694ACA" w:rsidRDefault="004B77F6" w:rsidP="00F221C0">
            <w:pPr>
              <w:jc w:val="center"/>
              <w:rPr>
                <w:rFonts w:ascii="Lato" w:hAnsi="Lato"/>
                <w:color w:val="407C9B"/>
                <w:sz w:val="18"/>
                <w:szCs w:val="18"/>
                <w:lang w:val="ru-RU"/>
              </w:rPr>
            </w:pPr>
          </w:p>
        </w:tc>
        <w:tc>
          <w:tcPr>
            <w:tcW w:w="828" w:type="dxa"/>
            <w:shd w:val="clear" w:color="auto" w:fill="F2F2F2" w:themeFill="background1" w:themeFillShade="F2"/>
          </w:tcPr>
          <w:p w14:paraId="34161D0C" w14:textId="77777777" w:rsidR="004B77F6" w:rsidRPr="00694ACA" w:rsidRDefault="004B77F6" w:rsidP="00F221C0">
            <w:pPr>
              <w:jc w:val="center"/>
              <w:rPr>
                <w:rFonts w:ascii="Lato" w:hAnsi="Lato"/>
                <w:color w:val="407C9B"/>
                <w:sz w:val="18"/>
                <w:szCs w:val="18"/>
                <w:lang w:val="ru-RU"/>
              </w:rPr>
            </w:pPr>
            <w:r w:rsidRPr="00694ACA">
              <w:rPr>
                <w:rFonts w:ascii="Lato" w:hAnsi="Lato"/>
                <w:color w:val="407C9B"/>
                <w:sz w:val="18"/>
                <w:szCs w:val="18"/>
                <w:lang w:val="ru-RU"/>
              </w:rPr>
              <w:t>P</w:t>
            </w:r>
          </w:p>
        </w:tc>
        <w:tc>
          <w:tcPr>
            <w:tcW w:w="829" w:type="dxa"/>
            <w:shd w:val="clear" w:color="auto" w:fill="F2F2F2" w:themeFill="background1" w:themeFillShade="F2"/>
          </w:tcPr>
          <w:p w14:paraId="4F651B91" w14:textId="77777777" w:rsidR="004B77F6" w:rsidRPr="00694ACA" w:rsidRDefault="004B77F6" w:rsidP="00F221C0">
            <w:pPr>
              <w:jc w:val="center"/>
              <w:rPr>
                <w:rFonts w:ascii="Lato" w:hAnsi="Lato"/>
                <w:color w:val="407C9B"/>
                <w:sz w:val="18"/>
                <w:szCs w:val="18"/>
                <w:lang w:val="ru-RU"/>
              </w:rPr>
            </w:pPr>
          </w:p>
        </w:tc>
        <w:tc>
          <w:tcPr>
            <w:tcW w:w="828" w:type="dxa"/>
            <w:shd w:val="clear" w:color="auto" w:fill="F2F2F2" w:themeFill="background1" w:themeFillShade="F2"/>
          </w:tcPr>
          <w:p w14:paraId="74DF6B14" w14:textId="77777777" w:rsidR="004B77F6" w:rsidRPr="00694ACA" w:rsidRDefault="004B77F6" w:rsidP="00F221C0">
            <w:pPr>
              <w:jc w:val="center"/>
              <w:rPr>
                <w:rFonts w:ascii="Lato" w:hAnsi="Lato"/>
                <w:color w:val="407C9B"/>
                <w:sz w:val="18"/>
                <w:szCs w:val="18"/>
                <w:lang w:val="ru-RU"/>
              </w:rPr>
            </w:pPr>
            <w:r w:rsidRPr="00694ACA">
              <w:rPr>
                <w:rFonts w:ascii="Lato" w:hAnsi="Lato"/>
                <w:color w:val="407C9B"/>
                <w:sz w:val="18"/>
                <w:szCs w:val="18"/>
                <w:lang w:val="ru-RU"/>
              </w:rPr>
              <w:t>P</w:t>
            </w:r>
          </w:p>
        </w:tc>
        <w:tc>
          <w:tcPr>
            <w:tcW w:w="828" w:type="dxa"/>
            <w:shd w:val="clear" w:color="auto" w:fill="F2F2F2" w:themeFill="background1" w:themeFillShade="F2"/>
          </w:tcPr>
          <w:p w14:paraId="3A1BE390" w14:textId="77777777" w:rsidR="004B77F6" w:rsidRPr="00694ACA" w:rsidRDefault="004B77F6" w:rsidP="00F221C0">
            <w:pPr>
              <w:jc w:val="center"/>
              <w:rPr>
                <w:rFonts w:ascii="Lato" w:hAnsi="Lato"/>
                <w:color w:val="407C9B"/>
                <w:sz w:val="18"/>
                <w:szCs w:val="18"/>
                <w:lang w:val="ru-RU"/>
              </w:rPr>
            </w:pPr>
          </w:p>
        </w:tc>
        <w:tc>
          <w:tcPr>
            <w:tcW w:w="829" w:type="dxa"/>
            <w:shd w:val="clear" w:color="auto" w:fill="F2F2F2" w:themeFill="background1" w:themeFillShade="F2"/>
          </w:tcPr>
          <w:p w14:paraId="5AF5EA8C" w14:textId="77777777" w:rsidR="004B77F6" w:rsidRPr="00694ACA" w:rsidRDefault="004B77F6" w:rsidP="00F221C0">
            <w:pPr>
              <w:jc w:val="center"/>
              <w:rPr>
                <w:rFonts w:ascii="Lato" w:hAnsi="Lato"/>
                <w:color w:val="407C9B"/>
                <w:sz w:val="18"/>
                <w:szCs w:val="18"/>
                <w:lang w:val="ru-RU"/>
              </w:rPr>
            </w:pPr>
            <w:r w:rsidRPr="00694ACA">
              <w:rPr>
                <w:rFonts w:ascii="Lato" w:hAnsi="Lato"/>
                <w:color w:val="407C9B"/>
                <w:sz w:val="18"/>
                <w:szCs w:val="18"/>
                <w:lang w:val="ru-RU"/>
              </w:rPr>
              <w:t>P</w:t>
            </w:r>
          </w:p>
        </w:tc>
        <w:tc>
          <w:tcPr>
            <w:tcW w:w="828" w:type="dxa"/>
            <w:shd w:val="clear" w:color="auto" w:fill="F2F2F2" w:themeFill="background1" w:themeFillShade="F2"/>
          </w:tcPr>
          <w:p w14:paraId="2733D188" w14:textId="77777777" w:rsidR="004B77F6" w:rsidRPr="00694ACA" w:rsidRDefault="004B77F6" w:rsidP="00F221C0">
            <w:pPr>
              <w:jc w:val="center"/>
              <w:rPr>
                <w:rFonts w:ascii="Lato" w:hAnsi="Lato"/>
                <w:color w:val="407C9B"/>
                <w:sz w:val="18"/>
                <w:szCs w:val="18"/>
                <w:lang w:val="ru-RU"/>
              </w:rPr>
            </w:pPr>
          </w:p>
        </w:tc>
        <w:tc>
          <w:tcPr>
            <w:tcW w:w="828" w:type="dxa"/>
            <w:shd w:val="clear" w:color="auto" w:fill="F2F2F2" w:themeFill="background1" w:themeFillShade="F2"/>
          </w:tcPr>
          <w:p w14:paraId="09FA0BA0" w14:textId="77777777" w:rsidR="004B77F6" w:rsidRPr="00694ACA" w:rsidRDefault="004B77F6" w:rsidP="00F221C0">
            <w:pPr>
              <w:jc w:val="center"/>
              <w:rPr>
                <w:rFonts w:ascii="Lato" w:hAnsi="Lato"/>
                <w:color w:val="407C9B"/>
                <w:sz w:val="18"/>
                <w:szCs w:val="18"/>
                <w:lang w:val="ru-RU"/>
              </w:rPr>
            </w:pPr>
          </w:p>
        </w:tc>
        <w:tc>
          <w:tcPr>
            <w:tcW w:w="829" w:type="dxa"/>
            <w:shd w:val="clear" w:color="auto" w:fill="F2F2F2" w:themeFill="background1" w:themeFillShade="F2"/>
          </w:tcPr>
          <w:p w14:paraId="589CBBF6" w14:textId="77777777" w:rsidR="004B77F6" w:rsidRPr="00694ACA" w:rsidRDefault="004B77F6" w:rsidP="00F221C0">
            <w:pPr>
              <w:jc w:val="center"/>
              <w:rPr>
                <w:rFonts w:ascii="Lato" w:hAnsi="Lato"/>
                <w:color w:val="407C9B"/>
                <w:sz w:val="18"/>
                <w:szCs w:val="18"/>
                <w:lang w:val="ru-RU"/>
              </w:rPr>
            </w:pPr>
          </w:p>
        </w:tc>
      </w:tr>
      <w:tr w:rsidR="004B77F6" w:rsidRPr="00694ACA" w14:paraId="7F9147D1" w14:textId="77777777" w:rsidTr="0068182E">
        <w:trPr>
          <w:gridAfter w:val="1"/>
          <w:wAfter w:w="6" w:type="dxa"/>
        </w:trPr>
        <w:tc>
          <w:tcPr>
            <w:tcW w:w="1555" w:type="dxa"/>
            <w:shd w:val="clear" w:color="auto" w:fill="F2F2F2" w:themeFill="background1" w:themeFillShade="F2"/>
          </w:tcPr>
          <w:p w14:paraId="2B8E8F60" w14:textId="77777777" w:rsidR="004B77F6" w:rsidRPr="00694ACA" w:rsidRDefault="004B77F6" w:rsidP="00F221C0">
            <w:pPr>
              <w:rPr>
                <w:rFonts w:ascii="Lato" w:hAnsi="Lato" w:cs="Arial"/>
                <w:color w:val="407C9B"/>
                <w:szCs w:val="20"/>
                <w:lang w:val="ru-RU"/>
              </w:rPr>
            </w:pPr>
            <w:r w:rsidRPr="00694ACA">
              <w:rPr>
                <w:rFonts w:ascii="Lato" w:hAnsi="Lato"/>
                <w:color w:val="407C9B"/>
                <w:sz w:val="18"/>
                <w:szCs w:val="22"/>
                <w:lang w:val="ru-RU"/>
              </w:rPr>
              <w:t>ВПС</w:t>
            </w:r>
            <w:r w:rsidRPr="00694ACA">
              <w:rPr>
                <w:rStyle w:val="FootnoteReference"/>
                <w:rFonts w:cs="Arial"/>
                <w:color w:val="407C9B"/>
                <w:szCs w:val="20"/>
                <w:lang w:val="ru-RU"/>
              </w:rPr>
              <w:footnoteReference w:id="234"/>
            </w:r>
          </w:p>
        </w:tc>
        <w:tc>
          <w:tcPr>
            <w:tcW w:w="828" w:type="dxa"/>
            <w:shd w:val="clear" w:color="auto" w:fill="F2F2F2" w:themeFill="background1" w:themeFillShade="F2"/>
          </w:tcPr>
          <w:p w14:paraId="171F242E" w14:textId="77777777" w:rsidR="004B77F6" w:rsidRPr="00694ACA" w:rsidRDefault="004B77F6" w:rsidP="00F221C0">
            <w:pPr>
              <w:jc w:val="center"/>
              <w:rPr>
                <w:rFonts w:ascii="Lato" w:hAnsi="Lato"/>
                <w:color w:val="407C9B"/>
                <w:sz w:val="18"/>
                <w:szCs w:val="22"/>
                <w:lang w:val="ru-RU"/>
              </w:rPr>
            </w:pPr>
          </w:p>
        </w:tc>
        <w:tc>
          <w:tcPr>
            <w:tcW w:w="828" w:type="dxa"/>
            <w:shd w:val="clear" w:color="auto" w:fill="F2F2F2" w:themeFill="background1" w:themeFillShade="F2"/>
          </w:tcPr>
          <w:p w14:paraId="20BBA512" w14:textId="77777777" w:rsidR="004B77F6" w:rsidRPr="00694ACA" w:rsidRDefault="004B77F6" w:rsidP="00F221C0">
            <w:pPr>
              <w:jc w:val="center"/>
              <w:rPr>
                <w:rFonts w:ascii="Lato" w:hAnsi="Lato"/>
                <w:color w:val="407C9B"/>
                <w:sz w:val="18"/>
                <w:szCs w:val="22"/>
                <w:lang w:val="ru-RU"/>
              </w:rPr>
            </w:pPr>
          </w:p>
        </w:tc>
        <w:tc>
          <w:tcPr>
            <w:tcW w:w="829" w:type="dxa"/>
            <w:shd w:val="clear" w:color="auto" w:fill="F2F2F2" w:themeFill="background1" w:themeFillShade="F2"/>
          </w:tcPr>
          <w:p w14:paraId="59B86B65" w14:textId="77777777" w:rsidR="004B77F6" w:rsidRPr="00694ACA" w:rsidRDefault="004B77F6" w:rsidP="00F221C0">
            <w:pPr>
              <w:jc w:val="center"/>
              <w:rPr>
                <w:rFonts w:ascii="Lato" w:hAnsi="Lato"/>
                <w:color w:val="407C9B"/>
                <w:sz w:val="18"/>
                <w:szCs w:val="22"/>
                <w:lang w:val="ru-RU"/>
              </w:rPr>
            </w:pPr>
          </w:p>
        </w:tc>
        <w:tc>
          <w:tcPr>
            <w:tcW w:w="828" w:type="dxa"/>
            <w:shd w:val="clear" w:color="auto" w:fill="F2F2F2" w:themeFill="background1" w:themeFillShade="F2"/>
          </w:tcPr>
          <w:p w14:paraId="12FCE2F4" w14:textId="77777777" w:rsidR="004B77F6" w:rsidRPr="00694ACA" w:rsidRDefault="004B77F6" w:rsidP="00F221C0">
            <w:pPr>
              <w:jc w:val="center"/>
              <w:rPr>
                <w:rFonts w:ascii="Lato" w:hAnsi="Lato"/>
                <w:color w:val="407C9B"/>
                <w:sz w:val="18"/>
                <w:szCs w:val="22"/>
                <w:lang w:val="ru-RU"/>
              </w:rPr>
            </w:pPr>
            <w:r w:rsidRPr="00694ACA">
              <w:rPr>
                <w:rFonts w:ascii="Lato" w:hAnsi="Lato"/>
                <w:color w:val="407C9B"/>
                <w:sz w:val="18"/>
                <w:szCs w:val="22"/>
                <w:lang w:val="ru-RU"/>
              </w:rPr>
              <w:t>P</w:t>
            </w:r>
          </w:p>
        </w:tc>
        <w:tc>
          <w:tcPr>
            <w:tcW w:w="828" w:type="dxa"/>
            <w:shd w:val="clear" w:color="auto" w:fill="F2F2F2" w:themeFill="background1" w:themeFillShade="F2"/>
          </w:tcPr>
          <w:p w14:paraId="0A9B5547" w14:textId="77777777" w:rsidR="004B77F6" w:rsidRPr="00694ACA" w:rsidRDefault="004B77F6" w:rsidP="00F221C0">
            <w:pPr>
              <w:jc w:val="center"/>
              <w:rPr>
                <w:rFonts w:ascii="Lato" w:hAnsi="Lato"/>
                <w:color w:val="407C9B"/>
                <w:sz w:val="18"/>
                <w:szCs w:val="22"/>
                <w:lang w:val="ru-RU"/>
              </w:rPr>
            </w:pPr>
          </w:p>
        </w:tc>
        <w:tc>
          <w:tcPr>
            <w:tcW w:w="829" w:type="dxa"/>
            <w:shd w:val="clear" w:color="auto" w:fill="F2F2F2" w:themeFill="background1" w:themeFillShade="F2"/>
          </w:tcPr>
          <w:p w14:paraId="042345D6" w14:textId="77777777" w:rsidR="004B77F6" w:rsidRPr="00694ACA" w:rsidRDefault="004B77F6" w:rsidP="00F221C0">
            <w:pPr>
              <w:jc w:val="center"/>
              <w:rPr>
                <w:rFonts w:ascii="Lato" w:hAnsi="Lato"/>
                <w:color w:val="407C9B"/>
                <w:sz w:val="18"/>
                <w:szCs w:val="22"/>
                <w:lang w:val="ru-RU"/>
              </w:rPr>
            </w:pPr>
          </w:p>
        </w:tc>
        <w:tc>
          <w:tcPr>
            <w:tcW w:w="828" w:type="dxa"/>
            <w:shd w:val="clear" w:color="auto" w:fill="F2F2F2" w:themeFill="background1" w:themeFillShade="F2"/>
          </w:tcPr>
          <w:p w14:paraId="583AC954" w14:textId="77777777" w:rsidR="004B77F6" w:rsidRPr="00694ACA" w:rsidRDefault="004B77F6" w:rsidP="00F221C0">
            <w:pPr>
              <w:jc w:val="center"/>
              <w:rPr>
                <w:rFonts w:ascii="Lato" w:hAnsi="Lato"/>
                <w:color w:val="407C9B"/>
                <w:sz w:val="18"/>
                <w:szCs w:val="22"/>
                <w:lang w:val="ru-RU"/>
              </w:rPr>
            </w:pPr>
          </w:p>
        </w:tc>
        <w:tc>
          <w:tcPr>
            <w:tcW w:w="828" w:type="dxa"/>
            <w:shd w:val="clear" w:color="auto" w:fill="F2F2F2" w:themeFill="background1" w:themeFillShade="F2"/>
          </w:tcPr>
          <w:p w14:paraId="624A8A42" w14:textId="77777777" w:rsidR="004B77F6" w:rsidRPr="00694ACA" w:rsidRDefault="004B77F6" w:rsidP="00F221C0">
            <w:pPr>
              <w:jc w:val="center"/>
              <w:rPr>
                <w:rFonts w:ascii="Lato" w:hAnsi="Lato"/>
                <w:color w:val="407C9B"/>
                <w:sz w:val="18"/>
                <w:szCs w:val="22"/>
                <w:lang w:val="ru-RU"/>
              </w:rPr>
            </w:pPr>
            <w:r w:rsidRPr="00694ACA">
              <w:rPr>
                <w:rFonts w:ascii="Lato" w:hAnsi="Lato"/>
                <w:color w:val="407C9B"/>
                <w:sz w:val="18"/>
                <w:szCs w:val="22"/>
                <w:lang w:val="ru-RU"/>
              </w:rPr>
              <w:t>P</w:t>
            </w:r>
          </w:p>
        </w:tc>
        <w:tc>
          <w:tcPr>
            <w:tcW w:w="829" w:type="dxa"/>
            <w:shd w:val="clear" w:color="auto" w:fill="F2F2F2" w:themeFill="background1" w:themeFillShade="F2"/>
          </w:tcPr>
          <w:p w14:paraId="60A6F1A6" w14:textId="77777777" w:rsidR="004B77F6" w:rsidRPr="00694ACA" w:rsidRDefault="004B77F6" w:rsidP="00F221C0">
            <w:pPr>
              <w:jc w:val="center"/>
              <w:rPr>
                <w:rFonts w:ascii="Lato" w:hAnsi="Lato"/>
                <w:color w:val="407C9B"/>
                <w:sz w:val="18"/>
                <w:szCs w:val="22"/>
                <w:lang w:val="ru-RU"/>
              </w:rPr>
            </w:pPr>
            <w:r w:rsidRPr="00694ACA">
              <w:rPr>
                <w:rFonts w:ascii="Lato" w:hAnsi="Lato"/>
                <w:color w:val="407C9B"/>
                <w:sz w:val="18"/>
                <w:szCs w:val="22"/>
                <w:lang w:val="ru-RU"/>
              </w:rPr>
              <w:t>P</w:t>
            </w:r>
          </w:p>
        </w:tc>
      </w:tr>
      <w:tr w:rsidR="004B77F6" w:rsidRPr="00694ACA" w14:paraId="1F028D76" w14:textId="77777777" w:rsidTr="0068182E">
        <w:trPr>
          <w:gridAfter w:val="1"/>
          <w:wAfter w:w="6" w:type="dxa"/>
        </w:trPr>
        <w:tc>
          <w:tcPr>
            <w:tcW w:w="1555" w:type="dxa"/>
            <w:shd w:val="clear" w:color="auto" w:fill="F2F2F2" w:themeFill="background1" w:themeFillShade="F2"/>
          </w:tcPr>
          <w:p w14:paraId="6E807303" w14:textId="67DCF429" w:rsidR="004B77F6" w:rsidRPr="00694ACA" w:rsidRDefault="004B77F6" w:rsidP="00F221C0">
            <w:pPr>
              <w:rPr>
                <w:rFonts w:ascii="Lato" w:hAnsi="Lato" w:cs="Arial"/>
                <w:color w:val="407C9B"/>
                <w:szCs w:val="20"/>
                <w:lang w:val="ru-RU"/>
              </w:rPr>
            </w:pPr>
            <w:r w:rsidRPr="00694ACA">
              <w:rPr>
                <w:rFonts w:ascii="Lato" w:hAnsi="Lato"/>
                <w:color w:val="407C9B"/>
                <w:sz w:val="18"/>
                <w:szCs w:val="22"/>
                <w:lang w:val="ru-RU"/>
              </w:rPr>
              <w:t>ВМО</w:t>
            </w:r>
            <w:r w:rsidRPr="00694ACA">
              <w:rPr>
                <w:rStyle w:val="FootnoteReference"/>
                <w:rFonts w:cs="Arial"/>
                <w:color w:val="407C9B"/>
                <w:szCs w:val="20"/>
                <w:lang w:val="ru-RU"/>
              </w:rPr>
              <w:footnoteReference w:id="235"/>
            </w:r>
          </w:p>
        </w:tc>
        <w:tc>
          <w:tcPr>
            <w:tcW w:w="828" w:type="dxa"/>
            <w:shd w:val="clear" w:color="auto" w:fill="F2F2F2" w:themeFill="background1" w:themeFillShade="F2"/>
          </w:tcPr>
          <w:p w14:paraId="50C93905" w14:textId="77777777" w:rsidR="004B77F6" w:rsidRPr="00694ACA" w:rsidRDefault="004B77F6" w:rsidP="00F221C0">
            <w:pPr>
              <w:jc w:val="center"/>
              <w:rPr>
                <w:rFonts w:ascii="Lato" w:hAnsi="Lato"/>
                <w:color w:val="407C9B"/>
                <w:sz w:val="18"/>
                <w:szCs w:val="22"/>
                <w:lang w:val="ru-RU"/>
              </w:rPr>
            </w:pPr>
          </w:p>
        </w:tc>
        <w:tc>
          <w:tcPr>
            <w:tcW w:w="828" w:type="dxa"/>
            <w:shd w:val="clear" w:color="auto" w:fill="F2F2F2" w:themeFill="background1" w:themeFillShade="F2"/>
          </w:tcPr>
          <w:p w14:paraId="529D4344" w14:textId="77777777" w:rsidR="004B77F6" w:rsidRPr="00694ACA" w:rsidRDefault="004B77F6" w:rsidP="00F221C0">
            <w:pPr>
              <w:jc w:val="center"/>
              <w:rPr>
                <w:rFonts w:ascii="Lato" w:hAnsi="Lato"/>
                <w:color w:val="407C9B"/>
                <w:sz w:val="18"/>
                <w:szCs w:val="22"/>
                <w:lang w:val="ru-RU"/>
              </w:rPr>
            </w:pPr>
            <w:r w:rsidRPr="00694ACA">
              <w:rPr>
                <w:rFonts w:ascii="Lato" w:hAnsi="Lato"/>
                <w:color w:val="407C9B"/>
                <w:sz w:val="18"/>
                <w:szCs w:val="22"/>
                <w:lang w:val="ru-RU"/>
              </w:rPr>
              <w:t>P</w:t>
            </w:r>
          </w:p>
        </w:tc>
        <w:tc>
          <w:tcPr>
            <w:tcW w:w="829" w:type="dxa"/>
            <w:shd w:val="clear" w:color="auto" w:fill="F2F2F2" w:themeFill="background1" w:themeFillShade="F2"/>
          </w:tcPr>
          <w:p w14:paraId="762A685C" w14:textId="77777777" w:rsidR="004B77F6" w:rsidRPr="00694ACA" w:rsidRDefault="004B77F6" w:rsidP="00F221C0">
            <w:pPr>
              <w:jc w:val="center"/>
              <w:rPr>
                <w:rFonts w:ascii="Lato" w:hAnsi="Lato"/>
                <w:color w:val="407C9B"/>
                <w:sz w:val="18"/>
                <w:szCs w:val="22"/>
                <w:lang w:val="ru-RU"/>
              </w:rPr>
            </w:pPr>
            <w:r w:rsidRPr="00694ACA">
              <w:rPr>
                <w:rFonts w:ascii="Lato" w:hAnsi="Lato"/>
                <w:color w:val="407C9B"/>
                <w:sz w:val="18"/>
                <w:szCs w:val="22"/>
                <w:lang w:val="ru-RU"/>
              </w:rPr>
              <w:t>P</w:t>
            </w:r>
          </w:p>
        </w:tc>
        <w:tc>
          <w:tcPr>
            <w:tcW w:w="828" w:type="dxa"/>
            <w:shd w:val="clear" w:color="auto" w:fill="F2F2F2" w:themeFill="background1" w:themeFillShade="F2"/>
          </w:tcPr>
          <w:p w14:paraId="53F27766" w14:textId="77777777" w:rsidR="004B77F6" w:rsidRPr="00694ACA" w:rsidRDefault="004B77F6" w:rsidP="00F221C0">
            <w:pPr>
              <w:jc w:val="center"/>
              <w:rPr>
                <w:rFonts w:ascii="Lato" w:hAnsi="Lato"/>
                <w:color w:val="407C9B"/>
                <w:sz w:val="18"/>
                <w:szCs w:val="22"/>
                <w:lang w:val="ru-RU"/>
              </w:rPr>
            </w:pPr>
          </w:p>
        </w:tc>
        <w:tc>
          <w:tcPr>
            <w:tcW w:w="828" w:type="dxa"/>
            <w:shd w:val="clear" w:color="auto" w:fill="F2F2F2" w:themeFill="background1" w:themeFillShade="F2"/>
          </w:tcPr>
          <w:p w14:paraId="17DB6623" w14:textId="77777777" w:rsidR="004B77F6" w:rsidRPr="00694ACA" w:rsidRDefault="004B77F6" w:rsidP="00F221C0">
            <w:pPr>
              <w:jc w:val="center"/>
              <w:rPr>
                <w:rFonts w:ascii="Lato" w:hAnsi="Lato"/>
                <w:color w:val="407C9B"/>
                <w:sz w:val="18"/>
                <w:szCs w:val="22"/>
                <w:lang w:val="ru-RU"/>
              </w:rPr>
            </w:pPr>
          </w:p>
        </w:tc>
        <w:tc>
          <w:tcPr>
            <w:tcW w:w="829" w:type="dxa"/>
            <w:shd w:val="clear" w:color="auto" w:fill="F2F2F2" w:themeFill="background1" w:themeFillShade="F2"/>
          </w:tcPr>
          <w:p w14:paraId="56EA1DA3" w14:textId="77777777" w:rsidR="004B77F6" w:rsidRPr="00694ACA" w:rsidRDefault="004B77F6" w:rsidP="00F221C0">
            <w:pPr>
              <w:jc w:val="center"/>
              <w:rPr>
                <w:rFonts w:ascii="Lato" w:hAnsi="Lato"/>
                <w:color w:val="407C9B"/>
                <w:sz w:val="18"/>
                <w:szCs w:val="22"/>
                <w:lang w:val="ru-RU"/>
              </w:rPr>
            </w:pPr>
            <w:r w:rsidRPr="00694ACA">
              <w:rPr>
                <w:rFonts w:ascii="Lato" w:hAnsi="Lato"/>
                <w:color w:val="407C9B"/>
                <w:sz w:val="18"/>
                <w:szCs w:val="22"/>
                <w:lang w:val="ru-RU"/>
              </w:rPr>
              <w:t>P</w:t>
            </w:r>
          </w:p>
        </w:tc>
        <w:tc>
          <w:tcPr>
            <w:tcW w:w="828" w:type="dxa"/>
            <w:shd w:val="clear" w:color="auto" w:fill="F2F2F2" w:themeFill="background1" w:themeFillShade="F2"/>
          </w:tcPr>
          <w:p w14:paraId="6E7FD6A5" w14:textId="77777777" w:rsidR="004B77F6" w:rsidRPr="00694ACA" w:rsidRDefault="004B77F6" w:rsidP="00F221C0">
            <w:pPr>
              <w:jc w:val="center"/>
              <w:rPr>
                <w:rFonts w:ascii="Lato" w:hAnsi="Lato"/>
                <w:color w:val="407C9B"/>
                <w:sz w:val="18"/>
                <w:szCs w:val="22"/>
                <w:lang w:val="ru-RU"/>
              </w:rPr>
            </w:pPr>
          </w:p>
        </w:tc>
        <w:tc>
          <w:tcPr>
            <w:tcW w:w="828" w:type="dxa"/>
            <w:shd w:val="clear" w:color="auto" w:fill="F2F2F2" w:themeFill="background1" w:themeFillShade="F2"/>
          </w:tcPr>
          <w:p w14:paraId="395A6F61" w14:textId="77777777" w:rsidR="004B77F6" w:rsidRPr="00694ACA" w:rsidRDefault="004B77F6" w:rsidP="00F221C0">
            <w:pPr>
              <w:jc w:val="center"/>
              <w:rPr>
                <w:rFonts w:ascii="Lato" w:hAnsi="Lato"/>
                <w:color w:val="407C9B"/>
                <w:sz w:val="18"/>
                <w:szCs w:val="22"/>
                <w:lang w:val="ru-RU"/>
              </w:rPr>
            </w:pPr>
          </w:p>
        </w:tc>
        <w:tc>
          <w:tcPr>
            <w:tcW w:w="829" w:type="dxa"/>
            <w:shd w:val="clear" w:color="auto" w:fill="F2F2F2" w:themeFill="background1" w:themeFillShade="F2"/>
          </w:tcPr>
          <w:p w14:paraId="5D6FA465" w14:textId="77777777" w:rsidR="004B77F6" w:rsidRPr="00694ACA" w:rsidRDefault="004B77F6" w:rsidP="00F221C0">
            <w:pPr>
              <w:jc w:val="center"/>
              <w:rPr>
                <w:rFonts w:ascii="Lato" w:hAnsi="Lato"/>
                <w:color w:val="407C9B"/>
                <w:sz w:val="18"/>
                <w:szCs w:val="22"/>
                <w:lang w:val="ru-RU"/>
              </w:rPr>
            </w:pPr>
          </w:p>
        </w:tc>
      </w:tr>
      <w:tr w:rsidR="004B77F6" w:rsidRPr="00627280" w14:paraId="67BD7A23" w14:textId="77777777" w:rsidTr="0068182E">
        <w:tc>
          <w:tcPr>
            <w:tcW w:w="9016" w:type="dxa"/>
            <w:gridSpan w:val="11"/>
            <w:shd w:val="clear" w:color="auto" w:fill="F2F2F2" w:themeFill="background1" w:themeFillShade="F2"/>
          </w:tcPr>
          <w:p w14:paraId="3FF9A861" w14:textId="77777777" w:rsidR="004B77F6" w:rsidRPr="00694ACA" w:rsidRDefault="004B77F6" w:rsidP="00F221C0">
            <w:pPr>
              <w:rPr>
                <w:rFonts w:ascii="Lato" w:hAnsi="Lato" w:cs="Arial"/>
                <w:color w:val="407C9B"/>
                <w:szCs w:val="20"/>
                <w:lang w:val="ru-RU"/>
              </w:rPr>
            </w:pPr>
            <w:r w:rsidRPr="00694ACA">
              <w:rPr>
                <w:rFonts w:ascii="Lato" w:hAnsi="Lato"/>
                <w:b/>
                <w:color w:val="407C9B"/>
                <w:sz w:val="18"/>
                <w:szCs w:val="22"/>
                <w:lang w:val="ru-RU"/>
              </w:rPr>
              <w:lastRenderedPageBreak/>
              <w:t>Другие учреждения и группы ООН</w:t>
            </w:r>
            <w:r w:rsidRPr="00A64AB2">
              <w:rPr>
                <w:rStyle w:val="FootnoteReference"/>
                <w:rFonts w:cs="Arial"/>
                <w:color w:val="407C9B"/>
                <w:szCs w:val="20"/>
                <w:lang w:val="ru-RU"/>
              </w:rPr>
              <w:footnoteReference w:id="236"/>
            </w:r>
          </w:p>
        </w:tc>
      </w:tr>
      <w:tr w:rsidR="004B77F6" w:rsidRPr="00694ACA" w14:paraId="07C51A89" w14:textId="77777777" w:rsidTr="0068182E">
        <w:trPr>
          <w:gridAfter w:val="1"/>
          <w:wAfter w:w="6" w:type="dxa"/>
        </w:trPr>
        <w:tc>
          <w:tcPr>
            <w:tcW w:w="1555" w:type="dxa"/>
            <w:shd w:val="clear" w:color="auto" w:fill="F2F2F2" w:themeFill="background1" w:themeFillShade="F2"/>
          </w:tcPr>
          <w:p w14:paraId="6B0375F1" w14:textId="77777777" w:rsidR="004B77F6" w:rsidRPr="00694ACA" w:rsidRDefault="004B77F6" w:rsidP="00F221C0">
            <w:pPr>
              <w:rPr>
                <w:rFonts w:ascii="Lato" w:hAnsi="Lato" w:cs="Arial"/>
                <w:color w:val="407C9B"/>
                <w:szCs w:val="20"/>
                <w:lang w:val="ru-RU"/>
              </w:rPr>
            </w:pPr>
            <w:r w:rsidRPr="00694ACA">
              <w:rPr>
                <w:rFonts w:ascii="Lato" w:hAnsi="Lato"/>
                <w:color w:val="407C9B"/>
                <w:sz w:val="18"/>
                <w:szCs w:val="22"/>
                <w:lang w:val="ru-RU"/>
              </w:rPr>
              <w:t>МАГАТЭ</w:t>
            </w:r>
            <w:r w:rsidRPr="00694ACA">
              <w:rPr>
                <w:rStyle w:val="FootnoteReference"/>
                <w:rFonts w:cs="Arial"/>
                <w:color w:val="407C9B"/>
                <w:szCs w:val="20"/>
                <w:lang w:val="ru-RU"/>
              </w:rPr>
              <w:footnoteReference w:id="237"/>
            </w:r>
          </w:p>
        </w:tc>
        <w:tc>
          <w:tcPr>
            <w:tcW w:w="828" w:type="dxa"/>
            <w:shd w:val="clear" w:color="auto" w:fill="F2F2F2" w:themeFill="background1" w:themeFillShade="F2"/>
          </w:tcPr>
          <w:p w14:paraId="7ED08799" w14:textId="77777777" w:rsidR="004B77F6" w:rsidRPr="00694ACA" w:rsidRDefault="004B77F6" w:rsidP="00F221C0">
            <w:pPr>
              <w:jc w:val="center"/>
              <w:rPr>
                <w:rFonts w:ascii="Lato" w:hAnsi="Lato" w:cs="Arial"/>
                <w:color w:val="407C9B"/>
                <w:sz w:val="18"/>
                <w:szCs w:val="18"/>
                <w:lang w:val="ru-RU"/>
              </w:rPr>
            </w:pPr>
            <w:r w:rsidRPr="00694ACA">
              <w:rPr>
                <w:rFonts w:ascii="Lato" w:hAnsi="Lato"/>
                <w:color w:val="407C9B"/>
                <w:sz w:val="18"/>
                <w:szCs w:val="18"/>
                <w:lang w:val="ru-RU"/>
              </w:rPr>
              <w:t>P</w:t>
            </w:r>
          </w:p>
        </w:tc>
        <w:tc>
          <w:tcPr>
            <w:tcW w:w="828" w:type="dxa"/>
            <w:shd w:val="clear" w:color="auto" w:fill="F2F2F2" w:themeFill="background1" w:themeFillShade="F2"/>
          </w:tcPr>
          <w:p w14:paraId="20EEEBE6" w14:textId="77777777" w:rsidR="004B77F6" w:rsidRPr="00694ACA" w:rsidRDefault="004B77F6" w:rsidP="00F221C0">
            <w:pPr>
              <w:jc w:val="center"/>
              <w:rPr>
                <w:rFonts w:ascii="Lato" w:hAnsi="Lato" w:cs="Arial"/>
                <w:color w:val="407C9B"/>
                <w:sz w:val="18"/>
                <w:szCs w:val="18"/>
                <w:lang w:val="ru-RU"/>
              </w:rPr>
            </w:pPr>
          </w:p>
        </w:tc>
        <w:tc>
          <w:tcPr>
            <w:tcW w:w="829" w:type="dxa"/>
            <w:shd w:val="clear" w:color="auto" w:fill="F2F2F2" w:themeFill="background1" w:themeFillShade="F2"/>
          </w:tcPr>
          <w:p w14:paraId="08DC9F04" w14:textId="77777777" w:rsidR="004B77F6" w:rsidRPr="00694ACA" w:rsidRDefault="004B77F6" w:rsidP="00F221C0">
            <w:pPr>
              <w:jc w:val="center"/>
              <w:rPr>
                <w:rFonts w:ascii="Lato" w:hAnsi="Lato" w:cs="Arial"/>
                <w:color w:val="407C9B"/>
                <w:sz w:val="18"/>
                <w:szCs w:val="18"/>
                <w:lang w:val="ru-RU"/>
              </w:rPr>
            </w:pPr>
          </w:p>
        </w:tc>
        <w:tc>
          <w:tcPr>
            <w:tcW w:w="828" w:type="dxa"/>
            <w:shd w:val="clear" w:color="auto" w:fill="F2F2F2" w:themeFill="background1" w:themeFillShade="F2"/>
          </w:tcPr>
          <w:p w14:paraId="12CD025F" w14:textId="77777777" w:rsidR="004B77F6" w:rsidRPr="00694ACA" w:rsidRDefault="004B77F6" w:rsidP="00F221C0">
            <w:pPr>
              <w:jc w:val="center"/>
              <w:rPr>
                <w:rFonts w:ascii="Lato" w:hAnsi="Lato" w:cs="Arial"/>
                <w:color w:val="407C9B"/>
                <w:sz w:val="18"/>
                <w:szCs w:val="18"/>
                <w:lang w:val="ru-RU"/>
              </w:rPr>
            </w:pPr>
          </w:p>
        </w:tc>
        <w:tc>
          <w:tcPr>
            <w:tcW w:w="828" w:type="dxa"/>
            <w:shd w:val="clear" w:color="auto" w:fill="F2F2F2" w:themeFill="background1" w:themeFillShade="F2"/>
          </w:tcPr>
          <w:p w14:paraId="5DE0A68A" w14:textId="77777777" w:rsidR="004B77F6" w:rsidRPr="00694ACA" w:rsidRDefault="004B77F6" w:rsidP="00F221C0">
            <w:pPr>
              <w:jc w:val="center"/>
              <w:rPr>
                <w:rFonts w:ascii="Lato" w:hAnsi="Lato" w:cs="Arial"/>
                <w:color w:val="407C9B"/>
                <w:sz w:val="18"/>
                <w:szCs w:val="18"/>
                <w:lang w:val="ru-RU"/>
              </w:rPr>
            </w:pPr>
          </w:p>
        </w:tc>
        <w:tc>
          <w:tcPr>
            <w:tcW w:w="829" w:type="dxa"/>
            <w:shd w:val="clear" w:color="auto" w:fill="F2F2F2" w:themeFill="background1" w:themeFillShade="F2"/>
          </w:tcPr>
          <w:p w14:paraId="0E61E689" w14:textId="77777777" w:rsidR="004B77F6" w:rsidRPr="00694ACA" w:rsidRDefault="004B77F6" w:rsidP="00F221C0">
            <w:pPr>
              <w:jc w:val="center"/>
              <w:rPr>
                <w:rFonts w:ascii="Lato" w:hAnsi="Lato" w:cs="Arial"/>
                <w:color w:val="407C9B"/>
                <w:sz w:val="18"/>
                <w:szCs w:val="18"/>
                <w:lang w:val="ru-RU"/>
              </w:rPr>
            </w:pPr>
          </w:p>
        </w:tc>
        <w:tc>
          <w:tcPr>
            <w:tcW w:w="828" w:type="dxa"/>
            <w:shd w:val="clear" w:color="auto" w:fill="F2F2F2" w:themeFill="background1" w:themeFillShade="F2"/>
          </w:tcPr>
          <w:p w14:paraId="5CD5C68C" w14:textId="77777777" w:rsidR="004B77F6" w:rsidRPr="00694ACA" w:rsidRDefault="004B77F6" w:rsidP="00F221C0">
            <w:pPr>
              <w:jc w:val="center"/>
              <w:rPr>
                <w:rFonts w:ascii="Lato" w:hAnsi="Lato" w:cs="Arial"/>
                <w:color w:val="407C9B"/>
                <w:sz w:val="18"/>
                <w:szCs w:val="18"/>
                <w:lang w:val="ru-RU"/>
              </w:rPr>
            </w:pPr>
          </w:p>
        </w:tc>
        <w:tc>
          <w:tcPr>
            <w:tcW w:w="828" w:type="dxa"/>
            <w:shd w:val="clear" w:color="auto" w:fill="F2F2F2" w:themeFill="background1" w:themeFillShade="F2"/>
          </w:tcPr>
          <w:p w14:paraId="102ECC38" w14:textId="77777777" w:rsidR="004B77F6" w:rsidRPr="00694ACA" w:rsidRDefault="004B77F6" w:rsidP="00F221C0">
            <w:pPr>
              <w:jc w:val="center"/>
              <w:rPr>
                <w:rFonts w:ascii="Lato" w:hAnsi="Lato" w:cs="Arial"/>
                <w:color w:val="407C9B"/>
                <w:sz w:val="18"/>
                <w:szCs w:val="18"/>
                <w:lang w:val="ru-RU"/>
              </w:rPr>
            </w:pPr>
          </w:p>
        </w:tc>
        <w:tc>
          <w:tcPr>
            <w:tcW w:w="829" w:type="dxa"/>
            <w:shd w:val="clear" w:color="auto" w:fill="F2F2F2" w:themeFill="background1" w:themeFillShade="F2"/>
          </w:tcPr>
          <w:p w14:paraId="6E5D2E46" w14:textId="77777777" w:rsidR="004B77F6" w:rsidRPr="00694ACA" w:rsidRDefault="004B77F6" w:rsidP="00F221C0">
            <w:pPr>
              <w:jc w:val="center"/>
              <w:rPr>
                <w:rFonts w:ascii="Lato" w:hAnsi="Lato" w:cs="Arial"/>
                <w:color w:val="407C9B"/>
                <w:sz w:val="18"/>
                <w:szCs w:val="18"/>
                <w:lang w:val="ru-RU"/>
              </w:rPr>
            </w:pPr>
          </w:p>
        </w:tc>
      </w:tr>
      <w:tr w:rsidR="004B77F6" w:rsidRPr="00694ACA" w14:paraId="19BA02EB" w14:textId="77777777" w:rsidTr="0068182E">
        <w:trPr>
          <w:gridAfter w:val="1"/>
          <w:wAfter w:w="6" w:type="dxa"/>
        </w:trPr>
        <w:tc>
          <w:tcPr>
            <w:tcW w:w="1555" w:type="dxa"/>
            <w:shd w:val="clear" w:color="auto" w:fill="F2F2F2" w:themeFill="background1" w:themeFillShade="F2"/>
          </w:tcPr>
          <w:p w14:paraId="2F97AAD9" w14:textId="77777777" w:rsidR="004B77F6" w:rsidRPr="00694ACA" w:rsidRDefault="004B77F6" w:rsidP="00F221C0">
            <w:pPr>
              <w:rPr>
                <w:rFonts w:ascii="Lato" w:hAnsi="Lato" w:cs="Arial"/>
                <w:color w:val="407C9B"/>
                <w:szCs w:val="20"/>
                <w:lang w:val="ru-RU"/>
              </w:rPr>
            </w:pPr>
            <w:r w:rsidRPr="00694ACA">
              <w:rPr>
                <w:rFonts w:ascii="Lato" w:hAnsi="Lato"/>
                <w:color w:val="407C9B"/>
                <w:sz w:val="18"/>
                <w:szCs w:val="22"/>
                <w:lang w:val="ru-RU"/>
              </w:rPr>
              <w:t>ИКАО</w:t>
            </w:r>
            <w:r w:rsidRPr="00694ACA">
              <w:rPr>
                <w:rStyle w:val="FootnoteReference"/>
                <w:rFonts w:cs="Arial"/>
                <w:color w:val="407C9B"/>
                <w:szCs w:val="20"/>
                <w:lang w:val="ru-RU"/>
              </w:rPr>
              <w:footnoteReference w:id="238"/>
            </w:r>
          </w:p>
        </w:tc>
        <w:tc>
          <w:tcPr>
            <w:tcW w:w="828" w:type="dxa"/>
            <w:shd w:val="clear" w:color="auto" w:fill="F2F2F2" w:themeFill="background1" w:themeFillShade="F2"/>
          </w:tcPr>
          <w:p w14:paraId="68821FB2" w14:textId="77777777" w:rsidR="004B77F6" w:rsidRPr="00694ACA" w:rsidRDefault="004B77F6" w:rsidP="00F221C0">
            <w:pPr>
              <w:jc w:val="center"/>
              <w:rPr>
                <w:rFonts w:ascii="Lato" w:hAnsi="Lato" w:cs="Arial"/>
                <w:color w:val="407C9B"/>
                <w:sz w:val="18"/>
                <w:szCs w:val="18"/>
                <w:lang w:val="ru-RU"/>
              </w:rPr>
            </w:pPr>
            <w:r w:rsidRPr="00694ACA">
              <w:rPr>
                <w:rFonts w:ascii="Lato" w:hAnsi="Lato"/>
                <w:color w:val="407C9B"/>
                <w:sz w:val="18"/>
                <w:szCs w:val="18"/>
                <w:lang w:val="ru-RU"/>
              </w:rPr>
              <w:t>P</w:t>
            </w:r>
          </w:p>
        </w:tc>
        <w:tc>
          <w:tcPr>
            <w:tcW w:w="828" w:type="dxa"/>
            <w:shd w:val="clear" w:color="auto" w:fill="F2F2F2" w:themeFill="background1" w:themeFillShade="F2"/>
          </w:tcPr>
          <w:p w14:paraId="6306D9D6" w14:textId="77777777" w:rsidR="004B77F6" w:rsidRPr="00694ACA" w:rsidRDefault="004B77F6" w:rsidP="00F221C0">
            <w:pPr>
              <w:jc w:val="center"/>
              <w:rPr>
                <w:rFonts w:ascii="Lato" w:hAnsi="Lato" w:cs="Arial"/>
                <w:color w:val="407C9B"/>
                <w:sz w:val="18"/>
                <w:szCs w:val="18"/>
                <w:lang w:val="ru-RU"/>
              </w:rPr>
            </w:pPr>
          </w:p>
        </w:tc>
        <w:tc>
          <w:tcPr>
            <w:tcW w:w="829" w:type="dxa"/>
            <w:shd w:val="clear" w:color="auto" w:fill="F2F2F2" w:themeFill="background1" w:themeFillShade="F2"/>
          </w:tcPr>
          <w:p w14:paraId="18DFCF58" w14:textId="77777777" w:rsidR="004B77F6" w:rsidRPr="00694ACA" w:rsidRDefault="004B77F6" w:rsidP="00F221C0">
            <w:pPr>
              <w:jc w:val="center"/>
              <w:rPr>
                <w:rFonts w:ascii="Lato" w:hAnsi="Lato" w:cs="Arial"/>
                <w:color w:val="407C9B"/>
                <w:sz w:val="18"/>
                <w:szCs w:val="18"/>
                <w:lang w:val="ru-RU"/>
              </w:rPr>
            </w:pPr>
          </w:p>
        </w:tc>
        <w:tc>
          <w:tcPr>
            <w:tcW w:w="828" w:type="dxa"/>
            <w:shd w:val="clear" w:color="auto" w:fill="F2F2F2" w:themeFill="background1" w:themeFillShade="F2"/>
          </w:tcPr>
          <w:p w14:paraId="5D222C52" w14:textId="77777777" w:rsidR="004B77F6" w:rsidRPr="00694ACA" w:rsidRDefault="004B77F6" w:rsidP="00F221C0">
            <w:pPr>
              <w:jc w:val="center"/>
              <w:rPr>
                <w:rFonts w:ascii="Lato" w:hAnsi="Lato" w:cs="Arial"/>
                <w:color w:val="407C9B"/>
                <w:sz w:val="18"/>
                <w:szCs w:val="18"/>
                <w:lang w:val="ru-RU"/>
              </w:rPr>
            </w:pPr>
            <w:r w:rsidRPr="00694ACA">
              <w:rPr>
                <w:rFonts w:ascii="Lato" w:hAnsi="Lato"/>
                <w:color w:val="407C9B"/>
                <w:sz w:val="18"/>
                <w:szCs w:val="18"/>
                <w:lang w:val="ru-RU"/>
              </w:rPr>
              <w:t>P</w:t>
            </w:r>
          </w:p>
        </w:tc>
        <w:tc>
          <w:tcPr>
            <w:tcW w:w="828" w:type="dxa"/>
            <w:shd w:val="clear" w:color="auto" w:fill="F2F2F2" w:themeFill="background1" w:themeFillShade="F2"/>
          </w:tcPr>
          <w:p w14:paraId="030B3F54" w14:textId="77777777" w:rsidR="004B77F6" w:rsidRPr="00694ACA" w:rsidRDefault="004B77F6" w:rsidP="00F221C0">
            <w:pPr>
              <w:jc w:val="center"/>
              <w:rPr>
                <w:rFonts w:ascii="Lato" w:hAnsi="Lato" w:cs="Arial"/>
                <w:color w:val="407C9B"/>
                <w:sz w:val="18"/>
                <w:szCs w:val="18"/>
                <w:lang w:val="ru-RU"/>
              </w:rPr>
            </w:pPr>
          </w:p>
        </w:tc>
        <w:tc>
          <w:tcPr>
            <w:tcW w:w="829" w:type="dxa"/>
            <w:shd w:val="clear" w:color="auto" w:fill="F2F2F2" w:themeFill="background1" w:themeFillShade="F2"/>
          </w:tcPr>
          <w:p w14:paraId="61891E74" w14:textId="77777777" w:rsidR="004B77F6" w:rsidRPr="00694ACA" w:rsidRDefault="004B77F6" w:rsidP="00F221C0">
            <w:pPr>
              <w:jc w:val="center"/>
              <w:rPr>
                <w:rFonts w:ascii="Lato" w:hAnsi="Lato" w:cs="Arial"/>
                <w:color w:val="407C9B"/>
                <w:sz w:val="18"/>
                <w:szCs w:val="18"/>
                <w:lang w:val="ru-RU"/>
              </w:rPr>
            </w:pPr>
          </w:p>
        </w:tc>
        <w:tc>
          <w:tcPr>
            <w:tcW w:w="828" w:type="dxa"/>
            <w:shd w:val="clear" w:color="auto" w:fill="F2F2F2" w:themeFill="background1" w:themeFillShade="F2"/>
          </w:tcPr>
          <w:p w14:paraId="64623709" w14:textId="77777777" w:rsidR="004B77F6" w:rsidRPr="00694ACA" w:rsidRDefault="004B77F6" w:rsidP="00F221C0">
            <w:pPr>
              <w:jc w:val="center"/>
              <w:rPr>
                <w:rFonts w:ascii="Lato" w:hAnsi="Lato" w:cs="Arial"/>
                <w:color w:val="407C9B"/>
                <w:sz w:val="18"/>
                <w:szCs w:val="18"/>
                <w:lang w:val="ru-RU"/>
              </w:rPr>
            </w:pPr>
          </w:p>
        </w:tc>
        <w:tc>
          <w:tcPr>
            <w:tcW w:w="828" w:type="dxa"/>
            <w:shd w:val="clear" w:color="auto" w:fill="F2F2F2" w:themeFill="background1" w:themeFillShade="F2"/>
          </w:tcPr>
          <w:p w14:paraId="26E63E85" w14:textId="77777777" w:rsidR="004B77F6" w:rsidRPr="00694ACA" w:rsidRDefault="004B77F6" w:rsidP="00F221C0">
            <w:pPr>
              <w:jc w:val="center"/>
              <w:rPr>
                <w:rFonts w:ascii="Lato" w:hAnsi="Lato" w:cs="Arial"/>
                <w:color w:val="407C9B"/>
                <w:sz w:val="18"/>
                <w:szCs w:val="18"/>
                <w:lang w:val="ru-RU"/>
              </w:rPr>
            </w:pPr>
            <w:r w:rsidRPr="00694ACA">
              <w:rPr>
                <w:rFonts w:ascii="Lato" w:hAnsi="Lato"/>
                <w:color w:val="407C9B"/>
                <w:sz w:val="18"/>
                <w:szCs w:val="18"/>
                <w:lang w:val="ru-RU"/>
              </w:rPr>
              <w:t>P</w:t>
            </w:r>
          </w:p>
        </w:tc>
        <w:tc>
          <w:tcPr>
            <w:tcW w:w="829" w:type="dxa"/>
            <w:shd w:val="clear" w:color="auto" w:fill="F2F2F2" w:themeFill="background1" w:themeFillShade="F2"/>
          </w:tcPr>
          <w:p w14:paraId="69F93D85" w14:textId="77777777" w:rsidR="004B77F6" w:rsidRPr="00694ACA" w:rsidRDefault="004B77F6" w:rsidP="00F221C0">
            <w:pPr>
              <w:jc w:val="center"/>
              <w:rPr>
                <w:rFonts w:ascii="Lato" w:hAnsi="Lato" w:cs="Arial"/>
                <w:color w:val="407C9B"/>
                <w:sz w:val="18"/>
                <w:szCs w:val="18"/>
                <w:lang w:val="ru-RU"/>
              </w:rPr>
            </w:pPr>
          </w:p>
        </w:tc>
      </w:tr>
      <w:tr w:rsidR="004B77F6" w:rsidRPr="00694ACA" w14:paraId="7C1DAE79" w14:textId="77777777" w:rsidTr="0068182E">
        <w:trPr>
          <w:gridAfter w:val="1"/>
          <w:wAfter w:w="6" w:type="dxa"/>
        </w:trPr>
        <w:tc>
          <w:tcPr>
            <w:tcW w:w="1555" w:type="dxa"/>
            <w:shd w:val="clear" w:color="auto" w:fill="F2F2F2" w:themeFill="background1" w:themeFillShade="F2"/>
          </w:tcPr>
          <w:p w14:paraId="100E9E8E" w14:textId="77777777" w:rsidR="004B77F6" w:rsidRPr="00694ACA" w:rsidRDefault="004B77F6" w:rsidP="00F221C0">
            <w:pPr>
              <w:rPr>
                <w:rFonts w:ascii="Lato" w:hAnsi="Lato" w:cs="Arial"/>
                <w:color w:val="407C9B"/>
                <w:szCs w:val="20"/>
                <w:lang w:val="ru-RU"/>
              </w:rPr>
            </w:pPr>
            <w:r w:rsidRPr="00694ACA">
              <w:rPr>
                <w:rFonts w:ascii="Lato" w:hAnsi="Lato"/>
                <w:color w:val="407C9B"/>
                <w:sz w:val="18"/>
                <w:szCs w:val="22"/>
                <w:lang w:val="ru-RU"/>
              </w:rPr>
              <w:t>МФСР</w:t>
            </w:r>
            <w:r w:rsidRPr="00694ACA">
              <w:rPr>
                <w:rStyle w:val="FootnoteReference"/>
                <w:rFonts w:cs="Arial"/>
                <w:color w:val="407C9B"/>
                <w:szCs w:val="20"/>
                <w:lang w:val="ru-RU"/>
              </w:rPr>
              <w:footnoteReference w:id="239"/>
            </w:r>
          </w:p>
        </w:tc>
        <w:tc>
          <w:tcPr>
            <w:tcW w:w="828" w:type="dxa"/>
            <w:shd w:val="clear" w:color="auto" w:fill="F2F2F2" w:themeFill="background1" w:themeFillShade="F2"/>
          </w:tcPr>
          <w:p w14:paraId="1BE5755F" w14:textId="77777777" w:rsidR="004B77F6" w:rsidRPr="00694ACA" w:rsidRDefault="004B77F6" w:rsidP="00F221C0">
            <w:pPr>
              <w:jc w:val="center"/>
              <w:rPr>
                <w:rFonts w:ascii="Lato" w:hAnsi="Lato" w:cs="Arial"/>
                <w:color w:val="407C9B"/>
                <w:sz w:val="18"/>
                <w:szCs w:val="18"/>
                <w:lang w:val="ru-RU"/>
              </w:rPr>
            </w:pPr>
          </w:p>
        </w:tc>
        <w:tc>
          <w:tcPr>
            <w:tcW w:w="828" w:type="dxa"/>
            <w:shd w:val="clear" w:color="auto" w:fill="F2F2F2" w:themeFill="background1" w:themeFillShade="F2"/>
          </w:tcPr>
          <w:p w14:paraId="4CD47170" w14:textId="77777777" w:rsidR="004B77F6" w:rsidRPr="00694ACA" w:rsidRDefault="004B77F6" w:rsidP="00F221C0">
            <w:pPr>
              <w:jc w:val="center"/>
              <w:rPr>
                <w:rFonts w:ascii="Lato" w:hAnsi="Lato" w:cs="Arial"/>
                <w:color w:val="407C9B"/>
                <w:sz w:val="18"/>
                <w:szCs w:val="18"/>
                <w:lang w:val="ru-RU"/>
              </w:rPr>
            </w:pPr>
            <w:r w:rsidRPr="00694ACA">
              <w:rPr>
                <w:rFonts w:ascii="Lato" w:hAnsi="Lato"/>
                <w:color w:val="407C9B"/>
                <w:sz w:val="18"/>
                <w:szCs w:val="18"/>
                <w:lang w:val="ru-RU"/>
              </w:rPr>
              <w:t>P</w:t>
            </w:r>
          </w:p>
        </w:tc>
        <w:tc>
          <w:tcPr>
            <w:tcW w:w="829" w:type="dxa"/>
            <w:shd w:val="clear" w:color="auto" w:fill="F2F2F2" w:themeFill="background1" w:themeFillShade="F2"/>
          </w:tcPr>
          <w:p w14:paraId="0D10AACF" w14:textId="77777777" w:rsidR="004B77F6" w:rsidRPr="00694ACA" w:rsidRDefault="004B77F6" w:rsidP="00F221C0">
            <w:pPr>
              <w:jc w:val="center"/>
              <w:rPr>
                <w:rFonts w:ascii="Lato" w:hAnsi="Lato" w:cs="Arial"/>
                <w:color w:val="407C9B"/>
                <w:sz w:val="18"/>
                <w:szCs w:val="18"/>
                <w:lang w:val="ru-RU"/>
              </w:rPr>
            </w:pPr>
          </w:p>
        </w:tc>
        <w:tc>
          <w:tcPr>
            <w:tcW w:w="828" w:type="dxa"/>
            <w:shd w:val="clear" w:color="auto" w:fill="F2F2F2" w:themeFill="background1" w:themeFillShade="F2"/>
          </w:tcPr>
          <w:p w14:paraId="537587DD" w14:textId="77777777" w:rsidR="004B77F6" w:rsidRPr="00694ACA" w:rsidRDefault="004B77F6" w:rsidP="00F221C0">
            <w:pPr>
              <w:jc w:val="center"/>
              <w:rPr>
                <w:rFonts w:ascii="Lato" w:hAnsi="Lato" w:cs="Arial"/>
                <w:color w:val="407C9B"/>
                <w:sz w:val="18"/>
                <w:szCs w:val="18"/>
                <w:lang w:val="ru-RU"/>
              </w:rPr>
            </w:pPr>
            <w:r w:rsidRPr="00694ACA">
              <w:rPr>
                <w:rFonts w:ascii="Lato" w:hAnsi="Lato"/>
                <w:color w:val="407C9B"/>
                <w:sz w:val="18"/>
                <w:szCs w:val="18"/>
                <w:lang w:val="ru-RU"/>
              </w:rPr>
              <w:t>P</w:t>
            </w:r>
          </w:p>
        </w:tc>
        <w:tc>
          <w:tcPr>
            <w:tcW w:w="828" w:type="dxa"/>
            <w:shd w:val="clear" w:color="auto" w:fill="F2F2F2" w:themeFill="background1" w:themeFillShade="F2"/>
          </w:tcPr>
          <w:p w14:paraId="5EE9F9C2" w14:textId="77777777" w:rsidR="004B77F6" w:rsidRPr="00694ACA" w:rsidRDefault="004B77F6" w:rsidP="00F221C0">
            <w:pPr>
              <w:jc w:val="center"/>
              <w:rPr>
                <w:rFonts w:ascii="Lato" w:hAnsi="Lato" w:cs="Arial"/>
                <w:color w:val="407C9B"/>
                <w:sz w:val="18"/>
                <w:szCs w:val="18"/>
                <w:lang w:val="ru-RU"/>
              </w:rPr>
            </w:pPr>
          </w:p>
        </w:tc>
        <w:tc>
          <w:tcPr>
            <w:tcW w:w="829" w:type="dxa"/>
            <w:shd w:val="clear" w:color="auto" w:fill="F2F2F2" w:themeFill="background1" w:themeFillShade="F2"/>
          </w:tcPr>
          <w:p w14:paraId="511F6476" w14:textId="77777777" w:rsidR="004B77F6" w:rsidRPr="00694ACA" w:rsidRDefault="004B77F6" w:rsidP="00F221C0">
            <w:pPr>
              <w:jc w:val="center"/>
              <w:rPr>
                <w:rFonts w:ascii="Lato" w:hAnsi="Lato" w:cs="Arial"/>
                <w:color w:val="407C9B"/>
                <w:sz w:val="18"/>
                <w:szCs w:val="18"/>
                <w:lang w:val="ru-RU"/>
              </w:rPr>
            </w:pPr>
            <w:r w:rsidRPr="00694ACA">
              <w:rPr>
                <w:rFonts w:ascii="Lato" w:hAnsi="Lato"/>
                <w:color w:val="407C9B"/>
                <w:sz w:val="18"/>
                <w:szCs w:val="18"/>
                <w:lang w:val="ru-RU"/>
              </w:rPr>
              <w:t>P</w:t>
            </w:r>
          </w:p>
        </w:tc>
        <w:tc>
          <w:tcPr>
            <w:tcW w:w="828" w:type="dxa"/>
            <w:shd w:val="clear" w:color="auto" w:fill="F2F2F2" w:themeFill="background1" w:themeFillShade="F2"/>
          </w:tcPr>
          <w:p w14:paraId="3C5DECAB" w14:textId="77777777" w:rsidR="004B77F6" w:rsidRPr="00694ACA" w:rsidRDefault="004B77F6" w:rsidP="00F221C0">
            <w:pPr>
              <w:jc w:val="center"/>
              <w:rPr>
                <w:rFonts w:ascii="Lato" w:hAnsi="Lato" w:cs="Arial"/>
                <w:color w:val="407C9B"/>
                <w:sz w:val="18"/>
                <w:szCs w:val="18"/>
                <w:lang w:val="ru-RU"/>
              </w:rPr>
            </w:pPr>
          </w:p>
        </w:tc>
        <w:tc>
          <w:tcPr>
            <w:tcW w:w="828" w:type="dxa"/>
            <w:shd w:val="clear" w:color="auto" w:fill="F2F2F2" w:themeFill="background1" w:themeFillShade="F2"/>
          </w:tcPr>
          <w:p w14:paraId="7A4D21E0" w14:textId="77777777" w:rsidR="004B77F6" w:rsidRPr="00694ACA" w:rsidRDefault="004B77F6" w:rsidP="00F221C0">
            <w:pPr>
              <w:jc w:val="center"/>
              <w:rPr>
                <w:rFonts w:ascii="Lato" w:hAnsi="Lato" w:cs="Arial"/>
                <w:color w:val="407C9B"/>
                <w:sz w:val="18"/>
                <w:szCs w:val="18"/>
                <w:lang w:val="ru-RU"/>
              </w:rPr>
            </w:pPr>
          </w:p>
        </w:tc>
        <w:tc>
          <w:tcPr>
            <w:tcW w:w="829" w:type="dxa"/>
            <w:shd w:val="clear" w:color="auto" w:fill="F2F2F2" w:themeFill="background1" w:themeFillShade="F2"/>
          </w:tcPr>
          <w:p w14:paraId="7C1992B2" w14:textId="77777777" w:rsidR="004B77F6" w:rsidRPr="00694ACA" w:rsidRDefault="004B77F6" w:rsidP="00F221C0">
            <w:pPr>
              <w:jc w:val="center"/>
              <w:rPr>
                <w:rFonts w:ascii="Lato" w:hAnsi="Lato" w:cs="Arial"/>
                <w:color w:val="407C9B"/>
                <w:sz w:val="18"/>
                <w:szCs w:val="18"/>
                <w:lang w:val="ru-RU"/>
              </w:rPr>
            </w:pPr>
          </w:p>
        </w:tc>
      </w:tr>
      <w:tr w:rsidR="004B77F6" w:rsidRPr="00694ACA" w14:paraId="0D666D63" w14:textId="77777777" w:rsidTr="0068182E">
        <w:trPr>
          <w:gridAfter w:val="1"/>
          <w:wAfter w:w="6" w:type="dxa"/>
        </w:trPr>
        <w:tc>
          <w:tcPr>
            <w:tcW w:w="1555" w:type="dxa"/>
            <w:shd w:val="clear" w:color="auto" w:fill="F2F2F2" w:themeFill="background1" w:themeFillShade="F2"/>
          </w:tcPr>
          <w:p w14:paraId="19BB42E2" w14:textId="77777777" w:rsidR="004B77F6" w:rsidRPr="00694ACA" w:rsidRDefault="004B77F6" w:rsidP="00F221C0">
            <w:pPr>
              <w:rPr>
                <w:rFonts w:ascii="Lato" w:hAnsi="Lato" w:cs="Arial"/>
                <w:color w:val="407C9B"/>
                <w:szCs w:val="20"/>
                <w:lang w:val="ru-RU"/>
              </w:rPr>
            </w:pPr>
            <w:r w:rsidRPr="00694ACA">
              <w:rPr>
                <w:rFonts w:ascii="Lato" w:hAnsi="Lato"/>
                <w:color w:val="407C9B"/>
                <w:sz w:val="18"/>
                <w:szCs w:val="22"/>
                <w:lang w:val="ru-RU"/>
              </w:rPr>
              <w:t>МВФ</w:t>
            </w:r>
            <w:r w:rsidRPr="00694ACA">
              <w:rPr>
                <w:rStyle w:val="FootnoteReference"/>
                <w:rFonts w:cs="Arial"/>
                <w:color w:val="407C9B"/>
                <w:szCs w:val="20"/>
                <w:lang w:val="ru-RU"/>
              </w:rPr>
              <w:footnoteReference w:id="240"/>
            </w:r>
          </w:p>
        </w:tc>
        <w:tc>
          <w:tcPr>
            <w:tcW w:w="828" w:type="dxa"/>
            <w:shd w:val="clear" w:color="auto" w:fill="F2F2F2" w:themeFill="background1" w:themeFillShade="F2"/>
          </w:tcPr>
          <w:p w14:paraId="4001935F" w14:textId="77777777" w:rsidR="004B77F6" w:rsidRPr="00694ACA" w:rsidRDefault="004B77F6" w:rsidP="00A64AB2">
            <w:pPr>
              <w:jc w:val="center"/>
              <w:rPr>
                <w:rFonts w:ascii="Lato" w:hAnsi="Lato" w:cs="Arial"/>
                <w:color w:val="407C9B"/>
                <w:sz w:val="18"/>
                <w:szCs w:val="18"/>
                <w:lang w:val="ru-RU"/>
              </w:rPr>
            </w:pPr>
          </w:p>
        </w:tc>
        <w:tc>
          <w:tcPr>
            <w:tcW w:w="828" w:type="dxa"/>
            <w:shd w:val="clear" w:color="auto" w:fill="F2F2F2" w:themeFill="background1" w:themeFillShade="F2"/>
          </w:tcPr>
          <w:p w14:paraId="177F70FE" w14:textId="7B3BEA8E" w:rsidR="004B77F6" w:rsidRPr="00694ACA" w:rsidRDefault="004B77F6" w:rsidP="00A64AB2">
            <w:pPr>
              <w:tabs>
                <w:tab w:val="left" w:pos="212"/>
                <w:tab w:val="center" w:pos="306"/>
              </w:tabs>
              <w:jc w:val="center"/>
              <w:rPr>
                <w:rFonts w:ascii="Lato" w:hAnsi="Lato" w:cs="Arial"/>
                <w:color w:val="407C9B"/>
                <w:sz w:val="18"/>
                <w:szCs w:val="18"/>
                <w:lang w:val="ru-RU"/>
              </w:rPr>
            </w:pPr>
            <w:r w:rsidRPr="00694ACA">
              <w:rPr>
                <w:rFonts w:ascii="Lato" w:hAnsi="Lato"/>
                <w:color w:val="407C9B"/>
                <w:sz w:val="18"/>
                <w:szCs w:val="18"/>
                <w:lang w:val="ru-RU"/>
              </w:rPr>
              <w:t>19</w:t>
            </w:r>
          </w:p>
        </w:tc>
        <w:tc>
          <w:tcPr>
            <w:tcW w:w="829" w:type="dxa"/>
            <w:shd w:val="clear" w:color="auto" w:fill="F2F2F2" w:themeFill="background1" w:themeFillShade="F2"/>
          </w:tcPr>
          <w:p w14:paraId="0F1E6CB6" w14:textId="44A25614" w:rsidR="004B77F6" w:rsidRPr="00694ACA" w:rsidRDefault="004B77F6" w:rsidP="00A64AB2">
            <w:pPr>
              <w:tabs>
                <w:tab w:val="center" w:pos="306"/>
              </w:tabs>
              <w:jc w:val="center"/>
              <w:rPr>
                <w:rFonts w:ascii="Lato" w:hAnsi="Lato" w:cs="Arial"/>
                <w:color w:val="407C9B"/>
                <w:sz w:val="18"/>
                <w:szCs w:val="18"/>
                <w:lang w:val="ru-RU"/>
              </w:rPr>
            </w:pPr>
            <w:r w:rsidRPr="00694ACA">
              <w:rPr>
                <w:rFonts w:ascii="Lato" w:hAnsi="Lato"/>
                <w:color w:val="407C9B"/>
                <w:sz w:val="18"/>
                <w:szCs w:val="18"/>
                <w:lang w:val="ru-RU"/>
              </w:rPr>
              <w:t>3</w:t>
            </w:r>
          </w:p>
        </w:tc>
        <w:tc>
          <w:tcPr>
            <w:tcW w:w="828" w:type="dxa"/>
            <w:shd w:val="clear" w:color="auto" w:fill="F2F2F2" w:themeFill="background1" w:themeFillShade="F2"/>
          </w:tcPr>
          <w:p w14:paraId="1D3D2A95" w14:textId="77777777" w:rsidR="004B77F6" w:rsidRPr="00694ACA" w:rsidRDefault="004B77F6" w:rsidP="00A64AB2">
            <w:pPr>
              <w:jc w:val="center"/>
              <w:rPr>
                <w:rFonts w:ascii="Lato" w:hAnsi="Lato" w:cs="Arial"/>
                <w:color w:val="407C9B"/>
                <w:sz w:val="18"/>
                <w:szCs w:val="18"/>
                <w:lang w:val="ru-RU"/>
              </w:rPr>
            </w:pPr>
            <w:r w:rsidRPr="00694ACA">
              <w:rPr>
                <w:rFonts w:ascii="Lato" w:hAnsi="Lato"/>
                <w:color w:val="407C9B"/>
                <w:sz w:val="18"/>
                <w:szCs w:val="18"/>
                <w:lang w:val="ru-RU"/>
              </w:rPr>
              <w:t>8</w:t>
            </w:r>
          </w:p>
        </w:tc>
        <w:tc>
          <w:tcPr>
            <w:tcW w:w="828" w:type="dxa"/>
            <w:shd w:val="clear" w:color="auto" w:fill="F2F2F2" w:themeFill="background1" w:themeFillShade="F2"/>
          </w:tcPr>
          <w:p w14:paraId="4E974CE7" w14:textId="77777777" w:rsidR="004B77F6" w:rsidRPr="00694ACA" w:rsidRDefault="004B77F6" w:rsidP="00A64AB2">
            <w:pPr>
              <w:jc w:val="center"/>
              <w:rPr>
                <w:rFonts w:ascii="Lato" w:hAnsi="Lato" w:cs="Arial"/>
                <w:color w:val="407C9B"/>
                <w:sz w:val="18"/>
                <w:szCs w:val="18"/>
                <w:lang w:val="ru-RU"/>
              </w:rPr>
            </w:pPr>
          </w:p>
        </w:tc>
        <w:tc>
          <w:tcPr>
            <w:tcW w:w="829" w:type="dxa"/>
            <w:shd w:val="clear" w:color="auto" w:fill="F2F2F2" w:themeFill="background1" w:themeFillShade="F2"/>
          </w:tcPr>
          <w:p w14:paraId="1D6E0B4B" w14:textId="77777777" w:rsidR="004B77F6" w:rsidRPr="00694ACA" w:rsidRDefault="004B77F6" w:rsidP="00F221C0">
            <w:pPr>
              <w:jc w:val="center"/>
              <w:rPr>
                <w:rFonts w:ascii="Lato" w:hAnsi="Lato" w:cs="Arial"/>
                <w:color w:val="407C9B"/>
                <w:sz w:val="18"/>
                <w:szCs w:val="18"/>
                <w:lang w:val="ru-RU"/>
              </w:rPr>
            </w:pPr>
          </w:p>
        </w:tc>
        <w:tc>
          <w:tcPr>
            <w:tcW w:w="828" w:type="dxa"/>
            <w:shd w:val="clear" w:color="auto" w:fill="F2F2F2" w:themeFill="background1" w:themeFillShade="F2"/>
          </w:tcPr>
          <w:p w14:paraId="21B3F9C4" w14:textId="77777777" w:rsidR="004B77F6" w:rsidRPr="00694ACA" w:rsidRDefault="004B77F6" w:rsidP="00F221C0">
            <w:pPr>
              <w:jc w:val="center"/>
              <w:rPr>
                <w:rFonts w:ascii="Lato" w:hAnsi="Lato" w:cs="Arial"/>
                <w:color w:val="407C9B"/>
                <w:sz w:val="18"/>
                <w:szCs w:val="18"/>
                <w:lang w:val="ru-RU"/>
              </w:rPr>
            </w:pPr>
            <w:r w:rsidRPr="00694ACA">
              <w:rPr>
                <w:rFonts w:ascii="Lato" w:hAnsi="Lato"/>
                <w:color w:val="407C9B"/>
                <w:sz w:val="18"/>
                <w:szCs w:val="18"/>
                <w:lang w:val="ru-RU"/>
              </w:rPr>
              <w:t>7</w:t>
            </w:r>
          </w:p>
        </w:tc>
        <w:tc>
          <w:tcPr>
            <w:tcW w:w="828" w:type="dxa"/>
            <w:shd w:val="clear" w:color="auto" w:fill="F2F2F2" w:themeFill="background1" w:themeFillShade="F2"/>
          </w:tcPr>
          <w:p w14:paraId="10818C8D" w14:textId="77777777" w:rsidR="004B77F6" w:rsidRPr="00694ACA" w:rsidRDefault="004B77F6" w:rsidP="00F221C0">
            <w:pPr>
              <w:jc w:val="center"/>
              <w:rPr>
                <w:rFonts w:ascii="Lato" w:hAnsi="Lato" w:cs="Arial"/>
                <w:color w:val="407C9B"/>
                <w:szCs w:val="20"/>
                <w:lang w:val="ru-RU"/>
              </w:rPr>
            </w:pPr>
            <w:r w:rsidRPr="00694ACA">
              <w:rPr>
                <w:rFonts w:ascii="Lato" w:hAnsi="Lato"/>
                <w:color w:val="407C9B"/>
                <w:sz w:val="18"/>
                <w:szCs w:val="22"/>
                <w:lang w:val="ru-RU"/>
              </w:rPr>
              <w:t>26</w:t>
            </w:r>
            <w:r w:rsidRPr="00694ACA">
              <w:rPr>
                <w:rStyle w:val="FootnoteReference"/>
                <w:rFonts w:cs="Arial"/>
                <w:color w:val="407C9B"/>
                <w:szCs w:val="20"/>
                <w:lang w:val="ru-RU"/>
              </w:rPr>
              <w:footnoteReference w:id="241"/>
            </w:r>
          </w:p>
        </w:tc>
        <w:tc>
          <w:tcPr>
            <w:tcW w:w="829" w:type="dxa"/>
            <w:shd w:val="clear" w:color="auto" w:fill="F2F2F2" w:themeFill="background1" w:themeFillShade="F2"/>
          </w:tcPr>
          <w:p w14:paraId="54F9C77A" w14:textId="77777777" w:rsidR="004B77F6" w:rsidRPr="00694ACA" w:rsidRDefault="004B77F6" w:rsidP="00F221C0">
            <w:pPr>
              <w:jc w:val="center"/>
              <w:rPr>
                <w:rFonts w:ascii="Lato" w:hAnsi="Lato" w:cs="Arial"/>
                <w:color w:val="407C9B"/>
                <w:szCs w:val="20"/>
                <w:lang w:val="ru-RU"/>
              </w:rPr>
            </w:pPr>
            <w:r w:rsidRPr="00694ACA">
              <w:rPr>
                <w:rFonts w:ascii="Lato" w:hAnsi="Lato"/>
                <w:color w:val="407C9B"/>
                <w:sz w:val="18"/>
                <w:szCs w:val="22"/>
                <w:lang w:val="ru-RU"/>
              </w:rPr>
              <w:t>30</w:t>
            </w:r>
          </w:p>
        </w:tc>
      </w:tr>
      <w:tr w:rsidR="004B77F6" w:rsidRPr="00694ACA" w14:paraId="5C71A4B8" w14:textId="77777777" w:rsidTr="0068182E">
        <w:trPr>
          <w:gridAfter w:val="1"/>
          <w:wAfter w:w="6" w:type="dxa"/>
        </w:trPr>
        <w:tc>
          <w:tcPr>
            <w:tcW w:w="1555" w:type="dxa"/>
            <w:shd w:val="clear" w:color="auto" w:fill="F2F2F2" w:themeFill="background1" w:themeFillShade="F2"/>
          </w:tcPr>
          <w:p w14:paraId="2D7F2F2E" w14:textId="77777777" w:rsidR="004B77F6" w:rsidRPr="00694ACA" w:rsidRDefault="004B77F6" w:rsidP="00F221C0">
            <w:pPr>
              <w:rPr>
                <w:rFonts w:ascii="Lato" w:hAnsi="Lato" w:cs="Arial"/>
                <w:color w:val="407C9B"/>
                <w:szCs w:val="20"/>
                <w:lang w:val="ru-RU"/>
              </w:rPr>
            </w:pPr>
            <w:r w:rsidRPr="00694ACA">
              <w:rPr>
                <w:rFonts w:ascii="Lato" w:hAnsi="Lato"/>
                <w:color w:val="407C9B"/>
                <w:sz w:val="18"/>
                <w:szCs w:val="22"/>
                <w:lang w:val="ru-RU"/>
              </w:rPr>
              <w:t>ИМО</w:t>
            </w:r>
            <w:r w:rsidRPr="00694ACA">
              <w:rPr>
                <w:rStyle w:val="FootnoteReference"/>
                <w:rFonts w:cs="Arial"/>
                <w:color w:val="407C9B"/>
                <w:szCs w:val="20"/>
                <w:lang w:val="ru-RU"/>
              </w:rPr>
              <w:footnoteReference w:id="242"/>
            </w:r>
          </w:p>
        </w:tc>
        <w:tc>
          <w:tcPr>
            <w:tcW w:w="828" w:type="dxa"/>
            <w:shd w:val="clear" w:color="auto" w:fill="F2F2F2" w:themeFill="background1" w:themeFillShade="F2"/>
          </w:tcPr>
          <w:p w14:paraId="0341C4BE" w14:textId="77777777" w:rsidR="004B77F6" w:rsidRPr="00694ACA" w:rsidRDefault="004B77F6" w:rsidP="00F221C0">
            <w:pPr>
              <w:jc w:val="center"/>
              <w:rPr>
                <w:rFonts w:ascii="Lato" w:hAnsi="Lato" w:cs="Arial"/>
                <w:color w:val="407C9B"/>
                <w:sz w:val="18"/>
                <w:szCs w:val="18"/>
                <w:lang w:val="ru-RU"/>
              </w:rPr>
            </w:pPr>
            <w:r w:rsidRPr="00694ACA">
              <w:rPr>
                <w:rFonts w:ascii="Lato" w:hAnsi="Lato"/>
                <w:color w:val="407C9B"/>
                <w:sz w:val="18"/>
                <w:szCs w:val="18"/>
                <w:lang w:val="ru-RU"/>
              </w:rPr>
              <w:t>P</w:t>
            </w:r>
          </w:p>
        </w:tc>
        <w:tc>
          <w:tcPr>
            <w:tcW w:w="828" w:type="dxa"/>
            <w:shd w:val="clear" w:color="auto" w:fill="F2F2F2" w:themeFill="background1" w:themeFillShade="F2"/>
          </w:tcPr>
          <w:p w14:paraId="0D255603" w14:textId="77777777" w:rsidR="004B77F6" w:rsidRPr="00694ACA" w:rsidRDefault="004B77F6" w:rsidP="00F221C0">
            <w:pPr>
              <w:jc w:val="center"/>
              <w:rPr>
                <w:rFonts w:ascii="Lato" w:hAnsi="Lato" w:cs="Arial"/>
                <w:color w:val="407C9B"/>
                <w:sz w:val="18"/>
                <w:szCs w:val="18"/>
                <w:lang w:val="ru-RU"/>
              </w:rPr>
            </w:pPr>
          </w:p>
        </w:tc>
        <w:tc>
          <w:tcPr>
            <w:tcW w:w="829" w:type="dxa"/>
            <w:shd w:val="clear" w:color="auto" w:fill="F2F2F2" w:themeFill="background1" w:themeFillShade="F2"/>
          </w:tcPr>
          <w:p w14:paraId="6C617247" w14:textId="77777777" w:rsidR="004B77F6" w:rsidRPr="00694ACA" w:rsidRDefault="004B77F6" w:rsidP="00F221C0">
            <w:pPr>
              <w:jc w:val="center"/>
              <w:rPr>
                <w:rFonts w:ascii="Lato" w:hAnsi="Lato" w:cs="Arial"/>
                <w:color w:val="407C9B"/>
                <w:sz w:val="18"/>
                <w:szCs w:val="18"/>
                <w:lang w:val="ru-RU"/>
              </w:rPr>
            </w:pPr>
          </w:p>
        </w:tc>
        <w:tc>
          <w:tcPr>
            <w:tcW w:w="828" w:type="dxa"/>
            <w:shd w:val="clear" w:color="auto" w:fill="F2F2F2" w:themeFill="background1" w:themeFillShade="F2"/>
          </w:tcPr>
          <w:p w14:paraId="7169FFAC" w14:textId="77777777" w:rsidR="004B77F6" w:rsidRPr="00694ACA" w:rsidRDefault="004B77F6" w:rsidP="00F221C0">
            <w:pPr>
              <w:jc w:val="center"/>
              <w:rPr>
                <w:rFonts w:ascii="Lato" w:hAnsi="Lato" w:cs="Arial"/>
                <w:color w:val="407C9B"/>
                <w:sz w:val="18"/>
                <w:szCs w:val="18"/>
                <w:lang w:val="ru-RU"/>
              </w:rPr>
            </w:pPr>
            <w:r w:rsidRPr="00694ACA">
              <w:rPr>
                <w:rFonts w:ascii="Lato" w:hAnsi="Lato"/>
                <w:color w:val="407C9B"/>
                <w:sz w:val="18"/>
                <w:szCs w:val="18"/>
                <w:lang w:val="ru-RU"/>
              </w:rPr>
              <w:t>P</w:t>
            </w:r>
          </w:p>
        </w:tc>
        <w:tc>
          <w:tcPr>
            <w:tcW w:w="828" w:type="dxa"/>
            <w:shd w:val="clear" w:color="auto" w:fill="F2F2F2" w:themeFill="background1" w:themeFillShade="F2"/>
          </w:tcPr>
          <w:p w14:paraId="0A825E27" w14:textId="77777777" w:rsidR="004B77F6" w:rsidRPr="00694ACA" w:rsidRDefault="004B77F6" w:rsidP="00F221C0">
            <w:pPr>
              <w:jc w:val="center"/>
              <w:rPr>
                <w:rFonts w:ascii="Lato" w:hAnsi="Lato" w:cs="Arial"/>
                <w:color w:val="407C9B"/>
                <w:sz w:val="18"/>
                <w:szCs w:val="18"/>
                <w:lang w:val="ru-RU"/>
              </w:rPr>
            </w:pPr>
          </w:p>
        </w:tc>
        <w:tc>
          <w:tcPr>
            <w:tcW w:w="829" w:type="dxa"/>
            <w:shd w:val="clear" w:color="auto" w:fill="F2F2F2" w:themeFill="background1" w:themeFillShade="F2"/>
          </w:tcPr>
          <w:p w14:paraId="4662AA9A" w14:textId="77777777" w:rsidR="004B77F6" w:rsidRPr="00694ACA" w:rsidRDefault="004B77F6" w:rsidP="00F221C0">
            <w:pPr>
              <w:jc w:val="center"/>
              <w:rPr>
                <w:rFonts w:ascii="Lato" w:hAnsi="Lato" w:cs="Arial"/>
                <w:color w:val="407C9B"/>
                <w:sz w:val="18"/>
                <w:szCs w:val="18"/>
                <w:lang w:val="ru-RU"/>
              </w:rPr>
            </w:pPr>
          </w:p>
        </w:tc>
        <w:tc>
          <w:tcPr>
            <w:tcW w:w="828" w:type="dxa"/>
            <w:shd w:val="clear" w:color="auto" w:fill="F2F2F2" w:themeFill="background1" w:themeFillShade="F2"/>
          </w:tcPr>
          <w:p w14:paraId="5237A4C5" w14:textId="77777777" w:rsidR="004B77F6" w:rsidRPr="00694ACA" w:rsidRDefault="004B77F6" w:rsidP="00F221C0">
            <w:pPr>
              <w:jc w:val="center"/>
              <w:rPr>
                <w:rFonts w:ascii="Lato" w:hAnsi="Lato" w:cs="Arial"/>
                <w:color w:val="407C9B"/>
                <w:sz w:val="18"/>
                <w:szCs w:val="18"/>
                <w:lang w:val="ru-RU"/>
              </w:rPr>
            </w:pPr>
            <w:r w:rsidRPr="00694ACA">
              <w:rPr>
                <w:rFonts w:ascii="Lato" w:hAnsi="Lato"/>
                <w:color w:val="407C9B"/>
                <w:sz w:val="18"/>
                <w:szCs w:val="18"/>
                <w:lang w:val="ru-RU"/>
              </w:rPr>
              <w:t>P</w:t>
            </w:r>
          </w:p>
        </w:tc>
        <w:tc>
          <w:tcPr>
            <w:tcW w:w="828" w:type="dxa"/>
            <w:shd w:val="clear" w:color="auto" w:fill="F2F2F2" w:themeFill="background1" w:themeFillShade="F2"/>
          </w:tcPr>
          <w:p w14:paraId="3BB8F6B4" w14:textId="77777777" w:rsidR="004B77F6" w:rsidRPr="00694ACA" w:rsidRDefault="004B77F6" w:rsidP="00F221C0">
            <w:pPr>
              <w:jc w:val="center"/>
              <w:rPr>
                <w:rFonts w:ascii="Lato" w:hAnsi="Lato" w:cs="Arial"/>
                <w:color w:val="407C9B"/>
                <w:sz w:val="18"/>
                <w:szCs w:val="22"/>
                <w:lang w:val="ru-RU"/>
              </w:rPr>
            </w:pPr>
            <w:r w:rsidRPr="00694ACA">
              <w:rPr>
                <w:rFonts w:ascii="Lato" w:hAnsi="Lato"/>
                <w:color w:val="407C9B"/>
                <w:sz w:val="18"/>
                <w:szCs w:val="22"/>
                <w:lang w:val="ru-RU"/>
              </w:rPr>
              <w:t>P</w:t>
            </w:r>
          </w:p>
        </w:tc>
        <w:tc>
          <w:tcPr>
            <w:tcW w:w="829" w:type="dxa"/>
            <w:shd w:val="clear" w:color="auto" w:fill="F2F2F2" w:themeFill="background1" w:themeFillShade="F2"/>
          </w:tcPr>
          <w:p w14:paraId="41DD28C3" w14:textId="77777777" w:rsidR="004B77F6" w:rsidRPr="00694ACA" w:rsidRDefault="004B77F6" w:rsidP="00F221C0">
            <w:pPr>
              <w:jc w:val="center"/>
              <w:rPr>
                <w:rFonts w:ascii="Lato" w:hAnsi="Lato" w:cs="Arial"/>
                <w:color w:val="407C9B"/>
                <w:sz w:val="18"/>
                <w:szCs w:val="22"/>
                <w:lang w:val="ru-RU"/>
              </w:rPr>
            </w:pPr>
          </w:p>
        </w:tc>
      </w:tr>
      <w:tr w:rsidR="004B77F6" w:rsidRPr="00694ACA" w14:paraId="228B5376" w14:textId="77777777" w:rsidTr="0068182E">
        <w:trPr>
          <w:gridAfter w:val="1"/>
          <w:wAfter w:w="6" w:type="dxa"/>
        </w:trPr>
        <w:tc>
          <w:tcPr>
            <w:tcW w:w="1555" w:type="dxa"/>
            <w:shd w:val="clear" w:color="auto" w:fill="F2F2F2" w:themeFill="background1" w:themeFillShade="F2"/>
          </w:tcPr>
          <w:p w14:paraId="0EC9058E" w14:textId="77777777" w:rsidR="004B77F6" w:rsidRPr="00694ACA" w:rsidRDefault="004B77F6" w:rsidP="00F221C0">
            <w:pPr>
              <w:rPr>
                <w:rFonts w:ascii="Lato" w:hAnsi="Lato" w:cs="Arial"/>
                <w:color w:val="407C9B"/>
                <w:szCs w:val="20"/>
                <w:lang w:val="ru-RU"/>
              </w:rPr>
            </w:pPr>
            <w:r w:rsidRPr="00694ACA">
              <w:rPr>
                <w:rFonts w:ascii="Lato" w:hAnsi="Lato"/>
                <w:color w:val="407C9B"/>
                <w:sz w:val="18"/>
                <w:szCs w:val="22"/>
                <w:lang w:val="ru-RU"/>
              </w:rPr>
              <w:t>ЭСКАТО</w:t>
            </w:r>
            <w:r w:rsidRPr="00694ACA">
              <w:rPr>
                <w:rStyle w:val="FootnoteReference"/>
                <w:rFonts w:cs="Arial"/>
                <w:color w:val="407C9B"/>
                <w:szCs w:val="20"/>
                <w:lang w:val="ru-RU"/>
              </w:rPr>
              <w:footnoteReference w:id="243"/>
            </w:r>
          </w:p>
        </w:tc>
        <w:tc>
          <w:tcPr>
            <w:tcW w:w="828" w:type="dxa"/>
            <w:shd w:val="clear" w:color="auto" w:fill="F2F2F2" w:themeFill="background1" w:themeFillShade="F2"/>
          </w:tcPr>
          <w:p w14:paraId="50E6E2D7" w14:textId="77777777" w:rsidR="004B77F6" w:rsidRPr="00694ACA" w:rsidRDefault="004B77F6" w:rsidP="00F221C0">
            <w:pPr>
              <w:jc w:val="center"/>
              <w:rPr>
                <w:rFonts w:ascii="Lato" w:hAnsi="Lato" w:cs="Arial"/>
                <w:color w:val="407C9B"/>
                <w:sz w:val="18"/>
                <w:szCs w:val="18"/>
                <w:lang w:val="ru-RU"/>
              </w:rPr>
            </w:pPr>
          </w:p>
        </w:tc>
        <w:tc>
          <w:tcPr>
            <w:tcW w:w="828" w:type="dxa"/>
            <w:shd w:val="clear" w:color="auto" w:fill="F2F2F2" w:themeFill="background1" w:themeFillShade="F2"/>
          </w:tcPr>
          <w:p w14:paraId="44992C2B" w14:textId="77777777" w:rsidR="004B77F6" w:rsidRPr="00694ACA" w:rsidRDefault="004B77F6" w:rsidP="00F221C0">
            <w:pPr>
              <w:jc w:val="center"/>
              <w:rPr>
                <w:rFonts w:ascii="Lato" w:hAnsi="Lato" w:cs="Arial"/>
                <w:color w:val="407C9B"/>
                <w:sz w:val="18"/>
                <w:szCs w:val="18"/>
                <w:lang w:val="ru-RU"/>
              </w:rPr>
            </w:pPr>
          </w:p>
        </w:tc>
        <w:tc>
          <w:tcPr>
            <w:tcW w:w="829" w:type="dxa"/>
            <w:shd w:val="clear" w:color="auto" w:fill="F2F2F2" w:themeFill="background1" w:themeFillShade="F2"/>
          </w:tcPr>
          <w:p w14:paraId="43405433" w14:textId="77777777" w:rsidR="004B77F6" w:rsidRPr="00694ACA" w:rsidRDefault="004B77F6" w:rsidP="00F221C0">
            <w:pPr>
              <w:jc w:val="center"/>
              <w:rPr>
                <w:rFonts w:ascii="Lato" w:hAnsi="Lato" w:cs="Arial"/>
                <w:color w:val="407C9B"/>
                <w:sz w:val="18"/>
                <w:szCs w:val="18"/>
                <w:lang w:val="ru-RU"/>
              </w:rPr>
            </w:pPr>
          </w:p>
        </w:tc>
        <w:tc>
          <w:tcPr>
            <w:tcW w:w="828" w:type="dxa"/>
            <w:shd w:val="clear" w:color="auto" w:fill="F2F2F2" w:themeFill="background1" w:themeFillShade="F2"/>
          </w:tcPr>
          <w:p w14:paraId="15EAF58E" w14:textId="77777777" w:rsidR="004B77F6" w:rsidRPr="00694ACA" w:rsidRDefault="004B77F6" w:rsidP="00F221C0">
            <w:pPr>
              <w:jc w:val="center"/>
              <w:rPr>
                <w:rFonts w:ascii="Lato" w:hAnsi="Lato" w:cs="Arial"/>
                <w:color w:val="407C9B"/>
                <w:sz w:val="18"/>
                <w:szCs w:val="18"/>
                <w:lang w:val="ru-RU"/>
              </w:rPr>
            </w:pPr>
            <w:r w:rsidRPr="00694ACA">
              <w:rPr>
                <w:rFonts w:ascii="Lato" w:hAnsi="Lato"/>
                <w:color w:val="407C9B"/>
                <w:sz w:val="18"/>
                <w:szCs w:val="18"/>
                <w:lang w:val="ru-RU"/>
              </w:rPr>
              <w:t>P</w:t>
            </w:r>
          </w:p>
        </w:tc>
        <w:tc>
          <w:tcPr>
            <w:tcW w:w="828" w:type="dxa"/>
            <w:shd w:val="clear" w:color="auto" w:fill="F2F2F2" w:themeFill="background1" w:themeFillShade="F2"/>
          </w:tcPr>
          <w:p w14:paraId="71DB17EF" w14:textId="77777777" w:rsidR="004B77F6" w:rsidRPr="00694ACA" w:rsidRDefault="004B77F6" w:rsidP="00F221C0">
            <w:pPr>
              <w:jc w:val="center"/>
              <w:rPr>
                <w:rFonts w:ascii="Lato" w:hAnsi="Lato" w:cs="Arial"/>
                <w:color w:val="407C9B"/>
                <w:sz w:val="18"/>
                <w:szCs w:val="18"/>
                <w:lang w:val="ru-RU"/>
              </w:rPr>
            </w:pPr>
            <w:r w:rsidRPr="00694ACA">
              <w:rPr>
                <w:rFonts w:ascii="Lato" w:hAnsi="Lato"/>
                <w:color w:val="407C9B"/>
                <w:sz w:val="18"/>
                <w:szCs w:val="18"/>
                <w:lang w:val="ru-RU"/>
              </w:rPr>
              <w:t>P</w:t>
            </w:r>
          </w:p>
        </w:tc>
        <w:tc>
          <w:tcPr>
            <w:tcW w:w="829" w:type="dxa"/>
            <w:shd w:val="clear" w:color="auto" w:fill="F2F2F2" w:themeFill="background1" w:themeFillShade="F2"/>
          </w:tcPr>
          <w:p w14:paraId="7D32135F" w14:textId="77777777" w:rsidR="004B77F6" w:rsidRPr="00694ACA" w:rsidRDefault="004B77F6" w:rsidP="00F221C0">
            <w:pPr>
              <w:jc w:val="center"/>
              <w:rPr>
                <w:rFonts w:ascii="Lato" w:hAnsi="Lato" w:cs="Arial"/>
                <w:color w:val="407C9B"/>
                <w:sz w:val="18"/>
                <w:szCs w:val="18"/>
                <w:lang w:val="ru-RU"/>
              </w:rPr>
            </w:pPr>
          </w:p>
        </w:tc>
        <w:tc>
          <w:tcPr>
            <w:tcW w:w="828" w:type="dxa"/>
            <w:shd w:val="clear" w:color="auto" w:fill="F2F2F2" w:themeFill="background1" w:themeFillShade="F2"/>
          </w:tcPr>
          <w:p w14:paraId="051E24EB" w14:textId="77777777" w:rsidR="004B77F6" w:rsidRPr="00694ACA" w:rsidRDefault="004B77F6" w:rsidP="00F221C0">
            <w:pPr>
              <w:jc w:val="center"/>
              <w:rPr>
                <w:rFonts w:ascii="Lato" w:hAnsi="Lato" w:cs="Arial"/>
                <w:color w:val="407C9B"/>
                <w:sz w:val="18"/>
                <w:szCs w:val="18"/>
                <w:lang w:val="ru-RU"/>
              </w:rPr>
            </w:pPr>
          </w:p>
        </w:tc>
        <w:tc>
          <w:tcPr>
            <w:tcW w:w="828" w:type="dxa"/>
            <w:shd w:val="clear" w:color="auto" w:fill="F2F2F2" w:themeFill="background1" w:themeFillShade="F2"/>
          </w:tcPr>
          <w:p w14:paraId="707AF328" w14:textId="77777777" w:rsidR="004B77F6" w:rsidRPr="00694ACA" w:rsidRDefault="004B77F6" w:rsidP="00F221C0">
            <w:pPr>
              <w:jc w:val="center"/>
              <w:rPr>
                <w:rFonts w:ascii="Lato" w:hAnsi="Lato" w:cs="Arial"/>
                <w:color w:val="407C9B"/>
                <w:sz w:val="18"/>
                <w:szCs w:val="22"/>
                <w:lang w:val="ru-RU"/>
              </w:rPr>
            </w:pPr>
            <w:r w:rsidRPr="00694ACA">
              <w:rPr>
                <w:rFonts w:ascii="Lato" w:hAnsi="Lato"/>
                <w:color w:val="407C9B"/>
                <w:sz w:val="18"/>
                <w:szCs w:val="22"/>
                <w:lang w:val="ru-RU"/>
              </w:rPr>
              <w:t>P</w:t>
            </w:r>
          </w:p>
        </w:tc>
        <w:tc>
          <w:tcPr>
            <w:tcW w:w="829" w:type="dxa"/>
            <w:shd w:val="clear" w:color="auto" w:fill="F2F2F2" w:themeFill="background1" w:themeFillShade="F2"/>
          </w:tcPr>
          <w:p w14:paraId="37CF30AE" w14:textId="77777777" w:rsidR="004B77F6" w:rsidRPr="00694ACA" w:rsidRDefault="004B77F6" w:rsidP="00F221C0">
            <w:pPr>
              <w:jc w:val="center"/>
              <w:rPr>
                <w:rFonts w:ascii="Lato" w:hAnsi="Lato" w:cs="Arial"/>
                <w:color w:val="407C9B"/>
                <w:sz w:val="18"/>
                <w:szCs w:val="22"/>
                <w:lang w:val="ru-RU"/>
              </w:rPr>
            </w:pPr>
          </w:p>
        </w:tc>
      </w:tr>
      <w:tr w:rsidR="004B77F6" w:rsidRPr="00694ACA" w14:paraId="295CEAD7" w14:textId="77777777" w:rsidTr="0068182E">
        <w:trPr>
          <w:gridAfter w:val="1"/>
          <w:wAfter w:w="6" w:type="dxa"/>
        </w:trPr>
        <w:tc>
          <w:tcPr>
            <w:tcW w:w="1555" w:type="dxa"/>
            <w:shd w:val="clear" w:color="auto" w:fill="F2F2F2" w:themeFill="background1" w:themeFillShade="F2"/>
          </w:tcPr>
          <w:p w14:paraId="560D9DF2" w14:textId="4738401A" w:rsidR="004B77F6" w:rsidRPr="00694ACA" w:rsidRDefault="00A50257" w:rsidP="00F221C0">
            <w:pPr>
              <w:rPr>
                <w:rFonts w:ascii="Lato" w:hAnsi="Lato" w:cs="Arial"/>
                <w:color w:val="407C9B"/>
                <w:szCs w:val="20"/>
                <w:lang w:val="ru-RU"/>
              </w:rPr>
            </w:pPr>
            <w:r w:rsidRPr="00694ACA">
              <w:rPr>
                <w:rFonts w:ascii="Lato" w:hAnsi="Lato"/>
                <w:color w:val="407C9B"/>
                <w:sz w:val="18"/>
                <w:szCs w:val="22"/>
                <w:lang w:val="ru-RU"/>
              </w:rPr>
              <w:t xml:space="preserve">ГС </w:t>
            </w:r>
            <w:r w:rsidR="004B77F6" w:rsidRPr="00694ACA">
              <w:rPr>
                <w:rFonts w:ascii="Lato" w:hAnsi="Lato"/>
                <w:color w:val="407C9B"/>
                <w:sz w:val="18"/>
                <w:szCs w:val="22"/>
                <w:lang w:val="ru-RU"/>
              </w:rPr>
              <w:t>ООН</w:t>
            </w:r>
          </w:p>
        </w:tc>
        <w:tc>
          <w:tcPr>
            <w:tcW w:w="828" w:type="dxa"/>
            <w:shd w:val="clear" w:color="auto" w:fill="F2F2F2" w:themeFill="background1" w:themeFillShade="F2"/>
          </w:tcPr>
          <w:p w14:paraId="63714313" w14:textId="77777777" w:rsidR="004B77F6" w:rsidRPr="00694ACA" w:rsidRDefault="004B77F6" w:rsidP="00F221C0">
            <w:pPr>
              <w:jc w:val="center"/>
              <w:rPr>
                <w:rFonts w:ascii="Lato" w:hAnsi="Lato" w:cs="Arial"/>
                <w:color w:val="407C9B"/>
                <w:sz w:val="18"/>
                <w:szCs w:val="18"/>
                <w:lang w:val="ru-RU"/>
              </w:rPr>
            </w:pPr>
          </w:p>
        </w:tc>
        <w:tc>
          <w:tcPr>
            <w:tcW w:w="828" w:type="dxa"/>
            <w:shd w:val="clear" w:color="auto" w:fill="F2F2F2" w:themeFill="background1" w:themeFillShade="F2"/>
          </w:tcPr>
          <w:p w14:paraId="0B271AE7" w14:textId="77777777" w:rsidR="004B77F6" w:rsidRPr="00694ACA" w:rsidRDefault="004B77F6" w:rsidP="00F221C0">
            <w:pPr>
              <w:jc w:val="center"/>
              <w:rPr>
                <w:rFonts w:ascii="Lato" w:hAnsi="Lato" w:cs="Arial"/>
                <w:color w:val="407C9B"/>
                <w:sz w:val="18"/>
                <w:szCs w:val="18"/>
                <w:lang w:val="ru-RU"/>
              </w:rPr>
            </w:pPr>
          </w:p>
        </w:tc>
        <w:tc>
          <w:tcPr>
            <w:tcW w:w="829" w:type="dxa"/>
            <w:shd w:val="clear" w:color="auto" w:fill="F2F2F2" w:themeFill="background1" w:themeFillShade="F2"/>
          </w:tcPr>
          <w:p w14:paraId="763FD214" w14:textId="77777777" w:rsidR="004B77F6" w:rsidRPr="00694ACA" w:rsidRDefault="004B77F6" w:rsidP="00F221C0">
            <w:pPr>
              <w:jc w:val="center"/>
              <w:rPr>
                <w:rFonts w:ascii="Lato" w:hAnsi="Lato" w:cs="Arial"/>
                <w:color w:val="407C9B"/>
                <w:sz w:val="18"/>
                <w:szCs w:val="18"/>
                <w:lang w:val="ru-RU"/>
              </w:rPr>
            </w:pPr>
          </w:p>
        </w:tc>
        <w:tc>
          <w:tcPr>
            <w:tcW w:w="828" w:type="dxa"/>
            <w:shd w:val="clear" w:color="auto" w:fill="F2F2F2" w:themeFill="background1" w:themeFillShade="F2"/>
          </w:tcPr>
          <w:p w14:paraId="096B3205" w14:textId="77777777" w:rsidR="004B77F6" w:rsidRPr="00694ACA" w:rsidRDefault="004B77F6" w:rsidP="00F221C0">
            <w:pPr>
              <w:jc w:val="center"/>
              <w:rPr>
                <w:rFonts w:ascii="Lato" w:hAnsi="Lato" w:cs="Arial"/>
                <w:color w:val="407C9B"/>
                <w:sz w:val="18"/>
                <w:szCs w:val="18"/>
                <w:lang w:val="ru-RU"/>
              </w:rPr>
            </w:pPr>
          </w:p>
        </w:tc>
        <w:tc>
          <w:tcPr>
            <w:tcW w:w="828" w:type="dxa"/>
            <w:shd w:val="clear" w:color="auto" w:fill="F2F2F2" w:themeFill="background1" w:themeFillShade="F2"/>
          </w:tcPr>
          <w:p w14:paraId="706A9AE4" w14:textId="77777777" w:rsidR="004B77F6" w:rsidRPr="00694ACA" w:rsidRDefault="004B77F6" w:rsidP="00F221C0">
            <w:pPr>
              <w:jc w:val="center"/>
              <w:rPr>
                <w:rFonts w:ascii="Lato" w:hAnsi="Lato" w:cs="Arial"/>
                <w:color w:val="407C9B"/>
                <w:sz w:val="18"/>
                <w:szCs w:val="18"/>
                <w:lang w:val="ru-RU"/>
              </w:rPr>
            </w:pPr>
          </w:p>
        </w:tc>
        <w:tc>
          <w:tcPr>
            <w:tcW w:w="829" w:type="dxa"/>
            <w:shd w:val="clear" w:color="auto" w:fill="F2F2F2" w:themeFill="background1" w:themeFillShade="F2"/>
          </w:tcPr>
          <w:p w14:paraId="44C51C0E" w14:textId="77777777" w:rsidR="004B77F6" w:rsidRPr="00694ACA" w:rsidRDefault="004B77F6" w:rsidP="00F221C0">
            <w:pPr>
              <w:jc w:val="center"/>
              <w:rPr>
                <w:rFonts w:ascii="Lato" w:hAnsi="Lato" w:cs="Arial"/>
                <w:color w:val="407C9B"/>
                <w:sz w:val="18"/>
                <w:szCs w:val="18"/>
                <w:lang w:val="ru-RU"/>
              </w:rPr>
            </w:pPr>
          </w:p>
        </w:tc>
        <w:tc>
          <w:tcPr>
            <w:tcW w:w="828" w:type="dxa"/>
            <w:shd w:val="clear" w:color="auto" w:fill="F2F2F2" w:themeFill="background1" w:themeFillShade="F2"/>
          </w:tcPr>
          <w:p w14:paraId="58D22F68" w14:textId="77777777" w:rsidR="004B77F6" w:rsidRPr="00694ACA" w:rsidRDefault="004B77F6" w:rsidP="00F221C0">
            <w:pPr>
              <w:jc w:val="center"/>
              <w:rPr>
                <w:rFonts w:ascii="Lato" w:hAnsi="Lato" w:cs="Arial"/>
                <w:color w:val="407C9B"/>
                <w:sz w:val="18"/>
                <w:szCs w:val="18"/>
                <w:lang w:val="ru-RU"/>
              </w:rPr>
            </w:pPr>
          </w:p>
        </w:tc>
        <w:tc>
          <w:tcPr>
            <w:tcW w:w="828" w:type="dxa"/>
            <w:shd w:val="clear" w:color="auto" w:fill="F2F2F2" w:themeFill="background1" w:themeFillShade="F2"/>
          </w:tcPr>
          <w:p w14:paraId="12719F52" w14:textId="77777777" w:rsidR="004B77F6" w:rsidRPr="00694ACA" w:rsidRDefault="004B77F6" w:rsidP="00F221C0">
            <w:pPr>
              <w:jc w:val="center"/>
              <w:rPr>
                <w:rFonts w:ascii="Lato" w:hAnsi="Lato" w:cs="Arial"/>
                <w:color w:val="407C9B"/>
                <w:sz w:val="18"/>
                <w:szCs w:val="22"/>
                <w:lang w:val="ru-RU"/>
              </w:rPr>
            </w:pPr>
            <w:r w:rsidRPr="00694ACA">
              <w:rPr>
                <w:rFonts w:ascii="Lato" w:hAnsi="Lato"/>
                <w:color w:val="407C9B"/>
                <w:sz w:val="18"/>
                <w:szCs w:val="22"/>
                <w:lang w:val="ru-RU"/>
              </w:rPr>
              <w:t>P</w:t>
            </w:r>
          </w:p>
        </w:tc>
        <w:tc>
          <w:tcPr>
            <w:tcW w:w="829" w:type="dxa"/>
            <w:shd w:val="clear" w:color="auto" w:fill="F2F2F2" w:themeFill="background1" w:themeFillShade="F2"/>
          </w:tcPr>
          <w:p w14:paraId="2BF9CDE7" w14:textId="77777777" w:rsidR="004B77F6" w:rsidRPr="00694ACA" w:rsidRDefault="004B77F6" w:rsidP="00F221C0">
            <w:pPr>
              <w:jc w:val="center"/>
              <w:rPr>
                <w:rFonts w:ascii="Lato" w:hAnsi="Lato" w:cs="Arial"/>
                <w:color w:val="407C9B"/>
                <w:sz w:val="18"/>
                <w:szCs w:val="22"/>
                <w:lang w:val="ru-RU"/>
              </w:rPr>
            </w:pPr>
          </w:p>
        </w:tc>
      </w:tr>
      <w:tr w:rsidR="004B77F6" w:rsidRPr="00694ACA" w14:paraId="4F462920" w14:textId="77777777" w:rsidTr="0068182E">
        <w:trPr>
          <w:gridAfter w:val="1"/>
          <w:wAfter w:w="6" w:type="dxa"/>
        </w:trPr>
        <w:tc>
          <w:tcPr>
            <w:tcW w:w="1555" w:type="dxa"/>
            <w:shd w:val="clear" w:color="auto" w:fill="F2F2F2" w:themeFill="background1" w:themeFillShade="F2"/>
          </w:tcPr>
          <w:p w14:paraId="6CA9FE5D" w14:textId="77777777" w:rsidR="004B77F6" w:rsidRPr="00694ACA" w:rsidRDefault="004B77F6" w:rsidP="00F221C0">
            <w:pPr>
              <w:rPr>
                <w:rFonts w:ascii="Lato" w:hAnsi="Lato" w:cs="Arial"/>
                <w:color w:val="407C9B"/>
                <w:szCs w:val="20"/>
                <w:lang w:val="ru-RU"/>
              </w:rPr>
            </w:pPr>
            <w:r w:rsidRPr="00694ACA">
              <w:rPr>
                <w:rFonts w:ascii="Lato" w:hAnsi="Lato"/>
                <w:color w:val="407C9B"/>
                <w:sz w:val="18"/>
                <w:szCs w:val="22"/>
                <w:lang w:val="ru-RU"/>
              </w:rPr>
              <w:t>УВКБ ООН</w:t>
            </w:r>
            <w:r w:rsidRPr="00694ACA">
              <w:rPr>
                <w:rStyle w:val="FootnoteReference"/>
                <w:rFonts w:cs="Arial"/>
                <w:color w:val="407C9B"/>
                <w:szCs w:val="20"/>
                <w:lang w:val="ru-RU"/>
              </w:rPr>
              <w:footnoteReference w:id="244"/>
            </w:r>
          </w:p>
        </w:tc>
        <w:tc>
          <w:tcPr>
            <w:tcW w:w="828" w:type="dxa"/>
            <w:shd w:val="clear" w:color="auto" w:fill="F2F2F2" w:themeFill="background1" w:themeFillShade="F2"/>
          </w:tcPr>
          <w:p w14:paraId="509021D5" w14:textId="77777777" w:rsidR="004B77F6" w:rsidRPr="00694ACA" w:rsidRDefault="004B77F6" w:rsidP="00F221C0">
            <w:pPr>
              <w:jc w:val="center"/>
              <w:rPr>
                <w:rFonts w:ascii="Lato" w:hAnsi="Lato" w:cs="Arial"/>
                <w:color w:val="407C9B"/>
                <w:sz w:val="18"/>
                <w:szCs w:val="18"/>
                <w:lang w:val="ru-RU"/>
              </w:rPr>
            </w:pPr>
            <w:r w:rsidRPr="00694ACA">
              <w:rPr>
                <w:rFonts w:ascii="Lato" w:hAnsi="Lato"/>
                <w:color w:val="407C9B"/>
                <w:sz w:val="18"/>
                <w:szCs w:val="18"/>
                <w:lang w:val="ru-RU"/>
              </w:rPr>
              <w:t>P</w:t>
            </w:r>
          </w:p>
        </w:tc>
        <w:tc>
          <w:tcPr>
            <w:tcW w:w="828" w:type="dxa"/>
            <w:shd w:val="clear" w:color="auto" w:fill="F2F2F2" w:themeFill="background1" w:themeFillShade="F2"/>
          </w:tcPr>
          <w:p w14:paraId="446EBF85" w14:textId="77777777" w:rsidR="004B77F6" w:rsidRPr="00694ACA" w:rsidRDefault="004B77F6" w:rsidP="00F221C0">
            <w:pPr>
              <w:jc w:val="center"/>
              <w:rPr>
                <w:rFonts w:ascii="Lato" w:hAnsi="Lato" w:cs="Arial"/>
                <w:color w:val="407C9B"/>
                <w:sz w:val="18"/>
                <w:szCs w:val="18"/>
                <w:lang w:val="ru-RU"/>
              </w:rPr>
            </w:pPr>
            <w:r w:rsidRPr="00694ACA">
              <w:rPr>
                <w:rFonts w:ascii="Lato" w:hAnsi="Lato"/>
                <w:color w:val="407C9B"/>
                <w:sz w:val="18"/>
                <w:szCs w:val="18"/>
                <w:lang w:val="ru-RU"/>
              </w:rPr>
              <w:t>P</w:t>
            </w:r>
          </w:p>
        </w:tc>
        <w:tc>
          <w:tcPr>
            <w:tcW w:w="829" w:type="dxa"/>
            <w:shd w:val="clear" w:color="auto" w:fill="F2F2F2" w:themeFill="background1" w:themeFillShade="F2"/>
          </w:tcPr>
          <w:p w14:paraId="67B634AB" w14:textId="77777777" w:rsidR="004B77F6" w:rsidRPr="00694ACA" w:rsidRDefault="004B77F6" w:rsidP="00F221C0">
            <w:pPr>
              <w:jc w:val="center"/>
              <w:rPr>
                <w:rFonts w:ascii="Lato" w:hAnsi="Lato" w:cs="Arial"/>
                <w:color w:val="407C9B"/>
                <w:sz w:val="18"/>
                <w:szCs w:val="18"/>
                <w:lang w:val="ru-RU"/>
              </w:rPr>
            </w:pPr>
            <w:r w:rsidRPr="00694ACA">
              <w:rPr>
                <w:rFonts w:ascii="Lato" w:hAnsi="Lato"/>
                <w:color w:val="407C9B"/>
                <w:sz w:val="18"/>
                <w:szCs w:val="18"/>
                <w:lang w:val="ru-RU"/>
              </w:rPr>
              <w:t>P</w:t>
            </w:r>
          </w:p>
        </w:tc>
        <w:tc>
          <w:tcPr>
            <w:tcW w:w="828" w:type="dxa"/>
            <w:shd w:val="clear" w:color="auto" w:fill="F2F2F2" w:themeFill="background1" w:themeFillShade="F2"/>
          </w:tcPr>
          <w:p w14:paraId="540F7EC7" w14:textId="77777777" w:rsidR="004B77F6" w:rsidRPr="00694ACA" w:rsidRDefault="004B77F6" w:rsidP="00F221C0">
            <w:pPr>
              <w:jc w:val="center"/>
              <w:rPr>
                <w:rFonts w:ascii="Lato" w:hAnsi="Lato" w:cs="Arial"/>
                <w:color w:val="407C9B"/>
                <w:sz w:val="18"/>
                <w:szCs w:val="18"/>
                <w:lang w:val="ru-RU"/>
              </w:rPr>
            </w:pPr>
          </w:p>
        </w:tc>
        <w:tc>
          <w:tcPr>
            <w:tcW w:w="828" w:type="dxa"/>
            <w:shd w:val="clear" w:color="auto" w:fill="F2F2F2" w:themeFill="background1" w:themeFillShade="F2"/>
          </w:tcPr>
          <w:p w14:paraId="717F7F64" w14:textId="77777777" w:rsidR="004B77F6" w:rsidRPr="00694ACA" w:rsidRDefault="004B77F6" w:rsidP="00F221C0">
            <w:pPr>
              <w:jc w:val="center"/>
              <w:rPr>
                <w:rFonts w:ascii="Lato" w:hAnsi="Lato" w:cs="Arial"/>
                <w:color w:val="407C9B"/>
                <w:sz w:val="18"/>
                <w:szCs w:val="18"/>
                <w:lang w:val="ru-RU"/>
              </w:rPr>
            </w:pPr>
          </w:p>
        </w:tc>
        <w:tc>
          <w:tcPr>
            <w:tcW w:w="829" w:type="dxa"/>
            <w:shd w:val="clear" w:color="auto" w:fill="F2F2F2" w:themeFill="background1" w:themeFillShade="F2"/>
          </w:tcPr>
          <w:p w14:paraId="43471D22" w14:textId="77777777" w:rsidR="004B77F6" w:rsidRPr="00694ACA" w:rsidRDefault="004B77F6" w:rsidP="00F221C0">
            <w:pPr>
              <w:jc w:val="center"/>
              <w:rPr>
                <w:rFonts w:ascii="Lato" w:hAnsi="Lato" w:cs="Arial"/>
                <w:color w:val="407C9B"/>
                <w:sz w:val="18"/>
                <w:szCs w:val="18"/>
                <w:lang w:val="ru-RU"/>
              </w:rPr>
            </w:pPr>
          </w:p>
        </w:tc>
        <w:tc>
          <w:tcPr>
            <w:tcW w:w="828" w:type="dxa"/>
            <w:shd w:val="clear" w:color="auto" w:fill="F2F2F2" w:themeFill="background1" w:themeFillShade="F2"/>
          </w:tcPr>
          <w:p w14:paraId="1A357A4B" w14:textId="77777777" w:rsidR="004B77F6" w:rsidRPr="00694ACA" w:rsidRDefault="004B77F6" w:rsidP="00F221C0">
            <w:pPr>
              <w:jc w:val="center"/>
              <w:rPr>
                <w:rFonts w:ascii="Lato" w:hAnsi="Lato" w:cs="Arial"/>
                <w:color w:val="407C9B"/>
                <w:sz w:val="18"/>
                <w:szCs w:val="18"/>
                <w:lang w:val="ru-RU"/>
              </w:rPr>
            </w:pPr>
          </w:p>
        </w:tc>
        <w:tc>
          <w:tcPr>
            <w:tcW w:w="828" w:type="dxa"/>
            <w:shd w:val="clear" w:color="auto" w:fill="F2F2F2" w:themeFill="background1" w:themeFillShade="F2"/>
          </w:tcPr>
          <w:p w14:paraId="10A15A07" w14:textId="77777777" w:rsidR="004B77F6" w:rsidRPr="00694ACA" w:rsidRDefault="004B77F6" w:rsidP="00F221C0">
            <w:pPr>
              <w:jc w:val="center"/>
              <w:rPr>
                <w:rFonts w:ascii="Lato" w:hAnsi="Lato" w:cs="Arial"/>
                <w:color w:val="407C9B"/>
                <w:sz w:val="18"/>
                <w:szCs w:val="22"/>
                <w:lang w:val="ru-RU"/>
              </w:rPr>
            </w:pPr>
            <w:r w:rsidRPr="00694ACA">
              <w:rPr>
                <w:rFonts w:ascii="Lato" w:hAnsi="Lato"/>
                <w:color w:val="407C9B"/>
                <w:sz w:val="18"/>
                <w:szCs w:val="22"/>
                <w:lang w:val="ru-RU"/>
              </w:rPr>
              <w:t>P</w:t>
            </w:r>
          </w:p>
        </w:tc>
        <w:tc>
          <w:tcPr>
            <w:tcW w:w="829" w:type="dxa"/>
            <w:shd w:val="clear" w:color="auto" w:fill="F2F2F2" w:themeFill="background1" w:themeFillShade="F2"/>
          </w:tcPr>
          <w:p w14:paraId="19077CA9" w14:textId="77777777" w:rsidR="004B77F6" w:rsidRPr="00694ACA" w:rsidRDefault="004B77F6" w:rsidP="00F221C0">
            <w:pPr>
              <w:jc w:val="center"/>
              <w:rPr>
                <w:rFonts w:ascii="Lato" w:hAnsi="Lato" w:cs="Arial"/>
                <w:color w:val="407C9B"/>
                <w:sz w:val="18"/>
                <w:szCs w:val="22"/>
                <w:lang w:val="ru-RU"/>
              </w:rPr>
            </w:pPr>
          </w:p>
        </w:tc>
      </w:tr>
      <w:tr w:rsidR="004B77F6" w:rsidRPr="00694ACA" w14:paraId="455604B7" w14:textId="77777777" w:rsidTr="0068182E">
        <w:trPr>
          <w:gridAfter w:val="1"/>
          <w:wAfter w:w="6" w:type="dxa"/>
        </w:trPr>
        <w:tc>
          <w:tcPr>
            <w:tcW w:w="1555" w:type="dxa"/>
            <w:shd w:val="clear" w:color="auto" w:fill="F2F2F2" w:themeFill="background1" w:themeFillShade="F2"/>
          </w:tcPr>
          <w:p w14:paraId="51A48046" w14:textId="77777777" w:rsidR="004B77F6" w:rsidRPr="00694ACA" w:rsidRDefault="004B77F6" w:rsidP="00F221C0">
            <w:pPr>
              <w:rPr>
                <w:rFonts w:ascii="Lato" w:hAnsi="Lato" w:cs="Arial"/>
                <w:color w:val="407C9B"/>
                <w:szCs w:val="20"/>
                <w:lang w:val="ru-RU"/>
              </w:rPr>
            </w:pPr>
            <w:r w:rsidRPr="00694ACA">
              <w:rPr>
                <w:rFonts w:ascii="Lato" w:hAnsi="Lato"/>
                <w:color w:val="407C9B"/>
                <w:sz w:val="18"/>
                <w:szCs w:val="22"/>
                <w:lang w:val="ru-RU"/>
              </w:rPr>
              <w:t>ЮНИСЕФ</w:t>
            </w:r>
            <w:r w:rsidRPr="00694ACA">
              <w:rPr>
                <w:rStyle w:val="FootnoteReference"/>
                <w:rFonts w:cs="Arial"/>
                <w:color w:val="407C9B"/>
                <w:szCs w:val="20"/>
                <w:lang w:val="ru-RU"/>
              </w:rPr>
              <w:footnoteReference w:id="245"/>
            </w:r>
          </w:p>
        </w:tc>
        <w:tc>
          <w:tcPr>
            <w:tcW w:w="828" w:type="dxa"/>
            <w:shd w:val="clear" w:color="auto" w:fill="F2F2F2" w:themeFill="background1" w:themeFillShade="F2"/>
          </w:tcPr>
          <w:p w14:paraId="2ED9DA7E" w14:textId="77777777" w:rsidR="004B77F6" w:rsidRPr="00694ACA" w:rsidRDefault="004B77F6" w:rsidP="00F221C0">
            <w:pPr>
              <w:jc w:val="center"/>
              <w:rPr>
                <w:rFonts w:ascii="Lato" w:hAnsi="Lato" w:cs="Arial"/>
                <w:color w:val="407C9B"/>
                <w:sz w:val="18"/>
                <w:szCs w:val="18"/>
                <w:lang w:val="ru-RU"/>
              </w:rPr>
            </w:pPr>
          </w:p>
        </w:tc>
        <w:tc>
          <w:tcPr>
            <w:tcW w:w="828" w:type="dxa"/>
            <w:shd w:val="clear" w:color="auto" w:fill="F2F2F2" w:themeFill="background1" w:themeFillShade="F2"/>
          </w:tcPr>
          <w:p w14:paraId="769FDE2D" w14:textId="77777777" w:rsidR="004B77F6" w:rsidRPr="00694ACA" w:rsidRDefault="004B77F6" w:rsidP="00F221C0">
            <w:pPr>
              <w:jc w:val="center"/>
              <w:rPr>
                <w:rFonts w:ascii="Lato" w:hAnsi="Lato" w:cs="Arial"/>
                <w:color w:val="407C9B"/>
                <w:sz w:val="18"/>
                <w:szCs w:val="18"/>
                <w:lang w:val="ru-RU"/>
              </w:rPr>
            </w:pPr>
            <w:r w:rsidRPr="00694ACA">
              <w:rPr>
                <w:rFonts w:ascii="Lato" w:hAnsi="Lato"/>
                <w:color w:val="407C9B"/>
                <w:sz w:val="18"/>
                <w:szCs w:val="18"/>
                <w:lang w:val="ru-RU"/>
              </w:rPr>
              <w:t>33</w:t>
            </w:r>
          </w:p>
        </w:tc>
        <w:tc>
          <w:tcPr>
            <w:tcW w:w="829" w:type="dxa"/>
            <w:shd w:val="clear" w:color="auto" w:fill="F2F2F2" w:themeFill="background1" w:themeFillShade="F2"/>
          </w:tcPr>
          <w:p w14:paraId="6E1B4C58" w14:textId="77777777" w:rsidR="004B77F6" w:rsidRPr="00694ACA" w:rsidRDefault="004B77F6" w:rsidP="00F221C0">
            <w:pPr>
              <w:jc w:val="center"/>
              <w:rPr>
                <w:rFonts w:ascii="Lato" w:hAnsi="Lato" w:cs="Arial"/>
                <w:color w:val="407C9B"/>
                <w:sz w:val="18"/>
                <w:szCs w:val="18"/>
                <w:lang w:val="ru-RU"/>
              </w:rPr>
            </w:pPr>
            <w:r w:rsidRPr="00694ACA">
              <w:rPr>
                <w:rFonts w:ascii="Lato" w:hAnsi="Lato"/>
                <w:color w:val="407C9B"/>
                <w:sz w:val="18"/>
                <w:szCs w:val="18"/>
                <w:lang w:val="ru-RU"/>
              </w:rPr>
              <w:t>18</w:t>
            </w:r>
          </w:p>
        </w:tc>
        <w:tc>
          <w:tcPr>
            <w:tcW w:w="828" w:type="dxa"/>
            <w:shd w:val="clear" w:color="auto" w:fill="F2F2F2" w:themeFill="background1" w:themeFillShade="F2"/>
          </w:tcPr>
          <w:p w14:paraId="284CD0AB" w14:textId="77777777" w:rsidR="004B77F6" w:rsidRPr="00694ACA" w:rsidRDefault="004B77F6" w:rsidP="00F221C0">
            <w:pPr>
              <w:jc w:val="center"/>
              <w:rPr>
                <w:rFonts w:ascii="Lato" w:hAnsi="Lato" w:cs="Arial"/>
                <w:color w:val="407C9B"/>
                <w:sz w:val="18"/>
                <w:szCs w:val="18"/>
                <w:lang w:val="ru-RU"/>
              </w:rPr>
            </w:pPr>
            <w:r w:rsidRPr="00694ACA">
              <w:rPr>
                <w:rFonts w:ascii="Lato" w:hAnsi="Lato"/>
                <w:color w:val="407C9B"/>
                <w:sz w:val="18"/>
                <w:szCs w:val="18"/>
                <w:lang w:val="ru-RU"/>
              </w:rPr>
              <w:t>53</w:t>
            </w:r>
          </w:p>
        </w:tc>
        <w:tc>
          <w:tcPr>
            <w:tcW w:w="828" w:type="dxa"/>
            <w:shd w:val="clear" w:color="auto" w:fill="F2F2F2" w:themeFill="background1" w:themeFillShade="F2"/>
          </w:tcPr>
          <w:p w14:paraId="25EDFDF9" w14:textId="77777777" w:rsidR="004B77F6" w:rsidRPr="00694ACA" w:rsidRDefault="004B77F6" w:rsidP="00F221C0">
            <w:pPr>
              <w:jc w:val="center"/>
              <w:rPr>
                <w:rFonts w:ascii="Lato" w:hAnsi="Lato" w:cs="Arial"/>
                <w:color w:val="407C9B"/>
                <w:sz w:val="18"/>
                <w:szCs w:val="18"/>
                <w:lang w:val="ru-RU"/>
              </w:rPr>
            </w:pPr>
          </w:p>
        </w:tc>
        <w:tc>
          <w:tcPr>
            <w:tcW w:w="829" w:type="dxa"/>
            <w:shd w:val="clear" w:color="auto" w:fill="F2F2F2" w:themeFill="background1" w:themeFillShade="F2"/>
          </w:tcPr>
          <w:p w14:paraId="363508BB" w14:textId="77777777" w:rsidR="004B77F6" w:rsidRPr="00694ACA" w:rsidRDefault="004B77F6" w:rsidP="00F221C0">
            <w:pPr>
              <w:jc w:val="center"/>
              <w:rPr>
                <w:rFonts w:ascii="Lato" w:hAnsi="Lato" w:cs="Arial"/>
                <w:color w:val="407C9B"/>
                <w:sz w:val="18"/>
                <w:szCs w:val="18"/>
                <w:lang w:val="ru-RU"/>
              </w:rPr>
            </w:pPr>
          </w:p>
        </w:tc>
        <w:tc>
          <w:tcPr>
            <w:tcW w:w="828" w:type="dxa"/>
            <w:shd w:val="clear" w:color="auto" w:fill="F2F2F2" w:themeFill="background1" w:themeFillShade="F2"/>
          </w:tcPr>
          <w:p w14:paraId="2B9CCE85" w14:textId="77777777" w:rsidR="004B77F6" w:rsidRPr="00694ACA" w:rsidRDefault="004B77F6" w:rsidP="00F221C0">
            <w:pPr>
              <w:jc w:val="center"/>
              <w:rPr>
                <w:rFonts w:ascii="Lato" w:hAnsi="Lato" w:cs="Arial"/>
                <w:color w:val="407C9B"/>
                <w:sz w:val="18"/>
                <w:szCs w:val="18"/>
                <w:lang w:val="ru-RU"/>
              </w:rPr>
            </w:pPr>
            <w:r w:rsidRPr="00694ACA">
              <w:rPr>
                <w:rFonts w:ascii="Lato" w:hAnsi="Lato"/>
                <w:color w:val="407C9B"/>
                <w:sz w:val="18"/>
                <w:szCs w:val="18"/>
                <w:lang w:val="ru-RU"/>
              </w:rPr>
              <w:t>13</w:t>
            </w:r>
          </w:p>
        </w:tc>
        <w:tc>
          <w:tcPr>
            <w:tcW w:w="828" w:type="dxa"/>
            <w:shd w:val="clear" w:color="auto" w:fill="F2F2F2" w:themeFill="background1" w:themeFillShade="F2"/>
          </w:tcPr>
          <w:p w14:paraId="39AB7CF7" w14:textId="77777777" w:rsidR="004B77F6" w:rsidRPr="00694ACA" w:rsidRDefault="004B77F6" w:rsidP="00F221C0">
            <w:pPr>
              <w:jc w:val="center"/>
              <w:rPr>
                <w:rFonts w:ascii="Lato" w:hAnsi="Lato" w:cs="Arial"/>
                <w:color w:val="407C9B"/>
                <w:sz w:val="18"/>
                <w:szCs w:val="22"/>
                <w:lang w:val="ru-RU"/>
              </w:rPr>
            </w:pPr>
          </w:p>
        </w:tc>
        <w:tc>
          <w:tcPr>
            <w:tcW w:w="829" w:type="dxa"/>
            <w:shd w:val="clear" w:color="auto" w:fill="F2F2F2" w:themeFill="background1" w:themeFillShade="F2"/>
          </w:tcPr>
          <w:p w14:paraId="02E5CF80" w14:textId="77777777" w:rsidR="004B77F6" w:rsidRPr="00694ACA" w:rsidRDefault="004B77F6" w:rsidP="00F221C0">
            <w:pPr>
              <w:jc w:val="center"/>
              <w:rPr>
                <w:rFonts w:ascii="Lato" w:hAnsi="Lato" w:cs="Arial"/>
                <w:color w:val="407C9B"/>
                <w:sz w:val="18"/>
                <w:szCs w:val="22"/>
                <w:lang w:val="ru-RU"/>
              </w:rPr>
            </w:pPr>
          </w:p>
        </w:tc>
      </w:tr>
      <w:tr w:rsidR="004B77F6" w:rsidRPr="00694ACA" w14:paraId="01C4D197" w14:textId="77777777" w:rsidTr="0068182E">
        <w:trPr>
          <w:gridAfter w:val="1"/>
          <w:wAfter w:w="6" w:type="dxa"/>
        </w:trPr>
        <w:tc>
          <w:tcPr>
            <w:tcW w:w="1555" w:type="dxa"/>
            <w:shd w:val="clear" w:color="auto" w:fill="F2F2F2" w:themeFill="background1" w:themeFillShade="F2"/>
          </w:tcPr>
          <w:p w14:paraId="0FFFC890" w14:textId="77777777" w:rsidR="004B77F6" w:rsidRPr="00694ACA" w:rsidRDefault="004B77F6" w:rsidP="00F221C0">
            <w:pPr>
              <w:rPr>
                <w:rFonts w:ascii="Lato" w:hAnsi="Lato" w:cs="Arial"/>
                <w:color w:val="407C9B"/>
                <w:szCs w:val="20"/>
                <w:lang w:val="ru-RU"/>
              </w:rPr>
            </w:pPr>
            <w:r w:rsidRPr="00694ACA">
              <w:rPr>
                <w:rFonts w:ascii="Lato" w:hAnsi="Lato"/>
                <w:color w:val="407C9B"/>
                <w:sz w:val="18"/>
                <w:szCs w:val="22"/>
                <w:lang w:val="ru-RU"/>
              </w:rPr>
              <w:t>UNIN</w:t>
            </w:r>
            <w:r w:rsidRPr="00694ACA">
              <w:rPr>
                <w:rStyle w:val="FootnoteReference"/>
                <w:rFonts w:cs="Arial"/>
                <w:color w:val="407C9B"/>
                <w:szCs w:val="20"/>
                <w:lang w:val="ru-RU"/>
              </w:rPr>
              <w:footnoteReference w:id="246"/>
            </w:r>
          </w:p>
        </w:tc>
        <w:tc>
          <w:tcPr>
            <w:tcW w:w="828" w:type="dxa"/>
            <w:shd w:val="clear" w:color="auto" w:fill="F2F2F2" w:themeFill="background1" w:themeFillShade="F2"/>
          </w:tcPr>
          <w:p w14:paraId="62BDEBE4" w14:textId="77777777" w:rsidR="004B77F6" w:rsidRPr="00694ACA" w:rsidRDefault="004B77F6" w:rsidP="00F221C0">
            <w:pPr>
              <w:jc w:val="center"/>
              <w:rPr>
                <w:rFonts w:ascii="Lato" w:hAnsi="Lato" w:cs="Arial"/>
                <w:color w:val="407C9B"/>
                <w:sz w:val="18"/>
                <w:szCs w:val="18"/>
                <w:lang w:val="ru-RU"/>
              </w:rPr>
            </w:pPr>
          </w:p>
        </w:tc>
        <w:tc>
          <w:tcPr>
            <w:tcW w:w="828" w:type="dxa"/>
            <w:shd w:val="clear" w:color="auto" w:fill="F2F2F2" w:themeFill="background1" w:themeFillShade="F2"/>
          </w:tcPr>
          <w:p w14:paraId="2B0F70C8" w14:textId="77777777" w:rsidR="004B77F6" w:rsidRPr="00694ACA" w:rsidRDefault="004B77F6" w:rsidP="00F221C0">
            <w:pPr>
              <w:jc w:val="center"/>
              <w:rPr>
                <w:rFonts w:ascii="Lato" w:hAnsi="Lato" w:cs="Arial"/>
                <w:color w:val="407C9B"/>
                <w:sz w:val="18"/>
                <w:szCs w:val="18"/>
                <w:lang w:val="ru-RU"/>
              </w:rPr>
            </w:pPr>
            <w:r w:rsidRPr="00694ACA">
              <w:rPr>
                <w:rFonts w:ascii="Lato" w:hAnsi="Lato"/>
                <w:color w:val="407C9B"/>
                <w:sz w:val="18"/>
                <w:szCs w:val="18"/>
                <w:lang w:val="ru-RU"/>
              </w:rPr>
              <w:t>P</w:t>
            </w:r>
          </w:p>
        </w:tc>
        <w:tc>
          <w:tcPr>
            <w:tcW w:w="829" w:type="dxa"/>
            <w:shd w:val="clear" w:color="auto" w:fill="F2F2F2" w:themeFill="background1" w:themeFillShade="F2"/>
          </w:tcPr>
          <w:p w14:paraId="0A66722A" w14:textId="77777777" w:rsidR="004B77F6" w:rsidRPr="00694ACA" w:rsidRDefault="004B77F6" w:rsidP="00F221C0">
            <w:pPr>
              <w:jc w:val="center"/>
              <w:rPr>
                <w:rFonts w:ascii="Lato" w:hAnsi="Lato" w:cs="Arial"/>
                <w:color w:val="407C9B"/>
                <w:sz w:val="18"/>
                <w:szCs w:val="18"/>
                <w:lang w:val="ru-RU"/>
              </w:rPr>
            </w:pPr>
            <w:r w:rsidRPr="00694ACA">
              <w:rPr>
                <w:rFonts w:ascii="Lato" w:hAnsi="Lato"/>
                <w:color w:val="407C9B"/>
                <w:sz w:val="18"/>
                <w:szCs w:val="18"/>
                <w:lang w:val="ru-RU"/>
              </w:rPr>
              <w:t>P</w:t>
            </w:r>
          </w:p>
        </w:tc>
        <w:tc>
          <w:tcPr>
            <w:tcW w:w="828" w:type="dxa"/>
            <w:shd w:val="clear" w:color="auto" w:fill="F2F2F2" w:themeFill="background1" w:themeFillShade="F2"/>
          </w:tcPr>
          <w:p w14:paraId="17367001" w14:textId="77777777" w:rsidR="004B77F6" w:rsidRPr="00694ACA" w:rsidRDefault="004B77F6" w:rsidP="00F221C0">
            <w:pPr>
              <w:jc w:val="center"/>
              <w:rPr>
                <w:rFonts w:ascii="Lato" w:hAnsi="Lato" w:cs="Arial"/>
                <w:color w:val="407C9B"/>
                <w:sz w:val="18"/>
                <w:szCs w:val="18"/>
                <w:lang w:val="ru-RU"/>
              </w:rPr>
            </w:pPr>
          </w:p>
        </w:tc>
        <w:tc>
          <w:tcPr>
            <w:tcW w:w="828" w:type="dxa"/>
            <w:shd w:val="clear" w:color="auto" w:fill="F2F2F2" w:themeFill="background1" w:themeFillShade="F2"/>
          </w:tcPr>
          <w:p w14:paraId="1E73996D" w14:textId="77777777" w:rsidR="004B77F6" w:rsidRPr="00694ACA" w:rsidRDefault="004B77F6" w:rsidP="00F221C0">
            <w:pPr>
              <w:jc w:val="center"/>
              <w:rPr>
                <w:rFonts w:ascii="Lato" w:hAnsi="Lato" w:cs="Arial"/>
                <w:color w:val="407C9B"/>
                <w:sz w:val="18"/>
                <w:szCs w:val="18"/>
                <w:lang w:val="ru-RU"/>
              </w:rPr>
            </w:pPr>
          </w:p>
        </w:tc>
        <w:tc>
          <w:tcPr>
            <w:tcW w:w="829" w:type="dxa"/>
            <w:shd w:val="clear" w:color="auto" w:fill="F2F2F2" w:themeFill="background1" w:themeFillShade="F2"/>
          </w:tcPr>
          <w:p w14:paraId="53D1B3E0" w14:textId="77777777" w:rsidR="004B77F6" w:rsidRPr="00694ACA" w:rsidRDefault="004B77F6" w:rsidP="00F221C0">
            <w:pPr>
              <w:jc w:val="center"/>
              <w:rPr>
                <w:rFonts w:ascii="Lato" w:hAnsi="Lato" w:cs="Arial"/>
                <w:color w:val="407C9B"/>
                <w:sz w:val="18"/>
                <w:szCs w:val="18"/>
                <w:lang w:val="ru-RU"/>
              </w:rPr>
            </w:pPr>
          </w:p>
        </w:tc>
        <w:tc>
          <w:tcPr>
            <w:tcW w:w="828" w:type="dxa"/>
            <w:shd w:val="clear" w:color="auto" w:fill="F2F2F2" w:themeFill="background1" w:themeFillShade="F2"/>
          </w:tcPr>
          <w:p w14:paraId="2EEE8AF1" w14:textId="77777777" w:rsidR="004B77F6" w:rsidRPr="00694ACA" w:rsidRDefault="004B77F6" w:rsidP="00F221C0">
            <w:pPr>
              <w:jc w:val="center"/>
              <w:rPr>
                <w:rFonts w:ascii="Lato" w:hAnsi="Lato" w:cs="Arial"/>
                <w:color w:val="407C9B"/>
                <w:sz w:val="18"/>
                <w:szCs w:val="18"/>
                <w:lang w:val="ru-RU"/>
              </w:rPr>
            </w:pPr>
          </w:p>
        </w:tc>
        <w:tc>
          <w:tcPr>
            <w:tcW w:w="828" w:type="dxa"/>
            <w:shd w:val="clear" w:color="auto" w:fill="F2F2F2" w:themeFill="background1" w:themeFillShade="F2"/>
          </w:tcPr>
          <w:p w14:paraId="10550EFA" w14:textId="77777777" w:rsidR="004B77F6" w:rsidRPr="00694ACA" w:rsidRDefault="004B77F6" w:rsidP="00F221C0">
            <w:pPr>
              <w:jc w:val="center"/>
              <w:rPr>
                <w:rFonts w:ascii="Lato" w:hAnsi="Lato" w:cs="Arial"/>
                <w:color w:val="407C9B"/>
                <w:sz w:val="18"/>
                <w:szCs w:val="22"/>
                <w:lang w:val="ru-RU"/>
              </w:rPr>
            </w:pPr>
          </w:p>
        </w:tc>
        <w:tc>
          <w:tcPr>
            <w:tcW w:w="829" w:type="dxa"/>
            <w:shd w:val="clear" w:color="auto" w:fill="F2F2F2" w:themeFill="background1" w:themeFillShade="F2"/>
          </w:tcPr>
          <w:p w14:paraId="2A2C54FA" w14:textId="77777777" w:rsidR="004B77F6" w:rsidRPr="00694ACA" w:rsidRDefault="004B77F6" w:rsidP="00F221C0">
            <w:pPr>
              <w:jc w:val="center"/>
              <w:rPr>
                <w:rFonts w:ascii="Lato" w:hAnsi="Lato" w:cs="Arial"/>
                <w:color w:val="407C9B"/>
                <w:sz w:val="18"/>
                <w:szCs w:val="22"/>
                <w:lang w:val="ru-RU"/>
              </w:rPr>
            </w:pPr>
          </w:p>
        </w:tc>
      </w:tr>
      <w:tr w:rsidR="004B77F6" w:rsidRPr="00694ACA" w14:paraId="7B9C0167" w14:textId="77777777" w:rsidTr="0068182E">
        <w:trPr>
          <w:gridAfter w:val="1"/>
          <w:wAfter w:w="6" w:type="dxa"/>
        </w:trPr>
        <w:tc>
          <w:tcPr>
            <w:tcW w:w="1555" w:type="dxa"/>
            <w:shd w:val="clear" w:color="auto" w:fill="F2F2F2" w:themeFill="background1" w:themeFillShade="F2"/>
          </w:tcPr>
          <w:p w14:paraId="76A94E5E" w14:textId="77777777" w:rsidR="004B77F6" w:rsidRPr="00694ACA" w:rsidRDefault="004B77F6" w:rsidP="00F221C0">
            <w:pPr>
              <w:rPr>
                <w:rFonts w:ascii="Lato" w:hAnsi="Lato" w:cs="Arial"/>
                <w:color w:val="407C9B"/>
                <w:szCs w:val="20"/>
                <w:lang w:val="ru-RU"/>
              </w:rPr>
            </w:pPr>
            <w:r w:rsidRPr="00694ACA">
              <w:rPr>
                <w:rFonts w:ascii="Lato" w:hAnsi="Lato"/>
                <w:color w:val="407C9B"/>
                <w:sz w:val="18"/>
                <w:szCs w:val="22"/>
                <w:lang w:val="ru-RU"/>
              </w:rPr>
              <w:t>ЮНИТАР (курсы)</w:t>
            </w:r>
            <w:r w:rsidRPr="00694ACA">
              <w:rPr>
                <w:rStyle w:val="FootnoteReference"/>
                <w:rFonts w:cs="Arial"/>
                <w:color w:val="407C9B"/>
                <w:szCs w:val="20"/>
                <w:lang w:val="ru-RU"/>
              </w:rPr>
              <w:footnoteReference w:id="247"/>
            </w:r>
          </w:p>
        </w:tc>
        <w:tc>
          <w:tcPr>
            <w:tcW w:w="828" w:type="dxa"/>
            <w:shd w:val="clear" w:color="auto" w:fill="F2F2F2" w:themeFill="background1" w:themeFillShade="F2"/>
          </w:tcPr>
          <w:p w14:paraId="5830550D" w14:textId="77777777" w:rsidR="004B77F6" w:rsidRPr="00694ACA" w:rsidRDefault="004B77F6" w:rsidP="00F221C0">
            <w:pPr>
              <w:jc w:val="center"/>
              <w:rPr>
                <w:rFonts w:ascii="Lato" w:hAnsi="Lato" w:cs="Arial"/>
                <w:color w:val="407C9B"/>
                <w:sz w:val="18"/>
                <w:szCs w:val="18"/>
                <w:lang w:val="ru-RU"/>
              </w:rPr>
            </w:pPr>
            <w:r w:rsidRPr="00694ACA">
              <w:rPr>
                <w:rFonts w:ascii="Lato" w:hAnsi="Lato"/>
                <w:color w:val="407C9B"/>
                <w:sz w:val="18"/>
                <w:szCs w:val="18"/>
                <w:lang w:val="ru-RU"/>
              </w:rPr>
              <w:t>11</w:t>
            </w:r>
          </w:p>
        </w:tc>
        <w:tc>
          <w:tcPr>
            <w:tcW w:w="828" w:type="dxa"/>
            <w:shd w:val="clear" w:color="auto" w:fill="F2F2F2" w:themeFill="background1" w:themeFillShade="F2"/>
          </w:tcPr>
          <w:p w14:paraId="513BA9AA" w14:textId="77777777" w:rsidR="004B77F6" w:rsidRPr="00694ACA" w:rsidRDefault="004B77F6" w:rsidP="00F221C0">
            <w:pPr>
              <w:jc w:val="center"/>
              <w:rPr>
                <w:rFonts w:ascii="Lato" w:hAnsi="Lato" w:cs="Arial"/>
                <w:color w:val="407C9B"/>
                <w:sz w:val="18"/>
                <w:szCs w:val="18"/>
                <w:lang w:val="ru-RU"/>
              </w:rPr>
            </w:pPr>
            <w:r w:rsidRPr="00694ACA">
              <w:rPr>
                <w:rFonts w:ascii="Lato" w:hAnsi="Lato"/>
                <w:color w:val="407C9B"/>
                <w:sz w:val="18"/>
                <w:szCs w:val="18"/>
                <w:lang w:val="ru-RU"/>
              </w:rPr>
              <w:t>86</w:t>
            </w:r>
          </w:p>
        </w:tc>
        <w:tc>
          <w:tcPr>
            <w:tcW w:w="829" w:type="dxa"/>
            <w:shd w:val="clear" w:color="auto" w:fill="F2F2F2" w:themeFill="background1" w:themeFillShade="F2"/>
          </w:tcPr>
          <w:p w14:paraId="78E8C5B5" w14:textId="77777777" w:rsidR="004B77F6" w:rsidRPr="00694ACA" w:rsidRDefault="004B77F6" w:rsidP="00F221C0">
            <w:pPr>
              <w:jc w:val="center"/>
              <w:rPr>
                <w:rFonts w:ascii="Lato" w:hAnsi="Lato" w:cs="Arial"/>
                <w:color w:val="407C9B"/>
                <w:sz w:val="18"/>
                <w:szCs w:val="18"/>
                <w:lang w:val="ru-RU"/>
              </w:rPr>
            </w:pPr>
            <w:r w:rsidRPr="00694ACA">
              <w:rPr>
                <w:rFonts w:ascii="Lato" w:hAnsi="Lato"/>
                <w:color w:val="407C9B"/>
                <w:sz w:val="18"/>
                <w:szCs w:val="18"/>
                <w:lang w:val="ru-RU"/>
              </w:rPr>
              <w:t>59</w:t>
            </w:r>
          </w:p>
        </w:tc>
        <w:tc>
          <w:tcPr>
            <w:tcW w:w="828" w:type="dxa"/>
            <w:shd w:val="clear" w:color="auto" w:fill="F2F2F2" w:themeFill="background1" w:themeFillShade="F2"/>
          </w:tcPr>
          <w:p w14:paraId="14F5A0A0" w14:textId="77777777" w:rsidR="004B77F6" w:rsidRPr="00694ACA" w:rsidRDefault="004B77F6" w:rsidP="00F221C0">
            <w:pPr>
              <w:jc w:val="center"/>
              <w:rPr>
                <w:rFonts w:ascii="Lato" w:hAnsi="Lato" w:cs="Arial"/>
                <w:color w:val="407C9B"/>
                <w:sz w:val="18"/>
                <w:szCs w:val="18"/>
                <w:lang w:val="ru-RU"/>
              </w:rPr>
            </w:pPr>
          </w:p>
        </w:tc>
        <w:tc>
          <w:tcPr>
            <w:tcW w:w="828" w:type="dxa"/>
            <w:shd w:val="clear" w:color="auto" w:fill="F2F2F2" w:themeFill="background1" w:themeFillShade="F2"/>
          </w:tcPr>
          <w:p w14:paraId="2E1FD4F2" w14:textId="77777777" w:rsidR="004B77F6" w:rsidRPr="00694ACA" w:rsidRDefault="004B77F6" w:rsidP="00F221C0">
            <w:pPr>
              <w:jc w:val="center"/>
              <w:rPr>
                <w:rFonts w:ascii="Lato" w:hAnsi="Lato" w:cs="Arial"/>
                <w:color w:val="407C9B"/>
                <w:sz w:val="18"/>
                <w:szCs w:val="18"/>
                <w:lang w:val="ru-RU"/>
              </w:rPr>
            </w:pPr>
            <w:r w:rsidRPr="00694ACA">
              <w:rPr>
                <w:rFonts w:ascii="Lato" w:hAnsi="Lato"/>
                <w:color w:val="407C9B"/>
                <w:sz w:val="18"/>
                <w:szCs w:val="18"/>
                <w:lang w:val="ru-RU"/>
              </w:rPr>
              <w:t>21</w:t>
            </w:r>
          </w:p>
        </w:tc>
        <w:tc>
          <w:tcPr>
            <w:tcW w:w="829" w:type="dxa"/>
            <w:shd w:val="clear" w:color="auto" w:fill="F2F2F2" w:themeFill="background1" w:themeFillShade="F2"/>
          </w:tcPr>
          <w:p w14:paraId="163911F2" w14:textId="77777777" w:rsidR="004B77F6" w:rsidRPr="00694ACA" w:rsidRDefault="004B77F6" w:rsidP="00F221C0">
            <w:pPr>
              <w:jc w:val="center"/>
              <w:rPr>
                <w:rFonts w:ascii="Lato" w:hAnsi="Lato" w:cs="Arial"/>
                <w:color w:val="407C9B"/>
                <w:sz w:val="18"/>
                <w:szCs w:val="18"/>
                <w:lang w:val="ru-RU"/>
              </w:rPr>
            </w:pPr>
            <w:r w:rsidRPr="00694ACA">
              <w:rPr>
                <w:rFonts w:ascii="Lato" w:hAnsi="Lato"/>
                <w:color w:val="407C9B"/>
                <w:sz w:val="18"/>
                <w:szCs w:val="18"/>
                <w:lang w:val="ru-RU"/>
              </w:rPr>
              <w:t>203</w:t>
            </w:r>
          </w:p>
        </w:tc>
        <w:tc>
          <w:tcPr>
            <w:tcW w:w="828" w:type="dxa"/>
            <w:shd w:val="clear" w:color="auto" w:fill="F2F2F2" w:themeFill="background1" w:themeFillShade="F2"/>
          </w:tcPr>
          <w:p w14:paraId="26723613" w14:textId="77777777" w:rsidR="004B77F6" w:rsidRPr="00694ACA" w:rsidRDefault="004B77F6" w:rsidP="00F221C0">
            <w:pPr>
              <w:jc w:val="center"/>
              <w:rPr>
                <w:rFonts w:ascii="Lato" w:hAnsi="Lato" w:cs="Arial"/>
                <w:color w:val="407C9B"/>
                <w:sz w:val="18"/>
                <w:szCs w:val="18"/>
                <w:lang w:val="ru-RU"/>
              </w:rPr>
            </w:pPr>
          </w:p>
        </w:tc>
        <w:tc>
          <w:tcPr>
            <w:tcW w:w="828" w:type="dxa"/>
            <w:shd w:val="clear" w:color="auto" w:fill="F2F2F2" w:themeFill="background1" w:themeFillShade="F2"/>
          </w:tcPr>
          <w:p w14:paraId="0691437C" w14:textId="77777777" w:rsidR="004B77F6" w:rsidRPr="00694ACA" w:rsidRDefault="004B77F6" w:rsidP="00F221C0">
            <w:pPr>
              <w:jc w:val="center"/>
              <w:rPr>
                <w:rFonts w:ascii="Lato" w:hAnsi="Lato" w:cs="Arial"/>
                <w:color w:val="407C9B"/>
                <w:sz w:val="18"/>
                <w:szCs w:val="22"/>
                <w:lang w:val="ru-RU"/>
              </w:rPr>
            </w:pPr>
            <w:r w:rsidRPr="00694ACA">
              <w:rPr>
                <w:rFonts w:ascii="Lato" w:hAnsi="Lato"/>
                <w:color w:val="407C9B"/>
                <w:sz w:val="18"/>
                <w:szCs w:val="22"/>
                <w:lang w:val="ru-RU"/>
              </w:rPr>
              <w:t>172</w:t>
            </w:r>
          </w:p>
        </w:tc>
        <w:tc>
          <w:tcPr>
            <w:tcW w:w="829" w:type="dxa"/>
            <w:shd w:val="clear" w:color="auto" w:fill="F2F2F2" w:themeFill="background1" w:themeFillShade="F2"/>
          </w:tcPr>
          <w:p w14:paraId="0DD69197" w14:textId="77777777" w:rsidR="004B77F6" w:rsidRPr="00694ACA" w:rsidRDefault="004B77F6" w:rsidP="00F221C0">
            <w:pPr>
              <w:jc w:val="center"/>
              <w:rPr>
                <w:rFonts w:ascii="Lato" w:hAnsi="Lato" w:cs="Arial"/>
                <w:color w:val="407C9B"/>
                <w:sz w:val="18"/>
                <w:szCs w:val="22"/>
                <w:lang w:val="ru-RU"/>
              </w:rPr>
            </w:pPr>
            <w:r w:rsidRPr="00694ACA">
              <w:rPr>
                <w:rFonts w:ascii="Lato" w:hAnsi="Lato"/>
                <w:color w:val="407C9B"/>
                <w:sz w:val="18"/>
                <w:szCs w:val="22"/>
                <w:lang w:val="ru-RU"/>
              </w:rPr>
              <w:t>41</w:t>
            </w:r>
          </w:p>
        </w:tc>
      </w:tr>
      <w:tr w:rsidR="004B77F6" w:rsidRPr="00694ACA" w14:paraId="71BD6BB9" w14:textId="77777777" w:rsidTr="0068182E">
        <w:trPr>
          <w:gridAfter w:val="1"/>
          <w:wAfter w:w="6" w:type="dxa"/>
        </w:trPr>
        <w:tc>
          <w:tcPr>
            <w:tcW w:w="1555" w:type="dxa"/>
            <w:shd w:val="clear" w:color="auto" w:fill="F2F2F2" w:themeFill="background1" w:themeFillShade="F2"/>
          </w:tcPr>
          <w:p w14:paraId="2AEECB6C" w14:textId="77777777" w:rsidR="004B77F6" w:rsidRPr="00694ACA" w:rsidRDefault="004B77F6" w:rsidP="00F221C0">
            <w:pPr>
              <w:rPr>
                <w:rFonts w:ascii="Lato" w:hAnsi="Lato" w:cs="Arial"/>
                <w:color w:val="407C9B"/>
                <w:szCs w:val="20"/>
                <w:lang w:val="ru-RU"/>
              </w:rPr>
            </w:pPr>
            <w:r w:rsidRPr="00694ACA">
              <w:rPr>
                <w:rFonts w:ascii="Lato" w:hAnsi="Lato"/>
                <w:color w:val="407C9B"/>
                <w:sz w:val="18"/>
                <w:szCs w:val="22"/>
                <w:lang w:val="ru-RU"/>
              </w:rPr>
              <w:t>УНП ООН</w:t>
            </w:r>
            <w:r w:rsidRPr="00694ACA">
              <w:rPr>
                <w:rStyle w:val="FootnoteReference"/>
                <w:rFonts w:cs="Arial"/>
                <w:color w:val="407C9B"/>
                <w:szCs w:val="20"/>
                <w:lang w:val="ru-RU"/>
              </w:rPr>
              <w:footnoteReference w:id="248"/>
            </w:r>
          </w:p>
        </w:tc>
        <w:tc>
          <w:tcPr>
            <w:tcW w:w="828" w:type="dxa"/>
            <w:shd w:val="clear" w:color="auto" w:fill="F2F2F2" w:themeFill="background1" w:themeFillShade="F2"/>
          </w:tcPr>
          <w:p w14:paraId="25FEC394" w14:textId="77777777" w:rsidR="004B77F6" w:rsidRPr="00694ACA" w:rsidRDefault="004B77F6" w:rsidP="00F221C0">
            <w:pPr>
              <w:jc w:val="center"/>
              <w:rPr>
                <w:rFonts w:ascii="Lato" w:hAnsi="Lato" w:cs="Arial"/>
                <w:color w:val="407C9B"/>
                <w:sz w:val="18"/>
                <w:szCs w:val="18"/>
                <w:lang w:val="ru-RU"/>
              </w:rPr>
            </w:pPr>
            <w:r w:rsidRPr="00694ACA">
              <w:rPr>
                <w:rFonts w:ascii="Lato" w:hAnsi="Lato"/>
                <w:color w:val="407C9B"/>
                <w:sz w:val="18"/>
                <w:szCs w:val="18"/>
                <w:lang w:val="ru-RU"/>
              </w:rPr>
              <w:t>P</w:t>
            </w:r>
          </w:p>
        </w:tc>
        <w:tc>
          <w:tcPr>
            <w:tcW w:w="828" w:type="dxa"/>
            <w:shd w:val="clear" w:color="auto" w:fill="F2F2F2" w:themeFill="background1" w:themeFillShade="F2"/>
          </w:tcPr>
          <w:p w14:paraId="39A1DA56" w14:textId="77777777" w:rsidR="004B77F6" w:rsidRPr="00694ACA" w:rsidRDefault="004B77F6" w:rsidP="00F221C0">
            <w:pPr>
              <w:jc w:val="center"/>
              <w:rPr>
                <w:rFonts w:ascii="Lato" w:hAnsi="Lato" w:cs="Arial"/>
                <w:color w:val="407C9B"/>
                <w:sz w:val="18"/>
                <w:szCs w:val="18"/>
                <w:lang w:val="ru-RU"/>
              </w:rPr>
            </w:pPr>
          </w:p>
        </w:tc>
        <w:tc>
          <w:tcPr>
            <w:tcW w:w="829" w:type="dxa"/>
            <w:shd w:val="clear" w:color="auto" w:fill="F2F2F2" w:themeFill="background1" w:themeFillShade="F2"/>
          </w:tcPr>
          <w:p w14:paraId="1141D95B" w14:textId="77777777" w:rsidR="004B77F6" w:rsidRPr="00694ACA" w:rsidRDefault="004B77F6" w:rsidP="00F221C0">
            <w:pPr>
              <w:jc w:val="center"/>
              <w:rPr>
                <w:rFonts w:ascii="Lato" w:hAnsi="Lato" w:cs="Arial"/>
                <w:color w:val="407C9B"/>
                <w:sz w:val="18"/>
                <w:szCs w:val="18"/>
                <w:lang w:val="ru-RU"/>
              </w:rPr>
            </w:pPr>
          </w:p>
        </w:tc>
        <w:tc>
          <w:tcPr>
            <w:tcW w:w="828" w:type="dxa"/>
            <w:shd w:val="clear" w:color="auto" w:fill="F2F2F2" w:themeFill="background1" w:themeFillShade="F2"/>
          </w:tcPr>
          <w:p w14:paraId="263C2FCF" w14:textId="77777777" w:rsidR="004B77F6" w:rsidRPr="00694ACA" w:rsidRDefault="004B77F6" w:rsidP="00F221C0">
            <w:pPr>
              <w:jc w:val="center"/>
              <w:rPr>
                <w:rFonts w:ascii="Lato" w:hAnsi="Lato" w:cs="Arial"/>
                <w:color w:val="407C9B"/>
                <w:sz w:val="18"/>
                <w:szCs w:val="18"/>
                <w:lang w:val="ru-RU"/>
              </w:rPr>
            </w:pPr>
            <w:r w:rsidRPr="00694ACA">
              <w:rPr>
                <w:rFonts w:ascii="Lato" w:hAnsi="Lato"/>
                <w:color w:val="407C9B"/>
                <w:sz w:val="18"/>
                <w:szCs w:val="18"/>
                <w:lang w:val="ru-RU"/>
              </w:rPr>
              <w:t>P</w:t>
            </w:r>
          </w:p>
        </w:tc>
        <w:tc>
          <w:tcPr>
            <w:tcW w:w="828" w:type="dxa"/>
            <w:shd w:val="clear" w:color="auto" w:fill="F2F2F2" w:themeFill="background1" w:themeFillShade="F2"/>
          </w:tcPr>
          <w:p w14:paraId="6E02D111" w14:textId="77777777" w:rsidR="004B77F6" w:rsidRPr="00694ACA" w:rsidRDefault="004B77F6" w:rsidP="00F221C0">
            <w:pPr>
              <w:jc w:val="center"/>
              <w:rPr>
                <w:rFonts w:ascii="Lato" w:hAnsi="Lato" w:cs="Arial"/>
                <w:color w:val="407C9B"/>
                <w:sz w:val="18"/>
                <w:szCs w:val="18"/>
                <w:lang w:val="ru-RU"/>
              </w:rPr>
            </w:pPr>
          </w:p>
        </w:tc>
        <w:tc>
          <w:tcPr>
            <w:tcW w:w="829" w:type="dxa"/>
            <w:shd w:val="clear" w:color="auto" w:fill="F2F2F2" w:themeFill="background1" w:themeFillShade="F2"/>
          </w:tcPr>
          <w:p w14:paraId="7D1B7434" w14:textId="77777777" w:rsidR="004B77F6" w:rsidRPr="00694ACA" w:rsidRDefault="004B77F6" w:rsidP="00F221C0">
            <w:pPr>
              <w:jc w:val="center"/>
              <w:rPr>
                <w:rFonts w:ascii="Lato" w:hAnsi="Lato" w:cs="Arial"/>
                <w:color w:val="407C9B"/>
                <w:sz w:val="18"/>
                <w:szCs w:val="18"/>
                <w:lang w:val="ru-RU"/>
              </w:rPr>
            </w:pPr>
          </w:p>
        </w:tc>
        <w:tc>
          <w:tcPr>
            <w:tcW w:w="828" w:type="dxa"/>
            <w:shd w:val="clear" w:color="auto" w:fill="F2F2F2" w:themeFill="background1" w:themeFillShade="F2"/>
          </w:tcPr>
          <w:p w14:paraId="2145F8FC" w14:textId="77777777" w:rsidR="004B77F6" w:rsidRPr="00694ACA" w:rsidRDefault="004B77F6" w:rsidP="00F221C0">
            <w:pPr>
              <w:jc w:val="center"/>
              <w:rPr>
                <w:rFonts w:ascii="Lato" w:hAnsi="Lato" w:cs="Arial"/>
                <w:color w:val="407C9B"/>
                <w:sz w:val="18"/>
                <w:szCs w:val="18"/>
                <w:lang w:val="ru-RU"/>
              </w:rPr>
            </w:pPr>
          </w:p>
        </w:tc>
        <w:tc>
          <w:tcPr>
            <w:tcW w:w="828" w:type="dxa"/>
            <w:shd w:val="clear" w:color="auto" w:fill="F2F2F2" w:themeFill="background1" w:themeFillShade="F2"/>
          </w:tcPr>
          <w:p w14:paraId="146DAC66" w14:textId="77777777" w:rsidR="004B77F6" w:rsidRPr="00694ACA" w:rsidRDefault="004B77F6" w:rsidP="00F221C0">
            <w:pPr>
              <w:jc w:val="center"/>
              <w:rPr>
                <w:rFonts w:ascii="Lato" w:hAnsi="Lato" w:cs="Arial"/>
                <w:color w:val="407C9B"/>
                <w:sz w:val="18"/>
                <w:szCs w:val="22"/>
                <w:lang w:val="ru-RU"/>
              </w:rPr>
            </w:pPr>
          </w:p>
        </w:tc>
        <w:tc>
          <w:tcPr>
            <w:tcW w:w="829" w:type="dxa"/>
            <w:shd w:val="clear" w:color="auto" w:fill="F2F2F2" w:themeFill="background1" w:themeFillShade="F2"/>
          </w:tcPr>
          <w:p w14:paraId="4E7B7828" w14:textId="77777777" w:rsidR="004B77F6" w:rsidRPr="00694ACA" w:rsidRDefault="004B77F6" w:rsidP="00F221C0">
            <w:pPr>
              <w:jc w:val="center"/>
              <w:rPr>
                <w:rFonts w:ascii="Lato" w:hAnsi="Lato" w:cs="Arial"/>
                <w:color w:val="407C9B"/>
                <w:sz w:val="18"/>
                <w:szCs w:val="22"/>
                <w:lang w:val="ru-RU"/>
              </w:rPr>
            </w:pPr>
          </w:p>
        </w:tc>
      </w:tr>
      <w:tr w:rsidR="004B77F6" w:rsidRPr="00694ACA" w14:paraId="3CB15642" w14:textId="77777777" w:rsidTr="0068182E">
        <w:trPr>
          <w:gridAfter w:val="1"/>
          <w:wAfter w:w="6" w:type="dxa"/>
        </w:trPr>
        <w:tc>
          <w:tcPr>
            <w:tcW w:w="1555" w:type="dxa"/>
            <w:shd w:val="clear" w:color="auto" w:fill="F2F2F2" w:themeFill="background1" w:themeFillShade="F2"/>
          </w:tcPr>
          <w:p w14:paraId="0ADA8635" w14:textId="77777777" w:rsidR="004B77F6" w:rsidRPr="00694ACA" w:rsidRDefault="004B77F6" w:rsidP="00F221C0">
            <w:pPr>
              <w:rPr>
                <w:rFonts w:ascii="Lato" w:hAnsi="Lato" w:cs="Arial"/>
                <w:color w:val="407C9B"/>
                <w:szCs w:val="20"/>
                <w:lang w:val="ru-RU"/>
              </w:rPr>
            </w:pPr>
            <w:r w:rsidRPr="00694ACA">
              <w:rPr>
                <w:rFonts w:ascii="Lato" w:hAnsi="Lato"/>
                <w:color w:val="407C9B"/>
                <w:sz w:val="18"/>
                <w:szCs w:val="22"/>
                <w:lang w:val="ru-RU"/>
              </w:rPr>
              <w:t>ЮНПАН</w:t>
            </w:r>
            <w:r w:rsidRPr="00694ACA">
              <w:rPr>
                <w:rStyle w:val="FootnoteReference"/>
                <w:rFonts w:cs="Arial"/>
                <w:color w:val="407C9B"/>
                <w:szCs w:val="20"/>
                <w:lang w:val="ru-RU"/>
              </w:rPr>
              <w:footnoteReference w:id="249"/>
            </w:r>
          </w:p>
        </w:tc>
        <w:tc>
          <w:tcPr>
            <w:tcW w:w="828" w:type="dxa"/>
            <w:shd w:val="clear" w:color="auto" w:fill="F2F2F2" w:themeFill="background1" w:themeFillShade="F2"/>
          </w:tcPr>
          <w:p w14:paraId="7C5B453D" w14:textId="77777777" w:rsidR="004B77F6" w:rsidRPr="00694ACA" w:rsidRDefault="004B77F6" w:rsidP="00F221C0">
            <w:pPr>
              <w:jc w:val="center"/>
              <w:rPr>
                <w:rFonts w:ascii="Lato" w:hAnsi="Lato" w:cs="Arial"/>
                <w:color w:val="407C9B"/>
                <w:sz w:val="18"/>
                <w:szCs w:val="18"/>
                <w:lang w:val="ru-RU"/>
              </w:rPr>
            </w:pPr>
          </w:p>
        </w:tc>
        <w:tc>
          <w:tcPr>
            <w:tcW w:w="828" w:type="dxa"/>
            <w:shd w:val="clear" w:color="auto" w:fill="F2F2F2" w:themeFill="background1" w:themeFillShade="F2"/>
          </w:tcPr>
          <w:p w14:paraId="547C38E2" w14:textId="77777777" w:rsidR="004B77F6" w:rsidRPr="00694ACA" w:rsidRDefault="004B77F6" w:rsidP="00F221C0">
            <w:pPr>
              <w:jc w:val="center"/>
              <w:rPr>
                <w:rFonts w:ascii="Lato" w:hAnsi="Lato" w:cs="Arial"/>
                <w:color w:val="407C9B"/>
                <w:sz w:val="18"/>
                <w:szCs w:val="18"/>
                <w:lang w:val="ru-RU"/>
              </w:rPr>
            </w:pPr>
            <w:r w:rsidRPr="00694ACA">
              <w:rPr>
                <w:rFonts w:ascii="Lato" w:hAnsi="Lato"/>
                <w:color w:val="407C9B"/>
                <w:sz w:val="18"/>
                <w:szCs w:val="18"/>
                <w:lang w:val="ru-RU"/>
              </w:rPr>
              <w:t>P</w:t>
            </w:r>
          </w:p>
        </w:tc>
        <w:tc>
          <w:tcPr>
            <w:tcW w:w="829" w:type="dxa"/>
            <w:shd w:val="clear" w:color="auto" w:fill="F2F2F2" w:themeFill="background1" w:themeFillShade="F2"/>
          </w:tcPr>
          <w:p w14:paraId="3C9F1C87" w14:textId="77777777" w:rsidR="004B77F6" w:rsidRPr="00694ACA" w:rsidRDefault="004B77F6" w:rsidP="00F221C0">
            <w:pPr>
              <w:jc w:val="center"/>
              <w:rPr>
                <w:rFonts w:ascii="Lato" w:hAnsi="Lato" w:cs="Arial"/>
                <w:color w:val="407C9B"/>
                <w:sz w:val="18"/>
                <w:szCs w:val="18"/>
                <w:lang w:val="ru-RU"/>
              </w:rPr>
            </w:pPr>
          </w:p>
        </w:tc>
        <w:tc>
          <w:tcPr>
            <w:tcW w:w="828" w:type="dxa"/>
            <w:shd w:val="clear" w:color="auto" w:fill="F2F2F2" w:themeFill="background1" w:themeFillShade="F2"/>
          </w:tcPr>
          <w:p w14:paraId="3F164C7F" w14:textId="77777777" w:rsidR="004B77F6" w:rsidRPr="00694ACA" w:rsidRDefault="004B77F6" w:rsidP="00F221C0">
            <w:pPr>
              <w:jc w:val="center"/>
              <w:rPr>
                <w:rFonts w:ascii="Lato" w:hAnsi="Lato" w:cs="Arial"/>
                <w:color w:val="407C9B"/>
                <w:sz w:val="18"/>
                <w:szCs w:val="18"/>
                <w:lang w:val="ru-RU"/>
              </w:rPr>
            </w:pPr>
            <w:r w:rsidRPr="00694ACA">
              <w:rPr>
                <w:rFonts w:ascii="Lato" w:hAnsi="Lato"/>
                <w:color w:val="407C9B"/>
                <w:sz w:val="18"/>
                <w:szCs w:val="18"/>
                <w:lang w:val="ru-RU"/>
              </w:rPr>
              <w:t>P</w:t>
            </w:r>
          </w:p>
        </w:tc>
        <w:tc>
          <w:tcPr>
            <w:tcW w:w="828" w:type="dxa"/>
            <w:shd w:val="clear" w:color="auto" w:fill="F2F2F2" w:themeFill="background1" w:themeFillShade="F2"/>
          </w:tcPr>
          <w:p w14:paraId="55817BBA" w14:textId="77777777" w:rsidR="004B77F6" w:rsidRPr="00694ACA" w:rsidRDefault="004B77F6" w:rsidP="00F221C0">
            <w:pPr>
              <w:jc w:val="center"/>
              <w:rPr>
                <w:rFonts w:ascii="Lato" w:hAnsi="Lato" w:cs="Arial"/>
                <w:color w:val="407C9B"/>
                <w:sz w:val="18"/>
                <w:szCs w:val="18"/>
                <w:lang w:val="ru-RU"/>
              </w:rPr>
            </w:pPr>
          </w:p>
        </w:tc>
        <w:tc>
          <w:tcPr>
            <w:tcW w:w="829" w:type="dxa"/>
            <w:shd w:val="clear" w:color="auto" w:fill="F2F2F2" w:themeFill="background1" w:themeFillShade="F2"/>
          </w:tcPr>
          <w:p w14:paraId="6374755F" w14:textId="77777777" w:rsidR="004B77F6" w:rsidRPr="00694ACA" w:rsidRDefault="004B77F6" w:rsidP="00F221C0">
            <w:pPr>
              <w:jc w:val="center"/>
              <w:rPr>
                <w:rFonts w:ascii="Lato" w:hAnsi="Lato" w:cs="Arial"/>
                <w:color w:val="407C9B"/>
                <w:sz w:val="18"/>
                <w:szCs w:val="18"/>
                <w:lang w:val="ru-RU"/>
              </w:rPr>
            </w:pPr>
          </w:p>
        </w:tc>
        <w:tc>
          <w:tcPr>
            <w:tcW w:w="828" w:type="dxa"/>
            <w:shd w:val="clear" w:color="auto" w:fill="F2F2F2" w:themeFill="background1" w:themeFillShade="F2"/>
          </w:tcPr>
          <w:p w14:paraId="05C79F72" w14:textId="77777777" w:rsidR="004B77F6" w:rsidRPr="00694ACA" w:rsidRDefault="004B77F6" w:rsidP="00F221C0">
            <w:pPr>
              <w:jc w:val="center"/>
              <w:rPr>
                <w:rFonts w:ascii="Lato" w:hAnsi="Lato" w:cs="Arial"/>
                <w:color w:val="407C9B"/>
                <w:sz w:val="18"/>
                <w:szCs w:val="18"/>
                <w:lang w:val="ru-RU"/>
              </w:rPr>
            </w:pPr>
          </w:p>
        </w:tc>
        <w:tc>
          <w:tcPr>
            <w:tcW w:w="828" w:type="dxa"/>
            <w:shd w:val="clear" w:color="auto" w:fill="F2F2F2" w:themeFill="background1" w:themeFillShade="F2"/>
          </w:tcPr>
          <w:p w14:paraId="563C9B66" w14:textId="77777777" w:rsidR="004B77F6" w:rsidRPr="00694ACA" w:rsidRDefault="004B77F6" w:rsidP="00F221C0">
            <w:pPr>
              <w:jc w:val="center"/>
              <w:rPr>
                <w:rFonts w:ascii="Lato" w:hAnsi="Lato" w:cs="Arial"/>
                <w:color w:val="407C9B"/>
                <w:sz w:val="18"/>
                <w:szCs w:val="22"/>
                <w:lang w:val="ru-RU"/>
              </w:rPr>
            </w:pPr>
            <w:r w:rsidRPr="00694ACA">
              <w:rPr>
                <w:rFonts w:ascii="Lato" w:hAnsi="Lato"/>
                <w:color w:val="407C9B"/>
                <w:sz w:val="18"/>
                <w:szCs w:val="22"/>
                <w:lang w:val="ru-RU"/>
              </w:rPr>
              <w:t>P</w:t>
            </w:r>
          </w:p>
        </w:tc>
        <w:tc>
          <w:tcPr>
            <w:tcW w:w="829" w:type="dxa"/>
            <w:shd w:val="clear" w:color="auto" w:fill="F2F2F2" w:themeFill="background1" w:themeFillShade="F2"/>
          </w:tcPr>
          <w:p w14:paraId="6E2280BA" w14:textId="77777777" w:rsidR="004B77F6" w:rsidRPr="00694ACA" w:rsidRDefault="004B77F6" w:rsidP="00F221C0">
            <w:pPr>
              <w:jc w:val="center"/>
              <w:rPr>
                <w:rFonts w:ascii="Lato" w:hAnsi="Lato" w:cs="Arial"/>
                <w:color w:val="407C9B"/>
                <w:sz w:val="18"/>
                <w:szCs w:val="22"/>
                <w:lang w:val="ru-RU"/>
              </w:rPr>
            </w:pPr>
          </w:p>
        </w:tc>
      </w:tr>
      <w:tr w:rsidR="004B77F6" w:rsidRPr="00694ACA" w14:paraId="50449C0E" w14:textId="77777777" w:rsidTr="0068182E">
        <w:trPr>
          <w:gridAfter w:val="1"/>
          <w:wAfter w:w="6" w:type="dxa"/>
        </w:trPr>
        <w:tc>
          <w:tcPr>
            <w:tcW w:w="1555" w:type="dxa"/>
            <w:shd w:val="clear" w:color="auto" w:fill="F2F2F2" w:themeFill="background1" w:themeFillShade="F2"/>
          </w:tcPr>
          <w:p w14:paraId="7A46F106" w14:textId="77777777" w:rsidR="004B77F6" w:rsidRPr="00694ACA" w:rsidRDefault="004B77F6" w:rsidP="00F221C0">
            <w:pPr>
              <w:rPr>
                <w:rFonts w:ascii="Lato" w:hAnsi="Lato" w:cs="Arial"/>
                <w:color w:val="407C9B"/>
                <w:szCs w:val="20"/>
                <w:lang w:val="ru-RU"/>
              </w:rPr>
            </w:pPr>
            <w:r w:rsidRPr="00694ACA">
              <w:rPr>
                <w:rFonts w:ascii="Lato" w:hAnsi="Lato"/>
                <w:color w:val="407C9B"/>
                <w:sz w:val="18"/>
                <w:szCs w:val="22"/>
                <w:lang w:val="ru-RU"/>
              </w:rPr>
              <w:t>Банк технологий ООН</w:t>
            </w:r>
            <w:r w:rsidRPr="00694ACA">
              <w:rPr>
                <w:rStyle w:val="FootnoteReference"/>
                <w:rFonts w:cs="Arial"/>
                <w:color w:val="407C9B"/>
                <w:szCs w:val="20"/>
                <w:lang w:val="ru-RU"/>
              </w:rPr>
              <w:footnoteReference w:id="250"/>
            </w:r>
          </w:p>
        </w:tc>
        <w:tc>
          <w:tcPr>
            <w:tcW w:w="828" w:type="dxa"/>
            <w:shd w:val="clear" w:color="auto" w:fill="F2F2F2" w:themeFill="background1" w:themeFillShade="F2"/>
          </w:tcPr>
          <w:p w14:paraId="0E996539" w14:textId="77777777" w:rsidR="004B77F6" w:rsidRPr="00694ACA" w:rsidRDefault="004B77F6" w:rsidP="00F221C0">
            <w:pPr>
              <w:jc w:val="center"/>
              <w:rPr>
                <w:rFonts w:ascii="Lato" w:hAnsi="Lato" w:cs="Arial"/>
                <w:color w:val="407C9B"/>
                <w:sz w:val="18"/>
                <w:szCs w:val="18"/>
                <w:lang w:val="ru-RU"/>
              </w:rPr>
            </w:pPr>
          </w:p>
        </w:tc>
        <w:tc>
          <w:tcPr>
            <w:tcW w:w="828" w:type="dxa"/>
            <w:shd w:val="clear" w:color="auto" w:fill="F2F2F2" w:themeFill="background1" w:themeFillShade="F2"/>
          </w:tcPr>
          <w:p w14:paraId="2DCD00DE" w14:textId="77777777" w:rsidR="004B77F6" w:rsidRPr="00694ACA" w:rsidRDefault="004B77F6" w:rsidP="00F221C0">
            <w:pPr>
              <w:jc w:val="center"/>
              <w:rPr>
                <w:rFonts w:ascii="Lato" w:hAnsi="Lato" w:cs="Arial"/>
                <w:color w:val="407C9B"/>
                <w:sz w:val="18"/>
                <w:szCs w:val="18"/>
                <w:lang w:val="ru-RU"/>
              </w:rPr>
            </w:pPr>
          </w:p>
        </w:tc>
        <w:tc>
          <w:tcPr>
            <w:tcW w:w="829" w:type="dxa"/>
            <w:shd w:val="clear" w:color="auto" w:fill="F2F2F2" w:themeFill="background1" w:themeFillShade="F2"/>
          </w:tcPr>
          <w:p w14:paraId="2CA7113A" w14:textId="77777777" w:rsidR="004B77F6" w:rsidRPr="00694ACA" w:rsidRDefault="004B77F6" w:rsidP="00F221C0">
            <w:pPr>
              <w:jc w:val="center"/>
              <w:rPr>
                <w:rFonts w:ascii="Lato" w:hAnsi="Lato" w:cs="Arial"/>
                <w:color w:val="407C9B"/>
                <w:sz w:val="18"/>
                <w:szCs w:val="18"/>
                <w:lang w:val="ru-RU"/>
              </w:rPr>
            </w:pPr>
          </w:p>
        </w:tc>
        <w:tc>
          <w:tcPr>
            <w:tcW w:w="828" w:type="dxa"/>
            <w:shd w:val="clear" w:color="auto" w:fill="F2F2F2" w:themeFill="background1" w:themeFillShade="F2"/>
          </w:tcPr>
          <w:p w14:paraId="204CA9FA" w14:textId="77777777" w:rsidR="004B77F6" w:rsidRPr="00694ACA" w:rsidRDefault="004B77F6" w:rsidP="00F221C0">
            <w:pPr>
              <w:jc w:val="center"/>
              <w:rPr>
                <w:rFonts w:ascii="Lato" w:hAnsi="Lato" w:cs="Arial"/>
                <w:color w:val="407C9B"/>
                <w:sz w:val="18"/>
                <w:szCs w:val="18"/>
                <w:lang w:val="ru-RU"/>
              </w:rPr>
            </w:pPr>
            <w:r w:rsidRPr="00694ACA">
              <w:rPr>
                <w:rFonts w:ascii="Lato" w:hAnsi="Lato"/>
                <w:color w:val="407C9B"/>
                <w:sz w:val="18"/>
                <w:szCs w:val="18"/>
                <w:lang w:val="ru-RU"/>
              </w:rPr>
              <w:t>P</w:t>
            </w:r>
          </w:p>
        </w:tc>
        <w:tc>
          <w:tcPr>
            <w:tcW w:w="828" w:type="dxa"/>
            <w:shd w:val="clear" w:color="auto" w:fill="F2F2F2" w:themeFill="background1" w:themeFillShade="F2"/>
          </w:tcPr>
          <w:p w14:paraId="38218F5F" w14:textId="77777777" w:rsidR="004B77F6" w:rsidRPr="00694ACA" w:rsidRDefault="004B77F6" w:rsidP="00F221C0">
            <w:pPr>
              <w:jc w:val="center"/>
              <w:rPr>
                <w:rFonts w:ascii="Lato" w:hAnsi="Lato" w:cs="Arial"/>
                <w:color w:val="407C9B"/>
                <w:sz w:val="18"/>
                <w:szCs w:val="18"/>
                <w:lang w:val="ru-RU"/>
              </w:rPr>
            </w:pPr>
          </w:p>
        </w:tc>
        <w:tc>
          <w:tcPr>
            <w:tcW w:w="829" w:type="dxa"/>
            <w:shd w:val="clear" w:color="auto" w:fill="F2F2F2" w:themeFill="background1" w:themeFillShade="F2"/>
          </w:tcPr>
          <w:p w14:paraId="7A860826" w14:textId="77777777" w:rsidR="004B77F6" w:rsidRPr="00694ACA" w:rsidRDefault="004B77F6" w:rsidP="00F221C0">
            <w:pPr>
              <w:jc w:val="center"/>
              <w:rPr>
                <w:rFonts w:ascii="Lato" w:hAnsi="Lato" w:cs="Arial"/>
                <w:color w:val="407C9B"/>
                <w:sz w:val="18"/>
                <w:szCs w:val="18"/>
                <w:lang w:val="ru-RU"/>
              </w:rPr>
            </w:pPr>
          </w:p>
        </w:tc>
        <w:tc>
          <w:tcPr>
            <w:tcW w:w="828" w:type="dxa"/>
            <w:shd w:val="clear" w:color="auto" w:fill="F2F2F2" w:themeFill="background1" w:themeFillShade="F2"/>
          </w:tcPr>
          <w:p w14:paraId="02F39571" w14:textId="77777777" w:rsidR="004B77F6" w:rsidRPr="00694ACA" w:rsidRDefault="004B77F6" w:rsidP="00F221C0">
            <w:pPr>
              <w:jc w:val="center"/>
              <w:rPr>
                <w:rFonts w:ascii="Lato" w:hAnsi="Lato" w:cs="Arial"/>
                <w:color w:val="407C9B"/>
                <w:sz w:val="18"/>
                <w:szCs w:val="18"/>
                <w:lang w:val="ru-RU"/>
              </w:rPr>
            </w:pPr>
          </w:p>
        </w:tc>
        <w:tc>
          <w:tcPr>
            <w:tcW w:w="828" w:type="dxa"/>
            <w:shd w:val="clear" w:color="auto" w:fill="F2F2F2" w:themeFill="background1" w:themeFillShade="F2"/>
          </w:tcPr>
          <w:p w14:paraId="55B8B870" w14:textId="77777777" w:rsidR="004B77F6" w:rsidRPr="00694ACA" w:rsidRDefault="004B77F6" w:rsidP="00F221C0">
            <w:pPr>
              <w:jc w:val="center"/>
              <w:rPr>
                <w:rFonts w:ascii="Lato" w:hAnsi="Lato" w:cs="Arial"/>
                <w:color w:val="407C9B"/>
                <w:sz w:val="18"/>
                <w:szCs w:val="18"/>
                <w:lang w:val="ru-RU"/>
              </w:rPr>
            </w:pPr>
          </w:p>
        </w:tc>
        <w:tc>
          <w:tcPr>
            <w:tcW w:w="829" w:type="dxa"/>
            <w:shd w:val="clear" w:color="auto" w:fill="F2F2F2" w:themeFill="background1" w:themeFillShade="F2"/>
          </w:tcPr>
          <w:p w14:paraId="2A8876DC" w14:textId="77777777" w:rsidR="004B77F6" w:rsidRPr="00694ACA" w:rsidRDefault="004B77F6" w:rsidP="00F221C0">
            <w:pPr>
              <w:jc w:val="center"/>
              <w:rPr>
                <w:rFonts w:ascii="Lato" w:hAnsi="Lato" w:cs="Arial"/>
                <w:color w:val="407C9B"/>
                <w:sz w:val="18"/>
                <w:szCs w:val="18"/>
                <w:lang w:val="ru-RU"/>
              </w:rPr>
            </w:pPr>
          </w:p>
        </w:tc>
      </w:tr>
      <w:tr w:rsidR="004B77F6" w:rsidRPr="00694ACA" w14:paraId="182704B1" w14:textId="77777777" w:rsidTr="0068182E">
        <w:trPr>
          <w:gridAfter w:val="1"/>
          <w:wAfter w:w="6" w:type="dxa"/>
        </w:trPr>
        <w:tc>
          <w:tcPr>
            <w:tcW w:w="1555" w:type="dxa"/>
            <w:shd w:val="clear" w:color="auto" w:fill="F2F2F2" w:themeFill="background1" w:themeFillShade="F2"/>
          </w:tcPr>
          <w:p w14:paraId="73239F86" w14:textId="77777777" w:rsidR="004B77F6" w:rsidRPr="00694ACA" w:rsidRDefault="004B77F6" w:rsidP="00F221C0">
            <w:pPr>
              <w:rPr>
                <w:rFonts w:ascii="Lato" w:hAnsi="Lato" w:cs="Arial"/>
                <w:color w:val="407C9B"/>
                <w:szCs w:val="20"/>
                <w:lang w:val="ru-RU"/>
              </w:rPr>
            </w:pPr>
            <w:r w:rsidRPr="00694ACA">
              <w:rPr>
                <w:rFonts w:ascii="Lato" w:hAnsi="Lato"/>
                <w:color w:val="407C9B"/>
                <w:sz w:val="18"/>
                <w:szCs w:val="22"/>
                <w:lang w:val="ru-RU"/>
              </w:rPr>
              <w:lastRenderedPageBreak/>
              <w:t>УООН</w:t>
            </w:r>
            <w:r w:rsidRPr="00694ACA">
              <w:rPr>
                <w:rStyle w:val="FootnoteReference"/>
                <w:rFonts w:cs="Arial"/>
                <w:color w:val="407C9B"/>
                <w:szCs w:val="20"/>
                <w:lang w:val="ru-RU"/>
              </w:rPr>
              <w:footnoteReference w:id="251"/>
            </w:r>
          </w:p>
        </w:tc>
        <w:tc>
          <w:tcPr>
            <w:tcW w:w="828" w:type="dxa"/>
            <w:shd w:val="clear" w:color="auto" w:fill="F2F2F2" w:themeFill="background1" w:themeFillShade="F2"/>
          </w:tcPr>
          <w:p w14:paraId="38ABBABC" w14:textId="77777777" w:rsidR="004B77F6" w:rsidRPr="00694ACA" w:rsidRDefault="004B77F6" w:rsidP="00F221C0">
            <w:pPr>
              <w:jc w:val="center"/>
              <w:rPr>
                <w:rFonts w:ascii="Lato" w:hAnsi="Lato" w:cs="Arial"/>
                <w:color w:val="407C9B"/>
                <w:sz w:val="18"/>
                <w:szCs w:val="18"/>
                <w:lang w:val="ru-RU"/>
              </w:rPr>
            </w:pPr>
          </w:p>
        </w:tc>
        <w:tc>
          <w:tcPr>
            <w:tcW w:w="828" w:type="dxa"/>
            <w:shd w:val="clear" w:color="auto" w:fill="F2F2F2" w:themeFill="background1" w:themeFillShade="F2"/>
          </w:tcPr>
          <w:p w14:paraId="2F279D3B" w14:textId="77777777" w:rsidR="004B77F6" w:rsidRPr="00694ACA" w:rsidRDefault="004B77F6" w:rsidP="00F221C0">
            <w:pPr>
              <w:jc w:val="center"/>
              <w:rPr>
                <w:rFonts w:ascii="Lato" w:hAnsi="Lato" w:cs="Arial"/>
                <w:color w:val="407C9B"/>
                <w:sz w:val="18"/>
                <w:szCs w:val="18"/>
                <w:lang w:val="ru-RU"/>
              </w:rPr>
            </w:pPr>
            <w:r w:rsidRPr="00694ACA">
              <w:rPr>
                <w:rFonts w:ascii="Lato" w:hAnsi="Lato"/>
                <w:color w:val="407C9B"/>
                <w:sz w:val="18"/>
                <w:szCs w:val="18"/>
                <w:lang w:val="ru-RU"/>
              </w:rPr>
              <w:t>P</w:t>
            </w:r>
          </w:p>
        </w:tc>
        <w:tc>
          <w:tcPr>
            <w:tcW w:w="829" w:type="dxa"/>
            <w:shd w:val="clear" w:color="auto" w:fill="F2F2F2" w:themeFill="background1" w:themeFillShade="F2"/>
          </w:tcPr>
          <w:p w14:paraId="1DC7BF98" w14:textId="77777777" w:rsidR="004B77F6" w:rsidRPr="00694ACA" w:rsidRDefault="004B77F6" w:rsidP="00F221C0">
            <w:pPr>
              <w:jc w:val="center"/>
              <w:rPr>
                <w:rFonts w:ascii="Lato" w:hAnsi="Lato" w:cs="Arial"/>
                <w:color w:val="407C9B"/>
                <w:sz w:val="18"/>
                <w:szCs w:val="18"/>
                <w:lang w:val="ru-RU"/>
              </w:rPr>
            </w:pPr>
          </w:p>
        </w:tc>
        <w:tc>
          <w:tcPr>
            <w:tcW w:w="828" w:type="dxa"/>
            <w:shd w:val="clear" w:color="auto" w:fill="F2F2F2" w:themeFill="background1" w:themeFillShade="F2"/>
          </w:tcPr>
          <w:p w14:paraId="130DF7EC" w14:textId="77777777" w:rsidR="004B77F6" w:rsidRPr="00694ACA" w:rsidRDefault="004B77F6" w:rsidP="00F221C0">
            <w:pPr>
              <w:jc w:val="center"/>
              <w:rPr>
                <w:rFonts w:ascii="Lato" w:hAnsi="Lato" w:cs="Arial"/>
                <w:color w:val="407C9B"/>
                <w:sz w:val="18"/>
                <w:szCs w:val="18"/>
                <w:lang w:val="ru-RU"/>
              </w:rPr>
            </w:pPr>
            <w:r w:rsidRPr="00694ACA">
              <w:rPr>
                <w:rFonts w:ascii="Lato" w:hAnsi="Lato"/>
                <w:color w:val="407C9B"/>
                <w:sz w:val="18"/>
                <w:szCs w:val="18"/>
                <w:lang w:val="ru-RU"/>
              </w:rPr>
              <w:t>P</w:t>
            </w:r>
          </w:p>
        </w:tc>
        <w:tc>
          <w:tcPr>
            <w:tcW w:w="828" w:type="dxa"/>
            <w:shd w:val="clear" w:color="auto" w:fill="F2F2F2" w:themeFill="background1" w:themeFillShade="F2"/>
          </w:tcPr>
          <w:p w14:paraId="19ECDA13" w14:textId="77777777" w:rsidR="004B77F6" w:rsidRPr="00694ACA" w:rsidRDefault="004B77F6" w:rsidP="00F221C0">
            <w:pPr>
              <w:jc w:val="center"/>
              <w:rPr>
                <w:rFonts w:ascii="Lato" w:hAnsi="Lato" w:cs="Arial"/>
                <w:color w:val="407C9B"/>
                <w:sz w:val="18"/>
                <w:szCs w:val="18"/>
                <w:lang w:val="ru-RU"/>
              </w:rPr>
            </w:pPr>
          </w:p>
        </w:tc>
        <w:tc>
          <w:tcPr>
            <w:tcW w:w="829" w:type="dxa"/>
            <w:shd w:val="clear" w:color="auto" w:fill="F2F2F2" w:themeFill="background1" w:themeFillShade="F2"/>
          </w:tcPr>
          <w:p w14:paraId="2E76CD5D" w14:textId="77777777" w:rsidR="004B77F6" w:rsidRPr="00694ACA" w:rsidRDefault="004B77F6" w:rsidP="00F221C0">
            <w:pPr>
              <w:jc w:val="center"/>
              <w:rPr>
                <w:rFonts w:ascii="Lato" w:hAnsi="Lato" w:cs="Arial"/>
                <w:color w:val="407C9B"/>
                <w:sz w:val="18"/>
                <w:szCs w:val="18"/>
                <w:lang w:val="ru-RU"/>
              </w:rPr>
            </w:pPr>
          </w:p>
        </w:tc>
        <w:tc>
          <w:tcPr>
            <w:tcW w:w="828" w:type="dxa"/>
            <w:shd w:val="clear" w:color="auto" w:fill="F2F2F2" w:themeFill="background1" w:themeFillShade="F2"/>
          </w:tcPr>
          <w:p w14:paraId="1EB1470C" w14:textId="77777777" w:rsidR="004B77F6" w:rsidRPr="00694ACA" w:rsidRDefault="004B77F6" w:rsidP="00F221C0">
            <w:pPr>
              <w:jc w:val="center"/>
              <w:rPr>
                <w:rFonts w:ascii="Lato" w:hAnsi="Lato" w:cs="Arial"/>
                <w:color w:val="407C9B"/>
                <w:sz w:val="18"/>
                <w:szCs w:val="18"/>
                <w:lang w:val="ru-RU"/>
              </w:rPr>
            </w:pPr>
          </w:p>
        </w:tc>
        <w:tc>
          <w:tcPr>
            <w:tcW w:w="828" w:type="dxa"/>
            <w:shd w:val="clear" w:color="auto" w:fill="F2F2F2" w:themeFill="background1" w:themeFillShade="F2"/>
          </w:tcPr>
          <w:p w14:paraId="11FF5E2B" w14:textId="77777777" w:rsidR="004B77F6" w:rsidRPr="00694ACA" w:rsidRDefault="004B77F6" w:rsidP="00F221C0">
            <w:pPr>
              <w:jc w:val="center"/>
              <w:rPr>
                <w:rFonts w:ascii="Lato" w:hAnsi="Lato" w:cs="Arial"/>
                <w:color w:val="407C9B"/>
                <w:sz w:val="18"/>
                <w:szCs w:val="18"/>
                <w:lang w:val="ru-RU"/>
              </w:rPr>
            </w:pPr>
            <w:r w:rsidRPr="00694ACA">
              <w:rPr>
                <w:rFonts w:ascii="Lato" w:hAnsi="Lato"/>
                <w:color w:val="407C9B"/>
                <w:sz w:val="18"/>
                <w:szCs w:val="18"/>
                <w:lang w:val="ru-RU"/>
              </w:rPr>
              <w:t>P</w:t>
            </w:r>
          </w:p>
        </w:tc>
        <w:tc>
          <w:tcPr>
            <w:tcW w:w="829" w:type="dxa"/>
            <w:shd w:val="clear" w:color="auto" w:fill="F2F2F2" w:themeFill="background1" w:themeFillShade="F2"/>
          </w:tcPr>
          <w:p w14:paraId="0CCC640D" w14:textId="77777777" w:rsidR="004B77F6" w:rsidRPr="00694ACA" w:rsidRDefault="004B77F6" w:rsidP="00F221C0">
            <w:pPr>
              <w:jc w:val="center"/>
              <w:rPr>
                <w:rFonts w:ascii="Lato" w:hAnsi="Lato" w:cs="Arial"/>
                <w:color w:val="407C9B"/>
                <w:sz w:val="18"/>
                <w:szCs w:val="18"/>
                <w:lang w:val="ru-RU"/>
              </w:rPr>
            </w:pPr>
          </w:p>
        </w:tc>
      </w:tr>
      <w:tr w:rsidR="004B77F6" w:rsidRPr="00694ACA" w14:paraId="0B50C562" w14:textId="77777777" w:rsidTr="0068182E">
        <w:trPr>
          <w:gridAfter w:val="1"/>
          <w:wAfter w:w="6" w:type="dxa"/>
        </w:trPr>
        <w:tc>
          <w:tcPr>
            <w:tcW w:w="1555" w:type="dxa"/>
            <w:shd w:val="clear" w:color="auto" w:fill="F2F2F2" w:themeFill="background1" w:themeFillShade="F2"/>
          </w:tcPr>
          <w:p w14:paraId="2BEBB618" w14:textId="7FF6C862" w:rsidR="004B77F6" w:rsidRPr="00694ACA" w:rsidRDefault="004B77F6" w:rsidP="00F221C0">
            <w:pPr>
              <w:rPr>
                <w:rFonts w:ascii="Lato" w:hAnsi="Lato" w:cs="Arial"/>
                <w:color w:val="407C9B"/>
                <w:szCs w:val="20"/>
                <w:lang w:val="ru-RU"/>
              </w:rPr>
            </w:pPr>
            <w:r w:rsidRPr="00694ACA">
              <w:rPr>
                <w:rFonts w:ascii="Lato" w:hAnsi="Lato"/>
                <w:color w:val="407C9B"/>
                <w:sz w:val="18"/>
                <w:szCs w:val="22"/>
                <w:lang w:val="ru-RU"/>
              </w:rPr>
              <w:t xml:space="preserve">Структура </w:t>
            </w:r>
            <w:r w:rsidR="006E72AD" w:rsidRPr="00694ACA">
              <w:rPr>
                <w:rFonts w:ascii="Lato" w:hAnsi="Lato"/>
                <w:color w:val="407C9B"/>
                <w:sz w:val="18"/>
                <w:szCs w:val="22"/>
                <w:lang w:val="ru-RU"/>
              </w:rPr>
              <w:t>"</w:t>
            </w:r>
            <w:r w:rsidRPr="00694ACA">
              <w:rPr>
                <w:rFonts w:ascii="Lato" w:hAnsi="Lato"/>
                <w:color w:val="407C9B"/>
                <w:sz w:val="18"/>
                <w:szCs w:val="22"/>
                <w:lang w:val="ru-RU"/>
              </w:rPr>
              <w:t>ООН-женщины</w:t>
            </w:r>
            <w:r w:rsidR="006E72AD" w:rsidRPr="00694ACA">
              <w:rPr>
                <w:rFonts w:ascii="Lato" w:hAnsi="Lato"/>
                <w:color w:val="407C9B"/>
                <w:sz w:val="18"/>
                <w:szCs w:val="22"/>
                <w:lang w:val="ru-RU"/>
              </w:rPr>
              <w:t>"</w:t>
            </w:r>
            <w:r w:rsidRPr="00694ACA">
              <w:rPr>
                <w:rStyle w:val="FootnoteReference"/>
                <w:rFonts w:cs="Arial"/>
                <w:color w:val="407C9B"/>
                <w:szCs w:val="20"/>
                <w:lang w:val="ru-RU"/>
              </w:rPr>
              <w:footnoteReference w:id="252"/>
            </w:r>
          </w:p>
        </w:tc>
        <w:tc>
          <w:tcPr>
            <w:tcW w:w="828" w:type="dxa"/>
            <w:shd w:val="clear" w:color="auto" w:fill="F2F2F2" w:themeFill="background1" w:themeFillShade="F2"/>
          </w:tcPr>
          <w:p w14:paraId="0CB58E9D" w14:textId="77777777" w:rsidR="004B77F6" w:rsidRPr="00694ACA" w:rsidRDefault="004B77F6" w:rsidP="00F221C0">
            <w:pPr>
              <w:jc w:val="center"/>
              <w:rPr>
                <w:rFonts w:ascii="Lato" w:hAnsi="Lato" w:cs="Arial"/>
                <w:color w:val="407C9B"/>
                <w:sz w:val="18"/>
                <w:szCs w:val="18"/>
                <w:lang w:val="ru-RU"/>
              </w:rPr>
            </w:pPr>
          </w:p>
        </w:tc>
        <w:tc>
          <w:tcPr>
            <w:tcW w:w="828" w:type="dxa"/>
            <w:shd w:val="clear" w:color="auto" w:fill="F2F2F2" w:themeFill="background1" w:themeFillShade="F2"/>
          </w:tcPr>
          <w:p w14:paraId="2C2CD2FC" w14:textId="77777777" w:rsidR="004B77F6" w:rsidRPr="00694ACA" w:rsidRDefault="004B77F6" w:rsidP="00F221C0">
            <w:pPr>
              <w:jc w:val="center"/>
              <w:rPr>
                <w:rFonts w:ascii="Lato" w:hAnsi="Lato" w:cs="Arial"/>
                <w:color w:val="407C9B"/>
                <w:sz w:val="18"/>
                <w:szCs w:val="18"/>
                <w:lang w:val="ru-RU"/>
              </w:rPr>
            </w:pPr>
            <w:r w:rsidRPr="00694ACA">
              <w:rPr>
                <w:rFonts w:ascii="Lato" w:hAnsi="Lato"/>
                <w:color w:val="407C9B"/>
                <w:sz w:val="18"/>
                <w:szCs w:val="18"/>
                <w:lang w:val="ru-RU"/>
              </w:rPr>
              <w:t>P</w:t>
            </w:r>
          </w:p>
        </w:tc>
        <w:tc>
          <w:tcPr>
            <w:tcW w:w="829" w:type="dxa"/>
            <w:shd w:val="clear" w:color="auto" w:fill="F2F2F2" w:themeFill="background1" w:themeFillShade="F2"/>
          </w:tcPr>
          <w:p w14:paraId="4EA6DEFE" w14:textId="77777777" w:rsidR="004B77F6" w:rsidRPr="00694ACA" w:rsidRDefault="004B77F6" w:rsidP="00F221C0">
            <w:pPr>
              <w:jc w:val="center"/>
              <w:rPr>
                <w:rFonts w:ascii="Lato" w:hAnsi="Lato" w:cs="Arial"/>
                <w:color w:val="407C9B"/>
                <w:sz w:val="18"/>
                <w:szCs w:val="18"/>
                <w:lang w:val="ru-RU"/>
              </w:rPr>
            </w:pPr>
          </w:p>
        </w:tc>
        <w:tc>
          <w:tcPr>
            <w:tcW w:w="828" w:type="dxa"/>
            <w:shd w:val="clear" w:color="auto" w:fill="F2F2F2" w:themeFill="background1" w:themeFillShade="F2"/>
          </w:tcPr>
          <w:p w14:paraId="72C5A11E" w14:textId="77777777" w:rsidR="004B77F6" w:rsidRPr="00694ACA" w:rsidRDefault="004B77F6" w:rsidP="00F221C0">
            <w:pPr>
              <w:jc w:val="center"/>
              <w:rPr>
                <w:rFonts w:ascii="Lato" w:hAnsi="Lato" w:cs="Arial"/>
                <w:color w:val="407C9B"/>
                <w:sz w:val="18"/>
                <w:szCs w:val="18"/>
                <w:lang w:val="ru-RU"/>
              </w:rPr>
            </w:pPr>
            <w:r w:rsidRPr="00694ACA">
              <w:rPr>
                <w:rFonts w:ascii="Lato" w:hAnsi="Lato"/>
                <w:color w:val="407C9B"/>
                <w:sz w:val="18"/>
                <w:szCs w:val="18"/>
                <w:lang w:val="ru-RU"/>
              </w:rPr>
              <w:t>P</w:t>
            </w:r>
          </w:p>
        </w:tc>
        <w:tc>
          <w:tcPr>
            <w:tcW w:w="828" w:type="dxa"/>
            <w:shd w:val="clear" w:color="auto" w:fill="F2F2F2" w:themeFill="background1" w:themeFillShade="F2"/>
          </w:tcPr>
          <w:p w14:paraId="22C2FCDA" w14:textId="77777777" w:rsidR="004B77F6" w:rsidRPr="00694ACA" w:rsidRDefault="004B77F6" w:rsidP="00F221C0">
            <w:pPr>
              <w:jc w:val="center"/>
              <w:rPr>
                <w:rFonts w:ascii="Lato" w:hAnsi="Lato" w:cs="Arial"/>
                <w:color w:val="407C9B"/>
                <w:sz w:val="18"/>
                <w:szCs w:val="18"/>
                <w:lang w:val="ru-RU"/>
              </w:rPr>
            </w:pPr>
          </w:p>
        </w:tc>
        <w:tc>
          <w:tcPr>
            <w:tcW w:w="829" w:type="dxa"/>
            <w:shd w:val="clear" w:color="auto" w:fill="F2F2F2" w:themeFill="background1" w:themeFillShade="F2"/>
          </w:tcPr>
          <w:p w14:paraId="2D6B01E6" w14:textId="77777777" w:rsidR="004B77F6" w:rsidRPr="00694ACA" w:rsidRDefault="004B77F6" w:rsidP="00F221C0">
            <w:pPr>
              <w:jc w:val="center"/>
              <w:rPr>
                <w:rFonts w:ascii="Lato" w:hAnsi="Lato" w:cs="Arial"/>
                <w:color w:val="407C9B"/>
                <w:sz w:val="18"/>
                <w:szCs w:val="18"/>
                <w:lang w:val="ru-RU"/>
              </w:rPr>
            </w:pPr>
          </w:p>
        </w:tc>
        <w:tc>
          <w:tcPr>
            <w:tcW w:w="828" w:type="dxa"/>
            <w:shd w:val="clear" w:color="auto" w:fill="F2F2F2" w:themeFill="background1" w:themeFillShade="F2"/>
          </w:tcPr>
          <w:p w14:paraId="7D34B210" w14:textId="77777777" w:rsidR="004B77F6" w:rsidRPr="00694ACA" w:rsidRDefault="004B77F6" w:rsidP="00F221C0">
            <w:pPr>
              <w:jc w:val="center"/>
              <w:rPr>
                <w:rFonts w:ascii="Lato" w:hAnsi="Lato" w:cs="Arial"/>
                <w:color w:val="407C9B"/>
                <w:sz w:val="18"/>
                <w:szCs w:val="18"/>
                <w:lang w:val="ru-RU"/>
              </w:rPr>
            </w:pPr>
          </w:p>
        </w:tc>
        <w:tc>
          <w:tcPr>
            <w:tcW w:w="828" w:type="dxa"/>
            <w:shd w:val="clear" w:color="auto" w:fill="F2F2F2" w:themeFill="background1" w:themeFillShade="F2"/>
          </w:tcPr>
          <w:p w14:paraId="69A00406" w14:textId="77777777" w:rsidR="004B77F6" w:rsidRPr="00694ACA" w:rsidRDefault="004B77F6" w:rsidP="00F221C0">
            <w:pPr>
              <w:jc w:val="center"/>
              <w:rPr>
                <w:rFonts w:ascii="Lato" w:hAnsi="Lato" w:cs="Arial"/>
                <w:color w:val="407C9B"/>
                <w:sz w:val="18"/>
                <w:szCs w:val="18"/>
                <w:lang w:val="ru-RU"/>
              </w:rPr>
            </w:pPr>
          </w:p>
        </w:tc>
        <w:tc>
          <w:tcPr>
            <w:tcW w:w="829" w:type="dxa"/>
            <w:shd w:val="clear" w:color="auto" w:fill="F2F2F2" w:themeFill="background1" w:themeFillShade="F2"/>
          </w:tcPr>
          <w:p w14:paraId="3AC74FE5" w14:textId="77777777" w:rsidR="004B77F6" w:rsidRPr="00694ACA" w:rsidRDefault="004B77F6" w:rsidP="00F221C0">
            <w:pPr>
              <w:jc w:val="center"/>
              <w:rPr>
                <w:rFonts w:ascii="Lato" w:hAnsi="Lato" w:cs="Arial"/>
                <w:color w:val="407C9B"/>
                <w:sz w:val="18"/>
                <w:szCs w:val="18"/>
                <w:lang w:val="ru-RU"/>
              </w:rPr>
            </w:pPr>
          </w:p>
        </w:tc>
      </w:tr>
      <w:tr w:rsidR="004B77F6" w:rsidRPr="00694ACA" w14:paraId="4D954120" w14:textId="77777777" w:rsidTr="0068182E">
        <w:trPr>
          <w:gridAfter w:val="1"/>
          <w:wAfter w:w="6" w:type="dxa"/>
        </w:trPr>
        <w:tc>
          <w:tcPr>
            <w:tcW w:w="1555" w:type="dxa"/>
            <w:shd w:val="clear" w:color="auto" w:fill="F2F2F2" w:themeFill="background1" w:themeFillShade="F2"/>
          </w:tcPr>
          <w:p w14:paraId="34B0F521" w14:textId="77777777" w:rsidR="004B77F6" w:rsidRPr="00694ACA" w:rsidRDefault="004B77F6" w:rsidP="00F221C0">
            <w:pPr>
              <w:rPr>
                <w:rFonts w:ascii="Lato" w:hAnsi="Lato" w:cs="Arial"/>
                <w:color w:val="407C9B"/>
                <w:szCs w:val="20"/>
                <w:lang w:val="ru-RU"/>
              </w:rPr>
            </w:pPr>
            <w:r w:rsidRPr="00694ACA">
              <w:rPr>
                <w:rFonts w:ascii="Lato" w:hAnsi="Lato"/>
                <w:color w:val="407C9B"/>
                <w:sz w:val="18"/>
                <w:szCs w:val="22"/>
                <w:lang w:val="ru-RU"/>
              </w:rPr>
              <w:t>ЮНВТО</w:t>
            </w:r>
          </w:p>
        </w:tc>
        <w:tc>
          <w:tcPr>
            <w:tcW w:w="828" w:type="dxa"/>
            <w:shd w:val="clear" w:color="auto" w:fill="F2F2F2" w:themeFill="background1" w:themeFillShade="F2"/>
          </w:tcPr>
          <w:p w14:paraId="03B8B322" w14:textId="77777777" w:rsidR="004B77F6" w:rsidRPr="00694ACA" w:rsidRDefault="004B77F6" w:rsidP="00F221C0">
            <w:pPr>
              <w:jc w:val="center"/>
              <w:rPr>
                <w:rFonts w:ascii="Lato" w:hAnsi="Lato" w:cs="Arial"/>
                <w:color w:val="407C9B"/>
                <w:sz w:val="18"/>
                <w:szCs w:val="18"/>
                <w:lang w:val="ru-RU"/>
              </w:rPr>
            </w:pPr>
          </w:p>
        </w:tc>
        <w:tc>
          <w:tcPr>
            <w:tcW w:w="828" w:type="dxa"/>
            <w:shd w:val="clear" w:color="auto" w:fill="F2F2F2" w:themeFill="background1" w:themeFillShade="F2"/>
          </w:tcPr>
          <w:p w14:paraId="5FBCBF0B" w14:textId="77777777" w:rsidR="004B77F6" w:rsidRPr="00694ACA" w:rsidRDefault="004B77F6" w:rsidP="00F221C0">
            <w:pPr>
              <w:jc w:val="center"/>
              <w:rPr>
                <w:rFonts w:ascii="Lato" w:hAnsi="Lato" w:cs="Arial"/>
                <w:color w:val="407C9B"/>
                <w:sz w:val="18"/>
                <w:szCs w:val="18"/>
                <w:lang w:val="ru-RU"/>
              </w:rPr>
            </w:pPr>
          </w:p>
        </w:tc>
        <w:tc>
          <w:tcPr>
            <w:tcW w:w="829" w:type="dxa"/>
            <w:shd w:val="clear" w:color="auto" w:fill="F2F2F2" w:themeFill="background1" w:themeFillShade="F2"/>
          </w:tcPr>
          <w:p w14:paraId="66FA02D4" w14:textId="77777777" w:rsidR="004B77F6" w:rsidRPr="00694ACA" w:rsidRDefault="004B77F6" w:rsidP="00F221C0">
            <w:pPr>
              <w:jc w:val="center"/>
              <w:rPr>
                <w:rFonts w:ascii="Lato" w:hAnsi="Lato" w:cs="Arial"/>
                <w:color w:val="407C9B"/>
                <w:sz w:val="18"/>
                <w:szCs w:val="18"/>
                <w:lang w:val="ru-RU"/>
              </w:rPr>
            </w:pPr>
          </w:p>
        </w:tc>
        <w:tc>
          <w:tcPr>
            <w:tcW w:w="828" w:type="dxa"/>
            <w:shd w:val="clear" w:color="auto" w:fill="F2F2F2" w:themeFill="background1" w:themeFillShade="F2"/>
          </w:tcPr>
          <w:p w14:paraId="204B6632" w14:textId="77777777" w:rsidR="004B77F6" w:rsidRPr="00694ACA" w:rsidRDefault="004B77F6" w:rsidP="00F221C0">
            <w:pPr>
              <w:jc w:val="center"/>
              <w:rPr>
                <w:rFonts w:ascii="Lato" w:hAnsi="Lato" w:cs="Arial"/>
                <w:color w:val="407C9B"/>
                <w:sz w:val="18"/>
                <w:szCs w:val="18"/>
                <w:lang w:val="ru-RU"/>
              </w:rPr>
            </w:pPr>
            <w:r w:rsidRPr="00694ACA">
              <w:rPr>
                <w:rFonts w:ascii="Lato" w:hAnsi="Lato"/>
                <w:color w:val="407C9B"/>
                <w:sz w:val="18"/>
                <w:szCs w:val="18"/>
                <w:lang w:val="ru-RU"/>
              </w:rPr>
              <w:t>P</w:t>
            </w:r>
          </w:p>
        </w:tc>
        <w:tc>
          <w:tcPr>
            <w:tcW w:w="828" w:type="dxa"/>
            <w:shd w:val="clear" w:color="auto" w:fill="F2F2F2" w:themeFill="background1" w:themeFillShade="F2"/>
          </w:tcPr>
          <w:p w14:paraId="079C4437" w14:textId="77777777" w:rsidR="004B77F6" w:rsidRPr="00694ACA" w:rsidRDefault="004B77F6" w:rsidP="00F221C0">
            <w:pPr>
              <w:jc w:val="center"/>
              <w:rPr>
                <w:rFonts w:ascii="Lato" w:hAnsi="Lato" w:cs="Arial"/>
                <w:color w:val="407C9B"/>
                <w:sz w:val="18"/>
                <w:szCs w:val="18"/>
                <w:lang w:val="ru-RU"/>
              </w:rPr>
            </w:pPr>
          </w:p>
        </w:tc>
        <w:tc>
          <w:tcPr>
            <w:tcW w:w="829" w:type="dxa"/>
            <w:shd w:val="clear" w:color="auto" w:fill="F2F2F2" w:themeFill="background1" w:themeFillShade="F2"/>
          </w:tcPr>
          <w:p w14:paraId="10F1A05D" w14:textId="77777777" w:rsidR="004B77F6" w:rsidRPr="00694ACA" w:rsidRDefault="004B77F6" w:rsidP="00F221C0">
            <w:pPr>
              <w:jc w:val="center"/>
              <w:rPr>
                <w:rFonts w:ascii="Lato" w:hAnsi="Lato" w:cs="Arial"/>
                <w:color w:val="407C9B"/>
                <w:sz w:val="18"/>
                <w:szCs w:val="18"/>
                <w:lang w:val="ru-RU"/>
              </w:rPr>
            </w:pPr>
          </w:p>
        </w:tc>
        <w:tc>
          <w:tcPr>
            <w:tcW w:w="828" w:type="dxa"/>
            <w:shd w:val="clear" w:color="auto" w:fill="F2F2F2" w:themeFill="background1" w:themeFillShade="F2"/>
          </w:tcPr>
          <w:p w14:paraId="20A1D3F9" w14:textId="77777777" w:rsidR="004B77F6" w:rsidRPr="00694ACA" w:rsidRDefault="004B77F6" w:rsidP="00F221C0">
            <w:pPr>
              <w:jc w:val="center"/>
              <w:rPr>
                <w:rFonts w:ascii="Lato" w:hAnsi="Lato" w:cs="Arial"/>
                <w:color w:val="407C9B"/>
                <w:sz w:val="18"/>
                <w:szCs w:val="18"/>
                <w:lang w:val="ru-RU"/>
              </w:rPr>
            </w:pPr>
          </w:p>
        </w:tc>
        <w:tc>
          <w:tcPr>
            <w:tcW w:w="828" w:type="dxa"/>
            <w:shd w:val="clear" w:color="auto" w:fill="F2F2F2" w:themeFill="background1" w:themeFillShade="F2"/>
          </w:tcPr>
          <w:p w14:paraId="7B4DB62B" w14:textId="77777777" w:rsidR="004B77F6" w:rsidRPr="00694ACA" w:rsidRDefault="004B77F6" w:rsidP="00F221C0">
            <w:pPr>
              <w:jc w:val="center"/>
              <w:rPr>
                <w:rFonts w:ascii="Lato" w:hAnsi="Lato" w:cs="Arial"/>
                <w:color w:val="407C9B"/>
                <w:sz w:val="18"/>
                <w:szCs w:val="18"/>
                <w:lang w:val="ru-RU"/>
              </w:rPr>
            </w:pPr>
          </w:p>
        </w:tc>
        <w:tc>
          <w:tcPr>
            <w:tcW w:w="829" w:type="dxa"/>
            <w:shd w:val="clear" w:color="auto" w:fill="F2F2F2" w:themeFill="background1" w:themeFillShade="F2"/>
          </w:tcPr>
          <w:p w14:paraId="6F529118" w14:textId="77777777" w:rsidR="004B77F6" w:rsidRPr="00694ACA" w:rsidRDefault="004B77F6" w:rsidP="00F221C0">
            <w:pPr>
              <w:jc w:val="center"/>
              <w:rPr>
                <w:rFonts w:ascii="Lato" w:hAnsi="Lato" w:cs="Arial"/>
                <w:color w:val="407C9B"/>
                <w:sz w:val="18"/>
                <w:szCs w:val="18"/>
                <w:lang w:val="ru-RU"/>
              </w:rPr>
            </w:pPr>
          </w:p>
        </w:tc>
      </w:tr>
      <w:tr w:rsidR="004B77F6" w:rsidRPr="00694ACA" w14:paraId="3FCCD2F6" w14:textId="77777777" w:rsidTr="0068182E">
        <w:trPr>
          <w:gridAfter w:val="1"/>
          <w:wAfter w:w="6" w:type="dxa"/>
        </w:trPr>
        <w:tc>
          <w:tcPr>
            <w:tcW w:w="1555" w:type="dxa"/>
            <w:shd w:val="clear" w:color="auto" w:fill="F2F2F2" w:themeFill="background1" w:themeFillShade="F2"/>
          </w:tcPr>
          <w:p w14:paraId="71F048C1" w14:textId="77777777" w:rsidR="004B77F6" w:rsidRPr="00694ACA" w:rsidRDefault="004B77F6" w:rsidP="00F221C0">
            <w:pPr>
              <w:rPr>
                <w:rFonts w:ascii="Lato" w:hAnsi="Lato" w:cs="Arial"/>
                <w:color w:val="407C9B"/>
                <w:szCs w:val="20"/>
                <w:lang w:val="ru-RU"/>
              </w:rPr>
            </w:pPr>
            <w:r w:rsidRPr="00694ACA">
              <w:rPr>
                <w:rFonts w:ascii="Lato" w:hAnsi="Lato"/>
                <w:color w:val="407C9B"/>
                <w:sz w:val="18"/>
                <w:szCs w:val="22"/>
                <w:lang w:val="ru-RU"/>
              </w:rPr>
              <w:t>ВОИС</w:t>
            </w:r>
            <w:r w:rsidRPr="00694ACA">
              <w:rPr>
                <w:rStyle w:val="FootnoteReference"/>
                <w:rFonts w:cs="Arial"/>
                <w:color w:val="407C9B"/>
                <w:szCs w:val="20"/>
                <w:lang w:val="ru-RU"/>
              </w:rPr>
              <w:footnoteReference w:id="253"/>
            </w:r>
          </w:p>
        </w:tc>
        <w:tc>
          <w:tcPr>
            <w:tcW w:w="828" w:type="dxa"/>
            <w:shd w:val="clear" w:color="auto" w:fill="F2F2F2" w:themeFill="background1" w:themeFillShade="F2"/>
          </w:tcPr>
          <w:p w14:paraId="2A24160A" w14:textId="77777777" w:rsidR="004B77F6" w:rsidRPr="00694ACA" w:rsidRDefault="004B77F6" w:rsidP="00F221C0">
            <w:pPr>
              <w:jc w:val="center"/>
              <w:rPr>
                <w:rFonts w:ascii="Lato" w:hAnsi="Lato" w:cs="Arial"/>
                <w:color w:val="407C9B"/>
                <w:sz w:val="18"/>
                <w:szCs w:val="18"/>
                <w:lang w:val="ru-RU"/>
              </w:rPr>
            </w:pPr>
          </w:p>
        </w:tc>
        <w:tc>
          <w:tcPr>
            <w:tcW w:w="828" w:type="dxa"/>
            <w:shd w:val="clear" w:color="auto" w:fill="F2F2F2" w:themeFill="background1" w:themeFillShade="F2"/>
          </w:tcPr>
          <w:p w14:paraId="456E5646" w14:textId="77777777" w:rsidR="004B77F6" w:rsidRPr="00694ACA" w:rsidRDefault="004B77F6" w:rsidP="00F221C0">
            <w:pPr>
              <w:jc w:val="center"/>
              <w:rPr>
                <w:rFonts w:ascii="Lato" w:hAnsi="Lato" w:cs="Arial"/>
                <w:color w:val="407C9B"/>
                <w:sz w:val="18"/>
                <w:szCs w:val="18"/>
                <w:lang w:val="ru-RU"/>
              </w:rPr>
            </w:pPr>
          </w:p>
        </w:tc>
        <w:tc>
          <w:tcPr>
            <w:tcW w:w="829" w:type="dxa"/>
            <w:shd w:val="clear" w:color="auto" w:fill="F2F2F2" w:themeFill="background1" w:themeFillShade="F2"/>
          </w:tcPr>
          <w:p w14:paraId="34F090B3" w14:textId="77777777" w:rsidR="004B77F6" w:rsidRPr="00694ACA" w:rsidRDefault="004B77F6" w:rsidP="00F221C0">
            <w:pPr>
              <w:jc w:val="center"/>
              <w:rPr>
                <w:rFonts w:ascii="Lato" w:hAnsi="Lato" w:cs="Arial"/>
                <w:color w:val="407C9B"/>
                <w:sz w:val="18"/>
                <w:szCs w:val="18"/>
                <w:lang w:val="ru-RU"/>
              </w:rPr>
            </w:pPr>
            <w:r w:rsidRPr="00694ACA">
              <w:rPr>
                <w:rFonts w:ascii="Lato" w:hAnsi="Lato"/>
                <w:color w:val="407C9B"/>
                <w:sz w:val="18"/>
                <w:szCs w:val="18"/>
                <w:lang w:val="ru-RU"/>
              </w:rPr>
              <w:t>P</w:t>
            </w:r>
          </w:p>
        </w:tc>
        <w:tc>
          <w:tcPr>
            <w:tcW w:w="828" w:type="dxa"/>
            <w:shd w:val="clear" w:color="auto" w:fill="F2F2F2" w:themeFill="background1" w:themeFillShade="F2"/>
          </w:tcPr>
          <w:p w14:paraId="0BEBF1A1" w14:textId="77777777" w:rsidR="004B77F6" w:rsidRPr="00694ACA" w:rsidRDefault="004B77F6" w:rsidP="00F221C0">
            <w:pPr>
              <w:jc w:val="center"/>
              <w:rPr>
                <w:rFonts w:ascii="Lato" w:hAnsi="Lato" w:cs="Arial"/>
                <w:color w:val="407C9B"/>
                <w:sz w:val="18"/>
                <w:szCs w:val="18"/>
                <w:lang w:val="ru-RU"/>
              </w:rPr>
            </w:pPr>
          </w:p>
        </w:tc>
        <w:tc>
          <w:tcPr>
            <w:tcW w:w="828" w:type="dxa"/>
            <w:shd w:val="clear" w:color="auto" w:fill="F2F2F2" w:themeFill="background1" w:themeFillShade="F2"/>
          </w:tcPr>
          <w:p w14:paraId="75A175B7" w14:textId="77777777" w:rsidR="004B77F6" w:rsidRPr="00694ACA" w:rsidRDefault="004B77F6" w:rsidP="00F221C0">
            <w:pPr>
              <w:jc w:val="center"/>
              <w:rPr>
                <w:rFonts w:ascii="Lato" w:hAnsi="Lato" w:cs="Arial"/>
                <w:color w:val="407C9B"/>
                <w:sz w:val="18"/>
                <w:szCs w:val="18"/>
                <w:lang w:val="ru-RU"/>
              </w:rPr>
            </w:pPr>
          </w:p>
        </w:tc>
        <w:tc>
          <w:tcPr>
            <w:tcW w:w="829" w:type="dxa"/>
            <w:shd w:val="clear" w:color="auto" w:fill="F2F2F2" w:themeFill="background1" w:themeFillShade="F2"/>
          </w:tcPr>
          <w:p w14:paraId="4E2DF194" w14:textId="77777777" w:rsidR="004B77F6" w:rsidRPr="00694ACA" w:rsidRDefault="004B77F6" w:rsidP="00F221C0">
            <w:pPr>
              <w:jc w:val="center"/>
              <w:rPr>
                <w:rFonts w:ascii="Lato" w:hAnsi="Lato" w:cs="Arial"/>
                <w:color w:val="407C9B"/>
                <w:sz w:val="18"/>
                <w:szCs w:val="18"/>
                <w:lang w:val="ru-RU"/>
              </w:rPr>
            </w:pPr>
          </w:p>
        </w:tc>
        <w:tc>
          <w:tcPr>
            <w:tcW w:w="828" w:type="dxa"/>
            <w:shd w:val="clear" w:color="auto" w:fill="F2F2F2" w:themeFill="background1" w:themeFillShade="F2"/>
          </w:tcPr>
          <w:p w14:paraId="53999D98" w14:textId="77777777" w:rsidR="004B77F6" w:rsidRPr="00694ACA" w:rsidRDefault="004B77F6" w:rsidP="00F221C0">
            <w:pPr>
              <w:jc w:val="center"/>
              <w:rPr>
                <w:rFonts w:ascii="Lato" w:hAnsi="Lato" w:cs="Arial"/>
                <w:color w:val="407C9B"/>
                <w:sz w:val="18"/>
                <w:szCs w:val="18"/>
                <w:lang w:val="ru-RU"/>
              </w:rPr>
            </w:pPr>
          </w:p>
        </w:tc>
        <w:tc>
          <w:tcPr>
            <w:tcW w:w="828" w:type="dxa"/>
            <w:shd w:val="clear" w:color="auto" w:fill="F2F2F2" w:themeFill="background1" w:themeFillShade="F2"/>
          </w:tcPr>
          <w:p w14:paraId="473FC076" w14:textId="77777777" w:rsidR="004B77F6" w:rsidRPr="00694ACA" w:rsidRDefault="004B77F6" w:rsidP="00F221C0">
            <w:pPr>
              <w:jc w:val="center"/>
              <w:rPr>
                <w:rFonts w:ascii="Lato" w:hAnsi="Lato" w:cs="Arial"/>
                <w:color w:val="407C9B"/>
                <w:sz w:val="18"/>
                <w:szCs w:val="18"/>
                <w:lang w:val="ru-RU"/>
              </w:rPr>
            </w:pPr>
            <w:r w:rsidRPr="00694ACA">
              <w:rPr>
                <w:rFonts w:ascii="Lato" w:hAnsi="Lato"/>
                <w:color w:val="407C9B"/>
                <w:sz w:val="18"/>
                <w:szCs w:val="18"/>
                <w:lang w:val="ru-RU"/>
              </w:rPr>
              <w:t>P</w:t>
            </w:r>
          </w:p>
        </w:tc>
        <w:tc>
          <w:tcPr>
            <w:tcW w:w="829" w:type="dxa"/>
            <w:shd w:val="clear" w:color="auto" w:fill="F2F2F2" w:themeFill="background1" w:themeFillShade="F2"/>
          </w:tcPr>
          <w:p w14:paraId="73C74C73" w14:textId="77777777" w:rsidR="004B77F6" w:rsidRPr="00694ACA" w:rsidRDefault="004B77F6" w:rsidP="00F221C0">
            <w:pPr>
              <w:jc w:val="center"/>
              <w:rPr>
                <w:rFonts w:ascii="Lato" w:hAnsi="Lato" w:cs="Arial"/>
                <w:color w:val="407C9B"/>
                <w:sz w:val="18"/>
                <w:szCs w:val="18"/>
                <w:lang w:val="ru-RU"/>
              </w:rPr>
            </w:pPr>
          </w:p>
        </w:tc>
      </w:tr>
      <w:tr w:rsidR="004B77F6" w:rsidRPr="00694ACA" w14:paraId="0C6B81FC" w14:textId="77777777" w:rsidTr="0068182E">
        <w:trPr>
          <w:gridAfter w:val="1"/>
          <w:wAfter w:w="6" w:type="dxa"/>
        </w:trPr>
        <w:tc>
          <w:tcPr>
            <w:tcW w:w="1555" w:type="dxa"/>
            <w:shd w:val="clear" w:color="auto" w:fill="F2F2F2" w:themeFill="background1" w:themeFillShade="F2"/>
          </w:tcPr>
          <w:p w14:paraId="2FC5F286" w14:textId="77777777" w:rsidR="004B77F6" w:rsidRPr="00694ACA" w:rsidRDefault="004B77F6" w:rsidP="00F221C0">
            <w:pPr>
              <w:rPr>
                <w:rFonts w:ascii="Lato" w:hAnsi="Lato" w:cs="Arial"/>
                <w:color w:val="407C9B"/>
                <w:szCs w:val="20"/>
                <w:lang w:val="ru-RU"/>
              </w:rPr>
            </w:pPr>
            <w:r w:rsidRPr="00694ACA">
              <w:rPr>
                <w:rFonts w:ascii="Lato" w:hAnsi="Lato"/>
                <w:color w:val="407C9B"/>
                <w:sz w:val="18"/>
                <w:szCs w:val="22"/>
                <w:lang w:val="ru-RU"/>
              </w:rPr>
              <w:t>Группа Всемирного банка</w:t>
            </w:r>
            <w:r w:rsidRPr="00694ACA">
              <w:rPr>
                <w:rStyle w:val="FootnoteReference"/>
                <w:rFonts w:cs="Arial"/>
                <w:color w:val="407C9B"/>
                <w:szCs w:val="20"/>
                <w:lang w:val="ru-RU"/>
              </w:rPr>
              <w:footnoteReference w:id="254"/>
            </w:r>
          </w:p>
        </w:tc>
        <w:tc>
          <w:tcPr>
            <w:tcW w:w="828" w:type="dxa"/>
            <w:shd w:val="clear" w:color="auto" w:fill="F2F2F2" w:themeFill="background1" w:themeFillShade="F2"/>
          </w:tcPr>
          <w:p w14:paraId="57F5B946" w14:textId="77777777" w:rsidR="004B77F6" w:rsidRPr="00694ACA" w:rsidRDefault="004B77F6" w:rsidP="00F221C0">
            <w:pPr>
              <w:jc w:val="center"/>
              <w:rPr>
                <w:rFonts w:ascii="Lato" w:hAnsi="Lato" w:cs="Arial"/>
                <w:color w:val="407C9B"/>
                <w:sz w:val="18"/>
                <w:szCs w:val="18"/>
                <w:lang w:val="ru-RU"/>
              </w:rPr>
            </w:pPr>
            <w:r w:rsidRPr="00694ACA">
              <w:rPr>
                <w:rFonts w:ascii="Lato" w:hAnsi="Lato"/>
                <w:color w:val="407C9B"/>
                <w:sz w:val="18"/>
                <w:szCs w:val="18"/>
                <w:lang w:val="ru-RU"/>
              </w:rPr>
              <w:t>4</w:t>
            </w:r>
          </w:p>
        </w:tc>
        <w:tc>
          <w:tcPr>
            <w:tcW w:w="828" w:type="dxa"/>
            <w:shd w:val="clear" w:color="auto" w:fill="F2F2F2" w:themeFill="background1" w:themeFillShade="F2"/>
          </w:tcPr>
          <w:p w14:paraId="08D18DEC" w14:textId="77777777" w:rsidR="004B77F6" w:rsidRPr="00694ACA" w:rsidRDefault="004B77F6" w:rsidP="00F221C0">
            <w:pPr>
              <w:jc w:val="center"/>
              <w:rPr>
                <w:rFonts w:ascii="Lato" w:hAnsi="Lato" w:cs="Arial"/>
                <w:color w:val="407C9B"/>
                <w:sz w:val="18"/>
                <w:szCs w:val="18"/>
                <w:lang w:val="ru-RU"/>
              </w:rPr>
            </w:pPr>
            <w:r w:rsidRPr="00694ACA">
              <w:rPr>
                <w:rFonts w:ascii="Lato" w:hAnsi="Lato"/>
                <w:color w:val="407C9B"/>
                <w:sz w:val="18"/>
                <w:szCs w:val="18"/>
                <w:lang w:val="ru-RU"/>
              </w:rPr>
              <w:t>27</w:t>
            </w:r>
          </w:p>
        </w:tc>
        <w:tc>
          <w:tcPr>
            <w:tcW w:w="829" w:type="dxa"/>
            <w:shd w:val="clear" w:color="auto" w:fill="F2F2F2" w:themeFill="background1" w:themeFillShade="F2"/>
          </w:tcPr>
          <w:p w14:paraId="6A3E41E4" w14:textId="77777777" w:rsidR="004B77F6" w:rsidRPr="00694ACA" w:rsidRDefault="004B77F6" w:rsidP="00F221C0">
            <w:pPr>
              <w:jc w:val="center"/>
              <w:rPr>
                <w:rFonts w:ascii="Lato" w:hAnsi="Lato" w:cs="Arial"/>
                <w:color w:val="407C9B"/>
                <w:sz w:val="18"/>
                <w:szCs w:val="18"/>
                <w:lang w:val="ru-RU"/>
              </w:rPr>
            </w:pPr>
            <w:r w:rsidRPr="00694ACA">
              <w:rPr>
                <w:rFonts w:ascii="Lato" w:hAnsi="Lato"/>
                <w:color w:val="407C9B"/>
                <w:sz w:val="18"/>
                <w:szCs w:val="18"/>
                <w:lang w:val="ru-RU"/>
              </w:rPr>
              <w:t>58</w:t>
            </w:r>
          </w:p>
        </w:tc>
        <w:tc>
          <w:tcPr>
            <w:tcW w:w="828" w:type="dxa"/>
            <w:shd w:val="clear" w:color="auto" w:fill="F2F2F2" w:themeFill="background1" w:themeFillShade="F2"/>
          </w:tcPr>
          <w:p w14:paraId="7172B9A4" w14:textId="77777777" w:rsidR="004B77F6" w:rsidRPr="00694ACA" w:rsidRDefault="004B77F6" w:rsidP="00F221C0">
            <w:pPr>
              <w:jc w:val="center"/>
              <w:rPr>
                <w:rFonts w:ascii="Lato" w:hAnsi="Lato" w:cs="Arial"/>
                <w:color w:val="407C9B"/>
                <w:sz w:val="18"/>
                <w:szCs w:val="18"/>
                <w:lang w:val="ru-RU"/>
              </w:rPr>
            </w:pPr>
            <w:r w:rsidRPr="00694ACA">
              <w:rPr>
                <w:rFonts w:ascii="Lato" w:hAnsi="Lato"/>
                <w:color w:val="407C9B"/>
                <w:sz w:val="18"/>
                <w:szCs w:val="18"/>
                <w:lang w:val="ru-RU"/>
              </w:rPr>
              <w:t>47</w:t>
            </w:r>
          </w:p>
        </w:tc>
        <w:tc>
          <w:tcPr>
            <w:tcW w:w="828" w:type="dxa"/>
            <w:shd w:val="clear" w:color="auto" w:fill="F2F2F2" w:themeFill="background1" w:themeFillShade="F2"/>
          </w:tcPr>
          <w:p w14:paraId="5948C568" w14:textId="77777777" w:rsidR="004B77F6" w:rsidRPr="00694ACA" w:rsidRDefault="004B77F6" w:rsidP="00F221C0">
            <w:pPr>
              <w:jc w:val="center"/>
              <w:rPr>
                <w:rFonts w:ascii="Lato" w:hAnsi="Lato" w:cs="Arial"/>
                <w:color w:val="407C9B"/>
                <w:sz w:val="18"/>
                <w:szCs w:val="18"/>
                <w:lang w:val="ru-RU"/>
              </w:rPr>
            </w:pPr>
          </w:p>
        </w:tc>
        <w:tc>
          <w:tcPr>
            <w:tcW w:w="829" w:type="dxa"/>
            <w:shd w:val="clear" w:color="auto" w:fill="F2F2F2" w:themeFill="background1" w:themeFillShade="F2"/>
          </w:tcPr>
          <w:p w14:paraId="57CA184C" w14:textId="77777777" w:rsidR="004B77F6" w:rsidRPr="00694ACA" w:rsidRDefault="004B77F6" w:rsidP="00F221C0">
            <w:pPr>
              <w:jc w:val="center"/>
              <w:rPr>
                <w:rFonts w:ascii="Lato" w:hAnsi="Lato" w:cs="Arial"/>
                <w:color w:val="407C9B"/>
                <w:sz w:val="18"/>
                <w:szCs w:val="18"/>
                <w:lang w:val="ru-RU"/>
              </w:rPr>
            </w:pPr>
            <w:r w:rsidRPr="00694ACA">
              <w:rPr>
                <w:rFonts w:ascii="Lato" w:hAnsi="Lato"/>
                <w:color w:val="407C9B"/>
                <w:sz w:val="18"/>
                <w:szCs w:val="18"/>
                <w:lang w:val="ru-RU"/>
              </w:rPr>
              <w:t>23</w:t>
            </w:r>
          </w:p>
        </w:tc>
        <w:tc>
          <w:tcPr>
            <w:tcW w:w="828" w:type="dxa"/>
            <w:shd w:val="clear" w:color="auto" w:fill="F2F2F2" w:themeFill="background1" w:themeFillShade="F2"/>
          </w:tcPr>
          <w:p w14:paraId="7F12FC90" w14:textId="77777777" w:rsidR="004B77F6" w:rsidRPr="00694ACA" w:rsidRDefault="004B77F6" w:rsidP="00F221C0">
            <w:pPr>
              <w:jc w:val="center"/>
              <w:rPr>
                <w:rFonts w:ascii="Lato" w:hAnsi="Lato" w:cs="Arial"/>
                <w:color w:val="407C9B"/>
                <w:sz w:val="18"/>
                <w:szCs w:val="18"/>
                <w:lang w:val="ru-RU"/>
              </w:rPr>
            </w:pPr>
            <w:r w:rsidRPr="00694ACA">
              <w:rPr>
                <w:rFonts w:ascii="Lato" w:hAnsi="Lato"/>
                <w:color w:val="407C9B"/>
                <w:sz w:val="18"/>
                <w:szCs w:val="18"/>
                <w:lang w:val="ru-RU"/>
              </w:rPr>
              <w:t>15</w:t>
            </w:r>
          </w:p>
        </w:tc>
        <w:tc>
          <w:tcPr>
            <w:tcW w:w="828" w:type="dxa"/>
            <w:shd w:val="clear" w:color="auto" w:fill="F2F2F2" w:themeFill="background1" w:themeFillShade="F2"/>
          </w:tcPr>
          <w:p w14:paraId="1670222B" w14:textId="77777777" w:rsidR="004B77F6" w:rsidRPr="00694ACA" w:rsidRDefault="004B77F6" w:rsidP="00F221C0">
            <w:pPr>
              <w:jc w:val="center"/>
              <w:rPr>
                <w:rFonts w:ascii="Lato" w:hAnsi="Lato" w:cs="Arial"/>
                <w:color w:val="407C9B"/>
                <w:sz w:val="18"/>
                <w:szCs w:val="18"/>
                <w:lang w:val="ru-RU"/>
              </w:rPr>
            </w:pPr>
            <w:r w:rsidRPr="00694ACA">
              <w:rPr>
                <w:rFonts w:ascii="Lato" w:hAnsi="Lato"/>
                <w:color w:val="407C9B"/>
                <w:sz w:val="18"/>
                <w:szCs w:val="18"/>
                <w:lang w:val="ru-RU"/>
              </w:rPr>
              <w:t>28</w:t>
            </w:r>
          </w:p>
        </w:tc>
        <w:tc>
          <w:tcPr>
            <w:tcW w:w="829" w:type="dxa"/>
            <w:shd w:val="clear" w:color="auto" w:fill="F2F2F2" w:themeFill="background1" w:themeFillShade="F2"/>
          </w:tcPr>
          <w:p w14:paraId="66DB76DA" w14:textId="77777777" w:rsidR="004B77F6" w:rsidRPr="00694ACA" w:rsidRDefault="004B77F6" w:rsidP="00F221C0">
            <w:pPr>
              <w:jc w:val="center"/>
              <w:rPr>
                <w:rFonts w:ascii="Lato" w:hAnsi="Lato" w:cs="Arial"/>
                <w:color w:val="407C9B"/>
                <w:sz w:val="18"/>
                <w:szCs w:val="18"/>
                <w:lang w:val="ru-RU"/>
              </w:rPr>
            </w:pPr>
            <w:r w:rsidRPr="00694ACA">
              <w:rPr>
                <w:rFonts w:ascii="Lato" w:hAnsi="Lato"/>
                <w:color w:val="407C9B"/>
                <w:sz w:val="18"/>
                <w:szCs w:val="18"/>
                <w:lang w:val="ru-RU"/>
              </w:rPr>
              <w:t>3</w:t>
            </w:r>
          </w:p>
        </w:tc>
      </w:tr>
      <w:tr w:rsidR="004B77F6" w:rsidRPr="00694ACA" w14:paraId="50DEAEAF" w14:textId="77777777" w:rsidTr="0068182E">
        <w:trPr>
          <w:gridAfter w:val="1"/>
          <w:wAfter w:w="6" w:type="dxa"/>
          <w:trHeight w:val="2879"/>
        </w:trPr>
        <w:tc>
          <w:tcPr>
            <w:tcW w:w="1555" w:type="dxa"/>
            <w:shd w:val="clear" w:color="auto" w:fill="407C9B"/>
            <w:vAlign w:val="center"/>
          </w:tcPr>
          <w:p w14:paraId="13664C88" w14:textId="77777777" w:rsidR="004B77F6" w:rsidRPr="00694ACA" w:rsidRDefault="004B77F6" w:rsidP="0068182E">
            <w:pPr>
              <w:jc w:val="center"/>
              <w:rPr>
                <w:rFonts w:ascii="Lato" w:hAnsi="Lato" w:cs="Arial"/>
                <w:color w:val="FFFFFF" w:themeColor="background1"/>
                <w:sz w:val="18"/>
                <w:szCs w:val="22"/>
                <w:lang w:val="ru-RU"/>
              </w:rPr>
            </w:pPr>
          </w:p>
        </w:tc>
        <w:tc>
          <w:tcPr>
            <w:tcW w:w="828" w:type="dxa"/>
            <w:shd w:val="clear" w:color="auto" w:fill="407C9B"/>
            <w:textDirection w:val="btLr"/>
            <w:vAlign w:val="center"/>
          </w:tcPr>
          <w:p w14:paraId="5692C8C8" w14:textId="77777777" w:rsidR="004B77F6" w:rsidRPr="00694ACA" w:rsidRDefault="004B77F6" w:rsidP="0068182E">
            <w:pPr>
              <w:jc w:val="center"/>
              <w:rPr>
                <w:rFonts w:ascii="Lato" w:hAnsi="Lato"/>
                <w:color w:val="FFFFFF" w:themeColor="background1"/>
                <w:sz w:val="18"/>
                <w:szCs w:val="22"/>
                <w:lang w:val="ru-RU"/>
              </w:rPr>
            </w:pPr>
            <w:r w:rsidRPr="00694ACA">
              <w:rPr>
                <w:rFonts w:ascii="Lato" w:hAnsi="Lato"/>
                <w:b/>
                <w:color w:val="FFFFFF" w:themeColor="background1"/>
                <w:sz w:val="18"/>
                <w:szCs w:val="22"/>
                <w:lang w:val="ru-RU"/>
              </w:rPr>
              <w:t>Кибербезопасность</w:t>
            </w:r>
          </w:p>
        </w:tc>
        <w:tc>
          <w:tcPr>
            <w:tcW w:w="828" w:type="dxa"/>
            <w:shd w:val="clear" w:color="auto" w:fill="407C9B"/>
            <w:textDirection w:val="btLr"/>
            <w:vAlign w:val="center"/>
          </w:tcPr>
          <w:p w14:paraId="582D9684" w14:textId="77777777" w:rsidR="004B77F6" w:rsidRPr="00694ACA" w:rsidRDefault="004B77F6" w:rsidP="0068182E">
            <w:pPr>
              <w:jc w:val="center"/>
              <w:rPr>
                <w:rFonts w:ascii="Lato" w:hAnsi="Lato"/>
                <w:color w:val="FFFFFF" w:themeColor="background1"/>
                <w:sz w:val="18"/>
                <w:szCs w:val="22"/>
                <w:lang w:val="ru-RU"/>
              </w:rPr>
            </w:pPr>
            <w:r w:rsidRPr="00694ACA">
              <w:rPr>
                <w:rFonts w:ascii="Lato" w:hAnsi="Lato"/>
                <w:b/>
                <w:color w:val="FFFFFF" w:themeColor="background1"/>
                <w:sz w:val="18"/>
                <w:szCs w:val="22"/>
                <w:lang w:val="ru-RU"/>
              </w:rPr>
              <w:t>Охват цифровыми технологиями</w:t>
            </w:r>
          </w:p>
        </w:tc>
        <w:tc>
          <w:tcPr>
            <w:tcW w:w="829" w:type="dxa"/>
            <w:shd w:val="clear" w:color="auto" w:fill="407C9B"/>
            <w:textDirection w:val="btLr"/>
            <w:vAlign w:val="center"/>
          </w:tcPr>
          <w:p w14:paraId="67F43B70" w14:textId="77777777" w:rsidR="004B77F6" w:rsidRPr="00694ACA" w:rsidRDefault="004B77F6" w:rsidP="0068182E">
            <w:pPr>
              <w:jc w:val="center"/>
              <w:rPr>
                <w:rFonts w:ascii="Lato" w:hAnsi="Lato"/>
                <w:color w:val="FFFFFF" w:themeColor="background1"/>
                <w:sz w:val="18"/>
                <w:szCs w:val="22"/>
                <w:lang w:val="ru-RU"/>
              </w:rPr>
            </w:pPr>
            <w:r w:rsidRPr="00694ACA">
              <w:rPr>
                <w:rFonts w:ascii="Lato" w:hAnsi="Lato"/>
                <w:b/>
                <w:color w:val="FFFFFF" w:themeColor="background1"/>
                <w:sz w:val="18"/>
                <w:szCs w:val="22"/>
                <w:lang w:val="ru-RU"/>
              </w:rPr>
              <w:t>Экосистема цифровых инноваций</w:t>
            </w:r>
          </w:p>
        </w:tc>
        <w:tc>
          <w:tcPr>
            <w:tcW w:w="828" w:type="dxa"/>
            <w:shd w:val="clear" w:color="auto" w:fill="407C9B"/>
            <w:textDirection w:val="btLr"/>
            <w:vAlign w:val="center"/>
          </w:tcPr>
          <w:p w14:paraId="1F9930B3" w14:textId="77777777" w:rsidR="004B77F6" w:rsidRPr="00694ACA" w:rsidRDefault="004B77F6" w:rsidP="0068182E">
            <w:pPr>
              <w:jc w:val="center"/>
              <w:rPr>
                <w:rFonts w:ascii="Lato" w:hAnsi="Lato"/>
                <w:color w:val="FFFFFF" w:themeColor="background1"/>
                <w:sz w:val="18"/>
                <w:szCs w:val="22"/>
                <w:lang w:val="ru-RU"/>
              </w:rPr>
            </w:pPr>
            <w:r w:rsidRPr="00694ACA">
              <w:rPr>
                <w:rFonts w:ascii="Lato" w:hAnsi="Lato"/>
                <w:b/>
                <w:color w:val="FFFFFF" w:themeColor="background1"/>
                <w:sz w:val="18"/>
                <w:szCs w:val="22"/>
                <w:lang w:val="ru-RU"/>
              </w:rPr>
              <w:t>Цифровые услуги и приложения</w:t>
            </w:r>
          </w:p>
        </w:tc>
        <w:tc>
          <w:tcPr>
            <w:tcW w:w="828" w:type="dxa"/>
            <w:shd w:val="clear" w:color="auto" w:fill="407C9B"/>
            <w:textDirection w:val="btLr"/>
            <w:vAlign w:val="center"/>
          </w:tcPr>
          <w:p w14:paraId="52EE03EA" w14:textId="77777777" w:rsidR="004B77F6" w:rsidRPr="00694ACA" w:rsidRDefault="004B77F6" w:rsidP="0068182E">
            <w:pPr>
              <w:jc w:val="center"/>
              <w:rPr>
                <w:rFonts w:ascii="Lato" w:hAnsi="Lato"/>
                <w:color w:val="FFFFFF" w:themeColor="background1"/>
                <w:sz w:val="18"/>
                <w:szCs w:val="22"/>
                <w:lang w:val="ru-RU"/>
              </w:rPr>
            </w:pPr>
            <w:r w:rsidRPr="00694ACA">
              <w:rPr>
                <w:rFonts w:ascii="Lato" w:hAnsi="Lato"/>
                <w:b/>
                <w:color w:val="FFFFFF" w:themeColor="background1"/>
                <w:sz w:val="18"/>
                <w:szCs w:val="22"/>
                <w:lang w:val="ru-RU"/>
              </w:rPr>
              <w:t>Электросвязь в чрезвычайных ситуациях</w:t>
            </w:r>
          </w:p>
        </w:tc>
        <w:tc>
          <w:tcPr>
            <w:tcW w:w="829" w:type="dxa"/>
            <w:shd w:val="clear" w:color="auto" w:fill="407C9B"/>
            <w:textDirection w:val="btLr"/>
            <w:vAlign w:val="center"/>
          </w:tcPr>
          <w:p w14:paraId="10190D64" w14:textId="77777777" w:rsidR="004B77F6" w:rsidRPr="00694ACA" w:rsidRDefault="004B77F6" w:rsidP="0068182E">
            <w:pPr>
              <w:jc w:val="center"/>
              <w:rPr>
                <w:rFonts w:ascii="Lato" w:hAnsi="Lato"/>
                <w:color w:val="FFFFFF" w:themeColor="background1"/>
                <w:sz w:val="18"/>
                <w:szCs w:val="22"/>
                <w:lang w:val="ru-RU"/>
              </w:rPr>
            </w:pPr>
            <w:r w:rsidRPr="00694ACA">
              <w:rPr>
                <w:rFonts w:ascii="Lato" w:hAnsi="Lato"/>
                <w:b/>
                <w:color w:val="FFFFFF" w:themeColor="background1"/>
                <w:sz w:val="18"/>
                <w:szCs w:val="22"/>
                <w:lang w:val="ru-RU"/>
              </w:rPr>
              <w:t>Окружающая среда</w:t>
            </w:r>
          </w:p>
        </w:tc>
        <w:tc>
          <w:tcPr>
            <w:tcW w:w="828" w:type="dxa"/>
            <w:shd w:val="clear" w:color="auto" w:fill="407C9B"/>
            <w:textDirection w:val="btLr"/>
            <w:vAlign w:val="center"/>
          </w:tcPr>
          <w:p w14:paraId="2C235F97" w14:textId="77777777" w:rsidR="004B77F6" w:rsidRPr="00694ACA" w:rsidRDefault="004B77F6" w:rsidP="0068182E">
            <w:pPr>
              <w:jc w:val="center"/>
              <w:rPr>
                <w:rFonts w:ascii="Lato" w:hAnsi="Lato"/>
                <w:color w:val="FFFFFF" w:themeColor="background1"/>
                <w:sz w:val="18"/>
                <w:szCs w:val="22"/>
                <w:lang w:val="ru-RU"/>
              </w:rPr>
            </w:pPr>
            <w:r w:rsidRPr="00694ACA">
              <w:rPr>
                <w:rFonts w:ascii="Lato" w:hAnsi="Lato"/>
                <w:b/>
                <w:color w:val="FFFFFF" w:themeColor="background1"/>
                <w:sz w:val="18"/>
                <w:szCs w:val="22"/>
                <w:lang w:val="ru-RU"/>
              </w:rPr>
              <w:t>Сети и цифровая инфраструктура</w:t>
            </w:r>
          </w:p>
        </w:tc>
        <w:tc>
          <w:tcPr>
            <w:tcW w:w="828" w:type="dxa"/>
            <w:shd w:val="clear" w:color="auto" w:fill="407C9B"/>
            <w:textDirection w:val="btLr"/>
            <w:vAlign w:val="center"/>
          </w:tcPr>
          <w:p w14:paraId="6416E86A" w14:textId="77777777" w:rsidR="004B77F6" w:rsidRPr="00694ACA" w:rsidRDefault="004B77F6" w:rsidP="0068182E">
            <w:pPr>
              <w:jc w:val="center"/>
              <w:rPr>
                <w:rFonts w:ascii="Lato" w:hAnsi="Lato"/>
                <w:color w:val="FFFFFF" w:themeColor="background1"/>
                <w:sz w:val="18"/>
                <w:szCs w:val="22"/>
                <w:lang w:val="ru-RU"/>
              </w:rPr>
            </w:pPr>
            <w:r w:rsidRPr="00694ACA">
              <w:rPr>
                <w:rFonts w:ascii="Lato" w:hAnsi="Lato"/>
                <w:b/>
                <w:color w:val="FFFFFF" w:themeColor="background1"/>
                <w:sz w:val="18"/>
                <w:szCs w:val="22"/>
                <w:lang w:val="ru-RU"/>
              </w:rPr>
              <w:t>Политика и регулирование</w:t>
            </w:r>
          </w:p>
        </w:tc>
        <w:tc>
          <w:tcPr>
            <w:tcW w:w="829" w:type="dxa"/>
            <w:shd w:val="clear" w:color="auto" w:fill="407C9B"/>
            <w:textDirection w:val="btLr"/>
            <w:vAlign w:val="center"/>
          </w:tcPr>
          <w:p w14:paraId="5DDF0C10" w14:textId="77777777" w:rsidR="004B77F6" w:rsidRPr="00694ACA" w:rsidRDefault="004B77F6" w:rsidP="0068182E">
            <w:pPr>
              <w:jc w:val="center"/>
              <w:rPr>
                <w:rFonts w:ascii="Lato" w:hAnsi="Lato"/>
                <w:color w:val="FFFFFF" w:themeColor="background1"/>
                <w:sz w:val="18"/>
                <w:szCs w:val="22"/>
                <w:lang w:val="ru-RU"/>
              </w:rPr>
            </w:pPr>
            <w:r w:rsidRPr="00694ACA">
              <w:rPr>
                <w:rFonts w:ascii="Lato" w:hAnsi="Lato"/>
                <w:b/>
                <w:color w:val="FFFFFF" w:themeColor="background1"/>
                <w:sz w:val="18"/>
                <w:szCs w:val="22"/>
                <w:lang w:val="ru-RU"/>
              </w:rPr>
              <w:t>Статистические данные</w:t>
            </w:r>
          </w:p>
        </w:tc>
      </w:tr>
    </w:tbl>
    <w:p w14:paraId="7BFD1E38" w14:textId="77777777" w:rsidR="004B77F6" w:rsidRPr="00694ACA" w:rsidRDefault="004B77F6" w:rsidP="00A105CB">
      <w:pPr>
        <w:pStyle w:val="Heading2"/>
        <w:rPr>
          <w:bCs/>
          <w:lang w:val="ru-RU"/>
        </w:rPr>
      </w:pPr>
      <w:r w:rsidRPr="00694ACA">
        <w:rPr>
          <w:lang w:val="ru-RU"/>
        </w:rPr>
        <w:t xml:space="preserve">Приложение 5: </w:t>
      </w:r>
      <w:bookmarkStart w:id="415" w:name="_Toc58273865"/>
      <w:r w:rsidRPr="00694ACA">
        <w:rPr>
          <w:lang w:val="ru-RU"/>
        </w:rPr>
        <w:t>Распределение специалистов, привлекаемых к программам обучения БРЭ/Академии по регионам</w:t>
      </w:r>
      <w:bookmarkEnd w:id="4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2"/>
        <w:gridCol w:w="1504"/>
        <w:gridCol w:w="1543"/>
        <w:gridCol w:w="1561"/>
        <w:gridCol w:w="1500"/>
        <w:gridCol w:w="1290"/>
      </w:tblGrid>
      <w:tr w:rsidR="004B77F6" w:rsidRPr="00694ACA" w14:paraId="1889E3CA" w14:textId="77777777" w:rsidTr="0068182E">
        <w:tc>
          <w:tcPr>
            <w:tcW w:w="1612" w:type="dxa"/>
            <w:tcBorders>
              <w:top w:val="nil"/>
              <w:left w:val="nil"/>
              <w:bottom w:val="nil"/>
              <w:right w:val="nil"/>
            </w:tcBorders>
            <w:shd w:val="clear" w:color="auto" w:fill="407C9B"/>
            <w:vAlign w:val="center"/>
          </w:tcPr>
          <w:p w14:paraId="387D515E" w14:textId="77777777" w:rsidR="004B77F6" w:rsidRPr="00694ACA" w:rsidRDefault="004B77F6" w:rsidP="0068182E">
            <w:pPr>
              <w:spacing w:after="0"/>
              <w:jc w:val="center"/>
              <w:rPr>
                <w:rFonts w:cs="Arial"/>
                <w:b/>
                <w:bCs/>
                <w:color w:val="FFFFFF" w:themeColor="background1"/>
                <w:szCs w:val="20"/>
                <w:lang w:val="ru-RU"/>
              </w:rPr>
            </w:pPr>
            <w:r w:rsidRPr="00694ACA">
              <w:rPr>
                <w:b/>
                <w:color w:val="FFFFFF" w:themeColor="background1"/>
                <w:sz w:val="18"/>
                <w:szCs w:val="20"/>
                <w:lang w:val="ru-RU"/>
              </w:rPr>
              <w:t>Регион</w:t>
            </w:r>
            <w:r w:rsidRPr="00694ACA">
              <w:rPr>
                <w:rStyle w:val="FootnoteReference"/>
                <w:color w:val="FFFFFF" w:themeColor="background1"/>
                <w:lang w:val="ru-RU"/>
              </w:rPr>
              <w:footnoteReference w:id="255"/>
            </w:r>
          </w:p>
        </w:tc>
        <w:tc>
          <w:tcPr>
            <w:tcW w:w="1504" w:type="dxa"/>
            <w:tcBorders>
              <w:top w:val="nil"/>
              <w:left w:val="nil"/>
              <w:bottom w:val="nil"/>
              <w:right w:val="nil"/>
            </w:tcBorders>
            <w:shd w:val="clear" w:color="auto" w:fill="407C9B"/>
            <w:vAlign w:val="center"/>
          </w:tcPr>
          <w:p w14:paraId="3AA742EA" w14:textId="77777777" w:rsidR="004B77F6" w:rsidRPr="00694ACA" w:rsidRDefault="004B77F6" w:rsidP="0068182E">
            <w:pPr>
              <w:spacing w:after="0"/>
              <w:jc w:val="center"/>
              <w:rPr>
                <w:rFonts w:cs="Arial"/>
                <w:b/>
                <w:bCs/>
                <w:color w:val="FFFFFF" w:themeColor="background1"/>
                <w:sz w:val="18"/>
                <w:szCs w:val="20"/>
                <w:lang w:val="ru-RU"/>
              </w:rPr>
            </w:pPr>
            <w:r w:rsidRPr="00694ACA">
              <w:rPr>
                <w:b/>
                <w:color w:val="FFFFFF" w:themeColor="background1"/>
                <w:sz w:val="18"/>
                <w:szCs w:val="20"/>
                <w:lang w:val="ru-RU"/>
              </w:rPr>
              <w:t>SMTP</w:t>
            </w:r>
          </w:p>
        </w:tc>
        <w:tc>
          <w:tcPr>
            <w:tcW w:w="1543" w:type="dxa"/>
            <w:tcBorders>
              <w:top w:val="nil"/>
              <w:left w:val="nil"/>
              <w:bottom w:val="nil"/>
              <w:right w:val="nil"/>
            </w:tcBorders>
            <w:shd w:val="clear" w:color="auto" w:fill="407C9B"/>
            <w:vAlign w:val="center"/>
          </w:tcPr>
          <w:p w14:paraId="3DBED496" w14:textId="77777777" w:rsidR="004B77F6" w:rsidRPr="00694ACA" w:rsidRDefault="004B77F6" w:rsidP="0068182E">
            <w:pPr>
              <w:spacing w:after="0"/>
              <w:jc w:val="center"/>
              <w:rPr>
                <w:rFonts w:cs="Arial"/>
                <w:b/>
                <w:bCs/>
                <w:color w:val="FFFFFF" w:themeColor="background1"/>
                <w:sz w:val="18"/>
                <w:szCs w:val="20"/>
                <w:lang w:val="ru-RU"/>
              </w:rPr>
            </w:pPr>
            <w:proofErr w:type="spellStart"/>
            <w:r w:rsidRPr="00694ACA">
              <w:rPr>
                <w:b/>
                <w:color w:val="FFFFFF" w:themeColor="background1"/>
                <w:sz w:val="18"/>
                <w:szCs w:val="20"/>
                <w:lang w:val="ru-RU"/>
              </w:rPr>
              <w:t>QoSTP</w:t>
            </w:r>
            <w:proofErr w:type="spellEnd"/>
          </w:p>
        </w:tc>
        <w:tc>
          <w:tcPr>
            <w:tcW w:w="1561" w:type="dxa"/>
            <w:tcBorders>
              <w:top w:val="nil"/>
              <w:left w:val="nil"/>
              <w:bottom w:val="nil"/>
              <w:right w:val="nil"/>
            </w:tcBorders>
            <w:shd w:val="clear" w:color="auto" w:fill="407C9B"/>
            <w:vAlign w:val="center"/>
          </w:tcPr>
          <w:p w14:paraId="5CEE6691" w14:textId="77777777" w:rsidR="004B77F6" w:rsidRPr="00694ACA" w:rsidRDefault="004B77F6" w:rsidP="0068182E">
            <w:pPr>
              <w:spacing w:after="0"/>
              <w:jc w:val="center"/>
              <w:rPr>
                <w:rFonts w:cs="Arial"/>
                <w:b/>
                <w:bCs/>
                <w:color w:val="FFFFFF" w:themeColor="background1"/>
                <w:sz w:val="18"/>
                <w:szCs w:val="20"/>
                <w:lang w:val="ru-RU"/>
              </w:rPr>
            </w:pPr>
            <w:proofErr w:type="spellStart"/>
            <w:r w:rsidRPr="00694ACA">
              <w:rPr>
                <w:b/>
                <w:color w:val="FFFFFF" w:themeColor="background1"/>
                <w:sz w:val="18"/>
                <w:szCs w:val="20"/>
                <w:lang w:val="ru-RU"/>
              </w:rPr>
              <w:t>IoTTP</w:t>
            </w:r>
            <w:proofErr w:type="spellEnd"/>
          </w:p>
        </w:tc>
        <w:tc>
          <w:tcPr>
            <w:tcW w:w="1500" w:type="dxa"/>
            <w:tcBorders>
              <w:top w:val="nil"/>
              <w:left w:val="nil"/>
              <w:bottom w:val="nil"/>
              <w:right w:val="nil"/>
            </w:tcBorders>
            <w:shd w:val="clear" w:color="auto" w:fill="407C9B"/>
            <w:vAlign w:val="center"/>
          </w:tcPr>
          <w:p w14:paraId="40E1ADFB" w14:textId="77777777" w:rsidR="004B77F6" w:rsidRPr="00694ACA" w:rsidRDefault="004B77F6" w:rsidP="0068182E">
            <w:pPr>
              <w:spacing w:after="0"/>
              <w:jc w:val="center"/>
              <w:rPr>
                <w:rFonts w:cs="Arial"/>
                <w:b/>
                <w:bCs/>
                <w:color w:val="FFFFFF" w:themeColor="background1"/>
                <w:sz w:val="18"/>
                <w:szCs w:val="20"/>
                <w:lang w:val="ru-RU"/>
              </w:rPr>
            </w:pPr>
            <w:r w:rsidRPr="00694ACA">
              <w:rPr>
                <w:b/>
                <w:color w:val="FFFFFF" w:themeColor="background1"/>
                <w:sz w:val="18"/>
                <w:szCs w:val="20"/>
                <w:lang w:val="ru-RU"/>
              </w:rPr>
              <w:t>CCTP</w:t>
            </w:r>
          </w:p>
        </w:tc>
        <w:tc>
          <w:tcPr>
            <w:tcW w:w="1290" w:type="dxa"/>
            <w:tcBorders>
              <w:top w:val="nil"/>
              <w:left w:val="nil"/>
              <w:bottom w:val="nil"/>
              <w:right w:val="nil"/>
            </w:tcBorders>
            <w:shd w:val="clear" w:color="auto" w:fill="407C9B"/>
            <w:vAlign w:val="center"/>
          </w:tcPr>
          <w:p w14:paraId="2CDC3FD7" w14:textId="77777777" w:rsidR="004B77F6" w:rsidRPr="00694ACA" w:rsidRDefault="004B77F6" w:rsidP="0068182E">
            <w:pPr>
              <w:spacing w:after="0"/>
              <w:jc w:val="center"/>
              <w:rPr>
                <w:rFonts w:cs="Arial"/>
                <w:b/>
                <w:bCs/>
                <w:color w:val="FFFFFF" w:themeColor="background1"/>
                <w:sz w:val="18"/>
                <w:szCs w:val="20"/>
                <w:lang w:val="ru-RU"/>
              </w:rPr>
            </w:pPr>
            <w:r w:rsidRPr="00694ACA">
              <w:rPr>
                <w:b/>
                <w:color w:val="FFFFFF" w:themeColor="background1"/>
                <w:sz w:val="18"/>
                <w:szCs w:val="20"/>
                <w:lang w:val="ru-RU"/>
              </w:rPr>
              <w:t>Всего</w:t>
            </w:r>
          </w:p>
        </w:tc>
      </w:tr>
      <w:tr w:rsidR="004B77F6" w:rsidRPr="00694ACA" w14:paraId="05D243DF" w14:textId="77777777" w:rsidTr="0068182E">
        <w:tc>
          <w:tcPr>
            <w:tcW w:w="1612" w:type="dxa"/>
            <w:tcBorders>
              <w:top w:val="nil"/>
              <w:left w:val="single" w:sz="4" w:space="0" w:color="FFFFFF"/>
              <w:bottom w:val="single" w:sz="4" w:space="0" w:color="FFFFFF"/>
              <w:right w:val="single" w:sz="4" w:space="0" w:color="FFFFFF"/>
            </w:tcBorders>
            <w:shd w:val="clear" w:color="auto" w:fill="F2F2F2" w:themeFill="background1" w:themeFillShade="F2"/>
          </w:tcPr>
          <w:p w14:paraId="7CF47733" w14:textId="77777777" w:rsidR="004B77F6" w:rsidRPr="00694ACA" w:rsidRDefault="004B77F6" w:rsidP="00F221C0">
            <w:pPr>
              <w:spacing w:after="0"/>
              <w:rPr>
                <w:rFonts w:cs="Arial"/>
                <w:b/>
                <w:bCs/>
                <w:color w:val="407C9B"/>
                <w:sz w:val="18"/>
                <w:szCs w:val="20"/>
                <w:lang w:val="ru-RU"/>
              </w:rPr>
            </w:pPr>
            <w:r w:rsidRPr="00694ACA">
              <w:rPr>
                <w:b/>
                <w:color w:val="407C9B"/>
                <w:sz w:val="18"/>
                <w:szCs w:val="20"/>
                <w:lang w:val="ru-RU"/>
              </w:rPr>
              <w:t>Африка</w:t>
            </w:r>
          </w:p>
        </w:tc>
        <w:tc>
          <w:tcPr>
            <w:tcW w:w="1504" w:type="dxa"/>
            <w:tcBorders>
              <w:top w:val="nil"/>
              <w:left w:val="single" w:sz="4" w:space="0" w:color="FFFFFF"/>
              <w:bottom w:val="single" w:sz="4" w:space="0" w:color="FFFFFF"/>
              <w:right w:val="single" w:sz="4" w:space="0" w:color="FFFFFF"/>
            </w:tcBorders>
            <w:shd w:val="clear" w:color="auto" w:fill="F2F2F2" w:themeFill="background1" w:themeFillShade="F2"/>
            <w:vAlign w:val="center"/>
          </w:tcPr>
          <w:p w14:paraId="498DCFEB" w14:textId="77777777" w:rsidR="004B77F6" w:rsidRPr="00694ACA" w:rsidRDefault="004B77F6" w:rsidP="0068182E">
            <w:pPr>
              <w:spacing w:after="0"/>
              <w:jc w:val="center"/>
              <w:rPr>
                <w:rFonts w:cs="Arial"/>
                <w:color w:val="407C9B"/>
                <w:sz w:val="18"/>
                <w:szCs w:val="20"/>
                <w:lang w:val="ru-RU"/>
              </w:rPr>
            </w:pPr>
          </w:p>
        </w:tc>
        <w:tc>
          <w:tcPr>
            <w:tcW w:w="1543" w:type="dxa"/>
            <w:tcBorders>
              <w:top w:val="nil"/>
              <w:left w:val="single" w:sz="4" w:space="0" w:color="FFFFFF"/>
              <w:bottom w:val="single" w:sz="4" w:space="0" w:color="FFFFFF"/>
              <w:right w:val="single" w:sz="4" w:space="0" w:color="FFFFFF"/>
            </w:tcBorders>
            <w:shd w:val="clear" w:color="auto" w:fill="F2F2F2" w:themeFill="background1" w:themeFillShade="F2"/>
            <w:vAlign w:val="center"/>
          </w:tcPr>
          <w:p w14:paraId="606E55E4" w14:textId="77777777" w:rsidR="004B77F6" w:rsidRPr="00694ACA" w:rsidRDefault="004B77F6" w:rsidP="0068182E">
            <w:pPr>
              <w:spacing w:after="0"/>
              <w:jc w:val="center"/>
              <w:rPr>
                <w:rFonts w:cs="Arial"/>
                <w:color w:val="407C9B"/>
                <w:sz w:val="18"/>
                <w:szCs w:val="20"/>
                <w:lang w:val="ru-RU"/>
              </w:rPr>
            </w:pPr>
          </w:p>
        </w:tc>
        <w:tc>
          <w:tcPr>
            <w:tcW w:w="1561" w:type="dxa"/>
            <w:tcBorders>
              <w:top w:val="nil"/>
              <w:left w:val="single" w:sz="4" w:space="0" w:color="FFFFFF"/>
              <w:bottom w:val="single" w:sz="4" w:space="0" w:color="FFFFFF"/>
              <w:right w:val="single" w:sz="4" w:space="0" w:color="FFFFFF"/>
            </w:tcBorders>
            <w:shd w:val="clear" w:color="auto" w:fill="F2F2F2" w:themeFill="background1" w:themeFillShade="F2"/>
            <w:vAlign w:val="center"/>
          </w:tcPr>
          <w:p w14:paraId="03E1FEC6" w14:textId="77777777" w:rsidR="004B77F6" w:rsidRPr="00694ACA" w:rsidRDefault="004B77F6" w:rsidP="0068182E">
            <w:pPr>
              <w:spacing w:after="0"/>
              <w:jc w:val="center"/>
              <w:rPr>
                <w:rFonts w:cs="Arial"/>
                <w:color w:val="407C9B"/>
                <w:sz w:val="18"/>
                <w:szCs w:val="20"/>
                <w:lang w:val="ru-RU"/>
              </w:rPr>
            </w:pPr>
            <w:r w:rsidRPr="00694ACA">
              <w:rPr>
                <w:color w:val="407C9B"/>
                <w:sz w:val="18"/>
                <w:szCs w:val="20"/>
                <w:lang w:val="ru-RU"/>
              </w:rPr>
              <w:t>3</w:t>
            </w:r>
          </w:p>
        </w:tc>
        <w:tc>
          <w:tcPr>
            <w:tcW w:w="1500" w:type="dxa"/>
            <w:tcBorders>
              <w:top w:val="nil"/>
              <w:left w:val="single" w:sz="4" w:space="0" w:color="FFFFFF"/>
              <w:bottom w:val="single" w:sz="4" w:space="0" w:color="FFFFFF"/>
              <w:right w:val="single" w:sz="4" w:space="0" w:color="FFFFFF"/>
            </w:tcBorders>
            <w:shd w:val="clear" w:color="auto" w:fill="F2F2F2" w:themeFill="background1" w:themeFillShade="F2"/>
            <w:vAlign w:val="center"/>
          </w:tcPr>
          <w:p w14:paraId="0FF79779" w14:textId="77777777" w:rsidR="004B77F6" w:rsidRPr="00694ACA" w:rsidRDefault="004B77F6" w:rsidP="0068182E">
            <w:pPr>
              <w:spacing w:after="0"/>
              <w:jc w:val="center"/>
              <w:rPr>
                <w:rFonts w:cs="Arial"/>
                <w:color w:val="407C9B"/>
                <w:sz w:val="18"/>
                <w:szCs w:val="20"/>
                <w:lang w:val="ru-RU"/>
              </w:rPr>
            </w:pPr>
          </w:p>
        </w:tc>
        <w:tc>
          <w:tcPr>
            <w:tcW w:w="1290" w:type="dxa"/>
            <w:tcBorders>
              <w:top w:val="nil"/>
              <w:left w:val="single" w:sz="4" w:space="0" w:color="FFFFFF"/>
              <w:bottom w:val="single" w:sz="4" w:space="0" w:color="FFFFFF"/>
              <w:right w:val="single" w:sz="4" w:space="0" w:color="FFFFFF"/>
            </w:tcBorders>
            <w:shd w:val="clear" w:color="auto" w:fill="F2F2F2" w:themeFill="background1" w:themeFillShade="F2"/>
            <w:vAlign w:val="center"/>
          </w:tcPr>
          <w:p w14:paraId="287AB082" w14:textId="77777777" w:rsidR="004B77F6" w:rsidRPr="00694ACA" w:rsidRDefault="004B77F6" w:rsidP="0068182E">
            <w:pPr>
              <w:spacing w:after="0"/>
              <w:jc w:val="center"/>
              <w:rPr>
                <w:rFonts w:cs="Arial"/>
                <w:color w:val="407C9B"/>
                <w:sz w:val="18"/>
                <w:szCs w:val="20"/>
                <w:lang w:val="ru-RU"/>
              </w:rPr>
            </w:pPr>
            <w:r w:rsidRPr="00694ACA">
              <w:rPr>
                <w:color w:val="407C9B"/>
                <w:sz w:val="18"/>
                <w:szCs w:val="20"/>
                <w:lang w:val="ru-RU"/>
              </w:rPr>
              <w:t>3</w:t>
            </w:r>
          </w:p>
        </w:tc>
      </w:tr>
      <w:tr w:rsidR="004B77F6" w:rsidRPr="00694ACA" w14:paraId="4EA61F66" w14:textId="77777777" w:rsidTr="0068182E">
        <w:tc>
          <w:tcPr>
            <w:tcW w:w="1612"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6E8270EA" w14:textId="77777777" w:rsidR="004B77F6" w:rsidRPr="00694ACA" w:rsidRDefault="004B77F6" w:rsidP="00F221C0">
            <w:pPr>
              <w:spacing w:after="0"/>
              <w:rPr>
                <w:rFonts w:cs="Arial"/>
                <w:b/>
                <w:bCs/>
                <w:color w:val="407C9B"/>
                <w:sz w:val="18"/>
                <w:szCs w:val="20"/>
                <w:lang w:val="ru-RU"/>
              </w:rPr>
            </w:pPr>
            <w:r w:rsidRPr="00694ACA">
              <w:rPr>
                <w:b/>
                <w:color w:val="407C9B"/>
                <w:sz w:val="18"/>
                <w:szCs w:val="20"/>
                <w:lang w:val="ru-RU"/>
              </w:rPr>
              <w:t>Северная и Южная Америка</w:t>
            </w:r>
          </w:p>
        </w:tc>
        <w:tc>
          <w:tcPr>
            <w:tcW w:w="1504"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vAlign w:val="center"/>
          </w:tcPr>
          <w:p w14:paraId="1D32B5F9" w14:textId="77777777" w:rsidR="004B77F6" w:rsidRPr="00694ACA" w:rsidRDefault="004B77F6" w:rsidP="0068182E">
            <w:pPr>
              <w:spacing w:after="0"/>
              <w:jc w:val="center"/>
              <w:rPr>
                <w:rFonts w:cs="Arial"/>
                <w:color w:val="407C9B"/>
                <w:sz w:val="18"/>
                <w:szCs w:val="20"/>
                <w:lang w:val="ru-RU"/>
              </w:rPr>
            </w:pPr>
            <w:r w:rsidRPr="00694ACA">
              <w:rPr>
                <w:color w:val="407C9B"/>
                <w:sz w:val="18"/>
                <w:szCs w:val="20"/>
                <w:lang w:val="ru-RU"/>
              </w:rPr>
              <w:t>8</w:t>
            </w:r>
          </w:p>
        </w:tc>
        <w:tc>
          <w:tcPr>
            <w:tcW w:w="1543"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vAlign w:val="center"/>
          </w:tcPr>
          <w:p w14:paraId="3D7BD9C3" w14:textId="77777777" w:rsidR="004B77F6" w:rsidRPr="00694ACA" w:rsidRDefault="004B77F6" w:rsidP="0068182E">
            <w:pPr>
              <w:spacing w:after="0"/>
              <w:jc w:val="center"/>
              <w:rPr>
                <w:rFonts w:cs="Arial"/>
                <w:color w:val="407C9B"/>
                <w:sz w:val="18"/>
                <w:szCs w:val="20"/>
                <w:lang w:val="ru-RU"/>
              </w:rPr>
            </w:pPr>
            <w:r w:rsidRPr="00694ACA">
              <w:rPr>
                <w:color w:val="407C9B"/>
                <w:sz w:val="18"/>
                <w:szCs w:val="20"/>
                <w:lang w:val="ru-RU"/>
              </w:rPr>
              <w:t>3</w:t>
            </w:r>
          </w:p>
        </w:tc>
        <w:tc>
          <w:tcPr>
            <w:tcW w:w="1561"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vAlign w:val="center"/>
          </w:tcPr>
          <w:p w14:paraId="535DF28B" w14:textId="77777777" w:rsidR="004B77F6" w:rsidRPr="00694ACA" w:rsidRDefault="004B77F6" w:rsidP="0068182E">
            <w:pPr>
              <w:spacing w:after="0"/>
              <w:jc w:val="center"/>
              <w:rPr>
                <w:rFonts w:cs="Arial"/>
                <w:color w:val="407C9B"/>
                <w:sz w:val="18"/>
                <w:szCs w:val="20"/>
                <w:lang w:val="ru-RU"/>
              </w:rPr>
            </w:pPr>
            <w:r w:rsidRPr="00694ACA">
              <w:rPr>
                <w:color w:val="407C9B"/>
                <w:sz w:val="18"/>
                <w:szCs w:val="20"/>
                <w:lang w:val="ru-RU"/>
              </w:rPr>
              <w:t>3</w:t>
            </w:r>
          </w:p>
        </w:tc>
        <w:tc>
          <w:tcPr>
            <w:tcW w:w="1500"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vAlign w:val="center"/>
          </w:tcPr>
          <w:p w14:paraId="562E9D21" w14:textId="77777777" w:rsidR="004B77F6" w:rsidRPr="00694ACA" w:rsidRDefault="004B77F6" w:rsidP="0068182E">
            <w:pPr>
              <w:spacing w:after="0"/>
              <w:jc w:val="center"/>
              <w:rPr>
                <w:rFonts w:cs="Arial"/>
                <w:color w:val="407C9B"/>
                <w:sz w:val="18"/>
                <w:szCs w:val="20"/>
                <w:lang w:val="ru-RU"/>
              </w:rPr>
            </w:pPr>
            <w:r w:rsidRPr="00694ACA">
              <w:rPr>
                <w:color w:val="407C9B"/>
                <w:sz w:val="18"/>
                <w:szCs w:val="20"/>
                <w:lang w:val="ru-RU"/>
              </w:rPr>
              <w:t>5</w:t>
            </w:r>
          </w:p>
        </w:tc>
        <w:tc>
          <w:tcPr>
            <w:tcW w:w="1290"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vAlign w:val="center"/>
          </w:tcPr>
          <w:p w14:paraId="554EE4A3" w14:textId="77777777" w:rsidR="004B77F6" w:rsidRPr="00694ACA" w:rsidRDefault="004B77F6" w:rsidP="0068182E">
            <w:pPr>
              <w:spacing w:after="0"/>
              <w:jc w:val="center"/>
              <w:rPr>
                <w:rFonts w:cs="Arial"/>
                <w:color w:val="407C9B"/>
                <w:sz w:val="18"/>
                <w:szCs w:val="20"/>
                <w:lang w:val="ru-RU"/>
              </w:rPr>
            </w:pPr>
            <w:r w:rsidRPr="00694ACA">
              <w:rPr>
                <w:color w:val="407C9B"/>
                <w:sz w:val="18"/>
                <w:szCs w:val="20"/>
                <w:lang w:val="ru-RU"/>
              </w:rPr>
              <w:t>19</w:t>
            </w:r>
          </w:p>
        </w:tc>
      </w:tr>
      <w:tr w:rsidR="004B77F6" w:rsidRPr="00694ACA" w14:paraId="5676E518" w14:textId="77777777" w:rsidTr="0068182E">
        <w:tc>
          <w:tcPr>
            <w:tcW w:w="1612"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560F7241" w14:textId="77777777" w:rsidR="004B77F6" w:rsidRPr="00694ACA" w:rsidRDefault="004B77F6" w:rsidP="00F221C0">
            <w:pPr>
              <w:spacing w:after="0"/>
              <w:rPr>
                <w:rFonts w:cs="Arial"/>
                <w:b/>
                <w:bCs/>
                <w:color w:val="407C9B"/>
                <w:sz w:val="18"/>
                <w:szCs w:val="20"/>
                <w:lang w:val="ru-RU"/>
              </w:rPr>
            </w:pPr>
            <w:r w:rsidRPr="00694ACA">
              <w:rPr>
                <w:b/>
                <w:color w:val="407C9B"/>
                <w:sz w:val="18"/>
                <w:szCs w:val="20"/>
                <w:lang w:val="ru-RU"/>
              </w:rPr>
              <w:t>Арабские государства</w:t>
            </w:r>
          </w:p>
        </w:tc>
        <w:tc>
          <w:tcPr>
            <w:tcW w:w="1504"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vAlign w:val="center"/>
          </w:tcPr>
          <w:p w14:paraId="299F1E87" w14:textId="77777777" w:rsidR="004B77F6" w:rsidRPr="00694ACA" w:rsidRDefault="004B77F6" w:rsidP="0068182E">
            <w:pPr>
              <w:spacing w:after="0"/>
              <w:jc w:val="center"/>
              <w:rPr>
                <w:rFonts w:cs="Arial"/>
                <w:color w:val="407C9B"/>
                <w:sz w:val="18"/>
                <w:szCs w:val="20"/>
                <w:lang w:val="ru-RU"/>
              </w:rPr>
            </w:pPr>
          </w:p>
        </w:tc>
        <w:tc>
          <w:tcPr>
            <w:tcW w:w="1543"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vAlign w:val="center"/>
          </w:tcPr>
          <w:p w14:paraId="5862DEA2" w14:textId="77777777" w:rsidR="004B77F6" w:rsidRPr="00694ACA" w:rsidRDefault="004B77F6" w:rsidP="0068182E">
            <w:pPr>
              <w:spacing w:after="0"/>
              <w:jc w:val="center"/>
              <w:rPr>
                <w:rFonts w:cs="Arial"/>
                <w:color w:val="407C9B"/>
                <w:sz w:val="18"/>
                <w:szCs w:val="20"/>
                <w:lang w:val="ru-RU"/>
              </w:rPr>
            </w:pPr>
          </w:p>
        </w:tc>
        <w:tc>
          <w:tcPr>
            <w:tcW w:w="1561"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vAlign w:val="center"/>
          </w:tcPr>
          <w:p w14:paraId="6403D287" w14:textId="77777777" w:rsidR="004B77F6" w:rsidRPr="00694ACA" w:rsidRDefault="004B77F6" w:rsidP="0068182E">
            <w:pPr>
              <w:spacing w:after="0"/>
              <w:jc w:val="center"/>
              <w:rPr>
                <w:rFonts w:cs="Arial"/>
                <w:color w:val="407C9B"/>
                <w:sz w:val="18"/>
                <w:szCs w:val="20"/>
                <w:lang w:val="ru-RU"/>
              </w:rPr>
            </w:pPr>
          </w:p>
        </w:tc>
        <w:tc>
          <w:tcPr>
            <w:tcW w:w="1500"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vAlign w:val="center"/>
          </w:tcPr>
          <w:p w14:paraId="01B0718B" w14:textId="77777777" w:rsidR="004B77F6" w:rsidRPr="00694ACA" w:rsidRDefault="004B77F6" w:rsidP="0068182E">
            <w:pPr>
              <w:spacing w:after="0"/>
              <w:jc w:val="center"/>
              <w:rPr>
                <w:rFonts w:cs="Arial"/>
                <w:color w:val="407C9B"/>
                <w:sz w:val="18"/>
                <w:szCs w:val="20"/>
                <w:lang w:val="ru-RU"/>
              </w:rPr>
            </w:pPr>
          </w:p>
        </w:tc>
        <w:tc>
          <w:tcPr>
            <w:tcW w:w="1290"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vAlign w:val="center"/>
          </w:tcPr>
          <w:p w14:paraId="69009592" w14:textId="77777777" w:rsidR="004B77F6" w:rsidRPr="00694ACA" w:rsidRDefault="004B77F6" w:rsidP="0068182E">
            <w:pPr>
              <w:spacing w:after="0"/>
              <w:jc w:val="center"/>
              <w:rPr>
                <w:rFonts w:cs="Arial"/>
                <w:color w:val="407C9B"/>
                <w:sz w:val="18"/>
                <w:szCs w:val="20"/>
                <w:lang w:val="ru-RU"/>
              </w:rPr>
            </w:pPr>
          </w:p>
        </w:tc>
      </w:tr>
      <w:tr w:rsidR="004B77F6" w:rsidRPr="00694ACA" w14:paraId="31BB94B8" w14:textId="77777777" w:rsidTr="0068182E">
        <w:tc>
          <w:tcPr>
            <w:tcW w:w="1612"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2A3FBF82" w14:textId="77777777" w:rsidR="004B77F6" w:rsidRPr="00694ACA" w:rsidRDefault="004B77F6" w:rsidP="00F221C0">
            <w:pPr>
              <w:spacing w:after="0"/>
              <w:rPr>
                <w:rFonts w:cs="Arial"/>
                <w:b/>
                <w:bCs/>
                <w:color w:val="407C9B"/>
                <w:sz w:val="18"/>
                <w:szCs w:val="20"/>
                <w:lang w:val="ru-RU"/>
              </w:rPr>
            </w:pPr>
            <w:r w:rsidRPr="00694ACA">
              <w:rPr>
                <w:b/>
                <w:color w:val="407C9B"/>
                <w:sz w:val="18"/>
                <w:szCs w:val="20"/>
                <w:lang w:val="ru-RU"/>
              </w:rPr>
              <w:t>Азиатско-Тихоокеанский регион</w:t>
            </w:r>
          </w:p>
        </w:tc>
        <w:tc>
          <w:tcPr>
            <w:tcW w:w="1504"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vAlign w:val="center"/>
          </w:tcPr>
          <w:p w14:paraId="6AA2A661" w14:textId="77777777" w:rsidR="004B77F6" w:rsidRPr="00694ACA" w:rsidRDefault="004B77F6" w:rsidP="0068182E">
            <w:pPr>
              <w:tabs>
                <w:tab w:val="center" w:pos="793"/>
              </w:tabs>
              <w:spacing w:after="0"/>
              <w:jc w:val="center"/>
              <w:rPr>
                <w:rFonts w:cs="Arial"/>
                <w:color w:val="407C9B"/>
                <w:sz w:val="18"/>
                <w:szCs w:val="20"/>
                <w:lang w:val="ru-RU"/>
              </w:rPr>
            </w:pPr>
            <w:r w:rsidRPr="00694ACA">
              <w:rPr>
                <w:color w:val="407C9B"/>
                <w:sz w:val="18"/>
                <w:szCs w:val="20"/>
                <w:lang w:val="ru-RU"/>
              </w:rPr>
              <w:t>2</w:t>
            </w:r>
          </w:p>
        </w:tc>
        <w:tc>
          <w:tcPr>
            <w:tcW w:w="1543"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vAlign w:val="center"/>
          </w:tcPr>
          <w:p w14:paraId="7CD5D45D" w14:textId="77777777" w:rsidR="004B77F6" w:rsidRPr="00694ACA" w:rsidRDefault="004B77F6" w:rsidP="0068182E">
            <w:pPr>
              <w:spacing w:after="0"/>
              <w:jc w:val="center"/>
              <w:rPr>
                <w:rFonts w:cs="Arial"/>
                <w:color w:val="407C9B"/>
                <w:sz w:val="18"/>
                <w:szCs w:val="20"/>
                <w:lang w:val="ru-RU"/>
              </w:rPr>
            </w:pPr>
          </w:p>
        </w:tc>
        <w:tc>
          <w:tcPr>
            <w:tcW w:w="1561"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vAlign w:val="center"/>
          </w:tcPr>
          <w:p w14:paraId="32410107" w14:textId="77777777" w:rsidR="004B77F6" w:rsidRPr="00694ACA" w:rsidRDefault="004B77F6" w:rsidP="0068182E">
            <w:pPr>
              <w:spacing w:after="0"/>
              <w:jc w:val="center"/>
              <w:rPr>
                <w:rFonts w:cs="Arial"/>
                <w:color w:val="407C9B"/>
                <w:sz w:val="18"/>
                <w:szCs w:val="20"/>
                <w:lang w:val="ru-RU"/>
              </w:rPr>
            </w:pPr>
            <w:r w:rsidRPr="00694ACA">
              <w:rPr>
                <w:color w:val="407C9B"/>
                <w:sz w:val="18"/>
                <w:szCs w:val="20"/>
                <w:lang w:val="ru-RU"/>
              </w:rPr>
              <w:t>2</w:t>
            </w:r>
          </w:p>
        </w:tc>
        <w:tc>
          <w:tcPr>
            <w:tcW w:w="1500"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vAlign w:val="center"/>
          </w:tcPr>
          <w:p w14:paraId="02D12C29" w14:textId="77777777" w:rsidR="004B77F6" w:rsidRPr="00694ACA" w:rsidRDefault="004B77F6" w:rsidP="0068182E">
            <w:pPr>
              <w:spacing w:after="0"/>
              <w:jc w:val="center"/>
              <w:rPr>
                <w:rFonts w:cs="Arial"/>
                <w:color w:val="407C9B"/>
                <w:sz w:val="18"/>
                <w:szCs w:val="20"/>
                <w:lang w:val="ru-RU"/>
              </w:rPr>
            </w:pPr>
            <w:r w:rsidRPr="00694ACA">
              <w:rPr>
                <w:color w:val="407C9B"/>
                <w:sz w:val="18"/>
                <w:szCs w:val="20"/>
                <w:lang w:val="ru-RU"/>
              </w:rPr>
              <w:t>1</w:t>
            </w:r>
          </w:p>
        </w:tc>
        <w:tc>
          <w:tcPr>
            <w:tcW w:w="1290"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vAlign w:val="center"/>
          </w:tcPr>
          <w:p w14:paraId="2D97C05E" w14:textId="77777777" w:rsidR="004B77F6" w:rsidRPr="00694ACA" w:rsidRDefault="004B77F6" w:rsidP="0068182E">
            <w:pPr>
              <w:spacing w:after="0"/>
              <w:jc w:val="center"/>
              <w:rPr>
                <w:rFonts w:cs="Arial"/>
                <w:color w:val="407C9B"/>
                <w:sz w:val="18"/>
                <w:szCs w:val="20"/>
                <w:lang w:val="ru-RU"/>
              </w:rPr>
            </w:pPr>
            <w:r w:rsidRPr="00694ACA">
              <w:rPr>
                <w:color w:val="407C9B"/>
                <w:sz w:val="18"/>
                <w:szCs w:val="20"/>
                <w:lang w:val="ru-RU"/>
              </w:rPr>
              <w:t>5</w:t>
            </w:r>
          </w:p>
        </w:tc>
      </w:tr>
      <w:tr w:rsidR="004B77F6" w:rsidRPr="00694ACA" w14:paraId="3CC01F71" w14:textId="77777777" w:rsidTr="0068182E">
        <w:tc>
          <w:tcPr>
            <w:tcW w:w="1612"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044514AA" w14:textId="77777777" w:rsidR="004B77F6" w:rsidRPr="00694ACA" w:rsidRDefault="004B77F6" w:rsidP="00F221C0">
            <w:pPr>
              <w:spacing w:after="0"/>
              <w:rPr>
                <w:rFonts w:cs="Arial"/>
                <w:b/>
                <w:bCs/>
                <w:color w:val="407C9B"/>
                <w:sz w:val="18"/>
                <w:szCs w:val="20"/>
                <w:lang w:val="ru-RU"/>
              </w:rPr>
            </w:pPr>
            <w:r w:rsidRPr="00694ACA">
              <w:rPr>
                <w:b/>
                <w:color w:val="407C9B"/>
                <w:sz w:val="18"/>
                <w:szCs w:val="20"/>
                <w:lang w:val="ru-RU"/>
              </w:rPr>
              <w:t>СНГ</w:t>
            </w:r>
          </w:p>
        </w:tc>
        <w:tc>
          <w:tcPr>
            <w:tcW w:w="1504"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vAlign w:val="center"/>
          </w:tcPr>
          <w:p w14:paraId="69366B9D" w14:textId="77777777" w:rsidR="004B77F6" w:rsidRPr="00694ACA" w:rsidRDefault="004B77F6" w:rsidP="0068182E">
            <w:pPr>
              <w:spacing w:after="0"/>
              <w:jc w:val="center"/>
              <w:rPr>
                <w:rFonts w:cs="Arial"/>
                <w:color w:val="407C9B"/>
                <w:sz w:val="18"/>
                <w:szCs w:val="20"/>
                <w:lang w:val="ru-RU"/>
              </w:rPr>
            </w:pPr>
            <w:r w:rsidRPr="00694ACA">
              <w:rPr>
                <w:color w:val="407C9B"/>
                <w:sz w:val="18"/>
                <w:szCs w:val="20"/>
                <w:lang w:val="ru-RU"/>
              </w:rPr>
              <w:t>1</w:t>
            </w:r>
          </w:p>
        </w:tc>
        <w:tc>
          <w:tcPr>
            <w:tcW w:w="1543"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vAlign w:val="center"/>
          </w:tcPr>
          <w:p w14:paraId="67CB462B" w14:textId="77777777" w:rsidR="004B77F6" w:rsidRPr="00694ACA" w:rsidRDefault="004B77F6" w:rsidP="0068182E">
            <w:pPr>
              <w:spacing w:after="0"/>
              <w:jc w:val="center"/>
              <w:rPr>
                <w:rFonts w:cs="Arial"/>
                <w:color w:val="407C9B"/>
                <w:sz w:val="18"/>
                <w:szCs w:val="20"/>
                <w:lang w:val="ru-RU"/>
              </w:rPr>
            </w:pPr>
          </w:p>
        </w:tc>
        <w:tc>
          <w:tcPr>
            <w:tcW w:w="1561"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vAlign w:val="center"/>
          </w:tcPr>
          <w:p w14:paraId="7C4FBB2E" w14:textId="77777777" w:rsidR="004B77F6" w:rsidRPr="00694ACA" w:rsidRDefault="004B77F6" w:rsidP="0068182E">
            <w:pPr>
              <w:spacing w:after="0"/>
              <w:jc w:val="center"/>
              <w:rPr>
                <w:rFonts w:cs="Arial"/>
                <w:color w:val="407C9B"/>
                <w:sz w:val="18"/>
                <w:szCs w:val="20"/>
                <w:lang w:val="ru-RU"/>
              </w:rPr>
            </w:pPr>
          </w:p>
        </w:tc>
        <w:tc>
          <w:tcPr>
            <w:tcW w:w="1500"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vAlign w:val="center"/>
          </w:tcPr>
          <w:p w14:paraId="19CCD291" w14:textId="77777777" w:rsidR="004B77F6" w:rsidRPr="00694ACA" w:rsidRDefault="004B77F6" w:rsidP="0068182E">
            <w:pPr>
              <w:spacing w:after="0"/>
              <w:jc w:val="center"/>
              <w:rPr>
                <w:rFonts w:cs="Arial"/>
                <w:color w:val="407C9B"/>
                <w:sz w:val="18"/>
                <w:szCs w:val="20"/>
                <w:lang w:val="ru-RU"/>
              </w:rPr>
            </w:pPr>
          </w:p>
        </w:tc>
        <w:tc>
          <w:tcPr>
            <w:tcW w:w="1290"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vAlign w:val="center"/>
          </w:tcPr>
          <w:p w14:paraId="61B6CC15" w14:textId="77777777" w:rsidR="004B77F6" w:rsidRPr="00694ACA" w:rsidRDefault="004B77F6" w:rsidP="0068182E">
            <w:pPr>
              <w:spacing w:after="0"/>
              <w:jc w:val="center"/>
              <w:rPr>
                <w:rFonts w:cs="Arial"/>
                <w:color w:val="407C9B"/>
                <w:sz w:val="18"/>
                <w:szCs w:val="20"/>
                <w:lang w:val="ru-RU"/>
              </w:rPr>
            </w:pPr>
            <w:r w:rsidRPr="00694ACA">
              <w:rPr>
                <w:color w:val="407C9B"/>
                <w:sz w:val="18"/>
                <w:szCs w:val="20"/>
                <w:lang w:val="ru-RU"/>
              </w:rPr>
              <w:t>1</w:t>
            </w:r>
          </w:p>
        </w:tc>
      </w:tr>
      <w:tr w:rsidR="004B77F6" w:rsidRPr="00694ACA" w14:paraId="59FCDE2D" w14:textId="77777777" w:rsidTr="0068182E">
        <w:tc>
          <w:tcPr>
            <w:tcW w:w="1612"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3182F56A" w14:textId="77777777" w:rsidR="004B77F6" w:rsidRPr="00694ACA" w:rsidRDefault="004B77F6" w:rsidP="00F221C0">
            <w:pPr>
              <w:spacing w:after="0"/>
              <w:rPr>
                <w:rFonts w:cs="Arial"/>
                <w:b/>
                <w:bCs/>
                <w:color w:val="407C9B"/>
                <w:sz w:val="18"/>
                <w:szCs w:val="20"/>
                <w:lang w:val="ru-RU"/>
              </w:rPr>
            </w:pPr>
            <w:r w:rsidRPr="00694ACA">
              <w:rPr>
                <w:b/>
                <w:color w:val="407C9B"/>
                <w:sz w:val="18"/>
                <w:szCs w:val="20"/>
                <w:lang w:val="ru-RU"/>
              </w:rPr>
              <w:t>Европа</w:t>
            </w:r>
          </w:p>
        </w:tc>
        <w:tc>
          <w:tcPr>
            <w:tcW w:w="1504"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vAlign w:val="center"/>
          </w:tcPr>
          <w:p w14:paraId="080DA24D" w14:textId="77777777" w:rsidR="004B77F6" w:rsidRPr="00694ACA" w:rsidRDefault="004B77F6" w:rsidP="0068182E">
            <w:pPr>
              <w:spacing w:after="0"/>
              <w:jc w:val="center"/>
              <w:rPr>
                <w:rFonts w:cs="Arial"/>
                <w:color w:val="407C9B"/>
                <w:sz w:val="18"/>
                <w:szCs w:val="20"/>
                <w:lang w:val="ru-RU"/>
              </w:rPr>
            </w:pPr>
            <w:r w:rsidRPr="00694ACA">
              <w:rPr>
                <w:color w:val="407C9B"/>
                <w:sz w:val="18"/>
                <w:szCs w:val="20"/>
                <w:lang w:val="ru-RU"/>
              </w:rPr>
              <w:t>10</w:t>
            </w:r>
          </w:p>
        </w:tc>
        <w:tc>
          <w:tcPr>
            <w:tcW w:w="1543"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vAlign w:val="center"/>
          </w:tcPr>
          <w:p w14:paraId="0E181FB2" w14:textId="77777777" w:rsidR="004B77F6" w:rsidRPr="00694ACA" w:rsidRDefault="004B77F6" w:rsidP="0068182E">
            <w:pPr>
              <w:spacing w:after="0"/>
              <w:jc w:val="center"/>
              <w:rPr>
                <w:rFonts w:cs="Arial"/>
                <w:color w:val="407C9B"/>
                <w:sz w:val="18"/>
                <w:szCs w:val="20"/>
                <w:lang w:val="ru-RU"/>
              </w:rPr>
            </w:pPr>
            <w:r w:rsidRPr="00694ACA">
              <w:rPr>
                <w:color w:val="407C9B"/>
                <w:sz w:val="18"/>
                <w:szCs w:val="20"/>
                <w:lang w:val="ru-RU"/>
              </w:rPr>
              <w:t>11</w:t>
            </w:r>
          </w:p>
        </w:tc>
        <w:tc>
          <w:tcPr>
            <w:tcW w:w="1561"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vAlign w:val="center"/>
          </w:tcPr>
          <w:p w14:paraId="4E849A39" w14:textId="77777777" w:rsidR="004B77F6" w:rsidRPr="00694ACA" w:rsidRDefault="004B77F6" w:rsidP="0068182E">
            <w:pPr>
              <w:spacing w:after="0"/>
              <w:jc w:val="center"/>
              <w:rPr>
                <w:rFonts w:cs="Arial"/>
                <w:color w:val="407C9B"/>
                <w:sz w:val="18"/>
                <w:szCs w:val="20"/>
                <w:lang w:val="ru-RU"/>
              </w:rPr>
            </w:pPr>
            <w:r w:rsidRPr="00694ACA">
              <w:rPr>
                <w:color w:val="407C9B"/>
                <w:sz w:val="18"/>
                <w:szCs w:val="20"/>
                <w:lang w:val="ru-RU"/>
              </w:rPr>
              <w:t>8</w:t>
            </w:r>
          </w:p>
        </w:tc>
        <w:tc>
          <w:tcPr>
            <w:tcW w:w="1500"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vAlign w:val="center"/>
          </w:tcPr>
          <w:p w14:paraId="501D5D24" w14:textId="77777777" w:rsidR="004B77F6" w:rsidRPr="00694ACA" w:rsidRDefault="004B77F6" w:rsidP="0068182E">
            <w:pPr>
              <w:spacing w:after="0"/>
              <w:jc w:val="center"/>
              <w:rPr>
                <w:rFonts w:cs="Arial"/>
                <w:color w:val="407C9B"/>
                <w:sz w:val="18"/>
                <w:szCs w:val="20"/>
                <w:lang w:val="ru-RU"/>
              </w:rPr>
            </w:pPr>
            <w:r w:rsidRPr="00694ACA">
              <w:rPr>
                <w:color w:val="407C9B"/>
                <w:sz w:val="18"/>
                <w:szCs w:val="20"/>
                <w:lang w:val="ru-RU"/>
              </w:rPr>
              <w:t>7</w:t>
            </w:r>
          </w:p>
        </w:tc>
        <w:tc>
          <w:tcPr>
            <w:tcW w:w="1290"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vAlign w:val="center"/>
          </w:tcPr>
          <w:p w14:paraId="1C6B432D" w14:textId="4B76330C" w:rsidR="004B77F6" w:rsidRPr="00694ACA" w:rsidRDefault="004B77F6" w:rsidP="0068182E">
            <w:pPr>
              <w:spacing w:after="0"/>
              <w:jc w:val="center"/>
              <w:rPr>
                <w:rFonts w:cs="Arial"/>
                <w:color w:val="407C9B"/>
                <w:sz w:val="18"/>
                <w:szCs w:val="20"/>
                <w:lang w:val="ru-RU"/>
              </w:rPr>
            </w:pPr>
            <w:r w:rsidRPr="00694ACA">
              <w:rPr>
                <w:color w:val="407C9B"/>
                <w:sz w:val="18"/>
                <w:szCs w:val="20"/>
                <w:lang w:val="ru-RU"/>
              </w:rPr>
              <w:t>36</w:t>
            </w:r>
          </w:p>
        </w:tc>
      </w:tr>
      <w:tr w:rsidR="004B77F6" w:rsidRPr="00694ACA" w14:paraId="029C26C0" w14:textId="77777777" w:rsidTr="0068182E">
        <w:tc>
          <w:tcPr>
            <w:tcW w:w="1612"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54E45377" w14:textId="77777777" w:rsidR="004B77F6" w:rsidRPr="00694ACA" w:rsidRDefault="004B77F6" w:rsidP="00F221C0">
            <w:pPr>
              <w:spacing w:after="0"/>
              <w:rPr>
                <w:rFonts w:cs="Arial"/>
                <w:b/>
                <w:bCs/>
                <w:color w:val="407C9B"/>
                <w:sz w:val="18"/>
                <w:szCs w:val="20"/>
                <w:lang w:val="ru-RU"/>
              </w:rPr>
            </w:pPr>
            <w:r w:rsidRPr="00694ACA">
              <w:rPr>
                <w:b/>
                <w:color w:val="407C9B"/>
                <w:sz w:val="18"/>
                <w:szCs w:val="20"/>
                <w:lang w:val="ru-RU"/>
              </w:rPr>
              <w:t>Всего</w:t>
            </w:r>
          </w:p>
        </w:tc>
        <w:tc>
          <w:tcPr>
            <w:tcW w:w="1504"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vAlign w:val="center"/>
          </w:tcPr>
          <w:p w14:paraId="5662E461" w14:textId="77777777" w:rsidR="004B77F6" w:rsidRPr="00694ACA" w:rsidRDefault="004B77F6" w:rsidP="0068182E">
            <w:pPr>
              <w:spacing w:after="0"/>
              <w:jc w:val="center"/>
              <w:rPr>
                <w:rFonts w:cs="Arial"/>
                <w:b/>
                <w:bCs/>
                <w:color w:val="407C9B"/>
                <w:sz w:val="18"/>
                <w:szCs w:val="20"/>
                <w:lang w:val="ru-RU"/>
              </w:rPr>
            </w:pPr>
            <w:r w:rsidRPr="00694ACA">
              <w:rPr>
                <w:b/>
                <w:color w:val="407C9B"/>
                <w:sz w:val="18"/>
                <w:szCs w:val="20"/>
                <w:lang w:val="ru-RU"/>
              </w:rPr>
              <w:t>21</w:t>
            </w:r>
          </w:p>
        </w:tc>
        <w:tc>
          <w:tcPr>
            <w:tcW w:w="1543"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vAlign w:val="center"/>
          </w:tcPr>
          <w:p w14:paraId="2AE04983" w14:textId="77777777" w:rsidR="004B77F6" w:rsidRPr="00694ACA" w:rsidRDefault="004B77F6" w:rsidP="0068182E">
            <w:pPr>
              <w:spacing w:after="0"/>
              <w:jc w:val="center"/>
              <w:rPr>
                <w:rFonts w:cs="Arial"/>
                <w:b/>
                <w:bCs/>
                <w:color w:val="407C9B"/>
                <w:sz w:val="18"/>
                <w:szCs w:val="20"/>
                <w:lang w:val="ru-RU"/>
              </w:rPr>
            </w:pPr>
            <w:r w:rsidRPr="00694ACA">
              <w:rPr>
                <w:b/>
                <w:color w:val="407C9B"/>
                <w:sz w:val="18"/>
                <w:szCs w:val="20"/>
                <w:lang w:val="ru-RU"/>
              </w:rPr>
              <w:t>14</w:t>
            </w:r>
          </w:p>
        </w:tc>
        <w:tc>
          <w:tcPr>
            <w:tcW w:w="1561"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vAlign w:val="center"/>
          </w:tcPr>
          <w:p w14:paraId="7970EC1F" w14:textId="77777777" w:rsidR="004B77F6" w:rsidRPr="00694ACA" w:rsidRDefault="004B77F6" w:rsidP="0068182E">
            <w:pPr>
              <w:spacing w:after="0"/>
              <w:jc w:val="center"/>
              <w:rPr>
                <w:rFonts w:cs="Arial"/>
                <w:b/>
                <w:bCs/>
                <w:color w:val="407C9B"/>
                <w:sz w:val="18"/>
                <w:szCs w:val="20"/>
                <w:lang w:val="ru-RU"/>
              </w:rPr>
            </w:pPr>
            <w:r w:rsidRPr="00694ACA">
              <w:rPr>
                <w:b/>
                <w:color w:val="407C9B"/>
                <w:sz w:val="18"/>
                <w:szCs w:val="20"/>
                <w:lang w:val="ru-RU"/>
              </w:rPr>
              <w:t>16</w:t>
            </w:r>
          </w:p>
        </w:tc>
        <w:tc>
          <w:tcPr>
            <w:tcW w:w="1500"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vAlign w:val="center"/>
          </w:tcPr>
          <w:p w14:paraId="7C1F50AD" w14:textId="77777777" w:rsidR="004B77F6" w:rsidRPr="00694ACA" w:rsidRDefault="004B77F6" w:rsidP="0068182E">
            <w:pPr>
              <w:spacing w:after="0"/>
              <w:jc w:val="center"/>
              <w:rPr>
                <w:rFonts w:cs="Arial"/>
                <w:b/>
                <w:bCs/>
                <w:color w:val="407C9B"/>
                <w:sz w:val="18"/>
                <w:szCs w:val="20"/>
                <w:lang w:val="ru-RU"/>
              </w:rPr>
            </w:pPr>
            <w:r w:rsidRPr="00694ACA">
              <w:rPr>
                <w:b/>
                <w:color w:val="407C9B"/>
                <w:sz w:val="18"/>
                <w:szCs w:val="20"/>
                <w:lang w:val="ru-RU"/>
              </w:rPr>
              <w:t>13</w:t>
            </w:r>
          </w:p>
        </w:tc>
        <w:tc>
          <w:tcPr>
            <w:tcW w:w="1290"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vAlign w:val="center"/>
          </w:tcPr>
          <w:p w14:paraId="586700F2" w14:textId="77777777" w:rsidR="004B77F6" w:rsidRPr="00694ACA" w:rsidRDefault="004B77F6" w:rsidP="0068182E">
            <w:pPr>
              <w:spacing w:after="0"/>
              <w:jc w:val="center"/>
              <w:rPr>
                <w:rFonts w:cs="Arial"/>
                <w:b/>
                <w:bCs/>
                <w:color w:val="407C9B"/>
                <w:sz w:val="18"/>
                <w:szCs w:val="20"/>
                <w:lang w:val="ru-RU"/>
              </w:rPr>
            </w:pPr>
            <w:r w:rsidRPr="00694ACA">
              <w:rPr>
                <w:b/>
                <w:color w:val="407C9B"/>
                <w:sz w:val="18"/>
                <w:szCs w:val="20"/>
                <w:lang w:val="ru-RU"/>
              </w:rPr>
              <w:t>64</w:t>
            </w:r>
          </w:p>
        </w:tc>
      </w:tr>
    </w:tbl>
    <w:p w14:paraId="4D60094A" w14:textId="31E39C66" w:rsidR="004B77F6" w:rsidRPr="00694ACA" w:rsidRDefault="004B77F6" w:rsidP="00A105CB">
      <w:pPr>
        <w:pStyle w:val="Heading2"/>
        <w:rPr>
          <w:lang w:val="ru-RU"/>
        </w:rPr>
      </w:pPr>
      <w:r w:rsidRPr="00694ACA">
        <w:rPr>
          <w:lang w:val="ru-RU"/>
        </w:rPr>
        <w:lastRenderedPageBreak/>
        <w:t xml:space="preserve">Приложение 6: </w:t>
      </w:r>
      <w:bookmarkStart w:id="416" w:name="_Toc58273877"/>
      <w:bookmarkStart w:id="417" w:name="_Toc61375564"/>
      <w:r w:rsidRPr="00694ACA">
        <w:rPr>
          <w:lang w:val="ru-RU"/>
        </w:rPr>
        <w:t xml:space="preserve">Характеристики финансовых моделей </w:t>
      </w:r>
      <w:r w:rsidR="00A50257" w:rsidRPr="00694ACA">
        <w:rPr>
          <w:lang w:val="ru-RU"/>
        </w:rPr>
        <w:t xml:space="preserve">CD&amp;T </w:t>
      </w:r>
      <w:r w:rsidRPr="00694ACA">
        <w:rPr>
          <w:lang w:val="ru-RU"/>
        </w:rPr>
        <w:t>в ИКТ и электросвязи</w:t>
      </w:r>
      <w:bookmarkEnd w:id="416"/>
      <w:bookmarkEnd w:id="417"/>
    </w:p>
    <w:tbl>
      <w:tblPr>
        <w:tblW w:w="10774"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6"/>
        <w:gridCol w:w="1250"/>
        <w:gridCol w:w="1559"/>
        <w:gridCol w:w="1276"/>
        <w:gridCol w:w="1701"/>
        <w:gridCol w:w="1559"/>
        <w:gridCol w:w="1843"/>
      </w:tblGrid>
      <w:tr w:rsidR="004B77F6" w:rsidRPr="00694ACA" w14:paraId="00039590" w14:textId="77777777" w:rsidTr="00CD4D96">
        <w:trPr>
          <w:cantSplit/>
          <w:trHeight w:val="447"/>
        </w:trPr>
        <w:tc>
          <w:tcPr>
            <w:tcW w:w="1586" w:type="dxa"/>
            <w:tcBorders>
              <w:top w:val="nil"/>
              <w:left w:val="nil"/>
              <w:bottom w:val="nil"/>
              <w:right w:val="nil"/>
            </w:tcBorders>
            <w:shd w:val="clear" w:color="auto" w:fill="407C9B"/>
            <w:vAlign w:val="center"/>
          </w:tcPr>
          <w:p w14:paraId="785147B4" w14:textId="77777777" w:rsidR="004B77F6" w:rsidRPr="00694ACA" w:rsidRDefault="004B77F6" w:rsidP="009246DC">
            <w:pPr>
              <w:keepNext/>
              <w:spacing w:after="0"/>
              <w:ind w:left="-57" w:right="-57"/>
              <w:jc w:val="center"/>
              <w:rPr>
                <w:rFonts w:cs="Arial"/>
                <w:b/>
                <w:bCs/>
                <w:color w:val="FFFFFF" w:themeColor="background1"/>
                <w:sz w:val="18"/>
                <w:szCs w:val="18"/>
                <w:lang w:val="ru-RU"/>
              </w:rPr>
            </w:pPr>
          </w:p>
        </w:tc>
        <w:tc>
          <w:tcPr>
            <w:tcW w:w="1250" w:type="dxa"/>
            <w:tcBorders>
              <w:top w:val="nil"/>
              <w:left w:val="nil"/>
              <w:bottom w:val="nil"/>
              <w:right w:val="nil"/>
            </w:tcBorders>
            <w:shd w:val="clear" w:color="auto" w:fill="407C9B"/>
            <w:vAlign w:val="center"/>
          </w:tcPr>
          <w:p w14:paraId="6138ACD7" w14:textId="77777777" w:rsidR="004B77F6" w:rsidRPr="00694ACA" w:rsidRDefault="004B77F6" w:rsidP="009246DC">
            <w:pPr>
              <w:keepNext/>
              <w:spacing w:after="0"/>
              <w:ind w:left="-57" w:right="-57"/>
              <w:jc w:val="center"/>
              <w:rPr>
                <w:rFonts w:cs="Arial"/>
                <w:b/>
                <w:bCs/>
                <w:color w:val="FFFFFF" w:themeColor="background1"/>
                <w:sz w:val="18"/>
                <w:szCs w:val="18"/>
                <w:lang w:val="ru-RU"/>
              </w:rPr>
            </w:pPr>
            <w:r w:rsidRPr="00694ACA">
              <w:rPr>
                <w:b/>
                <w:color w:val="FFFFFF" w:themeColor="background1"/>
                <w:sz w:val="18"/>
                <w:lang w:val="ru-RU"/>
              </w:rPr>
              <w:t>Мотивы</w:t>
            </w:r>
          </w:p>
        </w:tc>
        <w:tc>
          <w:tcPr>
            <w:tcW w:w="1559" w:type="dxa"/>
            <w:tcBorders>
              <w:top w:val="nil"/>
              <w:left w:val="nil"/>
              <w:bottom w:val="nil"/>
              <w:right w:val="nil"/>
            </w:tcBorders>
            <w:shd w:val="clear" w:color="auto" w:fill="407C9B"/>
            <w:vAlign w:val="center"/>
          </w:tcPr>
          <w:p w14:paraId="2CC7C09F" w14:textId="1246D53B" w:rsidR="004B77F6" w:rsidRPr="00694ACA" w:rsidRDefault="004B77F6" w:rsidP="009246DC">
            <w:pPr>
              <w:keepNext/>
              <w:spacing w:after="0"/>
              <w:ind w:left="-57" w:right="-57"/>
              <w:jc w:val="center"/>
              <w:rPr>
                <w:rFonts w:cs="Arial"/>
                <w:b/>
                <w:bCs/>
                <w:color w:val="FFFFFF" w:themeColor="background1"/>
                <w:sz w:val="18"/>
                <w:szCs w:val="18"/>
                <w:lang w:val="ru-RU"/>
              </w:rPr>
            </w:pPr>
            <w:r w:rsidRPr="00694ACA">
              <w:rPr>
                <w:b/>
                <w:color w:val="FFFFFF" w:themeColor="background1"/>
                <w:sz w:val="18"/>
                <w:lang w:val="ru-RU"/>
              </w:rPr>
              <w:t>Доход</w:t>
            </w:r>
          </w:p>
        </w:tc>
        <w:tc>
          <w:tcPr>
            <w:tcW w:w="1276" w:type="dxa"/>
            <w:tcBorders>
              <w:top w:val="nil"/>
              <w:left w:val="nil"/>
              <w:bottom w:val="nil"/>
              <w:right w:val="nil"/>
            </w:tcBorders>
            <w:shd w:val="clear" w:color="auto" w:fill="407C9B"/>
            <w:vAlign w:val="center"/>
          </w:tcPr>
          <w:p w14:paraId="06355614" w14:textId="77777777" w:rsidR="004B77F6" w:rsidRPr="00694ACA" w:rsidRDefault="004B77F6" w:rsidP="009246DC">
            <w:pPr>
              <w:keepNext/>
              <w:spacing w:after="0"/>
              <w:ind w:left="-57" w:right="-57"/>
              <w:jc w:val="center"/>
              <w:rPr>
                <w:rFonts w:cs="Arial"/>
                <w:b/>
                <w:bCs/>
                <w:color w:val="FFFFFF" w:themeColor="background1"/>
                <w:sz w:val="18"/>
                <w:szCs w:val="18"/>
                <w:lang w:val="ru-RU"/>
              </w:rPr>
            </w:pPr>
            <w:r w:rsidRPr="00694ACA">
              <w:rPr>
                <w:b/>
                <w:color w:val="FFFFFF" w:themeColor="background1"/>
                <w:sz w:val="18"/>
                <w:lang w:val="ru-RU"/>
              </w:rPr>
              <w:t>Расходы</w:t>
            </w:r>
          </w:p>
        </w:tc>
        <w:tc>
          <w:tcPr>
            <w:tcW w:w="1701" w:type="dxa"/>
            <w:tcBorders>
              <w:top w:val="nil"/>
              <w:left w:val="nil"/>
              <w:bottom w:val="nil"/>
              <w:right w:val="nil"/>
            </w:tcBorders>
            <w:shd w:val="clear" w:color="auto" w:fill="407C9B"/>
            <w:vAlign w:val="center"/>
          </w:tcPr>
          <w:p w14:paraId="4733E73A" w14:textId="77777777" w:rsidR="004B77F6" w:rsidRPr="00694ACA" w:rsidRDefault="004B77F6" w:rsidP="009246DC">
            <w:pPr>
              <w:keepNext/>
              <w:spacing w:after="0"/>
              <w:ind w:left="-57" w:right="-57"/>
              <w:jc w:val="center"/>
              <w:rPr>
                <w:rFonts w:cs="Arial"/>
                <w:b/>
                <w:bCs/>
                <w:color w:val="FFFFFF" w:themeColor="background1"/>
                <w:sz w:val="18"/>
                <w:szCs w:val="18"/>
                <w:lang w:val="ru-RU"/>
              </w:rPr>
            </w:pPr>
            <w:r w:rsidRPr="00694ACA">
              <w:rPr>
                <w:b/>
                <w:color w:val="FFFFFF" w:themeColor="background1"/>
                <w:sz w:val="18"/>
                <w:lang w:val="ru-RU"/>
              </w:rPr>
              <w:t>Риски</w:t>
            </w:r>
          </w:p>
        </w:tc>
        <w:tc>
          <w:tcPr>
            <w:tcW w:w="1559" w:type="dxa"/>
            <w:tcBorders>
              <w:top w:val="nil"/>
              <w:left w:val="nil"/>
              <w:bottom w:val="nil"/>
              <w:right w:val="nil"/>
            </w:tcBorders>
            <w:shd w:val="clear" w:color="auto" w:fill="407C9B"/>
            <w:vAlign w:val="center"/>
          </w:tcPr>
          <w:p w14:paraId="2D3A6B1F" w14:textId="77777777" w:rsidR="004B77F6" w:rsidRPr="00694ACA" w:rsidRDefault="004B77F6" w:rsidP="009246DC">
            <w:pPr>
              <w:keepNext/>
              <w:spacing w:after="0"/>
              <w:ind w:left="-57" w:right="-57"/>
              <w:jc w:val="center"/>
              <w:rPr>
                <w:rFonts w:cs="Arial"/>
                <w:b/>
                <w:bCs/>
                <w:color w:val="FFFFFF" w:themeColor="background1"/>
                <w:sz w:val="18"/>
                <w:szCs w:val="18"/>
                <w:lang w:val="ru-RU"/>
              </w:rPr>
            </w:pPr>
            <w:r w:rsidRPr="00694ACA">
              <w:rPr>
                <w:b/>
                <w:color w:val="FFFFFF" w:themeColor="background1"/>
                <w:sz w:val="18"/>
                <w:lang w:val="ru-RU"/>
              </w:rPr>
              <w:t>Преимущества</w:t>
            </w:r>
          </w:p>
        </w:tc>
        <w:tc>
          <w:tcPr>
            <w:tcW w:w="1843" w:type="dxa"/>
            <w:tcBorders>
              <w:top w:val="nil"/>
              <w:left w:val="nil"/>
              <w:bottom w:val="nil"/>
              <w:right w:val="nil"/>
            </w:tcBorders>
            <w:shd w:val="clear" w:color="auto" w:fill="407C9B"/>
            <w:vAlign w:val="center"/>
          </w:tcPr>
          <w:p w14:paraId="352C4FF1" w14:textId="77777777" w:rsidR="004B77F6" w:rsidRPr="00694ACA" w:rsidRDefault="004B77F6" w:rsidP="009246DC">
            <w:pPr>
              <w:keepNext/>
              <w:spacing w:after="0"/>
              <w:ind w:left="-57" w:right="-57"/>
              <w:jc w:val="center"/>
              <w:rPr>
                <w:rFonts w:cs="Arial"/>
                <w:b/>
                <w:bCs/>
                <w:color w:val="FFFFFF" w:themeColor="background1"/>
                <w:sz w:val="18"/>
                <w:szCs w:val="18"/>
                <w:lang w:val="ru-RU"/>
              </w:rPr>
            </w:pPr>
            <w:r w:rsidRPr="00694ACA">
              <w:rPr>
                <w:b/>
                <w:color w:val="FFFFFF" w:themeColor="background1"/>
                <w:sz w:val="18"/>
                <w:lang w:val="ru-RU"/>
              </w:rPr>
              <w:t>Примеры</w:t>
            </w:r>
          </w:p>
        </w:tc>
      </w:tr>
      <w:tr w:rsidR="004B77F6" w:rsidRPr="00D577E1" w14:paraId="2657794B" w14:textId="77777777" w:rsidTr="00CD4D96">
        <w:tc>
          <w:tcPr>
            <w:tcW w:w="1586" w:type="dxa"/>
            <w:tcBorders>
              <w:top w:val="nil"/>
              <w:left w:val="single" w:sz="4" w:space="0" w:color="FFFFFF"/>
              <w:bottom w:val="single" w:sz="4" w:space="0" w:color="FFFFFF"/>
              <w:right w:val="single" w:sz="4" w:space="0" w:color="FFFFFF"/>
            </w:tcBorders>
            <w:shd w:val="clear" w:color="auto" w:fill="F2F2F2" w:themeFill="background1" w:themeFillShade="F2"/>
          </w:tcPr>
          <w:p w14:paraId="248D73F4" w14:textId="77777777" w:rsidR="004B77F6" w:rsidRPr="00694ACA" w:rsidRDefault="004B77F6" w:rsidP="00CD4D96">
            <w:pPr>
              <w:spacing w:after="0"/>
              <w:ind w:left="-57" w:right="-57"/>
              <w:rPr>
                <w:rFonts w:cs="Arial"/>
                <w:b/>
                <w:bCs/>
                <w:color w:val="407C9B"/>
                <w:sz w:val="18"/>
                <w:szCs w:val="18"/>
                <w:lang w:val="ru-RU"/>
              </w:rPr>
            </w:pPr>
            <w:r w:rsidRPr="00694ACA">
              <w:rPr>
                <w:b/>
                <w:color w:val="407C9B"/>
                <w:sz w:val="18"/>
                <w:lang w:val="ru-RU"/>
              </w:rPr>
              <w:t xml:space="preserve">Коммерческие </w:t>
            </w:r>
            <w:r w:rsidRPr="00694ACA">
              <w:rPr>
                <w:color w:val="407C9B"/>
                <w:sz w:val="18"/>
                <w:lang w:val="ru-RU"/>
              </w:rPr>
              <w:t>(основная деятельность)</w:t>
            </w:r>
          </w:p>
        </w:tc>
        <w:tc>
          <w:tcPr>
            <w:tcW w:w="1250" w:type="dxa"/>
            <w:tcBorders>
              <w:top w:val="nil"/>
              <w:left w:val="single" w:sz="4" w:space="0" w:color="FFFFFF"/>
              <w:bottom w:val="single" w:sz="4" w:space="0" w:color="FFFFFF"/>
              <w:right w:val="single" w:sz="4" w:space="0" w:color="FFFFFF"/>
            </w:tcBorders>
            <w:shd w:val="clear" w:color="auto" w:fill="F2F2F2" w:themeFill="background1" w:themeFillShade="F2"/>
          </w:tcPr>
          <w:p w14:paraId="3EEAA502" w14:textId="39EB20F9" w:rsidR="004B77F6" w:rsidRPr="00694ACA" w:rsidRDefault="004B77F6" w:rsidP="00CD4D96">
            <w:pPr>
              <w:spacing w:after="0"/>
              <w:ind w:left="-57" w:right="-57"/>
              <w:rPr>
                <w:rFonts w:cs="Arial"/>
                <w:color w:val="407C9B"/>
                <w:sz w:val="18"/>
                <w:szCs w:val="18"/>
                <w:lang w:val="ru-RU"/>
              </w:rPr>
            </w:pPr>
            <w:r w:rsidRPr="00694ACA">
              <w:rPr>
                <w:color w:val="407C9B"/>
                <w:sz w:val="18"/>
                <w:lang w:val="ru-RU"/>
              </w:rPr>
              <w:t>Прибыль</w:t>
            </w:r>
          </w:p>
        </w:tc>
        <w:tc>
          <w:tcPr>
            <w:tcW w:w="1559" w:type="dxa"/>
            <w:tcBorders>
              <w:top w:val="nil"/>
              <w:left w:val="single" w:sz="4" w:space="0" w:color="FFFFFF"/>
              <w:bottom w:val="single" w:sz="4" w:space="0" w:color="FFFFFF"/>
              <w:right w:val="single" w:sz="4" w:space="0" w:color="FFFFFF"/>
            </w:tcBorders>
            <w:shd w:val="clear" w:color="auto" w:fill="F2F2F2" w:themeFill="background1" w:themeFillShade="F2"/>
          </w:tcPr>
          <w:p w14:paraId="4AC91DEF" w14:textId="77777777" w:rsidR="004B77F6" w:rsidRPr="00694ACA" w:rsidRDefault="004B77F6" w:rsidP="00CD4D96">
            <w:pPr>
              <w:spacing w:after="0"/>
              <w:ind w:left="-57" w:right="-57"/>
              <w:rPr>
                <w:rFonts w:cs="Arial"/>
                <w:color w:val="407C9B"/>
                <w:sz w:val="18"/>
                <w:szCs w:val="18"/>
                <w:lang w:val="ru-RU"/>
              </w:rPr>
            </w:pPr>
            <w:r w:rsidRPr="00694ACA">
              <w:rPr>
                <w:color w:val="407C9B"/>
                <w:sz w:val="18"/>
                <w:lang w:val="ru-RU"/>
              </w:rPr>
              <w:t>Клиенты, оплачивающие полную стоимость, и прибыль</w:t>
            </w:r>
          </w:p>
        </w:tc>
        <w:tc>
          <w:tcPr>
            <w:tcW w:w="1276" w:type="dxa"/>
            <w:tcBorders>
              <w:top w:val="nil"/>
              <w:left w:val="single" w:sz="4" w:space="0" w:color="FFFFFF"/>
              <w:bottom w:val="single" w:sz="4" w:space="0" w:color="FFFFFF"/>
              <w:right w:val="single" w:sz="4" w:space="0" w:color="FFFFFF"/>
            </w:tcBorders>
            <w:shd w:val="clear" w:color="auto" w:fill="F2F2F2" w:themeFill="background1" w:themeFillShade="F2"/>
          </w:tcPr>
          <w:p w14:paraId="208E3C5B" w14:textId="77777777" w:rsidR="004B77F6" w:rsidRPr="00694ACA" w:rsidRDefault="004B77F6" w:rsidP="00CD4D96">
            <w:pPr>
              <w:spacing w:after="0"/>
              <w:ind w:left="-57" w:right="-57"/>
              <w:rPr>
                <w:rFonts w:cs="Arial"/>
                <w:color w:val="407C9B"/>
                <w:sz w:val="18"/>
                <w:szCs w:val="18"/>
                <w:lang w:val="ru-RU"/>
              </w:rPr>
            </w:pPr>
            <w:r w:rsidRPr="00694ACA">
              <w:rPr>
                <w:color w:val="407C9B"/>
                <w:sz w:val="18"/>
                <w:lang w:val="ru-RU"/>
              </w:rPr>
              <w:t>Персонал, материалы, проведение</w:t>
            </w:r>
          </w:p>
        </w:tc>
        <w:tc>
          <w:tcPr>
            <w:tcW w:w="1701" w:type="dxa"/>
            <w:tcBorders>
              <w:top w:val="nil"/>
              <w:left w:val="single" w:sz="4" w:space="0" w:color="FFFFFF"/>
              <w:bottom w:val="single" w:sz="4" w:space="0" w:color="FFFFFF"/>
              <w:right w:val="single" w:sz="4" w:space="0" w:color="FFFFFF"/>
            </w:tcBorders>
            <w:shd w:val="clear" w:color="auto" w:fill="F2F2F2" w:themeFill="background1" w:themeFillShade="F2"/>
          </w:tcPr>
          <w:p w14:paraId="0BAE436E" w14:textId="77777777" w:rsidR="004B77F6" w:rsidRPr="00694ACA" w:rsidRDefault="004B77F6" w:rsidP="00CD4D96">
            <w:pPr>
              <w:spacing w:after="0"/>
              <w:ind w:left="-57" w:right="-57"/>
              <w:rPr>
                <w:rFonts w:cs="Arial"/>
                <w:color w:val="407C9B"/>
                <w:sz w:val="18"/>
                <w:szCs w:val="18"/>
                <w:lang w:val="ru-RU"/>
              </w:rPr>
            </w:pPr>
            <w:r w:rsidRPr="00694ACA">
              <w:rPr>
                <w:color w:val="407C9B"/>
                <w:sz w:val="18"/>
                <w:lang w:val="ru-RU"/>
              </w:rPr>
              <w:t>Недостаточный спрос, чтобы покрыть расходы</w:t>
            </w:r>
          </w:p>
        </w:tc>
        <w:tc>
          <w:tcPr>
            <w:tcW w:w="1559" w:type="dxa"/>
            <w:tcBorders>
              <w:top w:val="nil"/>
              <w:left w:val="single" w:sz="4" w:space="0" w:color="FFFFFF"/>
              <w:bottom w:val="single" w:sz="4" w:space="0" w:color="FFFFFF"/>
              <w:right w:val="single" w:sz="4" w:space="0" w:color="FFFFFF"/>
            </w:tcBorders>
            <w:shd w:val="clear" w:color="auto" w:fill="F2F2F2" w:themeFill="background1" w:themeFillShade="F2"/>
          </w:tcPr>
          <w:p w14:paraId="375D9AAB" w14:textId="77777777" w:rsidR="004B77F6" w:rsidRPr="00694ACA" w:rsidRDefault="004B77F6" w:rsidP="00CD4D96">
            <w:pPr>
              <w:spacing w:after="0"/>
              <w:ind w:left="-57" w:right="-57"/>
              <w:rPr>
                <w:rFonts w:cs="Arial"/>
                <w:color w:val="407C9B"/>
                <w:sz w:val="18"/>
                <w:szCs w:val="18"/>
                <w:lang w:val="ru-RU"/>
              </w:rPr>
            </w:pPr>
            <w:r w:rsidRPr="00694ACA">
              <w:rPr>
                <w:color w:val="407C9B"/>
                <w:sz w:val="18"/>
                <w:lang w:val="ru-RU"/>
              </w:rPr>
              <w:t>Гибкость, понимание финансовых аспектов</w:t>
            </w:r>
          </w:p>
        </w:tc>
        <w:tc>
          <w:tcPr>
            <w:tcW w:w="1843" w:type="dxa"/>
            <w:tcBorders>
              <w:top w:val="nil"/>
              <w:left w:val="single" w:sz="4" w:space="0" w:color="FFFFFF"/>
              <w:bottom w:val="single" w:sz="4" w:space="0" w:color="FFFFFF"/>
              <w:right w:val="single" w:sz="4" w:space="0" w:color="FFFFFF"/>
            </w:tcBorders>
            <w:shd w:val="clear" w:color="auto" w:fill="F2F2F2" w:themeFill="background1" w:themeFillShade="F2"/>
          </w:tcPr>
          <w:p w14:paraId="1D036572" w14:textId="77777777" w:rsidR="004B77F6" w:rsidRPr="00694ACA" w:rsidRDefault="004B77F6" w:rsidP="00CD4D96">
            <w:pPr>
              <w:spacing w:after="0"/>
              <w:ind w:left="-57" w:right="-57"/>
              <w:rPr>
                <w:rFonts w:cs="Arial"/>
                <w:color w:val="407C9B"/>
                <w:sz w:val="18"/>
                <w:szCs w:val="18"/>
                <w:lang w:val="ru-RU"/>
              </w:rPr>
            </w:pPr>
            <w:r w:rsidRPr="00694ACA">
              <w:rPr>
                <w:color w:val="407C9B"/>
                <w:sz w:val="18"/>
                <w:lang w:val="ru-RU"/>
              </w:rPr>
              <w:t>Университеты, компании по профессиональной подготовке</w:t>
            </w:r>
          </w:p>
        </w:tc>
      </w:tr>
      <w:tr w:rsidR="004B77F6" w:rsidRPr="00694ACA" w14:paraId="04D65888" w14:textId="77777777" w:rsidTr="00CD4D96">
        <w:tc>
          <w:tcPr>
            <w:tcW w:w="158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04D4F28A" w14:textId="77777777" w:rsidR="004B77F6" w:rsidRPr="00694ACA" w:rsidRDefault="004B77F6" w:rsidP="00CD4D96">
            <w:pPr>
              <w:spacing w:after="0"/>
              <w:ind w:left="-57" w:right="-57"/>
              <w:rPr>
                <w:rFonts w:cs="Arial"/>
                <w:b/>
                <w:bCs/>
                <w:color w:val="407C9B"/>
                <w:sz w:val="18"/>
                <w:szCs w:val="18"/>
                <w:lang w:val="ru-RU"/>
              </w:rPr>
            </w:pPr>
            <w:r w:rsidRPr="00694ACA">
              <w:rPr>
                <w:b/>
                <w:color w:val="407C9B"/>
                <w:sz w:val="18"/>
                <w:lang w:val="ru-RU"/>
              </w:rPr>
              <w:t xml:space="preserve">Коммерческие </w:t>
            </w:r>
            <w:r w:rsidRPr="00694ACA">
              <w:rPr>
                <w:color w:val="407C9B"/>
                <w:sz w:val="18"/>
                <w:lang w:val="ru-RU"/>
              </w:rPr>
              <w:t>(корпоративная социальная ответственность)</w:t>
            </w:r>
          </w:p>
        </w:tc>
        <w:tc>
          <w:tcPr>
            <w:tcW w:w="1250"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786945C3" w14:textId="4E5891A2" w:rsidR="004B77F6" w:rsidRPr="00694ACA" w:rsidRDefault="004B77F6" w:rsidP="00CD4D96">
            <w:pPr>
              <w:spacing w:after="0"/>
              <w:ind w:left="-57" w:right="-57"/>
              <w:rPr>
                <w:rFonts w:cs="Arial"/>
                <w:color w:val="407C9B"/>
                <w:sz w:val="18"/>
                <w:szCs w:val="18"/>
                <w:lang w:val="ru-RU"/>
              </w:rPr>
            </w:pPr>
            <w:r w:rsidRPr="00694ACA">
              <w:rPr>
                <w:color w:val="407C9B"/>
                <w:sz w:val="18"/>
                <w:lang w:val="ru-RU"/>
              </w:rPr>
              <w:t>И</w:t>
            </w:r>
            <w:r w:rsidR="002707C0" w:rsidRPr="00694ACA">
              <w:rPr>
                <w:color w:val="407C9B"/>
                <w:sz w:val="18"/>
                <w:lang w:val="ru-RU"/>
              </w:rPr>
              <w:t>ндивиду-</w:t>
            </w:r>
            <w:proofErr w:type="spellStart"/>
            <w:r w:rsidR="002707C0" w:rsidRPr="00694ACA">
              <w:rPr>
                <w:color w:val="407C9B"/>
                <w:sz w:val="18"/>
                <w:lang w:val="ru-RU"/>
              </w:rPr>
              <w:t>альност</w:t>
            </w:r>
            <w:r w:rsidRPr="00694ACA">
              <w:rPr>
                <w:color w:val="407C9B"/>
                <w:sz w:val="18"/>
                <w:lang w:val="ru-RU"/>
              </w:rPr>
              <w:t>ь</w:t>
            </w:r>
            <w:proofErr w:type="spellEnd"/>
            <w:r w:rsidRPr="00694ACA">
              <w:rPr>
                <w:color w:val="407C9B"/>
                <w:sz w:val="18"/>
                <w:lang w:val="ru-RU"/>
              </w:rPr>
              <w:t xml:space="preserve"> бренда и охват</w:t>
            </w:r>
          </w:p>
        </w:tc>
        <w:tc>
          <w:tcPr>
            <w:tcW w:w="1559"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79A63B6E" w14:textId="77777777" w:rsidR="004B77F6" w:rsidRPr="00694ACA" w:rsidRDefault="004B77F6" w:rsidP="00CD4D96">
            <w:pPr>
              <w:spacing w:after="0"/>
              <w:ind w:left="-57" w:right="-57"/>
              <w:rPr>
                <w:rFonts w:cs="Arial"/>
                <w:color w:val="407C9B"/>
                <w:sz w:val="18"/>
                <w:szCs w:val="18"/>
                <w:lang w:val="ru-RU"/>
              </w:rPr>
            </w:pPr>
            <w:r w:rsidRPr="00694ACA">
              <w:rPr>
                <w:color w:val="407C9B"/>
                <w:sz w:val="18"/>
                <w:lang w:val="ru-RU"/>
              </w:rPr>
              <w:t>Прибыль от продаж по основной деятельности</w:t>
            </w:r>
          </w:p>
        </w:tc>
        <w:tc>
          <w:tcPr>
            <w:tcW w:w="127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7942D2E2" w14:textId="77777777" w:rsidR="004B77F6" w:rsidRPr="00694ACA" w:rsidRDefault="004B77F6" w:rsidP="00CD4D96">
            <w:pPr>
              <w:spacing w:after="0"/>
              <w:ind w:left="-57" w:right="-57"/>
              <w:rPr>
                <w:rFonts w:cs="Arial"/>
                <w:color w:val="407C9B"/>
                <w:sz w:val="18"/>
                <w:szCs w:val="18"/>
                <w:lang w:val="ru-RU"/>
              </w:rPr>
            </w:pPr>
            <w:r w:rsidRPr="00694ACA">
              <w:rPr>
                <w:color w:val="407C9B"/>
                <w:sz w:val="18"/>
                <w:lang w:val="ru-RU"/>
              </w:rPr>
              <w:t>Персонал, материалы, проведение</w:t>
            </w:r>
          </w:p>
        </w:tc>
        <w:tc>
          <w:tcPr>
            <w:tcW w:w="1701"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13A125E9" w14:textId="77777777" w:rsidR="004B77F6" w:rsidRPr="00694ACA" w:rsidRDefault="004B77F6" w:rsidP="00CD4D96">
            <w:pPr>
              <w:spacing w:after="0"/>
              <w:ind w:left="-57" w:right="-57"/>
              <w:rPr>
                <w:rFonts w:cs="Arial"/>
                <w:color w:val="407C9B"/>
                <w:sz w:val="18"/>
                <w:szCs w:val="18"/>
                <w:lang w:val="ru-RU"/>
              </w:rPr>
            </w:pPr>
            <w:r w:rsidRPr="00694ACA">
              <w:rPr>
                <w:color w:val="407C9B"/>
                <w:sz w:val="18"/>
                <w:lang w:val="ru-RU"/>
              </w:rPr>
              <w:t>Финансовые убытки</w:t>
            </w:r>
          </w:p>
        </w:tc>
        <w:tc>
          <w:tcPr>
            <w:tcW w:w="1559"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28380E39" w14:textId="77777777" w:rsidR="004B77F6" w:rsidRPr="00694ACA" w:rsidRDefault="004B77F6" w:rsidP="00CD4D96">
            <w:pPr>
              <w:spacing w:after="0"/>
              <w:ind w:left="-57" w:right="-57"/>
              <w:rPr>
                <w:rFonts w:cs="Arial"/>
                <w:color w:val="407C9B"/>
                <w:sz w:val="18"/>
                <w:szCs w:val="18"/>
                <w:lang w:val="ru-RU"/>
              </w:rPr>
            </w:pPr>
            <w:r w:rsidRPr="00694ACA">
              <w:rPr>
                <w:color w:val="407C9B"/>
                <w:sz w:val="18"/>
                <w:lang w:val="ru-RU"/>
              </w:rPr>
              <w:t>Улучшение положительного профиля компании</w:t>
            </w:r>
          </w:p>
        </w:tc>
        <w:tc>
          <w:tcPr>
            <w:tcW w:w="1843"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09866B7D" w14:textId="77777777" w:rsidR="004B77F6" w:rsidRPr="00694ACA" w:rsidRDefault="004B77F6" w:rsidP="00CD4D96">
            <w:pPr>
              <w:spacing w:after="0"/>
              <w:ind w:left="-57" w:right="-57"/>
              <w:rPr>
                <w:rFonts w:cs="Arial"/>
                <w:color w:val="407C9B"/>
                <w:sz w:val="18"/>
                <w:szCs w:val="18"/>
                <w:lang w:val="ru-RU"/>
              </w:rPr>
            </w:pPr>
            <w:proofErr w:type="spellStart"/>
            <w:r w:rsidRPr="00694ACA">
              <w:rPr>
                <w:color w:val="407C9B"/>
                <w:sz w:val="18"/>
                <w:lang w:val="ru-RU"/>
              </w:rPr>
              <w:t>Cisco</w:t>
            </w:r>
            <w:proofErr w:type="spellEnd"/>
            <w:r w:rsidRPr="00694ACA">
              <w:rPr>
                <w:color w:val="407C9B"/>
                <w:sz w:val="18"/>
                <w:lang w:val="ru-RU"/>
              </w:rPr>
              <w:t xml:space="preserve">, </w:t>
            </w:r>
            <w:proofErr w:type="spellStart"/>
            <w:r w:rsidRPr="00694ACA">
              <w:rPr>
                <w:color w:val="407C9B"/>
                <w:sz w:val="18"/>
                <w:lang w:val="ru-RU"/>
              </w:rPr>
              <w:t>Huawei</w:t>
            </w:r>
            <w:proofErr w:type="spellEnd"/>
          </w:p>
        </w:tc>
      </w:tr>
      <w:tr w:rsidR="004B77F6" w:rsidRPr="00694ACA" w14:paraId="5EFE9F59" w14:textId="77777777" w:rsidTr="00CD4D96">
        <w:tc>
          <w:tcPr>
            <w:tcW w:w="158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2E0EFCC6" w14:textId="77777777" w:rsidR="004B77F6" w:rsidRPr="00694ACA" w:rsidRDefault="004B77F6" w:rsidP="00CD4D96">
            <w:pPr>
              <w:spacing w:after="0"/>
              <w:ind w:left="-57" w:right="-57"/>
              <w:rPr>
                <w:rFonts w:cs="Arial"/>
                <w:b/>
                <w:bCs/>
                <w:color w:val="407C9B"/>
                <w:sz w:val="18"/>
                <w:szCs w:val="18"/>
                <w:lang w:val="ru-RU"/>
              </w:rPr>
            </w:pPr>
            <w:r w:rsidRPr="00694ACA">
              <w:rPr>
                <w:b/>
                <w:color w:val="407C9B"/>
                <w:sz w:val="18"/>
                <w:lang w:val="ru-RU"/>
              </w:rPr>
              <w:t xml:space="preserve">Партнерство </w:t>
            </w:r>
            <w:r w:rsidRPr="00694ACA">
              <w:rPr>
                <w:color w:val="407C9B"/>
                <w:sz w:val="18"/>
                <w:lang w:val="ru-RU"/>
              </w:rPr>
              <w:t>(в равных правах)</w:t>
            </w:r>
          </w:p>
        </w:tc>
        <w:tc>
          <w:tcPr>
            <w:tcW w:w="1250"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10040795" w14:textId="4D95A623" w:rsidR="004B77F6" w:rsidRPr="00694ACA" w:rsidRDefault="004B77F6" w:rsidP="00CD4D96">
            <w:pPr>
              <w:spacing w:after="0"/>
              <w:ind w:left="-57" w:right="-57"/>
              <w:rPr>
                <w:rFonts w:cs="Arial"/>
                <w:color w:val="407C9B"/>
                <w:sz w:val="18"/>
                <w:szCs w:val="18"/>
                <w:lang w:val="ru-RU"/>
              </w:rPr>
            </w:pPr>
            <w:r w:rsidRPr="00694ACA">
              <w:rPr>
                <w:color w:val="407C9B"/>
                <w:sz w:val="18"/>
                <w:lang w:val="ru-RU"/>
              </w:rPr>
              <w:t xml:space="preserve">Прибыль; имидж; обмен </w:t>
            </w:r>
            <w:proofErr w:type="spellStart"/>
            <w:r w:rsidRPr="00694ACA">
              <w:rPr>
                <w:color w:val="407C9B"/>
                <w:sz w:val="18"/>
                <w:lang w:val="ru-RU"/>
              </w:rPr>
              <w:t>информа</w:t>
            </w:r>
            <w:r w:rsidR="00CD4D96" w:rsidRPr="00694ACA">
              <w:rPr>
                <w:color w:val="407C9B"/>
                <w:sz w:val="18"/>
                <w:lang w:val="ru-RU"/>
              </w:rPr>
              <w:t>-</w:t>
            </w:r>
            <w:r w:rsidRPr="00694ACA">
              <w:rPr>
                <w:color w:val="407C9B"/>
                <w:sz w:val="18"/>
                <w:lang w:val="ru-RU"/>
              </w:rPr>
              <w:t>цией</w:t>
            </w:r>
            <w:proofErr w:type="spellEnd"/>
          </w:p>
        </w:tc>
        <w:tc>
          <w:tcPr>
            <w:tcW w:w="1559"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05A395D5" w14:textId="77777777" w:rsidR="004B77F6" w:rsidRPr="00694ACA" w:rsidRDefault="004B77F6" w:rsidP="00CD4D96">
            <w:pPr>
              <w:spacing w:after="0"/>
              <w:ind w:left="-57" w:right="-57"/>
              <w:rPr>
                <w:rFonts w:cs="Arial"/>
                <w:color w:val="407C9B"/>
                <w:sz w:val="18"/>
                <w:szCs w:val="18"/>
                <w:lang w:val="ru-RU"/>
              </w:rPr>
            </w:pPr>
            <w:r w:rsidRPr="00694ACA">
              <w:rPr>
                <w:color w:val="407C9B"/>
                <w:sz w:val="18"/>
                <w:lang w:val="ru-RU"/>
              </w:rPr>
              <w:t>Клиенты, оплачивающие полную стоимость, и прибыль</w:t>
            </w:r>
          </w:p>
        </w:tc>
        <w:tc>
          <w:tcPr>
            <w:tcW w:w="127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6FB7B06B" w14:textId="77777777" w:rsidR="004B77F6" w:rsidRPr="00694ACA" w:rsidRDefault="004B77F6" w:rsidP="00CD4D96">
            <w:pPr>
              <w:spacing w:after="0"/>
              <w:ind w:left="-57" w:right="-57"/>
              <w:rPr>
                <w:rFonts w:cs="Arial"/>
                <w:color w:val="407C9B"/>
                <w:sz w:val="18"/>
                <w:szCs w:val="18"/>
                <w:lang w:val="ru-RU"/>
              </w:rPr>
            </w:pPr>
            <w:r w:rsidRPr="00694ACA">
              <w:rPr>
                <w:color w:val="407C9B"/>
                <w:sz w:val="18"/>
                <w:lang w:val="ru-RU"/>
              </w:rPr>
              <w:t>Персонал, материалы, проведение</w:t>
            </w:r>
          </w:p>
        </w:tc>
        <w:tc>
          <w:tcPr>
            <w:tcW w:w="1701"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74F7E0DE" w14:textId="77777777" w:rsidR="004B77F6" w:rsidRPr="00694ACA" w:rsidRDefault="004B77F6" w:rsidP="00CD4D96">
            <w:pPr>
              <w:spacing w:after="0"/>
              <w:ind w:left="-57" w:right="-57"/>
              <w:rPr>
                <w:rFonts w:cs="Arial"/>
                <w:color w:val="407C9B"/>
                <w:sz w:val="18"/>
                <w:szCs w:val="18"/>
                <w:lang w:val="ru-RU"/>
              </w:rPr>
            </w:pPr>
            <w:r w:rsidRPr="00694ACA">
              <w:rPr>
                <w:color w:val="407C9B"/>
                <w:sz w:val="18"/>
                <w:lang w:val="ru-RU"/>
              </w:rPr>
              <w:t>Недостаточный спрос, но равное разделение расходов</w:t>
            </w:r>
          </w:p>
        </w:tc>
        <w:tc>
          <w:tcPr>
            <w:tcW w:w="1559"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647AA958" w14:textId="77777777" w:rsidR="004B77F6" w:rsidRPr="00694ACA" w:rsidRDefault="004B77F6" w:rsidP="00CD4D96">
            <w:pPr>
              <w:spacing w:after="0"/>
              <w:ind w:left="-57" w:right="-57"/>
              <w:rPr>
                <w:rFonts w:cs="Arial"/>
                <w:color w:val="407C9B"/>
                <w:sz w:val="18"/>
                <w:szCs w:val="18"/>
                <w:lang w:val="ru-RU"/>
              </w:rPr>
            </w:pPr>
            <w:r w:rsidRPr="00694ACA">
              <w:rPr>
                <w:color w:val="407C9B"/>
                <w:sz w:val="18"/>
                <w:lang w:val="ru-RU"/>
              </w:rPr>
              <w:t>Разделение риска, объединение опыта</w:t>
            </w:r>
          </w:p>
        </w:tc>
        <w:tc>
          <w:tcPr>
            <w:tcW w:w="1843"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50BF892F" w14:textId="77777777" w:rsidR="004B77F6" w:rsidRPr="00694ACA" w:rsidRDefault="004B77F6" w:rsidP="00CD4D96">
            <w:pPr>
              <w:spacing w:after="0"/>
              <w:ind w:left="-57" w:right="-57"/>
              <w:rPr>
                <w:rFonts w:cs="Arial"/>
                <w:color w:val="407C9B"/>
                <w:sz w:val="18"/>
                <w:szCs w:val="18"/>
                <w:lang w:val="ru-RU"/>
              </w:rPr>
            </w:pPr>
          </w:p>
        </w:tc>
      </w:tr>
      <w:tr w:rsidR="004B77F6" w:rsidRPr="00D577E1" w14:paraId="08C07F19" w14:textId="77777777" w:rsidTr="00CD4D96">
        <w:tc>
          <w:tcPr>
            <w:tcW w:w="158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6933F9EA" w14:textId="77777777" w:rsidR="004B77F6" w:rsidRPr="00694ACA" w:rsidRDefault="004B77F6" w:rsidP="00CD4D96">
            <w:pPr>
              <w:spacing w:after="0"/>
              <w:ind w:left="-57" w:right="-57"/>
              <w:rPr>
                <w:rFonts w:cs="Arial"/>
                <w:b/>
                <w:bCs/>
                <w:color w:val="407C9B"/>
                <w:sz w:val="18"/>
                <w:szCs w:val="18"/>
                <w:lang w:val="ru-RU"/>
              </w:rPr>
            </w:pPr>
            <w:r w:rsidRPr="00694ACA">
              <w:rPr>
                <w:b/>
                <w:color w:val="407C9B"/>
                <w:sz w:val="18"/>
                <w:lang w:val="ru-RU"/>
              </w:rPr>
              <w:t>Посредничество</w:t>
            </w:r>
          </w:p>
        </w:tc>
        <w:tc>
          <w:tcPr>
            <w:tcW w:w="1250"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0A076505" w14:textId="01135998" w:rsidR="004B77F6" w:rsidRPr="00694ACA" w:rsidRDefault="004B77F6" w:rsidP="00CD4D96">
            <w:pPr>
              <w:spacing w:after="0"/>
              <w:ind w:left="-57" w:right="-57"/>
              <w:rPr>
                <w:rFonts w:cs="Arial"/>
                <w:color w:val="407C9B"/>
                <w:sz w:val="18"/>
                <w:szCs w:val="18"/>
                <w:lang w:val="ru-RU"/>
              </w:rPr>
            </w:pPr>
            <w:proofErr w:type="spellStart"/>
            <w:r w:rsidRPr="00694ACA">
              <w:rPr>
                <w:color w:val="407C9B"/>
                <w:sz w:val="18"/>
                <w:lang w:val="ru-RU"/>
              </w:rPr>
              <w:t>Максималь</w:t>
            </w:r>
            <w:r w:rsidR="00CD4D96" w:rsidRPr="00694ACA">
              <w:rPr>
                <w:color w:val="407C9B"/>
                <w:sz w:val="18"/>
                <w:lang w:val="ru-RU"/>
              </w:rPr>
              <w:t>-</w:t>
            </w:r>
            <w:r w:rsidRPr="00694ACA">
              <w:rPr>
                <w:color w:val="407C9B"/>
                <w:sz w:val="18"/>
                <w:lang w:val="ru-RU"/>
              </w:rPr>
              <w:t>ный</w:t>
            </w:r>
            <w:proofErr w:type="spellEnd"/>
            <w:r w:rsidRPr="00694ACA">
              <w:rPr>
                <w:color w:val="407C9B"/>
                <w:sz w:val="18"/>
                <w:lang w:val="ru-RU"/>
              </w:rPr>
              <w:t xml:space="preserve"> охват при минимальных вложениях</w:t>
            </w:r>
          </w:p>
        </w:tc>
        <w:tc>
          <w:tcPr>
            <w:tcW w:w="1559"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58BB3094" w14:textId="77777777" w:rsidR="004B77F6" w:rsidRPr="00694ACA" w:rsidRDefault="004B77F6" w:rsidP="00CD4D96">
            <w:pPr>
              <w:spacing w:after="0"/>
              <w:ind w:left="-57" w:right="-57"/>
              <w:rPr>
                <w:rFonts w:cs="Arial"/>
                <w:color w:val="407C9B"/>
                <w:sz w:val="18"/>
                <w:szCs w:val="18"/>
                <w:lang w:val="ru-RU"/>
              </w:rPr>
            </w:pPr>
            <w:r w:rsidRPr="00694ACA">
              <w:rPr>
                <w:color w:val="407C9B"/>
                <w:sz w:val="18"/>
                <w:lang w:val="ru-RU"/>
              </w:rPr>
              <w:t>Часть от общего дохода</w:t>
            </w:r>
          </w:p>
        </w:tc>
        <w:tc>
          <w:tcPr>
            <w:tcW w:w="127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20438DB6" w14:textId="77777777" w:rsidR="004B77F6" w:rsidRPr="00694ACA" w:rsidRDefault="004B77F6" w:rsidP="00CD4D96">
            <w:pPr>
              <w:spacing w:after="0"/>
              <w:ind w:left="-57" w:right="-57"/>
              <w:rPr>
                <w:rFonts w:cs="Arial"/>
                <w:color w:val="407C9B"/>
                <w:sz w:val="18"/>
                <w:szCs w:val="18"/>
                <w:lang w:val="ru-RU"/>
              </w:rPr>
            </w:pPr>
            <w:r w:rsidRPr="00694ACA">
              <w:rPr>
                <w:color w:val="407C9B"/>
                <w:sz w:val="18"/>
                <w:lang w:val="ru-RU"/>
              </w:rPr>
              <w:t>Обмен информацией</w:t>
            </w:r>
          </w:p>
        </w:tc>
        <w:tc>
          <w:tcPr>
            <w:tcW w:w="1701"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5AA040D4" w14:textId="77777777" w:rsidR="004B77F6" w:rsidRPr="00694ACA" w:rsidRDefault="004B77F6" w:rsidP="00CD4D96">
            <w:pPr>
              <w:spacing w:after="0"/>
              <w:ind w:left="-57" w:right="-57"/>
              <w:rPr>
                <w:rFonts w:cs="Arial"/>
                <w:color w:val="407C9B"/>
                <w:sz w:val="18"/>
                <w:szCs w:val="18"/>
                <w:lang w:val="ru-RU"/>
              </w:rPr>
            </w:pPr>
            <w:r w:rsidRPr="00694ACA">
              <w:rPr>
                <w:color w:val="407C9B"/>
                <w:sz w:val="18"/>
                <w:lang w:val="ru-RU"/>
              </w:rPr>
              <w:t>Низкий, но необходимо контролировать качество предоставляемых услуг</w:t>
            </w:r>
          </w:p>
        </w:tc>
        <w:tc>
          <w:tcPr>
            <w:tcW w:w="1559"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50E3EA51" w14:textId="45235948" w:rsidR="004B77F6" w:rsidRPr="00694ACA" w:rsidRDefault="004B77F6" w:rsidP="00CD4D96">
            <w:pPr>
              <w:spacing w:after="0"/>
              <w:ind w:left="-57" w:right="-57"/>
              <w:rPr>
                <w:rFonts w:cs="Arial"/>
                <w:color w:val="407C9B"/>
                <w:sz w:val="18"/>
                <w:szCs w:val="18"/>
                <w:lang w:val="ru-RU"/>
              </w:rPr>
            </w:pPr>
            <w:r w:rsidRPr="00694ACA">
              <w:rPr>
                <w:color w:val="407C9B"/>
                <w:sz w:val="18"/>
                <w:lang w:val="ru-RU"/>
              </w:rPr>
              <w:t xml:space="preserve">Меньшее финансовое участие, </w:t>
            </w:r>
            <w:proofErr w:type="spellStart"/>
            <w:r w:rsidRPr="00694ACA">
              <w:rPr>
                <w:color w:val="407C9B"/>
                <w:sz w:val="18"/>
                <w:lang w:val="ru-RU"/>
              </w:rPr>
              <w:t>немногочис</w:t>
            </w:r>
            <w:proofErr w:type="spellEnd"/>
            <w:r w:rsidR="00CD4D96" w:rsidRPr="00694ACA">
              <w:rPr>
                <w:color w:val="407C9B"/>
                <w:sz w:val="18"/>
                <w:lang w:val="ru-RU"/>
              </w:rPr>
              <w:t>-</w:t>
            </w:r>
            <w:r w:rsidRPr="00694ACA">
              <w:rPr>
                <w:color w:val="407C9B"/>
                <w:sz w:val="18"/>
                <w:lang w:val="ru-RU"/>
              </w:rPr>
              <w:t>ленный персонал, незначительная потребность во внутреннем опыте</w:t>
            </w:r>
          </w:p>
        </w:tc>
        <w:tc>
          <w:tcPr>
            <w:tcW w:w="1843"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52A11571" w14:textId="77777777" w:rsidR="004B77F6" w:rsidRPr="00694ACA" w:rsidRDefault="004B77F6" w:rsidP="00CD4D96">
            <w:pPr>
              <w:spacing w:after="0"/>
              <w:ind w:left="-57" w:right="-57"/>
              <w:rPr>
                <w:rFonts w:cs="Arial"/>
                <w:color w:val="407C9B"/>
                <w:sz w:val="18"/>
                <w:szCs w:val="18"/>
                <w:lang w:val="ru-RU"/>
              </w:rPr>
            </w:pPr>
          </w:p>
        </w:tc>
      </w:tr>
      <w:tr w:rsidR="004B77F6" w:rsidRPr="00694ACA" w14:paraId="29F46602" w14:textId="77777777" w:rsidTr="00CD4D96">
        <w:tc>
          <w:tcPr>
            <w:tcW w:w="158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5BD89CE6" w14:textId="77777777" w:rsidR="004B77F6" w:rsidRPr="00694ACA" w:rsidRDefault="004B77F6" w:rsidP="00CD4D96">
            <w:pPr>
              <w:spacing w:after="0"/>
              <w:ind w:left="-57" w:right="-57"/>
              <w:rPr>
                <w:rFonts w:cs="Arial"/>
                <w:b/>
                <w:bCs/>
                <w:color w:val="407C9B"/>
                <w:sz w:val="18"/>
                <w:szCs w:val="18"/>
                <w:lang w:val="ru-RU"/>
              </w:rPr>
            </w:pPr>
            <w:r w:rsidRPr="00694ACA">
              <w:rPr>
                <w:b/>
                <w:color w:val="407C9B"/>
                <w:sz w:val="18"/>
                <w:lang w:val="ru-RU"/>
              </w:rPr>
              <w:t>Обслуживание членов</w:t>
            </w:r>
          </w:p>
        </w:tc>
        <w:tc>
          <w:tcPr>
            <w:tcW w:w="1250"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200813F3" w14:textId="78CD31FA" w:rsidR="004B77F6" w:rsidRPr="00694ACA" w:rsidRDefault="004B77F6" w:rsidP="00CD4D96">
            <w:pPr>
              <w:spacing w:after="0"/>
              <w:ind w:left="-57" w:right="-57"/>
              <w:rPr>
                <w:rFonts w:cs="Arial"/>
                <w:color w:val="407C9B"/>
                <w:sz w:val="18"/>
                <w:szCs w:val="18"/>
                <w:lang w:val="ru-RU"/>
              </w:rPr>
            </w:pPr>
            <w:proofErr w:type="spellStart"/>
            <w:r w:rsidRPr="00694ACA">
              <w:rPr>
                <w:color w:val="407C9B"/>
                <w:sz w:val="18"/>
                <w:lang w:val="ru-RU"/>
              </w:rPr>
              <w:t>Предостав</w:t>
            </w:r>
            <w:r w:rsidR="00CD4D96" w:rsidRPr="00694ACA">
              <w:rPr>
                <w:color w:val="407C9B"/>
                <w:sz w:val="18"/>
                <w:lang w:val="ru-RU"/>
              </w:rPr>
              <w:t>-</w:t>
            </w:r>
            <w:r w:rsidRPr="00694ACA">
              <w:rPr>
                <w:color w:val="407C9B"/>
                <w:sz w:val="18"/>
                <w:lang w:val="ru-RU"/>
              </w:rPr>
              <w:t>ление</w:t>
            </w:r>
            <w:proofErr w:type="spellEnd"/>
            <w:r w:rsidRPr="00694ACA">
              <w:rPr>
                <w:color w:val="407C9B"/>
                <w:sz w:val="18"/>
                <w:lang w:val="ru-RU"/>
              </w:rPr>
              <w:t xml:space="preserve"> услуг членам, и</w:t>
            </w:r>
            <w:r w:rsidR="002707C0" w:rsidRPr="00694ACA">
              <w:rPr>
                <w:color w:val="407C9B"/>
                <w:sz w:val="18"/>
                <w:lang w:val="ru-RU"/>
              </w:rPr>
              <w:t>ндивиду-</w:t>
            </w:r>
            <w:proofErr w:type="spellStart"/>
            <w:r w:rsidR="002707C0" w:rsidRPr="00694ACA">
              <w:rPr>
                <w:color w:val="407C9B"/>
                <w:sz w:val="18"/>
                <w:lang w:val="ru-RU"/>
              </w:rPr>
              <w:t>альность</w:t>
            </w:r>
            <w:proofErr w:type="spellEnd"/>
            <w:r w:rsidR="002707C0" w:rsidRPr="00694ACA">
              <w:rPr>
                <w:color w:val="407C9B"/>
                <w:sz w:val="18"/>
                <w:lang w:val="ru-RU"/>
              </w:rPr>
              <w:t xml:space="preserve"> </w:t>
            </w:r>
            <w:r w:rsidRPr="00694ACA">
              <w:rPr>
                <w:color w:val="407C9B"/>
                <w:sz w:val="18"/>
                <w:lang w:val="ru-RU"/>
              </w:rPr>
              <w:t>бренда</w:t>
            </w:r>
          </w:p>
        </w:tc>
        <w:tc>
          <w:tcPr>
            <w:tcW w:w="1559"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70F2166F" w14:textId="782504C2" w:rsidR="004B77F6" w:rsidRPr="00694ACA" w:rsidRDefault="004B77F6" w:rsidP="00CD4D96">
            <w:pPr>
              <w:spacing w:after="0"/>
              <w:ind w:left="-57" w:right="-57"/>
              <w:rPr>
                <w:rFonts w:cs="Arial"/>
                <w:color w:val="407C9B"/>
                <w:sz w:val="18"/>
                <w:szCs w:val="18"/>
                <w:lang w:val="ru-RU"/>
              </w:rPr>
            </w:pPr>
            <w:r w:rsidRPr="00694ACA">
              <w:rPr>
                <w:color w:val="407C9B"/>
                <w:sz w:val="18"/>
                <w:lang w:val="ru-RU"/>
              </w:rPr>
              <w:t xml:space="preserve">Взносы за членство (как правило, эффективно только при небольшом количестве членов, пользующихся всеми </w:t>
            </w:r>
            <w:proofErr w:type="spellStart"/>
            <w:r w:rsidRPr="00694ACA">
              <w:rPr>
                <w:color w:val="407C9B"/>
                <w:sz w:val="18"/>
                <w:lang w:val="ru-RU"/>
              </w:rPr>
              <w:t>преиму</w:t>
            </w:r>
            <w:r w:rsidR="00CD4D96" w:rsidRPr="00694ACA">
              <w:rPr>
                <w:color w:val="407C9B"/>
                <w:sz w:val="18"/>
                <w:lang w:val="ru-RU"/>
              </w:rPr>
              <w:t>-</w:t>
            </w:r>
            <w:r w:rsidRPr="00694ACA">
              <w:rPr>
                <w:color w:val="407C9B"/>
                <w:sz w:val="18"/>
                <w:lang w:val="ru-RU"/>
              </w:rPr>
              <w:t>ществами</w:t>
            </w:r>
            <w:proofErr w:type="spellEnd"/>
            <w:r w:rsidRPr="00694ACA">
              <w:rPr>
                <w:color w:val="407C9B"/>
                <w:sz w:val="18"/>
                <w:lang w:val="ru-RU"/>
              </w:rPr>
              <w:t>)</w:t>
            </w:r>
          </w:p>
        </w:tc>
        <w:tc>
          <w:tcPr>
            <w:tcW w:w="127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12539344" w14:textId="77777777" w:rsidR="004B77F6" w:rsidRPr="00694ACA" w:rsidRDefault="004B77F6" w:rsidP="00CD4D96">
            <w:pPr>
              <w:spacing w:after="0"/>
              <w:ind w:left="-57" w:right="-57"/>
              <w:rPr>
                <w:rFonts w:cs="Arial"/>
                <w:color w:val="407C9B"/>
                <w:sz w:val="18"/>
                <w:szCs w:val="18"/>
                <w:lang w:val="ru-RU"/>
              </w:rPr>
            </w:pPr>
            <w:r w:rsidRPr="00694ACA">
              <w:rPr>
                <w:color w:val="407C9B"/>
                <w:sz w:val="18"/>
                <w:lang w:val="ru-RU"/>
              </w:rPr>
              <w:t>Персонал, материалы, проведение</w:t>
            </w:r>
          </w:p>
        </w:tc>
        <w:tc>
          <w:tcPr>
            <w:tcW w:w="1701"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2B4563C2" w14:textId="77777777" w:rsidR="004B77F6" w:rsidRPr="00694ACA" w:rsidRDefault="004B77F6" w:rsidP="00CD4D96">
            <w:pPr>
              <w:spacing w:after="0"/>
              <w:ind w:left="-57" w:right="-57"/>
              <w:rPr>
                <w:rFonts w:cs="Arial"/>
                <w:color w:val="407C9B"/>
                <w:sz w:val="18"/>
                <w:szCs w:val="18"/>
                <w:lang w:val="ru-RU"/>
              </w:rPr>
            </w:pPr>
            <w:r w:rsidRPr="00694ACA">
              <w:rPr>
                <w:color w:val="407C9B"/>
                <w:sz w:val="18"/>
                <w:lang w:val="ru-RU"/>
              </w:rPr>
              <w:t>Неприемлемый контент и проведение, недостаточные ресурсы, чтобы взимать плату</w:t>
            </w:r>
          </w:p>
        </w:tc>
        <w:tc>
          <w:tcPr>
            <w:tcW w:w="1559"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2010CAF7" w14:textId="77777777" w:rsidR="004B77F6" w:rsidRPr="00694ACA" w:rsidRDefault="004B77F6" w:rsidP="00CD4D96">
            <w:pPr>
              <w:spacing w:after="0"/>
              <w:ind w:left="-57" w:right="-57"/>
              <w:rPr>
                <w:rFonts w:cs="Arial"/>
                <w:color w:val="407C9B"/>
                <w:sz w:val="18"/>
                <w:szCs w:val="18"/>
                <w:lang w:val="ru-RU"/>
              </w:rPr>
            </w:pPr>
            <w:r w:rsidRPr="00694ACA">
              <w:rPr>
                <w:color w:val="407C9B"/>
                <w:sz w:val="18"/>
                <w:lang w:val="ru-RU"/>
              </w:rPr>
              <w:t>Построение сети обмена информацией, удовлетворение пожеланий членов</w:t>
            </w:r>
          </w:p>
        </w:tc>
        <w:tc>
          <w:tcPr>
            <w:tcW w:w="1843"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3F473621" w14:textId="77777777" w:rsidR="004B77F6" w:rsidRPr="00694ACA" w:rsidRDefault="004B77F6" w:rsidP="00CD4D96">
            <w:pPr>
              <w:spacing w:after="0"/>
              <w:ind w:left="-57" w:right="-57"/>
              <w:rPr>
                <w:rFonts w:cs="Arial"/>
                <w:color w:val="407C9B"/>
                <w:sz w:val="18"/>
                <w:szCs w:val="18"/>
                <w:lang w:val="ru-RU"/>
              </w:rPr>
            </w:pPr>
            <w:r w:rsidRPr="00694ACA">
              <w:rPr>
                <w:color w:val="407C9B"/>
                <w:sz w:val="18"/>
                <w:lang w:val="ru-RU"/>
              </w:rPr>
              <w:t>Профессиональные организации, международные организации</w:t>
            </w:r>
          </w:p>
        </w:tc>
      </w:tr>
      <w:tr w:rsidR="004B77F6" w:rsidRPr="00694ACA" w14:paraId="263E6B11" w14:textId="77777777" w:rsidTr="00CD4D96">
        <w:tc>
          <w:tcPr>
            <w:tcW w:w="158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1FFA2249" w14:textId="77777777" w:rsidR="004B77F6" w:rsidRPr="00694ACA" w:rsidRDefault="004B77F6" w:rsidP="00CD4D96">
            <w:pPr>
              <w:spacing w:after="0"/>
              <w:ind w:left="-57" w:right="-57"/>
              <w:rPr>
                <w:rFonts w:cs="Arial"/>
                <w:b/>
                <w:bCs/>
                <w:color w:val="407C9B"/>
                <w:sz w:val="18"/>
                <w:szCs w:val="18"/>
                <w:lang w:val="ru-RU"/>
              </w:rPr>
            </w:pPr>
            <w:r w:rsidRPr="00694ACA">
              <w:rPr>
                <w:b/>
                <w:color w:val="407C9B"/>
                <w:sz w:val="18"/>
                <w:lang w:val="ru-RU"/>
              </w:rPr>
              <w:t>Общие глобальные услуги</w:t>
            </w:r>
          </w:p>
        </w:tc>
        <w:tc>
          <w:tcPr>
            <w:tcW w:w="1250"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5A020FE7" w14:textId="3F346C01" w:rsidR="004B77F6" w:rsidRPr="00694ACA" w:rsidRDefault="004B77F6" w:rsidP="00CD4D96">
            <w:pPr>
              <w:spacing w:after="0"/>
              <w:ind w:left="-57" w:right="-57"/>
              <w:rPr>
                <w:rFonts w:cs="Arial"/>
                <w:color w:val="407C9B"/>
                <w:sz w:val="18"/>
                <w:szCs w:val="18"/>
                <w:lang w:val="ru-RU"/>
              </w:rPr>
            </w:pPr>
            <w:proofErr w:type="spellStart"/>
            <w:r w:rsidRPr="00694ACA">
              <w:rPr>
                <w:color w:val="407C9B"/>
                <w:sz w:val="18"/>
                <w:lang w:val="ru-RU"/>
              </w:rPr>
              <w:t>Предостав</w:t>
            </w:r>
            <w:r w:rsidR="00CD4D96" w:rsidRPr="00694ACA">
              <w:rPr>
                <w:color w:val="407C9B"/>
                <w:sz w:val="18"/>
                <w:lang w:val="ru-RU"/>
              </w:rPr>
              <w:t>-</w:t>
            </w:r>
            <w:r w:rsidRPr="00694ACA">
              <w:rPr>
                <w:color w:val="407C9B"/>
                <w:sz w:val="18"/>
                <w:lang w:val="ru-RU"/>
              </w:rPr>
              <w:t>ление</w:t>
            </w:r>
            <w:proofErr w:type="spellEnd"/>
            <w:r w:rsidRPr="00694ACA">
              <w:rPr>
                <w:color w:val="407C9B"/>
                <w:sz w:val="18"/>
                <w:lang w:val="ru-RU"/>
              </w:rPr>
              <w:t xml:space="preserve"> бесплатных ресурсов, имидж бренда</w:t>
            </w:r>
          </w:p>
        </w:tc>
        <w:tc>
          <w:tcPr>
            <w:tcW w:w="1559"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1C28F267" w14:textId="77777777" w:rsidR="004B77F6" w:rsidRPr="00694ACA" w:rsidRDefault="004B77F6" w:rsidP="00CD4D96">
            <w:pPr>
              <w:spacing w:after="0"/>
              <w:ind w:left="-57" w:right="-57"/>
              <w:rPr>
                <w:rFonts w:cs="Arial"/>
                <w:color w:val="407C9B"/>
                <w:sz w:val="18"/>
                <w:szCs w:val="18"/>
                <w:lang w:val="ru-RU"/>
              </w:rPr>
            </w:pPr>
            <w:r w:rsidRPr="00694ACA">
              <w:rPr>
                <w:color w:val="407C9B"/>
                <w:sz w:val="18"/>
                <w:lang w:val="ru-RU"/>
              </w:rPr>
              <w:t>Фонды, доноры</w:t>
            </w:r>
          </w:p>
        </w:tc>
        <w:tc>
          <w:tcPr>
            <w:tcW w:w="127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69E818F4" w14:textId="77777777" w:rsidR="004B77F6" w:rsidRPr="00694ACA" w:rsidRDefault="004B77F6" w:rsidP="00CD4D96">
            <w:pPr>
              <w:spacing w:after="0"/>
              <w:ind w:left="-57" w:right="-57"/>
              <w:rPr>
                <w:rFonts w:cs="Arial"/>
                <w:color w:val="407C9B"/>
                <w:sz w:val="18"/>
                <w:szCs w:val="18"/>
                <w:lang w:val="ru-RU"/>
              </w:rPr>
            </w:pPr>
            <w:r w:rsidRPr="00694ACA">
              <w:rPr>
                <w:color w:val="407C9B"/>
                <w:sz w:val="18"/>
                <w:lang w:val="ru-RU"/>
              </w:rPr>
              <w:t>Главным образом ООР</w:t>
            </w:r>
          </w:p>
        </w:tc>
        <w:tc>
          <w:tcPr>
            <w:tcW w:w="1701"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08124A0C" w14:textId="77777777" w:rsidR="004B77F6" w:rsidRPr="00694ACA" w:rsidRDefault="004B77F6" w:rsidP="00CD4D96">
            <w:pPr>
              <w:spacing w:after="0"/>
              <w:ind w:left="-57" w:right="-57"/>
              <w:rPr>
                <w:rFonts w:cs="Arial"/>
                <w:color w:val="407C9B"/>
                <w:sz w:val="18"/>
                <w:szCs w:val="18"/>
                <w:lang w:val="ru-RU"/>
              </w:rPr>
            </w:pPr>
            <w:r w:rsidRPr="00694ACA">
              <w:rPr>
                <w:color w:val="407C9B"/>
                <w:sz w:val="18"/>
                <w:lang w:val="ru-RU"/>
              </w:rPr>
              <w:t>Контроль качества; обновление; пополнение финансирования; проведение</w:t>
            </w:r>
          </w:p>
        </w:tc>
        <w:tc>
          <w:tcPr>
            <w:tcW w:w="1559"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40AF5612" w14:textId="77777777" w:rsidR="004B77F6" w:rsidRPr="00694ACA" w:rsidRDefault="004B77F6" w:rsidP="00CD4D96">
            <w:pPr>
              <w:spacing w:after="0"/>
              <w:ind w:left="-57" w:right="-57"/>
              <w:rPr>
                <w:rFonts w:cs="Arial"/>
                <w:color w:val="407C9B"/>
                <w:sz w:val="18"/>
                <w:szCs w:val="18"/>
                <w:lang w:val="ru-RU"/>
              </w:rPr>
            </w:pPr>
            <w:r w:rsidRPr="00694ACA">
              <w:rPr>
                <w:color w:val="407C9B"/>
                <w:sz w:val="18"/>
                <w:lang w:val="ru-RU"/>
              </w:rPr>
              <w:t>Бесплатно для конечного пользователя</w:t>
            </w:r>
          </w:p>
        </w:tc>
        <w:tc>
          <w:tcPr>
            <w:tcW w:w="1843"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2185D4B8" w14:textId="7BA510D9" w:rsidR="004B77F6" w:rsidRPr="00694ACA" w:rsidRDefault="004B77F6" w:rsidP="00CD4D96">
            <w:pPr>
              <w:spacing w:after="0"/>
              <w:ind w:left="-57" w:right="-57"/>
              <w:rPr>
                <w:rFonts w:cs="Arial"/>
                <w:color w:val="407C9B"/>
                <w:sz w:val="18"/>
                <w:szCs w:val="18"/>
                <w:lang w:val="ru-RU"/>
              </w:rPr>
            </w:pPr>
            <w:r w:rsidRPr="00694ACA">
              <w:rPr>
                <w:color w:val="407C9B"/>
                <w:sz w:val="18"/>
                <w:lang w:val="ru-RU"/>
              </w:rPr>
              <w:t>Организации гражданского общества</w:t>
            </w:r>
            <w:r w:rsidR="00A579EF">
              <w:rPr>
                <w:color w:val="407C9B"/>
                <w:sz w:val="18"/>
                <w:lang w:val="ru-RU"/>
              </w:rPr>
              <w:t xml:space="preserve"> </w:t>
            </w:r>
          </w:p>
        </w:tc>
      </w:tr>
    </w:tbl>
    <w:p w14:paraId="439E24F2" w14:textId="15955D64" w:rsidR="004B77F6" w:rsidRPr="00694ACA" w:rsidRDefault="004B77F6" w:rsidP="00A105CB">
      <w:pPr>
        <w:pStyle w:val="Heading2"/>
        <w:rPr>
          <w:lang w:val="ru-RU"/>
        </w:rPr>
      </w:pPr>
      <w:bookmarkStart w:id="418" w:name="_Toc58244119"/>
      <w:bookmarkStart w:id="419" w:name="_Toc58273441"/>
      <w:bookmarkStart w:id="420" w:name="_Toc58273670"/>
      <w:bookmarkStart w:id="421" w:name="_Toc58275272"/>
      <w:bookmarkStart w:id="422" w:name="_Toc58277305"/>
      <w:bookmarkStart w:id="423" w:name="_Toc61633868"/>
      <w:bookmarkStart w:id="424" w:name="_Toc57297423"/>
      <w:r w:rsidRPr="00694ACA">
        <w:rPr>
          <w:lang w:val="ru-RU"/>
        </w:rPr>
        <w:t xml:space="preserve">Приложение 7: Сценарии совершенствования деятельности МСЭ </w:t>
      </w:r>
      <w:bookmarkEnd w:id="418"/>
      <w:bookmarkEnd w:id="419"/>
      <w:bookmarkEnd w:id="420"/>
      <w:bookmarkEnd w:id="421"/>
      <w:bookmarkEnd w:id="422"/>
      <w:r w:rsidR="00367DAA" w:rsidRPr="00694ACA">
        <w:rPr>
          <w:lang w:val="ru-RU"/>
        </w:rPr>
        <w:t>по развитию потенциала и профессиональной подготовке</w:t>
      </w:r>
      <w:bookmarkEnd w:id="423"/>
    </w:p>
    <w:p w14:paraId="24FC337A" w14:textId="1C71932F" w:rsidR="004B77F6" w:rsidRPr="00694ACA" w:rsidRDefault="004B77F6" w:rsidP="00A105CB">
      <w:pPr>
        <w:ind w:left="-284" w:right="-472"/>
        <w:rPr>
          <w:lang w:val="ru-RU"/>
        </w:rPr>
      </w:pPr>
      <w:bookmarkStart w:id="425" w:name="_y6augrfea8xk"/>
      <w:bookmarkEnd w:id="424"/>
      <w:bookmarkEnd w:id="425"/>
      <w:r w:rsidRPr="00694ACA">
        <w:rPr>
          <w:lang w:val="ru-RU"/>
        </w:rPr>
        <w:t xml:space="preserve">На основании данных, собранных в ходе настоящего обзора, были разработаны шесть разных </w:t>
      </w:r>
      <w:r w:rsidR="006E72AD" w:rsidRPr="00694ACA">
        <w:rPr>
          <w:lang w:val="ru-RU"/>
        </w:rPr>
        <w:t>"</w:t>
      </w:r>
      <w:r w:rsidRPr="00694ACA">
        <w:rPr>
          <w:lang w:val="ru-RU"/>
        </w:rPr>
        <w:t>сценариев</w:t>
      </w:r>
      <w:r w:rsidR="006E72AD" w:rsidRPr="00694ACA">
        <w:rPr>
          <w:lang w:val="ru-RU"/>
        </w:rPr>
        <w:t>"</w:t>
      </w:r>
      <w:r w:rsidRPr="00694ACA">
        <w:rPr>
          <w:lang w:val="ru-RU"/>
        </w:rPr>
        <w:t xml:space="preserve"> будущей деятельности МСЭ </w:t>
      </w:r>
      <w:r w:rsidR="00367DAA" w:rsidRPr="00694ACA">
        <w:rPr>
          <w:lang w:val="ru-RU"/>
        </w:rPr>
        <w:t>по развитию потенциала и профессиональной подготовке</w:t>
      </w:r>
      <w:r w:rsidRPr="00694ACA">
        <w:rPr>
          <w:lang w:val="ru-RU"/>
        </w:rPr>
        <w:t>.</w:t>
      </w:r>
      <w:r w:rsidR="00A579EF">
        <w:rPr>
          <w:lang w:val="ru-RU"/>
        </w:rPr>
        <w:t xml:space="preserve"> </w:t>
      </w:r>
      <w:r w:rsidRPr="00694ACA">
        <w:rPr>
          <w:lang w:val="ru-RU"/>
        </w:rPr>
        <w:t>Все они являются логическими выводами из собранных данных и сравнения с другими поставщиками услуг, как в рамках системы ООН, так и за ее пределами.</w:t>
      </w:r>
      <w:r w:rsidR="00A579EF">
        <w:rPr>
          <w:lang w:val="ru-RU"/>
        </w:rPr>
        <w:t xml:space="preserve"> </w:t>
      </w:r>
      <w:r w:rsidRPr="00694ACA">
        <w:rPr>
          <w:lang w:val="ru-RU"/>
        </w:rPr>
        <w:t>Их представили рабочей группе МСЭ, ответственной за данный обзор, с тем чтобы выяснить ее мнение о сильных и слабых сторонах данных сценариев. Цель состояла в содействии дискуссии и предоставлении соответствующему персоналу МСЭ возможности сделать дальнейшие вклады в обзор и, соответственно, в рекомендации к окончательному отчету.</w:t>
      </w:r>
      <w:r w:rsidR="00A579EF">
        <w:rPr>
          <w:lang w:val="ru-RU"/>
        </w:rPr>
        <w:t xml:space="preserve"> </w:t>
      </w:r>
      <w:r w:rsidRPr="00694ACA">
        <w:rPr>
          <w:lang w:val="ru-RU"/>
        </w:rPr>
        <w:t xml:space="preserve">Четырнадцать человек оказали любезность и приняли участие в </w:t>
      </w:r>
      <w:r w:rsidR="006E72AD" w:rsidRPr="00694ACA">
        <w:rPr>
          <w:lang w:val="ru-RU"/>
        </w:rPr>
        <w:t>"</w:t>
      </w:r>
      <w:r w:rsidRPr="00694ACA">
        <w:rPr>
          <w:lang w:val="ru-RU"/>
        </w:rPr>
        <w:t>сеансе анализа сценариев</w:t>
      </w:r>
      <w:r w:rsidR="006E72AD" w:rsidRPr="00694ACA">
        <w:rPr>
          <w:lang w:val="ru-RU"/>
        </w:rPr>
        <w:t>"</w:t>
      </w:r>
      <w:r w:rsidRPr="00694ACA">
        <w:rPr>
          <w:lang w:val="ru-RU"/>
        </w:rPr>
        <w:t xml:space="preserve">, который проводился онлайн с помощью </w:t>
      </w:r>
      <w:proofErr w:type="spellStart"/>
      <w:r w:rsidRPr="00694ACA">
        <w:rPr>
          <w:lang w:val="ru-RU"/>
        </w:rPr>
        <w:t>Jamboard</w:t>
      </w:r>
      <w:proofErr w:type="spellEnd"/>
      <w:r w:rsidRPr="00694ACA">
        <w:rPr>
          <w:rStyle w:val="FootnoteReference"/>
          <w:lang w:val="ru-RU"/>
        </w:rPr>
        <w:footnoteReference w:id="256"/>
      </w:r>
      <w:r w:rsidRPr="00694ACA">
        <w:rPr>
          <w:lang w:val="ru-RU"/>
        </w:rPr>
        <w:t>. Ниже представлено краткое описание каждого из шести сценариев.</w:t>
      </w:r>
    </w:p>
    <w:p w14:paraId="7A4FA7CF" w14:textId="081AB10C" w:rsidR="004B77F6" w:rsidRPr="00694ACA" w:rsidRDefault="004B77F6" w:rsidP="00A105CB">
      <w:pPr>
        <w:pStyle w:val="Bulletspoint11"/>
        <w:ind w:left="584" w:hanging="357"/>
        <w:rPr>
          <w:lang w:val="ru-RU"/>
        </w:rPr>
      </w:pPr>
      <w:r w:rsidRPr="00694ACA">
        <w:rPr>
          <w:lang w:val="ru-RU"/>
        </w:rPr>
        <w:t xml:space="preserve">Сценарий 1: </w:t>
      </w:r>
      <w:r w:rsidR="002E5573" w:rsidRPr="00694ACA">
        <w:rPr>
          <w:b/>
          <w:lang w:val="ru-RU"/>
        </w:rPr>
        <w:t>Развитие</w:t>
      </w:r>
      <w:r w:rsidRPr="00694ACA">
        <w:rPr>
          <w:b/>
          <w:lang w:val="ru-RU"/>
        </w:rPr>
        <w:t xml:space="preserve"> потенциала и профессиональная подготовка специально для правительственных органов в рамках работы с МСЭ и внутри </w:t>
      </w:r>
      <w:r w:rsidR="00A50257" w:rsidRPr="00694ACA">
        <w:rPr>
          <w:b/>
          <w:lang w:val="ru-RU"/>
        </w:rPr>
        <w:t>Союза</w:t>
      </w:r>
      <w:r w:rsidRPr="00694ACA">
        <w:rPr>
          <w:lang w:val="ru-RU"/>
        </w:rPr>
        <w:t xml:space="preserve">. Этот сценарий ориентирован на </w:t>
      </w:r>
      <w:r w:rsidRPr="00694ACA">
        <w:rPr>
          <w:lang w:val="ru-RU"/>
        </w:rPr>
        <w:lastRenderedPageBreak/>
        <w:t xml:space="preserve">обеспечение всем членам возможности работать с МСЭ эффективно и результативно в вопросах </w:t>
      </w:r>
      <w:r w:rsidR="00367DAA" w:rsidRPr="00694ACA">
        <w:rPr>
          <w:lang w:val="ru-RU"/>
        </w:rPr>
        <w:t>развития потенциала</w:t>
      </w:r>
      <w:r w:rsidRPr="00694ACA">
        <w:rPr>
          <w:lang w:val="ru-RU"/>
        </w:rPr>
        <w:t xml:space="preserve"> и профессиональной подготовки с акцентом на </w:t>
      </w:r>
      <w:r w:rsidR="002E5573" w:rsidRPr="00694ACA">
        <w:rPr>
          <w:lang w:val="ru-RU"/>
        </w:rPr>
        <w:t>развитие</w:t>
      </w:r>
      <w:r w:rsidRPr="00694ACA">
        <w:rPr>
          <w:lang w:val="ru-RU"/>
        </w:rPr>
        <w:t xml:space="preserve"> институционального и организационного потенциала и профессиональной подготовки.</w:t>
      </w:r>
    </w:p>
    <w:p w14:paraId="5CE59DE5" w14:textId="4FE2B033" w:rsidR="004B77F6" w:rsidRPr="00694ACA" w:rsidRDefault="004B77F6" w:rsidP="00A105CB">
      <w:pPr>
        <w:pStyle w:val="Bulletspoint11"/>
        <w:ind w:left="584" w:hanging="357"/>
        <w:rPr>
          <w:lang w:val="ru-RU"/>
        </w:rPr>
      </w:pPr>
      <w:r w:rsidRPr="00694ACA">
        <w:rPr>
          <w:lang w:val="ru-RU"/>
        </w:rPr>
        <w:t xml:space="preserve">Сценарий 2: </w:t>
      </w:r>
      <w:r w:rsidRPr="00694ACA">
        <w:rPr>
          <w:b/>
          <w:lang w:val="ru-RU"/>
        </w:rPr>
        <w:t>Совершенствование существующих методов проведения</w:t>
      </w:r>
      <w:r w:rsidRPr="00694ACA">
        <w:rPr>
          <w:lang w:val="ru-RU"/>
        </w:rPr>
        <w:t xml:space="preserve">. Данный сценарий основан на совершенствовании того, что МСЭ предлагает в настоящее время в плане </w:t>
      </w:r>
      <w:r w:rsidR="00367DAA" w:rsidRPr="00694ACA">
        <w:rPr>
          <w:lang w:val="ru-RU"/>
        </w:rPr>
        <w:t>развития потенциала и профессиональной подготовки</w:t>
      </w:r>
      <w:r w:rsidRPr="00694ACA">
        <w:rPr>
          <w:lang w:val="ru-RU"/>
        </w:rPr>
        <w:t>, признавая факт широкого признания данных методов, которые ценятся членами. Этот вариант направлен на улучшение текущего подхода без внесения серьезных структурных или стратегических изменений.</w:t>
      </w:r>
    </w:p>
    <w:p w14:paraId="6FE73108" w14:textId="3A5674FD" w:rsidR="004B77F6" w:rsidRPr="00694ACA" w:rsidRDefault="004B77F6" w:rsidP="00A105CB">
      <w:pPr>
        <w:pStyle w:val="Bulletspoint11"/>
        <w:ind w:left="584" w:hanging="357"/>
        <w:rPr>
          <w:lang w:val="ru-RU"/>
        </w:rPr>
      </w:pPr>
      <w:r w:rsidRPr="00694ACA">
        <w:rPr>
          <w:lang w:val="ru-RU"/>
        </w:rPr>
        <w:t xml:space="preserve">Сценарий 3: </w:t>
      </w:r>
      <w:r w:rsidRPr="00694ACA">
        <w:rPr>
          <w:b/>
          <w:lang w:val="ru-RU"/>
        </w:rPr>
        <w:t>Модели посредничества</w:t>
      </w:r>
      <w:r w:rsidRPr="00694ACA">
        <w:rPr>
          <w:lang w:val="ru-RU"/>
        </w:rPr>
        <w:t xml:space="preserve"> (в число вариантов входят посредничество в чистом виде и партнерства). Существует множество альтернативных поставщиков высококачественных услуг </w:t>
      </w:r>
      <w:r w:rsidR="00367DAA" w:rsidRPr="00694ACA">
        <w:rPr>
          <w:lang w:val="ru-RU"/>
        </w:rPr>
        <w:t>по развитию потенциала и профессиональной подготовке</w:t>
      </w:r>
      <w:r w:rsidRPr="00694ACA">
        <w:rPr>
          <w:lang w:val="ru-RU"/>
        </w:rPr>
        <w:t>, помимо МСЭ, и их предложения в определенной степени аналогичны. Фактически, многие из нынешних предложений МСЭ также предоставляются другими организациями. Поэтому для МСЭ представляется нецелесообразным выделять значительные ресурсы на создание собственных вариантов. Для выявления наиболее качественных и отвечающих цели поставщиков можно использовать сети и репутацию МСЭ и проводить работу на основании соглашений о посредничестве и партнерствах.</w:t>
      </w:r>
    </w:p>
    <w:p w14:paraId="1350EDC1" w14:textId="0EAB36A1" w:rsidR="004B77F6" w:rsidRPr="00694ACA" w:rsidRDefault="004B77F6" w:rsidP="00A105CB">
      <w:pPr>
        <w:pStyle w:val="Bulletspoint11"/>
        <w:ind w:left="584" w:hanging="357"/>
        <w:rPr>
          <w:lang w:val="ru-RU"/>
        </w:rPr>
      </w:pPr>
      <w:r w:rsidRPr="00694ACA">
        <w:rPr>
          <w:lang w:val="ru-RU"/>
        </w:rPr>
        <w:t xml:space="preserve">Сценарий 4: </w:t>
      </w:r>
      <w:r w:rsidRPr="00694ACA">
        <w:rPr>
          <w:b/>
          <w:lang w:val="ru-RU"/>
        </w:rPr>
        <w:t>Централизованное подразделение</w:t>
      </w:r>
      <w:r w:rsidR="00A50257" w:rsidRPr="00694ACA">
        <w:rPr>
          <w:b/>
          <w:lang w:val="ru-RU"/>
        </w:rPr>
        <w:t xml:space="preserve"> по вопросам</w:t>
      </w:r>
      <w:r w:rsidRPr="00694ACA">
        <w:rPr>
          <w:b/>
          <w:lang w:val="ru-RU"/>
        </w:rPr>
        <w:t xml:space="preserve"> L</w:t>
      </w:r>
      <w:r w:rsidR="00A50257" w:rsidRPr="00694ACA">
        <w:rPr>
          <w:b/>
          <w:lang w:val="ru-RU"/>
        </w:rPr>
        <w:t>&amp;</w:t>
      </w:r>
      <w:r w:rsidRPr="00694ACA">
        <w:rPr>
          <w:b/>
          <w:lang w:val="ru-RU"/>
        </w:rPr>
        <w:t xml:space="preserve">D и </w:t>
      </w:r>
      <w:r w:rsidR="00A50257" w:rsidRPr="00694ACA">
        <w:rPr>
          <w:b/>
          <w:lang w:val="ru-RU"/>
        </w:rPr>
        <w:t>CD&amp;T</w:t>
      </w:r>
      <w:r w:rsidRPr="00694ACA">
        <w:rPr>
          <w:lang w:val="ru-RU"/>
        </w:rPr>
        <w:t xml:space="preserve">. В данном сценарии в будущем МСЭ проводит деятельность </w:t>
      </w:r>
      <w:r w:rsidR="00367DAA" w:rsidRPr="00694ACA">
        <w:rPr>
          <w:lang w:val="ru-RU"/>
        </w:rPr>
        <w:t>по развитию потенциала и профессиональной подготовке</w:t>
      </w:r>
      <w:r w:rsidRPr="00694ACA">
        <w:rPr>
          <w:lang w:val="ru-RU"/>
        </w:rPr>
        <w:t xml:space="preserve"> на высоком качественном уровне, выступая обучающей организацией, обеспечивающей необходимое качество и располагающей соответствующими учебными ресурсами. Для этого требуется создание централизованного подразделения, объединяющего внутренние (</w:t>
      </w:r>
      <w:r w:rsidR="00A50257" w:rsidRPr="00694ACA">
        <w:rPr>
          <w:lang w:val="ru-RU"/>
        </w:rPr>
        <w:t>L&amp;D</w:t>
      </w:r>
      <w:r w:rsidRPr="00694ACA">
        <w:rPr>
          <w:lang w:val="ru-RU"/>
        </w:rPr>
        <w:t>) и внешние (</w:t>
      </w:r>
      <w:r w:rsidR="00A50257" w:rsidRPr="00694ACA">
        <w:rPr>
          <w:lang w:val="ru-RU"/>
        </w:rPr>
        <w:t>CD&amp;T</w:t>
      </w:r>
      <w:r w:rsidRPr="00694ACA">
        <w:rPr>
          <w:lang w:val="ru-RU"/>
        </w:rPr>
        <w:t>) аспекты реализации – возможно, в составе Генерального секретариата.</w:t>
      </w:r>
    </w:p>
    <w:p w14:paraId="22BDC3AE" w14:textId="2211E04E" w:rsidR="004B77F6" w:rsidRPr="00694ACA" w:rsidRDefault="004B77F6" w:rsidP="00A105CB">
      <w:pPr>
        <w:pStyle w:val="Bulletspoint11"/>
        <w:ind w:left="584" w:hanging="357"/>
        <w:rPr>
          <w:lang w:val="ru-RU"/>
        </w:rPr>
      </w:pPr>
      <w:r w:rsidRPr="00694ACA">
        <w:rPr>
          <w:lang w:val="ru-RU"/>
        </w:rPr>
        <w:t xml:space="preserve">Сценарий 5: </w:t>
      </w:r>
      <w:r w:rsidRPr="00694ACA">
        <w:rPr>
          <w:b/>
          <w:lang w:val="ru-RU"/>
        </w:rPr>
        <w:t>Институт с различными возможными моделями</w:t>
      </w:r>
      <w:r w:rsidRPr="00694ACA">
        <w:rPr>
          <w:lang w:val="ru-RU"/>
        </w:rPr>
        <w:t xml:space="preserve"> (виртуальные, физические, смешанные). Данный сценарий основан на учреждении Института </w:t>
      </w:r>
      <w:r w:rsidR="00367DAA" w:rsidRPr="00694ACA">
        <w:rPr>
          <w:lang w:val="ru-RU"/>
        </w:rPr>
        <w:t>по развитию потенциала и профессиональной подготовке</w:t>
      </w:r>
      <w:r w:rsidRPr="00694ACA">
        <w:rPr>
          <w:lang w:val="ru-RU"/>
        </w:rPr>
        <w:t xml:space="preserve"> как отдельной организации под эгидой МСЭ. Такой Институт может иметь несколько разных форм, и каждая из них потребует значительного выделения фондов, как на предварительном этапе, так и в последующем на текущие расходы. </w:t>
      </w:r>
    </w:p>
    <w:p w14:paraId="6508B763" w14:textId="7A6BB15F" w:rsidR="004B77F6" w:rsidRPr="00694ACA" w:rsidRDefault="004B77F6" w:rsidP="00A105CB">
      <w:pPr>
        <w:pStyle w:val="Bulletspoint11"/>
        <w:ind w:left="584" w:hanging="357"/>
        <w:rPr>
          <w:lang w:val="ru-RU"/>
        </w:rPr>
      </w:pPr>
      <w:r w:rsidRPr="00694ACA">
        <w:rPr>
          <w:lang w:val="ru-RU"/>
        </w:rPr>
        <w:t xml:space="preserve">Сценарий 6: </w:t>
      </w:r>
      <w:r w:rsidRPr="00694ACA">
        <w:rPr>
          <w:b/>
          <w:lang w:val="ru-RU"/>
        </w:rPr>
        <w:t>Выделение глобальных ресурсов на индивидуальное цифровое гражданство на протяжении всей жизни</w:t>
      </w:r>
      <w:r w:rsidRPr="00694ACA">
        <w:rPr>
          <w:lang w:val="ru-RU"/>
        </w:rPr>
        <w:t xml:space="preserve">. Данный сценарий рассматривает будущее, в котором МСЭ принимает более широкую роль в </w:t>
      </w:r>
      <w:r w:rsidR="002E5573" w:rsidRPr="00694ACA">
        <w:rPr>
          <w:lang w:val="ru-RU"/>
        </w:rPr>
        <w:t>развитии</w:t>
      </w:r>
      <w:r w:rsidRPr="00694ACA">
        <w:rPr>
          <w:lang w:val="ru-RU"/>
        </w:rPr>
        <w:t xml:space="preserve"> потенциала и профессиональной подготовке и предоставляет ресурсы и обучение для глобальной аудитории, как на уровне отдельных людей, так и целых организаций. </w:t>
      </w:r>
      <w:bookmarkStart w:id="426" w:name="_1ttpv9q1no3"/>
      <w:bookmarkStart w:id="427" w:name="_r73qtkxxexz0" w:colFirst="0" w:colLast="0"/>
      <w:bookmarkEnd w:id="426"/>
      <w:bookmarkEnd w:id="427"/>
    </w:p>
    <w:p w14:paraId="1A702E41" w14:textId="77777777" w:rsidR="004B77F6" w:rsidRPr="00694ACA" w:rsidRDefault="004B77F6" w:rsidP="00A105CB">
      <w:pPr>
        <w:pStyle w:val="Heading2"/>
        <w:rPr>
          <w:bCs/>
          <w:highlight w:val="white"/>
          <w:lang w:val="ru-RU"/>
        </w:rPr>
      </w:pPr>
      <w:r w:rsidRPr="00694ACA">
        <w:rPr>
          <w:lang w:val="ru-RU"/>
        </w:rPr>
        <w:t xml:space="preserve">Приложение 8: </w:t>
      </w:r>
      <w:bookmarkStart w:id="428" w:name="_Toc58273866"/>
      <w:r w:rsidRPr="00694ACA">
        <w:rPr>
          <w:lang w:val="ru-RU"/>
        </w:rPr>
        <w:t>Действия по совместному использованию знаний и ноу-хау в области радиосвязи</w:t>
      </w:r>
      <w:bookmarkEnd w:id="428"/>
    </w:p>
    <w:tbl>
      <w:tblPr>
        <w:tblW w:w="9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11"/>
        <w:gridCol w:w="1276"/>
        <w:gridCol w:w="1276"/>
        <w:gridCol w:w="1275"/>
        <w:gridCol w:w="1276"/>
      </w:tblGrid>
      <w:tr w:rsidR="004B77F6" w:rsidRPr="00694ACA" w14:paraId="664F3478" w14:textId="77777777" w:rsidTr="00CD4D96">
        <w:tc>
          <w:tcPr>
            <w:tcW w:w="4111" w:type="dxa"/>
            <w:tcBorders>
              <w:top w:val="nil"/>
              <w:left w:val="nil"/>
              <w:bottom w:val="nil"/>
              <w:right w:val="nil"/>
            </w:tcBorders>
            <w:shd w:val="clear" w:color="auto" w:fill="407C9B"/>
            <w:tcMar>
              <w:top w:w="100" w:type="dxa"/>
              <w:left w:w="100" w:type="dxa"/>
              <w:bottom w:w="100" w:type="dxa"/>
              <w:right w:w="100" w:type="dxa"/>
            </w:tcMar>
            <w:vAlign w:val="center"/>
          </w:tcPr>
          <w:p w14:paraId="5CAB2C8F" w14:textId="77777777" w:rsidR="004B77F6" w:rsidRPr="00694ACA" w:rsidRDefault="004B77F6" w:rsidP="00221B49">
            <w:pPr>
              <w:keepNext/>
              <w:widowControl w:val="0"/>
              <w:pBdr>
                <w:top w:val="nil"/>
                <w:left w:val="nil"/>
                <w:bottom w:val="nil"/>
                <w:right w:val="nil"/>
                <w:between w:val="nil"/>
              </w:pBdr>
              <w:spacing w:after="0"/>
              <w:jc w:val="center"/>
              <w:rPr>
                <w:b/>
                <w:color w:val="FFFFFF" w:themeColor="background1"/>
                <w:sz w:val="18"/>
                <w:szCs w:val="20"/>
                <w:lang w:val="ru-RU"/>
              </w:rPr>
            </w:pPr>
            <w:r w:rsidRPr="00694ACA">
              <w:rPr>
                <w:b/>
                <w:color w:val="FFFFFF" w:themeColor="background1"/>
                <w:sz w:val="18"/>
                <w:szCs w:val="20"/>
                <w:lang w:val="ru-RU"/>
              </w:rPr>
              <w:t>Показатель</w:t>
            </w:r>
          </w:p>
        </w:tc>
        <w:tc>
          <w:tcPr>
            <w:tcW w:w="1276" w:type="dxa"/>
            <w:tcBorders>
              <w:top w:val="nil"/>
              <w:left w:val="nil"/>
              <w:bottom w:val="nil"/>
              <w:right w:val="nil"/>
            </w:tcBorders>
            <w:shd w:val="clear" w:color="auto" w:fill="407C9B"/>
            <w:tcMar>
              <w:top w:w="100" w:type="dxa"/>
              <w:left w:w="100" w:type="dxa"/>
              <w:bottom w:w="100" w:type="dxa"/>
              <w:right w:w="100" w:type="dxa"/>
            </w:tcMar>
            <w:vAlign w:val="center"/>
          </w:tcPr>
          <w:p w14:paraId="2DD94597" w14:textId="6C9CF7B9" w:rsidR="004B77F6" w:rsidRPr="00694ACA" w:rsidRDefault="004B77F6" w:rsidP="00221B49">
            <w:pPr>
              <w:keepNext/>
              <w:widowControl w:val="0"/>
              <w:pBdr>
                <w:top w:val="nil"/>
                <w:left w:val="nil"/>
                <w:bottom w:val="nil"/>
                <w:right w:val="nil"/>
                <w:between w:val="nil"/>
              </w:pBdr>
              <w:spacing w:after="0"/>
              <w:jc w:val="center"/>
              <w:rPr>
                <w:b/>
                <w:color w:val="FFFFFF" w:themeColor="background1"/>
                <w:sz w:val="18"/>
                <w:szCs w:val="20"/>
                <w:lang w:val="ru-RU"/>
              </w:rPr>
            </w:pPr>
            <w:r w:rsidRPr="00694ACA">
              <w:rPr>
                <w:b/>
                <w:color w:val="FFFFFF" w:themeColor="background1"/>
                <w:sz w:val="18"/>
                <w:szCs w:val="20"/>
                <w:lang w:val="ru-RU"/>
              </w:rPr>
              <w:t>2015</w:t>
            </w:r>
            <w:r w:rsidR="00CD4D96" w:rsidRPr="00694ACA">
              <w:rPr>
                <w:b/>
                <w:color w:val="FFFFFF" w:themeColor="background1"/>
                <w:sz w:val="18"/>
                <w:szCs w:val="20"/>
                <w:lang w:val="ru-RU"/>
              </w:rPr>
              <w:t xml:space="preserve"> г.</w:t>
            </w:r>
          </w:p>
        </w:tc>
        <w:tc>
          <w:tcPr>
            <w:tcW w:w="1276" w:type="dxa"/>
            <w:tcBorders>
              <w:top w:val="nil"/>
              <w:left w:val="nil"/>
              <w:bottom w:val="nil"/>
              <w:right w:val="nil"/>
            </w:tcBorders>
            <w:shd w:val="clear" w:color="auto" w:fill="407C9B"/>
            <w:tcMar>
              <w:top w:w="100" w:type="dxa"/>
              <w:left w:w="100" w:type="dxa"/>
              <w:bottom w:w="100" w:type="dxa"/>
              <w:right w:w="100" w:type="dxa"/>
            </w:tcMar>
            <w:vAlign w:val="center"/>
          </w:tcPr>
          <w:p w14:paraId="034F6AF4" w14:textId="28E48D17" w:rsidR="004B77F6" w:rsidRPr="00694ACA" w:rsidRDefault="004B77F6" w:rsidP="00221B49">
            <w:pPr>
              <w:keepNext/>
              <w:widowControl w:val="0"/>
              <w:pBdr>
                <w:top w:val="nil"/>
                <w:left w:val="nil"/>
                <w:bottom w:val="nil"/>
                <w:right w:val="nil"/>
                <w:between w:val="nil"/>
              </w:pBdr>
              <w:spacing w:after="0"/>
              <w:jc w:val="center"/>
              <w:rPr>
                <w:b/>
                <w:color w:val="FFFFFF" w:themeColor="background1"/>
                <w:sz w:val="18"/>
                <w:szCs w:val="20"/>
                <w:lang w:val="ru-RU"/>
              </w:rPr>
            </w:pPr>
            <w:r w:rsidRPr="00694ACA">
              <w:rPr>
                <w:b/>
                <w:color w:val="FFFFFF" w:themeColor="background1"/>
                <w:sz w:val="18"/>
                <w:szCs w:val="20"/>
                <w:lang w:val="ru-RU"/>
              </w:rPr>
              <w:t>2016</w:t>
            </w:r>
            <w:r w:rsidR="00CD4D96" w:rsidRPr="00694ACA">
              <w:rPr>
                <w:b/>
                <w:color w:val="FFFFFF" w:themeColor="background1"/>
                <w:sz w:val="18"/>
                <w:szCs w:val="20"/>
                <w:lang w:val="ru-RU"/>
              </w:rPr>
              <w:t xml:space="preserve"> г.</w:t>
            </w:r>
          </w:p>
        </w:tc>
        <w:tc>
          <w:tcPr>
            <w:tcW w:w="1275" w:type="dxa"/>
            <w:tcBorders>
              <w:top w:val="nil"/>
              <w:left w:val="nil"/>
              <w:bottom w:val="nil"/>
              <w:right w:val="nil"/>
            </w:tcBorders>
            <w:shd w:val="clear" w:color="auto" w:fill="407C9B"/>
            <w:tcMar>
              <w:top w:w="100" w:type="dxa"/>
              <w:left w:w="100" w:type="dxa"/>
              <w:bottom w:w="100" w:type="dxa"/>
              <w:right w:w="100" w:type="dxa"/>
            </w:tcMar>
            <w:vAlign w:val="center"/>
          </w:tcPr>
          <w:p w14:paraId="18C6D5DB" w14:textId="02CE0B23" w:rsidR="004B77F6" w:rsidRPr="00694ACA" w:rsidRDefault="004B77F6" w:rsidP="00221B49">
            <w:pPr>
              <w:keepNext/>
              <w:widowControl w:val="0"/>
              <w:pBdr>
                <w:top w:val="nil"/>
                <w:left w:val="nil"/>
                <w:bottom w:val="nil"/>
                <w:right w:val="nil"/>
                <w:between w:val="nil"/>
              </w:pBdr>
              <w:spacing w:after="0"/>
              <w:jc w:val="center"/>
              <w:rPr>
                <w:b/>
                <w:color w:val="FFFFFF" w:themeColor="background1"/>
                <w:sz w:val="18"/>
                <w:szCs w:val="20"/>
                <w:lang w:val="ru-RU"/>
              </w:rPr>
            </w:pPr>
            <w:r w:rsidRPr="00694ACA">
              <w:rPr>
                <w:b/>
                <w:color w:val="FFFFFF" w:themeColor="background1"/>
                <w:sz w:val="18"/>
                <w:szCs w:val="20"/>
                <w:lang w:val="ru-RU"/>
              </w:rPr>
              <w:t>2017</w:t>
            </w:r>
            <w:r w:rsidR="00CD4D96" w:rsidRPr="00694ACA">
              <w:rPr>
                <w:b/>
                <w:color w:val="FFFFFF" w:themeColor="background1"/>
                <w:sz w:val="18"/>
                <w:szCs w:val="20"/>
                <w:lang w:val="ru-RU"/>
              </w:rPr>
              <w:t xml:space="preserve"> г.</w:t>
            </w:r>
          </w:p>
        </w:tc>
        <w:tc>
          <w:tcPr>
            <w:tcW w:w="1276" w:type="dxa"/>
            <w:tcBorders>
              <w:top w:val="nil"/>
              <w:left w:val="nil"/>
              <w:bottom w:val="nil"/>
              <w:right w:val="nil"/>
            </w:tcBorders>
            <w:shd w:val="clear" w:color="auto" w:fill="407C9B"/>
            <w:tcMar>
              <w:top w:w="100" w:type="dxa"/>
              <w:left w:w="100" w:type="dxa"/>
              <w:bottom w:w="100" w:type="dxa"/>
              <w:right w:w="100" w:type="dxa"/>
            </w:tcMar>
            <w:vAlign w:val="center"/>
          </w:tcPr>
          <w:p w14:paraId="1F06E36B" w14:textId="5145134C" w:rsidR="004B77F6" w:rsidRPr="00694ACA" w:rsidRDefault="004B77F6" w:rsidP="00221B49">
            <w:pPr>
              <w:keepNext/>
              <w:widowControl w:val="0"/>
              <w:pBdr>
                <w:top w:val="nil"/>
                <w:left w:val="nil"/>
                <w:bottom w:val="nil"/>
                <w:right w:val="nil"/>
                <w:between w:val="nil"/>
              </w:pBdr>
              <w:spacing w:after="0"/>
              <w:jc w:val="center"/>
              <w:rPr>
                <w:b/>
                <w:color w:val="FFFFFF" w:themeColor="background1"/>
                <w:sz w:val="18"/>
                <w:szCs w:val="20"/>
                <w:lang w:val="ru-RU"/>
              </w:rPr>
            </w:pPr>
            <w:r w:rsidRPr="00694ACA">
              <w:rPr>
                <w:b/>
                <w:color w:val="FFFFFF" w:themeColor="background1"/>
                <w:sz w:val="18"/>
                <w:szCs w:val="20"/>
                <w:lang w:val="ru-RU"/>
              </w:rPr>
              <w:t>2018</w:t>
            </w:r>
            <w:r w:rsidR="00CD4D96" w:rsidRPr="00694ACA">
              <w:rPr>
                <w:b/>
                <w:color w:val="FFFFFF" w:themeColor="background1"/>
                <w:sz w:val="18"/>
                <w:szCs w:val="20"/>
                <w:lang w:val="ru-RU"/>
              </w:rPr>
              <w:t xml:space="preserve"> г.</w:t>
            </w:r>
          </w:p>
        </w:tc>
      </w:tr>
      <w:tr w:rsidR="004B77F6" w:rsidRPr="00694ACA" w14:paraId="52BB9E41" w14:textId="77777777" w:rsidTr="00CD4D96">
        <w:tc>
          <w:tcPr>
            <w:tcW w:w="4111" w:type="dxa"/>
            <w:tcBorders>
              <w:top w:val="nil"/>
              <w:left w:val="single" w:sz="4" w:space="0" w:color="FFFFFF"/>
              <w:bottom w:val="single" w:sz="4" w:space="0" w:color="FFFFFF"/>
              <w:right w:val="single" w:sz="4" w:space="0" w:color="FFFFFF"/>
            </w:tcBorders>
            <w:shd w:val="clear" w:color="auto" w:fill="F2F2F2" w:themeFill="background1" w:themeFillShade="F2"/>
            <w:tcMar>
              <w:top w:w="100" w:type="dxa"/>
              <w:left w:w="100" w:type="dxa"/>
              <w:bottom w:w="100" w:type="dxa"/>
              <w:right w:w="100" w:type="dxa"/>
            </w:tcMar>
          </w:tcPr>
          <w:p w14:paraId="079CCD11" w14:textId="77777777" w:rsidR="004B77F6" w:rsidRPr="00694ACA" w:rsidRDefault="004B77F6" w:rsidP="00221B49">
            <w:pPr>
              <w:keepNext/>
              <w:spacing w:after="0"/>
              <w:rPr>
                <w:b/>
                <w:bCs/>
                <w:color w:val="407C9B"/>
                <w:sz w:val="18"/>
                <w:szCs w:val="20"/>
                <w:lang w:val="ru-RU"/>
              </w:rPr>
            </w:pPr>
            <w:r w:rsidRPr="00694ACA">
              <w:rPr>
                <w:b/>
                <w:color w:val="407C9B"/>
                <w:sz w:val="18"/>
                <w:szCs w:val="20"/>
                <w:lang w:val="ru-RU"/>
              </w:rPr>
              <w:t>Количество загрузок бесплатных онлайн-публикаций МСЭ-R (миллионы)</w:t>
            </w:r>
          </w:p>
        </w:tc>
        <w:tc>
          <w:tcPr>
            <w:tcW w:w="1276" w:type="dxa"/>
            <w:tcBorders>
              <w:top w:val="nil"/>
              <w:left w:val="single" w:sz="4" w:space="0" w:color="FFFFFF"/>
              <w:bottom w:val="single" w:sz="4" w:space="0" w:color="FFFFFF"/>
              <w:right w:val="single" w:sz="4" w:space="0" w:color="FFFFFF"/>
            </w:tcBorders>
            <w:shd w:val="clear" w:color="auto" w:fill="F2F2F2" w:themeFill="background1" w:themeFillShade="F2"/>
            <w:tcMar>
              <w:top w:w="100" w:type="dxa"/>
              <w:left w:w="100" w:type="dxa"/>
              <w:bottom w:w="100" w:type="dxa"/>
              <w:right w:w="100" w:type="dxa"/>
            </w:tcMar>
          </w:tcPr>
          <w:p w14:paraId="2573C71D" w14:textId="77777777" w:rsidR="004B77F6" w:rsidRPr="00694ACA" w:rsidRDefault="004B77F6" w:rsidP="00221B49">
            <w:pPr>
              <w:keepNext/>
              <w:widowControl w:val="0"/>
              <w:pBdr>
                <w:top w:val="nil"/>
                <w:left w:val="nil"/>
                <w:bottom w:val="nil"/>
                <w:right w:val="nil"/>
                <w:between w:val="nil"/>
              </w:pBdr>
              <w:spacing w:after="0"/>
              <w:jc w:val="center"/>
              <w:rPr>
                <w:color w:val="407C9B"/>
                <w:sz w:val="18"/>
                <w:szCs w:val="20"/>
                <w:lang w:val="ru-RU"/>
              </w:rPr>
            </w:pPr>
            <w:r w:rsidRPr="00694ACA">
              <w:rPr>
                <w:color w:val="407C9B"/>
                <w:sz w:val="18"/>
                <w:szCs w:val="20"/>
                <w:lang w:val="ru-RU"/>
              </w:rPr>
              <w:t>0,9</w:t>
            </w:r>
          </w:p>
        </w:tc>
        <w:tc>
          <w:tcPr>
            <w:tcW w:w="1276" w:type="dxa"/>
            <w:tcBorders>
              <w:top w:val="nil"/>
              <w:left w:val="single" w:sz="4" w:space="0" w:color="FFFFFF"/>
              <w:bottom w:val="single" w:sz="4" w:space="0" w:color="FFFFFF"/>
              <w:right w:val="single" w:sz="4" w:space="0" w:color="FFFFFF"/>
            </w:tcBorders>
            <w:shd w:val="clear" w:color="auto" w:fill="F2F2F2" w:themeFill="background1" w:themeFillShade="F2"/>
            <w:tcMar>
              <w:top w:w="100" w:type="dxa"/>
              <w:left w:w="100" w:type="dxa"/>
              <w:bottom w:w="100" w:type="dxa"/>
              <w:right w:w="100" w:type="dxa"/>
            </w:tcMar>
          </w:tcPr>
          <w:p w14:paraId="65AA7761" w14:textId="77777777" w:rsidR="004B77F6" w:rsidRPr="00694ACA" w:rsidRDefault="004B77F6" w:rsidP="00221B49">
            <w:pPr>
              <w:keepNext/>
              <w:widowControl w:val="0"/>
              <w:pBdr>
                <w:top w:val="nil"/>
                <w:left w:val="nil"/>
                <w:bottom w:val="nil"/>
                <w:right w:val="nil"/>
                <w:between w:val="nil"/>
              </w:pBdr>
              <w:spacing w:after="0"/>
              <w:jc w:val="center"/>
              <w:rPr>
                <w:color w:val="407C9B"/>
                <w:sz w:val="18"/>
                <w:szCs w:val="20"/>
                <w:lang w:val="ru-RU"/>
              </w:rPr>
            </w:pPr>
            <w:r w:rsidRPr="00694ACA">
              <w:rPr>
                <w:color w:val="407C9B"/>
                <w:sz w:val="18"/>
                <w:szCs w:val="20"/>
                <w:lang w:val="ru-RU"/>
              </w:rPr>
              <w:t>1,0</w:t>
            </w:r>
          </w:p>
        </w:tc>
        <w:tc>
          <w:tcPr>
            <w:tcW w:w="1275" w:type="dxa"/>
            <w:tcBorders>
              <w:top w:val="nil"/>
              <w:left w:val="single" w:sz="4" w:space="0" w:color="FFFFFF"/>
              <w:bottom w:val="single" w:sz="4" w:space="0" w:color="FFFFFF"/>
              <w:right w:val="single" w:sz="4" w:space="0" w:color="FFFFFF"/>
            </w:tcBorders>
            <w:shd w:val="clear" w:color="auto" w:fill="F2F2F2" w:themeFill="background1" w:themeFillShade="F2"/>
            <w:tcMar>
              <w:top w:w="100" w:type="dxa"/>
              <w:left w:w="100" w:type="dxa"/>
              <w:bottom w:w="100" w:type="dxa"/>
              <w:right w:w="100" w:type="dxa"/>
            </w:tcMar>
          </w:tcPr>
          <w:p w14:paraId="57B2A7E4" w14:textId="77777777" w:rsidR="004B77F6" w:rsidRPr="00694ACA" w:rsidRDefault="004B77F6" w:rsidP="00221B49">
            <w:pPr>
              <w:keepNext/>
              <w:widowControl w:val="0"/>
              <w:pBdr>
                <w:top w:val="nil"/>
                <w:left w:val="nil"/>
                <w:bottom w:val="nil"/>
                <w:right w:val="nil"/>
                <w:between w:val="nil"/>
              </w:pBdr>
              <w:spacing w:after="0"/>
              <w:jc w:val="center"/>
              <w:rPr>
                <w:color w:val="407C9B"/>
                <w:sz w:val="18"/>
                <w:szCs w:val="20"/>
                <w:lang w:val="ru-RU"/>
              </w:rPr>
            </w:pPr>
            <w:r w:rsidRPr="00694ACA">
              <w:rPr>
                <w:color w:val="407C9B"/>
                <w:sz w:val="18"/>
                <w:szCs w:val="20"/>
                <w:lang w:val="ru-RU"/>
              </w:rPr>
              <w:t>1,7</w:t>
            </w:r>
          </w:p>
        </w:tc>
        <w:tc>
          <w:tcPr>
            <w:tcW w:w="1276" w:type="dxa"/>
            <w:tcBorders>
              <w:top w:val="nil"/>
              <w:left w:val="single" w:sz="4" w:space="0" w:color="FFFFFF"/>
              <w:bottom w:val="single" w:sz="4" w:space="0" w:color="FFFFFF"/>
              <w:right w:val="single" w:sz="4" w:space="0" w:color="FFFFFF"/>
            </w:tcBorders>
            <w:shd w:val="clear" w:color="auto" w:fill="F2F2F2" w:themeFill="background1" w:themeFillShade="F2"/>
            <w:tcMar>
              <w:top w:w="100" w:type="dxa"/>
              <w:left w:w="100" w:type="dxa"/>
              <w:bottom w:w="100" w:type="dxa"/>
              <w:right w:w="100" w:type="dxa"/>
            </w:tcMar>
          </w:tcPr>
          <w:p w14:paraId="7BDFC5FE" w14:textId="77777777" w:rsidR="004B77F6" w:rsidRPr="00694ACA" w:rsidRDefault="004B77F6" w:rsidP="00221B49">
            <w:pPr>
              <w:keepNext/>
              <w:widowControl w:val="0"/>
              <w:pBdr>
                <w:top w:val="nil"/>
                <w:left w:val="nil"/>
                <w:bottom w:val="nil"/>
                <w:right w:val="nil"/>
                <w:between w:val="nil"/>
              </w:pBdr>
              <w:spacing w:after="0"/>
              <w:jc w:val="center"/>
              <w:rPr>
                <w:color w:val="407C9B"/>
                <w:sz w:val="18"/>
                <w:szCs w:val="20"/>
                <w:lang w:val="ru-RU"/>
              </w:rPr>
            </w:pPr>
            <w:r w:rsidRPr="00694ACA">
              <w:rPr>
                <w:color w:val="407C9B"/>
                <w:sz w:val="18"/>
                <w:szCs w:val="20"/>
                <w:lang w:val="ru-RU"/>
              </w:rPr>
              <w:t>1,57</w:t>
            </w:r>
          </w:p>
        </w:tc>
      </w:tr>
      <w:tr w:rsidR="004B77F6" w:rsidRPr="00694ACA" w14:paraId="61AFA2F3" w14:textId="77777777" w:rsidTr="00CD4D96">
        <w:tc>
          <w:tcPr>
            <w:tcW w:w="4111"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100" w:type="dxa"/>
              <w:left w:w="100" w:type="dxa"/>
              <w:bottom w:w="100" w:type="dxa"/>
              <w:right w:w="100" w:type="dxa"/>
            </w:tcMar>
          </w:tcPr>
          <w:p w14:paraId="02B2FC8F" w14:textId="1C9CB5F8" w:rsidR="004B77F6" w:rsidRPr="00694ACA" w:rsidRDefault="004B77F6" w:rsidP="00F221C0">
            <w:pPr>
              <w:spacing w:after="0"/>
              <w:rPr>
                <w:b/>
                <w:bCs/>
                <w:color w:val="407C9B"/>
                <w:sz w:val="18"/>
                <w:szCs w:val="20"/>
                <w:lang w:val="ru-RU"/>
              </w:rPr>
            </w:pPr>
            <w:r w:rsidRPr="00694ACA">
              <w:rPr>
                <w:b/>
                <w:color w:val="407C9B"/>
                <w:sz w:val="18"/>
                <w:szCs w:val="20"/>
                <w:lang w:val="ru-RU"/>
              </w:rPr>
              <w:t xml:space="preserve">Количество мероприятий по </w:t>
            </w:r>
            <w:r w:rsidR="009421AE" w:rsidRPr="00694ACA">
              <w:rPr>
                <w:b/>
                <w:color w:val="407C9B"/>
                <w:sz w:val="18"/>
                <w:szCs w:val="20"/>
                <w:lang w:val="ru-RU"/>
              </w:rPr>
              <w:t>развитию потенциала</w:t>
            </w:r>
            <w:r w:rsidRPr="00694ACA">
              <w:rPr>
                <w:b/>
                <w:color w:val="407C9B"/>
                <w:sz w:val="18"/>
                <w:szCs w:val="20"/>
                <w:lang w:val="ru-RU"/>
              </w:rPr>
              <w:t>, организуемых/поддерживаемых БР (очных и виртуальных)</w:t>
            </w:r>
          </w:p>
        </w:tc>
        <w:tc>
          <w:tcPr>
            <w:tcW w:w="127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100" w:type="dxa"/>
              <w:left w:w="100" w:type="dxa"/>
              <w:bottom w:w="100" w:type="dxa"/>
              <w:right w:w="100" w:type="dxa"/>
            </w:tcMar>
          </w:tcPr>
          <w:p w14:paraId="278F9E5E" w14:textId="77777777" w:rsidR="004B77F6" w:rsidRPr="00694ACA" w:rsidRDefault="004B77F6" w:rsidP="00CD4D96">
            <w:pPr>
              <w:widowControl w:val="0"/>
              <w:pBdr>
                <w:top w:val="nil"/>
                <w:left w:val="nil"/>
                <w:bottom w:val="nil"/>
                <w:right w:val="nil"/>
                <w:between w:val="nil"/>
              </w:pBdr>
              <w:spacing w:after="0"/>
              <w:jc w:val="center"/>
              <w:rPr>
                <w:color w:val="407C9B"/>
                <w:sz w:val="18"/>
                <w:szCs w:val="20"/>
                <w:lang w:val="ru-RU"/>
              </w:rPr>
            </w:pPr>
            <w:r w:rsidRPr="00694ACA">
              <w:rPr>
                <w:color w:val="407C9B"/>
                <w:sz w:val="18"/>
                <w:szCs w:val="20"/>
                <w:lang w:val="ru-RU"/>
              </w:rPr>
              <w:t>25</w:t>
            </w:r>
          </w:p>
        </w:tc>
        <w:tc>
          <w:tcPr>
            <w:tcW w:w="127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100" w:type="dxa"/>
              <w:left w:w="100" w:type="dxa"/>
              <w:bottom w:w="100" w:type="dxa"/>
              <w:right w:w="100" w:type="dxa"/>
            </w:tcMar>
          </w:tcPr>
          <w:p w14:paraId="4BBB3A44" w14:textId="77777777" w:rsidR="004B77F6" w:rsidRPr="00694ACA" w:rsidRDefault="004B77F6" w:rsidP="00CD4D96">
            <w:pPr>
              <w:widowControl w:val="0"/>
              <w:pBdr>
                <w:top w:val="nil"/>
                <w:left w:val="nil"/>
                <w:bottom w:val="nil"/>
                <w:right w:val="nil"/>
                <w:between w:val="nil"/>
              </w:pBdr>
              <w:spacing w:after="0"/>
              <w:jc w:val="center"/>
              <w:rPr>
                <w:color w:val="407C9B"/>
                <w:sz w:val="18"/>
                <w:szCs w:val="20"/>
                <w:lang w:val="ru-RU"/>
              </w:rPr>
            </w:pPr>
            <w:r w:rsidRPr="00694ACA">
              <w:rPr>
                <w:color w:val="407C9B"/>
                <w:sz w:val="18"/>
                <w:szCs w:val="20"/>
                <w:lang w:val="ru-RU"/>
              </w:rPr>
              <w:t>38</w:t>
            </w:r>
          </w:p>
        </w:tc>
        <w:tc>
          <w:tcPr>
            <w:tcW w:w="1275"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100" w:type="dxa"/>
              <w:left w:w="100" w:type="dxa"/>
              <w:bottom w:w="100" w:type="dxa"/>
              <w:right w:w="100" w:type="dxa"/>
            </w:tcMar>
          </w:tcPr>
          <w:p w14:paraId="68B7236F" w14:textId="77777777" w:rsidR="004B77F6" w:rsidRPr="00694ACA" w:rsidRDefault="004B77F6" w:rsidP="00CD4D96">
            <w:pPr>
              <w:widowControl w:val="0"/>
              <w:pBdr>
                <w:top w:val="nil"/>
                <w:left w:val="nil"/>
                <w:bottom w:val="nil"/>
                <w:right w:val="nil"/>
                <w:between w:val="nil"/>
              </w:pBdr>
              <w:spacing w:after="0"/>
              <w:jc w:val="center"/>
              <w:rPr>
                <w:color w:val="407C9B"/>
                <w:sz w:val="18"/>
                <w:szCs w:val="20"/>
                <w:lang w:val="ru-RU"/>
              </w:rPr>
            </w:pPr>
            <w:r w:rsidRPr="00694ACA">
              <w:rPr>
                <w:color w:val="407C9B"/>
                <w:sz w:val="18"/>
                <w:szCs w:val="20"/>
                <w:lang w:val="ru-RU"/>
              </w:rPr>
              <w:t>37</w:t>
            </w:r>
          </w:p>
        </w:tc>
        <w:tc>
          <w:tcPr>
            <w:tcW w:w="127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100" w:type="dxa"/>
              <w:left w:w="100" w:type="dxa"/>
              <w:bottom w:w="100" w:type="dxa"/>
              <w:right w:w="100" w:type="dxa"/>
            </w:tcMar>
          </w:tcPr>
          <w:p w14:paraId="54D74645" w14:textId="77777777" w:rsidR="004B77F6" w:rsidRPr="00694ACA" w:rsidRDefault="004B77F6" w:rsidP="00CD4D96">
            <w:pPr>
              <w:widowControl w:val="0"/>
              <w:pBdr>
                <w:top w:val="nil"/>
                <w:left w:val="nil"/>
                <w:bottom w:val="nil"/>
                <w:right w:val="nil"/>
                <w:between w:val="nil"/>
              </w:pBdr>
              <w:spacing w:after="0"/>
              <w:jc w:val="center"/>
              <w:rPr>
                <w:color w:val="407C9B"/>
                <w:sz w:val="18"/>
                <w:szCs w:val="20"/>
                <w:lang w:val="ru-RU"/>
              </w:rPr>
            </w:pPr>
            <w:r w:rsidRPr="00694ACA">
              <w:rPr>
                <w:color w:val="407C9B"/>
                <w:sz w:val="18"/>
                <w:szCs w:val="20"/>
                <w:lang w:val="ru-RU"/>
              </w:rPr>
              <w:t>34</w:t>
            </w:r>
          </w:p>
        </w:tc>
      </w:tr>
      <w:tr w:rsidR="004B77F6" w:rsidRPr="00694ACA" w14:paraId="4C01751D" w14:textId="77777777" w:rsidTr="00CD4D96">
        <w:tc>
          <w:tcPr>
            <w:tcW w:w="4111"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100" w:type="dxa"/>
              <w:left w:w="100" w:type="dxa"/>
              <w:bottom w:w="100" w:type="dxa"/>
              <w:right w:w="100" w:type="dxa"/>
            </w:tcMar>
          </w:tcPr>
          <w:p w14:paraId="2A0B34F9" w14:textId="19A756F6" w:rsidR="004B77F6" w:rsidRPr="00694ACA" w:rsidRDefault="004B77F6" w:rsidP="00F221C0">
            <w:pPr>
              <w:spacing w:after="0"/>
              <w:rPr>
                <w:b/>
                <w:bCs/>
                <w:color w:val="407C9B"/>
                <w:sz w:val="18"/>
                <w:szCs w:val="20"/>
                <w:lang w:val="ru-RU"/>
              </w:rPr>
            </w:pPr>
            <w:r w:rsidRPr="00694ACA">
              <w:rPr>
                <w:b/>
                <w:color w:val="407C9B"/>
                <w:sz w:val="18"/>
                <w:szCs w:val="20"/>
                <w:lang w:val="ru-RU"/>
              </w:rPr>
              <w:t xml:space="preserve">Количество участников мероприятий по </w:t>
            </w:r>
            <w:r w:rsidR="009421AE" w:rsidRPr="00694ACA">
              <w:rPr>
                <w:b/>
                <w:color w:val="407C9B"/>
                <w:sz w:val="18"/>
                <w:szCs w:val="20"/>
                <w:lang w:val="ru-RU"/>
              </w:rPr>
              <w:t>развитию потенциала</w:t>
            </w:r>
            <w:r w:rsidRPr="00694ACA">
              <w:rPr>
                <w:b/>
                <w:color w:val="407C9B"/>
                <w:sz w:val="18"/>
                <w:szCs w:val="20"/>
                <w:lang w:val="ru-RU"/>
              </w:rPr>
              <w:t>, организуемых/поддерживаемых МСЭ/БР (совокупно за период между двумя ВКР)</w:t>
            </w:r>
          </w:p>
        </w:tc>
        <w:tc>
          <w:tcPr>
            <w:tcW w:w="127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100" w:type="dxa"/>
              <w:left w:w="100" w:type="dxa"/>
              <w:bottom w:w="100" w:type="dxa"/>
              <w:right w:w="100" w:type="dxa"/>
            </w:tcMar>
          </w:tcPr>
          <w:p w14:paraId="0AFBEF21" w14:textId="77777777" w:rsidR="004B77F6" w:rsidRPr="00694ACA" w:rsidRDefault="004B77F6" w:rsidP="00CD4D96">
            <w:pPr>
              <w:widowControl w:val="0"/>
              <w:pBdr>
                <w:top w:val="nil"/>
                <w:left w:val="nil"/>
                <w:bottom w:val="nil"/>
                <w:right w:val="nil"/>
                <w:between w:val="nil"/>
              </w:pBdr>
              <w:spacing w:after="0"/>
              <w:jc w:val="center"/>
              <w:rPr>
                <w:color w:val="407C9B"/>
                <w:sz w:val="18"/>
                <w:szCs w:val="20"/>
                <w:lang w:val="ru-RU"/>
              </w:rPr>
            </w:pPr>
            <w:r w:rsidRPr="00694ACA">
              <w:rPr>
                <w:color w:val="407C9B"/>
                <w:sz w:val="18"/>
                <w:szCs w:val="20"/>
                <w:lang w:val="ru-RU"/>
              </w:rPr>
              <w:t>1518</w:t>
            </w:r>
          </w:p>
        </w:tc>
        <w:tc>
          <w:tcPr>
            <w:tcW w:w="127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100" w:type="dxa"/>
              <w:left w:w="100" w:type="dxa"/>
              <w:bottom w:w="100" w:type="dxa"/>
              <w:right w:w="100" w:type="dxa"/>
            </w:tcMar>
          </w:tcPr>
          <w:p w14:paraId="7E118114" w14:textId="77777777" w:rsidR="004B77F6" w:rsidRPr="00694ACA" w:rsidRDefault="004B77F6" w:rsidP="00CD4D96">
            <w:pPr>
              <w:widowControl w:val="0"/>
              <w:pBdr>
                <w:top w:val="nil"/>
                <w:left w:val="nil"/>
                <w:bottom w:val="nil"/>
                <w:right w:val="nil"/>
                <w:between w:val="nil"/>
              </w:pBdr>
              <w:spacing w:after="0"/>
              <w:jc w:val="center"/>
              <w:rPr>
                <w:color w:val="407C9B"/>
                <w:sz w:val="18"/>
                <w:szCs w:val="20"/>
                <w:lang w:val="ru-RU"/>
              </w:rPr>
            </w:pPr>
            <w:r w:rsidRPr="00694ACA">
              <w:rPr>
                <w:color w:val="407C9B"/>
                <w:sz w:val="18"/>
                <w:szCs w:val="20"/>
                <w:lang w:val="ru-RU"/>
              </w:rPr>
              <w:t>737</w:t>
            </w:r>
          </w:p>
        </w:tc>
        <w:tc>
          <w:tcPr>
            <w:tcW w:w="1275"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100" w:type="dxa"/>
              <w:left w:w="100" w:type="dxa"/>
              <w:bottom w:w="100" w:type="dxa"/>
              <w:right w:w="100" w:type="dxa"/>
            </w:tcMar>
          </w:tcPr>
          <w:p w14:paraId="0091D009" w14:textId="77777777" w:rsidR="004B77F6" w:rsidRPr="00694ACA" w:rsidRDefault="004B77F6" w:rsidP="00CD4D96">
            <w:pPr>
              <w:widowControl w:val="0"/>
              <w:pBdr>
                <w:top w:val="nil"/>
                <w:left w:val="nil"/>
                <w:bottom w:val="nil"/>
                <w:right w:val="nil"/>
                <w:between w:val="nil"/>
              </w:pBdr>
              <w:spacing w:after="0"/>
              <w:jc w:val="center"/>
              <w:rPr>
                <w:color w:val="407C9B"/>
                <w:sz w:val="18"/>
                <w:szCs w:val="20"/>
                <w:lang w:val="ru-RU"/>
              </w:rPr>
            </w:pPr>
            <w:r w:rsidRPr="00694ACA">
              <w:rPr>
                <w:color w:val="407C9B"/>
                <w:sz w:val="18"/>
                <w:szCs w:val="20"/>
                <w:lang w:val="ru-RU"/>
              </w:rPr>
              <w:t>1363</w:t>
            </w:r>
          </w:p>
        </w:tc>
        <w:tc>
          <w:tcPr>
            <w:tcW w:w="127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100" w:type="dxa"/>
              <w:left w:w="100" w:type="dxa"/>
              <w:bottom w:w="100" w:type="dxa"/>
              <w:right w:w="100" w:type="dxa"/>
            </w:tcMar>
          </w:tcPr>
          <w:p w14:paraId="74E68ECE" w14:textId="77777777" w:rsidR="004B77F6" w:rsidRPr="00694ACA" w:rsidRDefault="004B77F6" w:rsidP="00CD4D96">
            <w:pPr>
              <w:widowControl w:val="0"/>
              <w:pBdr>
                <w:top w:val="nil"/>
                <w:left w:val="nil"/>
                <w:bottom w:val="nil"/>
                <w:right w:val="nil"/>
                <w:between w:val="nil"/>
              </w:pBdr>
              <w:spacing w:after="0"/>
              <w:jc w:val="center"/>
              <w:rPr>
                <w:color w:val="407C9B"/>
                <w:sz w:val="18"/>
                <w:szCs w:val="20"/>
                <w:lang w:val="ru-RU"/>
              </w:rPr>
            </w:pPr>
            <w:r w:rsidRPr="00694ACA">
              <w:rPr>
                <w:color w:val="407C9B"/>
                <w:sz w:val="18"/>
                <w:szCs w:val="20"/>
                <w:lang w:val="ru-RU"/>
              </w:rPr>
              <w:t>669</w:t>
            </w:r>
          </w:p>
        </w:tc>
      </w:tr>
      <w:tr w:rsidR="004B77F6" w:rsidRPr="00694ACA" w14:paraId="15DA95F9" w14:textId="77777777" w:rsidTr="00CD4D96">
        <w:tc>
          <w:tcPr>
            <w:tcW w:w="4111"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100" w:type="dxa"/>
              <w:left w:w="100" w:type="dxa"/>
              <w:bottom w:w="100" w:type="dxa"/>
              <w:right w:w="100" w:type="dxa"/>
            </w:tcMar>
          </w:tcPr>
          <w:p w14:paraId="6EF6BDB6" w14:textId="77777777" w:rsidR="004B77F6" w:rsidRPr="00694ACA" w:rsidRDefault="004B77F6" w:rsidP="00F221C0">
            <w:pPr>
              <w:spacing w:after="0"/>
              <w:rPr>
                <w:b/>
                <w:bCs/>
                <w:color w:val="407C9B"/>
                <w:sz w:val="18"/>
                <w:szCs w:val="20"/>
                <w:lang w:val="ru-RU"/>
              </w:rPr>
            </w:pPr>
            <w:r w:rsidRPr="00694ACA">
              <w:rPr>
                <w:b/>
                <w:color w:val="407C9B"/>
                <w:sz w:val="18"/>
                <w:szCs w:val="20"/>
                <w:lang w:val="ru-RU"/>
              </w:rPr>
              <w:t>Количество мероприятий по технической поддержке с участием БР</w:t>
            </w:r>
          </w:p>
        </w:tc>
        <w:tc>
          <w:tcPr>
            <w:tcW w:w="127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100" w:type="dxa"/>
              <w:left w:w="100" w:type="dxa"/>
              <w:bottom w:w="100" w:type="dxa"/>
              <w:right w:w="100" w:type="dxa"/>
            </w:tcMar>
          </w:tcPr>
          <w:p w14:paraId="0AD8E9B4" w14:textId="77777777" w:rsidR="004B77F6" w:rsidRPr="00694ACA" w:rsidRDefault="004B77F6" w:rsidP="00CD4D96">
            <w:pPr>
              <w:widowControl w:val="0"/>
              <w:pBdr>
                <w:top w:val="nil"/>
                <w:left w:val="nil"/>
                <w:bottom w:val="nil"/>
                <w:right w:val="nil"/>
                <w:between w:val="nil"/>
              </w:pBdr>
              <w:spacing w:after="0"/>
              <w:jc w:val="center"/>
              <w:rPr>
                <w:color w:val="407C9B"/>
                <w:sz w:val="18"/>
                <w:szCs w:val="20"/>
                <w:lang w:val="ru-RU"/>
              </w:rPr>
            </w:pPr>
            <w:r w:rsidRPr="00694ACA">
              <w:rPr>
                <w:color w:val="407C9B"/>
                <w:sz w:val="18"/>
                <w:szCs w:val="20"/>
                <w:lang w:val="ru-RU"/>
              </w:rPr>
              <w:t>93</w:t>
            </w:r>
          </w:p>
        </w:tc>
        <w:tc>
          <w:tcPr>
            <w:tcW w:w="127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100" w:type="dxa"/>
              <w:left w:w="100" w:type="dxa"/>
              <w:bottom w:w="100" w:type="dxa"/>
              <w:right w:w="100" w:type="dxa"/>
            </w:tcMar>
          </w:tcPr>
          <w:p w14:paraId="3E8A5829" w14:textId="77777777" w:rsidR="004B77F6" w:rsidRPr="00694ACA" w:rsidRDefault="004B77F6" w:rsidP="00CD4D96">
            <w:pPr>
              <w:widowControl w:val="0"/>
              <w:pBdr>
                <w:top w:val="nil"/>
                <w:left w:val="nil"/>
                <w:bottom w:val="nil"/>
                <w:right w:val="nil"/>
                <w:between w:val="nil"/>
              </w:pBdr>
              <w:spacing w:after="0"/>
              <w:jc w:val="center"/>
              <w:rPr>
                <w:color w:val="407C9B"/>
                <w:sz w:val="18"/>
                <w:szCs w:val="20"/>
                <w:lang w:val="ru-RU"/>
              </w:rPr>
            </w:pPr>
            <w:r w:rsidRPr="00694ACA">
              <w:rPr>
                <w:color w:val="407C9B"/>
                <w:sz w:val="18"/>
                <w:szCs w:val="20"/>
                <w:lang w:val="ru-RU"/>
              </w:rPr>
              <w:t>100</w:t>
            </w:r>
          </w:p>
        </w:tc>
        <w:tc>
          <w:tcPr>
            <w:tcW w:w="1275"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100" w:type="dxa"/>
              <w:left w:w="100" w:type="dxa"/>
              <w:bottom w:w="100" w:type="dxa"/>
              <w:right w:w="100" w:type="dxa"/>
            </w:tcMar>
          </w:tcPr>
          <w:p w14:paraId="5C64F875" w14:textId="77777777" w:rsidR="004B77F6" w:rsidRPr="00694ACA" w:rsidRDefault="004B77F6" w:rsidP="00CD4D96">
            <w:pPr>
              <w:widowControl w:val="0"/>
              <w:pBdr>
                <w:top w:val="nil"/>
                <w:left w:val="nil"/>
                <w:bottom w:val="nil"/>
                <w:right w:val="nil"/>
                <w:between w:val="nil"/>
              </w:pBdr>
              <w:spacing w:after="0"/>
              <w:jc w:val="center"/>
              <w:rPr>
                <w:color w:val="407C9B"/>
                <w:sz w:val="18"/>
                <w:szCs w:val="20"/>
                <w:lang w:val="ru-RU"/>
              </w:rPr>
            </w:pPr>
            <w:r w:rsidRPr="00694ACA">
              <w:rPr>
                <w:color w:val="407C9B"/>
                <w:sz w:val="18"/>
                <w:szCs w:val="20"/>
                <w:lang w:val="ru-RU"/>
              </w:rPr>
              <w:t>111</w:t>
            </w:r>
          </w:p>
        </w:tc>
        <w:tc>
          <w:tcPr>
            <w:tcW w:w="127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100" w:type="dxa"/>
              <w:left w:w="100" w:type="dxa"/>
              <w:bottom w:w="100" w:type="dxa"/>
              <w:right w:w="100" w:type="dxa"/>
            </w:tcMar>
          </w:tcPr>
          <w:p w14:paraId="289C78FF" w14:textId="77777777" w:rsidR="004B77F6" w:rsidRPr="00694ACA" w:rsidRDefault="004B77F6" w:rsidP="00CD4D96">
            <w:pPr>
              <w:widowControl w:val="0"/>
              <w:pBdr>
                <w:top w:val="nil"/>
                <w:left w:val="nil"/>
                <w:bottom w:val="nil"/>
                <w:right w:val="nil"/>
                <w:between w:val="nil"/>
              </w:pBdr>
              <w:spacing w:after="0"/>
              <w:jc w:val="center"/>
              <w:rPr>
                <w:color w:val="407C9B"/>
                <w:sz w:val="18"/>
                <w:szCs w:val="20"/>
                <w:lang w:val="ru-RU"/>
              </w:rPr>
            </w:pPr>
            <w:r w:rsidRPr="00694ACA">
              <w:rPr>
                <w:color w:val="407C9B"/>
                <w:sz w:val="18"/>
                <w:szCs w:val="20"/>
                <w:lang w:val="ru-RU"/>
              </w:rPr>
              <w:t>110</w:t>
            </w:r>
          </w:p>
        </w:tc>
      </w:tr>
      <w:tr w:rsidR="004B77F6" w:rsidRPr="00694ACA" w14:paraId="7C0B9627" w14:textId="77777777" w:rsidTr="00CD4D96">
        <w:tc>
          <w:tcPr>
            <w:tcW w:w="4111"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100" w:type="dxa"/>
              <w:left w:w="100" w:type="dxa"/>
              <w:bottom w:w="100" w:type="dxa"/>
              <w:right w:w="100" w:type="dxa"/>
            </w:tcMar>
          </w:tcPr>
          <w:p w14:paraId="7DB821EF" w14:textId="77777777" w:rsidR="004B77F6" w:rsidRPr="00694ACA" w:rsidRDefault="004B77F6" w:rsidP="00F221C0">
            <w:pPr>
              <w:spacing w:after="0"/>
              <w:rPr>
                <w:b/>
                <w:bCs/>
                <w:color w:val="407C9B"/>
                <w:sz w:val="18"/>
                <w:szCs w:val="20"/>
                <w:lang w:val="ru-RU"/>
              </w:rPr>
            </w:pPr>
            <w:r w:rsidRPr="00694ACA">
              <w:rPr>
                <w:b/>
                <w:color w:val="407C9B"/>
                <w:sz w:val="18"/>
                <w:szCs w:val="20"/>
                <w:lang w:val="ru-RU"/>
              </w:rPr>
              <w:t>Количество стран, получающих техническую поддержку БР</w:t>
            </w:r>
          </w:p>
        </w:tc>
        <w:tc>
          <w:tcPr>
            <w:tcW w:w="127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100" w:type="dxa"/>
              <w:left w:w="100" w:type="dxa"/>
              <w:bottom w:w="100" w:type="dxa"/>
              <w:right w:w="100" w:type="dxa"/>
            </w:tcMar>
          </w:tcPr>
          <w:p w14:paraId="1BFABBAC" w14:textId="77777777" w:rsidR="004B77F6" w:rsidRPr="00694ACA" w:rsidRDefault="004B77F6" w:rsidP="00CD4D96">
            <w:pPr>
              <w:widowControl w:val="0"/>
              <w:pBdr>
                <w:top w:val="nil"/>
                <w:left w:val="nil"/>
                <w:bottom w:val="nil"/>
                <w:right w:val="nil"/>
                <w:between w:val="nil"/>
              </w:pBdr>
              <w:spacing w:after="0"/>
              <w:jc w:val="center"/>
              <w:rPr>
                <w:color w:val="407C9B"/>
                <w:sz w:val="18"/>
                <w:szCs w:val="20"/>
                <w:lang w:val="ru-RU"/>
              </w:rPr>
            </w:pPr>
            <w:r w:rsidRPr="00694ACA">
              <w:rPr>
                <w:color w:val="407C9B"/>
                <w:sz w:val="18"/>
                <w:szCs w:val="20"/>
                <w:lang w:val="ru-RU"/>
              </w:rPr>
              <w:t>78</w:t>
            </w:r>
          </w:p>
        </w:tc>
        <w:tc>
          <w:tcPr>
            <w:tcW w:w="127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100" w:type="dxa"/>
              <w:left w:w="100" w:type="dxa"/>
              <w:bottom w:w="100" w:type="dxa"/>
              <w:right w:w="100" w:type="dxa"/>
            </w:tcMar>
          </w:tcPr>
          <w:p w14:paraId="7CFE740C" w14:textId="77777777" w:rsidR="004B77F6" w:rsidRPr="00694ACA" w:rsidRDefault="004B77F6" w:rsidP="00CD4D96">
            <w:pPr>
              <w:widowControl w:val="0"/>
              <w:pBdr>
                <w:top w:val="nil"/>
                <w:left w:val="nil"/>
                <w:bottom w:val="nil"/>
                <w:right w:val="nil"/>
                <w:between w:val="nil"/>
              </w:pBdr>
              <w:spacing w:after="0"/>
              <w:jc w:val="center"/>
              <w:rPr>
                <w:color w:val="407C9B"/>
                <w:sz w:val="18"/>
                <w:szCs w:val="20"/>
                <w:lang w:val="ru-RU"/>
              </w:rPr>
            </w:pPr>
            <w:r w:rsidRPr="00694ACA">
              <w:rPr>
                <w:color w:val="407C9B"/>
                <w:sz w:val="18"/>
                <w:szCs w:val="20"/>
                <w:lang w:val="ru-RU"/>
              </w:rPr>
              <w:t>61</w:t>
            </w:r>
          </w:p>
        </w:tc>
        <w:tc>
          <w:tcPr>
            <w:tcW w:w="1275"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100" w:type="dxa"/>
              <w:left w:w="100" w:type="dxa"/>
              <w:bottom w:w="100" w:type="dxa"/>
              <w:right w:w="100" w:type="dxa"/>
            </w:tcMar>
          </w:tcPr>
          <w:p w14:paraId="48B6E3E6" w14:textId="77777777" w:rsidR="004B77F6" w:rsidRPr="00694ACA" w:rsidRDefault="004B77F6" w:rsidP="00CD4D96">
            <w:pPr>
              <w:widowControl w:val="0"/>
              <w:pBdr>
                <w:top w:val="nil"/>
                <w:left w:val="nil"/>
                <w:bottom w:val="nil"/>
                <w:right w:val="nil"/>
                <w:between w:val="nil"/>
              </w:pBdr>
              <w:spacing w:after="0"/>
              <w:jc w:val="center"/>
              <w:rPr>
                <w:color w:val="407C9B"/>
                <w:sz w:val="18"/>
                <w:szCs w:val="20"/>
                <w:lang w:val="ru-RU"/>
              </w:rPr>
            </w:pPr>
            <w:r w:rsidRPr="00694ACA">
              <w:rPr>
                <w:color w:val="407C9B"/>
                <w:sz w:val="18"/>
                <w:szCs w:val="20"/>
                <w:lang w:val="ru-RU"/>
              </w:rPr>
              <w:t>62</w:t>
            </w:r>
          </w:p>
        </w:tc>
        <w:tc>
          <w:tcPr>
            <w:tcW w:w="127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100" w:type="dxa"/>
              <w:left w:w="100" w:type="dxa"/>
              <w:bottom w:w="100" w:type="dxa"/>
              <w:right w:w="100" w:type="dxa"/>
            </w:tcMar>
          </w:tcPr>
          <w:p w14:paraId="2B51CBFE" w14:textId="77777777" w:rsidR="004B77F6" w:rsidRPr="00694ACA" w:rsidRDefault="004B77F6" w:rsidP="00CD4D96">
            <w:pPr>
              <w:widowControl w:val="0"/>
              <w:pBdr>
                <w:top w:val="nil"/>
                <w:left w:val="nil"/>
                <w:bottom w:val="nil"/>
                <w:right w:val="nil"/>
                <w:between w:val="nil"/>
              </w:pBdr>
              <w:spacing w:after="0"/>
              <w:jc w:val="center"/>
              <w:rPr>
                <w:color w:val="407C9B"/>
                <w:sz w:val="18"/>
                <w:szCs w:val="20"/>
                <w:lang w:val="ru-RU"/>
              </w:rPr>
            </w:pPr>
            <w:r w:rsidRPr="00694ACA">
              <w:rPr>
                <w:color w:val="407C9B"/>
                <w:sz w:val="18"/>
                <w:szCs w:val="20"/>
                <w:lang w:val="ru-RU"/>
              </w:rPr>
              <w:t>74</w:t>
            </w:r>
          </w:p>
        </w:tc>
      </w:tr>
      <w:tr w:rsidR="004B77F6" w:rsidRPr="00694ACA" w14:paraId="6D7D5D25" w14:textId="77777777" w:rsidTr="00CD4D96">
        <w:trPr>
          <w:trHeight w:val="1335"/>
        </w:trPr>
        <w:tc>
          <w:tcPr>
            <w:tcW w:w="4111"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100" w:type="dxa"/>
              <w:left w:w="100" w:type="dxa"/>
              <w:bottom w:w="100" w:type="dxa"/>
              <w:right w:w="100" w:type="dxa"/>
            </w:tcMar>
          </w:tcPr>
          <w:p w14:paraId="638C4FED" w14:textId="77777777" w:rsidR="004B77F6" w:rsidRPr="00694ACA" w:rsidRDefault="004B77F6" w:rsidP="00F221C0">
            <w:pPr>
              <w:spacing w:after="0"/>
              <w:rPr>
                <w:b/>
                <w:bCs/>
                <w:color w:val="407C9B"/>
                <w:sz w:val="18"/>
                <w:szCs w:val="20"/>
                <w:lang w:val="ru-RU"/>
              </w:rPr>
            </w:pPr>
            <w:r w:rsidRPr="00694ACA">
              <w:rPr>
                <w:b/>
                <w:color w:val="407C9B"/>
                <w:sz w:val="18"/>
                <w:szCs w:val="20"/>
                <w:lang w:val="ru-RU"/>
              </w:rPr>
              <w:lastRenderedPageBreak/>
              <w:t>Количество участников/мероприятий на конференциях МСЭ-R, ассамблеях и собраниях в рамках Исследовательских комиссий (очных и виртуальных):</w:t>
            </w:r>
          </w:p>
        </w:tc>
        <w:tc>
          <w:tcPr>
            <w:tcW w:w="127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100" w:type="dxa"/>
              <w:left w:w="100" w:type="dxa"/>
              <w:bottom w:w="100" w:type="dxa"/>
              <w:right w:w="100" w:type="dxa"/>
            </w:tcMar>
          </w:tcPr>
          <w:p w14:paraId="18E31762" w14:textId="77777777" w:rsidR="004B77F6" w:rsidRPr="00694ACA" w:rsidRDefault="004B77F6" w:rsidP="00CD4D96">
            <w:pPr>
              <w:jc w:val="center"/>
              <w:rPr>
                <w:color w:val="407C9B"/>
                <w:sz w:val="18"/>
                <w:szCs w:val="20"/>
                <w:lang w:val="ru-RU"/>
              </w:rPr>
            </w:pPr>
            <w:r w:rsidRPr="00694ACA">
              <w:rPr>
                <w:color w:val="407C9B"/>
                <w:sz w:val="18"/>
                <w:szCs w:val="20"/>
                <w:lang w:val="ru-RU"/>
              </w:rPr>
              <w:t>8972/38</w:t>
            </w:r>
          </w:p>
        </w:tc>
        <w:tc>
          <w:tcPr>
            <w:tcW w:w="127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100" w:type="dxa"/>
              <w:left w:w="100" w:type="dxa"/>
              <w:bottom w:w="100" w:type="dxa"/>
              <w:right w:w="100" w:type="dxa"/>
            </w:tcMar>
          </w:tcPr>
          <w:p w14:paraId="5B04CDBC" w14:textId="77777777" w:rsidR="004B77F6" w:rsidRPr="00694ACA" w:rsidRDefault="004B77F6" w:rsidP="00CD4D96">
            <w:pPr>
              <w:jc w:val="center"/>
              <w:rPr>
                <w:color w:val="407C9B"/>
                <w:sz w:val="18"/>
                <w:szCs w:val="20"/>
                <w:lang w:val="ru-RU"/>
              </w:rPr>
            </w:pPr>
            <w:r w:rsidRPr="00694ACA">
              <w:rPr>
                <w:color w:val="407C9B"/>
                <w:sz w:val="18"/>
                <w:szCs w:val="20"/>
                <w:lang w:val="ru-RU"/>
              </w:rPr>
              <w:t>6042/48</w:t>
            </w:r>
          </w:p>
        </w:tc>
        <w:tc>
          <w:tcPr>
            <w:tcW w:w="1275"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100" w:type="dxa"/>
              <w:left w:w="100" w:type="dxa"/>
              <w:bottom w:w="100" w:type="dxa"/>
              <w:right w:w="100" w:type="dxa"/>
            </w:tcMar>
          </w:tcPr>
          <w:p w14:paraId="62559BE8" w14:textId="77777777" w:rsidR="004B77F6" w:rsidRPr="00694ACA" w:rsidRDefault="004B77F6" w:rsidP="00CD4D96">
            <w:pPr>
              <w:jc w:val="center"/>
              <w:rPr>
                <w:color w:val="407C9B"/>
                <w:sz w:val="18"/>
                <w:szCs w:val="20"/>
                <w:lang w:val="ru-RU"/>
              </w:rPr>
            </w:pPr>
            <w:r w:rsidRPr="00694ACA">
              <w:rPr>
                <w:color w:val="407C9B"/>
                <w:sz w:val="18"/>
                <w:szCs w:val="20"/>
                <w:lang w:val="ru-RU"/>
              </w:rPr>
              <w:t>7061/52</w:t>
            </w:r>
          </w:p>
        </w:tc>
        <w:tc>
          <w:tcPr>
            <w:tcW w:w="127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100" w:type="dxa"/>
              <w:left w:w="100" w:type="dxa"/>
              <w:bottom w:w="100" w:type="dxa"/>
              <w:right w:w="100" w:type="dxa"/>
            </w:tcMar>
          </w:tcPr>
          <w:p w14:paraId="1D8E0C5F" w14:textId="6202226C" w:rsidR="004B77F6" w:rsidRPr="00694ACA" w:rsidRDefault="004B77F6" w:rsidP="00CD4D96">
            <w:pPr>
              <w:jc w:val="center"/>
              <w:rPr>
                <w:color w:val="407C9B"/>
                <w:sz w:val="18"/>
                <w:szCs w:val="20"/>
                <w:lang w:val="ru-RU"/>
              </w:rPr>
            </w:pPr>
            <w:r w:rsidRPr="00694ACA">
              <w:rPr>
                <w:color w:val="407C9B"/>
                <w:sz w:val="18"/>
                <w:szCs w:val="20"/>
                <w:lang w:val="ru-RU"/>
              </w:rPr>
              <w:t>4560/47</w:t>
            </w:r>
          </w:p>
        </w:tc>
      </w:tr>
      <w:tr w:rsidR="004B77F6" w:rsidRPr="00694ACA" w14:paraId="64BB0EF8" w14:textId="77777777" w:rsidTr="00CD4D96">
        <w:tc>
          <w:tcPr>
            <w:tcW w:w="4111"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100" w:type="dxa"/>
              <w:left w:w="100" w:type="dxa"/>
              <w:bottom w:w="100" w:type="dxa"/>
              <w:right w:w="100" w:type="dxa"/>
            </w:tcMar>
          </w:tcPr>
          <w:p w14:paraId="7D6B3CF7" w14:textId="77777777" w:rsidR="004B77F6" w:rsidRPr="00694ACA" w:rsidRDefault="004B77F6" w:rsidP="00F221C0">
            <w:pPr>
              <w:spacing w:after="0"/>
              <w:rPr>
                <w:b/>
                <w:bCs/>
                <w:color w:val="407C9B"/>
                <w:sz w:val="18"/>
                <w:szCs w:val="20"/>
                <w:lang w:val="ru-RU"/>
              </w:rPr>
            </w:pPr>
            <w:r w:rsidRPr="00694ACA">
              <w:rPr>
                <w:b/>
                <w:color w:val="407C9B"/>
                <w:sz w:val="18"/>
                <w:szCs w:val="20"/>
                <w:lang w:val="ru-RU"/>
              </w:rPr>
              <w:t>Количество стран, участвующих в семинарах и практикумах, собраниях и мероприятиях ИК и РГ МСЭ-R (очных и виртуальных):</w:t>
            </w:r>
          </w:p>
        </w:tc>
        <w:tc>
          <w:tcPr>
            <w:tcW w:w="127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100" w:type="dxa"/>
              <w:left w:w="100" w:type="dxa"/>
              <w:bottom w:w="100" w:type="dxa"/>
              <w:right w:w="100" w:type="dxa"/>
            </w:tcMar>
          </w:tcPr>
          <w:p w14:paraId="160EB88F" w14:textId="77777777" w:rsidR="004B77F6" w:rsidRPr="00694ACA" w:rsidRDefault="004B77F6" w:rsidP="00CD4D96">
            <w:pPr>
              <w:widowControl w:val="0"/>
              <w:pBdr>
                <w:top w:val="nil"/>
                <w:left w:val="nil"/>
                <w:bottom w:val="nil"/>
                <w:right w:val="nil"/>
                <w:between w:val="nil"/>
              </w:pBdr>
              <w:spacing w:after="0"/>
              <w:jc w:val="center"/>
              <w:rPr>
                <w:color w:val="407C9B"/>
                <w:sz w:val="18"/>
                <w:szCs w:val="20"/>
                <w:lang w:val="ru-RU"/>
              </w:rPr>
            </w:pPr>
            <w:r w:rsidRPr="00694ACA">
              <w:rPr>
                <w:color w:val="407C9B"/>
                <w:sz w:val="18"/>
                <w:szCs w:val="20"/>
                <w:lang w:val="ru-RU"/>
              </w:rPr>
              <w:t>161</w:t>
            </w:r>
          </w:p>
        </w:tc>
        <w:tc>
          <w:tcPr>
            <w:tcW w:w="127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100" w:type="dxa"/>
              <w:left w:w="100" w:type="dxa"/>
              <w:bottom w:w="100" w:type="dxa"/>
              <w:right w:w="100" w:type="dxa"/>
            </w:tcMar>
          </w:tcPr>
          <w:p w14:paraId="4DCAFDEC" w14:textId="77777777" w:rsidR="004B77F6" w:rsidRPr="00694ACA" w:rsidRDefault="004B77F6" w:rsidP="00CD4D96">
            <w:pPr>
              <w:widowControl w:val="0"/>
              <w:pBdr>
                <w:top w:val="nil"/>
                <w:left w:val="nil"/>
                <w:bottom w:val="nil"/>
                <w:right w:val="nil"/>
                <w:between w:val="nil"/>
              </w:pBdr>
              <w:spacing w:after="0"/>
              <w:jc w:val="center"/>
              <w:rPr>
                <w:color w:val="407C9B"/>
                <w:sz w:val="18"/>
                <w:szCs w:val="20"/>
                <w:lang w:val="ru-RU"/>
              </w:rPr>
            </w:pPr>
            <w:r w:rsidRPr="00694ACA">
              <w:rPr>
                <w:color w:val="407C9B"/>
                <w:sz w:val="18"/>
                <w:szCs w:val="20"/>
                <w:lang w:val="ru-RU"/>
              </w:rPr>
              <w:t>130</w:t>
            </w:r>
          </w:p>
        </w:tc>
        <w:tc>
          <w:tcPr>
            <w:tcW w:w="1275"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100" w:type="dxa"/>
              <w:left w:w="100" w:type="dxa"/>
              <w:bottom w:w="100" w:type="dxa"/>
              <w:right w:w="100" w:type="dxa"/>
            </w:tcMar>
          </w:tcPr>
          <w:p w14:paraId="7F7C1482" w14:textId="77777777" w:rsidR="004B77F6" w:rsidRPr="00694ACA" w:rsidRDefault="004B77F6" w:rsidP="00CD4D96">
            <w:pPr>
              <w:widowControl w:val="0"/>
              <w:pBdr>
                <w:top w:val="nil"/>
                <w:left w:val="nil"/>
                <w:bottom w:val="nil"/>
                <w:right w:val="nil"/>
                <w:between w:val="nil"/>
              </w:pBdr>
              <w:spacing w:after="0"/>
              <w:jc w:val="center"/>
              <w:rPr>
                <w:color w:val="407C9B"/>
                <w:sz w:val="18"/>
                <w:szCs w:val="20"/>
                <w:lang w:val="ru-RU"/>
              </w:rPr>
            </w:pPr>
            <w:r w:rsidRPr="00694ACA">
              <w:rPr>
                <w:color w:val="407C9B"/>
                <w:sz w:val="18"/>
                <w:szCs w:val="20"/>
                <w:lang w:val="ru-RU"/>
              </w:rPr>
              <w:t>78</w:t>
            </w:r>
          </w:p>
        </w:tc>
        <w:tc>
          <w:tcPr>
            <w:tcW w:w="127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Mar>
              <w:top w:w="100" w:type="dxa"/>
              <w:left w:w="100" w:type="dxa"/>
              <w:bottom w:w="100" w:type="dxa"/>
              <w:right w:w="100" w:type="dxa"/>
            </w:tcMar>
          </w:tcPr>
          <w:p w14:paraId="562BADE5" w14:textId="77777777" w:rsidR="004B77F6" w:rsidRPr="00694ACA" w:rsidRDefault="004B77F6" w:rsidP="00CD4D96">
            <w:pPr>
              <w:widowControl w:val="0"/>
              <w:pBdr>
                <w:top w:val="nil"/>
                <w:left w:val="nil"/>
                <w:bottom w:val="nil"/>
                <w:right w:val="nil"/>
                <w:between w:val="nil"/>
              </w:pBdr>
              <w:spacing w:after="0"/>
              <w:jc w:val="center"/>
              <w:rPr>
                <w:color w:val="407C9B"/>
                <w:sz w:val="18"/>
                <w:szCs w:val="20"/>
                <w:lang w:val="ru-RU"/>
              </w:rPr>
            </w:pPr>
            <w:r w:rsidRPr="00694ACA">
              <w:rPr>
                <w:color w:val="407C9B"/>
                <w:sz w:val="18"/>
                <w:szCs w:val="20"/>
                <w:lang w:val="ru-RU"/>
              </w:rPr>
              <w:t>137</w:t>
            </w:r>
          </w:p>
        </w:tc>
      </w:tr>
    </w:tbl>
    <w:p w14:paraId="0CC50332" w14:textId="77777777" w:rsidR="004B77F6" w:rsidRPr="00694ACA" w:rsidRDefault="004B77F6" w:rsidP="00A105CB">
      <w:pPr>
        <w:pStyle w:val="Heading2"/>
        <w:rPr>
          <w:b w:val="0"/>
          <w:bCs/>
          <w:lang w:val="ru-RU"/>
        </w:rPr>
      </w:pPr>
      <w:r w:rsidRPr="00694ACA">
        <w:rPr>
          <w:lang w:val="ru-RU"/>
        </w:rPr>
        <w:t>Приложение 9: Сводные данные по официальным интервью, проведенным в рамках настоящего обзора</w:t>
      </w:r>
    </w:p>
    <w:p w14:paraId="7D184D6F" w14:textId="279461B9" w:rsidR="004B77F6" w:rsidRPr="00694ACA" w:rsidRDefault="004B77F6" w:rsidP="00A105CB">
      <w:pPr>
        <w:ind w:left="-284"/>
        <w:rPr>
          <w:highlight w:val="white"/>
          <w:lang w:val="ru-RU"/>
        </w:rPr>
      </w:pPr>
      <w:r w:rsidRPr="00694ACA">
        <w:rPr>
          <w:highlight w:val="white"/>
          <w:lang w:val="ru-RU"/>
        </w:rPr>
        <w:t>Всего в рамках настоящего обзора было проведено 65 официальных интервью (n=26 женщин; n=39</w:t>
      </w:r>
      <w:r w:rsidR="00A50257" w:rsidRPr="00694ACA">
        <w:rPr>
          <w:highlight w:val="white"/>
          <w:lang w:val="ru-RU"/>
        </w:rPr>
        <w:t> </w:t>
      </w:r>
      <w:r w:rsidRPr="00694ACA">
        <w:rPr>
          <w:highlight w:val="white"/>
          <w:lang w:val="ru-RU"/>
        </w:rPr>
        <w:t>мужчин), при этом многие респонденты были персонально рекомендованы рабочей группой.</w:t>
      </w:r>
      <w:r w:rsidR="00A579EF">
        <w:rPr>
          <w:highlight w:val="white"/>
          <w:lang w:val="ru-RU"/>
        </w:rPr>
        <w:t xml:space="preserve"> </w:t>
      </w:r>
      <w:r w:rsidRPr="00694ACA">
        <w:rPr>
          <w:highlight w:val="white"/>
          <w:lang w:val="ru-RU"/>
        </w:rPr>
        <w:t xml:space="preserve">Всем респондентам было гарантировано сохранение конфиденциальности их личности для персонала </w:t>
      </w:r>
      <w:proofErr w:type="spellStart"/>
      <w:r w:rsidRPr="00694ACA">
        <w:rPr>
          <w:highlight w:val="white"/>
          <w:lang w:val="ru-RU"/>
        </w:rPr>
        <w:t>Jigsaw</w:t>
      </w:r>
      <w:proofErr w:type="spellEnd"/>
      <w:r w:rsidRPr="00694ACA">
        <w:rPr>
          <w:highlight w:val="white"/>
          <w:lang w:val="ru-RU"/>
        </w:rPr>
        <w:t>.</w:t>
      </w:r>
      <w:r w:rsidR="00A579EF">
        <w:rPr>
          <w:highlight w:val="white"/>
          <w:lang w:val="ru-RU"/>
        </w:rPr>
        <w:t xml:space="preserve"> </w:t>
      </w:r>
      <w:r w:rsidRPr="00694ACA">
        <w:rPr>
          <w:highlight w:val="white"/>
          <w:lang w:val="ru-RU"/>
        </w:rPr>
        <w:t>Ввиду соображений конфиденциальности интервью не записывались, однако велись подробные записи, которые сохранены в защищенных паролями файлах на отдельном жестком диске, не имеющем подключения к интернету. Длительность каждого интервью составляла не менее одного часа, и некоторых лиц опрашивали несколько раз.</w:t>
      </w:r>
      <w:r w:rsidR="00A579EF">
        <w:rPr>
          <w:highlight w:val="white"/>
          <w:lang w:val="ru-RU"/>
        </w:rPr>
        <w:t xml:space="preserve"> </w:t>
      </w:r>
      <w:r w:rsidRPr="00694ACA">
        <w:rPr>
          <w:highlight w:val="white"/>
          <w:lang w:val="ru-RU"/>
        </w:rPr>
        <w:t>Небольшое число респондентов предпочли дать письменные ответы на вопросы.</w:t>
      </w:r>
      <w:r w:rsidR="00A579EF">
        <w:rPr>
          <w:highlight w:val="white"/>
          <w:lang w:val="ru-RU"/>
        </w:rPr>
        <w:t xml:space="preserve"> </w:t>
      </w:r>
      <w:r w:rsidRPr="00694ACA">
        <w:rPr>
          <w:highlight w:val="white"/>
          <w:lang w:val="ru-RU"/>
        </w:rPr>
        <w:t>В таблице ниже представлена сводная структура интервью.</w:t>
      </w:r>
    </w:p>
    <w:tbl>
      <w:tblPr>
        <w:tblStyle w:val="TableGrid"/>
        <w:tblW w:w="9072" w:type="dxa"/>
        <w:tblLook w:val="04A0" w:firstRow="1" w:lastRow="0" w:firstColumn="1" w:lastColumn="0" w:noHBand="0" w:noVBand="1"/>
      </w:tblPr>
      <w:tblGrid>
        <w:gridCol w:w="3969"/>
        <w:gridCol w:w="5103"/>
      </w:tblGrid>
      <w:tr w:rsidR="004B77F6" w:rsidRPr="00694ACA" w14:paraId="51A44422" w14:textId="77777777" w:rsidTr="00CD4D96">
        <w:trPr>
          <w:trHeight w:val="426"/>
        </w:trPr>
        <w:tc>
          <w:tcPr>
            <w:tcW w:w="3969" w:type="dxa"/>
            <w:tcBorders>
              <w:top w:val="nil"/>
              <w:left w:val="nil"/>
              <w:bottom w:val="single" w:sz="4" w:space="0" w:color="FFFFFF"/>
              <w:right w:val="nil"/>
            </w:tcBorders>
            <w:shd w:val="clear" w:color="auto" w:fill="407C9B"/>
            <w:vAlign w:val="center"/>
          </w:tcPr>
          <w:p w14:paraId="737D22CA" w14:textId="44901824" w:rsidR="004B77F6" w:rsidRPr="00694ACA" w:rsidRDefault="004B77F6" w:rsidP="00221B49">
            <w:pPr>
              <w:keepNext/>
              <w:jc w:val="center"/>
              <w:rPr>
                <w:rFonts w:ascii="Lato" w:eastAsia="Times New Roman" w:hAnsi="Lato" w:cs="Times New Roman"/>
                <w:b/>
                <w:bCs/>
                <w:color w:val="FFFFFF" w:themeColor="background1"/>
                <w:szCs w:val="20"/>
                <w:lang w:val="ru-RU"/>
              </w:rPr>
            </w:pPr>
            <w:r w:rsidRPr="000644C9">
              <w:rPr>
                <w:rFonts w:ascii="Lato" w:hAnsi="Lato"/>
                <w:b/>
                <w:color w:val="FFFFFF" w:themeColor="background1"/>
                <w:sz w:val="18"/>
                <w:szCs w:val="22"/>
                <w:lang w:val="ru-RU"/>
              </w:rPr>
              <w:t>Тип организации</w:t>
            </w:r>
          </w:p>
        </w:tc>
        <w:tc>
          <w:tcPr>
            <w:tcW w:w="5103" w:type="dxa"/>
            <w:tcBorders>
              <w:top w:val="nil"/>
              <w:left w:val="nil"/>
              <w:bottom w:val="single" w:sz="4" w:space="0" w:color="FFFFFF"/>
              <w:right w:val="nil"/>
            </w:tcBorders>
            <w:shd w:val="clear" w:color="auto" w:fill="407C9B"/>
            <w:vAlign w:val="center"/>
          </w:tcPr>
          <w:p w14:paraId="22AC9386" w14:textId="012A0100" w:rsidR="004B77F6" w:rsidRPr="00694ACA" w:rsidRDefault="004B77F6" w:rsidP="00221B49">
            <w:pPr>
              <w:keepNext/>
              <w:jc w:val="center"/>
              <w:rPr>
                <w:rFonts w:ascii="Lato" w:eastAsia="Times New Roman" w:hAnsi="Lato" w:cs="Times New Roman"/>
                <w:b/>
                <w:bCs/>
                <w:color w:val="FFFFFF" w:themeColor="background1"/>
                <w:szCs w:val="20"/>
                <w:lang w:val="ru-RU"/>
              </w:rPr>
            </w:pPr>
            <w:r w:rsidRPr="000644C9">
              <w:rPr>
                <w:rFonts w:ascii="Lato" w:hAnsi="Lato"/>
                <w:b/>
                <w:color w:val="FFFFFF" w:themeColor="background1"/>
                <w:sz w:val="18"/>
                <w:szCs w:val="22"/>
                <w:lang w:val="ru-RU"/>
              </w:rPr>
              <w:t>Представленные организации сектора</w:t>
            </w:r>
            <w:r w:rsidRPr="00694ACA">
              <w:rPr>
                <w:rStyle w:val="FootnoteReference"/>
                <w:color w:val="FFFFFF" w:themeColor="background1"/>
                <w:lang w:val="ru-RU"/>
              </w:rPr>
              <w:footnoteReference w:id="257"/>
            </w:r>
          </w:p>
        </w:tc>
      </w:tr>
      <w:tr w:rsidR="004B77F6" w:rsidRPr="00694ACA" w14:paraId="0CA92029" w14:textId="77777777" w:rsidTr="00F221C0">
        <w:tc>
          <w:tcPr>
            <w:tcW w:w="3969"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25D6BEFE" w14:textId="77777777" w:rsidR="004B77F6" w:rsidRPr="00694ACA" w:rsidRDefault="004B77F6" w:rsidP="00221B49">
            <w:pPr>
              <w:keepNext/>
              <w:spacing w:before="40" w:after="40"/>
              <w:rPr>
                <w:rFonts w:ascii="Lato" w:eastAsia="Times New Roman" w:hAnsi="Lato" w:cs="Times New Roman"/>
                <w:b/>
                <w:bCs/>
                <w:color w:val="407C9B"/>
                <w:sz w:val="18"/>
                <w:szCs w:val="18"/>
                <w:lang w:val="ru-RU"/>
              </w:rPr>
            </w:pPr>
            <w:r w:rsidRPr="00694ACA">
              <w:rPr>
                <w:rFonts w:ascii="Lato" w:hAnsi="Lato"/>
                <w:b/>
                <w:color w:val="407C9B"/>
                <w:sz w:val="18"/>
                <w:szCs w:val="18"/>
                <w:lang w:val="ru-RU"/>
              </w:rPr>
              <w:t>МСЭ</w:t>
            </w:r>
          </w:p>
        </w:tc>
        <w:tc>
          <w:tcPr>
            <w:tcW w:w="5103"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3B46A80C" w14:textId="61E0D89E" w:rsidR="004B77F6" w:rsidRPr="000644C9" w:rsidRDefault="004B77F6" w:rsidP="000644C9">
            <w:pPr>
              <w:spacing w:before="40" w:after="40"/>
              <w:rPr>
                <w:rFonts w:ascii="Lato" w:hAnsi="Lato"/>
                <w:color w:val="407C9B"/>
                <w:sz w:val="18"/>
                <w:szCs w:val="18"/>
                <w:lang w:val="ru-RU"/>
              </w:rPr>
            </w:pPr>
            <w:r w:rsidRPr="000644C9">
              <w:rPr>
                <w:rFonts w:ascii="Lato" w:hAnsi="Lato"/>
                <w:color w:val="407C9B"/>
                <w:sz w:val="18"/>
                <w:szCs w:val="18"/>
                <w:lang w:val="ru-RU"/>
              </w:rPr>
              <w:t>БРЭ</w:t>
            </w:r>
            <w:r w:rsidR="00CD4D96" w:rsidRPr="000644C9">
              <w:rPr>
                <w:rFonts w:ascii="Lato" w:hAnsi="Lato"/>
                <w:color w:val="407C9B"/>
                <w:sz w:val="18"/>
                <w:szCs w:val="18"/>
                <w:lang w:val="ru-RU"/>
              </w:rPr>
              <w:br/>
              <w:t>БР</w:t>
            </w:r>
            <w:r w:rsidR="00CD4D96" w:rsidRPr="000644C9">
              <w:rPr>
                <w:rFonts w:ascii="Lato" w:hAnsi="Lato"/>
                <w:color w:val="407C9B"/>
                <w:sz w:val="18"/>
                <w:szCs w:val="18"/>
                <w:lang w:val="ru-RU"/>
              </w:rPr>
              <w:br/>
              <w:t>ГС</w:t>
            </w:r>
            <w:r w:rsidR="00CD4D96" w:rsidRPr="000644C9">
              <w:rPr>
                <w:rFonts w:ascii="Lato" w:hAnsi="Lato"/>
                <w:color w:val="407C9B"/>
                <w:sz w:val="18"/>
                <w:szCs w:val="18"/>
                <w:lang w:val="ru-RU"/>
              </w:rPr>
              <w:br/>
              <w:t>БСЭ</w:t>
            </w:r>
            <w:r w:rsidR="00CD4D96" w:rsidRPr="000644C9">
              <w:rPr>
                <w:rFonts w:ascii="Lato" w:hAnsi="Lato"/>
                <w:color w:val="407C9B"/>
                <w:sz w:val="18"/>
                <w:szCs w:val="18"/>
                <w:lang w:val="ru-RU"/>
              </w:rPr>
              <w:br/>
              <w:t>Региональные отделения</w:t>
            </w:r>
          </w:p>
          <w:p w14:paraId="3A69ECAB" w14:textId="1152A4C3" w:rsidR="00CD4D96" w:rsidRPr="00694ACA" w:rsidRDefault="00CD4D96" w:rsidP="000644C9">
            <w:pPr>
              <w:spacing w:before="40" w:after="40"/>
              <w:rPr>
                <w:rFonts w:ascii="Lato" w:eastAsia="Times New Roman" w:hAnsi="Lato" w:cs="Times New Roman"/>
                <w:color w:val="407C9B"/>
                <w:sz w:val="18"/>
                <w:szCs w:val="18"/>
                <w:lang w:val="ru-RU"/>
              </w:rPr>
            </w:pPr>
            <w:r w:rsidRPr="000644C9">
              <w:rPr>
                <w:rFonts w:ascii="Lato" w:hAnsi="Lato"/>
                <w:color w:val="407C9B"/>
                <w:sz w:val="18"/>
                <w:szCs w:val="18"/>
                <w:lang w:val="ru-RU"/>
              </w:rPr>
              <w:t>ГИСП</w:t>
            </w:r>
          </w:p>
        </w:tc>
      </w:tr>
      <w:tr w:rsidR="004B77F6" w:rsidRPr="00D577E1" w14:paraId="530FE37E" w14:textId="77777777" w:rsidTr="00F221C0">
        <w:tc>
          <w:tcPr>
            <w:tcW w:w="3969"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5808DB38" w14:textId="77777777" w:rsidR="004B77F6" w:rsidRPr="00694ACA" w:rsidRDefault="004B77F6" w:rsidP="00CD4D96">
            <w:pPr>
              <w:spacing w:before="40" w:after="40"/>
              <w:rPr>
                <w:rFonts w:ascii="Lato" w:eastAsia="Times New Roman" w:hAnsi="Lato" w:cs="Times New Roman"/>
                <w:b/>
                <w:bCs/>
                <w:color w:val="407C9B"/>
                <w:sz w:val="18"/>
                <w:szCs w:val="18"/>
                <w:lang w:val="ru-RU"/>
              </w:rPr>
            </w:pPr>
            <w:r w:rsidRPr="00694ACA">
              <w:rPr>
                <w:rFonts w:ascii="Lato" w:hAnsi="Lato"/>
                <w:b/>
                <w:color w:val="407C9B"/>
                <w:sz w:val="18"/>
                <w:szCs w:val="18"/>
                <w:lang w:val="ru-RU"/>
              </w:rPr>
              <w:t>Учреждения ООН (и Институты)</w:t>
            </w:r>
          </w:p>
        </w:tc>
        <w:tc>
          <w:tcPr>
            <w:tcW w:w="5103"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4864835A" w14:textId="4BBFC2FE" w:rsidR="004B77F6" w:rsidRPr="00694ACA" w:rsidRDefault="004B77F6" w:rsidP="00CD4D96">
            <w:pPr>
              <w:spacing w:before="40" w:after="40"/>
              <w:rPr>
                <w:rFonts w:ascii="Lato" w:eastAsia="Times New Roman" w:hAnsi="Lato" w:cs="Times New Roman"/>
                <w:color w:val="407C9B"/>
                <w:sz w:val="18"/>
                <w:szCs w:val="18"/>
                <w:lang w:val="ru-RU"/>
              </w:rPr>
            </w:pPr>
            <w:r w:rsidRPr="00694ACA">
              <w:rPr>
                <w:rFonts w:ascii="Lato" w:hAnsi="Lato"/>
                <w:color w:val="407C9B"/>
                <w:sz w:val="18"/>
                <w:szCs w:val="18"/>
                <w:lang w:val="ru-RU"/>
              </w:rPr>
              <w:t xml:space="preserve">ФАО </w:t>
            </w:r>
            <w:r w:rsidR="00CD4D96" w:rsidRPr="00694ACA">
              <w:rPr>
                <w:rFonts w:ascii="Lato" w:hAnsi="Lato"/>
                <w:color w:val="407C9B"/>
                <w:sz w:val="18"/>
                <w:szCs w:val="18"/>
                <w:lang w:val="ru-RU"/>
              </w:rPr>
              <w:br/>
            </w:r>
            <w:r w:rsidRPr="00694ACA">
              <w:rPr>
                <w:rFonts w:ascii="Lato" w:hAnsi="Lato"/>
                <w:color w:val="407C9B"/>
                <w:sz w:val="18"/>
                <w:szCs w:val="18"/>
                <w:lang w:val="ru-RU"/>
              </w:rPr>
              <w:t>ЮНИСЕФ</w:t>
            </w:r>
            <w:r w:rsidR="00CD4D96" w:rsidRPr="00694ACA">
              <w:rPr>
                <w:rFonts w:ascii="Lato" w:hAnsi="Lato"/>
                <w:color w:val="407C9B"/>
                <w:sz w:val="18"/>
                <w:szCs w:val="18"/>
                <w:lang w:val="ru-RU"/>
              </w:rPr>
              <w:br/>
            </w:r>
            <w:r w:rsidRPr="00694ACA">
              <w:rPr>
                <w:rFonts w:ascii="Lato" w:hAnsi="Lato"/>
                <w:color w:val="407C9B"/>
                <w:sz w:val="18"/>
                <w:szCs w:val="18"/>
                <w:lang w:val="ru-RU"/>
              </w:rPr>
              <w:t>УООН (и институты)</w:t>
            </w:r>
            <w:r w:rsidR="00CD4D96" w:rsidRPr="00694ACA">
              <w:rPr>
                <w:rFonts w:ascii="Lato" w:hAnsi="Lato"/>
                <w:color w:val="407C9B"/>
                <w:sz w:val="18"/>
                <w:szCs w:val="18"/>
                <w:lang w:val="ru-RU"/>
              </w:rPr>
              <w:br/>
            </w:r>
            <w:r w:rsidRPr="00694ACA">
              <w:rPr>
                <w:rFonts w:ascii="Lato" w:hAnsi="Lato"/>
                <w:color w:val="407C9B"/>
                <w:sz w:val="18"/>
                <w:szCs w:val="18"/>
                <w:lang w:val="ru-RU"/>
              </w:rPr>
              <w:t>ЮНИТАР</w:t>
            </w:r>
            <w:r w:rsidR="00CD4D96" w:rsidRPr="00694ACA">
              <w:rPr>
                <w:rFonts w:ascii="Lato" w:hAnsi="Lato"/>
                <w:color w:val="407C9B"/>
                <w:sz w:val="18"/>
                <w:szCs w:val="18"/>
                <w:lang w:val="ru-RU"/>
              </w:rPr>
              <w:br/>
            </w:r>
            <w:r w:rsidRPr="00694ACA">
              <w:rPr>
                <w:rFonts w:ascii="Lato" w:hAnsi="Lato"/>
                <w:color w:val="407C9B"/>
                <w:sz w:val="18"/>
                <w:szCs w:val="18"/>
                <w:lang w:val="ru-RU"/>
              </w:rPr>
              <w:t>КПСООН</w:t>
            </w:r>
            <w:r w:rsidR="00CD4D96" w:rsidRPr="00694ACA">
              <w:rPr>
                <w:rFonts w:ascii="Lato" w:hAnsi="Lato"/>
                <w:color w:val="407C9B"/>
                <w:sz w:val="18"/>
                <w:szCs w:val="18"/>
                <w:lang w:val="ru-RU"/>
              </w:rPr>
              <w:br/>
            </w:r>
            <w:r w:rsidRPr="00694ACA">
              <w:rPr>
                <w:rFonts w:ascii="Lato" w:hAnsi="Lato"/>
                <w:color w:val="407C9B"/>
                <w:sz w:val="18"/>
                <w:szCs w:val="18"/>
                <w:lang w:val="ru-RU"/>
              </w:rPr>
              <w:t>М</w:t>
            </w:r>
            <w:r w:rsidR="00275C63" w:rsidRPr="00694ACA">
              <w:rPr>
                <w:rFonts w:ascii="Lato" w:hAnsi="Lato"/>
                <w:color w:val="407C9B"/>
                <w:sz w:val="18"/>
                <w:szCs w:val="18"/>
                <w:lang w:val="ru-RU"/>
              </w:rPr>
              <w:t xml:space="preserve">УЦ </w:t>
            </w:r>
            <w:r w:rsidRPr="00694ACA">
              <w:rPr>
                <w:rFonts w:ascii="Lato" w:hAnsi="Lato"/>
                <w:color w:val="407C9B"/>
                <w:sz w:val="18"/>
                <w:szCs w:val="18"/>
                <w:lang w:val="ru-RU"/>
              </w:rPr>
              <w:t>МОТ</w:t>
            </w:r>
            <w:r w:rsidR="00CD4D96" w:rsidRPr="00694ACA">
              <w:rPr>
                <w:rFonts w:ascii="Lato" w:hAnsi="Lato"/>
                <w:color w:val="407C9B"/>
                <w:sz w:val="18"/>
                <w:szCs w:val="18"/>
                <w:lang w:val="ru-RU"/>
              </w:rPr>
              <w:br/>
            </w:r>
            <w:r w:rsidRPr="00694ACA">
              <w:rPr>
                <w:rFonts w:ascii="Lato" w:hAnsi="Lato"/>
                <w:color w:val="407C9B"/>
                <w:sz w:val="18"/>
                <w:szCs w:val="18"/>
                <w:lang w:val="ru-RU"/>
              </w:rPr>
              <w:t>ПРООН</w:t>
            </w:r>
            <w:r w:rsidR="00CD4D96" w:rsidRPr="00694ACA">
              <w:rPr>
                <w:rFonts w:ascii="Lato" w:hAnsi="Lato"/>
                <w:color w:val="407C9B"/>
                <w:sz w:val="18"/>
                <w:szCs w:val="18"/>
                <w:lang w:val="ru-RU"/>
              </w:rPr>
              <w:br/>
            </w:r>
            <w:r w:rsidRPr="00694ACA">
              <w:rPr>
                <w:rFonts w:ascii="Lato" w:hAnsi="Lato"/>
                <w:color w:val="407C9B"/>
                <w:sz w:val="18"/>
                <w:szCs w:val="18"/>
                <w:lang w:val="ru-RU"/>
              </w:rPr>
              <w:t xml:space="preserve">ЮНЕСКО (и ее институты) </w:t>
            </w:r>
          </w:p>
        </w:tc>
      </w:tr>
      <w:tr w:rsidR="004B77F6" w:rsidRPr="00694ACA" w14:paraId="7645AC83" w14:textId="77777777" w:rsidTr="00F221C0">
        <w:tc>
          <w:tcPr>
            <w:tcW w:w="3969"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239743C6" w14:textId="77777777" w:rsidR="004B77F6" w:rsidRPr="00694ACA" w:rsidRDefault="004B77F6" w:rsidP="00CD4D96">
            <w:pPr>
              <w:spacing w:before="40" w:after="40"/>
              <w:rPr>
                <w:rFonts w:ascii="Lato" w:eastAsia="Times New Roman" w:hAnsi="Lato" w:cs="Times New Roman"/>
                <w:b/>
                <w:bCs/>
                <w:color w:val="407C9B"/>
                <w:sz w:val="18"/>
                <w:szCs w:val="18"/>
                <w:lang w:val="ru-RU"/>
              </w:rPr>
            </w:pPr>
            <w:r w:rsidRPr="00694ACA">
              <w:rPr>
                <w:rFonts w:ascii="Lato" w:hAnsi="Lato"/>
                <w:b/>
                <w:color w:val="407C9B"/>
                <w:sz w:val="18"/>
                <w:szCs w:val="18"/>
                <w:lang w:val="ru-RU"/>
              </w:rPr>
              <w:t>Международные организации/</w:t>
            </w:r>
          </w:p>
          <w:p w14:paraId="7D0FC517" w14:textId="77777777" w:rsidR="004B77F6" w:rsidRPr="00694ACA" w:rsidRDefault="004B77F6" w:rsidP="00CD4D96">
            <w:pPr>
              <w:spacing w:before="40" w:after="40"/>
              <w:rPr>
                <w:rFonts w:ascii="Lato" w:eastAsia="Times New Roman" w:hAnsi="Lato" w:cs="Times New Roman"/>
                <w:b/>
                <w:bCs/>
                <w:color w:val="407C9B"/>
                <w:sz w:val="18"/>
                <w:szCs w:val="18"/>
                <w:lang w:val="ru-RU"/>
              </w:rPr>
            </w:pPr>
            <w:r w:rsidRPr="00694ACA">
              <w:rPr>
                <w:rFonts w:ascii="Lato" w:hAnsi="Lato"/>
                <w:b/>
                <w:color w:val="407C9B"/>
                <w:sz w:val="18"/>
                <w:szCs w:val="18"/>
                <w:lang w:val="ru-RU"/>
              </w:rPr>
              <w:t>фонды</w:t>
            </w:r>
          </w:p>
        </w:tc>
        <w:tc>
          <w:tcPr>
            <w:tcW w:w="5103"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5A5126AD" w14:textId="1187E9BE" w:rsidR="004B77F6" w:rsidRPr="00627280" w:rsidRDefault="004B77F6" w:rsidP="00CD4D96">
            <w:pPr>
              <w:spacing w:before="40" w:after="40"/>
              <w:rPr>
                <w:rFonts w:ascii="Lato" w:eastAsia="Times New Roman" w:hAnsi="Lato" w:cs="Times New Roman"/>
                <w:color w:val="407C9B"/>
                <w:sz w:val="18"/>
                <w:szCs w:val="18"/>
                <w:lang w:val="en-US"/>
              </w:rPr>
            </w:pPr>
            <w:r w:rsidRPr="00627280">
              <w:rPr>
                <w:rFonts w:ascii="Lato" w:hAnsi="Lato"/>
                <w:color w:val="407C9B"/>
                <w:sz w:val="18"/>
                <w:szCs w:val="18"/>
                <w:lang w:val="en-US"/>
              </w:rPr>
              <w:t>ARIN</w:t>
            </w:r>
            <w:r w:rsidR="00CD4D96" w:rsidRPr="00627280">
              <w:rPr>
                <w:rFonts w:ascii="Lato" w:hAnsi="Lato"/>
                <w:color w:val="407C9B"/>
                <w:sz w:val="18"/>
                <w:szCs w:val="18"/>
                <w:lang w:val="en-US"/>
              </w:rPr>
              <w:br/>
            </w:r>
            <w:r w:rsidR="00FE0FC6" w:rsidRPr="00694ACA">
              <w:rPr>
                <w:rFonts w:ascii="Lato" w:hAnsi="Lato"/>
                <w:color w:val="407C9B"/>
                <w:sz w:val="18"/>
                <w:szCs w:val="18"/>
                <w:lang w:val="ru-RU"/>
              </w:rPr>
              <w:t>ОЭС</w:t>
            </w:r>
            <w:r w:rsidR="00CD4D96" w:rsidRPr="00627280">
              <w:rPr>
                <w:rFonts w:ascii="Lato" w:hAnsi="Lato"/>
                <w:color w:val="407C9B"/>
                <w:sz w:val="18"/>
                <w:szCs w:val="18"/>
                <w:lang w:val="en-US"/>
              </w:rPr>
              <w:br/>
            </w:r>
            <w:r w:rsidR="00FE0FC6" w:rsidRPr="00694ACA">
              <w:rPr>
                <w:rFonts w:ascii="Lato" w:hAnsi="Lato"/>
                <w:color w:val="407C9B"/>
                <w:sz w:val="18"/>
                <w:szCs w:val="18"/>
                <w:lang w:val="ru-RU"/>
              </w:rPr>
              <w:t>КСЭ</w:t>
            </w:r>
            <w:r w:rsidR="00CD4D96" w:rsidRPr="00627280">
              <w:rPr>
                <w:rFonts w:ascii="Lato" w:hAnsi="Lato"/>
                <w:color w:val="407C9B"/>
                <w:sz w:val="18"/>
                <w:szCs w:val="18"/>
                <w:lang w:val="en-US"/>
              </w:rPr>
              <w:br/>
            </w:r>
            <w:r w:rsidRPr="00627280">
              <w:rPr>
                <w:rFonts w:ascii="Lato" w:hAnsi="Lato"/>
                <w:color w:val="407C9B"/>
                <w:sz w:val="18"/>
                <w:szCs w:val="18"/>
                <w:lang w:val="en-US"/>
              </w:rPr>
              <w:t>Diplo</w:t>
            </w:r>
            <w:r w:rsidR="00CD4D96" w:rsidRPr="00627280">
              <w:rPr>
                <w:rFonts w:ascii="Lato" w:hAnsi="Lato"/>
                <w:color w:val="407C9B"/>
                <w:sz w:val="18"/>
                <w:szCs w:val="18"/>
                <w:lang w:val="en-US"/>
              </w:rPr>
              <w:br/>
            </w:r>
            <w:r w:rsidRPr="00627280">
              <w:rPr>
                <w:rFonts w:ascii="Lato" w:hAnsi="Lato"/>
                <w:color w:val="407C9B"/>
                <w:sz w:val="18"/>
                <w:szCs w:val="18"/>
                <w:lang w:val="en-US"/>
              </w:rPr>
              <w:t>ICANN</w:t>
            </w:r>
            <w:r w:rsidR="00CD4D96" w:rsidRPr="00627280">
              <w:rPr>
                <w:rFonts w:ascii="Lato" w:hAnsi="Lato"/>
                <w:color w:val="407C9B"/>
                <w:sz w:val="18"/>
                <w:szCs w:val="18"/>
                <w:lang w:val="en-US"/>
              </w:rPr>
              <w:br/>
            </w:r>
            <w:r w:rsidRPr="00627280">
              <w:rPr>
                <w:rFonts w:ascii="Lato" w:hAnsi="Lato"/>
                <w:color w:val="407C9B"/>
                <w:sz w:val="18"/>
                <w:szCs w:val="18"/>
                <w:lang w:val="en-US"/>
              </w:rPr>
              <w:t>ITSO</w:t>
            </w:r>
          </w:p>
        </w:tc>
      </w:tr>
      <w:tr w:rsidR="004B77F6" w:rsidRPr="00694ACA" w14:paraId="01311256" w14:textId="77777777" w:rsidTr="00F221C0">
        <w:tc>
          <w:tcPr>
            <w:tcW w:w="3969"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69F80C7B" w14:textId="77777777" w:rsidR="004B77F6" w:rsidRPr="00694ACA" w:rsidRDefault="004B77F6" w:rsidP="00CD4D96">
            <w:pPr>
              <w:spacing w:before="40" w:after="40"/>
              <w:rPr>
                <w:rFonts w:ascii="Lato" w:eastAsia="Times New Roman" w:hAnsi="Lato" w:cs="Times New Roman"/>
                <w:b/>
                <w:bCs/>
                <w:color w:val="407C9B"/>
                <w:sz w:val="18"/>
                <w:szCs w:val="18"/>
                <w:lang w:val="ru-RU"/>
              </w:rPr>
            </w:pPr>
            <w:r w:rsidRPr="00694ACA">
              <w:rPr>
                <w:rFonts w:ascii="Lato" w:hAnsi="Lato"/>
                <w:b/>
                <w:color w:val="407C9B"/>
                <w:sz w:val="18"/>
                <w:szCs w:val="18"/>
                <w:lang w:val="ru-RU"/>
              </w:rPr>
              <w:t>Частный сектор и учебные организации</w:t>
            </w:r>
            <w:r w:rsidRPr="00694ACA">
              <w:rPr>
                <w:rStyle w:val="FootnoteReference"/>
                <w:lang w:val="ru-RU"/>
              </w:rPr>
              <w:footnoteReference w:id="258"/>
            </w:r>
          </w:p>
        </w:tc>
        <w:tc>
          <w:tcPr>
            <w:tcW w:w="5103"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23A4B7EF" w14:textId="4C924585" w:rsidR="004B77F6" w:rsidRPr="00694ACA" w:rsidRDefault="004B77F6" w:rsidP="00CD4D96">
            <w:pPr>
              <w:spacing w:before="40" w:after="40"/>
              <w:rPr>
                <w:rFonts w:ascii="Lato" w:eastAsia="Times New Roman" w:hAnsi="Lato" w:cs="Times New Roman"/>
                <w:color w:val="407C9B"/>
                <w:sz w:val="18"/>
                <w:szCs w:val="18"/>
                <w:lang w:val="ru-RU"/>
              </w:rPr>
            </w:pPr>
            <w:r w:rsidRPr="00694ACA">
              <w:rPr>
                <w:rFonts w:ascii="Lato" w:hAnsi="Lato"/>
                <w:color w:val="407C9B"/>
                <w:sz w:val="18"/>
                <w:szCs w:val="18"/>
                <w:lang w:val="ru-RU"/>
              </w:rPr>
              <w:t>GSMA</w:t>
            </w:r>
            <w:r w:rsidR="00CD4D96" w:rsidRPr="00694ACA">
              <w:rPr>
                <w:rFonts w:ascii="Lato" w:hAnsi="Lato"/>
                <w:color w:val="407C9B"/>
                <w:sz w:val="18"/>
                <w:szCs w:val="18"/>
                <w:lang w:val="ru-RU"/>
              </w:rPr>
              <w:br/>
            </w:r>
            <w:r w:rsidRPr="00694ACA">
              <w:rPr>
                <w:rFonts w:ascii="Lato" w:hAnsi="Lato"/>
                <w:color w:val="407C9B"/>
                <w:sz w:val="18"/>
                <w:szCs w:val="18"/>
                <w:lang w:val="ru-RU"/>
              </w:rPr>
              <w:t>UKTA</w:t>
            </w:r>
            <w:r w:rsidR="00CD4D96" w:rsidRPr="00694ACA">
              <w:rPr>
                <w:rFonts w:ascii="Lato" w:hAnsi="Lato"/>
                <w:color w:val="407C9B"/>
                <w:sz w:val="18"/>
                <w:szCs w:val="18"/>
                <w:lang w:val="ru-RU"/>
              </w:rPr>
              <w:br/>
            </w:r>
            <w:r w:rsidRPr="00694ACA">
              <w:rPr>
                <w:rFonts w:ascii="Lato" w:hAnsi="Lato"/>
                <w:color w:val="407C9B"/>
                <w:sz w:val="18"/>
                <w:szCs w:val="18"/>
                <w:lang w:val="ru-RU"/>
              </w:rPr>
              <w:t>USTTI</w:t>
            </w:r>
          </w:p>
        </w:tc>
      </w:tr>
      <w:tr w:rsidR="004B77F6" w:rsidRPr="00D577E1" w14:paraId="441686F2" w14:textId="77777777" w:rsidTr="00F221C0">
        <w:tc>
          <w:tcPr>
            <w:tcW w:w="3969"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5718E98F" w14:textId="1EE2F467" w:rsidR="004B77F6" w:rsidRPr="00694ACA" w:rsidRDefault="004B77F6" w:rsidP="00CD4D96">
            <w:pPr>
              <w:spacing w:before="40" w:after="40"/>
              <w:rPr>
                <w:rFonts w:ascii="Lato" w:eastAsia="Times New Roman" w:hAnsi="Lato" w:cs="Times New Roman"/>
                <w:b/>
                <w:bCs/>
                <w:color w:val="407C9B"/>
                <w:sz w:val="18"/>
                <w:szCs w:val="18"/>
                <w:lang w:val="ru-RU"/>
              </w:rPr>
            </w:pPr>
            <w:r w:rsidRPr="00694ACA">
              <w:rPr>
                <w:rFonts w:ascii="Lato" w:hAnsi="Lato"/>
                <w:b/>
                <w:color w:val="407C9B"/>
                <w:sz w:val="18"/>
                <w:szCs w:val="18"/>
                <w:lang w:val="ru-RU"/>
              </w:rPr>
              <w:t>Академические и исследовательские организации (включая ЦПМ)</w:t>
            </w:r>
          </w:p>
        </w:tc>
        <w:tc>
          <w:tcPr>
            <w:tcW w:w="5103"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2D7A3380" w14:textId="03C6E8FD" w:rsidR="004B77F6" w:rsidRPr="00694ACA" w:rsidRDefault="004B77F6" w:rsidP="00CD4D96">
            <w:pPr>
              <w:spacing w:before="40" w:after="40"/>
              <w:rPr>
                <w:rFonts w:ascii="Lato" w:eastAsia="Times New Roman" w:hAnsi="Lato" w:cs="Times New Roman"/>
                <w:color w:val="407C9B"/>
                <w:sz w:val="18"/>
                <w:szCs w:val="18"/>
                <w:lang w:val="ru-RU"/>
              </w:rPr>
            </w:pPr>
            <w:r w:rsidRPr="00694ACA">
              <w:rPr>
                <w:rFonts w:ascii="Lato" w:hAnsi="Lato"/>
                <w:color w:val="407C9B"/>
                <w:sz w:val="18"/>
                <w:szCs w:val="18"/>
                <w:lang w:val="ru-RU"/>
              </w:rPr>
              <w:t xml:space="preserve">Несколько из Африки, Латинской Америки и стран Карибского бассейна </w:t>
            </w:r>
          </w:p>
        </w:tc>
      </w:tr>
      <w:tr w:rsidR="004B77F6" w:rsidRPr="00694ACA" w14:paraId="226D1C66" w14:textId="77777777" w:rsidTr="00F221C0">
        <w:tc>
          <w:tcPr>
            <w:tcW w:w="3969"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5978FF6D" w14:textId="2DEAAC5B" w:rsidR="004B77F6" w:rsidRPr="00694ACA" w:rsidRDefault="004B77F6" w:rsidP="00CD4D96">
            <w:pPr>
              <w:spacing w:before="40" w:after="40"/>
              <w:rPr>
                <w:rFonts w:ascii="Lato" w:eastAsia="Times New Roman" w:hAnsi="Lato" w:cs="Times New Roman"/>
                <w:b/>
                <w:bCs/>
                <w:color w:val="407C9B"/>
                <w:sz w:val="18"/>
                <w:szCs w:val="18"/>
                <w:lang w:val="ru-RU"/>
              </w:rPr>
            </w:pPr>
            <w:r w:rsidRPr="00694ACA">
              <w:rPr>
                <w:rFonts w:ascii="Lato" w:hAnsi="Lato"/>
                <w:b/>
                <w:color w:val="407C9B"/>
                <w:sz w:val="18"/>
                <w:szCs w:val="18"/>
                <w:lang w:val="ru-RU"/>
              </w:rPr>
              <w:t>Консультанты</w:t>
            </w:r>
          </w:p>
        </w:tc>
        <w:tc>
          <w:tcPr>
            <w:tcW w:w="5103"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11EBE998" w14:textId="77777777" w:rsidR="004B77F6" w:rsidRPr="00694ACA" w:rsidRDefault="004B77F6" w:rsidP="00CD4D96">
            <w:pPr>
              <w:spacing w:before="40" w:after="40"/>
              <w:rPr>
                <w:rFonts w:ascii="Lato" w:eastAsia="Times New Roman" w:hAnsi="Lato" w:cs="Times New Roman"/>
                <w:color w:val="407C9B"/>
                <w:sz w:val="18"/>
                <w:szCs w:val="18"/>
                <w:lang w:val="ru-RU"/>
              </w:rPr>
            </w:pPr>
            <w:r w:rsidRPr="00694ACA">
              <w:rPr>
                <w:rFonts w:ascii="Lato" w:hAnsi="Lato"/>
                <w:color w:val="407C9B"/>
                <w:sz w:val="18"/>
                <w:szCs w:val="18"/>
                <w:lang w:val="ru-RU"/>
              </w:rPr>
              <w:t>Несколько</w:t>
            </w:r>
          </w:p>
        </w:tc>
      </w:tr>
      <w:tr w:rsidR="004B77F6" w:rsidRPr="00D577E1" w14:paraId="511B09EE" w14:textId="77777777" w:rsidTr="00F221C0">
        <w:tc>
          <w:tcPr>
            <w:tcW w:w="3969"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4EE74707" w14:textId="77777777" w:rsidR="004B77F6" w:rsidRPr="000644C9" w:rsidRDefault="004B77F6" w:rsidP="00CD4D96">
            <w:pPr>
              <w:spacing w:before="40" w:after="40"/>
              <w:rPr>
                <w:rFonts w:ascii="Lato" w:hAnsi="Lato"/>
                <w:color w:val="407C9B"/>
                <w:sz w:val="18"/>
                <w:szCs w:val="18"/>
                <w:lang w:val="ru-RU"/>
              </w:rPr>
            </w:pPr>
            <w:r w:rsidRPr="000644C9">
              <w:rPr>
                <w:rFonts w:ascii="Lato" w:hAnsi="Lato"/>
                <w:b/>
                <w:bCs/>
                <w:color w:val="407C9B"/>
                <w:sz w:val="18"/>
                <w:szCs w:val="18"/>
                <w:lang w:val="ru-RU"/>
              </w:rPr>
              <w:lastRenderedPageBreak/>
              <w:t>Национальное представительство и охват</w:t>
            </w:r>
            <w:r w:rsidRPr="000644C9">
              <w:rPr>
                <w:rFonts w:ascii="Lato" w:hAnsi="Lato"/>
                <w:color w:val="407C9B"/>
                <w:sz w:val="18"/>
                <w:szCs w:val="18"/>
                <w:lang w:val="ru-RU"/>
              </w:rPr>
              <w:t xml:space="preserve"> (без учета персонала МСЭ, ООН и международных организаций, которые обеспечили дополнительное разнообразие и информацию на страновом уровне, опираясь на их прошлый послужной список) </w:t>
            </w:r>
          </w:p>
        </w:tc>
        <w:tc>
          <w:tcPr>
            <w:tcW w:w="5103"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tcPr>
          <w:p w14:paraId="7099A34F" w14:textId="28CDC38B" w:rsidR="004B77F6" w:rsidRPr="00694ACA" w:rsidRDefault="004B77F6" w:rsidP="00CD4D96">
            <w:pPr>
              <w:spacing w:before="40" w:after="40"/>
              <w:rPr>
                <w:rFonts w:ascii="Lato" w:eastAsia="Times New Roman" w:hAnsi="Lato" w:cs="Times New Roman"/>
                <w:color w:val="407C9B"/>
                <w:sz w:val="18"/>
                <w:szCs w:val="18"/>
                <w:lang w:val="ru-RU"/>
              </w:rPr>
            </w:pPr>
            <w:r w:rsidRPr="00694ACA">
              <w:rPr>
                <w:rFonts w:ascii="Lato" w:hAnsi="Lato"/>
                <w:color w:val="407C9B"/>
                <w:sz w:val="18"/>
                <w:szCs w:val="18"/>
                <w:lang w:val="ru-RU"/>
              </w:rPr>
              <w:t>Канада</w:t>
            </w:r>
            <w:r w:rsidR="00CD4D96" w:rsidRPr="00694ACA">
              <w:rPr>
                <w:rFonts w:ascii="Lato" w:hAnsi="Lato"/>
                <w:color w:val="407C9B"/>
                <w:sz w:val="18"/>
                <w:szCs w:val="18"/>
                <w:lang w:val="ru-RU"/>
              </w:rPr>
              <w:br/>
            </w:r>
            <w:r w:rsidRPr="00694ACA">
              <w:rPr>
                <w:rFonts w:ascii="Lato" w:hAnsi="Lato"/>
                <w:color w:val="407C9B"/>
                <w:sz w:val="18"/>
                <w:szCs w:val="18"/>
                <w:lang w:val="ru-RU"/>
              </w:rPr>
              <w:t>Китай</w:t>
            </w:r>
            <w:r w:rsidR="00CD4D96" w:rsidRPr="00694ACA">
              <w:rPr>
                <w:rFonts w:ascii="Lato" w:hAnsi="Lato"/>
                <w:color w:val="407C9B"/>
                <w:sz w:val="18"/>
                <w:szCs w:val="18"/>
                <w:lang w:val="ru-RU"/>
              </w:rPr>
              <w:br/>
            </w:r>
            <w:r w:rsidRPr="00694ACA">
              <w:rPr>
                <w:rFonts w:ascii="Lato" w:hAnsi="Lato"/>
                <w:color w:val="407C9B"/>
                <w:sz w:val="18"/>
                <w:szCs w:val="18"/>
                <w:lang w:val="ru-RU"/>
              </w:rPr>
              <w:t>Гана</w:t>
            </w:r>
            <w:r w:rsidR="00CD4D96" w:rsidRPr="00694ACA">
              <w:rPr>
                <w:rFonts w:ascii="Lato" w:hAnsi="Lato"/>
                <w:color w:val="407C9B"/>
                <w:sz w:val="18"/>
                <w:szCs w:val="18"/>
                <w:lang w:val="ru-RU"/>
              </w:rPr>
              <w:br/>
            </w:r>
            <w:r w:rsidRPr="00694ACA">
              <w:rPr>
                <w:rFonts w:ascii="Lato" w:hAnsi="Lato"/>
                <w:color w:val="407C9B"/>
                <w:sz w:val="18"/>
                <w:szCs w:val="18"/>
                <w:lang w:val="ru-RU"/>
              </w:rPr>
              <w:t>Кения</w:t>
            </w:r>
            <w:r w:rsidR="00CD4D96" w:rsidRPr="00694ACA">
              <w:rPr>
                <w:rFonts w:ascii="Lato" w:hAnsi="Lato"/>
                <w:color w:val="407C9B"/>
                <w:sz w:val="18"/>
                <w:szCs w:val="18"/>
                <w:lang w:val="ru-RU"/>
              </w:rPr>
              <w:br/>
            </w:r>
            <w:r w:rsidRPr="00694ACA">
              <w:rPr>
                <w:rFonts w:ascii="Lato" w:hAnsi="Lato"/>
                <w:color w:val="407C9B"/>
                <w:sz w:val="18"/>
                <w:szCs w:val="18"/>
                <w:lang w:val="ru-RU"/>
              </w:rPr>
              <w:t>Польша</w:t>
            </w:r>
            <w:r w:rsidR="00CD4D96" w:rsidRPr="00694ACA">
              <w:rPr>
                <w:rFonts w:ascii="Lato" w:hAnsi="Lato"/>
                <w:color w:val="407C9B"/>
                <w:sz w:val="18"/>
                <w:szCs w:val="18"/>
                <w:lang w:val="ru-RU"/>
              </w:rPr>
              <w:br/>
            </w:r>
            <w:r w:rsidRPr="00694ACA">
              <w:rPr>
                <w:rFonts w:ascii="Lato" w:hAnsi="Lato"/>
                <w:color w:val="407C9B"/>
                <w:sz w:val="18"/>
                <w:szCs w:val="18"/>
                <w:lang w:val="ru-RU"/>
              </w:rPr>
              <w:t>Саудовская Аравия</w:t>
            </w:r>
            <w:r w:rsidR="00CD4D96" w:rsidRPr="00694ACA">
              <w:rPr>
                <w:rFonts w:ascii="Lato" w:hAnsi="Lato"/>
                <w:color w:val="407C9B"/>
                <w:sz w:val="18"/>
                <w:szCs w:val="18"/>
                <w:lang w:val="ru-RU"/>
              </w:rPr>
              <w:br/>
            </w:r>
            <w:r w:rsidRPr="00694ACA">
              <w:rPr>
                <w:rFonts w:ascii="Lato" w:hAnsi="Lato"/>
                <w:color w:val="407C9B"/>
                <w:sz w:val="18"/>
                <w:szCs w:val="18"/>
                <w:lang w:val="ru-RU"/>
              </w:rPr>
              <w:t>Тринидад и Тобаго</w:t>
            </w:r>
            <w:r w:rsidR="00CD4D96" w:rsidRPr="00694ACA">
              <w:rPr>
                <w:rFonts w:ascii="Lato" w:hAnsi="Lato"/>
                <w:color w:val="407C9B"/>
                <w:sz w:val="18"/>
                <w:szCs w:val="18"/>
                <w:lang w:val="ru-RU"/>
              </w:rPr>
              <w:br/>
            </w:r>
            <w:r w:rsidRPr="00694ACA">
              <w:rPr>
                <w:rFonts w:ascii="Lato" w:hAnsi="Lato"/>
                <w:color w:val="407C9B"/>
                <w:sz w:val="18"/>
                <w:szCs w:val="18"/>
                <w:lang w:val="ru-RU"/>
              </w:rPr>
              <w:t>ОАЭ</w:t>
            </w:r>
            <w:r w:rsidR="00CD4D96" w:rsidRPr="00694ACA">
              <w:rPr>
                <w:rFonts w:ascii="Lato" w:hAnsi="Lato"/>
                <w:color w:val="407C9B"/>
                <w:sz w:val="18"/>
                <w:szCs w:val="18"/>
                <w:lang w:val="ru-RU"/>
              </w:rPr>
              <w:br/>
            </w:r>
            <w:r w:rsidRPr="00694ACA">
              <w:rPr>
                <w:rFonts w:ascii="Lato" w:hAnsi="Lato"/>
                <w:color w:val="407C9B"/>
                <w:sz w:val="18"/>
                <w:szCs w:val="18"/>
                <w:lang w:val="ru-RU"/>
              </w:rPr>
              <w:t>Соединенное Королевство</w:t>
            </w:r>
          </w:p>
        </w:tc>
      </w:tr>
    </w:tbl>
    <w:p w14:paraId="10590C8C" w14:textId="78DB7AA5" w:rsidR="004B77F6" w:rsidRPr="00694ACA" w:rsidRDefault="004B77F6" w:rsidP="00CD4D96">
      <w:pPr>
        <w:spacing w:before="120"/>
        <w:ind w:left="-284"/>
        <w:rPr>
          <w:lang w:val="ru-RU"/>
        </w:rPr>
      </w:pPr>
      <w:r w:rsidRPr="00694ACA">
        <w:rPr>
          <w:highlight w:val="white"/>
          <w:lang w:val="ru-RU"/>
        </w:rPr>
        <w:t>Небольшое количество опрошенных также участвовали в трех дискуссионных группах</w:t>
      </w:r>
      <w:r w:rsidRPr="00694ACA">
        <w:rPr>
          <w:lang w:val="ru-RU"/>
        </w:rPr>
        <w:t>, созванных в части настоящего обзора.</w:t>
      </w:r>
      <w:r w:rsidR="00A579EF">
        <w:rPr>
          <w:lang w:val="ru-RU"/>
        </w:rPr>
        <w:t xml:space="preserve"> </w:t>
      </w:r>
      <w:r w:rsidRPr="00694ACA">
        <w:rPr>
          <w:lang w:val="ru-RU"/>
        </w:rPr>
        <w:t>Более того, члены рабочей группы также провели коллегиальное наблюдение в процессе обучения и семинаров-практикумов в некоторых из перечисленных выше организаций.</w:t>
      </w:r>
    </w:p>
    <w:sectPr w:rsidR="004B77F6" w:rsidRPr="00694ACA" w:rsidSect="001F560F">
      <w:headerReference w:type="first" r:id="rId23"/>
      <w:footerReference w:type="first" r:id="rId24"/>
      <w:pgSz w:w="11906" w:h="16838"/>
      <w:pgMar w:top="1440" w:right="1440" w:bottom="1440" w:left="1440" w:header="720" w:footer="680" w:gutter="0"/>
      <w:cols w:space="720" w:equalWidth="0">
        <w:col w:w="9360" w:space="720"/>
      </w:cols>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B3775" w14:textId="77777777" w:rsidR="00960467" w:rsidRDefault="00960467">
      <w:pPr>
        <w:spacing w:after="0"/>
      </w:pPr>
      <w:r>
        <w:separator/>
      </w:r>
    </w:p>
  </w:endnote>
  <w:endnote w:type="continuationSeparator" w:id="0">
    <w:p w14:paraId="691B5FCB" w14:textId="77777777" w:rsidR="00960467" w:rsidRDefault="00960467">
      <w:pPr>
        <w:spacing w:after="0"/>
      </w:pPr>
      <w:r>
        <w:continuationSeparator/>
      </w:r>
    </w:p>
  </w:endnote>
  <w:endnote w:type="continuationNotice" w:id="1">
    <w:p w14:paraId="03860AFC" w14:textId="77777777" w:rsidR="00960467" w:rsidRDefault="0096046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Calibri"/>
    <w:charset w:val="00"/>
    <w:family w:val="swiss"/>
    <w:pitch w:val="variable"/>
    <w:sig w:usb0="A00000AF" w:usb1="5000604B" w:usb2="00000000" w:usb3="00000000" w:csb0="00000093" w:csb1="00000000"/>
  </w:font>
  <w:font w:name="Lato Light">
    <w:altName w:val="Calibri"/>
    <w:charset w:val="00"/>
    <w:family w:val="auto"/>
    <w:pitch w:val="default"/>
  </w:font>
  <w:font w:name="Lato Black">
    <w:altName w:val="Segoe UI"/>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dy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9E91D" w14:textId="77777777" w:rsidR="00D577E1" w:rsidRDefault="00D577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CBC7F" w14:textId="64870040" w:rsidR="002B0D90" w:rsidRPr="00E77970" w:rsidRDefault="00E77970" w:rsidP="00E77970">
    <w:pPr>
      <w:tabs>
        <w:tab w:val="left" w:pos="5954"/>
        <w:tab w:val="right" w:pos="9639"/>
      </w:tabs>
      <w:overflowPunct w:val="0"/>
      <w:autoSpaceDE w:val="0"/>
      <w:autoSpaceDN w:val="0"/>
      <w:adjustRightInd w:val="0"/>
      <w:spacing w:after="0"/>
      <w:textAlignment w:val="baseline"/>
      <w:rPr>
        <w:rFonts w:ascii="Calibri" w:eastAsia="Times New Roman" w:hAnsi="Calibri" w:cs="Times New Roman"/>
        <w:caps/>
        <w:noProof/>
        <w:color w:val="auto"/>
        <w:sz w:val="16"/>
        <w:szCs w:val="18"/>
        <w:lang w:val="fr-FR"/>
      </w:rPr>
    </w:pPr>
    <w:r w:rsidRPr="00D577E1">
      <w:rPr>
        <w:rFonts w:ascii="Calibri" w:eastAsia="Times New Roman" w:hAnsi="Calibri" w:cs="Times New Roman"/>
        <w:caps/>
        <w:noProof/>
        <w:color w:val="F2F2F2" w:themeColor="background1" w:themeShade="F2"/>
        <w:sz w:val="16"/>
        <w:szCs w:val="18"/>
        <w:lang w:val="fr-CH"/>
      </w:rPr>
      <w:fldChar w:fldCharType="begin"/>
    </w:r>
    <w:r w:rsidRPr="00D577E1">
      <w:rPr>
        <w:rFonts w:ascii="Calibri" w:eastAsia="Times New Roman" w:hAnsi="Calibri" w:cs="Times New Roman"/>
        <w:caps/>
        <w:noProof/>
        <w:color w:val="F2F2F2" w:themeColor="background1" w:themeShade="F2"/>
        <w:sz w:val="16"/>
        <w:szCs w:val="18"/>
        <w:lang w:val="fr-CH"/>
      </w:rPr>
      <w:instrText xml:space="preserve"> FILENAME \p \* MERGEFORMAT </w:instrText>
    </w:r>
    <w:r w:rsidRPr="00D577E1">
      <w:rPr>
        <w:rFonts w:ascii="Calibri" w:eastAsia="Times New Roman" w:hAnsi="Calibri" w:cs="Times New Roman"/>
        <w:caps/>
        <w:noProof/>
        <w:color w:val="F2F2F2" w:themeColor="background1" w:themeShade="F2"/>
        <w:sz w:val="16"/>
        <w:szCs w:val="18"/>
        <w:lang w:val="fr-CH"/>
      </w:rPr>
      <w:fldChar w:fldCharType="separate"/>
    </w:r>
    <w:r w:rsidRPr="00D577E1">
      <w:rPr>
        <w:rFonts w:ascii="Calibri" w:eastAsia="Times New Roman" w:hAnsi="Calibri" w:cs="Times New Roman"/>
        <w:caps/>
        <w:noProof/>
        <w:color w:val="F2F2F2" w:themeColor="background1" w:themeShade="F2"/>
        <w:sz w:val="16"/>
        <w:szCs w:val="18"/>
        <w:lang w:val="fr-CH"/>
      </w:rPr>
      <w:t>P:\RUS\SG\CONSEIL\C21\000\032R.docx</w:t>
    </w:r>
    <w:r w:rsidRPr="00D577E1">
      <w:rPr>
        <w:rFonts w:ascii="Calibri" w:eastAsia="Times New Roman" w:hAnsi="Calibri" w:cs="Times New Roman"/>
        <w:caps/>
        <w:noProof/>
        <w:color w:val="F2F2F2" w:themeColor="background1" w:themeShade="F2"/>
        <w:sz w:val="16"/>
        <w:szCs w:val="18"/>
        <w:lang w:val="fr-CH"/>
      </w:rPr>
      <w:fldChar w:fldCharType="end"/>
    </w:r>
    <w:r w:rsidRPr="00D577E1">
      <w:rPr>
        <w:rFonts w:ascii="Calibri" w:eastAsia="Times New Roman" w:hAnsi="Calibri" w:cs="Times New Roman"/>
        <w:caps/>
        <w:noProof/>
        <w:color w:val="F2F2F2" w:themeColor="background1" w:themeShade="F2"/>
        <w:sz w:val="16"/>
        <w:szCs w:val="18"/>
        <w:lang w:val="fr-FR"/>
      </w:rPr>
      <w:t xml:space="preserve"> (483228)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61A5F" w14:textId="71C3BADE" w:rsidR="001F560F" w:rsidRPr="001F560F" w:rsidRDefault="001F560F" w:rsidP="001F560F">
    <w:pPr>
      <w:tabs>
        <w:tab w:val="left" w:pos="794"/>
        <w:tab w:val="left" w:pos="1191"/>
        <w:tab w:val="left" w:pos="1588"/>
        <w:tab w:val="left" w:pos="1985"/>
      </w:tabs>
      <w:overflowPunct w:val="0"/>
      <w:autoSpaceDE w:val="0"/>
      <w:autoSpaceDN w:val="0"/>
      <w:adjustRightInd w:val="0"/>
      <w:spacing w:before="120" w:after="120"/>
      <w:jc w:val="center"/>
      <w:textAlignment w:val="baseline"/>
      <w:rPr>
        <w:rFonts w:ascii="Calibri" w:eastAsia="Times New Roman" w:hAnsi="Calibri" w:cs="Times New Roman"/>
        <w:color w:val="auto"/>
        <w:sz w:val="22"/>
        <w:szCs w:val="20"/>
      </w:rPr>
    </w:pPr>
    <w:r w:rsidRPr="001F560F">
      <w:rPr>
        <w:rFonts w:ascii="Calibri" w:eastAsia="Times New Roman" w:hAnsi="Calibri" w:cs="Times New Roman"/>
        <w:color w:val="auto"/>
        <w:sz w:val="22"/>
        <w:szCs w:val="20"/>
      </w:rPr>
      <w:t xml:space="preserve">• </w:t>
    </w:r>
    <w:hyperlink r:id="rId1" w:history="1">
      <w:r w:rsidRPr="001F560F">
        <w:rPr>
          <w:rFonts w:ascii="Calibri" w:eastAsia="Times New Roman" w:hAnsi="Calibri" w:cs="Times New Roman"/>
          <w:color w:val="0000FF"/>
          <w:sz w:val="22"/>
          <w:szCs w:val="20"/>
          <w:u w:val="single"/>
        </w:rPr>
        <w:t>http://www.itu.int/council</w:t>
      </w:r>
    </w:hyperlink>
    <w:r w:rsidRPr="001F560F">
      <w:rPr>
        <w:rFonts w:ascii="Calibri" w:eastAsia="Times New Roman" w:hAnsi="Calibri" w:cs="Times New Roman"/>
        <w:color w:val="auto"/>
        <w:sz w:val="22"/>
        <w:szCs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AFA78" w14:textId="77777777" w:rsidR="001F560F" w:rsidRPr="005D3048" w:rsidRDefault="001F560F" w:rsidP="005D3048">
    <w:pPr>
      <w:spacing w:after="360"/>
      <w:jc w:val="center"/>
      <w:rPr>
        <w:color w:val="D9D9D9"/>
        <w:sz w:val="18"/>
        <w:szCs w:val="18"/>
      </w:rPr>
    </w:pPr>
    <w:r>
      <w:rPr>
        <w:color w:val="D9D9D9"/>
        <w:sz w:val="18"/>
        <w:szCs w:val="18"/>
      </w:rPr>
      <w:t xml:space="preserve">Jigsaw Consult Ltd is a company registered in England &amp; Wales under no. 06844615 </w:t>
    </w:r>
    <w:r>
      <w:rPr>
        <w:color w:val="D9D9D9"/>
        <w:sz w:val="18"/>
        <w:szCs w:val="18"/>
      </w:rPr>
      <w:br/>
      <w:t>at 1st Floor Salvation Army Building, Manor Park Road, London, NW10 4JJ.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05293" w14:textId="77777777" w:rsidR="00960467" w:rsidRDefault="00960467">
      <w:pPr>
        <w:spacing w:after="0"/>
      </w:pPr>
      <w:r>
        <w:separator/>
      </w:r>
    </w:p>
  </w:footnote>
  <w:footnote w:type="continuationSeparator" w:id="0">
    <w:p w14:paraId="7A1B784A" w14:textId="77777777" w:rsidR="00960467" w:rsidRDefault="00960467">
      <w:pPr>
        <w:spacing w:after="0"/>
      </w:pPr>
      <w:r>
        <w:continuationSeparator/>
      </w:r>
    </w:p>
  </w:footnote>
  <w:footnote w:type="continuationNotice" w:id="1">
    <w:p w14:paraId="364C8631" w14:textId="77777777" w:rsidR="00960467" w:rsidRDefault="00960467">
      <w:pPr>
        <w:spacing w:after="0"/>
      </w:pPr>
    </w:p>
  </w:footnote>
  <w:footnote w:id="2">
    <w:p w14:paraId="4BD3B983" w14:textId="23D9B966" w:rsidR="002B0D90" w:rsidRPr="005E44D9" w:rsidRDefault="002B0D90" w:rsidP="0024215C">
      <w:pPr>
        <w:pStyle w:val="FootnoteText"/>
        <w:rPr>
          <w:lang w:val="ru-RU"/>
        </w:rPr>
      </w:pPr>
      <w:r>
        <w:rPr>
          <w:rStyle w:val="FootnoteReference"/>
        </w:rPr>
        <w:footnoteRef/>
      </w:r>
      <w:r w:rsidRPr="0024215C">
        <w:rPr>
          <w:lang w:val="ru-RU"/>
        </w:rPr>
        <w:t xml:space="preserve"> </w:t>
      </w:r>
      <w:r>
        <w:rPr>
          <w:lang w:val="ru-RU"/>
        </w:rPr>
        <w:t>В</w:t>
      </w:r>
      <w:r w:rsidRPr="0024215C">
        <w:rPr>
          <w:lang w:val="ru-RU"/>
        </w:rPr>
        <w:t xml:space="preserve"> </w:t>
      </w:r>
      <w:r>
        <w:rPr>
          <w:lang w:val="ru-RU"/>
        </w:rPr>
        <w:t>свете</w:t>
      </w:r>
      <w:r w:rsidRPr="0024215C">
        <w:rPr>
          <w:lang w:val="ru-RU"/>
        </w:rPr>
        <w:t xml:space="preserve"> </w:t>
      </w:r>
      <w:r>
        <w:rPr>
          <w:lang w:val="ru-RU"/>
        </w:rPr>
        <w:t>трудностей</w:t>
      </w:r>
      <w:r w:rsidRPr="0024215C">
        <w:rPr>
          <w:lang w:val="ru-RU"/>
        </w:rPr>
        <w:t xml:space="preserve">, </w:t>
      </w:r>
      <w:r>
        <w:rPr>
          <w:lang w:val="ru-RU"/>
        </w:rPr>
        <w:t xml:space="preserve">сопряженных с пандемией </w:t>
      </w:r>
      <w:r>
        <w:t>COVID</w:t>
      </w:r>
      <w:r w:rsidRPr="0024215C">
        <w:rPr>
          <w:lang w:val="ru-RU"/>
        </w:rPr>
        <w:t>-19</w:t>
      </w:r>
      <w:r>
        <w:rPr>
          <w:lang w:val="ru-RU"/>
        </w:rPr>
        <w:t xml:space="preserve">, все интервью проводились в </w:t>
      </w:r>
      <w:r>
        <w:t>Zoom</w:t>
      </w:r>
      <w:r w:rsidR="005E44D9" w:rsidRPr="005E44D9">
        <w:rPr>
          <w:lang w:val="ru-RU"/>
        </w:rPr>
        <w:t>.</w:t>
      </w:r>
    </w:p>
  </w:footnote>
  <w:footnote w:id="3">
    <w:p w14:paraId="12F35CFF" w14:textId="5F9C35D1" w:rsidR="002B0D90" w:rsidRPr="00DC13F0" w:rsidRDefault="002B0D90" w:rsidP="0024215C">
      <w:pPr>
        <w:pStyle w:val="FootnoteText"/>
        <w:rPr>
          <w:lang w:val="ru-RU"/>
        </w:rPr>
      </w:pPr>
      <w:r>
        <w:rPr>
          <w:rStyle w:val="FootnoteReference"/>
        </w:rPr>
        <w:footnoteRef/>
      </w:r>
      <w:r w:rsidRPr="007565AD">
        <w:rPr>
          <w:lang w:val="ru-RU"/>
        </w:rPr>
        <w:t xml:space="preserve"> </w:t>
      </w:r>
      <w:r>
        <w:rPr>
          <w:lang w:val="ru-RU"/>
        </w:rPr>
        <w:t>См</w:t>
      </w:r>
      <w:r w:rsidRPr="007565AD">
        <w:rPr>
          <w:lang w:val="ru-RU"/>
        </w:rPr>
        <w:t xml:space="preserve">., </w:t>
      </w:r>
      <w:r>
        <w:rPr>
          <w:lang w:val="ru-RU"/>
        </w:rPr>
        <w:t>к</w:t>
      </w:r>
      <w:r w:rsidRPr="007565AD">
        <w:rPr>
          <w:lang w:val="ru-RU"/>
        </w:rPr>
        <w:t xml:space="preserve"> пример</w:t>
      </w:r>
      <w:r>
        <w:rPr>
          <w:lang w:val="ru-RU"/>
        </w:rPr>
        <w:t>у</w:t>
      </w:r>
      <w:r w:rsidRPr="007565AD">
        <w:rPr>
          <w:lang w:val="ru-RU"/>
        </w:rPr>
        <w:t xml:space="preserve">, </w:t>
      </w:r>
      <w:r w:rsidR="008548DF">
        <w:rPr>
          <w:lang w:val="ru-RU"/>
        </w:rPr>
        <w:t>доклад</w:t>
      </w:r>
      <w:r w:rsidRPr="007565AD">
        <w:rPr>
          <w:lang w:val="ru-RU"/>
        </w:rPr>
        <w:t xml:space="preserve"> Генерального секретаря ООН (2020 год): Дорожная карта </w:t>
      </w:r>
      <w:r>
        <w:rPr>
          <w:lang w:val="ru-RU"/>
        </w:rPr>
        <w:t>по</w:t>
      </w:r>
      <w:r w:rsidRPr="007565AD">
        <w:rPr>
          <w:lang w:val="ru-RU"/>
        </w:rPr>
        <w:t xml:space="preserve"> цифрово</w:t>
      </w:r>
      <w:r>
        <w:rPr>
          <w:lang w:val="ru-RU"/>
        </w:rPr>
        <w:t>му</w:t>
      </w:r>
      <w:r w:rsidRPr="007565AD">
        <w:rPr>
          <w:lang w:val="ru-RU"/>
        </w:rPr>
        <w:t xml:space="preserve"> сотрудничеств</w:t>
      </w:r>
      <w:r>
        <w:rPr>
          <w:lang w:val="ru-RU"/>
        </w:rPr>
        <w:t>у</w:t>
      </w:r>
      <w:r w:rsidRPr="007565AD">
        <w:rPr>
          <w:lang w:val="ru-RU"/>
        </w:rPr>
        <w:t xml:space="preserve">, Нью-Йорк: Организация Объединенных Наций. </w:t>
      </w:r>
      <w:r w:rsidRPr="00DC13F0">
        <w:rPr>
          <w:lang w:val="ru-RU"/>
        </w:rPr>
        <w:t>"</w:t>
      </w:r>
      <w:r>
        <w:rPr>
          <w:lang w:val="ru-RU"/>
        </w:rPr>
        <w:t>Создание</w:t>
      </w:r>
      <w:r w:rsidRPr="00DC13F0">
        <w:rPr>
          <w:lang w:val="ru-RU"/>
        </w:rPr>
        <w:t xml:space="preserve"> потенциала" упоминается 16</w:t>
      </w:r>
      <w:r w:rsidR="005E44D9">
        <w:rPr>
          <w:lang w:val="en-US"/>
        </w:rPr>
        <w:t> </w:t>
      </w:r>
      <w:r w:rsidRPr="00DC13F0">
        <w:rPr>
          <w:lang w:val="ru-RU"/>
        </w:rPr>
        <w:t>раз, при этом на стр. 12</w:t>
      </w:r>
      <w:r w:rsidR="005E44D9" w:rsidRPr="005E44D9">
        <w:rPr>
          <w:lang w:val="ru-RU"/>
        </w:rPr>
        <w:t>−</w:t>
      </w:r>
      <w:r w:rsidRPr="00DC13F0">
        <w:rPr>
          <w:lang w:val="ru-RU"/>
        </w:rPr>
        <w:t xml:space="preserve">13 конкретно говорится о </w:t>
      </w:r>
      <w:r>
        <w:rPr>
          <w:lang w:val="ru-RU"/>
        </w:rPr>
        <w:t>создании</w:t>
      </w:r>
      <w:r w:rsidRPr="00DC13F0">
        <w:rPr>
          <w:lang w:val="ru-RU"/>
        </w:rPr>
        <w:t xml:space="preserve"> цифрового потенциала. См. также </w:t>
      </w:r>
      <w:r w:rsidRPr="001119AF">
        <w:rPr>
          <w:lang w:val="ru-RU"/>
        </w:rPr>
        <w:t>экспертно-аналитическ</w:t>
      </w:r>
      <w:r>
        <w:rPr>
          <w:lang w:val="ru-RU"/>
        </w:rPr>
        <w:t xml:space="preserve">ий </w:t>
      </w:r>
      <w:r w:rsidRPr="001119AF">
        <w:rPr>
          <w:lang w:val="ru-RU"/>
        </w:rPr>
        <w:t>центр</w:t>
      </w:r>
      <w:r w:rsidRPr="00DC13F0">
        <w:rPr>
          <w:lang w:val="ru-RU"/>
        </w:rPr>
        <w:t xml:space="preserve"> Европейского парламента (2017 г.) Понимание создания потенциала/развития потенциала: Основная концепция политики в области развития, </w:t>
      </w:r>
      <w:r w:rsidR="00D577E1">
        <w:fldChar w:fldCharType="begin"/>
      </w:r>
      <w:r w:rsidR="00D577E1" w:rsidRPr="00D577E1">
        <w:rPr>
          <w:lang w:val="ru-RU"/>
        </w:rPr>
        <w:instrText xml:space="preserve"> </w:instrText>
      </w:r>
      <w:r w:rsidR="00D577E1">
        <w:instrText>HYPERLINK</w:instrText>
      </w:r>
      <w:r w:rsidR="00D577E1" w:rsidRPr="00D577E1">
        <w:rPr>
          <w:lang w:val="ru-RU"/>
        </w:rPr>
        <w:instrText xml:space="preserve"> "</w:instrText>
      </w:r>
      <w:r w:rsidR="00D577E1">
        <w:instrText>https</w:instrText>
      </w:r>
      <w:r w:rsidR="00D577E1" w:rsidRPr="00D577E1">
        <w:rPr>
          <w:lang w:val="ru-RU"/>
        </w:rPr>
        <w:instrText>://</w:instrText>
      </w:r>
      <w:r w:rsidR="00D577E1">
        <w:instrText>www</w:instrText>
      </w:r>
      <w:r w:rsidR="00D577E1" w:rsidRPr="00D577E1">
        <w:rPr>
          <w:lang w:val="ru-RU"/>
        </w:rPr>
        <w:instrText>.</w:instrText>
      </w:r>
      <w:r w:rsidR="00D577E1">
        <w:instrText>europarl</w:instrText>
      </w:r>
      <w:r w:rsidR="00D577E1" w:rsidRPr="00D577E1">
        <w:rPr>
          <w:lang w:val="ru-RU"/>
        </w:rPr>
        <w:instrText>.</w:instrText>
      </w:r>
      <w:r w:rsidR="00D577E1">
        <w:instrText>europa</w:instrText>
      </w:r>
      <w:r w:rsidR="00D577E1" w:rsidRPr="00D577E1">
        <w:rPr>
          <w:lang w:val="ru-RU"/>
        </w:rPr>
        <w:instrText>.</w:instrText>
      </w:r>
      <w:r w:rsidR="00D577E1">
        <w:instrText>eu</w:instrText>
      </w:r>
      <w:r w:rsidR="00D577E1" w:rsidRPr="00D577E1">
        <w:rPr>
          <w:lang w:val="ru-RU"/>
        </w:rPr>
        <w:instrText>/</w:instrText>
      </w:r>
      <w:r w:rsidR="00D577E1">
        <w:instrText>thinktank</w:instrText>
      </w:r>
      <w:r w:rsidR="00D577E1" w:rsidRPr="00D577E1">
        <w:rPr>
          <w:lang w:val="ru-RU"/>
        </w:rPr>
        <w:instrText>/</w:instrText>
      </w:r>
      <w:r w:rsidR="00D577E1">
        <w:instrText>en</w:instrText>
      </w:r>
      <w:r w:rsidR="00D577E1" w:rsidRPr="00D577E1">
        <w:rPr>
          <w:lang w:val="ru-RU"/>
        </w:rPr>
        <w:instrText>/</w:instrText>
      </w:r>
      <w:r w:rsidR="00D577E1">
        <w:instrText>document</w:instrText>
      </w:r>
      <w:r w:rsidR="00D577E1" w:rsidRPr="00D577E1">
        <w:rPr>
          <w:lang w:val="ru-RU"/>
        </w:rPr>
        <w:instrText>.</w:instrText>
      </w:r>
      <w:r w:rsidR="00D577E1">
        <w:instrText>html</w:instrText>
      </w:r>
      <w:r w:rsidR="00D577E1" w:rsidRPr="00D577E1">
        <w:rPr>
          <w:lang w:val="ru-RU"/>
        </w:rPr>
        <w:instrText>?</w:instrText>
      </w:r>
      <w:r w:rsidR="00D577E1">
        <w:instrText>reference</w:instrText>
      </w:r>
      <w:r w:rsidR="00D577E1" w:rsidRPr="00D577E1">
        <w:rPr>
          <w:lang w:val="ru-RU"/>
        </w:rPr>
        <w:instrText>=</w:instrText>
      </w:r>
      <w:r w:rsidR="00D577E1">
        <w:instrText>EPRS</w:instrText>
      </w:r>
      <w:r w:rsidR="00D577E1" w:rsidRPr="00D577E1">
        <w:rPr>
          <w:lang w:val="ru-RU"/>
        </w:rPr>
        <w:instrText>_</w:instrText>
      </w:r>
      <w:r w:rsidR="00D577E1">
        <w:instrText>BRI</w:instrText>
      </w:r>
      <w:r w:rsidR="00D577E1" w:rsidRPr="00D577E1">
        <w:rPr>
          <w:lang w:val="ru-RU"/>
        </w:rPr>
        <w:instrText>(2017</w:instrText>
      </w:r>
      <w:r w:rsidR="00D577E1" w:rsidRPr="00D577E1">
        <w:rPr>
          <w:lang w:val="ru-RU"/>
        </w:rPr>
        <w:instrText xml:space="preserve">)599411" </w:instrText>
      </w:r>
      <w:r w:rsidR="00D577E1">
        <w:fldChar w:fldCharType="separate"/>
      </w:r>
      <w:r w:rsidR="005E44D9" w:rsidRPr="009F3CE7">
        <w:rPr>
          <w:rStyle w:val="Hyperlink"/>
        </w:rPr>
        <w:t>https</w:t>
      </w:r>
      <w:r w:rsidR="005E44D9" w:rsidRPr="009F3CE7">
        <w:rPr>
          <w:rStyle w:val="Hyperlink"/>
          <w:lang w:val="ru-RU"/>
        </w:rPr>
        <w:t>://</w:t>
      </w:r>
      <w:r w:rsidR="005E44D9" w:rsidRPr="009F3CE7">
        <w:rPr>
          <w:rStyle w:val="Hyperlink"/>
        </w:rPr>
        <w:t>www</w:t>
      </w:r>
      <w:r w:rsidR="005E44D9" w:rsidRPr="009F3CE7">
        <w:rPr>
          <w:rStyle w:val="Hyperlink"/>
          <w:lang w:val="ru-RU"/>
        </w:rPr>
        <w:t>.</w:t>
      </w:r>
      <w:r w:rsidR="005E44D9" w:rsidRPr="009F3CE7">
        <w:rPr>
          <w:rStyle w:val="Hyperlink"/>
        </w:rPr>
        <w:t>europarl</w:t>
      </w:r>
      <w:r w:rsidR="005E44D9" w:rsidRPr="009F3CE7">
        <w:rPr>
          <w:rStyle w:val="Hyperlink"/>
          <w:lang w:val="ru-RU"/>
        </w:rPr>
        <w:t>.</w:t>
      </w:r>
      <w:r w:rsidR="005E44D9" w:rsidRPr="009F3CE7">
        <w:rPr>
          <w:rStyle w:val="Hyperlink"/>
        </w:rPr>
        <w:t>europa</w:t>
      </w:r>
      <w:r w:rsidR="005E44D9" w:rsidRPr="009F3CE7">
        <w:rPr>
          <w:rStyle w:val="Hyperlink"/>
          <w:lang w:val="ru-RU"/>
        </w:rPr>
        <w:t>.</w:t>
      </w:r>
      <w:r w:rsidR="005E44D9" w:rsidRPr="009F3CE7">
        <w:rPr>
          <w:rStyle w:val="Hyperlink"/>
        </w:rPr>
        <w:t>eu</w:t>
      </w:r>
      <w:r w:rsidR="005E44D9" w:rsidRPr="009F3CE7">
        <w:rPr>
          <w:rStyle w:val="Hyperlink"/>
          <w:lang w:val="ru-RU"/>
        </w:rPr>
        <w:t>/</w:t>
      </w:r>
      <w:r w:rsidR="005E44D9" w:rsidRPr="009F3CE7">
        <w:rPr>
          <w:rStyle w:val="Hyperlink"/>
        </w:rPr>
        <w:t>thinktank</w:t>
      </w:r>
      <w:r w:rsidR="005E44D9" w:rsidRPr="009F3CE7">
        <w:rPr>
          <w:rStyle w:val="Hyperlink"/>
          <w:lang w:val="ru-RU"/>
        </w:rPr>
        <w:t>/</w:t>
      </w:r>
      <w:r w:rsidR="005E44D9" w:rsidRPr="009F3CE7">
        <w:rPr>
          <w:rStyle w:val="Hyperlink"/>
        </w:rPr>
        <w:t>en</w:t>
      </w:r>
      <w:r w:rsidR="005E44D9" w:rsidRPr="009F3CE7">
        <w:rPr>
          <w:rStyle w:val="Hyperlink"/>
          <w:lang w:val="ru-RU"/>
        </w:rPr>
        <w:t>/</w:t>
      </w:r>
      <w:r w:rsidR="005E44D9" w:rsidRPr="009F3CE7">
        <w:rPr>
          <w:rStyle w:val="Hyperlink"/>
        </w:rPr>
        <w:t>document</w:t>
      </w:r>
      <w:r w:rsidR="005E44D9" w:rsidRPr="009F3CE7">
        <w:rPr>
          <w:rStyle w:val="Hyperlink"/>
          <w:lang w:val="ru-RU"/>
        </w:rPr>
        <w:t>.</w:t>
      </w:r>
      <w:r w:rsidR="005E44D9" w:rsidRPr="009F3CE7">
        <w:rPr>
          <w:rStyle w:val="Hyperlink"/>
        </w:rPr>
        <w:t>html</w:t>
      </w:r>
      <w:r w:rsidR="005E44D9" w:rsidRPr="009F3CE7">
        <w:rPr>
          <w:rStyle w:val="Hyperlink"/>
          <w:lang w:val="ru-RU"/>
        </w:rPr>
        <w:t>?</w:t>
      </w:r>
      <w:r w:rsidR="005E44D9" w:rsidRPr="009F3CE7">
        <w:rPr>
          <w:rStyle w:val="Hyperlink"/>
        </w:rPr>
        <w:t>reference</w:t>
      </w:r>
      <w:r w:rsidR="005E44D9" w:rsidRPr="009F3CE7">
        <w:rPr>
          <w:rStyle w:val="Hyperlink"/>
          <w:lang w:val="ru-RU"/>
        </w:rPr>
        <w:t>=</w:t>
      </w:r>
      <w:r w:rsidR="005E44D9" w:rsidRPr="009F3CE7">
        <w:rPr>
          <w:rStyle w:val="Hyperlink"/>
        </w:rPr>
        <w:t>EPRS</w:t>
      </w:r>
      <w:r w:rsidR="005E44D9" w:rsidRPr="009F3CE7">
        <w:rPr>
          <w:rStyle w:val="Hyperlink"/>
          <w:lang w:val="ru-RU"/>
        </w:rPr>
        <w:t>_</w:t>
      </w:r>
      <w:r w:rsidR="005E44D9" w:rsidRPr="009F3CE7">
        <w:rPr>
          <w:rStyle w:val="Hyperlink"/>
        </w:rPr>
        <w:t>BRI</w:t>
      </w:r>
      <w:r w:rsidR="005E44D9" w:rsidRPr="009F3CE7">
        <w:rPr>
          <w:rStyle w:val="Hyperlink"/>
          <w:lang w:val="ru-RU"/>
        </w:rPr>
        <w:t>(2017)599411</w:t>
      </w:r>
      <w:r w:rsidR="00D577E1">
        <w:rPr>
          <w:rStyle w:val="Hyperlink"/>
          <w:lang w:val="ru-RU"/>
        </w:rPr>
        <w:fldChar w:fldCharType="end"/>
      </w:r>
      <w:r w:rsidRPr="00DC13F0">
        <w:rPr>
          <w:lang w:val="ru-RU"/>
        </w:rPr>
        <w:t>.</w:t>
      </w:r>
    </w:p>
  </w:footnote>
  <w:footnote w:id="4">
    <w:p w14:paraId="0AC8F76B" w14:textId="0BF0065A" w:rsidR="002B0D90" w:rsidRPr="007565AD" w:rsidRDefault="002B0D90" w:rsidP="00DC13F0">
      <w:pPr>
        <w:pStyle w:val="FootnoteText"/>
        <w:rPr>
          <w:lang w:val="ru-RU"/>
        </w:rPr>
      </w:pPr>
      <w:r>
        <w:rPr>
          <w:rStyle w:val="FootnoteReference"/>
        </w:rPr>
        <w:footnoteRef/>
      </w:r>
      <w:r w:rsidRPr="007565AD">
        <w:rPr>
          <w:lang w:val="ru-RU"/>
        </w:rPr>
        <w:t xml:space="preserve"> Краткое резюме </w:t>
      </w:r>
      <w:r>
        <w:rPr>
          <w:lang w:val="ru-RU"/>
        </w:rPr>
        <w:t>содержится</w:t>
      </w:r>
      <w:r w:rsidRPr="007565AD">
        <w:rPr>
          <w:lang w:val="ru-RU"/>
        </w:rPr>
        <w:t xml:space="preserve"> в Парижской декларации и Аккрской программе действий ОЭСР, </w:t>
      </w:r>
      <w:r w:rsidR="00D577E1">
        <w:fldChar w:fldCharType="begin"/>
      </w:r>
      <w:r w:rsidR="00D577E1" w:rsidRPr="00D577E1">
        <w:rPr>
          <w:lang w:val="ru-RU"/>
        </w:rPr>
        <w:instrText xml:space="preserve"> </w:instrText>
      </w:r>
      <w:r w:rsidR="00D577E1">
        <w:instrText>HYPERLINK</w:instrText>
      </w:r>
      <w:r w:rsidR="00D577E1" w:rsidRPr="00D577E1">
        <w:rPr>
          <w:lang w:val="ru-RU"/>
        </w:rPr>
        <w:instrText xml:space="preserve"> "</w:instrText>
      </w:r>
      <w:r w:rsidR="00D577E1">
        <w:instrText>https</w:instrText>
      </w:r>
      <w:r w:rsidR="00D577E1" w:rsidRPr="00D577E1">
        <w:rPr>
          <w:lang w:val="ru-RU"/>
        </w:rPr>
        <w:instrText>://</w:instrText>
      </w:r>
      <w:r w:rsidR="00D577E1">
        <w:instrText>www</w:instrText>
      </w:r>
      <w:r w:rsidR="00D577E1" w:rsidRPr="00D577E1">
        <w:rPr>
          <w:lang w:val="ru-RU"/>
        </w:rPr>
        <w:instrText>.</w:instrText>
      </w:r>
      <w:r w:rsidR="00D577E1">
        <w:instrText>oecd</w:instrText>
      </w:r>
      <w:r w:rsidR="00D577E1" w:rsidRPr="00D577E1">
        <w:rPr>
          <w:lang w:val="ru-RU"/>
        </w:rPr>
        <w:instrText>.</w:instrText>
      </w:r>
      <w:r w:rsidR="00D577E1">
        <w:instrText>org</w:instrText>
      </w:r>
      <w:r w:rsidR="00D577E1" w:rsidRPr="00D577E1">
        <w:rPr>
          <w:lang w:val="ru-RU"/>
        </w:rPr>
        <w:instrText>/</w:instrText>
      </w:r>
      <w:r w:rsidR="00D577E1">
        <w:instrText>dac</w:instrText>
      </w:r>
      <w:r w:rsidR="00D577E1" w:rsidRPr="00D577E1">
        <w:rPr>
          <w:lang w:val="ru-RU"/>
        </w:rPr>
        <w:instrText>/</w:instrText>
      </w:r>
      <w:r w:rsidR="00D577E1">
        <w:instrText>effectiveness</w:instrText>
      </w:r>
      <w:r w:rsidR="00D577E1" w:rsidRPr="00D577E1">
        <w:rPr>
          <w:lang w:val="ru-RU"/>
        </w:rPr>
        <w:instrText>/</w:instrText>
      </w:r>
      <w:r w:rsidR="00D577E1">
        <w:instrText>parisdeclarationandaccraagendaforaction</w:instrText>
      </w:r>
      <w:r w:rsidR="00D577E1" w:rsidRPr="00D577E1">
        <w:rPr>
          <w:lang w:val="ru-RU"/>
        </w:rPr>
        <w:instrText>.</w:instrText>
      </w:r>
      <w:r w:rsidR="00D577E1">
        <w:instrText>htm</w:instrText>
      </w:r>
      <w:r w:rsidR="00D577E1" w:rsidRPr="00D577E1">
        <w:rPr>
          <w:lang w:val="ru-RU"/>
        </w:rPr>
        <w:instrText xml:space="preserve">" </w:instrText>
      </w:r>
      <w:r w:rsidR="00D577E1">
        <w:fldChar w:fldCharType="separate"/>
      </w:r>
      <w:r w:rsidR="005E44D9" w:rsidRPr="009F3CE7">
        <w:rPr>
          <w:rStyle w:val="Hyperlink"/>
          <w:lang w:val="en"/>
        </w:rPr>
        <w:t>https</w:t>
      </w:r>
      <w:r w:rsidR="005E44D9" w:rsidRPr="009F3CE7">
        <w:rPr>
          <w:rStyle w:val="Hyperlink"/>
          <w:lang w:val="ru-RU"/>
        </w:rPr>
        <w:t>://</w:t>
      </w:r>
      <w:r w:rsidR="005E44D9" w:rsidRPr="009F3CE7">
        <w:rPr>
          <w:rStyle w:val="Hyperlink"/>
          <w:lang w:val="en"/>
        </w:rPr>
        <w:t>www</w:t>
      </w:r>
      <w:r w:rsidR="005E44D9" w:rsidRPr="009F3CE7">
        <w:rPr>
          <w:rStyle w:val="Hyperlink"/>
          <w:lang w:val="ru-RU"/>
        </w:rPr>
        <w:t>.</w:t>
      </w:r>
      <w:r w:rsidR="005E44D9" w:rsidRPr="009F3CE7">
        <w:rPr>
          <w:rStyle w:val="Hyperlink"/>
          <w:lang w:val="en"/>
        </w:rPr>
        <w:t>oecd</w:t>
      </w:r>
      <w:r w:rsidR="005E44D9" w:rsidRPr="009F3CE7">
        <w:rPr>
          <w:rStyle w:val="Hyperlink"/>
          <w:lang w:val="ru-RU"/>
        </w:rPr>
        <w:t>.</w:t>
      </w:r>
      <w:r w:rsidR="005E44D9" w:rsidRPr="009F3CE7">
        <w:rPr>
          <w:rStyle w:val="Hyperlink"/>
          <w:lang w:val="en"/>
        </w:rPr>
        <w:t>org</w:t>
      </w:r>
      <w:r w:rsidR="005E44D9" w:rsidRPr="009F3CE7">
        <w:rPr>
          <w:rStyle w:val="Hyperlink"/>
          <w:lang w:val="ru-RU"/>
        </w:rPr>
        <w:t>/</w:t>
      </w:r>
      <w:r w:rsidR="005E44D9" w:rsidRPr="009F3CE7">
        <w:rPr>
          <w:rStyle w:val="Hyperlink"/>
          <w:lang w:val="en"/>
        </w:rPr>
        <w:t>dac</w:t>
      </w:r>
      <w:r w:rsidR="005E44D9" w:rsidRPr="009F3CE7">
        <w:rPr>
          <w:rStyle w:val="Hyperlink"/>
          <w:lang w:val="ru-RU"/>
        </w:rPr>
        <w:t>/</w:t>
      </w:r>
      <w:r w:rsidR="005E44D9" w:rsidRPr="009F3CE7">
        <w:rPr>
          <w:rStyle w:val="Hyperlink"/>
          <w:lang w:val="en"/>
        </w:rPr>
        <w:t>effectiveness</w:t>
      </w:r>
      <w:r w:rsidR="005E44D9" w:rsidRPr="009F3CE7">
        <w:rPr>
          <w:rStyle w:val="Hyperlink"/>
          <w:lang w:val="ru-RU"/>
        </w:rPr>
        <w:t>/</w:t>
      </w:r>
      <w:r w:rsidR="005E44D9" w:rsidRPr="009F3CE7">
        <w:rPr>
          <w:rStyle w:val="Hyperlink"/>
          <w:lang w:val="en"/>
        </w:rPr>
        <w:t>parisdeclarationandaccraagendaforaction</w:t>
      </w:r>
      <w:r w:rsidR="005E44D9" w:rsidRPr="009F3CE7">
        <w:rPr>
          <w:rStyle w:val="Hyperlink"/>
          <w:lang w:val="ru-RU"/>
        </w:rPr>
        <w:t>.</w:t>
      </w:r>
      <w:r w:rsidR="005E44D9" w:rsidRPr="009F3CE7">
        <w:rPr>
          <w:rStyle w:val="Hyperlink"/>
          <w:lang w:val="en"/>
        </w:rPr>
        <w:t>htm</w:t>
      </w:r>
      <w:r w:rsidR="00D577E1">
        <w:rPr>
          <w:rStyle w:val="Hyperlink"/>
          <w:lang w:val="en"/>
        </w:rPr>
        <w:fldChar w:fldCharType="end"/>
      </w:r>
      <w:r w:rsidRPr="007565AD">
        <w:rPr>
          <w:lang w:val="ru-RU"/>
        </w:rPr>
        <w:t>.</w:t>
      </w:r>
    </w:p>
  </w:footnote>
  <w:footnote w:id="5">
    <w:p w14:paraId="2BE8AC9D" w14:textId="629CC68C" w:rsidR="002B0D90" w:rsidRDefault="002B0D90" w:rsidP="00DC13F0">
      <w:pPr>
        <w:pStyle w:val="FootnoteText"/>
      </w:pPr>
      <w:r>
        <w:rPr>
          <w:rStyle w:val="FootnoteReference"/>
        </w:rPr>
        <w:footnoteRef/>
      </w:r>
      <w:r>
        <w:t xml:space="preserve"> Kurbalija, J. (2012) What is the difference between training and capacity development?, </w:t>
      </w:r>
      <w:r>
        <w:rPr>
          <w:i/>
          <w:iCs/>
        </w:rPr>
        <w:t>Diplo Blog</w:t>
      </w:r>
      <w:r>
        <w:t xml:space="preserve">, </w:t>
      </w:r>
      <w:hyperlink r:id="rId1" w:history="1">
        <w:r w:rsidRPr="005A7247">
          <w:t>https://www.diplomacy.edu/blog/what-difference-between-training-and-</w:t>
        </w:r>
        <w:r>
          <w:t>capacity</w:t>
        </w:r>
        <w:r w:rsidRPr="005A7247">
          <w:t>-development</w:t>
        </w:r>
      </w:hyperlink>
      <w:r>
        <w:t>.</w:t>
      </w:r>
    </w:p>
  </w:footnote>
  <w:footnote w:id="6">
    <w:p w14:paraId="6673C14A" w14:textId="4C72E8F7" w:rsidR="002B0D90" w:rsidRDefault="002B0D90" w:rsidP="00DC13F0">
      <w:pPr>
        <w:pStyle w:val="FootnoteText"/>
      </w:pPr>
      <w:r>
        <w:rPr>
          <w:rStyle w:val="FootnoteReference"/>
        </w:rPr>
        <w:footnoteRef/>
      </w:r>
      <w:r>
        <w:t xml:space="preserve"> </w:t>
      </w:r>
      <w:r>
        <w:rPr>
          <w:lang w:val="ru-RU"/>
        </w:rPr>
        <w:t>См</w:t>
      </w:r>
      <w:r w:rsidRPr="007565AD">
        <w:rPr>
          <w:lang w:val="en-US"/>
        </w:rPr>
        <w:t>.</w:t>
      </w:r>
      <w:r>
        <w:t xml:space="preserve"> Thomas, V. (2006) Linking individual, organizational, and institutional capacity building to results, </w:t>
      </w:r>
      <w:r w:rsidRPr="00F72299">
        <w:rPr>
          <w:i/>
          <w:iCs/>
        </w:rPr>
        <w:t>World Bank Capacity Development Briefs</w:t>
      </w:r>
      <w:r>
        <w:t xml:space="preserve">, Number 19, </w:t>
      </w:r>
      <w:hyperlink r:id="rId2" w:history="1">
        <w:r w:rsidRPr="005A7247">
          <w:t>https://openknowledge.worldbank.org/bitstream/handle/10986/9585/389150Capacity0D1Brief11901PUBLIC1.pdf?sequence=1&amp;isAllowed=y</w:t>
        </w:r>
      </w:hyperlink>
      <w:r>
        <w:t xml:space="preserve">; </w:t>
      </w:r>
      <w:r w:rsidRPr="00834F4C">
        <w:t>UNDP (2009) Capacity Development: a UNDP Primer, New York: UNDP</w:t>
      </w:r>
      <w:r w:rsidR="00694ACA">
        <w:t>.</w:t>
      </w:r>
    </w:p>
  </w:footnote>
  <w:footnote w:id="7">
    <w:p w14:paraId="60EB3E66" w14:textId="7EE1AC94" w:rsidR="002B0D90" w:rsidRPr="00A06A11" w:rsidRDefault="002B0D90" w:rsidP="007565AD">
      <w:pPr>
        <w:pStyle w:val="FootnoteText"/>
        <w:rPr>
          <w:lang w:val="ru-RU"/>
        </w:rPr>
      </w:pPr>
      <w:r>
        <w:rPr>
          <w:rStyle w:val="FootnoteReference"/>
        </w:rPr>
        <w:footnoteRef/>
      </w:r>
      <w:r>
        <w:t xml:space="preserve"> </w:t>
      </w:r>
      <w:r>
        <w:rPr>
          <w:lang w:val="ru-RU"/>
        </w:rPr>
        <w:t>См</w:t>
      </w:r>
      <w:r w:rsidRPr="00A06A11">
        <w:rPr>
          <w:lang w:val="en-US"/>
        </w:rPr>
        <w:t xml:space="preserve">., </w:t>
      </w:r>
      <w:r>
        <w:rPr>
          <w:lang w:val="ru-RU"/>
        </w:rPr>
        <w:t>к</w:t>
      </w:r>
      <w:r w:rsidRPr="00A06A11">
        <w:rPr>
          <w:lang w:val="en-US"/>
        </w:rPr>
        <w:t xml:space="preserve"> </w:t>
      </w:r>
      <w:r>
        <w:rPr>
          <w:lang w:val="ru-RU"/>
        </w:rPr>
        <w:t>примеру</w:t>
      </w:r>
      <w:r>
        <w:t xml:space="preserve">, </w:t>
      </w:r>
      <w:hyperlink r:id="rId3" w:history="1">
        <w:r w:rsidRPr="00D341E1">
          <w:t>https://www.itu.int/en/Pages/covid-19.aspx</w:t>
        </w:r>
      </w:hyperlink>
      <w:r>
        <w:t xml:space="preserve">; although compare also the visual impression of this with UNESCO’s </w:t>
      </w:r>
      <w:hyperlink r:id="rId4" w:history="1">
        <w:r w:rsidRPr="00D341E1">
          <w:t>https://en.unesco.org/covid19</w:t>
        </w:r>
      </w:hyperlink>
      <w:r>
        <w:t xml:space="preserve"> and the UNDP’s </w:t>
      </w:r>
      <w:hyperlink r:id="rId5" w:history="1">
        <w:r w:rsidRPr="00D341E1">
          <w:t>https://www.undp.org/content/undp/en/home/coronavirus.html COVID-19</w:t>
        </w:r>
      </w:hyperlink>
      <w:r>
        <w:t xml:space="preserve"> responses. </w:t>
      </w:r>
      <w:r w:rsidRPr="00A06A11">
        <w:rPr>
          <w:lang w:val="ru-RU"/>
        </w:rPr>
        <w:t xml:space="preserve">Тем не менее, интересно отметить, что ни один из 20 </w:t>
      </w:r>
      <w:r w:rsidR="00F72199">
        <w:rPr>
          <w:lang w:val="ru-RU"/>
        </w:rPr>
        <w:t>докладов</w:t>
      </w:r>
      <w:r w:rsidRPr="00A06A11">
        <w:rPr>
          <w:lang w:val="ru-RU"/>
        </w:rPr>
        <w:t xml:space="preserve"> на странице</w:t>
      </w:r>
      <w:r>
        <w:rPr>
          <w:lang w:val="ru-RU"/>
        </w:rPr>
        <w:t>, посвященной мерам реагирования</w:t>
      </w:r>
      <w:r w:rsidRPr="00A06A11">
        <w:rPr>
          <w:lang w:val="ru-RU"/>
        </w:rPr>
        <w:t xml:space="preserve"> Генерального секретаря ООН</w:t>
      </w:r>
      <w:r>
        <w:rPr>
          <w:lang w:val="ru-RU"/>
        </w:rPr>
        <w:t xml:space="preserve"> на пандемию</w:t>
      </w:r>
      <w:r w:rsidRPr="00A06A11">
        <w:rPr>
          <w:lang w:val="ru-RU"/>
        </w:rPr>
        <w:t xml:space="preserve"> </w:t>
      </w:r>
      <w:r w:rsidRPr="00A06A11">
        <w:t>COVID</w:t>
      </w:r>
      <w:r w:rsidRPr="00A06A11">
        <w:rPr>
          <w:lang w:val="ru-RU"/>
        </w:rPr>
        <w:t xml:space="preserve">-19 </w:t>
      </w:r>
      <w:r w:rsidRPr="00A06A11">
        <w:t>https</w:t>
      </w:r>
      <w:r w:rsidRPr="00A06A11">
        <w:rPr>
          <w:lang w:val="ru-RU"/>
        </w:rPr>
        <w:t>://</w:t>
      </w:r>
      <w:r w:rsidRPr="00A06A11">
        <w:t>www</w:t>
      </w:r>
      <w:r w:rsidRPr="00A06A11">
        <w:rPr>
          <w:lang w:val="ru-RU"/>
        </w:rPr>
        <w:t>.</w:t>
      </w:r>
      <w:r w:rsidRPr="00A06A11">
        <w:t>un</w:t>
      </w:r>
      <w:r w:rsidRPr="00A06A11">
        <w:rPr>
          <w:lang w:val="ru-RU"/>
        </w:rPr>
        <w:t>.</w:t>
      </w:r>
      <w:r w:rsidRPr="00A06A11">
        <w:t>org</w:t>
      </w:r>
      <w:r w:rsidRPr="00A06A11">
        <w:rPr>
          <w:lang w:val="ru-RU"/>
        </w:rPr>
        <w:t>/</w:t>
      </w:r>
      <w:r w:rsidRPr="00A06A11">
        <w:t>en</w:t>
      </w:r>
      <w:r w:rsidRPr="00A06A11">
        <w:rPr>
          <w:lang w:val="ru-RU"/>
        </w:rPr>
        <w:t>/</w:t>
      </w:r>
      <w:r w:rsidRPr="00A06A11">
        <w:t>coronavirus</w:t>
      </w:r>
      <w:r w:rsidRPr="00A06A11">
        <w:rPr>
          <w:lang w:val="ru-RU"/>
        </w:rPr>
        <w:t>/</w:t>
      </w:r>
      <w:r w:rsidRPr="00A06A11">
        <w:t>un</w:t>
      </w:r>
      <w:r w:rsidRPr="00A06A11">
        <w:rPr>
          <w:lang w:val="ru-RU"/>
        </w:rPr>
        <w:t>-</w:t>
      </w:r>
      <w:r w:rsidRPr="00A06A11">
        <w:t>secretary</w:t>
      </w:r>
      <w:r w:rsidRPr="00A06A11">
        <w:rPr>
          <w:lang w:val="ru-RU"/>
        </w:rPr>
        <w:t>-</w:t>
      </w:r>
      <w:r w:rsidRPr="00A06A11">
        <w:t>general</w:t>
      </w:r>
      <w:r w:rsidRPr="00A06A11">
        <w:rPr>
          <w:lang w:val="ru-RU"/>
        </w:rPr>
        <w:t xml:space="preserve"> (по состоянию на 21 сентября 2020 года)</w:t>
      </w:r>
      <w:r w:rsidR="00F72199">
        <w:rPr>
          <w:lang w:val="ru-RU"/>
        </w:rPr>
        <w:t>,</w:t>
      </w:r>
      <w:r w:rsidRPr="00A06A11">
        <w:rPr>
          <w:lang w:val="ru-RU"/>
        </w:rPr>
        <w:t xml:space="preserve"> не был конкретно связан с ролью цифровых технологий.</w:t>
      </w:r>
    </w:p>
  </w:footnote>
  <w:footnote w:id="8">
    <w:p w14:paraId="07790349" w14:textId="758B818F" w:rsidR="0097734F" w:rsidRPr="0097734F" w:rsidRDefault="0097734F">
      <w:pPr>
        <w:pStyle w:val="FootnoteText"/>
        <w:rPr>
          <w:lang w:val="ru-RU"/>
        </w:rPr>
      </w:pPr>
      <w:r>
        <w:rPr>
          <w:rStyle w:val="FootnoteReference"/>
        </w:rPr>
        <w:footnoteRef/>
      </w:r>
      <w:r w:rsidRPr="0097734F">
        <w:rPr>
          <w:lang w:val="ru-RU"/>
        </w:rPr>
        <w:t xml:space="preserve"> </w:t>
      </w:r>
      <w:r w:rsidRPr="00A06A11">
        <w:rPr>
          <w:lang w:val="ru-RU"/>
        </w:rPr>
        <w:t>ООН (2020 г</w:t>
      </w:r>
      <w:r w:rsidRPr="005E44D9">
        <w:rPr>
          <w:lang w:val="ru-RU"/>
        </w:rPr>
        <w:t>.</w:t>
      </w:r>
      <w:r w:rsidRPr="00A06A11">
        <w:rPr>
          <w:lang w:val="ru-RU"/>
        </w:rPr>
        <w:t xml:space="preserve">) </w:t>
      </w:r>
      <w:r w:rsidR="00F72199">
        <w:rPr>
          <w:lang w:val="ru-RU"/>
        </w:rPr>
        <w:t xml:space="preserve">Доклад </w:t>
      </w:r>
      <w:r w:rsidRPr="00A06A11">
        <w:rPr>
          <w:lang w:val="ru-RU"/>
        </w:rPr>
        <w:t xml:space="preserve">Генерального секретаря: Дорожная карта </w:t>
      </w:r>
      <w:r>
        <w:rPr>
          <w:lang w:val="ru-RU"/>
        </w:rPr>
        <w:t xml:space="preserve">по </w:t>
      </w:r>
      <w:r w:rsidRPr="00A06A11">
        <w:rPr>
          <w:lang w:val="ru-RU"/>
        </w:rPr>
        <w:t>цифрово</w:t>
      </w:r>
      <w:r>
        <w:rPr>
          <w:lang w:val="ru-RU"/>
        </w:rPr>
        <w:t>му</w:t>
      </w:r>
      <w:r w:rsidRPr="00A06A11">
        <w:rPr>
          <w:lang w:val="ru-RU"/>
        </w:rPr>
        <w:t xml:space="preserve"> сотрудничеств</w:t>
      </w:r>
      <w:r>
        <w:rPr>
          <w:lang w:val="ru-RU"/>
        </w:rPr>
        <w:t>у</w:t>
      </w:r>
      <w:r w:rsidRPr="00A06A11">
        <w:rPr>
          <w:lang w:val="ru-RU"/>
        </w:rPr>
        <w:t>, Нью-Йорк: Организация Объединенных Наций</w:t>
      </w:r>
      <w:r>
        <w:rPr>
          <w:lang w:val="ru-RU"/>
        </w:rPr>
        <w:t>.</w:t>
      </w:r>
    </w:p>
  </w:footnote>
  <w:footnote w:id="9">
    <w:p w14:paraId="59310C3B" w14:textId="3C9CB3BB" w:rsidR="002B0D90" w:rsidRPr="00A06A11" w:rsidRDefault="002B0D90" w:rsidP="00A06A11">
      <w:pPr>
        <w:pStyle w:val="FootnoteText"/>
        <w:rPr>
          <w:lang w:val="ru-RU"/>
        </w:rPr>
      </w:pPr>
      <w:r>
        <w:rPr>
          <w:rStyle w:val="FootnoteReference"/>
        </w:rPr>
        <w:footnoteRef/>
      </w:r>
      <w:r w:rsidRPr="00A06A11">
        <w:rPr>
          <w:lang w:val="ru-RU"/>
        </w:rPr>
        <w:t xml:space="preserve"> ООН (2020 г</w:t>
      </w:r>
      <w:r w:rsidR="005E44D9" w:rsidRPr="005E44D9">
        <w:rPr>
          <w:lang w:val="ru-RU"/>
        </w:rPr>
        <w:t>.</w:t>
      </w:r>
      <w:r w:rsidRPr="00A06A11">
        <w:rPr>
          <w:lang w:val="ru-RU"/>
        </w:rPr>
        <w:t xml:space="preserve">) </w:t>
      </w:r>
      <w:r w:rsidR="00F72199">
        <w:rPr>
          <w:lang w:val="ru-RU"/>
        </w:rPr>
        <w:t>Доклад</w:t>
      </w:r>
      <w:r w:rsidRPr="00A06A11">
        <w:rPr>
          <w:lang w:val="ru-RU"/>
        </w:rPr>
        <w:t xml:space="preserve"> Генерального секретаря: Дорожная карта </w:t>
      </w:r>
      <w:r>
        <w:rPr>
          <w:lang w:val="ru-RU"/>
        </w:rPr>
        <w:t xml:space="preserve">по </w:t>
      </w:r>
      <w:r w:rsidRPr="00A06A11">
        <w:rPr>
          <w:lang w:val="ru-RU"/>
        </w:rPr>
        <w:t>цифрово</w:t>
      </w:r>
      <w:r>
        <w:rPr>
          <w:lang w:val="ru-RU"/>
        </w:rPr>
        <w:t>му</w:t>
      </w:r>
      <w:r w:rsidRPr="00A06A11">
        <w:rPr>
          <w:lang w:val="ru-RU"/>
        </w:rPr>
        <w:t xml:space="preserve"> сотрудничеств</w:t>
      </w:r>
      <w:r>
        <w:rPr>
          <w:lang w:val="ru-RU"/>
        </w:rPr>
        <w:t>у</w:t>
      </w:r>
      <w:r w:rsidRPr="00A06A11">
        <w:rPr>
          <w:lang w:val="ru-RU"/>
        </w:rPr>
        <w:t>, Нью</w:t>
      </w:r>
      <w:r w:rsidR="00A579EF">
        <w:rPr>
          <w:lang w:val="ru-RU"/>
        </w:rPr>
        <w:noBreakHyphen/>
      </w:r>
      <w:r w:rsidRPr="00A06A11">
        <w:rPr>
          <w:lang w:val="ru-RU"/>
        </w:rPr>
        <w:t>Йорк: Организация Объединенных Наций, стр.</w:t>
      </w:r>
      <w:r w:rsidR="0097734F">
        <w:rPr>
          <w:lang w:val="ru-RU"/>
        </w:rPr>
        <w:t xml:space="preserve"> </w:t>
      </w:r>
      <w:r w:rsidRPr="00A06A11">
        <w:rPr>
          <w:lang w:val="ru-RU"/>
        </w:rPr>
        <w:t>24.</w:t>
      </w:r>
    </w:p>
  </w:footnote>
  <w:footnote w:id="10">
    <w:p w14:paraId="0F54502C" w14:textId="73430015" w:rsidR="002B0D90" w:rsidRPr="004B77F6" w:rsidRDefault="002B0D90" w:rsidP="002B0D90">
      <w:pPr>
        <w:pStyle w:val="FootnoteText"/>
        <w:rPr>
          <w:szCs w:val="16"/>
        </w:rPr>
      </w:pPr>
      <w:r w:rsidRPr="00707BA4">
        <w:rPr>
          <w:rStyle w:val="FootnoteReference"/>
        </w:rPr>
        <w:footnoteRef/>
      </w:r>
      <w:r w:rsidRPr="007A30FC">
        <w:rPr>
          <w:szCs w:val="16"/>
          <w:lang w:val="ru-RU"/>
        </w:rPr>
        <w:t xml:space="preserve"> </w:t>
      </w:r>
      <w:bookmarkStart w:id="92" w:name="lt_pId2362"/>
      <w:r>
        <w:rPr>
          <w:szCs w:val="16"/>
          <w:lang w:val="ru-RU"/>
        </w:rPr>
        <w:t>При этом</w:t>
      </w:r>
      <w:r w:rsidRPr="007A30FC">
        <w:rPr>
          <w:szCs w:val="16"/>
          <w:lang w:val="ru-RU"/>
        </w:rPr>
        <w:t xml:space="preserve"> мандат БРЭ в области создания потенциала (</w:t>
      </w:r>
      <w:r>
        <w:rPr>
          <w:szCs w:val="16"/>
          <w:lang w:val="ru-RU"/>
        </w:rPr>
        <w:t>задача</w:t>
      </w:r>
      <w:r w:rsidRPr="007A30FC">
        <w:rPr>
          <w:szCs w:val="16"/>
          <w:lang w:val="ru-RU"/>
        </w:rPr>
        <w:t xml:space="preserve"> 5) определен</w:t>
      </w:r>
      <w:r>
        <w:rPr>
          <w:szCs w:val="16"/>
          <w:lang w:val="ru-RU"/>
        </w:rPr>
        <w:t xml:space="preserve"> </w:t>
      </w:r>
      <w:r w:rsidRPr="007A30FC">
        <w:rPr>
          <w:szCs w:val="16"/>
          <w:lang w:val="ru-RU"/>
        </w:rPr>
        <w:t xml:space="preserve">как </w:t>
      </w:r>
      <w:r w:rsidRPr="007A30FC">
        <w:rPr>
          <w:i/>
          <w:iCs/>
          <w:szCs w:val="16"/>
          <w:lang w:val="ru-RU"/>
        </w:rPr>
        <w:t>"</w:t>
      </w:r>
      <w:r w:rsidRPr="007A30FC">
        <w:rPr>
          <w:rFonts w:cs="Segoe UI"/>
          <w:i/>
          <w:iCs/>
          <w:szCs w:val="16"/>
          <w:lang w:val="ru-RU"/>
        </w:rPr>
        <w:t>с</w:t>
      </w:r>
      <w:r w:rsidRPr="001119AF">
        <w:rPr>
          <w:rFonts w:cs="Segoe UI"/>
          <w:i/>
          <w:iCs/>
          <w:szCs w:val="16"/>
          <w:lang w:val="ru-RU"/>
        </w:rPr>
        <w:t>оздание человеческого и институционального потенциала, с тем чтобы улучшить профессиональные знания в области развития и использования сетей и приложений электросвязи/ИКТ, а также содействия охвату цифровыми технологиями людей с особыми потребностями, например лиц с ограниченными возможностями, путем повышения осведомленности, проведения деятельности по профессиональной подготовке, обмена информацией и ноу-хау, а также подготовки и распространения соответствующих публикаций</w:t>
      </w:r>
      <w:r w:rsidRPr="007A30FC">
        <w:rPr>
          <w:rFonts w:cs="Segoe UI"/>
          <w:i/>
          <w:iCs/>
          <w:szCs w:val="16"/>
          <w:lang w:val="ru-RU"/>
        </w:rPr>
        <w:t xml:space="preserve">". </w:t>
      </w:r>
      <w:r w:rsidR="00D577E1">
        <w:fldChar w:fldCharType="begin"/>
      </w:r>
      <w:r w:rsidR="00D577E1" w:rsidRPr="00D577E1">
        <w:rPr>
          <w:lang w:val="ru-RU"/>
        </w:rPr>
        <w:instrText xml:space="preserve"> </w:instrText>
      </w:r>
      <w:r w:rsidR="00D577E1">
        <w:instrText>HYPERLINK</w:instrText>
      </w:r>
      <w:r w:rsidR="00D577E1" w:rsidRPr="00D577E1">
        <w:rPr>
          <w:lang w:val="ru-RU"/>
        </w:rPr>
        <w:instrText xml:space="preserve"> "</w:instrText>
      </w:r>
      <w:r w:rsidR="00D577E1">
        <w:instrText>https</w:instrText>
      </w:r>
      <w:r w:rsidR="00D577E1" w:rsidRPr="00D577E1">
        <w:rPr>
          <w:lang w:val="ru-RU"/>
        </w:rPr>
        <w:instrText>://</w:instrText>
      </w:r>
      <w:r w:rsidR="00D577E1">
        <w:instrText>www</w:instrText>
      </w:r>
      <w:r w:rsidR="00D577E1" w:rsidRPr="00D577E1">
        <w:rPr>
          <w:lang w:val="ru-RU"/>
        </w:rPr>
        <w:instrText>.</w:instrText>
      </w:r>
      <w:r w:rsidR="00D577E1">
        <w:instrText>itu</w:instrText>
      </w:r>
      <w:r w:rsidR="00D577E1" w:rsidRPr="00D577E1">
        <w:rPr>
          <w:lang w:val="ru-RU"/>
        </w:rPr>
        <w:instrText>.</w:instrText>
      </w:r>
      <w:r w:rsidR="00D577E1">
        <w:instrText>int</w:instrText>
      </w:r>
      <w:r w:rsidR="00D577E1" w:rsidRPr="00D577E1">
        <w:rPr>
          <w:lang w:val="ru-RU"/>
        </w:rPr>
        <w:instrText>/</w:instrText>
      </w:r>
      <w:r w:rsidR="00D577E1">
        <w:instrText>en</w:instrText>
      </w:r>
      <w:r w:rsidR="00D577E1" w:rsidRPr="00D577E1">
        <w:rPr>
          <w:lang w:val="ru-RU"/>
        </w:rPr>
        <w:instrText>/</w:instrText>
      </w:r>
      <w:r w:rsidR="00D577E1">
        <w:instrText>ITU</w:instrText>
      </w:r>
      <w:r w:rsidR="00D577E1" w:rsidRPr="00D577E1">
        <w:rPr>
          <w:lang w:val="ru-RU"/>
        </w:rPr>
        <w:instrText>-</w:instrText>
      </w:r>
      <w:r w:rsidR="00D577E1">
        <w:instrText>D</w:instrText>
      </w:r>
      <w:r w:rsidR="00D577E1" w:rsidRPr="00D577E1">
        <w:rPr>
          <w:lang w:val="ru-RU"/>
        </w:rPr>
        <w:instrText>/</w:instrText>
      </w:r>
      <w:r w:rsidR="00D577E1">
        <w:instrText>Capacity</w:instrText>
      </w:r>
      <w:r w:rsidR="00D577E1" w:rsidRPr="00D577E1">
        <w:rPr>
          <w:lang w:val="ru-RU"/>
        </w:rPr>
        <w:instrText>-</w:instrText>
      </w:r>
      <w:r w:rsidR="00D577E1">
        <w:instrText>Bui</w:instrText>
      </w:r>
      <w:r w:rsidR="00D577E1">
        <w:instrText>lding</w:instrText>
      </w:r>
      <w:r w:rsidR="00D577E1" w:rsidRPr="00D577E1">
        <w:rPr>
          <w:lang w:val="ru-RU"/>
        </w:rPr>
        <w:instrText>/</w:instrText>
      </w:r>
      <w:r w:rsidR="00D577E1">
        <w:instrText>Pages</w:instrText>
      </w:r>
      <w:r w:rsidR="00D577E1" w:rsidRPr="00D577E1">
        <w:rPr>
          <w:lang w:val="ru-RU"/>
        </w:rPr>
        <w:instrText>/</w:instrText>
      </w:r>
      <w:r w:rsidR="00D577E1">
        <w:instrText>MandateStrategy</w:instrText>
      </w:r>
      <w:r w:rsidR="00D577E1" w:rsidRPr="00D577E1">
        <w:rPr>
          <w:lang w:val="ru-RU"/>
        </w:rPr>
        <w:instrText>.</w:instrText>
      </w:r>
      <w:r w:rsidR="00D577E1">
        <w:instrText>aspx</w:instrText>
      </w:r>
      <w:r w:rsidR="00D577E1" w:rsidRPr="00D577E1">
        <w:rPr>
          <w:lang w:val="ru-RU"/>
        </w:rPr>
        <w:instrText xml:space="preserve">" </w:instrText>
      </w:r>
      <w:r w:rsidR="00D577E1">
        <w:fldChar w:fldCharType="separate"/>
      </w:r>
      <w:r w:rsidRPr="004B77F6">
        <w:rPr>
          <w:rStyle w:val="Hyperlink"/>
          <w:rFonts w:cs="Segoe UI"/>
          <w:szCs w:val="16"/>
        </w:rPr>
        <w:t>https://www.itu.int/en/ITU-D/Capacity-Building/Pages/MandateStrategy.aspx</w:t>
      </w:r>
      <w:r w:rsidR="00D577E1">
        <w:rPr>
          <w:rStyle w:val="Hyperlink"/>
          <w:rFonts w:cs="Segoe UI"/>
          <w:szCs w:val="16"/>
        </w:rPr>
        <w:fldChar w:fldCharType="end"/>
      </w:r>
      <w:bookmarkEnd w:id="92"/>
      <w:r w:rsidRPr="004B77F6">
        <w:rPr>
          <w:rFonts w:cs="Segoe UI"/>
          <w:szCs w:val="16"/>
        </w:rPr>
        <w:t>.</w:t>
      </w:r>
    </w:p>
  </w:footnote>
  <w:footnote w:id="11">
    <w:p w14:paraId="30945EFC" w14:textId="217BFAE9" w:rsidR="002B0D90" w:rsidRPr="003E78FF" w:rsidRDefault="002B0D90" w:rsidP="002B0D90">
      <w:pPr>
        <w:pStyle w:val="FootnoteText"/>
        <w:rPr>
          <w:lang w:val="ru-RU"/>
        </w:rPr>
      </w:pPr>
      <w:r w:rsidRPr="0008392B">
        <w:rPr>
          <w:rStyle w:val="FootnoteReference"/>
        </w:rPr>
        <w:footnoteRef/>
      </w:r>
      <w:r w:rsidRPr="003E78FF">
        <w:rPr>
          <w:lang w:val="ru-RU"/>
        </w:rPr>
        <w:t xml:space="preserve"> </w:t>
      </w:r>
      <w:bookmarkStart w:id="94" w:name="lt_pId2363"/>
      <w:r w:rsidRPr="003E78FF">
        <w:rPr>
          <w:lang w:val="ru-RU"/>
        </w:rPr>
        <w:t>МСЭ, Резолюция 71 (</w:t>
      </w:r>
      <w:r w:rsidRPr="001119AF">
        <w:rPr>
          <w:lang w:val="ru-RU"/>
        </w:rPr>
        <w:t>Пересм. Дубай, 2018 г.</w:t>
      </w:r>
      <w:r w:rsidRPr="003E78FF">
        <w:rPr>
          <w:lang w:val="ru-RU"/>
        </w:rPr>
        <w:t xml:space="preserve">) </w:t>
      </w:r>
      <w:r w:rsidRPr="001119AF">
        <w:rPr>
          <w:i/>
          <w:iCs/>
          <w:lang w:val="ru-RU"/>
        </w:rPr>
        <w:t>"Стратегический план Союза на 2020</w:t>
      </w:r>
      <w:r w:rsidR="005E44D9" w:rsidRPr="005E44D9">
        <w:rPr>
          <w:i/>
          <w:iCs/>
          <w:lang w:val="ru-RU"/>
        </w:rPr>
        <w:t>−</w:t>
      </w:r>
      <w:r w:rsidRPr="001119AF">
        <w:rPr>
          <w:i/>
          <w:iCs/>
          <w:lang w:val="ru-RU"/>
        </w:rPr>
        <w:t>2023 годы"</w:t>
      </w:r>
      <w:r w:rsidRPr="003E78FF">
        <w:rPr>
          <w:lang w:val="ru-RU"/>
        </w:rPr>
        <w:t>,</w:t>
      </w:r>
      <w:r>
        <w:rPr>
          <w:lang w:val="ru-RU"/>
        </w:rPr>
        <w:t xml:space="preserve"> </w:t>
      </w:r>
      <w:r w:rsidR="00D577E1">
        <w:fldChar w:fldCharType="begin"/>
      </w:r>
      <w:r w:rsidR="00D577E1" w:rsidRPr="00D577E1">
        <w:rPr>
          <w:lang w:val="ru-RU"/>
        </w:rPr>
        <w:instrText xml:space="preserve"> </w:instrText>
      </w:r>
      <w:r w:rsidR="00D577E1">
        <w:instrText>HYPERLINK</w:instrText>
      </w:r>
      <w:r w:rsidR="00D577E1" w:rsidRPr="00D577E1">
        <w:rPr>
          <w:lang w:val="ru-RU"/>
        </w:rPr>
        <w:instrText xml:space="preserve"> "</w:instrText>
      </w:r>
      <w:r w:rsidR="00D577E1">
        <w:instrText>https</w:instrText>
      </w:r>
      <w:r w:rsidR="00D577E1" w:rsidRPr="00D577E1">
        <w:rPr>
          <w:lang w:val="ru-RU"/>
        </w:rPr>
        <w:instrText>://</w:instrText>
      </w:r>
      <w:r w:rsidR="00D577E1">
        <w:instrText>www</w:instrText>
      </w:r>
      <w:r w:rsidR="00D577E1" w:rsidRPr="00D577E1">
        <w:rPr>
          <w:lang w:val="ru-RU"/>
        </w:rPr>
        <w:instrText>.</w:instrText>
      </w:r>
      <w:r w:rsidR="00D577E1">
        <w:instrText>itu</w:instrText>
      </w:r>
      <w:r w:rsidR="00D577E1" w:rsidRPr="00D577E1">
        <w:rPr>
          <w:lang w:val="ru-RU"/>
        </w:rPr>
        <w:instrText>.</w:instrText>
      </w:r>
      <w:r w:rsidR="00D577E1">
        <w:instrText>int</w:instrText>
      </w:r>
      <w:r w:rsidR="00D577E1" w:rsidRPr="00D577E1">
        <w:rPr>
          <w:lang w:val="ru-RU"/>
        </w:rPr>
        <w:instrText>/</w:instrText>
      </w:r>
      <w:r w:rsidR="00D577E1">
        <w:instrText>en</w:instrText>
      </w:r>
      <w:r w:rsidR="00D577E1" w:rsidRPr="00D577E1">
        <w:rPr>
          <w:lang w:val="ru-RU"/>
        </w:rPr>
        <w:instrText>/</w:instrText>
      </w:r>
      <w:r w:rsidR="00D577E1">
        <w:instrText>council</w:instrText>
      </w:r>
      <w:r w:rsidR="00D577E1" w:rsidRPr="00D577E1">
        <w:rPr>
          <w:lang w:val="ru-RU"/>
        </w:rPr>
        <w:instrText>/</w:instrText>
      </w:r>
      <w:r w:rsidR="00D577E1">
        <w:instrText>planning</w:instrText>
      </w:r>
      <w:r w:rsidR="00D577E1" w:rsidRPr="00D577E1">
        <w:rPr>
          <w:lang w:val="ru-RU"/>
        </w:rPr>
        <w:instrText>/</w:instrText>
      </w:r>
      <w:r w:rsidR="00D577E1">
        <w:instrText>Pages</w:instrText>
      </w:r>
      <w:r w:rsidR="00D577E1" w:rsidRPr="00D577E1">
        <w:rPr>
          <w:lang w:val="ru-RU"/>
        </w:rPr>
        <w:instrText>/</w:instrText>
      </w:r>
      <w:r w:rsidR="00D577E1">
        <w:instrText>default</w:instrText>
      </w:r>
      <w:r w:rsidR="00D577E1" w:rsidRPr="00D577E1">
        <w:rPr>
          <w:lang w:val="ru-RU"/>
        </w:rPr>
        <w:instrText>.</w:instrText>
      </w:r>
      <w:r w:rsidR="00D577E1">
        <w:instrText>aspx</w:instrText>
      </w:r>
      <w:r w:rsidR="00D577E1" w:rsidRPr="00D577E1">
        <w:rPr>
          <w:lang w:val="ru-RU"/>
        </w:rPr>
        <w:instrText xml:space="preserve">" </w:instrText>
      </w:r>
      <w:r w:rsidR="00D577E1">
        <w:fldChar w:fldCharType="separate"/>
      </w:r>
      <w:r w:rsidRPr="00F86F0D">
        <w:rPr>
          <w:rStyle w:val="Hyperlink"/>
        </w:rPr>
        <w:t>https</w:t>
      </w:r>
      <w:r w:rsidRPr="003E78FF">
        <w:rPr>
          <w:rStyle w:val="Hyperlink"/>
          <w:lang w:val="ru-RU"/>
        </w:rPr>
        <w:t>://</w:t>
      </w:r>
      <w:r w:rsidRPr="00F86F0D">
        <w:rPr>
          <w:rStyle w:val="Hyperlink"/>
        </w:rPr>
        <w:t>www</w:t>
      </w:r>
      <w:r w:rsidRPr="003E78FF">
        <w:rPr>
          <w:rStyle w:val="Hyperlink"/>
          <w:lang w:val="ru-RU"/>
        </w:rPr>
        <w:t>.</w:t>
      </w:r>
      <w:r w:rsidRPr="00F86F0D">
        <w:rPr>
          <w:rStyle w:val="Hyperlink"/>
        </w:rPr>
        <w:t>itu</w:t>
      </w:r>
      <w:r w:rsidRPr="003E78FF">
        <w:rPr>
          <w:rStyle w:val="Hyperlink"/>
          <w:lang w:val="ru-RU"/>
        </w:rPr>
        <w:t>.</w:t>
      </w:r>
      <w:r w:rsidRPr="00F86F0D">
        <w:rPr>
          <w:rStyle w:val="Hyperlink"/>
        </w:rPr>
        <w:t>int</w:t>
      </w:r>
      <w:r w:rsidRPr="003E78FF">
        <w:rPr>
          <w:rStyle w:val="Hyperlink"/>
          <w:lang w:val="ru-RU"/>
        </w:rPr>
        <w:t>/</w:t>
      </w:r>
      <w:r w:rsidRPr="00F86F0D">
        <w:rPr>
          <w:rStyle w:val="Hyperlink"/>
        </w:rPr>
        <w:t>en</w:t>
      </w:r>
      <w:r w:rsidRPr="003E78FF">
        <w:rPr>
          <w:rStyle w:val="Hyperlink"/>
          <w:lang w:val="ru-RU"/>
        </w:rPr>
        <w:t>/</w:t>
      </w:r>
      <w:r w:rsidRPr="00F86F0D">
        <w:rPr>
          <w:rStyle w:val="Hyperlink"/>
        </w:rPr>
        <w:t>council</w:t>
      </w:r>
      <w:r w:rsidRPr="003E78FF">
        <w:rPr>
          <w:rStyle w:val="Hyperlink"/>
          <w:lang w:val="ru-RU"/>
        </w:rPr>
        <w:t>/</w:t>
      </w:r>
      <w:r w:rsidRPr="00F86F0D">
        <w:rPr>
          <w:rStyle w:val="Hyperlink"/>
        </w:rPr>
        <w:t>planning</w:t>
      </w:r>
      <w:r w:rsidRPr="003E78FF">
        <w:rPr>
          <w:rStyle w:val="Hyperlink"/>
          <w:lang w:val="ru-RU"/>
        </w:rPr>
        <w:t>/</w:t>
      </w:r>
      <w:r w:rsidRPr="00F86F0D">
        <w:rPr>
          <w:rStyle w:val="Hyperlink"/>
        </w:rPr>
        <w:t>Pages</w:t>
      </w:r>
      <w:r w:rsidRPr="003E78FF">
        <w:rPr>
          <w:rStyle w:val="Hyperlink"/>
          <w:lang w:val="ru-RU"/>
        </w:rPr>
        <w:t>/</w:t>
      </w:r>
      <w:r w:rsidRPr="00F86F0D">
        <w:rPr>
          <w:rStyle w:val="Hyperlink"/>
        </w:rPr>
        <w:t>default</w:t>
      </w:r>
      <w:r w:rsidRPr="003E78FF">
        <w:rPr>
          <w:rStyle w:val="Hyperlink"/>
          <w:lang w:val="ru-RU"/>
        </w:rPr>
        <w:t>.</w:t>
      </w:r>
      <w:r w:rsidRPr="00F86F0D">
        <w:rPr>
          <w:rStyle w:val="Hyperlink"/>
        </w:rPr>
        <w:t>aspx</w:t>
      </w:r>
      <w:r w:rsidR="00D577E1">
        <w:rPr>
          <w:rStyle w:val="Hyperlink"/>
        </w:rPr>
        <w:fldChar w:fldCharType="end"/>
      </w:r>
      <w:r w:rsidRPr="003E78FF">
        <w:rPr>
          <w:lang w:val="ru-RU"/>
        </w:rPr>
        <w:t>.</w:t>
      </w:r>
      <w:bookmarkEnd w:id="94"/>
    </w:p>
  </w:footnote>
  <w:footnote w:id="12">
    <w:p w14:paraId="470CA976" w14:textId="77777777" w:rsidR="002B0D90" w:rsidRPr="00DE0703" w:rsidRDefault="002B0D90" w:rsidP="002B0D90">
      <w:pPr>
        <w:pStyle w:val="FootnoteText"/>
        <w:rPr>
          <w:lang w:val="ru-RU"/>
        </w:rPr>
      </w:pPr>
      <w:r>
        <w:rPr>
          <w:rStyle w:val="FootnoteReference"/>
        </w:rPr>
        <w:footnoteRef/>
      </w:r>
      <w:r w:rsidRPr="00CC60AC">
        <w:rPr>
          <w:lang w:val="ru-RU"/>
        </w:rPr>
        <w:t xml:space="preserve"> </w:t>
      </w:r>
      <w:bookmarkStart w:id="101" w:name="lt_pId2364"/>
      <w:r w:rsidRPr="00CC60AC">
        <w:rPr>
          <w:lang w:val="ru-RU"/>
        </w:rPr>
        <w:t xml:space="preserve">В </w:t>
      </w:r>
      <w:r>
        <w:rPr>
          <w:lang w:val="ru-RU"/>
        </w:rPr>
        <w:t>основном в</w:t>
      </w:r>
      <w:r w:rsidRPr="00CC60AC">
        <w:rPr>
          <w:lang w:val="ru-RU"/>
        </w:rPr>
        <w:t xml:space="preserve"> документированной работ</w:t>
      </w:r>
      <w:r>
        <w:rPr>
          <w:lang w:val="ru-RU"/>
        </w:rPr>
        <w:t>е</w:t>
      </w:r>
      <w:r w:rsidRPr="00CC60AC">
        <w:rPr>
          <w:lang w:val="ru-RU"/>
        </w:rPr>
        <w:t xml:space="preserve"> и на веб-сайте МСЭ </w:t>
      </w:r>
      <w:r w:rsidRPr="00C60D51">
        <w:rPr>
          <w:lang w:val="ru-RU"/>
        </w:rPr>
        <w:t>термин "создание потенциала" по</w:t>
      </w:r>
      <w:r w:rsidRPr="00CC60AC">
        <w:rPr>
          <w:lang w:val="ru-RU"/>
        </w:rPr>
        <w:t>-прежнему используется гораздо чаще, чем</w:t>
      </w:r>
      <w:r>
        <w:rPr>
          <w:lang w:val="ru-RU"/>
        </w:rPr>
        <w:t xml:space="preserve"> термин</w:t>
      </w:r>
      <w:r w:rsidRPr="00CC60AC">
        <w:rPr>
          <w:lang w:val="ru-RU"/>
        </w:rPr>
        <w:t xml:space="preserve"> </w:t>
      </w:r>
      <w:r>
        <w:rPr>
          <w:lang w:val="ru-RU"/>
        </w:rPr>
        <w:t>"</w:t>
      </w:r>
      <w:r w:rsidRPr="00CC60AC">
        <w:rPr>
          <w:lang w:val="ru-RU"/>
        </w:rPr>
        <w:t>развитие потенциала</w:t>
      </w:r>
      <w:r>
        <w:rPr>
          <w:lang w:val="ru-RU"/>
        </w:rPr>
        <w:t>"</w:t>
      </w:r>
      <w:r w:rsidRPr="00CC60AC">
        <w:rPr>
          <w:lang w:val="ru-RU"/>
        </w:rPr>
        <w:t xml:space="preserve">. Однако в оставшейся части </w:t>
      </w:r>
      <w:r>
        <w:rPr>
          <w:lang w:val="ru-RU"/>
        </w:rPr>
        <w:t>настоящего</w:t>
      </w:r>
      <w:r w:rsidRPr="00CC60AC">
        <w:rPr>
          <w:lang w:val="ru-RU"/>
        </w:rPr>
        <w:t xml:space="preserve"> отчета термин </w:t>
      </w:r>
      <w:r>
        <w:rPr>
          <w:lang w:val="ru-RU"/>
        </w:rPr>
        <w:t>"</w:t>
      </w:r>
      <w:r w:rsidRPr="00CC60AC">
        <w:rPr>
          <w:lang w:val="ru-RU"/>
        </w:rPr>
        <w:t>развитие потенциала</w:t>
      </w:r>
      <w:r>
        <w:rPr>
          <w:lang w:val="ru-RU"/>
        </w:rPr>
        <w:t>"</w:t>
      </w:r>
      <w:r w:rsidRPr="00CC60AC">
        <w:rPr>
          <w:lang w:val="ru-RU"/>
        </w:rPr>
        <w:t xml:space="preserve"> используется </w:t>
      </w:r>
      <w:r>
        <w:rPr>
          <w:lang w:val="ru-RU"/>
        </w:rPr>
        <w:t>везде</w:t>
      </w:r>
      <w:r w:rsidRPr="00CC60AC">
        <w:rPr>
          <w:lang w:val="ru-RU"/>
        </w:rPr>
        <w:t xml:space="preserve">, </w:t>
      </w:r>
      <w:r>
        <w:rPr>
          <w:lang w:val="ru-RU"/>
        </w:rPr>
        <w:t>кроме цитат</w:t>
      </w:r>
      <w:r w:rsidRPr="00CC60AC">
        <w:rPr>
          <w:lang w:val="ru-RU"/>
        </w:rPr>
        <w:t>, в котор</w:t>
      </w:r>
      <w:r>
        <w:rPr>
          <w:lang w:val="ru-RU"/>
        </w:rPr>
        <w:t>ых</w:t>
      </w:r>
      <w:r w:rsidRPr="00CC60AC">
        <w:rPr>
          <w:lang w:val="ru-RU"/>
        </w:rPr>
        <w:t xml:space="preserve"> </w:t>
      </w:r>
      <w:r>
        <w:rPr>
          <w:lang w:val="ru-RU"/>
        </w:rPr>
        <w:t>встречается</w:t>
      </w:r>
      <w:r w:rsidRPr="00CC60AC">
        <w:rPr>
          <w:lang w:val="ru-RU"/>
        </w:rPr>
        <w:t xml:space="preserve"> термин </w:t>
      </w:r>
      <w:r>
        <w:rPr>
          <w:lang w:val="ru-RU"/>
        </w:rPr>
        <w:t xml:space="preserve">"создание </w:t>
      </w:r>
      <w:r w:rsidRPr="00CC60AC">
        <w:rPr>
          <w:lang w:val="ru-RU"/>
        </w:rPr>
        <w:t>потенциала</w:t>
      </w:r>
      <w:r>
        <w:rPr>
          <w:lang w:val="ru-RU"/>
        </w:rPr>
        <w:t>"</w:t>
      </w:r>
      <w:r w:rsidRPr="00CC60AC">
        <w:rPr>
          <w:lang w:val="ru-RU"/>
        </w:rPr>
        <w:t xml:space="preserve">. </w:t>
      </w:r>
      <w:bookmarkEnd w:id="101"/>
    </w:p>
  </w:footnote>
  <w:footnote w:id="13">
    <w:p w14:paraId="4BCDEB62" w14:textId="77777777" w:rsidR="002B0D90" w:rsidRPr="004B77F6" w:rsidRDefault="002B0D90" w:rsidP="002B0D90">
      <w:pPr>
        <w:pStyle w:val="FootnoteText"/>
      </w:pPr>
      <w:r>
        <w:rPr>
          <w:rStyle w:val="FootnoteReference"/>
        </w:rPr>
        <w:footnoteRef/>
      </w:r>
      <w:r w:rsidRPr="003968C9">
        <w:rPr>
          <w:rFonts w:cs="Arial"/>
          <w:lang w:val="en-US"/>
        </w:rPr>
        <w:t xml:space="preserve"> </w:t>
      </w:r>
      <w:bookmarkStart w:id="103" w:name="lt_pId2366"/>
      <w:r w:rsidRPr="00097003">
        <w:rPr>
          <w:rFonts w:cs="Arial"/>
          <w:lang w:val="ru-RU"/>
        </w:rPr>
        <w:t>Примеры</w:t>
      </w:r>
      <w:r w:rsidRPr="004B77F6">
        <w:rPr>
          <w:rFonts w:cs="Arial"/>
        </w:rPr>
        <w:t xml:space="preserve"> </w:t>
      </w:r>
      <w:r w:rsidRPr="00097003">
        <w:rPr>
          <w:rFonts w:cs="Arial"/>
          <w:lang w:val="ru-RU"/>
        </w:rPr>
        <w:t>важности</w:t>
      </w:r>
      <w:r w:rsidRPr="004B77F6">
        <w:rPr>
          <w:rFonts w:cs="Arial"/>
        </w:rPr>
        <w:t xml:space="preserve"> </w:t>
      </w:r>
      <w:r w:rsidRPr="00097003">
        <w:rPr>
          <w:rFonts w:cs="Arial"/>
          <w:lang w:val="ru-RU"/>
        </w:rPr>
        <w:t>неформального</w:t>
      </w:r>
      <w:r w:rsidRPr="004B77F6">
        <w:rPr>
          <w:rFonts w:cs="Arial"/>
        </w:rPr>
        <w:t xml:space="preserve"> </w:t>
      </w:r>
      <w:r w:rsidRPr="00097003">
        <w:rPr>
          <w:rFonts w:cs="Arial"/>
          <w:lang w:val="ru-RU"/>
        </w:rPr>
        <w:t>обучения</w:t>
      </w:r>
      <w:r w:rsidRPr="004B77F6">
        <w:rPr>
          <w:rFonts w:cs="Arial"/>
        </w:rPr>
        <w:t>: Ubels, J., Acquaye-Baddoo, N-A. and Fowler, A.</w:t>
      </w:r>
      <w:bookmarkEnd w:id="103"/>
      <w:r w:rsidRPr="004B77F6">
        <w:rPr>
          <w:rFonts w:cs="Arial"/>
        </w:rPr>
        <w:t xml:space="preserve"> </w:t>
      </w:r>
      <w:bookmarkStart w:id="104" w:name="lt_pId2367"/>
      <w:r w:rsidRPr="004B77F6">
        <w:rPr>
          <w:rFonts w:cs="Arial"/>
        </w:rPr>
        <w:t xml:space="preserve">(eds) (2010) </w:t>
      </w:r>
      <w:r w:rsidRPr="004B77F6">
        <w:rPr>
          <w:rFonts w:cs="Arial"/>
          <w:i/>
          <w:iCs/>
        </w:rPr>
        <w:t>Capacity Development in Practice</w:t>
      </w:r>
      <w:r w:rsidRPr="004B77F6">
        <w:rPr>
          <w:rFonts w:cs="Arial"/>
        </w:rPr>
        <w:t>, London and Washington DC: Earthscan.</w:t>
      </w:r>
      <w:bookmarkEnd w:id="104"/>
    </w:p>
  </w:footnote>
  <w:footnote w:id="14">
    <w:p w14:paraId="35CBEE70" w14:textId="7658BB9C" w:rsidR="002B0D90" w:rsidRPr="00097003" w:rsidRDefault="002B0D90" w:rsidP="002B0D90">
      <w:pPr>
        <w:pStyle w:val="FootnoteText"/>
        <w:rPr>
          <w:lang w:val="ru-RU"/>
        </w:rPr>
      </w:pPr>
      <w:r w:rsidRPr="00097003">
        <w:rPr>
          <w:rStyle w:val="FootnoteReference"/>
          <w:lang w:val="ru-RU"/>
        </w:rPr>
        <w:footnoteRef/>
      </w:r>
      <w:r w:rsidRPr="00097003">
        <w:rPr>
          <w:lang w:val="ru-RU"/>
        </w:rPr>
        <w:t xml:space="preserve"> </w:t>
      </w:r>
      <w:bookmarkStart w:id="115" w:name="lt_pId2368"/>
      <w:r w:rsidRPr="00097003">
        <w:rPr>
          <w:lang w:val="ru-RU"/>
        </w:rPr>
        <w:t>Заметные в том смысле, как они представлены на веб-сайте МСЭ и портале Академии, а следовательно, насколько они попадают в поле зрения внешней аудитории. Через веб-сайт МСЭ гораздо сложнее получить подробную информацию о проводимых в очном режиме семинарах и семинарах-практикумах, хотя некоторые из них указаны в календаре мероприятий</w:t>
      </w:r>
      <w:bookmarkStart w:id="116" w:name="lt_pId2369"/>
      <w:bookmarkEnd w:id="115"/>
      <w:r w:rsidRPr="00097003">
        <w:rPr>
          <w:lang w:val="ru-RU"/>
        </w:rPr>
        <w:t xml:space="preserve">: </w:t>
      </w:r>
      <w:r w:rsidR="00D577E1">
        <w:fldChar w:fldCharType="begin"/>
      </w:r>
      <w:r w:rsidR="00D577E1" w:rsidRPr="00D577E1">
        <w:rPr>
          <w:lang w:val="ru-RU"/>
        </w:rPr>
        <w:instrText xml:space="preserve"> </w:instrText>
      </w:r>
      <w:r w:rsidR="00D577E1">
        <w:instrText>HYPERLINK</w:instrText>
      </w:r>
      <w:r w:rsidR="00D577E1" w:rsidRPr="00D577E1">
        <w:rPr>
          <w:lang w:val="ru-RU"/>
        </w:rPr>
        <w:instrText xml:space="preserve"> "</w:instrText>
      </w:r>
      <w:r w:rsidR="00D577E1">
        <w:instrText>https</w:instrText>
      </w:r>
      <w:r w:rsidR="00D577E1" w:rsidRPr="00D577E1">
        <w:rPr>
          <w:lang w:val="ru-RU"/>
        </w:rPr>
        <w:instrText>://</w:instrText>
      </w:r>
      <w:r w:rsidR="00D577E1">
        <w:instrText>www</w:instrText>
      </w:r>
      <w:r w:rsidR="00D577E1" w:rsidRPr="00D577E1">
        <w:rPr>
          <w:lang w:val="ru-RU"/>
        </w:rPr>
        <w:instrText>.</w:instrText>
      </w:r>
      <w:r w:rsidR="00D577E1">
        <w:instrText>itu</w:instrText>
      </w:r>
      <w:r w:rsidR="00D577E1" w:rsidRPr="00D577E1">
        <w:rPr>
          <w:lang w:val="ru-RU"/>
        </w:rPr>
        <w:instrText>.</w:instrText>
      </w:r>
      <w:r w:rsidR="00D577E1">
        <w:instrText>int</w:instrText>
      </w:r>
      <w:r w:rsidR="00D577E1" w:rsidRPr="00D577E1">
        <w:rPr>
          <w:lang w:val="ru-RU"/>
        </w:rPr>
        <w:instrText>/</w:instrText>
      </w:r>
      <w:r w:rsidR="00D577E1">
        <w:instrText>en</w:instrText>
      </w:r>
      <w:r w:rsidR="00D577E1" w:rsidRPr="00D577E1">
        <w:rPr>
          <w:lang w:val="ru-RU"/>
        </w:rPr>
        <w:instrText>/</w:instrText>
      </w:r>
      <w:r w:rsidR="00D577E1">
        <w:instrText>events</w:instrText>
      </w:r>
      <w:r w:rsidR="00D577E1" w:rsidRPr="00D577E1">
        <w:rPr>
          <w:lang w:val="ru-RU"/>
        </w:rPr>
        <w:instrText>/</w:instrText>
      </w:r>
      <w:r w:rsidR="00D577E1">
        <w:instrText>Pages</w:instrText>
      </w:r>
      <w:r w:rsidR="00D577E1" w:rsidRPr="00D577E1">
        <w:rPr>
          <w:lang w:val="ru-RU"/>
        </w:rPr>
        <w:instrText>/</w:instrText>
      </w:r>
      <w:r w:rsidR="00D577E1">
        <w:instrText>Calendar</w:instrText>
      </w:r>
      <w:r w:rsidR="00D577E1" w:rsidRPr="00D577E1">
        <w:rPr>
          <w:lang w:val="ru-RU"/>
        </w:rPr>
        <w:instrText>-</w:instrText>
      </w:r>
      <w:r w:rsidR="00D577E1">
        <w:instrText>Events</w:instrText>
      </w:r>
      <w:r w:rsidR="00D577E1" w:rsidRPr="00D577E1">
        <w:rPr>
          <w:lang w:val="ru-RU"/>
        </w:rPr>
        <w:instrText>.</w:instrText>
      </w:r>
      <w:r w:rsidR="00D577E1">
        <w:instrText>aspx</w:instrText>
      </w:r>
      <w:r w:rsidR="00D577E1" w:rsidRPr="00D577E1">
        <w:rPr>
          <w:lang w:val="ru-RU"/>
        </w:rPr>
        <w:instrText xml:space="preserve">" </w:instrText>
      </w:r>
      <w:r w:rsidR="00D577E1">
        <w:fldChar w:fldCharType="separate"/>
      </w:r>
      <w:r w:rsidRPr="00097003">
        <w:rPr>
          <w:rStyle w:val="Hyperlink"/>
          <w:lang w:val="ru-RU"/>
        </w:rPr>
        <w:t>https://www.itu.int/en/events/Pages/Calendar-Events.aspx</w:t>
      </w:r>
      <w:r w:rsidR="00D577E1">
        <w:rPr>
          <w:rStyle w:val="Hyperlink"/>
          <w:lang w:val="ru-RU"/>
        </w:rPr>
        <w:fldChar w:fldCharType="end"/>
      </w:r>
      <w:r w:rsidRPr="00097003">
        <w:rPr>
          <w:lang w:val="ru-RU"/>
        </w:rPr>
        <w:t>.</w:t>
      </w:r>
      <w:bookmarkEnd w:id="116"/>
    </w:p>
  </w:footnote>
  <w:footnote w:id="15">
    <w:p w14:paraId="6B86FE60" w14:textId="6C264620" w:rsidR="002B0D90" w:rsidRPr="004B77F6" w:rsidRDefault="002B0D90" w:rsidP="002B0D90">
      <w:pPr>
        <w:pStyle w:val="FootnoteText"/>
      </w:pPr>
      <w:r w:rsidRPr="00097003">
        <w:rPr>
          <w:rStyle w:val="FootnoteReference"/>
          <w:lang w:val="ru-RU"/>
        </w:rPr>
        <w:footnoteRef/>
      </w:r>
      <w:r w:rsidRPr="004B77F6">
        <w:t xml:space="preserve"> </w:t>
      </w:r>
      <w:hyperlink r:id="rId6" w:history="1">
        <w:bookmarkStart w:id="118" w:name="lt_pId2370"/>
        <w:r w:rsidRPr="004B77F6">
          <w:t>https://academy.itu.int</w:t>
        </w:r>
        <w:bookmarkEnd w:id="118"/>
      </w:hyperlink>
      <w:r w:rsidRPr="004B77F6">
        <w:t>.</w:t>
      </w:r>
    </w:p>
  </w:footnote>
  <w:footnote w:id="16">
    <w:p w14:paraId="34D991DA" w14:textId="77777777" w:rsidR="002B0D90" w:rsidRDefault="002B0D90" w:rsidP="002B0D90">
      <w:pPr>
        <w:pStyle w:val="FootnoteText"/>
      </w:pPr>
      <w:r>
        <w:rPr>
          <w:rStyle w:val="FootnoteReference"/>
        </w:rPr>
        <w:footnoteRef/>
      </w:r>
      <w:r>
        <w:t xml:space="preserve"> </w:t>
      </w:r>
      <w:bookmarkStart w:id="119" w:name="lt_pId2371"/>
      <w:r>
        <w:t>ITU (2013) Overview of ITU activities in human capacity building: presentation to 2</w:t>
      </w:r>
      <w:r w:rsidRPr="00E33D5A">
        <w:rPr>
          <w:vertAlign w:val="superscript"/>
        </w:rPr>
        <w:t>nd</w:t>
      </w:r>
      <w:r>
        <w:t xml:space="preserve"> meeting of GCBI, Missenden Abbey, </w:t>
      </w:r>
      <w:hyperlink r:id="rId7" w:history="1">
        <w:r w:rsidRPr="005B2B8D">
          <w:t>https://academy.itu.int/sites/default/files/media/file/GCBI_meeting_presentation.pdf/</w:t>
        </w:r>
      </w:hyperlink>
      <w:r>
        <w:t xml:space="preserve"> provides a useful historical overview of the evolution of much of the present ITU capacity development activity.</w:t>
      </w:r>
      <w:bookmarkEnd w:id="119"/>
    </w:p>
  </w:footnote>
  <w:footnote w:id="17">
    <w:p w14:paraId="19BD1E1B" w14:textId="77777777" w:rsidR="002B0D90" w:rsidRDefault="002B0D90" w:rsidP="002B0D90">
      <w:pPr>
        <w:pStyle w:val="FootnoteText"/>
      </w:pPr>
      <w:r>
        <w:rPr>
          <w:rStyle w:val="FootnoteReference"/>
        </w:rPr>
        <w:footnoteRef/>
      </w:r>
      <w:r>
        <w:t xml:space="preserve"> </w:t>
      </w:r>
      <w:bookmarkStart w:id="120" w:name="lt_pId2372"/>
      <w:r>
        <w:t>ITU BDT (2015) Strategy for delivery of ITU Academy training programmes, Final version.</w:t>
      </w:r>
      <w:bookmarkEnd w:id="120"/>
    </w:p>
  </w:footnote>
  <w:footnote w:id="18">
    <w:p w14:paraId="0738B759" w14:textId="77777777" w:rsidR="002B0D90" w:rsidRPr="001119AF" w:rsidRDefault="002B0D90" w:rsidP="002B0D90">
      <w:pPr>
        <w:pStyle w:val="FootnoteText"/>
        <w:rPr>
          <w:sz w:val="20"/>
          <w:highlight w:val="lightGray"/>
          <w:lang w:val="ru-RU"/>
        </w:rPr>
      </w:pPr>
      <w:r>
        <w:rPr>
          <w:rStyle w:val="FootnoteReference"/>
        </w:rPr>
        <w:footnoteRef/>
      </w:r>
      <w:r w:rsidRPr="000E521B">
        <w:rPr>
          <w:lang w:val="ru-RU"/>
        </w:rPr>
        <w:t xml:space="preserve"> </w:t>
      </w:r>
      <w:bookmarkStart w:id="121" w:name="lt_pId2373"/>
      <w:r w:rsidRPr="000E521B">
        <w:rPr>
          <w:lang w:val="ru-RU"/>
        </w:rPr>
        <w:t>Исключение составляют ответы</w:t>
      </w:r>
      <w:r>
        <w:rPr>
          <w:lang w:val="ru-RU"/>
        </w:rPr>
        <w:t xml:space="preserve"> на</w:t>
      </w:r>
      <w:r w:rsidRPr="000E521B">
        <w:rPr>
          <w:lang w:val="ru-RU"/>
        </w:rPr>
        <w:t xml:space="preserve"> французско</w:t>
      </w:r>
      <w:r>
        <w:rPr>
          <w:lang w:val="ru-RU"/>
        </w:rPr>
        <w:t>м</w:t>
      </w:r>
      <w:r w:rsidRPr="000E521B">
        <w:rPr>
          <w:lang w:val="ru-RU"/>
        </w:rPr>
        <w:t xml:space="preserve"> язык</w:t>
      </w:r>
      <w:r>
        <w:rPr>
          <w:lang w:val="ru-RU"/>
        </w:rPr>
        <w:t>е</w:t>
      </w:r>
      <w:r w:rsidRPr="000E521B">
        <w:rPr>
          <w:lang w:val="ru-RU"/>
        </w:rPr>
        <w:t xml:space="preserve"> на вопрос об использовании процесса </w:t>
      </w:r>
      <w:r>
        <w:rPr>
          <w:lang w:val="ru-RU"/>
        </w:rPr>
        <w:t>"</w:t>
      </w:r>
      <w:r w:rsidRPr="000E521B">
        <w:rPr>
          <w:lang w:val="ru-RU"/>
        </w:rPr>
        <w:t>Мои счета</w:t>
      </w:r>
      <w:r>
        <w:rPr>
          <w:lang w:val="ru-RU"/>
        </w:rPr>
        <w:t>"</w:t>
      </w:r>
      <w:r w:rsidRPr="000E521B">
        <w:rPr>
          <w:lang w:val="ru-RU"/>
        </w:rPr>
        <w:t>.</w:t>
      </w:r>
      <w:bookmarkEnd w:id="121"/>
    </w:p>
  </w:footnote>
  <w:footnote w:id="19">
    <w:p w14:paraId="25DE7407" w14:textId="77777777" w:rsidR="002B0D90" w:rsidRPr="004423FA" w:rsidRDefault="002B0D90" w:rsidP="002B0D90">
      <w:pPr>
        <w:pStyle w:val="FootnoteText"/>
        <w:rPr>
          <w:lang w:val="ru-RU"/>
        </w:rPr>
      </w:pPr>
      <w:r w:rsidRPr="004423FA">
        <w:rPr>
          <w:rStyle w:val="FootnoteReference"/>
        </w:rPr>
        <w:footnoteRef/>
      </w:r>
      <w:r w:rsidRPr="004423FA">
        <w:rPr>
          <w:lang w:val="ru-RU"/>
        </w:rPr>
        <w:t xml:space="preserve"> </w:t>
      </w:r>
      <w:bookmarkStart w:id="122" w:name="lt_pId2374"/>
      <w:r w:rsidRPr="004423FA">
        <w:rPr>
          <w:lang w:val="ru-RU"/>
        </w:rPr>
        <w:t>В течение</w:t>
      </w:r>
      <w:r w:rsidRPr="006965EC">
        <w:rPr>
          <w:lang w:val="ru-RU"/>
        </w:rPr>
        <w:t xml:space="preserve"> </w:t>
      </w:r>
      <w:r>
        <w:rPr>
          <w:lang w:val="ru-RU"/>
        </w:rPr>
        <w:t xml:space="preserve">обзорного </w:t>
      </w:r>
      <w:r w:rsidRPr="006965EC">
        <w:rPr>
          <w:lang w:val="ru-RU"/>
        </w:rPr>
        <w:t xml:space="preserve">периода в платформу Академии </w:t>
      </w:r>
      <w:r>
        <w:rPr>
          <w:lang w:val="ru-RU"/>
        </w:rPr>
        <w:t xml:space="preserve">МСЭ </w:t>
      </w:r>
      <w:r w:rsidRPr="006965EC">
        <w:rPr>
          <w:lang w:val="ru-RU"/>
        </w:rPr>
        <w:t>были внесены дальнейшие усовершенствования, которые улучшили ее функциональность и ясность, но групп</w:t>
      </w:r>
      <w:r>
        <w:rPr>
          <w:lang w:val="ru-RU"/>
        </w:rPr>
        <w:t>е</w:t>
      </w:r>
      <w:r w:rsidRPr="006965EC">
        <w:rPr>
          <w:lang w:val="ru-RU"/>
        </w:rPr>
        <w:t xml:space="preserve"> </w:t>
      </w:r>
      <w:r>
        <w:rPr>
          <w:lang w:val="ru-RU"/>
        </w:rPr>
        <w:t>по подготовке обзора</w:t>
      </w:r>
      <w:r w:rsidRPr="006965EC">
        <w:rPr>
          <w:lang w:val="ru-RU"/>
        </w:rPr>
        <w:t xml:space="preserve"> не </w:t>
      </w:r>
      <w:r>
        <w:rPr>
          <w:lang w:val="ru-RU"/>
        </w:rPr>
        <w:t xml:space="preserve">удалось </w:t>
      </w:r>
      <w:r w:rsidRPr="006965EC">
        <w:rPr>
          <w:lang w:val="ru-RU"/>
        </w:rPr>
        <w:t xml:space="preserve">получить доступ к журналу всех изменений. Многие комментарии в этом отчете </w:t>
      </w:r>
      <w:r>
        <w:rPr>
          <w:lang w:val="ru-RU"/>
        </w:rPr>
        <w:t xml:space="preserve">сделаны в отношении </w:t>
      </w:r>
      <w:r w:rsidRPr="006965EC">
        <w:rPr>
          <w:lang w:val="ru-RU"/>
        </w:rPr>
        <w:t>статус</w:t>
      </w:r>
      <w:r>
        <w:rPr>
          <w:lang w:val="ru-RU"/>
        </w:rPr>
        <w:t>а</w:t>
      </w:r>
      <w:r w:rsidRPr="006965EC">
        <w:rPr>
          <w:lang w:val="ru-RU"/>
        </w:rPr>
        <w:t xml:space="preserve"> платформы </w:t>
      </w:r>
      <w:r>
        <w:rPr>
          <w:lang w:val="ru-RU"/>
        </w:rPr>
        <w:t>в</w:t>
      </w:r>
      <w:r w:rsidRPr="006965EC">
        <w:rPr>
          <w:lang w:val="ru-RU"/>
        </w:rPr>
        <w:t xml:space="preserve"> июл</w:t>
      </w:r>
      <w:r>
        <w:rPr>
          <w:lang w:val="ru-RU"/>
        </w:rPr>
        <w:t>е</w:t>
      </w:r>
      <w:r w:rsidRPr="006965EC">
        <w:rPr>
          <w:lang w:val="ru-RU"/>
        </w:rPr>
        <w:t xml:space="preserve"> 2020 года, когда </w:t>
      </w:r>
      <w:r>
        <w:rPr>
          <w:lang w:val="ru-RU"/>
        </w:rPr>
        <w:t>проводился обзор</w:t>
      </w:r>
      <w:r w:rsidRPr="006965EC">
        <w:rPr>
          <w:lang w:val="ru-RU"/>
        </w:rPr>
        <w:t xml:space="preserve"> ее содержани</w:t>
      </w:r>
      <w:r>
        <w:rPr>
          <w:lang w:val="ru-RU"/>
        </w:rPr>
        <w:t>я</w:t>
      </w:r>
      <w:r w:rsidRPr="006965EC">
        <w:rPr>
          <w:lang w:val="ru-RU"/>
        </w:rPr>
        <w:t xml:space="preserve"> и функциональн</w:t>
      </w:r>
      <w:r>
        <w:rPr>
          <w:lang w:val="ru-RU"/>
        </w:rPr>
        <w:t>ых возможностей</w:t>
      </w:r>
      <w:r w:rsidRPr="006965EC">
        <w:rPr>
          <w:lang w:val="ru-RU"/>
        </w:rPr>
        <w:t>.</w:t>
      </w:r>
      <w:bookmarkEnd w:id="122"/>
    </w:p>
  </w:footnote>
  <w:footnote w:id="20">
    <w:p w14:paraId="6215E7D7" w14:textId="77777777" w:rsidR="002B0D90" w:rsidRDefault="002B0D90" w:rsidP="002B0D90">
      <w:pPr>
        <w:pStyle w:val="FootnoteText"/>
      </w:pPr>
      <w:r>
        <w:rPr>
          <w:rStyle w:val="FootnoteReference"/>
        </w:rPr>
        <w:footnoteRef/>
      </w:r>
      <w:r>
        <w:t xml:space="preserve"> </w:t>
      </w:r>
      <w:bookmarkStart w:id="124" w:name="lt_pId2376"/>
      <w:r>
        <w:t>ITU (2018</w:t>
      </w:r>
      <w:r w:rsidRPr="002712E0">
        <w:t>) Operational Processes and Procedures for the ITU Centres of Excellence Network, Geneva: ITU.</w:t>
      </w:r>
      <w:bookmarkEnd w:id="124"/>
    </w:p>
  </w:footnote>
  <w:footnote w:id="21">
    <w:p w14:paraId="7D6BFEE4" w14:textId="7A59C2FB" w:rsidR="002B0D90" w:rsidRPr="001119AF" w:rsidRDefault="002B0D90" w:rsidP="002B0D90">
      <w:pPr>
        <w:pStyle w:val="FootnoteText"/>
        <w:rPr>
          <w:lang w:val="ru-RU"/>
        </w:rPr>
      </w:pPr>
      <w:r w:rsidRPr="0008392B">
        <w:rPr>
          <w:rStyle w:val="FootnoteReference"/>
        </w:rPr>
        <w:footnoteRef/>
      </w:r>
      <w:r w:rsidRPr="00DE0703">
        <w:rPr>
          <w:lang w:val="en-US"/>
        </w:rPr>
        <w:t xml:space="preserve"> </w:t>
      </w:r>
      <w:bookmarkStart w:id="125" w:name="lt_pId2377"/>
      <w:r w:rsidRPr="0008392B">
        <w:t>ITU</w:t>
      </w:r>
      <w:r w:rsidRPr="00DE0703">
        <w:rPr>
          <w:lang w:val="en-US"/>
        </w:rPr>
        <w:t xml:space="preserve"> (2019) </w:t>
      </w:r>
      <w:r w:rsidRPr="0008392B">
        <w:rPr>
          <w:i/>
          <w:iCs/>
        </w:rPr>
        <w:t>Centres</w:t>
      </w:r>
      <w:r w:rsidRPr="00DE0703">
        <w:rPr>
          <w:i/>
          <w:iCs/>
          <w:lang w:val="en-US"/>
        </w:rPr>
        <w:t xml:space="preserve"> </w:t>
      </w:r>
      <w:r w:rsidRPr="0008392B">
        <w:rPr>
          <w:i/>
          <w:iCs/>
        </w:rPr>
        <w:t>of</w:t>
      </w:r>
      <w:r w:rsidRPr="00DE0703">
        <w:rPr>
          <w:i/>
          <w:iCs/>
          <w:lang w:val="en-US"/>
        </w:rPr>
        <w:t xml:space="preserve"> </w:t>
      </w:r>
      <w:r w:rsidRPr="0008392B">
        <w:rPr>
          <w:i/>
          <w:iCs/>
        </w:rPr>
        <w:t>Excellence</w:t>
      </w:r>
      <w:r w:rsidRPr="00DE0703">
        <w:rPr>
          <w:i/>
          <w:iCs/>
          <w:lang w:val="en-US"/>
        </w:rPr>
        <w:t xml:space="preserve">: </w:t>
      </w:r>
      <w:r w:rsidRPr="0008392B">
        <w:rPr>
          <w:i/>
          <w:iCs/>
        </w:rPr>
        <w:t>Performance</w:t>
      </w:r>
      <w:r w:rsidRPr="00DE0703">
        <w:rPr>
          <w:i/>
          <w:iCs/>
          <w:lang w:val="en-US"/>
        </w:rPr>
        <w:t xml:space="preserve"> </w:t>
      </w:r>
      <w:r w:rsidRPr="0008392B">
        <w:rPr>
          <w:i/>
          <w:iCs/>
        </w:rPr>
        <w:t>Evaluation</w:t>
      </w:r>
      <w:r w:rsidRPr="00DE0703">
        <w:rPr>
          <w:i/>
          <w:iCs/>
          <w:lang w:val="en-US"/>
        </w:rPr>
        <w:t xml:space="preserve"> </w:t>
      </w:r>
      <w:r w:rsidRPr="0008392B">
        <w:rPr>
          <w:i/>
          <w:iCs/>
        </w:rPr>
        <w:t>Report</w:t>
      </w:r>
      <w:r w:rsidRPr="00DE0703">
        <w:rPr>
          <w:i/>
          <w:iCs/>
          <w:lang w:val="en-US"/>
        </w:rPr>
        <w:t xml:space="preserve"> 2015</w:t>
      </w:r>
      <w:r w:rsidR="002D5DE5">
        <w:rPr>
          <w:i/>
          <w:iCs/>
          <w:lang w:val="en-US"/>
        </w:rPr>
        <w:t>−</w:t>
      </w:r>
      <w:r w:rsidRPr="00DE0703">
        <w:rPr>
          <w:i/>
          <w:iCs/>
          <w:lang w:val="en-US"/>
        </w:rPr>
        <w:t>2018</w:t>
      </w:r>
      <w:r w:rsidRPr="00DE0703">
        <w:rPr>
          <w:lang w:val="en-US"/>
        </w:rPr>
        <w:t xml:space="preserve">, </w:t>
      </w:r>
      <w:r w:rsidRPr="0008392B">
        <w:t>Geneva</w:t>
      </w:r>
      <w:r w:rsidRPr="00DE0703">
        <w:rPr>
          <w:lang w:val="en-US"/>
        </w:rPr>
        <w:t xml:space="preserve">: </w:t>
      </w:r>
      <w:r w:rsidRPr="0008392B">
        <w:t>ITU</w:t>
      </w:r>
      <w:r w:rsidRPr="00DE0703">
        <w:rPr>
          <w:lang w:val="en-US"/>
        </w:rPr>
        <w:t>.</w:t>
      </w:r>
      <w:bookmarkEnd w:id="125"/>
      <w:r w:rsidRPr="00DE0703">
        <w:rPr>
          <w:lang w:val="en-US"/>
        </w:rPr>
        <w:t xml:space="preserve"> </w:t>
      </w:r>
      <w:r>
        <w:rPr>
          <w:lang w:val="ru-RU"/>
        </w:rPr>
        <w:t xml:space="preserve">Этот документ </w:t>
      </w:r>
      <w:r w:rsidRPr="002712E0">
        <w:rPr>
          <w:lang w:val="ru-RU"/>
        </w:rPr>
        <w:t xml:space="preserve">во многом </w:t>
      </w:r>
      <w:r>
        <w:rPr>
          <w:lang w:val="ru-RU"/>
        </w:rPr>
        <w:t xml:space="preserve">был </w:t>
      </w:r>
      <w:r w:rsidRPr="002712E0">
        <w:rPr>
          <w:lang w:val="ru-RU"/>
        </w:rPr>
        <w:t xml:space="preserve">основан на </w:t>
      </w:r>
      <w:r>
        <w:rPr>
          <w:lang w:val="ru-RU"/>
        </w:rPr>
        <w:t>обследовании</w:t>
      </w:r>
      <w:r w:rsidRPr="002712E0">
        <w:rPr>
          <w:lang w:val="ru-RU"/>
        </w:rPr>
        <w:t xml:space="preserve">, проведенном </w:t>
      </w:r>
      <w:r w:rsidRPr="00B34E77">
        <w:rPr>
          <w:lang w:val="ru-RU"/>
        </w:rPr>
        <w:t>центрами профессионального мастерства</w:t>
      </w:r>
      <w:r w:rsidRPr="002712E0">
        <w:rPr>
          <w:lang w:val="ru-RU"/>
        </w:rPr>
        <w:t>.</w:t>
      </w:r>
    </w:p>
  </w:footnote>
  <w:footnote w:id="22">
    <w:p w14:paraId="331E5E39" w14:textId="77777777" w:rsidR="002B0D90" w:rsidRPr="001119AF" w:rsidRDefault="002B0D90" w:rsidP="002B0D90">
      <w:pPr>
        <w:pStyle w:val="FootnoteText"/>
        <w:rPr>
          <w:lang w:val="ru-RU"/>
        </w:rPr>
      </w:pPr>
      <w:r>
        <w:rPr>
          <w:rStyle w:val="FootnoteReference"/>
        </w:rPr>
        <w:footnoteRef/>
      </w:r>
      <w:r w:rsidRPr="00C10574">
        <w:rPr>
          <w:lang w:val="ru-RU"/>
        </w:rPr>
        <w:t xml:space="preserve"> </w:t>
      </w:r>
      <w:bookmarkStart w:id="126" w:name="lt_pId2379"/>
      <w:r>
        <w:rPr>
          <w:lang w:val="ru-RU"/>
        </w:rPr>
        <w:t>Перечень ЦПМ в разбивке по регионам</w:t>
      </w:r>
      <w:r w:rsidRPr="00C10574">
        <w:rPr>
          <w:lang w:val="ru-RU"/>
        </w:rPr>
        <w:t xml:space="preserve">, </w:t>
      </w:r>
      <w:r w:rsidR="00D577E1">
        <w:fldChar w:fldCharType="begin"/>
      </w:r>
      <w:r w:rsidR="00D577E1" w:rsidRPr="00D577E1">
        <w:rPr>
          <w:lang w:val="ru-RU"/>
        </w:rPr>
        <w:instrText xml:space="preserve"> </w:instrText>
      </w:r>
      <w:r w:rsidR="00D577E1">
        <w:instrText>HYPERLINK</w:instrText>
      </w:r>
      <w:r w:rsidR="00D577E1" w:rsidRPr="00D577E1">
        <w:rPr>
          <w:lang w:val="ru-RU"/>
        </w:rPr>
        <w:instrText xml:space="preserve"> "</w:instrText>
      </w:r>
      <w:r w:rsidR="00D577E1">
        <w:instrText>https</w:instrText>
      </w:r>
      <w:r w:rsidR="00D577E1" w:rsidRPr="00D577E1">
        <w:rPr>
          <w:lang w:val="ru-RU"/>
        </w:rPr>
        <w:instrText>://</w:instrText>
      </w:r>
      <w:r w:rsidR="00D577E1">
        <w:instrText>academy</w:instrText>
      </w:r>
      <w:r w:rsidR="00D577E1" w:rsidRPr="00D577E1">
        <w:rPr>
          <w:lang w:val="ru-RU"/>
        </w:rPr>
        <w:instrText>.</w:instrText>
      </w:r>
      <w:r w:rsidR="00D577E1">
        <w:instrText>itu</w:instrText>
      </w:r>
      <w:r w:rsidR="00D577E1" w:rsidRPr="00D577E1">
        <w:rPr>
          <w:lang w:val="ru-RU"/>
        </w:rPr>
        <w:instrText>.</w:instrText>
      </w:r>
      <w:r w:rsidR="00D577E1">
        <w:instrText>int</w:instrText>
      </w:r>
      <w:r w:rsidR="00D577E1" w:rsidRPr="00D577E1">
        <w:rPr>
          <w:lang w:val="ru-RU"/>
        </w:rPr>
        <w:instrText>/</w:instrText>
      </w:r>
      <w:r w:rsidR="00D577E1">
        <w:instrText>centres</w:instrText>
      </w:r>
      <w:r w:rsidR="00D577E1" w:rsidRPr="00D577E1">
        <w:rPr>
          <w:lang w:val="ru-RU"/>
        </w:rPr>
        <w:instrText>-</w:instrText>
      </w:r>
      <w:r w:rsidR="00D577E1">
        <w:instrText>excellence</w:instrText>
      </w:r>
      <w:r w:rsidR="00D577E1" w:rsidRPr="00D577E1">
        <w:rPr>
          <w:lang w:val="ru-RU"/>
        </w:rPr>
        <w:instrText>/</w:instrText>
      </w:r>
      <w:r w:rsidR="00D577E1">
        <w:instrText>coe</w:instrText>
      </w:r>
      <w:r w:rsidR="00D577E1" w:rsidRPr="00D577E1">
        <w:rPr>
          <w:lang w:val="ru-RU"/>
        </w:rPr>
        <w:instrText>-</w:instrText>
      </w:r>
      <w:r w:rsidR="00D577E1">
        <w:instrText>cycles</w:instrText>
      </w:r>
      <w:r w:rsidR="00D577E1" w:rsidRPr="00D577E1">
        <w:rPr>
          <w:lang w:val="ru-RU"/>
        </w:rPr>
        <w:instrText>/</w:instrText>
      </w:r>
      <w:r w:rsidR="00D577E1">
        <w:instrText>coe</w:instrText>
      </w:r>
      <w:r w:rsidR="00D577E1" w:rsidRPr="00D577E1">
        <w:rPr>
          <w:lang w:val="ru-RU"/>
        </w:rPr>
        <w:instrText>-</w:instrText>
      </w:r>
      <w:r w:rsidR="00D577E1">
        <w:instrText>cycle</w:instrText>
      </w:r>
      <w:r w:rsidR="00D577E1" w:rsidRPr="00D577E1">
        <w:rPr>
          <w:lang w:val="ru-RU"/>
        </w:rPr>
        <w:instrText xml:space="preserve">-2019-2022" </w:instrText>
      </w:r>
      <w:r w:rsidR="00D577E1">
        <w:fldChar w:fldCharType="separate"/>
      </w:r>
      <w:r w:rsidRPr="005B2B8D">
        <w:t>https</w:t>
      </w:r>
      <w:r w:rsidRPr="00C10574">
        <w:rPr>
          <w:lang w:val="ru-RU"/>
        </w:rPr>
        <w:t>://</w:t>
      </w:r>
      <w:r w:rsidRPr="005B2B8D">
        <w:t>academy</w:t>
      </w:r>
      <w:r w:rsidRPr="00C10574">
        <w:rPr>
          <w:lang w:val="ru-RU"/>
        </w:rPr>
        <w:t>.</w:t>
      </w:r>
      <w:r w:rsidRPr="005B2B8D">
        <w:t>itu</w:t>
      </w:r>
      <w:r w:rsidRPr="00C10574">
        <w:rPr>
          <w:lang w:val="ru-RU"/>
        </w:rPr>
        <w:t>.</w:t>
      </w:r>
      <w:r w:rsidRPr="005B2B8D">
        <w:t>int</w:t>
      </w:r>
      <w:r w:rsidRPr="00C10574">
        <w:rPr>
          <w:lang w:val="ru-RU"/>
        </w:rPr>
        <w:t>/</w:t>
      </w:r>
      <w:r w:rsidRPr="005B2B8D">
        <w:t>centres</w:t>
      </w:r>
      <w:r w:rsidRPr="00C10574">
        <w:rPr>
          <w:lang w:val="ru-RU"/>
        </w:rPr>
        <w:t>-</w:t>
      </w:r>
      <w:r w:rsidRPr="005B2B8D">
        <w:t>excellence</w:t>
      </w:r>
      <w:r w:rsidRPr="00C10574">
        <w:rPr>
          <w:lang w:val="ru-RU"/>
        </w:rPr>
        <w:t>/</w:t>
      </w:r>
      <w:r w:rsidRPr="005B2B8D">
        <w:t>coe</w:t>
      </w:r>
      <w:r w:rsidRPr="00C10574">
        <w:rPr>
          <w:lang w:val="ru-RU"/>
        </w:rPr>
        <w:t>-</w:t>
      </w:r>
      <w:r w:rsidRPr="005B2B8D">
        <w:t>cycles</w:t>
      </w:r>
      <w:r w:rsidRPr="00C10574">
        <w:rPr>
          <w:lang w:val="ru-RU"/>
        </w:rPr>
        <w:t>/</w:t>
      </w:r>
      <w:r w:rsidRPr="005B2B8D">
        <w:t>coe</w:t>
      </w:r>
      <w:r w:rsidRPr="00C10574">
        <w:rPr>
          <w:lang w:val="ru-RU"/>
        </w:rPr>
        <w:t>-</w:t>
      </w:r>
      <w:r w:rsidRPr="005B2B8D">
        <w:t>cycle</w:t>
      </w:r>
      <w:r w:rsidRPr="00C10574">
        <w:rPr>
          <w:lang w:val="ru-RU"/>
        </w:rPr>
        <w:t>-2019-2022</w:t>
      </w:r>
      <w:r w:rsidR="00D577E1">
        <w:rPr>
          <w:lang w:val="ru-RU"/>
        </w:rPr>
        <w:fldChar w:fldCharType="end"/>
      </w:r>
      <w:r w:rsidRPr="00C10574">
        <w:rPr>
          <w:lang w:val="ru-RU"/>
        </w:rPr>
        <w:t>.</w:t>
      </w:r>
      <w:bookmarkEnd w:id="126"/>
      <w:r w:rsidRPr="00C10574">
        <w:rPr>
          <w:lang w:val="ru-RU"/>
        </w:rPr>
        <w:t xml:space="preserve"> В нем перечислено 28 </w:t>
      </w:r>
      <w:r>
        <w:rPr>
          <w:lang w:val="ru-RU"/>
        </w:rPr>
        <w:t>ЦПМ;</w:t>
      </w:r>
      <w:r w:rsidRPr="00C10574">
        <w:rPr>
          <w:lang w:val="ru-RU"/>
        </w:rPr>
        <w:t xml:space="preserve"> в </w:t>
      </w:r>
      <w:r>
        <w:rPr>
          <w:lang w:val="ru-RU"/>
        </w:rPr>
        <w:t xml:space="preserve">ряде </w:t>
      </w:r>
      <w:r w:rsidRPr="00C10574">
        <w:rPr>
          <w:lang w:val="ru-RU"/>
        </w:rPr>
        <w:t>документ</w:t>
      </w:r>
      <w:r>
        <w:rPr>
          <w:lang w:val="ru-RU"/>
        </w:rPr>
        <w:t>ов МСЭ</w:t>
      </w:r>
      <w:r w:rsidRPr="00C10574">
        <w:rPr>
          <w:lang w:val="ru-RU"/>
        </w:rPr>
        <w:t xml:space="preserve"> </w:t>
      </w:r>
      <w:r>
        <w:rPr>
          <w:lang w:val="ru-RU"/>
        </w:rPr>
        <w:t>говорится о</w:t>
      </w:r>
      <w:r w:rsidRPr="00C10574">
        <w:rPr>
          <w:lang w:val="ru-RU"/>
        </w:rPr>
        <w:t xml:space="preserve"> 29 </w:t>
      </w:r>
      <w:r>
        <w:rPr>
          <w:lang w:val="ru-RU"/>
        </w:rPr>
        <w:t xml:space="preserve">ЦПМ в </w:t>
      </w:r>
      <w:r w:rsidRPr="00C10574">
        <w:rPr>
          <w:lang w:val="ru-RU"/>
        </w:rPr>
        <w:t>текуще</w:t>
      </w:r>
      <w:r>
        <w:rPr>
          <w:lang w:val="ru-RU"/>
        </w:rPr>
        <w:t>м</w:t>
      </w:r>
      <w:r w:rsidRPr="00C10574">
        <w:rPr>
          <w:lang w:val="ru-RU"/>
        </w:rPr>
        <w:t xml:space="preserve"> цикл</w:t>
      </w:r>
      <w:r>
        <w:rPr>
          <w:lang w:val="ru-RU"/>
        </w:rPr>
        <w:t>е</w:t>
      </w:r>
      <w:r w:rsidRPr="00C10574">
        <w:rPr>
          <w:lang w:val="ru-RU"/>
        </w:rPr>
        <w:t>.</w:t>
      </w:r>
    </w:p>
  </w:footnote>
  <w:footnote w:id="23">
    <w:p w14:paraId="2F11920A" w14:textId="432FB827" w:rsidR="002B0D90" w:rsidRPr="00063A55" w:rsidRDefault="002B0D90" w:rsidP="002B0D90">
      <w:pPr>
        <w:pStyle w:val="FootnoteText"/>
        <w:rPr>
          <w:lang w:val="ru-RU"/>
        </w:rPr>
      </w:pPr>
      <w:r>
        <w:rPr>
          <w:rStyle w:val="FootnoteReference"/>
        </w:rPr>
        <w:footnoteRef/>
      </w:r>
      <w:r w:rsidRPr="00063A55">
        <w:rPr>
          <w:lang w:val="ru-RU"/>
        </w:rPr>
        <w:t xml:space="preserve"> </w:t>
      </w:r>
      <w:bookmarkStart w:id="127" w:name="lt_pId2381"/>
      <w:r>
        <w:rPr>
          <w:lang w:val="ru-RU"/>
        </w:rPr>
        <w:t xml:space="preserve">Документ </w:t>
      </w:r>
      <w:r w:rsidRPr="000E36F1">
        <w:t>CoE</w:t>
      </w:r>
      <w:r w:rsidRPr="00063A55">
        <w:rPr>
          <w:lang w:val="ru-RU"/>
        </w:rPr>
        <w:t xml:space="preserve"> </w:t>
      </w:r>
      <w:r w:rsidRPr="000E36F1">
        <w:t>Course</w:t>
      </w:r>
      <w:r w:rsidRPr="00063A55">
        <w:rPr>
          <w:lang w:val="ru-RU"/>
        </w:rPr>
        <w:t xml:space="preserve"> </w:t>
      </w:r>
      <w:r w:rsidRPr="000E36F1">
        <w:t>stats</w:t>
      </w:r>
      <w:r w:rsidRPr="00063A55">
        <w:rPr>
          <w:lang w:val="ru-RU"/>
        </w:rPr>
        <w:t xml:space="preserve"> 2016</w:t>
      </w:r>
      <w:r w:rsidR="002D5DE5" w:rsidRPr="002D5DE5">
        <w:rPr>
          <w:lang w:val="ru-RU"/>
        </w:rPr>
        <w:t>−</w:t>
      </w:r>
      <w:r w:rsidRPr="00063A55">
        <w:rPr>
          <w:lang w:val="ru-RU"/>
        </w:rPr>
        <w:t>2019</w:t>
      </w:r>
      <w:bookmarkEnd w:id="127"/>
      <w:r w:rsidRPr="00063A55">
        <w:rPr>
          <w:lang w:val="ru-RU"/>
        </w:rPr>
        <w:t>.</w:t>
      </w:r>
    </w:p>
  </w:footnote>
  <w:footnote w:id="24">
    <w:p w14:paraId="501C6199" w14:textId="542D34A0" w:rsidR="002B0D90" w:rsidRPr="00063A55" w:rsidRDefault="002B0D90" w:rsidP="002B0D90">
      <w:pPr>
        <w:pStyle w:val="FootnoteText"/>
        <w:rPr>
          <w:lang w:val="ru-RU"/>
        </w:rPr>
      </w:pPr>
      <w:r>
        <w:rPr>
          <w:rStyle w:val="FootnoteReference"/>
        </w:rPr>
        <w:footnoteRef/>
      </w:r>
      <w:r w:rsidRPr="00063A55">
        <w:rPr>
          <w:lang w:val="ru-RU"/>
        </w:rPr>
        <w:t xml:space="preserve"> </w:t>
      </w:r>
      <w:bookmarkStart w:id="130" w:name="lt_pId2382"/>
      <w:r>
        <w:rPr>
          <w:lang w:val="ru-RU"/>
        </w:rPr>
        <w:t>См</w:t>
      </w:r>
      <w:r w:rsidRPr="00063A55">
        <w:rPr>
          <w:lang w:val="ru-RU"/>
        </w:rPr>
        <w:t xml:space="preserve">., </w:t>
      </w:r>
      <w:r>
        <w:rPr>
          <w:lang w:val="ru-RU"/>
        </w:rPr>
        <w:t>например</w:t>
      </w:r>
      <w:r w:rsidRPr="00063A55">
        <w:rPr>
          <w:lang w:val="ru-RU"/>
        </w:rPr>
        <w:t xml:space="preserve">, </w:t>
      </w:r>
      <w:r w:rsidRPr="001119AF">
        <w:rPr>
          <w:lang w:val="ru-RU"/>
        </w:rPr>
        <w:t>межрегиональны</w:t>
      </w:r>
      <w:r>
        <w:rPr>
          <w:lang w:val="ru-RU"/>
        </w:rPr>
        <w:t>е</w:t>
      </w:r>
      <w:r w:rsidRPr="001119AF">
        <w:rPr>
          <w:lang w:val="ru-RU"/>
        </w:rPr>
        <w:t xml:space="preserve"> семинар</w:t>
      </w:r>
      <w:r>
        <w:rPr>
          <w:lang w:val="ru-RU"/>
        </w:rPr>
        <w:t>ы</w:t>
      </w:r>
      <w:r w:rsidRPr="001119AF">
        <w:rPr>
          <w:lang w:val="ru-RU"/>
        </w:rPr>
        <w:t>-практикум</w:t>
      </w:r>
      <w:r>
        <w:rPr>
          <w:lang w:val="ru-RU"/>
        </w:rPr>
        <w:t>ы</w:t>
      </w:r>
      <w:r w:rsidRPr="001119AF">
        <w:rPr>
          <w:lang w:val="ru-RU"/>
        </w:rPr>
        <w:t xml:space="preserve"> по подготовке к ВКР-19</w:t>
      </w:r>
      <w:r w:rsidRPr="00063A55">
        <w:rPr>
          <w:lang w:val="ru-RU"/>
        </w:rPr>
        <w:t xml:space="preserve">: </w:t>
      </w:r>
      <w:r w:rsidR="00D577E1">
        <w:fldChar w:fldCharType="begin"/>
      </w:r>
      <w:r w:rsidR="00D577E1" w:rsidRPr="00D577E1">
        <w:rPr>
          <w:lang w:val="ru-RU"/>
        </w:rPr>
        <w:instrText xml:space="preserve"> </w:instrText>
      </w:r>
      <w:r w:rsidR="00D577E1">
        <w:instrText>HYPERLINK</w:instrText>
      </w:r>
      <w:r w:rsidR="00D577E1" w:rsidRPr="00D577E1">
        <w:rPr>
          <w:lang w:val="ru-RU"/>
        </w:rPr>
        <w:instrText xml:space="preserve"> "</w:instrText>
      </w:r>
      <w:r w:rsidR="00D577E1">
        <w:instrText>https</w:instrText>
      </w:r>
      <w:r w:rsidR="00D577E1" w:rsidRPr="00D577E1">
        <w:rPr>
          <w:lang w:val="ru-RU"/>
        </w:rPr>
        <w:instrText>://</w:instrText>
      </w:r>
      <w:r w:rsidR="00D577E1">
        <w:instrText>www</w:instrText>
      </w:r>
      <w:r w:rsidR="00D577E1" w:rsidRPr="00D577E1">
        <w:rPr>
          <w:lang w:val="ru-RU"/>
        </w:rPr>
        <w:instrText>.</w:instrText>
      </w:r>
      <w:r w:rsidR="00D577E1">
        <w:instrText>itu</w:instrText>
      </w:r>
      <w:r w:rsidR="00D577E1" w:rsidRPr="00D577E1">
        <w:rPr>
          <w:lang w:val="ru-RU"/>
        </w:rPr>
        <w:instrText>.</w:instrText>
      </w:r>
      <w:r w:rsidR="00D577E1">
        <w:instrText>int</w:instrText>
      </w:r>
      <w:r w:rsidR="00D577E1" w:rsidRPr="00D577E1">
        <w:rPr>
          <w:lang w:val="ru-RU"/>
        </w:rPr>
        <w:instrText>/</w:instrText>
      </w:r>
      <w:r w:rsidR="00D577E1">
        <w:instrText>en</w:instrText>
      </w:r>
      <w:r w:rsidR="00D577E1" w:rsidRPr="00D577E1">
        <w:rPr>
          <w:lang w:val="ru-RU"/>
        </w:rPr>
        <w:instrText>/</w:instrText>
      </w:r>
      <w:r w:rsidR="00D577E1">
        <w:instrText>ITU</w:instrText>
      </w:r>
      <w:r w:rsidR="00D577E1" w:rsidRPr="00D577E1">
        <w:rPr>
          <w:lang w:val="ru-RU"/>
        </w:rPr>
        <w:instrText>-</w:instrText>
      </w:r>
      <w:r w:rsidR="00D577E1">
        <w:instrText>R</w:instrText>
      </w:r>
      <w:r w:rsidR="00D577E1" w:rsidRPr="00D577E1">
        <w:rPr>
          <w:lang w:val="ru-RU"/>
        </w:rPr>
        <w:instrText>/</w:instrText>
      </w:r>
      <w:r w:rsidR="00D577E1">
        <w:instrText>conferences</w:instrText>
      </w:r>
      <w:r w:rsidR="00D577E1" w:rsidRPr="00D577E1">
        <w:rPr>
          <w:lang w:val="ru-RU"/>
        </w:rPr>
        <w:instrText>/</w:instrText>
      </w:r>
      <w:r w:rsidR="00D577E1">
        <w:instrText>wrc</w:instrText>
      </w:r>
      <w:r w:rsidR="00D577E1" w:rsidRPr="00D577E1">
        <w:rPr>
          <w:lang w:val="ru-RU"/>
        </w:rPr>
        <w:instrText>/2019/</w:instrText>
      </w:r>
      <w:r w:rsidR="00D577E1">
        <w:instrText>irwsp</w:instrText>
      </w:r>
      <w:r w:rsidR="00D577E1" w:rsidRPr="00D577E1">
        <w:rPr>
          <w:lang w:val="ru-RU"/>
        </w:rPr>
        <w:instrText>/</w:instrText>
      </w:r>
      <w:r w:rsidR="00D577E1">
        <w:instrText>Pages</w:instrText>
      </w:r>
      <w:r w:rsidR="00D577E1" w:rsidRPr="00D577E1">
        <w:rPr>
          <w:lang w:val="ru-RU"/>
        </w:rPr>
        <w:instrText>/</w:instrText>
      </w:r>
      <w:r w:rsidR="00D577E1">
        <w:instrText>default</w:instrText>
      </w:r>
      <w:r w:rsidR="00D577E1" w:rsidRPr="00D577E1">
        <w:rPr>
          <w:lang w:val="ru-RU"/>
        </w:rPr>
        <w:instrText>.</w:instrText>
      </w:r>
      <w:r w:rsidR="00D577E1">
        <w:instrText>aspx</w:instrText>
      </w:r>
      <w:r w:rsidR="00D577E1" w:rsidRPr="00D577E1">
        <w:rPr>
          <w:lang w:val="ru-RU"/>
        </w:rPr>
        <w:instrText xml:space="preserve">" </w:instrText>
      </w:r>
      <w:r w:rsidR="00D577E1">
        <w:fldChar w:fldCharType="separate"/>
      </w:r>
      <w:r w:rsidR="002D5DE5" w:rsidRPr="009F3CE7">
        <w:rPr>
          <w:rStyle w:val="Hyperlink"/>
        </w:rPr>
        <w:t>https</w:t>
      </w:r>
      <w:r w:rsidR="002D5DE5" w:rsidRPr="009F3CE7">
        <w:rPr>
          <w:rStyle w:val="Hyperlink"/>
          <w:lang w:val="ru-RU"/>
        </w:rPr>
        <w:t>://</w:t>
      </w:r>
      <w:r w:rsidR="002D5DE5" w:rsidRPr="009F3CE7">
        <w:rPr>
          <w:rStyle w:val="Hyperlink"/>
        </w:rPr>
        <w:t>www</w:t>
      </w:r>
      <w:r w:rsidR="002D5DE5" w:rsidRPr="009F3CE7">
        <w:rPr>
          <w:rStyle w:val="Hyperlink"/>
          <w:lang w:val="ru-RU"/>
        </w:rPr>
        <w:t>.</w:t>
      </w:r>
      <w:r w:rsidR="002D5DE5" w:rsidRPr="009F3CE7">
        <w:rPr>
          <w:rStyle w:val="Hyperlink"/>
        </w:rPr>
        <w:t>itu</w:t>
      </w:r>
      <w:r w:rsidR="002D5DE5" w:rsidRPr="009F3CE7">
        <w:rPr>
          <w:rStyle w:val="Hyperlink"/>
          <w:lang w:val="ru-RU"/>
        </w:rPr>
        <w:t>.</w:t>
      </w:r>
      <w:r w:rsidR="002D5DE5" w:rsidRPr="009F3CE7">
        <w:rPr>
          <w:rStyle w:val="Hyperlink"/>
        </w:rPr>
        <w:t>int</w:t>
      </w:r>
      <w:r w:rsidR="002D5DE5" w:rsidRPr="009F3CE7">
        <w:rPr>
          <w:rStyle w:val="Hyperlink"/>
          <w:lang w:val="ru-RU"/>
        </w:rPr>
        <w:t>/</w:t>
      </w:r>
      <w:r w:rsidR="002D5DE5" w:rsidRPr="009F3CE7">
        <w:rPr>
          <w:rStyle w:val="Hyperlink"/>
        </w:rPr>
        <w:t>en</w:t>
      </w:r>
      <w:r w:rsidR="002D5DE5" w:rsidRPr="009F3CE7">
        <w:rPr>
          <w:rStyle w:val="Hyperlink"/>
          <w:lang w:val="ru-RU"/>
        </w:rPr>
        <w:t>/</w:t>
      </w:r>
      <w:r w:rsidR="002D5DE5" w:rsidRPr="009F3CE7">
        <w:rPr>
          <w:rStyle w:val="Hyperlink"/>
        </w:rPr>
        <w:t>ITU</w:t>
      </w:r>
      <w:r w:rsidR="002D5DE5" w:rsidRPr="009F3CE7">
        <w:rPr>
          <w:rStyle w:val="Hyperlink"/>
          <w:lang w:val="ru-RU"/>
        </w:rPr>
        <w:t>-</w:t>
      </w:r>
      <w:r w:rsidR="002D5DE5" w:rsidRPr="009F3CE7">
        <w:rPr>
          <w:rStyle w:val="Hyperlink"/>
        </w:rPr>
        <w:t>R</w:t>
      </w:r>
      <w:r w:rsidR="002D5DE5" w:rsidRPr="009F3CE7">
        <w:rPr>
          <w:rStyle w:val="Hyperlink"/>
          <w:lang w:val="ru-RU"/>
        </w:rPr>
        <w:t>/</w:t>
      </w:r>
      <w:r w:rsidR="002D5DE5" w:rsidRPr="009F3CE7">
        <w:rPr>
          <w:rStyle w:val="Hyperlink"/>
        </w:rPr>
        <w:t>conferences</w:t>
      </w:r>
      <w:r w:rsidR="002D5DE5" w:rsidRPr="009F3CE7">
        <w:rPr>
          <w:rStyle w:val="Hyperlink"/>
          <w:lang w:val="ru-RU"/>
        </w:rPr>
        <w:t>/</w:t>
      </w:r>
      <w:r w:rsidR="002D5DE5" w:rsidRPr="009F3CE7">
        <w:rPr>
          <w:rStyle w:val="Hyperlink"/>
        </w:rPr>
        <w:t>wrc</w:t>
      </w:r>
      <w:r w:rsidR="002D5DE5" w:rsidRPr="009F3CE7">
        <w:rPr>
          <w:rStyle w:val="Hyperlink"/>
          <w:lang w:val="ru-RU"/>
        </w:rPr>
        <w:t>/2019/</w:t>
      </w:r>
      <w:r w:rsidR="002D5DE5" w:rsidRPr="009F3CE7">
        <w:rPr>
          <w:rStyle w:val="Hyperlink"/>
        </w:rPr>
        <w:t>irwsp</w:t>
      </w:r>
      <w:r w:rsidR="002D5DE5" w:rsidRPr="009F3CE7">
        <w:rPr>
          <w:rStyle w:val="Hyperlink"/>
          <w:lang w:val="ru-RU"/>
        </w:rPr>
        <w:t>/</w:t>
      </w:r>
      <w:r w:rsidR="002D5DE5" w:rsidRPr="009F3CE7">
        <w:rPr>
          <w:rStyle w:val="Hyperlink"/>
        </w:rPr>
        <w:t>Pages</w:t>
      </w:r>
      <w:r w:rsidR="002D5DE5" w:rsidRPr="009F3CE7">
        <w:rPr>
          <w:rStyle w:val="Hyperlink"/>
          <w:lang w:val="ru-RU"/>
        </w:rPr>
        <w:t>/</w:t>
      </w:r>
      <w:r w:rsidR="002D5DE5" w:rsidRPr="009F3CE7">
        <w:rPr>
          <w:rStyle w:val="Hyperlink"/>
        </w:rPr>
        <w:t>default</w:t>
      </w:r>
      <w:r w:rsidR="002D5DE5" w:rsidRPr="009F3CE7">
        <w:rPr>
          <w:rStyle w:val="Hyperlink"/>
          <w:lang w:val="ru-RU"/>
        </w:rPr>
        <w:t>.</w:t>
      </w:r>
      <w:r w:rsidR="002D5DE5" w:rsidRPr="009F3CE7">
        <w:rPr>
          <w:rStyle w:val="Hyperlink"/>
        </w:rPr>
        <w:t>aspx</w:t>
      </w:r>
      <w:r w:rsidR="00D577E1">
        <w:rPr>
          <w:rStyle w:val="Hyperlink"/>
        </w:rPr>
        <w:fldChar w:fldCharType="end"/>
      </w:r>
      <w:r w:rsidRPr="00063A55">
        <w:rPr>
          <w:lang w:val="ru-RU"/>
        </w:rPr>
        <w:t>.</w:t>
      </w:r>
      <w:bookmarkEnd w:id="130"/>
    </w:p>
  </w:footnote>
  <w:footnote w:id="25">
    <w:p w14:paraId="6BD90DDC" w14:textId="34921034" w:rsidR="002B0D90" w:rsidRPr="0042227C" w:rsidRDefault="002B0D90" w:rsidP="002D5DE5">
      <w:pPr>
        <w:pStyle w:val="FootnoteText"/>
        <w:rPr>
          <w:lang w:val="ru-RU"/>
        </w:rPr>
      </w:pPr>
      <w:r>
        <w:rPr>
          <w:rStyle w:val="FootnoteReference"/>
        </w:rPr>
        <w:footnoteRef/>
      </w:r>
      <w:r w:rsidRPr="006E6663">
        <w:rPr>
          <w:lang w:val="ru-RU"/>
        </w:rPr>
        <w:t xml:space="preserve"> </w:t>
      </w:r>
      <w:bookmarkStart w:id="131" w:name="lt_pId2383"/>
      <w:r w:rsidRPr="001119AF">
        <w:rPr>
          <w:lang w:val="ru-RU"/>
        </w:rPr>
        <w:t>Многие семинары</w:t>
      </w:r>
      <w:r>
        <w:rPr>
          <w:lang w:val="ru-RU"/>
        </w:rPr>
        <w:t>-практикумы</w:t>
      </w:r>
      <w:r w:rsidRPr="001119AF">
        <w:rPr>
          <w:lang w:val="ru-RU"/>
        </w:rPr>
        <w:t xml:space="preserve"> проводятся </w:t>
      </w:r>
      <w:r>
        <w:rPr>
          <w:lang w:val="ru-RU"/>
        </w:rPr>
        <w:t xml:space="preserve">как сопутствующие мероприятия </w:t>
      </w:r>
      <w:r w:rsidRPr="001119AF">
        <w:rPr>
          <w:lang w:val="ru-RU"/>
        </w:rPr>
        <w:t xml:space="preserve">или </w:t>
      </w:r>
      <w:r>
        <w:rPr>
          <w:lang w:val="ru-RU"/>
        </w:rPr>
        <w:t xml:space="preserve">в рамках </w:t>
      </w:r>
      <w:r w:rsidRPr="001119AF">
        <w:rPr>
          <w:lang w:val="ru-RU"/>
        </w:rPr>
        <w:t>мероприяти</w:t>
      </w:r>
      <w:r>
        <w:rPr>
          <w:lang w:val="ru-RU"/>
        </w:rPr>
        <w:t>й</w:t>
      </w:r>
      <w:r w:rsidRPr="001119AF">
        <w:rPr>
          <w:lang w:val="ru-RU"/>
        </w:rPr>
        <w:t xml:space="preserve"> </w:t>
      </w:r>
      <w:r w:rsidRPr="002D5DE5">
        <w:rPr>
          <w:szCs w:val="18"/>
          <w:lang w:val="ru-RU"/>
        </w:rPr>
        <w:t>МСЭ (</w:t>
      </w:r>
      <w:r w:rsidR="00D577E1">
        <w:fldChar w:fldCharType="begin"/>
      </w:r>
      <w:r w:rsidR="00D577E1" w:rsidRPr="00D577E1">
        <w:rPr>
          <w:lang w:val="ru-RU"/>
        </w:rPr>
        <w:instrText xml:space="preserve"> </w:instrText>
      </w:r>
      <w:r w:rsidR="00D577E1">
        <w:instrText>HYPERLINK</w:instrText>
      </w:r>
      <w:r w:rsidR="00D577E1" w:rsidRPr="00D577E1">
        <w:rPr>
          <w:lang w:val="ru-RU"/>
        </w:rPr>
        <w:instrText xml:space="preserve"> "</w:instrText>
      </w:r>
      <w:r w:rsidR="00D577E1">
        <w:instrText>https</w:instrText>
      </w:r>
      <w:r w:rsidR="00D577E1" w:rsidRPr="00D577E1">
        <w:rPr>
          <w:lang w:val="ru-RU"/>
        </w:rPr>
        <w:instrText>://</w:instrText>
      </w:r>
      <w:r w:rsidR="00D577E1">
        <w:instrText>www</w:instrText>
      </w:r>
      <w:r w:rsidR="00D577E1" w:rsidRPr="00D577E1">
        <w:rPr>
          <w:lang w:val="ru-RU"/>
        </w:rPr>
        <w:instrText>.</w:instrText>
      </w:r>
      <w:r w:rsidR="00D577E1">
        <w:instrText>itu</w:instrText>
      </w:r>
      <w:r w:rsidR="00D577E1" w:rsidRPr="00D577E1">
        <w:rPr>
          <w:lang w:val="ru-RU"/>
        </w:rPr>
        <w:instrText>.</w:instrText>
      </w:r>
      <w:r w:rsidR="00D577E1">
        <w:instrText>int</w:instrText>
      </w:r>
      <w:r w:rsidR="00D577E1" w:rsidRPr="00D577E1">
        <w:rPr>
          <w:lang w:val="ru-RU"/>
        </w:rPr>
        <w:instrText>/</w:instrText>
      </w:r>
      <w:r w:rsidR="00D577E1">
        <w:instrText>en</w:instrText>
      </w:r>
      <w:r w:rsidR="00D577E1" w:rsidRPr="00D577E1">
        <w:rPr>
          <w:lang w:val="ru-RU"/>
        </w:rPr>
        <w:instrText>/</w:instrText>
      </w:r>
      <w:r w:rsidR="00D577E1">
        <w:instrText>events</w:instrText>
      </w:r>
      <w:r w:rsidR="00D577E1" w:rsidRPr="00D577E1">
        <w:rPr>
          <w:lang w:val="ru-RU"/>
        </w:rPr>
        <w:instrText>/</w:instrText>
      </w:r>
      <w:r w:rsidR="00D577E1">
        <w:instrText>Pages</w:instrText>
      </w:r>
      <w:r w:rsidR="00D577E1" w:rsidRPr="00D577E1">
        <w:rPr>
          <w:lang w:val="ru-RU"/>
        </w:rPr>
        <w:instrText>/</w:instrText>
      </w:r>
      <w:r w:rsidR="00D577E1">
        <w:instrText>Calendar</w:instrText>
      </w:r>
      <w:r w:rsidR="00D577E1" w:rsidRPr="00D577E1">
        <w:rPr>
          <w:lang w:val="ru-RU"/>
        </w:rPr>
        <w:instrText>-</w:instrText>
      </w:r>
      <w:r w:rsidR="00D577E1">
        <w:instrText>Events</w:instrText>
      </w:r>
      <w:r w:rsidR="00D577E1" w:rsidRPr="00D577E1">
        <w:rPr>
          <w:lang w:val="ru-RU"/>
        </w:rPr>
        <w:instrText>.</w:instrText>
      </w:r>
      <w:r w:rsidR="00D577E1">
        <w:instrText>aspx</w:instrText>
      </w:r>
      <w:r w:rsidR="00D577E1" w:rsidRPr="00D577E1">
        <w:rPr>
          <w:lang w:val="ru-RU"/>
        </w:rPr>
        <w:instrText xml:space="preserve">" </w:instrText>
      </w:r>
      <w:r w:rsidR="00D577E1">
        <w:fldChar w:fldCharType="separate"/>
      </w:r>
      <w:r w:rsidRPr="002D5DE5">
        <w:rPr>
          <w:rStyle w:val="Hyperlink"/>
          <w:szCs w:val="18"/>
        </w:rPr>
        <w:t>https</w:t>
      </w:r>
      <w:r w:rsidRPr="002D5DE5">
        <w:rPr>
          <w:rStyle w:val="Hyperlink"/>
          <w:szCs w:val="18"/>
          <w:lang w:val="ru-RU"/>
        </w:rPr>
        <w:t>://</w:t>
      </w:r>
      <w:r w:rsidRPr="002D5DE5">
        <w:rPr>
          <w:rStyle w:val="Hyperlink"/>
          <w:szCs w:val="18"/>
        </w:rPr>
        <w:t>www</w:t>
      </w:r>
      <w:r w:rsidRPr="002D5DE5">
        <w:rPr>
          <w:rStyle w:val="Hyperlink"/>
          <w:szCs w:val="18"/>
          <w:lang w:val="ru-RU"/>
        </w:rPr>
        <w:t>.</w:t>
      </w:r>
      <w:r w:rsidRPr="002D5DE5">
        <w:rPr>
          <w:rStyle w:val="Hyperlink"/>
          <w:szCs w:val="18"/>
        </w:rPr>
        <w:t>itu</w:t>
      </w:r>
      <w:r w:rsidRPr="002D5DE5">
        <w:rPr>
          <w:rStyle w:val="Hyperlink"/>
          <w:szCs w:val="18"/>
          <w:lang w:val="ru-RU"/>
        </w:rPr>
        <w:t>.</w:t>
      </w:r>
      <w:r w:rsidRPr="002D5DE5">
        <w:rPr>
          <w:rStyle w:val="Hyperlink"/>
          <w:szCs w:val="18"/>
        </w:rPr>
        <w:t>int</w:t>
      </w:r>
      <w:r w:rsidRPr="002D5DE5">
        <w:rPr>
          <w:rStyle w:val="Hyperlink"/>
          <w:szCs w:val="18"/>
          <w:lang w:val="ru-RU"/>
        </w:rPr>
        <w:t>/</w:t>
      </w:r>
      <w:r w:rsidRPr="002D5DE5">
        <w:rPr>
          <w:rStyle w:val="Hyperlink"/>
          <w:szCs w:val="18"/>
        </w:rPr>
        <w:t>en</w:t>
      </w:r>
      <w:r w:rsidRPr="002D5DE5">
        <w:rPr>
          <w:rStyle w:val="Hyperlink"/>
          <w:szCs w:val="18"/>
          <w:lang w:val="ru-RU"/>
        </w:rPr>
        <w:t>/</w:t>
      </w:r>
      <w:r w:rsidRPr="002D5DE5">
        <w:rPr>
          <w:rStyle w:val="Hyperlink"/>
          <w:szCs w:val="18"/>
        </w:rPr>
        <w:t>events</w:t>
      </w:r>
      <w:r w:rsidRPr="002D5DE5">
        <w:rPr>
          <w:rStyle w:val="Hyperlink"/>
          <w:szCs w:val="18"/>
          <w:lang w:val="ru-RU"/>
        </w:rPr>
        <w:t>/</w:t>
      </w:r>
      <w:r w:rsidRPr="002D5DE5">
        <w:rPr>
          <w:rStyle w:val="Hyperlink"/>
          <w:szCs w:val="18"/>
        </w:rPr>
        <w:t>Pages</w:t>
      </w:r>
      <w:r w:rsidRPr="002D5DE5">
        <w:rPr>
          <w:rStyle w:val="Hyperlink"/>
          <w:szCs w:val="18"/>
          <w:lang w:val="ru-RU"/>
        </w:rPr>
        <w:t>/</w:t>
      </w:r>
      <w:r w:rsidRPr="002D5DE5">
        <w:rPr>
          <w:rStyle w:val="Hyperlink"/>
          <w:szCs w:val="18"/>
        </w:rPr>
        <w:t>Calendar</w:t>
      </w:r>
      <w:r w:rsidRPr="002D5DE5">
        <w:rPr>
          <w:rStyle w:val="Hyperlink"/>
          <w:szCs w:val="18"/>
          <w:lang w:val="ru-RU"/>
        </w:rPr>
        <w:t>-</w:t>
      </w:r>
      <w:r w:rsidRPr="002D5DE5">
        <w:rPr>
          <w:rStyle w:val="Hyperlink"/>
          <w:szCs w:val="18"/>
        </w:rPr>
        <w:t>Events</w:t>
      </w:r>
      <w:r w:rsidRPr="002D5DE5">
        <w:rPr>
          <w:rStyle w:val="Hyperlink"/>
          <w:szCs w:val="18"/>
          <w:lang w:val="ru-RU"/>
        </w:rPr>
        <w:t>.</w:t>
      </w:r>
      <w:r w:rsidRPr="002D5DE5">
        <w:rPr>
          <w:rStyle w:val="Hyperlink"/>
          <w:szCs w:val="18"/>
        </w:rPr>
        <w:t>aspx</w:t>
      </w:r>
      <w:r w:rsidR="00D577E1">
        <w:rPr>
          <w:rStyle w:val="Hyperlink"/>
          <w:szCs w:val="18"/>
        </w:rPr>
        <w:fldChar w:fldCharType="end"/>
      </w:r>
      <w:r w:rsidRPr="002D5DE5">
        <w:rPr>
          <w:szCs w:val="18"/>
          <w:lang w:val="ru-RU"/>
        </w:rPr>
        <w:t>). Обзор</w:t>
      </w:r>
      <w:r w:rsidRPr="001119AF">
        <w:rPr>
          <w:lang w:val="ru-RU"/>
        </w:rPr>
        <w:t xml:space="preserve"> деятельности в 2019 году показывает, что из всех </w:t>
      </w:r>
      <w:r>
        <w:rPr>
          <w:lang w:val="ru-RU"/>
        </w:rPr>
        <w:t>проведенных</w:t>
      </w:r>
      <w:r w:rsidRPr="001119AF">
        <w:rPr>
          <w:lang w:val="ru-RU"/>
        </w:rPr>
        <w:t xml:space="preserve"> </w:t>
      </w:r>
      <w:r>
        <w:rPr>
          <w:lang w:val="ru-RU"/>
        </w:rPr>
        <w:t>мероприятий</w:t>
      </w:r>
      <w:r w:rsidRPr="001119AF">
        <w:rPr>
          <w:lang w:val="ru-RU"/>
        </w:rPr>
        <w:t xml:space="preserve"> большинство составляли </w:t>
      </w:r>
      <w:r>
        <w:rPr>
          <w:lang w:val="ru-RU"/>
        </w:rPr>
        <w:t xml:space="preserve">мероприятия </w:t>
      </w:r>
      <w:r w:rsidRPr="001119AF">
        <w:rPr>
          <w:lang w:val="ru-RU"/>
        </w:rPr>
        <w:t>исследовательски</w:t>
      </w:r>
      <w:r>
        <w:rPr>
          <w:lang w:val="ru-RU"/>
        </w:rPr>
        <w:t>х</w:t>
      </w:r>
      <w:r w:rsidRPr="001119AF">
        <w:rPr>
          <w:lang w:val="ru-RU"/>
        </w:rPr>
        <w:t xml:space="preserve"> </w:t>
      </w:r>
      <w:r>
        <w:rPr>
          <w:lang w:val="ru-RU"/>
        </w:rPr>
        <w:t>комиссий</w:t>
      </w:r>
      <w:r w:rsidRPr="001119AF">
        <w:rPr>
          <w:lang w:val="ru-RU"/>
        </w:rPr>
        <w:t>, рабочи</w:t>
      </w:r>
      <w:r>
        <w:rPr>
          <w:lang w:val="ru-RU"/>
        </w:rPr>
        <w:t>х</w:t>
      </w:r>
      <w:r w:rsidRPr="001119AF">
        <w:rPr>
          <w:lang w:val="ru-RU"/>
        </w:rPr>
        <w:t xml:space="preserve"> групп исследовательских комиссий или рабочи</w:t>
      </w:r>
      <w:r>
        <w:rPr>
          <w:lang w:val="ru-RU"/>
        </w:rPr>
        <w:t>х</w:t>
      </w:r>
      <w:r w:rsidRPr="001119AF">
        <w:rPr>
          <w:lang w:val="ru-RU"/>
        </w:rPr>
        <w:t xml:space="preserve"> групп, всего 68%.</w:t>
      </w:r>
      <w:r>
        <w:rPr>
          <w:lang w:val="ru-RU"/>
        </w:rPr>
        <w:t xml:space="preserve"> Большинство мероприятий было проведено МСЭ</w:t>
      </w:r>
      <w:r w:rsidRPr="001119AF">
        <w:rPr>
          <w:lang w:val="ru-RU"/>
        </w:rPr>
        <w:t>-</w:t>
      </w:r>
      <w:r w:rsidRPr="006E6663">
        <w:t>T</w:t>
      </w:r>
      <w:r w:rsidRPr="001119AF">
        <w:rPr>
          <w:lang w:val="ru-RU"/>
        </w:rPr>
        <w:t xml:space="preserve"> – 77% от общего числа. </w:t>
      </w:r>
      <w:r>
        <w:rPr>
          <w:lang w:val="ru-RU"/>
        </w:rPr>
        <w:t>МСЭ</w:t>
      </w:r>
      <w:r w:rsidRPr="001119AF">
        <w:rPr>
          <w:lang w:val="ru-RU"/>
        </w:rPr>
        <w:t>-</w:t>
      </w:r>
      <w:r w:rsidRPr="006E6663">
        <w:t>D</w:t>
      </w:r>
      <w:r w:rsidRPr="001119AF">
        <w:rPr>
          <w:lang w:val="ru-RU"/>
        </w:rPr>
        <w:t xml:space="preserve"> </w:t>
      </w:r>
      <w:r>
        <w:rPr>
          <w:lang w:val="ru-RU"/>
        </w:rPr>
        <w:t xml:space="preserve">было проведено </w:t>
      </w:r>
      <w:r w:rsidRPr="001119AF">
        <w:rPr>
          <w:lang w:val="ru-RU"/>
        </w:rPr>
        <w:t xml:space="preserve">11% мероприятий, </w:t>
      </w:r>
      <w:r>
        <w:rPr>
          <w:lang w:val="ru-RU"/>
        </w:rPr>
        <w:t>МСЭ</w:t>
      </w:r>
      <w:r w:rsidRPr="001119AF">
        <w:rPr>
          <w:lang w:val="ru-RU"/>
        </w:rPr>
        <w:t>-</w:t>
      </w:r>
      <w:r w:rsidRPr="006E6663">
        <w:t>R</w:t>
      </w:r>
      <w:r w:rsidRPr="001119AF">
        <w:rPr>
          <w:lang w:val="ru-RU"/>
        </w:rPr>
        <w:t xml:space="preserve"> – 9%, Генеральны</w:t>
      </w:r>
      <w:r w:rsidRPr="00AF158B">
        <w:rPr>
          <w:lang w:val="ru-RU"/>
        </w:rPr>
        <w:t>м</w:t>
      </w:r>
      <w:r w:rsidRPr="001119AF">
        <w:rPr>
          <w:lang w:val="ru-RU"/>
        </w:rPr>
        <w:t xml:space="preserve"> секретариат</w:t>
      </w:r>
      <w:r w:rsidRPr="00AF158B">
        <w:rPr>
          <w:lang w:val="ru-RU"/>
        </w:rPr>
        <w:t>ом</w:t>
      </w:r>
      <w:r w:rsidRPr="001119AF">
        <w:rPr>
          <w:lang w:val="ru-RU"/>
        </w:rPr>
        <w:t xml:space="preserve"> – 3%. </w:t>
      </w:r>
      <w:r>
        <w:rPr>
          <w:lang w:val="ru-RU"/>
        </w:rPr>
        <w:t xml:space="preserve">Мероприятия </w:t>
      </w:r>
      <w:r w:rsidRPr="001119AF">
        <w:rPr>
          <w:lang w:val="ru-RU"/>
        </w:rPr>
        <w:t>про</w:t>
      </w:r>
      <w:r>
        <w:rPr>
          <w:lang w:val="ru-RU"/>
        </w:rPr>
        <w:t>шли</w:t>
      </w:r>
      <w:r w:rsidRPr="001119AF">
        <w:rPr>
          <w:lang w:val="ru-RU"/>
        </w:rPr>
        <w:t xml:space="preserve"> в 71 стране мира. Из всех мероприятий 43% были </w:t>
      </w:r>
      <w:r>
        <w:rPr>
          <w:lang w:val="ru-RU"/>
        </w:rPr>
        <w:t>проведены</w:t>
      </w:r>
      <w:r w:rsidRPr="001119AF">
        <w:rPr>
          <w:lang w:val="ru-RU"/>
        </w:rPr>
        <w:t>, 41% подтвержден, 7% отменены, 5% реализованы, 2% запланированы и 1% отложен. Примечательно, особенно в свете событий 2020 года, что уже в 2019</w:t>
      </w:r>
      <w:r>
        <w:rPr>
          <w:lang w:val="ru-RU"/>
        </w:rPr>
        <w:t> </w:t>
      </w:r>
      <w:r w:rsidRPr="001119AF">
        <w:rPr>
          <w:lang w:val="ru-RU"/>
        </w:rPr>
        <w:t>году наиболее популярным</w:t>
      </w:r>
      <w:r>
        <w:rPr>
          <w:lang w:val="ru-RU"/>
        </w:rPr>
        <w:t>и</w:t>
      </w:r>
      <w:r w:rsidRPr="001119AF">
        <w:rPr>
          <w:lang w:val="ru-RU"/>
        </w:rPr>
        <w:t xml:space="preserve"> </w:t>
      </w:r>
      <w:r>
        <w:rPr>
          <w:lang w:val="ru-RU"/>
        </w:rPr>
        <w:t xml:space="preserve">были мероприятия, проводимые в онлайновом режиме </w:t>
      </w:r>
      <w:r w:rsidRPr="001119AF">
        <w:rPr>
          <w:lang w:val="ru-RU"/>
        </w:rPr>
        <w:t>(37%), за которым</w:t>
      </w:r>
      <w:r>
        <w:rPr>
          <w:lang w:val="ru-RU"/>
        </w:rPr>
        <w:t>и</w:t>
      </w:r>
      <w:r w:rsidRPr="001119AF">
        <w:rPr>
          <w:lang w:val="ru-RU"/>
        </w:rPr>
        <w:t xml:space="preserve"> следовал</w:t>
      </w:r>
      <w:r>
        <w:rPr>
          <w:lang w:val="ru-RU"/>
        </w:rPr>
        <w:t xml:space="preserve">и </w:t>
      </w:r>
      <w:r w:rsidRPr="00376A90">
        <w:rPr>
          <w:lang w:val="ru-RU"/>
        </w:rPr>
        <w:t>мероприятия</w:t>
      </w:r>
      <w:r>
        <w:rPr>
          <w:lang w:val="ru-RU"/>
        </w:rPr>
        <w:t>, проводимые в</w:t>
      </w:r>
      <w:r w:rsidRPr="001119AF">
        <w:rPr>
          <w:lang w:val="ru-RU"/>
        </w:rPr>
        <w:t xml:space="preserve"> </w:t>
      </w:r>
      <w:r>
        <w:rPr>
          <w:lang w:val="ru-RU"/>
        </w:rPr>
        <w:t xml:space="preserve">очном режиме </w:t>
      </w:r>
      <w:r w:rsidRPr="001119AF">
        <w:rPr>
          <w:lang w:val="ru-RU"/>
        </w:rPr>
        <w:t>в Швейцарии (26%) и Китае (5%).</w:t>
      </w:r>
      <w:bookmarkEnd w:id="131"/>
    </w:p>
  </w:footnote>
  <w:footnote w:id="26">
    <w:p w14:paraId="00F5A49E" w14:textId="77777777" w:rsidR="002B0D90" w:rsidRPr="0010358B" w:rsidRDefault="002B0D90" w:rsidP="002B0D90">
      <w:pPr>
        <w:pStyle w:val="FootnoteText"/>
        <w:rPr>
          <w:lang w:val="ru-RU"/>
        </w:rPr>
      </w:pPr>
      <w:r>
        <w:rPr>
          <w:rStyle w:val="FootnoteReference"/>
        </w:rPr>
        <w:footnoteRef/>
      </w:r>
      <w:r w:rsidRPr="0010358B">
        <w:rPr>
          <w:lang w:val="ru-RU"/>
        </w:rPr>
        <w:t xml:space="preserve"> </w:t>
      </w:r>
      <w:bookmarkStart w:id="133" w:name="lt_pId2390"/>
      <w:r>
        <w:fldChar w:fldCharType="begin"/>
      </w:r>
      <w:r w:rsidRPr="0010358B">
        <w:rPr>
          <w:lang w:val="ru-RU"/>
        </w:rPr>
        <w:instrText xml:space="preserve"> </w:instrText>
      </w:r>
      <w:r>
        <w:instrText>HYPERLINK</w:instrText>
      </w:r>
      <w:r w:rsidRPr="0010358B">
        <w:rPr>
          <w:lang w:val="ru-RU"/>
        </w:rPr>
        <w:instrText xml:space="preserve"> "</w:instrText>
      </w:r>
      <w:r>
        <w:instrText>https</w:instrText>
      </w:r>
      <w:r w:rsidRPr="0010358B">
        <w:rPr>
          <w:lang w:val="ru-RU"/>
        </w:rPr>
        <w:instrText>://</w:instrText>
      </w:r>
      <w:r>
        <w:instrText>www</w:instrText>
      </w:r>
      <w:r w:rsidRPr="0010358B">
        <w:rPr>
          <w:lang w:val="ru-RU"/>
        </w:rPr>
        <w:instrText>.</w:instrText>
      </w:r>
      <w:r>
        <w:instrText>itu</w:instrText>
      </w:r>
      <w:r w:rsidRPr="0010358B">
        <w:rPr>
          <w:lang w:val="ru-RU"/>
        </w:rPr>
        <w:instrText>.</w:instrText>
      </w:r>
      <w:r>
        <w:instrText>int</w:instrText>
      </w:r>
      <w:r w:rsidRPr="0010358B">
        <w:rPr>
          <w:lang w:val="ru-RU"/>
        </w:rPr>
        <w:instrText>/</w:instrText>
      </w:r>
      <w:r>
        <w:instrText>en</w:instrText>
      </w:r>
      <w:r w:rsidRPr="0010358B">
        <w:rPr>
          <w:lang w:val="ru-RU"/>
        </w:rPr>
        <w:instrText>/</w:instrText>
      </w:r>
      <w:r>
        <w:instrText>ITU</w:instrText>
      </w:r>
      <w:r w:rsidRPr="0010358B">
        <w:rPr>
          <w:lang w:val="ru-RU"/>
        </w:rPr>
        <w:instrText>-</w:instrText>
      </w:r>
      <w:r>
        <w:instrText>R</w:instrText>
      </w:r>
      <w:r w:rsidRPr="0010358B">
        <w:rPr>
          <w:lang w:val="ru-RU"/>
        </w:rPr>
        <w:instrText>/</w:instrText>
      </w:r>
      <w:r>
        <w:instrText>seminars</w:instrText>
      </w:r>
      <w:r w:rsidRPr="0010358B">
        <w:rPr>
          <w:lang w:val="ru-RU"/>
        </w:rPr>
        <w:instrText>/</w:instrText>
      </w:r>
      <w:r>
        <w:instrText>Pages</w:instrText>
      </w:r>
      <w:r w:rsidRPr="0010358B">
        <w:rPr>
          <w:lang w:val="ru-RU"/>
        </w:rPr>
        <w:instrText>/</w:instrText>
      </w:r>
      <w:r>
        <w:instrText>default</w:instrText>
      </w:r>
      <w:r w:rsidRPr="0010358B">
        <w:rPr>
          <w:lang w:val="ru-RU"/>
        </w:rPr>
        <w:instrText>.</w:instrText>
      </w:r>
      <w:r>
        <w:instrText>aspx</w:instrText>
      </w:r>
      <w:r w:rsidRPr="0010358B">
        <w:rPr>
          <w:lang w:val="ru-RU"/>
        </w:rPr>
        <w:instrText xml:space="preserve">" </w:instrText>
      </w:r>
      <w:r>
        <w:fldChar w:fldCharType="separate"/>
      </w:r>
      <w:r w:rsidRPr="009279F8">
        <w:t>https</w:t>
      </w:r>
      <w:r w:rsidRPr="0010358B">
        <w:rPr>
          <w:lang w:val="ru-RU"/>
        </w:rPr>
        <w:t>://</w:t>
      </w:r>
      <w:r w:rsidRPr="009279F8">
        <w:t>www</w:t>
      </w:r>
      <w:r w:rsidRPr="0010358B">
        <w:rPr>
          <w:lang w:val="ru-RU"/>
        </w:rPr>
        <w:t>.</w:t>
      </w:r>
      <w:r w:rsidRPr="009279F8">
        <w:t>itu</w:t>
      </w:r>
      <w:r w:rsidRPr="0010358B">
        <w:rPr>
          <w:lang w:val="ru-RU"/>
        </w:rPr>
        <w:t>.</w:t>
      </w:r>
      <w:r w:rsidRPr="009279F8">
        <w:t>int</w:t>
      </w:r>
      <w:r w:rsidRPr="0010358B">
        <w:rPr>
          <w:lang w:val="ru-RU"/>
        </w:rPr>
        <w:t>/</w:t>
      </w:r>
      <w:r w:rsidRPr="009279F8">
        <w:t>en</w:t>
      </w:r>
      <w:r w:rsidRPr="0010358B">
        <w:rPr>
          <w:lang w:val="ru-RU"/>
        </w:rPr>
        <w:t>/</w:t>
      </w:r>
      <w:r w:rsidRPr="009279F8">
        <w:t>ITU</w:t>
      </w:r>
      <w:r w:rsidRPr="0010358B">
        <w:rPr>
          <w:lang w:val="ru-RU"/>
        </w:rPr>
        <w:t>-</w:t>
      </w:r>
      <w:r w:rsidRPr="009279F8">
        <w:t>R</w:t>
      </w:r>
      <w:r w:rsidRPr="0010358B">
        <w:rPr>
          <w:lang w:val="ru-RU"/>
        </w:rPr>
        <w:t>/</w:t>
      </w:r>
      <w:r w:rsidRPr="009279F8">
        <w:t>seminars</w:t>
      </w:r>
      <w:r w:rsidRPr="0010358B">
        <w:rPr>
          <w:lang w:val="ru-RU"/>
        </w:rPr>
        <w:t>/</w:t>
      </w:r>
      <w:r w:rsidRPr="009279F8">
        <w:t>Pages</w:t>
      </w:r>
      <w:r w:rsidRPr="0010358B">
        <w:rPr>
          <w:lang w:val="ru-RU"/>
        </w:rPr>
        <w:t>/</w:t>
      </w:r>
      <w:r w:rsidRPr="009279F8">
        <w:t>default</w:t>
      </w:r>
      <w:r w:rsidRPr="0010358B">
        <w:rPr>
          <w:lang w:val="ru-RU"/>
        </w:rPr>
        <w:t>.</w:t>
      </w:r>
      <w:r w:rsidRPr="009279F8">
        <w:t>aspx</w:t>
      </w:r>
      <w:r>
        <w:fldChar w:fldCharType="end"/>
      </w:r>
      <w:r w:rsidRPr="0010358B">
        <w:rPr>
          <w:lang w:val="ru-RU"/>
        </w:rPr>
        <w:t xml:space="preserve">; </w:t>
      </w:r>
      <w:r>
        <w:rPr>
          <w:lang w:val="ru-RU"/>
        </w:rPr>
        <w:t>см</w:t>
      </w:r>
      <w:r w:rsidRPr="0010358B">
        <w:rPr>
          <w:lang w:val="ru-RU"/>
        </w:rPr>
        <w:t xml:space="preserve">. </w:t>
      </w:r>
      <w:r>
        <w:rPr>
          <w:lang w:val="ru-RU"/>
        </w:rPr>
        <w:t>также</w:t>
      </w:r>
      <w:r w:rsidRPr="0010358B">
        <w:rPr>
          <w:lang w:val="ru-RU"/>
        </w:rPr>
        <w:t xml:space="preserve"> </w:t>
      </w:r>
      <w:r>
        <w:rPr>
          <w:lang w:val="ru-RU"/>
        </w:rPr>
        <w:t>документы</w:t>
      </w:r>
      <w:r w:rsidRPr="0010358B">
        <w:rPr>
          <w:lang w:val="ru-RU"/>
        </w:rPr>
        <w:t xml:space="preserve"> </w:t>
      </w:r>
      <w:r>
        <w:t>RAG</w:t>
      </w:r>
      <w:r w:rsidRPr="0010358B">
        <w:rPr>
          <w:lang w:val="ru-RU"/>
        </w:rPr>
        <w:t xml:space="preserve">_20 </w:t>
      </w:r>
      <w:r>
        <w:rPr>
          <w:lang w:val="ru-RU"/>
        </w:rPr>
        <w:t xml:space="preserve">и </w:t>
      </w:r>
      <w:r>
        <w:t>RAG</w:t>
      </w:r>
      <w:r w:rsidRPr="0010358B">
        <w:rPr>
          <w:lang w:val="ru-RU"/>
        </w:rPr>
        <w:t>_16</w:t>
      </w:r>
      <w:r>
        <w:rPr>
          <w:lang w:val="ru-RU"/>
        </w:rPr>
        <w:t>.</w:t>
      </w:r>
      <w:bookmarkEnd w:id="133"/>
    </w:p>
  </w:footnote>
  <w:footnote w:id="27">
    <w:p w14:paraId="6AB8DFE4" w14:textId="2761DF80" w:rsidR="002B0D90" w:rsidRPr="0010358B" w:rsidRDefault="002B0D90" w:rsidP="002B0D90">
      <w:pPr>
        <w:pStyle w:val="FootnoteText"/>
        <w:rPr>
          <w:lang w:val="ru-RU"/>
        </w:rPr>
      </w:pPr>
      <w:r>
        <w:rPr>
          <w:rStyle w:val="FootnoteReference"/>
        </w:rPr>
        <w:footnoteRef/>
      </w:r>
      <w:r w:rsidRPr="0010358B">
        <w:rPr>
          <w:lang w:val="ru-RU"/>
        </w:rPr>
        <w:t xml:space="preserve"> </w:t>
      </w:r>
      <w:bookmarkStart w:id="136" w:name="lt_pId2391"/>
      <w:r>
        <w:rPr>
          <w:lang w:val="ru-RU"/>
        </w:rPr>
        <w:t>См</w:t>
      </w:r>
      <w:r w:rsidRPr="0010358B">
        <w:rPr>
          <w:lang w:val="ru-RU"/>
        </w:rPr>
        <w:t xml:space="preserve">., </w:t>
      </w:r>
      <w:r>
        <w:rPr>
          <w:lang w:val="ru-RU"/>
        </w:rPr>
        <w:t>например</w:t>
      </w:r>
      <w:r w:rsidRPr="0010358B">
        <w:rPr>
          <w:lang w:val="ru-RU"/>
        </w:rPr>
        <w:t xml:space="preserve">: </w:t>
      </w:r>
      <w:r w:rsidR="00D577E1">
        <w:fldChar w:fldCharType="begin"/>
      </w:r>
      <w:r w:rsidR="00D577E1" w:rsidRPr="00D577E1">
        <w:rPr>
          <w:lang w:val="ru-RU"/>
        </w:rPr>
        <w:instrText xml:space="preserve"> </w:instrText>
      </w:r>
      <w:r w:rsidR="00D577E1">
        <w:instrText>HYPERLINK</w:instrText>
      </w:r>
      <w:r w:rsidR="00D577E1" w:rsidRPr="00D577E1">
        <w:rPr>
          <w:lang w:val="ru-RU"/>
        </w:rPr>
        <w:instrText xml:space="preserve"> "</w:instrText>
      </w:r>
      <w:r w:rsidR="00D577E1">
        <w:instrText>https</w:instrText>
      </w:r>
      <w:r w:rsidR="00D577E1" w:rsidRPr="00D577E1">
        <w:rPr>
          <w:lang w:val="ru-RU"/>
        </w:rPr>
        <w:instrText>://</w:instrText>
      </w:r>
      <w:r w:rsidR="00D577E1">
        <w:instrText>studylib</w:instrText>
      </w:r>
      <w:r w:rsidR="00D577E1" w:rsidRPr="00D577E1">
        <w:rPr>
          <w:lang w:val="ru-RU"/>
        </w:rPr>
        <w:instrText>.</w:instrText>
      </w:r>
      <w:r w:rsidR="00D577E1">
        <w:instrText>net</w:instrText>
      </w:r>
      <w:r w:rsidR="00D577E1" w:rsidRPr="00D577E1">
        <w:rPr>
          <w:lang w:val="ru-RU"/>
        </w:rPr>
        <w:instrText>/</w:instrText>
      </w:r>
      <w:r w:rsidR="00D577E1">
        <w:instrText>doc</w:instrText>
      </w:r>
      <w:r w:rsidR="00D577E1" w:rsidRPr="00D577E1">
        <w:rPr>
          <w:lang w:val="ru-RU"/>
        </w:rPr>
        <w:instrText>/13357348/</w:instrText>
      </w:r>
      <w:r w:rsidR="00D577E1">
        <w:instrText>bridging</w:instrText>
      </w:r>
      <w:r w:rsidR="00D577E1" w:rsidRPr="00D577E1">
        <w:rPr>
          <w:lang w:val="ru-RU"/>
        </w:rPr>
        <w:instrText>-</w:instrText>
      </w:r>
      <w:r w:rsidR="00D577E1">
        <w:instrText>the</w:instrText>
      </w:r>
      <w:r w:rsidR="00D577E1" w:rsidRPr="00D577E1">
        <w:rPr>
          <w:lang w:val="ru-RU"/>
        </w:rPr>
        <w:instrText>-</w:instrText>
      </w:r>
      <w:r w:rsidR="00D577E1">
        <w:instrText>standardization</w:instrText>
      </w:r>
      <w:r w:rsidR="00D577E1" w:rsidRPr="00D577E1">
        <w:rPr>
          <w:lang w:val="ru-RU"/>
        </w:rPr>
        <w:instrText>-</w:instrText>
      </w:r>
      <w:r w:rsidR="00D577E1">
        <w:instrText>gap</w:instrText>
      </w:r>
      <w:r w:rsidR="00D577E1" w:rsidRPr="00D577E1">
        <w:rPr>
          <w:lang w:val="ru-RU"/>
        </w:rPr>
        <w:instrText>--</w:instrText>
      </w:r>
      <w:r w:rsidR="00D577E1">
        <w:instrText>bsg</w:instrText>
      </w:r>
      <w:r w:rsidR="00D577E1" w:rsidRPr="00D577E1">
        <w:rPr>
          <w:lang w:val="ru-RU"/>
        </w:rPr>
        <w:instrText>--</w:instrText>
      </w:r>
      <w:r w:rsidR="00D577E1">
        <w:instrText>programme</w:instrText>
      </w:r>
      <w:r w:rsidR="00D577E1" w:rsidRPr="00D577E1">
        <w:rPr>
          <w:lang w:val="ru-RU"/>
        </w:rPr>
        <w:instrText>-</w:instrText>
      </w:r>
      <w:r w:rsidR="00D577E1">
        <w:instrText>vijay</w:instrText>
      </w:r>
      <w:r w:rsidR="00D577E1" w:rsidRPr="00D577E1">
        <w:rPr>
          <w:lang w:val="ru-RU"/>
        </w:rPr>
        <w:instrText>-</w:instrText>
      </w:r>
      <w:r w:rsidR="00D577E1">
        <w:instrText>ma</w:instrText>
      </w:r>
      <w:r w:rsidR="00D577E1" w:rsidRPr="00D577E1">
        <w:rPr>
          <w:lang w:val="ru-RU"/>
        </w:rPr>
        <w:instrText xml:space="preserve">" </w:instrText>
      </w:r>
      <w:r w:rsidR="00D577E1">
        <w:fldChar w:fldCharType="separate"/>
      </w:r>
      <w:r w:rsidR="002D5DE5" w:rsidRPr="009F3CE7">
        <w:rPr>
          <w:rStyle w:val="Hyperlink"/>
        </w:rPr>
        <w:t>https</w:t>
      </w:r>
      <w:r w:rsidR="002D5DE5" w:rsidRPr="009F3CE7">
        <w:rPr>
          <w:rStyle w:val="Hyperlink"/>
          <w:lang w:val="ru-RU"/>
        </w:rPr>
        <w:t>://</w:t>
      </w:r>
      <w:r w:rsidR="002D5DE5" w:rsidRPr="009F3CE7">
        <w:rPr>
          <w:rStyle w:val="Hyperlink"/>
        </w:rPr>
        <w:t>studylib</w:t>
      </w:r>
      <w:r w:rsidR="002D5DE5" w:rsidRPr="009F3CE7">
        <w:rPr>
          <w:rStyle w:val="Hyperlink"/>
          <w:lang w:val="ru-RU"/>
        </w:rPr>
        <w:t>.</w:t>
      </w:r>
      <w:r w:rsidR="002D5DE5" w:rsidRPr="009F3CE7">
        <w:rPr>
          <w:rStyle w:val="Hyperlink"/>
        </w:rPr>
        <w:t>net</w:t>
      </w:r>
      <w:r w:rsidR="002D5DE5" w:rsidRPr="009F3CE7">
        <w:rPr>
          <w:rStyle w:val="Hyperlink"/>
          <w:lang w:val="ru-RU"/>
        </w:rPr>
        <w:t>/</w:t>
      </w:r>
      <w:r w:rsidR="002D5DE5" w:rsidRPr="009F3CE7">
        <w:rPr>
          <w:rStyle w:val="Hyperlink"/>
        </w:rPr>
        <w:t>doc</w:t>
      </w:r>
      <w:r w:rsidR="002D5DE5" w:rsidRPr="009F3CE7">
        <w:rPr>
          <w:rStyle w:val="Hyperlink"/>
          <w:lang w:val="ru-RU"/>
        </w:rPr>
        <w:t>/13357348/</w:t>
      </w:r>
      <w:r w:rsidR="002D5DE5" w:rsidRPr="009F3CE7">
        <w:rPr>
          <w:rStyle w:val="Hyperlink"/>
        </w:rPr>
        <w:t>bridging</w:t>
      </w:r>
      <w:r w:rsidR="002D5DE5" w:rsidRPr="009F3CE7">
        <w:rPr>
          <w:rStyle w:val="Hyperlink"/>
          <w:lang w:val="ru-RU"/>
        </w:rPr>
        <w:t>-</w:t>
      </w:r>
      <w:r w:rsidR="002D5DE5" w:rsidRPr="009F3CE7">
        <w:rPr>
          <w:rStyle w:val="Hyperlink"/>
        </w:rPr>
        <w:t>the</w:t>
      </w:r>
      <w:r w:rsidR="002D5DE5" w:rsidRPr="009F3CE7">
        <w:rPr>
          <w:rStyle w:val="Hyperlink"/>
          <w:lang w:val="ru-RU"/>
        </w:rPr>
        <w:t>-</w:t>
      </w:r>
      <w:r w:rsidR="002D5DE5" w:rsidRPr="009F3CE7">
        <w:rPr>
          <w:rStyle w:val="Hyperlink"/>
        </w:rPr>
        <w:t>standardization</w:t>
      </w:r>
      <w:r w:rsidR="002D5DE5" w:rsidRPr="009F3CE7">
        <w:rPr>
          <w:rStyle w:val="Hyperlink"/>
          <w:lang w:val="ru-RU"/>
        </w:rPr>
        <w:t>-</w:t>
      </w:r>
      <w:r w:rsidR="002D5DE5" w:rsidRPr="009F3CE7">
        <w:rPr>
          <w:rStyle w:val="Hyperlink"/>
        </w:rPr>
        <w:t>gap</w:t>
      </w:r>
      <w:r w:rsidR="002D5DE5" w:rsidRPr="009F3CE7">
        <w:rPr>
          <w:rStyle w:val="Hyperlink"/>
          <w:lang w:val="ru-RU"/>
        </w:rPr>
        <w:t>--</w:t>
      </w:r>
      <w:r w:rsidR="002D5DE5" w:rsidRPr="009F3CE7">
        <w:rPr>
          <w:rStyle w:val="Hyperlink"/>
        </w:rPr>
        <w:t>bsg</w:t>
      </w:r>
      <w:r w:rsidR="002D5DE5" w:rsidRPr="009F3CE7">
        <w:rPr>
          <w:rStyle w:val="Hyperlink"/>
          <w:lang w:val="ru-RU"/>
        </w:rPr>
        <w:t>--</w:t>
      </w:r>
      <w:r w:rsidR="002D5DE5" w:rsidRPr="009F3CE7">
        <w:rPr>
          <w:rStyle w:val="Hyperlink"/>
        </w:rPr>
        <w:t>programme</w:t>
      </w:r>
      <w:r w:rsidR="002D5DE5" w:rsidRPr="009F3CE7">
        <w:rPr>
          <w:rStyle w:val="Hyperlink"/>
          <w:lang w:val="ru-RU"/>
        </w:rPr>
        <w:t>-</w:t>
      </w:r>
      <w:r w:rsidR="002D5DE5" w:rsidRPr="009F3CE7">
        <w:rPr>
          <w:rStyle w:val="Hyperlink"/>
        </w:rPr>
        <w:t>vijay</w:t>
      </w:r>
      <w:r w:rsidR="002D5DE5" w:rsidRPr="009F3CE7">
        <w:rPr>
          <w:rStyle w:val="Hyperlink"/>
          <w:lang w:val="ru-RU"/>
        </w:rPr>
        <w:t>-</w:t>
      </w:r>
      <w:r w:rsidR="002D5DE5" w:rsidRPr="009F3CE7">
        <w:rPr>
          <w:rStyle w:val="Hyperlink"/>
        </w:rPr>
        <w:t>ma</w:t>
      </w:r>
      <w:r w:rsidR="00D577E1">
        <w:rPr>
          <w:rStyle w:val="Hyperlink"/>
        </w:rPr>
        <w:fldChar w:fldCharType="end"/>
      </w:r>
      <w:r>
        <w:rPr>
          <w:lang w:val="ru-RU"/>
        </w:rPr>
        <w:t xml:space="preserve">, </w:t>
      </w:r>
      <w:r w:rsidRPr="0010358B">
        <w:rPr>
          <w:lang w:val="ru-RU"/>
        </w:rPr>
        <w:t>2015</w:t>
      </w:r>
      <w:r>
        <w:rPr>
          <w:lang w:val="ru-RU"/>
        </w:rPr>
        <w:t xml:space="preserve"> год</w:t>
      </w:r>
      <w:r w:rsidRPr="0010358B">
        <w:rPr>
          <w:lang w:val="ru-RU"/>
        </w:rPr>
        <w:t>.</w:t>
      </w:r>
      <w:bookmarkEnd w:id="136"/>
    </w:p>
  </w:footnote>
  <w:footnote w:id="28">
    <w:p w14:paraId="51722B42" w14:textId="43D56C62" w:rsidR="002B0D90" w:rsidRPr="0099556B" w:rsidRDefault="002B0D90" w:rsidP="002B0D90">
      <w:pPr>
        <w:pStyle w:val="FootnoteText"/>
        <w:rPr>
          <w:lang w:val="ru-RU"/>
        </w:rPr>
      </w:pPr>
      <w:r w:rsidRPr="009A4D8E">
        <w:rPr>
          <w:rStyle w:val="FootnoteReference"/>
        </w:rPr>
        <w:footnoteRef/>
      </w:r>
      <w:r w:rsidRPr="0099556B">
        <w:rPr>
          <w:rStyle w:val="FootnoteReference"/>
          <w:lang w:val="ru-RU"/>
        </w:rPr>
        <w:t xml:space="preserve"> </w:t>
      </w:r>
      <w:bookmarkStart w:id="138" w:name="lt_pId2392"/>
      <w:r>
        <w:fldChar w:fldCharType="begin"/>
      </w:r>
      <w:r w:rsidRPr="0099556B">
        <w:rPr>
          <w:lang w:val="ru-RU"/>
        </w:rPr>
        <w:instrText xml:space="preserve"> </w:instrText>
      </w:r>
      <w:r>
        <w:instrText>HYPERLINK</w:instrText>
      </w:r>
      <w:r w:rsidRPr="0099556B">
        <w:rPr>
          <w:lang w:val="ru-RU"/>
        </w:rPr>
        <w:instrText xml:space="preserve"> "</w:instrText>
      </w:r>
      <w:r>
        <w:instrText>https</w:instrText>
      </w:r>
      <w:r w:rsidRPr="0099556B">
        <w:rPr>
          <w:lang w:val="ru-RU"/>
        </w:rPr>
        <w:instrText>://</w:instrText>
      </w:r>
      <w:r>
        <w:instrText>www</w:instrText>
      </w:r>
      <w:r w:rsidRPr="0099556B">
        <w:rPr>
          <w:lang w:val="ru-RU"/>
        </w:rPr>
        <w:instrText>.</w:instrText>
      </w:r>
      <w:r>
        <w:instrText>itu</w:instrText>
      </w:r>
      <w:r w:rsidRPr="0099556B">
        <w:rPr>
          <w:lang w:val="ru-RU"/>
        </w:rPr>
        <w:instrText>.</w:instrText>
      </w:r>
      <w:r>
        <w:instrText>int</w:instrText>
      </w:r>
      <w:r w:rsidRPr="0099556B">
        <w:rPr>
          <w:lang w:val="ru-RU"/>
        </w:rPr>
        <w:instrText>/</w:instrText>
      </w:r>
      <w:r>
        <w:instrText>en</w:instrText>
      </w:r>
      <w:r w:rsidRPr="0099556B">
        <w:rPr>
          <w:lang w:val="ru-RU"/>
        </w:rPr>
        <w:instrText>/</w:instrText>
      </w:r>
      <w:r>
        <w:instrText>ITU</w:instrText>
      </w:r>
      <w:r w:rsidRPr="0099556B">
        <w:rPr>
          <w:lang w:val="ru-RU"/>
        </w:rPr>
        <w:instrText>-</w:instrText>
      </w:r>
      <w:r>
        <w:instrText>T</w:instrText>
      </w:r>
      <w:r w:rsidRPr="0099556B">
        <w:rPr>
          <w:lang w:val="ru-RU"/>
        </w:rPr>
        <w:instrText>/</w:instrText>
      </w:r>
      <w:r>
        <w:instrText>Workshops</w:instrText>
      </w:r>
      <w:r w:rsidRPr="0099556B">
        <w:rPr>
          <w:lang w:val="ru-RU"/>
        </w:rPr>
        <w:instrText>-</w:instrText>
      </w:r>
      <w:r>
        <w:instrText>and</w:instrText>
      </w:r>
      <w:r w:rsidRPr="0099556B">
        <w:rPr>
          <w:lang w:val="ru-RU"/>
        </w:rPr>
        <w:instrText>-</w:instrText>
      </w:r>
      <w:r>
        <w:instrText>Seminars</w:instrText>
      </w:r>
      <w:r w:rsidRPr="0099556B">
        <w:rPr>
          <w:lang w:val="ru-RU"/>
        </w:rPr>
        <w:instrText>/201912/</w:instrText>
      </w:r>
      <w:r>
        <w:instrText>Pages</w:instrText>
      </w:r>
      <w:r w:rsidRPr="0099556B">
        <w:rPr>
          <w:lang w:val="ru-RU"/>
        </w:rPr>
        <w:instrText>/</w:instrText>
      </w:r>
      <w:r>
        <w:instrText>default</w:instrText>
      </w:r>
      <w:r w:rsidRPr="0099556B">
        <w:rPr>
          <w:lang w:val="ru-RU"/>
        </w:rPr>
        <w:instrText>.</w:instrText>
      </w:r>
      <w:r>
        <w:instrText>aspx</w:instrText>
      </w:r>
      <w:r w:rsidRPr="0099556B">
        <w:rPr>
          <w:lang w:val="ru-RU"/>
        </w:rPr>
        <w:instrText xml:space="preserve">" </w:instrText>
      </w:r>
      <w:r>
        <w:fldChar w:fldCharType="separate"/>
      </w:r>
      <w:r w:rsidRPr="00DF081F">
        <w:rPr>
          <w:szCs w:val="16"/>
        </w:rPr>
        <w:t>https</w:t>
      </w:r>
      <w:r w:rsidRPr="0099556B">
        <w:rPr>
          <w:szCs w:val="16"/>
          <w:lang w:val="ru-RU"/>
        </w:rPr>
        <w:t>://</w:t>
      </w:r>
      <w:r w:rsidRPr="00DF081F">
        <w:rPr>
          <w:szCs w:val="16"/>
        </w:rPr>
        <w:t>www</w:t>
      </w:r>
      <w:r w:rsidRPr="0099556B">
        <w:rPr>
          <w:szCs w:val="16"/>
          <w:lang w:val="ru-RU"/>
        </w:rPr>
        <w:t>.</w:t>
      </w:r>
      <w:r w:rsidRPr="00DF081F">
        <w:rPr>
          <w:szCs w:val="16"/>
        </w:rPr>
        <w:t>itu</w:t>
      </w:r>
      <w:r w:rsidRPr="0099556B">
        <w:rPr>
          <w:szCs w:val="16"/>
          <w:lang w:val="ru-RU"/>
        </w:rPr>
        <w:t>.</w:t>
      </w:r>
      <w:r w:rsidRPr="00DF081F">
        <w:rPr>
          <w:szCs w:val="16"/>
        </w:rPr>
        <w:t>int</w:t>
      </w:r>
      <w:r w:rsidRPr="0099556B">
        <w:rPr>
          <w:szCs w:val="16"/>
          <w:lang w:val="ru-RU"/>
        </w:rPr>
        <w:t>/</w:t>
      </w:r>
      <w:r w:rsidRPr="00DF081F">
        <w:rPr>
          <w:szCs w:val="16"/>
        </w:rPr>
        <w:t>en</w:t>
      </w:r>
      <w:r w:rsidRPr="0099556B">
        <w:rPr>
          <w:szCs w:val="16"/>
          <w:lang w:val="ru-RU"/>
        </w:rPr>
        <w:t>/</w:t>
      </w:r>
      <w:r w:rsidRPr="00DF081F">
        <w:rPr>
          <w:szCs w:val="16"/>
        </w:rPr>
        <w:t>ITU</w:t>
      </w:r>
      <w:r w:rsidRPr="0099556B">
        <w:rPr>
          <w:szCs w:val="16"/>
          <w:lang w:val="ru-RU"/>
        </w:rPr>
        <w:t>-</w:t>
      </w:r>
      <w:r w:rsidRPr="00DF081F">
        <w:rPr>
          <w:szCs w:val="16"/>
        </w:rPr>
        <w:t>T</w:t>
      </w:r>
      <w:r w:rsidRPr="0099556B">
        <w:rPr>
          <w:szCs w:val="16"/>
          <w:lang w:val="ru-RU"/>
        </w:rPr>
        <w:t>/</w:t>
      </w:r>
      <w:r w:rsidRPr="00DF081F">
        <w:rPr>
          <w:szCs w:val="16"/>
        </w:rPr>
        <w:t>Workshops</w:t>
      </w:r>
      <w:r w:rsidRPr="0099556B">
        <w:rPr>
          <w:szCs w:val="16"/>
          <w:lang w:val="ru-RU"/>
        </w:rPr>
        <w:t>-</w:t>
      </w:r>
      <w:r w:rsidRPr="00DF081F">
        <w:rPr>
          <w:szCs w:val="16"/>
        </w:rPr>
        <w:t>and</w:t>
      </w:r>
      <w:r w:rsidRPr="0099556B">
        <w:rPr>
          <w:szCs w:val="16"/>
          <w:lang w:val="ru-RU"/>
        </w:rPr>
        <w:t>-</w:t>
      </w:r>
      <w:r w:rsidRPr="00DF081F">
        <w:rPr>
          <w:szCs w:val="16"/>
        </w:rPr>
        <w:t>Seminars</w:t>
      </w:r>
      <w:r w:rsidRPr="0099556B">
        <w:rPr>
          <w:szCs w:val="16"/>
          <w:lang w:val="ru-RU"/>
        </w:rPr>
        <w:t>/201912/</w:t>
      </w:r>
      <w:r w:rsidRPr="00DF081F">
        <w:rPr>
          <w:szCs w:val="16"/>
        </w:rPr>
        <w:t>Pages</w:t>
      </w:r>
      <w:r w:rsidRPr="0099556B">
        <w:rPr>
          <w:szCs w:val="16"/>
          <w:lang w:val="ru-RU"/>
        </w:rPr>
        <w:t>/</w:t>
      </w:r>
      <w:r w:rsidRPr="00DF081F">
        <w:rPr>
          <w:szCs w:val="16"/>
        </w:rPr>
        <w:t>default</w:t>
      </w:r>
      <w:r w:rsidRPr="0099556B">
        <w:rPr>
          <w:szCs w:val="16"/>
          <w:lang w:val="ru-RU"/>
        </w:rPr>
        <w:t>.</w:t>
      </w:r>
      <w:r w:rsidRPr="00DF081F">
        <w:rPr>
          <w:szCs w:val="16"/>
        </w:rPr>
        <w:t>aspx</w:t>
      </w:r>
      <w:r>
        <w:rPr>
          <w:szCs w:val="16"/>
        </w:rPr>
        <w:fldChar w:fldCharType="end"/>
      </w:r>
      <w:r w:rsidRPr="0099556B">
        <w:rPr>
          <w:lang w:val="ru-RU"/>
        </w:rPr>
        <w:t>.</w:t>
      </w:r>
      <w:bookmarkEnd w:id="138"/>
      <w:r w:rsidRPr="0099556B">
        <w:rPr>
          <w:lang w:val="ru-RU"/>
        </w:rPr>
        <w:t xml:space="preserve"> </w:t>
      </w:r>
    </w:p>
  </w:footnote>
  <w:footnote w:id="29">
    <w:p w14:paraId="23F26AD4" w14:textId="77777777" w:rsidR="002B0D90" w:rsidRPr="009621CE" w:rsidRDefault="002B0D90" w:rsidP="002B0D90">
      <w:pPr>
        <w:pStyle w:val="FootnoteText"/>
        <w:rPr>
          <w:lang w:val="ru-RU"/>
        </w:rPr>
      </w:pPr>
      <w:r w:rsidRPr="009A4D8E">
        <w:rPr>
          <w:rStyle w:val="FootnoteReference"/>
        </w:rPr>
        <w:footnoteRef/>
      </w:r>
      <w:r w:rsidRPr="00912197">
        <w:rPr>
          <w:rStyle w:val="FootnoteReference"/>
          <w:lang w:val="ru-RU"/>
        </w:rPr>
        <w:t xml:space="preserve"> </w:t>
      </w:r>
      <w:bookmarkStart w:id="140" w:name="lt_pId2393"/>
      <w:r w:rsidRPr="00912197">
        <w:rPr>
          <w:lang w:val="ru-RU"/>
        </w:rPr>
        <w:t xml:space="preserve">Следует </w:t>
      </w:r>
      <w:r>
        <w:rPr>
          <w:lang w:val="ru-RU"/>
        </w:rPr>
        <w:t>отметить</w:t>
      </w:r>
      <w:r w:rsidRPr="00912197">
        <w:rPr>
          <w:lang w:val="ru-RU"/>
        </w:rPr>
        <w:t xml:space="preserve">, что решение </w:t>
      </w:r>
      <w:r>
        <w:rPr>
          <w:lang w:val="ru-RU"/>
        </w:rPr>
        <w:t>Полномочной конференции 20</w:t>
      </w:r>
      <w:r w:rsidRPr="00912197">
        <w:rPr>
          <w:lang w:val="ru-RU"/>
        </w:rPr>
        <w:t>18</w:t>
      </w:r>
      <w:r>
        <w:rPr>
          <w:lang w:val="ru-RU"/>
        </w:rPr>
        <w:t xml:space="preserve"> года</w:t>
      </w:r>
      <w:r w:rsidRPr="00912197">
        <w:rPr>
          <w:lang w:val="ru-RU"/>
        </w:rPr>
        <w:t xml:space="preserve"> о том, что региональные отделения БРЭ </w:t>
      </w:r>
      <w:r>
        <w:rPr>
          <w:lang w:val="ru-RU"/>
        </w:rPr>
        <w:t>впредь</w:t>
      </w:r>
      <w:r w:rsidRPr="00912197">
        <w:rPr>
          <w:lang w:val="ru-RU"/>
        </w:rPr>
        <w:t xml:space="preserve"> будут представлять весь МСЭ, все еще находится в стадии </w:t>
      </w:r>
      <w:r>
        <w:rPr>
          <w:lang w:val="ru-RU"/>
        </w:rPr>
        <w:t>про</w:t>
      </w:r>
      <w:r w:rsidRPr="00912197">
        <w:rPr>
          <w:lang w:val="ru-RU"/>
        </w:rPr>
        <w:t xml:space="preserve">работки, хотя </w:t>
      </w:r>
      <w:r>
        <w:rPr>
          <w:lang w:val="ru-RU"/>
        </w:rPr>
        <w:t xml:space="preserve">предшествующее этому </w:t>
      </w:r>
      <w:r w:rsidRPr="00912197">
        <w:rPr>
          <w:lang w:val="ru-RU"/>
        </w:rPr>
        <w:t xml:space="preserve">усиление согласованности </w:t>
      </w:r>
      <w:r>
        <w:rPr>
          <w:lang w:val="ru-RU"/>
        </w:rPr>
        <w:t xml:space="preserve">работы </w:t>
      </w:r>
      <w:r w:rsidRPr="00912197">
        <w:rPr>
          <w:lang w:val="ru-RU"/>
        </w:rPr>
        <w:t xml:space="preserve">некоторых отделений </w:t>
      </w:r>
      <w:r>
        <w:rPr>
          <w:lang w:val="ru-RU"/>
        </w:rPr>
        <w:t>содействовало упрощению рабочего процесса</w:t>
      </w:r>
      <w:r w:rsidRPr="00912197">
        <w:rPr>
          <w:lang w:val="ru-RU"/>
        </w:rPr>
        <w:t>.</w:t>
      </w:r>
      <w:bookmarkEnd w:id="140"/>
    </w:p>
  </w:footnote>
  <w:footnote w:id="30">
    <w:p w14:paraId="25F9176A" w14:textId="77777777" w:rsidR="002B0D90" w:rsidRPr="001119AF" w:rsidRDefault="002B0D90" w:rsidP="002B0D90">
      <w:pPr>
        <w:pStyle w:val="FootnoteText"/>
        <w:rPr>
          <w:lang w:val="ru-RU"/>
        </w:rPr>
      </w:pPr>
      <w:r w:rsidRPr="00E65F7F">
        <w:rPr>
          <w:rStyle w:val="FootnoteReference"/>
        </w:rPr>
        <w:footnoteRef/>
      </w:r>
      <w:r w:rsidRPr="00EC637E">
        <w:rPr>
          <w:lang w:val="ru-RU"/>
        </w:rPr>
        <w:t xml:space="preserve"> </w:t>
      </w:r>
      <w:bookmarkStart w:id="142" w:name="lt_pId2394"/>
      <w:r>
        <w:rPr>
          <w:lang w:val="ru-RU"/>
        </w:rPr>
        <w:t>За и</w:t>
      </w:r>
      <w:r w:rsidRPr="00EC637E">
        <w:rPr>
          <w:lang w:val="ru-RU"/>
        </w:rPr>
        <w:t>сключение</w:t>
      </w:r>
      <w:r>
        <w:rPr>
          <w:lang w:val="ru-RU"/>
        </w:rPr>
        <w:t>м</w:t>
      </w:r>
      <w:r w:rsidRPr="00EC637E">
        <w:rPr>
          <w:lang w:val="ru-RU"/>
        </w:rPr>
        <w:t xml:space="preserve"> архивных проектов и проектов</w:t>
      </w:r>
      <w:r>
        <w:rPr>
          <w:lang w:val="ru-RU"/>
        </w:rPr>
        <w:t>, требующих</w:t>
      </w:r>
      <w:r w:rsidRPr="00EC637E">
        <w:rPr>
          <w:lang w:val="ru-RU"/>
        </w:rPr>
        <w:t xml:space="preserve"> средств</w:t>
      </w:r>
      <w:r>
        <w:rPr>
          <w:lang w:val="ru-RU"/>
        </w:rPr>
        <w:t>.</w:t>
      </w:r>
      <w:bookmarkEnd w:id="142"/>
    </w:p>
  </w:footnote>
  <w:footnote w:id="31">
    <w:p w14:paraId="60041386" w14:textId="1B356030" w:rsidR="002B0D90" w:rsidRPr="003143A5" w:rsidRDefault="002B0D90" w:rsidP="002B0D90">
      <w:pPr>
        <w:pStyle w:val="FootnoteText"/>
        <w:rPr>
          <w:lang w:val="ru-RU"/>
        </w:rPr>
      </w:pPr>
      <w:r w:rsidRPr="00E65F7F">
        <w:rPr>
          <w:rStyle w:val="FootnoteReference"/>
        </w:rPr>
        <w:footnoteRef/>
      </w:r>
      <w:r w:rsidRPr="003143A5">
        <w:rPr>
          <w:lang w:val="ru-RU"/>
        </w:rPr>
        <w:t xml:space="preserve"> </w:t>
      </w:r>
      <w:bookmarkStart w:id="143" w:name="lt_pId2395"/>
      <w:r w:rsidRPr="001119AF">
        <w:rPr>
          <w:lang w:val="ru-RU"/>
        </w:rPr>
        <w:t>Программ</w:t>
      </w:r>
      <w:r>
        <w:rPr>
          <w:lang w:val="ru-RU"/>
        </w:rPr>
        <w:t>а</w:t>
      </w:r>
      <w:r w:rsidRPr="001119AF">
        <w:rPr>
          <w:lang w:val="ru-RU"/>
        </w:rPr>
        <w:t xml:space="preserve"> для МСП</w:t>
      </w:r>
      <w:r w:rsidRPr="003143A5">
        <w:rPr>
          <w:lang w:val="ru-RU"/>
        </w:rPr>
        <w:t xml:space="preserve"> </w:t>
      </w:r>
      <w:r>
        <w:rPr>
          <w:lang w:val="ru-RU"/>
        </w:rPr>
        <w:t>на</w:t>
      </w:r>
      <w:r w:rsidRPr="003143A5">
        <w:rPr>
          <w:lang w:val="ru-RU"/>
        </w:rPr>
        <w:t xml:space="preserve"> </w:t>
      </w:r>
      <w:r w:rsidRPr="001119AF">
        <w:rPr>
          <w:lang w:val="ru-RU"/>
        </w:rPr>
        <w:t>Всемирно</w:t>
      </w:r>
      <w:r>
        <w:rPr>
          <w:lang w:val="ru-RU"/>
        </w:rPr>
        <w:t>м</w:t>
      </w:r>
      <w:r w:rsidRPr="001119AF">
        <w:rPr>
          <w:lang w:val="ru-RU"/>
        </w:rPr>
        <w:t xml:space="preserve"> мероприяти</w:t>
      </w:r>
      <w:r>
        <w:rPr>
          <w:lang w:val="ru-RU"/>
        </w:rPr>
        <w:t>и</w:t>
      </w:r>
      <w:r w:rsidRPr="001119AF">
        <w:rPr>
          <w:lang w:val="ru-RU"/>
        </w:rPr>
        <w:t xml:space="preserve"> </w:t>
      </w:r>
      <w:r w:rsidRPr="00131373">
        <w:rPr>
          <w:lang w:val="fr-FR"/>
        </w:rPr>
        <w:t>ITU</w:t>
      </w:r>
      <w:r w:rsidRPr="001119AF">
        <w:rPr>
          <w:lang w:val="ru-RU"/>
        </w:rPr>
        <w:t xml:space="preserve"> </w:t>
      </w:r>
      <w:r w:rsidRPr="00131373">
        <w:rPr>
          <w:lang w:val="fr-FR"/>
        </w:rPr>
        <w:t>Telecom</w:t>
      </w:r>
      <w:r w:rsidRPr="001119AF">
        <w:rPr>
          <w:lang w:val="ru-RU"/>
        </w:rPr>
        <w:t>-2019</w:t>
      </w:r>
      <w:r w:rsidRPr="003143A5">
        <w:rPr>
          <w:lang w:val="ru-RU"/>
        </w:rPr>
        <w:t xml:space="preserve">, </w:t>
      </w:r>
      <w:r w:rsidR="00D577E1">
        <w:fldChar w:fldCharType="begin"/>
      </w:r>
      <w:r w:rsidR="00D577E1" w:rsidRPr="00D577E1">
        <w:rPr>
          <w:lang w:val="ru-RU"/>
        </w:rPr>
        <w:instrText xml:space="preserve"> </w:instrText>
      </w:r>
      <w:r w:rsidR="00D577E1">
        <w:instrText>HYPERLINK</w:instrText>
      </w:r>
      <w:r w:rsidR="00D577E1" w:rsidRPr="00D577E1">
        <w:rPr>
          <w:lang w:val="ru-RU"/>
        </w:rPr>
        <w:instrText xml:space="preserve"> "</w:instrText>
      </w:r>
      <w:r w:rsidR="00D577E1">
        <w:instrText>https</w:instrText>
      </w:r>
      <w:r w:rsidR="00D577E1" w:rsidRPr="00D577E1">
        <w:rPr>
          <w:lang w:val="ru-RU"/>
        </w:rPr>
        <w:instrText>://</w:instrText>
      </w:r>
      <w:r w:rsidR="00D577E1">
        <w:instrText>www</w:instrText>
      </w:r>
      <w:r w:rsidR="00D577E1" w:rsidRPr="00D577E1">
        <w:rPr>
          <w:lang w:val="ru-RU"/>
        </w:rPr>
        <w:instrText>.</w:instrText>
      </w:r>
      <w:r w:rsidR="00D577E1">
        <w:instrText>ituaj</w:instrText>
      </w:r>
      <w:r w:rsidR="00D577E1" w:rsidRPr="00D577E1">
        <w:rPr>
          <w:lang w:val="ru-RU"/>
        </w:rPr>
        <w:instrText>.</w:instrText>
      </w:r>
      <w:r w:rsidR="00D577E1">
        <w:instrText>jp</w:instrText>
      </w:r>
      <w:r w:rsidR="00D577E1" w:rsidRPr="00D577E1">
        <w:rPr>
          <w:lang w:val="ru-RU"/>
        </w:rPr>
        <w:instrText>/</w:instrText>
      </w:r>
      <w:r w:rsidR="00D577E1">
        <w:instrText>wp</w:instrText>
      </w:r>
      <w:r w:rsidR="00D577E1" w:rsidRPr="00D577E1">
        <w:rPr>
          <w:lang w:val="ru-RU"/>
        </w:rPr>
        <w:instrText>-</w:instrText>
      </w:r>
      <w:r w:rsidR="00D577E1">
        <w:instrText>content</w:instrText>
      </w:r>
      <w:r w:rsidR="00D577E1" w:rsidRPr="00D577E1">
        <w:rPr>
          <w:lang w:val="ru-RU"/>
        </w:rPr>
        <w:instrText>/</w:instrText>
      </w:r>
      <w:r w:rsidR="00D577E1">
        <w:instrText>uploads</w:instrText>
      </w:r>
      <w:r w:rsidR="00D577E1" w:rsidRPr="00D577E1">
        <w:rPr>
          <w:lang w:val="ru-RU"/>
        </w:rPr>
        <w:instrText>/2019/03/</w:instrText>
      </w:r>
      <w:r w:rsidR="00D577E1">
        <w:instrText>WT</w:instrText>
      </w:r>
      <w:r w:rsidR="00D577E1" w:rsidRPr="00D577E1">
        <w:rPr>
          <w:lang w:val="ru-RU"/>
        </w:rPr>
        <w:instrText>19-</w:instrText>
      </w:r>
      <w:r w:rsidR="00D577E1">
        <w:instrText>Flyer</w:instrText>
      </w:r>
      <w:r w:rsidR="00D577E1" w:rsidRPr="00D577E1">
        <w:rPr>
          <w:lang w:val="ru-RU"/>
        </w:rPr>
        <w:instrText>-</w:instrText>
      </w:r>
      <w:r w:rsidR="00D577E1">
        <w:instrText>SMEs</w:instrText>
      </w:r>
      <w:r w:rsidR="00D577E1" w:rsidRPr="00D577E1">
        <w:rPr>
          <w:lang w:val="ru-RU"/>
        </w:rPr>
        <w:instrText>.</w:instrText>
      </w:r>
      <w:r w:rsidR="00D577E1">
        <w:instrText>pdf</w:instrText>
      </w:r>
      <w:r w:rsidR="00D577E1" w:rsidRPr="00D577E1">
        <w:rPr>
          <w:lang w:val="ru-RU"/>
        </w:rPr>
        <w:instrText xml:space="preserve">" </w:instrText>
      </w:r>
      <w:r w:rsidR="00D577E1">
        <w:fldChar w:fldCharType="separate"/>
      </w:r>
      <w:r w:rsidRPr="00E65F7F">
        <w:t>https</w:t>
      </w:r>
      <w:r w:rsidRPr="003143A5">
        <w:rPr>
          <w:lang w:val="ru-RU"/>
        </w:rPr>
        <w:t>://</w:t>
      </w:r>
      <w:r w:rsidRPr="00E65F7F">
        <w:t>www</w:t>
      </w:r>
      <w:r w:rsidRPr="003143A5">
        <w:rPr>
          <w:lang w:val="ru-RU"/>
        </w:rPr>
        <w:t>.</w:t>
      </w:r>
      <w:r w:rsidRPr="00E65F7F">
        <w:t>ituaj</w:t>
      </w:r>
      <w:r w:rsidRPr="003143A5">
        <w:rPr>
          <w:lang w:val="ru-RU"/>
        </w:rPr>
        <w:t>.</w:t>
      </w:r>
      <w:r w:rsidRPr="00E65F7F">
        <w:t>jp</w:t>
      </w:r>
      <w:r w:rsidRPr="003143A5">
        <w:rPr>
          <w:lang w:val="ru-RU"/>
        </w:rPr>
        <w:t>/</w:t>
      </w:r>
      <w:r w:rsidRPr="00E65F7F">
        <w:t>wp</w:t>
      </w:r>
      <w:r w:rsidRPr="003143A5">
        <w:rPr>
          <w:lang w:val="ru-RU"/>
        </w:rPr>
        <w:t>-</w:t>
      </w:r>
      <w:r w:rsidRPr="00E65F7F">
        <w:t>content</w:t>
      </w:r>
      <w:r w:rsidRPr="003143A5">
        <w:rPr>
          <w:lang w:val="ru-RU"/>
        </w:rPr>
        <w:t>/</w:t>
      </w:r>
      <w:r w:rsidRPr="00E65F7F">
        <w:t>uploads</w:t>
      </w:r>
      <w:r w:rsidRPr="003143A5">
        <w:rPr>
          <w:lang w:val="ru-RU"/>
        </w:rPr>
        <w:t>/2019/03/</w:t>
      </w:r>
      <w:r w:rsidRPr="00E65F7F">
        <w:t>WT</w:t>
      </w:r>
      <w:r w:rsidRPr="003143A5">
        <w:rPr>
          <w:lang w:val="ru-RU"/>
        </w:rPr>
        <w:t>19-</w:t>
      </w:r>
      <w:r w:rsidRPr="00E65F7F">
        <w:t>Flyer</w:t>
      </w:r>
      <w:r w:rsidRPr="003143A5">
        <w:rPr>
          <w:lang w:val="ru-RU"/>
        </w:rPr>
        <w:t>-</w:t>
      </w:r>
      <w:r w:rsidRPr="00E65F7F">
        <w:t>SMEs</w:t>
      </w:r>
      <w:r w:rsidRPr="003143A5">
        <w:rPr>
          <w:lang w:val="ru-RU"/>
        </w:rPr>
        <w:t>.</w:t>
      </w:r>
      <w:r w:rsidRPr="00E65F7F">
        <w:t>pdf</w:t>
      </w:r>
      <w:r w:rsidR="00D577E1">
        <w:fldChar w:fldCharType="end"/>
      </w:r>
      <w:r w:rsidRPr="003143A5">
        <w:rPr>
          <w:lang w:val="ru-RU"/>
        </w:rPr>
        <w:t>.</w:t>
      </w:r>
      <w:bookmarkEnd w:id="143"/>
    </w:p>
  </w:footnote>
  <w:footnote w:id="32">
    <w:p w14:paraId="176DE99A" w14:textId="77777777" w:rsidR="002B0D90" w:rsidRPr="00327C23" w:rsidRDefault="002B0D90" w:rsidP="002B0D90">
      <w:pPr>
        <w:pStyle w:val="FootnoteText"/>
        <w:rPr>
          <w:lang w:val="ru-RU"/>
        </w:rPr>
      </w:pPr>
      <w:r w:rsidRPr="00E65F7F">
        <w:rPr>
          <w:rStyle w:val="FootnoteReference"/>
        </w:rPr>
        <w:footnoteRef/>
      </w:r>
      <w:r w:rsidRPr="00B74C3C">
        <w:rPr>
          <w:lang w:val="ru-RU"/>
        </w:rPr>
        <w:t xml:space="preserve"> </w:t>
      </w:r>
      <w:bookmarkStart w:id="145" w:name="lt_pId2396"/>
      <w:r w:rsidRPr="00B74C3C">
        <w:rPr>
          <w:lang w:val="ru-RU"/>
        </w:rPr>
        <w:t xml:space="preserve">Иногда </w:t>
      </w:r>
      <w:r>
        <w:rPr>
          <w:lang w:val="ru-RU"/>
        </w:rPr>
        <w:t xml:space="preserve">их </w:t>
      </w:r>
      <w:r w:rsidRPr="00B74C3C">
        <w:rPr>
          <w:lang w:val="ru-RU"/>
        </w:rPr>
        <w:t xml:space="preserve">также называют комплексными программами </w:t>
      </w:r>
      <w:r>
        <w:rPr>
          <w:lang w:val="ru-RU"/>
        </w:rPr>
        <w:t>профессиональной подготовки</w:t>
      </w:r>
      <w:r w:rsidRPr="00B74C3C">
        <w:rPr>
          <w:lang w:val="ru-RU"/>
        </w:rPr>
        <w:t>.</w:t>
      </w:r>
      <w:bookmarkEnd w:id="145"/>
    </w:p>
  </w:footnote>
  <w:footnote w:id="33">
    <w:p w14:paraId="6EA77E54" w14:textId="5BC648B3" w:rsidR="002B0D90" w:rsidRDefault="002B0D90" w:rsidP="002B0D90">
      <w:pPr>
        <w:pStyle w:val="FootnoteText"/>
      </w:pPr>
      <w:r w:rsidRPr="00E65F7F">
        <w:rPr>
          <w:rStyle w:val="FootnoteReference"/>
        </w:rPr>
        <w:footnoteRef/>
      </w:r>
      <w:r w:rsidRPr="004A3E43">
        <w:rPr>
          <w:lang w:val="ru-RU"/>
        </w:rPr>
        <w:t xml:space="preserve"> </w:t>
      </w:r>
      <w:bookmarkStart w:id="146" w:name="lt_pId2397"/>
      <w:r>
        <w:rPr>
          <w:lang w:val="ru-RU"/>
        </w:rPr>
        <w:t>Представляется, что существует гибкость в определении т</w:t>
      </w:r>
      <w:r w:rsidRPr="004A3E43">
        <w:rPr>
          <w:lang w:val="ru-RU"/>
        </w:rPr>
        <w:t>ермин</w:t>
      </w:r>
      <w:r>
        <w:rPr>
          <w:lang w:val="ru-RU"/>
        </w:rPr>
        <w:t>а</w:t>
      </w:r>
      <w:r w:rsidRPr="004A3E43">
        <w:rPr>
          <w:lang w:val="ru-RU"/>
        </w:rPr>
        <w:t xml:space="preserve"> </w:t>
      </w:r>
      <w:r>
        <w:rPr>
          <w:lang w:val="ru-RU"/>
        </w:rPr>
        <w:t>"</w:t>
      </w:r>
      <w:r w:rsidRPr="004A3E43">
        <w:rPr>
          <w:lang w:val="ru-RU"/>
        </w:rPr>
        <w:t>выс</w:t>
      </w:r>
      <w:r>
        <w:rPr>
          <w:lang w:val="ru-RU"/>
        </w:rPr>
        <w:t>шее"</w:t>
      </w:r>
      <w:r w:rsidRPr="004A3E43">
        <w:rPr>
          <w:lang w:val="ru-RU"/>
        </w:rPr>
        <w:t>,</w:t>
      </w:r>
      <w:r>
        <w:rPr>
          <w:lang w:val="ru-RU"/>
        </w:rPr>
        <w:t xml:space="preserve"> однако в основном</w:t>
      </w:r>
      <w:r w:rsidRPr="004A3E43">
        <w:rPr>
          <w:lang w:val="ru-RU"/>
        </w:rPr>
        <w:t xml:space="preserve"> его </w:t>
      </w:r>
      <w:r>
        <w:rPr>
          <w:lang w:val="ru-RU"/>
        </w:rPr>
        <w:t xml:space="preserve">относили к программам </w:t>
      </w:r>
      <w:r w:rsidRPr="004A3E43">
        <w:rPr>
          <w:lang w:val="ru-RU"/>
        </w:rPr>
        <w:t>уровня магистра</w:t>
      </w:r>
      <w:r>
        <w:rPr>
          <w:lang w:val="ru-RU"/>
        </w:rPr>
        <w:t>туры</w:t>
      </w:r>
      <w:r w:rsidRPr="004A3E43">
        <w:rPr>
          <w:lang w:val="ru-RU"/>
        </w:rPr>
        <w:t>. Ключевыми</w:t>
      </w:r>
      <w:r w:rsidRPr="004A3E43">
        <w:rPr>
          <w:lang w:val="en-US"/>
        </w:rPr>
        <w:t xml:space="preserve"> </w:t>
      </w:r>
      <w:r w:rsidRPr="004A3E43">
        <w:rPr>
          <w:lang w:val="ru-RU"/>
        </w:rPr>
        <w:t>справочными</w:t>
      </w:r>
      <w:r w:rsidRPr="004A3E43">
        <w:rPr>
          <w:lang w:val="en-US"/>
        </w:rPr>
        <w:t xml:space="preserve"> </w:t>
      </w:r>
      <w:r w:rsidRPr="004A3E43">
        <w:rPr>
          <w:lang w:val="ru-RU"/>
        </w:rPr>
        <w:t>документами</w:t>
      </w:r>
      <w:r w:rsidRPr="004A3E43">
        <w:rPr>
          <w:lang w:val="en-US"/>
        </w:rPr>
        <w:t xml:space="preserve"> </w:t>
      </w:r>
      <w:r w:rsidRPr="004A3E43">
        <w:rPr>
          <w:lang w:val="ru-RU"/>
        </w:rPr>
        <w:t>здесь</w:t>
      </w:r>
      <w:r w:rsidRPr="004A3E43">
        <w:rPr>
          <w:lang w:val="en-US"/>
        </w:rPr>
        <w:t xml:space="preserve"> </w:t>
      </w:r>
      <w:r w:rsidRPr="004A3E43">
        <w:rPr>
          <w:lang w:val="ru-RU"/>
        </w:rPr>
        <w:t>являются</w:t>
      </w:r>
      <w:r w:rsidRPr="004A3E43">
        <w:rPr>
          <w:lang w:val="en-US"/>
        </w:rPr>
        <w:t xml:space="preserve">: </w:t>
      </w:r>
      <w:r w:rsidRPr="001119AF">
        <w:t>HCBD BDT ITU (2015) Strategy for delivery of ITU Academy training programmes Final Version</w:t>
      </w:r>
      <w:r w:rsidRPr="004A3E43">
        <w:rPr>
          <w:lang w:val="en-US"/>
        </w:rPr>
        <w:t xml:space="preserve">, </w:t>
      </w:r>
      <w:r>
        <w:rPr>
          <w:lang w:val="ru-RU"/>
        </w:rPr>
        <w:t>а</w:t>
      </w:r>
      <w:r w:rsidRPr="004A3E43">
        <w:rPr>
          <w:lang w:val="en-US"/>
        </w:rPr>
        <w:t xml:space="preserve"> </w:t>
      </w:r>
      <w:r>
        <w:rPr>
          <w:lang w:val="ru-RU"/>
        </w:rPr>
        <w:t>также</w:t>
      </w:r>
      <w:r w:rsidRPr="001119AF">
        <w:t xml:space="preserve"> ITU (no</w:t>
      </w:r>
      <w:r w:rsidR="00A579EF" w:rsidRPr="00627280">
        <w:rPr>
          <w:lang w:val="en-US"/>
        </w:rPr>
        <w:t> </w:t>
      </w:r>
      <w:r w:rsidRPr="001119AF">
        <w:t>date) Guidelines for the Quality Assurance Assessment of the ITU Academy Training Programmes</w:t>
      </w:r>
      <w:bookmarkStart w:id="147" w:name="lt_pId2398"/>
      <w:bookmarkEnd w:id="146"/>
      <w:r w:rsidRPr="00334E5C">
        <w:t>.</w:t>
      </w:r>
      <w:bookmarkEnd w:id="147"/>
    </w:p>
  </w:footnote>
  <w:footnote w:id="34">
    <w:p w14:paraId="2AA63E00" w14:textId="77777777" w:rsidR="002B0D90" w:rsidRDefault="002B0D90" w:rsidP="002B0D90">
      <w:pPr>
        <w:pStyle w:val="FootnoteText"/>
      </w:pPr>
      <w:r>
        <w:rPr>
          <w:rStyle w:val="FootnoteReference"/>
        </w:rPr>
        <w:footnoteRef/>
      </w:r>
      <w:r w:rsidRPr="00B2576A">
        <w:rPr>
          <w:lang w:val="ru-RU"/>
        </w:rPr>
        <w:t xml:space="preserve"> </w:t>
      </w:r>
      <w:bookmarkStart w:id="148" w:name="lt_pId2399"/>
      <w:r w:rsidRPr="00B2576A">
        <w:rPr>
          <w:lang w:val="ru-RU"/>
        </w:rPr>
        <w:t xml:space="preserve">В настоящее время штаб-квартира МСЭ </w:t>
      </w:r>
      <w:r>
        <w:rPr>
          <w:lang w:val="ru-RU"/>
        </w:rPr>
        <w:t xml:space="preserve">проводит преобразование </w:t>
      </w:r>
      <w:r w:rsidRPr="00B2576A">
        <w:rPr>
          <w:lang w:val="ru-RU"/>
        </w:rPr>
        <w:t>обзорных модулей этих программ в онлайн</w:t>
      </w:r>
      <w:r>
        <w:rPr>
          <w:lang w:val="ru-RU"/>
        </w:rPr>
        <w:t xml:space="preserve">овые </w:t>
      </w:r>
      <w:r w:rsidRPr="00B2576A">
        <w:rPr>
          <w:lang w:val="ru-RU"/>
        </w:rPr>
        <w:t xml:space="preserve">курсы для самостоятельного </w:t>
      </w:r>
      <w:r>
        <w:rPr>
          <w:lang w:val="ru-RU"/>
        </w:rPr>
        <w:t>прохождения</w:t>
      </w:r>
      <w:r w:rsidRPr="00B2576A">
        <w:rPr>
          <w:lang w:val="ru-RU"/>
        </w:rPr>
        <w:t xml:space="preserve">, которые будут </w:t>
      </w:r>
      <w:r>
        <w:rPr>
          <w:lang w:val="ru-RU"/>
        </w:rPr>
        <w:t xml:space="preserve">доступны через </w:t>
      </w:r>
      <w:r w:rsidRPr="00B2576A">
        <w:rPr>
          <w:lang w:val="ru-RU"/>
        </w:rPr>
        <w:t>Академи</w:t>
      </w:r>
      <w:r>
        <w:rPr>
          <w:lang w:val="ru-RU"/>
        </w:rPr>
        <w:t>ю</w:t>
      </w:r>
      <w:r w:rsidRPr="00B2576A">
        <w:rPr>
          <w:lang w:val="ru-RU"/>
        </w:rPr>
        <w:t xml:space="preserve"> МСЭ</w:t>
      </w:r>
      <w:r>
        <w:t>.</w:t>
      </w:r>
      <w:bookmarkEnd w:id="148"/>
    </w:p>
  </w:footnote>
  <w:footnote w:id="35">
    <w:p w14:paraId="46A5459D" w14:textId="77777777" w:rsidR="002B0D90" w:rsidRPr="00571B10" w:rsidRDefault="002B0D90" w:rsidP="002B0D90">
      <w:pPr>
        <w:pStyle w:val="FootnoteText"/>
        <w:rPr>
          <w:lang w:val="ru-RU"/>
        </w:rPr>
      </w:pPr>
      <w:r>
        <w:rPr>
          <w:rStyle w:val="FootnoteReference"/>
        </w:rPr>
        <w:footnoteRef/>
      </w:r>
      <w:r>
        <w:t xml:space="preserve"> </w:t>
      </w:r>
      <w:bookmarkStart w:id="149" w:name="lt_pId2400"/>
      <w:r w:rsidRPr="00523149">
        <w:t xml:space="preserve">ITU Academy (2013) SMTP Spectrum Management Training Programme: an ITU Academy Initiative, </w:t>
      </w:r>
      <w:hyperlink r:id="rId8" w:history="1">
        <w:r w:rsidRPr="00F86F0D">
          <w:rPr>
            <w:rStyle w:val="Hyperlink"/>
          </w:rPr>
          <w:t>https://drive.google.com/drive/folders/1mW8ST5QkNQSGKhy9smEBektAelR0AMSg</w:t>
        </w:r>
      </w:hyperlink>
      <w:r w:rsidRPr="00E65F7F">
        <w:t>.</w:t>
      </w:r>
      <w:bookmarkEnd w:id="149"/>
      <w:r w:rsidRPr="00E65F7F">
        <w:t xml:space="preserve"> </w:t>
      </w:r>
      <w:bookmarkStart w:id="150" w:name="lt_pId2401"/>
      <w:r w:rsidRPr="00523149">
        <w:rPr>
          <w:lang w:val="ru-RU"/>
        </w:rPr>
        <w:t xml:space="preserve">В </w:t>
      </w:r>
      <w:r>
        <w:rPr>
          <w:lang w:val="ru-RU"/>
        </w:rPr>
        <w:t>качестве уточнения</w:t>
      </w:r>
      <w:r w:rsidRPr="00523149">
        <w:rPr>
          <w:lang w:val="ru-RU"/>
        </w:rPr>
        <w:t xml:space="preserve"> можно отметить, что выбор аббревиатуры </w:t>
      </w:r>
      <w:r w:rsidRPr="00523149">
        <w:t>SMTP</w:t>
      </w:r>
      <w:r w:rsidRPr="00523149">
        <w:rPr>
          <w:lang w:val="ru-RU"/>
        </w:rPr>
        <w:t xml:space="preserve"> </w:t>
      </w:r>
      <w:r>
        <w:rPr>
          <w:lang w:val="ru-RU"/>
        </w:rPr>
        <w:t xml:space="preserve">со стороны </w:t>
      </w:r>
      <w:r w:rsidRPr="00523149">
        <w:rPr>
          <w:lang w:val="ru-RU"/>
        </w:rPr>
        <w:t>организации, специализирующейся на цифровых технологиях, кажется странным</w:t>
      </w:r>
      <w:r>
        <w:rPr>
          <w:lang w:val="ru-RU"/>
        </w:rPr>
        <w:t>,</w:t>
      </w:r>
      <w:r w:rsidRPr="00523149">
        <w:rPr>
          <w:lang w:val="ru-RU"/>
        </w:rPr>
        <w:t xml:space="preserve"> поскольку </w:t>
      </w:r>
      <w:r>
        <w:rPr>
          <w:lang w:val="ru-RU"/>
        </w:rPr>
        <w:t>эта аббревиатура</w:t>
      </w:r>
      <w:r w:rsidRPr="00523149">
        <w:rPr>
          <w:lang w:val="ru-RU"/>
        </w:rPr>
        <w:t xml:space="preserve"> более широко используется </w:t>
      </w:r>
      <w:r>
        <w:rPr>
          <w:lang w:val="ru-RU"/>
        </w:rPr>
        <w:t>в значении</w:t>
      </w:r>
      <w:r w:rsidRPr="00523149">
        <w:rPr>
          <w:lang w:val="ru-RU"/>
        </w:rPr>
        <w:t xml:space="preserve"> </w:t>
      </w:r>
      <w:r>
        <w:rPr>
          <w:lang w:val="ru-RU"/>
        </w:rPr>
        <w:t>"</w:t>
      </w:r>
      <w:r w:rsidRPr="001119AF">
        <w:rPr>
          <w:lang w:val="ru-RU"/>
        </w:rPr>
        <w:t>просто</w:t>
      </w:r>
      <w:r>
        <w:rPr>
          <w:lang w:val="ru-RU"/>
        </w:rPr>
        <w:t>й</w:t>
      </w:r>
      <w:r w:rsidRPr="001119AF">
        <w:rPr>
          <w:lang w:val="ru-RU"/>
        </w:rPr>
        <w:t xml:space="preserve"> протокол передачи почты</w:t>
      </w:r>
      <w:r>
        <w:rPr>
          <w:lang w:val="ru-RU"/>
        </w:rPr>
        <w:t>"</w:t>
      </w:r>
      <w:r w:rsidRPr="001119AF">
        <w:rPr>
          <w:lang w:val="ru-RU"/>
        </w:rPr>
        <w:t xml:space="preserve"> </w:t>
      </w:r>
      <w:r>
        <w:rPr>
          <w:lang w:val="ru-RU"/>
        </w:rPr>
        <w:t>(</w:t>
      </w:r>
      <w:r w:rsidRPr="00523149">
        <w:t>Simple</w:t>
      </w:r>
      <w:r w:rsidRPr="00523149">
        <w:rPr>
          <w:lang w:val="ru-RU"/>
        </w:rPr>
        <w:t xml:space="preserve"> </w:t>
      </w:r>
      <w:r w:rsidRPr="00523149">
        <w:t>Mail</w:t>
      </w:r>
      <w:r w:rsidRPr="00523149">
        <w:rPr>
          <w:lang w:val="ru-RU"/>
        </w:rPr>
        <w:t xml:space="preserve"> </w:t>
      </w:r>
      <w:r w:rsidRPr="00523149">
        <w:t>Transfer</w:t>
      </w:r>
      <w:r w:rsidRPr="00523149">
        <w:rPr>
          <w:lang w:val="ru-RU"/>
        </w:rPr>
        <w:t xml:space="preserve"> </w:t>
      </w:r>
      <w:r w:rsidRPr="00523149">
        <w:t>Protocol</w:t>
      </w:r>
      <w:r>
        <w:rPr>
          <w:lang w:val="ru-RU"/>
        </w:rPr>
        <w:t>)</w:t>
      </w:r>
      <w:r w:rsidRPr="00571B10">
        <w:rPr>
          <w:lang w:val="ru-RU"/>
        </w:rPr>
        <w:t>.</w:t>
      </w:r>
      <w:bookmarkEnd w:id="150"/>
    </w:p>
  </w:footnote>
  <w:footnote w:id="36">
    <w:p w14:paraId="4D6C7A0A" w14:textId="21054E82" w:rsidR="002B0D90" w:rsidRDefault="002B0D90" w:rsidP="002B0D90">
      <w:pPr>
        <w:pStyle w:val="FootnoteText"/>
      </w:pPr>
      <w:r>
        <w:rPr>
          <w:rStyle w:val="FootnoteReference"/>
        </w:rPr>
        <w:footnoteRef/>
      </w:r>
      <w:r>
        <w:t xml:space="preserve"> </w:t>
      </w:r>
      <w:bookmarkStart w:id="151" w:name="lt_pId2402"/>
      <w:r>
        <w:t xml:space="preserve">ITU Academy BDT ITU (2014) Quality of Service Training Programme (QoSTP) Report, </w:t>
      </w:r>
      <w:hyperlink r:id="rId9" w:history="1">
        <w:r w:rsidRPr="002B0D90">
          <w:rPr>
            <w:rStyle w:val="Hyperlink"/>
          </w:rPr>
          <w:t>https://academy.itu.int/sites/default/files/media/file/QoS%20TP%20report.pdf</w:t>
        </w:r>
      </w:hyperlink>
      <w:r>
        <w:t>.</w:t>
      </w:r>
      <w:bookmarkEnd w:id="151"/>
    </w:p>
  </w:footnote>
  <w:footnote w:id="37">
    <w:p w14:paraId="5592C1F3" w14:textId="77777777" w:rsidR="002B0D90" w:rsidRPr="00987D1F" w:rsidRDefault="002B0D90" w:rsidP="002B0D90">
      <w:pPr>
        <w:pStyle w:val="FootnoteText"/>
        <w:rPr>
          <w:lang w:val="ru-RU"/>
        </w:rPr>
      </w:pPr>
      <w:r>
        <w:rPr>
          <w:rStyle w:val="FootnoteReference"/>
        </w:rPr>
        <w:footnoteRef/>
      </w:r>
      <w:r w:rsidRPr="00987D1F">
        <w:rPr>
          <w:lang w:val="ru-RU"/>
        </w:rPr>
        <w:t xml:space="preserve"> </w:t>
      </w:r>
      <w:bookmarkStart w:id="152" w:name="lt_pId2403"/>
      <w:r w:rsidRPr="00324B92">
        <w:t>HCB</w:t>
      </w:r>
      <w:r w:rsidRPr="00987D1F">
        <w:rPr>
          <w:lang w:val="ru-RU"/>
        </w:rPr>
        <w:t xml:space="preserve"> </w:t>
      </w:r>
      <w:r w:rsidRPr="00324B92">
        <w:t>ITU</w:t>
      </w:r>
      <w:r w:rsidRPr="00987D1F">
        <w:rPr>
          <w:lang w:val="ru-RU"/>
        </w:rPr>
        <w:t xml:space="preserve"> (</w:t>
      </w:r>
      <w:r w:rsidRPr="00324B92">
        <w:t>no</w:t>
      </w:r>
      <w:r w:rsidRPr="00987D1F">
        <w:rPr>
          <w:lang w:val="ru-RU"/>
        </w:rPr>
        <w:t xml:space="preserve"> </w:t>
      </w:r>
      <w:r w:rsidRPr="00324B92">
        <w:t>date</w:t>
      </w:r>
      <w:r w:rsidRPr="00987D1F">
        <w:rPr>
          <w:lang w:val="ru-RU"/>
        </w:rPr>
        <w:t xml:space="preserve">) </w:t>
      </w:r>
      <w:r w:rsidRPr="00324B92">
        <w:t>Report</w:t>
      </w:r>
      <w:r w:rsidRPr="00987D1F">
        <w:rPr>
          <w:lang w:val="ru-RU"/>
        </w:rPr>
        <w:t xml:space="preserve"> </w:t>
      </w:r>
      <w:r w:rsidRPr="00324B92">
        <w:t>on</w:t>
      </w:r>
      <w:r w:rsidRPr="00987D1F">
        <w:rPr>
          <w:lang w:val="ru-RU"/>
        </w:rPr>
        <w:t xml:space="preserve"> </w:t>
      </w:r>
      <w:r w:rsidRPr="00324B92">
        <w:t>the</w:t>
      </w:r>
      <w:r w:rsidRPr="00987D1F">
        <w:rPr>
          <w:lang w:val="ru-RU"/>
        </w:rPr>
        <w:t xml:space="preserve"> </w:t>
      </w:r>
      <w:r w:rsidRPr="00324B92">
        <w:t>IOT</w:t>
      </w:r>
      <w:r w:rsidRPr="00987D1F">
        <w:rPr>
          <w:lang w:val="ru-RU"/>
        </w:rPr>
        <w:t xml:space="preserve"> </w:t>
      </w:r>
      <w:r w:rsidRPr="00324B92">
        <w:t>Training</w:t>
      </w:r>
      <w:r w:rsidRPr="00987D1F">
        <w:rPr>
          <w:lang w:val="ru-RU"/>
        </w:rPr>
        <w:t xml:space="preserve"> </w:t>
      </w:r>
      <w:r w:rsidRPr="00324B92">
        <w:t>Programme</w:t>
      </w:r>
      <w:r w:rsidRPr="00987D1F">
        <w:rPr>
          <w:lang w:val="ru-RU"/>
        </w:rPr>
        <w:t xml:space="preserve"> (</w:t>
      </w:r>
      <w:r w:rsidRPr="00324B92">
        <w:t>IOT</w:t>
      </w:r>
      <w:r w:rsidRPr="00987D1F">
        <w:rPr>
          <w:lang w:val="ru-RU"/>
        </w:rPr>
        <w:t xml:space="preserve"> </w:t>
      </w:r>
      <w:r w:rsidRPr="00324B92">
        <w:t>TP</w:t>
      </w:r>
      <w:r w:rsidRPr="00987D1F">
        <w:rPr>
          <w:lang w:val="ru-RU"/>
        </w:rPr>
        <w:t xml:space="preserve">), </w:t>
      </w:r>
      <w:r w:rsidRPr="00324B92">
        <w:t>https</w:t>
      </w:r>
      <w:r w:rsidRPr="00987D1F">
        <w:rPr>
          <w:lang w:val="ru-RU"/>
        </w:rPr>
        <w:t>://</w:t>
      </w:r>
      <w:r w:rsidRPr="00324B92">
        <w:t>academy</w:t>
      </w:r>
      <w:r w:rsidRPr="00987D1F">
        <w:rPr>
          <w:lang w:val="ru-RU"/>
        </w:rPr>
        <w:t>.</w:t>
      </w:r>
      <w:r w:rsidRPr="00324B92">
        <w:t>itu</w:t>
      </w:r>
      <w:r w:rsidRPr="00987D1F">
        <w:rPr>
          <w:lang w:val="ru-RU"/>
        </w:rPr>
        <w:t>.</w:t>
      </w:r>
      <w:r w:rsidRPr="00324B92">
        <w:t>int</w:t>
      </w:r>
      <w:r w:rsidRPr="00987D1F">
        <w:rPr>
          <w:lang w:val="ru-RU"/>
        </w:rPr>
        <w:t>/</w:t>
      </w:r>
      <w:r w:rsidRPr="00324B92">
        <w:t>sites</w:t>
      </w:r>
      <w:r w:rsidRPr="00987D1F">
        <w:rPr>
          <w:lang w:val="ru-RU"/>
        </w:rPr>
        <w:t>/</w:t>
      </w:r>
      <w:r w:rsidRPr="00324B92">
        <w:t>default</w:t>
      </w:r>
      <w:r w:rsidRPr="00987D1F">
        <w:rPr>
          <w:lang w:val="ru-RU"/>
        </w:rPr>
        <w:t>/</w:t>
      </w:r>
      <w:r w:rsidRPr="00324B92">
        <w:t>files</w:t>
      </w:r>
      <w:r w:rsidRPr="00987D1F">
        <w:rPr>
          <w:lang w:val="ru-RU"/>
        </w:rPr>
        <w:t>/</w:t>
      </w:r>
      <w:r w:rsidRPr="00324B92">
        <w:t>media</w:t>
      </w:r>
      <w:r w:rsidRPr="00987D1F">
        <w:rPr>
          <w:lang w:val="ru-RU"/>
        </w:rPr>
        <w:t>/</w:t>
      </w:r>
      <w:r w:rsidRPr="00324B92">
        <w:t>file</w:t>
      </w:r>
      <w:r w:rsidRPr="00987D1F">
        <w:rPr>
          <w:lang w:val="ru-RU"/>
        </w:rPr>
        <w:t>/</w:t>
      </w:r>
      <w:r w:rsidRPr="00324B92">
        <w:t>IoT</w:t>
      </w:r>
      <w:r w:rsidRPr="00987D1F">
        <w:rPr>
          <w:lang w:val="ru-RU"/>
        </w:rPr>
        <w:t>%20</w:t>
      </w:r>
      <w:r w:rsidRPr="00324B92">
        <w:t>TP</w:t>
      </w:r>
      <w:r w:rsidRPr="00987D1F">
        <w:rPr>
          <w:lang w:val="ru-RU"/>
        </w:rPr>
        <w:t>%20</w:t>
      </w:r>
      <w:r w:rsidRPr="00324B92">
        <w:t>Report</w:t>
      </w:r>
      <w:r w:rsidRPr="00987D1F">
        <w:rPr>
          <w:lang w:val="ru-RU"/>
        </w:rPr>
        <w:t>.</w:t>
      </w:r>
      <w:r w:rsidRPr="00324B92">
        <w:t>pdf</w:t>
      </w:r>
      <w:r w:rsidRPr="00987D1F">
        <w:rPr>
          <w:lang w:val="ru-RU"/>
        </w:rPr>
        <w:t>.</w:t>
      </w:r>
      <w:bookmarkEnd w:id="152"/>
      <w:r w:rsidRPr="00987D1F">
        <w:rPr>
          <w:lang w:val="ru-RU"/>
        </w:rPr>
        <w:t xml:space="preserve"> </w:t>
      </w:r>
      <w:r>
        <w:rPr>
          <w:lang w:val="ru-RU"/>
        </w:rPr>
        <w:t>Разработка</w:t>
      </w:r>
      <w:r w:rsidRPr="00987D1F">
        <w:rPr>
          <w:lang w:val="ru-RU"/>
        </w:rPr>
        <w:t xml:space="preserve"> </w:t>
      </w:r>
      <w:r>
        <w:rPr>
          <w:lang w:val="ru-RU"/>
        </w:rPr>
        <w:t>этой</w:t>
      </w:r>
      <w:r w:rsidRPr="00987D1F">
        <w:rPr>
          <w:lang w:val="ru-RU"/>
        </w:rPr>
        <w:t xml:space="preserve"> </w:t>
      </w:r>
      <w:r>
        <w:rPr>
          <w:lang w:val="ru-RU"/>
        </w:rPr>
        <w:t>программы</w:t>
      </w:r>
      <w:r w:rsidRPr="00987D1F">
        <w:rPr>
          <w:lang w:val="ru-RU"/>
        </w:rPr>
        <w:t xml:space="preserve"> </w:t>
      </w:r>
      <w:r w:rsidRPr="00841275">
        <w:rPr>
          <w:lang w:val="ru-RU"/>
        </w:rPr>
        <w:t>завершена</w:t>
      </w:r>
      <w:r w:rsidRPr="00987D1F">
        <w:rPr>
          <w:lang w:val="ru-RU"/>
        </w:rPr>
        <w:t xml:space="preserve">, </w:t>
      </w:r>
      <w:r w:rsidRPr="00841275">
        <w:rPr>
          <w:lang w:val="ru-RU"/>
        </w:rPr>
        <w:t>и</w:t>
      </w:r>
      <w:r w:rsidRPr="00987D1F">
        <w:rPr>
          <w:lang w:val="ru-RU"/>
        </w:rPr>
        <w:t xml:space="preserve"> </w:t>
      </w:r>
      <w:r>
        <w:rPr>
          <w:lang w:val="ru-RU"/>
        </w:rPr>
        <w:t>программа</w:t>
      </w:r>
      <w:r w:rsidRPr="00987D1F">
        <w:rPr>
          <w:lang w:val="ru-RU"/>
        </w:rPr>
        <w:t xml:space="preserve"> </w:t>
      </w:r>
      <w:r w:rsidRPr="00841275">
        <w:rPr>
          <w:lang w:val="ru-RU"/>
        </w:rPr>
        <w:t>готова</w:t>
      </w:r>
      <w:r w:rsidRPr="00987D1F">
        <w:rPr>
          <w:lang w:val="ru-RU"/>
        </w:rPr>
        <w:t xml:space="preserve"> </w:t>
      </w:r>
      <w:r w:rsidRPr="00841275">
        <w:rPr>
          <w:lang w:val="ru-RU"/>
        </w:rPr>
        <w:t>к</w:t>
      </w:r>
      <w:r w:rsidRPr="00987D1F">
        <w:rPr>
          <w:lang w:val="ru-RU"/>
        </w:rPr>
        <w:t xml:space="preserve"> </w:t>
      </w:r>
      <w:r w:rsidRPr="00841275">
        <w:rPr>
          <w:lang w:val="ru-RU"/>
        </w:rPr>
        <w:t>вы</w:t>
      </w:r>
      <w:r>
        <w:rPr>
          <w:lang w:val="ru-RU"/>
        </w:rPr>
        <w:t>ходу</w:t>
      </w:r>
      <w:r w:rsidRPr="00987D1F">
        <w:rPr>
          <w:lang w:val="ru-RU"/>
        </w:rPr>
        <w:t xml:space="preserve"> </w:t>
      </w:r>
      <w:r w:rsidRPr="00841275">
        <w:rPr>
          <w:lang w:val="ru-RU"/>
        </w:rPr>
        <w:t>на</w:t>
      </w:r>
      <w:r w:rsidRPr="00987D1F">
        <w:rPr>
          <w:lang w:val="ru-RU"/>
        </w:rPr>
        <w:t xml:space="preserve"> </w:t>
      </w:r>
      <w:r w:rsidRPr="00841275">
        <w:rPr>
          <w:lang w:val="ru-RU"/>
        </w:rPr>
        <w:t>рынок</w:t>
      </w:r>
      <w:r w:rsidRPr="00987D1F">
        <w:rPr>
          <w:lang w:val="ru-RU"/>
        </w:rPr>
        <w:t>.</w:t>
      </w:r>
    </w:p>
  </w:footnote>
  <w:footnote w:id="38">
    <w:p w14:paraId="7A276BD4" w14:textId="77777777" w:rsidR="002B0D90" w:rsidRPr="00C37F41" w:rsidRDefault="002B0D90" w:rsidP="002B0D90">
      <w:pPr>
        <w:pStyle w:val="FootnoteText"/>
        <w:rPr>
          <w:lang w:val="ru-RU"/>
        </w:rPr>
      </w:pPr>
      <w:r>
        <w:rPr>
          <w:rStyle w:val="FootnoteReference"/>
        </w:rPr>
        <w:footnoteRef/>
      </w:r>
      <w:r w:rsidRPr="001518F8">
        <w:rPr>
          <w:lang w:val="ru-RU"/>
        </w:rPr>
        <w:t xml:space="preserve"> </w:t>
      </w:r>
      <w:bookmarkStart w:id="154" w:name="lt_pId2405"/>
      <w:r w:rsidRPr="00B604E5">
        <w:rPr>
          <w:lang w:val="ru-RU"/>
        </w:rPr>
        <w:t>См</w:t>
      </w:r>
      <w:r w:rsidRPr="001518F8">
        <w:rPr>
          <w:lang w:val="ru-RU"/>
        </w:rPr>
        <w:t xml:space="preserve">. </w:t>
      </w:r>
      <w:r>
        <w:rPr>
          <w:lang w:val="ru-RU"/>
        </w:rPr>
        <w:t>т</w:t>
      </w:r>
      <w:r w:rsidRPr="00B604E5">
        <w:rPr>
          <w:lang w:val="ru-RU"/>
        </w:rPr>
        <w:t>акже</w:t>
      </w:r>
      <w:r w:rsidRPr="001518F8">
        <w:rPr>
          <w:lang w:val="ru-RU"/>
        </w:rPr>
        <w:t xml:space="preserve"> </w:t>
      </w:r>
      <w:r w:rsidRPr="00B604E5">
        <w:rPr>
          <w:lang w:val="ru-RU"/>
        </w:rPr>
        <w:t>недавн</w:t>
      </w:r>
      <w:r>
        <w:rPr>
          <w:lang w:val="ru-RU"/>
        </w:rPr>
        <w:t>о</w:t>
      </w:r>
      <w:r w:rsidRPr="001518F8">
        <w:rPr>
          <w:lang w:val="ru-RU"/>
        </w:rPr>
        <w:t xml:space="preserve"> </w:t>
      </w:r>
      <w:r>
        <w:rPr>
          <w:lang w:val="ru-RU"/>
        </w:rPr>
        <w:t>проведенную</w:t>
      </w:r>
      <w:r w:rsidRPr="001518F8">
        <w:rPr>
          <w:lang w:val="ru-RU"/>
        </w:rPr>
        <w:t xml:space="preserve"> </w:t>
      </w:r>
      <w:r w:rsidRPr="00B604E5">
        <w:rPr>
          <w:lang w:val="ru-RU"/>
        </w:rPr>
        <w:t>кампанию</w:t>
      </w:r>
      <w:r w:rsidRPr="001518F8">
        <w:rPr>
          <w:lang w:val="ru-RU"/>
        </w:rPr>
        <w:t xml:space="preserve"> </w:t>
      </w:r>
      <w:r w:rsidRPr="001119AF">
        <w:rPr>
          <w:lang w:val="ru-RU"/>
        </w:rPr>
        <w:t>МСЭ–МОТ "Цифровые навыки"</w:t>
      </w:r>
      <w:r w:rsidRPr="001518F8">
        <w:rPr>
          <w:lang w:val="ru-RU"/>
        </w:rPr>
        <w:t xml:space="preserve">, </w:t>
      </w:r>
      <w:r>
        <w:rPr>
          <w:lang w:val="ru-RU"/>
        </w:rPr>
        <w:t>информация</w:t>
      </w:r>
      <w:r w:rsidRPr="001518F8">
        <w:rPr>
          <w:lang w:val="ru-RU"/>
        </w:rPr>
        <w:t xml:space="preserve"> </w:t>
      </w:r>
      <w:r>
        <w:rPr>
          <w:lang w:val="ru-RU"/>
        </w:rPr>
        <w:t>о</w:t>
      </w:r>
      <w:r w:rsidRPr="001518F8">
        <w:rPr>
          <w:lang w:val="ru-RU"/>
        </w:rPr>
        <w:t xml:space="preserve"> </w:t>
      </w:r>
      <w:r>
        <w:rPr>
          <w:lang w:val="ru-RU"/>
        </w:rPr>
        <w:t>которой</w:t>
      </w:r>
      <w:r w:rsidRPr="001518F8">
        <w:rPr>
          <w:lang w:val="ru-RU"/>
        </w:rPr>
        <w:t xml:space="preserve"> </w:t>
      </w:r>
      <w:r>
        <w:rPr>
          <w:lang w:val="ru-RU"/>
        </w:rPr>
        <w:t>представлена</w:t>
      </w:r>
      <w:r w:rsidRPr="001518F8">
        <w:rPr>
          <w:lang w:val="ru-RU"/>
        </w:rPr>
        <w:t xml:space="preserve"> </w:t>
      </w:r>
      <w:r>
        <w:rPr>
          <w:lang w:val="ru-RU"/>
        </w:rPr>
        <w:t>на</w:t>
      </w:r>
      <w:r w:rsidRPr="001518F8">
        <w:rPr>
          <w:lang w:val="ru-RU"/>
        </w:rPr>
        <w:t xml:space="preserve"> </w:t>
      </w:r>
      <w:r w:rsidRPr="00B604E5">
        <w:rPr>
          <w:lang w:val="ru-RU"/>
        </w:rPr>
        <w:t>платформе</w:t>
      </w:r>
      <w:r w:rsidRPr="001518F8">
        <w:rPr>
          <w:lang w:val="ru-RU"/>
        </w:rPr>
        <w:t xml:space="preserve"> </w:t>
      </w:r>
      <w:r w:rsidRPr="00B604E5">
        <w:rPr>
          <w:lang w:val="ru-RU"/>
        </w:rPr>
        <w:t>Академии</w:t>
      </w:r>
      <w:r w:rsidRPr="001518F8">
        <w:rPr>
          <w:lang w:val="ru-RU"/>
        </w:rPr>
        <w:t xml:space="preserve"> </w:t>
      </w:r>
      <w:r w:rsidRPr="00B604E5">
        <w:rPr>
          <w:lang w:val="ru-RU"/>
        </w:rPr>
        <w:t>МСЭ</w:t>
      </w:r>
      <w:r w:rsidRPr="001518F8">
        <w:rPr>
          <w:lang w:val="ru-RU"/>
        </w:rPr>
        <w:t xml:space="preserve"> </w:t>
      </w:r>
      <w:r>
        <w:rPr>
          <w:lang w:val="ru-RU"/>
        </w:rPr>
        <w:t>как</w:t>
      </w:r>
      <w:r w:rsidRPr="00FF1DC0">
        <w:rPr>
          <w:rFonts w:asciiTheme="minorHAnsi" w:eastAsiaTheme="minorEastAsia" w:hAnsiTheme="minorHAnsi" w:cstheme="minorBidi"/>
          <w:sz w:val="22"/>
          <w:szCs w:val="22"/>
          <w:lang w:val="ru-RU" w:eastAsia="zh-CN"/>
        </w:rPr>
        <w:t xml:space="preserve"> </w:t>
      </w:r>
      <w:r w:rsidRPr="00FF1DC0">
        <w:rPr>
          <w:lang w:val="ru-RU"/>
        </w:rPr>
        <w:t>информация</w:t>
      </w:r>
      <w:r w:rsidRPr="001518F8">
        <w:rPr>
          <w:lang w:val="ru-RU"/>
        </w:rPr>
        <w:t xml:space="preserve"> </w:t>
      </w:r>
      <w:r>
        <w:rPr>
          <w:lang w:val="ru-RU"/>
        </w:rPr>
        <w:t>об</w:t>
      </w:r>
      <w:r w:rsidRPr="001518F8">
        <w:rPr>
          <w:lang w:val="ru-RU"/>
        </w:rPr>
        <w:t xml:space="preserve"> </w:t>
      </w:r>
      <w:r>
        <w:rPr>
          <w:lang w:val="ru-RU"/>
        </w:rPr>
        <w:t>одном</w:t>
      </w:r>
      <w:r w:rsidRPr="001518F8">
        <w:rPr>
          <w:lang w:val="ru-RU"/>
        </w:rPr>
        <w:t xml:space="preserve"> </w:t>
      </w:r>
      <w:r>
        <w:rPr>
          <w:lang w:val="ru-RU"/>
        </w:rPr>
        <w:t>из</w:t>
      </w:r>
      <w:r w:rsidRPr="001518F8">
        <w:rPr>
          <w:lang w:val="ru-RU"/>
        </w:rPr>
        <w:t xml:space="preserve"> </w:t>
      </w:r>
      <w:r w:rsidRPr="00B604E5">
        <w:rPr>
          <w:lang w:val="ru-RU"/>
        </w:rPr>
        <w:t>основных</w:t>
      </w:r>
      <w:r w:rsidRPr="001518F8">
        <w:rPr>
          <w:lang w:val="ru-RU"/>
        </w:rPr>
        <w:t xml:space="preserve"> </w:t>
      </w:r>
      <w:r w:rsidRPr="00B604E5">
        <w:rPr>
          <w:lang w:val="ru-RU"/>
        </w:rPr>
        <w:t>направлений</w:t>
      </w:r>
      <w:r w:rsidRPr="001518F8">
        <w:rPr>
          <w:lang w:val="ru-RU"/>
        </w:rPr>
        <w:t xml:space="preserve"> </w:t>
      </w:r>
      <w:r w:rsidRPr="00B604E5">
        <w:rPr>
          <w:lang w:val="ru-RU"/>
        </w:rPr>
        <w:t>деятельности</w:t>
      </w:r>
      <w:r w:rsidRPr="001518F8">
        <w:rPr>
          <w:lang w:val="ru-RU"/>
        </w:rPr>
        <w:t xml:space="preserve"> </w:t>
      </w:r>
      <w:r w:rsidRPr="00B604E5">
        <w:rPr>
          <w:lang w:val="ru-RU"/>
        </w:rPr>
        <w:t>МСЭ</w:t>
      </w:r>
      <w:r w:rsidRPr="001518F8">
        <w:rPr>
          <w:lang w:val="ru-RU"/>
        </w:rPr>
        <w:t xml:space="preserve"> </w:t>
      </w:r>
      <w:r w:rsidRPr="001119AF">
        <w:rPr>
          <w:lang w:val="ru-RU"/>
        </w:rPr>
        <w:t>в области развития потенциала и профессиональной подготовки</w:t>
      </w:r>
      <w:r w:rsidRPr="001518F8">
        <w:rPr>
          <w:lang w:val="ru-RU"/>
        </w:rPr>
        <w:t>:</w:t>
      </w:r>
      <w:r w:rsidRPr="001119AF">
        <w:rPr>
          <w:lang w:val="ru-RU"/>
        </w:rPr>
        <w:t xml:space="preserve"> </w:t>
      </w:r>
      <w:r>
        <w:t>https</w:t>
      </w:r>
      <w:r w:rsidRPr="001518F8">
        <w:rPr>
          <w:lang w:val="ru-RU"/>
        </w:rPr>
        <w:t>://</w:t>
      </w:r>
      <w:r>
        <w:t>academy</w:t>
      </w:r>
      <w:r w:rsidRPr="001518F8">
        <w:rPr>
          <w:lang w:val="ru-RU"/>
        </w:rPr>
        <w:t>.</w:t>
      </w:r>
      <w:r>
        <w:t>itu</w:t>
      </w:r>
      <w:r w:rsidRPr="001518F8">
        <w:rPr>
          <w:lang w:val="ru-RU"/>
        </w:rPr>
        <w:t>.</w:t>
      </w:r>
      <w:r>
        <w:t>int</w:t>
      </w:r>
      <w:r w:rsidRPr="001518F8">
        <w:rPr>
          <w:lang w:val="ru-RU"/>
        </w:rPr>
        <w:t>/</w:t>
      </w:r>
      <w:r>
        <w:t>main</w:t>
      </w:r>
      <w:r w:rsidRPr="001518F8">
        <w:rPr>
          <w:lang w:val="ru-RU"/>
        </w:rPr>
        <w:t>-</w:t>
      </w:r>
      <w:r>
        <w:t>activities</w:t>
      </w:r>
      <w:r w:rsidRPr="001518F8">
        <w:rPr>
          <w:lang w:val="ru-RU"/>
        </w:rPr>
        <w:t>/</w:t>
      </w:r>
      <w:r>
        <w:t>ilo</w:t>
      </w:r>
      <w:r w:rsidRPr="001518F8">
        <w:rPr>
          <w:lang w:val="ru-RU"/>
        </w:rPr>
        <w:t>-</w:t>
      </w:r>
      <w:r>
        <w:t>itu</w:t>
      </w:r>
      <w:r w:rsidRPr="001518F8">
        <w:rPr>
          <w:lang w:val="ru-RU"/>
        </w:rPr>
        <w:t>-</w:t>
      </w:r>
      <w:r>
        <w:t>digital</w:t>
      </w:r>
      <w:r w:rsidRPr="001518F8">
        <w:rPr>
          <w:lang w:val="ru-RU"/>
        </w:rPr>
        <w:t>-</w:t>
      </w:r>
      <w:r>
        <w:t>skills</w:t>
      </w:r>
      <w:r w:rsidRPr="001518F8">
        <w:rPr>
          <w:lang w:val="ru-RU"/>
        </w:rPr>
        <w:t>-</w:t>
      </w:r>
      <w:r>
        <w:t>campaign</w:t>
      </w:r>
      <w:r w:rsidRPr="001518F8">
        <w:rPr>
          <w:lang w:val="ru-RU"/>
        </w:rPr>
        <w:t>.</w:t>
      </w:r>
      <w:bookmarkEnd w:id="154"/>
      <w:r w:rsidRPr="001518F8">
        <w:rPr>
          <w:lang w:val="ru-RU"/>
        </w:rPr>
        <w:t xml:space="preserve"> Поскольку это </w:t>
      </w:r>
      <w:r>
        <w:rPr>
          <w:lang w:val="ru-RU"/>
        </w:rPr>
        <w:t>скорее</w:t>
      </w:r>
      <w:r w:rsidRPr="001518F8">
        <w:rPr>
          <w:lang w:val="ru-RU"/>
        </w:rPr>
        <w:t xml:space="preserve"> кампания, </w:t>
      </w:r>
      <w:r>
        <w:rPr>
          <w:lang w:val="ru-RU"/>
        </w:rPr>
        <w:t xml:space="preserve">а не проводимое МСЭ мероприятие в области </w:t>
      </w:r>
      <w:r w:rsidRPr="001518F8">
        <w:rPr>
          <w:lang w:val="ru-RU"/>
        </w:rPr>
        <w:t xml:space="preserve">развития потенциала и </w:t>
      </w:r>
      <w:r>
        <w:rPr>
          <w:lang w:val="ru-RU"/>
        </w:rPr>
        <w:t>профессиональной подготовки</w:t>
      </w:r>
      <w:r w:rsidRPr="001518F8">
        <w:rPr>
          <w:lang w:val="ru-RU"/>
        </w:rPr>
        <w:t>, это здесь не обсуждается</w:t>
      </w:r>
      <w:bookmarkStart w:id="155" w:name="lt_pId2406"/>
      <w:r w:rsidRPr="00C37F41">
        <w:rPr>
          <w:lang w:val="ru-RU"/>
        </w:rPr>
        <w:t>.</w:t>
      </w:r>
      <w:bookmarkEnd w:id="155"/>
    </w:p>
  </w:footnote>
  <w:footnote w:id="39">
    <w:p w14:paraId="55609B13" w14:textId="69B621DE" w:rsidR="002B0D90" w:rsidRPr="008C4EF2" w:rsidRDefault="002B0D90" w:rsidP="002B0D90">
      <w:pPr>
        <w:pStyle w:val="FootnoteText"/>
        <w:rPr>
          <w:lang w:val="ru-RU"/>
        </w:rPr>
      </w:pPr>
      <w:r>
        <w:rPr>
          <w:rStyle w:val="FootnoteReference"/>
        </w:rPr>
        <w:footnoteRef/>
      </w:r>
      <w:r w:rsidRPr="000F7BF6">
        <w:rPr>
          <w:lang w:val="ru-RU"/>
        </w:rPr>
        <w:t xml:space="preserve"> </w:t>
      </w:r>
      <w:bookmarkStart w:id="156" w:name="lt_pId2407"/>
      <w:r>
        <w:rPr>
          <w:lang w:val="ru-RU"/>
        </w:rPr>
        <w:t>См</w:t>
      </w:r>
      <w:r w:rsidRPr="000F7BF6">
        <w:rPr>
          <w:lang w:val="ru-RU"/>
        </w:rPr>
        <w:t xml:space="preserve">.: </w:t>
      </w:r>
      <w:r w:rsidRPr="001E4C57">
        <w:t>https</w:t>
      </w:r>
      <w:r w:rsidRPr="000F7BF6">
        <w:rPr>
          <w:lang w:val="ru-RU"/>
        </w:rPr>
        <w:t>://</w:t>
      </w:r>
      <w:r w:rsidRPr="001E4C57">
        <w:t>www</w:t>
      </w:r>
      <w:r w:rsidRPr="000F7BF6">
        <w:rPr>
          <w:lang w:val="ru-RU"/>
        </w:rPr>
        <w:t>.</w:t>
      </w:r>
      <w:r w:rsidRPr="001E4C57">
        <w:t>itu</w:t>
      </w:r>
      <w:r w:rsidRPr="000F7BF6">
        <w:rPr>
          <w:lang w:val="ru-RU"/>
        </w:rPr>
        <w:t>.</w:t>
      </w:r>
      <w:r w:rsidRPr="001E4C57">
        <w:t>int</w:t>
      </w:r>
      <w:r w:rsidRPr="000F7BF6">
        <w:rPr>
          <w:lang w:val="ru-RU"/>
        </w:rPr>
        <w:t>/</w:t>
      </w:r>
      <w:r w:rsidRPr="001E4C57">
        <w:t>en</w:t>
      </w:r>
      <w:r w:rsidRPr="000F7BF6">
        <w:rPr>
          <w:lang w:val="ru-RU"/>
        </w:rPr>
        <w:t>/</w:t>
      </w:r>
      <w:r w:rsidRPr="001E4C57">
        <w:t>ITU</w:t>
      </w:r>
      <w:r w:rsidRPr="000F7BF6">
        <w:rPr>
          <w:lang w:val="ru-RU"/>
        </w:rPr>
        <w:t>-</w:t>
      </w:r>
      <w:r w:rsidRPr="001E4C57">
        <w:t>D</w:t>
      </w:r>
      <w:r w:rsidRPr="000F7BF6">
        <w:rPr>
          <w:lang w:val="ru-RU"/>
        </w:rPr>
        <w:t>/</w:t>
      </w:r>
      <w:r w:rsidRPr="001E4C57">
        <w:t>Capacity</w:t>
      </w:r>
      <w:r w:rsidRPr="000F7BF6">
        <w:rPr>
          <w:lang w:val="ru-RU"/>
        </w:rPr>
        <w:t>-</w:t>
      </w:r>
      <w:r w:rsidRPr="001E4C57">
        <w:t>Building</w:t>
      </w:r>
      <w:r w:rsidRPr="000F7BF6">
        <w:rPr>
          <w:lang w:val="ru-RU"/>
        </w:rPr>
        <w:t>/</w:t>
      </w:r>
      <w:r w:rsidRPr="001E4C57">
        <w:t>Pages</w:t>
      </w:r>
      <w:r w:rsidRPr="000F7BF6">
        <w:rPr>
          <w:lang w:val="ru-RU"/>
        </w:rPr>
        <w:t>/</w:t>
      </w:r>
      <w:r w:rsidRPr="001E4C57">
        <w:t>ITUInternetTrainingCentres</w:t>
      </w:r>
      <w:r w:rsidRPr="000F7BF6">
        <w:rPr>
          <w:lang w:val="ru-RU"/>
        </w:rPr>
        <w:t>(</w:t>
      </w:r>
      <w:r w:rsidRPr="001E4C57">
        <w:t>ITC</w:t>
      </w:r>
      <w:r w:rsidRPr="000F7BF6">
        <w:rPr>
          <w:lang w:val="ru-RU"/>
        </w:rPr>
        <w:t>).</w:t>
      </w:r>
      <w:r w:rsidRPr="001E4C57">
        <w:t>aspx</w:t>
      </w:r>
      <w:r w:rsidRPr="000F7BF6">
        <w:rPr>
          <w:lang w:val="ru-RU"/>
        </w:rPr>
        <w:t>.</w:t>
      </w:r>
      <w:bookmarkEnd w:id="156"/>
      <w:r w:rsidRPr="000F7BF6">
        <w:rPr>
          <w:lang w:val="ru-RU"/>
        </w:rPr>
        <w:t xml:space="preserve"> </w:t>
      </w:r>
      <w:bookmarkStart w:id="157" w:name="lt_pId2408"/>
      <w:r w:rsidRPr="000F7BF6">
        <w:rPr>
          <w:lang w:val="ru-RU"/>
        </w:rPr>
        <w:t xml:space="preserve">Рекомендуется, чтобы МСЭ по возможности удалял </w:t>
      </w:r>
      <w:r>
        <w:rPr>
          <w:lang w:val="ru-RU"/>
        </w:rPr>
        <w:t xml:space="preserve">подобную </w:t>
      </w:r>
      <w:r w:rsidRPr="000F7BF6">
        <w:rPr>
          <w:lang w:val="ru-RU"/>
        </w:rPr>
        <w:t>устаревшую информацию со своего веб</w:t>
      </w:r>
      <w:r w:rsidR="002D5DE5">
        <w:rPr>
          <w:lang w:val="ru-RU"/>
        </w:rPr>
        <w:noBreakHyphen/>
      </w:r>
      <w:r w:rsidRPr="000F7BF6">
        <w:rPr>
          <w:lang w:val="ru-RU"/>
        </w:rPr>
        <w:t>сайта</w:t>
      </w:r>
      <w:r w:rsidRPr="008C4EF2">
        <w:rPr>
          <w:lang w:val="ru-RU"/>
        </w:rPr>
        <w:t>.</w:t>
      </w:r>
      <w:bookmarkEnd w:id="157"/>
    </w:p>
  </w:footnote>
  <w:footnote w:id="40">
    <w:p w14:paraId="762A19DE" w14:textId="74DD6AA0" w:rsidR="002B0D90" w:rsidRPr="001119AF" w:rsidRDefault="002B0D90" w:rsidP="002B0D90">
      <w:pPr>
        <w:pStyle w:val="FootnoteText"/>
        <w:rPr>
          <w:lang w:val="ru-RU"/>
        </w:rPr>
      </w:pPr>
      <w:r>
        <w:rPr>
          <w:rStyle w:val="FootnoteReference"/>
        </w:rPr>
        <w:footnoteRef/>
      </w:r>
      <w:r w:rsidRPr="001119AF">
        <w:rPr>
          <w:lang w:val="ru-RU"/>
        </w:rPr>
        <w:t xml:space="preserve"> </w:t>
      </w:r>
      <w:bookmarkStart w:id="158" w:name="lt_pId2409"/>
      <w:r>
        <w:fldChar w:fldCharType="begin"/>
      </w:r>
      <w:r w:rsidRPr="001119AF">
        <w:rPr>
          <w:lang w:val="ru-RU"/>
        </w:rPr>
        <w:instrText xml:space="preserve"> </w:instrText>
      </w:r>
      <w:r>
        <w:instrText>HYPERLINK</w:instrText>
      </w:r>
      <w:r w:rsidRPr="001119AF">
        <w:rPr>
          <w:lang w:val="ru-RU"/>
        </w:rPr>
        <w:instrText xml:space="preserve"> "</w:instrText>
      </w:r>
      <w:r>
        <w:instrText>https</w:instrText>
      </w:r>
      <w:r w:rsidRPr="001119AF">
        <w:rPr>
          <w:lang w:val="ru-RU"/>
        </w:rPr>
        <w:instrText>://</w:instrText>
      </w:r>
      <w:r>
        <w:instrText>academy</w:instrText>
      </w:r>
      <w:r w:rsidRPr="001119AF">
        <w:rPr>
          <w:lang w:val="ru-RU"/>
        </w:rPr>
        <w:instrText>.</w:instrText>
      </w:r>
      <w:r>
        <w:instrText>itu</w:instrText>
      </w:r>
      <w:r w:rsidRPr="001119AF">
        <w:rPr>
          <w:lang w:val="ru-RU"/>
        </w:rPr>
        <w:instrText>.</w:instrText>
      </w:r>
      <w:r>
        <w:instrText>int</w:instrText>
      </w:r>
      <w:r w:rsidRPr="001119AF">
        <w:rPr>
          <w:lang w:val="ru-RU"/>
        </w:rPr>
        <w:instrText>/</w:instrText>
      </w:r>
      <w:r>
        <w:instrText>main</w:instrText>
      </w:r>
      <w:r w:rsidRPr="001119AF">
        <w:rPr>
          <w:lang w:val="ru-RU"/>
        </w:rPr>
        <w:instrText>-</w:instrText>
      </w:r>
      <w:r>
        <w:instrText>activities</w:instrText>
      </w:r>
      <w:r w:rsidRPr="001119AF">
        <w:rPr>
          <w:lang w:val="ru-RU"/>
        </w:rPr>
        <w:instrText>/</w:instrText>
      </w:r>
      <w:r>
        <w:instrText>digital</w:instrText>
      </w:r>
      <w:r w:rsidRPr="001119AF">
        <w:rPr>
          <w:lang w:val="ru-RU"/>
        </w:rPr>
        <w:instrText>-</w:instrText>
      </w:r>
      <w:r>
        <w:instrText>transformation</w:instrText>
      </w:r>
      <w:r w:rsidRPr="001119AF">
        <w:rPr>
          <w:lang w:val="ru-RU"/>
        </w:rPr>
        <w:instrText>-</w:instrText>
      </w:r>
      <w:r>
        <w:instrText>centres</w:instrText>
      </w:r>
      <w:r w:rsidRPr="001119AF">
        <w:rPr>
          <w:lang w:val="ru-RU"/>
        </w:rPr>
        <w:instrText>-</w:instrText>
      </w:r>
      <w:r>
        <w:instrText>initiative</w:instrText>
      </w:r>
      <w:r w:rsidRPr="001119AF">
        <w:rPr>
          <w:lang w:val="ru-RU"/>
        </w:rPr>
        <w:instrText xml:space="preserve">" </w:instrText>
      </w:r>
      <w:r>
        <w:fldChar w:fldCharType="separate"/>
      </w:r>
      <w:r w:rsidRPr="009279F8">
        <w:t>https</w:t>
      </w:r>
      <w:r w:rsidRPr="001119AF">
        <w:rPr>
          <w:lang w:val="ru-RU"/>
        </w:rPr>
        <w:t>://</w:t>
      </w:r>
      <w:r w:rsidRPr="009279F8">
        <w:t>academy</w:t>
      </w:r>
      <w:r w:rsidRPr="001119AF">
        <w:rPr>
          <w:lang w:val="ru-RU"/>
        </w:rPr>
        <w:t>.</w:t>
      </w:r>
      <w:r w:rsidRPr="009279F8">
        <w:t>itu</w:t>
      </w:r>
      <w:r w:rsidRPr="001119AF">
        <w:rPr>
          <w:lang w:val="ru-RU"/>
        </w:rPr>
        <w:t>.</w:t>
      </w:r>
      <w:r w:rsidRPr="009279F8">
        <w:t>int</w:t>
      </w:r>
      <w:r w:rsidRPr="001119AF">
        <w:rPr>
          <w:lang w:val="ru-RU"/>
        </w:rPr>
        <w:t>/</w:t>
      </w:r>
      <w:r w:rsidRPr="009279F8">
        <w:t>main</w:t>
      </w:r>
      <w:r w:rsidRPr="001119AF">
        <w:rPr>
          <w:lang w:val="ru-RU"/>
        </w:rPr>
        <w:t>-</w:t>
      </w:r>
      <w:r w:rsidRPr="009279F8">
        <w:t>activities</w:t>
      </w:r>
      <w:r w:rsidRPr="001119AF">
        <w:rPr>
          <w:lang w:val="ru-RU"/>
        </w:rPr>
        <w:t>/</w:t>
      </w:r>
      <w:r w:rsidRPr="009279F8">
        <w:t>digital</w:t>
      </w:r>
      <w:r w:rsidRPr="001119AF">
        <w:rPr>
          <w:lang w:val="ru-RU"/>
        </w:rPr>
        <w:t>-</w:t>
      </w:r>
      <w:r w:rsidRPr="009279F8">
        <w:t>transformation</w:t>
      </w:r>
      <w:r w:rsidRPr="001119AF">
        <w:rPr>
          <w:lang w:val="ru-RU"/>
        </w:rPr>
        <w:t>-</w:t>
      </w:r>
      <w:r w:rsidRPr="009279F8">
        <w:t>centres</w:t>
      </w:r>
      <w:r w:rsidRPr="001119AF">
        <w:rPr>
          <w:lang w:val="ru-RU"/>
        </w:rPr>
        <w:t>-</w:t>
      </w:r>
      <w:r w:rsidRPr="009279F8">
        <w:t>initiative</w:t>
      </w:r>
      <w:r>
        <w:fldChar w:fldCharType="end"/>
      </w:r>
      <w:r w:rsidRPr="001119AF">
        <w:rPr>
          <w:lang w:val="ru-RU"/>
        </w:rPr>
        <w:t>.</w:t>
      </w:r>
      <w:bookmarkEnd w:id="158"/>
    </w:p>
  </w:footnote>
  <w:footnote w:id="41">
    <w:p w14:paraId="482F3E0D" w14:textId="77777777" w:rsidR="002B0D90" w:rsidRPr="001119AF" w:rsidRDefault="002B0D90" w:rsidP="002B0D90">
      <w:pPr>
        <w:pStyle w:val="FootnoteText"/>
        <w:rPr>
          <w:lang w:val="fr-CH"/>
        </w:rPr>
      </w:pPr>
      <w:r w:rsidRPr="00243A39">
        <w:rPr>
          <w:rStyle w:val="FootnoteReference"/>
        </w:rPr>
        <w:footnoteRef/>
      </w:r>
      <w:r w:rsidRPr="00243A39">
        <w:rPr>
          <w:lang w:val="fr-FR"/>
        </w:rPr>
        <w:t xml:space="preserve"> </w:t>
      </w:r>
      <w:bookmarkStart w:id="159" w:name="lt_pId2410"/>
      <w:r w:rsidRPr="00243A39">
        <w:rPr>
          <w:lang w:val="fr-FR"/>
        </w:rPr>
        <w:t>ITU (2019) Digital Transformation Centres Initiative</w:t>
      </w:r>
      <w:bookmarkEnd w:id="159"/>
      <w:r w:rsidRPr="001119AF">
        <w:rPr>
          <w:lang w:val="fr-CH"/>
        </w:rPr>
        <w:t>.</w:t>
      </w:r>
    </w:p>
  </w:footnote>
  <w:footnote w:id="42">
    <w:p w14:paraId="576C61D9" w14:textId="77777777" w:rsidR="002B0D90" w:rsidRPr="001119AF" w:rsidRDefault="002B0D90" w:rsidP="002B0D90">
      <w:pPr>
        <w:pStyle w:val="FootnoteText"/>
        <w:rPr>
          <w:lang w:val="ru-RU"/>
        </w:rPr>
      </w:pPr>
      <w:r w:rsidRPr="00243A39">
        <w:rPr>
          <w:rStyle w:val="FootnoteReference"/>
        </w:rPr>
        <w:footnoteRef/>
      </w:r>
      <w:r w:rsidRPr="001119AF">
        <w:rPr>
          <w:lang w:val="ru-RU"/>
        </w:rPr>
        <w:t xml:space="preserve"> </w:t>
      </w:r>
      <w:bookmarkStart w:id="160" w:name="lt_pId2411"/>
      <w:r w:rsidRPr="00243A39">
        <w:rPr>
          <w:lang w:val="ru-RU"/>
        </w:rPr>
        <w:t>См</w:t>
      </w:r>
      <w:r w:rsidRPr="001119AF">
        <w:rPr>
          <w:lang w:val="ru-RU"/>
        </w:rPr>
        <w:t>. информационны</w:t>
      </w:r>
      <w:r w:rsidRPr="00243A39">
        <w:rPr>
          <w:lang w:val="ru-RU"/>
        </w:rPr>
        <w:t>е</w:t>
      </w:r>
      <w:r w:rsidRPr="001119AF">
        <w:rPr>
          <w:lang w:val="ru-RU"/>
        </w:rPr>
        <w:t xml:space="preserve"> бюллетен</w:t>
      </w:r>
      <w:r w:rsidRPr="00243A39">
        <w:rPr>
          <w:lang w:val="ru-RU"/>
        </w:rPr>
        <w:t>и</w:t>
      </w:r>
      <w:r w:rsidRPr="001119AF">
        <w:rPr>
          <w:lang w:val="ru-RU"/>
        </w:rPr>
        <w:t xml:space="preserve">: </w:t>
      </w:r>
      <w:r w:rsidR="00D577E1">
        <w:fldChar w:fldCharType="begin"/>
      </w:r>
      <w:r w:rsidR="00D577E1" w:rsidRPr="00D577E1">
        <w:rPr>
          <w:lang w:val="fr-CH"/>
        </w:rPr>
        <w:instrText xml:space="preserve"> HYPERLINK "https://academy.itu.int/main-activities/digital-transformation-centres-initiative/dtc-news" </w:instrText>
      </w:r>
      <w:r w:rsidR="00D577E1">
        <w:fldChar w:fldCharType="separate"/>
      </w:r>
      <w:r w:rsidRPr="00D577E1">
        <w:rPr>
          <w:lang w:val="fr-CH"/>
        </w:rPr>
        <w:t>https</w:t>
      </w:r>
      <w:r w:rsidRPr="001119AF">
        <w:rPr>
          <w:lang w:val="ru-RU"/>
        </w:rPr>
        <w:t>://</w:t>
      </w:r>
      <w:r w:rsidRPr="00D577E1">
        <w:rPr>
          <w:lang w:val="fr-CH"/>
        </w:rPr>
        <w:t>academy</w:t>
      </w:r>
      <w:r w:rsidRPr="001119AF">
        <w:rPr>
          <w:lang w:val="ru-RU"/>
        </w:rPr>
        <w:t>.</w:t>
      </w:r>
      <w:r w:rsidRPr="00D577E1">
        <w:rPr>
          <w:lang w:val="fr-CH"/>
        </w:rPr>
        <w:t>itu</w:t>
      </w:r>
      <w:r w:rsidRPr="001119AF">
        <w:rPr>
          <w:lang w:val="ru-RU"/>
        </w:rPr>
        <w:t>.</w:t>
      </w:r>
      <w:r w:rsidRPr="00D577E1">
        <w:rPr>
          <w:lang w:val="fr-CH"/>
        </w:rPr>
        <w:t>int</w:t>
      </w:r>
      <w:r w:rsidRPr="001119AF">
        <w:rPr>
          <w:lang w:val="ru-RU"/>
        </w:rPr>
        <w:t>/</w:t>
      </w:r>
      <w:r w:rsidRPr="00D577E1">
        <w:rPr>
          <w:lang w:val="fr-CH"/>
        </w:rPr>
        <w:t>main</w:t>
      </w:r>
      <w:r w:rsidRPr="001119AF">
        <w:rPr>
          <w:lang w:val="ru-RU"/>
        </w:rPr>
        <w:t>-</w:t>
      </w:r>
      <w:r w:rsidRPr="00D577E1">
        <w:rPr>
          <w:lang w:val="fr-CH"/>
        </w:rPr>
        <w:t>activities</w:t>
      </w:r>
      <w:r w:rsidRPr="001119AF">
        <w:rPr>
          <w:lang w:val="ru-RU"/>
        </w:rPr>
        <w:t>/</w:t>
      </w:r>
      <w:r w:rsidRPr="00D577E1">
        <w:rPr>
          <w:lang w:val="fr-CH"/>
        </w:rPr>
        <w:t>digital</w:t>
      </w:r>
      <w:r w:rsidRPr="001119AF">
        <w:rPr>
          <w:lang w:val="ru-RU"/>
        </w:rPr>
        <w:t>-</w:t>
      </w:r>
      <w:r w:rsidRPr="00D577E1">
        <w:rPr>
          <w:lang w:val="fr-CH"/>
        </w:rPr>
        <w:t>transformation</w:t>
      </w:r>
      <w:r w:rsidRPr="001119AF">
        <w:rPr>
          <w:lang w:val="ru-RU"/>
        </w:rPr>
        <w:t>-</w:t>
      </w:r>
      <w:r w:rsidRPr="00D577E1">
        <w:rPr>
          <w:lang w:val="fr-CH"/>
        </w:rPr>
        <w:t>centres</w:t>
      </w:r>
      <w:r w:rsidRPr="001119AF">
        <w:rPr>
          <w:lang w:val="ru-RU"/>
        </w:rPr>
        <w:t>-</w:t>
      </w:r>
      <w:r w:rsidRPr="00D577E1">
        <w:rPr>
          <w:lang w:val="fr-CH"/>
        </w:rPr>
        <w:t>initiative</w:t>
      </w:r>
      <w:r w:rsidRPr="001119AF">
        <w:rPr>
          <w:lang w:val="ru-RU"/>
        </w:rPr>
        <w:t>/</w:t>
      </w:r>
      <w:r w:rsidRPr="00D577E1">
        <w:rPr>
          <w:lang w:val="fr-CH"/>
        </w:rPr>
        <w:t>dtc</w:t>
      </w:r>
      <w:r w:rsidRPr="001119AF">
        <w:rPr>
          <w:lang w:val="ru-RU"/>
        </w:rPr>
        <w:t>-</w:t>
      </w:r>
      <w:r w:rsidRPr="00D577E1">
        <w:rPr>
          <w:lang w:val="fr-CH"/>
        </w:rPr>
        <w:t>news</w:t>
      </w:r>
      <w:r w:rsidR="00D577E1">
        <w:fldChar w:fldCharType="end"/>
      </w:r>
      <w:r w:rsidRPr="001119AF">
        <w:rPr>
          <w:lang w:val="ru-RU"/>
        </w:rPr>
        <w:t>.</w:t>
      </w:r>
      <w:bookmarkEnd w:id="160"/>
    </w:p>
  </w:footnote>
  <w:footnote w:id="43">
    <w:p w14:paraId="73F29599" w14:textId="77777777" w:rsidR="002B0D90" w:rsidRPr="00E65F7F" w:rsidRDefault="002B0D90" w:rsidP="002B0D90">
      <w:pPr>
        <w:pStyle w:val="FootnoteText"/>
        <w:rPr>
          <w:highlight w:val="lightGray"/>
          <w:lang w:val="fr-FR"/>
        </w:rPr>
      </w:pPr>
      <w:r w:rsidRPr="00243A39">
        <w:rPr>
          <w:rStyle w:val="FootnoteReference"/>
        </w:rPr>
        <w:footnoteRef/>
      </w:r>
      <w:r w:rsidRPr="00243A39">
        <w:rPr>
          <w:lang w:val="fr-FR"/>
        </w:rPr>
        <w:t xml:space="preserve"> </w:t>
      </w:r>
      <w:bookmarkStart w:id="161" w:name="lt_pId2412"/>
      <w:r w:rsidRPr="00243A39">
        <w:rPr>
          <w:lang w:val="fr-FR"/>
        </w:rPr>
        <w:t>ITU (2019) Digital Transformation Centres Initiative.</w:t>
      </w:r>
      <w:bookmarkEnd w:id="161"/>
    </w:p>
  </w:footnote>
  <w:footnote w:id="44">
    <w:p w14:paraId="3C6211A2" w14:textId="050FACF6" w:rsidR="002B0D90" w:rsidRDefault="002B0D90" w:rsidP="002B0D90">
      <w:pPr>
        <w:pStyle w:val="FootnoteText"/>
      </w:pPr>
      <w:r>
        <w:rPr>
          <w:rStyle w:val="FootnoteReference"/>
        </w:rPr>
        <w:footnoteRef/>
      </w:r>
      <w:r w:rsidRPr="001E4C57">
        <w:t xml:space="preserve"> </w:t>
      </w:r>
      <w:bookmarkStart w:id="162" w:name="lt_pId2413"/>
      <w:r w:rsidRPr="001E4C57">
        <w:t>I-CoDI Design Phase, Kickoff Presentation, September 2020.</w:t>
      </w:r>
      <w:bookmarkEnd w:id="162"/>
      <w:r w:rsidR="00A579EF">
        <w:t xml:space="preserve"> </w:t>
      </w:r>
      <w:bookmarkStart w:id="163" w:name="lt_pId2414"/>
      <w:r>
        <w:rPr>
          <w:lang w:val="ru-RU"/>
        </w:rPr>
        <w:t>См</w:t>
      </w:r>
      <w:r w:rsidRPr="0012237D">
        <w:rPr>
          <w:lang w:val="en-US"/>
        </w:rPr>
        <w:t xml:space="preserve">. </w:t>
      </w:r>
      <w:r>
        <w:rPr>
          <w:lang w:val="ru-RU"/>
        </w:rPr>
        <w:t>также</w:t>
      </w:r>
      <w:r w:rsidRPr="0012237D">
        <w:rPr>
          <w:lang w:val="en-US"/>
        </w:rPr>
        <w:t>:</w:t>
      </w:r>
      <w:r w:rsidRPr="001E4C57">
        <w:t xml:space="preserve"> ITU Webinars (2020) Slide Deck and Report on Web dialogue on the ITU International Center of Digital Innovation (I-CoDI), 29 June 2020.</w:t>
      </w:r>
      <w:bookmarkEnd w:id="163"/>
    </w:p>
  </w:footnote>
  <w:footnote w:id="45">
    <w:p w14:paraId="194B41DB" w14:textId="77777777" w:rsidR="002B0D90" w:rsidRPr="0071563B" w:rsidRDefault="002B0D90" w:rsidP="002B0D90">
      <w:pPr>
        <w:pStyle w:val="FootnoteText"/>
        <w:rPr>
          <w:lang w:val="ru-RU"/>
        </w:rPr>
      </w:pPr>
      <w:r>
        <w:rPr>
          <w:rStyle w:val="FootnoteReference"/>
        </w:rPr>
        <w:footnoteRef/>
      </w:r>
      <w:r w:rsidRPr="001119AF">
        <w:t xml:space="preserve"> </w:t>
      </w:r>
      <w:bookmarkStart w:id="165" w:name="lt_pId2415"/>
      <w:r w:rsidRPr="001119AF">
        <w:t>https://academy.itu.int/index.php/main-activities/curriculum-development/online-master-communication-management-emcm.</w:t>
      </w:r>
      <w:bookmarkEnd w:id="165"/>
      <w:r w:rsidRPr="001119AF">
        <w:t xml:space="preserve"> </w:t>
      </w:r>
      <w:bookmarkStart w:id="166" w:name="lt_pId2416"/>
      <w:r w:rsidRPr="001119AF">
        <w:rPr>
          <w:lang w:val="ru-RU"/>
        </w:rPr>
        <w:t>Стоимость обучения составляет 4</w:t>
      </w:r>
      <w:r>
        <w:rPr>
          <w:lang w:val="ru-RU"/>
        </w:rPr>
        <w:t> </w:t>
      </w:r>
      <w:r w:rsidRPr="001119AF">
        <w:rPr>
          <w:lang w:val="ru-RU"/>
        </w:rPr>
        <w:t>20</w:t>
      </w:r>
      <w:r>
        <w:rPr>
          <w:lang w:val="ru-RU"/>
        </w:rPr>
        <w:t>0</w:t>
      </w:r>
      <w:r w:rsidRPr="001119AF">
        <w:rPr>
          <w:lang w:val="ru-RU"/>
        </w:rPr>
        <w:t xml:space="preserve"> долл</w:t>
      </w:r>
      <w:r>
        <w:rPr>
          <w:lang w:val="ru-RU"/>
        </w:rPr>
        <w:t>.</w:t>
      </w:r>
      <w:r w:rsidRPr="001119AF">
        <w:rPr>
          <w:lang w:val="ru-RU"/>
        </w:rPr>
        <w:t xml:space="preserve"> США, каждая часть оплачивается отдельно; </w:t>
      </w:r>
      <w:r>
        <w:rPr>
          <w:lang w:val="ru-RU"/>
        </w:rPr>
        <w:t>схема оплаты</w:t>
      </w:r>
      <w:r w:rsidRPr="001119AF">
        <w:rPr>
          <w:lang w:val="ru-RU"/>
        </w:rPr>
        <w:t xml:space="preserve"> более подробно</w:t>
      </w:r>
      <w:r w:rsidRPr="00552753">
        <w:rPr>
          <w:lang w:val="ru-RU"/>
        </w:rPr>
        <w:t xml:space="preserve"> </w:t>
      </w:r>
      <w:r>
        <w:rPr>
          <w:lang w:val="ru-RU"/>
        </w:rPr>
        <w:t>изложена после информации о стоимости</w:t>
      </w:r>
      <w:bookmarkEnd w:id="166"/>
      <w:r w:rsidRPr="0071563B">
        <w:rPr>
          <w:lang w:val="ru-RU"/>
        </w:rPr>
        <w:t>.</w:t>
      </w:r>
    </w:p>
  </w:footnote>
  <w:footnote w:id="46">
    <w:p w14:paraId="772A2567" w14:textId="77777777" w:rsidR="002B0D90" w:rsidRPr="00951769" w:rsidRDefault="002B0D90" w:rsidP="002B0D90">
      <w:pPr>
        <w:pStyle w:val="FootnoteText"/>
        <w:rPr>
          <w:lang w:val="ru-RU"/>
        </w:rPr>
      </w:pPr>
      <w:r>
        <w:rPr>
          <w:rStyle w:val="FootnoteReference"/>
        </w:rPr>
        <w:footnoteRef/>
      </w:r>
      <w:r w:rsidRPr="001119AF">
        <w:rPr>
          <w:lang w:val="ru-RU"/>
        </w:rPr>
        <w:t xml:space="preserve"> </w:t>
      </w:r>
      <w:bookmarkStart w:id="167" w:name="lt_pId2417"/>
      <w:r>
        <w:fldChar w:fldCharType="begin"/>
      </w:r>
      <w:r w:rsidRPr="001119AF">
        <w:rPr>
          <w:lang w:val="ru-RU"/>
        </w:rPr>
        <w:instrText xml:space="preserve"> </w:instrText>
      </w:r>
      <w:r>
        <w:instrText>HYPERLINK</w:instrText>
      </w:r>
      <w:r w:rsidRPr="001119AF">
        <w:rPr>
          <w:lang w:val="ru-RU"/>
        </w:rPr>
        <w:instrText xml:space="preserve"> "</w:instrText>
      </w:r>
      <w:r>
        <w:instrText>http</w:instrText>
      </w:r>
      <w:r w:rsidRPr="001119AF">
        <w:rPr>
          <w:lang w:val="ru-RU"/>
        </w:rPr>
        <w:instrText>://</w:instrText>
      </w:r>
      <w:r>
        <w:instrText>www</w:instrText>
      </w:r>
      <w:r w:rsidRPr="001119AF">
        <w:rPr>
          <w:lang w:val="ru-RU"/>
        </w:rPr>
        <w:instrText>.</w:instrText>
      </w:r>
      <w:r>
        <w:instrText>ukta</w:instrText>
      </w:r>
      <w:r w:rsidRPr="001119AF">
        <w:rPr>
          <w:lang w:val="ru-RU"/>
        </w:rPr>
        <w:instrText>.</w:instrText>
      </w:r>
      <w:r>
        <w:instrText>co</w:instrText>
      </w:r>
      <w:r w:rsidRPr="001119AF">
        <w:rPr>
          <w:lang w:val="ru-RU"/>
        </w:rPr>
        <w:instrText>.</w:instrText>
      </w:r>
      <w:r>
        <w:instrText>uk</w:instrText>
      </w:r>
      <w:r w:rsidRPr="001119AF">
        <w:rPr>
          <w:lang w:val="ru-RU"/>
        </w:rPr>
        <w:instrText>/</w:instrText>
      </w:r>
      <w:r>
        <w:instrText>graduation</w:instrText>
      </w:r>
      <w:r w:rsidRPr="001119AF">
        <w:rPr>
          <w:lang w:val="ru-RU"/>
        </w:rPr>
        <w:instrText>-</w:instrText>
      </w:r>
      <w:r>
        <w:instrText>at</w:instrText>
      </w:r>
      <w:r w:rsidRPr="001119AF">
        <w:rPr>
          <w:lang w:val="ru-RU"/>
        </w:rPr>
        <w:instrText>-</w:instrText>
      </w:r>
      <w:r>
        <w:instrText>the</w:instrText>
      </w:r>
      <w:r w:rsidRPr="001119AF">
        <w:rPr>
          <w:lang w:val="ru-RU"/>
        </w:rPr>
        <w:instrText>-</w:instrText>
      </w:r>
      <w:r>
        <w:instrText>university</w:instrText>
      </w:r>
      <w:r w:rsidRPr="001119AF">
        <w:rPr>
          <w:lang w:val="ru-RU"/>
        </w:rPr>
        <w:instrText>-</w:instrText>
      </w:r>
      <w:r>
        <w:instrText>of</w:instrText>
      </w:r>
      <w:r w:rsidRPr="001119AF">
        <w:rPr>
          <w:lang w:val="ru-RU"/>
        </w:rPr>
        <w:instrText>-</w:instrText>
      </w:r>
      <w:r>
        <w:instrText>rwanda</w:instrText>
      </w:r>
      <w:r w:rsidRPr="001119AF">
        <w:rPr>
          <w:lang w:val="ru-RU"/>
        </w:rPr>
        <w:instrText xml:space="preserve">/" </w:instrText>
      </w:r>
      <w:r>
        <w:fldChar w:fldCharType="separate"/>
      </w:r>
      <w:r w:rsidRPr="009279F8">
        <w:t>http</w:t>
      </w:r>
      <w:r w:rsidRPr="001119AF">
        <w:rPr>
          <w:lang w:val="ru-RU"/>
        </w:rPr>
        <w:t>://</w:t>
      </w:r>
      <w:r w:rsidRPr="009279F8">
        <w:t>www</w:t>
      </w:r>
      <w:r w:rsidRPr="001119AF">
        <w:rPr>
          <w:lang w:val="ru-RU"/>
        </w:rPr>
        <w:t>.</w:t>
      </w:r>
      <w:r w:rsidRPr="009279F8">
        <w:t>ukta</w:t>
      </w:r>
      <w:r w:rsidRPr="001119AF">
        <w:rPr>
          <w:lang w:val="ru-RU"/>
        </w:rPr>
        <w:t>.</w:t>
      </w:r>
      <w:r w:rsidRPr="009279F8">
        <w:t>co</w:t>
      </w:r>
      <w:r w:rsidRPr="001119AF">
        <w:rPr>
          <w:lang w:val="ru-RU"/>
        </w:rPr>
        <w:t>.</w:t>
      </w:r>
      <w:r w:rsidRPr="009279F8">
        <w:t>uk</w:t>
      </w:r>
      <w:r w:rsidRPr="001119AF">
        <w:rPr>
          <w:lang w:val="ru-RU"/>
        </w:rPr>
        <w:t>/</w:t>
      </w:r>
      <w:r w:rsidRPr="009279F8">
        <w:t>graduation</w:t>
      </w:r>
      <w:r w:rsidRPr="001119AF">
        <w:rPr>
          <w:lang w:val="ru-RU"/>
        </w:rPr>
        <w:t>-</w:t>
      </w:r>
      <w:r w:rsidRPr="009279F8">
        <w:t>at</w:t>
      </w:r>
      <w:r w:rsidRPr="001119AF">
        <w:rPr>
          <w:lang w:val="ru-RU"/>
        </w:rPr>
        <w:t>-</w:t>
      </w:r>
      <w:r w:rsidRPr="009279F8">
        <w:t>the</w:t>
      </w:r>
      <w:r w:rsidRPr="001119AF">
        <w:rPr>
          <w:lang w:val="ru-RU"/>
        </w:rPr>
        <w:t>-</w:t>
      </w:r>
      <w:r w:rsidRPr="009279F8">
        <w:t>university</w:t>
      </w:r>
      <w:r w:rsidRPr="001119AF">
        <w:rPr>
          <w:lang w:val="ru-RU"/>
        </w:rPr>
        <w:t>-</w:t>
      </w:r>
      <w:r w:rsidRPr="009279F8">
        <w:t>of</w:t>
      </w:r>
      <w:r w:rsidRPr="001119AF">
        <w:rPr>
          <w:lang w:val="ru-RU"/>
        </w:rPr>
        <w:t>-</w:t>
      </w:r>
      <w:r w:rsidRPr="009279F8">
        <w:t>rwanda</w:t>
      </w:r>
      <w:r w:rsidRPr="001119AF">
        <w:rPr>
          <w:lang w:val="ru-RU"/>
        </w:rPr>
        <w:t>/</w:t>
      </w:r>
      <w:r>
        <w:fldChar w:fldCharType="end"/>
      </w:r>
      <w:r w:rsidRPr="001119AF">
        <w:rPr>
          <w:lang w:val="ru-RU"/>
        </w:rPr>
        <w:t>.</w:t>
      </w:r>
      <w:bookmarkEnd w:id="167"/>
      <w:r w:rsidRPr="001119AF">
        <w:rPr>
          <w:lang w:val="ru-RU"/>
        </w:rPr>
        <w:t xml:space="preserve"> </w:t>
      </w:r>
      <w:bookmarkStart w:id="168" w:name="lt_pId2418"/>
      <w:r w:rsidRPr="00FA6B25">
        <w:rPr>
          <w:lang w:val="ru-RU"/>
        </w:rPr>
        <w:t xml:space="preserve">Помимо </w:t>
      </w:r>
      <w:r w:rsidRPr="00FA6B25">
        <w:t>MCM</w:t>
      </w:r>
      <w:r w:rsidRPr="00FA6B25">
        <w:rPr>
          <w:lang w:val="ru-RU"/>
        </w:rPr>
        <w:t xml:space="preserve">, </w:t>
      </w:r>
      <w:r w:rsidRPr="00E052B6">
        <w:rPr>
          <w:lang w:val="ru-RU"/>
        </w:rPr>
        <w:t xml:space="preserve">в сотрудничестве с </w:t>
      </w:r>
      <w:r w:rsidRPr="00E052B6">
        <w:rPr>
          <w:lang w:val="fr-FR"/>
        </w:rPr>
        <w:t>AFRALTI</w:t>
      </w:r>
      <w:r w:rsidRPr="00E052B6">
        <w:rPr>
          <w:lang w:val="ru-RU"/>
        </w:rPr>
        <w:t xml:space="preserve"> и Открытым университетом Танзании </w:t>
      </w:r>
      <w:r w:rsidRPr="00FA6B25">
        <w:rPr>
          <w:lang w:val="ru-RU"/>
        </w:rPr>
        <w:t>также предлагает</w:t>
      </w:r>
      <w:r>
        <w:rPr>
          <w:lang w:val="ru-RU"/>
        </w:rPr>
        <w:t>ся</w:t>
      </w:r>
      <w:r w:rsidRPr="00FA6B25">
        <w:rPr>
          <w:lang w:val="ru-RU"/>
        </w:rPr>
        <w:t xml:space="preserve"> </w:t>
      </w:r>
      <w:r>
        <w:rPr>
          <w:lang w:val="ru-RU"/>
        </w:rPr>
        <w:t xml:space="preserve">магистерская программа по </w:t>
      </w:r>
      <w:r w:rsidRPr="001119AF">
        <w:rPr>
          <w:lang w:val="ru-RU"/>
        </w:rPr>
        <w:t>информационно-коммуникационно</w:t>
      </w:r>
      <w:r w:rsidRPr="00951769">
        <w:rPr>
          <w:lang w:val="ru-RU"/>
        </w:rPr>
        <w:t xml:space="preserve">му </w:t>
      </w:r>
      <w:r w:rsidRPr="00FA6B25">
        <w:rPr>
          <w:lang w:val="ru-RU"/>
        </w:rPr>
        <w:t>прав</w:t>
      </w:r>
      <w:r>
        <w:rPr>
          <w:lang w:val="ru-RU"/>
        </w:rPr>
        <w:t>у</w:t>
      </w:r>
      <w:r w:rsidRPr="00FA6B25">
        <w:rPr>
          <w:lang w:val="ru-RU"/>
        </w:rPr>
        <w:t xml:space="preserve"> </w:t>
      </w:r>
      <w:r w:rsidRPr="00951769">
        <w:rPr>
          <w:lang w:val="ru-RU"/>
        </w:rPr>
        <w:t>(</w:t>
      </w:r>
      <w:r w:rsidR="00D577E1">
        <w:fldChar w:fldCharType="begin"/>
      </w:r>
      <w:r w:rsidR="00D577E1" w:rsidRPr="00D577E1">
        <w:rPr>
          <w:lang w:val="ru-RU"/>
        </w:rPr>
        <w:instrText xml:space="preserve"> </w:instrText>
      </w:r>
      <w:r w:rsidR="00D577E1">
        <w:instrText>HYPERLINK</w:instrText>
      </w:r>
      <w:r w:rsidR="00D577E1" w:rsidRPr="00D577E1">
        <w:rPr>
          <w:lang w:val="ru-RU"/>
        </w:rPr>
        <w:instrText xml:space="preserve"> "</w:instrText>
      </w:r>
      <w:r w:rsidR="00D577E1">
        <w:instrText>http</w:instrText>
      </w:r>
      <w:r w:rsidR="00D577E1" w:rsidRPr="00D577E1">
        <w:rPr>
          <w:lang w:val="ru-RU"/>
        </w:rPr>
        <w:instrText>://</w:instrText>
      </w:r>
      <w:r w:rsidR="00D577E1">
        <w:instrText>www</w:instrText>
      </w:r>
      <w:r w:rsidR="00D577E1" w:rsidRPr="00D577E1">
        <w:rPr>
          <w:lang w:val="ru-RU"/>
        </w:rPr>
        <w:instrText>.</w:instrText>
      </w:r>
      <w:r w:rsidR="00D577E1">
        <w:instrText>ukta</w:instrText>
      </w:r>
      <w:r w:rsidR="00D577E1" w:rsidRPr="00D577E1">
        <w:rPr>
          <w:lang w:val="ru-RU"/>
        </w:rPr>
        <w:instrText>.</w:instrText>
      </w:r>
      <w:r w:rsidR="00D577E1">
        <w:instrText>co</w:instrText>
      </w:r>
      <w:r w:rsidR="00D577E1" w:rsidRPr="00D577E1">
        <w:rPr>
          <w:lang w:val="ru-RU"/>
        </w:rPr>
        <w:instrText>.</w:instrText>
      </w:r>
      <w:r w:rsidR="00D577E1">
        <w:instrText>uk</w:instrText>
      </w:r>
      <w:r w:rsidR="00D577E1" w:rsidRPr="00D577E1">
        <w:rPr>
          <w:lang w:val="ru-RU"/>
        </w:rPr>
        <w:instrText>/</w:instrText>
      </w:r>
      <w:r w:rsidR="00D577E1">
        <w:instrText>accredited</w:instrText>
      </w:r>
      <w:r w:rsidR="00D577E1" w:rsidRPr="00D577E1">
        <w:rPr>
          <w:lang w:val="ru-RU"/>
        </w:rPr>
        <w:instrText>-</w:instrText>
      </w:r>
      <w:r w:rsidR="00D577E1">
        <w:instrText>training</w:instrText>
      </w:r>
      <w:r w:rsidR="00D577E1" w:rsidRPr="00D577E1">
        <w:rPr>
          <w:lang w:val="ru-RU"/>
        </w:rPr>
        <w:instrText>-</w:instrText>
      </w:r>
      <w:r w:rsidR="00D577E1">
        <w:instrText>qualifications</w:instrText>
      </w:r>
      <w:r w:rsidR="00D577E1" w:rsidRPr="00D577E1">
        <w:rPr>
          <w:lang w:val="ru-RU"/>
        </w:rPr>
        <w:instrText xml:space="preserve">/" </w:instrText>
      </w:r>
      <w:r w:rsidR="00D577E1">
        <w:fldChar w:fldCharType="separate"/>
      </w:r>
      <w:r w:rsidRPr="009279F8">
        <w:t>http</w:t>
      </w:r>
      <w:r w:rsidRPr="00951769">
        <w:rPr>
          <w:lang w:val="ru-RU"/>
        </w:rPr>
        <w:t>://</w:t>
      </w:r>
      <w:r w:rsidRPr="009279F8">
        <w:t>www</w:t>
      </w:r>
      <w:r w:rsidRPr="00951769">
        <w:rPr>
          <w:lang w:val="ru-RU"/>
        </w:rPr>
        <w:t>.</w:t>
      </w:r>
      <w:r w:rsidRPr="009279F8">
        <w:t>ukta</w:t>
      </w:r>
      <w:r w:rsidRPr="00951769">
        <w:rPr>
          <w:lang w:val="ru-RU"/>
        </w:rPr>
        <w:t>.</w:t>
      </w:r>
      <w:r w:rsidRPr="009279F8">
        <w:t>co</w:t>
      </w:r>
      <w:r w:rsidRPr="00951769">
        <w:rPr>
          <w:lang w:val="ru-RU"/>
        </w:rPr>
        <w:t>.</w:t>
      </w:r>
      <w:r w:rsidRPr="009279F8">
        <w:t>uk</w:t>
      </w:r>
      <w:r w:rsidRPr="00951769">
        <w:rPr>
          <w:lang w:val="ru-RU"/>
        </w:rPr>
        <w:t>/</w:t>
      </w:r>
      <w:r w:rsidRPr="009279F8">
        <w:t>accredited</w:t>
      </w:r>
      <w:r w:rsidRPr="00951769">
        <w:rPr>
          <w:lang w:val="ru-RU"/>
        </w:rPr>
        <w:t>-</w:t>
      </w:r>
      <w:r w:rsidRPr="009279F8">
        <w:t>training</w:t>
      </w:r>
      <w:r w:rsidRPr="00951769">
        <w:rPr>
          <w:lang w:val="ru-RU"/>
        </w:rPr>
        <w:t>-</w:t>
      </w:r>
      <w:r w:rsidRPr="009279F8">
        <w:t>qualifications</w:t>
      </w:r>
      <w:r w:rsidRPr="00951769">
        <w:rPr>
          <w:lang w:val="ru-RU"/>
        </w:rPr>
        <w:t>/</w:t>
      </w:r>
      <w:r w:rsidR="00D577E1">
        <w:rPr>
          <w:lang w:val="ru-RU"/>
        </w:rPr>
        <w:fldChar w:fldCharType="end"/>
      </w:r>
      <w:r w:rsidRPr="00951769">
        <w:rPr>
          <w:lang w:val="ru-RU"/>
        </w:rPr>
        <w:t>)</w:t>
      </w:r>
      <w:bookmarkEnd w:id="168"/>
      <w:r>
        <w:rPr>
          <w:lang w:val="ru-RU"/>
        </w:rPr>
        <w:t>.</w:t>
      </w:r>
    </w:p>
  </w:footnote>
  <w:footnote w:id="47">
    <w:p w14:paraId="26E9DF20" w14:textId="77777777" w:rsidR="002B0D90" w:rsidRPr="00951769" w:rsidRDefault="002B0D90" w:rsidP="002B0D90">
      <w:pPr>
        <w:pStyle w:val="FootnoteText"/>
        <w:rPr>
          <w:lang w:val="ru-RU"/>
        </w:rPr>
      </w:pPr>
      <w:r>
        <w:rPr>
          <w:rStyle w:val="FootnoteReference"/>
        </w:rPr>
        <w:footnoteRef/>
      </w:r>
      <w:r w:rsidRPr="00951769">
        <w:rPr>
          <w:lang w:val="ru-RU"/>
        </w:rPr>
        <w:t xml:space="preserve"> </w:t>
      </w:r>
      <w:r w:rsidR="00D577E1">
        <w:fldChar w:fldCharType="begin"/>
      </w:r>
      <w:r w:rsidR="00D577E1" w:rsidRPr="00D577E1">
        <w:rPr>
          <w:lang w:val="ru-RU"/>
        </w:rPr>
        <w:instrText xml:space="preserve"> </w:instrText>
      </w:r>
      <w:r w:rsidR="00D577E1">
        <w:instrText>HYPERLINK</w:instrText>
      </w:r>
      <w:r w:rsidR="00D577E1" w:rsidRPr="00D577E1">
        <w:rPr>
          <w:lang w:val="ru-RU"/>
        </w:rPr>
        <w:instrText xml:space="preserve"> "</w:instrText>
      </w:r>
      <w:r w:rsidR="00D577E1">
        <w:instrText>https</w:instrText>
      </w:r>
      <w:r w:rsidR="00D577E1" w:rsidRPr="00D577E1">
        <w:rPr>
          <w:lang w:val="ru-RU"/>
        </w:rPr>
        <w:instrText>://</w:instrText>
      </w:r>
      <w:r w:rsidR="00D577E1">
        <w:instrText>www</w:instrText>
      </w:r>
      <w:r w:rsidR="00D577E1" w:rsidRPr="00D577E1">
        <w:rPr>
          <w:lang w:val="ru-RU"/>
        </w:rPr>
        <w:instrText>.</w:instrText>
      </w:r>
      <w:r w:rsidR="00D577E1">
        <w:instrText>afralti</w:instrText>
      </w:r>
      <w:r w:rsidR="00D577E1" w:rsidRPr="00D577E1">
        <w:rPr>
          <w:lang w:val="ru-RU"/>
        </w:rPr>
        <w:instrText>.</w:instrText>
      </w:r>
      <w:r w:rsidR="00D577E1">
        <w:instrText>org</w:instrText>
      </w:r>
      <w:r w:rsidR="00D577E1" w:rsidRPr="00D577E1">
        <w:rPr>
          <w:lang w:val="ru-RU"/>
        </w:rPr>
        <w:instrText>/</w:instrText>
      </w:r>
      <w:r w:rsidR="00D577E1">
        <w:instrText>emcm</w:instrText>
      </w:r>
      <w:r w:rsidR="00D577E1" w:rsidRPr="00D577E1">
        <w:rPr>
          <w:lang w:val="ru-RU"/>
        </w:rPr>
        <w:instrText>-</w:instrText>
      </w:r>
      <w:r w:rsidR="00D577E1">
        <w:instrText>july</w:instrText>
      </w:r>
      <w:r w:rsidR="00D577E1" w:rsidRPr="00D577E1">
        <w:rPr>
          <w:lang w:val="ru-RU"/>
        </w:rPr>
        <w:instrText>-2020-</w:instrText>
      </w:r>
      <w:r w:rsidR="00D577E1">
        <w:instrText>intake</w:instrText>
      </w:r>
      <w:r w:rsidR="00D577E1" w:rsidRPr="00D577E1">
        <w:rPr>
          <w:lang w:val="ru-RU"/>
        </w:rPr>
        <w:instrText xml:space="preserve">/" </w:instrText>
      </w:r>
      <w:r w:rsidR="00D577E1">
        <w:fldChar w:fldCharType="separate"/>
      </w:r>
      <w:bookmarkStart w:id="169" w:name="lt_pId2419"/>
      <w:r w:rsidRPr="009279F8">
        <w:t>https</w:t>
      </w:r>
      <w:r w:rsidRPr="00951769">
        <w:rPr>
          <w:lang w:val="ru-RU"/>
        </w:rPr>
        <w:t>://</w:t>
      </w:r>
      <w:r w:rsidRPr="009279F8">
        <w:t>www</w:t>
      </w:r>
      <w:r w:rsidRPr="00951769">
        <w:rPr>
          <w:lang w:val="ru-RU"/>
        </w:rPr>
        <w:t>.</w:t>
      </w:r>
      <w:r w:rsidRPr="009279F8">
        <w:t>afralti</w:t>
      </w:r>
      <w:r w:rsidRPr="00951769">
        <w:rPr>
          <w:lang w:val="ru-RU"/>
        </w:rPr>
        <w:t>.</w:t>
      </w:r>
      <w:r w:rsidRPr="009279F8">
        <w:t>org</w:t>
      </w:r>
      <w:r w:rsidRPr="00951769">
        <w:rPr>
          <w:lang w:val="ru-RU"/>
        </w:rPr>
        <w:t>/</w:t>
      </w:r>
      <w:r w:rsidRPr="009279F8">
        <w:t>emcm</w:t>
      </w:r>
      <w:r w:rsidRPr="00951769">
        <w:rPr>
          <w:lang w:val="ru-RU"/>
        </w:rPr>
        <w:t>-</w:t>
      </w:r>
      <w:r w:rsidRPr="009279F8">
        <w:t>july</w:t>
      </w:r>
      <w:r w:rsidRPr="00951769">
        <w:rPr>
          <w:lang w:val="ru-RU"/>
        </w:rPr>
        <w:t>-2020-</w:t>
      </w:r>
      <w:r w:rsidRPr="009279F8">
        <w:t>intake</w:t>
      </w:r>
      <w:r w:rsidRPr="00951769">
        <w:rPr>
          <w:lang w:val="ru-RU"/>
        </w:rPr>
        <w:t>/</w:t>
      </w:r>
      <w:bookmarkEnd w:id="169"/>
      <w:r w:rsidR="00D577E1">
        <w:rPr>
          <w:lang w:val="ru-RU"/>
        </w:rPr>
        <w:fldChar w:fldCharType="end"/>
      </w:r>
      <w:r>
        <w:rPr>
          <w:lang w:val="ru-RU"/>
        </w:rPr>
        <w:t>.</w:t>
      </w:r>
    </w:p>
  </w:footnote>
  <w:footnote w:id="48">
    <w:p w14:paraId="75218818" w14:textId="77777777" w:rsidR="002B0D90" w:rsidRPr="0099556B" w:rsidRDefault="002B0D90" w:rsidP="002B0D90">
      <w:pPr>
        <w:pStyle w:val="FootnoteText"/>
        <w:rPr>
          <w:lang w:val="ru-RU"/>
        </w:rPr>
      </w:pPr>
      <w:r>
        <w:rPr>
          <w:rStyle w:val="FootnoteReference"/>
        </w:rPr>
        <w:footnoteRef/>
      </w:r>
      <w:r w:rsidRPr="00EB1225">
        <w:rPr>
          <w:lang w:val="ru-RU"/>
        </w:rPr>
        <w:t xml:space="preserve"> </w:t>
      </w:r>
      <w:bookmarkStart w:id="171" w:name="lt_pId2420"/>
      <w:r>
        <w:rPr>
          <w:lang w:val="ru-RU"/>
        </w:rPr>
        <w:t>Из</w:t>
      </w:r>
      <w:r w:rsidRPr="00EB1225">
        <w:rPr>
          <w:lang w:val="ru-RU"/>
        </w:rPr>
        <w:t xml:space="preserve"> </w:t>
      </w:r>
      <w:r>
        <w:rPr>
          <w:lang w:val="ru-RU"/>
        </w:rPr>
        <w:t>последних</w:t>
      </w:r>
      <w:r w:rsidRPr="00EB1225">
        <w:rPr>
          <w:lang w:val="ru-RU"/>
        </w:rPr>
        <w:t xml:space="preserve"> </w:t>
      </w:r>
      <w:r>
        <w:rPr>
          <w:lang w:val="ru-RU"/>
        </w:rPr>
        <w:t>симпозиумов</w:t>
      </w:r>
      <w:r w:rsidRPr="00EB1225">
        <w:rPr>
          <w:lang w:val="ru-RU"/>
        </w:rPr>
        <w:t xml:space="preserve"> </w:t>
      </w:r>
      <w:r>
        <w:rPr>
          <w:lang w:val="ru-RU"/>
        </w:rPr>
        <w:t>см</w:t>
      </w:r>
      <w:r w:rsidRPr="00EB1225">
        <w:rPr>
          <w:lang w:val="ru-RU"/>
        </w:rPr>
        <w:t xml:space="preserve">., </w:t>
      </w:r>
      <w:r>
        <w:rPr>
          <w:lang w:val="ru-RU"/>
        </w:rPr>
        <w:t>например</w:t>
      </w:r>
      <w:r w:rsidRPr="00EB1225">
        <w:rPr>
          <w:lang w:val="ru-RU"/>
        </w:rPr>
        <w:t xml:space="preserve">, </w:t>
      </w:r>
      <w:r>
        <w:rPr>
          <w:lang w:val="ru-RU"/>
        </w:rPr>
        <w:t>С</w:t>
      </w:r>
      <w:r w:rsidRPr="001119AF">
        <w:rPr>
          <w:lang w:val="ru-RU"/>
        </w:rPr>
        <w:t>импозиум МСЭ по спутниковой связи</w:t>
      </w:r>
      <w:r w:rsidRPr="00EB1225">
        <w:rPr>
          <w:lang w:val="ru-RU"/>
        </w:rPr>
        <w:t xml:space="preserve"> 2019 </w:t>
      </w:r>
      <w:r>
        <w:rPr>
          <w:lang w:val="ru-RU"/>
        </w:rPr>
        <w:t>года</w:t>
      </w:r>
      <w:r w:rsidRPr="00EB1225">
        <w:rPr>
          <w:lang w:val="ru-RU"/>
        </w:rPr>
        <w:t xml:space="preserve">, </w:t>
      </w:r>
      <w:r>
        <w:rPr>
          <w:lang w:val="ru-RU"/>
        </w:rPr>
        <w:t>проходивший</w:t>
      </w:r>
      <w:r w:rsidRPr="00EB1225">
        <w:rPr>
          <w:lang w:val="ru-RU"/>
        </w:rPr>
        <w:t xml:space="preserve"> </w:t>
      </w:r>
      <w:r>
        <w:rPr>
          <w:lang w:val="ru-RU"/>
        </w:rPr>
        <w:t>в</w:t>
      </w:r>
      <w:r w:rsidRPr="00EB1225">
        <w:rPr>
          <w:lang w:val="ru-RU"/>
        </w:rPr>
        <w:t xml:space="preserve"> </w:t>
      </w:r>
      <w:r w:rsidRPr="001119AF">
        <w:rPr>
          <w:lang w:val="ru-RU"/>
        </w:rPr>
        <w:t>Сан-Карлос-де-Барилоче</w:t>
      </w:r>
      <w:r w:rsidRPr="00EB1225">
        <w:rPr>
          <w:lang w:val="ru-RU"/>
        </w:rPr>
        <w:t xml:space="preserve">, </w:t>
      </w:r>
      <w:r>
        <w:rPr>
          <w:lang w:val="ru-RU"/>
        </w:rPr>
        <w:t>Аргентина</w:t>
      </w:r>
      <w:r w:rsidRPr="00EB1225">
        <w:rPr>
          <w:lang w:val="ru-RU"/>
        </w:rPr>
        <w:t xml:space="preserve">, </w:t>
      </w:r>
      <w:r w:rsidRPr="001E4C57">
        <w:t>https</w:t>
      </w:r>
      <w:r w:rsidRPr="00EB1225">
        <w:rPr>
          <w:lang w:val="ru-RU"/>
        </w:rPr>
        <w:t>://</w:t>
      </w:r>
      <w:r w:rsidRPr="001E4C57">
        <w:t>www</w:t>
      </w:r>
      <w:r w:rsidRPr="00EB1225">
        <w:rPr>
          <w:lang w:val="ru-RU"/>
        </w:rPr>
        <w:t>.</w:t>
      </w:r>
      <w:r w:rsidRPr="001E4C57">
        <w:t>itu</w:t>
      </w:r>
      <w:r w:rsidRPr="00EB1225">
        <w:rPr>
          <w:lang w:val="ru-RU"/>
        </w:rPr>
        <w:t>.</w:t>
      </w:r>
      <w:r w:rsidRPr="001E4C57">
        <w:t>int</w:t>
      </w:r>
      <w:r w:rsidRPr="00EB1225">
        <w:rPr>
          <w:lang w:val="ru-RU"/>
        </w:rPr>
        <w:t>/</w:t>
      </w:r>
      <w:r w:rsidRPr="001E4C57">
        <w:t>en</w:t>
      </w:r>
      <w:r w:rsidRPr="00EB1225">
        <w:rPr>
          <w:lang w:val="ru-RU"/>
        </w:rPr>
        <w:t>/</w:t>
      </w:r>
      <w:r w:rsidRPr="001E4C57">
        <w:t>ITU</w:t>
      </w:r>
      <w:r w:rsidRPr="00EB1225">
        <w:rPr>
          <w:lang w:val="ru-RU"/>
        </w:rPr>
        <w:t>-</w:t>
      </w:r>
      <w:r w:rsidRPr="001E4C57">
        <w:t>R</w:t>
      </w:r>
      <w:r w:rsidRPr="00EB1225">
        <w:rPr>
          <w:lang w:val="ru-RU"/>
        </w:rPr>
        <w:t>/</w:t>
      </w:r>
      <w:r w:rsidRPr="001E4C57">
        <w:t>space</w:t>
      </w:r>
      <w:r w:rsidRPr="00EB1225">
        <w:rPr>
          <w:lang w:val="ru-RU"/>
        </w:rPr>
        <w:t>/</w:t>
      </w:r>
      <w:r w:rsidRPr="001E4C57">
        <w:t>workshops</w:t>
      </w:r>
      <w:r w:rsidRPr="00EB1225">
        <w:rPr>
          <w:lang w:val="ru-RU"/>
        </w:rPr>
        <w:t>/2019-</w:t>
      </w:r>
      <w:r w:rsidRPr="001E4C57">
        <w:t>SatSymp</w:t>
      </w:r>
      <w:r w:rsidRPr="00EB1225">
        <w:rPr>
          <w:lang w:val="ru-RU"/>
        </w:rPr>
        <w:t>/</w:t>
      </w:r>
      <w:r w:rsidRPr="001E4C57">
        <w:t>Pages</w:t>
      </w:r>
      <w:r w:rsidRPr="00EB1225">
        <w:rPr>
          <w:lang w:val="ru-RU"/>
        </w:rPr>
        <w:t>/</w:t>
      </w:r>
      <w:r w:rsidRPr="001E4C57">
        <w:t>default</w:t>
      </w:r>
      <w:r w:rsidRPr="00EB1225">
        <w:rPr>
          <w:lang w:val="ru-RU"/>
        </w:rPr>
        <w:t>.</w:t>
      </w:r>
      <w:r w:rsidRPr="001E4C57">
        <w:t>aspx</w:t>
      </w:r>
      <w:r w:rsidRPr="00EB1225">
        <w:rPr>
          <w:lang w:val="ru-RU"/>
        </w:rPr>
        <w:t xml:space="preserve">, </w:t>
      </w:r>
      <w:r>
        <w:rPr>
          <w:lang w:val="ru-RU"/>
        </w:rPr>
        <w:t>на</w:t>
      </w:r>
      <w:r w:rsidRPr="00EB1225">
        <w:rPr>
          <w:lang w:val="ru-RU"/>
        </w:rPr>
        <w:t xml:space="preserve"> </w:t>
      </w:r>
      <w:r>
        <w:rPr>
          <w:lang w:val="ru-RU"/>
        </w:rPr>
        <w:t>котором</w:t>
      </w:r>
      <w:r w:rsidRPr="00EB1225">
        <w:rPr>
          <w:lang w:val="ru-RU"/>
        </w:rPr>
        <w:t xml:space="preserve"> </w:t>
      </w:r>
      <w:r>
        <w:rPr>
          <w:lang w:val="ru-RU"/>
        </w:rPr>
        <w:t>участники</w:t>
      </w:r>
      <w:r w:rsidRPr="00EB1225">
        <w:rPr>
          <w:lang w:val="ru-RU"/>
        </w:rPr>
        <w:t xml:space="preserve"> </w:t>
      </w:r>
      <w:r>
        <w:rPr>
          <w:lang w:val="ru-RU"/>
        </w:rPr>
        <w:t>имели</w:t>
      </w:r>
      <w:r w:rsidRPr="00EB1225">
        <w:rPr>
          <w:lang w:val="ru-RU"/>
        </w:rPr>
        <w:t xml:space="preserve"> </w:t>
      </w:r>
      <w:r>
        <w:rPr>
          <w:lang w:val="ru-RU"/>
        </w:rPr>
        <w:t>возможность</w:t>
      </w:r>
      <w:r w:rsidRPr="00EB1225">
        <w:rPr>
          <w:lang w:val="ru-RU"/>
        </w:rPr>
        <w:t xml:space="preserve"> "</w:t>
      </w:r>
      <w:r w:rsidRPr="001119AF">
        <w:rPr>
          <w:lang w:val="ru-RU"/>
        </w:rPr>
        <w:t>представить и обсудить последние достижения в областях спутниковой связи, космических миссий, национальных космических планов, а также регуляторных и рыночных аспектов космических служб</w:t>
      </w:r>
      <w:r w:rsidRPr="00EB1225">
        <w:rPr>
          <w:lang w:val="ru-RU"/>
        </w:rPr>
        <w:t>"</w:t>
      </w:r>
      <w:r>
        <w:rPr>
          <w:lang w:val="ru-RU"/>
        </w:rPr>
        <w:t>.</w:t>
      </w:r>
      <w:bookmarkEnd w:id="171"/>
    </w:p>
  </w:footnote>
  <w:footnote w:id="49">
    <w:p w14:paraId="226EE6C6" w14:textId="38459BB8" w:rsidR="002B0D90" w:rsidRPr="00F836D8" w:rsidRDefault="002B0D90" w:rsidP="002B0D90">
      <w:pPr>
        <w:pStyle w:val="FootnoteText"/>
        <w:rPr>
          <w:lang w:val="ru-RU"/>
        </w:rPr>
      </w:pPr>
      <w:r>
        <w:rPr>
          <w:rStyle w:val="FootnoteReference"/>
        </w:rPr>
        <w:footnoteRef/>
      </w:r>
      <w:r w:rsidRPr="00F836D8">
        <w:rPr>
          <w:lang w:val="ru-RU"/>
        </w:rPr>
        <w:t xml:space="preserve"> </w:t>
      </w:r>
      <w:bookmarkStart w:id="173" w:name="lt_pId2421"/>
      <w:r>
        <w:rPr>
          <w:lang w:val="ru-RU"/>
        </w:rPr>
        <w:t>П</w:t>
      </w:r>
      <w:r w:rsidRPr="001119AF">
        <w:rPr>
          <w:lang w:val="ru-RU"/>
        </w:rPr>
        <w:t>рограмм</w:t>
      </w:r>
      <w:r>
        <w:rPr>
          <w:lang w:val="ru-RU"/>
        </w:rPr>
        <w:t>а</w:t>
      </w:r>
      <w:r w:rsidRPr="001119AF">
        <w:rPr>
          <w:lang w:val="ru-RU"/>
        </w:rPr>
        <w:t xml:space="preserve"> наставничества "Сеть женщин в интересах ВКР-19"</w:t>
      </w:r>
      <w:r w:rsidRPr="00F836D8">
        <w:rPr>
          <w:lang w:val="ru-RU"/>
        </w:rPr>
        <w:t xml:space="preserve">, </w:t>
      </w:r>
      <w:r w:rsidR="00D577E1">
        <w:fldChar w:fldCharType="begin"/>
      </w:r>
      <w:r w:rsidR="00D577E1" w:rsidRPr="00D577E1">
        <w:rPr>
          <w:lang w:val="ru-RU"/>
        </w:rPr>
        <w:instrText xml:space="preserve"> </w:instrText>
      </w:r>
      <w:r w:rsidR="00D577E1">
        <w:instrText>HYPERLINK</w:instrText>
      </w:r>
      <w:r w:rsidR="00D577E1" w:rsidRPr="00D577E1">
        <w:rPr>
          <w:lang w:val="ru-RU"/>
        </w:rPr>
        <w:instrText xml:space="preserve"> "</w:instrText>
      </w:r>
      <w:r w:rsidR="00D577E1">
        <w:instrText>https</w:instrText>
      </w:r>
      <w:r w:rsidR="00D577E1" w:rsidRPr="00D577E1">
        <w:rPr>
          <w:lang w:val="ru-RU"/>
        </w:rPr>
        <w:instrText>://</w:instrText>
      </w:r>
      <w:r w:rsidR="00D577E1">
        <w:instrText>www</w:instrText>
      </w:r>
      <w:r w:rsidR="00D577E1" w:rsidRPr="00D577E1">
        <w:rPr>
          <w:lang w:val="ru-RU"/>
        </w:rPr>
        <w:instrText>.</w:instrText>
      </w:r>
      <w:r w:rsidR="00D577E1">
        <w:instrText>itu</w:instrText>
      </w:r>
      <w:r w:rsidR="00D577E1" w:rsidRPr="00D577E1">
        <w:rPr>
          <w:lang w:val="ru-RU"/>
        </w:rPr>
        <w:instrText>.</w:instrText>
      </w:r>
      <w:r w:rsidR="00D577E1">
        <w:instrText>int</w:instrText>
      </w:r>
      <w:r w:rsidR="00D577E1" w:rsidRPr="00D577E1">
        <w:rPr>
          <w:lang w:val="ru-RU"/>
        </w:rPr>
        <w:instrText>/</w:instrText>
      </w:r>
      <w:r w:rsidR="00D577E1">
        <w:instrText>en</w:instrText>
      </w:r>
      <w:r w:rsidR="00D577E1" w:rsidRPr="00D577E1">
        <w:rPr>
          <w:lang w:val="ru-RU"/>
        </w:rPr>
        <w:instrText>/</w:instrText>
      </w:r>
      <w:r w:rsidR="00D577E1">
        <w:instrText>ITU</w:instrText>
      </w:r>
      <w:r w:rsidR="00D577E1" w:rsidRPr="00D577E1">
        <w:rPr>
          <w:lang w:val="ru-RU"/>
        </w:rPr>
        <w:instrText>-</w:instrText>
      </w:r>
      <w:r w:rsidR="00D577E1">
        <w:instrText>R</w:instrText>
      </w:r>
      <w:r w:rsidR="00D577E1" w:rsidRPr="00D577E1">
        <w:rPr>
          <w:lang w:val="ru-RU"/>
        </w:rPr>
        <w:instrText>/</w:instrText>
      </w:r>
      <w:r w:rsidR="00D577E1">
        <w:instrText>study</w:instrText>
      </w:r>
      <w:r w:rsidR="00D577E1" w:rsidRPr="00D577E1">
        <w:rPr>
          <w:lang w:val="ru-RU"/>
        </w:rPr>
        <w:instrText>-</w:instrText>
      </w:r>
      <w:r w:rsidR="00D577E1">
        <w:instrText>groups</w:instrText>
      </w:r>
      <w:r w:rsidR="00D577E1" w:rsidRPr="00D577E1">
        <w:rPr>
          <w:lang w:val="ru-RU"/>
        </w:rPr>
        <w:instrText>/</w:instrText>
      </w:r>
      <w:r w:rsidR="00D577E1">
        <w:instrText>rsg</w:instrText>
      </w:r>
      <w:r w:rsidR="00D577E1" w:rsidRPr="00D577E1">
        <w:rPr>
          <w:lang w:val="ru-RU"/>
        </w:rPr>
        <w:instrText>4/</w:instrText>
      </w:r>
      <w:r w:rsidR="00D577E1">
        <w:instrText>rwp</w:instrText>
      </w:r>
      <w:r w:rsidR="00D577E1" w:rsidRPr="00D577E1">
        <w:rPr>
          <w:lang w:val="ru-RU"/>
        </w:rPr>
        <w:instrText>4</w:instrText>
      </w:r>
      <w:r w:rsidR="00D577E1">
        <w:instrText>a</w:instrText>
      </w:r>
      <w:r w:rsidR="00D577E1" w:rsidRPr="00D577E1">
        <w:rPr>
          <w:lang w:val="ru-RU"/>
        </w:rPr>
        <w:instrText>/</w:instrText>
      </w:r>
      <w:r w:rsidR="00D577E1">
        <w:instrText>NOW</w:instrText>
      </w:r>
      <w:r w:rsidR="00D577E1" w:rsidRPr="00D577E1">
        <w:rPr>
          <w:lang w:val="ru-RU"/>
        </w:rPr>
        <w:instrText>4</w:instrText>
      </w:r>
      <w:r w:rsidR="00D577E1">
        <w:instrText>WRC</w:instrText>
      </w:r>
      <w:r w:rsidR="00D577E1" w:rsidRPr="00D577E1">
        <w:rPr>
          <w:lang w:val="ru-RU"/>
        </w:rPr>
        <w:instrText>19/</w:instrText>
      </w:r>
      <w:r w:rsidR="00D577E1">
        <w:instrText>Pages</w:instrText>
      </w:r>
      <w:r w:rsidR="00D577E1" w:rsidRPr="00D577E1">
        <w:rPr>
          <w:lang w:val="ru-RU"/>
        </w:rPr>
        <w:instrText>/</w:instrText>
      </w:r>
      <w:r w:rsidR="00D577E1">
        <w:instrText>default</w:instrText>
      </w:r>
      <w:r w:rsidR="00D577E1" w:rsidRPr="00D577E1">
        <w:rPr>
          <w:lang w:val="ru-RU"/>
        </w:rPr>
        <w:instrText>.</w:instrText>
      </w:r>
      <w:r w:rsidR="00D577E1">
        <w:instrText>aspx</w:instrText>
      </w:r>
      <w:r w:rsidR="00D577E1" w:rsidRPr="00D577E1">
        <w:rPr>
          <w:lang w:val="ru-RU"/>
        </w:rPr>
        <w:instrText xml:space="preserve">" </w:instrText>
      </w:r>
      <w:r w:rsidR="00D577E1">
        <w:fldChar w:fldCharType="separate"/>
      </w:r>
      <w:r w:rsidRPr="006C6CE6">
        <w:t>https</w:t>
      </w:r>
      <w:r w:rsidRPr="00F836D8">
        <w:rPr>
          <w:lang w:val="ru-RU"/>
        </w:rPr>
        <w:t>://</w:t>
      </w:r>
      <w:r w:rsidRPr="006C6CE6">
        <w:t>www</w:t>
      </w:r>
      <w:r w:rsidRPr="00F836D8">
        <w:rPr>
          <w:lang w:val="ru-RU"/>
        </w:rPr>
        <w:t>.</w:t>
      </w:r>
      <w:r w:rsidRPr="006C6CE6">
        <w:t>itu</w:t>
      </w:r>
      <w:r w:rsidRPr="00F836D8">
        <w:rPr>
          <w:lang w:val="ru-RU"/>
        </w:rPr>
        <w:t>.</w:t>
      </w:r>
      <w:r w:rsidRPr="006C6CE6">
        <w:t>int</w:t>
      </w:r>
      <w:r w:rsidRPr="00F836D8">
        <w:rPr>
          <w:lang w:val="ru-RU"/>
        </w:rPr>
        <w:t>/</w:t>
      </w:r>
      <w:r w:rsidRPr="006C6CE6">
        <w:t>en</w:t>
      </w:r>
      <w:r w:rsidRPr="00F836D8">
        <w:rPr>
          <w:lang w:val="ru-RU"/>
        </w:rPr>
        <w:t>/</w:t>
      </w:r>
      <w:r w:rsidRPr="006C6CE6">
        <w:t>ITU</w:t>
      </w:r>
      <w:r w:rsidRPr="00F836D8">
        <w:rPr>
          <w:lang w:val="ru-RU"/>
        </w:rPr>
        <w:t>-</w:t>
      </w:r>
      <w:r w:rsidRPr="006C6CE6">
        <w:t>R</w:t>
      </w:r>
      <w:r w:rsidRPr="00F836D8">
        <w:rPr>
          <w:lang w:val="ru-RU"/>
        </w:rPr>
        <w:t>/</w:t>
      </w:r>
      <w:r w:rsidRPr="006C6CE6">
        <w:t>study</w:t>
      </w:r>
      <w:r w:rsidRPr="00F836D8">
        <w:rPr>
          <w:lang w:val="ru-RU"/>
        </w:rPr>
        <w:t>-</w:t>
      </w:r>
      <w:r w:rsidRPr="006C6CE6">
        <w:t>groups</w:t>
      </w:r>
      <w:r w:rsidRPr="00F836D8">
        <w:rPr>
          <w:lang w:val="ru-RU"/>
        </w:rPr>
        <w:t>/</w:t>
      </w:r>
      <w:r w:rsidRPr="006C6CE6">
        <w:t>rsg</w:t>
      </w:r>
      <w:r w:rsidRPr="00F836D8">
        <w:rPr>
          <w:lang w:val="ru-RU"/>
        </w:rPr>
        <w:t>4/</w:t>
      </w:r>
      <w:r w:rsidRPr="006C6CE6">
        <w:t>rwp</w:t>
      </w:r>
      <w:r w:rsidRPr="00F836D8">
        <w:rPr>
          <w:lang w:val="ru-RU"/>
        </w:rPr>
        <w:t>4</w:t>
      </w:r>
      <w:r w:rsidRPr="006C6CE6">
        <w:t>a</w:t>
      </w:r>
      <w:r w:rsidRPr="00F836D8">
        <w:rPr>
          <w:lang w:val="ru-RU"/>
        </w:rPr>
        <w:t>/</w:t>
      </w:r>
      <w:r w:rsidRPr="006C6CE6">
        <w:t>NOW</w:t>
      </w:r>
      <w:r w:rsidRPr="00F836D8">
        <w:rPr>
          <w:lang w:val="ru-RU"/>
        </w:rPr>
        <w:t>4</w:t>
      </w:r>
      <w:r w:rsidRPr="006C6CE6">
        <w:t>WRC</w:t>
      </w:r>
      <w:r w:rsidRPr="00F836D8">
        <w:rPr>
          <w:lang w:val="ru-RU"/>
        </w:rPr>
        <w:t>19/</w:t>
      </w:r>
      <w:r w:rsidRPr="006C6CE6">
        <w:t>Pages</w:t>
      </w:r>
      <w:r w:rsidRPr="00F836D8">
        <w:rPr>
          <w:lang w:val="ru-RU"/>
        </w:rPr>
        <w:t>/</w:t>
      </w:r>
      <w:r w:rsidRPr="006C6CE6">
        <w:t>default</w:t>
      </w:r>
      <w:r w:rsidRPr="00F836D8">
        <w:rPr>
          <w:lang w:val="ru-RU"/>
        </w:rPr>
        <w:t>.</w:t>
      </w:r>
      <w:r w:rsidRPr="006C6CE6">
        <w:t>aspx</w:t>
      </w:r>
      <w:r w:rsidR="00D577E1">
        <w:fldChar w:fldCharType="end"/>
      </w:r>
      <w:r w:rsidRPr="00F836D8">
        <w:rPr>
          <w:lang w:val="ru-RU"/>
        </w:rPr>
        <w:t>.</w:t>
      </w:r>
      <w:bookmarkEnd w:id="173"/>
      <w:r w:rsidR="00A579EF">
        <w:rPr>
          <w:lang w:val="ru-RU"/>
        </w:rPr>
        <w:t xml:space="preserve"> </w:t>
      </w:r>
    </w:p>
  </w:footnote>
  <w:footnote w:id="50">
    <w:p w14:paraId="1397FCB2" w14:textId="7508B2D5" w:rsidR="002B0D90" w:rsidRPr="001119AF" w:rsidRDefault="002B0D90" w:rsidP="002B0D90">
      <w:pPr>
        <w:pStyle w:val="FootnoteText"/>
        <w:rPr>
          <w:lang w:val="ru-RU"/>
        </w:rPr>
      </w:pPr>
      <w:r w:rsidRPr="006C6CE6">
        <w:rPr>
          <w:rStyle w:val="FootnoteReference"/>
        </w:rPr>
        <w:footnoteRef/>
      </w:r>
      <w:r w:rsidRPr="006B6633">
        <w:rPr>
          <w:lang w:val="ru-RU"/>
        </w:rPr>
        <w:t xml:space="preserve"> </w:t>
      </w:r>
      <w:bookmarkStart w:id="175" w:name="lt_pId2422"/>
      <w:r w:rsidRPr="006C6CE6">
        <w:fldChar w:fldCharType="begin"/>
      </w:r>
      <w:r w:rsidRPr="006B6633">
        <w:rPr>
          <w:lang w:val="ru-RU"/>
        </w:rPr>
        <w:instrText xml:space="preserve"> </w:instrText>
      </w:r>
      <w:r w:rsidRPr="006C6CE6">
        <w:instrText>HYPERLINK</w:instrText>
      </w:r>
      <w:r w:rsidRPr="006B6633">
        <w:rPr>
          <w:lang w:val="ru-RU"/>
        </w:rPr>
        <w:instrText xml:space="preserve"> "</w:instrText>
      </w:r>
      <w:r w:rsidRPr="006C6CE6">
        <w:instrText>https</w:instrText>
      </w:r>
      <w:r w:rsidRPr="006B6633">
        <w:rPr>
          <w:lang w:val="ru-RU"/>
        </w:rPr>
        <w:instrText>://</w:instrText>
      </w:r>
      <w:r w:rsidRPr="006C6CE6">
        <w:instrText>www</w:instrText>
      </w:r>
      <w:r w:rsidRPr="006B6633">
        <w:rPr>
          <w:lang w:val="ru-RU"/>
        </w:rPr>
        <w:instrText>.</w:instrText>
      </w:r>
      <w:r w:rsidRPr="006C6CE6">
        <w:instrText>itu</w:instrText>
      </w:r>
      <w:r w:rsidRPr="006B6633">
        <w:rPr>
          <w:lang w:val="ru-RU"/>
        </w:rPr>
        <w:instrText>.</w:instrText>
      </w:r>
      <w:r w:rsidRPr="006C6CE6">
        <w:instrText>int</w:instrText>
      </w:r>
      <w:r w:rsidRPr="006B6633">
        <w:rPr>
          <w:lang w:val="ru-RU"/>
        </w:rPr>
        <w:instrText>/</w:instrText>
      </w:r>
      <w:r w:rsidRPr="006C6CE6">
        <w:instrText>en</w:instrText>
      </w:r>
      <w:r w:rsidRPr="006B6633">
        <w:rPr>
          <w:lang w:val="ru-RU"/>
        </w:rPr>
        <w:instrText>/</w:instrText>
      </w:r>
      <w:r w:rsidRPr="006C6CE6">
        <w:instrText>ITU</w:instrText>
      </w:r>
      <w:r w:rsidRPr="006B6633">
        <w:rPr>
          <w:lang w:val="ru-RU"/>
        </w:rPr>
        <w:instrText>-</w:instrText>
      </w:r>
      <w:r w:rsidRPr="006C6CE6">
        <w:instrText>T</w:instrText>
      </w:r>
      <w:r w:rsidRPr="006B6633">
        <w:rPr>
          <w:lang w:val="ru-RU"/>
        </w:rPr>
        <w:instrText>/</w:instrText>
      </w:r>
      <w:r w:rsidRPr="006C6CE6">
        <w:instrText>gap</w:instrText>
      </w:r>
      <w:r w:rsidRPr="006B6633">
        <w:rPr>
          <w:lang w:val="ru-RU"/>
        </w:rPr>
        <w:instrText>/</w:instrText>
      </w:r>
      <w:r w:rsidRPr="006C6CE6">
        <w:instrText>Pages</w:instrText>
      </w:r>
      <w:r w:rsidRPr="006B6633">
        <w:rPr>
          <w:lang w:val="ru-RU"/>
        </w:rPr>
        <w:instrText>/</w:instrText>
      </w:r>
      <w:r w:rsidRPr="006C6CE6">
        <w:instrText>quiz</w:instrText>
      </w:r>
      <w:r w:rsidRPr="006B6633">
        <w:rPr>
          <w:lang w:val="ru-RU"/>
        </w:rPr>
        <w:instrText>.</w:instrText>
      </w:r>
      <w:r w:rsidRPr="006C6CE6">
        <w:instrText>aspx</w:instrText>
      </w:r>
      <w:r w:rsidRPr="006B6633">
        <w:rPr>
          <w:lang w:val="ru-RU"/>
        </w:rPr>
        <w:instrText xml:space="preserve">" </w:instrText>
      </w:r>
      <w:r w:rsidRPr="006C6CE6">
        <w:fldChar w:fldCharType="separate"/>
      </w:r>
      <w:r w:rsidRPr="006C6CE6">
        <w:t>https</w:t>
      </w:r>
      <w:r w:rsidRPr="006B6633">
        <w:rPr>
          <w:lang w:val="ru-RU"/>
        </w:rPr>
        <w:t>://</w:t>
      </w:r>
      <w:r w:rsidRPr="006C6CE6">
        <w:t>www</w:t>
      </w:r>
      <w:r w:rsidRPr="006B6633">
        <w:rPr>
          <w:lang w:val="ru-RU"/>
        </w:rPr>
        <w:t>.</w:t>
      </w:r>
      <w:r w:rsidRPr="006C6CE6">
        <w:t>itu</w:t>
      </w:r>
      <w:r w:rsidRPr="006B6633">
        <w:rPr>
          <w:lang w:val="ru-RU"/>
        </w:rPr>
        <w:t>.</w:t>
      </w:r>
      <w:r w:rsidRPr="006C6CE6">
        <w:t>int</w:t>
      </w:r>
      <w:r w:rsidRPr="006B6633">
        <w:rPr>
          <w:lang w:val="ru-RU"/>
        </w:rPr>
        <w:t>/</w:t>
      </w:r>
      <w:r w:rsidRPr="006C6CE6">
        <w:t>en</w:t>
      </w:r>
      <w:r w:rsidRPr="006B6633">
        <w:rPr>
          <w:lang w:val="ru-RU"/>
        </w:rPr>
        <w:t>/</w:t>
      </w:r>
      <w:r w:rsidRPr="006C6CE6">
        <w:t>ITU</w:t>
      </w:r>
      <w:r w:rsidRPr="006B6633">
        <w:rPr>
          <w:lang w:val="ru-RU"/>
        </w:rPr>
        <w:t>-</w:t>
      </w:r>
      <w:r w:rsidRPr="006C6CE6">
        <w:t>T</w:t>
      </w:r>
      <w:r w:rsidRPr="006B6633">
        <w:rPr>
          <w:lang w:val="ru-RU"/>
        </w:rPr>
        <w:t>/</w:t>
      </w:r>
      <w:r w:rsidRPr="006C6CE6">
        <w:t>gap</w:t>
      </w:r>
      <w:r w:rsidRPr="006B6633">
        <w:rPr>
          <w:lang w:val="ru-RU"/>
        </w:rPr>
        <w:t>/</w:t>
      </w:r>
      <w:r w:rsidRPr="006C6CE6">
        <w:t>Pages</w:t>
      </w:r>
      <w:r w:rsidRPr="006B6633">
        <w:rPr>
          <w:lang w:val="ru-RU"/>
        </w:rPr>
        <w:t>/</w:t>
      </w:r>
      <w:r w:rsidRPr="006C6CE6">
        <w:t>quiz</w:t>
      </w:r>
      <w:r w:rsidRPr="006B6633">
        <w:rPr>
          <w:lang w:val="ru-RU"/>
        </w:rPr>
        <w:t>.</w:t>
      </w:r>
      <w:r w:rsidRPr="006C6CE6">
        <w:t>aspx</w:t>
      </w:r>
      <w:r w:rsidRPr="006C6CE6">
        <w:fldChar w:fldCharType="end"/>
      </w:r>
      <w:r w:rsidRPr="006B6633">
        <w:rPr>
          <w:lang w:val="ru-RU"/>
        </w:rPr>
        <w:t>.</w:t>
      </w:r>
      <w:bookmarkEnd w:id="175"/>
      <w:r>
        <w:rPr>
          <w:lang w:val="ru-RU"/>
        </w:rPr>
        <w:t xml:space="preserve"> </w:t>
      </w:r>
      <w:r w:rsidRPr="006B6633">
        <w:rPr>
          <w:lang w:val="ru-RU"/>
        </w:rPr>
        <w:t xml:space="preserve">БСЭ не </w:t>
      </w:r>
      <w:r>
        <w:rPr>
          <w:lang w:val="ru-RU"/>
        </w:rPr>
        <w:t xml:space="preserve">относит </w:t>
      </w:r>
      <w:r w:rsidRPr="006B6633">
        <w:rPr>
          <w:lang w:val="ru-RU"/>
        </w:rPr>
        <w:t>это</w:t>
      </w:r>
      <w:r>
        <w:rPr>
          <w:lang w:val="ru-RU"/>
        </w:rPr>
        <w:t>т тест</w:t>
      </w:r>
      <w:r w:rsidRPr="006B6633">
        <w:rPr>
          <w:lang w:val="ru-RU"/>
        </w:rPr>
        <w:t xml:space="preserve"> </w:t>
      </w:r>
      <w:r>
        <w:rPr>
          <w:lang w:val="ru-RU"/>
        </w:rPr>
        <w:t xml:space="preserve">к </w:t>
      </w:r>
      <w:r w:rsidR="001226D4">
        <w:rPr>
          <w:lang w:val="ru-RU"/>
        </w:rPr>
        <w:t>официальн</w:t>
      </w:r>
      <w:r>
        <w:rPr>
          <w:lang w:val="ru-RU"/>
        </w:rPr>
        <w:t>ым</w:t>
      </w:r>
      <w:r w:rsidRPr="006B6633">
        <w:rPr>
          <w:lang w:val="ru-RU"/>
        </w:rPr>
        <w:t xml:space="preserve"> </w:t>
      </w:r>
      <w:r>
        <w:rPr>
          <w:lang w:val="ru-RU"/>
        </w:rPr>
        <w:t>способам</w:t>
      </w:r>
      <w:r w:rsidRPr="006B6633">
        <w:rPr>
          <w:lang w:val="ru-RU"/>
        </w:rPr>
        <w:t xml:space="preserve"> развития потенциала, </w:t>
      </w:r>
      <w:r>
        <w:rPr>
          <w:lang w:val="ru-RU"/>
        </w:rPr>
        <w:t xml:space="preserve">однако он </w:t>
      </w:r>
      <w:r w:rsidRPr="006B6633">
        <w:rPr>
          <w:lang w:val="ru-RU"/>
        </w:rPr>
        <w:t xml:space="preserve">включен сюда, </w:t>
      </w:r>
      <w:r>
        <w:rPr>
          <w:lang w:val="ru-RU"/>
        </w:rPr>
        <w:t xml:space="preserve">поскольку он описывается на </w:t>
      </w:r>
      <w:r w:rsidRPr="006B6633">
        <w:rPr>
          <w:lang w:val="ru-RU"/>
        </w:rPr>
        <w:t>веб-сайт</w:t>
      </w:r>
      <w:r>
        <w:rPr>
          <w:lang w:val="ru-RU"/>
        </w:rPr>
        <w:t>е МСЭ-Т</w:t>
      </w:r>
      <w:r w:rsidRPr="000D2C19">
        <w:rPr>
          <w:lang w:val="ru-RU"/>
        </w:rPr>
        <w:t xml:space="preserve"> </w:t>
      </w:r>
      <w:r>
        <w:rPr>
          <w:lang w:val="ru-RU"/>
        </w:rPr>
        <w:t>именно так</w:t>
      </w:r>
      <w:r w:rsidRPr="006B6633">
        <w:rPr>
          <w:lang w:val="ru-RU"/>
        </w:rPr>
        <w:t>.</w:t>
      </w:r>
    </w:p>
  </w:footnote>
  <w:footnote w:id="51">
    <w:p w14:paraId="48C5E612" w14:textId="77777777" w:rsidR="002B0D90" w:rsidRPr="00F5057D" w:rsidRDefault="002B0D90" w:rsidP="002B0D90">
      <w:pPr>
        <w:pStyle w:val="FootnoteText"/>
        <w:rPr>
          <w:lang w:val="ru-RU"/>
        </w:rPr>
      </w:pPr>
      <w:r w:rsidRPr="006B6633">
        <w:rPr>
          <w:rStyle w:val="FootnoteReference"/>
        </w:rPr>
        <w:footnoteRef/>
      </w:r>
      <w:r w:rsidRPr="00F5057D">
        <w:rPr>
          <w:rStyle w:val="FootnoteReference"/>
          <w:lang w:val="ru-RU"/>
        </w:rPr>
        <w:t xml:space="preserve"> </w:t>
      </w:r>
      <w:bookmarkStart w:id="179" w:name="lt_pId2424"/>
      <w:r w:rsidRPr="00F5057D">
        <w:rPr>
          <w:lang w:val="ru-RU"/>
        </w:rPr>
        <w:t xml:space="preserve">Регулярно обновляемый </w:t>
      </w:r>
      <w:r>
        <w:rPr>
          <w:lang w:val="ru-RU"/>
        </w:rPr>
        <w:t>календарь</w:t>
      </w:r>
      <w:r w:rsidRPr="00F5057D">
        <w:rPr>
          <w:lang w:val="ru-RU"/>
        </w:rPr>
        <w:t xml:space="preserve"> </w:t>
      </w:r>
      <w:r>
        <w:rPr>
          <w:lang w:val="ru-RU"/>
        </w:rPr>
        <w:t>мероприятий</w:t>
      </w:r>
      <w:r w:rsidRPr="00F5057D">
        <w:rPr>
          <w:lang w:val="ru-RU"/>
        </w:rPr>
        <w:t xml:space="preserve"> </w:t>
      </w:r>
      <w:r>
        <w:rPr>
          <w:lang w:val="ru-RU"/>
        </w:rPr>
        <w:t>можно</w:t>
      </w:r>
      <w:r w:rsidRPr="00F5057D">
        <w:rPr>
          <w:lang w:val="ru-RU"/>
        </w:rPr>
        <w:t xml:space="preserve"> </w:t>
      </w:r>
      <w:r>
        <w:rPr>
          <w:lang w:val="ru-RU"/>
        </w:rPr>
        <w:t>найти</w:t>
      </w:r>
      <w:r w:rsidRPr="00F5057D">
        <w:rPr>
          <w:lang w:val="ru-RU"/>
        </w:rPr>
        <w:t xml:space="preserve"> </w:t>
      </w:r>
      <w:r>
        <w:rPr>
          <w:lang w:val="ru-RU"/>
        </w:rPr>
        <w:t>на</w:t>
      </w:r>
      <w:r w:rsidRPr="00F5057D">
        <w:rPr>
          <w:lang w:val="ru-RU"/>
        </w:rPr>
        <w:t xml:space="preserve"> </w:t>
      </w:r>
      <w:r>
        <w:rPr>
          <w:lang w:val="ru-RU"/>
        </w:rPr>
        <w:t>веб</w:t>
      </w:r>
      <w:r w:rsidRPr="00F5057D">
        <w:rPr>
          <w:lang w:val="ru-RU"/>
        </w:rPr>
        <w:t xml:space="preserve">-сайте: </w:t>
      </w:r>
      <w:r w:rsidR="00D577E1">
        <w:fldChar w:fldCharType="begin"/>
      </w:r>
      <w:r w:rsidR="00D577E1" w:rsidRPr="00D577E1">
        <w:rPr>
          <w:lang w:val="ru-RU"/>
        </w:rPr>
        <w:instrText xml:space="preserve"> </w:instrText>
      </w:r>
      <w:r w:rsidR="00D577E1">
        <w:instrText>HYPERLINK</w:instrText>
      </w:r>
      <w:r w:rsidR="00D577E1" w:rsidRPr="00D577E1">
        <w:rPr>
          <w:lang w:val="ru-RU"/>
        </w:rPr>
        <w:instrText xml:space="preserve"> "</w:instrText>
      </w:r>
      <w:r w:rsidR="00D577E1">
        <w:instrText>https</w:instrText>
      </w:r>
      <w:r w:rsidR="00D577E1" w:rsidRPr="00D577E1">
        <w:rPr>
          <w:lang w:val="ru-RU"/>
        </w:rPr>
        <w:instrText>://</w:instrText>
      </w:r>
      <w:r w:rsidR="00D577E1">
        <w:instrText>www</w:instrText>
      </w:r>
      <w:r w:rsidR="00D577E1" w:rsidRPr="00D577E1">
        <w:rPr>
          <w:lang w:val="ru-RU"/>
        </w:rPr>
        <w:instrText>.</w:instrText>
      </w:r>
      <w:r w:rsidR="00D577E1">
        <w:instrText>itu</w:instrText>
      </w:r>
      <w:r w:rsidR="00D577E1" w:rsidRPr="00D577E1">
        <w:rPr>
          <w:lang w:val="ru-RU"/>
        </w:rPr>
        <w:instrText>.</w:instrText>
      </w:r>
      <w:r w:rsidR="00D577E1">
        <w:instrText>int</w:instrText>
      </w:r>
      <w:r w:rsidR="00D577E1" w:rsidRPr="00D577E1">
        <w:rPr>
          <w:lang w:val="ru-RU"/>
        </w:rPr>
        <w:instrText>/</w:instrText>
      </w:r>
      <w:r w:rsidR="00D577E1">
        <w:instrText>en</w:instrText>
      </w:r>
      <w:r w:rsidR="00D577E1" w:rsidRPr="00D577E1">
        <w:rPr>
          <w:lang w:val="ru-RU"/>
        </w:rPr>
        <w:instrText>/</w:instrText>
      </w:r>
      <w:r w:rsidR="00D577E1">
        <w:instrText>events</w:instrText>
      </w:r>
      <w:r w:rsidR="00D577E1" w:rsidRPr="00D577E1">
        <w:rPr>
          <w:lang w:val="ru-RU"/>
        </w:rPr>
        <w:instrText>/</w:instrText>
      </w:r>
      <w:r w:rsidR="00D577E1">
        <w:instrText>Pages</w:instrText>
      </w:r>
      <w:r w:rsidR="00D577E1" w:rsidRPr="00D577E1">
        <w:rPr>
          <w:lang w:val="ru-RU"/>
        </w:rPr>
        <w:instrText>/</w:instrText>
      </w:r>
      <w:r w:rsidR="00D577E1">
        <w:instrText>Calendar</w:instrText>
      </w:r>
      <w:r w:rsidR="00D577E1" w:rsidRPr="00D577E1">
        <w:rPr>
          <w:lang w:val="ru-RU"/>
        </w:rPr>
        <w:instrText>-</w:instrText>
      </w:r>
      <w:r w:rsidR="00D577E1">
        <w:instrText>Events</w:instrText>
      </w:r>
      <w:r w:rsidR="00D577E1" w:rsidRPr="00D577E1">
        <w:rPr>
          <w:lang w:val="ru-RU"/>
        </w:rPr>
        <w:instrText>.</w:instrText>
      </w:r>
      <w:r w:rsidR="00D577E1">
        <w:instrText>aspx</w:instrText>
      </w:r>
      <w:r w:rsidR="00D577E1" w:rsidRPr="00D577E1">
        <w:rPr>
          <w:lang w:val="ru-RU"/>
        </w:rPr>
        <w:instrText xml:space="preserve">" </w:instrText>
      </w:r>
      <w:r w:rsidR="00D577E1">
        <w:fldChar w:fldCharType="separate"/>
      </w:r>
      <w:r w:rsidRPr="00535EF5">
        <w:t>https</w:t>
      </w:r>
      <w:r w:rsidRPr="00F5057D">
        <w:rPr>
          <w:lang w:val="ru-RU"/>
        </w:rPr>
        <w:t>://</w:t>
      </w:r>
      <w:r w:rsidRPr="00535EF5">
        <w:t>www</w:t>
      </w:r>
      <w:r w:rsidRPr="00F5057D">
        <w:rPr>
          <w:lang w:val="ru-RU"/>
        </w:rPr>
        <w:t>.</w:t>
      </w:r>
      <w:r w:rsidRPr="00535EF5">
        <w:t>itu</w:t>
      </w:r>
      <w:r w:rsidRPr="00F5057D">
        <w:rPr>
          <w:lang w:val="ru-RU"/>
        </w:rPr>
        <w:t>.</w:t>
      </w:r>
      <w:r w:rsidRPr="00535EF5">
        <w:t>int</w:t>
      </w:r>
      <w:r w:rsidRPr="00F5057D">
        <w:rPr>
          <w:lang w:val="ru-RU"/>
        </w:rPr>
        <w:t>/</w:t>
      </w:r>
      <w:r w:rsidRPr="00535EF5">
        <w:t>en</w:t>
      </w:r>
      <w:r w:rsidRPr="00F5057D">
        <w:rPr>
          <w:lang w:val="ru-RU"/>
        </w:rPr>
        <w:t>/</w:t>
      </w:r>
      <w:r w:rsidRPr="00535EF5">
        <w:t>events</w:t>
      </w:r>
      <w:r w:rsidRPr="00F5057D">
        <w:rPr>
          <w:lang w:val="ru-RU"/>
        </w:rPr>
        <w:t>/</w:t>
      </w:r>
      <w:r w:rsidRPr="00535EF5">
        <w:t>Pages</w:t>
      </w:r>
      <w:r w:rsidRPr="00F5057D">
        <w:rPr>
          <w:lang w:val="ru-RU"/>
        </w:rPr>
        <w:t>/</w:t>
      </w:r>
      <w:r w:rsidRPr="00535EF5">
        <w:t>Calendar</w:t>
      </w:r>
      <w:r w:rsidRPr="00F5057D">
        <w:rPr>
          <w:lang w:val="ru-RU"/>
        </w:rPr>
        <w:t>-</w:t>
      </w:r>
      <w:r w:rsidRPr="00535EF5">
        <w:t>Events</w:t>
      </w:r>
      <w:r w:rsidRPr="00F5057D">
        <w:rPr>
          <w:lang w:val="ru-RU"/>
        </w:rPr>
        <w:t>.</w:t>
      </w:r>
      <w:r w:rsidRPr="00535EF5">
        <w:t>aspx</w:t>
      </w:r>
      <w:r w:rsidR="00D577E1">
        <w:fldChar w:fldCharType="end"/>
      </w:r>
      <w:r w:rsidRPr="00F5057D">
        <w:rPr>
          <w:lang w:val="ru-RU"/>
        </w:rPr>
        <w:t>.</w:t>
      </w:r>
      <w:bookmarkEnd w:id="179"/>
    </w:p>
    <w:p w14:paraId="6B181D39" w14:textId="77777777" w:rsidR="002B0D90" w:rsidRPr="00C100C9" w:rsidRDefault="002B0D90" w:rsidP="002B0D90">
      <w:pPr>
        <w:pStyle w:val="FootnoteText"/>
        <w:rPr>
          <w:rStyle w:val="FootnoteReference"/>
        </w:rPr>
      </w:pPr>
      <w:bookmarkStart w:id="180" w:name="lt_pId2425"/>
      <w:r w:rsidRPr="00FA00C3">
        <w:rPr>
          <w:lang w:val="ru-RU"/>
        </w:rPr>
        <w:t>О</w:t>
      </w:r>
      <w:r w:rsidRPr="00F5057D">
        <w:rPr>
          <w:lang w:val="en-US"/>
        </w:rPr>
        <w:t xml:space="preserve"> </w:t>
      </w:r>
      <w:r w:rsidRPr="00FA00C3">
        <w:rPr>
          <w:lang w:val="ru-RU"/>
        </w:rPr>
        <w:t>важности</w:t>
      </w:r>
      <w:r w:rsidRPr="00F5057D">
        <w:rPr>
          <w:lang w:val="en-US"/>
        </w:rPr>
        <w:t xml:space="preserve"> </w:t>
      </w:r>
      <w:r w:rsidRPr="00FA00C3">
        <w:rPr>
          <w:lang w:val="ru-RU"/>
        </w:rPr>
        <w:t>неформального</w:t>
      </w:r>
      <w:r w:rsidRPr="00F5057D">
        <w:rPr>
          <w:lang w:val="en-US"/>
        </w:rPr>
        <w:t xml:space="preserve"> </w:t>
      </w:r>
      <w:r w:rsidRPr="00FA00C3">
        <w:rPr>
          <w:lang w:val="ru-RU"/>
        </w:rPr>
        <w:t>обучения</w:t>
      </w:r>
      <w:r w:rsidRPr="00F5057D">
        <w:rPr>
          <w:lang w:val="en-US"/>
        </w:rPr>
        <w:t xml:space="preserve"> </w:t>
      </w:r>
      <w:r w:rsidRPr="00FA00C3">
        <w:rPr>
          <w:lang w:val="ru-RU"/>
        </w:rPr>
        <w:t>см</w:t>
      </w:r>
      <w:r w:rsidRPr="00F5057D">
        <w:rPr>
          <w:lang w:val="en-US"/>
        </w:rPr>
        <w:t>.</w:t>
      </w:r>
      <w:r>
        <w:t xml:space="preserve">: </w:t>
      </w:r>
      <w:r w:rsidRPr="008D78BE">
        <w:t>Manuti, A., Pastore, S., Scardigno, A.F., Giuancaspro, M.L., and Morciano, D.</w:t>
      </w:r>
      <w:bookmarkEnd w:id="180"/>
      <w:r w:rsidRPr="008D78BE">
        <w:t xml:space="preserve"> </w:t>
      </w:r>
      <w:bookmarkStart w:id="181" w:name="lt_pId2426"/>
      <w:r w:rsidRPr="008D78BE">
        <w:t>(2015) Formal and informal learning in the workplace: a research review, International Journal of Training and Development, </w:t>
      </w:r>
      <w:hyperlink r:id="rId10" w:tooltip="https://doi.org/10.1111/ijtd.12044" w:history="1">
        <w:r w:rsidRPr="008D78BE">
          <w:t>https://doi.org/10.1111/ijtd.12044</w:t>
        </w:r>
      </w:hyperlink>
      <w:r w:rsidRPr="008D78BE">
        <w:t>; Adamo, A.</w:t>
      </w:r>
      <w:bookmarkEnd w:id="181"/>
      <w:r w:rsidRPr="008D78BE">
        <w:t xml:space="preserve"> </w:t>
      </w:r>
      <w:bookmarkStart w:id="182" w:name="lt_pId2427"/>
      <w:r w:rsidRPr="008D78BE">
        <w:t>(2008) IDRC’s strategic evaluation of capacity development: a cross-case study analysis,</w:t>
      </w:r>
      <w:r w:rsidRPr="003A649D">
        <w:rPr>
          <w:rStyle w:val="FootnoteReference"/>
        </w:rPr>
        <w:t xml:space="preserve"> </w:t>
      </w:r>
      <w:r w:rsidRPr="00F5057D">
        <w:t>https://idl-bnc-idrc.dspacedirect.org/bitstream/handle/10625/47605/IDL-47605.pdf?sequence=1</w:t>
      </w:r>
      <w:bookmarkEnd w:id="182"/>
      <w:r w:rsidRPr="00F5057D">
        <w:rPr>
          <w:lang w:val="en-US"/>
        </w:rPr>
        <w:t>.</w:t>
      </w:r>
    </w:p>
  </w:footnote>
  <w:footnote w:id="52">
    <w:p w14:paraId="17260800" w14:textId="77777777" w:rsidR="002B0D90" w:rsidRPr="00F5057D" w:rsidRDefault="002B0D90" w:rsidP="002B0D90">
      <w:pPr>
        <w:pStyle w:val="FootnoteText"/>
        <w:rPr>
          <w:lang w:val="ru-RU"/>
        </w:rPr>
      </w:pPr>
      <w:r>
        <w:rPr>
          <w:rStyle w:val="FootnoteReference"/>
        </w:rPr>
        <w:footnoteRef/>
      </w:r>
      <w:r w:rsidRPr="00F5057D">
        <w:rPr>
          <w:lang w:val="ru-RU"/>
        </w:rPr>
        <w:t xml:space="preserve"> </w:t>
      </w:r>
      <w:bookmarkStart w:id="184" w:name="lt_pId2428"/>
      <w:r>
        <w:rPr>
          <w:lang w:val="ru-RU"/>
        </w:rPr>
        <w:t>Н</w:t>
      </w:r>
      <w:r w:rsidRPr="00235388">
        <w:rPr>
          <w:lang w:val="ru-RU"/>
        </w:rPr>
        <w:t>апример</w:t>
      </w:r>
      <w:r w:rsidRPr="00F5057D">
        <w:rPr>
          <w:lang w:val="ru-RU"/>
        </w:rPr>
        <w:t xml:space="preserve">, </w:t>
      </w:r>
      <w:r>
        <w:rPr>
          <w:lang w:val="ru-RU"/>
        </w:rPr>
        <w:t>э</w:t>
      </w:r>
      <w:r w:rsidRPr="00235388">
        <w:rPr>
          <w:lang w:val="ru-RU"/>
        </w:rPr>
        <w:t>то</w:t>
      </w:r>
      <w:r w:rsidRPr="00F5057D">
        <w:rPr>
          <w:lang w:val="ru-RU"/>
        </w:rPr>
        <w:t xml:space="preserve"> </w:t>
      </w:r>
      <w:r w:rsidRPr="00235388">
        <w:rPr>
          <w:lang w:val="ru-RU"/>
        </w:rPr>
        <w:t>различие</w:t>
      </w:r>
      <w:r w:rsidRPr="00F5057D">
        <w:rPr>
          <w:lang w:val="ru-RU"/>
        </w:rPr>
        <w:t xml:space="preserve"> </w:t>
      </w:r>
      <w:r>
        <w:rPr>
          <w:lang w:val="ru-RU"/>
        </w:rPr>
        <w:t>проявляется</w:t>
      </w:r>
      <w:r w:rsidRPr="00F5057D">
        <w:rPr>
          <w:lang w:val="ru-RU"/>
        </w:rPr>
        <w:t xml:space="preserve"> </w:t>
      </w:r>
      <w:r>
        <w:rPr>
          <w:lang w:val="ru-RU"/>
        </w:rPr>
        <w:t>в</w:t>
      </w:r>
      <w:r w:rsidRPr="00F5057D">
        <w:rPr>
          <w:lang w:val="ru-RU"/>
        </w:rPr>
        <w:t xml:space="preserve"> </w:t>
      </w:r>
      <w:r w:rsidRPr="00235388">
        <w:rPr>
          <w:lang w:val="ru-RU"/>
        </w:rPr>
        <w:t>том</w:t>
      </w:r>
      <w:r w:rsidRPr="00F5057D">
        <w:rPr>
          <w:lang w:val="ru-RU"/>
        </w:rPr>
        <w:t xml:space="preserve">, </w:t>
      </w:r>
      <w:r>
        <w:rPr>
          <w:lang w:val="ru-RU"/>
        </w:rPr>
        <w:t>где</w:t>
      </w:r>
      <w:r w:rsidRPr="00F5057D">
        <w:rPr>
          <w:lang w:val="ru-RU"/>
        </w:rPr>
        <w:t xml:space="preserve"> </w:t>
      </w:r>
      <w:r>
        <w:rPr>
          <w:lang w:val="ru-RU"/>
        </w:rPr>
        <w:t>приведена</w:t>
      </w:r>
      <w:r w:rsidRPr="00F5057D">
        <w:rPr>
          <w:lang w:val="ru-RU"/>
        </w:rPr>
        <w:t xml:space="preserve"> </w:t>
      </w:r>
      <w:r>
        <w:rPr>
          <w:lang w:val="ru-RU"/>
        </w:rPr>
        <w:t>публикация</w:t>
      </w:r>
      <w:r w:rsidRPr="00F5057D">
        <w:rPr>
          <w:lang w:val="ru-RU"/>
        </w:rPr>
        <w:t xml:space="preserve">: </w:t>
      </w:r>
      <w:r>
        <w:rPr>
          <w:lang w:val="ru-RU"/>
        </w:rPr>
        <w:t>на</w:t>
      </w:r>
      <w:r w:rsidRPr="00F5057D">
        <w:rPr>
          <w:lang w:val="ru-RU"/>
        </w:rPr>
        <w:t xml:space="preserve"> </w:t>
      </w:r>
      <w:r>
        <w:rPr>
          <w:lang w:val="ru-RU"/>
        </w:rPr>
        <w:t>основной</w:t>
      </w:r>
      <w:r w:rsidRPr="00F5057D">
        <w:rPr>
          <w:lang w:val="ru-RU"/>
        </w:rPr>
        <w:t xml:space="preserve"> </w:t>
      </w:r>
      <w:r w:rsidRPr="00235388">
        <w:rPr>
          <w:lang w:val="ru-RU"/>
        </w:rPr>
        <w:t>странице</w:t>
      </w:r>
      <w:r w:rsidRPr="00F5057D">
        <w:rPr>
          <w:lang w:val="ru-RU"/>
        </w:rPr>
        <w:t xml:space="preserve"> </w:t>
      </w:r>
      <w:r>
        <w:rPr>
          <w:lang w:val="ru-RU"/>
        </w:rPr>
        <w:t>веб</w:t>
      </w:r>
      <w:r w:rsidRPr="00F5057D">
        <w:rPr>
          <w:lang w:val="ru-RU"/>
        </w:rPr>
        <w:t>-</w:t>
      </w:r>
      <w:r>
        <w:rPr>
          <w:lang w:val="ru-RU"/>
        </w:rPr>
        <w:t>сайта</w:t>
      </w:r>
      <w:r w:rsidRPr="00F5057D">
        <w:rPr>
          <w:lang w:val="ru-RU"/>
        </w:rPr>
        <w:t xml:space="preserve"> </w:t>
      </w:r>
      <w:r>
        <w:rPr>
          <w:lang w:val="ru-RU"/>
        </w:rPr>
        <w:t>МСЭ</w:t>
      </w:r>
      <w:r w:rsidRPr="00F5057D">
        <w:rPr>
          <w:lang w:val="ru-RU"/>
        </w:rPr>
        <w:t xml:space="preserve">, </w:t>
      </w:r>
      <w:r>
        <w:rPr>
          <w:lang w:val="ru-RU"/>
        </w:rPr>
        <w:t>посвященной</w:t>
      </w:r>
      <w:r w:rsidRPr="00F5057D">
        <w:rPr>
          <w:lang w:val="ru-RU"/>
        </w:rPr>
        <w:t xml:space="preserve"> </w:t>
      </w:r>
      <w:r w:rsidRPr="00235388">
        <w:rPr>
          <w:lang w:val="ru-RU"/>
        </w:rPr>
        <w:t>публикац</w:t>
      </w:r>
      <w:r>
        <w:rPr>
          <w:lang w:val="ru-RU"/>
        </w:rPr>
        <w:t>иям</w:t>
      </w:r>
      <w:r w:rsidRPr="00F5057D">
        <w:rPr>
          <w:lang w:val="ru-RU"/>
        </w:rPr>
        <w:t>:</w:t>
      </w:r>
      <w:r>
        <w:rPr>
          <w:lang w:val="ru-RU"/>
        </w:rPr>
        <w:t xml:space="preserve"> </w:t>
      </w:r>
      <w:hyperlink r:id="rId11" w:history="1">
        <w:r w:rsidRPr="00535EF5">
          <w:t>https</w:t>
        </w:r>
        <w:r w:rsidRPr="00F5057D">
          <w:rPr>
            <w:lang w:val="ru-RU"/>
          </w:rPr>
          <w:t>://</w:t>
        </w:r>
        <w:r w:rsidRPr="00535EF5">
          <w:t>www</w:t>
        </w:r>
        <w:r w:rsidRPr="00F5057D">
          <w:rPr>
            <w:lang w:val="ru-RU"/>
          </w:rPr>
          <w:t>.</w:t>
        </w:r>
        <w:r w:rsidRPr="00535EF5">
          <w:t>itu</w:t>
        </w:r>
        <w:r w:rsidRPr="00F5057D">
          <w:rPr>
            <w:lang w:val="ru-RU"/>
          </w:rPr>
          <w:t>.</w:t>
        </w:r>
        <w:r w:rsidRPr="00535EF5">
          <w:t>int</w:t>
        </w:r>
        <w:r w:rsidRPr="00F5057D">
          <w:rPr>
            <w:lang w:val="ru-RU"/>
          </w:rPr>
          <w:t>/</w:t>
        </w:r>
        <w:r w:rsidRPr="00535EF5">
          <w:t>en</w:t>
        </w:r>
        <w:r w:rsidRPr="00F5057D">
          <w:rPr>
            <w:lang w:val="ru-RU"/>
          </w:rPr>
          <w:t>/</w:t>
        </w:r>
        <w:r w:rsidRPr="00535EF5">
          <w:t>publications</w:t>
        </w:r>
        <w:r w:rsidRPr="00F5057D">
          <w:rPr>
            <w:lang w:val="ru-RU"/>
          </w:rPr>
          <w:t>/</w:t>
        </w:r>
        <w:r w:rsidRPr="00535EF5">
          <w:t>ITU</w:t>
        </w:r>
        <w:r w:rsidRPr="00F5057D">
          <w:rPr>
            <w:lang w:val="ru-RU"/>
          </w:rPr>
          <w:t>-</w:t>
        </w:r>
        <w:r w:rsidRPr="00535EF5">
          <w:t>D</w:t>
        </w:r>
      </w:hyperlink>
      <w:r w:rsidRPr="00F5057D">
        <w:rPr>
          <w:lang w:val="ru-RU"/>
        </w:rPr>
        <w:t xml:space="preserve">/ или в разделе БРЭ </w:t>
      </w:r>
      <w:r>
        <w:rPr>
          <w:lang w:val="ru-RU"/>
        </w:rPr>
        <w:t>веб</w:t>
      </w:r>
      <w:r w:rsidRPr="00F5057D">
        <w:rPr>
          <w:lang w:val="ru-RU"/>
        </w:rPr>
        <w:t>-сайт</w:t>
      </w:r>
      <w:r>
        <w:rPr>
          <w:lang w:val="ru-RU"/>
        </w:rPr>
        <w:t>а</w:t>
      </w:r>
      <w:r w:rsidRPr="00F5057D">
        <w:rPr>
          <w:lang w:val="ru-RU"/>
        </w:rPr>
        <w:t xml:space="preserve"> МСЭ:</w:t>
      </w:r>
      <w:r>
        <w:rPr>
          <w:lang w:val="ru-RU"/>
        </w:rPr>
        <w:t xml:space="preserve"> </w:t>
      </w:r>
      <w:hyperlink r:id="rId12" w:history="1">
        <w:r w:rsidRPr="00535EF5">
          <w:t>https</w:t>
        </w:r>
        <w:r w:rsidRPr="00F5057D">
          <w:rPr>
            <w:lang w:val="ru-RU"/>
          </w:rPr>
          <w:t>://</w:t>
        </w:r>
        <w:r w:rsidRPr="00535EF5">
          <w:t>www</w:t>
        </w:r>
        <w:r w:rsidRPr="00F5057D">
          <w:rPr>
            <w:lang w:val="ru-RU"/>
          </w:rPr>
          <w:t>.</w:t>
        </w:r>
        <w:r w:rsidRPr="00535EF5">
          <w:t>itu</w:t>
        </w:r>
        <w:r w:rsidRPr="00F5057D">
          <w:rPr>
            <w:lang w:val="ru-RU"/>
          </w:rPr>
          <w:t>.</w:t>
        </w:r>
        <w:r w:rsidRPr="00535EF5">
          <w:t>int</w:t>
        </w:r>
        <w:r w:rsidRPr="00F5057D">
          <w:rPr>
            <w:lang w:val="ru-RU"/>
          </w:rPr>
          <w:t>/</w:t>
        </w:r>
        <w:r w:rsidRPr="00535EF5">
          <w:t>en</w:t>
        </w:r>
        <w:r w:rsidRPr="00F5057D">
          <w:rPr>
            <w:lang w:val="ru-RU"/>
          </w:rPr>
          <w:t>/</w:t>
        </w:r>
        <w:r w:rsidRPr="00535EF5">
          <w:t>ITU</w:t>
        </w:r>
        <w:r w:rsidRPr="00F5057D">
          <w:rPr>
            <w:lang w:val="ru-RU"/>
          </w:rPr>
          <w:t>-</w:t>
        </w:r>
        <w:r w:rsidRPr="00535EF5">
          <w:t>D</w:t>
        </w:r>
        <w:r w:rsidRPr="00F5057D">
          <w:rPr>
            <w:lang w:val="ru-RU"/>
          </w:rPr>
          <w:t>/</w:t>
        </w:r>
      </w:hyperlink>
      <w:r w:rsidRPr="00F5057D">
        <w:rPr>
          <w:lang w:val="ru-RU"/>
        </w:rPr>
        <w:t>.</w:t>
      </w:r>
      <w:bookmarkEnd w:id="184"/>
    </w:p>
  </w:footnote>
  <w:footnote w:id="53">
    <w:p w14:paraId="290D97E2" w14:textId="77777777" w:rsidR="002B0D90" w:rsidRPr="008E2BC0" w:rsidRDefault="002B0D90" w:rsidP="002B0D90">
      <w:pPr>
        <w:pStyle w:val="FootnoteText"/>
        <w:rPr>
          <w:lang w:val="ru-RU"/>
        </w:rPr>
      </w:pPr>
      <w:r>
        <w:rPr>
          <w:rStyle w:val="FootnoteReference"/>
        </w:rPr>
        <w:footnoteRef/>
      </w:r>
      <w:r w:rsidRPr="00EC72D4">
        <w:rPr>
          <w:lang w:val="ru-RU"/>
        </w:rPr>
        <w:t xml:space="preserve"> </w:t>
      </w:r>
      <w:bookmarkStart w:id="187" w:name="lt_pId2429"/>
      <w:r w:rsidRPr="00EC72D4">
        <w:rPr>
          <w:lang w:val="ru-RU"/>
        </w:rPr>
        <w:t>Очевидно</w:t>
      </w:r>
      <w:r>
        <w:rPr>
          <w:lang w:val="ru-RU"/>
        </w:rPr>
        <w:t xml:space="preserve"> (и</w:t>
      </w:r>
      <w:r w:rsidRPr="00EC72D4">
        <w:rPr>
          <w:lang w:val="ru-RU"/>
        </w:rPr>
        <w:t xml:space="preserve"> тем не менее </w:t>
      </w:r>
      <w:r>
        <w:rPr>
          <w:lang w:val="ru-RU"/>
        </w:rPr>
        <w:t xml:space="preserve">стоит </w:t>
      </w:r>
      <w:r w:rsidRPr="00EC72D4">
        <w:rPr>
          <w:lang w:val="ru-RU"/>
        </w:rPr>
        <w:t>отметить</w:t>
      </w:r>
      <w:r>
        <w:rPr>
          <w:lang w:val="ru-RU"/>
        </w:rPr>
        <w:t>)</w:t>
      </w:r>
      <w:r w:rsidRPr="00EC72D4">
        <w:rPr>
          <w:lang w:val="ru-RU"/>
        </w:rPr>
        <w:t>, что полный переход к онлайн</w:t>
      </w:r>
      <w:r>
        <w:rPr>
          <w:lang w:val="ru-RU"/>
        </w:rPr>
        <w:t xml:space="preserve">овым собраниям </w:t>
      </w:r>
      <w:r w:rsidRPr="00EC72D4">
        <w:rPr>
          <w:lang w:val="ru-RU"/>
        </w:rPr>
        <w:t xml:space="preserve">означает, что такое неформальное общение и обучение </w:t>
      </w:r>
      <w:r>
        <w:rPr>
          <w:lang w:val="ru-RU"/>
        </w:rPr>
        <w:t>значительно затруднены</w:t>
      </w:r>
      <w:r w:rsidRPr="008E2BC0">
        <w:rPr>
          <w:lang w:val="ru-RU"/>
        </w:rPr>
        <w:t>.</w:t>
      </w:r>
      <w:bookmarkEnd w:id="187"/>
      <w:r w:rsidRPr="008E2BC0">
        <w:rPr>
          <w:lang w:val="ru-RU"/>
        </w:rPr>
        <w:t xml:space="preserve"> </w:t>
      </w:r>
    </w:p>
  </w:footnote>
  <w:footnote w:id="54">
    <w:p w14:paraId="09886F34" w14:textId="77777777" w:rsidR="002B0D90" w:rsidRPr="001119AF" w:rsidRDefault="002B0D90" w:rsidP="002B0D90">
      <w:pPr>
        <w:pStyle w:val="FootnoteText"/>
        <w:rPr>
          <w:highlight w:val="lightGray"/>
          <w:lang w:val="ru-RU"/>
        </w:rPr>
      </w:pPr>
      <w:r>
        <w:rPr>
          <w:rStyle w:val="FootnoteReference"/>
        </w:rPr>
        <w:footnoteRef/>
      </w:r>
      <w:r w:rsidRPr="009D76F2">
        <w:rPr>
          <w:lang w:val="ru-RU"/>
        </w:rPr>
        <w:t xml:space="preserve"> </w:t>
      </w:r>
      <w:bookmarkStart w:id="203" w:name="lt_pId2430"/>
      <w:r w:rsidRPr="009D76F2">
        <w:rPr>
          <w:lang w:val="ru-RU"/>
        </w:rPr>
        <w:t xml:space="preserve">Следует </w:t>
      </w:r>
      <w:r>
        <w:rPr>
          <w:lang w:val="ru-RU"/>
        </w:rPr>
        <w:t>отметить</w:t>
      </w:r>
      <w:r w:rsidRPr="009D76F2">
        <w:rPr>
          <w:lang w:val="ru-RU"/>
        </w:rPr>
        <w:t xml:space="preserve">, что </w:t>
      </w:r>
      <w:r w:rsidRPr="004B0291">
        <w:rPr>
          <w:lang w:val="ru-RU"/>
        </w:rPr>
        <w:t xml:space="preserve">по просьбе группы по </w:t>
      </w:r>
      <w:r>
        <w:rPr>
          <w:lang w:val="ru-RU"/>
        </w:rPr>
        <w:t>подготовке обзора</w:t>
      </w:r>
      <w:r w:rsidRPr="004B0291">
        <w:rPr>
          <w:lang w:val="ru-RU"/>
        </w:rPr>
        <w:t xml:space="preserve"> </w:t>
      </w:r>
      <w:r w:rsidRPr="009D76F2">
        <w:rPr>
          <w:lang w:val="ru-RU"/>
        </w:rPr>
        <w:t xml:space="preserve">эти </w:t>
      </w:r>
      <w:r>
        <w:rPr>
          <w:lang w:val="ru-RU"/>
        </w:rPr>
        <w:t xml:space="preserve">обследования </w:t>
      </w:r>
      <w:r w:rsidRPr="009D76F2">
        <w:rPr>
          <w:lang w:val="ru-RU"/>
        </w:rPr>
        <w:t xml:space="preserve">были распространены тремя </w:t>
      </w:r>
      <w:r>
        <w:rPr>
          <w:lang w:val="ru-RU"/>
        </w:rPr>
        <w:t>Б</w:t>
      </w:r>
      <w:r w:rsidRPr="009D76F2">
        <w:rPr>
          <w:lang w:val="ru-RU"/>
        </w:rPr>
        <w:t xml:space="preserve">юро среди тех, кто </w:t>
      </w:r>
      <w:r>
        <w:rPr>
          <w:lang w:val="ru-RU"/>
        </w:rPr>
        <w:t xml:space="preserve">уже принимал участие в каком-либо </w:t>
      </w:r>
      <w:r w:rsidRPr="009D76F2">
        <w:rPr>
          <w:lang w:val="ru-RU"/>
        </w:rPr>
        <w:t>мероприяти</w:t>
      </w:r>
      <w:r>
        <w:rPr>
          <w:lang w:val="ru-RU"/>
        </w:rPr>
        <w:t>и</w:t>
      </w:r>
      <w:r w:rsidRPr="009D76F2">
        <w:rPr>
          <w:lang w:val="ru-RU"/>
        </w:rPr>
        <w:t xml:space="preserve"> </w:t>
      </w:r>
      <w:r>
        <w:rPr>
          <w:lang w:val="ru-RU"/>
        </w:rPr>
        <w:t xml:space="preserve">в области </w:t>
      </w:r>
      <w:r w:rsidRPr="009D76F2">
        <w:rPr>
          <w:lang w:val="ru-RU"/>
        </w:rPr>
        <w:t>развити</w:t>
      </w:r>
      <w:r>
        <w:rPr>
          <w:lang w:val="ru-RU"/>
        </w:rPr>
        <w:t>я</w:t>
      </w:r>
      <w:r w:rsidRPr="009D76F2">
        <w:rPr>
          <w:lang w:val="ru-RU"/>
        </w:rPr>
        <w:t xml:space="preserve"> потенциала и </w:t>
      </w:r>
      <w:r>
        <w:rPr>
          <w:lang w:val="ru-RU"/>
        </w:rPr>
        <w:t xml:space="preserve">профессиональной подготовки </w:t>
      </w:r>
      <w:r w:rsidRPr="009D76F2">
        <w:rPr>
          <w:lang w:val="ru-RU"/>
        </w:rPr>
        <w:t xml:space="preserve">(в том числе в </w:t>
      </w:r>
      <w:r w:rsidRPr="0043600C">
        <w:rPr>
          <w:lang w:val="ru-RU"/>
        </w:rPr>
        <w:t>онлайн</w:t>
      </w:r>
      <w:r>
        <w:rPr>
          <w:lang w:val="ru-RU"/>
        </w:rPr>
        <w:t>овом</w:t>
      </w:r>
      <w:r w:rsidRPr="0043600C">
        <w:rPr>
          <w:lang w:val="ru-RU"/>
        </w:rPr>
        <w:t xml:space="preserve"> </w:t>
      </w:r>
      <w:r w:rsidRPr="009D76F2">
        <w:rPr>
          <w:lang w:val="ru-RU"/>
        </w:rPr>
        <w:t xml:space="preserve">режиме и очно). </w:t>
      </w:r>
      <w:r w:rsidRPr="00D75A51">
        <w:rPr>
          <w:lang w:val="ru-RU"/>
        </w:rPr>
        <w:t>Ответы на английском языке о последнем курсе, прослушанном в онлайновом режиме (под руководством координатора), составили 60,8%, прослушанном очно (под руководством координатора) – 11,5% и в онлайновом режиме (в формате самообразования) – 18,2%</w:t>
      </w:r>
      <w:r w:rsidRPr="000C4439">
        <w:rPr>
          <w:lang w:val="ru-RU"/>
        </w:rPr>
        <w:t xml:space="preserve">; 59,7% </w:t>
      </w:r>
      <w:r w:rsidRPr="009D76F2">
        <w:rPr>
          <w:lang w:val="ru-RU"/>
        </w:rPr>
        <w:t>в</w:t>
      </w:r>
      <w:r w:rsidRPr="000C4439">
        <w:rPr>
          <w:lang w:val="ru-RU"/>
        </w:rPr>
        <w:t xml:space="preserve"> 2020 </w:t>
      </w:r>
      <w:r w:rsidRPr="009D76F2">
        <w:rPr>
          <w:lang w:val="ru-RU"/>
        </w:rPr>
        <w:t>г</w:t>
      </w:r>
      <w:r>
        <w:rPr>
          <w:lang w:val="ru-RU"/>
        </w:rPr>
        <w:t>оду</w:t>
      </w:r>
      <w:r w:rsidRPr="000C4439">
        <w:rPr>
          <w:lang w:val="ru-RU"/>
        </w:rPr>
        <w:t>.</w:t>
      </w:r>
      <w:bookmarkEnd w:id="203"/>
    </w:p>
  </w:footnote>
  <w:footnote w:id="55">
    <w:p w14:paraId="521ED6E9" w14:textId="77777777" w:rsidR="002B0D90" w:rsidRPr="006C6CE6" w:rsidRDefault="002B0D90" w:rsidP="002B0D90">
      <w:pPr>
        <w:pStyle w:val="FootnoteText"/>
      </w:pPr>
      <w:r w:rsidRPr="003332D7">
        <w:rPr>
          <w:rStyle w:val="FootnoteReference"/>
        </w:rPr>
        <w:footnoteRef/>
      </w:r>
      <w:r w:rsidRPr="003332D7">
        <w:t xml:space="preserve"> </w:t>
      </w:r>
      <w:bookmarkStart w:id="218" w:name="lt_pId2432"/>
      <w:r w:rsidRPr="003332D7">
        <w:t>ITU (2019) Service Order No.19/12 Procurement Manual.</w:t>
      </w:r>
      <w:bookmarkEnd w:id="218"/>
      <w:r w:rsidRPr="006C6CE6">
        <w:rPr>
          <w:rFonts w:ascii="Calibri" w:hAnsi="Calibri" w:cs="Calibri"/>
          <w:b/>
          <w:color w:val="800000"/>
          <w:lang w:val="en-US"/>
        </w:rPr>
        <w:t xml:space="preserve"> </w:t>
      </w:r>
    </w:p>
  </w:footnote>
  <w:footnote w:id="56">
    <w:p w14:paraId="04278B41" w14:textId="77777777" w:rsidR="002B0D90" w:rsidRDefault="002B0D90" w:rsidP="002B0D90">
      <w:pPr>
        <w:pStyle w:val="FootnoteText"/>
      </w:pPr>
      <w:r w:rsidRPr="006C6CE6">
        <w:rPr>
          <w:rStyle w:val="FootnoteReference"/>
        </w:rPr>
        <w:footnoteRef/>
      </w:r>
      <w:r w:rsidRPr="00262D66">
        <w:rPr>
          <w:lang w:val="ru-RU"/>
        </w:rPr>
        <w:t xml:space="preserve"> </w:t>
      </w:r>
      <w:bookmarkStart w:id="219" w:name="lt_pId2433"/>
      <w:r>
        <w:rPr>
          <w:lang w:val="ru-RU"/>
        </w:rPr>
        <w:t>К э</w:t>
      </w:r>
      <w:r w:rsidRPr="00262D66">
        <w:rPr>
          <w:lang w:val="ru-RU"/>
        </w:rPr>
        <w:t>ти</w:t>
      </w:r>
      <w:r>
        <w:rPr>
          <w:lang w:val="ru-RU"/>
        </w:rPr>
        <w:t>м</w:t>
      </w:r>
      <w:r w:rsidRPr="00262D66">
        <w:rPr>
          <w:lang w:val="ru-RU"/>
        </w:rPr>
        <w:t xml:space="preserve"> основания</w:t>
      </w:r>
      <w:r>
        <w:rPr>
          <w:lang w:val="ru-RU"/>
        </w:rPr>
        <w:t>м</w:t>
      </w:r>
      <w:r w:rsidRPr="00262D66">
        <w:rPr>
          <w:lang w:val="ru-RU"/>
        </w:rPr>
        <w:t xml:space="preserve"> </w:t>
      </w:r>
      <w:r>
        <w:rPr>
          <w:lang w:val="ru-RU"/>
        </w:rPr>
        <w:t xml:space="preserve">относятся </w:t>
      </w:r>
      <w:r w:rsidRPr="00262D66">
        <w:rPr>
          <w:lang w:val="ru-RU"/>
        </w:rPr>
        <w:t xml:space="preserve">равенство между регионами, желание помочь </w:t>
      </w:r>
      <w:r>
        <w:rPr>
          <w:lang w:val="ru-RU"/>
        </w:rPr>
        <w:t>обеспечить фактическое</w:t>
      </w:r>
      <w:r w:rsidRPr="00262D66">
        <w:rPr>
          <w:lang w:val="ru-RU"/>
        </w:rPr>
        <w:t xml:space="preserve"> </w:t>
      </w:r>
      <w:r>
        <w:rPr>
          <w:lang w:val="ru-RU"/>
        </w:rPr>
        <w:t>развитие</w:t>
      </w:r>
      <w:r w:rsidRPr="00262D66">
        <w:rPr>
          <w:lang w:val="ru-RU"/>
        </w:rPr>
        <w:t xml:space="preserve"> потенциала в этих учреждениях </w:t>
      </w:r>
      <w:r>
        <w:rPr>
          <w:lang w:val="ru-RU"/>
        </w:rPr>
        <w:t>за счет</w:t>
      </w:r>
      <w:r w:rsidRPr="00262D66">
        <w:rPr>
          <w:lang w:val="ru-RU"/>
        </w:rPr>
        <w:t xml:space="preserve"> их участия в более широкой сети </w:t>
      </w:r>
      <w:r w:rsidRPr="001119AF">
        <w:rPr>
          <w:lang w:val="ru-RU"/>
        </w:rPr>
        <w:t>ЦПМ</w:t>
      </w:r>
      <w:r w:rsidRPr="00D577E1">
        <w:t> </w:t>
      </w:r>
      <w:r w:rsidRPr="00262D66">
        <w:rPr>
          <w:lang w:val="ru-RU"/>
        </w:rPr>
        <w:t xml:space="preserve">и других мероприятиях МСЭ, а также </w:t>
      </w:r>
      <w:r>
        <w:rPr>
          <w:lang w:val="ru-RU"/>
        </w:rPr>
        <w:t>их местоположение, которое упрощает</w:t>
      </w:r>
      <w:r w:rsidRPr="00262D66">
        <w:rPr>
          <w:lang w:val="ru-RU"/>
        </w:rPr>
        <w:t xml:space="preserve"> поездк</w:t>
      </w:r>
      <w:r>
        <w:rPr>
          <w:lang w:val="ru-RU"/>
        </w:rPr>
        <w:t>у</w:t>
      </w:r>
      <w:r w:rsidRPr="00262D66">
        <w:rPr>
          <w:lang w:val="ru-RU"/>
        </w:rPr>
        <w:t xml:space="preserve"> для</w:t>
      </w:r>
      <w:r>
        <w:rPr>
          <w:lang w:val="ru-RU"/>
        </w:rPr>
        <w:t xml:space="preserve"> прохождения</w:t>
      </w:r>
      <w:r w:rsidRPr="00262D66">
        <w:rPr>
          <w:lang w:val="ru-RU"/>
        </w:rPr>
        <w:t xml:space="preserve"> очного обучения. Однако </w:t>
      </w:r>
      <w:r>
        <w:rPr>
          <w:lang w:val="ru-RU"/>
        </w:rPr>
        <w:t xml:space="preserve">важность последнего сокращается </w:t>
      </w:r>
      <w:r w:rsidRPr="00262D66">
        <w:rPr>
          <w:lang w:val="ru-RU"/>
        </w:rPr>
        <w:t xml:space="preserve">по мере того, как </w:t>
      </w:r>
      <w:r>
        <w:rPr>
          <w:lang w:val="ru-RU"/>
        </w:rPr>
        <w:t xml:space="preserve">обучение все чаще </w:t>
      </w:r>
      <w:r w:rsidRPr="00262D66">
        <w:rPr>
          <w:lang w:val="ru-RU"/>
        </w:rPr>
        <w:t xml:space="preserve">проводится </w:t>
      </w:r>
      <w:r>
        <w:rPr>
          <w:lang w:val="ru-RU"/>
        </w:rPr>
        <w:t xml:space="preserve">в </w:t>
      </w:r>
      <w:r w:rsidRPr="00262D66">
        <w:rPr>
          <w:lang w:val="ru-RU"/>
        </w:rPr>
        <w:t>онлайн</w:t>
      </w:r>
      <w:r>
        <w:rPr>
          <w:lang w:val="ru-RU"/>
        </w:rPr>
        <w:t>овом режиме</w:t>
      </w:r>
      <w:r w:rsidRPr="00262D66">
        <w:rPr>
          <w:lang w:val="ru-RU"/>
        </w:rPr>
        <w:t xml:space="preserve">, </w:t>
      </w:r>
      <w:r w:rsidRPr="00E34164">
        <w:rPr>
          <w:lang w:val="ru-RU"/>
        </w:rPr>
        <w:t>не в последнюю очередь</w:t>
      </w:r>
      <w:r w:rsidRPr="004B77F6">
        <w:t xml:space="preserve"> </w:t>
      </w:r>
      <w:r w:rsidRPr="00E34164">
        <w:rPr>
          <w:lang w:val="ru-RU"/>
        </w:rPr>
        <w:t>из</w:t>
      </w:r>
      <w:r w:rsidRPr="004B77F6">
        <w:t>-</w:t>
      </w:r>
      <w:r w:rsidRPr="00E34164">
        <w:rPr>
          <w:lang w:val="ru-RU"/>
        </w:rPr>
        <w:t>за</w:t>
      </w:r>
      <w:r w:rsidRPr="004B77F6">
        <w:t xml:space="preserve"> </w:t>
      </w:r>
      <w:r w:rsidRPr="00E34164">
        <w:rPr>
          <w:lang w:val="ru-RU"/>
        </w:rPr>
        <w:t>пандемии</w:t>
      </w:r>
      <w:r w:rsidRPr="004B77F6">
        <w:t xml:space="preserve"> COVID</w:t>
      </w:r>
      <w:r w:rsidRPr="00262D66">
        <w:t>-19</w:t>
      </w:r>
      <w:bookmarkStart w:id="220" w:name="lt_pId2434"/>
      <w:bookmarkEnd w:id="219"/>
      <w:r>
        <w:t>.</w:t>
      </w:r>
      <w:bookmarkEnd w:id="220"/>
    </w:p>
  </w:footnote>
  <w:footnote w:id="57">
    <w:p w14:paraId="7C15F196" w14:textId="77777777" w:rsidR="002B0D90" w:rsidRPr="006C6CE6" w:rsidRDefault="002B0D90" w:rsidP="002B0D90">
      <w:pPr>
        <w:pStyle w:val="FootnoteText"/>
      </w:pPr>
      <w:r>
        <w:rPr>
          <w:rStyle w:val="FootnoteReference"/>
        </w:rPr>
        <w:footnoteRef/>
      </w:r>
      <w:r>
        <w:t xml:space="preserve"> </w:t>
      </w:r>
      <w:bookmarkStart w:id="229" w:name="lt_pId2435"/>
      <w:r>
        <w:t xml:space="preserve">ITU, Guidelines for development of </w:t>
      </w:r>
      <w:r w:rsidRPr="006C6CE6">
        <w:t>module content for ITU Academy Training programmes.</w:t>
      </w:r>
      <w:bookmarkEnd w:id="229"/>
    </w:p>
  </w:footnote>
  <w:footnote w:id="58">
    <w:p w14:paraId="70E1F170" w14:textId="77777777" w:rsidR="002B0D90" w:rsidRDefault="002B0D90" w:rsidP="002B0D90">
      <w:pPr>
        <w:pStyle w:val="FootnoteText"/>
      </w:pPr>
      <w:r w:rsidRPr="006C6CE6">
        <w:rPr>
          <w:rStyle w:val="FootnoteReference"/>
        </w:rPr>
        <w:footnoteRef/>
      </w:r>
      <w:r w:rsidRPr="006C6CE6">
        <w:t xml:space="preserve"> </w:t>
      </w:r>
      <w:bookmarkStart w:id="230" w:name="lt_pId2436"/>
      <w:r w:rsidRPr="006C6CE6">
        <w:t>ITU, Peer review guidelines.</w:t>
      </w:r>
      <w:bookmarkEnd w:id="230"/>
    </w:p>
  </w:footnote>
  <w:footnote w:id="59">
    <w:p w14:paraId="26F84FE6" w14:textId="77777777" w:rsidR="002B0D90" w:rsidRDefault="002B0D90" w:rsidP="002B0D90">
      <w:pPr>
        <w:pStyle w:val="FootnoteText"/>
      </w:pPr>
      <w:r>
        <w:rPr>
          <w:rStyle w:val="FootnoteReference"/>
        </w:rPr>
        <w:footnoteRef/>
      </w:r>
      <w:r>
        <w:t xml:space="preserve"> </w:t>
      </w:r>
      <w:bookmarkStart w:id="231" w:name="lt_pId2437"/>
      <w:r>
        <w:t>ITU, Process for approval of content.</w:t>
      </w:r>
      <w:bookmarkEnd w:id="231"/>
    </w:p>
  </w:footnote>
  <w:footnote w:id="60">
    <w:p w14:paraId="1F1DE7EC" w14:textId="77777777" w:rsidR="002B0D90" w:rsidRDefault="002B0D90" w:rsidP="002B0D90">
      <w:pPr>
        <w:pStyle w:val="FootnoteText"/>
      </w:pPr>
      <w:r>
        <w:rPr>
          <w:rStyle w:val="FootnoteReference"/>
        </w:rPr>
        <w:footnoteRef/>
      </w:r>
      <w:r>
        <w:t xml:space="preserve"> </w:t>
      </w:r>
      <w:bookmarkStart w:id="232" w:name="lt_pId2438"/>
      <w:r>
        <w:t>ITU Academy, Guidelines for the delivery of ITU Training programmes.</w:t>
      </w:r>
      <w:bookmarkEnd w:id="232"/>
    </w:p>
  </w:footnote>
  <w:footnote w:id="61">
    <w:p w14:paraId="59571981" w14:textId="77777777" w:rsidR="002B0D90" w:rsidRPr="00A01974" w:rsidRDefault="002B0D90" w:rsidP="002B0D90">
      <w:pPr>
        <w:pStyle w:val="FootnoteText"/>
        <w:rPr>
          <w:lang w:val="ru-RU"/>
        </w:rPr>
      </w:pPr>
      <w:r>
        <w:rPr>
          <w:rStyle w:val="FootnoteReference"/>
        </w:rPr>
        <w:footnoteRef/>
      </w:r>
      <w:r w:rsidRPr="00C2751D">
        <w:rPr>
          <w:lang w:val="ru-RU"/>
        </w:rPr>
        <w:t xml:space="preserve"> </w:t>
      </w:r>
      <w:bookmarkStart w:id="233" w:name="lt_pId2439"/>
      <w:r>
        <w:rPr>
          <w:lang w:val="ru-RU"/>
        </w:rPr>
        <w:t>В</w:t>
      </w:r>
      <w:r w:rsidRPr="00693F2D">
        <w:rPr>
          <w:lang w:val="ru-RU"/>
        </w:rPr>
        <w:t xml:space="preserve"> течение обзорного периода </w:t>
      </w:r>
      <w:r>
        <w:rPr>
          <w:lang w:val="ru-RU"/>
        </w:rPr>
        <w:t xml:space="preserve">проводился пересмотр программы </w:t>
      </w:r>
      <w:r w:rsidRPr="00C2751D">
        <w:t>CCTP</w:t>
      </w:r>
      <w:r w:rsidRPr="00A01974">
        <w:rPr>
          <w:lang w:val="ru-RU"/>
        </w:rPr>
        <w:t>.</w:t>
      </w:r>
      <w:bookmarkEnd w:id="233"/>
    </w:p>
  </w:footnote>
  <w:footnote w:id="62">
    <w:p w14:paraId="7D7A62B8" w14:textId="77777777" w:rsidR="002B0D90" w:rsidRPr="0070369F" w:rsidRDefault="002B0D90" w:rsidP="002B0D90">
      <w:pPr>
        <w:pStyle w:val="FootnoteText"/>
        <w:rPr>
          <w:lang w:val="ru-RU"/>
        </w:rPr>
      </w:pPr>
      <w:r>
        <w:rPr>
          <w:rStyle w:val="FootnoteReference"/>
        </w:rPr>
        <w:footnoteRef/>
      </w:r>
      <w:r w:rsidRPr="008701CF">
        <w:rPr>
          <w:lang w:val="ru-RU"/>
        </w:rPr>
        <w:t xml:space="preserve"> </w:t>
      </w:r>
      <w:bookmarkStart w:id="241" w:name="lt_pId2440"/>
      <w:r w:rsidRPr="008701CF">
        <w:rPr>
          <w:lang w:val="ru-RU"/>
        </w:rPr>
        <w:t xml:space="preserve">Высокая успеваемость очень важна для привлечения большого </w:t>
      </w:r>
      <w:r>
        <w:rPr>
          <w:lang w:val="ru-RU"/>
        </w:rPr>
        <w:t>числа</w:t>
      </w:r>
      <w:r w:rsidRPr="008701CF">
        <w:rPr>
          <w:lang w:val="ru-RU"/>
        </w:rPr>
        <w:t xml:space="preserve"> студентов и, следовательно, </w:t>
      </w:r>
      <w:r>
        <w:rPr>
          <w:lang w:val="ru-RU"/>
        </w:rPr>
        <w:t xml:space="preserve">для </w:t>
      </w:r>
      <w:r w:rsidRPr="008701CF">
        <w:rPr>
          <w:lang w:val="ru-RU"/>
        </w:rPr>
        <w:t>дохода в будущем</w:t>
      </w:r>
      <w:r w:rsidRPr="0070369F">
        <w:rPr>
          <w:lang w:val="ru-RU"/>
        </w:rPr>
        <w:t>.</w:t>
      </w:r>
      <w:bookmarkEnd w:id="241"/>
    </w:p>
  </w:footnote>
  <w:footnote w:id="63">
    <w:p w14:paraId="5B2A2C85" w14:textId="77777777" w:rsidR="002B0D90" w:rsidRDefault="002B0D90" w:rsidP="002B0D90">
      <w:pPr>
        <w:pStyle w:val="FootnoteText"/>
      </w:pPr>
      <w:r>
        <w:rPr>
          <w:rStyle w:val="FootnoteReference"/>
        </w:rPr>
        <w:footnoteRef/>
      </w:r>
      <w:r>
        <w:t xml:space="preserve"> </w:t>
      </w:r>
      <w:bookmarkStart w:id="253" w:name="lt_pId2441"/>
      <w:r>
        <w:rPr>
          <w:lang w:val="ru-RU"/>
        </w:rPr>
        <w:t>См</w:t>
      </w:r>
      <w:r w:rsidRPr="00143CB8">
        <w:rPr>
          <w:lang w:val="en-US"/>
        </w:rPr>
        <w:t xml:space="preserve">., </w:t>
      </w:r>
      <w:r>
        <w:rPr>
          <w:lang w:val="ru-RU"/>
        </w:rPr>
        <w:t>в</w:t>
      </w:r>
      <w:r w:rsidRPr="00143CB8">
        <w:rPr>
          <w:lang w:val="en-US"/>
        </w:rPr>
        <w:t xml:space="preserve"> </w:t>
      </w:r>
      <w:r>
        <w:rPr>
          <w:lang w:val="ru-RU"/>
        </w:rPr>
        <w:t>частности</w:t>
      </w:r>
      <w:r>
        <w:t>, ITU, Peer review guidelines</w:t>
      </w:r>
      <w:r w:rsidRPr="00143CB8">
        <w:rPr>
          <w:lang w:val="en-US"/>
        </w:rPr>
        <w:t xml:space="preserve"> </w:t>
      </w:r>
      <w:r>
        <w:rPr>
          <w:lang w:val="ru-RU"/>
        </w:rPr>
        <w:t>и</w:t>
      </w:r>
      <w:r>
        <w:t xml:space="preserve"> ITU, Guidelines for the Quality Assurance Assessment of the ITU Academy Training Programmes.</w:t>
      </w:r>
      <w:bookmarkEnd w:id="253"/>
    </w:p>
  </w:footnote>
  <w:footnote w:id="64">
    <w:p w14:paraId="7BFAD7EF" w14:textId="2DCD533A" w:rsidR="002B0D90" w:rsidRPr="009C4800" w:rsidRDefault="002B0D90" w:rsidP="002B0D90">
      <w:pPr>
        <w:pStyle w:val="FootnoteText"/>
        <w:rPr>
          <w:lang w:val="ru-RU"/>
        </w:rPr>
      </w:pPr>
      <w:r w:rsidRPr="006C6CE6">
        <w:rPr>
          <w:rStyle w:val="FootnoteReference"/>
        </w:rPr>
        <w:footnoteRef/>
      </w:r>
      <w:r w:rsidRPr="00A01974">
        <w:rPr>
          <w:lang w:val="ru-RU"/>
        </w:rPr>
        <w:t xml:space="preserve"> </w:t>
      </w:r>
      <w:bookmarkStart w:id="254" w:name="lt_pId2442"/>
      <w:r>
        <w:rPr>
          <w:lang w:val="ru-RU"/>
        </w:rPr>
        <w:t>П</w:t>
      </w:r>
      <w:r w:rsidRPr="00A01974">
        <w:rPr>
          <w:lang w:val="ru-RU"/>
        </w:rPr>
        <w:t xml:space="preserve">ример </w:t>
      </w:r>
      <w:r>
        <w:rPr>
          <w:lang w:val="ru-RU"/>
        </w:rPr>
        <w:t>строгого</w:t>
      </w:r>
      <w:r w:rsidRPr="00A01974">
        <w:rPr>
          <w:lang w:val="ru-RU"/>
        </w:rPr>
        <w:t xml:space="preserve"> </w:t>
      </w:r>
      <w:r>
        <w:rPr>
          <w:lang w:val="ru-RU"/>
        </w:rPr>
        <w:t>и</w:t>
      </w:r>
      <w:r w:rsidRPr="00A01974">
        <w:rPr>
          <w:lang w:val="ru-RU"/>
        </w:rPr>
        <w:t xml:space="preserve"> </w:t>
      </w:r>
      <w:r>
        <w:rPr>
          <w:lang w:val="ru-RU"/>
        </w:rPr>
        <w:t>в</w:t>
      </w:r>
      <w:r w:rsidRPr="00A01974">
        <w:rPr>
          <w:lang w:val="ru-RU"/>
        </w:rPr>
        <w:t xml:space="preserve"> </w:t>
      </w:r>
      <w:r>
        <w:rPr>
          <w:lang w:val="ru-RU"/>
        </w:rPr>
        <w:t>то</w:t>
      </w:r>
      <w:r w:rsidRPr="00A01974">
        <w:rPr>
          <w:lang w:val="ru-RU"/>
        </w:rPr>
        <w:t xml:space="preserve"> </w:t>
      </w:r>
      <w:r>
        <w:rPr>
          <w:lang w:val="ru-RU"/>
        </w:rPr>
        <w:t>же</w:t>
      </w:r>
      <w:r w:rsidRPr="00A01974">
        <w:rPr>
          <w:lang w:val="ru-RU"/>
        </w:rPr>
        <w:t xml:space="preserve"> </w:t>
      </w:r>
      <w:r>
        <w:rPr>
          <w:lang w:val="ru-RU"/>
        </w:rPr>
        <w:t>время</w:t>
      </w:r>
      <w:r w:rsidRPr="00A01974">
        <w:rPr>
          <w:lang w:val="ru-RU"/>
        </w:rPr>
        <w:t xml:space="preserve"> просто</w:t>
      </w:r>
      <w:r>
        <w:rPr>
          <w:lang w:val="ru-RU"/>
        </w:rPr>
        <w:t>го</w:t>
      </w:r>
      <w:r w:rsidRPr="00A01974">
        <w:rPr>
          <w:lang w:val="ru-RU"/>
        </w:rPr>
        <w:t xml:space="preserve"> и ясно</w:t>
      </w:r>
      <w:r>
        <w:rPr>
          <w:lang w:val="ru-RU"/>
        </w:rPr>
        <w:t>го</w:t>
      </w:r>
      <w:r w:rsidRPr="00A01974">
        <w:rPr>
          <w:lang w:val="ru-RU"/>
        </w:rPr>
        <w:t xml:space="preserve"> руководств</w:t>
      </w:r>
      <w:r>
        <w:rPr>
          <w:lang w:val="ru-RU"/>
        </w:rPr>
        <w:t>а</w:t>
      </w:r>
      <w:r w:rsidRPr="00A01974">
        <w:rPr>
          <w:lang w:val="ru-RU"/>
        </w:rPr>
        <w:t xml:space="preserve">: </w:t>
      </w:r>
      <w:r w:rsidRPr="006C6CE6">
        <w:t>UNITAR</w:t>
      </w:r>
      <w:r w:rsidRPr="00A01974">
        <w:rPr>
          <w:lang w:val="ru-RU"/>
        </w:rPr>
        <w:t>’</w:t>
      </w:r>
      <w:r w:rsidRPr="006C6CE6">
        <w:t>s</w:t>
      </w:r>
      <w:r w:rsidRPr="00A01974">
        <w:rPr>
          <w:lang w:val="ru-RU"/>
        </w:rPr>
        <w:t xml:space="preserve"> (2018) </w:t>
      </w:r>
      <w:r w:rsidRPr="006C6CE6">
        <w:t>Quality</w:t>
      </w:r>
      <w:r w:rsidRPr="00A01974">
        <w:rPr>
          <w:lang w:val="ru-RU"/>
        </w:rPr>
        <w:t xml:space="preserve"> </w:t>
      </w:r>
      <w:r w:rsidRPr="006C6CE6">
        <w:t>Assurance</w:t>
      </w:r>
      <w:r w:rsidRPr="00A01974">
        <w:rPr>
          <w:lang w:val="ru-RU"/>
        </w:rPr>
        <w:t xml:space="preserve"> </w:t>
      </w:r>
      <w:r w:rsidRPr="006C6CE6">
        <w:t>Framework</w:t>
      </w:r>
      <w:r w:rsidRPr="00A01974">
        <w:rPr>
          <w:lang w:val="ru-RU"/>
        </w:rPr>
        <w:t xml:space="preserve">, </w:t>
      </w:r>
      <w:r w:rsidRPr="006C6CE6">
        <w:t>Geneva</w:t>
      </w:r>
      <w:r w:rsidRPr="00A01974">
        <w:rPr>
          <w:lang w:val="ru-RU"/>
        </w:rPr>
        <w:t xml:space="preserve">: </w:t>
      </w:r>
      <w:r w:rsidRPr="006C6CE6">
        <w:t>UNITAR</w:t>
      </w:r>
      <w:bookmarkEnd w:id="254"/>
      <w:r w:rsidR="009C4800" w:rsidRPr="009C4800">
        <w:rPr>
          <w:lang w:val="ru-RU"/>
        </w:rPr>
        <w:t>.</w:t>
      </w:r>
    </w:p>
  </w:footnote>
  <w:footnote w:id="65">
    <w:p w14:paraId="613AE20F" w14:textId="64395041" w:rsidR="002B0D90" w:rsidRDefault="002B0D90" w:rsidP="002B0D90">
      <w:pPr>
        <w:pStyle w:val="FootnoteText"/>
      </w:pPr>
      <w:r w:rsidRPr="006C6CE6">
        <w:rPr>
          <w:rStyle w:val="FootnoteReference"/>
        </w:rPr>
        <w:footnoteRef/>
      </w:r>
      <w:r w:rsidRPr="006C6CE6">
        <w:t xml:space="preserve"> </w:t>
      </w:r>
      <w:bookmarkStart w:id="260" w:name="lt_pId2443"/>
      <w:r w:rsidRPr="006C6CE6">
        <w:t>ITU (2019) Centres of Excellence: Performance Evaluation Report 2015</w:t>
      </w:r>
      <w:r w:rsidR="0097734F" w:rsidRPr="0097734F">
        <w:t>−</w:t>
      </w:r>
      <w:r w:rsidRPr="006C6CE6">
        <w:t>2018, Geneva: ITU.</w:t>
      </w:r>
      <w:bookmarkEnd w:id="260"/>
    </w:p>
  </w:footnote>
  <w:footnote w:id="66">
    <w:p w14:paraId="2AFF4B91" w14:textId="77777777" w:rsidR="002B0D90" w:rsidRPr="001119AF" w:rsidRDefault="002B0D90" w:rsidP="002B0D90">
      <w:pPr>
        <w:pStyle w:val="FootnoteText"/>
        <w:rPr>
          <w:lang w:val="ru-RU"/>
        </w:rPr>
      </w:pPr>
      <w:r>
        <w:rPr>
          <w:rStyle w:val="FootnoteReference"/>
        </w:rPr>
        <w:footnoteRef/>
      </w:r>
      <w:r w:rsidRPr="00996B64">
        <w:rPr>
          <w:lang w:val="ru-RU"/>
        </w:rPr>
        <w:t xml:space="preserve"> </w:t>
      </w:r>
      <w:bookmarkStart w:id="272" w:name="lt_pId2444"/>
      <w:r w:rsidRPr="00996B64">
        <w:rPr>
          <w:lang w:val="ru-RU"/>
        </w:rPr>
        <w:t>Также можно отметить, что в Руковод</w:t>
      </w:r>
      <w:r>
        <w:rPr>
          <w:lang w:val="ru-RU"/>
        </w:rPr>
        <w:t>ящих указаниях</w:t>
      </w:r>
      <w:r w:rsidRPr="00996B64">
        <w:rPr>
          <w:lang w:val="ru-RU"/>
        </w:rPr>
        <w:t xml:space="preserve"> по разработке содержания модулей для учебных программ Академии МСЭ не </w:t>
      </w:r>
      <w:r>
        <w:rPr>
          <w:lang w:val="ru-RU"/>
        </w:rPr>
        <w:t xml:space="preserve">говорится о </w:t>
      </w:r>
      <w:r w:rsidRPr="00996B64">
        <w:rPr>
          <w:lang w:val="ru-RU"/>
        </w:rPr>
        <w:t>необходимост</w:t>
      </w:r>
      <w:r>
        <w:rPr>
          <w:lang w:val="ru-RU"/>
        </w:rPr>
        <w:t>и</w:t>
      </w:r>
      <w:r w:rsidRPr="00996B64">
        <w:rPr>
          <w:lang w:val="ru-RU"/>
        </w:rPr>
        <w:t xml:space="preserve"> наличия </w:t>
      </w:r>
      <w:r>
        <w:rPr>
          <w:lang w:val="ru-RU"/>
        </w:rPr>
        <w:t>в</w:t>
      </w:r>
      <w:r w:rsidRPr="00996B64">
        <w:rPr>
          <w:lang w:val="ru-RU"/>
        </w:rPr>
        <w:t xml:space="preserve"> них учебных </w:t>
      </w:r>
      <w:r>
        <w:rPr>
          <w:lang w:val="ru-RU"/>
        </w:rPr>
        <w:t>задач</w:t>
      </w:r>
      <w:r w:rsidRPr="00996B64">
        <w:rPr>
          <w:lang w:val="ru-RU"/>
        </w:rPr>
        <w:t>.</w:t>
      </w:r>
      <w:bookmarkEnd w:id="272"/>
    </w:p>
  </w:footnote>
  <w:footnote w:id="67">
    <w:p w14:paraId="53535FDB" w14:textId="5BDC14C7" w:rsidR="002B0D90" w:rsidRPr="00560344" w:rsidRDefault="002B0D90" w:rsidP="002B0D90">
      <w:pPr>
        <w:pStyle w:val="FootnoteText"/>
        <w:rPr>
          <w:highlight w:val="lightGray"/>
          <w:lang w:val="ru-RU"/>
        </w:rPr>
      </w:pPr>
      <w:r>
        <w:rPr>
          <w:rStyle w:val="FootnoteReference"/>
        </w:rPr>
        <w:footnoteRef/>
      </w:r>
      <w:r w:rsidRPr="00F016D2">
        <w:rPr>
          <w:lang w:val="ru-RU"/>
        </w:rPr>
        <w:t xml:space="preserve"> Отчет Генерального секретаря. </w:t>
      </w:r>
      <w:r>
        <w:rPr>
          <w:lang w:val="ru-RU"/>
        </w:rPr>
        <w:t>П</w:t>
      </w:r>
      <w:r w:rsidRPr="00F016D2">
        <w:rPr>
          <w:lang w:val="ru-RU"/>
        </w:rPr>
        <w:t xml:space="preserve">роект бюджета на 2020−2021 годы, </w:t>
      </w:r>
      <w:r w:rsidR="00D577E1">
        <w:fldChar w:fldCharType="begin"/>
      </w:r>
      <w:r w:rsidR="00D577E1" w:rsidRPr="00D577E1">
        <w:rPr>
          <w:lang w:val="ru-RU"/>
        </w:rPr>
        <w:instrText xml:space="preserve"> </w:instrText>
      </w:r>
      <w:r w:rsidR="00D577E1">
        <w:instrText>HYPERLINK</w:instrText>
      </w:r>
      <w:r w:rsidR="00D577E1" w:rsidRPr="00D577E1">
        <w:rPr>
          <w:lang w:val="ru-RU"/>
        </w:rPr>
        <w:instrText xml:space="preserve"> "</w:instrText>
      </w:r>
      <w:r w:rsidR="00D577E1">
        <w:instrText>https</w:instrText>
      </w:r>
      <w:r w:rsidR="00D577E1" w:rsidRPr="00D577E1">
        <w:rPr>
          <w:lang w:val="ru-RU"/>
        </w:rPr>
        <w:instrText>://</w:instrText>
      </w:r>
      <w:r w:rsidR="00D577E1">
        <w:instrText>www</w:instrText>
      </w:r>
      <w:r w:rsidR="00D577E1" w:rsidRPr="00D577E1">
        <w:rPr>
          <w:lang w:val="ru-RU"/>
        </w:rPr>
        <w:instrText>.</w:instrText>
      </w:r>
      <w:r w:rsidR="00D577E1">
        <w:instrText>itu</w:instrText>
      </w:r>
      <w:r w:rsidR="00D577E1" w:rsidRPr="00D577E1">
        <w:rPr>
          <w:lang w:val="ru-RU"/>
        </w:rPr>
        <w:instrText>.</w:instrText>
      </w:r>
      <w:r w:rsidR="00D577E1">
        <w:instrText>int</w:instrText>
      </w:r>
      <w:r w:rsidR="00D577E1" w:rsidRPr="00D577E1">
        <w:rPr>
          <w:lang w:val="ru-RU"/>
        </w:rPr>
        <w:instrText>/</w:instrText>
      </w:r>
      <w:r w:rsidR="00D577E1">
        <w:instrText>dms</w:instrText>
      </w:r>
      <w:r w:rsidR="00D577E1" w:rsidRPr="00D577E1">
        <w:rPr>
          <w:lang w:val="ru-RU"/>
        </w:rPr>
        <w:instrText>_</w:instrText>
      </w:r>
      <w:r w:rsidR="00D577E1">
        <w:instrText>pub</w:instrText>
      </w:r>
      <w:r w:rsidR="00D577E1" w:rsidRPr="00D577E1">
        <w:rPr>
          <w:lang w:val="ru-RU"/>
        </w:rPr>
        <w:instrText>/</w:instrText>
      </w:r>
      <w:r w:rsidR="00D577E1">
        <w:instrText>itu</w:instrText>
      </w:r>
      <w:r w:rsidR="00D577E1" w:rsidRPr="00D577E1">
        <w:rPr>
          <w:lang w:val="ru-RU"/>
        </w:rPr>
        <w:instrText>-</w:instrText>
      </w:r>
      <w:r w:rsidR="00D577E1">
        <w:instrText>s</w:instrText>
      </w:r>
      <w:r w:rsidR="00D577E1" w:rsidRPr="00D577E1">
        <w:rPr>
          <w:lang w:val="ru-RU"/>
        </w:rPr>
        <w:instrText>/</w:instrText>
      </w:r>
      <w:r w:rsidR="00D577E1">
        <w:instrText>md</w:instrText>
      </w:r>
      <w:r w:rsidR="00D577E1" w:rsidRPr="00D577E1">
        <w:rPr>
          <w:lang w:val="ru-RU"/>
        </w:rPr>
        <w:instrText>/19/</w:instrText>
      </w:r>
      <w:r w:rsidR="00D577E1">
        <w:instrText>cl</w:instrText>
      </w:r>
      <w:r w:rsidR="00D577E1" w:rsidRPr="00D577E1">
        <w:rPr>
          <w:lang w:val="ru-RU"/>
        </w:rPr>
        <w:instrText>/</w:instrText>
      </w:r>
      <w:r w:rsidR="00D577E1">
        <w:instrText>c</w:instrText>
      </w:r>
      <w:r w:rsidR="00D577E1" w:rsidRPr="00D577E1">
        <w:rPr>
          <w:lang w:val="ru-RU"/>
        </w:rPr>
        <w:instrText>/</w:instrText>
      </w:r>
      <w:r w:rsidR="00D577E1">
        <w:instrText>S</w:instrText>
      </w:r>
      <w:r w:rsidR="00D577E1" w:rsidRPr="00D577E1">
        <w:rPr>
          <w:lang w:val="ru-RU"/>
        </w:rPr>
        <w:instrText>19-</w:instrText>
      </w:r>
      <w:r w:rsidR="00D577E1">
        <w:instrText>CL</w:instrText>
      </w:r>
      <w:r w:rsidR="00D577E1" w:rsidRPr="00D577E1">
        <w:rPr>
          <w:lang w:val="ru-RU"/>
        </w:rPr>
        <w:instrText>-</w:instrText>
      </w:r>
      <w:r w:rsidR="00D577E1">
        <w:instrText>C</w:instrText>
      </w:r>
      <w:r w:rsidR="00D577E1" w:rsidRPr="00D577E1">
        <w:rPr>
          <w:lang w:val="ru-RU"/>
        </w:rPr>
        <w:instrText>-0015!!</w:instrText>
      </w:r>
      <w:r w:rsidR="00D577E1">
        <w:instrText>PDF</w:instrText>
      </w:r>
      <w:r w:rsidR="00D577E1" w:rsidRPr="00D577E1">
        <w:rPr>
          <w:lang w:val="ru-RU"/>
        </w:rPr>
        <w:instrText>-</w:instrText>
      </w:r>
      <w:r w:rsidR="00D577E1">
        <w:instrText>E</w:instrText>
      </w:r>
      <w:r w:rsidR="00D577E1" w:rsidRPr="00D577E1">
        <w:rPr>
          <w:lang w:val="ru-RU"/>
        </w:rPr>
        <w:instrText>.</w:instrText>
      </w:r>
      <w:r w:rsidR="00D577E1">
        <w:instrText>pdf</w:instrText>
      </w:r>
      <w:r w:rsidR="00D577E1" w:rsidRPr="00D577E1">
        <w:rPr>
          <w:lang w:val="ru-RU"/>
        </w:rPr>
        <w:instrText xml:space="preserve">" </w:instrText>
      </w:r>
      <w:r w:rsidR="00D577E1">
        <w:fldChar w:fldCharType="separate"/>
      </w:r>
      <w:r w:rsidRPr="00535EF5">
        <w:t>https</w:t>
      </w:r>
      <w:r w:rsidRPr="00F016D2">
        <w:rPr>
          <w:lang w:val="ru-RU"/>
        </w:rPr>
        <w:t>://</w:t>
      </w:r>
      <w:r w:rsidRPr="00535EF5">
        <w:t>www</w:t>
      </w:r>
      <w:r w:rsidRPr="00F016D2">
        <w:rPr>
          <w:lang w:val="ru-RU"/>
        </w:rPr>
        <w:t>.</w:t>
      </w:r>
      <w:r w:rsidRPr="00535EF5">
        <w:t>itu</w:t>
      </w:r>
      <w:r w:rsidRPr="00F016D2">
        <w:rPr>
          <w:lang w:val="ru-RU"/>
        </w:rPr>
        <w:t>.</w:t>
      </w:r>
      <w:r w:rsidRPr="00535EF5">
        <w:t>int</w:t>
      </w:r>
      <w:r w:rsidRPr="00F016D2">
        <w:rPr>
          <w:lang w:val="ru-RU"/>
        </w:rPr>
        <w:t>/</w:t>
      </w:r>
      <w:r w:rsidRPr="00535EF5">
        <w:t>dms</w:t>
      </w:r>
      <w:r w:rsidRPr="00F016D2">
        <w:rPr>
          <w:lang w:val="ru-RU"/>
        </w:rPr>
        <w:t>_</w:t>
      </w:r>
      <w:r w:rsidRPr="00535EF5">
        <w:t>pub</w:t>
      </w:r>
      <w:r w:rsidRPr="00F016D2">
        <w:rPr>
          <w:lang w:val="ru-RU"/>
        </w:rPr>
        <w:t>/</w:t>
      </w:r>
      <w:r w:rsidRPr="00535EF5">
        <w:t>itu</w:t>
      </w:r>
      <w:r w:rsidRPr="00F016D2">
        <w:rPr>
          <w:lang w:val="ru-RU"/>
        </w:rPr>
        <w:t>-</w:t>
      </w:r>
      <w:r w:rsidRPr="00535EF5">
        <w:t>s</w:t>
      </w:r>
      <w:r w:rsidRPr="00F016D2">
        <w:rPr>
          <w:lang w:val="ru-RU"/>
        </w:rPr>
        <w:t>/</w:t>
      </w:r>
      <w:r w:rsidRPr="00535EF5">
        <w:t>md</w:t>
      </w:r>
      <w:r w:rsidRPr="00F016D2">
        <w:rPr>
          <w:lang w:val="ru-RU"/>
        </w:rPr>
        <w:t>/19/</w:t>
      </w:r>
      <w:r w:rsidRPr="00535EF5">
        <w:t>cl</w:t>
      </w:r>
      <w:r w:rsidRPr="00F016D2">
        <w:rPr>
          <w:lang w:val="ru-RU"/>
        </w:rPr>
        <w:t>/</w:t>
      </w:r>
      <w:r w:rsidRPr="00535EF5">
        <w:t>c</w:t>
      </w:r>
      <w:r w:rsidRPr="00F016D2">
        <w:rPr>
          <w:lang w:val="ru-RU"/>
        </w:rPr>
        <w:t>/</w:t>
      </w:r>
      <w:r w:rsidRPr="00535EF5">
        <w:t>S</w:t>
      </w:r>
      <w:r w:rsidRPr="00F016D2">
        <w:rPr>
          <w:lang w:val="ru-RU"/>
        </w:rPr>
        <w:t>19-</w:t>
      </w:r>
      <w:r w:rsidRPr="00535EF5">
        <w:t>CL</w:t>
      </w:r>
      <w:r w:rsidRPr="00F016D2">
        <w:rPr>
          <w:lang w:val="ru-RU"/>
        </w:rPr>
        <w:t>-</w:t>
      </w:r>
      <w:r w:rsidRPr="00535EF5">
        <w:t>C</w:t>
      </w:r>
      <w:r w:rsidRPr="00F016D2">
        <w:rPr>
          <w:lang w:val="ru-RU"/>
        </w:rPr>
        <w:t>-0015!!</w:t>
      </w:r>
      <w:r w:rsidRPr="00535EF5">
        <w:t>PDF</w:t>
      </w:r>
      <w:r w:rsidRPr="00F016D2">
        <w:rPr>
          <w:lang w:val="ru-RU"/>
        </w:rPr>
        <w:t>-</w:t>
      </w:r>
      <w:r w:rsidRPr="00535EF5">
        <w:t>E</w:t>
      </w:r>
      <w:r w:rsidRPr="00F016D2">
        <w:rPr>
          <w:lang w:val="ru-RU"/>
        </w:rPr>
        <w:t>.</w:t>
      </w:r>
      <w:r w:rsidRPr="00535EF5">
        <w:t>pdf</w:t>
      </w:r>
      <w:r w:rsidR="00D577E1">
        <w:fldChar w:fldCharType="end"/>
      </w:r>
      <w:r w:rsidRPr="00F016D2">
        <w:rPr>
          <w:lang w:val="ru-RU"/>
        </w:rPr>
        <w:t xml:space="preserve">. </w:t>
      </w:r>
      <w:r w:rsidRPr="00F73730">
        <w:rPr>
          <w:lang w:val="ru-RU"/>
        </w:rPr>
        <w:t xml:space="preserve">Интересно, что </w:t>
      </w:r>
      <w:r>
        <w:rPr>
          <w:lang w:val="ru-RU"/>
        </w:rPr>
        <w:t>такие цифры</w:t>
      </w:r>
      <w:r w:rsidRPr="00374695">
        <w:rPr>
          <w:rFonts w:eastAsia="Lato" w:cs="Lato"/>
          <w:color w:val="434343"/>
          <w:sz w:val="20"/>
          <w:szCs w:val="22"/>
          <w:lang w:val="ru-RU"/>
        </w:rPr>
        <w:t xml:space="preserve"> </w:t>
      </w:r>
      <w:r w:rsidRPr="00374695">
        <w:rPr>
          <w:lang w:val="ru-RU"/>
        </w:rPr>
        <w:t>упомянуты</w:t>
      </w:r>
      <w:r>
        <w:rPr>
          <w:lang w:val="ru-RU"/>
        </w:rPr>
        <w:t xml:space="preserve"> дважды:</w:t>
      </w:r>
      <w:r w:rsidRPr="00F73730">
        <w:rPr>
          <w:lang w:val="ru-RU"/>
        </w:rPr>
        <w:t xml:space="preserve"> в</w:t>
      </w:r>
      <w:r>
        <w:rPr>
          <w:lang w:val="ru-RU"/>
        </w:rPr>
        <w:t xml:space="preserve"> описании</w:t>
      </w:r>
      <w:r w:rsidRPr="00F73730">
        <w:rPr>
          <w:lang w:val="ru-RU"/>
        </w:rPr>
        <w:t xml:space="preserve"> </w:t>
      </w:r>
      <w:r>
        <w:rPr>
          <w:lang w:val="ru-RU"/>
        </w:rPr>
        <w:t xml:space="preserve">задачи </w:t>
      </w:r>
      <w:r w:rsidRPr="00F73730">
        <w:rPr>
          <w:lang w:val="ru-RU"/>
        </w:rPr>
        <w:t>R.3</w:t>
      </w:r>
      <w:r>
        <w:rPr>
          <w:lang w:val="ru-RU"/>
        </w:rPr>
        <w:t xml:space="preserve"> с конечным</w:t>
      </w:r>
      <w:r w:rsidRPr="00F73730">
        <w:rPr>
          <w:lang w:val="ru-RU"/>
        </w:rPr>
        <w:t xml:space="preserve"> результат</w:t>
      </w:r>
      <w:r>
        <w:rPr>
          <w:lang w:val="ru-RU"/>
        </w:rPr>
        <w:t>ом</w:t>
      </w:r>
      <w:r w:rsidRPr="00F73730">
        <w:rPr>
          <w:lang w:val="ru-RU"/>
        </w:rPr>
        <w:t xml:space="preserve"> </w:t>
      </w:r>
      <w:r w:rsidRPr="002C6F8B">
        <w:rPr>
          <w:lang w:val="ru-RU"/>
        </w:rPr>
        <w:t>"</w:t>
      </w:r>
      <w:r>
        <w:rPr>
          <w:lang w:val="ru-RU"/>
        </w:rPr>
        <w:t xml:space="preserve">Расширение </w:t>
      </w:r>
      <w:r w:rsidRPr="00F73730">
        <w:rPr>
          <w:lang w:val="ru-RU"/>
        </w:rPr>
        <w:t>знаний</w:t>
      </w:r>
      <w:r w:rsidRPr="002C6F8B">
        <w:rPr>
          <w:lang w:val="ru-RU"/>
        </w:rPr>
        <w:t>"</w:t>
      </w:r>
      <w:r>
        <w:rPr>
          <w:lang w:val="ru-RU"/>
        </w:rPr>
        <w:t xml:space="preserve"> в</w:t>
      </w:r>
      <w:r w:rsidRPr="00F73730">
        <w:rPr>
          <w:lang w:val="ru-RU"/>
        </w:rPr>
        <w:t xml:space="preserve"> БР </w:t>
      </w:r>
      <w:r>
        <w:rPr>
          <w:lang w:val="ru-RU"/>
        </w:rPr>
        <w:t>(д</w:t>
      </w:r>
      <w:r w:rsidRPr="00FB4A61">
        <w:rPr>
          <w:lang w:val="ru-RU"/>
        </w:rPr>
        <w:t xml:space="preserve">ля </w:t>
      </w:r>
      <w:r>
        <w:rPr>
          <w:lang w:val="ru-RU"/>
        </w:rPr>
        <w:t xml:space="preserve">всей </w:t>
      </w:r>
      <w:r w:rsidRPr="00FB4A61">
        <w:rPr>
          <w:lang w:val="ru-RU"/>
        </w:rPr>
        <w:t>задачи R.3 используется 27,51% ресурсов, запланированных для выполнения задач МСЭ</w:t>
      </w:r>
      <w:r w:rsidRPr="00FB4A61">
        <w:rPr>
          <w:lang w:val="ru-RU"/>
        </w:rPr>
        <w:noBreakHyphen/>
        <w:t>R</w:t>
      </w:r>
      <w:r>
        <w:rPr>
          <w:lang w:val="ru-RU"/>
        </w:rPr>
        <w:t>,</w:t>
      </w:r>
      <w:r w:rsidRPr="00F73730">
        <w:rPr>
          <w:lang w:val="ru-RU"/>
        </w:rPr>
        <w:t xml:space="preserve"> и</w:t>
      </w:r>
      <w:r>
        <w:rPr>
          <w:lang w:val="ru-RU"/>
        </w:rPr>
        <w:t>ли</w:t>
      </w:r>
      <w:r w:rsidRPr="00F73730">
        <w:rPr>
          <w:lang w:val="ru-RU"/>
        </w:rPr>
        <w:t xml:space="preserve"> 10,19% </w:t>
      </w:r>
      <w:r w:rsidRPr="00FB4A61">
        <w:rPr>
          <w:lang w:val="ru-RU"/>
        </w:rPr>
        <w:t>ресурсов, запланированных для выполнения задач МСЭ</w:t>
      </w:r>
      <w:r>
        <w:rPr>
          <w:lang w:val="ru-RU"/>
        </w:rPr>
        <w:t>)</w:t>
      </w:r>
      <w:r w:rsidRPr="00F73730">
        <w:rPr>
          <w:lang w:val="ru-RU"/>
        </w:rPr>
        <w:t xml:space="preserve">; </w:t>
      </w:r>
      <w:r>
        <w:rPr>
          <w:lang w:val="ru-RU"/>
        </w:rPr>
        <w:t>и в описании задачи</w:t>
      </w:r>
      <w:r w:rsidRPr="00F73730">
        <w:rPr>
          <w:lang w:val="ru-RU"/>
        </w:rPr>
        <w:t xml:space="preserve"> D.2</w:t>
      </w:r>
      <w:r>
        <w:rPr>
          <w:lang w:val="ru-RU"/>
        </w:rPr>
        <w:t xml:space="preserve"> БРЭ, где указано</w:t>
      </w:r>
      <w:r w:rsidRPr="00F73730">
        <w:rPr>
          <w:lang w:val="ru-RU"/>
        </w:rPr>
        <w:t xml:space="preserve"> </w:t>
      </w:r>
      <w:r>
        <w:rPr>
          <w:lang w:val="ru-RU"/>
        </w:rPr>
        <w:t xml:space="preserve">укрепление потенциала </w:t>
      </w:r>
      <w:r w:rsidRPr="00F73730">
        <w:rPr>
          <w:lang w:val="ru-RU"/>
        </w:rPr>
        <w:t>Государств-Член</w:t>
      </w:r>
      <w:r>
        <w:rPr>
          <w:lang w:val="ru-RU"/>
        </w:rPr>
        <w:t>ов</w:t>
      </w:r>
      <w:r w:rsidRPr="00F73730">
        <w:rPr>
          <w:lang w:val="ru-RU"/>
        </w:rPr>
        <w:t xml:space="preserve"> (</w:t>
      </w:r>
      <w:r>
        <w:rPr>
          <w:lang w:val="ru-RU"/>
        </w:rPr>
        <w:t>д</w:t>
      </w:r>
      <w:r w:rsidRPr="000F3B3B">
        <w:rPr>
          <w:lang w:val="ru-RU"/>
        </w:rPr>
        <w:t xml:space="preserve">ля </w:t>
      </w:r>
      <w:r>
        <w:rPr>
          <w:lang w:val="ru-RU"/>
        </w:rPr>
        <w:t xml:space="preserve">всей </w:t>
      </w:r>
      <w:r w:rsidRPr="000F3B3B">
        <w:rPr>
          <w:lang w:val="ru-RU"/>
        </w:rPr>
        <w:t>задачи D.2 используется 19,53% ресурсов, запланированных для выполнения задач МСЭ</w:t>
      </w:r>
      <w:r w:rsidRPr="000F3B3B">
        <w:rPr>
          <w:lang w:val="ru-RU"/>
        </w:rPr>
        <w:noBreakHyphen/>
        <w:t>D, и</w:t>
      </w:r>
      <w:r>
        <w:rPr>
          <w:lang w:val="ru-RU"/>
        </w:rPr>
        <w:t>ли</w:t>
      </w:r>
      <w:r w:rsidRPr="000F3B3B">
        <w:rPr>
          <w:lang w:val="ru-RU"/>
        </w:rPr>
        <w:t xml:space="preserve"> 7,03% ресурсов, запланированных для выполнения задач МСЭ</w:t>
      </w:r>
      <w:r w:rsidRPr="00F73730">
        <w:rPr>
          <w:lang w:val="ru-RU"/>
        </w:rPr>
        <w:t xml:space="preserve">). </w:t>
      </w:r>
      <w:r>
        <w:rPr>
          <w:lang w:val="ru-RU"/>
        </w:rPr>
        <w:t xml:space="preserve">Упоминаются </w:t>
      </w:r>
      <w:r w:rsidRPr="000F7057">
        <w:rPr>
          <w:lang w:val="ru-RU"/>
        </w:rPr>
        <w:t>"</w:t>
      </w:r>
      <w:r w:rsidR="009E0460">
        <w:rPr>
          <w:lang w:val="ru-RU"/>
        </w:rPr>
        <w:t>профессиональная подготовка</w:t>
      </w:r>
      <w:r w:rsidRPr="002C6F8B">
        <w:rPr>
          <w:lang w:val="ru-RU"/>
        </w:rPr>
        <w:t>"</w:t>
      </w:r>
      <w:r w:rsidRPr="00D61701">
        <w:rPr>
          <w:lang w:val="ru-RU"/>
        </w:rPr>
        <w:t xml:space="preserve"> </w:t>
      </w:r>
      <w:r>
        <w:rPr>
          <w:lang w:val="ru-RU"/>
        </w:rPr>
        <w:t>(</w:t>
      </w:r>
      <w:r w:rsidRPr="00F73730">
        <w:rPr>
          <w:lang w:val="ru-RU"/>
        </w:rPr>
        <w:t xml:space="preserve">в </w:t>
      </w:r>
      <w:r>
        <w:rPr>
          <w:lang w:val="ru-RU"/>
        </w:rPr>
        <w:t xml:space="preserve">описаниях задач </w:t>
      </w:r>
      <w:r w:rsidRPr="00F73730">
        <w:rPr>
          <w:lang w:val="ru-RU"/>
        </w:rPr>
        <w:t>D.2, D.3</w:t>
      </w:r>
      <w:r>
        <w:rPr>
          <w:lang w:val="ru-RU"/>
        </w:rPr>
        <w:t xml:space="preserve"> и</w:t>
      </w:r>
      <w:r w:rsidRPr="00F73730">
        <w:rPr>
          <w:lang w:val="ru-RU"/>
        </w:rPr>
        <w:t xml:space="preserve"> D.4</w:t>
      </w:r>
      <w:r>
        <w:rPr>
          <w:lang w:val="ru-RU"/>
        </w:rPr>
        <w:t xml:space="preserve">), а также </w:t>
      </w:r>
      <w:r w:rsidR="009E0460">
        <w:rPr>
          <w:lang w:val="ru-RU"/>
        </w:rPr>
        <w:t>"</w:t>
      </w:r>
      <w:r w:rsidRPr="00C61284">
        <w:rPr>
          <w:lang w:val="ru-RU"/>
        </w:rPr>
        <w:t>профессиональн</w:t>
      </w:r>
      <w:r>
        <w:rPr>
          <w:lang w:val="ru-RU"/>
        </w:rPr>
        <w:t>ая</w:t>
      </w:r>
      <w:r w:rsidRPr="00C61284">
        <w:rPr>
          <w:lang w:val="ru-RU"/>
        </w:rPr>
        <w:t xml:space="preserve"> подготовк</w:t>
      </w:r>
      <w:r>
        <w:rPr>
          <w:lang w:val="ru-RU"/>
        </w:rPr>
        <w:t>а</w:t>
      </w:r>
      <w:r w:rsidRPr="00C61284">
        <w:rPr>
          <w:lang w:val="ru-RU"/>
        </w:rPr>
        <w:t xml:space="preserve"> на рабочем месте</w:t>
      </w:r>
      <w:r w:rsidR="009E0460">
        <w:rPr>
          <w:lang w:val="ru-RU"/>
        </w:rPr>
        <w:t>"</w:t>
      </w:r>
      <w:r w:rsidRPr="00F73730">
        <w:rPr>
          <w:lang w:val="ru-RU"/>
        </w:rPr>
        <w:t>.</w:t>
      </w:r>
    </w:p>
  </w:footnote>
  <w:footnote w:id="68">
    <w:p w14:paraId="4091422E" w14:textId="3253DF37" w:rsidR="002B0D90" w:rsidRPr="001C1461" w:rsidRDefault="002B0D90" w:rsidP="002B0D90">
      <w:pPr>
        <w:pStyle w:val="FootnoteText"/>
        <w:rPr>
          <w:lang w:val="ru-RU"/>
        </w:rPr>
      </w:pPr>
      <w:r w:rsidRPr="00355D23">
        <w:rPr>
          <w:rStyle w:val="FootnoteReference"/>
        </w:rPr>
        <w:footnoteRef/>
      </w:r>
      <w:r w:rsidRPr="00355D23">
        <w:rPr>
          <w:lang w:val="ru-RU"/>
        </w:rPr>
        <w:t xml:space="preserve"> </w:t>
      </w:r>
      <w:r>
        <w:rPr>
          <w:lang w:val="ru-RU"/>
        </w:rPr>
        <w:t>Доступны</w:t>
      </w:r>
      <w:r w:rsidRPr="00355D23">
        <w:rPr>
          <w:lang w:val="ru-RU"/>
        </w:rPr>
        <w:t xml:space="preserve"> некоторые цифры </w:t>
      </w:r>
      <w:r>
        <w:rPr>
          <w:lang w:val="ru-RU"/>
        </w:rPr>
        <w:t xml:space="preserve">текущих </w:t>
      </w:r>
      <w:r w:rsidRPr="00355D23">
        <w:rPr>
          <w:lang w:val="ru-RU"/>
        </w:rPr>
        <w:t xml:space="preserve">затрат на </w:t>
      </w:r>
      <w:r>
        <w:rPr>
          <w:lang w:val="ru-RU"/>
        </w:rPr>
        <w:t xml:space="preserve">деятельность </w:t>
      </w:r>
      <w:r w:rsidRPr="00355D23">
        <w:rPr>
          <w:lang w:val="ru-RU"/>
        </w:rPr>
        <w:t>исследовательски</w:t>
      </w:r>
      <w:r>
        <w:rPr>
          <w:lang w:val="ru-RU"/>
        </w:rPr>
        <w:t>х</w:t>
      </w:r>
      <w:r w:rsidRPr="00355D23">
        <w:rPr>
          <w:lang w:val="ru-RU"/>
        </w:rPr>
        <w:t xml:space="preserve"> комиссий, </w:t>
      </w:r>
      <w:r>
        <w:rPr>
          <w:lang w:val="ru-RU"/>
        </w:rPr>
        <w:t xml:space="preserve">организацию </w:t>
      </w:r>
      <w:r w:rsidRPr="00355D23">
        <w:rPr>
          <w:lang w:val="ru-RU"/>
        </w:rPr>
        <w:t xml:space="preserve">семинаров и </w:t>
      </w:r>
      <w:r w:rsidRPr="00C939EC">
        <w:rPr>
          <w:lang w:val="ru-RU"/>
        </w:rPr>
        <w:t>семинаров</w:t>
      </w:r>
      <w:r>
        <w:rPr>
          <w:lang w:val="ru-RU"/>
        </w:rPr>
        <w:t>-</w:t>
      </w:r>
      <w:r w:rsidRPr="00355D23">
        <w:rPr>
          <w:lang w:val="ru-RU"/>
        </w:rPr>
        <w:t>практикумов, но</w:t>
      </w:r>
      <w:r>
        <w:rPr>
          <w:lang w:val="ru-RU"/>
        </w:rPr>
        <w:t xml:space="preserve"> эти цифры </w:t>
      </w:r>
      <w:r w:rsidRPr="00355D23">
        <w:rPr>
          <w:lang w:val="ru-RU"/>
        </w:rPr>
        <w:t xml:space="preserve">включают многое другое, помимо </w:t>
      </w:r>
      <w:r>
        <w:rPr>
          <w:lang w:val="ru-RU"/>
        </w:rPr>
        <w:t xml:space="preserve">деятельности по </w:t>
      </w:r>
      <w:r w:rsidRPr="00355D23">
        <w:rPr>
          <w:lang w:val="ru-RU"/>
        </w:rPr>
        <w:t>развити</w:t>
      </w:r>
      <w:r>
        <w:rPr>
          <w:lang w:val="ru-RU"/>
        </w:rPr>
        <w:t>ю</w:t>
      </w:r>
      <w:r w:rsidRPr="00355D23">
        <w:rPr>
          <w:lang w:val="ru-RU"/>
        </w:rPr>
        <w:t xml:space="preserve"> потенциала и </w:t>
      </w:r>
      <w:r>
        <w:rPr>
          <w:lang w:val="ru-RU"/>
        </w:rPr>
        <w:t>профессиональной подготовке</w:t>
      </w:r>
      <w:r w:rsidRPr="00355D23">
        <w:rPr>
          <w:lang w:val="ru-RU"/>
        </w:rPr>
        <w:t xml:space="preserve">. </w:t>
      </w:r>
      <w:r>
        <w:rPr>
          <w:lang w:val="ru-RU"/>
        </w:rPr>
        <w:t>Согласно</w:t>
      </w:r>
      <w:r w:rsidRPr="00355D23">
        <w:rPr>
          <w:lang w:val="ru-RU"/>
        </w:rPr>
        <w:t xml:space="preserve"> бюджет</w:t>
      </w:r>
      <w:r>
        <w:rPr>
          <w:lang w:val="ru-RU"/>
        </w:rPr>
        <w:t>у</w:t>
      </w:r>
      <w:r w:rsidRPr="00355D23">
        <w:rPr>
          <w:lang w:val="ru-RU"/>
        </w:rPr>
        <w:t xml:space="preserve"> на 2020</w:t>
      </w:r>
      <w:r w:rsidR="00807062" w:rsidRPr="00807062">
        <w:rPr>
          <w:lang w:val="ru-RU"/>
        </w:rPr>
        <w:t>−</w:t>
      </w:r>
      <w:r w:rsidRPr="00355D23">
        <w:rPr>
          <w:lang w:val="ru-RU"/>
        </w:rPr>
        <w:t>2021 годы</w:t>
      </w:r>
      <w:r>
        <w:rPr>
          <w:lang w:val="ru-RU"/>
        </w:rPr>
        <w:t>,</w:t>
      </w:r>
      <w:r w:rsidRPr="00355D23">
        <w:rPr>
          <w:lang w:val="ru-RU"/>
        </w:rPr>
        <w:t xml:space="preserve"> МСЭ-</w:t>
      </w:r>
      <w:r w:rsidRPr="00355D23">
        <w:t>R</w:t>
      </w:r>
      <w:r w:rsidRPr="00355D23">
        <w:rPr>
          <w:lang w:val="ru-RU"/>
        </w:rPr>
        <w:t xml:space="preserve"> планирует потратить 1,46 </w:t>
      </w:r>
      <w:r>
        <w:rPr>
          <w:lang w:val="ru-RU"/>
        </w:rPr>
        <w:t>млн.</w:t>
      </w:r>
      <w:r w:rsidRPr="00355D23">
        <w:rPr>
          <w:lang w:val="ru-RU"/>
        </w:rPr>
        <w:t xml:space="preserve"> швейцарских франков на исследовательские комиссии и 780</w:t>
      </w:r>
      <w:r w:rsidR="00807062">
        <w:rPr>
          <w:lang w:val="en-US"/>
        </w:rPr>
        <w:t> </w:t>
      </w:r>
      <w:r w:rsidRPr="00355D23">
        <w:rPr>
          <w:lang w:val="ru-RU"/>
        </w:rPr>
        <w:t>000</w:t>
      </w:r>
      <w:r w:rsidR="00807062">
        <w:rPr>
          <w:lang w:val="en-US"/>
        </w:rPr>
        <w:t> </w:t>
      </w:r>
      <w:r w:rsidRPr="00355D23">
        <w:rPr>
          <w:lang w:val="ru-RU"/>
        </w:rPr>
        <w:t xml:space="preserve">швейцарских франков на семинары и </w:t>
      </w:r>
      <w:r>
        <w:rPr>
          <w:lang w:val="ru-RU"/>
        </w:rPr>
        <w:t>семинары-</w:t>
      </w:r>
      <w:r w:rsidRPr="00355D23">
        <w:rPr>
          <w:lang w:val="ru-RU"/>
        </w:rPr>
        <w:t>практикумы; МСЭ-Т планирует потратить 2,39</w:t>
      </w:r>
      <w:r w:rsidR="00807062">
        <w:rPr>
          <w:lang w:val="en-US"/>
        </w:rPr>
        <w:t> </w:t>
      </w:r>
      <w:r>
        <w:rPr>
          <w:lang w:val="ru-RU"/>
        </w:rPr>
        <w:t>млн.</w:t>
      </w:r>
      <w:r w:rsidR="00807062">
        <w:rPr>
          <w:lang w:val="en-US"/>
        </w:rPr>
        <w:t> </w:t>
      </w:r>
      <w:r w:rsidRPr="00355D23">
        <w:rPr>
          <w:lang w:val="ru-RU"/>
        </w:rPr>
        <w:t xml:space="preserve">швейцарских франков на исследовательские комиссии и 600 000 швейцарских франков на семинары и </w:t>
      </w:r>
      <w:r w:rsidRPr="002A0C1F">
        <w:rPr>
          <w:lang w:val="ru-RU"/>
        </w:rPr>
        <w:t>семинары-практикумы</w:t>
      </w:r>
      <w:r w:rsidRPr="00355D23">
        <w:rPr>
          <w:lang w:val="ru-RU"/>
        </w:rPr>
        <w:t>; и МСЭ-</w:t>
      </w:r>
      <w:r w:rsidRPr="00355D23">
        <w:t>D</w:t>
      </w:r>
      <w:r>
        <w:rPr>
          <w:lang w:val="ru-RU"/>
        </w:rPr>
        <w:t xml:space="preserve"> </w:t>
      </w:r>
      <w:r w:rsidRPr="002A0C1F">
        <w:rPr>
          <w:lang w:val="ru-RU"/>
        </w:rPr>
        <w:t>планирует потратить</w:t>
      </w:r>
      <w:r w:rsidRPr="00355D23">
        <w:rPr>
          <w:lang w:val="ru-RU"/>
        </w:rPr>
        <w:t xml:space="preserve"> 796 000 </w:t>
      </w:r>
      <w:r w:rsidRPr="002A0C1F">
        <w:rPr>
          <w:lang w:val="ru-RU"/>
        </w:rPr>
        <w:t xml:space="preserve">швейцарских франков </w:t>
      </w:r>
      <w:r w:rsidRPr="00355D23">
        <w:rPr>
          <w:lang w:val="ru-RU"/>
        </w:rPr>
        <w:t xml:space="preserve">на собрания исследовательских комиссий (семинары и </w:t>
      </w:r>
      <w:r w:rsidRPr="00E60A9C">
        <w:rPr>
          <w:lang w:val="ru-RU"/>
        </w:rPr>
        <w:t xml:space="preserve">семинары-практикумы </w:t>
      </w:r>
      <w:r>
        <w:rPr>
          <w:lang w:val="ru-RU"/>
        </w:rPr>
        <w:t xml:space="preserve">входят </w:t>
      </w:r>
      <w:r w:rsidRPr="00355D23">
        <w:rPr>
          <w:lang w:val="ru-RU"/>
        </w:rPr>
        <w:t xml:space="preserve">в </w:t>
      </w:r>
      <w:r>
        <w:rPr>
          <w:lang w:val="ru-RU"/>
        </w:rPr>
        <w:t xml:space="preserve">строку </w:t>
      </w:r>
      <w:r w:rsidRPr="001C1461">
        <w:rPr>
          <w:lang w:val="ru-RU"/>
        </w:rPr>
        <w:t>"</w:t>
      </w:r>
      <w:r>
        <w:rPr>
          <w:lang w:val="ru-RU"/>
        </w:rPr>
        <w:t xml:space="preserve">Виды деятельности </w:t>
      </w:r>
      <w:r w:rsidRPr="00355D23">
        <w:rPr>
          <w:lang w:val="ru-RU"/>
        </w:rPr>
        <w:t>и программы</w:t>
      </w:r>
      <w:r w:rsidRPr="001C1461">
        <w:rPr>
          <w:lang w:val="ru-RU"/>
        </w:rPr>
        <w:t>"</w:t>
      </w:r>
      <w:r w:rsidRPr="00355D23">
        <w:rPr>
          <w:lang w:val="ru-RU"/>
        </w:rPr>
        <w:t>)</w:t>
      </w:r>
      <w:r>
        <w:rPr>
          <w:lang w:val="ru-RU"/>
        </w:rPr>
        <w:t>.</w:t>
      </w:r>
    </w:p>
  </w:footnote>
  <w:footnote w:id="69">
    <w:p w14:paraId="1FA4AE96" w14:textId="77777777" w:rsidR="002B0D90" w:rsidRPr="00445CCA" w:rsidRDefault="002B0D90" w:rsidP="002B0D90">
      <w:pPr>
        <w:pStyle w:val="FootnoteText"/>
        <w:rPr>
          <w:lang w:val="ru-RU"/>
        </w:rPr>
      </w:pPr>
      <w:r>
        <w:rPr>
          <w:rStyle w:val="FootnoteReference"/>
        </w:rPr>
        <w:footnoteRef/>
      </w:r>
      <w:r w:rsidRPr="00445CCA">
        <w:rPr>
          <w:lang w:val="ru-RU"/>
        </w:rPr>
        <w:t xml:space="preserve"> </w:t>
      </w:r>
      <w:r>
        <w:t>pwc</w:t>
      </w:r>
      <w:r w:rsidRPr="00445CCA">
        <w:rPr>
          <w:lang w:val="ru-RU"/>
        </w:rPr>
        <w:t xml:space="preserve"> (2020) </w:t>
      </w:r>
      <w:r>
        <w:rPr>
          <w:i/>
          <w:iCs/>
        </w:rPr>
        <w:t>Review</w:t>
      </w:r>
      <w:r w:rsidRPr="00445CCA">
        <w:rPr>
          <w:i/>
          <w:iCs/>
          <w:lang w:val="ru-RU"/>
        </w:rPr>
        <w:t xml:space="preserve"> </w:t>
      </w:r>
      <w:r>
        <w:rPr>
          <w:i/>
          <w:iCs/>
        </w:rPr>
        <w:t>of</w:t>
      </w:r>
      <w:r w:rsidRPr="00445CCA">
        <w:rPr>
          <w:i/>
          <w:iCs/>
          <w:lang w:val="ru-RU"/>
        </w:rPr>
        <w:t xml:space="preserve"> </w:t>
      </w:r>
      <w:r>
        <w:rPr>
          <w:i/>
          <w:iCs/>
        </w:rPr>
        <w:t>ITU</w:t>
      </w:r>
      <w:r w:rsidRPr="00445CCA">
        <w:rPr>
          <w:i/>
          <w:iCs/>
          <w:lang w:val="ru-RU"/>
        </w:rPr>
        <w:t>’</w:t>
      </w:r>
      <w:r>
        <w:rPr>
          <w:i/>
          <w:iCs/>
        </w:rPr>
        <w:t>s</w:t>
      </w:r>
      <w:r w:rsidRPr="00445CCA">
        <w:rPr>
          <w:i/>
          <w:iCs/>
          <w:lang w:val="ru-RU"/>
        </w:rPr>
        <w:t xml:space="preserve"> </w:t>
      </w:r>
      <w:r>
        <w:rPr>
          <w:i/>
          <w:iCs/>
        </w:rPr>
        <w:t>regional</w:t>
      </w:r>
      <w:r w:rsidRPr="00445CCA">
        <w:rPr>
          <w:i/>
          <w:iCs/>
          <w:lang w:val="ru-RU"/>
        </w:rPr>
        <w:t xml:space="preserve"> </w:t>
      </w:r>
      <w:r>
        <w:rPr>
          <w:i/>
          <w:iCs/>
        </w:rPr>
        <w:t>presence</w:t>
      </w:r>
      <w:r w:rsidRPr="00445CCA">
        <w:rPr>
          <w:lang w:val="ru-RU"/>
        </w:rPr>
        <w:t xml:space="preserve">, </w:t>
      </w:r>
      <w:r>
        <w:t>p</w:t>
      </w:r>
      <w:r w:rsidRPr="00445CCA">
        <w:rPr>
          <w:lang w:val="ru-RU"/>
        </w:rPr>
        <w:t xml:space="preserve">.165, </w:t>
      </w:r>
      <w:r w:rsidRPr="000F0848">
        <w:rPr>
          <w:lang w:val="ru-RU"/>
        </w:rPr>
        <w:t>о</w:t>
      </w:r>
      <w:r w:rsidRPr="00445CCA">
        <w:rPr>
          <w:lang w:val="ru-RU"/>
        </w:rPr>
        <w:t xml:space="preserve"> </w:t>
      </w:r>
      <w:r w:rsidRPr="000F0848">
        <w:rPr>
          <w:lang w:val="ru-RU"/>
        </w:rPr>
        <w:t>распределении</w:t>
      </w:r>
      <w:r w:rsidRPr="00445CCA">
        <w:rPr>
          <w:lang w:val="ru-RU"/>
        </w:rPr>
        <w:t xml:space="preserve"> времени </w:t>
      </w:r>
      <w:r w:rsidRPr="000F0848">
        <w:rPr>
          <w:lang w:val="ru-RU"/>
        </w:rPr>
        <w:t>по</w:t>
      </w:r>
      <w:r w:rsidRPr="00445CCA">
        <w:rPr>
          <w:lang w:val="ru-RU"/>
        </w:rPr>
        <w:t xml:space="preserve"> кластер</w:t>
      </w:r>
      <w:r w:rsidRPr="000F0848">
        <w:rPr>
          <w:lang w:val="ru-RU"/>
        </w:rPr>
        <w:t>ам</w:t>
      </w:r>
      <w:r w:rsidRPr="00445CCA">
        <w:rPr>
          <w:lang w:val="ru-RU"/>
        </w:rPr>
        <w:t xml:space="preserve"> в 2019 году всем персоналом в РО и </w:t>
      </w:r>
      <w:r w:rsidRPr="000F0848">
        <w:rPr>
          <w:lang w:val="ru-RU"/>
        </w:rPr>
        <w:t>З</w:t>
      </w:r>
      <w:r w:rsidRPr="00445CCA">
        <w:rPr>
          <w:lang w:val="ru-RU"/>
        </w:rPr>
        <w:t>О.</w:t>
      </w:r>
    </w:p>
  </w:footnote>
  <w:footnote w:id="70">
    <w:p w14:paraId="0BCA7C19" w14:textId="77777777" w:rsidR="002B0D90" w:rsidRPr="00445CCA" w:rsidRDefault="002B0D90" w:rsidP="002B0D90">
      <w:pPr>
        <w:pStyle w:val="FootnoteText"/>
        <w:rPr>
          <w:lang w:val="ru-RU"/>
        </w:rPr>
      </w:pPr>
      <w:r>
        <w:rPr>
          <w:rStyle w:val="FootnoteReference"/>
        </w:rPr>
        <w:footnoteRef/>
      </w:r>
      <w:r w:rsidRPr="00FC3BF0">
        <w:rPr>
          <w:lang w:val="ru-RU"/>
        </w:rPr>
        <w:t xml:space="preserve"> Как авторы </w:t>
      </w:r>
      <w:r>
        <w:rPr>
          <w:lang w:val="ru-RU"/>
        </w:rPr>
        <w:t>настоящего</w:t>
      </w:r>
      <w:r w:rsidRPr="00FC3BF0">
        <w:rPr>
          <w:lang w:val="ru-RU"/>
        </w:rPr>
        <w:t xml:space="preserve"> отчета мы особенно благодарны </w:t>
      </w:r>
      <w:r>
        <w:rPr>
          <w:lang w:val="ru-RU"/>
        </w:rPr>
        <w:t>Ф</w:t>
      </w:r>
      <w:r w:rsidRPr="00FC3BF0">
        <w:rPr>
          <w:lang w:val="ru-RU"/>
        </w:rPr>
        <w:t xml:space="preserve">инансовому </w:t>
      </w:r>
      <w:r>
        <w:rPr>
          <w:lang w:val="ru-RU"/>
        </w:rPr>
        <w:t xml:space="preserve">департаменту </w:t>
      </w:r>
      <w:r w:rsidRPr="00FC3BF0">
        <w:rPr>
          <w:lang w:val="ru-RU"/>
        </w:rPr>
        <w:t>МСЭ</w:t>
      </w:r>
      <w:r>
        <w:rPr>
          <w:lang w:val="ru-RU"/>
        </w:rPr>
        <w:t>, предпринявшему</w:t>
      </w:r>
      <w:r w:rsidRPr="00FC3BF0">
        <w:rPr>
          <w:lang w:val="ru-RU"/>
        </w:rPr>
        <w:t xml:space="preserve"> значительные усилия </w:t>
      </w:r>
      <w:r>
        <w:rPr>
          <w:lang w:val="ru-RU"/>
        </w:rPr>
        <w:t>для</w:t>
      </w:r>
      <w:r w:rsidRPr="00FC3BF0">
        <w:rPr>
          <w:lang w:val="ru-RU"/>
        </w:rPr>
        <w:t xml:space="preserve"> </w:t>
      </w:r>
      <w:r>
        <w:rPr>
          <w:lang w:val="ru-RU"/>
        </w:rPr>
        <w:t>определения</w:t>
      </w:r>
      <w:r w:rsidRPr="00FC3BF0">
        <w:rPr>
          <w:lang w:val="ru-RU"/>
        </w:rPr>
        <w:t xml:space="preserve"> </w:t>
      </w:r>
      <w:r>
        <w:rPr>
          <w:lang w:val="ru-RU"/>
        </w:rPr>
        <w:t xml:space="preserve">используемых здесь </w:t>
      </w:r>
      <w:r w:rsidRPr="00FC3BF0">
        <w:rPr>
          <w:lang w:val="ru-RU"/>
        </w:rPr>
        <w:t>цифр</w:t>
      </w:r>
      <w:r w:rsidRPr="00445CCA">
        <w:rPr>
          <w:lang w:val="ru-RU"/>
        </w:rPr>
        <w:t>.</w:t>
      </w:r>
    </w:p>
  </w:footnote>
  <w:footnote w:id="71">
    <w:p w14:paraId="7207891F" w14:textId="6D87B557" w:rsidR="002B0D90" w:rsidRPr="00807062" w:rsidRDefault="002B0D90" w:rsidP="00807062">
      <w:pPr>
        <w:pStyle w:val="FootnoteText"/>
        <w:rPr>
          <w:lang w:val="ru-RU"/>
        </w:rPr>
      </w:pPr>
      <w:r w:rsidRPr="00C62EF0">
        <w:rPr>
          <w:rStyle w:val="FootnoteReference"/>
          <w:szCs w:val="16"/>
        </w:rPr>
        <w:footnoteRef/>
      </w:r>
      <w:r w:rsidRPr="002E4A33">
        <w:rPr>
          <w:szCs w:val="16"/>
          <w:lang w:val="ru-RU"/>
        </w:rPr>
        <w:t xml:space="preserve"> </w:t>
      </w:r>
      <w:r w:rsidRPr="00251E7D">
        <w:rPr>
          <w:lang w:val="ru-RU"/>
        </w:rPr>
        <w:t>На</w:t>
      </w:r>
      <w:r w:rsidRPr="002E4A33">
        <w:rPr>
          <w:lang w:val="ru-RU"/>
        </w:rPr>
        <w:t xml:space="preserve"> </w:t>
      </w:r>
      <w:r w:rsidRPr="00251E7D">
        <w:rPr>
          <w:lang w:val="ru-RU"/>
        </w:rPr>
        <w:t>основ</w:t>
      </w:r>
      <w:r>
        <w:rPr>
          <w:lang w:val="ru-RU"/>
        </w:rPr>
        <w:t>ании</w:t>
      </w:r>
      <w:r w:rsidRPr="002E4A33">
        <w:rPr>
          <w:lang w:val="ru-RU"/>
        </w:rPr>
        <w:t xml:space="preserve"> </w:t>
      </w:r>
      <w:r>
        <w:rPr>
          <w:lang w:val="ru-RU"/>
        </w:rPr>
        <w:t>объема</w:t>
      </w:r>
      <w:r w:rsidRPr="002E4A33">
        <w:rPr>
          <w:lang w:val="ru-RU"/>
        </w:rPr>
        <w:t xml:space="preserve"> </w:t>
      </w:r>
      <w:r w:rsidRPr="00251E7D">
        <w:rPr>
          <w:lang w:val="ru-RU"/>
        </w:rPr>
        <w:t>общих</w:t>
      </w:r>
      <w:r w:rsidRPr="002E4A33">
        <w:rPr>
          <w:lang w:val="ru-RU"/>
        </w:rPr>
        <w:t xml:space="preserve"> </w:t>
      </w:r>
      <w:r>
        <w:rPr>
          <w:lang w:val="ru-RU"/>
        </w:rPr>
        <w:t>издержек</w:t>
      </w:r>
      <w:r w:rsidRPr="002E4A33">
        <w:rPr>
          <w:lang w:val="ru-RU"/>
        </w:rPr>
        <w:t xml:space="preserve"> </w:t>
      </w:r>
      <w:r w:rsidRPr="00251E7D">
        <w:rPr>
          <w:lang w:val="ru-RU"/>
        </w:rPr>
        <w:t>МСЭ</w:t>
      </w:r>
      <w:r w:rsidRPr="002E4A33">
        <w:rPr>
          <w:lang w:val="ru-RU"/>
        </w:rPr>
        <w:t xml:space="preserve"> (</w:t>
      </w:r>
      <w:r w:rsidRPr="00251E7D">
        <w:rPr>
          <w:lang w:val="ru-RU"/>
        </w:rPr>
        <w:t>тыс</w:t>
      </w:r>
      <w:r w:rsidRPr="002E4A33">
        <w:rPr>
          <w:lang w:val="ru-RU"/>
        </w:rPr>
        <w:t xml:space="preserve">. </w:t>
      </w:r>
      <w:r>
        <w:rPr>
          <w:lang w:val="ru-RU"/>
        </w:rPr>
        <w:t>ш</w:t>
      </w:r>
      <w:r w:rsidRPr="00251E7D">
        <w:rPr>
          <w:lang w:val="ru-RU"/>
        </w:rPr>
        <w:t>вейцарских</w:t>
      </w:r>
      <w:r w:rsidRPr="002E4A33">
        <w:rPr>
          <w:lang w:val="ru-RU"/>
        </w:rPr>
        <w:t xml:space="preserve"> </w:t>
      </w:r>
      <w:r w:rsidRPr="00251E7D">
        <w:rPr>
          <w:lang w:val="ru-RU"/>
        </w:rPr>
        <w:t>франков</w:t>
      </w:r>
      <w:r w:rsidRPr="002E4A33">
        <w:rPr>
          <w:lang w:val="ru-RU"/>
        </w:rPr>
        <w:t xml:space="preserve">) </w:t>
      </w:r>
      <w:r w:rsidRPr="00251E7D">
        <w:rPr>
          <w:lang w:val="ru-RU"/>
        </w:rPr>
        <w:t>в</w:t>
      </w:r>
      <w:r w:rsidRPr="002E4A33">
        <w:rPr>
          <w:lang w:val="ru-RU"/>
        </w:rPr>
        <w:t xml:space="preserve"> 2016 </w:t>
      </w:r>
      <w:r w:rsidRPr="00251E7D">
        <w:rPr>
          <w:lang w:val="ru-RU"/>
        </w:rPr>
        <w:t>г</w:t>
      </w:r>
      <w:r>
        <w:rPr>
          <w:lang w:val="ru-RU"/>
        </w:rPr>
        <w:t>оду</w:t>
      </w:r>
      <w:r w:rsidRPr="002E4A33">
        <w:rPr>
          <w:lang w:val="ru-RU"/>
        </w:rPr>
        <w:t xml:space="preserve"> </w:t>
      </w:r>
      <w:r w:rsidRPr="00251E7D">
        <w:rPr>
          <w:lang w:val="ru-RU"/>
        </w:rPr>
        <w:t>в</w:t>
      </w:r>
      <w:r w:rsidRPr="002E4A33">
        <w:rPr>
          <w:lang w:val="ru-RU"/>
        </w:rPr>
        <w:t xml:space="preserve"> </w:t>
      </w:r>
      <w:r w:rsidRPr="00251E7D">
        <w:rPr>
          <w:lang w:val="ru-RU"/>
        </w:rPr>
        <w:t>размере</w:t>
      </w:r>
      <w:r w:rsidRPr="002E4A33">
        <w:rPr>
          <w:lang w:val="ru-RU"/>
        </w:rPr>
        <w:t xml:space="preserve"> 149 879, </w:t>
      </w:r>
      <w:r w:rsidRPr="00251E7D">
        <w:rPr>
          <w:lang w:val="ru-RU"/>
        </w:rPr>
        <w:t>в</w:t>
      </w:r>
      <w:r w:rsidRPr="002E4A33">
        <w:rPr>
          <w:lang w:val="ru-RU"/>
        </w:rPr>
        <w:t xml:space="preserve"> 2017</w:t>
      </w:r>
      <w:r>
        <w:rPr>
          <w:lang w:val="ru-RU"/>
        </w:rPr>
        <w:t> </w:t>
      </w:r>
      <w:r w:rsidRPr="00251E7D">
        <w:rPr>
          <w:lang w:val="ru-RU"/>
        </w:rPr>
        <w:t>г</w:t>
      </w:r>
      <w:r>
        <w:rPr>
          <w:lang w:val="ru-RU"/>
        </w:rPr>
        <w:t>оду</w:t>
      </w:r>
      <w:r w:rsidRPr="002E4A33">
        <w:t> </w:t>
      </w:r>
      <w:r w:rsidRPr="002E4A33">
        <w:rPr>
          <w:lang w:val="ru-RU"/>
        </w:rPr>
        <w:t xml:space="preserve">– 195 615, </w:t>
      </w:r>
      <w:r w:rsidRPr="00251E7D">
        <w:rPr>
          <w:lang w:val="ru-RU"/>
        </w:rPr>
        <w:t>в</w:t>
      </w:r>
      <w:r w:rsidRPr="002E4A33">
        <w:rPr>
          <w:lang w:val="ru-RU"/>
        </w:rPr>
        <w:t xml:space="preserve"> 2018 </w:t>
      </w:r>
      <w:r w:rsidRPr="00251E7D">
        <w:rPr>
          <w:lang w:val="ru-RU"/>
        </w:rPr>
        <w:t>г</w:t>
      </w:r>
      <w:r>
        <w:rPr>
          <w:lang w:val="ru-RU"/>
        </w:rPr>
        <w:t>оду</w:t>
      </w:r>
      <w:r w:rsidRPr="002E4A33">
        <w:rPr>
          <w:lang w:val="ru-RU"/>
        </w:rPr>
        <w:t xml:space="preserve"> – 184 365 </w:t>
      </w:r>
      <w:r w:rsidRPr="00251E7D">
        <w:rPr>
          <w:lang w:val="ru-RU"/>
        </w:rPr>
        <w:t>и</w:t>
      </w:r>
      <w:r w:rsidRPr="002E4A33">
        <w:rPr>
          <w:lang w:val="ru-RU"/>
        </w:rPr>
        <w:t xml:space="preserve"> </w:t>
      </w:r>
      <w:r w:rsidRPr="00251E7D">
        <w:rPr>
          <w:lang w:val="ru-RU"/>
        </w:rPr>
        <w:t>в</w:t>
      </w:r>
      <w:r w:rsidRPr="002E4A33">
        <w:rPr>
          <w:lang w:val="ru-RU"/>
        </w:rPr>
        <w:t xml:space="preserve"> 2019 </w:t>
      </w:r>
      <w:r w:rsidRPr="00251E7D">
        <w:rPr>
          <w:lang w:val="ru-RU"/>
        </w:rPr>
        <w:t>г</w:t>
      </w:r>
      <w:r>
        <w:rPr>
          <w:lang w:val="ru-RU"/>
        </w:rPr>
        <w:t>оду</w:t>
      </w:r>
      <w:r w:rsidRPr="002E4A33">
        <w:rPr>
          <w:lang w:val="ru-RU"/>
        </w:rPr>
        <w:t xml:space="preserve"> – 244 640 (</w:t>
      </w:r>
      <w:r w:rsidRPr="00251E7D">
        <w:rPr>
          <w:lang w:val="ru-RU"/>
        </w:rPr>
        <w:t>из</w:t>
      </w:r>
      <w:r w:rsidRPr="002E4A33">
        <w:rPr>
          <w:lang w:val="ru-RU"/>
        </w:rPr>
        <w:t xml:space="preserve"> </w:t>
      </w:r>
      <w:r w:rsidRPr="00251E7D">
        <w:rPr>
          <w:lang w:val="ru-RU"/>
        </w:rPr>
        <w:t>официальных</w:t>
      </w:r>
      <w:r w:rsidRPr="002E4A33">
        <w:rPr>
          <w:lang w:val="ru-RU"/>
        </w:rPr>
        <w:t xml:space="preserve"> </w:t>
      </w:r>
      <w:r w:rsidRPr="00251E7D">
        <w:rPr>
          <w:lang w:val="ru-RU"/>
        </w:rPr>
        <w:t>документов</w:t>
      </w:r>
      <w:r w:rsidRPr="002E4A33">
        <w:rPr>
          <w:lang w:val="ru-RU"/>
        </w:rPr>
        <w:t xml:space="preserve"> </w:t>
      </w:r>
      <w:r w:rsidRPr="00251E7D">
        <w:rPr>
          <w:lang w:val="ru-RU"/>
        </w:rPr>
        <w:t>МСЭ</w:t>
      </w:r>
      <w:r w:rsidRPr="002E4A33">
        <w:rPr>
          <w:lang w:val="ru-RU"/>
        </w:rPr>
        <w:t xml:space="preserve"> – </w:t>
      </w:r>
      <w:r w:rsidRPr="00251E7D">
        <w:rPr>
          <w:lang w:val="ru-RU"/>
        </w:rPr>
        <w:t>Документ</w:t>
      </w:r>
      <w:r>
        <w:rPr>
          <w:lang w:val="ru-RU"/>
        </w:rPr>
        <w:t>а</w:t>
      </w:r>
      <w:r w:rsidRPr="002E4A33">
        <w:rPr>
          <w:lang w:val="ru-RU"/>
        </w:rPr>
        <w:t xml:space="preserve"> </w:t>
      </w:r>
      <w:r w:rsidRPr="00251E7D">
        <w:t>C</w:t>
      </w:r>
      <w:r w:rsidRPr="002E4A33">
        <w:rPr>
          <w:lang w:val="ru-RU"/>
        </w:rPr>
        <w:t xml:space="preserve">20/42 </w:t>
      </w:r>
      <w:r w:rsidRPr="00251E7D">
        <w:rPr>
          <w:lang w:val="ru-RU"/>
        </w:rPr>
        <w:t>и</w:t>
      </w:r>
      <w:r w:rsidRPr="002E4A33">
        <w:rPr>
          <w:lang w:val="ru-RU"/>
        </w:rPr>
        <w:t xml:space="preserve"> </w:t>
      </w:r>
      <w:r w:rsidRPr="00251E7D">
        <w:rPr>
          <w:lang w:val="ru-RU"/>
        </w:rPr>
        <w:t>Документ</w:t>
      </w:r>
      <w:r>
        <w:rPr>
          <w:lang w:val="ru-RU"/>
        </w:rPr>
        <w:t>а</w:t>
      </w:r>
      <w:r w:rsidRPr="002E4A33">
        <w:rPr>
          <w:lang w:val="ru-RU"/>
        </w:rPr>
        <w:t xml:space="preserve"> </w:t>
      </w:r>
      <w:r w:rsidRPr="00251E7D">
        <w:t>C</w:t>
      </w:r>
      <w:r w:rsidRPr="002E4A33">
        <w:rPr>
          <w:lang w:val="ru-RU"/>
        </w:rPr>
        <w:t>17/9).</w:t>
      </w:r>
    </w:p>
  </w:footnote>
  <w:footnote w:id="72">
    <w:p w14:paraId="26245363" w14:textId="77777777" w:rsidR="002B0D90" w:rsidRPr="001119AF" w:rsidRDefault="002B0D90" w:rsidP="002B0D90">
      <w:pPr>
        <w:pStyle w:val="FootnoteText"/>
        <w:rPr>
          <w:lang w:val="ru-RU"/>
        </w:rPr>
      </w:pPr>
      <w:r>
        <w:rPr>
          <w:rStyle w:val="FootnoteReference"/>
        </w:rPr>
        <w:footnoteRef/>
      </w:r>
      <w:r w:rsidRPr="001119AF">
        <w:rPr>
          <w:lang w:val="ru-RU"/>
        </w:rPr>
        <w:t xml:space="preserve"> </w:t>
      </w:r>
      <w:r>
        <w:t>pwc</w:t>
      </w:r>
      <w:r w:rsidRPr="001119AF">
        <w:rPr>
          <w:lang w:val="ru-RU"/>
        </w:rPr>
        <w:t xml:space="preserve"> (2020) </w:t>
      </w:r>
      <w:r>
        <w:rPr>
          <w:i/>
          <w:iCs/>
        </w:rPr>
        <w:t>Review</w:t>
      </w:r>
      <w:r w:rsidRPr="001119AF">
        <w:rPr>
          <w:i/>
          <w:iCs/>
          <w:lang w:val="ru-RU"/>
        </w:rPr>
        <w:t xml:space="preserve"> </w:t>
      </w:r>
      <w:r>
        <w:rPr>
          <w:i/>
          <w:iCs/>
        </w:rPr>
        <w:t>of</w:t>
      </w:r>
      <w:r w:rsidRPr="001119AF">
        <w:rPr>
          <w:i/>
          <w:iCs/>
          <w:lang w:val="ru-RU"/>
        </w:rPr>
        <w:t xml:space="preserve"> </w:t>
      </w:r>
      <w:r>
        <w:rPr>
          <w:i/>
          <w:iCs/>
        </w:rPr>
        <w:t>ITU</w:t>
      </w:r>
      <w:r w:rsidRPr="001119AF">
        <w:rPr>
          <w:i/>
          <w:iCs/>
          <w:lang w:val="ru-RU"/>
        </w:rPr>
        <w:t>’</w:t>
      </w:r>
      <w:r>
        <w:rPr>
          <w:i/>
          <w:iCs/>
        </w:rPr>
        <w:t>s</w:t>
      </w:r>
      <w:r w:rsidRPr="001119AF">
        <w:rPr>
          <w:i/>
          <w:iCs/>
          <w:lang w:val="ru-RU"/>
        </w:rPr>
        <w:t xml:space="preserve"> </w:t>
      </w:r>
      <w:r>
        <w:rPr>
          <w:i/>
          <w:iCs/>
        </w:rPr>
        <w:t>regional</w:t>
      </w:r>
      <w:r w:rsidRPr="001119AF">
        <w:rPr>
          <w:i/>
          <w:iCs/>
          <w:lang w:val="ru-RU"/>
        </w:rPr>
        <w:t xml:space="preserve"> </w:t>
      </w:r>
      <w:r>
        <w:rPr>
          <w:i/>
          <w:iCs/>
        </w:rPr>
        <w:t>presence</w:t>
      </w:r>
      <w:r w:rsidRPr="001119AF">
        <w:rPr>
          <w:lang w:val="ru-RU"/>
        </w:rPr>
        <w:t xml:space="preserve">, </w:t>
      </w:r>
      <w:r>
        <w:t>p</w:t>
      </w:r>
      <w:r w:rsidRPr="001119AF">
        <w:rPr>
          <w:lang w:val="ru-RU"/>
        </w:rPr>
        <w:t xml:space="preserve">.165, </w:t>
      </w:r>
      <w:r>
        <w:rPr>
          <w:lang w:val="ru-RU"/>
        </w:rPr>
        <w:t>о</w:t>
      </w:r>
      <w:r w:rsidRPr="001119AF">
        <w:rPr>
          <w:lang w:val="ru-RU"/>
        </w:rPr>
        <w:t xml:space="preserve"> </w:t>
      </w:r>
      <w:r>
        <w:rPr>
          <w:lang w:val="ru-RU"/>
        </w:rPr>
        <w:t>распределении</w:t>
      </w:r>
      <w:r w:rsidRPr="001119AF">
        <w:rPr>
          <w:lang w:val="ru-RU"/>
        </w:rPr>
        <w:t xml:space="preserve"> времени </w:t>
      </w:r>
      <w:r>
        <w:rPr>
          <w:lang w:val="ru-RU"/>
        </w:rPr>
        <w:t>по</w:t>
      </w:r>
      <w:r w:rsidRPr="001119AF">
        <w:rPr>
          <w:lang w:val="ru-RU"/>
        </w:rPr>
        <w:t xml:space="preserve"> кластер</w:t>
      </w:r>
      <w:r>
        <w:rPr>
          <w:lang w:val="ru-RU"/>
        </w:rPr>
        <w:t>ам</w:t>
      </w:r>
      <w:r w:rsidRPr="001119AF">
        <w:rPr>
          <w:lang w:val="ru-RU"/>
        </w:rPr>
        <w:t xml:space="preserve"> в 2019 году всем персоналом в РО и </w:t>
      </w:r>
      <w:r>
        <w:rPr>
          <w:lang w:val="ru-RU"/>
        </w:rPr>
        <w:t>З</w:t>
      </w:r>
      <w:r w:rsidRPr="001119AF">
        <w:rPr>
          <w:lang w:val="ru-RU"/>
        </w:rPr>
        <w:t>О.</w:t>
      </w:r>
    </w:p>
  </w:footnote>
  <w:footnote w:id="73">
    <w:p w14:paraId="5A9FD0CF" w14:textId="741D2B50" w:rsidR="002B0D90" w:rsidRPr="00916CDF" w:rsidRDefault="002B0D90" w:rsidP="002B0D90">
      <w:pPr>
        <w:pStyle w:val="FootnoteText"/>
        <w:rPr>
          <w:highlight w:val="lightGray"/>
          <w:lang w:val="ru-RU"/>
        </w:rPr>
      </w:pPr>
      <w:r>
        <w:rPr>
          <w:rStyle w:val="FootnoteReference"/>
        </w:rPr>
        <w:footnoteRef/>
      </w:r>
      <w:r w:rsidRPr="002121B0">
        <w:rPr>
          <w:lang w:val="ru-RU"/>
        </w:rPr>
        <w:t xml:space="preserve"> На основе общих затрат </w:t>
      </w:r>
      <w:r>
        <w:rPr>
          <w:lang w:val="ru-RU"/>
        </w:rPr>
        <w:t>по персоналу</w:t>
      </w:r>
      <w:r w:rsidRPr="002121B0">
        <w:rPr>
          <w:lang w:val="ru-RU"/>
        </w:rPr>
        <w:t xml:space="preserve"> </w:t>
      </w:r>
      <w:r>
        <w:rPr>
          <w:lang w:val="ru-RU"/>
        </w:rPr>
        <w:t>в</w:t>
      </w:r>
      <w:r w:rsidRPr="002121B0">
        <w:rPr>
          <w:lang w:val="ru-RU"/>
        </w:rPr>
        <w:t xml:space="preserve"> год, закончившийся 31 декабря 2017 года, в размере 148</w:t>
      </w:r>
      <w:r w:rsidR="006026DB">
        <w:rPr>
          <w:lang w:val="en-US"/>
        </w:rPr>
        <w:t> </w:t>
      </w:r>
      <w:r w:rsidRPr="002121B0">
        <w:rPr>
          <w:lang w:val="ru-RU"/>
        </w:rPr>
        <w:t>748</w:t>
      </w:r>
      <w:r w:rsidR="006026DB">
        <w:rPr>
          <w:lang w:val="en-US"/>
        </w:rPr>
        <w:t> </w:t>
      </w:r>
      <w:r w:rsidRPr="002121B0">
        <w:rPr>
          <w:lang w:val="ru-RU"/>
        </w:rPr>
        <w:t>000 швейцарских франков, как указано в</w:t>
      </w:r>
      <w:r w:rsidRPr="00916CDF">
        <w:rPr>
          <w:lang w:val="ru-RU"/>
        </w:rPr>
        <w:t xml:space="preserve"> </w:t>
      </w:r>
      <w:r w:rsidRPr="002121B0">
        <w:rPr>
          <w:lang w:val="ru-RU"/>
        </w:rPr>
        <w:t>Документ</w:t>
      </w:r>
      <w:r>
        <w:rPr>
          <w:lang w:val="ru-RU"/>
        </w:rPr>
        <w:t>е</w:t>
      </w:r>
      <w:r w:rsidRPr="002121B0">
        <w:rPr>
          <w:lang w:val="ru-RU"/>
        </w:rPr>
        <w:t xml:space="preserve"> </w:t>
      </w:r>
      <w:r w:rsidRPr="006B1F90">
        <w:t>C</w:t>
      </w:r>
      <w:r w:rsidRPr="002121B0">
        <w:rPr>
          <w:lang w:val="ru-RU"/>
        </w:rPr>
        <w:t>18/42</w:t>
      </w:r>
      <w:r>
        <w:rPr>
          <w:lang w:val="ru-RU"/>
        </w:rPr>
        <w:t xml:space="preserve"> Совета 2018 года </w:t>
      </w:r>
      <w:r w:rsidRPr="00916CDF">
        <w:rPr>
          <w:lang w:val="ru-RU"/>
        </w:rPr>
        <w:t>"</w:t>
      </w:r>
      <w:r>
        <w:rPr>
          <w:lang w:val="ru-RU"/>
        </w:rPr>
        <w:t>О</w:t>
      </w:r>
      <w:r w:rsidRPr="002121B0">
        <w:rPr>
          <w:lang w:val="ru-RU"/>
        </w:rPr>
        <w:t>тчет о финансовой деятельности за 2017 финансовый год (</w:t>
      </w:r>
      <w:r w:rsidRPr="002121B0">
        <w:rPr>
          <w:i/>
          <w:iCs/>
          <w:lang w:val="ru-RU"/>
        </w:rPr>
        <w:t>непроверенный</w:t>
      </w:r>
      <w:r w:rsidRPr="002121B0">
        <w:rPr>
          <w:lang w:val="ru-RU"/>
        </w:rPr>
        <w:t>)</w:t>
      </w:r>
      <w:r w:rsidRPr="00916CDF">
        <w:rPr>
          <w:lang w:val="ru-RU"/>
        </w:rPr>
        <w:t>"</w:t>
      </w:r>
      <w:r>
        <w:rPr>
          <w:lang w:val="ru-RU"/>
        </w:rPr>
        <w:t>.</w:t>
      </w:r>
    </w:p>
  </w:footnote>
  <w:footnote w:id="74">
    <w:p w14:paraId="401A78DB" w14:textId="70283C6A" w:rsidR="002B0D90" w:rsidRPr="00916CDF" w:rsidRDefault="002B0D90" w:rsidP="002B0D90">
      <w:pPr>
        <w:pStyle w:val="FootnoteText"/>
        <w:rPr>
          <w:highlight w:val="lightGray"/>
          <w:lang w:val="ru-RU"/>
        </w:rPr>
      </w:pPr>
      <w:r w:rsidRPr="003B7517">
        <w:rPr>
          <w:rStyle w:val="FootnoteReference"/>
        </w:rPr>
        <w:footnoteRef/>
      </w:r>
      <w:r w:rsidRPr="003B7517">
        <w:rPr>
          <w:lang w:val="ru-RU"/>
        </w:rPr>
        <w:t xml:space="preserve"> На основе общих затрат по персоналу в год, закончившийся 31 декабря 201</w:t>
      </w:r>
      <w:r>
        <w:rPr>
          <w:lang w:val="ru-RU"/>
        </w:rPr>
        <w:t>9</w:t>
      </w:r>
      <w:r w:rsidRPr="003B7517">
        <w:rPr>
          <w:lang w:val="ru-RU"/>
        </w:rPr>
        <w:t xml:space="preserve"> года, в размере 203</w:t>
      </w:r>
      <w:r w:rsidR="006026DB">
        <w:rPr>
          <w:lang w:val="en-US"/>
        </w:rPr>
        <w:t> </w:t>
      </w:r>
      <w:r w:rsidRPr="003B7517">
        <w:rPr>
          <w:lang w:val="ru-RU"/>
        </w:rPr>
        <w:t>942</w:t>
      </w:r>
      <w:r>
        <w:rPr>
          <w:lang w:val="ru-RU"/>
        </w:rPr>
        <w:t> </w:t>
      </w:r>
      <w:r w:rsidRPr="003B7517">
        <w:rPr>
          <w:lang w:val="ru-RU"/>
        </w:rPr>
        <w:t>000</w:t>
      </w:r>
      <w:r>
        <w:rPr>
          <w:lang w:val="ru-RU"/>
        </w:rPr>
        <w:t xml:space="preserve"> </w:t>
      </w:r>
      <w:r w:rsidRPr="003B7517">
        <w:rPr>
          <w:lang w:val="ru-RU"/>
        </w:rPr>
        <w:t>швейцарских франков, как указано в</w:t>
      </w:r>
      <w:r w:rsidRPr="00916CDF">
        <w:rPr>
          <w:lang w:val="ru-RU"/>
        </w:rPr>
        <w:t xml:space="preserve"> </w:t>
      </w:r>
      <w:r w:rsidRPr="003B7517">
        <w:rPr>
          <w:lang w:val="ru-RU"/>
        </w:rPr>
        <w:t>Документ</w:t>
      </w:r>
      <w:r>
        <w:rPr>
          <w:lang w:val="ru-RU"/>
        </w:rPr>
        <w:t>е</w:t>
      </w:r>
      <w:r w:rsidRPr="003B7517">
        <w:rPr>
          <w:lang w:val="ru-RU"/>
        </w:rPr>
        <w:t xml:space="preserve"> </w:t>
      </w:r>
      <w:r w:rsidRPr="003B7517">
        <w:t>C</w:t>
      </w:r>
      <w:r>
        <w:rPr>
          <w:lang w:val="ru-RU"/>
        </w:rPr>
        <w:t>20</w:t>
      </w:r>
      <w:r w:rsidRPr="003B7517">
        <w:rPr>
          <w:lang w:val="ru-RU"/>
        </w:rPr>
        <w:t>/42</w:t>
      </w:r>
      <w:r>
        <w:rPr>
          <w:lang w:val="ru-RU"/>
        </w:rPr>
        <w:t xml:space="preserve"> Совета 2020 года</w:t>
      </w:r>
      <w:r w:rsidRPr="003B7517">
        <w:rPr>
          <w:lang w:val="ru-RU"/>
        </w:rPr>
        <w:t xml:space="preserve"> </w:t>
      </w:r>
      <w:r w:rsidRPr="00916CDF">
        <w:rPr>
          <w:lang w:val="ru-RU"/>
        </w:rPr>
        <w:t>"</w:t>
      </w:r>
      <w:r w:rsidRPr="003B7517">
        <w:rPr>
          <w:lang w:val="ru-RU"/>
        </w:rPr>
        <w:t>Отчет о финансовой деятельности за 201</w:t>
      </w:r>
      <w:r>
        <w:rPr>
          <w:lang w:val="ru-RU"/>
        </w:rPr>
        <w:t>9</w:t>
      </w:r>
      <w:r w:rsidRPr="003B7517">
        <w:rPr>
          <w:lang w:val="ru-RU"/>
        </w:rPr>
        <w:t xml:space="preserve"> финансовый год (</w:t>
      </w:r>
      <w:r w:rsidRPr="003B7517">
        <w:rPr>
          <w:i/>
          <w:iCs/>
          <w:lang w:val="ru-RU"/>
        </w:rPr>
        <w:t>непроверенный</w:t>
      </w:r>
      <w:r w:rsidRPr="003B7517">
        <w:rPr>
          <w:lang w:val="ru-RU"/>
        </w:rPr>
        <w:t>)</w:t>
      </w:r>
      <w:r w:rsidRPr="00916CDF">
        <w:rPr>
          <w:lang w:val="ru-RU"/>
        </w:rPr>
        <w:t>"</w:t>
      </w:r>
      <w:r w:rsidRPr="003B7517">
        <w:rPr>
          <w:lang w:val="ru-RU"/>
        </w:rPr>
        <w:t>.</w:t>
      </w:r>
    </w:p>
  </w:footnote>
  <w:footnote w:id="75">
    <w:p w14:paraId="529B335D" w14:textId="77777777" w:rsidR="002B0D90" w:rsidRPr="001119AF" w:rsidRDefault="002B0D90" w:rsidP="002B0D90">
      <w:pPr>
        <w:pStyle w:val="FootnoteText"/>
        <w:rPr>
          <w:lang w:val="ru-RU"/>
        </w:rPr>
      </w:pPr>
      <w:r w:rsidRPr="003720F2">
        <w:rPr>
          <w:rStyle w:val="FootnoteReference"/>
        </w:rPr>
        <w:footnoteRef/>
      </w:r>
      <w:r w:rsidRPr="003720F2">
        <w:rPr>
          <w:lang w:val="ru-RU"/>
        </w:rPr>
        <w:t xml:space="preserve"> Тем</w:t>
      </w:r>
      <w:r>
        <w:rPr>
          <w:lang w:val="ru-RU"/>
        </w:rPr>
        <w:t xml:space="preserve"> не менее</w:t>
      </w:r>
      <w:r w:rsidRPr="00664721">
        <w:rPr>
          <w:lang w:val="ru-RU"/>
        </w:rPr>
        <w:t xml:space="preserve">, как отмечалось выше, </w:t>
      </w:r>
      <w:r w:rsidRPr="000D56CF">
        <w:rPr>
          <w:lang w:val="ru-RU"/>
        </w:rPr>
        <w:t xml:space="preserve">также должны приниматься во внимание </w:t>
      </w:r>
      <w:r>
        <w:rPr>
          <w:lang w:val="ru-RU"/>
        </w:rPr>
        <w:t xml:space="preserve">значительные </w:t>
      </w:r>
      <w:r w:rsidRPr="00664721">
        <w:rPr>
          <w:lang w:val="ru-RU"/>
        </w:rPr>
        <w:t xml:space="preserve">нематериальные </w:t>
      </w:r>
      <w:r w:rsidRPr="00795813">
        <w:rPr>
          <w:lang w:val="ru-RU"/>
        </w:rPr>
        <w:t>репутационные выгоды как причина, по которой ЦПМ могут захотеть становиться членами сети. Их полная стоимость не была определена, но должна быть легко доступна внутри МСЭ.</w:t>
      </w:r>
    </w:p>
  </w:footnote>
  <w:footnote w:id="76">
    <w:p w14:paraId="270E4D67" w14:textId="52A2A5F1" w:rsidR="002B0D90" w:rsidRPr="00795813" w:rsidRDefault="002B0D90" w:rsidP="002B0D90">
      <w:pPr>
        <w:pStyle w:val="FootnoteText"/>
        <w:rPr>
          <w:lang w:val="ru-RU"/>
        </w:rPr>
      </w:pPr>
      <w:r w:rsidRPr="00795813">
        <w:rPr>
          <w:rStyle w:val="FootnoteReference"/>
        </w:rPr>
        <w:footnoteRef/>
      </w:r>
      <w:r w:rsidRPr="00795813">
        <w:rPr>
          <w:lang w:val="ru-RU"/>
        </w:rPr>
        <w:t xml:space="preserve"> Эти цифры </w:t>
      </w:r>
      <w:r>
        <w:rPr>
          <w:lang w:val="ru-RU"/>
        </w:rPr>
        <w:t>можно</w:t>
      </w:r>
      <w:r w:rsidRPr="00795813">
        <w:rPr>
          <w:lang w:val="ru-RU"/>
        </w:rPr>
        <w:t xml:space="preserve"> </w:t>
      </w:r>
      <w:r>
        <w:rPr>
          <w:lang w:val="ru-RU"/>
        </w:rPr>
        <w:t>вывести</w:t>
      </w:r>
      <w:r w:rsidRPr="00795813">
        <w:rPr>
          <w:lang w:val="ru-RU"/>
        </w:rPr>
        <w:t xml:space="preserve"> </w:t>
      </w:r>
      <w:r>
        <w:rPr>
          <w:lang w:val="ru-RU"/>
        </w:rPr>
        <w:t>из</w:t>
      </w:r>
      <w:r w:rsidRPr="00795813">
        <w:rPr>
          <w:lang w:val="ru-RU"/>
        </w:rPr>
        <w:t xml:space="preserve"> </w:t>
      </w:r>
      <w:r>
        <w:rPr>
          <w:lang w:val="ru-RU"/>
        </w:rPr>
        <w:t>цифр</w:t>
      </w:r>
      <w:r w:rsidRPr="00795813">
        <w:rPr>
          <w:lang w:val="ru-RU"/>
        </w:rPr>
        <w:t>, представлен</w:t>
      </w:r>
      <w:r>
        <w:rPr>
          <w:lang w:val="ru-RU"/>
        </w:rPr>
        <w:t>ных</w:t>
      </w:r>
      <w:r w:rsidRPr="00795813">
        <w:rPr>
          <w:lang w:val="ru-RU"/>
        </w:rPr>
        <w:t xml:space="preserve"> в </w:t>
      </w:r>
      <w:r>
        <w:rPr>
          <w:lang w:val="ru-RU"/>
        </w:rPr>
        <w:t>Т</w:t>
      </w:r>
      <w:r w:rsidRPr="00795813">
        <w:rPr>
          <w:lang w:val="ru-RU"/>
        </w:rPr>
        <w:t>аблице 1.</w:t>
      </w:r>
    </w:p>
  </w:footnote>
  <w:footnote w:id="77">
    <w:p w14:paraId="6ABC415B" w14:textId="77777777" w:rsidR="002B0D90" w:rsidRPr="001119AF" w:rsidRDefault="002B0D90" w:rsidP="002B0D90">
      <w:pPr>
        <w:pStyle w:val="FootnoteText"/>
        <w:rPr>
          <w:highlight w:val="lightGray"/>
          <w:lang w:val="ru-RU"/>
        </w:rPr>
      </w:pPr>
      <w:r>
        <w:rPr>
          <w:rStyle w:val="FootnoteReference"/>
        </w:rPr>
        <w:footnoteRef/>
      </w:r>
      <w:r w:rsidRPr="00EF0B5E">
        <w:rPr>
          <w:lang w:val="ru-RU"/>
        </w:rPr>
        <w:t xml:space="preserve"> Под Америкой здесь подразумеваются не только США, но и Канад</w:t>
      </w:r>
      <w:r>
        <w:rPr>
          <w:lang w:val="ru-RU"/>
        </w:rPr>
        <w:t>а</w:t>
      </w:r>
      <w:r w:rsidRPr="00EF0B5E">
        <w:rPr>
          <w:lang w:val="ru-RU"/>
        </w:rPr>
        <w:t xml:space="preserve"> и Латинск</w:t>
      </w:r>
      <w:r>
        <w:rPr>
          <w:lang w:val="ru-RU"/>
        </w:rPr>
        <w:t>ая</w:t>
      </w:r>
      <w:r w:rsidRPr="00EF0B5E">
        <w:rPr>
          <w:lang w:val="ru-RU"/>
        </w:rPr>
        <w:t xml:space="preserve"> Америк</w:t>
      </w:r>
      <w:r>
        <w:rPr>
          <w:lang w:val="ru-RU"/>
        </w:rPr>
        <w:t>а</w:t>
      </w:r>
      <w:r w:rsidRPr="00EF0B5E">
        <w:rPr>
          <w:lang w:val="ru-RU"/>
        </w:rPr>
        <w:t>.</w:t>
      </w:r>
    </w:p>
  </w:footnote>
  <w:footnote w:id="78">
    <w:p w14:paraId="53243133" w14:textId="77777777" w:rsidR="002B0D90" w:rsidRPr="00B41F77" w:rsidRDefault="002B0D90" w:rsidP="002B0D90">
      <w:pPr>
        <w:pStyle w:val="FootnoteText"/>
        <w:rPr>
          <w:lang w:val="ru-RU"/>
        </w:rPr>
      </w:pPr>
      <w:r w:rsidRPr="00B41F77">
        <w:rPr>
          <w:rStyle w:val="FootnoteReference"/>
        </w:rPr>
        <w:footnoteRef/>
      </w:r>
      <w:r w:rsidRPr="00B41F77">
        <w:rPr>
          <w:lang w:val="ru-RU"/>
        </w:rPr>
        <w:t xml:space="preserve"> Доля МСЭ от вклада партнера для финансирования его внутреннего функционирования.</w:t>
      </w:r>
    </w:p>
  </w:footnote>
  <w:footnote w:id="79">
    <w:p w14:paraId="2E805602" w14:textId="77777777" w:rsidR="002B0D90" w:rsidRPr="00B41F77" w:rsidRDefault="002B0D90" w:rsidP="002B0D90">
      <w:pPr>
        <w:pStyle w:val="FootnoteText"/>
        <w:rPr>
          <w:lang w:val="ru-RU"/>
        </w:rPr>
      </w:pPr>
      <w:r w:rsidRPr="00B41F77">
        <w:rPr>
          <w:rStyle w:val="FootnoteReference"/>
        </w:rPr>
        <w:footnoteRef/>
      </w:r>
      <w:r w:rsidRPr="00B41F77">
        <w:rPr>
          <w:lang w:val="ru-RU"/>
        </w:rPr>
        <w:t xml:space="preserve"> Полная стоимость не была определена, но должна быть легко доступна внутри МСЭ.</w:t>
      </w:r>
    </w:p>
  </w:footnote>
  <w:footnote w:id="80">
    <w:p w14:paraId="0C705476" w14:textId="77777777" w:rsidR="002B0D90" w:rsidRPr="001119AF" w:rsidRDefault="002B0D90" w:rsidP="002B0D90">
      <w:pPr>
        <w:pStyle w:val="FootnoteText"/>
        <w:rPr>
          <w:lang w:val="ru-RU"/>
        </w:rPr>
      </w:pPr>
      <w:r>
        <w:rPr>
          <w:rStyle w:val="FootnoteReference"/>
        </w:rPr>
        <w:footnoteRef/>
      </w:r>
      <w:r w:rsidRPr="000E5C3A">
        <w:rPr>
          <w:lang w:val="ru-RU"/>
        </w:rPr>
        <w:t xml:space="preserve"> Возможно, эта информация действительно доступна руковод</w:t>
      </w:r>
      <w:r>
        <w:rPr>
          <w:lang w:val="ru-RU"/>
        </w:rPr>
        <w:t xml:space="preserve">ству </w:t>
      </w:r>
      <w:r w:rsidRPr="000E5C3A">
        <w:rPr>
          <w:lang w:val="ru-RU"/>
        </w:rPr>
        <w:t>каждо</w:t>
      </w:r>
      <w:r>
        <w:rPr>
          <w:lang w:val="ru-RU"/>
        </w:rPr>
        <w:t>го</w:t>
      </w:r>
      <w:r w:rsidRPr="000E5C3A">
        <w:rPr>
          <w:lang w:val="ru-RU"/>
        </w:rPr>
        <w:t xml:space="preserve"> Сектор</w:t>
      </w:r>
      <w:r>
        <w:rPr>
          <w:lang w:val="ru-RU"/>
        </w:rPr>
        <w:t>а</w:t>
      </w:r>
      <w:r w:rsidRPr="000E5C3A">
        <w:rPr>
          <w:lang w:val="ru-RU"/>
        </w:rPr>
        <w:t>, но мы не были осведомлены о</w:t>
      </w:r>
      <w:r>
        <w:rPr>
          <w:lang w:val="ru-RU"/>
        </w:rPr>
        <w:t xml:space="preserve"> ней</w:t>
      </w:r>
      <w:r w:rsidRPr="000E5C3A">
        <w:rPr>
          <w:lang w:val="ru-RU"/>
        </w:rPr>
        <w:t xml:space="preserve">. </w:t>
      </w:r>
      <w:r w:rsidRPr="001119AF">
        <w:rPr>
          <w:lang w:val="ru-RU"/>
        </w:rPr>
        <w:t>Большая часть приближени</w:t>
      </w:r>
      <w:r>
        <w:rPr>
          <w:lang w:val="ru-RU"/>
        </w:rPr>
        <w:t>й</w:t>
      </w:r>
      <w:r w:rsidRPr="001119AF">
        <w:rPr>
          <w:lang w:val="ru-RU"/>
        </w:rPr>
        <w:t xml:space="preserve"> основана на цифрах для </w:t>
      </w:r>
      <w:r>
        <w:rPr>
          <w:lang w:val="ru-RU"/>
        </w:rPr>
        <w:t>БРЭ</w:t>
      </w:r>
      <w:r w:rsidRPr="001119AF">
        <w:rPr>
          <w:lang w:val="ru-RU"/>
        </w:rPr>
        <w:t>.</w:t>
      </w:r>
    </w:p>
  </w:footnote>
  <w:footnote w:id="81">
    <w:p w14:paraId="4C64DC27" w14:textId="0C998DFE" w:rsidR="002B0D90" w:rsidRPr="001119AF" w:rsidRDefault="002B0D90" w:rsidP="002B0D90">
      <w:pPr>
        <w:pStyle w:val="FootnoteText"/>
        <w:rPr>
          <w:lang w:val="ru-RU"/>
        </w:rPr>
      </w:pPr>
      <w:r>
        <w:rPr>
          <w:rStyle w:val="FootnoteReference"/>
        </w:rPr>
        <w:footnoteRef/>
      </w:r>
      <w:r w:rsidR="004B77F6" w:rsidRPr="004B77F6">
        <w:rPr>
          <w:lang w:val="ru-RU"/>
        </w:rPr>
        <w:t xml:space="preserve"> </w:t>
      </w:r>
      <w:r>
        <w:rPr>
          <w:lang w:val="ru-RU"/>
        </w:rPr>
        <w:t>Все приведенные ниже</w:t>
      </w:r>
      <w:r w:rsidRPr="00DB00BC">
        <w:rPr>
          <w:lang w:val="ru-RU"/>
        </w:rPr>
        <w:t xml:space="preserve"> цитаты</w:t>
      </w:r>
      <w:r>
        <w:rPr>
          <w:lang w:val="ru-RU"/>
        </w:rPr>
        <w:t xml:space="preserve"> – цитаты</w:t>
      </w:r>
      <w:r w:rsidRPr="00DB00BC">
        <w:rPr>
          <w:lang w:val="ru-RU"/>
        </w:rPr>
        <w:t xml:space="preserve"> участников </w:t>
      </w:r>
      <w:r>
        <w:rPr>
          <w:lang w:val="ru-RU"/>
        </w:rPr>
        <w:t>обследований</w:t>
      </w:r>
      <w:r w:rsidRPr="00DB00BC">
        <w:rPr>
          <w:lang w:val="ru-RU"/>
        </w:rPr>
        <w:t>.</w:t>
      </w:r>
    </w:p>
  </w:footnote>
  <w:footnote w:id="82">
    <w:p w14:paraId="545EA13A" w14:textId="1581D7F7" w:rsidR="002B0D90" w:rsidRPr="001119AF" w:rsidRDefault="002B0D90" w:rsidP="002B0D90">
      <w:pPr>
        <w:pStyle w:val="FootnoteText"/>
        <w:rPr>
          <w:lang w:val="ru-RU"/>
        </w:rPr>
      </w:pPr>
      <w:r>
        <w:rPr>
          <w:rStyle w:val="FootnoteReference"/>
        </w:rPr>
        <w:footnoteRef/>
      </w:r>
      <w:r w:rsidRPr="00354F5D">
        <w:rPr>
          <w:lang w:val="ru-RU"/>
        </w:rPr>
        <w:t xml:space="preserve"> </w:t>
      </w:r>
      <w:r>
        <w:rPr>
          <w:lang w:val="ru-RU"/>
        </w:rPr>
        <w:t>Данная</w:t>
      </w:r>
      <w:r w:rsidRPr="00354F5D">
        <w:rPr>
          <w:lang w:val="ru-RU"/>
        </w:rPr>
        <w:t xml:space="preserve"> формулировка используется здесь, потому что в первом предложении </w:t>
      </w:r>
      <w:r>
        <w:rPr>
          <w:lang w:val="ru-RU"/>
        </w:rPr>
        <w:t>веб-</w:t>
      </w:r>
      <w:r w:rsidRPr="00354F5D">
        <w:rPr>
          <w:lang w:val="ru-RU"/>
        </w:rPr>
        <w:t xml:space="preserve">страницы </w:t>
      </w:r>
      <w:r w:rsidRPr="002C6F8B">
        <w:rPr>
          <w:lang w:val="ru-RU"/>
        </w:rPr>
        <w:t>"</w:t>
      </w:r>
      <w:r w:rsidRPr="00354F5D">
        <w:rPr>
          <w:lang w:val="ru-RU"/>
        </w:rPr>
        <w:t>О</w:t>
      </w:r>
      <w:r w:rsidR="006026DB">
        <w:rPr>
          <w:lang w:val="en-US"/>
        </w:rPr>
        <w:t> </w:t>
      </w:r>
      <w:r>
        <w:rPr>
          <w:lang w:val="ru-RU"/>
        </w:rPr>
        <w:t>Международном союзе электросвязи (МСЭ)</w:t>
      </w:r>
      <w:r w:rsidRPr="002C6F8B">
        <w:rPr>
          <w:lang w:val="ru-RU"/>
        </w:rPr>
        <w:t>"</w:t>
      </w:r>
      <w:r w:rsidRPr="00354F5D">
        <w:rPr>
          <w:lang w:val="ru-RU"/>
        </w:rPr>
        <w:t xml:space="preserve"> веб-сайт</w:t>
      </w:r>
      <w:r>
        <w:rPr>
          <w:lang w:val="ru-RU"/>
        </w:rPr>
        <w:t>а</w:t>
      </w:r>
      <w:r w:rsidRPr="00354F5D">
        <w:rPr>
          <w:lang w:val="ru-RU"/>
        </w:rPr>
        <w:t xml:space="preserve"> МСЭ говорится, что </w:t>
      </w:r>
      <w:r w:rsidRPr="002C6F8B">
        <w:rPr>
          <w:lang w:val="ru-RU"/>
        </w:rPr>
        <w:t>"</w:t>
      </w:r>
      <w:r w:rsidRPr="002F2491">
        <w:rPr>
          <w:lang w:val="ru-RU"/>
        </w:rPr>
        <w:t>МСЭ является специализированным учреждением Организации Объединенных Наций в области информационно-коммуникационных технологий (ИКТ)</w:t>
      </w:r>
      <w:r w:rsidRPr="002C6F8B">
        <w:rPr>
          <w:lang w:val="ru-RU"/>
        </w:rPr>
        <w:t>"</w:t>
      </w:r>
      <w:r w:rsidRPr="00354F5D">
        <w:rPr>
          <w:lang w:val="ru-RU"/>
        </w:rPr>
        <w:t xml:space="preserve"> (</w:t>
      </w:r>
      <w:r w:rsidR="00D577E1">
        <w:fldChar w:fldCharType="begin"/>
      </w:r>
      <w:r w:rsidR="00D577E1" w:rsidRPr="00D577E1">
        <w:rPr>
          <w:lang w:val="ru-RU"/>
        </w:rPr>
        <w:instrText xml:space="preserve"> </w:instrText>
      </w:r>
      <w:r w:rsidR="00D577E1">
        <w:instrText>HYPERLINK</w:instrText>
      </w:r>
      <w:r w:rsidR="00D577E1" w:rsidRPr="00D577E1">
        <w:rPr>
          <w:lang w:val="ru-RU"/>
        </w:rPr>
        <w:instrText xml:space="preserve"> "</w:instrText>
      </w:r>
      <w:r w:rsidR="00D577E1">
        <w:instrText>https</w:instrText>
      </w:r>
      <w:r w:rsidR="00D577E1" w:rsidRPr="00D577E1">
        <w:rPr>
          <w:lang w:val="ru-RU"/>
        </w:rPr>
        <w:instrText>://</w:instrText>
      </w:r>
      <w:r w:rsidR="00D577E1">
        <w:instrText>www</w:instrText>
      </w:r>
      <w:r w:rsidR="00D577E1" w:rsidRPr="00D577E1">
        <w:rPr>
          <w:lang w:val="ru-RU"/>
        </w:rPr>
        <w:instrText>.</w:instrText>
      </w:r>
      <w:r w:rsidR="00D577E1">
        <w:instrText>itu</w:instrText>
      </w:r>
      <w:r w:rsidR="00D577E1" w:rsidRPr="00D577E1">
        <w:rPr>
          <w:lang w:val="ru-RU"/>
        </w:rPr>
        <w:instrText>.</w:instrText>
      </w:r>
      <w:r w:rsidR="00D577E1">
        <w:instrText>int</w:instrText>
      </w:r>
      <w:r w:rsidR="00D577E1" w:rsidRPr="00D577E1">
        <w:rPr>
          <w:lang w:val="ru-RU"/>
        </w:rPr>
        <w:instrText>/</w:instrText>
      </w:r>
      <w:r w:rsidR="00D577E1">
        <w:instrText>ru</w:instrText>
      </w:r>
      <w:r w:rsidR="00D577E1" w:rsidRPr="00D577E1">
        <w:rPr>
          <w:lang w:val="ru-RU"/>
        </w:rPr>
        <w:instrText>/</w:instrText>
      </w:r>
      <w:r w:rsidR="00D577E1">
        <w:instrText>about</w:instrText>
      </w:r>
      <w:r w:rsidR="00D577E1" w:rsidRPr="00D577E1">
        <w:rPr>
          <w:lang w:val="ru-RU"/>
        </w:rPr>
        <w:instrText>/</w:instrText>
      </w:r>
      <w:r w:rsidR="00D577E1">
        <w:instrText>Pages</w:instrText>
      </w:r>
      <w:r w:rsidR="00D577E1" w:rsidRPr="00D577E1">
        <w:rPr>
          <w:lang w:val="ru-RU"/>
        </w:rPr>
        <w:instrText xml:space="preserve">" </w:instrText>
      </w:r>
      <w:r w:rsidR="00D577E1">
        <w:fldChar w:fldCharType="separate"/>
      </w:r>
      <w:r w:rsidR="00F64BEE" w:rsidRPr="009F3CE7">
        <w:rPr>
          <w:rStyle w:val="Hyperlink"/>
        </w:rPr>
        <w:t>https</w:t>
      </w:r>
      <w:r w:rsidR="00F64BEE" w:rsidRPr="009F3CE7">
        <w:rPr>
          <w:rStyle w:val="Hyperlink"/>
          <w:lang w:val="ru-RU"/>
        </w:rPr>
        <w:t>://</w:t>
      </w:r>
      <w:r w:rsidR="00F64BEE" w:rsidRPr="009F3CE7">
        <w:rPr>
          <w:rStyle w:val="Hyperlink"/>
        </w:rPr>
        <w:t>www</w:t>
      </w:r>
      <w:r w:rsidR="00F64BEE" w:rsidRPr="009F3CE7">
        <w:rPr>
          <w:rStyle w:val="Hyperlink"/>
          <w:lang w:val="ru-RU"/>
        </w:rPr>
        <w:t>.</w:t>
      </w:r>
      <w:r w:rsidR="00F64BEE" w:rsidRPr="009F3CE7">
        <w:rPr>
          <w:rStyle w:val="Hyperlink"/>
        </w:rPr>
        <w:t>itu</w:t>
      </w:r>
      <w:r w:rsidR="00F64BEE" w:rsidRPr="009F3CE7">
        <w:rPr>
          <w:rStyle w:val="Hyperlink"/>
          <w:lang w:val="ru-RU"/>
        </w:rPr>
        <w:t>.</w:t>
      </w:r>
      <w:r w:rsidR="00F64BEE" w:rsidRPr="009F3CE7">
        <w:rPr>
          <w:rStyle w:val="Hyperlink"/>
        </w:rPr>
        <w:t>int</w:t>
      </w:r>
      <w:r w:rsidR="00F64BEE" w:rsidRPr="009F3CE7">
        <w:rPr>
          <w:rStyle w:val="Hyperlink"/>
          <w:lang w:val="ru-RU"/>
        </w:rPr>
        <w:t>/</w:t>
      </w:r>
      <w:r w:rsidR="00F64BEE" w:rsidRPr="009F3CE7">
        <w:rPr>
          <w:rStyle w:val="Hyperlink"/>
          <w:lang w:val="en-US"/>
        </w:rPr>
        <w:t>ru</w:t>
      </w:r>
      <w:r w:rsidR="00F64BEE" w:rsidRPr="009F3CE7">
        <w:rPr>
          <w:rStyle w:val="Hyperlink"/>
          <w:lang w:val="ru-RU"/>
        </w:rPr>
        <w:t>/</w:t>
      </w:r>
      <w:r w:rsidR="00F64BEE" w:rsidRPr="009F3CE7">
        <w:rPr>
          <w:rStyle w:val="Hyperlink"/>
        </w:rPr>
        <w:t>about</w:t>
      </w:r>
      <w:r w:rsidR="00F64BEE" w:rsidRPr="009F3CE7">
        <w:rPr>
          <w:rStyle w:val="Hyperlink"/>
          <w:lang w:val="ru-RU"/>
        </w:rPr>
        <w:t>/</w:t>
      </w:r>
      <w:r w:rsidR="00F64BEE" w:rsidRPr="009F3CE7">
        <w:rPr>
          <w:rStyle w:val="Hyperlink"/>
        </w:rPr>
        <w:t>Pages</w:t>
      </w:r>
      <w:r w:rsidR="00D577E1">
        <w:rPr>
          <w:rStyle w:val="Hyperlink"/>
        </w:rPr>
        <w:fldChar w:fldCharType="end"/>
      </w:r>
      <w:r w:rsidRPr="00354F5D">
        <w:rPr>
          <w:lang w:val="ru-RU"/>
        </w:rPr>
        <w:t xml:space="preserve">). </w:t>
      </w:r>
      <w:r>
        <w:rPr>
          <w:lang w:val="ru-RU"/>
        </w:rPr>
        <w:t>Эта</w:t>
      </w:r>
      <w:r w:rsidRPr="001119AF">
        <w:rPr>
          <w:lang w:val="ru-RU"/>
        </w:rPr>
        <w:t xml:space="preserve"> </w:t>
      </w:r>
      <w:r>
        <w:rPr>
          <w:lang w:val="ru-RU"/>
        </w:rPr>
        <w:t>формулировка</w:t>
      </w:r>
      <w:r w:rsidRPr="001119AF">
        <w:rPr>
          <w:lang w:val="ru-RU"/>
        </w:rPr>
        <w:t xml:space="preserve"> охват</w:t>
      </w:r>
      <w:r>
        <w:rPr>
          <w:lang w:val="ru-RU"/>
        </w:rPr>
        <w:t>ывает</w:t>
      </w:r>
      <w:r w:rsidRPr="001119AF">
        <w:rPr>
          <w:lang w:val="ru-RU"/>
        </w:rPr>
        <w:t xml:space="preserve"> все аспект</w:t>
      </w:r>
      <w:r>
        <w:rPr>
          <w:lang w:val="ru-RU"/>
        </w:rPr>
        <w:t>ы</w:t>
      </w:r>
      <w:r w:rsidRPr="001119AF">
        <w:rPr>
          <w:lang w:val="ru-RU"/>
        </w:rPr>
        <w:t xml:space="preserve"> работы МСЭ.</w:t>
      </w:r>
    </w:p>
  </w:footnote>
  <w:footnote w:id="83">
    <w:p w14:paraId="4D5C1ED6" w14:textId="77777777" w:rsidR="002B0D90" w:rsidRPr="004A66E8" w:rsidRDefault="002B0D90" w:rsidP="002B0D90">
      <w:pPr>
        <w:pStyle w:val="FootnoteText"/>
        <w:rPr>
          <w:lang w:val="ru-RU"/>
        </w:rPr>
      </w:pPr>
      <w:r>
        <w:rPr>
          <w:rStyle w:val="FootnoteReference"/>
        </w:rPr>
        <w:footnoteRef/>
      </w:r>
      <w:r w:rsidRPr="00021C93">
        <w:rPr>
          <w:lang w:val="ru-RU"/>
        </w:rPr>
        <w:t xml:space="preserve"> </w:t>
      </w:r>
      <w:r>
        <w:rPr>
          <w:lang w:val="ru-RU"/>
        </w:rPr>
        <w:t>Тем не менее</w:t>
      </w:r>
      <w:r w:rsidRPr="00021C93">
        <w:rPr>
          <w:lang w:val="ru-RU"/>
        </w:rPr>
        <w:t xml:space="preserve"> следует отметить предыдущий комментарий Государства-Члена </w:t>
      </w:r>
      <w:r>
        <w:rPr>
          <w:lang w:val="ru-RU"/>
        </w:rPr>
        <w:t xml:space="preserve">о </w:t>
      </w:r>
      <w:r w:rsidRPr="00B56661">
        <w:rPr>
          <w:lang w:val="ru-RU"/>
        </w:rPr>
        <w:t>финансов</w:t>
      </w:r>
      <w:r>
        <w:rPr>
          <w:lang w:val="ru-RU"/>
        </w:rPr>
        <w:t>ой</w:t>
      </w:r>
      <w:r w:rsidRPr="00B56661">
        <w:rPr>
          <w:lang w:val="ru-RU"/>
        </w:rPr>
        <w:t xml:space="preserve"> благонадежност</w:t>
      </w:r>
      <w:r>
        <w:rPr>
          <w:lang w:val="ru-RU"/>
        </w:rPr>
        <w:t>и</w:t>
      </w:r>
      <w:r w:rsidRPr="004A66E8">
        <w:rPr>
          <w:lang w:val="ru-RU"/>
        </w:rPr>
        <w:t>.</w:t>
      </w:r>
    </w:p>
  </w:footnote>
  <w:footnote w:id="84">
    <w:p w14:paraId="6217DFBE" w14:textId="77777777" w:rsidR="002B0D90" w:rsidRPr="001119AF" w:rsidRDefault="002B0D90" w:rsidP="002B0D90">
      <w:pPr>
        <w:pStyle w:val="FootnoteText"/>
        <w:rPr>
          <w:lang w:val="ru-RU"/>
        </w:rPr>
      </w:pPr>
      <w:r>
        <w:rPr>
          <w:rStyle w:val="FootnoteReference"/>
        </w:rPr>
        <w:footnoteRef/>
      </w:r>
      <w:r w:rsidRPr="00E415FE">
        <w:rPr>
          <w:lang w:val="ru-RU"/>
        </w:rPr>
        <w:t xml:space="preserve"> </w:t>
      </w:r>
      <w:r>
        <w:rPr>
          <w:lang w:val="ru-RU"/>
        </w:rPr>
        <w:t>П</w:t>
      </w:r>
      <w:r w:rsidRPr="00E415FE">
        <w:rPr>
          <w:lang w:val="ru-RU"/>
        </w:rPr>
        <w:t>ример</w:t>
      </w:r>
      <w:r>
        <w:rPr>
          <w:lang w:val="ru-RU"/>
        </w:rPr>
        <w:t>ом может быть</w:t>
      </w:r>
      <w:r w:rsidRPr="00E415FE">
        <w:rPr>
          <w:lang w:val="ru-RU"/>
        </w:rPr>
        <w:t xml:space="preserve"> роль </w:t>
      </w:r>
      <w:r w:rsidRPr="00E415FE">
        <w:t>Cisco</w:t>
      </w:r>
      <w:r w:rsidRPr="00E415FE">
        <w:rPr>
          <w:lang w:val="ru-RU"/>
        </w:rPr>
        <w:t xml:space="preserve"> в новой инициативе </w:t>
      </w:r>
      <w:r w:rsidRPr="00E415FE">
        <w:t>DTC</w:t>
      </w:r>
      <w:r w:rsidRPr="00E415FE">
        <w:rPr>
          <w:lang w:val="ru-RU"/>
        </w:rPr>
        <w:t>.</w:t>
      </w:r>
    </w:p>
  </w:footnote>
  <w:footnote w:id="85">
    <w:p w14:paraId="48EF5A5C" w14:textId="77777777" w:rsidR="002B0D90" w:rsidRPr="001119AF" w:rsidRDefault="002B0D90" w:rsidP="002B0D90">
      <w:pPr>
        <w:pStyle w:val="FootnoteText"/>
        <w:rPr>
          <w:lang w:val="ru-RU"/>
        </w:rPr>
      </w:pPr>
      <w:r>
        <w:rPr>
          <w:rStyle w:val="FootnoteReference"/>
        </w:rPr>
        <w:footnoteRef/>
      </w:r>
      <w:r w:rsidRPr="00D02924">
        <w:rPr>
          <w:lang w:val="ru-RU"/>
        </w:rPr>
        <w:t xml:space="preserve"> См., </w:t>
      </w:r>
      <w:r>
        <w:rPr>
          <w:lang w:val="ru-RU"/>
        </w:rPr>
        <w:t>н</w:t>
      </w:r>
      <w:r w:rsidRPr="00D02924">
        <w:rPr>
          <w:lang w:val="ru-RU"/>
        </w:rPr>
        <w:t xml:space="preserve">апример, </w:t>
      </w:r>
      <w:r>
        <w:rPr>
          <w:lang w:val="ru-RU"/>
        </w:rPr>
        <w:t xml:space="preserve">деятельность </w:t>
      </w:r>
      <w:r w:rsidRPr="00D02924">
        <w:t>Diplo</w:t>
      </w:r>
      <w:r w:rsidRPr="00D02924">
        <w:rPr>
          <w:lang w:val="ru-RU"/>
        </w:rPr>
        <w:t xml:space="preserve"> и некоторых других организаций, упом</w:t>
      </w:r>
      <w:r>
        <w:rPr>
          <w:lang w:val="ru-RU"/>
        </w:rPr>
        <w:t>инаем</w:t>
      </w:r>
      <w:r w:rsidRPr="00D02924">
        <w:rPr>
          <w:lang w:val="ru-RU"/>
        </w:rPr>
        <w:t xml:space="preserve">ых в </w:t>
      </w:r>
      <w:r>
        <w:rPr>
          <w:lang w:val="ru-RU"/>
        </w:rPr>
        <w:t xml:space="preserve">настоящем </w:t>
      </w:r>
      <w:r w:rsidRPr="00D02924">
        <w:rPr>
          <w:lang w:val="ru-RU"/>
        </w:rPr>
        <w:t>разделе.</w:t>
      </w:r>
    </w:p>
  </w:footnote>
  <w:footnote w:id="86">
    <w:p w14:paraId="216A4933" w14:textId="0E06AA27" w:rsidR="002B0D90" w:rsidRPr="00097003" w:rsidRDefault="002B0D90" w:rsidP="002B0D90">
      <w:pPr>
        <w:pStyle w:val="FootnoteText"/>
        <w:rPr>
          <w:lang w:val="ru-RU"/>
        </w:rPr>
      </w:pPr>
      <w:r w:rsidRPr="00097003">
        <w:rPr>
          <w:rStyle w:val="FootnoteReference"/>
          <w:lang w:val="ru-RU"/>
        </w:rPr>
        <w:footnoteRef/>
      </w:r>
      <w:r w:rsidRPr="00097003">
        <w:rPr>
          <w:lang w:val="ru-RU"/>
        </w:rPr>
        <w:t xml:space="preserve"> </w:t>
      </w:r>
      <w:r w:rsidR="00D577E1">
        <w:fldChar w:fldCharType="begin"/>
      </w:r>
      <w:r w:rsidR="00D577E1" w:rsidRPr="00D577E1">
        <w:rPr>
          <w:lang w:val="ru-RU"/>
        </w:rPr>
        <w:instrText xml:space="preserve"> </w:instrText>
      </w:r>
      <w:r w:rsidR="00D577E1">
        <w:instrText>HYPERLINK</w:instrText>
      </w:r>
      <w:r w:rsidR="00D577E1" w:rsidRPr="00D577E1">
        <w:rPr>
          <w:lang w:val="ru-RU"/>
        </w:rPr>
        <w:instrText xml:space="preserve"> "</w:instrText>
      </w:r>
      <w:r w:rsidR="00D577E1">
        <w:instrText>https</w:instrText>
      </w:r>
      <w:r w:rsidR="00D577E1" w:rsidRPr="00D577E1">
        <w:rPr>
          <w:lang w:val="ru-RU"/>
        </w:rPr>
        <w:instrText>://</w:instrText>
      </w:r>
      <w:r w:rsidR="00D577E1">
        <w:instrText>www</w:instrText>
      </w:r>
      <w:r w:rsidR="00D577E1" w:rsidRPr="00D577E1">
        <w:rPr>
          <w:lang w:val="ru-RU"/>
        </w:rPr>
        <w:instrText>.</w:instrText>
      </w:r>
      <w:r w:rsidR="00D577E1">
        <w:instrText>netacad</w:instrText>
      </w:r>
      <w:r w:rsidR="00D577E1" w:rsidRPr="00D577E1">
        <w:rPr>
          <w:lang w:val="ru-RU"/>
        </w:rPr>
        <w:instrText>.</w:instrText>
      </w:r>
      <w:r w:rsidR="00D577E1">
        <w:instrText>com</w:instrText>
      </w:r>
      <w:r w:rsidR="00D577E1" w:rsidRPr="00D577E1">
        <w:rPr>
          <w:lang w:val="ru-RU"/>
        </w:rPr>
        <w:instrText xml:space="preserve">/" </w:instrText>
      </w:r>
      <w:r w:rsidR="00D577E1">
        <w:fldChar w:fldCharType="separate"/>
      </w:r>
      <w:r w:rsidRPr="00097003">
        <w:rPr>
          <w:lang w:val="ru-RU"/>
        </w:rPr>
        <w:t>https://www.netacad.com/</w:t>
      </w:r>
      <w:r w:rsidR="00D577E1">
        <w:rPr>
          <w:lang w:val="ru-RU"/>
        </w:rPr>
        <w:fldChar w:fldCharType="end"/>
      </w:r>
      <w:r w:rsidRPr="00097003">
        <w:rPr>
          <w:lang w:val="ru-RU"/>
        </w:rPr>
        <w:t>.</w:t>
      </w:r>
    </w:p>
  </w:footnote>
  <w:footnote w:id="87">
    <w:p w14:paraId="0586F1D6" w14:textId="77777777" w:rsidR="002B0D90" w:rsidRPr="00097003" w:rsidRDefault="002B0D90" w:rsidP="002B0D90">
      <w:pPr>
        <w:pStyle w:val="FootnoteText"/>
        <w:rPr>
          <w:lang w:val="ru-RU"/>
        </w:rPr>
      </w:pPr>
      <w:r w:rsidRPr="00097003">
        <w:rPr>
          <w:rStyle w:val="FootnoteReference"/>
          <w:lang w:val="ru-RU"/>
        </w:rPr>
        <w:footnoteRef/>
      </w:r>
      <w:r w:rsidRPr="00097003">
        <w:rPr>
          <w:lang w:val="ru-RU"/>
        </w:rPr>
        <w:t xml:space="preserve"> </w:t>
      </w:r>
      <w:r w:rsidR="00D577E1">
        <w:fldChar w:fldCharType="begin"/>
      </w:r>
      <w:r w:rsidR="00D577E1" w:rsidRPr="00D577E1">
        <w:rPr>
          <w:lang w:val="ru-RU"/>
        </w:rPr>
        <w:instrText xml:space="preserve"> </w:instrText>
      </w:r>
      <w:r w:rsidR="00D577E1">
        <w:instrText>HYPERLINK</w:instrText>
      </w:r>
      <w:r w:rsidR="00D577E1" w:rsidRPr="00D577E1">
        <w:rPr>
          <w:lang w:val="ru-RU"/>
        </w:rPr>
        <w:instrText xml:space="preserve"> "</w:instrText>
      </w:r>
      <w:r w:rsidR="00D577E1">
        <w:instrText>https</w:instrText>
      </w:r>
      <w:r w:rsidR="00D577E1" w:rsidRPr="00D577E1">
        <w:rPr>
          <w:lang w:val="ru-RU"/>
        </w:rPr>
        <w:instrText>://</w:instrText>
      </w:r>
      <w:r w:rsidR="00D577E1">
        <w:instrText>e</w:instrText>
      </w:r>
      <w:r w:rsidR="00D577E1" w:rsidRPr="00D577E1">
        <w:rPr>
          <w:lang w:val="ru-RU"/>
        </w:rPr>
        <w:instrText>.</w:instrText>
      </w:r>
      <w:r w:rsidR="00D577E1">
        <w:instrText>huawei</w:instrText>
      </w:r>
      <w:r w:rsidR="00D577E1" w:rsidRPr="00D577E1">
        <w:rPr>
          <w:lang w:val="ru-RU"/>
        </w:rPr>
        <w:instrText>.</w:instrText>
      </w:r>
      <w:r w:rsidR="00D577E1">
        <w:instrText>com</w:instrText>
      </w:r>
      <w:r w:rsidR="00D577E1" w:rsidRPr="00D577E1">
        <w:rPr>
          <w:lang w:val="ru-RU"/>
        </w:rPr>
        <w:instrText>/</w:instrText>
      </w:r>
      <w:r w:rsidR="00D577E1">
        <w:instrText>uk</w:instrText>
      </w:r>
      <w:r w:rsidR="00D577E1" w:rsidRPr="00D577E1">
        <w:rPr>
          <w:lang w:val="ru-RU"/>
        </w:rPr>
        <w:instrText>/</w:instrText>
      </w:r>
      <w:r w:rsidR="00D577E1">
        <w:instrText>publications</w:instrText>
      </w:r>
      <w:r w:rsidR="00D577E1" w:rsidRPr="00D577E1">
        <w:rPr>
          <w:lang w:val="ru-RU"/>
        </w:rPr>
        <w:instrText>/</w:instrText>
      </w:r>
      <w:r w:rsidR="00D577E1">
        <w:instrText>global</w:instrText>
      </w:r>
      <w:r w:rsidR="00D577E1" w:rsidRPr="00D577E1">
        <w:rPr>
          <w:lang w:val="ru-RU"/>
        </w:rPr>
        <w:instrText>/</w:instrText>
      </w:r>
      <w:r w:rsidR="00D577E1">
        <w:instrText>ict</w:instrText>
      </w:r>
      <w:r w:rsidR="00D577E1" w:rsidRPr="00D577E1">
        <w:rPr>
          <w:lang w:val="ru-RU"/>
        </w:rPr>
        <w:instrText>_</w:instrText>
      </w:r>
      <w:r w:rsidR="00D577E1">
        <w:instrText>insights</w:instrText>
      </w:r>
      <w:r w:rsidR="00D577E1" w:rsidRPr="00D577E1">
        <w:rPr>
          <w:lang w:val="ru-RU"/>
        </w:rPr>
        <w:instrText>/201907041409/</w:instrText>
      </w:r>
      <w:r w:rsidR="00D577E1">
        <w:instrText>talent</w:instrText>
      </w:r>
      <w:r w:rsidR="00D577E1" w:rsidRPr="00D577E1">
        <w:rPr>
          <w:lang w:val="ru-RU"/>
        </w:rPr>
        <w:instrText>-</w:instrText>
      </w:r>
      <w:r w:rsidR="00D577E1">
        <w:instrText>ecosystem</w:instrText>
      </w:r>
      <w:r w:rsidR="00D577E1" w:rsidRPr="00D577E1">
        <w:rPr>
          <w:lang w:val="ru-RU"/>
        </w:rPr>
        <w:instrText>/</w:instrText>
      </w:r>
      <w:r w:rsidR="00D577E1">
        <w:instrText>huawei</w:instrText>
      </w:r>
      <w:r w:rsidR="00D577E1" w:rsidRPr="00D577E1">
        <w:rPr>
          <w:lang w:val="ru-RU"/>
        </w:rPr>
        <w:instrText>-</w:instrText>
      </w:r>
      <w:r w:rsidR="00D577E1">
        <w:instrText>ict</w:instrText>
      </w:r>
      <w:r w:rsidR="00D577E1" w:rsidRPr="00D577E1">
        <w:rPr>
          <w:lang w:val="ru-RU"/>
        </w:rPr>
        <w:instrText>-</w:instrText>
      </w:r>
      <w:r w:rsidR="00D577E1">
        <w:instrText>academy</w:instrText>
      </w:r>
      <w:r w:rsidR="00D577E1" w:rsidRPr="00D577E1">
        <w:rPr>
          <w:lang w:val="ru-RU"/>
        </w:rPr>
        <w:instrText xml:space="preserve">" </w:instrText>
      </w:r>
      <w:r w:rsidR="00D577E1">
        <w:fldChar w:fldCharType="separate"/>
      </w:r>
      <w:r w:rsidRPr="00097003">
        <w:rPr>
          <w:lang w:val="ru-RU"/>
        </w:rPr>
        <w:t>https://e.huawei.com/uk/publications/global/ict_insights/201907041409/talent-ecosystem/huawei-ict-academy</w:t>
      </w:r>
      <w:r w:rsidR="00D577E1">
        <w:rPr>
          <w:lang w:val="ru-RU"/>
        </w:rPr>
        <w:fldChar w:fldCharType="end"/>
      </w:r>
      <w:r w:rsidRPr="00097003">
        <w:rPr>
          <w:lang w:val="ru-RU"/>
        </w:rPr>
        <w:t>.</w:t>
      </w:r>
    </w:p>
  </w:footnote>
  <w:footnote w:id="88">
    <w:p w14:paraId="24F85D16" w14:textId="77777777" w:rsidR="002B0D90" w:rsidRPr="00097003" w:rsidRDefault="002B0D90" w:rsidP="002B0D90">
      <w:pPr>
        <w:pStyle w:val="FootnoteText"/>
        <w:rPr>
          <w:lang w:val="ru-RU"/>
        </w:rPr>
      </w:pPr>
      <w:r w:rsidRPr="00097003">
        <w:rPr>
          <w:rStyle w:val="FootnoteReference"/>
          <w:lang w:val="ru-RU"/>
        </w:rPr>
        <w:footnoteRef/>
      </w:r>
      <w:r w:rsidRPr="00097003">
        <w:rPr>
          <w:lang w:val="ru-RU"/>
        </w:rPr>
        <w:t xml:space="preserve"> </w:t>
      </w:r>
      <w:r w:rsidR="00D577E1">
        <w:fldChar w:fldCharType="begin"/>
      </w:r>
      <w:r w:rsidR="00D577E1" w:rsidRPr="00D577E1">
        <w:rPr>
          <w:lang w:val="ru-RU"/>
        </w:rPr>
        <w:instrText xml:space="preserve"> </w:instrText>
      </w:r>
      <w:r w:rsidR="00D577E1">
        <w:instrText>HYPERLINK</w:instrText>
      </w:r>
      <w:r w:rsidR="00D577E1" w:rsidRPr="00D577E1">
        <w:rPr>
          <w:lang w:val="ru-RU"/>
        </w:rPr>
        <w:instrText xml:space="preserve"> "</w:instrText>
      </w:r>
      <w:r w:rsidR="00D577E1">
        <w:instrText>https</w:instrText>
      </w:r>
      <w:r w:rsidR="00D577E1" w:rsidRPr="00D577E1">
        <w:rPr>
          <w:lang w:val="ru-RU"/>
        </w:rPr>
        <w:instrText>://</w:instrText>
      </w:r>
      <w:r w:rsidR="00D577E1">
        <w:instrText>www</w:instrText>
      </w:r>
      <w:r w:rsidR="00D577E1" w:rsidRPr="00D577E1">
        <w:rPr>
          <w:lang w:val="ru-RU"/>
        </w:rPr>
        <w:instrText>.</w:instrText>
      </w:r>
      <w:r w:rsidR="00D577E1">
        <w:instrText>e</w:instrText>
      </w:r>
      <w:r w:rsidR="00D577E1">
        <w:instrText>ricsson</w:instrText>
      </w:r>
      <w:r w:rsidR="00D577E1" w:rsidRPr="00D577E1">
        <w:rPr>
          <w:lang w:val="ru-RU"/>
        </w:rPr>
        <w:instrText>.</w:instrText>
      </w:r>
      <w:r w:rsidR="00D577E1">
        <w:instrText>com</w:instrText>
      </w:r>
      <w:r w:rsidR="00D577E1" w:rsidRPr="00D577E1">
        <w:rPr>
          <w:lang w:val="ru-RU"/>
        </w:rPr>
        <w:instrText>/</w:instrText>
      </w:r>
      <w:r w:rsidR="00D577E1">
        <w:instrText>en</w:instrText>
      </w:r>
      <w:r w:rsidR="00D577E1" w:rsidRPr="00D577E1">
        <w:rPr>
          <w:lang w:val="ru-RU"/>
        </w:rPr>
        <w:instrText>/</w:instrText>
      </w:r>
      <w:r w:rsidR="00D577E1">
        <w:instrText>portfolio</w:instrText>
      </w:r>
      <w:r w:rsidR="00D577E1" w:rsidRPr="00D577E1">
        <w:rPr>
          <w:lang w:val="ru-RU"/>
        </w:rPr>
        <w:instrText>/</w:instrText>
      </w:r>
      <w:r w:rsidR="00D577E1">
        <w:instrText>training</w:instrText>
      </w:r>
      <w:r w:rsidR="00D577E1" w:rsidRPr="00D577E1">
        <w:rPr>
          <w:lang w:val="ru-RU"/>
        </w:rPr>
        <w:instrText>-</w:instrText>
      </w:r>
      <w:r w:rsidR="00D577E1">
        <w:instrText>offerings</w:instrText>
      </w:r>
      <w:r w:rsidR="00D577E1" w:rsidRPr="00D577E1">
        <w:rPr>
          <w:lang w:val="ru-RU"/>
        </w:rPr>
        <w:instrText xml:space="preserve">" </w:instrText>
      </w:r>
      <w:r w:rsidR="00D577E1">
        <w:fldChar w:fldCharType="separate"/>
      </w:r>
      <w:r w:rsidRPr="00097003">
        <w:rPr>
          <w:lang w:val="ru-RU"/>
        </w:rPr>
        <w:t>https://www.ericsson.com/en/portfolio/training-offerings</w:t>
      </w:r>
      <w:r w:rsidR="00D577E1">
        <w:rPr>
          <w:lang w:val="ru-RU"/>
        </w:rPr>
        <w:fldChar w:fldCharType="end"/>
      </w:r>
      <w:r w:rsidRPr="00097003">
        <w:rPr>
          <w:lang w:val="ru-RU"/>
        </w:rPr>
        <w:t>.</w:t>
      </w:r>
    </w:p>
  </w:footnote>
  <w:footnote w:id="89">
    <w:p w14:paraId="6717CD43" w14:textId="77777777" w:rsidR="002B0D90" w:rsidRPr="00097003" w:rsidRDefault="002B0D90" w:rsidP="002B0D90">
      <w:pPr>
        <w:pStyle w:val="FootnoteText"/>
        <w:rPr>
          <w:lang w:val="ru-RU"/>
        </w:rPr>
      </w:pPr>
      <w:r w:rsidRPr="00097003">
        <w:rPr>
          <w:rStyle w:val="FootnoteReference"/>
          <w:lang w:val="ru-RU"/>
        </w:rPr>
        <w:footnoteRef/>
      </w:r>
      <w:r w:rsidRPr="00097003">
        <w:rPr>
          <w:lang w:val="ru-RU"/>
        </w:rPr>
        <w:t xml:space="preserve"> </w:t>
      </w:r>
      <w:r w:rsidR="00D577E1">
        <w:fldChar w:fldCharType="begin"/>
      </w:r>
      <w:r w:rsidR="00D577E1" w:rsidRPr="00D577E1">
        <w:rPr>
          <w:lang w:val="ru-RU"/>
        </w:rPr>
        <w:instrText xml:space="preserve"> </w:instrText>
      </w:r>
      <w:r w:rsidR="00D577E1">
        <w:instrText>HYPERLINK</w:instrText>
      </w:r>
      <w:r w:rsidR="00D577E1" w:rsidRPr="00D577E1">
        <w:rPr>
          <w:lang w:val="ru-RU"/>
        </w:rPr>
        <w:instrText xml:space="preserve"> "</w:instrText>
      </w:r>
      <w:r w:rsidR="00D577E1">
        <w:instrText>https</w:instrText>
      </w:r>
      <w:r w:rsidR="00D577E1" w:rsidRPr="00D577E1">
        <w:rPr>
          <w:lang w:val="ru-RU"/>
        </w:rPr>
        <w:instrText>://</w:instrText>
      </w:r>
      <w:r w:rsidR="00D577E1">
        <w:instrText>docs</w:instrText>
      </w:r>
      <w:r w:rsidR="00D577E1" w:rsidRPr="00D577E1">
        <w:rPr>
          <w:lang w:val="ru-RU"/>
        </w:rPr>
        <w:instrText>.</w:instrText>
      </w:r>
      <w:r w:rsidR="00D577E1">
        <w:instrText>microsoft</w:instrText>
      </w:r>
      <w:r w:rsidR="00D577E1" w:rsidRPr="00D577E1">
        <w:rPr>
          <w:lang w:val="ru-RU"/>
        </w:rPr>
        <w:instrText>.</w:instrText>
      </w:r>
      <w:r w:rsidR="00D577E1">
        <w:instrText>com</w:instrText>
      </w:r>
      <w:r w:rsidR="00D577E1" w:rsidRPr="00D577E1">
        <w:rPr>
          <w:lang w:val="ru-RU"/>
        </w:rPr>
        <w:instrText>/</w:instrText>
      </w:r>
      <w:r w:rsidR="00D577E1">
        <w:instrText>en</w:instrText>
      </w:r>
      <w:r w:rsidR="00D577E1" w:rsidRPr="00D577E1">
        <w:rPr>
          <w:lang w:val="ru-RU"/>
        </w:rPr>
        <w:instrText>-</w:instrText>
      </w:r>
      <w:r w:rsidR="00D577E1">
        <w:instrText>us</w:instrText>
      </w:r>
      <w:r w:rsidR="00D577E1" w:rsidRPr="00D577E1">
        <w:rPr>
          <w:lang w:val="ru-RU"/>
        </w:rPr>
        <w:instrText>/</w:instrText>
      </w:r>
      <w:r w:rsidR="00D577E1">
        <w:instrText>learn</w:instrText>
      </w:r>
      <w:r w:rsidR="00D577E1" w:rsidRPr="00D577E1">
        <w:rPr>
          <w:lang w:val="ru-RU"/>
        </w:rPr>
        <w:instrText xml:space="preserve">/" </w:instrText>
      </w:r>
      <w:r w:rsidR="00D577E1">
        <w:fldChar w:fldCharType="separate"/>
      </w:r>
      <w:r w:rsidRPr="00097003">
        <w:rPr>
          <w:lang w:val="ru-RU"/>
        </w:rPr>
        <w:t>https://docs.microsoft.com/en-us/learn/</w:t>
      </w:r>
      <w:r w:rsidR="00D577E1">
        <w:rPr>
          <w:lang w:val="ru-RU"/>
        </w:rPr>
        <w:fldChar w:fldCharType="end"/>
      </w:r>
      <w:r w:rsidRPr="00097003">
        <w:rPr>
          <w:lang w:val="ru-RU"/>
        </w:rPr>
        <w:t>.</w:t>
      </w:r>
    </w:p>
  </w:footnote>
  <w:footnote w:id="90">
    <w:p w14:paraId="172A6CFE" w14:textId="77777777" w:rsidR="002B0D90" w:rsidRPr="00097003" w:rsidRDefault="002B0D90" w:rsidP="002B0D90">
      <w:pPr>
        <w:pStyle w:val="FootnoteText"/>
        <w:rPr>
          <w:lang w:val="ru-RU"/>
        </w:rPr>
      </w:pPr>
      <w:r w:rsidRPr="00097003">
        <w:rPr>
          <w:rStyle w:val="FootnoteReference"/>
          <w:lang w:val="ru-RU"/>
        </w:rPr>
        <w:footnoteRef/>
      </w:r>
      <w:r w:rsidRPr="00097003">
        <w:rPr>
          <w:lang w:val="ru-RU"/>
        </w:rPr>
        <w:t xml:space="preserve"> https://software.intel.com/content/www/us/en/develop/topics/ai/training.html.</w:t>
      </w:r>
    </w:p>
  </w:footnote>
  <w:footnote w:id="91">
    <w:p w14:paraId="51A40418" w14:textId="77777777" w:rsidR="002B0D90" w:rsidRPr="00097003" w:rsidRDefault="002B0D90" w:rsidP="002B0D90">
      <w:pPr>
        <w:pStyle w:val="FootnoteText"/>
        <w:rPr>
          <w:lang w:val="ru-RU"/>
        </w:rPr>
      </w:pPr>
      <w:r w:rsidRPr="00097003">
        <w:rPr>
          <w:rStyle w:val="FootnoteReference"/>
          <w:lang w:val="ru-RU"/>
        </w:rPr>
        <w:footnoteRef/>
      </w:r>
      <w:r w:rsidRPr="00097003">
        <w:rPr>
          <w:lang w:val="ru-RU"/>
        </w:rPr>
        <w:t xml:space="preserve"> </w:t>
      </w:r>
      <w:r w:rsidR="00D577E1">
        <w:fldChar w:fldCharType="begin"/>
      </w:r>
      <w:r w:rsidR="00D577E1" w:rsidRPr="00D577E1">
        <w:rPr>
          <w:lang w:val="ru-RU"/>
        </w:rPr>
        <w:instrText xml:space="preserve"> </w:instrText>
      </w:r>
      <w:r w:rsidR="00D577E1">
        <w:instrText>HYPERLINK</w:instrText>
      </w:r>
      <w:r w:rsidR="00D577E1" w:rsidRPr="00D577E1">
        <w:rPr>
          <w:lang w:val="ru-RU"/>
        </w:rPr>
        <w:instrText xml:space="preserve"> "</w:instrText>
      </w:r>
      <w:r w:rsidR="00D577E1">
        <w:instrText>https</w:instrText>
      </w:r>
      <w:r w:rsidR="00D577E1" w:rsidRPr="00D577E1">
        <w:rPr>
          <w:lang w:val="ru-RU"/>
        </w:rPr>
        <w:instrText>://</w:instrText>
      </w:r>
      <w:r w:rsidR="00D577E1">
        <w:instrText>www</w:instrText>
      </w:r>
      <w:r w:rsidR="00D577E1" w:rsidRPr="00D577E1">
        <w:rPr>
          <w:lang w:val="ru-RU"/>
        </w:rPr>
        <w:instrText>.</w:instrText>
      </w:r>
      <w:r w:rsidR="00D577E1">
        <w:instrText>khws</w:instrText>
      </w:r>
      <w:r w:rsidR="00D577E1" w:rsidRPr="00D577E1">
        <w:rPr>
          <w:lang w:val="ru-RU"/>
        </w:rPr>
        <w:instrText>.</w:instrText>
      </w:r>
      <w:r w:rsidR="00D577E1">
        <w:instrText>co</w:instrText>
      </w:r>
      <w:r w:rsidR="00D577E1" w:rsidRPr="00D577E1">
        <w:rPr>
          <w:lang w:val="ru-RU"/>
        </w:rPr>
        <w:instrText>.</w:instrText>
      </w:r>
      <w:r w:rsidR="00D577E1">
        <w:instrText>uk</w:instrText>
      </w:r>
      <w:r w:rsidR="00D577E1" w:rsidRPr="00D577E1">
        <w:rPr>
          <w:lang w:val="ru-RU"/>
        </w:rPr>
        <w:instrText>/</w:instrText>
      </w:r>
      <w:r w:rsidR="00D577E1">
        <w:instrText>work</w:instrText>
      </w:r>
      <w:r w:rsidR="00D577E1" w:rsidRPr="00D577E1">
        <w:rPr>
          <w:lang w:val="ru-RU"/>
        </w:rPr>
        <w:instrText>/</w:instrText>
      </w:r>
      <w:r w:rsidR="00D577E1">
        <w:instrText>samsung</w:instrText>
      </w:r>
      <w:r w:rsidR="00D577E1" w:rsidRPr="00D577E1">
        <w:rPr>
          <w:lang w:val="ru-RU"/>
        </w:rPr>
        <w:instrText>-</w:instrText>
      </w:r>
      <w:r w:rsidR="00D577E1">
        <w:instrText>academy</w:instrText>
      </w:r>
      <w:r w:rsidR="00D577E1" w:rsidRPr="00D577E1">
        <w:rPr>
          <w:lang w:val="ru-RU"/>
        </w:rPr>
        <w:instrText xml:space="preserve">/" </w:instrText>
      </w:r>
      <w:r w:rsidR="00D577E1">
        <w:fldChar w:fldCharType="separate"/>
      </w:r>
      <w:r w:rsidRPr="00097003">
        <w:rPr>
          <w:lang w:val="ru-RU"/>
        </w:rPr>
        <w:t>https://www.khws.co.uk/work/samsung-academy/</w:t>
      </w:r>
      <w:r w:rsidR="00D577E1">
        <w:rPr>
          <w:lang w:val="ru-RU"/>
        </w:rPr>
        <w:fldChar w:fldCharType="end"/>
      </w:r>
      <w:r w:rsidRPr="00097003">
        <w:rPr>
          <w:lang w:val="ru-RU"/>
        </w:rPr>
        <w:t>.</w:t>
      </w:r>
    </w:p>
  </w:footnote>
  <w:footnote w:id="92">
    <w:p w14:paraId="1C3DF2EC" w14:textId="77777777" w:rsidR="002B0D90" w:rsidRPr="00097003" w:rsidRDefault="002B0D90" w:rsidP="002B0D90">
      <w:pPr>
        <w:pStyle w:val="FootnoteText"/>
        <w:rPr>
          <w:lang w:val="ru-RU"/>
        </w:rPr>
      </w:pPr>
      <w:r w:rsidRPr="00097003">
        <w:rPr>
          <w:rStyle w:val="FootnoteReference"/>
          <w:lang w:val="ru-RU"/>
        </w:rPr>
        <w:footnoteRef/>
      </w:r>
      <w:r w:rsidRPr="00097003">
        <w:rPr>
          <w:lang w:val="ru-RU"/>
        </w:rPr>
        <w:t xml:space="preserve"> </w:t>
      </w:r>
      <w:r w:rsidR="00D577E1">
        <w:fldChar w:fldCharType="begin"/>
      </w:r>
      <w:r w:rsidR="00D577E1" w:rsidRPr="00D577E1">
        <w:rPr>
          <w:lang w:val="ru-RU"/>
        </w:rPr>
        <w:instrText xml:space="preserve"> </w:instrText>
      </w:r>
      <w:r w:rsidR="00D577E1">
        <w:instrText>HYPERLINK</w:instrText>
      </w:r>
      <w:r w:rsidR="00D577E1" w:rsidRPr="00D577E1">
        <w:rPr>
          <w:lang w:val="ru-RU"/>
        </w:rPr>
        <w:instrText xml:space="preserve"> "</w:instrText>
      </w:r>
      <w:r w:rsidR="00D577E1">
        <w:instrText>http</w:instrText>
      </w:r>
      <w:r w:rsidR="00D577E1" w:rsidRPr="00D577E1">
        <w:rPr>
          <w:lang w:val="ru-RU"/>
        </w:rPr>
        <w:instrText>://</w:instrText>
      </w:r>
      <w:r w:rsidR="00D577E1">
        <w:instrText>univ</w:instrText>
      </w:r>
      <w:r w:rsidR="00D577E1" w:rsidRPr="00D577E1">
        <w:rPr>
          <w:lang w:val="ru-RU"/>
        </w:rPr>
        <w:instrText>.</w:instrText>
      </w:r>
      <w:r w:rsidR="00D577E1">
        <w:instrText>zte</w:instrText>
      </w:r>
      <w:r w:rsidR="00D577E1" w:rsidRPr="00D577E1">
        <w:rPr>
          <w:lang w:val="ru-RU"/>
        </w:rPr>
        <w:instrText>.</w:instrText>
      </w:r>
      <w:r w:rsidR="00D577E1">
        <w:instrText>com</w:instrText>
      </w:r>
      <w:r w:rsidR="00D577E1" w:rsidRPr="00D577E1">
        <w:rPr>
          <w:lang w:val="ru-RU"/>
        </w:rPr>
        <w:instrText>.</w:instrText>
      </w:r>
      <w:r w:rsidR="00D577E1">
        <w:instrText>cn</w:instrText>
      </w:r>
      <w:r w:rsidR="00D577E1" w:rsidRPr="00D577E1">
        <w:rPr>
          <w:lang w:val="ru-RU"/>
        </w:rPr>
        <w:instrText>/</w:instrText>
      </w:r>
      <w:r w:rsidR="00D577E1">
        <w:instrText>eLearningweb</w:instrText>
      </w:r>
      <w:r w:rsidR="00D577E1" w:rsidRPr="00D577E1">
        <w:rPr>
          <w:lang w:val="ru-RU"/>
        </w:rPr>
        <w:instrText>/</w:instrText>
      </w:r>
      <w:r w:rsidR="00D577E1">
        <w:instrText>en</w:instrText>
      </w:r>
      <w:r w:rsidR="00D577E1" w:rsidRPr="00D577E1">
        <w:rPr>
          <w:lang w:val="ru-RU"/>
        </w:rPr>
        <w:instrText>/</w:instrText>
      </w:r>
      <w:r w:rsidR="00D577E1">
        <w:instrText>ZTE</w:instrText>
      </w:r>
      <w:r w:rsidR="00D577E1" w:rsidRPr="00D577E1">
        <w:rPr>
          <w:lang w:val="ru-RU"/>
        </w:rPr>
        <w:instrText>_</w:instrText>
      </w:r>
      <w:r w:rsidR="00D577E1">
        <w:instrText>Certification</w:instrText>
      </w:r>
      <w:r w:rsidR="00D577E1" w:rsidRPr="00D577E1">
        <w:rPr>
          <w:lang w:val="ru-RU"/>
        </w:rPr>
        <w:instrText>/</w:instrText>
      </w:r>
      <w:r w:rsidR="00D577E1">
        <w:instrText>ZTECC</w:instrText>
      </w:r>
      <w:r w:rsidR="00D577E1" w:rsidRPr="00D577E1">
        <w:rPr>
          <w:lang w:val="ru-RU"/>
        </w:rPr>
        <w:instrText xml:space="preserve">/" </w:instrText>
      </w:r>
      <w:r w:rsidR="00D577E1">
        <w:fldChar w:fldCharType="separate"/>
      </w:r>
      <w:r w:rsidRPr="00097003">
        <w:rPr>
          <w:lang w:val="ru-RU"/>
        </w:rPr>
        <w:t>http://univ.zte.com.cn/eLearningweb/en/ZTE_Certification/ZTECC/</w:t>
      </w:r>
      <w:r w:rsidR="00D577E1">
        <w:rPr>
          <w:lang w:val="ru-RU"/>
        </w:rPr>
        <w:fldChar w:fldCharType="end"/>
      </w:r>
      <w:r w:rsidRPr="00097003">
        <w:rPr>
          <w:lang w:val="ru-RU"/>
        </w:rPr>
        <w:t>.</w:t>
      </w:r>
    </w:p>
  </w:footnote>
  <w:footnote w:id="93">
    <w:p w14:paraId="0F9D1849" w14:textId="50E00BDF" w:rsidR="002B0D90" w:rsidRPr="004B77F6" w:rsidRDefault="002B0D90" w:rsidP="002B0D90">
      <w:pPr>
        <w:pStyle w:val="FootnoteText"/>
      </w:pPr>
      <w:r w:rsidRPr="00097003">
        <w:rPr>
          <w:rStyle w:val="FootnoteReference"/>
          <w:lang w:val="ru-RU"/>
        </w:rPr>
        <w:footnoteRef/>
      </w:r>
      <w:r w:rsidRPr="00097003">
        <w:rPr>
          <w:lang w:val="ru-RU"/>
        </w:rPr>
        <w:t xml:space="preserve"> </w:t>
      </w:r>
      <w:r w:rsidR="00D577E1">
        <w:fldChar w:fldCharType="begin"/>
      </w:r>
      <w:r w:rsidR="00D577E1" w:rsidRPr="00D577E1">
        <w:rPr>
          <w:lang w:val="ru-RU"/>
        </w:rPr>
        <w:instrText xml:space="preserve"> </w:instrText>
      </w:r>
      <w:r w:rsidR="00D577E1">
        <w:instrText>HYPERLINK</w:instrText>
      </w:r>
      <w:r w:rsidR="00D577E1" w:rsidRPr="00D577E1">
        <w:rPr>
          <w:lang w:val="ru-RU"/>
        </w:rPr>
        <w:instrText xml:space="preserve"> "</w:instrText>
      </w:r>
      <w:r w:rsidR="00D577E1">
        <w:instrText>http</w:instrText>
      </w:r>
      <w:r w:rsidR="00D577E1" w:rsidRPr="00D577E1">
        <w:rPr>
          <w:lang w:val="ru-RU"/>
        </w:rPr>
        <w:instrText>://</w:instrText>
      </w:r>
      <w:r w:rsidR="00D577E1">
        <w:instrText>rgmttc</w:instrText>
      </w:r>
      <w:r w:rsidR="00D577E1" w:rsidRPr="00D577E1">
        <w:rPr>
          <w:lang w:val="ru-RU"/>
        </w:rPr>
        <w:instrText>.</w:instrText>
      </w:r>
      <w:r w:rsidR="00D577E1">
        <w:instrText>bsnl</w:instrText>
      </w:r>
      <w:r w:rsidR="00D577E1" w:rsidRPr="00D577E1">
        <w:rPr>
          <w:lang w:val="ru-RU"/>
        </w:rPr>
        <w:instrText>.</w:instrText>
      </w:r>
      <w:r w:rsidR="00D577E1">
        <w:instrText>co</w:instrText>
      </w:r>
      <w:r w:rsidR="00D577E1" w:rsidRPr="00D577E1">
        <w:rPr>
          <w:lang w:val="ru-RU"/>
        </w:rPr>
        <w:instrText>.</w:instrText>
      </w:r>
      <w:r w:rsidR="00D577E1">
        <w:instrText>in</w:instrText>
      </w:r>
      <w:r w:rsidR="00D577E1" w:rsidRPr="00D577E1">
        <w:rPr>
          <w:lang w:val="ru-RU"/>
        </w:rPr>
        <w:instrText xml:space="preserve">/" </w:instrText>
      </w:r>
      <w:r w:rsidR="00D577E1">
        <w:fldChar w:fldCharType="separate"/>
      </w:r>
      <w:r w:rsidRPr="00097003">
        <w:rPr>
          <w:lang w:val="ru-RU"/>
        </w:rPr>
        <w:t>http://rgmttc.bsnl.co.in/</w:t>
      </w:r>
      <w:r w:rsidR="00D577E1">
        <w:rPr>
          <w:lang w:val="ru-RU"/>
        </w:rPr>
        <w:fldChar w:fldCharType="end"/>
      </w:r>
      <w:r w:rsidRPr="00097003">
        <w:rPr>
          <w:lang w:val="ru-RU"/>
        </w:rPr>
        <w:t>. См</w:t>
      </w:r>
      <w:r w:rsidRPr="004B77F6">
        <w:t xml:space="preserve">. </w:t>
      </w:r>
      <w:r w:rsidRPr="00097003">
        <w:rPr>
          <w:lang w:val="ru-RU"/>
        </w:rPr>
        <w:t>также</w:t>
      </w:r>
      <w:r w:rsidRPr="004B77F6">
        <w:t xml:space="preserve">: Talwar, E. and Sharma, N. (2014) A study of training and development practices adopted by BSNL, IJSR, 3(9), 229-232, </w:t>
      </w:r>
      <w:hyperlink r:id="rId13" w:history="1">
        <w:r w:rsidRPr="004B77F6">
          <w:t>https://www.worldwidejournals.com/international-journal-of-scientific-research-(IJSR)/recent_issues_pdf/2014/September/September_2014_1493015030__68.pdf</w:t>
        </w:r>
      </w:hyperlink>
      <w:r w:rsidRPr="004B77F6">
        <w:t>.</w:t>
      </w:r>
    </w:p>
  </w:footnote>
  <w:footnote w:id="94">
    <w:p w14:paraId="18B9661D" w14:textId="3146D98D" w:rsidR="002B0D90" w:rsidRPr="004B77F6" w:rsidRDefault="002B0D90" w:rsidP="002B0D90">
      <w:pPr>
        <w:pStyle w:val="FootnoteText"/>
      </w:pPr>
      <w:r w:rsidRPr="00097003">
        <w:rPr>
          <w:rStyle w:val="FootnoteReference"/>
          <w:lang w:val="ru-RU"/>
        </w:rPr>
        <w:footnoteRef/>
      </w:r>
      <w:r w:rsidRPr="004B77F6">
        <w:t xml:space="preserve"> </w:t>
      </w:r>
      <w:r w:rsidRPr="00097003">
        <w:rPr>
          <w:lang w:val="ru-RU"/>
        </w:rPr>
        <w:t>См</w:t>
      </w:r>
      <w:r w:rsidRPr="004B77F6">
        <w:t xml:space="preserve">., </w:t>
      </w:r>
      <w:r w:rsidRPr="00097003">
        <w:rPr>
          <w:lang w:val="ru-RU"/>
        </w:rPr>
        <w:t>например</w:t>
      </w:r>
      <w:r w:rsidRPr="004B77F6">
        <w:t>: Cordell, K. (2020) The International Telecommunications Union: the most important UN Agency you have never heard of, CSIS, https://www.csis.org/analysis/international-telecommunications-union-most-important-un-agency-you-have-never-heard.</w:t>
      </w:r>
    </w:p>
  </w:footnote>
  <w:footnote w:id="95">
    <w:p w14:paraId="1B8F25DA" w14:textId="3E343E88" w:rsidR="002B0D90" w:rsidRPr="004B77F6" w:rsidRDefault="002B0D90" w:rsidP="002B0D90">
      <w:pPr>
        <w:pStyle w:val="FootnoteText"/>
      </w:pPr>
      <w:r w:rsidRPr="00097003">
        <w:rPr>
          <w:rStyle w:val="FootnoteReference"/>
          <w:lang w:val="ru-RU"/>
        </w:rPr>
        <w:footnoteRef/>
      </w:r>
      <w:r w:rsidRPr="004B77F6">
        <w:t xml:space="preserve"> https://www.holoniq.com/notes/global-education-technology-market-to-reach-404b-by-2025/.</w:t>
      </w:r>
    </w:p>
  </w:footnote>
  <w:footnote w:id="96">
    <w:p w14:paraId="5DABE254" w14:textId="77777777" w:rsidR="002B0D90" w:rsidRPr="004B77F6" w:rsidRDefault="002B0D90" w:rsidP="002B0D90">
      <w:pPr>
        <w:pStyle w:val="FootnoteText"/>
      </w:pPr>
      <w:r w:rsidRPr="00097003">
        <w:rPr>
          <w:rStyle w:val="FootnoteReference"/>
          <w:lang w:val="ru-RU"/>
        </w:rPr>
        <w:footnoteRef/>
      </w:r>
      <w:r w:rsidRPr="004B77F6">
        <w:t xml:space="preserve"> https://www.globenewswire.com/news-release/2020/06/10/2046146/0/en/Digital-Transformation-Market-Worth-3-294-Billion-by-2025-Growing-at-a-CAGR-of-22-7-from-2019-Global-Market-Opportunity-Analysis-and-Industry-Forecasts-by-Meticulous-Research.html. </w:t>
      </w:r>
    </w:p>
  </w:footnote>
  <w:footnote w:id="97">
    <w:p w14:paraId="26168AF5" w14:textId="77777777" w:rsidR="002B0D90" w:rsidRPr="004B77F6" w:rsidRDefault="002B0D90" w:rsidP="002B0D90">
      <w:pPr>
        <w:pStyle w:val="FootnoteText"/>
      </w:pPr>
      <w:r w:rsidRPr="00097003">
        <w:rPr>
          <w:rStyle w:val="FootnoteReference"/>
          <w:lang w:val="ru-RU"/>
        </w:rPr>
        <w:footnoteRef/>
      </w:r>
      <w:r w:rsidRPr="004B77F6">
        <w:t xml:space="preserve"> </w:t>
      </w:r>
      <w:hyperlink r:id="rId14" w:history="1">
        <w:r w:rsidRPr="004B77F6">
          <w:t>https://icdleurope.org/about-us/</w:t>
        </w:r>
      </w:hyperlink>
      <w:r w:rsidRPr="004B77F6">
        <w:t>.</w:t>
      </w:r>
    </w:p>
  </w:footnote>
  <w:footnote w:id="98">
    <w:p w14:paraId="49DD95B2" w14:textId="77777777" w:rsidR="002B0D90" w:rsidRPr="004B77F6" w:rsidRDefault="002B0D90" w:rsidP="002B0D90">
      <w:pPr>
        <w:pStyle w:val="FootnoteText"/>
      </w:pPr>
      <w:r w:rsidRPr="00097003">
        <w:rPr>
          <w:rStyle w:val="FootnoteReference"/>
          <w:lang w:val="ru-RU"/>
        </w:rPr>
        <w:footnoteRef/>
      </w:r>
      <w:r w:rsidRPr="004B77F6">
        <w:t xml:space="preserve"> </w:t>
      </w:r>
      <w:hyperlink r:id="rId15" w:history="1">
        <w:r w:rsidRPr="004B77F6">
          <w:t>https://www.cityandguilds.com/qualifications-and-apprenticeships/it/it-professional/4520-ict-professional-competence#</w:t>
        </w:r>
      </w:hyperlink>
      <w:r w:rsidRPr="004B77F6">
        <w:t>.</w:t>
      </w:r>
    </w:p>
  </w:footnote>
  <w:footnote w:id="99">
    <w:p w14:paraId="54C4AC73" w14:textId="77777777" w:rsidR="002B0D90" w:rsidRPr="004B77F6" w:rsidRDefault="002B0D90" w:rsidP="002B0D90">
      <w:pPr>
        <w:pStyle w:val="FootnoteText"/>
      </w:pPr>
      <w:r w:rsidRPr="00097003">
        <w:rPr>
          <w:rStyle w:val="FootnoteReference"/>
          <w:lang w:val="ru-RU"/>
        </w:rPr>
        <w:footnoteRef/>
      </w:r>
      <w:r w:rsidRPr="004B77F6">
        <w:t xml:space="preserve"> </w:t>
      </w:r>
      <w:hyperlink r:id="rId16" w:history="1">
        <w:r w:rsidRPr="004B77F6">
          <w:t>https://www.digitalskillsfoundation.org/</w:t>
        </w:r>
      </w:hyperlink>
      <w:r w:rsidRPr="004B77F6">
        <w:t>.</w:t>
      </w:r>
    </w:p>
  </w:footnote>
  <w:footnote w:id="100">
    <w:p w14:paraId="18188901" w14:textId="77777777" w:rsidR="002B0D90" w:rsidRPr="004B77F6" w:rsidRDefault="002B0D90" w:rsidP="002B0D90">
      <w:pPr>
        <w:pStyle w:val="FootnoteText"/>
      </w:pPr>
      <w:r w:rsidRPr="00097003">
        <w:rPr>
          <w:rStyle w:val="FootnoteReference"/>
          <w:lang w:val="ru-RU"/>
        </w:rPr>
        <w:footnoteRef/>
      </w:r>
      <w:r w:rsidRPr="004B77F6">
        <w:t xml:space="preserve"> </w:t>
      </w:r>
      <w:hyperlink r:id="rId17" w:history="1">
        <w:r w:rsidRPr="004B77F6">
          <w:t>https://digitalskillsglobal.com</w:t>
        </w:r>
      </w:hyperlink>
      <w:r w:rsidRPr="004B77F6">
        <w:t>.</w:t>
      </w:r>
    </w:p>
  </w:footnote>
  <w:footnote w:id="101">
    <w:p w14:paraId="004C9AF2" w14:textId="77777777" w:rsidR="002B0D90" w:rsidRPr="004B77F6" w:rsidRDefault="002B0D90" w:rsidP="002B0D90">
      <w:pPr>
        <w:pStyle w:val="FootnoteText"/>
      </w:pPr>
      <w:r w:rsidRPr="00097003">
        <w:rPr>
          <w:rStyle w:val="FootnoteReference"/>
          <w:lang w:val="ru-RU"/>
        </w:rPr>
        <w:footnoteRef/>
      </w:r>
      <w:r w:rsidRPr="004B77F6">
        <w:t xml:space="preserve"> </w:t>
      </w:r>
      <w:hyperlink r:id="rId18" w:history="1">
        <w:r w:rsidRPr="004B77F6">
          <w:t>https://iide.co/about-us/</w:t>
        </w:r>
      </w:hyperlink>
      <w:r w:rsidRPr="004B77F6">
        <w:t>.</w:t>
      </w:r>
    </w:p>
  </w:footnote>
  <w:footnote w:id="102">
    <w:p w14:paraId="15E0F681" w14:textId="77777777" w:rsidR="002B0D90" w:rsidRPr="004B77F6" w:rsidRDefault="002B0D90" w:rsidP="002B0D90">
      <w:pPr>
        <w:pStyle w:val="FootnoteText"/>
      </w:pPr>
      <w:r w:rsidRPr="00097003">
        <w:rPr>
          <w:rStyle w:val="FootnoteReference"/>
          <w:lang w:val="ru-RU"/>
        </w:rPr>
        <w:footnoteRef/>
      </w:r>
      <w:r w:rsidRPr="004B77F6">
        <w:t xml:space="preserve"> </w:t>
      </w:r>
      <w:hyperlink r:id="rId19" w:history="1">
        <w:r w:rsidRPr="004B77F6">
          <w:t>https://mdec.my/digitalskillstrainingdirectory/page/15/</w:t>
        </w:r>
      </w:hyperlink>
      <w:r w:rsidRPr="004B77F6">
        <w:t>.</w:t>
      </w:r>
    </w:p>
  </w:footnote>
  <w:footnote w:id="103">
    <w:p w14:paraId="725D7C5E" w14:textId="77777777" w:rsidR="002B0D90" w:rsidRPr="008827F9" w:rsidRDefault="002B0D90" w:rsidP="002B0D90">
      <w:pPr>
        <w:pStyle w:val="FootnoteText"/>
      </w:pPr>
      <w:r>
        <w:rPr>
          <w:rStyle w:val="FootnoteReference"/>
        </w:rPr>
        <w:footnoteRef/>
      </w:r>
      <w:r>
        <w:t xml:space="preserve"> </w:t>
      </w:r>
      <w:hyperlink r:id="rId20" w:history="1">
        <w:r w:rsidRPr="009279F8">
          <w:t>https://www.acm.org/</w:t>
        </w:r>
      </w:hyperlink>
      <w:r w:rsidRPr="008827F9">
        <w:t>.</w:t>
      </w:r>
    </w:p>
  </w:footnote>
  <w:footnote w:id="104">
    <w:p w14:paraId="077911A0" w14:textId="77777777" w:rsidR="002B0D90" w:rsidRPr="008827F9" w:rsidRDefault="002B0D90" w:rsidP="002B0D90">
      <w:pPr>
        <w:pStyle w:val="FootnoteText"/>
      </w:pPr>
      <w:r>
        <w:rPr>
          <w:rStyle w:val="FootnoteReference"/>
        </w:rPr>
        <w:footnoteRef/>
      </w:r>
      <w:r>
        <w:t xml:space="preserve"> </w:t>
      </w:r>
      <w:hyperlink r:id="rId21" w:history="1">
        <w:r w:rsidRPr="009279F8">
          <w:t>http://www.awc-hq.org/home.html</w:t>
        </w:r>
      </w:hyperlink>
      <w:r w:rsidRPr="008827F9">
        <w:t>.</w:t>
      </w:r>
    </w:p>
  </w:footnote>
  <w:footnote w:id="105">
    <w:p w14:paraId="4AA5ED55" w14:textId="77777777" w:rsidR="002B0D90" w:rsidRPr="008827F9" w:rsidRDefault="002B0D90" w:rsidP="002B0D90">
      <w:pPr>
        <w:pStyle w:val="FootnoteText"/>
      </w:pPr>
      <w:r>
        <w:rPr>
          <w:rStyle w:val="FootnoteReference"/>
        </w:rPr>
        <w:footnoteRef/>
      </w:r>
      <w:r>
        <w:t xml:space="preserve"> </w:t>
      </w:r>
      <w:hyperlink r:id="rId22" w:history="1">
        <w:r w:rsidRPr="009279F8">
          <w:t>https://www.ieee.org/</w:t>
        </w:r>
      </w:hyperlink>
      <w:r w:rsidRPr="008827F9">
        <w:t>.</w:t>
      </w:r>
    </w:p>
  </w:footnote>
  <w:footnote w:id="106">
    <w:p w14:paraId="5A8EB749" w14:textId="77777777" w:rsidR="002B0D90" w:rsidRPr="008827F9" w:rsidRDefault="002B0D90" w:rsidP="002B0D90">
      <w:pPr>
        <w:pStyle w:val="FootnoteText"/>
      </w:pPr>
      <w:r>
        <w:rPr>
          <w:rStyle w:val="FootnoteReference"/>
        </w:rPr>
        <w:footnoteRef/>
      </w:r>
      <w:r>
        <w:t xml:space="preserve"> </w:t>
      </w:r>
      <w:hyperlink r:id="rId23" w:history="1">
        <w:r w:rsidRPr="009279F8">
          <w:t>https://www.cssl.lk/</w:t>
        </w:r>
      </w:hyperlink>
      <w:r w:rsidRPr="008827F9">
        <w:t>.</w:t>
      </w:r>
    </w:p>
  </w:footnote>
  <w:footnote w:id="107">
    <w:p w14:paraId="301A4A74" w14:textId="77777777" w:rsidR="002B0D90" w:rsidRPr="008827F9" w:rsidRDefault="002B0D90" w:rsidP="002B0D90">
      <w:pPr>
        <w:pStyle w:val="FootnoteText"/>
      </w:pPr>
      <w:r>
        <w:rPr>
          <w:rStyle w:val="FootnoteReference"/>
        </w:rPr>
        <w:footnoteRef/>
      </w:r>
      <w:r>
        <w:t xml:space="preserve"> </w:t>
      </w:r>
      <w:hyperlink r:id="rId24" w:history="1">
        <w:r w:rsidRPr="009279F8">
          <w:t>http://itan.org.ng/</w:t>
        </w:r>
      </w:hyperlink>
      <w:r w:rsidRPr="008827F9">
        <w:t>.</w:t>
      </w:r>
    </w:p>
  </w:footnote>
  <w:footnote w:id="108">
    <w:p w14:paraId="7BA7234C" w14:textId="77777777" w:rsidR="002B0D90" w:rsidRPr="008827F9" w:rsidRDefault="002B0D90" w:rsidP="002B0D90">
      <w:pPr>
        <w:pStyle w:val="FootnoteText"/>
      </w:pPr>
      <w:r>
        <w:rPr>
          <w:rStyle w:val="FootnoteReference"/>
        </w:rPr>
        <w:footnoteRef/>
      </w:r>
      <w:r>
        <w:t xml:space="preserve"> </w:t>
      </w:r>
      <w:hyperlink r:id="rId25" w:history="1">
        <w:r w:rsidRPr="009279F8">
          <w:t>https://www.bcs.org/</w:t>
        </w:r>
      </w:hyperlink>
      <w:r w:rsidRPr="008827F9">
        <w:t>.</w:t>
      </w:r>
    </w:p>
  </w:footnote>
  <w:footnote w:id="109">
    <w:p w14:paraId="56020EAC" w14:textId="77777777" w:rsidR="002B0D90" w:rsidRDefault="002B0D90" w:rsidP="002B0D90">
      <w:pPr>
        <w:pStyle w:val="FootnoteText"/>
      </w:pPr>
      <w:r>
        <w:rPr>
          <w:rStyle w:val="FootnoteReference"/>
        </w:rPr>
        <w:footnoteRef/>
      </w:r>
      <w:r>
        <w:t xml:space="preserve"> </w:t>
      </w:r>
      <w:hyperlink r:id="rId26" w:anchor="iso:std:iso-iec:20006:-2:ed-1:v1:en" w:history="1">
        <w:r w:rsidRPr="009279F8">
          <w:t>https://www.iso.org/obp/ui/#iso:std:iso-iec:20006:-2:ed-1:v1:en</w:t>
        </w:r>
      </w:hyperlink>
      <w:r>
        <w:t>.</w:t>
      </w:r>
    </w:p>
  </w:footnote>
  <w:footnote w:id="110">
    <w:p w14:paraId="27F9C443" w14:textId="77777777" w:rsidR="002B0D90" w:rsidRDefault="002B0D90" w:rsidP="002B0D90">
      <w:pPr>
        <w:pStyle w:val="FootnoteText"/>
      </w:pPr>
      <w:r>
        <w:rPr>
          <w:rStyle w:val="FootnoteReference"/>
        </w:rPr>
        <w:footnoteRef/>
      </w:r>
      <w:r>
        <w:t xml:space="preserve"> </w:t>
      </w:r>
      <w:r w:rsidRPr="00566E9B">
        <w:t>https://www.cen.eu/news/brief-news/pages/news-2019-032.aspx.</w:t>
      </w:r>
    </w:p>
  </w:footnote>
  <w:footnote w:id="111">
    <w:p w14:paraId="33EB07C5" w14:textId="77777777" w:rsidR="002B0D90" w:rsidRDefault="002B0D90" w:rsidP="002B0D90">
      <w:pPr>
        <w:pStyle w:val="FootnoteText"/>
      </w:pPr>
      <w:r>
        <w:rPr>
          <w:rStyle w:val="FootnoteReference"/>
        </w:rPr>
        <w:footnoteRef/>
      </w:r>
      <w:r>
        <w:t xml:space="preserve"> </w:t>
      </w:r>
      <w:hyperlink r:id="rId27" w:history="1">
        <w:r w:rsidRPr="009279F8">
          <w:t>https://www.bsigroup.com/en-GB/industries-and-sectors/ICT-and-telecoms/</w:t>
        </w:r>
      </w:hyperlink>
      <w:r>
        <w:t>.</w:t>
      </w:r>
    </w:p>
  </w:footnote>
  <w:footnote w:id="112">
    <w:p w14:paraId="5A95EAB4" w14:textId="77777777" w:rsidR="002B0D90" w:rsidRDefault="002B0D90" w:rsidP="002B0D90">
      <w:pPr>
        <w:pStyle w:val="FootnoteText"/>
      </w:pPr>
      <w:r>
        <w:rPr>
          <w:rStyle w:val="FootnoteReference"/>
        </w:rPr>
        <w:footnoteRef/>
      </w:r>
      <w:r>
        <w:t xml:space="preserve"> </w:t>
      </w:r>
      <w:hyperlink r:id="rId28" w:history="1">
        <w:r w:rsidRPr="009279F8">
          <w:t>https://www.gatesfoundation.org/</w:t>
        </w:r>
      </w:hyperlink>
      <w:r>
        <w:t>.</w:t>
      </w:r>
    </w:p>
  </w:footnote>
  <w:footnote w:id="113">
    <w:p w14:paraId="4459E8F0" w14:textId="77777777" w:rsidR="002B0D90" w:rsidRDefault="002B0D90" w:rsidP="002B0D90">
      <w:pPr>
        <w:pStyle w:val="FootnoteText"/>
      </w:pPr>
      <w:r>
        <w:rPr>
          <w:rStyle w:val="FootnoteReference"/>
        </w:rPr>
        <w:footnoteRef/>
      </w:r>
      <w:r>
        <w:t xml:space="preserve"> </w:t>
      </w:r>
      <w:hyperlink r:id="rId29" w:history="1">
        <w:r w:rsidRPr="009279F8">
          <w:t>https://hewlett.org/about-us/</w:t>
        </w:r>
      </w:hyperlink>
      <w:r>
        <w:t>.</w:t>
      </w:r>
    </w:p>
  </w:footnote>
  <w:footnote w:id="114">
    <w:p w14:paraId="484A0818" w14:textId="3F3C9B61" w:rsidR="002B0D90" w:rsidRPr="005C33A9" w:rsidRDefault="002B0D90" w:rsidP="002B0D90">
      <w:pPr>
        <w:pStyle w:val="FootnoteText"/>
        <w:rPr>
          <w:lang w:val="ru-RU"/>
        </w:rPr>
      </w:pPr>
      <w:r>
        <w:rPr>
          <w:rStyle w:val="FootnoteReference"/>
        </w:rPr>
        <w:footnoteRef/>
      </w:r>
      <w:r w:rsidRPr="005C33A9">
        <w:rPr>
          <w:lang w:val="ru-RU"/>
        </w:rPr>
        <w:t xml:space="preserve"> </w:t>
      </w:r>
      <w:r>
        <w:rPr>
          <w:lang w:val="ru-RU"/>
        </w:rPr>
        <w:t>См</w:t>
      </w:r>
      <w:r w:rsidRPr="005C33A9">
        <w:rPr>
          <w:lang w:val="ru-RU"/>
        </w:rPr>
        <w:t xml:space="preserve">., </w:t>
      </w:r>
      <w:r>
        <w:rPr>
          <w:lang w:val="ru-RU"/>
        </w:rPr>
        <w:t>например,</w:t>
      </w:r>
      <w:r w:rsidRPr="005C33A9">
        <w:rPr>
          <w:lang w:val="ru-RU"/>
        </w:rPr>
        <w:t xml:space="preserve"> </w:t>
      </w:r>
      <w:hyperlink r:id="rId30" w:history="1">
        <w:r w:rsidRPr="009279F8">
          <w:t>https</w:t>
        </w:r>
        <w:r w:rsidRPr="005C33A9">
          <w:rPr>
            <w:lang w:val="ru-RU"/>
          </w:rPr>
          <w:t>://</w:t>
        </w:r>
        <w:r w:rsidRPr="009279F8">
          <w:t>www</w:t>
        </w:r>
        <w:r w:rsidRPr="005C33A9">
          <w:rPr>
            <w:lang w:val="ru-RU"/>
          </w:rPr>
          <w:t>.</w:t>
        </w:r>
        <w:r w:rsidRPr="009279F8">
          <w:t>varkeyfoundation</w:t>
        </w:r>
        <w:r w:rsidRPr="005C33A9">
          <w:rPr>
            <w:lang w:val="ru-RU"/>
          </w:rPr>
          <w:t>.</w:t>
        </w:r>
        <w:r w:rsidRPr="009279F8">
          <w:t>org</w:t>
        </w:r>
        <w:r w:rsidRPr="005C33A9">
          <w:rPr>
            <w:lang w:val="ru-RU"/>
          </w:rPr>
          <w:t>/</w:t>
        </w:r>
      </w:hyperlink>
      <w:r w:rsidRPr="005C33A9">
        <w:rPr>
          <w:lang w:val="ru-RU"/>
        </w:rPr>
        <w:t xml:space="preserve"> </w:t>
      </w:r>
      <w:r>
        <w:rPr>
          <w:lang w:val="ru-RU"/>
        </w:rPr>
        <w:t>и</w:t>
      </w:r>
      <w:r w:rsidRPr="005C33A9">
        <w:rPr>
          <w:lang w:val="ru-RU"/>
        </w:rPr>
        <w:t xml:space="preserve"> </w:t>
      </w:r>
      <w:hyperlink r:id="rId31" w:history="1">
        <w:r w:rsidRPr="009279F8">
          <w:t>https</w:t>
        </w:r>
        <w:r w:rsidRPr="005C33A9">
          <w:rPr>
            <w:lang w:val="ru-RU"/>
          </w:rPr>
          <w:t>://</w:t>
        </w:r>
        <w:r w:rsidRPr="009279F8">
          <w:t>digitalskillsglobal</w:t>
        </w:r>
        <w:r w:rsidRPr="005C33A9">
          <w:rPr>
            <w:lang w:val="ru-RU"/>
          </w:rPr>
          <w:t>.</w:t>
        </w:r>
        <w:r w:rsidRPr="009279F8">
          <w:t>com</w:t>
        </w:r>
      </w:hyperlink>
      <w:r w:rsidRPr="005C33A9">
        <w:rPr>
          <w:lang w:val="ru-RU"/>
        </w:rPr>
        <w:t>.</w:t>
      </w:r>
    </w:p>
  </w:footnote>
  <w:footnote w:id="115">
    <w:p w14:paraId="5B255071" w14:textId="2BEC2B39" w:rsidR="002B0D90" w:rsidRPr="00F64BEE" w:rsidRDefault="002B0D90" w:rsidP="002B0D90">
      <w:pPr>
        <w:pStyle w:val="FootnoteText"/>
        <w:rPr>
          <w:lang w:val="ru-RU"/>
        </w:rPr>
      </w:pPr>
      <w:r>
        <w:rPr>
          <w:rStyle w:val="FootnoteReference"/>
        </w:rPr>
        <w:footnoteRef/>
      </w:r>
      <w:r w:rsidRPr="00635F07">
        <w:rPr>
          <w:lang w:val="ru-RU"/>
        </w:rPr>
        <w:t xml:space="preserve"> </w:t>
      </w:r>
      <w:r w:rsidR="00D577E1">
        <w:fldChar w:fldCharType="begin"/>
      </w:r>
      <w:r w:rsidR="00D577E1" w:rsidRPr="00D577E1">
        <w:rPr>
          <w:lang w:val="ru-RU"/>
        </w:rPr>
        <w:instrText xml:space="preserve"> </w:instrText>
      </w:r>
      <w:r w:rsidR="00D577E1">
        <w:instrText>HYPERLINK</w:instrText>
      </w:r>
      <w:r w:rsidR="00D577E1" w:rsidRPr="00D577E1">
        <w:rPr>
          <w:lang w:val="ru-RU"/>
        </w:rPr>
        <w:instrText xml:space="preserve"> "</w:instrText>
      </w:r>
      <w:r w:rsidR="00D577E1">
        <w:instrText>https</w:instrText>
      </w:r>
      <w:r w:rsidR="00D577E1" w:rsidRPr="00D577E1">
        <w:rPr>
          <w:lang w:val="ru-RU"/>
        </w:rPr>
        <w:instrText>://</w:instrText>
      </w:r>
      <w:r w:rsidR="00D577E1">
        <w:instrText>www</w:instrText>
      </w:r>
      <w:r w:rsidR="00D577E1" w:rsidRPr="00D577E1">
        <w:rPr>
          <w:lang w:val="ru-RU"/>
        </w:rPr>
        <w:instrText>.</w:instrText>
      </w:r>
      <w:r w:rsidR="00D577E1">
        <w:instrText>gsma</w:instrText>
      </w:r>
      <w:r w:rsidR="00D577E1" w:rsidRPr="00D577E1">
        <w:rPr>
          <w:lang w:val="ru-RU"/>
        </w:rPr>
        <w:instrText>.</w:instrText>
      </w:r>
      <w:r w:rsidR="00D577E1">
        <w:instrText>com</w:instrText>
      </w:r>
      <w:r w:rsidR="00D577E1" w:rsidRPr="00D577E1">
        <w:rPr>
          <w:lang w:val="ru-RU"/>
        </w:rPr>
        <w:instrText>/</w:instrText>
      </w:r>
      <w:r w:rsidR="00D577E1">
        <w:instrText>training</w:instrText>
      </w:r>
      <w:r w:rsidR="00D577E1" w:rsidRPr="00D577E1">
        <w:rPr>
          <w:lang w:val="ru-RU"/>
        </w:rPr>
        <w:instrText xml:space="preserve">/" </w:instrText>
      </w:r>
      <w:r w:rsidR="00D577E1">
        <w:fldChar w:fldCharType="separate"/>
      </w:r>
      <w:r w:rsidRPr="009279F8">
        <w:t>https</w:t>
      </w:r>
      <w:r w:rsidRPr="00635F07">
        <w:rPr>
          <w:lang w:val="ru-RU"/>
        </w:rPr>
        <w:t>://</w:t>
      </w:r>
      <w:r w:rsidRPr="009279F8">
        <w:t>www</w:t>
      </w:r>
      <w:r w:rsidRPr="00635F07">
        <w:rPr>
          <w:lang w:val="ru-RU"/>
        </w:rPr>
        <w:t>.</w:t>
      </w:r>
      <w:r w:rsidRPr="009279F8">
        <w:t>gsma</w:t>
      </w:r>
      <w:r w:rsidRPr="00635F07">
        <w:rPr>
          <w:lang w:val="ru-RU"/>
        </w:rPr>
        <w:t>.</w:t>
      </w:r>
      <w:r w:rsidRPr="009279F8">
        <w:t>com</w:t>
      </w:r>
      <w:r w:rsidRPr="00635F07">
        <w:rPr>
          <w:lang w:val="ru-RU"/>
        </w:rPr>
        <w:t>/</w:t>
      </w:r>
      <w:r w:rsidRPr="009279F8">
        <w:t>training</w:t>
      </w:r>
      <w:r w:rsidRPr="00635F07">
        <w:rPr>
          <w:lang w:val="ru-RU"/>
        </w:rPr>
        <w:t>/</w:t>
      </w:r>
      <w:r w:rsidR="00D577E1">
        <w:rPr>
          <w:lang w:val="ru-RU"/>
        </w:rPr>
        <w:fldChar w:fldCharType="end"/>
      </w:r>
      <w:r w:rsidR="00F64BEE" w:rsidRPr="00F64BEE">
        <w:rPr>
          <w:lang w:val="ru-RU"/>
        </w:rPr>
        <w:t>.</w:t>
      </w:r>
    </w:p>
  </w:footnote>
  <w:footnote w:id="116">
    <w:p w14:paraId="418BE315" w14:textId="6D77E72A" w:rsidR="002B0D90" w:rsidRPr="00635F07" w:rsidRDefault="002B0D90" w:rsidP="002B0D90">
      <w:pPr>
        <w:pStyle w:val="FootnoteText"/>
        <w:rPr>
          <w:lang w:val="ru-RU"/>
        </w:rPr>
      </w:pPr>
      <w:r>
        <w:rPr>
          <w:rStyle w:val="FootnoteReference"/>
        </w:rPr>
        <w:footnoteRef/>
      </w:r>
      <w:r w:rsidRPr="00635F07">
        <w:rPr>
          <w:lang w:val="ru-RU"/>
        </w:rPr>
        <w:t xml:space="preserve"> </w:t>
      </w:r>
      <w:r w:rsidR="00D577E1">
        <w:fldChar w:fldCharType="begin"/>
      </w:r>
      <w:r w:rsidR="00D577E1" w:rsidRPr="00D577E1">
        <w:rPr>
          <w:lang w:val="ru-RU"/>
        </w:rPr>
        <w:instrText xml:space="preserve"> </w:instrText>
      </w:r>
      <w:r w:rsidR="00D577E1">
        <w:instrText>HYPERLINK</w:instrText>
      </w:r>
      <w:r w:rsidR="00D577E1" w:rsidRPr="00D577E1">
        <w:rPr>
          <w:lang w:val="ru-RU"/>
        </w:rPr>
        <w:instrText xml:space="preserve"> "</w:instrText>
      </w:r>
      <w:r w:rsidR="00D577E1">
        <w:instrText>https</w:instrText>
      </w:r>
      <w:r w:rsidR="00D577E1" w:rsidRPr="00D577E1">
        <w:rPr>
          <w:lang w:val="ru-RU"/>
        </w:rPr>
        <w:instrText>://</w:instrText>
      </w:r>
      <w:r w:rsidR="00D577E1">
        <w:instrText>ustti</w:instrText>
      </w:r>
      <w:r w:rsidR="00D577E1" w:rsidRPr="00D577E1">
        <w:rPr>
          <w:lang w:val="ru-RU"/>
        </w:rPr>
        <w:instrText>.</w:instrText>
      </w:r>
      <w:r w:rsidR="00D577E1">
        <w:instrText>org</w:instrText>
      </w:r>
      <w:r w:rsidR="00D577E1" w:rsidRPr="00D577E1">
        <w:rPr>
          <w:lang w:val="ru-RU"/>
        </w:rPr>
        <w:instrText xml:space="preserve">/" </w:instrText>
      </w:r>
      <w:r w:rsidR="00D577E1">
        <w:fldChar w:fldCharType="separate"/>
      </w:r>
      <w:r w:rsidRPr="009279F8">
        <w:t>https</w:t>
      </w:r>
      <w:r w:rsidRPr="00635F07">
        <w:rPr>
          <w:lang w:val="ru-RU"/>
        </w:rPr>
        <w:t>://</w:t>
      </w:r>
      <w:r w:rsidRPr="009279F8">
        <w:t>ustti</w:t>
      </w:r>
      <w:r w:rsidRPr="00635F07">
        <w:rPr>
          <w:lang w:val="ru-RU"/>
        </w:rPr>
        <w:t>.</w:t>
      </w:r>
      <w:r w:rsidRPr="009279F8">
        <w:t>org</w:t>
      </w:r>
      <w:r w:rsidRPr="00635F07">
        <w:rPr>
          <w:lang w:val="ru-RU"/>
        </w:rPr>
        <w:t>/</w:t>
      </w:r>
      <w:r w:rsidR="00D577E1">
        <w:rPr>
          <w:lang w:val="ru-RU"/>
        </w:rPr>
        <w:fldChar w:fldCharType="end"/>
      </w:r>
      <w:r w:rsidR="00F64BEE" w:rsidRPr="004B77F6">
        <w:rPr>
          <w:lang w:val="ru-RU"/>
        </w:rPr>
        <w:t>.</w:t>
      </w:r>
    </w:p>
  </w:footnote>
  <w:footnote w:id="117">
    <w:p w14:paraId="2E9362EA" w14:textId="77777777" w:rsidR="002B0D90" w:rsidRPr="00635F07" w:rsidRDefault="002B0D90" w:rsidP="002B0D90">
      <w:pPr>
        <w:pStyle w:val="FootnoteText"/>
        <w:rPr>
          <w:lang w:val="ru-RU"/>
        </w:rPr>
      </w:pPr>
      <w:r>
        <w:rPr>
          <w:rStyle w:val="FootnoteReference"/>
        </w:rPr>
        <w:footnoteRef/>
      </w:r>
      <w:r w:rsidRPr="00635F07">
        <w:rPr>
          <w:lang w:val="ru-RU"/>
        </w:rPr>
        <w:t xml:space="preserve"> </w:t>
      </w:r>
      <w:r w:rsidRPr="00CF1B53">
        <w:t>https</w:t>
      </w:r>
      <w:r w:rsidRPr="00635F07">
        <w:rPr>
          <w:lang w:val="ru-RU"/>
        </w:rPr>
        <w:t>://</w:t>
      </w:r>
      <w:r w:rsidRPr="00CF1B53">
        <w:t>www</w:t>
      </w:r>
      <w:r w:rsidRPr="00635F07">
        <w:rPr>
          <w:lang w:val="ru-RU"/>
        </w:rPr>
        <w:t>.</w:t>
      </w:r>
      <w:r w:rsidRPr="00CF1B53">
        <w:t>findamasters</w:t>
      </w:r>
      <w:r w:rsidRPr="00635F07">
        <w:rPr>
          <w:lang w:val="ru-RU"/>
        </w:rPr>
        <w:t>.</w:t>
      </w:r>
      <w:r w:rsidRPr="00CF1B53">
        <w:t>com</w:t>
      </w:r>
      <w:r w:rsidRPr="00635F07">
        <w:rPr>
          <w:lang w:val="ru-RU"/>
        </w:rPr>
        <w:t>.</w:t>
      </w:r>
    </w:p>
  </w:footnote>
  <w:footnote w:id="118">
    <w:p w14:paraId="67466D04" w14:textId="77777777" w:rsidR="002B0D90" w:rsidRPr="001119AF" w:rsidRDefault="002B0D90" w:rsidP="002B0D90">
      <w:pPr>
        <w:pStyle w:val="FootnoteText"/>
        <w:rPr>
          <w:lang w:val="ru-RU"/>
        </w:rPr>
      </w:pPr>
      <w:r>
        <w:rPr>
          <w:rStyle w:val="FootnoteReference"/>
        </w:rPr>
        <w:footnoteRef/>
      </w:r>
      <w:r w:rsidRPr="009501B7">
        <w:rPr>
          <w:lang w:val="ru-RU"/>
        </w:rPr>
        <w:t xml:space="preserve"> Отчасти </w:t>
      </w:r>
      <w:r>
        <w:rPr>
          <w:lang w:val="ru-RU"/>
        </w:rPr>
        <w:t xml:space="preserve">именно </w:t>
      </w:r>
      <w:r w:rsidRPr="009501B7">
        <w:rPr>
          <w:lang w:val="ru-RU"/>
        </w:rPr>
        <w:t>это стало причиной разработки Генеральным секретарем ООН Дорожной карты</w:t>
      </w:r>
      <w:r>
        <w:rPr>
          <w:lang w:val="ru-RU"/>
        </w:rPr>
        <w:t xml:space="preserve"> по</w:t>
      </w:r>
      <w:r w:rsidRPr="009501B7">
        <w:rPr>
          <w:lang w:val="ru-RU"/>
        </w:rPr>
        <w:t xml:space="preserve"> цифрово</w:t>
      </w:r>
      <w:r>
        <w:rPr>
          <w:lang w:val="ru-RU"/>
        </w:rPr>
        <w:t>му</w:t>
      </w:r>
      <w:r w:rsidRPr="009501B7">
        <w:rPr>
          <w:lang w:val="ru-RU"/>
        </w:rPr>
        <w:t xml:space="preserve"> сотрудничеств</w:t>
      </w:r>
      <w:r>
        <w:rPr>
          <w:lang w:val="ru-RU"/>
        </w:rPr>
        <w:t xml:space="preserve">у: </w:t>
      </w:r>
      <w:r w:rsidRPr="00CF1B53">
        <w:t>https</w:t>
      </w:r>
      <w:r w:rsidRPr="009501B7">
        <w:rPr>
          <w:lang w:val="ru-RU"/>
        </w:rPr>
        <w:t>://</w:t>
      </w:r>
      <w:r w:rsidRPr="00CF1B53">
        <w:t>www</w:t>
      </w:r>
      <w:r w:rsidRPr="009501B7">
        <w:rPr>
          <w:lang w:val="ru-RU"/>
        </w:rPr>
        <w:t>.</w:t>
      </w:r>
      <w:r w:rsidRPr="00CF1B53">
        <w:t>un</w:t>
      </w:r>
      <w:r w:rsidRPr="009501B7">
        <w:rPr>
          <w:lang w:val="ru-RU"/>
        </w:rPr>
        <w:t>.</w:t>
      </w:r>
      <w:r w:rsidRPr="00CF1B53">
        <w:t>org</w:t>
      </w:r>
      <w:r w:rsidRPr="009501B7">
        <w:rPr>
          <w:lang w:val="ru-RU"/>
        </w:rPr>
        <w:t>/</w:t>
      </w:r>
      <w:r w:rsidRPr="00CF1B53">
        <w:t>en</w:t>
      </w:r>
      <w:r w:rsidRPr="009501B7">
        <w:rPr>
          <w:lang w:val="ru-RU"/>
        </w:rPr>
        <w:t>/</w:t>
      </w:r>
      <w:r w:rsidRPr="00CF1B53">
        <w:t>content</w:t>
      </w:r>
      <w:r w:rsidRPr="009501B7">
        <w:rPr>
          <w:lang w:val="ru-RU"/>
        </w:rPr>
        <w:t>/</w:t>
      </w:r>
      <w:r w:rsidRPr="00CF1B53">
        <w:t>digital</w:t>
      </w:r>
      <w:r w:rsidRPr="009501B7">
        <w:rPr>
          <w:lang w:val="ru-RU"/>
        </w:rPr>
        <w:t>-</w:t>
      </w:r>
      <w:r w:rsidRPr="00CF1B53">
        <w:t>cooperation</w:t>
      </w:r>
      <w:r w:rsidRPr="009501B7">
        <w:rPr>
          <w:lang w:val="ru-RU"/>
        </w:rPr>
        <w:t>-</w:t>
      </w:r>
      <w:r w:rsidRPr="00CF1B53">
        <w:t>roadmap</w:t>
      </w:r>
      <w:r w:rsidRPr="009501B7">
        <w:rPr>
          <w:lang w:val="ru-RU"/>
        </w:rPr>
        <w:t xml:space="preserve">/. </w:t>
      </w:r>
      <w:r w:rsidRPr="00AD044A">
        <w:rPr>
          <w:lang w:val="ru-RU"/>
        </w:rPr>
        <w:t>Все восемь ключевых областей в предл</w:t>
      </w:r>
      <w:r>
        <w:rPr>
          <w:lang w:val="ru-RU"/>
        </w:rPr>
        <w:t>оженной Д</w:t>
      </w:r>
      <w:r w:rsidRPr="00AD044A">
        <w:rPr>
          <w:lang w:val="ru-RU"/>
        </w:rPr>
        <w:t xml:space="preserve">орожной карте уже </w:t>
      </w:r>
      <w:r w:rsidRPr="00387EB7">
        <w:rPr>
          <w:lang w:val="ru-RU"/>
        </w:rPr>
        <w:t>с большей или меньшей интенсивностью</w:t>
      </w:r>
      <w:r w:rsidRPr="00AD044A">
        <w:rPr>
          <w:lang w:val="ru-RU"/>
        </w:rPr>
        <w:t xml:space="preserve"> </w:t>
      </w:r>
      <w:r>
        <w:rPr>
          <w:lang w:val="ru-RU"/>
        </w:rPr>
        <w:t>разрабатываются</w:t>
      </w:r>
      <w:r w:rsidRPr="00AD044A">
        <w:rPr>
          <w:lang w:val="ru-RU"/>
        </w:rPr>
        <w:t xml:space="preserve"> широким кругом заинтересованных сторон, особенно МСЭ. В </w:t>
      </w:r>
      <w:r>
        <w:rPr>
          <w:lang w:val="ru-RU"/>
        </w:rPr>
        <w:t>настоящем</w:t>
      </w:r>
      <w:r w:rsidRPr="00AD044A">
        <w:rPr>
          <w:lang w:val="ru-RU"/>
        </w:rPr>
        <w:t xml:space="preserve"> отчете особое внимание уделяется будущей роли МСЭ в этой сфере</w:t>
      </w:r>
      <w:r w:rsidRPr="00786365">
        <w:rPr>
          <w:lang w:val="ru-RU"/>
        </w:rPr>
        <w:t xml:space="preserve"> </w:t>
      </w:r>
      <w:r>
        <w:rPr>
          <w:lang w:val="ru-RU"/>
        </w:rPr>
        <w:t xml:space="preserve">в свете </w:t>
      </w:r>
      <w:r w:rsidRPr="00387EB7">
        <w:rPr>
          <w:lang w:val="ru-RU"/>
        </w:rPr>
        <w:t>этой Дорожной карты и соответствующей</w:t>
      </w:r>
      <w:r>
        <w:rPr>
          <w:lang w:val="ru-RU"/>
        </w:rPr>
        <w:t xml:space="preserve"> обязанности</w:t>
      </w:r>
      <w:r w:rsidRPr="00AD044A">
        <w:rPr>
          <w:lang w:val="ru-RU"/>
        </w:rPr>
        <w:t xml:space="preserve"> МСЭ </w:t>
      </w:r>
      <w:r>
        <w:rPr>
          <w:lang w:val="ru-RU"/>
        </w:rPr>
        <w:t>и ПРООН</w:t>
      </w:r>
      <w:r w:rsidRPr="00AD044A">
        <w:rPr>
          <w:lang w:val="ru-RU"/>
        </w:rPr>
        <w:t xml:space="preserve"> играть ведущую роль в </w:t>
      </w:r>
      <w:r>
        <w:rPr>
          <w:lang w:val="ru-RU"/>
        </w:rPr>
        <w:t xml:space="preserve">подготовке </w:t>
      </w:r>
      <w:r w:rsidRPr="00AD044A">
        <w:rPr>
          <w:lang w:val="ru-RU"/>
        </w:rPr>
        <w:t xml:space="preserve">новой основы для развития международного </w:t>
      </w:r>
      <w:r w:rsidRPr="00387EB7">
        <w:rPr>
          <w:lang w:val="ru-RU"/>
        </w:rPr>
        <w:t>потенциала по развитию</w:t>
      </w:r>
      <w:r w:rsidRPr="00AD044A">
        <w:rPr>
          <w:lang w:val="ru-RU"/>
        </w:rPr>
        <w:t xml:space="preserve"> потенциала</w:t>
      </w:r>
      <w:r w:rsidRPr="00F173C7">
        <w:rPr>
          <w:lang w:val="ru-RU"/>
        </w:rPr>
        <w:t xml:space="preserve"> </w:t>
      </w:r>
      <w:r w:rsidRPr="00AD044A">
        <w:rPr>
          <w:lang w:val="ru-RU"/>
        </w:rPr>
        <w:t>в области</w:t>
      </w:r>
      <w:r w:rsidRPr="00F173C7">
        <w:rPr>
          <w:lang w:val="ru-RU"/>
        </w:rPr>
        <w:t xml:space="preserve"> </w:t>
      </w:r>
      <w:r w:rsidRPr="00AD044A">
        <w:rPr>
          <w:lang w:val="ru-RU"/>
        </w:rPr>
        <w:t>цифров</w:t>
      </w:r>
      <w:r>
        <w:rPr>
          <w:lang w:val="ru-RU"/>
        </w:rPr>
        <w:t>ых технологий</w:t>
      </w:r>
      <w:r w:rsidRPr="00AD044A">
        <w:rPr>
          <w:lang w:val="ru-RU"/>
        </w:rPr>
        <w:t>.</w:t>
      </w:r>
      <w:r w:rsidRPr="009501B7">
        <w:rPr>
          <w:lang w:val="ru-RU"/>
        </w:rPr>
        <w:t xml:space="preserve"> </w:t>
      </w:r>
    </w:p>
  </w:footnote>
  <w:footnote w:id="119">
    <w:p w14:paraId="13D133A2" w14:textId="77777777" w:rsidR="002B0D90" w:rsidRPr="006A6232" w:rsidRDefault="002B0D90" w:rsidP="002B0D90">
      <w:pPr>
        <w:pStyle w:val="FootnoteText"/>
        <w:rPr>
          <w:lang w:val="ru-RU"/>
        </w:rPr>
      </w:pPr>
      <w:r w:rsidRPr="006A6232">
        <w:rPr>
          <w:rStyle w:val="FootnoteReference"/>
          <w:lang w:val="ru-RU"/>
        </w:rPr>
        <w:footnoteRef/>
      </w:r>
      <w:r w:rsidRPr="006A6232">
        <w:rPr>
          <w:lang w:val="ru-RU"/>
        </w:rPr>
        <w:t xml:space="preserve"> Генеральный секретарь ООН (2020 г.), Дорожная карта по цифровому сотрудничеству, Нью-Йорк: Организация Объединенных Наций.</w:t>
      </w:r>
    </w:p>
  </w:footnote>
  <w:footnote w:id="120">
    <w:p w14:paraId="5BB68705" w14:textId="4CBE906D" w:rsidR="002B0D90" w:rsidRPr="006A6232" w:rsidRDefault="002B0D90" w:rsidP="002B0D90">
      <w:pPr>
        <w:pStyle w:val="FootnoteText"/>
        <w:rPr>
          <w:lang w:val="ru-RU"/>
        </w:rPr>
      </w:pPr>
      <w:r w:rsidRPr="006A6232">
        <w:rPr>
          <w:rStyle w:val="FootnoteReference"/>
          <w:lang w:val="ru-RU"/>
        </w:rPr>
        <w:footnoteRef/>
      </w:r>
      <w:r w:rsidRPr="006A6232">
        <w:rPr>
          <w:lang w:val="ru-RU"/>
        </w:rPr>
        <w:t xml:space="preserve"> Что касается управления использованием интернета, то на веб-сайте Академии МСЭ были, например, представлены конкретные ссылки на следующие международные организации: Diplo, ICANN, "Общество Интернета" (ISOC), ВОИС и </w:t>
      </w:r>
      <w:r w:rsidR="00FE0FC6">
        <w:rPr>
          <w:lang w:val="ru-RU"/>
        </w:rPr>
        <w:t>ОЭС</w:t>
      </w:r>
      <w:r w:rsidRPr="006A6232">
        <w:rPr>
          <w:lang w:val="ru-RU"/>
        </w:rPr>
        <w:t>. Вообще говоря, Академия МСЭ называет в качестве своих партнеров совершенно разного рода организации (всего 21) (https://academy.itu.int/main-activities/partnerships), с которыми на практике проводит совместное обучение, или же выступает в качестве посредника в работе со многими другими учреждениями и для них.</w:t>
      </w:r>
    </w:p>
  </w:footnote>
  <w:footnote w:id="121">
    <w:p w14:paraId="0466BB5D" w14:textId="5C51C559" w:rsidR="002B0D90" w:rsidRPr="006A6232" w:rsidRDefault="002B0D90" w:rsidP="002B0D90">
      <w:pPr>
        <w:pStyle w:val="FootnoteText"/>
        <w:rPr>
          <w:lang w:val="ru-RU"/>
        </w:rPr>
      </w:pPr>
      <w:r w:rsidRPr="006A6232">
        <w:rPr>
          <w:rStyle w:val="FootnoteReference"/>
          <w:lang w:val="ru-RU"/>
        </w:rPr>
        <w:footnoteRef/>
      </w:r>
      <w:r w:rsidRPr="004B77F6">
        <w:t xml:space="preserve"> </w:t>
      </w:r>
      <w:r w:rsidRPr="006A6232">
        <w:rPr>
          <w:lang w:val="ru-RU"/>
        </w:rPr>
        <w:t>См</w:t>
      </w:r>
      <w:r w:rsidRPr="004B77F6">
        <w:t xml:space="preserve">., </w:t>
      </w:r>
      <w:r w:rsidRPr="006A6232">
        <w:rPr>
          <w:lang w:val="ru-RU"/>
        </w:rPr>
        <w:t>например</w:t>
      </w:r>
      <w:r w:rsidRPr="004B77F6">
        <w:t xml:space="preserve">, </w:t>
      </w:r>
      <w:r w:rsidRPr="006A6232">
        <w:rPr>
          <w:lang w:val="ru-RU"/>
        </w:rPr>
        <w:t>информацию</w:t>
      </w:r>
      <w:r w:rsidRPr="004B77F6">
        <w:t xml:space="preserve"> </w:t>
      </w:r>
      <w:r w:rsidRPr="006A6232">
        <w:rPr>
          <w:lang w:val="ru-RU"/>
        </w:rPr>
        <w:t>в</w:t>
      </w:r>
      <w:r w:rsidRPr="004B77F6">
        <w:t xml:space="preserve">: Unwin, T., Weber, M., Brugha, M. and Hollow, D. (2017) The future of learning and technology in deprived contexts, London: Save the Children, updated in 2018 in work for UNICEF, </w:t>
      </w:r>
      <w:r w:rsidRPr="006A6232">
        <w:rPr>
          <w:lang w:val="ru-RU"/>
        </w:rPr>
        <w:t>доступно</w:t>
      </w:r>
      <w:r w:rsidRPr="004B77F6">
        <w:t xml:space="preserve"> </w:t>
      </w:r>
      <w:r w:rsidRPr="006A6232">
        <w:rPr>
          <w:lang w:val="ru-RU"/>
        </w:rPr>
        <w:t>по</w:t>
      </w:r>
      <w:r w:rsidRPr="004B77F6">
        <w:t xml:space="preserve"> </w:t>
      </w:r>
      <w:r w:rsidRPr="006A6232">
        <w:rPr>
          <w:lang w:val="ru-RU"/>
        </w:rPr>
        <w:t>адресу</w:t>
      </w:r>
      <w:r w:rsidRPr="004B77F6">
        <w:t xml:space="preserve">: https://unwin.wordpress.com/2018/06/29/interesting-practices-in-the-use-of-icts-for-education/. </w:t>
      </w:r>
      <w:r w:rsidRPr="006A6232">
        <w:rPr>
          <w:lang w:val="ru-RU"/>
        </w:rPr>
        <w:t>См. также информацию о работе EdTech Hub, https://edtechhub.org/, и обо всей деятельностью ЮНЕСКО, связанной с Неделей мобильного обучения, https://en.unesco.org/mlw/2019.</w:t>
      </w:r>
    </w:p>
  </w:footnote>
  <w:footnote w:id="122">
    <w:p w14:paraId="742E8B84" w14:textId="77777777" w:rsidR="002B0D90" w:rsidRPr="006A6232" w:rsidRDefault="002B0D90" w:rsidP="002B0D90">
      <w:pPr>
        <w:pStyle w:val="FootnoteText"/>
        <w:rPr>
          <w:lang w:val="ru-RU"/>
        </w:rPr>
      </w:pPr>
      <w:r w:rsidRPr="006A6232">
        <w:rPr>
          <w:rStyle w:val="FootnoteReference"/>
          <w:lang w:val="ru-RU"/>
        </w:rPr>
        <w:footnoteRef/>
      </w:r>
      <w:r w:rsidRPr="006A6232">
        <w:rPr>
          <w:lang w:val="ru-RU"/>
        </w:rPr>
        <w:t xml:space="preserve"> Организации гражданского общества действительно участвуют в ряде мероприятий</w:t>
      </w:r>
      <w:r w:rsidRPr="006A6232">
        <w:rPr>
          <w:rFonts w:eastAsia="Lato" w:cs="Lato"/>
          <w:color w:val="434343"/>
          <w:sz w:val="20"/>
          <w:szCs w:val="22"/>
          <w:lang w:val="ru-RU"/>
        </w:rPr>
        <w:t xml:space="preserve"> </w:t>
      </w:r>
      <w:r w:rsidRPr="006A6232">
        <w:rPr>
          <w:lang w:val="ru-RU"/>
        </w:rPr>
        <w:t xml:space="preserve">МСЭ, однако Союз остается в первую очередь государственно-частным учреждением ООН, членами которого являются государства и организации частного сектора (в том числе ряд академических организаций). </w:t>
      </w:r>
    </w:p>
  </w:footnote>
  <w:footnote w:id="123">
    <w:p w14:paraId="38AB31A7" w14:textId="2C310592" w:rsidR="002B0D90" w:rsidRPr="00097003" w:rsidRDefault="002B0D90" w:rsidP="002B0D90">
      <w:pPr>
        <w:pStyle w:val="FootnoteText"/>
        <w:rPr>
          <w:lang w:val="ru-RU"/>
        </w:rPr>
      </w:pPr>
      <w:r>
        <w:rPr>
          <w:rStyle w:val="FootnoteReference"/>
        </w:rPr>
        <w:footnoteRef/>
      </w:r>
      <w:r w:rsidRPr="00AA2303">
        <w:rPr>
          <w:lang w:val="ru-RU"/>
        </w:rPr>
        <w:t xml:space="preserve"> </w:t>
      </w:r>
      <w:r w:rsidRPr="00097003">
        <w:rPr>
          <w:lang w:val="ru-RU"/>
        </w:rPr>
        <w:t>Moodle – это бесплатная система управления обучением/содержимым (LMS/CMS) с открытым исходным кодом, написанная на PHP и построенная в рамках проекта Moodle, который координируется штаб-квартирой Moodle и получает финансовую поддержку более чем от 80 сервисных компаний – партнеров Moodle со всего мира. Однако в образовательном и корпоративном секторах существует очень большое количество LMS, которые можно было бы использовать. Например, компания G2 недавно подготовила обзор 371 корпоративной LMS: https://www.g2.com/categories/corporate-learning-management-systems; в секторе образования также много платформ: в отчете компании eLearning Industry за 2020 год приведен список из 19 лучших облачных LMS, который возглавляют Docebo, Adobe Captivate Prime, TalentLMS, SAP Litmos и LearnUpon LMS: https://elearningindustry.com/the-best-learning-management-systems-top-list.</w:t>
      </w:r>
      <w:r w:rsidR="00A579EF">
        <w:rPr>
          <w:lang w:val="ru-RU"/>
        </w:rPr>
        <w:t xml:space="preserve"> </w:t>
      </w:r>
    </w:p>
  </w:footnote>
  <w:footnote w:id="124">
    <w:p w14:paraId="1A9CA052" w14:textId="77777777" w:rsidR="002B0D90" w:rsidRPr="004B77F6" w:rsidRDefault="002B0D90" w:rsidP="002B0D90">
      <w:pPr>
        <w:pStyle w:val="FootnoteText"/>
      </w:pPr>
      <w:r w:rsidRPr="00097003">
        <w:rPr>
          <w:rStyle w:val="FootnoteReference"/>
          <w:lang w:val="ru-RU"/>
        </w:rPr>
        <w:footnoteRef/>
      </w:r>
      <w:r w:rsidRPr="00097003">
        <w:rPr>
          <w:lang w:val="ru-RU"/>
        </w:rPr>
        <w:t xml:space="preserve"> </w:t>
      </w:r>
      <w:r w:rsidR="00D577E1">
        <w:fldChar w:fldCharType="begin"/>
      </w:r>
      <w:r w:rsidR="00D577E1" w:rsidRPr="00D577E1">
        <w:rPr>
          <w:lang w:val="ru-RU"/>
        </w:rPr>
        <w:instrText xml:space="preserve"> </w:instrText>
      </w:r>
      <w:r w:rsidR="00D577E1">
        <w:instrText>HYPERLINK</w:instrText>
      </w:r>
      <w:r w:rsidR="00D577E1" w:rsidRPr="00D577E1">
        <w:rPr>
          <w:lang w:val="ru-RU"/>
        </w:rPr>
        <w:instrText xml:space="preserve"> "</w:instrText>
      </w:r>
      <w:r w:rsidR="00D577E1">
        <w:instrText>https</w:instrText>
      </w:r>
      <w:r w:rsidR="00D577E1" w:rsidRPr="00D577E1">
        <w:rPr>
          <w:lang w:val="ru-RU"/>
        </w:rPr>
        <w:instrText>://</w:instrText>
      </w:r>
      <w:r w:rsidR="00D577E1">
        <w:instrText>www</w:instrText>
      </w:r>
      <w:r w:rsidR="00D577E1" w:rsidRPr="00D577E1">
        <w:rPr>
          <w:lang w:val="ru-RU"/>
        </w:rPr>
        <w:instrText>.</w:instrText>
      </w:r>
      <w:r w:rsidR="00D577E1">
        <w:instrText>itu</w:instrText>
      </w:r>
      <w:r w:rsidR="00D577E1" w:rsidRPr="00D577E1">
        <w:rPr>
          <w:lang w:val="ru-RU"/>
        </w:rPr>
        <w:instrText>.</w:instrText>
      </w:r>
      <w:r w:rsidR="00D577E1">
        <w:instrText>int</w:instrText>
      </w:r>
      <w:r w:rsidR="00D577E1" w:rsidRPr="00D577E1">
        <w:rPr>
          <w:lang w:val="ru-RU"/>
        </w:rPr>
        <w:instrText>/</w:instrText>
      </w:r>
      <w:r w:rsidR="00D577E1">
        <w:instrText>en</w:instrText>
      </w:r>
      <w:r w:rsidR="00D577E1" w:rsidRPr="00D577E1">
        <w:rPr>
          <w:lang w:val="ru-RU"/>
        </w:rPr>
        <w:instrText>/</w:instrText>
      </w:r>
      <w:r w:rsidR="00D577E1">
        <w:instrText>general</w:instrText>
      </w:r>
      <w:r w:rsidR="00D577E1" w:rsidRPr="00D577E1">
        <w:rPr>
          <w:lang w:val="ru-RU"/>
        </w:rPr>
        <w:instrText>-</w:instrText>
      </w:r>
      <w:r w:rsidR="00D577E1">
        <w:instrText>secretariat</w:instrText>
      </w:r>
      <w:r w:rsidR="00D577E1" w:rsidRPr="00D577E1">
        <w:rPr>
          <w:lang w:val="ru-RU"/>
        </w:rPr>
        <w:instrText>/</w:instrText>
      </w:r>
      <w:r w:rsidR="00D577E1">
        <w:instrText>Pages</w:instrText>
      </w:r>
      <w:r w:rsidR="00D577E1" w:rsidRPr="00D577E1">
        <w:rPr>
          <w:lang w:val="ru-RU"/>
        </w:rPr>
        <w:instrText>/</w:instrText>
      </w:r>
      <w:r w:rsidR="00D577E1">
        <w:instrText>hrmd</w:instrText>
      </w:r>
      <w:r w:rsidR="00D577E1" w:rsidRPr="00D577E1">
        <w:rPr>
          <w:lang w:val="ru-RU"/>
        </w:rPr>
        <w:instrText>.</w:instrText>
      </w:r>
      <w:r w:rsidR="00D577E1">
        <w:instrText>aspx</w:instrText>
      </w:r>
      <w:r w:rsidR="00D577E1" w:rsidRPr="00D577E1">
        <w:rPr>
          <w:lang w:val="ru-RU"/>
        </w:rPr>
        <w:instrText xml:space="preserve">" </w:instrText>
      </w:r>
      <w:r w:rsidR="00D577E1">
        <w:fldChar w:fldCharType="separate"/>
      </w:r>
      <w:r w:rsidRPr="00097003">
        <w:rPr>
          <w:lang w:val="ru-RU"/>
        </w:rPr>
        <w:t>https://www.itu.int/en/general-secretariat/Pages/hrmd.aspx</w:t>
      </w:r>
      <w:r w:rsidR="00D577E1">
        <w:rPr>
          <w:lang w:val="ru-RU"/>
        </w:rPr>
        <w:fldChar w:fldCharType="end"/>
      </w:r>
      <w:r w:rsidRPr="00097003">
        <w:rPr>
          <w:lang w:val="ru-RU"/>
        </w:rPr>
        <w:t xml:space="preserve">; см. органиграмму. </w:t>
      </w:r>
      <w:hyperlink r:id="rId32" w:history="1">
        <w:r w:rsidRPr="004B77F6">
          <w:t>https://www.itu.int/en/council/ties/Documents/charts/20_HRM.pdf</w:t>
        </w:r>
      </w:hyperlink>
      <w:r w:rsidRPr="004B77F6">
        <w:t>.</w:t>
      </w:r>
    </w:p>
  </w:footnote>
  <w:footnote w:id="125">
    <w:p w14:paraId="05BF3CAA" w14:textId="77777777" w:rsidR="002B0D90" w:rsidRPr="00097003" w:rsidRDefault="002B0D90" w:rsidP="002B0D90">
      <w:pPr>
        <w:pStyle w:val="FootnoteText"/>
        <w:rPr>
          <w:lang w:val="ru-RU"/>
        </w:rPr>
      </w:pPr>
      <w:r w:rsidRPr="00097003">
        <w:rPr>
          <w:rStyle w:val="FootnoteReference"/>
          <w:lang w:val="ru-RU"/>
        </w:rPr>
        <w:footnoteRef/>
      </w:r>
      <w:r w:rsidRPr="00097003">
        <w:rPr>
          <w:lang w:val="ru-RU"/>
        </w:rPr>
        <w:t xml:space="preserve"> ЮНЕСКО не вошла в этот анализ, потому что у нее нет собственного портала обучения, хотя большая часть ее работы направлена на развитие потенциала. При этом собственный портал обучения LearningPortal (https://learningportal.iiep.unesco.org/en) есть у Международного института планирования образования (МИПО), одной из структур ЮНЕСКО, которая в некоторой степени выполняет эту функцию, хотя он создан главным образом для удовлетворения потребностей сотрудников плановых и директивных органов образования. Модель Института ЮНЕСКО более подробно рассматривается в следующем основном разделе.</w:t>
      </w:r>
    </w:p>
  </w:footnote>
  <w:footnote w:id="126">
    <w:p w14:paraId="1486F531" w14:textId="77777777" w:rsidR="002B0D90" w:rsidRPr="00097003" w:rsidRDefault="002B0D90" w:rsidP="002B0D90">
      <w:pPr>
        <w:pStyle w:val="FootnoteText"/>
        <w:rPr>
          <w:lang w:val="ru-RU"/>
        </w:rPr>
      </w:pPr>
      <w:r w:rsidRPr="00097003">
        <w:rPr>
          <w:rStyle w:val="FootnoteReference"/>
          <w:lang w:val="ru-RU"/>
        </w:rPr>
        <w:footnoteRef/>
      </w:r>
      <w:r w:rsidRPr="00097003">
        <w:rPr>
          <w:lang w:val="ru-RU"/>
        </w:rPr>
        <w:t xml:space="preserve"> </w:t>
      </w:r>
      <w:r w:rsidR="00D577E1">
        <w:fldChar w:fldCharType="begin"/>
      </w:r>
      <w:r w:rsidR="00D577E1" w:rsidRPr="00D577E1">
        <w:rPr>
          <w:lang w:val="ru-RU"/>
        </w:rPr>
        <w:instrText xml:space="preserve"> </w:instrText>
      </w:r>
      <w:r w:rsidR="00D577E1">
        <w:instrText>HYPERLINK</w:instrText>
      </w:r>
      <w:r w:rsidR="00D577E1" w:rsidRPr="00D577E1">
        <w:rPr>
          <w:lang w:val="ru-RU"/>
        </w:rPr>
        <w:instrText xml:space="preserve"> "</w:instrText>
      </w:r>
      <w:r w:rsidR="00D577E1">
        <w:instrText>https</w:instrText>
      </w:r>
      <w:r w:rsidR="00D577E1" w:rsidRPr="00D577E1">
        <w:rPr>
          <w:lang w:val="ru-RU"/>
        </w:rPr>
        <w:instrText>://</w:instrText>
      </w:r>
      <w:r w:rsidR="00D577E1">
        <w:instrText>elearning</w:instrText>
      </w:r>
      <w:r w:rsidR="00D577E1" w:rsidRPr="00D577E1">
        <w:rPr>
          <w:lang w:val="ru-RU"/>
        </w:rPr>
        <w:instrText>.</w:instrText>
      </w:r>
      <w:r w:rsidR="00D577E1">
        <w:instrText>fao</w:instrText>
      </w:r>
      <w:r w:rsidR="00D577E1" w:rsidRPr="00D577E1">
        <w:rPr>
          <w:lang w:val="ru-RU"/>
        </w:rPr>
        <w:instrText>.</w:instrText>
      </w:r>
      <w:r w:rsidR="00D577E1">
        <w:instrText>org</w:instrText>
      </w:r>
      <w:r w:rsidR="00D577E1" w:rsidRPr="00D577E1">
        <w:rPr>
          <w:lang w:val="ru-RU"/>
        </w:rPr>
        <w:instrText xml:space="preserve">/" </w:instrText>
      </w:r>
      <w:r w:rsidR="00D577E1">
        <w:fldChar w:fldCharType="separate"/>
      </w:r>
      <w:r w:rsidRPr="00097003">
        <w:rPr>
          <w:lang w:val="ru-RU"/>
        </w:rPr>
        <w:t>https://elearning.fao.org/</w:t>
      </w:r>
      <w:r w:rsidR="00D577E1">
        <w:rPr>
          <w:lang w:val="ru-RU"/>
        </w:rPr>
        <w:fldChar w:fldCharType="end"/>
      </w:r>
      <w:r w:rsidRPr="00097003">
        <w:rPr>
          <w:lang w:val="ru-RU"/>
        </w:rPr>
        <w:t>.</w:t>
      </w:r>
    </w:p>
  </w:footnote>
  <w:footnote w:id="127">
    <w:p w14:paraId="18790B74" w14:textId="77777777" w:rsidR="002B0D90" w:rsidRPr="00097003" w:rsidRDefault="002B0D90" w:rsidP="002B0D90">
      <w:pPr>
        <w:pStyle w:val="FootnoteText"/>
        <w:rPr>
          <w:lang w:val="ru-RU"/>
        </w:rPr>
      </w:pPr>
      <w:r w:rsidRPr="00097003">
        <w:rPr>
          <w:rStyle w:val="FootnoteReference"/>
          <w:lang w:val="ru-RU"/>
        </w:rPr>
        <w:footnoteRef/>
      </w:r>
      <w:r w:rsidRPr="00097003">
        <w:rPr>
          <w:lang w:val="ru-RU"/>
        </w:rPr>
        <w:t xml:space="preserve"> </w:t>
      </w:r>
      <w:r w:rsidR="00D577E1">
        <w:fldChar w:fldCharType="begin"/>
      </w:r>
      <w:r w:rsidR="00D577E1" w:rsidRPr="00D577E1">
        <w:rPr>
          <w:lang w:val="ru-RU"/>
        </w:rPr>
        <w:instrText xml:space="preserve"> </w:instrText>
      </w:r>
      <w:r w:rsidR="00D577E1">
        <w:instrText>HYPERLINK</w:instrText>
      </w:r>
      <w:r w:rsidR="00D577E1" w:rsidRPr="00D577E1">
        <w:rPr>
          <w:lang w:val="ru-RU"/>
        </w:rPr>
        <w:instrText xml:space="preserve"> "</w:instrText>
      </w:r>
      <w:r w:rsidR="00D577E1">
        <w:instrText>https</w:instrText>
      </w:r>
      <w:r w:rsidR="00D577E1" w:rsidRPr="00D577E1">
        <w:rPr>
          <w:lang w:val="ru-RU"/>
        </w:rPr>
        <w:instrText>://</w:instrText>
      </w:r>
      <w:r w:rsidR="00D577E1">
        <w:instrText>elearning</w:instrText>
      </w:r>
      <w:r w:rsidR="00D577E1" w:rsidRPr="00D577E1">
        <w:rPr>
          <w:lang w:val="ru-RU"/>
        </w:rPr>
        <w:instrText>.</w:instrText>
      </w:r>
      <w:r w:rsidR="00D577E1">
        <w:instrText>fao</w:instrText>
      </w:r>
      <w:r w:rsidR="00D577E1" w:rsidRPr="00D577E1">
        <w:rPr>
          <w:lang w:val="ru-RU"/>
        </w:rPr>
        <w:instrText>.</w:instrText>
      </w:r>
      <w:r w:rsidR="00D577E1">
        <w:instrText>org</w:instrText>
      </w:r>
      <w:r w:rsidR="00D577E1" w:rsidRPr="00D577E1">
        <w:rPr>
          <w:lang w:val="ru-RU"/>
        </w:rPr>
        <w:instrText>/</w:instrText>
      </w:r>
      <w:r w:rsidR="00D577E1">
        <w:instrText>mod</w:instrText>
      </w:r>
      <w:r w:rsidR="00D577E1" w:rsidRPr="00D577E1">
        <w:rPr>
          <w:lang w:val="ru-RU"/>
        </w:rPr>
        <w:instrText>/</w:instrText>
      </w:r>
      <w:r w:rsidR="00D577E1">
        <w:instrText>page</w:instrText>
      </w:r>
      <w:r w:rsidR="00D577E1" w:rsidRPr="00D577E1">
        <w:rPr>
          <w:lang w:val="ru-RU"/>
        </w:rPr>
        <w:instrText>/</w:instrText>
      </w:r>
      <w:r w:rsidR="00D577E1">
        <w:instrText>view</w:instrText>
      </w:r>
      <w:r w:rsidR="00D577E1" w:rsidRPr="00D577E1">
        <w:rPr>
          <w:lang w:val="ru-RU"/>
        </w:rPr>
        <w:instrText>.</w:instrText>
      </w:r>
      <w:r w:rsidR="00D577E1">
        <w:instrText>php</w:instrText>
      </w:r>
      <w:r w:rsidR="00D577E1" w:rsidRPr="00D577E1">
        <w:rPr>
          <w:lang w:val="ru-RU"/>
        </w:rPr>
        <w:instrText>?</w:instrText>
      </w:r>
      <w:r w:rsidR="00D577E1">
        <w:instrText>id</w:instrText>
      </w:r>
      <w:r w:rsidR="00D577E1" w:rsidRPr="00D577E1">
        <w:rPr>
          <w:lang w:val="ru-RU"/>
        </w:rPr>
        <w:instrText>=4</w:instrText>
      </w:r>
      <w:r w:rsidR="00D577E1" w:rsidRPr="00D577E1">
        <w:rPr>
          <w:lang w:val="ru-RU"/>
        </w:rPr>
        <w:instrText xml:space="preserve">534" </w:instrText>
      </w:r>
      <w:r w:rsidR="00D577E1">
        <w:fldChar w:fldCharType="separate"/>
      </w:r>
      <w:r w:rsidRPr="00097003">
        <w:rPr>
          <w:lang w:val="ru-RU"/>
        </w:rPr>
        <w:t>https://elearning.fao.org/mod/page/view.php?id=4534</w:t>
      </w:r>
      <w:r w:rsidR="00D577E1">
        <w:rPr>
          <w:lang w:val="ru-RU"/>
        </w:rPr>
        <w:fldChar w:fldCharType="end"/>
      </w:r>
      <w:r w:rsidRPr="00097003">
        <w:rPr>
          <w:lang w:val="ru-RU"/>
        </w:rPr>
        <w:t>.</w:t>
      </w:r>
    </w:p>
  </w:footnote>
  <w:footnote w:id="128">
    <w:p w14:paraId="76B932E2" w14:textId="5C7EF459" w:rsidR="002B0D90" w:rsidRPr="00097003" w:rsidRDefault="002B0D90" w:rsidP="002B0D90">
      <w:pPr>
        <w:pStyle w:val="FootnoteText"/>
        <w:rPr>
          <w:lang w:val="ru-RU"/>
        </w:rPr>
      </w:pPr>
      <w:r w:rsidRPr="00097003">
        <w:rPr>
          <w:rStyle w:val="FootnoteReference"/>
          <w:lang w:val="ru-RU"/>
        </w:rPr>
        <w:footnoteRef/>
      </w:r>
      <w:r w:rsidRPr="00097003">
        <w:rPr>
          <w:lang w:val="ru-RU"/>
        </w:rPr>
        <w:t xml:space="preserve"> </w:t>
      </w:r>
      <w:r w:rsidR="00D577E1">
        <w:fldChar w:fldCharType="begin"/>
      </w:r>
      <w:r w:rsidR="00D577E1" w:rsidRPr="00D577E1">
        <w:rPr>
          <w:lang w:val="ru-RU"/>
        </w:rPr>
        <w:instrText xml:space="preserve"> </w:instrText>
      </w:r>
      <w:r w:rsidR="00D577E1">
        <w:instrText>HYPERLINK</w:instrText>
      </w:r>
      <w:r w:rsidR="00D577E1" w:rsidRPr="00D577E1">
        <w:rPr>
          <w:lang w:val="ru-RU"/>
        </w:rPr>
        <w:instrText xml:space="preserve"> "</w:instrText>
      </w:r>
      <w:r w:rsidR="00D577E1">
        <w:instrText>https</w:instrText>
      </w:r>
      <w:r w:rsidR="00D577E1" w:rsidRPr="00D577E1">
        <w:rPr>
          <w:lang w:val="ru-RU"/>
        </w:rPr>
        <w:instrText>://</w:instrText>
      </w:r>
      <w:r w:rsidR="00D577E1">
        <w:instrText>www</w:instrText>
      </w:r>
      <w:r w:rsidR="00D577E1" w:rsidRPr="00D577E1">
        <w:rPr>
          <w:lang w:val="ru-RU"/>
        </w:rPr>
        <w:instrText>.</w:instrText>
      </w:r>
      <w:r w:rsidR="00D577E1">
        <w:instrText>itcilo</w:instrText>
      </w:r>
      <w:r w:rsidR="00D577E1" w:rsidRPr="00D577E1">
        <w:rPr>
          <w:lang w:val="ru-RU"/>
        </w:rPr>
        <w:instrText>.</w:instrText>
      </w:r>
      <w:r w:rsidR="00D577E1">
        <w:instrText>org</w:instrText>
      </w:r>
      <w:r w:rsidR="00D577E1" w:rsidRPr="00D577E1">
        <w:rPr>
          <w:lang w:val="ru-RU"/>
        </w:rPr>
        <w:instrText xml:space="preserve">/" </w:instrText>
      </w:r>
      <w:r w:rsidR="00D577E1">
        <w:fldChar w:fldCharType="separate"/>
      </w:r>
      <w:r w:rsidRPr="00097003">
        <w:rPr>
          <w:lang w:val="ru-RU"/>
        </w:rPr>
        <w:t>https://www.itcilo.org/</w:t>
      </w:r>
      <w:r w:rsidR="00D577E1">
        <w:rPr>
          <w:lang w:val="ru-RU"/>
        </w:rPr>
        <w:fldChar w:fldCharType="end"/>
      </w:r>
      <w:r w:rsidRPr="00097003">
        <w:rPr>
          <w:lang w:val="ru-RU"/>
        </w:rPr>
        <w:t xml:space="preserve">. Недавно подготовленный частичный обзор его работы доступен здесь: Krueck, O.J. (2020) Evaluation of training and learning activities: thematic area </w:t>
      </w:r>
      <w:r w:rsidR="00B17058" w:rsidRPr="00B17058">
        <w:rPr>
          <w:lang w:val="ru-RU"/>
        </w:rPr>
        <w:t>"</w:t>
      </w:r>
      <w:r w:rsidRPr="00097003">
        <w:rPr>
          <w:lang w:val="ru-RU"/>
        </w:rPr>
        <w:t>skills development</w:t>
      </w:r>
      <w:r w:rsidR="00B17058" w:rsidRPr="00B17058">
        <w:rPr>
          <w:lang w:val="ru-RU"/>
        </w:rPr>
        <w:t>"</w:t>
      </w:r>
      <w:r w:rsidRPr="00097003">
        <w:rPr>
          <w:lang w:val="ru-RU"/>
        </w:rPr>
        <w:t xml:space="preserve">, ECCOS, </w:t>
      </w:r>
      <w:hyperlink r:id="rId33" w:history="1">
        <w:r w:rsidRPr="00097003">
          <w:rPr>
            <w:rStyle w:val="Hyperlink"/>
            <w:lang w:val="ru-RU"/>
          </w:rPr>
          <w:t>https://www.itcilo.org/sites/default/files/inline-files/Evaluation%20Report_ITCILO_SkillsDev_by%20ECCOS.pdf</w:t>
        </w:r>
      </w:hyperlink>
      <w:r w:rsidRPr="00097003">
        <w:rPr>
          <w:lang w:val="ru-RU"/>
        </w:rPr>
        <w:t xml:space="preserve">. </w:t>
      </w:r>
    </w:p>
  </w:footnote>
  <w:footnote w:id="129">
    <w:p w14:paraId="39E20ED3" w14:textId="094B41CC" w:rsidR="002B0D90" w:rsidRPr="004B77F6" w:rsidRDefault="002B0D90" w:rsidP="002B0D90">
      <w:pPr>
        <w:pStyle w:val="FootnoteText"/>
      </w:pPr>
      <w:r w:rsidRPr="00097003">
        <w:rPr>
          <w:rStyle w:val="FootnoteReference"/>
          <w:lang w:val="ru-RU"/>
        </w:rPr>
        <w:footnoteRef/>
      </w:r>
      <w:r w:rsidRPr="004B77F6">
        <w:t xml:space="preserve"> ITCILO (2020) Financial statements and external auditor’s report for the year ended 31 December 2019, </w:t>
      </w:r>
      <w:hyperlink r:id="rId34" w:history="1">
        <w:r w:rsidRPr="004B77F6">
          <w:t>https://www.itcilo.org/sites/default/files/inline-files/CC%2083_5_1%20EN%20final.pdf</w:t>
        </w:r>
      </w:hyperlink>
      <w:r w:rsidRPr="004B77F6">
        <w:t>.</w:t>
      </w:r>
    </w:p>
  </w:footnote>
  <w:footnote w:id="130">
    <w:p w14:paraId="305F7EE8" w14:textId="77777777" w:rsidR="002B0D90" w:rsidRPr="004B77F6" w:rsidRDefault="002B0D90" w:rsidP="002B0D90">
      <w:pPr>
        <w:pStyle w:val="FootnoteText"/>
      </w:pPr>
      <w:r w:rsidRPr="00097003">
        <w:rPr>
          <w:rStyle w:val="FootnoteReference"/>
          <w:lang w:val="ru-RU"/>
        </w:rPr>
        <w:footnoteRef/>
      </w:r>
      <w:r w:rsidRPr="004B77F6">
        <w:t xml:space="preserve"> </w:t>
      </w:r>
      <w:hyperlink r:id="rId35" w:history="1">
        <w:r w:rsidRPr="004B77F6">
          <w:t>https://agora.unicef.org/</w:t>
        </w:r>
      </w:hyperlink>
      <w:r w:rsidRPr="004B77F6">
        <w:t>.</w:t>
      </w:r>
    </w:p>
  </w:footnote>
  <w:footnote w:id="131">
    <w:p w14:paraId="5A946458" w14:textId="77777777" w:rsidR="002B0D90" w:rsidRPr="00097003" w:rsidRDefault="002B0D90" w:rsidP="002B0D90">
      <w:pPr>
        <w:pStyle w:val="FootnoteText"/>
        <w:rPr>
          <w:lang w:val="ru-RU"/>
        </w:rPr>
      </w:pPr>
      <w:r w:rsidRPr="00097003">
        <w:rPr>
          <w:rStyle w:val="FootnoteReference"/>
          <w:lang w:val="ru-RU"/>
        </w:rPr>
        <w:footnoteRef/>
      </w:r>
      <w:r w:rsidRPr="004B77F6">
        <w:t xml:space="preserve"> </w:t>
      </w:r>
      <w:hyperlink r:id="rId36" w:history="1">
        <w:r w:rsidRPr="004B77F6">
          <w:t>https://www.totaralearning.com/</w:t>
        </w:r>
      </w:hyperlink>
      <w:r w:rsidRPr="004B77F6">
        <w:t xml:space="preserve">. </w:t>
      </w:r>
      <w:r w:rsidRPr="00097003">
        <w:rPr>
          <w:lang w:val="ru-RU"/>
        </w:rPr>
        <w:t>Totara Learn – это мощная, гибкая и открытая платформа, выстроенная на базе Moodle и обеспечивающая систему управления обучением, управление показателями деятельности и позволяющая отслеживать функции вовлеченности сотрудников.</w:t>
      </w:r>
    </w:p>
  </w:footnote>
  <w:footnote w:id="132">
    <w:p w14:paraId="09DA6A8D" w14:textId="77777777" w:rsidR="002B0D90" w:rsidRPr="00097003" w:rsidRDefault="002B0D90" w:rsidP="002B0D90">
      <w:pPr>
        <w:pStyle w:val="FootnoteText"/>
        <w:rPr>
          <w:lang w:val="ru-RU"/>
        </w:rPr>
      </w:pPr>
      <w:r w:rsidRPr="00097003">
        <w:rPr>
          <w:rStyle w:val="FootnoteReference"/>
          <w:lang w:val="ru-RU"/>
        </w:rPr>
        <w:footnoteRef/>
      </w:r>
      <w:r w:rsidRPr="00097003">
        <w:rPr>
          <w:lang w:val="ru-RU"/>
        </w:rPr>
        <w:t xml:space="preserve"> </w:t>
      </w:r>
      <w:r w:rsidR="00D577E1">
        <w:fldChar w:fldCharType="begin"/>
      </w:r>
      <w:r w:rsidR="00D577E1" w:rsidRPr="00D577E1">
        <w:rPr>
          <w:lang w:val="ru-RU"/>
        </w:rPr>
        <w:instrText xml:space="preserve"> </w:instrText>
      </w:r>
      <w:r w:rsidR="00D577E1">
        <w:instrText>HYPERLINK</w:instrText>
      </w:r>
      <w:r w:rsidR="00D577E1" w:rsidRPr="00D577E1">
        <w:rPr>
          <w:lang w:val="ru-RU"/>
        </w:rPr>
        <w:instrText xml:space="preserve"> "</w:instrText>
      </w:r>
      <w:r w:rsidR="00D577E1">
        <w:instrText>https</w:instrText>
      </w:r>
      <w:r w:rsidR="00D577E1" w:rsidRPr="00D577E1">
        <w:rPr>
          <w:lang w:val="ru-RU"/>
        </w:rPr>
        <w:instrText>://</w:instrText>
      </w:r>
      <w:r w:rsidR="00D577E1">
        <w:instrText>unitar</w:instrText>
      </w:r>
      <w:r w:rsidR="00D577E1" w:rsidRPr="00D577E1">
        <w:rPr>
          <w:lang w:val="ru-RU"/>
        </w:rPr>
        <w:instrText>.</w:instrText>
      </w:r>
      <w:r w:rsidR="00D577E1">
        <w:instrText>org</w:instrText>
      </w:r>
      <w:r w:rsidR="00D577E1" w:rsidRPr="00D577E1">
        <w:rPr>
          <w:lang w:val="ru-RU"/>
        </w:rPr>
        <w:instrText xml:space="preserve">" </w:instrText>
      </w:r>
      <w:r w:rsidR="00D577E1">
        <w:fldChar w:fldCharType="separate"/>
      </w:r>
      <w:r w:rsidRPr="00097003">
        <w:rPr>
          <w:lang w:val="ru-RU"/>
        </w:rPr>
        <w:t>https://unitar.org</w:t>
      </w:r>
      <w:r w:rsidR="00D577E1">
        <w:rPr>
          <w:lang w:val="ru-RU"/>
        </w:rPr>
        <w:fldChar w:fldCharType="end"/>
      </w:r>
      <w:r w:rsidRPr="00097003">
        <w:rPr>
          <w:lang w:val="ru-RU"/>
        </w:rPr>
        <w:t>.</w:t>
      </w:r>
    </w:p>
  </w:footnote>
  <w:footnote w:id="133">
    <w:p w14:paraId="1B3649E3" w14:textId="40E45DE3" w:rsidR="002B0D90" w:rsidRPr="00097003" w:rsidRDefault="002B0D90" w:rsidP="002B0D90">
      <w:pPr>
        <w:pStyle w:val="FootnoteText"/>
        <w:rPr>
          <w:lang w:val="ru-RU"/>
        </w:rPr>
      </w:pPr>
      <w:r w:rsidRPr="00097003">
        <w:rPr>
          <w:rStyle w:val="FootnoteReference"/>
          <w:lang w:val="ru-RU"/>
        </w:rPr>
        <w:footnoteRef/>
      </w:r>
      <w:r w:rsidRPr="00097003">
        <w:rPr>
          <w:lang w:val="ru-RU"/>
        </w:rPr>
        <w:t xml:space="preserve"> </w:t>
      </w:r>
      <w:r w:rsidR="00D577E1">
        <w:fldChar w:fldCharType="begin"/>
      </w:r>
      <w:r w:rsidR="00D577E1" w:rsidRPr="00D577E1">
        <w:rPr>
          <w:lang w:val="ru-RU"/>
        </w:rPr>
        <w:instrText xml:space="preserve"> </w:instrText>
      </w:r>
      <w:r w:rsidR="00D577E1">
        <w:instrText>HYPERLINK</w:instrText>
      </w:r>
      <w:r w:rsidR="00D577E1" w:rsidRPr="00D577E1">
        <w:rPr>
          <w:lang w:val="ru-RU"/>
        </w:rPr>
        <w:instrText xml:space="preserve"> "</w:instrText>
      </w:r>
      <w:r w:rsidR="00D577E1">
        <w:instrText>https</w:instrText>
      </w:r>
      <w:r w:rsidR="00D577E1" w:rsidRPr="00D577E1">
        <w:rPr>
          <w:lang w:val="ru-RU"/>
        </w:rPr>
        <w:instrText>://</w:instrText>
      </w:r>
      <w:r w:rsidR="00D577E1">
        <w:instrText>unccelearn</w:instrText>
      </w:r>
      <w:r w:rsidR="00D577E1" w:rsidRPr="00D577E1">
        <w:rPr>
          <w:lang w:val="ru-RU"/>
        </w:rPr>
        <w:instrText>.</w:instrText>
      </w:r>
      <w:r w:rsidR="00D577E1">
        <w:instrText>org</w:instrText>
      </w:r>
      <w:r w:rsidR="00D577E1" w:rsidRPr="00D577E1">
        <w:rPr>
          <w:lang w:val="ru-RU"/>
        </w:rPr>
        <w:instrText xml:space="preserve">/" </w:instrText>
      </w:r>
      <w:r w:rsidR="00D577E1">
        <w:fldChar w:fldCharType="separate"/>
      </w:r>
      <w:r w:rsidRPr="00097003">
        <w:rPr>
          <w:lang w:val="ru-RU"/>
        </w:rPr>
        <w:t>https://unccelearn.org/</w:t>
      </w:r>
      <w:r w:rsidR="00D577E1">
        <w:rPr>
          <w:lang w:val="ru-RU"/>
        </w:rPr>
        <w:fldChar w:fldCharType="end"/>
      </w:r>
      <w:r w:rsidRPr="00097003">
        <w:rPr>
          <w:lang w:val="ru-RU"/>
        </w:rPr>
        <w:t>, по состоянию на 3 ноября 2020 года.</w:t>
      </w:r>
    </w:p>
  </w:footnote>
  <w:footnote w:id="134">
    <w:p w14:paraId="0CBD58D1" w14:textId="77777777" w:rsidR="002B0D90" w:rsidRPr="00097003" w:rsidRDefault="002B0D90" w:rsidP="002B0D90">
      <w:pPr>
        <w:pStyle w:val="FootnoteText"/>
        <w:rPr>
          <w:lang w:val="ru-RU"/>
        </w:rPr>
      </w:pPr>
      <w:r w:rsidRPr="00097003">
        <w:rPr>
          <w:rStyle w:val="FootnoteReference"/>
          <w:lang w:val="ru-RU"/>
        </w:rPr>
        <w:footnoteRef/>
      </w:r>
      <w:r w:rsidRPr="00097003">
        <w:rPr>
          <w:lang w:val="ru-RU"/>
        </w:rPr>
        <w:t xml:space="preserve"> </w:t>
      </w:r>
      <w:r w:rsidR="00D577E1">
        <w:fldChar w:fldCharType="begin"/>
      </w:r>
      <w:r w:rsidR="00D577E1" w:rsidRPr="00D577E1">
        <w:rPr>
          <w:lang w:val="ru-RU"/>
        </w:rPr>
        <w:instrText xml:space="preserve"> </w:instrText>
      </w:r>
      <w:r w:rsidR="00D577E1">
        <w:instrText>HYPERLINK</w:instrText>
      </w:r>
      <w:r w:rsidR="00D577E1" w:rsidRPr="00D577E1">
        <w:rPr>
          <w:lang w:val="ru-RU"/>
        </w:rPr>
        <w:instrText xml:space="preserve"> "</w:instrText>
      </w:r>
      <w:r w:rsidR="00D577E1">
        <w:instrText>https</w:instrText>
      </w:r>
      <w:r w:rsidR="00D577E1" w:rsidRPr="00D577E1">
        <w:rPr>
          <w:lang w:val="ru-RU"/>
        </w:rPr>
        <w:instrText>://</w:instrText>
      </w:r>
      <w:r w:rsidR="00D577E1">
        <w:instrText>unssc</w:instrText>
      </w:r>
      <w:r w:rsidR="00D577E1" w:rsidRPr="00D577E1">
        <w:rPr>
          <w:lang w:val="ru-RU"/>
        </w:rPr>
        <w:instrText>.</w:instrText>
      </w:r>
      <w:r w:rsidR="00D577E1">
        <w:instrText>org</w:instrText>
      </w:r>
      <w:r w:rsidR="00D577E1" w:rsidRPr="00D577E1">
        <w:rPr>
          <w:lang w:val="ru-RU"/>
        </w:rPr>
        <w:instrText xml:space="preserve">/" </w:instrText>
      </w:r>
      <w:r w:rsidR="00D577E1">
        <w:fldChar w:fldCharType="separate"/>
      </w:r>
      <w:r w:rsidRPr="00097003">
        <w:rPr>
          <w:lang w:val="ru-RU"/>
        </w:rPr>
        <w:t>https://unssc.org/</w:t>
      </w:r>
      <w:r w:rsidR="00D577E1">
        <w:rPr>
          <w:lang w:val="ru-RU"/>
        </w:rPr>
        <w:fldChar w:fldCharType="end"/>
      </w:r>
      <w:r w:rsidRPr="00097003">
        <w:rPr>
          <w:lang w:val="ru-RU"/>
        </w:rPr>
        <w:t>.</w:t>
      </w:r>
    </w:p>
  </w:footnote>
  <w:footnote w:id="135">
    <w:p w14:paraId="57050B1D" w14:textId="5496F4BF" w:rsidR="002B0D90" w:rsidRPr="00097003" w:rsidRDefault="002B0D90" w:rsidP="002B0D90">
      <w:pPr>
        <w:pStyle w:val="FootnoteText"/>
        <w:rPr>
          <w:lang w:val="ru-RU"/>
        </w:rPr>
      </w:pPr>
      <w:r w:rsidRPr="00097003">
        <w:rPr>
          <w:rStyle w:val="FootnoteReference"/>
          <w:lang w:val="ru-RU"/>
        </w:rPr>
        <w:footnoteRef/>
      </w:r>
      <w:r w:rsidRPr="00097003">
        <w:rPr>
          <w:lang w:val="ru-RU"/>
        </w:rPr>
        <w:t xml:space="preserve"> </w:t>
      </w:r>
      <w:r w:rsidR="00D577E1">
        <w:fldChar w:fldCharType="begin"/>
      </w:r>
      <w:r w:rsidR="00D577E1" w:rsidRPr="00D577E1">
        <w:rPr>
          <w:lang w:val="ru-RU"/>
        </w:rPr>
        <w:instrText xml:space="preserve"> </w:instrText>
      </w:r>
      <w:r w:rsidR="00D577E1">
        <w:instrText>HYPERLINK</w:instrText>
      </w:r>
      <w:r w:rsidR="00D577E1" w:rsidRPr="00D577E1">
        <w:rPr>
          <w:lang w:val="ru-RU"/>
        </w:rPr>
        <w:instrText xml:space="preserve"> "</w:instrText>
      </w:r>
      <w:r w:rsidR="00D577E1">
        <w:instrText>https</w:instrText>
      </w:r>
      <w:r w:rsidR="00D577E1" w:rsidRPr="00D577E1">
        <w:rPr>
          <w:lang w:val="ru-RU"/>
        </w:rPr>
        <w:instrText>://</w:instrText>
      </w:r>
      <w:r w:rsidR="00D577E1">
        <w:instrText>newunkampus</w:instrText>
      </w:r>
      <w:r w:rsidR="00D577E1" w:rsidRPr="00D577E1">
        <w:rPr>
          <w:lang w:val="ru-RU"/>
        </w:rPr>
        <w:instrText>.</w:instrText>
      </w:r>
      <w:r w:rsidR="00D577E1">
        <w:instrText>unssc</w:instrText>
      </w:r>
      <w:r w:rsidR="00D577E1" w:rsidRPr="00D577E1">
        <w:rPr>
          <w:lang w:val="ru-RU"/>
        </w:rPr>
        <w:instrText>.</w:instrText>
      </w:r>
      <w:r w:rsidR="00D577E1">
        <w:instrText>org</w:instrText>
      </w:r>
      <w:r w:rsidR="00D577E1" w:rsidRPr="00D577E1">
        <w:rPr>
          <w:lang w:val="ru-RU"/>
        </w:rPr>
        <w:instrText xml:space="preserve">/" </w:instrText>
      </w:r>
      <w:r w:rsidR="00D577E1">
        <w:fldChar w:fldCharType="separate"/>
      </w:r>
      <w:r w:rsidRPr="00097003">
        <w:rPr>
          <w:lang w:val="ru-RU"/>
        </w:rPr>
        <w:t>https://newunkampus.unssc.org/</w:t>
      </w:r>
      <w:r w:rsidR="00D577E1">
        <w:rPr>
          <w:lang w:val="ru-RU"/>
        </w:rPr>
        <w:fldChar w:fldCharType="end"/>
      </w:r>
      <w:r w:rsidRPr="00097003">
        <w:rPr>
          <w:lang w:val="ru-RU"/>
        </w:rPr>
        <w:t>.</w:t>
      </w:r>
    </w:p>
  </w:footnote>
  <w:footnote w:id="136">
    <w:p w14:paraId="7788326C" w14:textId="77777777" w:rsidR="002B0D90" w:rsidRPr="004B77F6" w:rsidRDefault="002B0D90" w:rsidP="002B0D90">
      <w:pPr>
        <w:pStyle w:val="FootnoteText"/>
      </w:pPr>
      <w:r w:rsidRPr="00097003">
        <w:rPr>
          <w:rStyle w:val="FootnoteReference"/>
          <w:lang w:val="ru-RU"/>
        </w:rPr>
        <w:footnoteRef/>
      </w:r>
      <w:r w:rsidRPr="004B77F6">
        <w:t xml:space="preserve"> </w:t>
      </w:r>
      <w:hyperlink r:id="rId37" w:history="1">
        <w:r w:rsidRPr="004B77F6">
          <w:t>https://claned.com/</w:t>
        </w:r>
      </w:hyperlink>
      <w:r w:rsidRPr="004B77F6">
        <w:t>.</w:t>
      </w:r>
    </w:p>
  </w:footnote>
  <w:footnote w:id="137">
    <w:p w14:paraId="3F033FBD" w14:textId="3C70AA18" w:rsidR="002B0D90" w:rsidRPr="004B77F6" w:rsidRDefault="002B0D90" w:rsidP="002B0D90">
      <w:pPr>
        <w:pStyle w:val="FootnoteText"/>
      </w:pPr>
      <w:r>
        <w:rPr>
          <w:rStyle w:val="FootnoteReference"/>
        </w:rPr>
        <w:footnoteRef/>
      </w:r>
      <w:r>
        <w:t xml:space="preserve"> </w:t>
      </w:r>
      <w:r w:rsidRPr="004B77F6">
        <w:rPr>
          <w:rFonts w:cs="Arial"/>
        </w:rPr>
        <w:t xml:space="preserve">Dumitriu, P. (2020) </w:t>
      </w:r>
      <w:r w:rsidRPr="004B77F6">
        <w:rPr>
          <w:rFonts w:cs="Arial"/>
          <w:i/>
          <w:iCs/>
        </w:rPr>
        <w:t>Policies and platforms in support of learning: towards more coherence, coordination and convergence.</w:t>
      </w:r>
      <w:r w:rsidR="00A579EF">
        <w:rPr>
          <w:rFonts w:cs="Arial"/>
          <w:i/>
          <w:iCs/>
        </w:rPr>
        <w:t xml:space="preserve"> </w:t>
      </w:r>
      <w:r w:rsidRPr="004B77F6">
        <w:rPr>
          <w:rFonts w:cs="Arial"/>
          <w:i/>
          <w:iCs/>
        </w:rPr>
        <w:t>Report of the Joint Inspection Unit</w:t>
      </w:r>
      <w:r w:rsidRPr="004B77F6">
        <w:rPr>
          <w:rFonts w:cs="Arial"/>
        </w:rPr>
        <w:t>, JIU/REP/2020/2, Geneva: UN, p.48.</w:t>
      </w:r>
    </w:p>
  </w:footnote>
  <w:footnote w:id="138">
    <w:p w14:paraId="7AB0FBB7" w14:textId="55788C3A" w:rsidR="002B0D90" w:rsidRPr="004B77F6" w:rsidRDefault="002B0D90" w:rsidP="002B0D90">
      <w:pPr>
        <w:pStyle w:val="FootnoteText"/>
      </w:pPr>
      <w:r w:rsidRPr="00097003">
        <w:rPr>
          <w:rStyle w:val="FootnoteReference"/>
          <w:lang w:val="ru-RU"/>
        </w:rPr>
        <w:footnoteRef/>
      </w:r>
      <w:r w:rsidRPr="004B77F6">
        <w:t xml:space="preserve"> </w:t>
      </w:r>
      <w:r w:rsidRPr="004B77F6">
        <w:rPr>
          <w:rFonts w:cs="Arial"/>
        </w:rPr>
        <w:t xml:space="preserve">Dumitriu, P. (2020) </w:t>
      </w:r>
      <w:r w:rsidRPr="004B77F6">
        <w:rPr>
          <w:rFonts w:cs="Arial"/>
          <w:i/>
          <w:iCs/>
        </w:rPr>
        <w:t>Policies and platforms in support of learning: towards more coherence, coordination and convergence.</w:t>
      </w:r>
      <w:r w:rsidR="00A579EF">
        <w:rPr>
          <w:rFonts w:cs="Arial"/>
          <w:i/>
          <w:iCs/>
        </w:rPr>
        <w:t xml:space="preserve"> </w:t>
      </w:r>
      <w:r w:rsidRPr="004B77F6">
        <w:rPr>
          <w:rFonts w:cs="Arial"/>
          <w:i/>
          <w:iCs/>
        </w:rPr>
        <w:t>Report of the Joint Inspection Unit</w:t>
      </w:r>
      <w:r w:rsidRPr="004B77F6">
        <w:rPr>
          <w:rFonts w:cs="Arial"/>
        </w:rPr>
        <w:t>, JIU/REP/2020/2, Geneva: UN, p.63.</w:t>
      </w:r>
    </w:p>
  </w:footnote>
  <w:footnote w:id="139">
    <w:p w14:paraId="01B367D3" w14:textId="035ED9ED" w:rsidR="004B77F6" w:rsidRPr="004B77F6" w:rsidRDefault="004B77F6" w:rsidP="004B77F6">
      <w:pPr>
        <w:pStyle w:val="FootnoteText"/>
        <w:rPr>
          <w:lang w:val="ru-RU"/>
        </w:rPr>
      </w:pPr>
      <w:r>
        <w:rPr>
          <w:rStyle w:val="FootnoteReference"/>
        </w:rPr>
        <w:footnoteRef/>
      </w:r>
      <w:r>
        <w:t xml:space="preserve"> </w:t>
      </w:r>
      <w:r w:rsidRPr="009C4800">
        <w:rPr>
          <w:lang w:val="ru-RU"/>
        </w:rPr>
        <w:t>Для</w:t>
      </w:r>
      <w:r w:rsidRPr="00627280">
        <w:t xml:space="preserve"> </w:t>
      </w:r>
      <w:r w:rsidRPr="009C4800">
        <w:rPr>
          <w:lang w:val="ru-RU"/>
        </w:rPr>
        <w:t>сравнения</w:t>
      </w:r>
      <w:r w:rsidRPr="00627280">
        <w:t xml:space="preserve"> </w:t>
      </w:r>
      <w:r w:rsidRPr="009C4800">
        <w:rPr>
          <w:lang w:val="ru-RU"/>
        </w:rPr>
        <w:t>см</w:t>
      </w:r>
      <w:r w:rsidRPr="00627280">
        <w:t xml:space="preserve">., </w:t>
      </w:r>
      <w:r w:rsidRPr="009C4800">
        <w:rPr>
          <w:lang w:val="ru-RU"/>
        </w:rPr>
        <w:t>например</w:t>
      </w:r>
      <w:r w:rsidRPr="00627280">
        <w:t xml:space="preserve">, </w:t>
      </w:r>
      <w:r w:rsidRPr="009C4800">
        <w:rPr>
          <w:lang w:val="ru-RU"/>
        </w:rPr>
        <w:t>Цзинь</w:t>
      </w:r>
      <w:r w:rsidRPr="00627280">
        <w:t xml:space="preserve">, </w:t>
      </w:r>
      <w:r w:rsidRPr="009C4800">
        <w:rPr>
          <w:lang w:val="ru-RU"/>
        </w:rPr>
        <w:t>Ч</w:t>
      </w:r>
      <w:r w:rsidRPr="00627280">
        <w:t>. (1999) Organizational innovation and virtual institutes (</w:t>
      </w:r>
      <w:r w:rsidR="006E72AD" w:rsidRPr="00627280">
        <w:t>"</w:t>
      </w:r>
      <w:r w:rsidRPr="009C4800">
        <w:rPr>
          <w:lang w:val="ru-RU"/>
        </w:rPr>
        <w:t>Организационные</w:t>
      </w:r>
      <w:r w:rsidRPr="00627280">
        <w:t xml:space="preserve"> </w:t>
      </w:r>
      <w:r w:rsidRPr="009C4800">
        <w:rPr>
          <w:lang w:val="ru-RU"/>
        </w:rPr>
        <w:t>инновации</w:t>
      </w:r>
      <w:r w:rsidRPr="00627280">
        <w:t xml:space="preserve"> </w:t>
      </w:r>
      <w:r w:rsidRPr="009C4800">
        <w:rPr>
          <w:lang w:val="ru-RU"/>
        </w:rPr>
        <w:t>и</w:t>
      </w:r>
      <w:r w:rsidRPr="00627280">
        <w:t xml:space="preserve"> </w:t>
      </w:r>
      <w:r w:rsidRPr="009C4800">
        <w:rPr>
          <w:lang w:val="ru-RU"/>
        </w:rPr>
        <w:t>виртуальные</w:t>
      </w:r>
      <w:r w:rsidRPr="00627280">
        <w:t xml:space="preserve"> </w:t>
      </w:r>
      <w:r w:rsidRPr="009C4800">
        <w:rPr>
          <w:lang w:val="ru-RU"/>
        </w:rPr>
        <w:t>институты</w:t>
      </w:r>
      <w:r w:rsidR="006E72AD" w:rsidRPr="00627280">
        <w:t>"</w:t>
      </w:r>
      <w:r w:rsidRPr="00627280">
        <w:t xml:space="preserve">), Journal of Knowledge Management, 3(1), </w:t>
      </w:r>
      <w:r w:rsidRPr="009C4800">
        <w:rPr>
          <w:lang w:val="ru-RU"/>
        </w:rPr>
        <w:t>стр</w:t>
      </w:r>
      <w:r w:rsidRPr="00627280">
        <w:t>.</w:t>
      </w:r>
      <w:r>
        <w:t> 75</w:t>
      </w:r>
      <w:r w:rsidR="006E72AD" w:rsidRPr="006E72AD">
        <w:t>−</w:t>
      </w:r>
      <w:r>
        <w:t>83, https://www.emerald.com/insight/content/doi/10.1108/13673279910259420/full/html; Helmholtz Virtual Institutes (</w:t>
      </w:r>
      <w:r w:rsidR="006E72AD">
        <w:t>"</w:t>
      </w:r>
      <w:r w:rsidRPr="009C4800">
        <w:rPr>
          <w:lang w:val="ru-RU"/>
        </w:rPr>
        <w:t>Виртуальные</w:t>
      </w:r>
      <w:r w:rsidRPr="00627280">
        <w:t xml:space="preserve"> </w:t>
      </w:r>
      <w:r w:rsidRPr="009C4800">
        <w:rPr>
          <w:lang w:val="ru-RU"/>
        </w:rPr>
        <w:t>институты</w:t>
      </w:r>
      <w:r w:rsidRPr="00627280">
        <w:t xml:space="preserve"> </w:t>
      </w:r>
      <w:r w:rsidRPr="009C4800">
        <w:rPr>
          <w:lang w:val="ru-RU"/>
        </w:rPr>
        <w:t>Гельмгольца</w:t>
      </w:r>
      <w:r w:rsidR="006E72AD">
        <w:t>"</w:t>
      </w:r>
      <w:r>
        <w:t xml:space="preserve">) </w:t>
      </w:r>
      <w:hyperlink r:id="rId38" w:history="1">
        <w:r>
          <w:rPr>
            <w:rStyle w:val="Hyperlink"/>
          </w:rPr>
          <w:t>https://www.helmholtz-berlin.de/projects/hvi/index_en.html</w:t>
        </w:r>
      </w:hyperlink>
      <w:r>
        <w:t xml:space="preserve">, Ранг, А. (2017) Could ‘virtual institutes’ boost academic research? </w:t>
      </w:r>
      <w:r w:rsidRPr="004B77F6">
        <w:rPr>
          <w:lang w:val="ru-RU"/>
        </w:rPr>
        <w:t>(</w:t>
      </w:r>
      <w:r w:rsidR="006E72AD">
        <w:rPr>
          <w:lang w:val="ru-RU"/>
        </w:rPr>
        <w:t>"</w:t>
      </w:r>
      <w:r w:rsidRPr="004B77F6">
        <w:rPr>
          <w:lang w:val="ru-RU"/>
        </w:rPr>
        <w:t>Могут ли „виртуальные институты” стимулировать научные исследования?</w:t>
      </w:r>
      <w:r w:rsidR="006E72AD">
        <w:rPr>
          <w:lang w:val="ru-RU"/>
        </w:rPr>
        <w:t>"</w:t>
      </w:r>
      <w:r w:rsidRPr="004B77F6">
        <w:rPr>
          <w:lang w:val="ru-RU"/>
        </w:rPr>
        <w:t xml:space="preserve">), </w:t>
      </w:r>
      <w:r>
        <w:rPr>
          <w:i/>
        </w:rPr>
        <w:t>Medium</w:t>
      </w:r>
      <w:r w:rsidRPr="004B77F6">
        <w:rPr>
          <w:lang w:val="ru-RU"/>
        </w:rPr>
        <w:t xml:space="preserve">, </w:t>
      </w:r>
      <w:hyperlink r:id="rId39" w:history="1">
        <w:r>
          <w:rPr>
            <w:rStyle w:val="Hyperlink"/>
          </w:rPr>
          <w:t>https</w:t>
        </w:r>
        <w:r w:rsidRPr="004B77F6">
          <w:rPr>
            <w:rStyle w:val="Hyperlink"/>
            <w:lang w:val="ru-RU"/>
          </w:rPr>
          <w:t>://</w:t>
        </w:r>
        <w:r>
          <w:rPr>
            <w:rStyle w:val="Hyperlink"/>
          </w:rPr>
          <w:t>medium</w:t>
        </w:r>
        <w:r w:rsidRPr="004B77F6">
          <w:rPr>
            <w:rStyle w:val="Hyperlink"/>
            <w:lang w:val="ru-RU"/>
          </w:rPr>
          <w:t>.</w:t>
        </w:r>
        <w:r>
          <w:rPr>
            <w:rStyle w:val="Hyperlink"/>
          </w:rPr>
          <w:t>com</w:t>
        </w:r>
        <w:r w:rsidRPr="004B77F6">
          <w:rPr>
            <w:rStyle w:val="Hyperlink"/>
            <w:lang w:val="ru-RU"/>
          </w:rPr>
          <w:t>/</w:t>
        </w:r>
        <w:r>
          <w:rPr>
            <w:rStyle w:val="Hyperlink"/>
          </w:rPr>
          <w:t>e</w:t>
        </w:r>
        <w:r w:rsidRPr="004B77F6">
          <w:rPr>
            <w:rStyle w:val="Hyperlink"/>
            <w:lang w:val="ru-RU"/>
          </w:rPr>
          <w:t>-</w:t>
        </w:r>
        <w:r>
          <w:rPr>
            <w:rStyle w:val="Hyperlink"/>
          </w:rPr>
          <w:t>residency</w:t>
        </w:r>
        <w:r w:rsidRPr="004B77F6">
          <w:rPr>
            <w:rStyle w:val="Hyperlink"/>
            <w:lang w:val="ru-RU"/>
          </w:rPr>
          <w:t>-</w:t>
        </w:r>
        <w:r>
          <w:rPr>
            <w:rStyle w:val="Hyperlink"/>
          </w:rPr>
          <w:t>blog</w:t>
        </w:r>
        <w:r w:rsidRPr="004B77F6">
          <w:rPr>
            <w:rStyle w:val="Hyperlink"/>
            <w:lang w:val="ru-RU"/>
          </w:rPr>
          <w:t>/</w:t>
        </w:r>
        <w:r>
          <w:rPr>
            <w:rStyle w:val="Hyperlink"/>
          </w:rPr>
          <w:t>could</w:t>
        </w:r>
        <w:r w:rsidRPr="004B77F6">
          <w:rPr>
            <w:rStyle w:val="Hyperlink"/>
            <w:lang w:val="ru-RU"/>
          </w:rPr>
          <w:t>-</w:t>
        </w:r>
        <w:r>
          <w:rPr>
            <w:rStyle w:val="Hyperlink"/>
          </w:rPr>
          <w:t>virtual</w:t>
        </w:r>
        <w:r w:rsidRPr="004B77F6">
          <w:rPr>
            <w:rStyle w:val="Hyperlink"/>
            <w:lang w:val="ru-RU"/>
          </w:rPr>
          <w:t>-</w:t>
        </w:r>
        <w:r>
          <w:rPr>
            <w:rStyle w:val="Hyperlink"/>
          </w:rPr>
          <w:t>institutes</w:t>
        </w:r>
        <w:r w:rsidRPr="004B77F6">
          <w:rPr>
            <w:rStyle w:val="Hyperlink"/>
            <w:lang w:val="ru-RU"/>
          </w:rPr>
          <w:t>-</w:t>
        </w:r>
        <w:r>
          <w:rPr>
            <w:rStyle w:val="Hyperlink"/>
          </w:rPr>
          <w:t>boost</w:t>
        </w:r>
        <w:r w:rsidRPr="004B77F6">
          <w:rPr>
            <w:rStyle w:val="Hyperlink"/>
            <w:lang w:val="ru-RU"/>
          </w:rPr>
          <w:t>-</w:t>
        </w:r>
        <w:r>
          <w:rPr>
            <w:rStyle w:val="Hyperlink"/>
          </w:rPr>
          <w:t>academic</w:t>
        </w:r>
        <w:r w:rsidRPr="004B77F6">
          <w:rPr>
            <w:rStyle w:val="Hyperlink"/>
            <w:lang w:val="ru-RU"/>
          </w:rPr>
          <w:t>-</w:t>
        </w:r>
        <w:r>
          <w:rPr>
            <w:rStyle w:val="Hyperlink"/>
          </w:rPr>
          <w:t>research</w:t>
        </w:r>
        <w:r w:rsidRPr="004B77F6">
          <w:rPr>
            <w:rStyle w:val="Hyperlink"/>
            <w:lang w:val="ru-RU"/>
          </w:rPr>
          <w:t>-117</w:t>
        </w:r>
        <w:r>
          <w:rPr>
            <w:rStyle w:val="Hyperlink"/>
          </w:rPr>
          <w:t>ddb</w:t>
        </w:r>
        <w:r w:rsidRPr="004B77F6">
          <w:rPr>
            <w:rStyle w:val="Hyperlink"/>
            <w:lang w:val="ru-RU"/>
          </w:rPr>
          <w:t>036828</w:t>
        </w:r>
      </w:hyperlink>
      <w:r w:rsidRPr="004B77F6">
        <w:rPr>
          <w:lang w:val="ru-RU"/>
        </w:rPr>
        <w:t xml:space="preserve">, </w:t>
      </w:r>
    </w:p>
  </w:footnote>
  <w:footnote w:id="140">
    <w:p w14:paraId="60169351" w14:textId="37A29ABA" w:rsidR="004B77F6" w:rsidRPr="004B77F6" w:rsidRDefault="004B77F6" w:rsidP="004B77F6">
      <w:pPr>
        <w:pStyle w:val="FootnoteText"/>
        <w:rPr>
          <w:lang w:val="ru-RU"/>
        </w:rPr>
      </w:pPr>
      <w:r>
        <w:rPr>
          <w:rStyle w:val="FootnoteReference"/>
        </w:rPr>
        <w:footnoteRef/>
      </w:r>
      <w:r w:rsidRPr="004B77F6">
        <w:rPr>
          <w:lang w:val="ru-RU"/>
        </w:rPr>
        <w:t xml:space="preserve"> Здесь отмечается частичное совпадение с предыдущим разделом, в котором МУЦ</w:t>
      </w:r>
      <w:r w:rsidR="00F458BC">
        <w:rPr>
          <w:lang w:val="ru-RU"/>
        </w:rPr>
        <w:t xml:space="preserve"> </w:t>
      </w:r>
      <w:r w:rsidRPr="004B77F6">
        <w:rPr>
          <w:lang w:val="ru-RU"/>
        </w:rPr>
        <w:t>МОТ одновременно является и учебным заведением, и центром (функционирующим аналогично Институту).</w:t>
      </w:r>
      <w:r w:rsidR="00A579EF">
        <w:rPr>
          <w:lang w:val="ru-RU"/>
        </w:rPr>
        <w:t xml:space="preserve"> </w:t>
      </w:r>
      <w:r w:rsidRPr="004B77F6">
        <w:rPr>
          <w:lang w:val="ru-RU"/>
        </w:rPr>
        <w:t>В этом разделе основное внимание обращено на ведомственные структуры и задачи, тогда как предыдущий раздел посвящен, в частности, вопросам подготовки кадров и разработке платформ.</w:t>
      </w:r>
    </w:p>
  </w:footnote>
  <w:footnote w:id="141">
    <w:p w14:paraId="6448E826" w14:textId="0CF02004" w:rsidR="004B77F6" w:rsidRPr="004B77F6" w:rsidRDefault="004B77F6" w:rsidP="004B77F6">
      <w:pPr>
        <w:pStyle w:val="FootnoteText"/>
        <w:rPr>
          <w:lang w:val="ru-RU"/>
        </w:rPr>
      </w:pPr>
      <w:r>
        <w:rPr>
          <w:rStyle w:val="FootnoteReference"/>
        </w:rPr>
        <w:footnoteRef/>
      </w:r>
      <w:r w:rsidRPr="004B77F6">
        <w:rPr>
          <w:lang w:val="ru-RU"/>
        </w:rPr>
        <w:t xml:space="preserve"> Под термином </w:t>
      </w:r>
      <w:r w:rsidR="006E72AD">
        <w:rPr>
          <w:lang w:val="ru-RU"/>
        </w:rPr>
        <w:t>"</w:t>
      </w:r>
      <w:r w:rsidRPr="004B77F6">
        <w:rPr>
          <w:lang w:val="ru-RU"/>
        </w:rPr>
        <w:t>реальный</w:t>
      </w:r>
      <w:r w:rsidR="006E72AD">
        <w:rPr>
          <w:lang w:val="ru-RU"/>
        </w:rPr>
        <w:t>"</w:t>
      </w:r>
      <w:r w:rsidRPr="004B77F6">
        <w:rPr>
          <w:lang w:val="ru-RU"/>
        </w:rPr>
        <w:t xml:space="preserve"> подразумеваются физические структуры со значительным числом сотрудников, которые, по крайней мере отчасти независимы от своего </w:t>
      </w:r>
      <w:r w:rsidR="006E72AD">
        <w:rPr>
          <w:lang w:val="ru-RU"/>
        </w:rPr>
        <w:t>"</w:t>
      </w:r>
      <w:r w:rsidRPr="004B77F6">
        <w:rPr>
          <w:lang w:val="ru-RU"/>
        </w:rPr>
        <w:t>головного</w:t>
      </w:r>
      <w:r w:rsidR="006E72AD">
        <w:rPr>
          <w:lang w:val="ru-RU"/>
        </w:rPr>
        <w:t>"</w:t>
      </w:r>
      <w:r w:rsidRPr="004B77F6">
        <w:rPr>
          <w:lang w:val="ru-RU"/>
        </w:rPr>
        <w:t xml:space="preserve"> учреждения и имеют свои собственные правления.</w:t>
      </w:r>
    </w:p>
  </w:footnote>
  <w:footnote w:id="142">
    <w:p w14:paraId="38DD4DE4" w14:textId="77777777" w:rsidR="004B77F6" w:rsidRPr="004B77F6" w:rsidRDefault="004B77F6" w:rsidP="00ED5E07">
      <w:pPr>
        <w:pStyle w:val="FootnoteText"/>
        <w:rPr>
          <w:lang w:val="ru-RU"/>
        </w:rPr>
      </w:pPr>
      <w:r>
        <w:rPr>
          <w:rStyle w:val="FootnoteReference"/>
        </w:rPr>
        <w:footnoteRef/>
      </w:r>
      <w:r w:rsidRPr="004B77F6">
        <w:rPr>
          <w:lang w:val="ru-RU"/>
        </w:rPr>
        <w:t xml:space="preserve"> </w:t>
      </w:r>
      <w:r w:rsidR="00D577E1">
        <w:fldChar w:fldCharType="begin"/>
      </w:r>
      <w:r w:rsidR="00D577E1" w:rsidRPr="00D577E1">
        <w:rPr>
          <w:lang w:val="ru-RU"/>
        </w:rPr>
        <w:instrText xml:space="preserve"> </w:instrText>
      </w:r>
      <w:r w:rsidR="00D577E1">
        <w:instrText>HYPERLINK</w:instrText>
      </w:r>
      <w:r w:rsidR="00D577E1" w:rsidRPr="00D577E1">
        <w:rPr>
          <w:lang w:val="ru-RU"/>
        </w:rPr>
        <w:instrText xml:space="preserve"> "</w:instrText>
      </w:r>
      <w:r w:rsidR="00D577E1">
        <w:instrText>https</w:instrText>
      </w:r>
      <w:r w:rsidR="00D577E1" w:rsidRPr="00D577E1">
        <w:rPr>
          <w:lang w:val="ru-RU"/>
        </w:rPr>
        <w:instrText>://</w:instrText>
      </w:r>
      <w:r w:rsidR="00D577E1">
        <w:instrText>unu</w:instrText>
      </w:r>
      <w:r w:rsidR="00D577E1" w:rsidRPr="00D577E1">
        <w:rPr>
          <w:lang w:val="ru-RU"/>
        </w:rPr>
        <w:instrText>.</w:instrText>
      </w:r>
      <w:r w:rsidR="00D577E1">
        <w:instrText>edu</w:instrText>
      </w:r>
      <w:r w:rsidR="00D577E1" w:rsidRPr="00D577E1">
        <w:rPr>
          <w:lang w:val="ru-RU"/>
        </w:rPr>
        <w:instrText xml:space="preserve">" </w:instrText>
      </w:r>
      <w:r w:rsidR="00D577E1">
        <w:fldChar w:fldCharType="separate"/>
      </w:r>
      <w:r>
        <w:t>https</w:t>
      </w:r>
      <w:r w:rsidRPr="004B77F6">
        <w:rPr>
          <w:lang w:val="ru-RU"/>
        </w:rPr>
        <w:t>://</w:t>
      </w:r>
      <w:r>
        <w:t>unu</w:t>
      </w:r>
      <w:r w:rsidRPr="004B77F6">
        <w:rPr>
          <w:lang w:val="ru-RU"/>
        </w:rPr>
        <w:t>.</w:t>
      </w:r>
      <w:r>
        <w:t>edu</w:t>
      </w:r>
      <w:r w:rsidR="00D577E1">
        <w:fldChar w:fldCharType="end"/>
      </w:r>
      <w:r w:rsidRPr="004B77F6">
        <w:rPr>
          <w:lang w:val="ru-RU"/>
        </w:rPr>
        <w:t>.</w:t>
      </w:r>
    </w:p>
  </w:footnote>
  <w:footnote w:id="143">
    <w:p w14:paraId="0E0BA0A2" w14:textId="77777777" w:rsidR="004B77F6" w:rsidRPr="004B77F6" w:rsidRDefault="004B77F6" w:rsidP="004B77F6">
      <w:pPr>
        <w:pStyle w:val="FootnoteText"/>
        <w:rPr>
          <w:lang w:val="ru-RU"/>
        </w:rPr>
      </w:pPr>
      <w:r>
        <w:rPr>
          <w:rStyle w:val="FootnoteReference"/>
        </w:rPr>
        <w:footnoteRef/>
      </w:r>
      <w:r w:rsidRPr="004B77F6">
        <w:rPr>
          <w:lang w:val="ru-RU"/>
        </w:rPr>
        <w:t xml:space="preserve"> Этот список включает в себя Институт сравнительных исследований по вопросам региональной интеграции (Брюссель, Бельгия) и Всемирный институт исследований экономики развития (Хельсинки, Финляндия), а также Институт в Макао (САР Макао, Китай) и Операционную группу по политически ориентированному электронному управлению (Гимарайнш, Португалия), при этом последние два органа занимаются, в основном, аспектами цифровых технологий.</w:t>
      </w:r>
    </w:p>
  </w:footnote>
  <w:footnote w:id="144">
    <w:p w14:paraId="0B07AE72" w14:textId="77777777" w:rsidR="004B77F6" w:rsidRPr="004B77F6" w:rsidRDefault="004B77F6" w:rsidP="004B77F6">
      <w:pPr>
        <w:pStyle w:val="FootnoteText"/>
      </w:pPr>
      <w:r>
        <w:rPr>
          <w:rStyle w:val="FootnoteReference"/>
        </w:rPr>
        <w:footnoteRef/>
      </w:r>
      <w:r w:rsidRPr="004B77F6">
        <w:rPr>
          <w:lang w:val="ru-RU"/>
        </w:rPr>
        <w:t xml:space="preserve"> Институты категории 1: Образовательные институты и центры ЮНЕСКО</w:t>
      </w:r>
      <w:r>
        <w:t> </w:t>
      </w:r>
      <w:r w:rsidRPr="004B77F6">
        <w:rPr>
          <w:lang w:val="ru-RU"/>
        </w:rPr>
        <w:t>— Международный институт планирования образования МИПО (Париж и Буэнос-Айрес), Международные бюро просвещения МБП (Женева), Институт по обучению на протяжении всей жизни ИЮОЖ (Гамбург), Институт по информационным технологиям в образовании ИИТО (Москва), Международный институт по созданию потенциала в Африке ИИКБА (Аддис-Абеба), Международный институт по высшему образованию в Латинской Америке и Карибском бассейне ИЕСАЛК (Каракас), Международный центр по техническому и профессиональному образованию и подготовке ЮНЕВОК (Бонн), Институт Махатмы Ганди по образованию в интересах мира и устойчивого развития ИМГОМУР (Нью-Дели); Научные институты и центры ЮНЕСКО</w:t>
      </w:r>
      <w:r>
        <w:t> </w:t>
      </w:r>
      <w:r w:rsidRPr="004B77F6">
        <w:rPr>
          <w:lang w:val="ru-RU"/>
        </w:rPr>
        <w:t>— ЮНЕСКО-</w:t>
      </w:r>
      <w:r>
        <w:t>IHE</w:t>
      </w:r>
      <w:r w:rsidRPr="004B77F6">
        <w:rPr>
          <w:lang w:val="ru-RU"/>
        </w:rPr>
        <w:t xml:space="preserve"> Институт по водному образованию (Делфт) и Международный центр теоретической физики МЦТФ (Триест), а также Институт статистики ЮНЕСКО ИСЮ (Монреаль). </w:t>
      </w:r>
      <w:r w:rsidR="00D577E1">
        <w:fldChar w:fldCharType="begin"/>
      </w:r>
      <w:r w:rsidR="00D577E1" w:rsidRPr="00D577E1">
        <w:rPr>
          <w:lang w:val="ru-RU"/>
        </w:rPr>
        <w:instrText xml:space="preserve"> </w:instrText>
      </w:r>
      <w:r w:rsidR="00D577E1">
        <w:instrText>HYPERLINK</w:instrText>
      </w:r>
      <w:r w:rsidR="00D577E1" w:rsidRPr="00D577E1">
        <w:rPr>
          <w:lang w:val="ru-RU"/>
        </w:rPr>
        <w:instrText xml:space="preserve"> "</w:instrText>
      </w:r>
      <w:r w:rsidR="00D577E1">
        <w:instrText>http</w:instrText>
      </w:r>
      <w:r w:rsidR="00D577E1" w:rsidRPr="00D577E1">
        <w:rPr>
          <w:lang w:val="ru-RU"/>
        </w:rPr>
        <w:instrText>://</w:instrText>
      </w:r>
      <w:r w:rsidR="00D577E1">
        <w:instrText>www</w:instrText>
      </w:r>
      <w:r w:rsidR="00D577E1" w:rsidRPr="00D577E1">
        <w:rPr>
          <w:lang w:val="ru-RU"/>
        </w:rPr>
        <w:instrText>.</w:instrText>
      </w:r>
      <w:r w:rsidR="00D577E1">
        <w:instrText>unesco</w:instrText>
      </w:r>
      <w:r w:rsidR="00D577E1" w:rsidRPr="00D577E1">
        <w:rPr>
          <w:lang w:val="ru-RU"/>
        </w:rPr>
        <w:instrText>.</w:instrText>
      </w:r>
      <w:r w:rsidR="00D577E1">
        <w:instrText>org</w:instrText>
      </w:r>
      <w:r w:rsidR="00D577E1" w:rsidRPr="00D577E1">
        <w:rPr>
          <w:lang w:val="ru-RU"/>
        </w:rPr>
        <w:instrText>/</w:instrText>
      </w:r>
      <w:r w:rsidR="00D577E1">
        <w:instrText>new</w:instrText>
      </w:r>
      <w:r w:rsidR="00D577E1" w:rsidRPr="00D577E1">
        <w:rPr>
          <w:lang w:val="ru-RU"/>
        </w:rPr>
        <w:instrText>/</w:instrText>
      </w:r>
      <w:r w:rsidR="00D577E1">
        <w:instrText>unesco</w:instrText>
      </w:r>
      <w:r w:rsidR="00D577E1" w:rsidRPr="00D577E1">
        <w:rPr>
          <w:lang w:val="ru-RU"/>
        </w:rPr>
        <w:instrText>/</w:instrText>
      </w:r>
      <w:r w:rsidR="00D577E1">
        <w:instrText>about</w:instrText>
      </w:r>
      <w:r w:rsidR="00D577E1" w:rsidRPr="00D577E1">
        <w:rPr>
          <w:lang w:val="ru-RU"/>
        </w:rPr>
        <w:instrText>-</w:instrText>
      </w:r>
      <w:r w:rsidR="00D577E1">
        <w:instrText>us</w:instrText>
      </w:r>
      <w:r w:rsidR="00D577E1" w:rsidRPr="00D577E1">
        <w:rPr>
          <w:lang w:val="ru-RU"/>
        </w:rPr>
        <w:instrText>/</w:instrText>
      </w:r>
      <w:r w:rsidR="00D577E1">
        <w:instrText>where</w:instrText>
      </w:r>
      <w:r w:rsidR="00D577E1" w:rsidRPr="00D577E1">
        <w:rPr>
          <w:lang w:val="ru-RU"/>
        </w:rPr>
        <w:instrText>-</w:instrText>
      </w:r>
      <w:r w:rsidR="00D577E1">
        <w:instrText>we</w:instrText>
      </w:r>
      <w:r w:rsidR="00D577E1" w:rsidRPr="00D577E1">
        <w:rPr>
          <w:lang w:val="ru-RU"/>
        </w:rPr>
        <w:instrText>-</w:instrText>
      </w:r>
      <w:r w:rsidR="00D577E1">
        <w:instrText>are</w:instrText>
      </w:r>
      <w:r w:rsidR="00D577E1" w:rsidRPr="00D577E1">
        <w:rPr>
          <w:lang w:val="ru-RU"/>
        </w:rPr>
        <w:instrText>/</w:instrText>
      </w:r>
      <w:r w:rsidR="00D577E1">
        <w:instrText>institutes</w:instrText>
      </w:r>
      <w:r w:rsidR="00D577E1" w:rsidRPr="00D577E1">
        <w:rPr>
          <w:lang w:val="ru-RU"/>
        </w:rPr>
        <w:instrText>-</w:instrText>
      </w:r>
      <w:r w:rsidR="00D577E1">
        <w:instrText>and</w:instrText>
      </w:r>
      <w:r w:rsidR="00D577E1" w:rsidRPr="00D577E1">
        <w:rPr>
          <w:lang w:val="ru-RU"/>
        </w:rPr>
        <w:instrText>-</w:instrText>
      </w:r>
      <w:r w:rsidR="00D577E1">
        <w:instrText>centres</w:instrText>
      </w:r>
      <w:r w:rsidR="00D577E1" w:rsidRPr="00D577E1">
        <w:rPr>
          <w:lang w:val="ru-RU"/>
        </w:rPr>
        <w:instrText xml:space="preserve">/" </w:instrText>
      </w:r>
      <w:r w:rsidR="00D577E1">
        <w:fldChar w:fldCharType="separate"/>
      </w:r>
      <w:r w:rsidRPr="008625F0">
        <w:rPr>
          <w:rStyle w:val="Hyperlink"/>
        </w:rPr>
        <w:t>http</w:t>
      </w:r>
      <w:r w:rsidRPr="004B77F6">
        <w:rPr>
          <w:rStyle w:val="Hyperlink"/>
        </w:rPr>
        <w:t>://</w:t>
      </w:r>
      <w:r w:rsidRPr="008625F0">
        <w:rPr>
          <w:rStyle w:val="Hyperlink"/>
        </w:rPr>
        <w:t>www</w:t>
      </w:r>
      <w:r w:rsidRPr="004B77F6">
        <w:rPr>
          <w:rStyle w:val="Hyperlink"/>
        </w:rPr>
        <w:t>.</w:t>
      </w:r>
      <w:r w:rsidRPr="008625F0">
        <w:rPr>
          <w:rStyle w:val="Hyperlink"/>
        </w:rPr>
        <w:t>unesco</w:t>
      </w:r>
      <w:r w:rsidRPr="004B77F6">
        <w:rPr>
          <w:rStyle w:val="Hyperlink"/>
        </w:rPr>
        <w:t>.</w:t>
      </w:r>
      <w:r w:rsidRPr="008625F0">
        <w:rPr>
          <w:rStyle w:val="Hyperlink"/>
        </w:rPr>
        <w:t>org</w:t>
      </w:r>
      <w:r w:rsidRPr="004B77F6">
        <w:rPr>
          <w:rStyle w:val="Hyperlink"/>
        </w:rPr>
        <w:t>/</w:t>
      </w:r>
      <w:r w:rsidRPr="008625F0">
        <w:rPr>
          <w:rStyle w:val="Hyperlink"/>
        </w:rPr>
        <w:t>new</w:t>
      </w:r>
      <w:r w:rsidRPr="004B77F6">
        <w:rPr>
          <w:rStyle w:val="Hyperlink"/>
        </w:rPr>
        <w:t>/</w:t>
      </w:r>
      <w:r w:rsidRPr="008625F0">
        <w:rPr>
          <w:rStyle w:val="Hyperlink"/>
        </w:rPr>
        <w:t>unesco</w:t>
      </w:r>
      <w:r w:rsidRPr="004B77F6">
        <w:rPr>
          <w:rStyle w:val="Hyperlink"/>
        </w:rPr>
        <w:t>/</w:t>
      </w:r>
      <w:r w:rsidRPr="008625F0">
        <w:rPr>
          <w:rStyle w:val="Hyperlink"/>
        </w:rPr>
        <w:t>about</w:t>
      </w:r>
      <w:r w:rsidRPr="004B77F6">
        <w:rPr>
          <w:rStyle w:val="Hyperlink"/>
        </w:rPr>
        <w:t>-</w:t>
      </w:r>
      <w:r w:rsidRPr="008625F0">
        <w:rPr>
          <w:rStyle w:val="Hyperlink"/>
        </w:rPr>
        <w:t>us</w:t>
      </w:r>
      <w:r w:rsidRPr="004B77F6">
        <w:rPr>
          <w:rStyle w:val="Hyperlink"/>
        </w:rPr>
        <w:t>/</w:t>
      </w:r>
      <w:r w:rsidRPr="008625F0">
        <w:rPr>
          <w:rStyle w:val="Hyperlink"/>
        </w:rPr>
        <w:t>where</w:t>
      </w:r>
      <w:r w:rsidRPr="004B77F6">
        <w:rPr>
          <w:rStyle w:val="Hyperlink"/>
        </w:rPr>
        <w:t>-</w:t>
      </w:r>
      <w:r w:rsidRPr="008625F0">
        <w:rPr>
          <w:rStyle w:val="Hyperlink"/>
        </w:rPr>
        <w:t>we</w:t>
      </w:r>
      <w:r w:rsidRPr="004B77F6">
        <w:rPr>
          <w:rStyle w:val="Hyperlink"/>
        </w:rPr>
        <w:t>-</w:t>
      </w:r>
      <w:r w:rsidRPr="008625F0">
        <w:rPr>
          <w:rStyle w:val="Hyperlink"/>
        </w:rPr>
        <w:t>are</w:t>
      </w:r>
      <w:r w:rsidRPr="004B77F6">
        <w:rPr>
          <w:rStyle w:val="Hyperlink"/>
        </w:rPr>
        <w:t>/</w:t>
      </w:r>
      <w:r w:rsidRPr="008625F0">
        <w:rPr>
          <w:rStyle w:val="Hyperlink"/>
        </w:rPr>
        <w:t>institutes</w:t>
      </w:r>
      <w:r w:rsidRPr="004B77F6">
        <w:rPr>
          <w:rStyle w:val="Hyperlink"/>
        </w:rPr>
        <w:t>-</w:t>
      </w:r>
      <w:r w:rsidRPr="008625F0">
        <w:rPr>
          <w:rStyle w:val="Hyperlink"/>
        </w:rPr>
        <w:t>and</w:t>
      </w:r>
      <w:r w:rsidRPr="004B77F6">
        <w:rPr>
          <w:rStyle w:val="Hyperlink"/>
        </w:rPr>
        <w:t>-</w:t>
      </w:r>
      <w:r w:rsidRPr="008625F0">
        <w:rPr>
          <w:rStyle w:val="Hyperlink"/>
        </w:rPr>
        <w:t>centres</w:t>
      </w:r>
      <w:r w:rsidRPr="004B77F6">
        <w:rPr>
          <w:rStyle w:val="Hyperlink"/>
        </w:rPr>
        <w:t>/</w:t>
      </w:r>
      <w:r w:rsidR="00D577E1">
        <w:rPr>
          <w:rStyle w:val="Hyperlink"/>
        </w:rPr>
        <w:fldChar w:fldCharType="end"/>
      </w:r>
      <w:r w:rsidRPr="004B77F6">
        <w:t>.</w:t>
      </w:r>
    </w:p>
  </w:footnote>
  <w:footnote w:id="145">
    <w:p w14:paraId="146DAA0F" w14:textId="662514A3" w:rsidR="004B77F6" w:rsidRPr="004B77F6" w:rsidRDefault="004B77F6" w:rsidP="004B77F6">
      <w:pPr>
        <w:pStyle w:val="FootnoteText"/>
        <w:rPr>
          <w:lang w:val="ru-RU"/>
        </w:rPr>
      </w:pPr>
      <w:r>
        <w:rPr>
          <w:rStyle w:val="FootnoteReference"/>
        </w:rPr>
        <w:footnoteRef/>
      </w:r>
      <w:r w:rsidRPr="004B77F6">
        <w:t xml:space="preserve"> </w:t>
      </w:r>
      <w:hyperlink r:id="rId40" w:history="1">
        <w:r>
          <w:t>https</w:t>
        </w:r>
        <w:r w:rsidRPr="004B77F6">
          <w:t>://</w:t>
        </w:r>
        <w:r>
          <w:t>en</w:t>
        </w:r>
        <w:r w:rsidRPr="004B77F6">
          <w:t>.</w:t>
        </w:r>
        <w:r>
          <w:t>unesco</w:t>
        </w:r>
        <w:r w:rsidRPr="004B77F6">
          <w:t>.</w:t>
        </w:r>
        <w:r>
          <w:t>org</w:t>
        </w:r>
        <w:r w:rsidRPr="004B77F6">
          <w:t>/</w:t>
        </w:r>
        <w:r>
          <w:t>themes</w:t>
        </w:r>
        <w:r w:rsidRPr="004B77F6">
          <w:t>/</w:t>
        </w:r>
        <w:r>
          <w:t>higher</w:t>
        </w:r>
        <w:r w:rsidRPr="004B77F6">
          <w:t>-</w:t>
        </w:r>
        <w:r>
          <w:t>education</w:t>
        </w:r>
        <w:r w:rsidRPr="004B77F6">
          <w:t>/</w:t>
        </w:r>
        <w:r>
          <w:t>unitwin</w:t>
        </w:r>
      </w:hyperlink>
      <w:r w:rsidRPr="004B77F6">
        <w:t xml:space="preserve">. </w:t>
      </w:r>
      <w:r w:rsidRPr="004B77F6">
        <w:rPr>
          <w:lang w:val="ru-RU"/>
        </w:rPr>
        <w:t xml:space="preserve">Академическое сотрудничество с учреждениями ООН выходит за рамки настоящего </w:t>
      </w:r>
      <w:r w:rsidR="00BE7DA9">
        <w:rPr>
          <w:lang w:val="ru-RU"/>
        </w:rPr>
        <w:t>отчет</w:t>
      </w:r>
      <w:r w:rsidRPr="004B77F6">
        <w:rPr>
          <w:lang w:val="ru-RU"/>
        </w:rPr>
        <w:t>а, однако из этой программы можно извлечь ценные уроки, актуальные для любой предлагаемой реорганизации сети ЦПМ МСЭ, а также для расширения связей МСЭ с академическим сообществом.</w:t>
      </w:r>
    </w:p>
  </w:footnote>
  <w:footnote w:id="146">
    <w:p w14:paraId="634125F3" w14:textId="77777777" w:rsidR="004B77F6" w:rsidRPr="004B77F6" w:rsidRDefault="004B77F6" w:rsidP="00ED5E07">
      <w:pPr>
        <w:pStyle w:val="FootnoteText"/>
        <w:rPr>
          <w:lang w:val="ru-RU"/>
        </w:rPr>
      </w:pPr>
      <w:r>
        <w:rPr>
          <w:rStyle w:val="FootnoteReference"/>
        </w:rPr>
        <w:footnoteRef/>
      </w:r>
      <w:r w:rsidRPr="004B77F6">
        <w:rPr>
          <w:lang w:val="ru-RU"/>
        </w:rPr>
        <w:t xml:space="preserve"> На текущий двухгодичный период также был представлен альтернативный общий утвержденный бюджет в размере 518 миллионов долларов США, что обусловлено финансовой нестабильностью, которая в равной степени привела к сокращению операционных бюджетов институтов.</w:t>
      </w:r>
    </w:p>
  </w:footnote>
  <w:footnote w:id="147">
    <w:p w14:paraId="037F97FE" w14:textId="77777777" w:rsidR="004B77F6" w:rsidRPr="004B77F6" w:rsidRDefault="004B77F6" w:rsidP="004B77F6">
      <w:pPr>
        <w:pStyle w:val="FootnoteText"/>
        <w:rPr>
          <w:lang w:val="ru-RU"/>
        </w:rPr>
      </w:pPr>
      <w:r>
        <w:rPr>
          <w:rStyle w:val="FootnoteReference"/>
        </w:rPr>
        <w:footnoteRef/>
      </w:r>
      <w:r w:rsidRPr="004B77F6">
        <w:rPr>
          <w:lang w:val="ru-RU"/>
        </w:rPr>
        <w:t xml:space="preserve"> ЮНЕСКО (2018) </w:t>
      </w:r>
      <w:r w:rsidRPr="004B77F6">
        <w:rPr>
          <w:i/>
          <w:lang w:val="ru-RU"/>
        </w:rPr>
        <w:t xml:space="preserve">39 </w:t>
      </w:r>
      <w:r>
        <w:rPr>
          <w:i/>
        </w:rPr>
        <w:t>C</w:t>
      </w:r>
      <w:r w:rsidRPr="004B77F6">
        <w:rPr>
          <w:i/>
          <w:lang w:val="ru-RU"/>
        </w:rPr>
        <w:t>/5 Утвержденные программа и бюджет на 2018–19</w:t>
      </w:r>
      <w:r>
        <w:rPr>
          <w:i/>
        </w:rPr>
        <w:t> </w:t>
      </w:r>
      <w:r w:rsidRPr="004B77F6">
        <w:rPr>
          <w:i/>
          <w:lang w:val="ru-RU"/>
        </w:rPr>
        <w:t>гг., первая половина 4-летнего финансового периода (2018–2021</w:t>
      </w:r>
      <w:r>
        <w:rPr>
          <w:i/>
        </w:rPr>
        <w:t> </w:t>
      </w:r>
      <w:r w:rsidRPr="004B77F6">
        <w:rPr>
          <w:i/>
          <w:lang w:val="ru-RU"/>
        </w:rPr>
        <w:t>гг.)</w:t>
      </w:r>
      <w:r w:rsidRPr="004B77F6">
        <w:rPr>
          <w:lang w:val="ru-RU"/>
        </w:rPr>
        <w:t>, Париж: ЮНЕСКО.</w:t>
      </w:r>
    </w:p>
  </w:footnote>
  <w:footnote w:id="148">
    <w:p w14:paraId="00CBA487" w14:textId="39B549C7" w:rsidR="004B77F6" w:rsidRPr="004B77F6" w:rsidRDefault="004B77F6" w:rsidP="004B77F6">
      <w:pPr>
        <w:pStyle w:val="FootnoteText"/>
        <w:rPr>
          <w:lang w:val="ru-RU"/>
        </w:rPr>
      </w:pPr>
      <w:r>
        <w:rPr>
          <w:rStyle w:val="FootnoteReference"/>
        </w:rPr>
        <w:footnoteRef/>
      </w:r>
      <w:r w:rsidRPr="004B77F6">
        <w:rPr>
          <w:lang w:val="ru-RU"/>
        </w:rPr>
        <w:t xml:space="preserve"> ИЮОЖ (2014) </w:t>
      </w:r>
      <w:r w:rsidRPr="004B77F6">
        <w:rPr>
          <w:i/>
          <w:lang w:val="ru-RU"/>
        </w:rPr>
        <w:t>Среднесрочная стратегия, 2014–2021</w:t>
      </w:r>
      <w:r>
        <w:rPr>
          <w:i/>
        </w:rPr>
        <w:t> </w:t>
      </w:r>
      <w:r w:rsidRPr="004B77F6">
        <w:rPr>
          <w:i/>
          <w:lang w:val="ru-RU"/>
        </w:rPr>
        <w:t xml:space="preserve">гг.: </w:t>
      </w:r>
      <w:r>
        <w:rPr>
          <w:i/>
        </w:rPr>
        <w:t>Laying</w:t>
      </w:r>
      <w:r w:rsidRPr="004B77F6">
        <w:rPr>
          <w:i/>
          <w:lang w:val="ru-RU"/>
        </w:rPr>
        <w:t xml:space="preserve"> </w:t>
      </w:r>
      <w:r>
        <w:rPr>
          <w:i/>
        </w:rPr>
        <w:t>Foundations</w:t>
      </w:r>
      <w:r w:rsidRPr="004B77F6">
        <w:rPr>
          <w:i/>
          <w:lang w:val="ru-RU"/>
        </w:rPr>
        <w:t xml:space="preserve"> </w:t>
      </w:r>
      <w:r>
        <w:rPr>
          <w:i/>
        </w:rPr>
        <w:t>for</w:t>
      </w:r>
      <w:r w:rsidRPr="004B77F6">
        <w:rPr>
          <w:i/>
          <w:lang w:val="ru-RU"/>
        </w:rPr>
        <w:t xml:space="preserve"> </w:t>
      </w:r>
      <w:r>
        <w:rPr>
          <w:i/>
        </w:rPr>
        <w:t>Equitable</w:t>
      </w:r>
      <w:r w:rsidRPr="004B77F6">
        <w:rPr>
          <w:i/>
          <w:lang w:val="ru-RU"/>
        </w:rPr>
        <w:t xml:space="preserve"> </w:t>
      </w:r>
      <w:r>
        <w:rPr>
          <w:i/>
        </w:rPr>
        <w:t>Lifelong</w:t>
      </w:r>
      <w:r w:rsidRPr="004B77F6">
        <w:rPr>
          <w:i/>
          <w:lang w:val="ru-RU"/>
        </w:rPr>
        <w:t xml:space="preserve"> </w:t>
      </w:r>
      <w:r>
        <w:rPr>
          <w:i/>
        </w:rPr>
        <w:t>Learning</w:t>
      </w:r>
      <w:r w:rsidRPr="004B77F6">
        <w:rPr>
          <w:i/>
          <w:lang w:val="ru-RU"/>
        </w:rPr>
        <w:t xml:space="preserve"> </w:t>
      </w:r>
      <w:r>
        <w:rPr>
          <w:i/>
        </w:rPr>
        <w:t>for</w:t>
      </w:r>
      <w:r w:rsidRPr="004B77F6">
        <w:rPr>
          <w:i/>
          <w:lang w:val="ru-RU"/>
        </w:rPr>
        <w:t xml:space="preserve"> </w:t>
      </w:r>
      <w:r>
        <w:rPr>
          <w:i/>
        </w:rPr>
        <w:t>All</w:t>
      </w:r>
      <w:r w:rsidRPr="004B77F6">
        <w:rPr>
          <w:i/>
          <w:lang w:val="ru-RU"/>
        </w:rPr>
        <w:t xml:space="preserve"> (</w:t>
      </w:r>
      <w:r w:rsidR="006E72AD">
        <w:rPr>
          <w:i/>
          <w:lang w:val="ru-RU"/>
        </w:rPr>
        <w:t>"</w:t>
      </w:r>
      <w:r w:rsidRPr="004B77F6">
        <w:rPr>
          <w:i/>
          <w:lang w:val="ru-RU"/>
        </w:rPr>
        <w:t>Заложение основ равноправного обучения на протяжении всей жизни для всех</w:t>
      </w:r>
      <w:r w:rsidR="006E72AD">
        <w:rPr>
          <w:i/>
          <w:lang w:val="ru-RU"/>
        </w:rPr>
        <w:t>"</w:t>
      </w:r>
      <w:r w:rsidRPr="004B77F6">
        <w:rPr>
          <w:i/>
          <w:lang w:val="ru-RU"/>
        </w:rPr>
        <w:t>)</w:t>
      </w:r>
      <w:r w:rsidRPr="004B77F6">
        <w:rPr>
          <w:lang w:val="ru-RU"/>
        </w:rPr>
        <w:t>, Гамбург: Институт ЮНЕСКО по обучению на протяжении всей жизни.</w:t>
      </w:r>
    </w:p>
  </w:footnote>
  <w:footnote w:id="149">
    <w:p w14:paraId="413CEDA9" w14:textId="77777777" w:rsidR="004B77F6" w:rsidRPr="004B77F6" w:rsidRDefault="004B77F6" w:rsidP="004B77F6">
      <w:pPr>
        <w:pStyle w:val="FootnoteText"/>
        <w:rPr>
          <w:lang w:val="ru-RU"/>
        </w:rPr>
      </w:pPr>
      <w:r>
        <w:rPr>
          <w:rStyle w:val="FootnoteReference"/>
        </w:rPr>
        <w:footnoteRef/>
      </w:r>
      <w:r w:rsidRPr="004B77F6">
        <w:rPr>
          <w:lang w:val="ru-RU"/>
        </w:rPr>
        <w:t xml:space="preserve"> Институты ЮНЕСКО категории 2 в полной мере финансируются странами их базирования, при этом в них работают местные сотрудники, и они также содействуют выполнению мандата и программ ЮНЕСКО, включая основную работу по развитию потенциала.</w:t>
      </w:r>
    </w:p>
  </w:footnote>
  <w:footnote w:id="150">
    <w:p w14:paraId="55391DDF" w14:textId="5EA0DA3E" w:rsidR="004B77F6" w:rsidRPr="004B77F6" w:rsidRDefault="004B77F6" w:rsidP="00EA6062">
      <w:pPr>
        <w:pStyle w:val="FootnoteText"/>
        <w:rPr>
          <w:lang w:val="ru-RU"/>
        </w:rPr>
      </w:pPr>
      <w:r>
        <w:rPr>
          <w:rStyle w:val="FootnoteReference"/>
        </w:rPr>
        <w:footnoteRef/>
      </w:r>
      <w:r w:rsidRPr="004B77F6">
        <w:rPr>
          <w:lang w:val="ru-RU"/>
        </w:rPr>
        <w:t xml:space="preserve"> </w:t>
      </w:r>
      <w:r w:rsidR="00D577E1">
        <w:fldChar w:fldCharType="begin"/>
      </w:r>
      <w:r w:rsidR="00D577E1" w:rsidRPr="00D577E1">
        <w:rPr>
          <w:lang w:val="ru-RU"/>
        </w:rPr>
        <w:instrText xml:space="preserve"> </w:instrText>
      </w:r>
      <w:r w:rsidR="00D577E1">
        <w:instrText>HYPERLINK</w:instrText>
      </w:r>
      <w:r w:rsidR="00D577E1" w:rsidRPr="00D577E1">
        <w:rPr>
          <w:lang w:val="ru-RU"/>
        </w:rPr>
        <w:instrText xml:space="preserve"> "</w:instrText>
      </w:r>
      <w:r w:rsidR="00D577E1">
        <w:instrText>https</w:instrText>
      </w:r>
      <w:r w:rsidR="00D577E1" w:rsidRPr="00D577E1">
        <w:rPr>
          <w:lang w:val="ru-RU"/>
        </w:rPr>
        <w:instrText>://</w:instrText>
      </w:r>
      <w:r w:rsidR="00D577E1">
        <w:instrText>unevoc</w:instrText>
      </w:r>
      <w:r w:rsidR="00D577E1" w:rsidRPr="00D577E1">
        <w:rPr>
          <w:lang w:val="ru-RU"/>
        </w:rPr>
        <w:instrText>.</w:instrText>
      </w:r>
      <w:r w:rsidR="00D577E1">
        <w:instrText>unesco</w:instrText>
      </w:r>
      <w:r w:rsidR="00D577E1" w:rsidRPr="00D577E1">
        <w:rPr>
          <w:lang w:val="ru-RU"/>
        </w:rPr>
        <w:instrText>.</w:instrText>
      </w:r>
      <w:r w:rsidR="00D577E1">
        <w:instrText>org</w:instrText>
      </w:r>
      <w:r w:rsidR="00D577E1" w:rsidRPr="00D577E1">
        <w:rPr>
          <w:lang w:val="ru-RU"/>
        </w:rPr>
        <w:instrText>/</w:instrText>
      </w:r>
      <w:r w:rsidR="00D577E1">
        <w:instrText>home</w:instrText>
      </w:r>
      <w:r w:rsidR="00D577E1" w:rsidRPr="00D577E1">
        <w:rPr>
          <w:lang w:val="ru-RU"/>
        </w:rPr>
        <w:instrText xml:space="preserve">/" </w:instrText>
      </w:r>
      <w:r w:rsidR="00D577E1">
        <w:fldChar w:fldCharType="separate"/>
      </w:r>
      <w:r>
        <w:t>https</w:t>
      </w:r>
      <w:r w:rsidRPr="004B77F6">
        <w:rPr>
          <w:lang w:val="ru-RU"/>
        </w:rPr>
        <w:t>://</w:t>
      </w:r>
      <w:r>
        <w:t>unevoc</w:t>
      </w:r>
      <w:r w:rsidRPr="004B77F6">
        <w:rPr>
          <w:lang w:val="ru-RU"/>
        </w:rPr>
        <w:t>.</w:t>
      </w:r>
      <w:r>
        <w:t>unesco</w:t>
      </w:r>
      <w:r w:rsidRPr="004B77F6">
        <w:rPr>
          <w:lang w:val="ru-RU"/>
        </w:rPr>
        <w:t>.</w:t>
      </w:r>
      <w:r>
        <w:t>org</w:t>
      </w:r>
      <w:r w:rsidRPr="004B77F6">
        <w:rPr>
          <w:lang w:val="ru-RU"/>
        </w:rPr>
        <w:t>/</w:t>
      </w:r>
      <w:r>
        <w:t>home</w:t>
      </w:r>
      <w:r w:rsidRPr="004B77F6">
        <w:rPr>
          <w:lang w:val="ru-RU"/>
        </w:rPr>
        <w:t>/</w:t>
      </w:r>
      <w:r w:rsidR="00D577E1">
        <w:rPr>
          <w:lang w:val="ru-RU"/>
        </w:rPr>
        <w:fldChar w:fldCharType="end"/>
      </w:r>
      <w:r w:rsidRPr="004B77F6">
        <w:rPr>
          <w:lang w:val="ru-RU"/>
        </w:rPr>
        <w:t>.</w:t>
      </w:r>
    </w:p>
  </w:footnote>
  <w:footnote w:id="151">
    <w:p w14:paraId="19ED5D4C" w14:textId="517C7FC3" w:rsidR="004B77F6" w:rsidRPr="004B77F6" w:rsidRDefault="004B77F6" w:rsidP="004B77F6">
      <w:pPr>
        <w:pStyle w:val="FootnoteText"/>
        <w:rPr>
          <w:lang w:val="ru-RU"/>
        </w:rPr>
      </w:pPr>
      <w:r>
        <w:rPr>
          <w:rStyle w:val="FootnoteReference"/>
        </w:rPr>
        <w:footnoteRef/>
      </w:r>
      <w:r w:rsidRPr="004B77F6">
        <w:rPr>
          <w:lang w:val="ru-RU"/>
        </w:rPr>
        <w:t xml:space="preserve"> </w:t>
      </w:r>
      <w:r w:rsidR="00D577E1">
        <w:fldChar w:fldCharType="begin"/>
      </w:r>
      <w:r w:rsidR="00D577E1" w:rsidRPr="00D577E1">
        <w:rPr>
          <w:lang w:val="ru-RU"/>
        </w:rPr>
        <w:instrText xml:space="preserve"> </w:instrText>
      </w:r>
      <w:r w:rsidR="00D577E1">
        <w:instrText>HYPERLINK</w:instrText>
      </w:r>
      <w:r w:rsidR="00D577E1" w:rsidRPr="00D577E1">
        <w:rPr>
          <w:lang w:val="ru-RU"/>
        </w:rPr>
        <w:instrText xml:space="preserve"> "</w:instrText>
      </w:r>
      <w:r w:rsidR="00D577E1">
        <w:instrText>https</w:instrText>
      </w:r>
      <w:r w:rsidR="00D577E1" w:rsidRPr="00D577E1">
        <w:rPr>
          <w:lang w:val="ru-RU"/>
        </w:rPr>
        <w:instrText>://</w:instrText>
      </w:r>
      <w:r w:rsidR="00D577E1">
        <w:instrText>www</w:instrText>
      </w:r>
      <w:r w:rsidR="00D577E1" w:rsidRPr="00D577E1">
        <w:rPr>
          <w:lang w:val="ru-RU"/>
        </w:rPr>
        <w:instrText>.</w:instrText>
      </w:r>
      <w:r w:rsidR="00D577E1">
        <w:instrText>ictp</w:instrText>
      </w:r>
      <w:r w:rsidR="00D577E1" w:rsidRPr="00D577E1">
        <w:rPr>
          <w:lang w:val="ru-RU"/>
        </w:rPr>
        <w:instrText>.</w:instrText>
      </w:r>
      <w:r w:rsidR="00D577E1">
        <w:instrText>it</w:instrText>
      </w:r>
      <w:r w:rsidR="00D577E1" w:rsidRPr="00D577E1">
        <w:rPr>
          <w:lang w:val="ru-RU"/>
        </w:rPr>
        <w:instrText xml:space="preserve">/" </w:instrText>
      </w:r>
      <w:r w:rsidR="00D577E1">
        <w:fldChar w:fldCharType="separate"/>
      </w:r>
      <w:r>
        <w:t>https</w:t>
      </w:r>
      <w:r w:rsidRPr="004B77F6">
        <w:rPr>
          <w:lang w:val="ru-RU"/>
        </w:rPr>
        <w:t>://</w:t>
      </w:r>
      <w:r>
        <w:t>www</w:t>
      </w:r>
      <w:r w:rsidRPr="004B77F6">
        <w:rPr>
          <w:lang w:val="ru-RU"/>
        </w:rPr>
        <w:t>.</w:t>
      </w:r>
      <w:r>
        <w:t>ictp</w:t>
      </w:r>
      <w:r w:rsidRPr="004B77F6">
        <w:rPr>
          <w:lang w:val="ru-RU"/>
        </w:rPr>
        <w:t>.</w:t>
      </w:r>
      <w:r>
        <w:t>it</w:t>
      </w:r>
      <w:r w:rsidRPr="004B77F6">
        <w:rPr>
          <w:lang w:val="ru-RU"/>
        </w:rPr>
        <w:t>/</w:t>
      </w:r>
      <w:r w:rsidR="00D577E1">
        <w:rPr>
          <w:lang w:val="ru-RU"/>
        </w:rPr>
        <w:fldChar w:fldCharType="end"/>
      </w:r>
      <w:r w:rsidRPr="004B77F6">
        <w:rPr>
          <w:lang w:val="ru-RU"/>
        </w:rPr>
        <w:t>.</w:t>
      </w:r>
    </w:p>
  </w:footnote>
  <w:footnote w:id="152">
    <w:p w14:paraId="0FB11D3E" w14:textId="291CD0A1" w:rsidR="004B77F6" w:rsidRPr="004B77F6" w:rsidRDefault="004B77F6" w:rsidP="00ED5E07">
      <w:pPr>
        <w:pStyle w:val="FootnoteText"/>
        <w:rPr>
          <w:lang w:val="ru-RU"/>
        </w:rPr>
      </w:pPr>
      <w:r>
        <w:rPr>
          <w:rStyle w:val="FootnoteReference"/>
        </w:rPr>
        <w:footnoteRef/>
      </w:r>
      <w:r w:rsidRPr="004B77F6">
        <w:rPr>
          <w:lang w:val="ru-RU"/>
        </w:rPr>
        <w:t xml:space="preserve"> </w:t>
      </w:r>
      <w:r w:rsidR="00D577E1">
        <w:fldChar w:fldCharType="begin"/>
      </w:r>
      <w:r w:rsidR="00D577E1" w:rsidRPr="00D577E1">
        <w:rPr>
          <w:lang w:val="ru-RU"/>
        </w:rPr>
        <w:instrText xml:space="preserve"> </w:instrText>
      </w:r>
      <w:r w:rsidR="00D577E1">
        <w:instrText>HYPERLINK</w:instrText>
      </w:r>
      <w:r w:rsidR="00D577E1" w:rsidRPr="00D577E1">
        <w:rPr>
          <w:lang w:val="ru-RU"/>
        </w:rPr>
        <w:instrText xml:space="preserve"> "</w:instrText>
      </w:r>
      <w:r w:rsidR="00D577E1">
        <w:instrText>https</w:instrText>
      </w:r>
      <w:r w:rsidR="00D577E1" w:rsidRPr="00D577E1">
        <w:rPr>
          <w:lang w:val="ru-RU"/>
        </w:rPr>
        <w:instrText>://</w:instrText>
      </w:r>
      <w:r w:rsidR="00D577E1">
        <w:instrText>www</w:instrText>
      </w:r>
      <w:r w:rsidR="00D577E1" w:rsidRPr="00D577E1">
        <w:rPr>
          <w:lang w:val="ru-RU"/>
        </w:rPr>
        <w:instrText>.</w:instrText>
      </w:r>
      <w:r w:rsidR="00D577E1">
        <w:instrText>itcilo</w:instrText>
      </w:r>
      <w:r w:rsidR="00D577E1" w:rsidRPr="00D577E1">
        <w:rPr>
          <w:lang w:val="ru-RU"/>
        </w:rPr>
        <w:instrText>.</w:instrText>
      </w:r>
      <w:r w:rsidR="00D577E1">
        <w:instrText>org</w:instrText>
      </w:r>
      <w:r w:rsidR="00D577E1" w:rsidRPr="00D577E1">
        <w:rPr>
          <w:lang w:val="ru-RU"/>
        </w:rPr>
        <w:instrText xml:space="preserve">" </w:instrText>
      </w:r>
      <w:r w:rsidR="00D577E1">
        <w:fldChar w:fldCharType="separate"/>
      </w:r>
      <w:r>
        <w:t>https</w:t>
      </w:r>
      <w:r w:rsidRPr="004B77F6">
        <w:rPr>
          <w:lang w:val="ru-RU"/>
        </w:rPr>
        <w:t>://</w:t>
      </w:r>
      <w:r>
        <w:t>www</w:t>
      </w:r>
      <w:r w:rsidRPr="004B77F6">
        <w:rPr>
          <w:lang w:val="ru-RU"/>
        </w:rPr>
        <w:t>.</w:t>
      </w:r>
      <w:r>
        <w:t>itcilo</w:t>
      </w:r>
      <w:r w:rsidRPr="004B77F6">
        <w:rPr>
          <w:lang w:val="ru-RU"/>
        </w:rPr>
        <w:t>.</w:t>
      </w:r>
      <w:r>
        <w:t>org</w:t>
      </w:r>
      <w:r w:rsidR="00D577E1">
        <w:fldChar w:fldCharType="end"/>
      </w:r>
      <w:r w:rsidRPr="004B77F6">
        <w:rPr>
          <w:lang w:val="ru-RU"/>
        </w:rPr>
        <w:t>.</w:t>
      </w:r>
    </w:p>
  </w:footnote>
  <w:footnote w:id="153">
    <w:p w14:paraId="720C93C3" w14:textId="13321147" w:rsidR="00DF434F" w:rsidRDefault="00DF434F" w:rsidP="00DF434F">
      <w:pPr>
        <w:pStyle w:val="FootnoteText"/>
      </w:pPr>
      <w:r>
        <w:rPr>
          <w:rStyle w:val="FootnoteReference"/>
        </w:rPr>
        <w:footnoteRef/>
      </w:r>
      <w:r w:rsidRPr="004B77F6">
        <w:rPr>
          <w:lang w:val="ru-RU"/>
        </w:rPr>
        <w:t xml:space="preserve"> МУЦ</w:t>
      </w:r>
      <w:r w:rsidR="00F458BC">
        <w:rPr>
          <w:lang w:val="ru-RU"/>
        </w:rPr>
        <w:t xml:space="preserve"> </w:t>
      </w:r>
      <w:r w:rsidRPr="004B77F6">
        <w:rPr>
          <w:lang w:val="ru-RU"/>
        </w:rPr>
        <w:t>МОТ (2018</w:t>
      </w:r>
      <w:r w:rsidR="0097734F">
        <w:rPr>
          <w:lang w:val="ru-RU"/>
        </w:rPr>
        <w:t xml:space="preserve"> г.</w:t>
      </w:r>
      <w:r w:rsidRPr="004B77F6">
        <w:rPr>
          <w:lang w:val="ru-RU"/>
        </w:rPr>
        <w:t xml:space="preserve">) </w:t>
      </w:r>
      <w:r w:rsidRPr="004B77F6">
        <w:rPr>
          <w:i/>
          <w:lang w:val="ru-RU"/>
        </w:rPr>
        <w:t>Международный учебный центр МОТ, Турин, Италия: Основные документы</w:t>
      </w:r>
      <w:r w:rsidRPr="004B77F6">
        <w:rPr>
          <w:lang w:val="ru-RU"/>
        </w:rPr>
        <w:t>, Турин: МУЦ</w:t>
      </w:r>
      <w:r w:rsidR="00F458BC">
        <w:rPr>
          <w:lang w:val="ru-RU"/>
        </w:rPr>
        <w:t xml:space="preserve"> </w:t>
      </w:r>
      <w:r w:rsidRPr="004B77F6">
        <w:rPr>
          <w:lang w:val="ru-RU"/>
        </w:rPr>
        <w:t xml:space="preserve">МОТ. </w:t>
      </w:r>
      <w:r w:rsidR="00D577E1">
        <w:fldChar w:fldCharType="begin"/>
      </w:r>
      <w:r w:rsidR="00D577E1" w:rsidRPr="00D577E1">
        <w:rPr>
          <w:lang w:val="ru-RU"/>
        </w:rPr>
        <w:instrText xml:space="preserve"> </w:instrText>
      </w:r>
      <w:r w:rsidR="00D577E1">
        <w:instrText>HYPERLINK</w:instrText>
      </w:r>
      <w:r w:rsidR="00D577E1" w:rsidRPr="00D577E1">
        <w:rPr>
          <w:lang w:val="ru-RU"/>
        </w:rPr>
        <w:instrText xml:space="preserve"> "</w:instrText>
      </w:r>
      <w:r w:rsidR="00D577E1">
        <w:instrText>https</w:instrText>
      </w:r>
      <w:r w:rsidR="00D577E1" w:rsidRPr="00D577E1">
        <w:rPr>
          <w:lang w:val="ru-RU"/>
        </w:rPr>
        <w:instrText>://</w:instrText>
      </w:r>
      <w:r w:rsidR="00D577E1">
        <w:instrText>www</w:instrText>
      </w:r>
      <w:r w:rsidR="00D577E1" w:rsidRPr="00D577E1">
        <w:rPr>
          <w:lang w:val="ru-RU"/>
        </w:rPr>
        <w:instrText>.</w:instrText>
      </w:r>
      <w:r w:rsidR="00D577E1">
        <w:instrText>itcilo</w:instrText>
      </w:r>
      <w:r w:rsidR="00D577E1" w:rsidRPr="00D577E1">
        <w:rPr>
          <w:lang w:val="ru-RU"/>
        </w:rPr>
        <w:instrText>.</w:instrText>
      </w:r>
      <w:r w:rsidR="00D577E1">
        <w:instrText>org</w:instrText>
      </w:r>
      <w:r w:rsidR="00D577E1" w:rsidRPr="00D577E1">
        <w:rPr>
          <w:lang w:val="ru-RU"/>
        </w:rPr>
        <w:instrText>/</w:instrText>
      </w:r>
      <w:r w:rsidR="00D577E1">
        <w:instrText>sites</w:instrText>
      </w:r>
      <w:r w:rsidR="00D577E1" w:rsidRPr="00D577E1">
        <w:rPr>
          <w:lang w:val="ru-RU"/>
        </w:rPr>
        <w:instrText>/</w:instrText>
      </w:r>
      <w:r w:rsidR="00D577E1">
        <w:instrText>default</w:instrText>
      </w:r>
      <w:r w:rsidR="00D577E1" w:rsidRPr="00D577E1">
        <w:rPr>
          <w:lang w:val="ru-RU"/>
        </w:rPr>
        <w:instrText>/</w:instrText>
      </w:r>
      <w:r w:rsidR="00D577E1">
        <w:instrText>files</w:instrText>
      </w:r>
      <w:r w:rsidR="00D577E1" w:rsidRPr="00D577E1">
        <w:rPr>
          <w:lang w:val="ru-RU"/>
        </w:rPr>
        <w:instrText>/</w:instrText>
      </w:r>
      <w:r w:rsidR="00D577E1">
        <w:instrText>inline</w:instrText>
      </w:r>
      <w:r w:rsidR="00D577E1" w:rsidRPr="00D577E1">
        <w:rPr>
          <w:lang w:val="ru-RU"/>
        </w:rPr>
        <w:instrText>-</w:instrText>
      </w:r>
      <w:r w:rsidR="00D577E1">
        <w:instrText>files</w:instrText>
      </w:r>
      <w:r w:rsidR="00D577E1" w:rsidRPr="00D577E1">
        <w:rPr>
          <w:lang w:val="ru-RU"/>
        </w:rPr>
        <w:instrText>/</w:instrText>
      </w:r>
      <w:r w:rsidR="00D577E1">
        <w:instrText>BASIC</w:instrText>
      </w:r>
      <w:r w:rsidR="00D577E1" w:rsidRPr="00D577E1">
        <w:rPr>
          <w:lang w:val="ru-RU"/>
        </w:rPr>
        <w:instrText>_</w:instrText>
      </w:r>
      <w:r w:rsidR="00D577E1">
        <w:instrText>Docs</w:instrText>
      </w:r>
      <w:r w:rsidR="00D577E1" w:rsidRPr="00D577E1">
        <w:rPr>
          <w:lang w:val="ru-RU"/>
        </w:rPr>
        <w:instrText>_</w:instrText>
      </w:r>
      <w:r w:rsidR="00D577E1">
        <w:instrText>EN</w:instrText>
      </w:r>
      <w:r w:rsidR="00D577E1" w:rsidRPr="00D577E1">
        <w:rPr>
          <w:lang w:val="ru-RU"/>
        </w:rPr>
        <w:instrText>%202018%20</w:instrText>
      </w:r>
      <w:r w:rsidR="00D577E1">
        <w:instrText>ALL</w:instrText>
      </w:r>
      <w:r w:rsidR="00D577E1" w:rsidRPr="00D577E1">
        <w:rPr>
          <w:lang w:val="ru-RU"/>
        </w:rPr>
        <w:instrText>.</w:instrText>
      </w:r>
      <w:r w:rsidR="00D577E1">
        <w:instrText>pdf</w:instrText>
      </w:r>
      <w:r w:rsidR="00D577E1" w:rsidRPr="00D577E1">
        <w:rPr>
          <w:lang w:val="ru-RU"/>
        </w:rPr>
        <w:instrText xml:space="preserve">" </w:instrText>
      </w:r>
      <w:r w:rsidR="00D577E1">
        <w:fldChar w:fldCharType="separate"/>
      </w:r>
      <w:r>
        <w:t>https://www.itcilo.org/sites/default/files/inline-files/BASIC_Docs_EN%202018%20ALL.pdf</w:t>
      </w:r>
      <w:r w:rsidR="00D577E1">
        <w:fldChar w:fldCharType="end"/>
      </w:r>
      <w:r>
        <w:t>.</w:t>
      </w:r>
    </w:p>
  </w:footnote>
  <w:footnote w:id="154">
    <w:p w14:paraId="6DDAB54C" w14:textId="77777777" w:rsidR="004B77F6" w:rsidRDefault="004B77F6">
      <w:pPr>
        <w:pStyle w:val="FootnoteText"/>
      </w:pPr>
      <w:r>
        <w:rPr>
          <w:rStyle w:val="FootnoteReference"/>
        </w:rPr>
        <w:footnoteRef/>
      </w:r>
      <w:r>
        <w:t xml:space="preserve"> </w:t>
      </w:r>
      <w:hyperlink r:id="rId41" w:history="1">
        <w:r>
          <w:rPr>
            <w:rStyle w:val="Hyperlink"/>
          </w:rPr>
          <w:t>https://www.who.int/about/who-academy</w:t>
        </w:r>
      </w:hyperlink>
      <w:r>
        <w:t xml:space="preserve">. </w:t>
      </w:r>
    </w:p>
  </w:footnote>
  <w:footnote w:id="155">
    <w:p w14:paraId="53AEDD28" w14:textId="77777777" w:rsidR="00DF434F" w:rsidRDefault="00DF434F" w:rsidP="00DF434F">
      <w:pPr>
        <w:pStyle w:val="FootnoteText"/>
      </w:pPr>
      <w:r>
        <w:rPr>
          <w:rStyle w:val="FootnoteReference"/>
        </w:rPr>
        <w:footnoteRef/>
      </w:r>
      <w:r>
        <w:t xml:space="preserve"> </w:t>
      </w:r>
      <w:hyperlink r:id="rId42" w:history="1">
        <w:r>
          <w:rPr>
            <w:rStyle w:val="Hyperlink"/>
          </w:rPr>
          <w:t>https://www.who.int/news/item/11-06-2019-collaboration-between-france-and-who-to-realize-the-vision-of-the-who-academy</w:t>
        </w:r>
      </w:hyperlink>
      <w:r>
        <w:t xml:space="preserve">. </w:t>
      </w:r>
    </w:p>
  </w:footnote>
  <w:footnote w:id="156">
    <w:p w14:paraId="5DA4579D" w14:textId="77777777" w:rsidR="00DF434F" w:rsidRDefault="00DF434F" w:rsidP="00DF434F">
      <w:pPr>
        <w:pStyle w:val="FootnoteText"/>
      </w:pPr>
      <w:r>
        <w:rPr>
          <w:rStyle w:val="FootnoteReference"/>
        </w:rPr>
        <w:footnoteRef/>
      </w:r>
      <w:r>
        <w:t xml:space="preserve"> </w:t>
      </w:r>
      <w:hyperlink r:id="rId43" w:history="1">
        <w:r>
          <w:rPr>
            <w:rStyle w:val="Hyperlink"/>
          </w:rPr>
          <w:t>https://extranet.who.int/dataform/upload/surveys/961382/files/Concept%20Note%20WHO%20Academy.pdf</w:t>
        </w:r>
      </w:hyperlink>
      <w:r>
        <w:t xml:space="preserve">. </w:t>
      </w:r>
    </w:p>
  </w:footnote>
  <w:footnote w:id="157">
    <w:p w14:paraId="149CE8FD" w14:textId="77777777" w:rsidR="00DF434F" w:rsidRPr="004B77F6" w:rsidRDefault="00DF434F" w:rsidP="00DF434F">
      <w:pPr>
        <w:pStyle w:val="FootnoteText"/>
        <w:rPr>
          <w:lang w:val="ru-RU"/>
        </w:rPr>
      </w:pPr>
      <w:r>
        <w:rPr>
          <w:rStyle w:val="FootnoteReference"/>
        </w:rPr>
        <w:footnoteRef/>
      </w:r>
      <w:r w:rsidRPr="004B77F6">
        <w:rPr>
          <w:lang w:val="ru-RU"/>
        </w:rPr>
        <w:t xml:space="preserve"> </w:t>
      </w:r>
      <w:hyperlink r:id="rId44" w:history="1">
        <w:r>
          <w:rPr>
            <w:rStyle w:val="Hyperlink"/>
          </w:rPr>
          <w:t>https</w:t>
        </w:r>
        <w:r w:rsidRPr="004B77F6">
          <w:rPr>
            <w:rStyle w:val="Hyperlink"/>
            <w:lang w:val="ru-RU"/>
          </w:rPr>
          <w:t>://</w:t>
        </w:r>
        <w:r>
          <w:rPr>
            <w:rStyle w:val="Hyperlink"/>
          </w:rPr>
          <w:t>extranet</w:t>
        </w:r>
        <w:r w:rsidRPr="004B77F6">
          <w:rPr>
            <w:rStyle w:val="Hyperlink"/>
            <w:lang w:val="ru-RU"/>
          </w:rPr>
          <w:t>.</w:t>
        </w:r>
        <w:r>
          <w:rPr>
            <w:rStyle w:val="Hyperlink"/>
          </w:rPr>
          <w:t>who</w:t>
        </w:r>
        <w:r w:rsidRPr="004B77F6">
          <w:rPr>
            <w:rStyle w:val="Hyperlink"/>
            <w:lang w:val="ru-RU"/>
          </w:rPr>
          <w:t>.</w:t>
        </w:r>
        <w:r>
          <w:rPr>
            <w:rStyle w:val="Hyperlink"/>
          </w:rPr>
          <w:t>int</w:t>
        </w:r>
        <w:r w:rsidRPr="004B77F6">
          <w:rPr>
            <w:rStyle w:val="Hyperlink"/>
            <w:lang w:val="ru-RU"/>
          </w:rPr>
          <w:t>/</w:t>
        </w:r>
        <w:r>
          <w:rPr>
            <w:rStyle w:val="Hyperlink"/>
          </w:rPr>
          <w:t>dataform</w:t>
        </w:r>
        <w:r w:rsidRPr="004B77F6">
          <w:rPr>
            <w:rStyle w:val="Hyperlink"/>
            <w:lang w:val="ru-RU"/>
          </w:rPr>
          <w:t>/</w:t>
        </w:r>
        <w:r>
          <w:rPr>
            <w:rStyle w:val="Hyperlink"/>
          </w:rPr>
          <w:t>upload</w:t>
        </w:r>
        <w:r w:rsidRPr="004B77F6">
          <w:rPr>
            <w:rStyle w:val="Hyperlink"/>
            <w:lang w:val="ru-RU"/>
          </w:rPr>
          <w:t>/</w:t>
        </w:r>
        <w:r>
          <w:rPr>
            <w:rStyle w:val="Hyperlink"/>
          </w:rPr>
          <w:t>surveys</w:t>
        </w:r>
        <w:r w:rsidRPr="004B77F6">
          <w:rPr>
            <w:rStyle w:val="Hyperlink"/>
            <w:lang w:val="ru-RU"/>
          </w:rPr>
          <w:t>/961382/</w:t>
        </w:r>
        <w:r>
          <w:rPr>
            <w:rStyle w:val="Hyperlink"/>
          </w:rPr>
          <w:t>files</w:t>
        </w:r>
        <w:r w:rsidRPr="004B77F6">
          <w:rPr>
            <w:rStyle w:val="Hyperlink"/>
            <w:lang w:val="ru-RU"/>
          </w:rPr>
          <w:t>/</w:t>
        </w:r>
        <w:r>
          <w:rPr>
            <w:rStyle w:val="Hyperlink"/>
          </w:rPr>
          <w:t>Concept</w:t>
        </w:r>
        <w:r w:rsidRPr="004B77F6">
          <w:rPr>
            <w:rStyle w:val="Hyperlink"/>
            <w:lang w:val="ru-RU"/>
          </w:rPr>
          <w:t>%20</w:t>
        </w:r>
        <w:r>
          <w:rPr>
            <w:rStyle w:val="Hyperlink"/>
          </w:rPr>
          <w:t>Note</w:t>
        </w:r>
        <w:r w:rsidRPr="004B77F6">
          <w:rPr>
            <w:rStyle w:val="Hyperlink"/>
            <w:lang w:val="ru-RU"/>
          </w:rPr>
          <w:t>%20</w:t>
        </w:r>
        <w:r>
          <w:rPr>
            <w:rStyle w:val="Hyperlink"/>
          </w:rPr>
          <w:t>WHO</w:t>
        </w:r>
        <w:r w:rsidRPr="004B77F6">
          <w:rPr>
            <w:rStyle w:val="Hyperlink"/>
            <w:lang w:val="ru-RU"/>
          </w:rPr>
          <w:t>%20</w:t>
        </w:r>
        <w:r>
          <w:rPr>
            <w:rStyle w:val="Hyperlink"/>
          </w:rPr>
          <w:t>Academy</w:t>
        </w:r>
        <w:r w:rsidRPr="004B77F6">
          <w:rPr>
            <w:rStyle w:val="Hyperlink"/>
            <w:lang w:val="ru-RU"/>
          </w:rPr>
          <w:t>.</w:t>
        </w:r>
        <w:r>
          <w:rPr>
            <w:rStyle w:val="Hyperlink"/>
          </w:rPr>
          <w:t>pdf</w:t>
        </w:r>
      </w:hyperlink>
      <w:r w:rsidRPr="004B77F6">
        <w:rPr>
          <w:lang w:val="ru-RU"/>
        </w:rPr>
        <w:t>, стр.</w:t>
      </w:r>
      <w:r>
        <w:t> </w:t>
      </w:r>
      <w:r w:rsidRPr="004B77F6">
        <w:rPr>
          <w:lang w:val="ru-RU"/>
        </w:rPr>
        <w:t>16. Однако впоследствии французское правительство заявило о выделении Академии финансовых средств в размере около 90 миллионов евро.</w:t>
      </w:r>
    </w:p>
  </w:footnote>
  <w:footnote w:id="158">
    <w:p w14:paraId="0586CE96" w14:textId="6E97714B" w:rsidR="00DF434F" w:rsidRPr="004B77F6" w:rsidRDefault="00DF434F" w:rsidP="00DF434F">
      <w:pPr>
        <w:pStyle w:val="FootnoteText"/>
        <w:rPr>
          <w:lang w:val="ru-RU"/>
        </w:rPr>
      </w:pPr>
      <w:r>
        <w:rPr>
          <w:rStyle w:val="FootnoteReference"/>
        </w:rPr>
        <w:footnoteRef/>
      </w:r>
      <w:r w:rsidRPr="004B77F6">
        <w:rPr>
          <w:lang w:val="ru-RU"/>
        </w:rPr>
        <w:t xml:space="preserve"> ВОЗ (2019) Смета по программам на 2020–2021 г</w:t>
      </w:r>
      <w:r>
        <w:rPr>
          <w:lang w:val="ru-RU"/>
        </w:rPr>
        <w:t>оды</w:t>
      </w:r>
      <w:r w:rsidRPr="004B77F6">
        <w:rPr>
          <w:lang w:val="ru-RU"/>
        </w:rPr>
        <w:t xml:space="preserve">, </w:t>
      </w:r>
      <w:r w:rsidR="00D577E1">
        <w:fldChar w:fldCharType="begin"/>
      </w:r>
      <w:r w:rsidR="00D577E1" w:rsidRPr="00D577E1">
        <w:rPr>
          <w:lang w:val="ru-RU"/>
        </w:rPr>
        <w:instrText xml:space="preserve"> </w:instrText>
      </w:r>
      <w:r w:rsidR="00D577E1">
        <w:instrText>HYPERLINK</w:instrText>
      </w:r>
      <w:r w:rsidR="00D577E1" w:rsidRPr="00D577E1">
        <w:rPr>
          <w:lang w:val="ru-RU"/>
        </w:rPr>
        <w:instrText xml:space="preserve"> "</w:instrText>
      </w:r>
      <w:r w:rsidR="00D577E1">
        <w:instrText>https</w:instrText>
      </w:r>
      <w:r w:rsidR="00D577E1" w:rsidRPr="00D577E1">
        <w:rPr>
          <w:lang w:val="ru-RU"/>
        </w:rPr>
        <w:instrText>://</w:instrText>
      </w:r>
      <w:r w:rsidR="00D577E1">
        <w:instrText>apps</w:instrText>
      </w:r>
      <w:r w:rsidR="00D577E1" w:rsidRPr="00D577E1">
        <w:rPr>
          <w:lang w:val="ru-RU"/>
        </w:rPr>
        <w:instrText>.</w:instrText>
      </w:r>
      <w:r w:rsidR="00D577E1">
        <w:instrText>who</w:instrText>
      </w:r>
      <w:r w:rsidR="00D577E1" w:rsidRPr="00D577E1">
        <w:rPr>
          <w:lang w:val="ru-RU"/>
        </w:rPr>
        <w:instrText>.</w:instrText>
      </w:r>
      <w:r w:rsidR="00D577E1">
        <w:instrText>int</w:instrText>
      </w:r>
      <w:r w:rsidR="00D577E1" w:rsidRPr="00D577E1">
        <w:rPr>
          <w:lang w:val="ru-RU"/>
        </w:rPr>
        <w:instrText>/</w:instrText>
      </w:r>
      <w:r w:rsidR="00D577E1">
        <w:instrText>iris</w:instrText>
      </w:r>
      <w:r w:rsidR="00D577E1" w:rsidRPr="00D577E1">
        <w:rPr>
          <w:lang w:val="ru-RU"/>
        </w:rPr>
        <w:instrText>/</w:instrText>
      </w:r>
      <w:r w:rsidR="00D577E1">
        <w:instrText>rest</w:instrText>
      </w:r>
      <w:r w:rsidR="00D577E1" w:rsidRPr="00D577E1">
        <w:rPr>
          <w:lang w:val="ru-RU"/>
        </w:rPr>
        <w:instrText>/</w:instrText>
      </w:r>
      <w:r w:rsidR="00D577E1">
        <w:instrText>bitstreams</w:instrText>
      </w:r>
      <w:r w:rsidR="00D577E1" w:rsidRPr="00D577E1">
        <w:rPr>
          <w:lang w:val="ru-RU"/>
        </w:rPr>
        <w:instrText>/1262889/</w:instrText>
      </w:r>
      <w:r w:rsidR="00D577E1">
        <w:instrText>retrieve</w:instrText>
      </w:r>
      <w:r w:rsidR="00D577E1" w:rsidRPr="00D577E1">
        <w:rPr>
          <w:lang w:val="ru-RU"/>
        </w:rPr>
        <w:instrText xml:space="preserve">" </w:instrText>
      </w:r>
      <w:r w:rsidR="00D577E1">
        <w:fldChar w:fldCharType="separate"/>
      </w:r>
      <w:r>
        <w:rPr>
          <w:rStyle w:val="Hyperlink"/>
        </w:rPr>
        <w:t>https</w:t>
      </w:r>
      <w:r w:rsidRPr="004B77F6">
        <w:rPr>
          <w:rStyle w:val="Hyperlink"/>
          <w:lang w:val="ru-RU"/>
        </w:rPr>
        <w:t>://</w:t>
      </w:r>
      <w:r>
        <w:rPr>
          <w:rStyle w:val="Hyperlink"/>
        </w:rPr>
        <w:t>apps</w:t>
      </w:r>
      <w:r w:rsidRPr="004B77F6">
        <w:rPr>
          <w:rStyle w:val="Hyperlink"/>
          <w:lang w:val="ru-RU"/>
        </w:rPr>
        <w:t>.</w:t>
      </w:r>
      <w:r>
        <w:rPr>
          <w:rStyle w:val="Hyperlink"/>
        </w:rPr>
        <w:t>who</w:t>
      </w:r>
      <w:r w:rsidRPr="004B77F6">
        <w:rPr>
          <w:rStyle w:val="Hyperlink"/>
          <w:lang w:val="ru-RU"/>
        </w:rPr>
        <w:t>.</w:t>
      </w:r>
      <w:r>
        <w:rPr>
          <w:rStyle w:val="Hyperlink"/>
        </w:rPr>
        <w:t>int</w:t>
      </w:r>
      <w:r w:rsidRPr="004B77F6">
        <w:rPr>
          <w:rStyle w:val="Hyperlink"/>
          <w:lang w:val="ru-RU"/>
        </w:rPr>
        <w:t>/</w:t>
      </w:r>
      <w:r>
        <w:rPr>
          <w:rStyle w:val="Hyperlink"/>
        </w:rPr>
        <w:t>iris</w:t>
      </w:r>
      <w:r w:rsidRPr="004B77F6">
        <w:rPr>
          <w:rStyle w:val="Hyperlink"/>
          <w:lang w:val="ru-RU"/>
        </w:rPr>
        <w:t>/</w:t>
      </w:r>
      <w:r>
        <w:rPr>
          <w:rStyle w:val="Hyperlink"/>
        </w:rPr>
        <w:t>rest</w:t>
      </w:r>
      <w:r w:rsidRPr="004B77F6">
        <w:rPr>
          <w:rStyle w:val="Hyperlink"/>
          <w:lang w:val="ru-RU"/>
        </w:rPr>
        <w:t>/</w:t>
      </w:r>
      <w:r>
        <w:rPr>
          <w:rStyle w:val="Hyperlink"/>
        </w:rPr>
        <w:t>bitstreams</w:t>
      </w:r>
      <w:r w:rsidRPr="004B77F6">
        <w:rPr>
          <w:rStyle w:val="Hyperlink"/>
          <w:lang w:val="ru-RU"/>
        </w:rPr>
        <w:t>/1262889/</w:t>
      </w:r>
      <w:r>
        <w:rPr>
          <w:rStyle w:val="Hyperlink"/>
        </w:rPr>
        <w:t>retrieve</w:t>
      </w:r>
      <w:r w:rsidR="00D577E1">
        <w:rPr>
          <w:rStyle w:val="Hyperlink"/>
        </w:rPr>
        <w:fldChar w:fldCharType="end"/>
      </w:r>
      <w:r w:rsidRPr="004B77F6">
        <w:rPr>
          <w:lang w:val="ru-RU"/>
        </w:rPr>
        <w:t xml:space="preserve">. </w:t>
      </w:r>
    </w:p>
  </w:footnote>
  <w:footnote w:id="159">
    <w:p w14:paraId="75BA6933" w14:textId="77777777" w:rsidR="00DF434F" w:rsidRPr="004B77F6" w:rsidRDefault="00DF434F" w:rsidP="00DF434F">
      <w:pPr>
        <w:pStyle w:val="FootnoteText"/>
        <w:rPr>
          <w:lang w:val="ru-RU"/>
        </w:rPr>
      </w:pPr>
      <w:r>
        <w:rPr>
          <w:rStyle w:val="FootnoteReference"/>
        </w:rPr>
        <w:footnoteRef/>
      </w:r>
      <w:r w:rsidRPr="004B77F6">
        <w:rPr>
          <w:lang w:val="ru-RU"/>
        </w:rPr>
        <w:t xml:space="preserve"> Следует также отметить, что некоторые виды обучения, особенно практические, легче воспринимаются именно в очном формате.</w:t>
      </w:r>
    </w:p>
  </w:footnote>
  <w:footnote w:id="160">
    <w:p w14:paraId="3D5768CE" w14:textId="72F58D71" w:rsidR="00DF434F" w:rsidRPr="004B77F6" w:rsidRDefault="00DF434F" w:rsidP="00DF434F">
      <w:pPr>
        <w:pStyle w:val="FootnoteText"/>
        <w:rPr>
          <w:lang w:val="ru-RU"/>
        </w:rPr>
      </w:pPr>
      <w:r>
        <w:rPr>
          <w:rStyle w:val="FootnoteReference"/>
        </w:rPr>
        <w:footnoteRef/>
      </w:r>
      <w:r w:rsidRPr="004B77F6">
        <w:rPr>
          <w:lang w:val="ru-RU"/>
        </w:rPr>
        <w:t xml:space="preserve"> </w:t>
      </w:r>
      <w:r w:rsidR="00D577E1">
        <w:fldChar w:fldCharType="begin"/>
      </w:r>
      <w:r w:rsidR="00D577E1" w:rsidRPr="00D577E1">
        <w:rPr>
          <w:lang w:val="ru-RU"/>
        </w:rPr>
        <w:instrText xml:space="preserve"> </w:instrText>
      </w:r>
      <w:r w:rsidR="00D577E1">
        <w:instrText>HYPERLINK</w:instrText>
      </w:r>
      <w:r w:rsidR="00D577E1" w:rsidRPr="00D577E1">
        <w:rPr>
          <w:lang w:val="ru-RU"/>
        </w:rPr>
        <w:instrText xml:space="preserve"> "</w:instrText>
      </w:r>
      <w:r w:rsidR="00D577E1">
        <w:instrText>https</w:instrText>
      </w:r>
      <w:r w:rsidR="00D577E1" w:rsidRPr="00D577E1">
        <w:rPr>
          <w:lang w:val="ru-RU"/>
        </w:rPr>
        <w:instrText>://</w:instrText>
      </w:r>
      <w:r w:rsidR="00D577E1">
        <w:instrText>www</w:instrText>
      </w:r>
      <w:r w:rsidR="00D577E1" w:rsidRPr="00D577E1">
        <w:rPr>
          <w:lang w:val="ru-RU"/>
        </w:rPr>
        <w:instrText>.</w:instrText>
      </w:r>
      <w:r w:rsidR="00D577E1">
        <w:instrText>statista</w:instrText>
      </w:r>
      <w:r w:rsidR="00D577E1" w:rsidRPr="00D577E1">
        <w:rPr>
          <w:lang w:val="ru-RU"/>
        </w:rPr>
        <w:instrText>.</w:instrText>
      </w:r>
      <w:r w:rsidR="00D577E1">
        <w:instrText>com</w:instrText>
      </w:r>
      <w:r w:rsidR="00D577E1" w:rsidRPr="00D577E1">
        <w:rPr>
          <w:lang w:val="ru-RU"/>
        </w:rPr>
        <w:instrText>/</w:instrText>
      </w:r>
      <w:r w:rsidR="00D577E1">
        <w:instrText>statistics</w:instrText>
      </w:r>
      <w:r w:rsidR="00D577E1" w:rsidRPr="00D577E1">
        <w:rPr>
          <w:lang w:val="ru-RU"/>
        </w:rPr>
        <w:instrText>/431672/</w:instrText>
      </w:r>
      <w:r w:rsidR="00D577E1">
        <w:instrText>commercial</w:instrText>
      </w:r>
      <w:r w:rsidR="00D577E1" w:rsidRPr="00D577E1">
        <w:rPr>
          <w:lang w:val="ru-RU"/>
        </w:rPr>
        <w:instrText>-</w:instrText>
      </w:r>
      <w:r w:rsidR="00D577E1">
        <w:instrText>property</w:instrText>
      </w:r>
      <w:r w:rsidR="00D577E1" w:rsidRPr="00D577E1">
        <w:rPr>
          <w:lang w:val="ru-RU"/>
        </w:rPr>
        <w:instrText>-</w:instrText>
      </w:r>
      <w:r w:rsidR="00D577E1">
        <w:instrText>prime</w:instrText>
      </w:r>
      <w:r w:rsidR="00D577E1" w:rsidRPr="00D577E1">
        <w:rPr>
          <w:lang w:val="ru-RU"/>
        </w:rPr>
        <w:instrText>-</w:instrText>
      </w:r>
      <w:r w:rsidR="00D577E1">
        <w:instrText>rents</w:instrText>
      </w:r>
      <w:r w:rsidR="00D577E1" w:rsidRPr="00D577E1">
        <w:rPr>
          <w:lang w:val="ru-RU"/>
        </w:rPr>
        <w:instrText>-</w:instrText>
      </w:r>
      <w:r w:rsidR="00D577E1">
        <w:instrText>europe</w:instrText>
      </w:r>
      <w:r w:rsidR="00D577E1" w:rsidRPr="00D577E1">
        <w:rPr>
          <w:lang w:val="ru-RU"/>
        </w:rPr>
        <w:instrText xml:space="preserve">/" </w:instrText>
      </w:r>
      <w:r w:rsidR="00D577E1">
        <w:fldChar w:fldCharType="separate"/>
      </w:r>
      <w:r w:rsidR="00312F72" w:rsidRPr="005A2AD9">
        <w:rPr>
          <w:rStyle w:val="Hyperlink"/>
        </w:rPr>
        <w:t>https</w:t>
      </w:r>
      <w:r w:rsidR="00312F72" w:rsidRPr="005A2AD9">
        <w:rPr>
          <w:rStyle w:val="Hyperlink"/>
          <w:lang w:val="ru-RU"/>
        </w:rPr>
        <w:t>://</w:t>
      </w:r>
      <w:r w:rsidR="00312F72" w:rsidRPr="005A2AD9">
        <w:rPr>
          <w:rStyle w:val="Hyperlink"/>
        </w:rPr>
        <w:t>www</w:t>
      </w:r>
      <w:r w:rsidR="00312F72" w:rsidRPr="005A2AD9">
        <w:rPr>
          <w:rStyle w:val="Hyperlink"/>
          <w:lang w:val="ru-RU"/>
        </w:rPr>
        <w:t>.</w:t>
      </w:r>
      <w:r w:rsidR="00312F72" w:rsidRPr="005A2AD9">
        <w:rPr>
          <w:rStyle w:val="Hyperlink"/>
        </w:rPr>
        <w:t>statista</w:t>
      </w:r>
      <w:r w:rsidR="00312F72" w:rsidRPr="005A2AD9">
        <w:rPr>
          <w:rStyle w:val="Hyperlink"/>
          <w:lang w:val="ru-RU"/>
        </w:rPr>
        <w:t>.</w:t>
      </w:r>
      <w:r w:rsidR="00312F72" w:rsidRPr="005A2AD9">
        <w:rPr>
          <w:rStyle w:val="Hyperlink"/>
        </w:rPr>
        <w:t>com</w:t>
      </w:r>
      <w:r w:rsidR="00312F72" w:rsidRPr="005A2AD9">
        <w:rPr>
          <w:rStyle w:val="Hyperlink"/>
          <w:lang w:val="ru-RU"/>
        </w:rPr>
        <w:t>/</w:t>
      </w:r>
      <w:r w:rsidR="00312F72" w:rsidRPr="005A2AD9">
        <w:rPr>
          <w:rStyle w:val="Hyperlink"/>
        </w:rPr>
        <w:t>statistics</w:t>
      </w:r>
      <w:r w:rsidR="00312F72" w:rsidRPr="005A2AD9">
        <w:rPr>
          <w:rStyle w:val="Hyperlink"/>
          <w:lang w:val="ru-RU"/>
        </w:rPr>
        <w:t>/431672/</w:t>
      </w:r>
      <w:r w:rsidR="00312F72" w:rsidRPr="005A2AD9">
        <w:rPr>
          <w:rStyle w:val="Hyperlink"/>
        </w:rPr>
        <w:t>commercial</w:t>
      </w:r>
      <w:r w:rsidR="00312F72" w:rsidRPr="005A2AD9">
        <w:rPr>
          <w:rStyle w:val="Hyperlink"/>
          <w:lang w:val="ru-RU"/>
        </w:rPr>
        <w:t>-</w:t>
      </w:r>
      <w:r w:rsidR="00312F72" w:rsidRPr="005A2AD9">
        <w:rPr>
          <w:rStyle w:val="Hyperlink"/>
        </w:rPr>
        <w:t>property</w:t>
      </w:r>
      <w:r w:rsidR="00312F72" w:rsidRPr="005A2AD9">
        <w:rPr>
          <w:rStyle w:val="Hyperlink"/>
          <w:lang w:val="ru-RU"/>
        </w:rPr>
        <w:t>-</w:t>
      </w:r>
      <w:r w:rsidR="00312F72" w:rsidRPr="005A2AD9">
        <w:rPr>
          <w:rStyle w:val="Hyperlink"/>
        </w:rPr>
        <w:t>prime</w:t>
      </w:r>
      <w:r w:rsidR="00312F72" w:rsidRPr="005A2AD9">
        <w:rPr>
          <w:rStyle w:val="Hyperlink"/>
          <w:lang w:val="ru-RU"/>
        </w:rPr>
        <w:t>-</w:t>
      </w:r>
      <w:r w:rsidR="00312F72" w:rsidRPr="005A2AD9">
        <w:rPr>
          <w:rStyle w:val="Hyperlink"/>
        </w:rPr>
        <w:t>rents</w:t>
      </w:r>
      <w:r w:rsidR="00312F72" w:rsidRPr="005A2AD9">
        <w:rPr>
          <w:rStyle w:val="Hyperlink"/>
          <w:lang w:val="ru-RU"/>
        </w:rPr>
        <w:t>-</w:t>
      </w:r>
      <w:r w:rsidR="00312F72" w:rsidRPr="005A2AD9">
        <w:rPr>
          <w:rStyle w:val="Hyperlink"/>
        </w:rPr>
        <w:t>europe</w:t>
      </w:r>
      <w:r w:rsidR="00312F72" w:rsidRPr="005A2AD9">
        <w:rPr>
          <w:rStyle w:val="Hyperlink"/>
          <w:lang w:val="ru-RU"/>
        </w:rPr>
        <w:t>/</w:t>
      </w:r>
      <w:r w:rsidR="00D577E1">
        <w:rPr>
          <w:rStyle w:val="Hyperlink"/>
          <w:lang w:val="ru-RU"/>
        </w:rPr>
        <w:fldChar w:fldCharType="end"/>
      </w:r>
      <w:r w:rsidRPr="004B77F6">
        <w:rPr>
          <w:lang w:val="ru-RU"/>
        </w:rPr>
        <w:t>.</w:t>
      </w:r>
    </w:p>
  </w:footnote>
  <w:footnote w:id="161">
    <w:p w14:paraId="66DAFDF8" w14:textId="77777777" w:rsidR="00DF434F" w:rsidRPr="004B77F6" w:rsidRDefault="00DF434F" w:rsidP="00DF434F">
      <w:pPr>
        <w:pStyle w:val="FootnoteText"/>
        <w:rPr>
          <w:lang w:val="ru-RU"/>
        </w:rPr>
      </w:pPr>
      <w:r>
        <w:rPr>
          <w:rStyle w:val="FootnoteReference"/>
        </w:rPr>
        <w:footnoteRef/>
      </w:r>
      <w:r w:rsidRPr="004B77F6">
        <w:rPr>
          <w:lang w:val="ru-RU"/>
        </w:rPr>
        <w:t xml:space="preserve"> Как было отмечено выше, в качестве альтернативы Институт мог бы выполнять исключительно функции посредника или организатора партнерского сотрудничества, а не проводить собственные учебные мероприятия.</w:t>
      </w:r>
    </w:p>
  </w:footnote>
  <w:footnote w:id="162">
    <w:p w14:paraId="6BDFBE71" w14:textId="77777777" w:rsidR="00DF434F" w:rsidRPr="004B77F6" w:rsidRDefault="00DF434F" w:rsidP="00DF434F">
      <w:pPr>
        <w:pStyle w:val="FootnoteText"/>
        <w:rPr>
          <w:lang w:val="ru-RU"/>
        </w:rPr>
      </w:pPr>
      <w:r>
        <w:rPr>
          <w:rStyle w:val="FootnoteReference"/>
        </w:rPr>
        <w:footnoteRef/>
      </w:r>
      <w:r w:rsidRPr="004B77F6">
        <w:rPr>
          <w:lang w:val="ru-RU"/>
        </w:rPr>
        <w:t xml:space="preserve"> В начале 2020 года Франция объявила, что берет на себя обязательство выделить 90 миллионов долларов США на создание Академии ВОЗ, однако для ее успешного функционирования потребуется существенное дополнительное финансирование из других источников, </w:t>
      </w:r>
      <w:r w:rsidR="00D577E1">
        <w:fldChar w:fldCharType="begin"/>
      </w:r>
      <w:r w:rsidR="00D577E1" w:rsidRPr="00D577E1">
        <w:rPr>
          <w:lang w:val="ru-RU"/>
        </w:rPr>
        <w:instrText xml:space="preserve"> </w:instrText>
      </w:r>
      <w:r w:rsidR="00D577E1">
        <w:instrText>HYPERLINK</w:instrText>
      </w:r>
      <w:r w:rsidR="00D577E1" w:rsidRPr="00D577E1">
        <w:rPr>
          <w:lang w:val="ru-RU"/>
        </w:rPr>
        <w:instrText xml:space="preserve"> "</w:instrText>
      </w:r>
      <w:r w:rsidR="00D577E1">
        <w:instrText>https</w:instrText>
      </w:r>
      <w:r w:rsidR="00D577E1" w:rsidRPr="00D577E1">
        <w:rPr>
          <w:lang w:val="ru-RU"/>
        </w:rPr>
        <w:instrText>://</w:instrText>
      </w:r>
      <w:r w:rsidR="00D577E1">
        <w:instrText>www</w:instrText>
      </w:r>
      <w:r w:rsidR="00D577E1" w:rsidRPr="00D577E1">
        <w:rPr>
          <w:lang w:val="ru-RU"/>
        </w:rPr>
        <w:instrText>.</w:instrText>
      </w:r>
      <w:r w:rsidR="00D577E1">
        <w:instrText>who</w:instrText>
      </w:r>
      <w:r w:rsidR="00D577E1" w:rsidRPr="00D577E1">
        <w:rPr>
          <w:lang w:val="ru-RU"/>
        </w:rPr>
        <w:instrText>.</w:instrText>
      </w:r>
      <w:r w:rsidR="00D577E1">
        <w:instrText>int</w:instrText>
      </w:r>
      <w:r w:rsidR="00D577E1" w:rsidRPr="00D577E1">
        <w:rPr>
          <w:lang w:val="ru-RU"/>
        </w:rPr>
        <w:instrText>/</w:instrText>
      </w:r>
      <w:r w:rsidR="00D577E1">
        <w:instrText>news</w:instrText>
      </w:r>
      <w:r w:rsidR="00D577E1" w:rsidRPr="00D577E1">
        <w:rPr>
          <w:lang w:val="ru-RU"/>
        </w:rPr>
        <w:instrText>/</w:instrText>
      </w:r>
      <w:r w:rsidR="00D577E1">
        <w:instrText>item</w:instrText>
      </w:r>
      <w:r w:rsidR="00D577E1" w:rsidRPr="00D577E1">
        <w:rPr>
          <w:lang w:val="ru-RU"/>
        </w:rPr>
        <w:instrText>/24-02-2020-</w:instrText>
      </w:r>
      <w:r w:rsidR="00D577E1">
        <w:instrText>france</w:instrText>
      </w:r>
      <w:r w:rsidR="00D577E1" w:rsidRPr="00D577E1">
        <w:rPr>
          <w:lang w:val="ru-RU"/>
        </w:rPr>
        <w:instrText>-</w:instrText>
      </w:r>
      <w:r w:rsidR="00D577E1">
        <w:instrText>pledges</w:instrText>
      </w:r>
      <w:r w:rsidR="00D577E1" w:rsidRPr="00D577E1">
        <w:rPr>
          <w:lang w:val="ru-RU"/>
        </w:rPr>
        <w:instrText>-</w:instrText>
      </w:r>
      <w:r w:rsidR="00D577E1">
        <w:instrText>us</w:instrText>
      </w:r>
      <w:r w:rsidR="00D577E1" w:rsidRPr="00D577E1">
        <w:rPr>
          <w:lang w:val="ru-RU"/>
        </w:rPr>
        <w:instrText>100-</w:instrText>
      </w:r>
      <w:r w:rsidR="00D577E1">
        <w:instrText>million</w:instrText>
      </w:r>
      <w:r w:rsidR="00D577E1" w:rsidRPr="00D577E1">
        <w:rPr>
          <w:lang w:val="ru-RU"/>
        </w:rPr>
        <w:instrText>-</w:instrText>
      </w:r>
      <w:r w:rsidR="00D577E1">
        <w:instrText>for</w:instrText>
      </w:r>
      <w:r w:rsidR="00D577E1" w:rsidRPr="00D577E1">
        <w:rPr>
          <w:lang w:val="ru-RU"/>
        </w:rPr>
        <w:instrText>-</w:instrText>
      </w:r>
      <w:r w:rsidR="00D577E1">
        <w:instrText>who</w:instrText>
      </w:r>
      <w:r w:rsidR="00D577E1" w:rsidRPr="00D577E1">
        <w:rPr>
          <w:lang w:val="ru-RU"/>
        </w:rPr>
        <w:instrText>-</w:instrText>
      </w:r>
      <w:r w:rsidR="00D577E1">
        <w:instrText>academy</w:instrText>
      </w:r>
      <w:r w:rsidR="00D577E1" w:rsidRPr="00D577E1">
        <w:rPr>
          <w:lang w:val="ru-RU"/>
        </w:rPr>
        <w:instrText xml:space="preserve">" </w:instrText>
      </w:r>
      <w:r w:rsidR="00D577E1">
        <w:fldChar w:fldCharType="separate"/>
      </w:r>
      <w:r>
        <w:rPr>
          <w:rStyle w:val="Hyperlink"/>
        </w:rPr>
        <w:t>https</w:t>
      </w:r>
      <w:r w:rsidRPr="004B77F6">
        <w:rPr>
          <w:rStyle w:val="Hyperlink"/>
          <w:lang w:val="ru-RU"/>
        </w:rPr>
        <w:t>://</w:t>
      </w:r>
      <w:r>
        <w:rPr>
          <w:rStyle w:val="Hyperlink"/>
        </w:rPr>
        <w:t>www</w:t>
      </w:r>
      <w:r w:rsidRPr="004B77F6">
        <w:rPr>
          <w:rStyle w:val="Hyperlink"/>
          <w:lang w:val="ru-RU"/>
        </w:rPr>
        <w:t>.</w:t>
      </w:r>
      <w:r>
        <w:rPr>
          <w:rStyle w:val="Hyperlink"/>
        </w:rPr>
        <w:t>who</w:t>
      </w:r>
      <w:r w:rsidRPr="004B77F6">
        <w:rPr>
          <w:rStyle w:val="Hyperlink"/>
          <w:lang w:val="ru-RU"/>
        </w:rPr>
        <w:t>.</w:t>
      </w:r>
      <w:r>
        <w:rPr>
          <w:rStyle w:val="Hyperlink"/>
        </w:rPr>
        <w:t>int</w:t>
      </w:r>
      <w:r w:rsidRPr="004B77F6">
        <w:rPr>
          <w:rStyle w:val="Hyperlink"/>
          <w:lang w:val="ru-RU"/>
        </w:rPr>
        <w:t>/</w:t>
      </w:r>
      <w:r>
        <w:rPr>
          <w:rStyle w:val="Hyperlink"/>
        </w:rPr>
        <w:t>news</w:t>
      </w:r>
      <w:r w:rsidRPr="004B77F6">
        <w:rPr>
          <w:rStyle w:val="Hyperlink"/>
          <w:lang w:val="ru-RU"/>
        </w:rPr>
        <w:t>/</w:t>
      </w:r>
      <w:r>
        <w:rPr>
          <w:rStyle w:val="Hyperlink"/>
        </w:rPr>
        <w:t>item</w:t>
      </w:r>
      <w:r w:rsidRPr="004B77F6">
        <w:rPr>
          <w:rStyle w:val="Hyperlink"/>
          <w:lang w:val="ru-RU"/>
        </w:rPr>
        <w:t>/24-02-2020-</w:t>
      </w:r>
      <w:r>
        <w:rPr>
          <w:rStyle w:val="Hyperlink"/>
        </w:rPr>
        <w:t>france</w:t>
      </w:r>
      <w:r w:rsidRPr="004B77F6">
        <w:rPr>
          <w:rStyle w:val="Hyperlink"/>
          <w:lang w:val="ru-RU"/>
        </w:rPr>
        <w:t>-</w:t>
      </w:r>
      <w:r>
        <w:rPr>
          <w:rStyle w:val="Hyperlink"/>
        </w:rPr>
        <w:t>pledges</w:t>
      </w:r>
      <w:r w:rsidRPr="004B77F6">
        <w:rPr>
          <w:rStyle w:val="Hyperlink"/>
          <w:lang w:val="ru-RU"/>
        </w:rPr>
        <w:t>-</w:t>
      </w:r>
      <w:r>
        <w:rPr>
          <w:rStyle w:val="Hyperlink"/>
        </w:rPr>
        <w:t>us</w:t>
      </w:r>
      <w:r w:rsidRPr="004B77F6">
        <w:rPr>
          <w:rStyle w:val="Hyperlink"/>
          <w:lang w:val="ru-RU"/>
        </w:rPr>
        <w:t>100-</w:t>
      </w:r>
      <w:r>
        <w:rPr>
          <w:rStyle w:val="Hyperlink"/>
        </w:rPr>
        <w:t>million</w:t>
      </w:r>
      <w:r w:rsidRPr="004B77F6">
        <w:rPr>
          <w:rStyle w:val="Hyperlink"/>
          <w:lang w:val="ru-RU"/>
        </w:rPr>
        <w:t>-</w:t>
      </w:r>
      <w:r>
        <w:rPr>
          <w:rStyle w:val="Hyperlink"/>
        </w:rPr>
        <w:t>for</w:t>
      </w:r>
      <w:r w:rsidRPr="004B77F6">
        <w:rPr>
          <w:rStyle w:val="Hyperlink"/>
          <w:lang w:val="ru-RU"/>
        </w:rPr>
        <w:t>-</w:t>
      </w:r>
      <w:r>
        <w:rPr>
          <w:rStyle w:val="Hyperlink"/>
        </w:rPr>
        <w:t>who</w:t>
      </w:r>
      <w:r w:rsidRPr="004B77F6">
        <w:rPr>
          <w:rStyle w:val="Hyperlink"/>
          <w:lang w:val="ru-RU"/>
        </w:rPr>
        <w:t>-</w:t>
      </w:r>
      <w:r>
        <w:rPr>
          <w:rStyle w:val="Hyperlink"/>
        </w:rPr>
        <w:t>academy</w:t>
      </w:r>
      <w:r w:rsidR="00D577E1">
        <w:rPr>
          <w:rStyle w:val="Hyperlink"/>
        </w:rPr>
        <w:fldChar w:fldCharType="end"/>
      </w:r>
      <w:r w:rsidRPr="004B77F6">
        <w:rPr>
          <w:lang w:val="ru-RU"/>
        </w:rPr>
        <w:t xml:space="preserve">. </w:t>
      </w:r>
    </w:p>
  </w:footnote>
  <w:footnote w:id="163">
    <w:p w14:paraId="097E3207" w14:textId="38D767D9" w:rsidR="00DF434F" w:rsidRPr="004B77F6" w:rsidRDefault="00DF434F" w:rsidP="00DF434F">
      <w:pPr>
        <w:pStyle w:val="FootnoteText"/>
        <w:rPr>
          <w:lang w:val="ru-RU"/>
        </w:rPr>
      </w:pPr>
      <w:r>
        <w:rPr>
          <w:rStyle w:val="FootnoteReference"/>
        </w:rPr>
        <w:footnoteRef/>
      </w:r>
      <w:r w:rsidRPr="004B77F6">
        <w:rPr>
          <w:lang w:val="ru-RU"/>
        </w:rPr>
        <w:t xml:space="preserve"> </w:t>
      </w:r>
      <w:r w:rsidR="00D577E1">
        <w:fldChar w:fldCharType="begin"/>
      </w:r>
      <w:r w:rsidR="00D577E1" w:rsidRPr="00D577E1">
        <w:rPr>
          <w:lang w:val="ru-RU"/>
        </w:rPr>
        <w:instrText xml:space="preserve"> </w:instrText>
      </w:r>
      <w:r w:rsidR="00D577E1">
        <w:instrText>HYPERLINK</w:instrText>
      </w:r>
      <w:r w:rsidR="00D577E1" w:rsidRPr="00D577E1">
        <w:rPr>
          <w:lang w:val="ru-RU"/>
        </w:rPr>
        <w:instrText xml:space="preserve"> "</w:instrText>
      </w:r>
      <w:r w:rsidR="00D577E1">
        <w:instrText>https</w:instrText>
      </w:r>
      <w:r w:rsidR="00D577E1" w:rsidRPr="00D577E1">
        <w:rPr>
          <w:lang w:val="ru-RU"/>
        </w:rPr>
        <w:instrText>://</w:instrText>
      </w:r>
      <w:r w:rsidR="00D577E1">
        <w:instrText>www</w:instrText>
      </w:r>
      <w:r w:rsidR="00D577E1" w:rsidRPr="00D577E1">
        <w:rPr>
          <w:lang w:val="ru-RU"/>
        </w:rPr>
        <w:instrText>.</w:instrText>
      </w:r>
      <w:r w:rsidR="00D577E1">
        <w:instrText>who</w:instrText>
      </w:r>
      <w:r w:rsidR="00D577E1" w:rsidRPr="00D577E1">
        <w:rPr>
          <w:lang w:val="ru-RU"/>
        </w:rPr>
        <w:instrText>.</w:instrText>
      </w:r>
      <w:r w:rsidR="00D577E1">
        <w:instrText>int</w:instrText>
      </w:r>
      <w:r w:rsidR="00D577E1" w:rsidRPr="00D577E1">
        <w:rPr>
          <w:lang w:val="ru-RU"/>
        </w:rPr>
        <w:instrText>/</w:instrText>
      </w:r>
      <w:r w:rsidR="00D577E1">
        <w:instrText>news</w:instrText>
      </w:r>
      <w:r w:rsidR="00D577E1" w:rsidRPr="00D577E1">
        <w:rPr>
          <w:lang w:val="ru-RU"/>
        </w:rPr>
        <w:instrText>/</w:instrText>
      </w:r>
      <w:r w:rsidR="00D577E1">
        <w:instrText>item</w:instrText>
      </w:r>
      <w:r w:rsidR="00D577E1" w:rsidRPr="00D577E1">
        <w:rPr>
          <w:lang w:val="ru-RU"/>
        </w:rPr>
        <w:instrText>/11-06-2019-</w:instrText>
      </w:r>
      <w:r w:rsidR="00D577E1">
        <w:instrText>collaboration</w:instrText>
      </w:r>
      <w:r w:rsidR="00D577E1" w:rsidRPr="00D577E1">
        <w:rPr>
          <w:lang w:val="ru-RU"/>
        </w:rPr>
        <w:instrText>-</w:instrText>
      </w:r>
      <w:r w:rsidR="00D577E1">
        <w:instrText>between</w:instrText>
      </w:r>
      <w:r w:rsidR="00D577E1" w:rsidRPr="00D577E1">
        <w:rPr>
          <w:lang w:val="ru-RU"/>
        </w:rPr>
        <w:instrText>-</w:instrText>
      </w:r>
      <w:r w:rsidR="00D577E1">
        <w:instrText>france</w:instrText>
      </w:r>
      <w:r w:rsidR="00D577E1" w:rsidRPr="00D577E1">
        <w:rPr>
          <w:lang w:val="ru-RU"/>
        </w:rPr>
        <w:instrText>-</w:instrText>
      </w:r>
      <w:r w:rsidR="00D577E1">
        <w:instrText>and</w:instrText>
      </w:r>
      <w:r w:rsidR="00D577E1" w:rsidRPr="00D577E1">
        <w:rPr>
          <w:lang w:val="ru-RU"/>
        </w:rPr>
        <w:instrText>-</w:instrText>
      </w:r>
      <w:r w:rsidR="00D577E1">
        <w:instrText>who</w:instrText>
      </w:r>
      <w:r w:rsidR="00D577E1" w:rsidRPr="00D577E1">
        <w:rPr>
          <w:lang w:val="ru-RU"/>
        </w:rPr>
        <w:instrText>-</w:instrText>
      </w:r>
      <w:r w:rsidR="00D577E1">
        <w:instrText>to</w:instrText>
      </w:r>
      <w:r w:rsidR="00D577E1" w:rsidRPr="00D577E1">
        <w:rPr>
          <w:lang w:val="ru-RU"/>
        </w:rPr>
        <w:instrText>-</w:instrText>
      </w:r>
      <w:r w:rsidR="00D577E1">
        <w:instrText>realize</w:instrText>
      </w:r>
      <w:r w:rsidR="00D577E1" w:rsidRPr="00D577E1">
        <w:rPr>
          <w:lang w:val="ru-RU"/>
        </w:rPr>
        <w:instrText>-</w:instrText>
      </w:r>
      <w:r w:rsidR="00D577E1">
        <w:instrText>the</w:instrText>
      </w:r>
      <w:r w:rsidR="00D577E1" w:rsidRPr="00D577E1">
        <w:rPr>
          <w:lang w:val="ru-RU"/>
        </w:rPr>
        <w:instrText>-</w:instrText>
      </w:r>
      <w:r w:rsidR="00D577E1">
        <w:instrText>vision</w:instrText>
      </w:r>
      <w:r w:rsidR="00D577E1" w:rsidRPr="00D577E1">
        <w:rPr>
          <w:lang w:val="ru-RU"/>
        </w:rPr>
        <w:instrText>-</w:instrText>
      </w:r>
      <w:r w:rsidR="00D577E1">
        <w:instrText>of</w:instrText>
      </w:r>
      <w:r w:rsidR="00D577E1" w:rsidRPr="00D577E1">
        <w:rPr>
          <w:lang w:val="ru-RU"/>
        </w:rPr>
        <w:instrText>-</w:instrText>
      </w:r>
      <w:r w:rsidR="00D577E1">
        <w:instrText>the</w:instrText>
      </w:r>
      <w:r w:rsidR="00D577E1" w:rsidRPr="00D577E1">
        <w:rPr>
          <w:lang w:val="ru-RU"/>
        </w:rPr>
        <w:instrText>-</w:instrText>
      </w:r>
      <w:r w:rsidR="00D577E1">
        <w:instrText>who</w:instrText>
      </w:r>
      <w:r w:rsidR="00D577E1" w:rsidRPr="00D577E1">
        <w:rPr>
          <w:lang w:val="ru-RU"/>
        </w:rPr>
        <w:instrText>-</w:instrText>
      </w:r>
      <w:r w:rsidR="00D577E1">
        <w:instrText>academy</w:instrText>
      </w:r>
      <w:r w:rsidR="00D577E1" w:rsidRPr="00D577E1">
        <w:rPr>
          <w:lang w:val="ru-RU"/>
        </w:rPr>
        <w:instrText xml:space="preserve">" </w:instrText>
      </w:r>
      <w:r w:rsidR="00D577E1">
        <w:fldChar w:fldCharType="separate"/>
      </w:r>
      <w:r>
        <w:t>https</w:t>
      </w:r>
      <w:r w:rsidRPr="004B77F6">
        <w:rPr>
          <w:lang w:val="ru-RU"/>
        </w:rPr>
        <w:t>://</w:t>
      </w:r>
      <w:r>
        <w:t>www</w:t>
      </w:r>
      <w:r w:rsidRPr="004B77F6">
        <w:rPr>
          <w:lang w:val="ru-RU"/>
        </w:rPr>
        <w:t>.</w:t>
      </w:r>
      <w:r>
        <w:t>who</w:t>
      </w:r>
      <w:r w:rsidRPr="004B77F6">
        <w:rPr>
          <w:lang w:val="ru-RU"/>
        </w:rPr>
        <w:t>.</w:t>
      </w:r>
      <w:r>
        <w:t>int</w:t>
      </w:r>
      <w:r w:rsidRPr="004B77F6">
        <w:rPr>
          <w:lang w:val="ru-RU"/>
        </w:rPr>
        <w:t>/</w:t>
      </w:r>
      <w:r>
        <w:t>news</w:t>
      </w:r>
      <w:r w:rsidRPr="004B77F6">
        <w:rPr>
          <w:lang w:val="ru-RU"/>
        </w:rPr>
        <w:t>/</w:t>
      </w:r>
      <w:r>
        <w:t>item</w:t>
      </w:r>
      <w:r w:rsidRPr="004B77F6">
        <w:rPr>
          <w:lang w:val="ru-RU"/>
        </w:rPr>
        <w:t>/11-06-2019-</w:t>
      </w:r>
      <w:r>
        <w:t>collaboration</w:t>
      </w:r>
      <w:r w:rsidRPr="004B77F6">
        <w:rPr>
          <w:lang w:val="ru-RU"/>
        </w:rPr>
        <w:t>-</w:t>
      </w:r>
      <w:r>
        <w:t>between</w:t>
      </w:r>
      <w:r w:rsidRPr="004B77F6">
        <w:rPr>
          <w:lang w:val="ru-RU"/>
        </w:rPr>
        <w:t>-</w:t>
      </w:r>
      <w:r>
        <w:t>france</w:t>
      </w:r>
      <w:r w:rsidRPr="004B77F6">
        <w:rPr>
          <w:lang w:val="ru-RU"/>
        </w:rPr>
        <w:t>-</w:t>
      </w:r>
      <w:r>
        <w:t>and</w:t>
      </w:r>
      <w:r w:rsidRPr="004B77F6">
        <w:rPr>
          <w:lang w:val="ru-RU"/>
        </w:rPr>
        <w:t>-</w:t>
      </w:r>
      <w:r>
        <w:t>who</w:t>
      </w:r>
      <w:r w:rsidRPr="004B77F6">
        <w:rPr>
          <w:lang w:val="ru-RU"/>
        </w:rPr>
        <w:t>-</w:t>
      </w:r>
      <w:r>
        <w:t>to</w:t>
      </w:r>
      <w:r w:rsidRPr="004B77F6">
        <w:rPr>
          <w:lang w:val="ru-RU"/>
        </w:rPr>
        <w:t>-</w:t>
      </w:r>
      <w:r>
        <w:t>realize</w:t>
      </w:r>
      <w:r w:rsidRPr="004B77F6">
        <w:rPr>
          <w:lang w:val="ru-RU"/>
        </w:rPr>
        <w:t>-</w:t>
      </w:r>
      <w:r>
        <w:t>the</w:t>
      </w:r>
      <w:r w:rsidRPr="004B77F6">
        <w:rPr>
          <w:lang w:val="ru-RU"/>
        </w:rPr>
        <w:t>-</w:t>
      </w:r>
      <w:r>
        <w:t>vision</w:t>
      </w:r>
      <w:r w:rsidRPr="004B77F6">
        <w:rPr>
          <w:lang w:val="ru-RU"/>
        </w:rPr>
        <w:t>-</w:t>
      </w:r>
      <w:r>
        <w:t>of</w:t>
      </w:r>
      <w:r w:rsidRPr="004B77F6">
        <w:rPr>
          <w:lang w:val="ru-RU"/>
        </w:rPr>
        <w:t>-</w:t>
      </w:r>
      <w:r>
        <w:t>the</w:t>
      </w:r>
      <w:r w:rsidRPr="004B77F6">
        <w:rPr>
          <w:lang w:val="ru-RU"/>
        </w:rPr>
        <w:t>-</w:t>
      </w:r>
      <w:r>
        <w:t>who</w:t>
      </w:r>
      <w:r w:rsidRPr="004B77F6">
        <w:rPr>
          <w:lang w:val="ru-RU"/>
        </w:rPr>
        <w:t>-</w:t>
      </w:r>
      <w:r>
        <w:t>academy</w:t>
      </w:r>
      <w:r w:rsidR="00D577E1">
        <w:fldChar w:fldCharType="end"/>
      </w:r>
      <w:r w:rsidRPr="004B77F6">
        <w:rPr>
          <w:lang w:val="ru-RU"/>
        </w:rPr>
        <w:t>. См.</w:t>
      </w:r>
      <w:r>
        <w:t> </w:t>
      </w:r>
      <w:r w:rsidRPr="004B77F6">
        <w:rPr>
          <w:lang w:val="ru-RU"/>
        </w:rPr>
        <w:t xml:space="preserve">также </w:t>
      </w:r>
      <w:hyperlink r:id="rId45" w:history="1">
        <w:r w:rsidR="0097734F" w:rsidRPr="00DB48CA">
          <w:rPr>
            <w:rStyle w:val="Hyperlink"/>
          </w:rPr>
          <w:t>https</w:t>
        </w:r>
        <w:r w:rsidR="0097734F" w:rsidRPr="00DB48CA">
          <w:rPr>
            <w:rStyle w:val="Hyperlink"/>
            <w:lang w:val="ru-RU"/>
          </w:rPr>
          <w:t>://</w:t>
        </w:r>
        <w:r w:rsidR="0097734F" w:rsidRPr="00DB48CA">
          <w:rPr>
            <w:rStyle w:val="Hyperlink"/>
          </w:rPr>
          <w:t>extranet</w:t>
        </w:r>
        <w:r w:rsidR="0097734F" w:rsidRPr="00DB48CA">
          <w:rPr>
            <w:rStyle w:val="Hyperlink"/>
            <w:lang w:val="ru-RU"/>
          </w:rPr>
          <w:t>.</w:t>
        </w:r>
        <w:r w:rsidR="0097734F" w:rsidRPr="00DB48CA">
          <w:rPr>
            <w:rStyle w:val="Hyperlink"/>
          </w:rPr>
          <w:t>who</w:t>
        </w:r>
        <w:r w:rsidR="0097734F" w:rsidRPr="00DB48CA">
          <w:rPr>
            <w:rStyle w:val="Hyperlink"/>
            <w:lang w:val="ru-RU"/>
          </w:rPr>
          <w:t>.</w:t>
        </w:r>
        <w:r w:rsidR="0097734F" w:rsidRPr="00DB48CA">
          <w:rPr>
            <w:rStyle w:val="Hyperlink"/>
          </w:rPr>
          <w:t>int</w:t>
        </w:r>
        <w:r w:rsidR="0097734F" w:rsidRPr="00DB48CA">
          <w:rPr>
            <w:rStyle w:val="Hyperlink"/>
            <w:lang w:val="ru-RU"/>
          </w:rPr>
          <w:t>/</w:t>
        </w:r>
        <w:r w:rsidR="0097734F" w:rsidRPr="00DB48CA">
          <w:rPr>
            <w:rStyle w:val="Hyperlink"/>
          </w:rPr>
          <w:t>dataform</w:t>
        </w:r>
        <w:r w:rsidR="0097734F" w:rsidRPr="00DB48CA">
          <w:rPr>
            <w:rStyle w:val="Hyperlink"/>
            <w:lang w:val="ru-RU"/>
          </w:rPr>
          <w:t>/</w:t>
        </w:r>
        <w:r w:rsidR="0097734F" w:rsidRPr="00DB48CA">
          <w:rPr>
            <w:rStyle w:val="Hyperlink"/>
          </w:rPr>
          <w:t>upload</w:t>
        </w:r>
        <w:r w:rsidR="0097734F" w:rsidRPr="00DB48CA">
          <w:rPr>
            <w:rStyle w:val="Hyperlink"/>
            <w:lang w:val="ru-RU"/>
          </w:rPr>
          <w:t>/</w:t>
        </w:r>
        <w:r w:rsidR="0097734F" w:rsidRPr="00DB48CA">
          <w:rPr>
            <w:rStyle w:val="Hyperlink"/>
          </w:rPr>
          <w:t>surveys</w:t>
        </w:r>
        <w:r w:rsidR="0097734F" w:rsidRPr="00DB48CA">
          <w:rPr>
            <w:rStyle w:val="Hyperlink"/>
            <w:lang w:val="ru-RU"/>
          </w:rPr>
          <w:t>/961382/</w:t>
        </w:r>
        <w:r w:rsidR="0097734F" w:rsidRPr="00DB48CA">
          <w:rPr>
            <w:rStyle w:val="Hyperlink"/>
          </w:rPr>
          <w:t>files</w:t>
        </w:r>
        <w:r w:rsidR="0097734F" w:rsidRPr="00DB48CA">
          <w:rPr>
            <w:rStyle w:val="Hyperlink"/>
            <w:lang w:val="ru-RU"/>
          </w:rPr>
          <w:t>/</w:t>
        </w:r>
        <w:r w:rsidR="0097734F" w:rsidRPr="00DB48CA">
          <w:rPr>
            <w:rStyle w:val="Hyperlink"/>
            <w:lang w:val="ru-RU"/>
          </w:rPr>
          <w:br/>
        </w:r>
        <w:r w:rsidR="0097734F" w:rsidRPr="00DB48CA">
          <w:rPr>
            <w:rStyle w:val="Hyperlink"/>
          </w:rPr>
          <w:t>Concept</w:t>
        </w:r>
        <w:r w:rsidR="0097734F" w:rsidRPr="00DB48CA">
          <w:rPr>
            <w:rStyle w:val="Hyperlink"/>
            <w:lang w:val="ru-RU"/>
          </w:rPr>
          <w:t>%20</w:t>
        </w:r>
        <w:r w:rsidR="0097734F" w:rsidRPr="00DB48CA">
          <w:rPr>
            <w:rStyle w:val="Hyperlink"/>
          </w:rPr>
          <w:t>Note</w:t>
        </w:r>
        <w:r w:rsidR="0097734F" w:rsidRPr="00DB48CA">
          <w:rPr>
            <w:rStyle w:val="Hyperlink"/>
            <w:lang w:val="ru-RU"/>
          </w:rPr>
          <w:t>%20</w:t>
        </w:r>
        <w:r w:rsidR="0097734F" w:rsidRPr="00DB48CA">
          <w:rPr>
            <w:rStyle w:val="Hyperlink"/>
          </w:rPr>
          <w:t>WHO</w:t>
        </w:r>
        <w:r w:rsidR="0097734F" w:rsidRPr="00DB48CA">
          <w:rPr>
            <w:rStyle w:val="Hyperlink"/>
            <w:lang w:val="ru-RU"/>
          </w:rPr>
          <w:t>%20</w:t>
        </w:r>
        <w:r w:rsidR="0097734F" w:rsidRPr="00DB48CA">
          <w:rPr>
            <w:rStyle w:val="Hyperlink"/>
          </w:rPr>
          <w:t>Academy</w:t>
        </w:r>
        <w:r w:rsidR="0097734F" w:rsidRPr="00DB48CA">
          <w:rPr>
            <w:rStyle w:val="Hyperlink"/>
            <w:lang w:val="ru-RU"/>
          </w:rPr>
          <w:t>.</w:t>
        </w:r>
        <w:r w:rsidR="0097734F" w:rsidRPr="00DB48CA">
          <w:rPr>
            <w:rStyle w:val="Hyperlink"/>
          </w:rPr>
          <w:t>pdf</w:t>
        </w:r>
      </w:hyperlink>
      <w:r w:rsidRPr="004B77F6">
        <w:rPr>
          <w:lang w:val="ru-RU"/>
        </w:rPr>
        <w:t>.</w:t>
      </w:r>
    </w:p>
  </w:footnote>
  <w:footnote w:id="164">
    <w:p w14:paraId="45C583A4" w14:textId="77777777" w:rsidR="00DF434F" w:rsidRPr="004B77F6" w:rsidRDefault="00DF434F" w:rsidP="00DF434F">
      <w:pPr>
        <w:pStyle w:val="FootnoteText"/>
        <w:rPr>
          <w:lang w:val="ru-RU"/>
        </w:rPr>
      </w:pPr>
      <w:r>
        <w:rPr>
          <w:rStyle w:val="FootnoteReference"/>
        </w:rPr>
        <w:footnoteRef/>
      </w:r>
      <w:r w:rsidRPr="004B77F6">
        <w:rPr>
          <w:lang w:val="ru-RU"/>
        </w:rPr>
        <w:t xml:space="preserve"> См., например, </w:t>
      </w:r>
      <w:r>
        <w:t>https</w:t>
      </w:r>
      <w:r w:rsidRPr="004B77F6">
        <w:rPr>
          <w:lang w:val="ru-RU"/>
        </w:rPr>
        <w:t>://</w:t>
      </w:r>
      <w:r>
        <w:t>www</w:t>
      </w:r>
      <w:r w:rsidRPr="004B77F6">
        <w:rPr>
          <w:lang w:val="ru-RU"/>
        </w:rPr>
        <w:t>.</w:t>
      </w:r>
      <w:r>
        <w:t>lexico</w:t>
      </w:r>
      <w:r w:rsidRPr="004B77F6">
        <w:rPr>
          <w:lang w:val="ru-RU"/>
        </w:rPr>
        <w:t>.</w:t>
      </w:r>
      <w:r>
        <w:t>com</w:t>
      </w:r>
      <w:r w:rsidRPr="004B77F6">
        <w:rPr>
          <w:lang w:val="ru-RU"/>
        </w:rPr>
        <w:t>/</w:t>
      </w:r>
      <w:r>
        <w:t>definition</w:t>
      </w:r>
      <w:r w:rsidRPr="004B77F6">
        <w:rPr>
          <w:lang w:val="ru-RU"/>
        </w:rPr>
        <w:t>/</w:t>
      </w:r>
      <w:r>
        <w:t>institute</w:t>
      </w:r>
      <w:r w:rsidRPr="004B77F6">
        <w:rPr>
          <w:lang w:val="ru-RU"/>
        </w:rPr>
        <w:t>.</w:t>
      </w:r>
    </w:p>
  </w:footnote>
  <w:footnote w:id="165">
    <w:p w14:paraId="2DDB557A" w14:textId="2D444975" w:rsidR="004B77F6" w:rsidRPr="004B77F6" w:rsidRDefault="004B77F6" w:rsidP="00697997">
      <w:pPr>
        <w:pStyle w:val="FootnoteText"/>
        <w:rPr>
          <w:b/>
          <w:bCs/>
          <w:lang w:val="ru-RU"/>
        </w:rPr>
      </w:pPr>
      <w:r>
        <w:rPr>
          <w:rStyle w:val="FootnoteReference"/>
        </w:rPr>
        <w:footnoteRef/>
      </w:r>
      <w:r w:rsidRPr="004B77F6">
        <w:rPr>
          <w:lang w:val="ru-RU"/>
        </w:rPr>
        <w:t xml:space="preserve"> По аналогии с Виртуальным Институтом ЮНКТАД, </w:t>
      </w:r>
      <w:r w:rsidR="00D577E1">
        <w:fldChar w:fldCharType="begin"/>
      </w:r>
      <w:r w:rsidR="00D577E1" w:rsidRPr="00D577E1">
        <w:rPr>
          <w:lang w:val="ru-RU"/>
        </w:rPr>
        <w:instrText xml:space="preserve"> </w:instrText>
      </w:r>
      <w:r w:rsidR="00D577E1">
        <w:instrText>HYPERLINK</w:instrText>
      </w:r>
      <w:r w:rsidR="00D577E1" w:rsidRPr="00D577E1">
        <w:rPr>
          <w:lang w:val="ru-RU"/>
        </w:rPr>
        <w:instrText xml:space="preserve"> "</w:instrText>
      </w:r>
      <w:r w:rsidR="00D577E1">
        <w:instrText>https</w:instrText>
      </w:r>
      <w:r w:rsidR="00D577E1" w:rsidRPr="00D577E1">
        <w:rPr>
          <w:lang w:val="ru-RU"/>
        </w:rPr>
        <w:instrText>://</w:instrText>
      </w:r>
      <w:r w:rsidR="00D577E1">
        <w:instrText>vi</w:instrText>
      </w:r>
      <w:r w:rsidR="00D577E1" w:rsidRPr="00D577E1">
        <w:rPr>
          <w:lang w:val="ru-RU"/>
        </w:rPr>
        <w:instrText>.</w:instrText>
      </w:r>
      <w:r w:rsidR="00D577E1">
        <w:instrText>unctad</w:instrText>
      </w:r>
      <w:r w:rsidR="00D577E1" w:rsidRPr="00D577E1">
        <w:rPr>
          <w:lang w:val="ru-RU"/>
        </w:rPr>
        <w:instrText>.</w:instrText>
      </w:r>
      <w:r w:rsidR="00D577E1">
        <w:instrText>org</w:instrText>
      </w:r>
      <w:r w:rsidR="00D577E1" w:rsidRPr="00D577E1">
        <w:rPr>
          <w:lang w:val="ru-RU"/>
        </w:rPr>
        <w:instrText xml:space="preserve">/" </w:instrText>
      </w:r>
      <w:r w:rsidR="00D577E1">
        <w:fldChar w:fldCharType="separate"/>
      </w:r>
      <w:r>
        <w:t>https</w:t>
      </w:r>
      <w:r w:rsidRPr="004B77F6">
        <w:rPr>
          <w:lang w:val="ru-RU"/>
        </w:rPr>
        <w:t>://</w:t>
      </w:r>
      <w:r>
        <w:t>vi</w:t>
      </w:r>
      <w:r w:rsidRPr="004B77F6">
        <w:rPr>
          <w:lang w:val="ru-RU"/>
        </w:rPr>
        <w:t>.</w:t>
      </w:r>
      <w:r>
        <w:t>unctad</w:t>
      </w:r>
      <w:r w:rsidRPr="004B77F6">
        <w:rPr>
          <w:lang w:val="ru-RU"/>
        </w:rPr>
        <w:t>.</w:t>
      </w:r>
      <w:r>
        <w:t>org</w:t>
      </w:r>
      <w:r w:rsidRPr="004B77F6">
        <w:rPr>
          <w:lang w:val="ru-RU"/>
        </w:rPr>
        <w:t>/</w:t>
      </w:r>
      <w:r w:rsidR="00D577E1">
        <w:rPr>
          <w:lang w:val="ru-RU"/>
        </w:rPr>
        <w:fldChar w:fldCharType="end"/>
      </w:r>
      <w:r w:rsidRPr="004B77F6">
        <w:rPr>
          <w:lang w:val="ru-RU"/>
        </w:rPr>
        <w:t>.</w:t>
      </w:r>
    </w:p>
  </w:footnote>
  <w:footnote w:id="166">
    <w:p w14:paraId="2813359A" w14:textId="6F348448" w:rsidR="00DF434F" w:rsidRPr="004B77F6" w:rsidRDefault="00DF434F" w:rsidP="00DF434F">
      <w:pPr>
        <w:pStyle w:val="FootnoteText"/>
        <w:keepLines/>
        <w:rPr>
          <w:lang w:val="ru-RU"/>
        </w:rPr>
      </w:pPr>
      <w:r>
        <w:rPr>
          <w:rStyle w:val="FootnoteReference"/>
        </w:rPr>
        <w:footnoteRef/>
      </w:r>
      <w:r w:rsidRPr="004B77F6">
        <w:rPr>
          <w:lang w:val="ru-RU"/>
        </w:rPr>
        <w:t xml:space="preserve"> Уместно также отметить недавний доклад ОИГ о терминологии, используемой для описания академий в системе ООН, в котором отмечается, что </w:t>
      </w:r>
      <w:r w:rsidR="006E72AD">
        <w:rPr>
          <w:lang w:val="ru-RU"/>
        </w:rPr>
        <w:t>"</w:t>
      </w:r>
      <w:r w:rsidRPr="004B77F6">
        <w:rPr>
          <w:lang w:val="ru-RU"/>
        </w:rPr>
        <w:t>названия, особенно в случае академий, как представляется, выбираются совершенно произвольно, при отсутствии каких-либо четких критериев. Нередко нет никакой разницы между академией и центром, хотя эти две категории могут иметь те же основные черты подразделений, которые в других организациях называют платформами электронного обучения.</w:t>
      </w:r>
      <w:r w:rsidR="006E72AD">
        <w:rPr>
          <w:lang w:val="ru-RU"/>
        </w:rPr>
        <w:t>"</w:t>
      </w:r>
      <w:r w:rsidRPr="004B77F6">
        <w:rPr>
          <w:lang w:val="ru-RU"/>
        </w:rPr>
        <w:t xml:space="preserve">; Думитриу, П. (2020) </w:t>
      </w:r>
      <w:r w:rsidR="006E72AD">
        <w:rPr>
          <w:lang w:val="ru-RU"/>
        </w:rPr>
        <w:t>"</w:t>
      </w:r>
      <w:r w:rsidRPr="004B77F6">
        <w:rPr>
          <w:lang w:val="ru-RU"/>
        </w:rPr>
        <w:t>Политика и платформы в поддержку обучения: повышение слаженности, координации и согласованности действий</w:t>
      </w:r>
      <w:r w:rsidR="006E72AD">
        <w:rPr>
          <w:lang w:val="ru-RU"/>
        </w:rPr>
        <w:t>"</w:t>
      </w:r>
      <w:r w:rsidRPr="004B77F6">
        <w:rPr>
          <w:lang w:val="ru-RU"/>
        </w:rPr>
        <w:t>, Доклад Объединенной инспекционной группы, Женева: Организация Объединенных Наций, стр.</w:t>
      </w:r>
      <w:r>
        <w:t> </w:t>
      </w:r>
      <w:r w:rsidRPr="004B77F6">
        <w:rPr>
          <w:lang w:val="ru-RU"/>
        </w:rPr>
        <w:t>16.</w:t>
      </w:r>
      <w:r w:rsidR="00A579EF">
        <w:rPr>
          <w:lang w:val="ru-RU"/>
        </w:rPr>
        <w:t xml:space="preserve"> </w:t>
      </w:r>
      <w:r w:rsidRPr="004B77F6">
        <w:rPr>
          <w:lang w:val="ru-RU"/>
        </w:rPr>
        <w:t>Подобная схема может быть применена и к виртуальным институтам, которые нередко представляют собой не что иное, как платформу электронного обучения; по сути, такая же критика применима и в отношении Академии МСЭ в ее нынешней форме, являющейся скорее порталом, нежели Академией.</w:t>
      </w:r>
      <w:r w:rsidR="00A579EF">
        <w:rPr>
          <w:lang w:val="ru-RU"/>
        </w:rPr>
        <w:t xml:space="preserve"> </w:t>
      </w:r>
      <w:r w:rsidRPr="004B77F6">
        <w:rPr>
          <w:lang w:val="ru-RU"/>
        </w:rPr>
        <w:t xml:space="preserve">Далее в докладе ОИГ говорится: </w:t>
      </w:r>
      <w:r w:rsidR="006E72AD">
        <w:rPr>
          <w:lang w:val="ru-RU"/>
        </w:rPr>
        <w:t>"</w:t>
      </w:r>
      <w:r w:rsidRPr="004B77F6">
        <w:rPr>
          <w:lang w:val="ru-RU"/>
        </w:rPr>
        <w:t xml:space="preserve">С учетом: </w:t>
      </w:r>
      <w:r>
        <w:t>a</w:t>
      </w:r>
      <w:r w:rsidRPr="004B77F6">
        <w:rPr>
          <w:lang w:val="ru-RU"/>
        </w:rPr>
        <w:t xml:space="preserve">) распространения услуг в области обучения, существующих за пределами системы Организации Объединенных Наций, где благодаря университетам и специализированным учебным организациям формируется высококонкурентная среда; и </w:t>
      </w:r>
      <w:r>
        <w:t>b</w:t>
      </w:r>
      <w:r w:rsidRPr="004B77F6">
        <w:rPr>
          <w:lang w:val="ru-RU"/>
        </w:rPr>
        <w:t>) растущей востребованности признания, сопоставимости и сертификации приобретенных сотрудниками Организации Объединенных Наций новых знаний необходимо строже и объективнее использовать такие обозначения для получения более четкого представления о характере учебных заведений и их продукции</w:t>
      </w:r>
      <w:r w:rsidR="006E72AD">
        <w:rPr>
          <w:lang w:val="ru-RU"/>
        </w:rPr>
        <w:t>"</w:t>
      </w:r>
      <w:r w:rsidRPr="004B77F6">
        <w:rPr>
          <w:lang w:val="ru-RU"/>
        </w:rPr>
        <w:t xml:space="preserve">; Думитриу, П. (2020) </w:t>
      </w:r>
      <w:r w:rsidR="006E72AD">
        <w:rPr>
          <w:lang w:val="ru-RU"/>
        </w:rPr>
        <w:t>"</w:t>
      </w:r>
      <w:r w:rsidRPr="004B77F6">
        <w:rPr>
          <w:lang w:val="ru-RU"/>
        </w:rPr>
        <w:t>Политика и платформы в поддержку обучения: повышение слаженности, координации и согласованности действий</w:t>
      </w:r>
      <w:r w:rsidR="006E72AD">
        <w:rPr>
          <w:lang w:val="ru-RU"/>
        </w:rPr>
        <w:t>"</w:t>
      </w:r>
      <w:r w:rsidRPr="004B77F6">
        <w:rPr>
          <w:lang w:val="ru-RU"/>
        </w:rPr>
        <w:t>, Доклад Объединенной инспекционной группы, Женева: Организация Объединенных Наций, стр.</w:t>
      </w:r>
      <w:r>
        <w:t> </w:t>
      </w:r>
      <w:r w:rsidRPr="004B77F6">
        <w:rPr>
          <w:lang w:val="ru-RU"/>
        </w:rPr>
        <w:t>16.</w:t>
      </w:r>
    </w:p>
  </w:footnote>
  <w:footnote w:id="167">
    <w:p w14:paraId="6A79DAB3" w14:textId="77777777" w:rsidR="004B77F6" w:rsidRPr="004B77F6" w:rsidRDefault="004B77F6" w:rsidP="004B1BB0">
      <w:pPr>
        <w:pStyle w:val="FootnoteText"/>
        <w:rPr>
          <w:lang w:val="ru-RU"/>
        </w:rPr>
      </w:pPr>
      <w:r>
        <w:rPr>
          <w:rStyle w:val="FootnoteReference"/>
        </w:rPr>
        <w:footnoteRef/>
      </w:r>
      <w:r w:rsidRPr="004B77F6">
        <w:rPr>
          <w:lang w:val="ru-RU"/>
        </w:rPr>
        <w:t xml:space="preserve"> Его точный бюджет неизвестен, но, по некоторым данным, он составляет порядка 100</w:t>
      </w:r>
      <w:r>
        <w:t> </w:t>
      </w:r>
      <w:r w:rsidRPr="004B77F6">
        <w:rPr>
          <w:lang w:val="ru-RU"/>
        </w:rPr>
        <w:t>миллионов долларов США.</w:t>
      </w:r>
    </w:p>
  </w:footnote>
  <w:footnote w:id="168">
    <w:p w14:paraId="7AA72D90" w14:textId="078B194D" w:rsidR="00DF434F" w:rsidRPr="004B77F6" w:rsidRDefault="00DF434F" w:rsidP="00DF434F">
      <w:pPr>
        <w:pStyle w:val="FootnoteText"/>
        <w:keepLines/>
        <w:rPr>
          <w:lang w:val="ru-RU"/>
        </w:rPr>
      </w:pPr>
      <w:r>
        <w:rPr>
          <w:rStyle w:val="FootnoteReference"/>
        </w:rPr>
        <w:footnoteRef/>
      </w:r>
      <w:r w:rsidRPr="004B77F6">
        <w:rPr>
          <w:lang w:val="ru-RU"/>
        </w:rPr>
        <w:t xml:space="preserve"> Академия ВОЗ, </w:t>
      </w:r>
      <w:r>
        <w:t>https</w:t>
      </w:r>
      <w:r w:rsidRPr="004B77F6">
        <w:rPr>
          <w:lang w:val="ru-RU"/>
        </w:rPr>
        <w:t>://</w:t>
      </w:r>
      <w:r>
        <w:t>www</w:t>
      </w:r>
      <w:r w:rsidRPr="004B77F6">
        <w:rPr>
          <w:lang w:val="ru-RU"/>
        </w:rPr>
        <w:t>.</w:t>
      </w:r>
      <w:r>
        <w:t>who</w:t>
      </w:r>
      <w:r w:rsidRPr="004B77F6">
        <w:rPr>
          <w:lang w:val="ru-RU"/>
        </w:rPr>
        <w:t>.</w:t>
      </w:r>
      <w:r>
        <w:t>int</w:t>
      </w:r>
      <w:r w:rsidRPr="004B77F6">
        <w:rPr>
          <w:lang w:val="ru-RU"/>
        </w:rPr>
        <w:t>/</w:t>
      </w:r>
      <w:r>
        <w:t>docs</w:t>
      </w:r>
      <w:r w:rsidRPr="004B77F6">
        <w:rPr>
          <w:lang w:val="ru-RU"/>
        </w:rPr>
        <w:t>/</w:t>
      </w:r>
      <w:r>
        <w:t>default</w:t>
      </w:r>
      <w:r w:rsidRPr="004B77F6">
        <w:rPr>
          <w:lang w:val="ru-RU"/>
        </w:rPr>
        <w:t>-</w:t>
      </w:r>
      <w:r>
        <w:t>source</w:t>
      </w:r>
      <w:r w:rsidRPr="004B77F6">
        <w:rPr>
          <w:lang w:val="ru-RU"/>
        </w:rPr>
        <w:t>/</w:t>
      </w:r>
      <w:r>
        <w:t>documents</w:t>
      </w:r>
      <w:r w:rsidRPr="004B77F6">
        <w:rPr>
          <w:lang w:val="ru-RU"/>
        </w:rPr>
        <w:t>/</w:t>
      </w:r>
      <w:r>
        <w:t>who</w:t>
      </w:r>
      <w:r w:rsidRPr="004B77F6">
        <w:rPr>
          <w:lang w:val="ru-RU"/>
        </w:rPr>
        <w:t>-</w:t>
      </w:r>
      <w:r>
        <w:t>academy</w:t>
      </w:r>
      <w:r w:rsidRPr="004B77F6">
        <w:rPr>
          <w:lang w:val="ru-RU"/>
        </w:rPr>
        <w:t>-</w:t>
      </w:r>
      <w:r>
        <w:t>brochure</w:t>
      </w:r>
      <w:r w:rsidRPr="004B77F6">
        <w:rPr>
          <w:lang w:val="ru-RU"/>
        </w:rPr>
        <w:t>-</w:t>
      </w:r>
      <w:r>
        <w:t>r</w:t>
      </w:r>
      <w:r w:rsidRPr="004B77F6">
        <w:rPr>
          <w:lang w:val="ru-RU"/>
        </w:rPr>
        <w:t>6-</w:t>
      </w:r>
      <w:r>
        <w:t>en</w:t>
      </w:r>
      <w:r w:rsidRPr="004B77F6">
        <w:rPr>
          <w:lang w:val="ru-RU"/>
        </w:rPr>
        <w:t>.</w:t>
      </w:r>
      <w:r>
        <w:t>pdf</w:t>
      </w:r>
      <w:r w:rsidRPr="004B77F6">
        <w:rPr>
          <w:lang w:val="ru-RU"/>
        </w:rPr>
        <w:t>?</w:t>
      </w:r>
      <w:r>
        <w:t>sfvrsn</w:t>
      </w:r>
      <w:r w:rsidRPr="004B77F6">
        <w:rPr>
          <w:lang w:val="ru-RU"/>
        </w:rPr>
        <w:t>=73257</w:t>
      </w:r>
      <w:r>
        <w:t>a</w:t>
      </w:r>
      <w:r w:rsidRPr="004B77F6">
        <w:rPr>
          <w:lang w:val="ru-RU"/>
        </w:rPr>
        <w:t>0</w:t>
      </w:r>
      <w:r>
        <w:t>c</w:t>
      </w:r>
      <w:r w:rsidRPr="004B77F6">
        <w:rPr>
          <w:lang w:val="ru-RU"/>
        </w:rPr>
        <w:t>_2.</w:t>
      </w:r>
      <w:r w:rsidR="00A579EF">
        <w:rPr>
          <w:lang w:val="ru-RU"/>
        </w:rPr>
        <w:t xml:space="preserve"> </w:t>
      </w:r>
      <w:r w:rsidRPr="004B77F6">
        <w:rPr>
          <w:lang w:val="ru-RU"/>
        </w:rPr>
        <w:t>В основе модели Академии ВОЗ лежат следующие шесть пунктов: 1. Единая платформа для обучения, доступная во всем мире и позволяющая проводить обучение в офлайн режиме; 2. Многоязычное целевое и специализированное обучение для отдельных лиц и команд, адаптированное к потребностям пользователей; 3. Возможность оценки эффективности на основе результатов и анализа учебного процесса, адаптация курсов для их дальнейшего улучшения; 4. Аккредитованные курсы, качество которых подтверждается соответствующими сертификатами; 5. Курсы, созданные совместно с пользователями с учетом специфических потребностей; 6. Обучение под заказ</w:t>
      </w:r>
      <w:r>
        <w:t> </w:t>
      </w:r>
      <w:r w:rsidRPr="004B77F6">
        <w:rPr>
          <w:lang w:val="ru-RU"/>
        </w:rPr>
        <w:t>— ВОЗ обеспечивает доступ для миллионов пользователей во всем мире</w:t>
      </w:r>
      <w:r w:rsidR="00D3718E">
        <w:rPr>
          <w:lang w:val="ru-RU"/>
        </w:rPr>
        <w:t>.</w:t>
      </w:r>
    </w:p>
  </w:footnote>
  <w:footnote w:id="169">
    <w:p w14:paraId="147DFCA3" w14:textId="67334380" w:rsidR="004B77F6" w:rsidRPr="004B77F6" w:rsidRDefault="004B77F6" w:rsidP="004B1BB0">
      <w:pPr>
        <w:pStyle w:val="FootnoteText"/>
        <w:rPr>
          <w:lang w:val="ru-RU"/>
        </w:rPr>
      </w:pPr>
      <w:r>
        <w:rPr>
          <w:rStyle w:val="FootnoteReference"/>
        </w:rPr>
        <w:footnoteRef/>
      </w:r>
      <w:r w:rsidRPr="004B77F6">
        <w:rPr>
          <w:lang w:val="ru-RU"/>
        </w:rPr>
        <w:t xml:space="preserve"> Особенно с ПРООН</w:t>
      </w:r>
      <w:r w:rsidR="00D3718E">
        <w:rPr>
          <w:lang w:val="ru-RU"/>
        </w:rPr>
        <w:t>.</w:t>
      </w:r>
    </w:p>
  </w:footnote>
  <w:footnote w:id="170">
    <w:p w14:paraId="0813E121" w14:textId="43EDA44D" w:rsidR="00DF434F" w:rsidRPr="00D3718E" w:rsidRDefault="00DF434F" w:rsidP="00DF434F">
      <w:pPr>
        <w:pStyle w:val="FootnoteText"/>
        <w:rPr>
          <w:lang w:val="ru-RU"/>
        </w:rPr>
      </w:pPr>
      <w:r>
        <w:rPr>
          <w:rStyle w:val="FootnoteReference"/>
        </w:rPr>
        <w:footnoteRef/>
      </w:r>
      <w:r w:rsidRPr="004B77F6">
        <w:rPr>
          <w:lang w:val="ru-RU"/>
        </w:rPr>
        <w:t xml:space="preserve"> В этих целях будет осуществляться тесное сотрудничество с инициативой МСЭ </w:t>
      </w:r>
      <w:r>
        <w:t>I</w:t>
      </w:r>
      <w:r w:rsidRPr="004B77F6">
        <w:rPr>
          <w:lang w:val="ru-RU"/>
        </w:rPr>
        <w:t>-</w:t>
      </w:r>
      <w:r>
        <w:t>CoDI</w:t>
      </w:r>
      <w:r w:rsidR="00D3718E">
        <w:rPr>
          <w:lang w:val="ru-RU"/>
        </w:rPr>
        <w:t>.</w:t>
      </w:r>
    </w:p>
  </w:footnote>
  <w:footnote w:id="171">
    <w:p w14:paraId="07E633D8" w14:textId="15C86594" w:rsidR="00DF434F" w:rsidRPr="004B77F6" w:rsidRDefault="00DF434F" w:rsidP="00DF434F">
      <w:pPr>
        <w:pStyle w:val="FootnoteText"/>
        <w:rPr>
          <w:lang w:val="ru-RU"/>
        </w:rPr>
      </w:pPr>
      <w:r>
        <w:rPr>
          <w:rStyle w:val="FootnoteReference"/>
        </w:rPr>
        <w:footnoteRef/>
      </w:r>
      <w:r w:rsidRPr="004B77F6">
        <w:rPr>
          <w:lang w:val="ru-RU"/>
        </w:rPr>
        <w:t xml:space="preserve"> Одна из возможных схем укомплектования персоналом, включающая в себя следующие основные команды: Директорат (Директор </w:t>
      </w:r>
      <w:r>
        <w:t>D</w:t>
      </w:r>
      <w:r w:rsidRPr="004B77F6">
        <w:rPr>
          <w:lang w:val="ru-RU"/>
        </w:rPr>
        <w:t xml:space="preserve">2, Старший помощник </w:t>
      </w:r>
      <w:r>
        <w:t>G</w:t>
      </w:r>
      <w:r w:rsidRPr="004B77F6">
        <w:rPr>
          <w:lang w:val="ru-RU"/>
        </w:rPr>
        <w:t xml:space="preserve">7); Обеспечение качества (Руководитель ОК </w:t>
      </w:r>
      <w:r>
        <w:t>P</w:t>
      </w:r>
      <w:r w:rsidRPr="004B77F6">
        <w:rPr>
          <w:lang w:val="ru-RU"/>
        </w:rPr>
        <w:t xml:space="preserve">5, ответственный за ОК сотрудник </w:t>
      </w:r>
      <w:r>
        <w:t>P</w:t>
      </w:r>
      <w:r w:rsidRPr="004B77F6">
        <w:rPr>
          <w:lang w:val="ru-RU"/>
        </w:rPr>
        <w:t xml:space="preserve">2); Анализ потребностей и взаимодействие с членами (Руководитель </w:t>
      </w:r>
      <w:r>
        <w:t>P</w:t>
      </w:r>
      <w:r w:rsidRPr="004B77F6">
        <w:rPr>
          <w:lang w:val="ru-RU"/>
        </w:rPr>
        <w:t xml:space="preserve">4, Администратор </w:t>
      </w:r>
      <w:r>
        <w:t>G</w:t>
      </w:r>
      <w:r w:rsidRPr="004B77F6">
        <w:rPr>
          <w:lang w:val="ru-RU"/>
        </w:rPr>
        <w:t xml:space="preserve">6); Разработка и проведение курсов (Руководитель </w:t>
      </w:r>
      <w:r>
        <w:t>P</w:t>
      </w:r>
      <w:r w:rsidRPr="004B77F6">
        <w:rPr>
          <w:lang w:val="ru-RU"/>
        </w:rPr>
        <w:t xml:space="preserve">4, Старший разработчик курсов </w:t>
      </w:r>
      <w:r>
        <w:t>P</w:t>
      </w:r>
      <w:r w:rsidRPr="004B77F6">
        <w:rPr>
          <w:lang w:val="ru-RU"/>
        </w:rPr>
        <w:t xml:space="preserve">3, Разработчик курсов </w:t>
      </w:r>
      <w:r>
        <w:t>P</w:t>
      </w:r>
      <w:r w:rsidRPr="004B77F6">
        <w:rPr>
          <w:lang w:val="ru-RU"/>
        </w:rPr>
        <w:t xml:space="preserve">2 </w:t>
      </w:r>
      <w:r>
        <w:t>x</w:t>
      </w:r>
      <w:r w:rsidRPr="004B77F6">
        <w:rPr>
          <w:lang w:val="ru-RU"/>
        </w:rPr>
        <w:t xml:space="preserve"> 2); Партнерские отношения (Ответственный за партнерские отношения и посредничество </w:t>
      </w:r>
      <w:r>
        <w:t>P</w:t>
      </w:r>
      <w:r w:rsidRPr="004B77F6">
        <w:rPr>
          <w:lang w:val="ru-RU"/>
        </w:rPr>
        <w:t xml:space="preserve">4); Отношения с выпускниками (Ответственный за поддержку выпускников </w:t>
      </w:r>
      <w:r>
        <w:t>P</w:t>
      </w:r>
      <w:r w:rsidRPr="004B77F6">
        <w:rPr>
          <w:lang w:val="ru-RU"/>
        </w:rPr>
        <w:t xml:space="preserve">2); Цифровая поддержка (Старший программист </w:t>
      </w:r>
      <w:r>
        <w:t>P</w:t>
      </w:r>
      <w:r w:rsidRPr="004B77F6">
        <w:rPr>
          <w:lang w:val="ru-RU"/>
        </w:rPr>
        <w:t xml:space="preserve">3, Младший специалист по цифровой поддержке </w:t>
      </w:r>
      <w:r>
        <w:t>P</w:t>
      </w:r>
      <w:r w:rsidRPr="004B77F6">
        <w:rPr>
          <w:lang w:val="ru-RU"/>
        </w:rPr>
        <w:t xml:space="preserve">1); Маркетинг и внешние связи (Ответственный за маркетинг </w:t>
      </w:r>
      <w:r>
        <w:t>P</w:t>
      </w:r>
      <w:r w:rsidRPr="004B77F6">
        <w:rPr>
          <w:lang w:val="ru-RU"/>
        </w:rPr>
        <w:t>3)</w:t>
      </w:r>
      <w:r w:rsidR="00D3718E">
        <w:rPr>
          <w:lang w:val="ru-RU"/>
        </w:rPr>
        <w:t>.</w:t>
      </w:r>
    </w:p>
  </w:footnote>
  <w:footnote w:id="172">
    <w:p w14:paraId="2252DD98" w14:textId="28C31EF4" w:rsidR="00DF434F" w:rsidRPr="004B77F6" w:rsidRDefault="00DF434F" w:rsidP="00DF434F">
      <w:pPr>
        <w:pStyle w:val="FootnoteText"/>
        <w:rPr>
          <w:lang w:val="ru-RU"/>
        </w:rPr>
      </w:pPr>
      <w:r>
        <w:rPr>
          <w:rStyle w:val="FootnoteReference"/>
        </w:rPr>
        <w:footnoteRef/>
      </w:r>
      <w:r w:rsidRPr="004B77F6">
        <w:rPr>
          <w:lang w:val="ru-RU"/>
        </w:rPr>
        <w:t xml:space="preserve"> Это заведомо меньше, чем 14</w:t>
      </w:r>
      <w:r>
        <w:t> </w:t>
      </w:r>
      <w:r w:rsidRPr="004B77F6">
        <w:rPr>
          <w:lang w:val="ru-RU"/>
        </w:rPr>
        <w:t xml:space="preserve">% времени, отмеченного при составлении регионального отчета как выделяемое на деятельность </w:t>
      </w:r>
      <w:r w:rsidR="00367DAA">
        <w:rPr>
          <w:lang w:val="ru-RU"/>
        </w:rPr>
        <w:t>по развитию потенциала и профессиональной подготовке</w:t>
      </w:r>
      <w:r w:rsidRPr="004B77F6">
        <w:rPr>
          <w:lang w:val="ru-RU"/>
        </w:rPr>
        <w:t>.</w:t>
      </w:r>
    </w:p>
  </w:footnote>
  <w:footnote w:id="173">
    <w:p w14:paraId="5004D24E" w14:textId="4F724549" w:rsidR="00DF434F" w:rsidRPr="004B77F6" w:rsidRDefault="00DF434F" w:rsidP="00DF434F">
      <w:pPr>
        <w:pStyle w:val="FootnoteText"/>
        <w:rPr>
          <w:lang w:val="ru-RU"/>
        </w:rPr>
      </w:pPr>
      <w:r>
        <w:rPr>
          <w:rStyle w:val="FootnoteReference"/>
        </w:rPr>
        <w:footnoteRef/>
      </w:r>
      <w:r w:rsidRPr="004B77F6">
        <w:rPr>
          <w:lang w:val="ru-RU"/>
        </w:rPr>
        <w:t xml:space="preserve"> Основывается в значительной степени на сравнительных данных в документе Университетского колледжа Лондона (2018) </w:t>
      </w:r>
      <w:r>
        <w:t>UCL</w:t>
      </w:r>
      <w:r w:rsidRPr="004B77F6">
        <w:rPr>
          <w:lang w:val="ru-RU"/>
        </w:rPr>
        <w:t xml:space="preserve"> </w:t>
      </w:r>
      <w:r>
        <w:t>Space</w:t>
      </w:r>
      <w:r w:rsidRPr="004B77F6">
        <w:rPr>
          <w:lang w:val="ru-RU"/>
        </w:rPr>
        <w:t xml:space="preserve"> </w:t>
      </w:r>
      <w:r>
        <w:t>Standards</w:t>
      </w:r>
      <w:r w:rsidRPr="004B77F6">
        <w:rPr>
          <w:lang w:val="ru-RU"/>
        </w:rPr>
        <w:t xml:space="preserve"> </w:t>
      </w:r>
      <w:r>
        <w:t>Guidelines</w:t>
      </w:r>
      <w:r w:rsidRPr="004B77F6">
        <w:rPr>
          <w:lang w:val="ru-RU"/>
        </w:rPr>
        <w:t xml:space="preserve">, </w:t>
      </w:r>
      <w:r w:rsidR="00D577E1">
        <w:fldChar w:fldCharType="begin"/>
      </w:r>
      <w:r w:rsidR="00D577E1" w:rsidRPr="00D577E1">
        <w:rPr>
          <w:lang w:val="ru-RU"/>
        </w:rPr>
        <w:instrText xml:space="preserve"> </w:instrText>
      </w:r>
      <w:r w:rsidR="00D577E1">
        <w:instrText>HYPERLINK</w:instrText>
      </w:r>
      <w:r w:rsidR="00D577E1" w:rsidRPr="00D577E1">
        <w:rPr>
          <w:lang w:val="ru-RU"/>
        </w:rPr>
        <w:instrText xml:space="preserve"> "</w:instrText>
      </w:r>
      <w:r w:rsidR="00D577E1">
        <w:instrText>https</w:instrText>
      </w:r>
      <w:r w:rsidR="00D577E1" w:rsidRPr="00D577E1">
        <w:rPr>
          <w:lang w:val="ru-RU"/>
        </w:rPr>
        <w:instrText>://</w:instrText>
      </w:r>
      <w:r w:rsidR="00D577E1">
        <w:instrText>www</w:instrText>
      </w:r>
      <w:r w:rsidR="00D577E1" w:rsidRPr="00D577E1">
        <w:rPr>
          <w:lang w:val="ru-RU"/>
        </w:rPr>
        <w:instrText>.</w:instrText>
      </w:r>
      <w:r w:rsidR="00D577E1">
        <w:instrText>ucl</w:instrText>
      </w:r>
      <w:r w:rsidR="00D577E1" w:rsidRPr="00D577E1">
        <w:rPr>
          <w:lang w:val="ru-RU"/>
        </w:rPr>
        <w:instrText>.</w:instrText>
      </w:r>
      <w:r w:rsidR="00D577E1">
        <w:instrText>ac</w:instrText>
      </w:r>
      <w:r w:rsidR="00D577E1" w:rsidRPr="00D577E1">
        <w:rPr>
          <w:lang w:val="ru-RU"/>
        </w:rPr>
        <w:instrText>.</w:instrText>
      </w:r>
      <w:r w:rsidR="00D577E1">
        <w:instrText>uk</w:instrText>
      </w:r>
      <w:r w:rsidR="00D577E1" w:rsidRPr="00D577E1">
        <w:rPr>
          <w:lang w:val="ru-RU"/>
        </w:rPr>
        <w:instrText>/</w:instrText>
      </w:r>
      <w:r w:rsidR="00D577E1">
        <w:instrText>estates</w:instrText>
      </w:r>
      <w:r w:rsidR="00D577E1" w:rsidRPr="00D577E1">
        <w:rPr>
          <w:lang w:val="ru-RU"/>
        </w:rPr>
        <w:instrText>/</w:instrText>
      </w:r>
      <w:r w:rsidR="00D577E1">
        <w:instrText>sites</w:instrText>
      </w:r>
      <w:r w:rsidR="00D577E1" w:rsidRPr="00D577E1">
        <w:rPr>
          <w:lang w:val="ru-RU"/>
        </w:rPr>
        <w:instrText>/</w:instrText>
      </w:r>
      <w:r w:rsidR="00D577E1">
        <w:instrText>estates</w:instrText>
      </w:r>
      <w:r w:rsidR="00D577E1" w:rsidRPr="00D577E1">
        <w:rPr>
          <w:lang w:val="ru-RU"/>
        </w:rPr>
        <w:instrText>/</w:instrText>
      </w:r>
      <w:r w:rsidR="00D577E1">
        <w:instrText>files</w:instrText>
      </w:r>
      <w:r w:rsidR="00D577E1" w:rsidRPr="00D577E1">
        <w:rPr>
          <w:lang w:val="ru-RU"/>
        </w:rPr>
        <w:instrText>/</w:instrText>
      </w:r>
      <w:r w:rsidR="00D577E1">
        <w:instrText>ucl</w:instrText>
      </w:r>
      <w:r w:rsidR="00D577E1" w:rsidRPr="00D577E1">
        <w:rPr>
          <w:lang w:val="ru-RU"/>
        </w:rPr>
        <w:instrText>_</w:instrText>
      </w:r>
      <w:r w:rsidR="00D577E1">
        <w:instrText>space</w:instrText>
      </w:r>
      <w:r w:rsidR="00D577E1" w:rsidRPr="00D577E1">
        <w:rPr>
          <w:lang w:val="ru-RU"/>
        </w:rPr>
        <w:instrText>_</w:instrText>
      </w:r>
      <w:r w:rsidR="00D577E1">
        <w:instrText>standards</w:instrText>
      </w:r>
      <w:r w:rsidR="00D577E1" w:rsidRPr="00D577E1">
        <w:rPr>
          <w:lang w:val="ru-RU"/>
        </w:rPr>
        <w:instrText>_</w:instrText>
      </w:r>
      <w:r w:rsidR="00D577E1">
        <w:instrText>guidlines</w:instrText>
      </w:r>
      <w:r w:rsidR="00D577E1" w:rsidRPr="00D577E1">
        <w:rPr>
          <w:lang w:val="ru-RU"/>
        </w:rPr>
        <w:instrText>_</w:instrText>
      </w:r>
      <w:r w:rsidR="00D577E1">
        <w:instrText>v</w:instrText>
      </w:r>
      <w:r w:rsidR="00D577E1" w:rsidRPr="00D577E1">
        <w:rPr>
          <w:lang w:val="ru-RU"/>
        </w:rPr>
        <w:instrText>2-181002.</w:instrText>
      </w:r>
      <w:r w:rsidR="00D577E1">
        <w:instrText>pdf</w:instrText>
      </w:r>
      <w:r w:rsidR="00D577E1" w:rsidRPr="00D577E1">
        <w:rPr>
          <w:lang w:val="ru-RU"/>
        </w:rPr>
        <w:instrText xml:space="preserve">" </w:instrText>
      </w:r>
      <w:r w:rsidR="00D577E1">
        <w:fldChar w:fldCharType="separate"/>
      </w:r>
      <w:r>
        <w:t>https</w:t>
      </w:r>
      <w:r w:rsidRPr="004B77F6">
        <w:rPr>
          <w:lang w:val="ru-RU"/>
        </w:rPr>
        <w:t>://</w:t>
      </w:r>
      <w:r>
        <w:t>www</w:t>
      </w:r>
      <w:r w:rsidRPr="004B77F6">
        <w:rPr>
          <w:lang w:val="ru-RU"/>
        </w:rPr>
        <w:t>.</w:t>
      </w:r>
      <w:r>
        <w:t>ucl</w:t>
      </w:r>
      <w:r w:rsidRPr="004B77F6">
        <w:rPr>
          <w:lang w:val="ru-RU"/>
        </w:rPr>
        <w:t>.</w:t>
      </w:r>
      <w:r>
        <w:t>ac</w:t>
      </w:r>
      <w:r w:rsidRPr="004B77F6">
        <w:rPr>
          <w:lang w:val="ru-RU"/>
        </w:rPr>
        <w:t>.</w:t>
      </w:r>
      <w:r>
        <w:t>uk</w:t>
      </w:r>
      <w:r w:rsidRPr="004B77F6">
        <w:rPr>
          <w:lang w:val="ru-RU"/>
        </w:rPr>
        <w:t>/</w:t>
      </w:r>
      <w:r>
        <w:t>estates</w:t>
      </w:r>
      <w:r w:rsidRPr="004B77F6">
        <w:rPr>
          <w:lang w:val="ru-RU"/>
        </w:rPr>
        <w:t>/</w:t>
      </w:r>
      <w:r>
        <w:t>sites</w:t>
      </w:r>
      <w:r w:rsidRPr="004B77F6">
        <w:rPr>
          <w:lang w:val="ru-RU"/>
        </w:rPr>
        <w:t>/</w:t>
      </w:r>
      <w:r>
        <w:t>estates</w:t>
      </w:r>
      <w:r w:rsidRPr="004B77F6">
        <w:rPr>
          <w:lang w:val="ru-RU"/>
        </w:rPr>
        <w:t>/</w:t>
      </w:r>
      <w:r>
        <w:t>files</w:t>
      </w:r>
      <w:r w:rsidRPr="004B77F6">
        <w:rPr>
          <w:lang w:val="ru-RU"/>
        </w:rPr>
        <w:t>/</w:t>
      </w:r>
      <w:r>
        <w:t>ucl</w:t>
      </w:r>
      <w:r w:rsidRPr="004B77F6">
        <w:rPr>
          <w:lang w:val="ru-RU"/>
        </w:rPr>
        <w:t>_</w:t>
      </w:r>
      <w:r>
        <w:t>space</w:t>
      </w:r>
      <w:r w:rsidRPr="004B77F6">
        <w:rPr>
          <w:lang w:val="ru-RU"/>
        </w:rPr>
        <w:t>_</w:t>
      </w:r>
      <w:r>
        <w:t>standards</w:t>
      </w:r>
      <w:r w:rsidRPr="004B77F6">
        <w:rPr>
          <w:lang w:val="ru-RU"/>
        </w:rPr>
        <w:t>_</w:t>
      </w:r>
      <w:r>
        <w:t>guidlines</w:t>
      </w:r>
      <w:r w:rsidRPr="004B77F6">
        <w:rPr>
          <w:lang w:val="ru-RU"/>
        </w:rPr>
        <w:t>_</w:t>
      </w:r>
      <w:r>
        <w:t>v</w:t>
      </w:r>
      <w:r w:rsidRPr="004B77F6">
        <w:rPr>
          <w:lang w:val="ru-RU"/>
        </w:rPr>
        <w:t>2-181002.</w:t>
      </w:r>
      <w:r>
        <w:t>pdf</w:t>
      </w:r>
      <w:r w:rsidR="00D577E1">
        <w:fldChar w:fldCharType="end"/>
      </w:r>
      <w:r w:rsidRPr="004B77F6">
        <w:rPr>
          <w:lang w:val="ru-RU"/>
        </w:rPr>
        <w:t>, где приведены эталонные показатели по различным университетам.</w:t>
      </w:r>
      <w:r w:rsidR="00A579EF">
        <w:rPr>
          <w:lang w:val="ru-RU"/>
        </w:rPr>
        <w:t xml:space="preserve"> </w:t>
      </w:r>
      <w:r w:rsidRPr="004B77F6">
        <w:rPr>
          <w:lang w:val="ru-RU"/>
        </w:rPr>
        <w:t>См.</w:t>
      </w:r>
      <w:r>
        <w:t> </w:t>
      </w:r>
      <w:r w:rsidRPr="004B77F6">
        <w:rPr>
          <w:lang w:val="ru-RU"/>
        </w:rPr>
        <w:t xml:space="preserve">также </w:t>
      </w:r>
      <w:r>
        <w:t>UK</w:t>
      </w:r>
      <w:r w:rsidRPr="004B77F6">
        <w:rPr>
          <w:lang w:val="ru-RU"/>
        </w:rPr>
        <w:t xml:space="preserve"> </w:t>
      </w:r>
      <w:r>
        <w:t>Higher</w:t>
      </w:r>
      <w:r w:rsidRPr="004B77F6">
        <w:rPr>
          <w:lang w:val="ru-RU"/>
        </w:rPr>
        <w:t xml:space="preserve"> </w:t>
      </w:r>
      <w:r>
        <w:t>education</w:t>
      </w:r>
      <w:r w:rsidRPr="004B77F6">
        <w:rPr>
          <w:lang w:val="ru-RU"/>
        </w:rPr>
        <w:t xml:space="preserve"> </w:t>
      </w:r>
      <w:r>
        <w:t>Space</w:t>
      </w:r>
      <w:r w:rsidRPr="004B77F6">
        <w:rPr>
          <w:lang w:val="ru-RU"/>
        </w:rPr>
        <w:t xml:space="preserve"> </w:t>
      </w:r>
      <w:r>
        <w:t>Management</w:t>
      </w:r>
      <w:r w:rsidRPr="004B77F6">
        <w:rPr>
          <w:lang w:val="ru-RU"/>
        </w:rPr>
        <w:t xml:space="preserve"> </w:t>
      </w:r>
      <w:r>
        <w:t>Project</w:t>
      </w:r>
      <w:r w:rsidRPr="004B77F6">
        <w:rPr>
          <w:lang w:val="ru-RU"/>
        </w:rPr>
        <w:t xml:space="preserve"> (2006) </w:t>
      </w:r>
      <w:r>
        <w:t>Review</w:t>
      </w:r>
      <w:r w:rsidRPr="004B77F6">
        <w:rPr>
          <w:lang w:val="ru-RU"/>
        </w:rPr>
        <w:t xml:space="preserve"> </w:t>
      </w:r>
      <w:r>
        <w:t>of</w:t>
      </w:r>
      <w:r w:rsidRPr="004B77F6">
        <w:rPr>
          <w:lang w:val="ru-RU"/>
        </w:rPr>
        <w:t xml:space="preserve"> </w:t>
      </w:r>
      <w:r>
        <w:t>space</w:t>
      </w:r>
      <w:r w:rsidRPr="004B77F6">
        <w:rPr>
          <w:lang w:val="ru-RU"/>
        </w:rPr>
        <w:t xml:space="preserve"> </w:t>
      </w:r>
      <w:r>
        <w:t>norms</w:t>
      </w:r>
      <w:r w:rsidRPr="004B77F6">
        <w:rPr>
          <w:lang w:val="ru-RU"/>
        </w:rPr>
        <w:t xml:space="preserve"> (</w:t>
      </w:r>
      <w:r w:rsidR="008B728A">
        <w:rPr>
          <w:lang w:val="ru-RU"/>
        </w:rPr>
        <w:t>"</w:t>
      </w:r>
      <w:r w:rsidRPr="004B77F6">
        <w:rPr>
          <w:lang w:val="ru-RU"/>
        </w:rPr>
        <w:t>Проект по организации пространства в высшем образовании Великобритании (2006) Анализ стандартов площади помещений</w:t>
      </w:r>
      <w:r w:rsidR="008B728A">
        <w:rPr>
          <w:lang w:val="ru-RU"/>
        </w:rPr>
        <w:t>"</w:t>
      </w:r>
      <w:r w:rsidRPr="004B77F6">
        <w:rPr>
          <w:lang w:val="ru-RU"/>
        </w:rPr>
        <w:t xml:space="preserve">), </w:t>
      </w:r>
      <w:hyperlink r:id="rId46" w:history="1">
        <w:r>
          <w:t>http</w:t>
        </w:r>
        <w:r w:rsidRPr="004B77F6">
          <w:rPr>
            <w:lang w:val="ru-RU"/>
          </w:rPr>
          <w:t>://</w:t>
        </w:r>
        <w:r>
          <w:t>www</w:t>
        </w:r>
        <w:r w:rsidRPr="004B77F6">
          <w:rPr>
            <w:lang w:val="ru-RU"/>
          </w:rPr>
          <w:t>.</w:t>
        </w:r>
        <w:r>
          <w:t>smg</w:t>
        </w:r>
        <w:r w:rsidRPr="004B77F6">
          <w:rPr>
            <w:lang w:val="ru-RU"/>
          </w:rPr>
          <w:t>.</w:t>
        </w:r>
        <w:r>
          <w:t>ac</w:t>
        </w:r>
        <w:r w:rsidRPr="004B77F6">
          <w:rPr>
            <w:lang w:val="ru-RU"/>
          </w:rPr>
          <w:t>.</w:t>
        </w:r>
        <w:r>
          <w:t>uk</w:t>
        </w:r>
        <w:r w:rsidRPr="004B77F6">
          <w:rPr>
            <w:lang w:val="ru-RU"/>
          </w:rPr>
          <w:t>/</w:t>
        </w:r>
        <w:r>
          <w:t>documents</w:t>
        </w:r>
        <w:r w:rsidRPr="004B77F6">
          <w:rPr>
            <w:lang w:val="ru-RU"/>
          </w:rPr>
          <w:t>/</w:t>
        </w:r>
        <w:r>
          <w:t>spacenorms</w:t>
        </w:r>
        <w:r w:rsidRPr="004B77F6">
          <w:rPr>
            <w:lang w:val="ru-RU"/>
          </w:rPr>
          <w:t>.</w:t>
        </w:r>
        <w:r>
          <w:t>pdf</w:t>
        </w:r>
      </w:hyperlink>
      <w:r w:rsidRPr="004B77F6">
        <w:rPr>
          <w:lang w:val="ru-RU"/>
        </w:rPr>
        <w:t>.</w:t>
      </w:r>
    </w:p>
  </w:footnote>
  <w:footnote w:id="174">
    <w:p w14:paraId="361C75EE" w14:textId="7DFEDF3E" w:rsidR="004B77F6" w:rsidRPr="004B77F6" w:rsidRDefault="004B77F6" w:rsidP="004B1BB0">
      <w:pPr>
        <w:pStyle w:val="FootnoteText"/>
        <w:rPr>
          <w:lang w:val="ru-RU"/>
        </w:rPr>
      </w:pPr>
      <w:r>
        <w:rPr>
          <w:rStyle w:val="FootnoteReference"/>
        </w:rPr>
        <w:footnoteRef/>
      </w:r>
      <w:r w:rsidRPr="004B77F6">
        <w:rPr>
          <w:lang w:val="ru-RU"/>
        </w:rPr>
        <w:t xml:space="preserve"> Отдельные кабинеты для старшего персонала (10 </w:t>
      </w:r>
      <w:r>
        <w:t>x</w:t>
      </w:r>
      <w:r w:rsidRPr="004B77F6">
        <w:rPr>
          <w:lang w:val="ru-RU"/>
        </w:rPr>
        <w:t xml:space="preserve"> 15</w:t>
      </w:r>
      <w:r>
        <w:t> </w:t>
      </w:r>
      <w:r w:rsidRPr="004B77F6">
        <w:rPr>
          <w:lang w:val="ru-RU"/>
        </w:rPr>
        <w:t>м</w:t>
      </w:r>
      <w:r w:rsidRPr="004B77F6">
        <w:rPr>
          <w:vertAlign w:val="superscript"/>
          <w:lang w:val="ru-RU"/>
        </w:rPr>
        <w:t>2</w:t>
      </w:r>
      <w:r w:rsidRPr="004B77F6">
        <w:rPr>
          <w:lang w:val="ru-RU"/>
        </w:rPr>
        <w:t xml:space="preserve"> = 150</w:t>
      </w:r>
      <w:r>
        <w:t> </w:t>
      </w:r>
      <w:r w:rsidRPr="004B77F6">
        <w:rPr>
          <w:lang w:val="ru-RU"/>
        </w:rPr>
        <w:t>м</w:t>
      </w:r>
      <w:r w:rsidRPr="004B77F6">
        <w:rPr>
          <w:vertAlign w:val="superscript"/>
          <w:lang w:val="ru-RU"/>
        </w:rPr>
        <w:t>2</w:t>
      </w:r>
      <w:r w:rsidRPr="004B77F6">
        <w:rPr>
          <w:lang w:val="ru-RU"/>
        </w:rPr>
        <w:t xml:space="preserve">), Совместные офисные помещения для 7 подразделений в среднем по 2 человека в каждом (7 </w:t>
      </w:r>
      <w:r>
        <w:t>x</w:t>
      </w:r>
      <w:r w:rsidRPr="004B77F6">
        <w:rPr>
          <w:lang w:val="ru-RU"/>
        </w:rPr>
        <w:t xml:space="preserve"> (2 </w:t>
      </w:r>
      <w:r>
        <w:t>x</w:t>
      </w:r>
      <w:r w:rsidRPr="004B77F6">
        <w:rPr>
          <w:lang w:val="ru-RU"/>
        </w:rPr>
        <w:t xml:space="preserve"> 7</w:t>
      </w:r>
      <w:r>
        <w:t> </w:t>
      </w:r>
      <w:r w:rsidRPr="004B77F6">
        <w:rPr>
          <w:lang w:val="ru-RU"/>
        </w:rPr>
        <w:t>м</w:t>
      </w:r>
      <w:r w:rsidRPr="004B77F6">
        <w:rPr>
          <w:vertAlign w:val="superscript"/>
          <w:lang w:val="ru-RU"/>
        </w:rPr>
        <w:t>2</w:t>
      </w:r>
      <w:r w:rsidRPr="004B77F6">
        <w:rPr>
          <w:lang w:val="ru-RU"/>
        </w:rPr>
        <w:t>) = 98</w:t>
      </w:r>
      <w:r>
        <w:t> </w:t>
      </w:r>
      <w:r w:rsidRPr="004B77F6">
        <w:rPr>
          <w:lang w:val="ru-RU"/>
        </w:rPr>
        <w:t>м</w:t>
      </w:r>
      <w:r w:rsidRPr="004B77F6">
        <w:rPr>
          <w:vertAlign w:val="superscript"/>
          <w:lang w:val="ru-RU"/>
        </w:rPr>
        <w:t>2</w:t>
      </w:r>
      <w:r w:rsidRPr="004B77F6">
        <w:rPr>
          <w:lang w:val="ru-RU"/>
        </w:rPr>
        <w:t>), Совместные офисные помещения для приглашенных преподавателей (5 кабинетов по 2 человека в каждом) (5</w:t>
      </w:r>
      <w:r w:rsidR="008B728A">
        <w:rPr>
          <w:lang w:val="ru-RU"/>
        </w:rPr>
        <w:t> </w:t>
      </w:r>
      <w:r>
        <w:t>x</w:t>
      </w:r>
      <w:r w:rsidR="008B728A">
        <w:rPr>
          <w:lang w:val="ru-RU"/>
        </w:rPr>
        <w:t> </w:t>
      </w:r>
      <w:r w:rsidRPr="004B77F6">
        <w:rPr>
          <w:lang w:val="ru-RU"/>
        </w:rPr>
        <w:t>(2</w:t>
      </w:r>
      <w:r w:rsidR="008B728A">
        <w:rPr>
          <w:lang w:val="ru-RU"/>
        </w:rPr>
        <w:t> </w:t>
      </w:r>
      <w:r>
        <w:t>x</w:t>
      </w:r>
      <w:r w:rsidR="008B728A">
        <w:rPr>
          <w:lang w:val="ru-RU"/>
        </w:rPr>
        <w:t> </w:t>
      </w:r>
      <w:r w:rsidRPr="004B77F6">
        <w:rPr>
          <w:lang w:val="ru-RU"/>
        </w:rPr>
        <w:t>7</w:t>
      </w:r>
      <w:r>
        <w:t> </w:t>
      </w:r>
      <w:r w:rsidRPr="004B77F6">
        <w:rPr>
          <w:lang w:val="ru-RU"/>
        </w:rPr>
        <w:t>м</w:t>
      </w:r>
      <w:r w:rsidRPr="004B77F6">
        <w:rPr>
          <w:vertAlign w:val="superscript"/>
          <w:lang w:val="ru-RU"/>
        </w:rPr>
        <w:t>2</w:t>
      </w:r>
      <w:r w:rsidRPr="004B77F6">
        <w:rPr>
          <w:lang w:val="ru-RU"/>
        </w:rPr>
        <w:t>)</w:t>
      </w:r>
      <w:r w:rsidR="008B728A">
        <w:rPr>
          <w:lang w:val="ru-RU"/>
        </w:rPr>
        <w:t> </w:t>
      </w:r>
      <w:r w:rsidRPr="004B77F6">
        <w:rPr>
          <w:lang w:val="ru-RU"/>
        </w:rPr>
        <w:t>=</w:t>
      </w:r>
      <w:r w:rsidR="008B728A">
        <w:rPr>
          <w:lang w:val="ru-RU"/>
        </w:rPr>
        <w:t> </w:t>
      </w:r>
      <w:r w:rsidRPr="004B77F6">
        <w:rPr>
          <w:lang w:val="ru-RU"/>
        </w:rPr>
        <w:t>70</w:t>
      </w:r>
      <w:r>
        <w:t> </w:t>
      </w:r>
      <w:r w:rsidRPr="004B77F6">
        <w:rPr>
          <w:lang w:val="ru-RU"/>
        </w:rPr>
        <w:t>м</w:t>
      </w:r>
      <w:r w:rsidRPr="004B77F6">
        <w:rPr>
          <w:vertAlign w:val="superscript"/>
          <w:lang w:val="ru-RU"/>
        </w:rPr>
        <w:t>2</w:t>
      </w:r>
      <w:r w:rsidRPr="004B77F6">
        <w:rPr>
          <w:lang w:val="ru-RU"/>
        </w:rPr>
        <w:t>), Три учебных помещения, каждое из которых рассчитано на 25 человек (могут также использоваться в качестве переговорных комнат; одно из них может использоваться как физическая лаборатория) (3</w:t>
      </w:r>
      <w:r w:rsidR="008B728A">
        <w:rPr>
          <w:lang w:val="ru-RU"/>
        </w:rPr>
        <w:t> </w:t>
      </w:r>
      <w:r>
        <w:t>x</w:t>
      </w:r>
      <w:r w:rsidR="008B728A">
        <w:rPr>
          <w:lang w:val="ru-RU"/>
        </w:rPr>
        <w:t> </w:t>
      </w:r>
      <w:r w:rsidRPr="004B77F6">
        <w:rPr>
          <w:lang w:val="ru-RU"/>
        </w:rPr>
        <w:t>(25</w:t>
      </w:r>
      <w:r w:rsidR="008B728A">
        <w:rPr>
          <w:lang w:val="ru-RU"/>
        </w:rPr>
        <w:t> </w:t>
      </w:r>
      <w:r>
        <w:t>x</w:t>
      </w:r>
      <w:r w:rsidR="008B728A">
        <w:rPr>
          <w:lang w:val="ru-RU"/>
        </w:rPr>
        <w:t> </w:t>
      </w:r>
      <w:r w:rsidRPr="004B77F6">
        <w:rPr>
          <w:lang w:val="ru-RU"/>
        </w:rPr>
        <w:t>2</w:t>
      </w:r>
      <w:r>
        <w:t> </w:t>
      </w:r>
      <w:r w:rsidRPr="004B77F6">
        <w:rPr>
          <w:lang w:val="ru-RU"/>
        </w:rPr>
        <w:t>м</w:t>
      </w:r>
      <w:r w:rsidRPr="004B77F6">
        <w:rPr>
          <w:vertAlign w:val="superscript"/>
          <w:lang w:val="ru-RU"/>
        </w:rPr>
        <w:t>2</w:t>
      </w:r>
      <w:r w:rsidRPr="004B77F6">
        <w:rPr>
          <w:lang w:val="ru-RU"/>
        </w:rPr>
        <w:t>) = 150</w:t>
      </w:r>
      <w:r>
        <w:t> </w:t>
      </w:r>
      <w:r w:rsidRPr="004B77F6">
        <w:rPr>
          <w:lang w:val="ru-RU"/>
        </w:rPr>
        <w:t>м</w:t>
      </w:r>
      <w:r w:rsidRPr="004B77F6">
        <w:rPr>
          <w:vertAlign w:val="superscript"/>
          <w:lang w:val="ru-RU"/>
        </w:rPr>
        <w:t>2</w:t>
      </w:r>
      <w:r w:rsidRPr="004B77F6">
        <w:rPr>
          <w:lang w:val="ru-RU"/>
        </w:rPr>
        <w:t>), Большое функциональное помещение для проведения лекций</w:t>
      </w:r>
      <w:r>
        <w:t> </w:t>
      </w:r>
      <w:r w:rsidRPr="004B77F6">
        <w:rPr>
          <w:lang w:val="ru-RU"/>
        </w:rPr>
        <w:t xml:space="preserve">/ зал для публичных мероприятий (может также использоваться для съемок) (150 </w:t>
      </w:r>
      <w:r>
        <w:t>x</w:t>
      </w:r>
      <w:r w:rsidRPr="004B77F6">
        <w:rPr>
          <w:lang w:val="ru-RU"/>
        </w:rPr>
        <w:t xml:space="preserve"> 0,6</w:t>
      </w:r>
      <w:r>
        <w:t> </w:t>
      </w:r>
      <w:r w:rsidRPr="004B77F6">
        <w:rPr>
          <w:lang w:val="ru-RU"/>
        </w:rPr>
        <w:t>м</w:t>
      </w:r>
      <w:r w:rsidRPr="004B77F6">
        <w:rPr>
          <w:vertAlign w:val="superscript"/>
          <w:lang w:val="ru-RU"/>
        </w:rPr>
        <w:t>2</w:t>
      </w:r>
      <w:r w:rsidRPr="004B77F6">
        <w:rPr>
          <w:lang w:val="ru-RU"/>
        </w:rPr>
        <w:t xml:space="preserve"> = 90</w:t>
      </w:r>
      <w:r>
        <w:t> </w:t>
      </w:r>
      <w:r w:rsidRPr="004B77F6">
        <w:rPr>
          <w:lang w:val="ru-RU"/>
        </w:rPr>
        <w:t>м</w:t>
      </w:r>
      <w:r w:rsidRPr="004B77F6">
        <w:rPr>
          <w:vertAlign w:val="superscript"/>
          <w:lang w:val="ru-RU"/>
        </w:rPr>
        <w:t>2</w:t>
      </w:r>
      <w:r w:rsidRPr="004B77F6">
        <w:rPr>
          <w:lang w:val="ru-RU"/>
        </w:rPr>
        <w:t>), Студия звукозаписи (ок.</w:t>
      </w:r>
      <w:r>
        <w:t> </w:t>
      </w:r>
      <w:r w:rsidRPr="004B77F6">
        <w:rPr>
          <w:lang w:val="ru-RU"/>
        </w:rPr>
        <w:t>50</w:t>
      </w:r>
      <w:r>
        <w:t> </w:t>
      </w:r>
      <w:r w:rsidRPr="004B77F6">
        <w:rPr>
          <w:lang w:val="ru-RU"/>
        </w:rPr>
        <w:t>м</w:t>
      </w:r>
      <w:r w:rsidRPr="004B77F6">
        <w:rPr>
          <w:vertAlign w:val="superscript"/>
          <w:lang w:val="ru-RU"/>
        </w:rPr>
        <w:t>2</w:t>
      </w:r>
      <w:r w:rsidRPr="004B77F6">
        <w:rPr>
          <w:lang w:val="ru-RU"/>
        </w:rPr>
        <w:t>).</w:t>
      </w:r>
    </w:p>
  </w:footnote>
  <w:footnote w:id="175">
    <w:p w14:paraId="7CE4EA3F" w14:textId="161A09C6" w:rsidR="004B77F6" w:rsidRPr="004B77F6" w:rsidRDefault="004B77F6" w:rsidP="00A105CB">
      <w:pPr>
        <w:pStyle w:val="FootnoteText"/>
        <w:rPr>
          <w:lang w:val="ru-RU"/>
        </w:rPr>
      </w:pPr>
      <w:r>
        <w:rPr>
          <w:rStyle w:val="FootnoteReference"/>
        </w:rPr>
        <w:footnoteRef/>
      </w:r>
      <w:r w:rsidRPr="004B77F6">
        <w:rPr>
          <w:lang w:val="ru-RU"/>
        </w:rPr>
        <w:t xml:space="preserve"> </w:t>
      </w:r>
      <w:r w:rsidR="00D577E1">
        <w:fldChar w:fldCharType="begin"/>
      </w:r>
      <w:r w:rsidR="00D577E1" w:rsidRPr="00D577E1">
        <w:rPr>
          <w:lang w:val="ru-RU"/>
        </w:rPr>
        <w:instrText xml:space="preserve"> </w:instrText>
      </w:r>
      <w:r w:rsidR="00D577E1">
        <w:instrText>HYPERLINK</w:instrText>
      </w:r>
      <w:r w:rsidR="00D577E1" w:rsidRPr="00D577E1">
        <w:rPr>
          <w:lang w:val="ru-RU"/>
        </w:rPr>
        <w:instrText xml:space="preserve"> "</w:instrText>
      </w:r>
      <w:r w:rsidR="00D577E1">
        <w:instrText>https</w:instrText>
      </w:r>
      <w:r w:rsidR="00D577E1" w:rsidRPr="00D577E1">
        <w:rPr>
          <w:lang w:val="ru-RU"/>
        </w:rPr>
        <w:instrText>://</w:instrText>
      </w:r>
      <w:r w:rsidR="00D577E1">
        <w:instrText>creativecommons</w:instrText>
      </w:r>
      <w:r w:rsidR="00D577E1" w:rsidRPr="00D577E1">
        <w:rPr>
          <w:lang w:val="ru-RU"/>
        </w:rPr>
        <w:instrText>.</w:instrText>
      </w:r>
      <w:r w:rsidR="00D577E1">
        <w:instrText>org</w:instrText>
      </w:r>
      <w:r w:rsidR="00D577E1" w:rsidRPr="00D577E1">
        <w:rPr>
          <w:lang w:val="ru-RU"/>
        </w:rPr>
        <w:instrText>/</w:instrText>
      </w:r>
      <w:r w:rsidR="00D577E1">
        <w:instrText>licenses</w:instrText>
      </w:r>
      <w:r w:rsidR="00D577E1" w:rsidRPr="00D577E1">
        <w:rPr>
          <w:lang w:val="ru-RU"/>
        </w:rPr>
        <w:instrText>/</w:instrText>
      </w:r>
      <w:r w:rsidR="00D577E1">
        <w:instrText>by</w:instrText>
      </w:r>
      <w:r w:rsidR="00D577E1" w:rsidRPr="00D577E1">
        <w:rPr>
          <w:lang w:val="ru-RU"/>
        </w:rPr>
        <w:instrText>-</w:instrText>
      </w:r>
      <w:r w:rsidR="00D577E1">
        <w:instrText>sa</w:instrText>
      </w:r>
      <w:r w:rsidR="00D577E1" w:rsidRPr="00D577E1">
        <w:rPr>
          <w:lang w:val="ru-RU"/>
        </w:rPr>
        <w:instrText xml:space="preserve">/2.0/" </w:instrText>
      </w:r>
      <w:r w:rsidR="00D577E1">
        <w:fldChar w:fldCharType="separate"/>
      </w:r>
      <w:r>
        <w:rPr>
          <w:rStyle w:val="Hyperlink"/>
        </w:rPr>
        <w:t>https</w:t>
      </w:r>
      <w:r w:rsidRPr="004B77F6">
        <w:rPr>
          <w:rStyle w:val="Hyperlink"/>
          <w:lang w:val="ru-RU"/>
        </w:rPr>
        <w:t>://</w:t>
      </w:r>
      <w:r>
        <w:rPr>
          <w:rStyle w:val="Hyperlink"/>
        </w:rPr>
        <w:t>creativecommons</w:t>
      </w:r>
      <w:r w:rsidRPr="004B77F6">
        <w:rPr>
          <w:rStyle w:val="Hyperlink"/>
          <w:lang w:val="ru-RU"/>
        </w:rPr>
        <w:t>.</w:t>
      </w:r>
      <w:r>
        <w:rPr>
          <w:rStyle w:val="Hyperlink"/>
        </w:rPr>
        <w:t>org</w:t>
      </w:r>
      <w:r w:rsidRPr="004B77F6">
        <w:rPr>
          <w:rStyle w:val="Hyperlink"/>
          <w:lang w:val="ru-RU"/>
        </w:rPr>
        <w:t>/</w:t>
      </w:r>
      <w:r>
        <w:rPr>
          <w:rStyle w:val="Hyperlink"/>
        </w:rPr>
        <w:t>licenses</w:t>
      </w:r>
      <w:r w:rsidRPr="004B77F6">
        <w:rPr>
          <w:rStyle w:val="Hyperlink"/>
          <w:lang w:val="ru-RU"/>
        </w:rPr>
        <w:t>/</w:t>
      </w:r>
      <w:r>
        <w:rPr>
          <w:rStyle w:val="Hyperlink"/>
        </w:rPr>
        <w:t>by</w:t>
      </w:r>
      <w:r w:rsidRPr="004B77F6">
        <w:rPr>
          <w:rStyle w:val="Hyperlink"/>
          <w:lang w:val="ru-RU"/>
        </w:rPr>
        <w:t>-</w:t>
      </w:r>
      <w:r>
        <w:rPr>
          <w:rStyle w:val="Hyperlink"/>
        </w:rPr>
        <w:t>sa</w:t>
      </w:r>
      <w:r w:rsidRPr="004B77F6">
        <w:rPr>
          <w:rStyle w:val="Hyperlink"/>
          <w:lang w:val="ru-RU"/>
        </w:rPr>
        <w:t>/2.0/</w:t>
      </w:r>
      <w:r w:rsidR="00D577E1">
        <w:rPr>
          <w:rStyle w:val="Hyperlink"/>
          <w:lang w:val="ru-RU"/>
        </w:rPr>
        <w:fldChar w:fldCharType="end"/>
      </w:r>
      <w:r w:rsidRPr="004B77F6">
        <w:rPr>
          <w:lang w:val="ru-RU"/>
        </w:rPr>
        <w:t>.</w:t>
      </w:r>
    </w:p>
  </w:footnote>
  <w:footnote w:id="176">
    <w:p w14:paraId="5546F60A" w14:textId="3590D66D" w:rsidR="008B728A" w:rsidRPr="00A105CB" w:rsidRDefault="008B728A" w:rsidP="008B728A">
      <w:pPr>
        <w:pStyle w:val="FootnoteText"/>
        <w:rPr>
          <w:lang w:val="en-US"/>
        </w:rPr>
      </w:pPr>
      <w:r>
        <w:rPr>
          <w:rStyle w:val="FootnoteReference"/>
        </w:rPr>
        <w:footnoteRef/>
      </w:r>
      <w:r w:rsidRPr="004B77F6">
        <w:rPr>
          <w:lang w:val="ru-RU"/>
        </w:rPr>
        <w:t xml:space="preserve"> Тем не менее стоит отметить, что безальтернативные государственно-частные партнерства, ориентированные на развитие, не оправдывают таких ожиданий и часто оказываются дороже, чем другие модели договорных отношений.</w:t>
      </w:r>
      <w:r w:rsidR="00A579EF">
        <w:rPr>
          <w:lang w:val="ru-RU"/>
        </w:rPr>
        <w:t xml:space="preserve"> </w:t>
      </w:r>
      <w:r w:rsidRPr="004B77F6">
        <w:rPr>
          <w:lang w:val="ru-RU"/>
        </w:rPr>
        <w:t>Кроме того, такие партнерские отношения не всегда способствуют повышению качества, а случающиеся при их развитии неудачи могут стать фактором повышенного риска.</w:t>
      </w:r>
      <w:r w:rsidR="00A579EF">
        <w:rPr>
          <w:lang w:val="ru-RU"/>
        </w:rPr>
        <w:t xml:space="preserve"> </w:t>
      </w:r>
      <w:r w:rsidRPr="004B77F6">
        <w:rPr>
          <w:lang w:val="ru-RU"/>
        </w:rPr>
        <w:t>Для ознакомления с концепциями моделей партнерства, см.</w:t>
      </w:r>
      <w:r>
        <w:t> </w:t>
      </w:r>
      <w:r w:rsidRPr="004B77F6">
        <w:rPr>
          <w:lang w:val="ru-RU"/>
        </w:rPr>
        <w:t xml:space="preserve">такие материалы, как: </w:t>
      </w:r>
      <w:r>
        <w:t>Tennyson</w:t>
      </w:r>
      <w:r w:rsidRPr="004B77F6">
        <w:rPr>
          <w:lang w:val="ru-RU"/>
        </w:rPr>
        <w:t xml:space="preserve">, </w:t>
      </w:r>
      <w:r>
        <w:t>R</w:t>
      </w:r>
      <w:r w:rsidRPr="004B77F6">
        <w:rPr>
          <w:lang w:val="ru-RU"/>
        </w:rPr>
        <w:t xml:space="preserve">. (2011) </w:t>
      </w:r>
      <w:r>
        <w:t>The</w:t>
      </w:r>
      <w:r w:rsidRPr="004B77F6">
        <w:rPr>
          <w:lang w:val="ru-RU"/>
        </w:rPr>
        <w:t xml:space="preserve"> </w:t>
      </w:r>
      <w:r>
        <w:t>Partnering</w:t>
      </w:r>
      <w:r w:rsidRPr="004B77F6">
        <w:rPr>
          <w:lang w:val="ru-RU"/>
        </w:rPr>
        <w:t xml:space="preserve"> </w:t>
      </w:r>
      <w:r>
        <w:t>Toolbook</w:t>
      </w:r>
      <w:r w:rsidRPr="004B77F6">
        <w:rPr>
          <w:lang w:val="ru-RU"/>
        </w:rPr>
        <w:t>, 4</w:t>
      </w:r>
      <w:r>
        <w:t>th</w:t>
      </w:r>
      <w:r w:rsidRPr="004B77F6">
        <w:rPr>
          <w:lang w:val="ru-RU"/>
        </w:rPr>
        <w:t xml:space="preserve"> </w:t>
      </w:r>
      <w:r>
        <w:t>ed</w:t>
      </w:r>
      <w:r w:rsidRPr="004B77F6">
        <w:rPr>
          <w:lang w:val="ru-RU"/>
        </w:rPr>
        <w:t xml:space="preserve">. </w:t>
      </w:r>
      <w:r w:rsidRPr="00A105CB">
        <w:rPr>
          <w:lang w:val="en-US"/>
        </w:rPr>
        <w:t>Oxford: The Partnering Initiative (IBLF) http://thepartneringinitiative.org/wpcontent/</w:t>
      </w:r>
    </w:p>
  </w:footnote>
  <w:footnote w:id="177">
    <w:p w14:paraId="21D9A478" w14:textId="77777777" w:rsidR="008B728A" w:rsidRPr="00A105CB" w:rsidRDefault="008B728A" w:rsidP="008B728A">
      <w:pPr>
        <w:pStyle w:val="FootnoteText"/>
        <w:rPr>
          <w:lang w:val="en-US"/>
        </w:rPr>
      </w:pPr>
      <w:r>
        <w:rPr>
          <w:rStyle w:val="FootnoteReference"/>
          <w:color w:val="262626" w:themeColor="text1" w:themeTint="D9"/>
        </w:rPr>
        <w:footnoteRef/>
      </w:r>
      <w:r w:rsidRPr="00A105CB">
        <w:rPr>
          <w:color w:val="262626" w:themeColor="text1" w:themeTint="D9"/>
          <w:lang w:val="en-US"/>
        </w:rPr>
        <w:t xml:space="preserve"> </w:t>
      </w:r>
      <w:hyperlink r:id="rId47" w:history="1">
        <w:r w:rsidRPr="00A105CB">
          <w:rPr>
            <w:rStyle w:val="Hyperlink"/>
            <w:color w:val="262626" w:themeColor="text1" w:themeTint="D9"/>
            <w:lang w:val="en-US"/>
          </w:rPr>
          <w:t>https://digitalstrategy.undp.org/strategy.html</w:t>
        </w:r>
      </w:hyperlink>
      <w:r w:rsidRPr="00A105CB">
        <w:rPr>
          <w:color w:val="262626" w:themeColor="text1" w:themeTint="D9"/>
          <w:lang w:val="en-US"/>
        </w:rPr>
        <w:t>.</w:t>
      </w:r>
    </w:p>
  </w:footnote>
  <w:footnote w:id="178">
    <w:p w14:paraId="06A744DB" w14:textId="77777777" w:rsidR="004B77F6" w:rsidRPr="00A105CB" w:rsidRDefault="004B77F6" w:rsidP="00A105CB">
      <w:pPr>
        <w:pStyle w:val="FootnoteText"/>
        <w:rPr>
          <w:lang w:val="en-US"/>
        </w:rPr>
      </w:pPr>
      <w:r>
        <w:rPr>
          <w:rStyle w:val="FootnoteReference"/>
        </w:rPr>
        <w:footnoteRef/>
      </w:r>
      <w:r w:rsidRPr="00A105CB">
        <w:rPr>
          <w:lang w:val="en-US"/>
        </w:rPr>
        <w:t xml:space="preserve"> </w:t>
      </w:r>
      <w:hyperlink r:id="rId48" w:history="1">
        <w:r w:rsidRPr="00A105CB">
          <w:rPr>
            <w:rStyle w:val="Hyperlink"/>
            <w:lang w:val="en-US"/>
          </w:rPr>
          <w:t>https://www.topuniversities.com/qs-world-university-rankings</w:t>
        </w:r>
      </w:hyperlink>
      <w:r w:rsidRPr="00A105CB">
        <w:rPr>
          <w:lang w:val="en-US"/>
        </w:rPr>
        <w:t>.</w:t>
      </w:r>
    </w:p>
  </w:footnote>
  <w:footnote w:id="179">
    <w:p w14:paraId="5A093330" w14:textId="6E6DCA1E" w:rsidR="004B77F6" w:rsidRPr="004B77F6" w:rsidRDefault="004B77F6" w:rsidP="00A105CB">
      <w:pPr>
        <w:pStyle w:val="FootnoteText"/>
        <w:rPr>
          <w:lang w:val="ru-RU"/>
        </w:rPr>
      </w:pPr>
      <w:r>
        <w:rPr>
          <w:rStyle w:val="FootnoteReference"/>
        </w:rPr>
        <w:footnoteRef/>
      </w:r>
      <w:r w:rsidRPr="004B77F6">
        <w:rPr>
          <w:lang w:val="ru-RU"/>
        </w:rPr>
        <w:t xml:space="preserve"> Институт может рассмотреть возможность сотрудничества с одним из 5</w:t>
      </w:r>
      <w:r w:rsidR="00D3718E">
        <w:rPr>
          <w:lang w:val="ru-RU"/>
        </w:rPr>
        <w:t>−</w:t>
      </w:r>
      <w:r w:rsidRPr="004B77F6">
        <w:rPr>
          <w:lang w:val="ru-RU"/>
        </w:rPr>
        <w:t>10 лучших университетов в каждом из своих регионов, если они не входят в число 500 лучших в мире.</w:t>
      </w:r>
      <w:r w:rsidR="00A579EF">
        <w:rPr>
          <w:lang w:val="ru-RU"/>
        </w:rPr>
        <w:t xml:space="preserve"> </w:t>
      </w:r>
      <w:r w:rsidRPr="004B77F6">
        <w:rPr>
          <w:lang w:val="ru-RU"/>
        </w:rPr>
        <w:t>При этом необходимо внимательно отнестись к выбору университетов, с которыми Институт мог бы сотрудничать или поддерживать партнерские отношения.</w:t>
      </w:r>
    </w:p>
  </w:footnote>
  <w:footnote w:id="180">
    <w:p w14:paraId="2DFDAA08" w14:textId="77777777" w:rsidR="004B77F6" w:rsidRPr="004B77F6" w:rsidRDefault="004B77F6" w:rsidP="00A105CB">
      <w:pPr>
        <w:pStyle w:val="FootnoteText"/>
        <w:rPr>
          <w:lang w:val="ru-RU"/>
        </w:rPr>
      </w:pPr>
      <w:r>
        <w:rPr>
          <w:rStyle w:val="FootnoteReference"/>
        </w:rPr>
        <w:footnoteRef/>
      </w:r>
      <w:r w:rsidRPr="004B77F6">
        <w:rPr>
          <w:lang w:val="ru-RU"/>
        </w:rPr>
        <w:t xml:space="preserve"> </w:t>
      </w:r>
      <w:r w:rsidR="00D577E1">
        <w:fldChar w:fldCharType="begin"/>
      </w:r>
      <w:r w:rsidR="00D577E1" w:rsidRPr="00D577E1">
        <w:rPr>
          <w:lang w:val="ru-RU"/>
        </w:rPr>
        <w:instrText xml:space="preserve"> </w:instrText>
      </w:r>
      <w:r w:rsidR="00D577E1">
        <w:instrText>HYPERLINK</w:instrText>
      </w:r>
      <w:r w:rsidR="00D577E1" w:rsidRPr="00D577E1">
        <w:rPr>
          <w:lang w:val="ru-RU"/>
        </w:rPr>
        <w:instrText xml:space="preserve"> "</w:instrText>
      </w:r>
      <w:r w:rsidR="00D577E1">
        <w:instrText>https</w:instrText>
      </w:r>
      <w:r w:rsidR="00D577E1" w:rsidRPr="00D577E1">
        <w:rPr>
          <w:lang w:val="ru-RU"/>
        </w:rPr>
        <w:instrText>://</w:instrText>
      </w:r>
      <w:r w:rsidR="00D577E1">
        <w:instrText>creativecommons</w:instrText>
      </w:r>
      <w:r w:rsidR="00D577E1" w:rsidRPr="00D577E1">
        <w:rPr>
          <w:lang w:val="ru-RU"/>
        </w:rPr>
        <w:instrText>.</w:instrText>
      </w:r>
      <w:r w:rsidR="00D577E1">
        <w:instrText>org</w:instrText>
      </w:r>
      <w:r w:rsidR="00D577E1" w:rsidRPr="00D577E1">
        <w:rPr>
          <w:lang w:val="ru-RU"/>
        </w:rPr>
        <w:instrText>/</w:instrText>
      </w:r>
      <w:r w:rsidR="00D577E1">
        <w:instrText>licenses</w:instrText>
      </w:r>
      <w:r w:rsidR="00D577E1" w:rsidRPr="00D577E1">
        <w:rPr>
          <w:lang w:val="ru-RU"/>
        </w:rPr>
        <w:instrText>/</w:instrText>
      </w:r>
      <w:r w:rsidR="00D577E1">
        <w:instrText>by</w:instrText>
      </w:r>
      <w:r w:rsidR="00D577E1" w:rsidRPr="00D577E1">
        <w:rPr>
          <w:lang w:val="ru-RU"/>
        </w:rPr>
        <w:instrText>-</w:instrText>
      </w:r>
      <w:r w:rsidR="00D577E1">
        <w:instrText>sa</w:instrText>
      </w:r>
      <w:r w:rsidR="00D577E1" w:rsidRPr="00D577E1">
        <w:rPr>
          <w:lang w:val="ru-RU"/>
        </w:rPr>
        <w:instrText>/2.0</w:instrText>
      </w:r>
      <w:r w:rsidR="00D577E1" w:rsidRPr="00D577E1">
        <w:rPr>
          <w:lang w:val="ru-RU"/>
        </w:rPr>
        <w:instrText xml:space="preserve">/" </w:instrText>
      </w:r>
      <w:r w:rsidR="00D577E1">
        <w:fldChar w:fldCharType="separate"/>
      </w:r>
      <w:r>
        <w:rPr>
          <w:rStyle w:val="Hyperlink"/>
        </w:rPr>
        <w:t>https</w:t>
      </w:r>
      <w:r w:rsidRPr="004B77F6">
        <w:rPr>
          <w:rStyle w:val="Hyperlink"/>
          <w:lang w:val="ru-RU"/>
        </w:rPr>
        <w:t>://</w:t>
      </w:r>
      <w:r>
        <w:rPr>
          <w:rStyle w:val="Hyperlink"/>
        </w:rPr>
        <w:t>creativecommons</w:t>
      </w:r>
      <w:r w:rsidRPr="004B77F6">
        <w:rPr>
          <w:rStyle w:val="Hyperlink"/>
          <w:lang w:val="ru-RU"/>
        </w:rPr>
        <w:t>.</w:t>
      </w:r>
      <w:r>
        <w:rPr>
          <w:rStyle w:val="Hyperlink"/>
        </w:rPr>
        <w:t>org</w:t>
      </w:r>
      <w:r w:rsidRPr="004B77F6">
        <w:rPr>
          <w:rStyle w:val="Hyperlink"/>
          <w:lang w:val="ru-RU"/>
        </w:rPr>
        <w:t>/</w:t>
      </w:r>
      <w:r>
        <w:rPr>
          <w:rStyle w:val="Hyperlink"/>
        </w:rPr>
        <w:t>licenses</w:t>
      </w:r>
      <w:r w:rsidRPr="004B77F6">
        <w:rPr>
          <w:rStyle w:val="Hyperlink"/>
          <w:lang w:val="ru-RU"/>
        </w:rPr>
        <w:t>/</w:t>
      </w:r>
      <w:r>
        <w:rPr>
          <w:rStyle w:val="Hyperlink"/>
        </w:rPr>
        <w:t>by</w:t>
      </w:r>
      <w:r w:rsidRPr="004B77F6">
        <w:rPr>
          <w:rStyle w:val="Hyperlink"/>
          <w:lang w:val="ru-RU"/>
        </w:rPr>
        <w:t>-</w:t>
      </w:r>
      <w:r>
        <w:rPr>
          <w:rStyle w:val="Hyperlink"/>
        </w:rPr>
        <w:t>sa</w:t>
      </w:r>
      <w:r w:rsidRPr="004B77F6">
        <w:rPr>
          <w:rStyle w:val="Hyperlink"/>
          <w:lang w:val="ru-RU"/>
        </w:rPr>
        <w:t>/2.0/</w:t>
      </w:r>
      <w:r w:rsidR="00D577E1">
        <w:rPr>
          <w:rStyle w:val="Hyperlink"/>
          <w:lang w:val="ru-RU"/>
        </w:rPr>
        <w:fldChar w:fldCharType="end"/>
      </w:r>
      <w:r w:rsidRPr="004B77F6">
        <w:rPr>
          <w:lang w:val="ru-RU"/>
        </w:rPr>
        <w:t>.</w:t>
      </w:r>
    </w:p>
  </w:footnote>
  <w:footnote w:id="181">
    <w:p w14:paraId="7770B677" w14:textId="58D11A5B" w:rsidR="004B77F6" w:rsidRPr="00D3718E" w:rsidRDefault="004B77F6" w:rsidP="00A105CB">
      <w:pPr>
        <w:pStyle w:val="FootnoteText"/>
        <w:rPr>
          <w:lang w:val="ru-RU"/>
        </w:rPr>
      </w:pPr>
      <w:r>
        <w:rPr>
          <w:rStyle w:val="FootnoteReference"/>
        </w:rPr>
        <w:footnoteRef/>
      </w:r>
      <w:r w:rsidR="00D3718E">
        <w:rPr>
          <w:lang w:val="ru-RU"/>
        </w:rPr>
        <w:t xml:space="preserve"> </w:t>
      </w:r>
      <w:r w:rsidR="00D577E1">
        <w:fldChar w:fldCharType="begin"/>
      </w:r>
      <w:r w:rsidR="00D577E1" w:rsidRPr="00D577E1">
        <w:rPr>
          <w:lang w:val="ru-RU"/>
        </w:rPr>
        <w:instrText xml:space="preserve"> </w:instrText>
      </w:r>
      <w:r w:rsidR="00D577E1">
        <w:instrText>HYPERLINK</w:instrText>
      </w:r>
      <w:r w:rsidR="00D577E1" w:rsidRPr="00D577E1">
        <w:rPr>
          <w:lang w:val="ru-RU"/>
        </w:rPr>
        <w:instrText xml:space="preserve"> "</w:instrText>
      </w:r>
      <w:r w:rsidR="00D577E1">
        <w:instrText>https</w:instrText>
      </w:r>
      <w:r w:rsidR="00D577E1" w:rsidRPr="00D577E1">
        <w:rPr>
          <w:lang w:val="ru-RU"/>
        </w:rPr>
        <w:instrText>://</w:instrText>
      </w:r>
      <w:r w:rsidR="00D577E1">
        <w:instrText>academy</w:instrText>
      </w:r>
      <w:r w:rsidR="00D577E1" w:rsidRPr="00D577E1">
        <w:rPr>
          <w:lang w:val="ru-RU"/>
        </w:rPr>
        <w:instrText>.</w:instrText>
      </w:r>
      <w:r w:rsidR="00D577E1">
        <w:instrText>itu</w:instrText>
      </w:r>
      <w:r w:rsidR="00D577E1" w:rsidRPr="00D577E1">
        <w:rPr>
          <w:lang w:val="ru-RU"/>
        </w:rPr>
        <w:instrText>.</w:instrText>
      </w:r>
      <w:r w:rsidR="00D577E1">
        <w:instrText>int</w:instrText>
      </w:r>
      <w:r w:rsidR="00D577E1" w:rsidRPr="00D577E1">
        <w:rPr>
          <w:lang w:val="ru-RU"/>
        </w:rPr>
        <w:instrText>/</w:instrText>
      </w:r>
      <w:r w:rsidR="00D577E1">
        <w:instrText>sites</w:instrText>
      </w:r>
      <w:r w:rsidR="00D577E1" w:rsidRPr="00D577E1">
        <w:rPr>
          <w:lang w:val="ru-RU"/>
        </w:rPr>
        <w:instrText>/</w:instrText>
      </w:r>
      <w:r w:rsidR="00D577E1">
        <w:instrText>default</w:instrText>
      </w:r>
      <w:r w:rsidR="00D577E1" w:rsidRPr="00D577E1">
        <w:rPr>
          <w:lang w:val="ru-RU"/>
        </w:rPr>
        <w:instrText>/</w:instrText>
      </w:r>
      <w:r w:rsidR="00D577E1">
        <w:instrText>files</w:instrText>
      </w:r>
      <w:r w:rsidR="00D577E1" w:rsidRPr="00D577E1">
        <w:rPr>
          <w:lang w:val="ru-RU"/>
        </w:rPr>
        <w:instrText>/</w:instrText>
      </w:r>
      <w:r w:rsidR="00D577E1">
        <w:instrText>media</w:instrText>
      </w:r>
      <w:r w:rsidR="00D577E1" w:rsidRPr="00D577E1">
        <w:rPr>
          <w:lang w:val="ru-RU"/>
        </w:rPr>
        <w:instrText>2/</w:instrText>
      </w:r>
      <w:r w:rsidR="00D577E1">
        <w:instrText>file</w:instrText>
      </w:r>
      <w:r w:rsidR="00D577E1" w:rsidRPr="00D577E1">
        <w:rPr>
          <w:lang w:val="ru-RU"/>
        </w:rPr>
        <w:instrText>/</w:instrText>
      </w:r>
      <w:r w:rsidR="00D577E1">
        <w:instrText>Digital</w:instrText>
      </w:r>
      <w:r w:rsidR="00D577E1" w:rsidRPr="00D577E1">
        <w:rPr>
          <w:lang w:val="ru-RU"/>
        </w:rPr>
        <w:instrText>%20</w:instrText>
      </w:r>
      <w:r w:rsidR="00D577E1">
        <w:instrText>Broadcasting</w:instrText>
      </w:r>
      <w:r w:rsidR="00D577E1" w:rsidRPr="00D577E1">
        <w:rPr>
          <w:lang w:val="ru-RU"/>
        </w:rPr>
        <w:instrText>%20</w:instrText>
      </w:r>
      <w:r w:rsidR="00D577E1">
        <w:instrText>Masterclass</w:instrText>
      </w:r>
      <w:r w:rsidR="00D577E1" w:rsidRPr="00D577E1">
        <w:rPr>
          <w:lang w:val="ru-RU"/>
        </w:rPr>
        <w:instrText>%20</w:instrText>
      </w:r>
      <w:r w:rsidR="00D577E1">
        <w:instrText>Course</w:instrText>
      </w:r>
      <w:r w:rsidR="00D577E1" w:rsidRPr="00D577E1">
        <w:rPr>
          <w:lang w:val="ru-RU"/>
        </w:rPr>
        <w:instrText xml:space="preserve">" </w:instrText>
      </w:r>
      <w:r w:rsidR="00D577E1">
        <w:fldChar w:fldCharType="separate"/>
      </w:r>
      <w:r w:rsidRPr="00D3718E">
        <w:rPr>
          <w:rStyle w:val="Hyperlink"/>
        </w:rPr>
        <w:t>https</w:t>
      </w:r>
      <w:r w:rsidRPr="00D3718E">
        <w:rPr>
          <w:rStyle w:val="Hyperlink"/>
          <w:lang w:val="ru-RU"/>
        </w:rPr>
        <w:t>://</w:t>
      </w:r>
      <w:r w:rsidRPr="00D3718E">
        <w:rPr>
          <w:rStyle w:val="Hyperlink"/>
        </w:rPr>
        <w:t>academy</w:t>
      </w:r>
      <w:r w:rsidRPr="00D3718E">
        <w:rPr>
          <w:rStyle w:val="Hyperlink"/>
          <w:lang w:val="ru-RU"/>
        </w:rPr>
        <w:t>.</w:t>
      </w:r>
      <w:r w:rsidRPr="00D3718E">
        <w:rPr>
          <w:rStyle w:val="Hyperlink"/>
        </w:rPr>
        <w:t>itu</w:t>
      </w:r>
      <w:r w:rsidRPr="00D3718E">
        <w:rPr>
          <w:rStyle w:val="Hyperlink"/>
          <w:lang w:val="ru-RU"/>
        </w:rPr>
        <w:t>.</w:t>
      </w:r>
      <w:r w:rsidRPr="00D3718E">
        <w:rPr>
          <w:rStyle w:val="Hyperlink"/>
        </w:rPr>
        <w:t>int</w:t>
      </w:r>
      <w:r w:rsidRPr="00D3718E">
        <w:rPr>
          <w:rStyle w:val="Hyperlink"/>
          <w:lang w:val="ru-RU"/>
        </w:rPr>
        <w:t>/</w:t>
      </w:r>
      <w:r w:rsidRPr="00D3718E">
        <w:rPr>
          <w:rStyle w:val="Hyperlink"/>
        </w:rPr>
        <w:t>sites</w:t>
      </w:r>
      <w:r w:rsidRPr="00D3718E">
        <w:rPr>
          <w:rStyle w:val="Hyperlink"/>
          <w:lang w:val="ru-RU"/>
        </w:rPr>
        <w:t>/</w:t>
      </w:r>
      <w:r w:rsidRPr="00D3718E">
        <w:rPr>
          <w:rStyle w:val="Hyperlink"/>
        </w:rPr>
        <w:t>default</w:t>
      </w:r>
      <w:r w:rsidRPr="00D3718E">
        <w:rPr>
          <w:rStyle w:val="Hyperlink"/>
          <w:lang w:val="ru-RU"/>
        </w:rPr>
        <w:t>/</w:t>
      </w:r>
      <w:r w:rsidRPr="00D3718E">
        <w:rPr>
          <w:rStyle w:val="Hyperlink"/>
        </w:rPr>
        <w:t>files</w:t>
      </w:r>
      <w:r w:rsidRPr="00D3718E">
        <w:rPr>
          <w:rStyle w:val="Hyperlink"/>
          <w:lang w:val="ru-RU"/>
        </w:rPr>
        <w:t>/</w:t>
      </w:r>
      <w:r w:rsidRPr="00D3718E">
        <w:rPr>
          <w:rStyle w:val="Hyperlink"/>
        </w:rPr>
        <w:t>media</w:t>
      </w:r>
      <w:r w:rsidRPr="00D3718E">
        <w:rPr>
          <w:rStyle w:val="Hyperlink"/>
          <w:lang w:val="ru-RU"/>
        </w:rPr>
        <w:t>2/</w:t>
      </w:r>
      <w:r w:rsidRPr="00D3718E">
        <w:rPr>
          <w:rStyle w:val="Hyperlink"/>
        </w:rPr>
        <w:t>file</w:t>
      </w:r>
      <w:r w:rsidRPr="00D3718E">
        <w:rPr>
          <w:rStyle w:val="Hyperlink"/>
          <w:lang w:val="ru-RU"/>
        </w:rPr>
        <w:t>/</w:t>
      </w:r>
      <w:r w:rsidRPr="00D3718E">
        <w:rPr>
          <w:rStyle w:val="Hyperlink"/>
        </w:rPr>
        <w:t>Digital</w:t>
      </w:r>
      <w:r w:rsidRPr="00D3718E">
        <w:rPr>
          <w:rStyle w:val="Hyperlink"/>
          <w:lang w:val="ru-RU"/>
        </w:rPr>
        <w:t>%20</w:t>
      </w:r>
      <w:r w:rsidRPr="00D3718E">
        <w:rPr>
          <w:rStyle w:val="Hyperlink"/>
        </w:rPr>
        <w:t>Broadcasting</w:t>
      </w:r>
      <w:r w:rsidRPr="00D3718E">
        <w:rPr>
          <w:rStyle w:val="Hyperlink"/>
          <w:lang w:val="ru-RU"/>
        </w:rPr>
        <w:t>%20</w:t>
      </w:r>
      <w:r w:rsidRPr="00D3718E">
        <w:rPr>
          <w:rStyle w:val="Hyperlink"/>
        </w:rPr>
        <w:t>Masterclass</w:t>
      </w:r>
      <w:r w:rsidRPr="00D3718E">
        <w:rPr>
          <w:rStyle w:val="Hyperlink"/>
          <w:lang w:val="ru-RU"/>
        </w:rPr>
        <w:t>%20</w:t>
      </w:r>
      <w:r w:rsidRPr="00D3718E">
        <w:rPr>
          <w:rStyle w:val="Hyperlink"/>
        </w:rPr>
        <w:t>Course</w:t>
      </w:r>
      <w:r w:rsidR="00D3718E" w:rsidRPr="00D3718E">
        <w:rPr>
          <w:rStyle w:val="Hyperlink"/>
          <w:lang w:val="ru-RU"/>
        </w:rPr>
        <w:br/>
      </w:r>
      <w:r w:rsidRPr="00D3718E">
        <w:rPr>
          <w:rStyle w:val="Hyperlink"/>
          <w:lang w:val="ru-RU"/>
        </w:rPr>
        <w:t>%20</w:t>
      </w:r>
      <w:r w:rsidRPr="00D3718E">
        <w:rPr>
          <w:rStyle w:val="Hyperlink"/>
        </w:rPr>
        <w:t>Outline</w:t>
      </w:r>
      <w:r w:rsidRPr="00D3718E">
        <w:rPr>
          <w:rStyle w:val="Hyperlink"/>
          <w:lang w:val="ru-RU"/>
        </w:rPr>
        <w:t>%2</w:t>
      </w:r>
      <w:r w:rsidRPr="00D3718E">
        <w:rPr>
          <w:rStyle w:val="Hyperlink"/>
        </w:rPr>
        <w:t>C</w:t>
      </w:r>
      <w:r w:rsidRPr="00D3718E">
        <w:rPr>
          <w:rStyle w:val="Hyperlink"/>
          <w:lang w:val="ru-RU"/>
        </w:rPr>
        <w:t>%2030</w:t>
      </w:r>
      <w:r w:rsidRPr="00D3718E">
        <w:rPr>
          <w:rStyle w:val="Hyperlink"/>
        </w:rPr>
        <w:t>th</w:t>
      </w:r>
      <w:r w:rsidRPr="00D3718E">
        <w:rPr>
          <w:rStyle w:val="Hyperlink"/>
          <w:lang w:val="ru-RU"/>
        </w:rPr>
        <w:t>%20</w:t>
      </w:r>
      <w:r w:rsidRPr="00D3718E">
        <w:rPr>
          <w:rStyle w:val="Hyperlink"/>
        </w:rPr>
        <w:t>Nov</w:t>
      </w:r>
      <w:r w:rsidRPr="00D3718E">
        <w:rPr>
          <w:rStyle w:val="Hyperlink"/>
          <w:lang w:val="ru-RU"/>
        </w:rPr>
        <w:t>-24</w:t>
      </w:r>
      <w:r w:rsidRPr="00D3718E">
        <w:rPr>
          <w:rStyle w:val="Hyperlink"/>
        </w:rPr>
        <w:t>th</w:t>
      </w:r>
      <w:r w:rsidRPr="00D3718E">
        <w:rPr>
          <w:rStyle w:val="Hyperlink"/>
          <w:lang w:val="ru-RU"/>
        </w:rPr>
        <w:t>%20</w:t>
      </w:r>
      <w:r w:rsidRPr="00D3718E">
        <w:rPr>
          <w:rStyle w:val="Hyperlink"/>
        </w:rPr>
        <w:t>Dec</w:t>
      </w:r>
      <w:r w:rsidRPr="00D3718E">
        <w:rPr>
          <w:rStyle w:val="Hyperlink"/>
          <w:lang w:val="ru-RU"/>
        </w:rPr>
        <w:t>%202020.</w:t>
      </w:r>
      <w:r w:rsidRPr="00D3718E">
        <w:rPr>
          <w:rStyle w:val="Hyperlink"/>
        </w:rPr>
        <w:t>pdf</w:t>
      </w:r>
      <w:r w:rsidR="00D577E1">
        <w:rPr>
          <w:rStyle w:val="Hyperlink"/>
        </w:rPr>
        <w:fldChar w:fldCharType="end"/>
      </w:r>
      <w:r w:rsidR="00D3718E">
        <w:rPr>
          <w:lang w:val="ru-RU"/>
        </w:rPr>
        <w:t>.</w:t>
      </w:r>
    </w:p>
  </w:footnote>
  <w:footnote w:id="182">
    <w:p w14:paraId="4F6D4114" w14:textId="7F3DEDB4" w:rsidR="008B728A" w:rsidRPr="004B77F6" w:rsidRDefault="008B728A" w:rsidP="008B728A">
      <w:pPr>
        <w:pStyle w:val="FootnoteText"/>
        <w:rPr>
          <w:lang w:val="ru-RU"/>
        </w:rPr>
      </w:pPr>
      <w:r>
        <w:rPr>
          <w:rStyle w:val="FootnoteReference"/>
        </w:rPr>
        <w:footnoteRef/>
      </w:r>
      <w:r w:rsidRPr="004B77F6">
        <w:rPr>
          <w:lang w:val="ru-RU"/>
        </w:rPr>
        <w:t xml:space="preserve"> Институт будет способствовать повышению привлекательности этих ресурсов, установив курирование их функционирования и интегрировав в свой портал сложный самообучающийся механизм поиска, с тем чтобы члены и выпускники, указавшие свои идентификационные данные, могли зайти на портал и в автоматическом режиме получить подробную информацию о последних новых ресурсах либо при входе в систему, либо непосредственно на свой адрес электронной почты. Такая информация может предоставляться в форме автоматических сообщений, например следующего содержания: </w:t>
      </w:r>
      <w:r w:rsidR="006E72AD">
        <w:rPr>
          <w:lang w:val="ru-RU"/>
        </w:rPr>
        <w:t>"</w:t>
      </w:r>
      <w:r w:rsidRPr="004B77F6">
        <w:rPr>
          <w:lang w:val="ru-RU"/>
        </w:rPr>
        <w:t>Исходя из предпочтений, заявленных Вами, как членом МСЭ (или выпускником/выпускниками), а также Вашей предыдущей истории поиска, следующие новые учебные ресурсы по [темам/вопросам, с указанием ссылок] могут представлять для Вас интерес ...]</w:t>
      </w:r>
      <w:r w:rsidR="006E72AD">
        <w:rPr>
          <w:lang w:val="ru-RU"/>
        </w:rPr>
        <w:t>"</w:t>
      </w:r>
      <w:r w:rsidRPr="004B77F6">
        <w:rPr>
          <w:lang w:val="ru-RU"/>
        </w:rPr>
        <w:t>.</w:t>
      </w:r>
    </w:p>
  </w:footnote>
  <w:footnote w:id="183">
    <w:p w14:paraId="506CDF6A" w14:textId="05D5131F" w:rsidR="004B77F6" w:rsidRPr="004B77F6" w:rsidRDefault="004B77F6" w:rsidP="00A105CB">
      <w:pPr>
        <w:pStyle w:val="FootnoteText"/>
        <w:rPr>
          <w:lang w:val="ru-RU"/>
        </w:rPr>
      </w:pPr>
      <w:r>
        <w:rPr>
          <w:rStyle w:val="FootnoteReference"/>
        </w:rPr>
        <w:footnoteRef/>
      </w:r>
      <w:r w:rsidRPr="004B77F6">
        <w:rPr>
          <w:lang w:val="ru-RU"/>
        </w:rPr>
        <w:t xml:space="preserve"> </w:t>
      </w:r>
      <w:r w:rsidR="00D577E1">
        <w:fldChar w:fldCharType="begin"/>
      </w:r>
      <w:r w:rsidR="00D577E1" w:rsidRPr="00D577E1">
        <w:rPr>
          <w:lang w:val="ru-RU"/>
        </w:rPr>
        <w:instrText xml:space="preserve"> </w:instrText>
      </w:r>
      <w:r w:rsidR="00D577E1">
        <w:instrText>HYPERLINK</w:instrText>
      </w:r>
      <w:r w:rsidR="00D577E1" w:rsidRPr="00D577E1">
        <w:rPr>
          <w:lang w:val="ru-RU"/>
        </w:rPr>
        <w:instrText xml:space="preserve"> "</w:instrText>
      </w:r>
      <w:r w:rsidR="00D577E1">
        <w:instrText>https</w:instrText>
      </w:r>
      <w:r w:rsidR="00D577E1" w:rsidRPr="00D577E1">
        <w:rPr>
          <w:lang w:val="ru-RU"/>
        </w:rPr>
        <w:instrText>://</w:instrText>
      </w:r>
      <w:r w:rsidR="00D577E1">
        <w:instrText>www</w:instrText>
      </w:r>
      <w:r w:rsidR="00D577E1" w:rsidRPr="00D577E1">
        <w:rPr>
          <w:lang w:val="ru-RU"/>
        </w:rPr>
        <w:instrText>.</w:instrText>
      </w:r>
      <w:r w:rsidR="00D577E1">
        <w:instrText>itu</w:instrText>
      </w:r>
      <w:r w:rsidR="00D577E1" w:rsidRPr="00D577E1">
        <w:rPr>
          <w:lang w:val="ru-RU"/>
        </w:rPr>
        <w:instrText>.</w:instrText>
      </w:r>
      <w:r w:rsidR="00D577E1">
        <w:instrText>int</w:instrText>
      </w:r>
      <w:r w:rsidR="00D577E1" w:rsidRPr="00D577E1">
        <w:rPr>
          <w:lang w:val="ru-RU"/>
        </w:rPr>
        <w:instrText>/</w:instrText>
      </w:r>
      <w:r w:rsidR="00D577E1">
        <w:instrText>en</w:instrText>
      </w:r>
      <w:r w:rsidR="00D577E1" w:rsidRPr="00D577E1">
        <w:rPr>
          <w:lang w:val="ru-RU"/>
        </w:rPr>
        <w:instrText>/</w:instrText>
      </w:r>
      <w:r w:rsidR="00D577E1">
        <w:instrText>ITU</w:instrText>
      </w:r>
      <w:r w:rsidR="00D577E1" w:rsidRPr="00D577E1">
        <w:rPr>
          <w:lang w:val="ru-RU"/>
        </w:rPr>
        <w:instrText>-</w:instrText>
      </w:r>
      <w:r w:rsidR="00D577E1">
        <w:instrText>D</w:instrText>
      </w:r>
      <w:r w:rsidR="00D577E1" w:rsidRPr="00D577E1">
        <w:rPr>
          <w:lang w:val="ru-RU"/>
        </w:rPr>
        <w:instrText>/</w:instrText>
      </w:r>
      <w:r w:rsidR="00D577E1">
        <w:instrText>Statistics</w:instrText>
      </w:r>
      <w:r w:rsidR="00D577E1" w:rsidRPr="00D577E1">
        <w:rPr>
          <w:lang w:val="ru-RU"/>
        </w:rPr>
        <w:instrText>/</w:instrText>
      </w:r>
      <w:r w:rsidR="00D577E1">
        <w:instrText>Pages</w:instrText>
      </w:r>
      <w:r w:rsidR="00D577E1" w:rsidRPr="00D577E1">
        <w:rPr>
          <w:lang w:val="ru-RU"/>
        </w:rPr>
        <w:instrText>/</w:instrText>
      </w:r>
      <w:r w:rsidR="00D577E1">
        <w:instrText>youth</w:instrText>
      </w:r>
      <w:r w:rsidR="00D577E1" w:rsidRPr="00D577E1">
        <w:rPr>
          <w:lang w:val="ru-RU"/>
        </w:rPr>
        <w:instrText>_</w:instrText>
      </w:r>
      <w:r w:rsidR="00D577E1">
        <w:instrText>home</w:instrText>
      </w:r>
      <w:r w:rsidR="00D577E1" w:rsidRPr="00D577E1">
        <w:rPr>
          <w:lang w:val="ru-RU"/>
        </w:rPr>
        <w:instrText>_</w:instrText>
      </w:r>
      <w:r w:rsidR="00D577E1">
        <w:instrText>internet</w:instrText>
      </w:r>
      <w:r w:rsidR="00D577E1" w:rsidRPr="00D577E1">
        <w:rPr>
          <w:lang w:val="ru-RU"/>
        </w:rPr>
        <w:instrText>_</w:instrText>
      </w:r>
      <w:r w:rsidR="00D577E1">
        <w:instrText>access</w:instrText>
      </w:r>
      <w:r w:rsidR="00D577E1" w:rsidRPr="00D577E1">
        <w:rPr>
          <w:lang w:val="ru-RU"/>
        </w:rPr>
        <w:instrText>.</w:instrText>
      </w:r>
      <w:r w:rsidR="00D577E1">
        <w:instrText>aspx</w:instrText>
      </w:r>
      <w:r w:rsidR="00D577E1" w:rsidRPr="00D577E1">
        <w:rPr>
          <w:lang w:val="ru-RU"/>
        </w:rPr>
        <w:instrText xml:space="preserve">" </w:instrText>
      </w:r>
      <w:r w:rsidR="00D577E1">
        <w:fldChar w:fldCharType="separate"/>
      </w:r>
      <w:r>
        <w:rPr>
          <w:rStyle w:val="Hyperlink"/>
        </w:rPr>
        <w:t>https</w:t>
      </w:r>
      <w:r w:rsidRPr="004B77F6">
        <w:rPr>
          <w:rStyle w:val="Hyperlink"/>
          <w:lang w:val="ru-RU"/>
        </w:rPr>
        <w:t>://</w:t>
      </w:r>
      <w:r>
        <w:rPr>
          <w:rStyle w:val="Hyperlink"/>
        </w:rPr>
        <w:t>www</w:t>
      </w:r>
      <w:r w:rsidRPr="004B77F6">
        <w:rPr>
          <w:rStyle w:val="Hyperlink"/>
          <w:lang w:val="ru-RU"/>
        </w:rPr>
        <w:t>.</w:t>
      </w:r>
      <w:r>
        <w:rPr>
          <w:rStyle w:val="Hyperlink"/>
        </w:rPr>
        <w:t>itu</w:t>
      </w:r>
      <w:r w:rsidRPr="004B77F6">
        <w:rPr>
          <w:rStyle w:val="Hyperlink"/>
          <w:lang w:val="ru-RU"/>
        </w:rPr>
        <w:t>.</w:t>
      </w:r>
      <w:r>
        <w:rPr>
          <w:rStyle w:val="Hyperlink"/>
        </w:rPr>
        <w:t>int</w:t>
      </w:r>
      <w:r w:rsidRPr="004B77F6">
        <w:rPr>
          <w:rStyle w:val="Hyperlink"/>
          <w:lang w:val="ru-RU"/>
        </w:rPr>
        <w:t>/</w:t>
      </w:r>
      <w:r>
        <w:rPr>
          <w:rStyle w:val="Hyperlink"/>
        </w:rPr>
        <w:t>en</w:t>
      </w:r>
      <w:r w:rsidRPr="004B77F6">
        <w:rPr>
          <w:rStyle w:val="Hyperlink"/>
          <w:lang w:val="ru-RU"/>
        </w:rPr>
        <w:t>/</w:t>
      </w:r>
      <w:r>
        <w:rPr>
          <w:rStyle w:val="Hyperlink"/>
        </w:rPr>
        <w:t>ITU</w:t>
      </w:r>
      <w:r w:rsidRPr="004B77F6">
        <w:rPr>
          <w:rStyle w:val="Hyperlink"/>
          <w:lang w:val="ru-RU"/>
        </w:rPr>
        <w:t>-</w:t>
      </w:r>
      <w:r>
        <w:rPr>
          <w:rStyle w:val="Hyperlink"/>
        </w:rPr>
        <w:t>D</w:t>
      </w:r>
      <w:r w:rsidRPr="004B77F6">
        <w:rPr>
          <w:rStyle w:val="Hyperlink"/>
          <w:lang w:val="ru-RU"/>
        </w:rPr>
        <w:t>/</w:t>
      </w:r>
      <w:r>
        <w:rPr>
          <w:rStyle w:val="Hyperlink"/>
        </w:rPr>
        <w:t>Statistics</w:t>
      </w:r>
      <w:r w:rsidRPr="004B77F6">
        <w:rPr>
          <w:rStyle w:val="Hyperlink"/>
          <w:lang w:val="ru-RU"/>
        </w:rPr>
        <w:t>/</w:t>
      </w:r>
      <w:r>
        <w:rPr>
          <w:rStyle w:val="Hyperlink"/>
        </w:rPr>
        <w:t>Pages</w:t>
      </w:r>
      <w:r w:rsidRPr="004B77F6">
        <w:rPr>
          <w:rStyle w:val="Hyperlink"/>
          <w:lang w:val="ru-RU"/>
        </w:rPr>
        <w:t>/</w:t>
      </w:r>
      <w:r>
        <w:rPr>
          <w:rStyle w:val="Hyperlink"/>
        </w:rPr>
        <w:t>youth</w:t>
      </w:r>
      <w:r w:rsidRPr="004B77F6">
        <w:rPr>
          <w:rStyle w:val="Hyperlink"/>
          <w:lang w:val="ru-RU"/>
        </w:rPr>
        <w:t>_</w:t>
      </w:r>
      <w:r>
        <w:rPr>
          <w:rStyle w:val="Hyperlink"/>
        </w:rPr>
        <w:t>home</w:t>
      </w:r>
      <w:r w:rsidRPr="004B77F6">
        <w:rPr>
          <w:rStyle w:val="Hyperlink"/>
          <w:lang w:val="ru-RU"/>
        </w:rPr>
        <w:t>_</w:t>
      </w:r>
      <w:r>
        <w:rPr>
          <w:rStyle w:val="Hyperlink"/>
        </w:rPr>
        <w:t>internet</w:t>
      </w:r>
      <w:r w:rsidRPr="004B77F6">
        <w:rPr>
          <w:rStyle w:val="Hyperlink"/>
          <w:lang w:val="ru-RU"/>
        </w:rPr>
        <w:t>_</w:t>
      </w:r>
      <w:r>
        <w:rPr>
          <w:rStyle w:val="Hyperlink"/>
        </w:rPr>
        <w:t>access</w:t>
      </w:r>
      <w:r w:rsidRPr="004B77F6">
        <w:rPr>
          <w:rStyle w:val="Hyperlink"/>
          <w:lang w:val="ru-RU"/>
        </w:rPr>
        <w:t>.</w:t>
      </w:r>
      <w:r>
        <w:rPr>
          <w:rStyle w:val="Hyperlink"/>
        </w:rPr>
        <w:t>aspx</w:t>
      </w:r>
      <w:r w:rsidR="00D577E1">
        <w:rPr>
          <w:rStyle w:val="Hyperlink"/>
        </w:rPr>
        <w:fldChar w:fldCharType="end"/>
      </w:r>
      <w:r w:rsidRPr="004B77F6">
        <w:rPr>
          <w:lang w:val="ru-RU"/>
        </w:rPr>
        <w:t>.</w:t>
      </w:r>
    </w:p>
  </w:footnote>
  <w:footnote w:id="184">
    <w:p w14:paraId="213B19C1" w14:textId="5A4B4222" w:rsidR="008B728A" w:rsidRPr="004B77F6" w:rsidRDefault="008B728A" w:rsidP="008B728A">
      <w:pPr>
        <w:pStyle w:val="FootnoteText"/>
        <w:rPr>
          <w:lang w:val="ru-RU"/>
        </w:rPr>
      </w:pPr>
      <w:r>
        <w:rPr>
          <w:rStyle w:val="FootnoteReference"/>
        </w:rPr>
        <w:footnoteRef/>
      </w:r>
      <w:r w:rsidRPr="004B77F6">
        <w:rPr>
          <w:lang w:val="ru-RU"/>
        </w:rPr>
        <w:t xml:space="preserve"> </w:t>
      </w:r>
      <w:r w:rsidR="00D577E1">
        <w:fldChar w:fldCharType="begin"/>
      </w:r>
      <w:r w:rsidR="00D577E1" w:rsidRPr="00D577E1">
        <w:rPr>
          <w:lang w:val="ru-RU"/>
        </w:rPr>
        <w:instrText xml:space="preserve"> </w:instrText>
      </w:r>
      <w:r w:rsidR="00D577E1">
        <w:instrText>HYPERLINK</w:instrText>
      </w:r>
      <w:r w:rsidR="00D577E1" w:rsidRPr="00D577E1">
        <w:rPr>
          <w:lang w:val="ru-RU"/>
        </w:rPr>
        <w:instrText xml:space="preserve"> "</w:instrText>
      </w:r>
      <w:r w:rsidR="00D577E1">
        <w:instrText>https</w:instrText>
      </w:r>
      <w:r w:rsidR="00D577E1" w:rsidRPr="00D577E1">
        <w:rPr>
          <w:lang w:val="ru-RU"/>
        </w:rPr>
        <w:instrText>://</w:instrText>
      </w:r>
      <w:r w:rsidR="00D577E1">
        <w:instrText>www</w:instrText>
      </w:r>
      <w:r w:rsidR="00D577E1" w:rsidRPr="00D577E1">
        <w:rPr>
          <w:lang w:val="ru-RU"/>
        </w:rPr>
        <w:instrText>.</w:instrText>
      </w:r>
      <w:r w:rsidR="00D577E1">
        <w:instrText>itu</w:instrText>
      </w:r>
      <w:r w:rsidR="00D577E1" w:rsidRPr="00D577E1">
        <w:rPr>
          <w:lang w:val="ru-RU"/>
        </w:rPr>
        <w:instrText>.</w:instrText>
      </w:r>
      <w:r w:rsidR="00D577E1">
        <w:instrText>int</w:instrText>
      </w:r>
      <w:r w:rsidR="00D577E1" w:rsidRPr="00D577E1">
        <w:rPr>
          <w:lang w:val="ru-RU"/>
        </w:rPr>
        <w:instrText>/</w:instrText>
      </w:r>
      <w:r w:rsidR="00D577E1">
        <w:instrText>en</w:instrText>
      </w:r>
      <w:r w:rsidR="00D577E1" w:rsidRPr="00D577E1">
        <w:rPr>
          <w:lang w:val="ru-RU"/>
        </w:rPr>
        <w:instrText>/</w:instrText>
      </w:r>
      <w:r w:rsidR="00D577E1">
        <w:instrText>publications</w:instrText>
      </w:r>
      <w:r w:rsidR="00D577E1" w:rsidRPr="00D577E1">
        <w:rPr>
          <w:lang w:val="ru-RU"/>
        </w:rPr>
        <w:instrText>/</w:instrText>
      </w:r>
      <w:r w:rsidR="00D577E1">
        <w:instrText>ITU</w:instrText>
      </w:r>
      <w:r w:rsidR="00D577E1" w:rsidRPr="00D577E1">
        <w:rPr>
          <w:lang w:val="ru-RU"/>
        </w:rPr>
        <w:instrText>-</w:instrText>
      </w:r>
      <w:r w:rsidR="00D577E1">
        <w:instrText>D</w:instrText>
      </w:r>
      <w:r w:rsidR="00D577E1" w:rsidRPr="00D577E1">
        <w:rPr>
          <w:lang w:val="ru-RU"/>
        </w:rPr>
        <w:instrText>/</w:instrText>
      </w:r>
      <w:r w:rsidR="00D577E1">
        <w:instrText>Pages</w:instrText>
      </w:r>
      <w:r w:rsidR="00D577E1" w:rsidRPr="00D577E1">
        <w:rPr>
          <w:lang w:val="ru-RU"/>
        </w:rPr>
        <w:instrText>/</w:instrText>
      </w:r>
      <w:r w:rsidR="00D577E1">
        <w:instrText>default</w:instrText>
      </w:r>
      <w:r w:rsidR="00D577E1" w:rsidRPr="00D577E1">
        <w:rPr>
          <w:lang w:val="ru-RU"/>
        </w:rPr>
        <w:instrText>.</w:instrText>
      </w:r>
      <w:r w:rsidR="00D577E1">
        <w:instrText>aspx</w:instrText>
      </w:r>
      <w:r w:rsidR="00D577E1" w:rsidRPr="00D577E1">
        <w:rPr>
          <w:lang w:val="ru-RU"/>
        </w:rPr>
        <w:instrText xml:space="preserve">" </w:instrText>
      </w:r>
      <w:r w:rsidR="00D577E1">
        <w:fldChar w:fldCharType="separate"/>
      </w:r>
      <w:r>
        <w:rPr>
          <w:rStyle w:val="Hyperlink"/>
        </w:rPr>
        <w:t>https</w:t>
      </w:r>
      <w:r w:rsidRPr="004B77F6">
        <w:rPr>
          <w:rStyle w:val="Hyperlink"/>
          <w:lang w:val="ru-RU"/>
        </w:rPr>
        <w:t>://</w:t>
      </w:r>
      <w:r>
        <w:rPr>
          <w:rStyle w:val="Hyperlink"/>
        </w:rPr>
        <w:t>www</w:t>
      </w:r>
      <w:r w:rsidRPr="004B77F6">
        <w:rPr>
          <w:rStyle w:val="Hyperlink"/>
          <w:lang w:val="ru-RU"/>
        </w:rPr>
        <w:t>.</w:t>
      </w:r>
      <w:r>
        <w:rPr>
          <w:rStyle w:val="Hyperlink"/>
        </w:rPr>
        <w:t>itu</w:t>
      </w:r>
      <w:r w:rsidRPr="004B77F6">
        <w:rPr>
          <w:rStyle w:val="Hyperlink"/>
          <w:lang w:val="ru-RU"/>
        </w:rPr>
        <w:t>.</w:t>
      </w:r>
      <w:r>
        <w:rPr>
          <w:rStyle w:val="Hyperlink"/>
        </w:rPr>
        <w:t>int</w:t>
      </w:r>
      <w:r w:rsidRPr="004B77F6">
        <w:rPr>
          <w:rStyle w:val="Hyperlink"/>
          <w:lang w:val="ru-RU"/>
        </w:rPr>
        <w:t>/</w:t>
      </w:r>
      <w:r>
        <w:rPr>
          <w:rStyle w:val="Hyperlink"/>
        </w:rPr>
        <w:t>en</w:t>
      </w:r>
      <w:r w:rsidRPr="004B77F6">
        <w:rPr>
          <w:rStyle w:val="Hyperlink"/>
          <w:lang w:val="ru-RU"/>
        </w:rPr>
        <w:t>/</w:t>
      </w:r>
      <w:r>
        <w:rPr>
          <w:rStyle w:val="Hyperlink"/>
        </w:rPr>
        <w:t>publications</w:t>
      </w:r>
      <w:r w:rsidRPr="004B77F6">
        <w:rPr>
          <w:rStyle w:val="Hyperlink"/>
          <w:lang w:val="ru-RU"/>
        </w:rPr>
        <w:t>/</w:t>
      </w:r>
      <w:r>
        <w:rPr>
          <w:rStyle w:val="Hyperlink"/>
        </w:rPr>
        <w:t>ITU</w:t>
      </w:r>
      <w:r w:rsidRPr="004B77F6">
        <w:rPr>
          <w:rStyle w:val="Hyperlink"/>
          <w:lang w:val="ru-RU"/>
        </w:rPr>
        <w:t>-</w:t>
      </w:r>
      <w:r>
        <w:rPr>
          <w:rStyle w:val="Hyperlink"/>
        </w:rPr>
        <w:t>D</w:t>
      </w:r>
      <w:r w:rsidRPr="004B77F6">
        <w:rPr>
          <w:rStyle w:val="Hyperlink"/>
          <w:lang w:val="ru-RU"/>
        </w:rPr>
        <w:t>/</w:t>
      </w:r>
      <w:r>
        <w:rPr>
          <w:rStyle w:val="Hyperlink"/>
        </w:rPr>
        <w:t>Pages</w:t>
      </w:r>
      <w:r w:rsidRPr="004B77F6">
        <w:rPr>
          <w:rStyle w:val="Hyperlink"/>
          <w:lang w:val="ru-RU"/>
        </w:rPr>
        <w:t>/</w:t>
      </w:r>
      <w:r>
        <w:rPr>
          <w:rStyle w:val="Hyperlink"/>
        </w:rPr>
        <w:t>default</w:t>
      </w:r>
      <w:r w:rsidRPr="004B77F6">
        <w:rPr>
          <w:rStyle w:val="Hyperlink"/>
          <w:lang w:val="ru-RU"/>
        </w:rPr>
        <w:t>.</w:t>
      </w:r>
      <w:r>
        <w:rPr>
          <w:rStyle w:val="Hyperlink"/>
        </w:rPr>
        <w:t>aspx</w:t>
      </w:r>
      <w:r w:rsidR="00D577E1">
        <w:rPr>
          <w:rStyle w:val="Hyperlink"/>
        </w:rPr>
        <w:fldChar w:fldCharType="end"/>
      </w:r>
      <w:r w:rsidRPr="004B77F6">
        <w:rPr>
          <w:lang w:val="ru-RU"/>
        </w:rPr>
        <w:t>.</w:t>
      </w:r>
    </w:p>
  </w:footnote>
  <w:footnote w:id="185">
    <w:p w14:paraId="1EF831DC" w14:textId="77777777" w:rsidR="004B77F6" w:rsidRPr="004B77F6" w:rsidRDefault="004B77F6" w:rsidP="00A105CB">
      <w:pPr>
        <w:pStyle w:val="FootnoteText"/>
        <w:rPr>
          <w:lang w:val="ru-RU"/>
        </w:rPr>
      </w:pPr>
      <w:r>
        <w:rPr>
          <w:rStyle w:val="FootnoteReference"/>
        </w:rPr>
        <w:footnoteRef/>
      </w:r>
      <w:r w:rsidRPr="004B77F6">
        <w:rPr>
          <w:lang w:val="ru-RU"/>
        </w:rPr>
        <w:t xml:space="preserve"> Ниже можно ознакомиться с дополнительной информацией о будущем </w:t>
      </w:r>
      <w:r>
        <w:t>CSD</w:t>
      </w:r>
      <w:r w:rsidRPr="004B77F6">
        <w:rPr>
          <w:lang w:val="ru-RU"/>
        </w:rPr>
        <w:t>.</w:t>
      </w:r>
    </w:p>
  </w:footnote>
  <w:footnote w:id="186">
    <w:p w14:paraId="329D92A0" w14:textId="77777777" w:rsidR="004B77F6" w:rsidRPr="004B77F6" w:rsidRDefault="004B77F6" w:rsidP="00A105CB">
      <w:pPr>
        <w:pStyle w:val="FootnoteText"/>
        <w:rPr>
          <w:lang w:val="ru-RU"/>
        </w:rPr>
      </w:pPr>
      <w:r>
        <w:rPr>
          <w:rStyle w:val="FootnoteReference"/>
        </w:rPr>
        <w:footnoteRef/>
      </w:r>
      <w:r w:rsidRPr="004B77F6">
        <w:rPr>
          <w:lang w:val="ru-RU"/>
        </w:rPr>
        <w:t xml:space="preserve"> В пределах района Женевы стоимость недвижимости (без необходимого ремонта) может составлять около 13–15 миллионов швейцарских франков.</w:t>
      </w:r>
    </w:p>
  </w:footnote>
  <w:footnote w:id="187">
    <w:p w14:paraId="620EC576" w14:textId="57802EF1" w:rsidR="004B77F6" w:rsidRPr="004B77F6" w:rsidRDefault="004B77F6" w:rsidP="00A105CB">
      <w:pPr>
        <w:pStyle w:val="FootnoteText"/>
        <w:rPr>
          <w:lang w:val="ru-RU"/>
        </w:rPr>
      </w:pPr>
      <w:r>
        <w:rPr>
          <w:rStyle w:val="FootnoteReference"/>
        </w:rPr>
        <w:footnoteRef/>
      </w:r>
      <w:r w:rsidRPr="004B77F6">
        <w:rPr>
          <w:lang w:val="ru-RU"/>
        </w:rPr>
        <w:t xml:space="preserve"> Цены колеблются от 400 до 950 швейцарских франков за м</w:t>
      </w:r>
      <w:r w:rsidRPr="004B77F6">
        <w:rPr>
          <w:vertAlign w:val="superscript"/>
          <w:lang w:val="ru-RU"/>
        </w:rPr>
        <w:t>2</w:t>
      </w:r>
      <w:r w:rsidRPr="004B77F6">
        <w:rPr>
          <w:lang w:val="ru-RU"/>
        </w:rPr>
        <w:t xml:space="preserve"> в год</w:t>
      </w:r>
      <w:r w:rsidR="00312F72">
        <w:rPr>
          <w:lang w:val="ru-RU"/>
        </w:rPr>
        <w:t>.</w:t>
      </w:r>
    </w:p>
  </w:footnote>
  <w:footnote w:id="188">
    <w:p w14:paraId="6BBA28B1" w14:textId="6B95CA9C" w:rsidR="004B77F6" w:rsidRPr="004B77F6" w:rsidRDefault="004B77F6" w:rsidP="00A105CB">
      <w:pPr>
        <w:pStyle w:val="FootnoteText"/>
        <w:rPr>
          <w:lang w:val="ru-RU"/>
        </w:rPr>
      </w:pPr>
      <w:r>
        <w:rPr>
          <w:rStyle w:val="FootnoteReference"/>
        </w:rPr>
        <w:footnoteRef/>
      </w:r>
      <w:r w:rsidRPr="004B77F6">
        <w:rPr>
          <w:lang w:val="ru-RU"/>
        </w:rPr>
        <w:t xml:space="preserve"> Цены колеблются от 275 до 600 швейцарских франков за м</w:t>
      </w:r>
      <w:r w:rsidRPr="004B77F6">
        <w:rPr>
          <w:vertAlign w:val="superscript"/>
          <w:lang w:val="ru-RU"/>
        </w:rPr>
        <w:t>2</w:t>
      </w:r>
      <w:r w:rsidRPr="004B77F6">
        <w:rPr>
          <w:lang w:val="ru-RU"/>
        </w:rPr>
        <w:t xml:space="preserve"> в год</w:t>
      </w:r>
      <w:r w:rsidR="00312F72">
        <w:rPr>
          <w:lang w:val="ru-RU"/>
        </w:rPr>
        <w:t>.</w:t>
      </w:r>
    </w:p>
  </w:footnote>
  <w:footnote w:id="189">
    <w:p w14:paraId="5FB7EC8F" w14:textId="203DD5C0" w:rsidR="004B77F6" w:rsidRPr="004B77F6" w:rsidRDefault="004B77F6" w:rsidP="00A105CB">
      <w:pPr>
        <w:pStyle w:val="FootnoteText"/>
        <w:rPr>
          <w:lang w:val="ru-RU"/>
        </w:rPr>
      </w:pPr>
      <w:r>
        <w:rPr>
          <w:rStyle w:val="FootnoteReference"/>
        </w:rPr>
        <w:footnoteRef/>
      </w:r>
      <w:r w:rsidRPr="004B77F6">
        <w:rPr>
          <w:lang w:val="ru-RU"/>
        </w:rPr>
        <w:t xml:space="preserve"> На основе данных по среднегодовым и стандартным расходам, любезно предоставленных финансовым управлением МСЭ</w:t>
      </w:r>
      <w:r w:rsidR="00312F72">
        <w:rPr>
          <w:lang w:val="ru-RU"/>
        </w:rPr>
        <w:t>.</w:t>
      </w:r>
    </w:p>
  </w:footnote>
  <w:footnote w:id="190">
    <w:p w14:paraId="2DFB1745" w14:textId="01003B2E" w:rsidR="004B77F6" w:rsidRPr="004B77F6" w:rsidRDefault="004B77F6" w:rsidP="00A105CB">
      <w:pPr>
        <w:pStyle w:val="FootnoteText"/>
        <w:rPr>
          <w:lang w:val="ru-RU"/>
        </w:rPr>
      </w:pPr>
      <w:r>
        <w:rPr>
          <w:rStyle w:val="FootnoteReference"/>
        </w:rPr>
        <w:footnoteRef/>
      </w:r>
      <w:r w:rsidRPr="004B77F6">
        <w:rPr>
          <w:lang w:val="ru-RU"/>
        </w:rPr>
        <w:t xml:space="preserve"> Поскольку текущий уровень доходности инвестиций с низким уровнем риска является весьма низким, такая сумма не принесет большой прибыли.</w:t>
      </w:r>
      <w:r w:rsidR="00A579EF">
        <w:rPr>
          <w:lang w:val="ru-RU"/>
        </w:rPr>
        <w:t xml:space="preserve"> </w:t>
      </w:r>
      <w:r w:rsidRPr="004B77F6">
        <w:rPr>
          <w:lang w:val="ru-RU"/>
        </w:rPr>
        <w:t>В настоящее время можно заработать около 2</w:t>
      </w:r>
      <w:r>
        <w:t> </w:t>
      </w:r>
      <w:r w:rsidRPr="004B77F6">
        <w:rPr>
          <w:lang w:val="ru-RU"/>
        </w:rPr>
        <w:t>% на 20-летних государственных облигациях США или 2,5</w:t>
      </w:r>
      <w:r>
        <w:t> </w:t>
      </w:r>
      <w:r w:rsidRPr="004B77F6">
        <w:rPr>
          <w:lang w:val="ru-RU"/>
        </w:rPr>
        <w:t>% на 30-летних государственных облигациях Китая, деноминированных в долларах США, что дало бы лишь 1–1,25</w:t>
      </w:r>
      <w:r>
        <w:t> </w:t>
      </w:r>
      <w:r w:rsidRPr="004B77F6">
        <w:rPr>
          <w:lang w:val="ru-RU"/>
        </w:rPr>
        <w:t>млн долларов США в год.</w:t>
      </w:r>
    </w:p>
  </w:footnote>
  <w:footnote w:id="191">
    <w:p w14:paraId="2E09F5B8" w14:textId="77777777" w:rsidR="008B728A" w:rsidRPr="004B77F6" w:rsidRDefault="008B728A" w:rsidP="008B728A">
      <w:pPr>
        <w:pStyle w:val="FootnoteText"/>
        <w:rPr>
          <w:lang w:val="ru-RU"/>
        </w:rPr>
      </w:pPr>
      <w:r>
        <w:rPr>
          <w:rStyle w:val="FootnoteReference"/>
        </w:rPr>
        <w:footnoteRef/>
      </w:r>
      <w:r w:rsidRPr="004B77F6">
        <w:rPr>
          <w:lang w:val="ru-RU"/>
        </w:rPr>
        <w:t xml:space="preserve"> Пожертвование в сумме 50 млн долларов США позволит в достаточной степени покрыть расходы примерно лишь на половину ожидаемого персонала Института, в то время как оставшуюся часть сотрудников необходимо будет финансировать из годового бюджета МСЭ.</w:t>
      </w:r>
    </w:p>
  </w:footnote>
  <w:footnote w:id="192">
    <w:p w14:paraId="7D8D4ACD" w14:textId="77777777" w:rsidR="008B728A" w:rsidRPr="004B77F6" w:rsidRDefault="008B728A" w:rsidP="008B728A">
      <w:pPr>
        <w:pStyle w:val="FootnoteText"/>
        <w:rPr>
          <w:lang w:val="ru-RU"/>
        </w:rPr>
      </w:pPr>
      <w:r>
        <w:rPr>
          <w:rStyle w:val="FootnoteReference"/>
        </w:rPr>
        <w:footnoteRef/>
      </w:r>
      <w:r w:rsidRPr="004B77F6">
        <w:rPr>
          <w:lang w:val="ru-RU"/>
        </w:rPr>
        <w:t xml:space="preserve"> С этим безоговорочно согласились 53,8</w:t>
      </w:r>
      <w:r>
        <w:t> </w:t>
      </w:r>
      <w:r w:rsidRPr="004B77F6">
        <w:rPr>
          <w:lang w:val="ru-RU"/>
        </w:rPr>
        <w:t>% председателей и заместителей председателей исследовательских комиссий.</w:t>
      </w:r>
    </w:p>
  </w:footnote>
  <w:footnote w:id="193">
    <w:p w14:paraId="48099344" w14:textId="4026FFD4" w:rsidR="004B77F6" w:rsidRPr="004B77F6" w:rsidRDefault="004B77F6" w:rsidP="00A105CB">
      <w:pPr>
        <w:pStyle w:val="FootnoteText"/>
        <w:rPr>
          <w:lang w:val="ru-RU"/>
        </w:rPr>
      </w:pPr>
      <w:r>
        <w:rPr>
          <w:rStyle w:val="FootnoteReference"/>
        </w:rPr>
        <w:footnoteRef/>
      </w:r>
      <w:r w:rsidRPr="004B77F6">
        <w:rPr>
          <w:lang w:val="ru-RU"/>
        </w:rPr>
        <w:t xml:space="preserve"> Стоит отметить, что это не означает, что все жители каждого </w:t>
      </w:r>
      <w:r w:rsidR="00175F3F" w:rsidRPr="004B77F6">
        <w:rPr>
          <w:lang w:val="ru-RU"/>
        </w:rPr>
        <w:t>Государства</w:t>
      </w:r>
      <w:r w:rsidR="00175F3F">
        <w:rPr>
          <w:lang w:val="ru-RU"/>
        </w:rPr>
        <w:t>-</w:t>
      </w:r>
      <w:r w:rsidR="00175F3F" w:rsidRPr="004B77F6">
        <w:rPr>
          <w:lang w:val="ru-RU"/>
        </w:rPr>
        <w:t xml:space="preserve">Члена </w:t>
      </w:r>
      <w:r w:rsidRPr="004B77F6">
        <w:rPr>
          <w:lang w:val="ru-RU"/>
        </w:rPr>
        <w:t>должны иметь свободный доступ ко всем этим ресурсам.</w:t>
      </w:r>
    </w:p>
  </w:footnote>
  <w:footnote w:id="194">
    <w:p w14:paraId="3263688D" w14:textId="6694AA22" w:rsidR="004B77F6" w:rsidRPr="004B77F6" w:rsidRDefault="004B77F6" w:rsidP="00A105CB">
      <w:pPr>
        <w:pStyle w:val="FootnoteText"/>
        <w:rPr>
          <w:lang w:val="ru-RU"/>
        </w:rPr>
      </w:pPr>
      <w:r>
        <w:rPr>
          <w:rStyle w:val="FootnoteReference"/>
        </w:rPr>
        <w:footnoteRef/>
      </w:r>
      <w:r w:rsidRPr="004B77F6">
        <w:rPr>
          <w:lang w:val="ru-RU"/>
        </w:rPr>
        <w:t xml:space="preserve"> С учетом Дорожной карты Генерального секретаря Организации Объединенных Наций по цифровому сотрудничеству, </w:t>
      </w:r>
      <w:r w:rsidR="00D577E1">
        <w:fldChar w:fldCharType="begin"/>
      </w:r>
      <w:r w:rsidR="00D577E1" w:rsidRPr="00D577E1">
        <w:rPr>
          <w:lang w:val="ru-RU"/>
        </w:rPr>
        <w:instrText xml:space="preserve"> </w:instrText>
      </w:r>
      <w:r w:rsidR="00D577E1">
        <w:instrText>HYPERLINK</w:instrText>
      </w:r>
      <w:r w:rsidR="00D577E1" w:rsidRPr="00D577E1">
        <w:rPr>
          <w:lang w:val="ru-RU"/>
        </w:rPr>
        <w:instrText xml:space="preserve"> "</w:instrText>
      </w:r>
      <w:r w:rsidR="00D577E1">
        <w:instrText>https</w:instrText>
      </w:r>
      <w:r w:rsidR="00D577E1" w:rsidRPr="00D577E1">
        <w:rPr>
          <w:lang w:val="ru-RU"/>
        </w:rPr>
        <w:instrText>://</w:instrText>
      </w:r>
      <w:r w:rsidR="00D577E1">
        <w:instrText>www</w:instrText>
      </w:r>
      <w:r w:rsidR="00D577E1" w:rsidRPr="00D577E1">
        <w:rPr>
          <w:lang w:val="ru-RU"/>
        </w:rPr>
        <w:instrText>.</w:instrText>
      </w:r>
      <w:r w:rsidR="00D577E1">
        <w:instrText>un</w:instrText>
      </w:r>
      <w:r w:rsidR="00D577E1" w:rsidRPr="00D577E1">
        <w:rPr>
          <w:lang w:val="ru-RU"/>
        </w:rPr>
        <w:instrText>.</w:instrText>
      </w:r>
      <w:r w:rsidR="00D577E1">
        <w:instrText>org</w:instrText>
      </w:r>
      <w:r w:rsidR="00D577E1" w:rsidRPr="00D577E1">
        <w:rPr>
          <w:lang w:val="ru-RU"/>
        </w:rPr>
        <w:instrText>/</w:instrText>
      </w:r>
      <w:r w:rsidR="00D577E1">
        <w:instrText>en</w:instrText>
      </w:r>
      <w:r w:rsidR="00D577E1" w:rsidRPr="00D577E1">
        <w:rPr>
          <w:lang w:val="ru-RU"/>
        </w:rPr>
        <w:instrText>/</w:instrText>
      </w:r>
      <w:r w:rsidR="00D577E1">
        <w:instrText>content</w:instrText>
      </w:r>
      <w:r w:rsidR="00D577E1" w:rsidRPr="00D577E1">
        <w:rPr>
          <w:lang w:val="ru-RU"/>
        </w:rPr>
        <w:instrText>/</w:instrText>
      </w:r>
      <w:r w:rsidR="00D577E1">
        <w:instrText>digital</w:instrText>
      </w:r>
      <w:r w:rsidR="00D577E1" w:rsidRPr="00D577E1">
        <w:rPr>
          <w:lang w:val="ru-RU"/>
        </w:rPr>
        <w:instrText>-</w:instrText>
      </w:r>
      <w:r w:rsidR="00D577E1">
        <w:instrText>cooperation</w:instrText>
      </w:r>
      <w:r w:rsidR="00D577E1" w:rsidRPr="00D577E1">
        <w:rPr>
          <w:lang w:val="ru-RU"/>
        </w:rPr>
        <w:instrText>-</w:instrText>
      </w:r>
      <w:r w:rsidR="00D577E1">
        <w:instrText>roadmap</w:instrText>
      </w:r>
      <w:r w:rsidR="00D577E1" w:rsidRPr="00D577E1">
        <w:rPr>
          <w:lang w:val="ru-RU"/>
        </w:rPr>
        <w:instrText xml:space="preserve">/" </w:instrText>
      </w:r>
      <w:r w:rsidR="00D577E1">
        <w:fldChar w:fldCharType="separate"/>
      </w:r>
      <w:r w:rsidR="008B728A" w:rsidRPr="00DB48CA">
        <w:rPr>
          <w:rStyle w:val="Hyperlink"/>
        </w:rPr>
        <w:t>https</w:t>
      </w:r>
      <w:r w:rsidR="008B728A" w:rsidRPr="00DB48CA">
        <w:rPr>
          <w:rStyle w:val="Hyperlink"/>
          <w:lang w:val="ru-RU"/>
        </w:rPr>
        <w:t>://</w:t>
      </w:r>
      <w:r w:rsidR="008B728A" w:rsidRPr="00DB48CA">
        <w:rPr>
          <w:rStyle w:val="Hyperlink"/>
        </w:rPr>
        <w:t>www</w:t>
      </w:r>
      <w:r w:rsidR="008B728A" w:rsidRPr="00DB48CA">
        <w:rPr>
          <w:rStyle w:val="Hyperlink"/>
          <w:lang w:val="ru-RU"/>
        </w:rPr>
        <w:t>.</w:t>
      </w:r>
      <w:r w:rsidR="008B728A" w:rsidRPr="00DB48CA">
        <w:rPr>
          <w:rStyle w:val="Hyperlink"/>
        </w:rPr>
        <w:t>un</w:t>
      </w:r>
      <w:r w:rsidR="008B728A" w:rsidRPr="00DB48CA">
        <w:rPr>
          <w:rStyle w:val="Hyperlink"/>
          <w:lang w:val="ru-RU"/>
        </w:rPr>
        <w:t>.</w:t>
      </w:r>
      <w:r w:rsidR="008B728A" w:rsidRPr="00DB48CA">
        <w:rPr>
          <w:rStyle w:val="Hyperlink"/>
        </w:rPr>
        <w:t>org</w:t>
      </w:r>
      <w:r w:rsidR="008B728A" w:rsidRPr="00DB48CA">
        <w:rPr>
          <w:rStyle w:val="Hyperlink"/>
          <w:lang w:val="ru-RU"/>
        </w:rPr>
        <w:t>/</w:t>
      </w:r>
      <w:r w:rsidR="008B728A" w:rsidRPr="00DB48CA">
        <w:rPr>
          <w:rStyle w:val="Hyperlink"/>
        </w:rPr>
        <w:t>en</w:t>
      </w:r>
      <w:r w:rsidR="008B728A" w:rsidRPr="00DB48CA">
        <w:rPr>
          <w:rStyle w:val="Hyperlink"/>
          <w:lang w:val="ru-RU"/>
        </w:rPr>
        <w:t>/</w:t>
      </w:r>
      <w:r w:rsidR="008B728A" w:rsidRPr="00DB48CA">
        <w:rPr>
          <w:rStyle w:val="Hyperlink"/>
        </w:rPr>
        <w:t>content</w:t>
      </w:r>
      <w:r w:rsidR="008B728A" w:rsidRPr="00DB48CA">
        <w:rPr>
          <w:rStyle w:val="Hyperlink"/>
          <w:lang w:val="ru-RU"/>
        </w:rPr>
        <w:t>/</w:t>
      </w:r>
      <w:r w:rsidR="008B728A" w:rsidRPr="00DB48CA">
        <w:rPr>
          <w:rStyle w:val="Hyperlink"/>
        </w:rPr>
        <w:t>digital</w:t>
      </w:r>
      <w:r w:rsidR="008B728A" w:rsidRPr="00DB48CA">
        <w:rPr>
          <w:rStyle w:val="Hyperlink"/>
          <w:lang w:val="ru-RU"/>
        </w:rPr>
        <w:t>-</w:t>
      </w:r>
      <w:r w:rsidR="008B728A" w:rsidRPr="00DB48CA">
        <w:rPr>
          <w:rStyle w:val="Hyperlink"/>
        </w:rPr>
        <w:t>cooperation</w:t>
      </w:r>
      <w:r w:rsidR="008B728A" w:rsidRPr="00DB48CA">
        <w:rPr>
          <w:rStyle w:val="Hyperlink"/>
          <w:lang w:val="ru-RU"/>
        </w:rPr>
        <w:t>-</w:t>
      </w:r>
      <w:r w:rsidR="008B728A" w:rsidRPr="00DB48CA">
        <w:rPr>
          <w:rStyle w:val="Hyperlink"/>
        </w:rPr>
        <w:t>roadmap</w:t>
      </w:r>
      <w:r w:rsidR="008B728A" w:rsidRPr="00DB48CA">
        <w:rPr>
          <w:rStyle w:val="Hyperlink"/>
          <w:lang w:val="ru-RU"/>
        </w:rPr>
        <w:t>/</w:t>
      </w:r>
      <w:r w:rsidR="00D577E1">
        <w:rPr>
          <w:rStyle w:val="Hyperlink"/>
          <w:lang w:val="ru-RU"/>
        </w:rPr>
        <w:fldChar w:fldCharType="end"/>
      </w:r>
      <w:r w:rsidRPr="004B77F6">
        <w:rPr>
          <w:lang w:val="ru-RU"/>
        </w:rPr>
        <w:t>.</w:t>
      </w:r>
    </w:p>
  </w:footnote>
  <w:footnote w:id="195">
    <w:p w14:paraId="2AAEC2B0" w14:textId="77777777" w:rsidR="004B77F6" w:rsidRPr="004B77F6" w:rsidRDefault="004B77F6" w:rsidP="00A105CB">
      <w:pPr>
        <w:pStyle w:val="FootnoteText"/>
        <w:rPr>
          <w:lang w:val="ru-RU"/>
        </w:rPr>
      </w:pPr>
      <w:r>
        <w:rPr>
          <w:rStyle w:val="FootnoteReference"/>
        </w:rPr>
        <w:footnoteRef/>
      </w:r>
      <w:r w:rsidRPr="004B77F6">
        <w:rPr>
          <w:lang w:val="ru-RU"/>
        </w:rPr>
        <w:t xml:space="preserve"> Стоит отметить, что за период с начала проведения исследования в рамках подготовки настоящего отчета в этом направлении уже достигнут прогресс.</w:t>
      </w:r>
    </w:p>
  </w:footnote>
  <w:footnote w:id="196">
    <w:p w14:paraId="0D6FAF22" w14:textId="77777777" w:rsidR="004B77F6" w:rsidRPr="004B77F6" w:rsidRDefault="004B77F6" w:rsidP="00A105CB">
      <w:pPr>
        <w:pStyle w:val="FootnoteText"/>
        <w:rPr>
          <w:lang w:val="ru-RU"/>
        </w:rPr>
      </w:pPr>
      <w:r>
        <w:rPr>
          <w:rStyle w:val="FootnoteReference"/>
        </w:rPr>
        <w:footnoteRef/>
      </w:r>
      <w:r w:rsidRPr="004B77F6">
        <w:rPr>
          <w:lang w:val="ru-RU"/>
        </w:rPr>
        <w:t xml:space="preserve"> </w:t>
      </w:r>
      <w:r w:rsidR="00D577E1">
        <w:fldChar w:fldCharType="begin"/>
      </w:r>
      <w:r w:rsidR="00D577E1" w:rsidRPr="00D577E1">
        <w:rPr>
          <w:lang w:val="ru-RU"/>
        </w:rPr>
        <w:instrText xml:space="preserve"> </w:instrText>
      </w:r>
      <w:r w:rsidR="00D577E1">
        <w:instrText>HYPERLINK</w:instrText>
      </w:r>
      <w:r w:rsidR="00D577E1" w:rsidRPr="00D577E1">
        <w:rPr>
          <w:lang w:val="ru-RU"/>
        </w:rPr>
        <w:instrText xml:space="preserve"> "</w:instrText>
      </w:r>
      <w:r w:rsidR="00D577E1">
        <w:instrText>https</w:instrText>
      </w:r>
      <w:r w:rsidR="00D577E1" w:rsidRPr="00D577E1">
        <w:rPr>
          <w:lang w:val="ru-RU"/>
        </w:rPr>
        <w:instrText>://</w:instrText>
      </w:r>
      <w:r w:rsidR="00D577E1">
        <w:instrText>www</w:instrText>
      </w:r>
      <w:r w:rsidR="00D577E1" w:rsidRPr="00D577E1">
        <w:rPr>
          <w:lang w:val="ru-RU"/>
        </w:rPr>
        <w:instrText>.</w:instrText>
      </w:r>
      <w:r w:rsidR="00D577E1">
        <w:instrText>un</w:instrText>
      </w:r>
      <w:r w:rsidR="00D577E1" w:rsidRPr="00D577E1">
        <w:rPr>
          <w:lang w:val="ru-RU"/>
        </w:rPr>
        <w:instrText>.</w:instrText>
      </w:r>
      <w:r w:rsidR="00D577E1">
        <w:instrText>org</w:instrText>
      </w:r>
      <w:r w:rsidR="00D577E1" w:rsidRPr="00D577E1">
        <w:rPr>
          <w:lang w:val="ru-RU"/>
        </w:rPr>
        <w:instrText>/</w:instrText>
      </w:r>
      <w:r w:rsidR="00D577E1">
        <w:instrText>partnerships</w:instrText>
      </w:r>
      <w:r w:rsidR="00D577E1" w:rsidRPr="00D577E1">
        <w:rPr>
          <w:lang w:val="ru-RU"/>
        </w:rPr>
        <w:instrText xml:space="preserve">/" </w:instrText>
      </w:r>
      <w:r w:rsidR="00D577E1">
        <w:fldChar w:fldCharType="separate"/>
      </w:r>
      <w:r>
        <w:rPr>
          <w:rStyle w:val="Hyperlink"/>
        </w:rPr>
        <w:t>https</w:t>
      </w:r>
      <w:r w:rsidRPr="004B77F6">
        <w:rPr>
          <w:rStyle w:val="Hyperlink"/>
          <w:lang w:val="ru-RU"/>
        </w:rPr>
        <w:t>://</w:t>
      </w:r>
      <w:r>
        <w:rPr>
          <w:rStyle w:val="Hyperlink"/>
        </w:rPr>
        <w:t>www</w:t>
      </w:r>
      <w:r w:rsidRPr="004B77F6">
        <w:rPr>
          <w:rStyle w:val="Hyperlink"/>
          <w:lang w:val="ru-RU"/>
        </w:rPr>
        <w:t>.</w:t>
      </w:r>
      <w:r>
        <w:rPr>
          <w:rStyle w:val="Hyperlink"/>
        </w:rPr>
        <w:t>un</w:t>
      </w:r>
      <w:r w:rsidRPr="004B77F6">
        <w:rPr>
          <w:rStyle w:val="Hyperlink"/>
          <w:lang w:val="ru-RU"/>
        </w:rPr>
        <w:t>.</w:t>
      </w:r>
      <w:r>
        <w:rPr>
          <w:rStyle w:val="Hyperlink"/>
        </w:rPr>
        <w:t>org</w:t>
      </w:r>
      <w:r w:rsidRPr="004B77F6">
        <w:rPr>
          <w:rStyle w:val="Hyperlink"/>
          <w:lang w:val="ru-RU"/>
        </w:rPr>
        <w:t>/</w:t>
      </w:r>
      <w:r>
        <w:rPr>
          <w:rStyle w:val="Hyperlink"/>
        </w:rPr>
        <w:t>partnerships</w:t>
      </w:r>
      <w:r w:rsidRPr="004B77F6">
        <w:rPr>
          <w:rStyle w:val="Hyperlink"/>
          <w:lang w:val="ru-RU"/>
        </w:rPr>
        <w:t>/</w:t>
      </w:r>
      <w:r w:rsidR="00D577E1">
        <w:rPr>
          <w:rStyle w:val="Hyperlink"/>
          <w:lang w:val="ru-RU"/>
        </w:rPr>
        <w:fldChar w:fldCharType="end"/>
      </w:r>
      <w:r w:rsidRPr="004B77F6">
        <w:rPr>
          <w:lang w:val="ru-RU"/>
        </w:rPr>
        <w:t>.</w:t>
      </w:r>
    </w:p>
  </w:footnote>
  <w:footnote w:id="197">
    <w:p w14:paraId="2B51DDB4" w14:textId="5354700D" w:rsidR="008B728A" w:rsidRPr="004B77F6" w:rsidRDefault="008B728A" w:rsidP="008B728A">
      <w:pPr>
        <w:pStyle w:val="FootnoteText"/>
        <w:rPr>
          <w:lang w:val="ru-RU"/>
        </w:rPr>
      </w:pPr>
      <w:r>
        <w:rPr>
          <w:rStyle w:val="FootnoteReference"/>
        </w:rPr>
        <w:footnoteRef/>
      </w:r>
      <w:r w:rsidRPr="004B77F6">
        <w:rPr>
          <w:lang w:val="ru-RU"/>
        </w:rPr>
        <w:t xml:space="preserve"> Если бы затраты не были проблемой, а МСЭ был готов рассмотреть возможность создания и поддержания в значительной степени независимой структуры, то модель функционирования Института, безусловно, была бы в многом привлекательна.</w:t>
      </w:r>
      <w:r w:rsidR="00A579EF">
        <w:rPr>
          <w:lang w:val="ru-RU"/>
        </w:rPr>
        <w:t xml:space="preserve"> </w:t>
      </w:r>
      <w:r w:rsidRPr="004B77F6">
        <w:rPr>
          <w:lang w:val="ru-RU"/>
        </w:rPr>
        <w:t>Тем не менее наши дискуссии как внутри МСЭ, так и за его пределами, свидетельствуют о том, что в настоящее время выполнение этих задач нереалистично.</w:t>
      </w:r>
    </w:p>
  </w:footnote>
  <w:footnote w:id="198">
    <w:p w14:paraId="29ADF9E7" w14:textId="794F85D9" w:rsidR="004B77F6" w:rsidRPr="004B77F6" w:rsidRDefault="004B77F6" w:rsidP="00A105CB">
      <w:pPr>
        <w:pStyle w:val="FootnoteText"/>
        <w:rPr>
          <w:lang w:val="ru-RU"/>
        </w:rPr>
      </w:pPr>
      <w:r>
        <w:rPr>
          <w:rStyle w:val="FootnoteReference"/>
        </w:rPr>
        <w:footnoteRef/>
      </w:r>
      <w:r w:rsidRPr="004B77F6">
        <w:rPr>
          <w:lang w:val="ru-RU"/>
        </w:rPr>
        <w:t xml:space="preserve"> Использование термина </w:t>
      </w:r>
      <w:r w:rsidR="006E72AD">
        <w:rPr>
          <w:lang w:val="ru-RU"/>
        </w:rPr>
        <w:t>"</w:t>
      </w:r>
      <w:r w:rsidRPr="004B77F6">
        <w:rPr>
          <w:lang w:val="ru-RU"/>
        </w:rPr>
        <w:t>подразделение</w:t>
      </w:r>
      <w:r w:rsidR="006E72AD">
        <w:rPr>
          <w:lang w:val="ru-RU"/>
        </w:rPr>
        <w:t>"</w:t>
      </w:r>
      <w:r w:rsidRPr="004B77F6">
        <w:rPr>
          <w:lang w:val="ru-RU"/>
        </w:rPr>
        <w:t xml:space="preserve"> обусловлено тем, что принятие рекомендации в принципе имеет большее значение, чем ведение споров о том, является такой орган департаментом или отделом в структуре МСЭ.</w:t>
      </w:r>
    </w:p>
  </w:footnote>
  <w:footnote w:id="199">
    <w:p w14:paraId="1258C9EB" w14:textId="753251AD" w:rsidR="004B77F6" w:rsidRPr="004B77F6" w:rsidRDefault="004B77F6" w:rsidP="00A105CB">
      <w:pPr>
        <w:pStyle w:val="FootnoteText"/>
        <w:rPr>
          <w:lang w:val="ru-RU"/>
        </w:rPr>
      </w:pPr>
      <w:r>
        <w:rPr>
          <w:rStyle w:val="FootnoteReference"/>
        </w:rPr>
        <w:footnoteRef/>
      </w:r>
      <w:r w:rsidRPr="004B77F6">
        <w:rPr>
          <w:lang w:val="ru-RU"/>
        </w:rPr>
        <w:t xml:space="preserve"> Думитриу, П. (2020</w:t>
      </w:r>
      <w:r w:rsidR="00D3718E">
        <w:rPr>
          <w:lang w:val="ru-RU"/>
        </w:rPr>
        <w:t xml:space="preserve"> г.</w:t>
      </w:r>
      <w:r w:rsidRPr="004B77F6">
        <w:rPr>
          <w:lang w:val="ru-RU"/>
        </w:rPr>
        <w:t xml:space="preserve">) </w:t>
      </w:r>
      <w:r w:rsidR="006E72AD">
        <w:rPr>
          <w:lang w:val="ru-RU"/>
        </w:rPr>
        <w:t>"</w:t>
      </w:r>
      <w:r w:rsidRPr="004B77F6">
        <w:rPr>
          <w:lang w:val="ru-RU"/>
        </w:rPr>
        <w:t>Политика и платформы в поддержку обучения: повышение слаженности, координации и согласованности действий</w:t>
      </w:r>
      <w:r w:rsidR="006E72AD">
        <w:rPr>
          <w:lang w:val="ru-RU"/>
        </w:rPr>
        <w:t>"</w:t>
      </w:r>
      <w:r w:rsidRPr="004B77F6">
        <w:rPr>
          <w:lang w:val="ru-RU"/>
        </w:rPr>
        <w:t>.</w:t>
      </w:r>
      <w:r w:rsidR="00A579EF">
        <w:rPr>
          <w:lang w:val="ru-RU"/>
        </w:rPr>
        <w:t xml:space="preserve"> </w:t>
      </w:r>
      <w:r w:rsidRPr="004B77F6">
        <w:rPr>
          <w:lang w:val="ru-RU"/>
        </w:rPr>
        <w:t xml:space="preserve">Доклад Объединенной инспекционной группы, </w:t>
      </w:r>
      <w:r>
        <w:t>JIU</w:t>
      </w:r>
      <w:r w:rsidRPr="004B77F6">
        <w:rPr>
          <w:lang w:val="ru-RU"/>
        </w:rPr>
        <w:t>/</w:t>
      </w:r>
      <w:r>
        <w:t>REP</w:t>
      </w:r>
      <w:r w:rsidRPr="004B77F6">
        <w:rPr>
          <w:lang w:val="ru-RU"/>
        </w:rPr>
        <w:t>/2020/2, Женева: ООН.</w:t>
      </w:r>
    </w:p>
  </w:footnote>
  <w:footnote w:id="200">
    <w:p w14:paraId="7346FC48" w14:textId="3E8A1FEE" w:rsidR="004B77F6" w:rsidRPr="004B77F6" w:rsidRDefault="004B77F6" w:rsidP="00A105CB">
      <w:pPr>
        <w:pStyle w:val="FootnoteText"/>
        <w:rPr>
          <w:lang w:val="ru-RU"/>
        </w:rPr>
      </w:pPr>
      <w:r>
        <w:rPr>
          <w:rStyle w:val="FootnoteReference"/>
        </w:rPr>
        <w:footnoteRef/>
      </w:r>
      <w:r w:rsidRPr="004B77F6">
        <w:rPr>
          <w:lang w:val="ru-RU"/>
        </w:rPr>
        <w:t xml:space="preserve"> Существует множество литературы по возрождению брендов.</w:t>
      </w:r>
      <w:r w:rsidR="00A579EF">
        <w:rPr>
          <w:lang w:val="ru-RU"/>
        </w:rPr>
        <w:t xml:space="preserve"> </w:t>
      </w:r>
      <w:r w:rsidRPr="004B77F6">
        <w:rPr>
          <w:lang w:val="ru-RU"/>
        </w:rPr>
        <w:t xml:space="preserve">Изложенную в краткой форме ознакомительную информацию можно найти в материалах </w:t>
      </w:r>
      <w:r>
        <w:rPr>
          <w:i/>
        </w:rPr>
        <w:t>The</w:t>
      </w:r>
      <w:r w:rsidRPr="004B77F6">
        <w:rPr>
          <w:i/>
          <w:lang w:val="ru-RU"/>
        </w:rPr>
        <w:t xml:space="preserve"> </w:t>
      </w:r>
      <w:r>
        <w:rPr>
          <w:i/>
        </w:rPr>
        <w:t>Investor</w:t>
      </w:r>
      <w:r w:rsidRPr="004B77F6">
        <w:rPr>
          <w:i/>
          <w:lang w:val="ru-RU"/>
        </w:rPr>
        <w:t>’</w:t>
      </w:r>
      <w:r>
        <w:rPr>
          <w:i/>
        </w:rPr>
        <w:t>s</w:t>
      </w:r>
      <w:r w:rsidRPr="004B77F6">
        <w:rPr>
          <w:i/>
          <w:lang w:val="ru-RU"/>
        </w:rPr>
        <w:t xml:space="preserve"> </w:t>
      </w:r>
      <w:r>
        <w:rPr>
          <w:i/>
        </w:rPr>
        <w:t>Book</w:t>
      </w:r>
      <w:r w:rsidRPr="004B77F6">
        <w:rPr>
          <w:i/>
          <w:lang w:val="ru-RU"/>
        </w:rPr>
        <w:t xml:space="preserve"> </w:t>
      </w:r>
      <w:r w:rsidRPr="004B77F6">
        <w:rPr>
          <w:lang w:val="ru-RU"/>
        </w:rPr>
        <w:t>по адресу</w:t>
      </w:r>
      <w:r w:rsidR="001C21E8">
        <w:rPr>
          <w:lang w:val="ru-RU"/>
        </w:rPr>
        <w:t>:</w:t>
      </w:r>
      <w:r w:rsidRPr="004B77F6">
        <w:rPr>
          <w:lang w:val="ru-RU"/>
        </w:rPr>
        <w:t xml:space="preserve"> </w:t>
      </w:r>
      <w:r w:rsidR="00D577E1">
        <w:fldChar w:fldCharType="begin"/>
      </w:r>
      <w:r w:rsidR="00D577E1" w:rsidRPr="00D577E1">
        <w:rPr>
          <w:lang w:val="ru-RU"/>
        </w:rPr>
        <w:instrText xml:space="preserve"> </w:instrText>
      </w:r>
      <w:r w:rsidR="00D577E1">
        <w:instrText>HYPERLINK</w:instrText>
      </w:r>
      <w:r w:rsidR="00D577E1" w:rsidRPr="00D577E1">
        <w:rPr>
          <w:lang w:val="ru-RU"/>
        </w:rPr>
        <w:instrText xml:space="preserve"> "</w:instrText>
      </w:r>
      <w:r w:rsidR="00D577E1">
        <w:instrText>https</w:instrText>
      </w:r>
      <w:r w:rsidR="00D577E1" w:rsidRPr="00D577E1">
        <w:rPr>
          <w:lang w:val="ru-RU"/>
        </w:rPr>
        <w:instrText>://</w:instrText>
      </w:r>
      <w:r w:rsidR="00D577E1">
        <w:instrText>theinvestorsbook</w:instrText>
      </w:r>
      <w:r w:rsidR="00D577E1" w:rsidRPr="00D577E1">
        <w:rPr>
          <w:lang w:val="ru-RU"/>
        </w:rPr>
        <w:instrText>.</w:instrText>
      </w:r>
      <w:r w:rsidR="00D577E1">
        <w:instrText>com</w:instrText>
      </w:r>
      <w:r w:rsidR="00D577E1" w:rsidRPr="00D577E1">
        <w:rPr>
          <w:lang w:val="ru-RU"/>
        </w:rPr>
        <w:instrText>/</w:instrText>
      </w:r>
      <w:r w:rsidR="00D577E1">
        <w:instrText>brand</w:instrText>
      </w:r>
      <w:r w:rsidR="00D577E1" w:rsidRPr="00D577E1">
        <w:rPr>
          <w:lang w:val="ru-RU"/>
        </w:rPr>
        <w:instrText>-</w:instrText>
      </w:r>
      <w:r w:rsidR="00D577E1">
        <w:instrText>revitalization</w:instrText>
      </w:r>
      <w:r w:rsidR="00D577E1" w:rsidRPr="00D577E1">
        <w:rPr>
          <w:lang w:val="ru-RU"/>
        </w:rPr>
        <w:instrText>.</w:instrText>
      </w:r>
      <w:r w:rsidR="00D577E1">
        <w:instrText>html</w:instrText>
      </w:r>
      <w:r w:rsidR="00D577E1" w:rsidRPr="00D577E1">
        <w:rPr>
          <w:lang w:val="ru-RU"/>
        </w:rPr>
        <w:instrText xml:space="preserve">" </w:instrText>
      </w:r>
      <w:r w:rsidR="00D577E1">
        <w:fldChar w:fldCharType="separate"/>
      </w:r>
      <w:r>
        <w:rPr>
          <w:rStyle w:val="Hyperlink"/>
        </w:rPr>
        <w:t>https</w:t>
      </w:r>
      <w:r w:rsidRPr="004B77F6">
        <w:rPr>
          <w:rStyle w:val="Hyperlink"/>
          <w:lang w:val="ru-RU"/>
        </w:rPr>
        <w:t>://</w:t>
      </w:r>
      <w:r>
        <w:rPr>
          <w:rStyle w:val="Hyperlink"/>
        </w:rPr>
        <w:t>theinvestorsbook</w:t>
      </w:r>
      <w:r w:rsidRPr="004B77F6">
        <w:rPr>
          <w:rStyle w:val="Hyperlink"/>
          <w:lang w:val="ru-RU"/>
        </w:rPr>
        <w:t>.</w:t>
      </w:r>
      <w:r>
        <w:rPr>
          <w:rStyle w:val="Hyperlink"/>
        </w:rPr>
        <w:t>com</w:t>
      </w:r>
      <w:r w:rsidRPr="004B77F6">
        <w:rPr>
          <w:rStyle w:val="Hyperlink"/>
          <w:lang w:val="ru-RU"/>
        </w:rPr>
        <w:t>/</w:t>
      </w:r>
      <w:r>
        <w:rPr>
          <w:rStyle w:val="Hyperlink"/>
        </w:rPr>
        <w:t>brand</w:t>
      </w:r>
      <w:r w:rsidRPr="004B77F6">
        <w:rPr>
          <w:rStyle w:val="Hyperlink"/>
          <w:lang w:val="ru-RU"/>
        </w:rPr>
        <w:t>-</w:t>
      </w:r>
      <w:r>
        <w:rPr>
          <w:rStyle w:val="Hyperlink"/>
        </w:rPr>
        <w:t>revitalization</w:t>
      </w:r>
      <w:r w:rsidRPr="004B77F6">
        <w:rPr>
          <w:rStyle w:val="Hyperlink"/>
          <w:lang w:val="ru-RU"/>
        </w:rPr>
        <w:t>.</w:t>
      </w:r>
      <w:r>
        <w:rPr>
          <w:rStyle w:val="Hyperlink"/>
        </w:rPr>
        <w:t>html</w:t>
      </w:r>
      <w:r w:rsidR="00D577E1">
        <w:rPr>
          <w:rStyle w:val="Hyperlink"/>
        </w:rPr>
        <w:fldChar w:fldCharType="end"/>
      </w:r>
      <w:r w:rsidRPr="004B77F6">
        <w:rPr>
          <w:lang w:val="ru-RU"/>
        </w:rPr>
        <w:t xml:space="preserve"> и </w:t>
      </w:r>
      <w:r>
        <w:rPr>
          <w:i/>
        </w:rPr>
        <w:t>The</w:t>
      </w:r>
      <w:r w:rsidRPr="004B77F6">
        <w:rPr>
          <w:i/>
          <w:lang w:val="ru-RU"/>
        </w:rPr>
        <w:t xml:space="preserve"> </w:t>
      </w:r>
      <w:r>
        <w:rPr>
          <w:i/>
        </w:rPr>
        <w:t>Business</w:t>
      </w:r>
      <w:r w:rsidRPr="004B77F6">
        <w:rPr>
          <w:i/>
          <w:lang w:val="ru-RU"/>
        </w:rPr>
        <w:t xml:space="preserve"> </w:t>
      </w:r>
      <w:r>
        <w:rPr>
          <w:i/>
        </w:rPr>
        <w:t>Journals</w:t>
      </w:r>
      <w:r w:rsidR="00A579EF">
        <w:rPr>
          <w:i/>
          <w:lang w:val="ru-RU"/>
        </w:rPr>
        <w:t xml:space="preserve"> </w:t>
      </w:r>
      <w:r w:rsidRPr="004B77F6">
        <w:rPr>
          <w:lang w:val="ru-RU"/>
        </w:rPr>
        <w:t>по адресу</w:t>
      </w:r>
      <w:r w:rsidR="001C21E8">
        <w:rPr>
          <w:lang w:val="ru-RU"/>
        </w:rPr>
        <w:t>:</w:t>
      </w:r>
      <w:r w:rsidRPr="004B77F6">
        <w:rPr>
          <w:lang w:val="ru-RU"/>
        </w:rPr>
        <w:t xml:space="preserve"> </w:t>
      </w:r>
      <w:hyperlink r:id="rId49" w:history="1">
        <w:r>
          <w:rPr>
            <w:rStyle w:val="Hyperlink"/>
          </w:rPr>
          <w:t>https</w:t>
        </w:r>
        <w:r w:rsidRPr="004B77F6">
          <w:rPr>
            <w:rStyle w:val="Hyperlink"/>
            <w:lang w:val="ru-RU"/>
          </w:rPr>
          <w:t>://</w:t>
        </w:r>
        <w:r>
          <w:rPr>
            <w:rStyle w:val="Hyperlink"/>
          </w:rPr>
          <w:t>www</w:t>
        </w:r>
        <w:r w:rsidRPr="004B77F6">
          <w:rPr>
            <w:rStyle w:val="Hyperlink"/>
            <w:lang w:val="ru-RU"/>
          </w:rPr>
          <w:t>.</w:t>
        </w:r>
        <w:r>
          <w:rPr>
            <w:rStyle w:val="Hyperlink"/>
          </w:rPr>
          <w:t>bizjournals</w:t>
        </w:r>
        <w:r w:rsidRPr="004B77F6">
          <w:rPr>
            <w:rStyle w:val="Hyperlink"/>
            <w:lang w:val="ru-RU"/>
          </w:rPr>
          <w:t>.</w:t>
        </w:r>
        <w:r>
          <w:rPr>
            <w:rStyle w:val="Hyperlink"/>
          </w:rPr>
          <w:t>com</w:t>
        </w:r>
        <w:r w:rsidRPr="004B77F6">
          <w:rPr>
            <w:rStyle w:val="Hyperlink"/>
            <w:lang w:val="ru-RU"/>
          </w:rPr>
          <w:t>/</w:t>
        </w:r>
        <w:r>
          <w:rPr>
            <w:rStyle w:val="Hyperlink"/>
          </w:rPr>
          <w:t>bizjournals</w:t>
        </w:r>
        <w:r w:rsidRPr="004B77F6">
          <w:rPr>
            <w:rStyle w:val="Hyperlink"/>
            <w:lang w:val="ru-RU"/>
          </w:rPr>
          <w:t>/</w:t>
        </w:r>
        <w:r>
          <w:rPr>
            <w:rStyle w:val="Hyperlink"/>
          </w:rPr>
          <w:t>how</w:t>
        </w:r>
        <w:r w:rsidRPr="004B77F6">
          <w:rPr>
            <w:rStyle w:val="Hyperlink"/>
            <w:lang w:val="ru-RU"/>
          </w:rPr>
          <w:t>-</w:t>
        </w:r>
        <w:r>
          <w:rPr>
            <w:rStyle w:val="Hyperlink"/>
          </w:rPr>
          <w:t>to</w:t>
        </w:r>
        <w:r w:rsidRPr="004B77F6">
          <w:rPr>
            <w:rStyle w:val="Hyperlink"/>
            <w:lang w:val="ru-RU"/>
          </w:rPr>
          <w:t>/</w:t>
        </w:r>
        <w:r>
          <w:rPr>
            <w:rStyle w:val="Hyperlink"/>
          </w:rPr>
          <w:t>marketing</w:t>
        </w:r>
        <w:r w:rsidRPr="004B77F6">
          <w:rPr>
            <w:rStyle w:val="Hyperlink"/>
            <w:lang w:val="ru-RU"/>
          </w:rPr>
          <w:t>/2018/02/5-</w:t>
        </w:r>
        <w:r>
          <w:rPr>
            <w:rStyle w:val="Hyperlink"/>
          </w:rPr>
          <w:t>steps</w:t>
        </w:r>
        <w:r w:rsidRPr="004B77F6">
          <w:rPr>
            <w:rStyle w:val="Hyperlink"/>
            <w:lang w:val="ru-RU"/>
          </w:rPr>
          <w:t>-</w:t>
        </w:r>
        <w:r>
          <w:rPr>
            <w:rStyle w:val="Hyperlink"/>
          </w:rPr>
          <w:t>to</w:t>
        </w:r>
        <w:r w:rsidRPr="004B77F6">
          <w:rPr>
            <w:rStyle w:val="Hyperlink"/>
            <w:lang w:val="ru-RU"/>
          </w:rPr>
          <w:t>-</w:t>
        </w:r>
        <w:r>
          <w:rPr>
            <w:rStyle w:val="Hyperlink"/>
          </w:rPr>
          <w:t>brand</w:t>
        </w:r>
        <w:r w:rsidRPr="004B77F6">
          <w:rPr>
            <w:rStyle w:val="Hyperlink"/>
            <w:lang w:val="ru-RU"/>
          </w:rPr>
          <w:t>-</w:t>
        </w:r>
        <w:r>
          <w:rPr>
            <w:rStyle w:val="Hyperlink"/>
          </w:rPr>
          <w:t>revitalization</w:t>
        </w:r>
        <w:r w:rsidRPr="004B77F6">
          <w:rPr>
            <w:rStyle w:val="Hyperlink"/>
            <w:lang w:val="ru-RU"/>
          </w:rPr>
          <w:t>.</w:t>
        </w:r>
        <w:r>
          <w:rPr>
            <w:rStyle w:val="Hyperlink"/>
          </w:rPr>
          <w:t>html</w:t>
        </w:r>
      </w:hyperlink>
    </w:p>
  </w:footnote>
  <w:footnote w:id="201">
    <w:p w14:paraId="0549540A" w14:textId="77777777" w:rsidR="004B77F6" w:rsidRPr="004B77F6" w:rsidRDefault="004B77F6" w:rsidP="00A105CB">
      <w:pPr>
        <w:pStyle w:val="FootnoteText"/>
        <w:rPr>
          <w:color w:val="262626" w:themeColor="text1" w:themeTint="D9"/>
          <w:lang w:val="ru-RU"/>
        </w:rPr>
      </w:pPr>
      <w:r>
        <w:rPr>
          <w:rStyle w:val="FootnoteReference"/>
          <w:color w:val="262626" w:themeColor="text1" w:themeTint="D9"/>
        </w:rPr>
        <w:footnoteRef/>
      </w:r>
      <w:r w:rsidRPr="004B77F6">
        <w:rPr>
          <w:color w:val="262626" w:themeColor="text1" w:themeTint="D9"/>
          <w:lang w:val="ru-RU"/>
        </w:rPr>
        <w:t xml:space="preserve"> Хотя, как нам неоднократно указывали в ходе проведения данного обзора, определение ИКТ является очень широким, что фактически не предусмотрено уставом организации.</w:t>
      </w:r>
    </w:p>
  </w:footnote>
  <w:footnote w:id="202">
    <w:p w14:paraId="6929BD1A" w14:textId="77777777" w:rsidR="004B77F6" w:rsidRPr="004B77F6" w:rsidRDefault="004B77F6" w:rsidP="00A105CB">
      <w:pPr>
        <w:pStyle w:val="FootnoteText"/>
        <w:rPr>
          <w:color w:val="262626" w:themeColor="text1" w:themeTint="D9"/>
          <w:lang w:val="ru-RU"/>
        </w:rPr>
      </w:pPr>
      <w:r>
        <w:rPr>
          <w:rStyle w:val="FootnoteReference"/>
          <w:color w:val="262626" w:themeColor="text1" w:themeTint="D9"/>
        </w:rPr>
        <w:footnoteRef/>
      </w:r>
      <w:r w:rsidRPr="004B77F6">
        <w:rPr>
          <w:color w:val="262626" w:themeColor="text1" w:themeTint="D9"/>
          <w:lang w:val="ru-RU"/>
        </w:rPr>
        <w:t xml:space="preserve"> </w:t>
      </w:r>
      <w:r w:rsidR="00D577E1">
        <w:fldChar w:fldCharType="begin"/>
      </w:r>
      <w:r w:rsidR="00D577E1" w:rsidRPr="00D577E1">
        <w:rPr>
          <w:lang w:val="ru-RU"/>
        </w:rPr>
        <w:instrText xml:space="preserve"> </w:instrText>
      </w:r>
      <w:r w:rsidR="00D577E1">
        <w:instrText>HYPERLINK</w:instrText>
      </w:r>
      <w:r w:rsidR="00D577E1" w:rsidRPr="00D577E1">
        <w:rPr>
          <w:lang w:val="ru-RU"/>
        </w:rPr>
        <w:instrText xml:space="preserve"> "</w:instrText>
      </w:r>
      <w:r w:rsidR="00D577E1">
        <w:instrText>https</w:instrText>
      </w:r>
      <w:r w:rsidR="00D577E1" w:rsidRPr="00D577E1">
        <w:rPr>
          <w:lang w:val="ru-RU"/>
        </w:rPr>
        <w:instrText>://</w:instrText>
      </w:r>
      <w:r w:rsidR="00D577E1">
        <w:instrText>www</w:instrText>
      </w:r>
      <w:r w:rsidR="00D577E1" w:rsidRPr="00D577E1">
        <w:rPr>
          <w:lang w:val="ru-RU"/>
        </w:rPr>
        <w:instrText>.</w:instrText>
      </w:r>
      <w:r w:rsidR="00D577E1">
        <w:instrText>un</w:instrText>
      </w:r>
      <w:r w:rsidR="00D577E1" w:rsidRPr="00D577E1">
        <w:rPr>
          <w:lang w:val="ru-RU"/>
        </w:rPr>
        <w:instrText>.</w:instrText>
      </w:r>
      <w:r w:rsidR="00D577E1">
        <w:instrText>org</w:instrText>
      </w:r>
      <w:r w:rsidR="00D577E1" w:rsidRPr="00D577E1">
        <w:rPr>
          <w:lang w:val="ru-RU"/>
        </w:rPr>
        <w:instrText>/</w:instrText>
      </w:r>
      <w:r w:rsidR="00D577E1">
        <w:instrText>en</w:instrText>
      </w:r>
      <w:r w:rsidR="00D577E1" w:rsidRPr="00D577E1">
        <w:rPr>
          <w:lang w:val="ru-RU"/>
        </w:rPr>
        <w:instrText>/</w:instrText>
      </w:r>
      <w:r w:rsidR="00D577E1">
        <w:instrText>content</w:instrText>
      </w:r>
      <w:r w:rsidR="00D577E1" w:rsidRPr="00D577E1">
        <w:rPr>
          <w:lang w:val="ru-RU"/>
        </w:rPr>
        <w:instrText>/</w:instrText>
      </w:r>
      <w:r w:rsidR="00D577E1">
        <w:instrText>digital</w:instrText>
      </w:r>
      <w:r w:rsidR="00D577E1" w:rsidRPr="00D577E1">
        <w:rPr>
          <w:lang w:val="ru-RU"/>
        </w:rPr>
        <w:instrText>-</w:instrText>
      </w:r>
      <w:r w:rsidR="00D577E1">
        <w:instrText>cooperation</w:instrText>
      </w:r>
      <w:r w:rsidR="00D577E1" w:rsidRPr="00D577E1">
        <w:rPr>
          <w:lang w:val="ru-RU"/>
        </w:rPr>
        <w:instrText>-</w:instrText>
      </w:r>
      <w:r w:rsidR="00D577E1">
        <w:instrText>roadmap</w:instrText>
      </w:r>
      <w:r w:rsidR="00D577E1" w:rsidRPr="00D577E1">
        <w:rPr>
          <w:lang w:val="ru-RU"/>
        </w:rPr>
        <w:instrText xml:space="preserve">/" </w:instrText>
      </w:r>
      <w:r w:rsidR="00D577E1">
        <w:fldChar w:fldCharType="separate"/>
      </w:r>
      <w:r>
        <w:rPr>
          <w:rStyle w:val="Hyperlink"/>
          <w:color w:val="262626" w:themeColor="text1" w:themeTint="D9"/>
        </w:rPr>
        <w:t>https</w:t>
      </w:r>
      <w:r w:rsidRPr="004B77F6">
        <w:rPr>
          <w:rStyle w:val="Hyperlink"/>
          <w:color w:val="262626" w:themeColor="text1" w:themeTint="D9"/>
          <w:lang w:val="ru-RU"/>
        </w:rPr>
        <w:t>://</w:t>
      </w:r>
      <w:r>
        <w:rPr>
          <w:rStyle w:val="Hyperlink"/>
          <w:color w:val="262626" w:themeColor="text1" w:themeTint="D9"/>
        </w:rPr>
        <w:t>www</w:t>
      </w:r>
      <w:r w:rsidRPr="004B77F6">
        <w:rPr>
          <w:rStyle w:val="Hyperlink"/>
          <w:color w:val="262626" w:themeColor="text1" w:themeTint="D9"/>
          <w:lang w:val="ru-RU"/>
        </w:rPr>
        <w:t>.</w:t>
      </w:r>
      <w:r>
        <w:rPr>
          <w:rStyle w:val="Hyperlink"/>
          <w:color w:val="262626" w:themeColor="text1" w:themeTint="D9"/>
        </w:rPr>
        <w:t>un</w:t>
      </w:r>
      <w:r w:rsidRPr="004B77F6">
        <w:rPr>
          <w:rStyle w:val="Hyperlink"/>
          <w:color w:val="262626" w:themeColor="text1" w:themeTint="D9"/>
          <w:lang w:val="ru-RU"/>
        </w:rPr>
        <w:t>.</w:t>
      </w:r>
      <w:r>
        <w:rPr>
          <w:rStyle w:val="Hyperlink"/>
          <w:color w:val="262626" w:themeColor="text1" w:themeTint="D9"/>
        </w:rPr>
        <w:t>org</w:t>
      </w:r>
      <w:r w:rsidRPr="004B77F6">
        <w:rPr>
          <w:rStyle w:val="Hyperlink"/>
          <w:color w:val="262626" w:themeColor="text1" w:themeTint="D9"/>
          <w:lang w:val="ru-RU"/>
        </w:rPr>
        <w:t>/</w:t>
      </w:r>
      <w:r>
        <w:rPr>
          <w:rStyle w:val="Hyperlink"/>
          <w:color w:val="262626" w:themeColor="text1" w:themeTint="D9"/>
        </w:rPr>
        <w:t>en</w:t>
      </w:r>
      <w:r w:rsidRPr="004B77F6">
        <w:rPr>
          <w:rStyle w:val="Hyperlink"/>
          <w:color w:val="262626" w:themeColor="text1" w:themeTint="D9"/>
          <w:lang w:val="ru-RU"/>
        </w:rPr>
        <w:t>/</w:t>
      </w:r>
      <w:r>
        <w:rPr>
          <w:rStyle w:val="Hyperlink"/>
          <w:color w:val="262626" w:themeColor="text1" w:themeTint="D9"/>
        </w:rPr>
        <w:t>content</w:t>
      </w:r>
      <w:r w:rsidRPr="004B77F6">
        <w:rPr>
          <w:rStyle w:val="Hyperlink"/>
          <w:color w:val="262626" w:themeColor="text1" w:themeTint="D9"/>
          <w:lang w:val="ru-RU"/>
        </w:rPr>
        <w:t>/</w:t>
      </w:r>
      <w:r>
        <w:rPr>
          <w:rStyle w:val="Hyperlink"/>
          <w:color w:val="262626" w:themeColor="text1" w:themeTint="D9"/>
        </w:rPr>
        <w:t>digital</w:t>
      </w:r>
      <w:r w:rsidRPr="004B77F6">
        <w:rPr>
          <w:rStyle w:val="Hyperlink"/>
          <w:color w:val="262626" w:themeColor="text1" w:themeTint="D9"/>
          <w:lang w:val="ru-RU"/>
        </w:rPr>
        <w:t>-</w:t>
      </w:r>
      <w:r>
        <w:rPr>
          <w:rStyle w:val="Hyperlink"/>
          <w:color w:val="262626" w:themeColor="text1" w:themeTint="D9"/>
        </w:rPr>
        <w:t>cooperation</w:t>
      </w:r>
      <w:r w:rsidRPr="004B77F6">
        <w:rPr>
          <w:rStyle w:val="Hyperlink"/>
          <w:color w:val="262626" w:themeColor="text1" w:themeTint="D9"/>
          <w:lang w:val="ru-RU"/>
        </w:rPr>
        <w:t>-</w:t>
      </w:r>
      <w:r>
        <w:rPr>
          <w:rStyle w:val="Hyperlink"/>
          <w:color w:val="262626" w:themeColor="text1" w:themeTint="D9"/>
        </w:rPr>
        <w:t>roadmap</w:t>
      </w:r>
      <w:r w:rsidRPr="004B77F6">
        <w:rPr>
          <w:rStyle w:val="Hyperlink"/>
          <w:color w:val="262626" w:themeColor="text1" w:themeTint="D9"/>
          <w:lang w:val="ru-RU"/>
        </w:rPr>
        <w:t>/</w:t>
      </w:r>
      <w:r w:rsidR="00D577E1">
        <w:rPr>
          <w:rStyle w:val="Hyperlink"/>
          <w:color w:val="262626" w:themeColor="text1" w:themeTint="D9"/>
          <w:lang w:val="ru-RU"/>
        </w:rPr>
        <w:fldChar w:fldCharType="end"/>
      </w:r>
      <w:r w:rsidRPr="004B77F6">
        <w:rPr>
          <w:color w:val="262626" w:themeColor="text1" w:themeTint="D9"/>
          <w:lang w:val="ru-RU"/>
        </w:rPr>
        <w:t>.</w:t>
      </w:r>
    </w:p>
  </w:footnote>
  <w:footnote w:id="203">
    <w:p w14:paraId="01487480" w14:textId="628353B4" w:rsidR="004B77F6" w:rsidRPr="004B77F6" w:rsidRDefault="004B77F6" w:rsidP="00A105CB">
      <w:pPr>
        <w:pStyle w:val="FootnoteText"/>
        <w:rPr>
          <w:color w:val="262626" w:themeColor="text1" w:themeTint="D9"/>
          <w:lang w:val="ru-RU"/>
        </w:rPr>
      </w:pPr>
      <w:r>
        <w:rPr>
          <w:rStyle w:val="FootnoteReference"/>
          <w:color w:val="262626" w:themeColor="text1" w:themeTint="D9"/>
        </w:rPr>
        <w:footnoteRef/>
      </w:r>
      <w:r w:rsidRPr="004B77F6">
        <w:rPr>
          <w:color w:val="262626" w:themeColor="text1" w:themeTint="D9"/>
          <w:lang w:val="ru-RU"/>
        </w:rPr>
        <w:t xml:space="preserve"> </w:t>
      </w:r>
      <w:r w:rsidR="00D577E1">
        <w:fldChar w:fldCharType="begin"/>
      </w:r>
      <w:r w:rsidR="00D577E1" w:rsidRPr="00D577E1">
        <w:rPr>
          <w:lang w:val="ru-RU"/>
        </w:rPr>
        <w:instrText xml:space="preserve"> </w:instrText>
      </w:r>
      <w:r w:rsidR="00D577E1">
        <w:instrText>HYPERLINK</w:instrText>
      </w:r>
      <w:r w:rsidR="00D577E1" w:rsidRPr="00D577E1">
        <w:rPr>
          <w:lang w:val="ru-RU"/>
        </w:rPr>
        <w:instrText xml:space="preserve"> "</w:instrText>
      </w:r>
      <w:r w:rsidR="00D577E1">
        <w:instrText>https</w:instrText>
      </w:r>
      <w:r w:rsidR="00D577E1" w:rsidRPr="00D577E1">
        <w:rPr>
          <w:lang w:val="ru-RU"/>
        </w:rPr>
        <w:instrText>://</w:instrText>
      </w:r>
      <w:r w:rsidR="00D577E1">
        <w:instrText>www</w:instrText>
      </w:r>
      <w:r w:rsidR="00D577E1" w:rsidRPr="00D577E1">
        <w:rPr>
          <w:lang w:val="ru-RU"/>
        </w:rPr>
        <w:instrText>.</w:instrText>
      </w:r>
      <w:r w:rsidR="00D577E1">
        <w:instrText>un</w:instrText>
      </w:r>
      <w:r w:rsidR="00D577E1" w:rsidRPr="00D577E1">
        <w:rPr>
          <w:lang w:val="ru-RU"/>
        </w:rPr>
        <w:instrText>.</w:instrText>
      </w:r>
      <w:r w:rsidR="00D577E1">
        <w:instrText>org</w:instrText>
      </w:r>
      <w:r w:rsidR="00D577E1" w:rsidRPr="00D577E1">
        <w:rPr>
          <w:lang w:val="ru-RU"/>
        </w:rPr>
        <w:instrText>/</w:instrText>
      </w:r>
      <w:r w:rsidR="00D577E1">
        <w:instrText>en</w:instrText>
      </w:r>
      <w:r w:rsidR="00D577E1" w:rsidRPr="00D577E1">
        <w:rPr>
          <w:lang w:val="ru-RU"/>
        </w:rPr>
        <w:instrText>/</w:instrText>
      </w:r>
      <w:r w:rsidR="00D577E1">
        <w:instrText>content</w:instrText>
      </w:r>
      <w:r w:rsidR="00D577E1" w:rsidRPr="00D577E1">
        <w:rPr>
          <w:lang w:val="ru-RU"/>
        </w:rPr>
        <w:instrText>/</w:instrText>
      </w:r>
      <w:r w:rsidR="00D577E1">
        <w:instrText>digital</w:instrText>
      </w:r>
      <w:r w:rsidR="00D577E1" w:rsidRPr="00D577E1">
        <w:rPr>
          <w:lang w:val="ru-RU"/>
        </w:rPr>
        <w:instrText>-</w:instrText>
      </w:r>
      <w:r w:rsidR="00D577E1">
        <w:instrText>cooperation</w:instrText>
      </w:r>
      <w:r w:rsidR="00D577E1" w:rsidRPr="00D577E1">
        <w:rPr>
          <w:lang w:val="ru-RU"/>
        </w:rPr>
        <w:instrText>-</w:instrText>
      </w:r>
      <w:r w:rsidR="00D577E1">
        <w:instrText>roadmap</w:instrText>
      </w:r>
      <w:r w:rsidR="00D577E1" w:rsidRPr="00D577E1">
        <w:rPr>
          <w:lang w:val="ru-RU"/>
        </w:rPr>
        <w:instrText>/</w:instrText>
      </w:r>
      <w:r w:rsidR="00D577E1">
        <w:instrText>assets</w:instrText>
      </w:r>
      <w:r w:rsidR="00D577E1" w:rsidRPr="00D577E1">
        <w:rPr>
          <w:lang w:val="ru-RU"/>
        </w:rPr>
        <w:instrText>/</w:instrText>
      </w:r>
      <w:r w:rsidR="00D577E1">
        <w:instrText>pdf</w:instrText>
      </w:r>
      <w:r w:rsidR="00D577E1" w:rsidRPr="00D577E1">
        <w:rPr>
          <w:lang w:val="ru-RU"/>
        </w:rPr>
        <w:instrText>/</w:instrText>
      </w:r>
      <w:r w:rsidR="00D577E1">
        <w:instrText>Roadmap</w:instrText>
      </w:r>
      <w:r w:rsidR="00D577E1" w:rsidRPr="00D577E1">
        <w:rPr>
          <w:lang w:val="ru-RU"/>
        </w:rPr>
        <w:instrText>_</w:instrText>
      </w:r>
      <w:r w:rsidR="00D577E1">
        <w:instrText>for</w:instrText>
      </w:r>
      <w:r w:rsidR="00D577E1" w:rsidRPr="00D577E1">
        <w:rPr>
          <w:lang w:val="ru-RU"/>
        </w:rPr>
        <w:instrText>_</w:instrText>
      </w:r>
      <w:r w:rsidR="00D577E1">
        <w:instrText>Digital</w:instrText>
      </w:r>
      <w:r w:rsidR="00D577E1" w:rsidRPr="00D577E1">
        <w:rPr>
          <w:lang w:val="ru-RU"/>
        </w:rPr>
        <w:instrText>_</w:instrText>
      </w:r>
      <w:r w:rsidR="00D577E1">
        <w:instrText>Cooperation</w:instrText>
      </w:r>
      <w:r w:rsidR="00D577E1" w:rsidRPr="00D577E1">
        <w:rPr>
          <w:lang w:val="ru-RU"/>
        </w:rPr>
        <w:instrText>_</w:instrText>
      </w:r>
      <w:r w:rsidR="00D577E1">
        <w:instrText>EN</w:instrText>
      </w:r>
      <w:r w:rsidR="00D577E1" w:rsidRPr="00D577E1">
        <w:rPr>
          <w:lang w:val="ru-RU"/>
        </w:rPr>
        <w:instrText>.</w:instrText>
      </w:r>
      <w:r w:rsidR="00D577E1">
        <w:instrText>pdf</w:instrText>
      </w:r>
      <w:r w:rsidR="00D577E1" w:rsidRPr="00D577E1">
        <w:rPr>
          <w:lang w:val="ru-RU"/>
        </w:rPr>
        <w:instrText xml:space="preserve">" </w:instrText>
      </w:r>
      <w:r w:rsidR="00D577E1">
        <w:fldChar w:fldCharType="separate"/>
      </w:r>
      <w:r>
        <w:rPr>
          <w:rStyle w:val="Hyperlink"/>
          <w:color w:val="262626" w:themeColor="text1" w:themeTint="D9"/>
        </w:rPr>
        <w:t>https</w:t>
      </w:r>
      <w:r w:rsidRPr="004B77F6">
        <w:rPr>
          <w:rStyle w:val="Hyperlink"/>
          <w:color w:val="262626" w:themeColor="text1" w:themeTint="D9"/>
          <w:lang w:val="ru-RU"/>
        </w:rPr>
        <w:t>://</w:t>
      </w:r>
      <w:r>
        <w:rPr>
          <w:rStyle w:val="Hyperlink"/>
          <w:color w:val="262626" w:themeColor="text1" w:themeTint="D9"/>
        </w:rPr>
        <w:t>www</w:t>
      </w:r>
      <w:r w:rsidRPr="004B77F6">
        <w:rPr>
          <w:rStyle w:val="Hyperlink"/>
          <w:color w:val="262626" w:themeColor="text1" w:themeTint="D9"/>
          <w:lang w:val="ru-RU"/>
        </w:rPr>
        <w:t>.</w:t>
      </w:r>
      <w:r>
        <w:rPr>
          <w:rStyle w:val="Hyperlink"/>
          <w:color w:val="262626" w:themeColor="text1" w:themeTint="D9"/>
        </w:rPr>
        <w:t>un</w:t>
      </w:r>
      <w:r w:rsidRPr="004B77F6">
        <w:rPr>
          <w:rStyle w:val="Hyperlink"/>
          <w:color w:val="262626" w:themeColor="text1" w:themeTint="D9"/>
          <w:lang w:val="ru-RU"/>
        </w:rPr>
        <w:t>.</w:t>
      </w:r>
      <w:r>
        <w:rPr>
          <w:rStyle w:val="Hyperlink"/>
          <w:color w:val="262626" w:themeColor="text1" w:themeTint="D9"/>
        </w:rPr>
        <w:t>org</w:t>
      </w:r>
      <w:r w:rsidRPr="004B77F6">
        <w:rPr>
          <w:rStyle w:val="Hyperlink"/>
          <w:color w:val="262626" w:themeColor="text1" w:themeTint="D9"/>
          <w:lang w:val="ru-RU"/>
        </w:rPr>
        <w:t>/</w:t>
      </w:r>
      <w:r>
        <w:rPr>
          <w:rStyle w:val="Hyperlink"/>
          <w:color w:val="262626" w:themeColor="text1" w:themeTint="D9"/>
        </w:rPr>
        <w:t>en</w:t>
      </w:r>
      <w:r w:rsidRPr="004B77F6">
        <w:rPr>
          <w:rStyle w:val="Hyperlink"/>
          <w:color w:val="262626" w:themeColor="text1" w:themeTint="D9"/>
          <w:lang w:val="ru-RU"/>
        </w:rPr>
        <w:t>/</w:t>
      </w:r>
      <w:r>
        <w:rPr>
          <w:rStyle w:val="Hyperlink"/>
          <w:color w:val="262626" w:themeColor="text1" w:themeTint="D9"/>
        </w:rPr>
        <w:t>content</w:t>
      </w:r>
      <w:r w:rsidRPr="004B77F6">
        <w:rPr>
          <w:rStyle w:val="Hyperlink"/>
          <w:color w:val="262626" w:themeColor="text1" w:themeTint="D9"/>
          <w:lang w:val="ru-RU"/>
        </w:rPr>
        <w:t>/</w:t>
      </w:r>
      <w:r>
        <w:rPr>
          <w:rStyle w:val="Hyperlink"/>
          <w:color w:val="262626" w:themeColor="text1" w:themeTint="D9"/>
        </w:rPr>
        <w:t>digital</w:t>
      </w:r>
      <w:r w:rsidRPr="004B77F6">
        <w:rPr>
          <w:rStyle w:val="Hyperlink"/>
          <w:color w:val="262626" w:themeColor="text1" w:themeTint="D9"/>
          <w:lang w:val="ru-RU"/>
        </w:rPr>
        <w:t>-</w:t>
      </w:r>
      <w:r>
        <w:rPr>
          <w:rStyle w:val="Hyperlink"/>
          <w:color w:val="262626" w:themeColor="text1" w:themeTint="D9"/>
        </w:rPr>
        <w:t>cooperation</w:t>
      </w:r>
      <w:r w:rsidRPr="004B77F6">
        <w:rPr>
          <w:rStyle w:val="Hyperlink"/>
          <w:color w:val="262626" w:themeColor="text1" w:themeTint="D9"/>
          <w:lang w:val="ru-RU"/>
        </w:rPr>
        <w:t>-</w:t>
      </w:r>
      <w:r>
        <w:rPr>
          <w:rStyle w:val="Hyperlink"/>
          <w:color w:val="262626" w:themeColor="text1" w:themeTint="D9"/>
        </w:rPr>
        <w:t>roadmap</w:t>
      </w:r>
      <w:r w:rsidRPr="004B77F6">
        <w:rPr>
          <w:rStyle w:val="Hyperlink"/>
          <w:color w:val="262626" w:themeColor="text1" w:themeTint="D9"/>
          <w:lang w:val="ru-RU"/>
        </w:rPr>
        <w:t>/</w:t>
      </w:r>
      <w:r>
        <w:rPr>
          <w:rStyle w:val="Hyperlink"/>
          <w:color w:val="262626" w:themeColor="text1" w:themeTint="D9"/>
        </w:rPr>
        <w:t>assets</w:t>
      </w:r>
      <w:r w:rsidRPr="004B77F6">
        <w:rPr>
          <w:rStyle w:val="Hyperlink"/>
          <w:color w:val="262626" w:themeColor="text1" w:themeTint="D9"/>
          <w:lang w:val="ru-RU"/>
        </w:rPr>
        <w:t>/</w:t>
      </w:r>
      <w:r>
        <w:rPr>
          <w:rStyle w:val="Hyperlink"/>
          <w:color w:val="262626" w:themeColor="text1" w:themeTint="D9"/>
        </w:rPr>
        <w:t>pdf</w:t>
      </w:r>
      <w:r w:rsidRPr="004B77F6">
        <w:rPr>
          <w:rStyle w:val="Hyperlink"/>
          <w:color w:val="262626" w:themeColor="text1" w:themeTint="D9"/>
          <w:lang w:val="ru-RU"/>
        </w:rPr>
        <w:t>/</w:t>
      </w:r>
      <w:r>
        <w:rPr>
          <w:rStyle w:val="Hyperlink"/>
          <w:color w:val="262626" w:themeColor="text1" w:themeTint="D9"/>
        </w:rPr>
        <w:t>Roadmap</w:t>
      </w:r>
      <w:r w:rsidRPr="004B77F6">
        <w:rPr>
          <w:rStyle w:val="Hyperlink"/>
          <w:color w:val="262626" w:themeColor="text1" w:themeTint="D9"/>
          <w:lang w:val="ru-RU"/>
        </w:rPr>
        <w:t>_</w:t>
      </w:r>
      <w:r>
        <w:rPr>
          <w:rStyle w:val="Hyperlink"/>
          <w:color w:val="262626" w:themeColor="text1" w:themeTint="D9"/>
        </w:rPr>
        <w:t>for</w:t>
      </w:r>
      <w:r w:rsidRPr="004B77F6">
        <w:rPr>
          <w:rStyle w:val="Hyperlink"/>
          <w:color w:val="262626" w:themeColor="text1" w:themeTint="D9"/>
          <w:lang w:val="ru-RU"/>
        </w:rPr>
        <w:t>_</w:t>
      </w:r>
      <w:r>
        <w:rPr>
          <w:rStyle w:val="Hyperlink"/>
          <w:color w:val="262626" w:themeColor="text1" w:themeTint="D9"/>
        </w:rPr>
        <w:t>Digital</w:t>
      </w:r>
      <w:r w:rsidRPr="004B77F6">
        <w:rPr>
          <w:rStyle w:val="Hyperlink"/>
          <w:color w:val="262626" w:themeColor="text1" w:themeTint="D9"/>
          <w:lang w:val="ru-RU"/>
        </w:rPr>
        <w:t>_</w:t>
      </w:r>
      <w:r>
        <w:rPr>
          <w:rStyle w:val="Hyperlink"/>
          <w:color w:val="262626" w:themeColor="text1" w:themeTint="D9"/>
        </w:rPr>
        <w:t>Cooperation</w:t>
      </w:r>
      <w:r w:rsidRPr="004B77F6">
        <w:rPr>
          <w:rStyle w:val="Hyperlink"/>
          <w:color w:val="262626" w:themeColor="text1" w:themeTint="D9"/>
          <w:lang w:val="ru-RU"/>
        </w:rPr>
        <w:t>_</w:t>
      </w:r>
      <w:r>
        <w:rPr>
          <w:rStyle w:val="Hyperlink"/>
          <w:color w:val="262626" w:themeColor="text1" w:themeTint="D9"/>
        </w:rPr>
        <w:t>EN</w:t>
      </w:r>
      <w:r w:rsidRPr="004B77F6">
        <w:rPr>
          <w:rStyle w:val="Hyperlink"/>
          <w:color w:val="262626" w:themeColor="text1" w:themeTint="D9"/>
          <w:lang w:val="ru-RU"/>
        </w:rPr>
        <w:t>.</w:t>
      </w:r>
      <w:r>
        <w:rPr>
          <w:rStyle w:val="Hyperlink"/>
          <w:color w:val="262626" w:themeColor="text1" w:themeTint="D9"/>
        </w:rPr>
        <w:t>pdf</w:t>
      </w:r>
      <w:r w:rsidR="00D577E1">
        <w:rPr>
          <w:rStyle w:val="Hyperlink"/>
          <w:color w:val="262626" w:themeColor="text1" w:themeTint="D9"/>
        </w:rPr>
        <w:fldChar w:fldCharType="end"/>
      </w:r>
      <w:r w:rsidRPr="004B77F6">
        <w:rPr>
          <w:color w:val="262626" w:themeColor="text1" w:themeTint="D9"/>
          <w:lang w:val="ru-RU"/>
        </w:rPr>
        <w:t>.</w:t>
      </w:r>
      <w:r w:rsidR="00A579EF">
        <w:rPr>
          <w:color w:val="262626" w:themeColor="text1" w:themeTint="D9"/>
          <w:lang w:val="ru-RU"/>
        </w:rPr>
        <w:t xml:space="preserve"> </w:t>
      </w:r>
      <w:r w:rsidRPr="004B77F6">
        <w:rPr>
          <w:color w:val="262626" w:themeColor="text1" w:themeTint="D9"/>
          <w:lang w:val="ru-RU"/>
        </w:rPr>
        <w:t xml:space="preserve">Использование слова </w:t>
      </w:r>
      <w:r w:rsidR="006E72AD">
        <w:rPr>
          <w:color w:val="262626" w:themeColor="text1" w:themeTint="D9"/>
          <w:lang w:val="ru-RU"/>
        </w:rPr>
        <w:t>"</w:t>
      </w:r>
      <w:r w:rsidRPr="004B77F6">
        <w:rPr>
          <w:color w:val="262626" w:themeColor="text1" w:themeTint="D9"/>
          <w:lang w:val="ru-RU"/>
        </w:rPr>
        <w:t>по существу</w:t>
      </w:r>
      <w:r w:rsidR="006E72AD">
        <w:rPr>
          <w:color w:val="262626" w:themeColor="text1" w:themeTint="D9"/>
          <w:lang w:val="ru-RU"/>
        </w:rPr>
        <w:t>"</w:t>
      </w:r>
      <w:r w:rsidRPr="004B77F6">
        <w:rPr>
          <w:color w:val="262626" w:themeColor="text1" w:themeTint="D9"/>
          <w:lang w:val="ru-RU"/>
        </w:rPr>
        <w:t xml:space="preserve"> означает, что упоминания в концевой сноске или в качестве источника при составлении рисунка или таблицы не учитываются.</w:t>
      </w:r>
    </w:p>
  </w:footnote>
  <w:footnote w:id="204">
    <w:p w14:paraId="53AA151C" w14:textId="2113A3A0" w:rsidR="004B77F6" w:rsidRPr="004B77F6" w:rsidRDefault="004B77F6" w:rsidP="00A105CB">
      <w:pPr>
        <w:pStyle w:val="FootnoteText"/>
        <w:rPr>
          <w:color w:val="262626" w:themeColor="text1" w:themeTint="D9"/>
          <w:lang w:val="ru-RU"/>
        </w:rPr>
      </w:pPr>
      <w:r>
        <w:rPr>
          <w:rStyle w:val="FootnoteReference"/>
          <w:color w:val="262626" w:themeColor="text1" w:themeTint="D9"/>
        </w:rPr>
        <w:footnoteRef/>
      </w:r>
      <w:r w:rsidRPr="004B77F6">
        <w:rPr>
          <w:color w:val="262626" w:themeColor="text1" w:themeTint="D9"/>
          <w:lang w:val="ru-RU"/>
        </w:rPr>
        <w:t xml:space="preserve"> Хотя в последние годы появились определенные противоречия.</w:t>
      </w:r>
      <w:r w:rsidR="00A579EF">
        <w:rPr>
          <w:color w:val="262626" w:themeColor="text1" w:themeTint="D9"/>
          <w:lang w:val="ru-RU"/>
        </w:rPr>
        <w:t xml:space="preserve"> </w:t>
      </w:r>
      <w:r w:rsidRPr="004B77F6">
        <w:rPr>
          <w:color w:val="262626" w:themeColor="text1" w:themeTint="D9"/>
          <w:lang w:val="ru-RU"/>
        </w:rPr>
        <w:t>См.</w:t>
      </w:r>
      <w:r>
        <w:rPr>
          <w:color w:val="262626" w:themeColor="text1" w:themeTint="D9"/>
        </w:rPr>
        <w:t> </w:t>
      </w:r>
      <w:r w:rsidRPr="004B77F6">
        <w:rPr>
          <w:color w:val="262626" w:themeColor="text1" w:themeTint="D9"/>
          <w:lang w:val="ru-RU"/>
        </w:rPr>
        <w:t xml:space="preserve">например, </w:t>
      </w:r>
      <w:r w:rsidR="00D577E1">
        <w:fldChar w:fldCharType="begin"/>
      </w:r>
      <w:r w:rsidR="00D577E1" w:rsidRPr="00D577E1">
        <w:rPr>
          <w:lang w:val="ru-RU"/>
        </w:rPr>
        <w:instrText xml:space="preserve"> </w:instrText>
      </w:r>
      <w:r w:rsidR="00D577E1">
        <w:instrText>HYPERLINK</w:instrText>
      </w:r>
      <w:r w:rsidR="00D577E1" w:rsidRPr="00D577E1">
        <w:rPr>
          <w:lang w:val="ru-RU"/>
        </w:rPr>
        <w:instrText xml:space="preserve"> "</w:instrText>
      </w:r>
      <w:r w:rsidR="00D577E1">
        <w:instrText>https</w:instrText>
      </w:r>
      <w:r w:rsidR="00D577E1" w:rsidRPr="00D577E1">
        <w:rPr>
          <w:lang w:val="ru-RU"/>
        </w:rPr>
        <w:instrText>://</w:instrText>
      </w:r>
      <w:r w:rsidR="00D577E1">
        <w:instrText>www</w:instrText>
      </w:r>
      <w:r w:rsidR="00D577E1" w:rsidRPr="00D577E1">
        <w:rPr>
          <w:lang w:val="ru-RU"/>
        </w:rPr>
        <w:instrText>.</w:instrText>
      </w:r>
      <w:r w:rsidR="00D577E1">
        <w:instrText>ft</w:instrText>
      </w:r>
      <w:r w:rsidR="00D577E1" w:rsidRPr="00D577E1">
        <w:rPr>
          <w:lang w:val="ru-RU"/>
        </w:rPr>
        <w:instrText>.</w:instrText>
      </w:r>
      <w:r w:rsidR="00D577E1">
        <w:instrText>com</w:instrText>
      </w:r>
      <w:r w:rsidR="00D577E1" w:rsidRPr="00D577E1">
        <w:rPr>
          <w:lang w:val="ru-RU"/>
        </w:rPr>
        <w:instrText>/</w:instrText>
      </w:r>
      <w:r w:rsidR="00D577E1">
        <w:instrText>content</w:instrText>
      </w:r>
      <w:r w:rsidR="00D577E1" w:rsidRPr="00D577E1">
        <w:rPr>
          <w:lang w:val="ru-RU"/>
        </w:rPr>
        <w:instrText>/</w:instrText>
      </w:r>
      <w:r w:rsidR="00D577E1">
        <w:instrText>b</w:instrText>
      </w:r>
      <w:r w:rsidR="00D577E1" w:rsidRPr="00D577E1">
        <w:rPr>
          <w:lang w:val="ru-RU"/>
        </w:rPr>
        <w:instrText>34</w:instrText>
      </w:r>
      <w:r w:rsidR="00D577E1">
        <w:instrText>d</w:instrText>
      </w:r>
      <w:r w:rsidR="00D577E1" w:rsidRPr="00D577E1">
        <w:rPr>
          <w:lang w:val="ru-RU"/>
        </w:rPr>
        <w:instrText>8</w:instrText>
      </w:r>
      <w:r w:rsidR="00D577E1">
        <w:instrText>ff</w:instrText>
      </w:r>
      <w:r w:rsidR="00D577E1" w:rsidRPr="00D577E1">
        <w:rPr>
          <w:lang w:val="ru-RU"/>
        </w:rPr>
        <w:instrText>8-21</w:instrText>
      </w:r>
      <w:r w:rsidR="00D577E1">
        <w:instrText>b</w:instrText>
      </w:r>
      <w:r w:rsidR="00D577E1" w:rsidRPr="00D577E1">
        <w:rPr>
          <w:lang w:val="ru-RU"/>
        </w:rPr>
        <w:instrText>4-11</w:instrText>
      </w:r>
      <w:r w:rsidR="00D577E1">
        <w:instrText>ea</w:instrText>
      </w:r>
      <w:r w:rsidR="00D577E1" w:rsidRPr="00D577E1">
        <w:rPr>
          <w:lang w:val="ru-RU"/>
        </w:rPr>
        <w:instrText>-</w:instrText>
      </w:r>
      <w:r w:rsidR="00D577E1" w:rsidRPr="00D577E1">
        <w:rPr>
          <w:lang w:val="ru-RU"/>
        </w:rPr>
        <w:instrText>92</w:instrText>
      </w:r>
      <w:r w:rsidR="00D577E1">
        <w:instrText>da</w:instrText>
      </w:r>
      <w:r w:rsidR="00D577E1" w:rsidRPr="00D577E1">
        <w:rPr>
          <w:lang w:val="ru-RU"/>
        </w:rPr>
        <w:instrText>-</w:instrText>
      </w:r>
      <w:r w:rsidR="00D577E1">
        <w:instrText>f</w:instrText>
      </w:r>
      <w:r w:rsidR="00D577E1" w:rsidRPr="00D577E1">
        <w:rPr>
          <w:lang w:val="ru-RU"/>
        </w:rPr>
        <w:instrText>0</w:instrText>
      </w:r>
      <w:r w:rsidR="00D577E1">
        <w:instrText>c</w:instrText>
      </w:r>
      <w:r w:rsidR="00D577E1" w:rsidRPr="00D577E1">
        <w:rPr>
          <w:lang w:val="ru-RU"/>
        </w:rPr>
        <w:instrText>92</w:instrText>
      </w:r>
      <w:r w:rsidR="00D577E1">
        <w:instrText>e</w:instrText>
      </w:r>
      <w:r w:rsidR="00D577E1" w:rsidRPr="00D577E1">
        <w:rPr>
          <w:lang w:val="ru-RU"/>
        </w:rPr>
        <w:instrText>957</w:instrText>
      </w:r>
      <w:r w:rsidR="00D577E1">
        <w:instrText>a</w:instrText>
      </w:r>
      <w:r w:rsidR="00D577E1" w:rsidRPr="00D577E1">
        <w:rPr>
          <w:lang w:val="ru-RU"/>
        </w:rPr>
        <w:instrText xml:space="preserve">96" </w:instrText>
      </w:r>
      <w:r w:rsidR="00D577E1">
        <w:fldChar w:fldCharType="separate"/>
      </w:r>
      <w:r w:rsidR="006679E4" w:rsidRPr="005A2AD9">
        <w:rPr>
          <w:rStyle w:val="Hyperlink"/>
        </w:rPr>
        <w:t>https</w:t>
      </w:r>
      <w:r w:rsidR="006679E4" w:rsidRPr="005A2AD9">
        <w:rPr>
          <w:rStyle w:val="Hyperlink"/>
          <w:lang w:val="ru-RU"/>
        </w:rPr>
        <w:t>://</w:t>
      </w:r>
      <w:r w:rsidR="006679E4" w:rsidRPr="005A2AD9">
        <w:rPr>
          <w:rStyle w:val="Hyperlink"/>
        </w:rPr>
        <w:t>www</w:t>
      </w:r>
      <w:r w:rsidR="006679E4" w:rsidRPr="005A2AD9">
        <w:rPr>
          <w:rStyle w:val="Hyperlink"/>
          <w:lang w:val="ru-RU"/>
        </w:rPr>
        <w:t>.</w:t>
      </w:r>
      <w:r w:rsidR="006679E4" w:rsidRPr="005A2AD9">
        <w:rPr>
          <w:rStyle w:val="Hyperlink"/>
        </w:rPr>
        <w:t>ft</w:t>
      </w:r>
      <w:r w:rsidR="006679E4" w:rsidRPr="005A2AD9">
        <w:rPr>
          <w:rStyle w:val="Hyperlink"/>
          <w:lang w:val="ru-RU"/>
        </w:rPr>
        <w:t>.</w:t>
      </w:r>
      <w:r w:rsidR="006679E4" w:rsidRPr="005A2AD9">
        <w:rPr>
          <w:rStyle w:val="Hyperlink"/>
        </w:rPr>
        <w:t>com</w:t>
      </w:r>
      <w:r w:rsidR="006679E4" w:rsidRPr="005A2AD9">
        <w:rPr>
          <w:rStyle w:val="Hyperlink"/>
          <w:lang w:val="ru-RU"/>
        </w:rPr>
        <w:t>/</w:t>
      </w:r>
      <w:r w:rsidR="006679E4" w:rsidRPr="005A2AD9">
        <w:rPr>
          <w:rStyle w:val="Hyperlink"/>
        </w:rPr>
        <w:t>content</w:t>
      </w:r>
      <w:r w:rsidR="006679E4" w:rsidRPr="005A2AD9">
        <w:rPr>
          <w:rStyle w:val="Hyperlink"/>
          <w:lang w:val="ru-RU"/>
        </w:rPr>
        <w:t>/</w:t>
      </w:r>
      <w:r w:rsidR="006679E4" w:rsidRPr="005A2AD9">
        <w:rPr>
          <w:rStyle w:val="Hyperlink"/>
        </w:rPr>
        <w:t>b</w:t>
      </w:r>
      <w:r w:rsidR="006679E4" w:rsidRPr="005A2AD9">
        <w:rPr>
          <w:rStyle w:val="Hyperlink"/>
          <w:lang w:val="ru-RU"/>
        </w:rPr>
        <w:t>34</w:t>
      </w:r>
      <w:r w:rsidR="006679E4" w:rsidRPr="005A2AD9">
        <w:rPr>
          <w:rStyle w:val="Hyperlink"/>
        </w:rPr>
        <w:t>d</w:t>
      </w:r>
      <w:r w:rsidR="006679E4" w:rsidRPr="005A2AD9">
        <w:rPr>
          <w:rStyle w:val="Hyperlink"/>
          <w:lang w:val="ru-RU"/>
        </w:rPr>
        <w:t>8</w:t>
      </w:r>
      <w:r w:rsidR="006679E4" w:rsidRPr="005A2AD9">
        <w:rPr>
          <w:rStyle w:val="Hyperlink"/>
        </w:rPr>
        <w:t>ff</w:t>
      </w:r>
      <w:r w:rsidR="006679E4" w:rsidRPr="005A2AD9">
        <w:rPr>
          <w:rStyle w:val="Hyperlink"/>
          <w:lang w:val="ru-RU"/>
        </w:rPr>
        <w:t>8-21</w:t>
      </w:r>
      <w:r w:rsidR="006679E4" w:rsidRPr="005A2AD9">
        <w:rPr>
          <w:rStyle w:val="Hyperlink"/>
        </w:rPr>
        <w:t>b</w:t>
      </w:r>
      <w:r w:rsidR="006679E4" w:rsidRPr="005A2AD9">
        <w:rPr>
          <w:rStyle w:val="Hyperlink"/>
          <w:lang w:val="ru-RU"/>
        </w:rPr>
        <w:t>4-11</w:t>
      </w:r>
      <w:r w:rsidR="006679E4" w:rsidRPr="005A2AD9">
        <w:rPr>
          <w:rStyle w:val="Hyperlink"/>
        </w:rPr>
        <w:t>ea</w:t>
      </w:r>
      <w:r w:rsidR="006679E4" w:rsidRPr="005A2AD9">
        <w:rPr>
          <w:rStyle w:val="Hyperlink"/>
          <w:lang w:val="ru-RU"/>
        </w:rPr>
        <w:t>-92</w:t>
      </w:r>
      <w:r w:rsidR="006679E4" w:rsidRPr="005A2AD9">
        <w:rPr>
          <w:rStyle w:val="Hyperlink"/>
        </w:rPr>
        <w:t>da</w:t>
      </w:r>
      <w:r w:rsidR="006679E4" w:rsidRPr="005A2AD9">
        <w:rPr>
          <w:rStyle w:val="Hyperlink"/>
          <w:lang w:val="ru-RU"/>
        </w:rPr>
        <w:t>-</w:t>
      </w:r>
      <w:r w:rsidR="006679E4" w:rsidRPr="005A2AD9">
        <w:rPr>
          <w:rStyle w:val="Hyperlink"/>
        </w:rPr>
        <w:t>f</w:t>
      </w:r>
      <w:r w:rsidR="006679E4" w:rsidRPr="005A2AD9">
        <w:rPr>
          <w:rStyle w:val="Hyperlink"/>
          <w:lang w:val="ru-RU"/>
        </w:rPr>
        <w:t>0</w:t>
      </w:r>
      <w:r w:rsidR="006679E4" w:rsidRPr="005A2AD9">
        <w:rPr>
          <w:rStyle w:val="Hyperlink"/>
        </w:rPr>
        <w:t>c</w:t>
      </w:r>
      <w:r w:rsidR="006679E4" w:rsidRPr="005A2AD9">
        <w:rPr>
          <w:rStyle w:val="Hyperlink"/>
          <w:lang w:val="ru-RU"/>
        </w:rPr>
        <w:t>92</w:t>
      </w:r>
      <w:r w:rsidR="006679E4" w:rsidRPr="005A2AD9">
        <w:rPr>
          <w:rStyle w:val="Hyperlink"/>
        </w:rPr>
        <w:t>e</w:t>
      </w:r>
      <w:r w:rsidR="006679E4" w:rsidRPr="005A2AD9">
        <w:rPr>
          <w:rStyle w:val="Hyperlink"/>
          <w:lang w:val="ru-RU"/>
        </w:rPr>
        <w:t>957</w:t>
      </w:r>
      <w:r w:rsidR="006679E4" w:rsidRPr="005A2AD9">
        <w:rPr>
          <w:rStyle w:val="Hyperlink"/>
        </w:rPr>
        <w:t>a</w:t>
      </w:r>
      <w:r w:rsidR="006679E4" w:rsidRPr="005A2AD9">
        <w:rPr>
          <w:rStyle w:val="Hyperlink"/>
          <w:lang w:val="ru-RU"/>
        </w:rPr>
        <w:t>96</w:t>
      </w:r>
      <w:r w:rsidR="00D577E1">
        <w:rPr>
          <w:rStyle w:val="Hyperlink"/>
          <w:lang w:val="ru-RU"/>
        </w:rPr>
        <w:fldChar w:fldCharType="end"/>
      </w:r>
      <w:r w:rsidRPr="004B77F6">
        <w:rPr>
          <w:color w:val="262626" w:themeColor="text1" w:themeTint="D9"/>
          <w:lang w:val="ru-RU"/>
        </w:rPr>
        <w:t>.</w:t>
      </w:r>
    </w:p>
  </w:footnote>
  <w:footnote w:id="205">
    <w:p w14:paraId="3EF8BF5F" w14:textId="64B94B98" w:rsidR="004B77F6" w:rsidRPr="004B77F6" w:rsidRDefault="004B77F6" w:rsidP="00A105CB">
      <w:pPr>
        <w:pStyle w:val="FootnoteText"/>
        <w:rPr>
          <w:lang w:val="ru-RU"/>
        </w:rPr>
      </w:pPr>
      <w:r>
        <w:rPr>
          <w:rStyle w:val="FootnoteReference"/>
          <w:color w:val="262626" w:themeColor="text1" w:themeTint="D9"/>
        </w:rPr>
        <w:footnoteRef/>
      </w:r>
      <w:r w:rsidRPr="004B77F6">
        <w:rPr>
          <w:color w:val="262626" w:themeColor="text1" w:themeTint="D9"/>
          <w:lang w:val="ru-RU"/>
        </w:rPr>
        <w:t xml:space="preserve"> Отмечается, например, основополагающая роль, которую МСЭ сыграл вместе с ЮНЕСКО в создании Комиссии по широкополосной связи </w:t>
      </w:r>
      <w:r w:rsidR="00D577E1">
        <w:fldChar w:fldCharType="begin"/>
      </w:r>
      <w:r w:rsidR="00D577E1" w:rsidRPr="00D577E1">
        <w:rPr>
          <w:lang w:val="ru-RU"/>
        </w:rPr>
        <w:instrText xml:space="preserve"> </w:instrText>
      </w:r>
      <w:r w:rsidR="00D577E1">
        <w:instrText>HYPERLINK</w:instrText>
      </w:r>
      <w:r w:rsidR="00D577E1" w:rsidRPr="00D577E1">
        <w:rPr>
          <w:lang w:val="ru-RU"/>
        </w:rPr>
        <w:instrText xml:space="preserve"> "</w:instrText>
      </w:r>
      <w:r w:rsidR="00D577E1">
        <w:instrText>https</w:instrText>
      </w:r>
      <w:r w:rsidR="00D577E1" w:rsidRPr="00D577E1">
        <w:rPr>
          <w:lang w:val="ru-RU"/>
        </w:rPr>
        <w:instrText>://</w:instrText>
      </w:r>
      <w:r w:rsidR="00D577E1">
        <w:instrText>broadbandcommission</w:instrText>
      </w:r>
      <w:r w:rsidR="00D577E1" w:rsidRPr="00D577E1">
        <w:rPr>
          <w:lang w:val="ru-RU"/>
        </w:rPr>
        <w:instrText>.</w:instrText>
      </w:r>
      <w:r w:rsidR="00D577E1">
        <w:instrText>org</w:instrText>
      </w:r>
      <w:r w:rsidR="00D577E1" w:rsidRPr="00D577E1">
        <w:rPr>
          <w:lang w:val="ru-RU"/>
        </w:rPr>
        <w:instrText>/</w:instrText>
      </w:r>
      <w:r w:rsidR="00D577E1">
        <w:instrText>Pages</w:instrText>
      </w:r>
      <w:r w:rsidR="00D577E1" w:rsidRPr="00D577E1">
        <w:rPr>
          <w:lang w:val="ru-RU"/>
        </w:rPr>
        <w:instrText>/</w:instrText>
      </w:r>
      <w:r w:rsidR="00D577E1">
        <w:instrText>default</w:instrText>
      </w:r>
      <w:r w:rsidR="00D577E1" w:rsidRPr="00D577E1">
        <w:rPr>
          <w:lang w:val="ru-RU"/>
        </w:rPr>
        <w:instrText>.</w:instrText>
      </w:r>
      <w:r w:rsidR="00D577E1">
        <w:instrText>aspx</w:instrText>
      </w:r>
      <w:r w:rsidR="00D577E1" w:rsidRPr="00D577E1">
        <w:rPr>
          <w:lang w:val="ru-RU"/>
        </w:rPr>
        <w:instrText xml:space="preserve">/" </w:instrText>
      </w:r>
      <w:r w:rsidR="00D577E1">
        <w:fldChar w:fldCharType="separate"/>
      </w:r>
      <w:r w:rsidR="006679E4" w:rsidRPr="005A2AD9">
        <w:rPr>
          <w:rStyle w:val="Hyperlink"/>
        </w:rPr>
        <w:t>https</w:t>
      </w:r>
      <w:r w:rsidR="006679E4" w:rsidRPr="005A2AD9">
        <w:rPr>
          <w:rStyle w:val="Hyperlink"/>
          <w:lang w:val="ru-RU"/>
        </w:rPr>
        <w:t>://</w:t>
      </w:r>
      <w:r w:rsidR="006679E4" w:rsidRPr="005A2AD9">
        <w:rPr>
          <w:rStyle w:val="Hyperlink"/>
        </w:rPr>
        <w:t>broadbandcommission</w:t>
      </w:r>
      <w:r w:rsidR="006679E4" w:rsidRPr="005A2AD9">
        <w:rPr>
          <w:rStyle w:val="Hyperlink"/>
          <w:lang w:val="ru-RU"/>
        </w:rPr>
        <w:t>.</w:t>
      </w:r>
      <w:r w:rsidR="006679E4" w:rsidRPr="005A2AD9">
        <w:rPr>
          <w:rStyle w:val="Hyperlink"/>
        </w:rPr>
        <w:t>org</w:t>
      </w:r>
      <w:r w:rsidR="006679E4" w:rsidRPr="005A2AD9">
        <w:rPr>
          <w:rStyle w:val="Hyperlink"/>
          <w:lang w:val="ru-RU"/>
        </w:rPr>
        <w:t>/</w:t>
      </w:r>
      <w:r w:rsidR="006679E4" w:rsidRPr="005A2AD9">
        <w:rPr>
          <w:rStyle w:val="Hyperlink"/>
        </w:rPr>
        <w:t>Pages</w:t>
      </w:r>
      <w:r w:rsidR="006679E4" w:rsidRPr="005A2AD9">
        <w:rPr>
          <w:rStyle w:val="Hyperlink"/>
          <w:lang w:val="ru-RU"/>
        </w:rPr>
        <w:t>/</w:t>
      </w:r>
      <w:r w:rsidR="006679E4" w:rsidRPr="005A2AD9">
        <w:rPr>
          <w:rStyle w:val="Hyperlink"/>
        </w:rPr>
        <w:t>default</w:t>
      </w:r>
      <w:r w:rsidR="006679E4" w:rsidRPr="005A2AD9">
        <w:rPr>
          <w:rStyle w:val="Hyperlink"/>
          <w:lang w:val="ru-RU"/>
        </w:rPr>
        <w:t>.</w:t>
      </w:r>
      <w:r w:rsidR="006679E4" w:rsidRPr="005A2AD9">
        <w:rPr>
          <w:rStyle w:val="Hyperlink"/>
        </w:rPr>
        <w:t>aspx</w:t>
      </w:r>
      <w:r w:rsidR="006679E4" w:rsidRPr="005A2AD9">
        <w:rPr>
          <w:rStyle w:val="Hyperlink"/>
          <w:lang w:val="ru-RU"/>
        </w:rPr>
        <w:t>/</w:t>
      </w:r>
      <w:r w:rsidR="00D577E1">
        <w:rPr>
          <w:rStyle w:val="Hyperlink"/>
          <w:lang w:val="ru-RU"/>
        </w:rPr>
        <w:fldChar w:fldCharType="end"/>
      </w:r>
      <w:r w:rsidR="006679E4" w:rsidRPr="004B77F6">
        <w:rPr>
          <w:color w:val="262626" w:themeColor="text1" w:themeTint="D9"/>
          <w:lang w:val="ru-RU"/>
        </w:rPr>
        <w:t>.</w:t>
      </w:r>
    </w:p>
  </w:footnote>
  <w:footnote w:id="206">
    <w:p w14:paraId="67D2698A" w14:textId="77777777" w:rsidR="004B77F6" w:rsidRDefault="004B77F6" w:rsidP="00A105CB">
      <w:pPr>
        <w:pStyle w:val="FootnoteText"/>
        <w:rPr>
          <w:color w:val="262626" w:themeColor="text1" w:themeTint="D9"/>
        </w:rPr>
      </w:pPr>
      <w:r>
        <w:rPr>
          <w:rStyle w:val="FootnoteReference"/>
          <w:color w:val="262626" w:themeColor="text1" w:themeTint="D9"/>
        </w:rPr>
        <w:footnoteRef/>
      </w:r>
      <w:r w:rsidRPr="004B77F6">
        <w:rPr>
          <w:color w:val="262626" w:themeColor="text1" w:themeTint="D9"/>
          <w:lang w:val="ru-RU"/>
        </w:rPr>
        <w:t xml:space="preserve"> Так, по ФАО см. </w:t>
      </w:r>
      <w:r w:rsidR="00D577E1">
        <w:fldChar w:fldCharType="begin"/>
      </w:r>
      <w:r w:rsidR="00D577E1" w:rsidRPr="00D577E1">
        <w:rPr>
          <w:lang w:val="ru-RU"/>
        </w:rPr>
        <w:instrText xml:space="preserve"> </w:instrText>
      </w:r>
      <w:r w:rsidR="00D577E1">
        <w:instrText>HYPERLINK</w:instrText>
      </w:r>
      <w:r w:rsidR="00D577E1" w:rsidRPr="00D577E1">
        <w:rPr>
          <w:lang w:val="ru-RU"/>
        </w:rPr>
        <w:instrText xml:space="preserve"> "</w:instrText>
      </w:r>
      <w:r w:rsidR="00D577E1">
        <w:instrText>https</w:instrText>
      </w:r>
      <w:r w:rsidR="00D577E1" w:rsidRPr="00D577E1">
        <w:rPr>
          <w:lang w:val="ru-RU"/>
        </w:rPr>
        <w:instrText>://</w:instrText>
      </w:r>
      <w:r w:rsidR="00D577E1">
        <w:instrText>elearning</w:instrText>
      </w:r>
      <w:r w:rsidR="00D577E1" w:rsidRPr="00D577E1">
        <w:rPr>
          <w:lang w:val="ru-RU"/>
        </w:rPr>
        <w:instrText>.</w:instrText>
      </w:r>
      <w:r w:rsidR="00D577E1">
        <w:instrText>fao</w:instrText>
      </w:r>
      <w:r w:rsidR="00D577E1" w:rsidRPr="00D577E1">
        <w:rPr>
          <w:lang w:val="ru-RU"/>
        </w:rPr>
        <w:instrText>.</w:instrText>
      </w:r>
      <w:r w:rsidR="00D577E1">
        <w:instrText>org</w:instrText>
      </w:r>
      <w:r w:rsidR="00D577E1" w:rsidRPr="00D577E1">
        <w:rPr>
          <w:lang w:val="ru-RU"/>
        </w:rPr>
        <w:instrText>/</w:instrText>
      </w:r>
      <w:r w:rsidR="00D577E1">
        <w:instrText>course</w:instrText>
      </w:r>
      <w:r w:rsidR="00D577E1" w:rsidRPr="00D577E1">
        <w:rPr>
          <w:lang w:val="ru-RU"/>
        </w:rPr>
        <w:instrText>/</w:instrText>
      </w:r>
      <w:r w:rsidR="00D577E1">
        <w:instrText>view</w:instrText>
      </w:r>
      <w:r w:rsidR="00D577E1" w:rsidRPr="00D577E1">
        <w:rPr>
          <w:lang w:val="ru-RU"/>
        </w:rPr>
        <w:instrText>.</w:instrText>
      </w:r>
      <w:r w:rsidR="00D577E1">
        <w:instrText>php</w:instrText>
      </w:r>
      <w:r w:rsidR="00D577E1" w:rsidRPr="00D577E1">
        <w:rPr>
          <w:lang w:val="ru-RU"/>
        </w:rPr>
        <w:instrText>?</w:instrText>
      </w:r>
      <w:r w:rsidR="00D577E1">
        <w:instrText>id</w:instrText>
      </w:r>
      <w:r w:rsidR="00D577E1" w:rsidRPr="00D577E1">
        <w:rPr>
          <w:lang w:val="ru-RU"/>
        </w:rPr>
        <w:instrText xml:space="preserve">=199" </w:instrText>
      </w:r>
      <w:r w:rsidR="00D577E1">
        <w:fldChar w:fldCharType="separate"/>
      </w:r>
      <w:r>
        <w:rPr>
          <w:rStyle w:val="Hyperlink"/>
        </w:rPr>
        <w:t>https</w:t>
      </w:r>
      <w:r w:rsidRPr="004B77F6">
        <w:rPr>
          <w:rStyle w:val="Hyperlink"/>
          <w:lang w:val="ru-RU"/>
        </w:rPr>
        <w:t>://</w:t>
      </w:r>
      <w:r>
        <w:rPr>
          <w:rStyle w:val="Hyperlink"/>
        </w:rPr>
        <w:t>elearning</w:t>
      </w:r>
      <w:r w:rsidRPr="004B77F6">
        <w:rPr>
          <w:rStyle w:val="Hyperlink"/>
          <w:lang w:val="ru-RU"/>
        </w:rPr>
        <w:t>.</w:t>
      </w:r>
      <w:r>
        <w:rPr>
          <w:rStyle w:val="Hyperlink"/>
        </w:rPr>
        <w:t>fao</w:t>
      </w:r>
      <w:r w:rsidRPr="004B77F6">
        <w:rPr>
          <w:rStyle w:val="Hyperlink"/>
          <w:lang w:val="ru-RU"/>
        </w:rPr>
        <w:t>.</w:t>
      </w:r>
      <w:r>
        <w:rPr>
          <w:rStyle w:val="Hyperlink"/>
        </w:rPr>
        <w:t>org</w:t>
      </w:r>
      <w:r w:rsidRPr="004B77F6">
        <w:rPr>
          <w:rStyle w:val="Hyperlink"/>
          <w:lang w:val="ru-RU"/>
        </w:rPr>
        <w:t>/</w:t>
      </w:r>
      <w:r>
        <w:rPr>
          <w:rStyle w:val="Hyperlink"/>
        </w:rPr>
        <w:t>course</w:t>
      </w:r>
      <w:r w:rsidRPr="004B77F6">
        <w:rPr>
          <w:rStyle w:val="Hyperlink"/>
          <w:lang w:val="ru-RU"/>
        </w:rPr>
        <w:t>/</w:t>
      </w:r>
      <w:r>
        <w:rPr>
          <w:rStyle w:val="Hyperlink"/>
        </w:rPr>
        <w:t>view</w:t>
      </w:r>
      <w:r w:rsidRPr="004B77F6">
        <w:rPr>
          <w:rStyle w:val="Hyperlink"/>
          <w:lang w:val="ru-RU"/>
        </w:rPr>
        <w:t>.</w:t>
      </w:r>
      <w:r>
        <w:rPr>
          <w:rStyle w:val="Hyperlink"/>
        </w:rPr>
        <w:t>php</w:t>
      </w:r>
      <w:r w:rsidRPr="004B77F6">
        <w:rPr>
          <w:rStyle w:val="Hyperlink"/>
          <w:lang w:val="ru-RU"/>
        </w:rPr>
        <w:t>?</w:t>
      </w:r>
      <w:r>
        <w:rPr>
          <w:rStyle w:val="Hyperlink"/>
        </w:rPr>
        <w:t>id</w:t>
      </w:r>
      <w:r w:rsidRPr="004B77F6">
        <w:rPr>
          <w:rStyle w:val="Hyperlink"/>
          <w:lang w:val="ru-RU"/>
        </w:rPr>
        <w:t>=199</w:t>
      </w:r>
      <w:r w:rsidR="00D577E1">
        <w:rPr>
          <w:rStyle w:val="Hyperlink"/>
          <w:lang w:val="ru-RU"/>
        </w:rPr>
        <w:fldChar w:fldCharType="end"/>
      </w:r>
      <w:r w:rsidRPr="004B77F6">
        <w:rPr>
          <w:color w:val="262626" w:themeColor="text1" w:themeTint="D9"/>
          <w:lang w:val="ru-RU"/>
        </w:rPr>
        <w:t xml:space="preserve">; по ИКАО см. </w:t>
      </w:r>
      <w:hyperlink r:id="rId50" w:history="1">
        <w:r>
          <w:rPr>
            <w:rStyle w:val="Hyperlink"/>
            <w:color w:val="262626" w:themeColor="text1" w:themeTint="D9"/>
          </w:rPr>
          <w:t>https://www.icao.int/about-icao/DrAliu/Pages/Capacity-Building-and-Human-Resources-Development-for-the-Next-Generation-of-Aviation-Professionals.aspx</w:t>
        </w:r>
      </w:hyperlink>
      <w:r>
        <w:rPr>
          <w:color w:val="262626" w:themeColor="text1" w:themeTint="D9"/>
        </w:rPr>
        <w:t>.</w:t>
      </w:r>
    </w:p>
  </w:footnote>
  <w:footnote w:id="207">
    <w:p w14:paraId="0E27BEA9" w14:textId="77777777" w:rsidR="004B77F6" w:rsidRPr="004B77F6" w:rsidRDefault="004B77F6" w:rsidP="00A105CB">
      <w:pPr>
        <w:pStyle w:val="FootnoteText"/>
        <w:rPr>
          <w:lang w:val="ru-RU"/>
        </w:rPr>
      </w:pPr>
      <w:r>
        <w:rPr>
          <w:rStyle w:val="FootnoteReference"/>
        </w:rPr>
        <w:footnoteRef/>
      </w:r>
      <w:r w:rsidRPr="004B77F6">
        <w:rPr>
          <w:lang w:val="ru-RU"/>
        </w:rPr>
        <w:t xml:space="preserve"> Хотя достижения в области виртуальной и дополненной реальности снижают такое требование во многих сферах практического обучения.</w:t>
      </w:r>
    </w:p>
  </w:footnote>
  <w:footnote w:id="208">
    <w:p w14:paraId="25C9FF9C" w14:textId="07F8BEB4" w:rsidR="004B77F6" w:rsidRPr="004B77F6" w:rsidRDefault="004B77F6" w:rsidP="00A105CB">
      <w:pPr>
        <w:pStyle w:val="FootnoteText"/>
        <w:rPr>
          <w:lang w:val="ru-RU"/>
        </w:rPr>
      </w:pPr>
      <w:r>
        <w:rPr>
          <w:rStyle w:val="FootnoteReference"/>
        </w:rPr>
        <w:footnoteRef/>
      </w:r>
      <w:r w:rsidRPr="004B77F6">
        <w:rPr>
          <w:lang w:val="ru-RU"/>
        </w:rPr>
        <w:t xml:space="preserve"> См. обзоры 119 вариантов программного обеспечения для управления действиями выпускниками по адресу</w:t>
      </w:r>
      <w:r w:rsidR="006679E4">
        <w:rPr>
          <w:lang w:val="ru-RU"/>
        </w:rPr>
        <w:t>:</w:t>
      </w:r>
      <w:r w:rsidRPr="004B77F6">
        <w:rPr>
          <w:lang w:val="ru-RU"/>
        </w:rPr>
        <w:t xml:space="preserve"> </w:t>
      </w:r>
      <w:r w:rsidR="00D577E1">
        <w:fldChar w:fldCharType="begin"/>
      </w:r>
      <w:r w:rsidR="00D577E1" w:rsidRPr="00D577E1">
        <w:rPr>
          <w:lang w:val="ru-RU"/>
        </w:rPr>
        <w:instrText xml:space="preserve"> </w:instrText>
      </w:r>
      <w:r w:rsidR="00D577E1">
        <w:instrText>HYPERLINK</w:instrText>
      </w:r>
      <w:r w:rsidR="00D577E1" w:rsidRPr="00D577E1">
        <w:rPr>
          <w:lang w:val="ru-RU"/>
        </w:rPr>
        <w:instrText xml:space="preserve"> "</w:instrText>
      </w:r>
      <w:r w:rsidR="00D577E1">
        <w:instrText>https</w:instrText>
      </w:r>
      <w:r w:rsidR="00D577E1" w:rsidRPr="00D577E1">
        <w:rPr>
          <w:lang w:val="ru-RU"/>
        </w:rPr>
        <w:instrText>://</w:instrText>
      </w:r>
      <w:r w:rsidR="00D577E1">
        <w:instrText>www</w:instrText>
      </w:r>
      <w:r w:rsidR="00D577E1" w:rsidRPr="00D577E1">
        <w:rPr>
          <w:lang w:val="ru-RU"/>
        </w:rPr>
        <w:instrText>.</w:instrText>
      </w:r>
      <w:r w:rsidR="00D577E1">
        <w:instrText>softwareadvice</w:instrText>
      </w:r>
      <w:r w:rsidR="00D577E1" w:rsidRPr="00D577E1">
        <w:rPr>
          <w:lang w:val="ru-RU"/>
        </w:rPr>
        <w:instrText>.</w:instrText>
      </w:r>
      <w:r w:rsidR="00D577E1">
        <w:instrText>com</w:instrText>
      </w:r>
      <w:r w:rsidR="00D577E1" w:rsidRPr="00D577E1">
        <w:rPr>
          <w:lang w:val="ru-RU"/>
        </w:rPr>
        <w:instrText>/</w:instrText>
      </w:r>
      <w:r w:rsidR="00D577E1">
        <w:instrText>uk</w:instrText>
      </w:r>
      <w:r w:rsidR="00D577E1" w:rsidRPr="00D577E1">
        <w:rPr>
          <w:lang w:val="ru-RU"/>
        </w:rPr>
        <w:instrText>/</w:instrText>
      </w:r>
      <w:r w:rsidR="00D577E1">
        <w:instrText>nonprofit</w:instrText>
      </w:r>
      <w:r w:rsidR="00D577E1" w:rsidRPr="00D577E1">
        <w:rPr>
          <w:lang w:val="ru-RU"/>
        </w:rPr>
        <w:instrText>/</w:instrText>
      </w:r>
      <w:r w:rsidR="00D577E1">
        <w:instrText>alumni</w:instrText>
      </w:r>
      <w:r w:rsidR="00D577E1" w:rsidRPr="00D577E1">
        <w:rPr>
          <w:lang w:val="ru-RU"/>
        </w:rPr>
        <w:instrText>-</w:instrText>
      </w:r>
      <w:r w:rsidR="00D577E1">
        <w:instrText>management</w:instrText>
      </w:r>
      <w:r w:rsidR="00D577E1" w:rsidRPr="00D577E1">
        <w:rPr>
          <w:lang w:val="ru-RU"/>
        </w:rPr>
        <w:instrText>-</w:instrText>
      </w:r>
      <w:r w:rsidR="00D577E1">
        <w:instrText>comparison</w:instrText>
      </w:r>
      <w:r w:rsidR="00D577E1" w:rsidRPr="00D577E1">
        <w:rPr>
          <w:lang w:val="ru-RU"/>
        </w:rPr>
        <w:instrText xml:space="preserve">/" </w:instrText>
      </w:r>
      <w:r w:rsidR="00D577E1">
        <w:fldChar w:fldCharType="separate"/>
      </w:r>
      <w:r>
        <w:rPr>
          <w:rStyle w:val="Hyperlink"/>
        </w:rPr>
        <w:t>https</w:t>
      </w:r>
      <w:r w:rsidRPr="004B77F6">
        <w:rPr>
          <w:rStyle w:val="Hyperlink"/>
          <w:lang w:val="ru-RU"/>
        </w:rPr>
        <w:t>://</w:t>
      </w:r>
      <w:r>
        <w:rPr>
          <w:rStyle w:val="Hyperlink"/>
        </w:rPr>
        <w:t>www</w:t>
      </w:r>
      <w:r w:rsidRPr="004B77F6">
        <w:rPr>
          <w:rStyle w:val="Hyperlink"/>
          <w:lang w:val="ru-RU"/>
        </w:rPr>
        <w:t>.</w:t>
      </w:r>
      <w:r>
        <w:rPr>
          <w:rStyle w:val="Hyperlink"/>
        </w:rPr>
        <w:t>softwareadvice</w:t>
      </w:r>
      <w:r w:rsidRPr="004B77F6">
        <w:rPr>
          <w:rStyle w:val="Hyperlink"/>
          <w:lang w:val="ru-RU"/>
        </w:rPr>
        <w:t>.</w:t>
      </w:r>
      <w:r>
        <w:rPr>
          <w:rStyle w:val="Hyperlink"/>
        </w:rPr>
        <w:t>com</w:t>
      </w:r>
      <w:r w:rsidRPr="004B77F6">
        <w:rPr>
          <w:rStyle w:val="Hyperlink"/>
          <w:lang w:val="ru-RU"/>
        </w:rPr>
        <w:t>/</w:t>
      </w:r>
      <w:r>
        <w:rPr>
          <w:rStyle w:val="Hyperlink"/>
        </w:rPr>
        <w:t>uk</w:t>
      </w:r>
      <w:r w:rsidRPr="004B77F6">
        <w:rPr>
          <w:rStyle w:val="Hyperlink"/>
          <w:lang w:val="ru-RU"/>
        </w:rPr>
        <w:t>/</w:t>
      </w:r>
      <w:r>
        <w:rPr>
          <w:rStyle w:val="Hyperlink"/>
        </w:rPr>
        <w:t>nonprofit</w:t>
      </w:r>
      <w:r w:rsidRPr="004B77F6">
        <w:rPr>
          <w:rStyle w:val="Hyperlink"/>
          <w:lang w:val="ru-RU"/>
        </w:rPr>
        <w:t>/</w:t>
      </w:r>
      <w:r>
        <w:rPr>
          <w:rStyle w:val="Hyperlink"/>
        </w:rPr>
        <w:t>alumni</w:t>
      </w:r>
      <w:r w:rsidRPr="004B77F6">
        <w:rPr>
          <w:rStyle w:val="Hyperlink"/>
          <w:lang w:val="ru-RU"/>
        </w:rPr>
        <w:t>-</w:t>
      </w:r>
      <w:r>
        <w:rPr>
          <w:rStyle w:val="Hyperlink"/>
        </w:rPr>
        <w:t>management</w:t>
      </w:r>
      <w:r w:rsidRPr="004B77F6">
        <w:rPr>
          <w:rStyle w:val="Hyperlink"/>
          <w:lang w:val="ru-RU"/>
        </w:rPr>
        <w:t>-</w:t>
      </w:r>
      <w:r>
        <w:rPr>
          <w:rStyle w:val="Hyperlink"/>
        </w:rPr>
        <w:t>comparison</w:t>
      </w:r>
      <w:r w:rsidRPr="004B77F6">
        <w:rPr>
          <w:rStyle w:val="Hyperlink"/>
          <w:lang w:val="ru-RU"/>
        </w:rPr>
        <w:t>/</w:t>
      </w:r>
      <w:r w:rsidR="00D577E1">
        <w:rPr>
          <w:rStyle w:val="Hyperlink"/>
          <w:lang w:val="ru-RU"/>
        </w:rPr>
        <w:fldChar w:fldCharType="end"/>
      </w:r>
      <w:r w:rsidR="006679E4" w:rsidRPr="004B77F6">
        <w:rPr>
          <w:color w:val="262626" w:themeColor="text1" w:themeTint="D9"/>
          <w:lang w:val="ru-RU"/>
        </w:rPr>
        <w:t>.</w:t>
      </w:r>
    </w:p>
  </w:footnote>
  <w:footnote w:id="209">
    <w:p w14:paraId="515FCF93" w14:textId="77777777" w:rsidR="004B77F6" w:rsidRPr="004B77F6" w:rsidRDefault="004B77F6" w:rsidP="00A105CB">
      <w:pPr>
        <w:pStyle w:val="Bulletspoint11"/>
        <w:numPr>
          <w:ilvl w:val="0"/>
          <w:numId w:val="0"/>
        </w:numPr>
        <w:rPr>
          <w:rStyle w:val="FootnoteTextChar"/>
          <w:lang w:val="ru-RU"/>
        </w:rPr>
      </w:pPr>
      <w:r>
        <w:rPr>
          <w:rStyle w:val="FootnoteReference"/>
          <w:color w:val="auto"/>
        </w:rPr>
        <w:footnoteRef/>
      </w:r>
      <w:r w:rsidRPr="004B77F6">
        <w:rPr>
          <w:color w:val="auto"/>
          <w:lang w:val="ru-RU"/>
        </w:rPr>
        <w:t xml:space="preserve"> </w:t>
      </w:r>
      <w:r w:rsidRPr="004B77F6">
        <w:rPr>
          <w:rStyle w:val="FootnoteTextChar"/>
          <w:lang w:val="ru-RU"/>
        </w:rPr>
        <w:t xml:space="preserve">Директорат (Директор </w:t>
      </w:r>
      <w:r>
        <w:rPr>
          <w:rStyle w:val="FootnoteTextChar"/>
        </w:rPr>
        <w:t>D</w:t>
      </w:r>
      <w:r w:rsidRPr="004B77F6">
        <w:rPr>
          <w:rStyle w:val="FootnoteTextChar"/>
          <w:lang w:val="ru-RU"/>
        </w:rPr>
        <w:t xml:space="preserve">1, Старший помощник </w:t>
      </w:r>
      <w:r>
        <w:rPr>
          <w:rStyle w:val="FootnoteTextChar"/>
        </w:rPr>
        <w:t>G</w:t>
      </w:r>
      <w:r w:rsidRPr="004B77F6">
        <w:rPr>
          <w:rStyle w:val="FootnoteTextChar"/>
          <w:lang w:val="ru-RU"/>
        </w:rPr>
        <w:t xml:space="preserve">7); Обеспечение качества (Руководитель ОК </w:t>
      </w:r>
      <w:r>
        <w:rPr>
          <w:rStyle w:val="FootnoteTextChar"/>
        </w:rPr>
        <w:t>P</w:t>
      </w:r>
      <w:r w:rsidRPr="004B77F6">
        <w:rPr>
          <w:rStyle w:val="FootnoteTextChar"/>
          <w:lang w:val="ru-RU"/>
        </w:rPr>
        <w:t xml:space="preserve">5, ответственный за ОК сотрудник </w:t>
      </w:r>
      <w:r>
        <w:rPr>
          <w:rStyle w:val="FootnoteTextChar"/>
        </w:rPr>
        <w:t>P</w:t>
      </w:r>
      <w:r w:rsidRPr="004B77F6">
        <w:rPr>
          <w:rStyle w:val="FootnoteTextChar"/>
          <w:lang w:val="ru-RU"/>
        </w:rPr>
        <w:t xml:space="preserve">2); Анализ потребностей и взаимодействие с членами (Руководитель </w:t>
      </w:r>
      <w:r>
        <w:rPr>
          <w:rStyle w:val="FootnoteTextChar"/>
        </w:rPr>
        <w:t>P</w:t>
      </w:r>
      <w:r w:rsidRPr="004B77F6">
        <w:rPr>
          <w:rStyle w:val="FootnoteTextChar"/>
          <w:lang w:val="ru-RU"/>
        </w:rPr>
        <w:t xml:space="preserve">3, Администратор </w:t>
      </w:r>
      <w:r>
        <w:rPr>
          <w:rStyle w:val="FootnoteTextChar"/>
        </w:rPr>
        <w:t>G</w:t>
      </w:r>
      <w:r w:rsidRPr="004B77F6">
        <w:rPr>
          <w:rStyle w:val="FootnoteTextChar"/>
          <w:lang w:val="ru-RU"/>
        </w:rPr>
        <w:t xml:space="preserve">6); Разработка и проведение курсов (Руководитель </w:t>
      </w:r>
      <w:r>
        <w:rPr>
          <w:rStyle w:val="FootnoteTextChar"/>
        </w:rPr>
        <w:t>P</w:t>
      </w:r>
      <w:r w:rsidRPr="004B77F6">
        <w:rPr>
          <w:rStyle w:val="FootnoteTextChar"/>
          <w:lang w:val="ru-RU"/>
        </w:rPr>
        <w:t>4, Старший разработчик курсов</w:t>
      </w:r>
      <w:r>
        <w:rPr>
          <w:rStyle w:val="FootnoteTextChar"/>
        </w:rPr>
        <w:t> </w:t>
      </w:r>
      <w:r w:rsidRPr="004B77F6">
        <w:rPr>
          <w:rStyle w:val="FootnoteTextChar"/>
          <w:lang w:val="ru-RU"/>
        </w:rPr>
        <w:t xml:space="preserve">/ проведение курсов </w:t>
      </w:r>
      <w:r>
        <w:rPr>
          <w:rStyle w:val="FootnoteTextChar"/>
        </w:rPr>
        <w:t>P</w:t>
      </w:r>
      <w:r w:rsidRPr="004B77F6">
        <w:rPr>
          <w:rStyle w:val="FootnoteTextChar"/>
          <w:lang w:val="ru-RU"/>
        </w:rPr>
        <w:t>3, Разработчик курсов</w:t>
      </w:r>
      <w:r>
        <w:rPr>
          <w:rStyle w:val="FootnoteTextChar"/>
        </w:rPr>
        <w:t> </w:t>
      </w:r>
      <w:r w:rsidRPr="004B77F6">
        <w:rPr>
          <w:rStyle w:val="FootnoteTextChar"/>
          <w:lang w:val="ru-RU"/>
        </w:rPr>
        <w:t xml:space="preserve">/ проведение курсов </w:t>
      </w:r>
      <w:r>
        <w:rPr>
          <w:rStyle w:val="FootnoteTextChar"/>
        </w:rPr>
        <w:t>P</w:t>
      </w:r>
      <w:r w:rsidRPr="004B77F6">
        <w:rPr>
          <w:rStyle w:val="FootnoteTextChar"/>
          <w:lang w:val="ru-RU"/>
        </w:rPr>
        <w:t xml:space="preserve">2 </w:t>
      </w:r>
      <w:r>
        <w:rPr>
          <w:rStyle w:val="FootnoteTextChar"/>
        </w:rPr>
        <w:t>x</w:t>
      </w:r>
      <w:r w:rsidRPr="004B77F6">
        <w:rPr>
          <w:rStyle w:val="FootnoteTextChar"/>
          <w:lang w:val="ru-RU"/>
        </w:rPr>
        <w:t xml:space="preserve"> 2); Партнерские отношения (Ответственный за партнерские отношения и посредничество </w:t>
      </w:r>
      <w:r>
        <w:rPr>
          <w:rStyle w:val="FootnoteTextChar"/>
        </w:rPr>
        <w:t>P</w:t>
      </w:r>
      <w:r w:rsidRPr="004B77F6">
        <w:rPr>
          <w:rStyle w:val="FootnoteTextChar"/>
          <w:lang w:val="ru-RU"/>
        </w:rPr>
        <w:t xml:space="preserve">4); Отношения с выпускниками (Ответственный за поддержку выпускников </w:t>
      </w:r>
      <w:r>
        <w:rPr>
          <w:rStyle w:val="FootnoteTextChar"/>
        </w:rPr>
        <w:t>P</w:t>
      </w:r>
      <w:r w:rsidRPr="004B77F6">
        <w:rPr>
          <w:rStyle w:val="FootnoteTextChar"/>
          <w:lang w:val="ru-RU"/>
        </w:rPr>
        <w:t xml:space="preserve">2); Цифровая поддержка (Старший программист </w:t>
      </w:r>
      <w:r>
        <w:rPr>
          <w:rStyle w:val="FootnoteTextChar"/>
        </w:rPr>
        <w:t>P</w:t>
      </w:r>
      <w:r w:rsidRPr="004B77F6">
        <w:rPr>
          <w:rStyle w:val="FootnoteTextChar"/>
          <w:lang w:val="ru-RU"/>
        </w:rPr>
        <w:t xml:space="preserve">3, Младший специалист по цифровой поддержке </w:t>
      </w:r>
      <w:r>
        <w:rPr>
          <w:rStyle w:val="FootnoteTextChar"/>
        </w:rPr>
        <w:t>P</w:t>
      </w:r>
      <w:r w:rsidRPr="004B77F6">
        <w:rPr>
          <w:rStyle w:val="FootnoteTextChar"/>
          <w:lang w:val="ru-RU"/>
        </w:rPr>
        <w:t xml:space="preserve">1); Маркетинг и внешние связи (Ответственный за маркетинг </w:t>
      </w:r>
      <w:r>
        <w:rPr>
          <w:rStyle w:val="FootnoteTextChar"/>
        </w:rPr>
        <w:t>P</w:t>
      </w:r>
      <w:r w:rsidRPr="004B77F6">
        <w:rPr>
          <w:rStyle w:val="FootnoteTextChar"/>
          <w:lang w:val="ru-RU"/>
        </w:rPr>
        <w:t>3)</w:t>
      </w:r>
    </w:p>
  </w:footnote>
  <w:footnote w:id="210">
    <w:p w14:paraId="63AB1450" w14:textId="03990D00" w:rsidR="004B77F6" w:rsidRPr="004B77F6" w:rsidRDefault="004B77F6" w:rsidP="00A105CB">
      <w:pPr>
        <w:pStyle w:val="FootnoteText"/>
        <w:rPr>
          <w:lang w:val="ru-RU"/>
        </w:rPr>
      </w:pPr>
      <w:r>
        <w:rPr>
          <w:rStyle w:val="FootnoteReference"/>
        </w:rPr>
        <w:footnoteRef/>
      </w:r>
      <w:r w:rsidRPr="004B77F6">
        <w:rPr>
          <w:lang w:val="ru-RU"/>
        </w:rPr>
        <w:t xml:space="preserve"> В разных регионах мира этот принцип реализован по-разному, в зависимости от требований местного трудового законодательства.</w:t>
      </w:r>
    </w:p>
  </w:footnote>
  <w:footnote w:id="211">
    <w:p w14:paraId="35374011" w14:textId="77777777" w:rsidR="004B77F6" w:rsidRPr="004B77F6" w:rsidRDefault="004B77F6" w:rsidP="00A105CB">
      <w:pPr>
        <w:pStyle w:val="FootnoteText"/>
        <w:rPr>
          <w:lang w:val="ru-RU"/>
        </w:rPr>
      </w:pPr>
      <w:r>
        <w:rPr>
          <w:rStyle w:val="FootnoteReference"/>
        </w:rPr>
        <w:footnoteRef/>
      </w:r>
      <w:r w:rsidRPr="004B77F6">
        <w:rPr>
          <w:lang w:val="ru-RU"/>
        </w:rPr>
        <w:t xml:space="preserve"> В основе этого лежит предположение, что ограничения на передвижение в связи с </w:t>
      </w:r>
      <w:r>
        <w:t>COVID</w:t>
      </w:r>
      <w:r w:rsidRPr="004B77F6">
        <w:rPr>
          <w:lang w:val="ru-RU"/>
        </w:rPr>
        <w:t>-19 будут отменены с середины 2021 года и к моменту внедрения данных рекомендаций будут действовать новые реалии.</w:t>
      </w:r>
    </w:p>
  </w:footnote>
  <w:footnote w:id="212">
    <w:p w14:paraId="23A1A172" w14:textId="444335C7" w:rsidR="004B77F6" w:rsidRPr="004B77F6" w:rsidRDefault="004B77F6" w:rsidP="00A105CB">
      <w:pPr>
        <w:pStyle w:val="FootnoteText"/>
        <w:rPr>
          <w:lang w:val="ru-RU"/>
        </w:rPr>
      </w:pPr>
      <w:r>
        <w:rPr>
          <w:rStyle w:val="FootnoteReference"/>
        </w:rPr>
        <w:footnoteRef/>
      </w:r>
      <w:r w:rsidRPr="004B77F6">
        <w:rPr>
          <w:lang w:val="ru-RU"/>
        </w:rPr>
        <w:t xml:space="preserve"> Для этого необходимо будет внести поправки в Резолюцию 40, утвержденную в ходе ВКРЭ-10 и оставленную в силу на ВКРЭ-14. Круг ведения по адресу</w:t>
      </w:r>
      <w:r w:rsidR="006679E4">
        <w:rPr>
          <w:lang w:val="ru-RU"/>
        </w:rPr>
        <w:t>:</w:t>
      </w:r>
      <w:r w:rsidRPr="004B77F6">
        <w:rPr>
          <w:lang w:val="ru-RU"/>
        </w:rPr>
        <w:t xml:space="preserve"> </w:t>
      </w:r>
      <w:r w:rsidR="00D577E1">
        <w:fldChar w:fldCharType="begin"/>
      </w:r>
      <w:r w:rsidR="00D577E1" w:rsidRPr="00D577E1">
        <w:rPr>
          <w:lang w:val="ru-RU"/>
        </w:rPr>
        <w:instrText xml:space="preserve"> </w:instrText>
      </w:r>
      <w:r w:rsidR="00D577E1">
        <w:instrText>HYPERLINK</w:instrText>
      </w:r>
      <w:r w:rsidR="00D577E1" w:rsidRPr="00D577E1">
        <w:rPr>
          <w:lang w:val="ru-RU"/>
        </w:rPr>
        <w:instrText xml:space="preserve"> "</w:instrText>
      </w:r>
      <w:r w:rsidR="00D577E1">
        <w:instrText>https</w:instrText>
      </w:r>
      <w:r w:rsidR="00D577E1" w:rsidRPr="00D577E1">
        <w:rPr>
          <w:lang w:val="ru-RU"/>
        </w:rPr>
        <w:instrText>://</w:instrText>
      </w:r>
      <w:r w:rsidR="00D577E1">
        <w:instrText>academy</w:instrText>
      </w:r>
      <w:r w:rsidR="00D577E1" w:rsidRPr="00D577E1">
        <w:rPr>
          <w:lang w:val="ru-RU"/>
        </w:rPr>
        <w:instrText>.</w:instrText>
      </w:r>
      <w:r w:rsidR="00D577E1">
        <w:instrText>itu</w:instrText>
      </w:r>
      <w:r w:rsidR="00D577E1" w:rsidRPr="00D577E1">
        <w:rPr>
          <w:lang w:val="ru-RU"/>
        </w:rPr>
        <w:instrText>.</w:instrText>
      </w:r>
      <w:r w:rsidR="00D577E1">
        <w:instrText>int</w:instrText>
      </w:r>
      <w:r w:rsidR="00D577E1" w:rsidRPr="00D577E1">
        <w:rPr>
          <w:lang w:val="ru-RU"/>
        </w:rPr>
        <w:instrText>/</w:instrText>
      </w:r>
      <w:r w:rsidR="00D577E1">
        <w:instrText>sites</w:instrText>
      </w:r>
      <w:r w:rsidR="00D577E1" w:rsidRPr="00D577E1">
        <w:rPr>
          <w:lang w:val="ru-RU"/>
        </w:rPr>
        <w:instrText>/</w:instrText>
      </w:r>
      <w:r w:rsidR="00D577E1">
        <w:instrText>default</w:instrText>
      </w:r>
      <w:r w:rsidR="00D577E1" w:rsidRPr="00D577E1">
        <w:rPr>
          <w:lang w:val="ru-RU"/>
        </w:rPr>
        <w:instrText>/</w:instrText>
      </w:r>
      <w:r w:rsidR="00D577E1">
        <w:instrText>files</w:instrText>
      </w:r>
      <w:r w:rsidR="00D577E1" w:rsidRPr="00D577E1">
        <w:rPr>
          <w:lang w:val="ru-RU"/>
        </w:rPr>
        <w:instrText>/</w:instrText>
      </w:r>
      <w:r w:rsidR="00D577E1">
        <w:instrText>media</w:instrText>
      </w:r>
      <w:r w:rsidR="00D577E1" w:rsidRPr="00D577E1">
        <w:rPr>
          <w:lang w:val="ru-RU"/>
        </w:rPr>
        <w:instrText>/</w:instrText>
      </w:r>
      <w:r w:rsidR="00D577E1">
        <w:instrText>file</w:instrText>
      </w:r>
      <w:r w:rsidR="00D577E1" w:rsidRPr="00D577E1">
        <w:rPr>
          <w:lang w:val="ru-RU"/>
        </w:rPr>
        <w:instrText>/</w:instrText>
      </w:r>
      <w:r w:rsidR="00D577E1">
        <w:instrText>GCBI</w:instrText>
      </w:r>
      <w:r w:rsidR="00D577E1" w:rsidRPr="00D577E1">
        <w:rPr>
          <w:lang w:val="ru-RU"/>
        </w:rPr>
        <w:instrText>_</w:instrText>
      </w:r>
      <w:r w:rsidR="00D577E1">
        <w:instrText>TOR</w:instrText>
      </w:r>
      <w:r w:rsidR="00D577E1" w:rsidRPr="00D577E1">
        <w:rPr>
          <w:lang w:val="ru-RU"/>
        </w:rPr>
        <w:instrText>_</w:instrText>
      </w:r>
      <w:r w:rsidR="00D577E1">
        <w:instrText>Final</w:instrText>
      </w:r>
      <w:r w:rsidR="00D577E1" w:rsidRPr="00D577E1">
        <w:rPr>
          <w:lang w:val="ru-RU"/>
        </w:rPr>
        <w:instrText>.</w:instrText>
      </w:r>
      <w:r w:rsidR="00D577E1">
        <w:instrText>pdf</w:instrText>
      </w:r>
      <w:r w:rsidR="00D577E1" w:rsidRPr="00D577E1">
        <w:rPr>
          <w:lang w:val="ru-RU"/>
        </w:rPr>
        <w:instrText xml:space="preserve">" </w:instrText>
      </w:r>
      <w:r w:rsidR="00D577E1">
        <w:fldChar w:fldCharType="separate"/>
      </w:r>
      <w:r>
        <w:rPr>
          <w:rStyle w:val="Hyperlink"/>
        </w:rPr>
        <w:t>https</w:t>
      </w:r>
      <w:r w:rsidRPr="004B77F6">
        <w:rPr>
          <w:rStyle w:val="Hyperlink"/>
          <w:lang w:val="ru-RU"/>
        </w:rPr>
        <w:t>://</w:t>
      </w:r>
      <w:r>
        <w:rPr>
          <w:rStyle w:val="Hyperlink"/>
        </w:rPr>
        <w:t>academy</w:t>
      </w:r>
      <w:r w:rsidRPr="004B77F6">
        <w:rPr>
          <w:rStyle w:val="Hyperlink"/>
          <w:lang w:val="ru-RU"/>
        </w:rPr>
        <w:t>.</w:t>
      </w:r>
      <w:r>
        <w:rPr>
          <w:rStyle w:val="Hyperlink"/>
        </w:rPr>
        <w:t>itu</w:t>
      </w:r>
      <w:r w:rsidRPr="004B77F6">
        <w:rPr>
          <w:rStyle w:val="Hyperlink"/>
          <w:lang w:val="ru-RU"/>
        </w:rPr>
        <w:t>.</w:t>
      </w:r>
      <w:r>
        <w:rPr>
          <w:rStyle w:val="Hyperlink"/>
        </w:rPr>
        <w:t>int</w:t>
      </w:r>
      <w:r w:rsidRPr="004B77F6">
        <w:rPr>
          <w:rStyle w:val="Hyperlink"/>
          <w:lang w:val="ru-RU"/>
        </w:rPr>
        <w:t>/</w:t>
      </w:r>
      <w:r>
        <w:rPr>
          <w:rStyle w:val="Hyperlink"/>
        </w:rPr>
        <w:t>sites</w:t>
      </w:r>
      <w:r w:rsidRPr="004B77F6">
        <w:rPr>
          <w:rStyle w:val="Hyperlink"/>
          <w:lang w:val="ru-RU"/>
        </w:rPr>
        <w:t>/</w:t>
      </w:r>
      <w:r>
        <w:rPr>
          <w:rStyle w:val="Hyperlink"/>
        </w:rPr>
        <w:t>default</w:t>
      </w:r>
      <w:r w:rsidRPr="004B77F6">
        <w:rPr>
          <w:rStyle w:val="Hyperlink"/>
          <w:lang w:val="ru-RU"/>
        </w:rPr>
        <w:t>/</w:t>
      </w:r>
      <w:r>
        <w:rPr>
          <w:rStyle w:val="Hyperlink"/>
        </w:rPr>
        <w:t>files</w:t>
      </w:r>
      <w:r w:rsidRPr="004B77F6">
        <w:rPr>
          <w:rStyle w:val="Hyperlink"/>
          <w:lang w:val="ru-RU"/>
        </w:rPr>
        <w:t>/</w:t>
      </w:r>
      <w:r>
        <w:rPr>
          <w:rStyle w:val="Hyperlink"/>
        </w:rPr>
        <w:t>media</w:t>
      </w:r>
      <w:r w:rsidRPr="004B77F6">
        <w:rPr>
          <w:rStyle w:val="Hyperlink"/>
          <w:lang w:val="ru-RU"/>
        </w:rPr>
        <w:t>/</w:t>
      </w:r>
      <w:r>
        <w:rPr>
          <w:rStyle w:val="Hyperlink"/>
        </w:rPr>
        <w:t>file</w:t>
      </w:r>
      <w:r w:rsidRPr="004B77F6">
        <w:rPr>
          <w:rStyle w:val="Hyperlink"/>
          <w:lang w:val="ru-RU"/>
        </w:rPr>
        <w:t>/</w:t>
      </w:r>
      <w:r>
        <w:rPr>
          <w:rStyle w:val="Hyperlink"/>
        </w:rPr>
        <w:t>GCBI</w:t>
      </w:r>
      <w:r w:rsidRPr="004B77F6">
        <w:rPr>
          <w:rStyle w:val="Hyperlink"/>
          <w:lang w:val="ru-RU"/>
        </w:rPr>
        <w:t>_</w:t>
      </w:r>
      <w:r>
        <w:rPr>
          <w:rStyle w:val="Hyperlink"/>
        </w:rPr>
        <w:t>TOR</w:t>
      </w:r>
      <w:r w:rsidRPr="004B77F6">
        <w:rPr>
          <w:rStyle w:val="Hyperlink"/>
          <w:lang w:val="ru-RU"/>
        </w:rPr>
        <w:t>_</w:t>
      </w:r>
      <w:r>
        <w:rPr>
          <w:rStyle w:val="Hyperlink"/>
        </w:rPr>
        <w:t>Final</w:t>
      </w:r>
      <w:r w:rsidRPr="004B77F6">
        <w:rPr>
          <w:rStyle w:val="Hyperlink"/>
          <w:lang w:val="ru-RU"/>
        </w:rPr>
        <w:t>.</w:t>
      </w:r>
      <w:r>
        <w:rPr>
          <w:rStyle w:val="Hyperlink"/>
        </w:rPr>
        <w:t>pdf</w:t>
      </w:r>
      <w:r w:rsidR="00D577E1">
        <w:rPr>
          <w:rStyle w:val="Hyperlink"/>
        </w:rPr>
        <w:fldChar w:fldCharType="end"/>
      </w:r>
      <w:r w:rsidRPr="004B77F6">
        <w:rPr>
          <w:lang w:val="ru-RU"/>
        </w:rPr>
        <w:t>.</w:t>
      </w:r>
    </w:p>
  </w:footnote>
  <w:footnote w:id="213">
    <w:p w14:paraId="75AEB510" w14:textId="1EF3E6F4" w:rsidR="0076070C" w:rsidRPr="004B77F6" w:rsidRDefault="0076070C" w:rsidP="0076070C">
      <w:pPr>
        <w:pStyle w:val="FootnoteText"/>
        <w:rPr>
          <w:lang w:val="ru-RU"/>
        </w:rPr>
      </w:pPr>
      <w:r>
        <w:rPr>
          <w:rStyle w:val="FootnoteReference"/>
        </w:rPr>
        <w:footnoteRef/>
      </w:r>
      <w:r w:rsidRPr="004B77F6">
        <w:rPr>
          <w:lang w:val="ru-RU"/>
        </w:rPr>
        <w:t xml:space="preserve"> </w:t>
      </w:r>
      <w:r w:rsidR="00D577E1">
        <w:fldChar w:fldCharType="begin"/>
      </w:r>
      <w:r w:rsidR="00D577E1" w:rsidRPr="00D577E1">
        <w:rPr>
          <w:lang w:val="ru-RU"/>
        </w:rPr>
        <w:instrText xml:space="preserve"> </w:instrText>
      </w:r>
      <w:r w:rsidR="00D577E1">
        <w:instrText>HYPERLINK</w:instrText>
      </w:r>
      <w:r w:rsidR="00D577E1" w:rsidRPr="00D577E1">
        <w:rPr>
          <w:lang w:val="ru-RU"/>
        </w:rPr>
        <w:instrText xml:space="preserve"> "</w:instrText>
      </w:r>
      <w:r w:rsidR="00D577E1">
        <w:instrText>https</w:instrText>
      </w:r>
      <w:r w:rsidR="00D577E1" w:rsidRPr="00D577E1">
        <w:rPr>
          <w:lang w:val="ru-RU"/>
        </w:rPr>
        <w:instrText>://</w:instrText>
      </w:r>
      <w:r w:rsidR="00D577E1">
        <w:instrText>www</w:instrText>
      </w:r>
      <w:r w:rsidR="00D577E1" w:rsidRPr="00D577E1">
        <w:rPr>
          <w:lang w:val="ru-RU"/>
        </w:rPr>
        <w:instrText>.</w:instrText>
      </w:r>
      <w:r w:rsidR="00D577E1">
        <w:instrText>itu</w:instrText>
      </w:r>
      <w:r w:rsidR="00D577E1" w:rsidRPr="00D577E1">
        <w:rPr>
          <w:lang w:val="ru-RU"/>
        </w:rPr>
        <w:instrText>.</w:instrText>
      </w:r>
      <w:r w:rsidR="00D577E1">
        <w:instrText>int</w:instrText>
      </w:r>
      <w:r w:rsidR="00D577E1" w:rsidRPr="00D577E1">
        <w:rPr>
          <w:lang w:val="ru-RU"/>
        </w:rPr>
        <w:instrText>/</w:instrText>
      </w:r>
      <w:r w:rsidR="00D577E1">
        <w:instrText>en</w:instrText>
      </w:r>
      <w:r w:rsidR="00D577E1" w:rsidRPr="00D577E1">
        <w:rPr>
          <w:lang w:val="ru-RU"/>
        </w:rPr>
        <w:instrText>/</w:instrText>
      </w:r>
      <w:r w:rsidR="00D577E1">
        <w:instrText>hq</w:instrText>
      </w:r>
      <w:r w:rsidR="00D577E1" w:rsidRPr="00D577E1">
        <w:rPr>
          <w:lang w:val="ru-RU"/>
        </w:rPr>
        <w:instrText>-</w:instrText>
      </w:r>
      <w:r w:rsidR="00D577E1">
        <w:instrText>building</w:instrText>
      </w:r>
      <w:r w:rsidR="00D577E1" w:rsidRPr="00D577E1">
        <w:rPr>
          <w:lang w:val="ru-RU"/>
        </w:rPr>
        <w:instrText>/</w:instrText>
      </w:r>
      <w:r w:rsidR="00D577E1">
        <w:instrText>Pages</w:instrText>
      </w:r>
      <w:r w:rsidR="00D577E1" w:rsidRPr="00D577E1">
        <w:rPr>
          <w:lang w:val="ru-RU"/>
        </w:rPr>
        <w:instrText>/</w:instrText>
      </w:r>
      <w:r w:rsidR="00D577E1">
        <w:instrText>default</w:instrText>
      </w:r>
      <w:r w:rsidR="00D577E1" w:rsidRPr="00D577E1">
        <w:rPr>
          <w:lang w:val="ru-RU"/>
        </w:rPr>
        <w:instrText>.</w:instrText>
      </w:r>
      <w:r w:rsidR="00D577E1">
        <w:instrText>aspx</w:instrText>
      </w:r>
      <w:r w:rsidR="00D577E1" w:rsidRPr="00D577E1">
        <w:rPr>
          <w:lang w:val="ru-RU"/>
        </w:rPr>
        <w:instrText xml:space="preserve">" </w:instrText>
      </w:r>
      <w:r w:rsidR="00D577E1">
        <w:fldChar w:fldCharType="separate"/>
      </w:r>
      <w:r>
        <w:rPr>
          <w:rStyle w:val="Hyperlink"/>
        </w:rPr>
        <w:t>https</w:t>
      </w:r>
      <w:r w:rsidRPr="004B77F6">
        <w:rPr>
          <w:rStyle w:val="Hyperlink"/>
          <w:lang w:val="ru-RU"/>
        </w:rPr>
        <w:t>://</w:t>
      </w:r>
      <w:r>
        <w:rPr>
          <w:rStyle w:val="Hyperlink"/>
        </w:rPr>
        <w:t>www</w:t>
      </w:r>
      <w:r w:rsidRPr="004B77F6">
        <w:rPr>
          <w:rStyle w:val="Hyperlink"/>
          <w:lang w:val="ru-RU"/>
        </w:rPr>
        <w:t>.</w:t>
      </w:r>
      <w:r>
        <w:rPr>
          <w:rStyle w:val="Hyperlink"/>
        </w:rPr>
        <w:t>itu</w:t>
      </w:r>
      <w:r w:rsidRPr="004B77F6">
        <w:rPr>
          <w:rStyle w:val="Hyperlink"/>
          <w:lang w:val="ru-RU"/>
        </w:rPr>
        <w:t>.</w:t>
      </w:r>
      <w:r>
        <w:rPr>
          <w:rStyle w:val="Hyperlink"/>
        </w:rPr>
        <w:t>int</w:t>
      </w:r>
      <w:r w:rsidRPr="004B77F6">
        <w:rPr>
          <w:rStyle w:val="Hyperlink"/>
          <w:lang w:val="ru-RU"/>
        </w:rPr>
        <w:t>/</w:t>
      </w:r>
      <w:r>
        <w:rPr>
          <w:rStyle w:val="Hyperlink"/>
        </w:rPr>
        <w:t>en</w:t>
      </w:r>
      <w:r w:rsidRPr="004B77F6">
        <w:rPr>
          <w:rStyle w:val="Hyperlink"/>
          <w:lang w:val="ru-RU"/>
        </w:rPr>
        <w:t>/</w:t>
      </w:r>
      <w:r>
        <w:rPr>
          <w:rStyle w:val="Hyperlink"/>
        </w:rPr>
        <w:t>hq</w:t>
      </w:r>
      <w:r w:rsidRPr="004B77F6">
        <w:rPr>
          <w:rStyle w:val="Hyperlink"/>
          <w:lang w:val="ru-RU"/>
        </w:rPr>
        <w:t>-</w:t>
      </w:r>
      <w:r>
        <w:rPr>
          <w:rStyle w:val="Hyperlink"/>
        </w:rPr>
        <w:t>building</w:t>
      </w:r>
      <w:r w:rsidRPr="004B77F6">
        <w:rPr>
          <w:rStyle w:val="Hyperlink"/>
          <w:lang w:val="ru-RU"/>
        </w:rPr>
        <w:t>/</w:t>
      </w:r>
      <w:r>
        <w:rPr>
          <w:rStyle w:val="Hyperlink"/>
        </w:rPr>
        <w:t>Pages</w:t>
      </w:r>
      <w:r w:rsidRPr="004B77F6">
        <w:rPr>
          <w:rStyle w:val="Hyperlink"/>
          <w:lang w:val="ru-RU"/>
        </w:rPr>
        <w:t>/</w:t>
      </w:r>
      <w:r>
        <w:rPr>
          <w:rStyle w:val="Hyperlink"/>
        </w:rPr>
        <w:t>default</w:t>
      </w:r>
      <w:r w:rsidRPr="004B77F6">
        <w:rPr>
          <w:rStyle w:val="Hyperlink"/>
          <w:lang w:val="ru-RU"/>
        </w:rPr>
        <w:t>.</w:t>
      </w:r>
      <w:r>
        <w:rPr>
          <w:rStyle w:val="Hyperlink"/>
        </w:rPr>
        <w:t>aspx</w:t>
      </w:r>
      <w:r w:rsidR="00D577E1">
        <w:rPr>
          <w:rStyle w:val="Hyperlink"/>
        </w:rPr>
        <w:fldChar w:fldCharType="end"/>
      </w:r>
      <w:r w:rsidRPr="004B77F6">
        <w:rPr>
          <w:lang w:val="ru-RU"/>
        </w:rPr>
        <w:t>.</w:t>
      </w:r>
    </w:p>
  </w:footnote>
  <w:footnote w:id="214">
    <w:p w14:paraId="71AE4398" w14:textId="77777777" w:rsidR="006679E4" w:rsidRPr="004B77F6" w:rsidRDefault="006679E4" w:rsidP="006679E4">
      <w:pPr>
        <w:pStyle w:val="FootnoteText"/>
        <w:rPr>
          <w:lang w:val="ru-RU"/>
        </w:rPr>
      </w:pPr>
      <w:r>
        <w:rPr>
          <w:rStyle w:val="FootnoteReference"/>
        </w:rPr>
        <w:footnoteRef/>
      </w:r>
      <w:r w:rsidRPr="004B77F6">
        <w:rPr>
          <w:lang w:val="ru-RU"/>
        </w:rPr>
        <w:t xml:space="preserve"> Нам известно как минимум об еще одном учреждении ООН, осуществляющем такое управление бюджетом, выделенным на проведении мероприятий по профессиональной подготовке.</w:t>
      </w:r>
    </w:p>
  </w:footnote>
  <w:footnote w:id="215">
    <w:p w14:paraId="0E257D50" w14:textId="77777777" w:rsidR="004B77F6" w:rsidRPr="004B77F6" w:rsidRDefault="004B77F6" w:rsidP="00A105CB">
      <w:pPr>
        <w:pStyle w:val="FootnoteText"/>
        <w:rPr>
          <w:lang w:val="ru-RU"/>
        </w:rPr>
      </w:pPr>
      <w:r>
        <w:rPr>
          <w:rStyle w:val="FootnoteReference"/>
        </w:rPr>
        <w:footnoteRef/>
      </w:r>
      <w:r w:rsidRPr="004B77F6">
        <w:rPr>
          <w:lang w:val="ru-RU"/>
        </w:rPr>
        <w:t xml:space="preserve"> Если бы Совет отдал предпочтение модели, предусматривающей создание Института, и был готов незамедлительно предоставить средства для его финансирования, то замечания и предложения, высказанные на 3-м этапе, можно было бы применить к любому новому Институту.</w:t>
      </w:r>
    </w:p>
  </w:footnote>
  <w:footnote w:id="216">
    <w:p w14:paraId="4F452274" w14:textId="149D1F7E" w:rsidR="004B77F6" w:rsidRPr="004B77F6" w:rsidRDefault="004B77F6" w:rsidP="00A105CB">
      <w:pPr>
        <w:pStyle w:val="FootnoteText"/>
        <w:rPr>
          <w:lang w:val="ru-RU"/>
        </w:rPr>
      </w:pPr>
      <w:r>
        <w:rPr>
          <w:rStyle w:val="FootnoteReference"/>
        </w:rPr>
        <w:footnoteRef/>
      </w:r>
      <w:r w:rsidRPr="004B77F6">
        <w:rPr>
          <w:lang w:val="ru-RU"/>
        </w:rPr>
        <w:t xml:space="preserve"> Также можно отметить, что на первом этапе реализации этой модели было установлено лишь 9 </w:t>
      </w:r>
      <w:r w:rsidR="003339C6">
        <w:rPr>
          <w:lang w:val="en-US"/>
        </w:rPr>
        <w:t>DTC</w:t>
      </w:r>
      <w:r w:rsidRPr="004B77F6">
        <w:rPr>
          <w:lang w:val="ru-RU"/>
        </w:rPr>
        <w:t xml:space="preserve">, </w:t>
      </w:r>
      <w:r w:rsidR="00D577E1">
        <w:fldChar w:fldCharType="begin"/>
      </w:r>
      <w:r w:rsidR="00D577E1" w:rsidRPr="00D577E1">
        <w:rPr>
          <w:lang w:val="ru-RU"/>
        </w:rPr>
        <w:instrText xml:space="preserve"> </w:instrText>
      </w:r>
      <w:r w:rsidR="00D577E1">
        <w:instrText>HYPERLINK</w:instrText>
      </w:r>
      <w:r w:rsidR="00D577E1" w:rsidRPr="00D577E1">
        <w:rPr>
          <w:lang w:val="ru-RU"/>
        </w:rPr>
        <w:instrText xml:space="preserve"> "</w:instrText>
      </w:r>
      <w:r w:rsidR="00D577E1">
        <w:instrText>https</w:instrText>
      </w:r>
      <w:r w:rsidR="00D577E1" w:rsidRPr="00D577E1">
        <w:rPr>
          <w:lang w:val="ru-RU"/>
        </w:rPr>
        <w:instrText>://</w:instrText>
      </w:r>
      <w:r w:rsidR="00D577E1">
        <w:instrText>academy</w:instrText>
      </w:r>
      <w:r w:rsidR="00D577E1" w:rsidRPr="00D577E1">
        <w:rPr>
          <w:lang w:val="ru-RU"/>
        </w:rPr>
        <w:instrText>.</w:instrText>
      </w:r>
      <w:r w:rsidR="00D577E1">
        <w:instrText>itu</w:instrText>
      </w:r>
      <w:r w:rsidR="00D577E1" w:rsidRPr="00D577E1">
        <w:rPr>
          <w:lang w:val="ru-RU"/>
        </w:rPr>
        <w:instrText>.</w:instrText>
      </w:r>
      <w:r w:rsidR="00D577E1">
        <w:instrText>int</w:instrText>
      </w:r>
      <w:r w:rsidR="00D577E1" w:rsidRPr="00D577E1">
        <w:rPr>
          <w:lang w:val="ru-RU"/>
        </w:rPr>
        <w:instrText>/</w:instrText>
      </w:r>
      <w:r w:rsidR="00D577E1">
        <w:instrText>main</w:instrText>
      </w:r>
      <w:r w:rsidR="00D577E1" w:rsidRPr="00D577E1">
        <w:rPr>
          <w:lang w:val="ru-RU"/>
        </w:rPr>
        <w:instrText>-</w:instrText>
      </w:r>
      <w:r w:rsidR="00D577E1">
        <w:instrText>activities</w:instrText>
      </w:r>
      <w:r w:rsidR="00D577E1" w:rsidRPr="00D577E1">
        <w:rPr>
          <w:lang w:val="ru-RU"/>
        </w:rPr>
        <w:instrText>/</w:instrText>
      </w:r>
      <w:r w:rsidR="00D577E1">
        <w:instrText>digital</w:instrText>
      </w:r>
      <w:r w:rsidR="00D577E1" w:rsidRPr="00D577E1">
        <w:rPr>
          <w:lang w:val="ru-RU"/>
        </w:rPr>
        <w:instrText>-</w:instrText>
      </w:r>
      <w:r w:rsidR="00D577E1">
        <w:instrText>transformation</w:instrText>
      </w:r>
      <w:r w:rsidR="00D577E1" w:rsidRPr="00D577E1">
        <w:rPr>
          <w:lang w:val="ru-RU"/>
        </w:rPr>
        <w:instrText>-</w:instrText>
      </w:r>
      <w:r w:rsidR="00D577E1">
        <w:instrText>centres</w:instrText>
      </w:r>
      <w:r w:rsidR="00D577E1" w:rsidRPr="00D577E1">
        <w:rPr>
          <w:lang w:val="ru-RU"/>
        </w:rPr>
        <w:instrText>-</w:instrText>
      </w:r>
      <w:r w:rsidR="00D577E1">
        <w:instrText>initiative</w:instrText>
      </w:r>
      <w:r w:rsidR="00D577E1" w:rsidRPr="00D577E1">
        <w:rPr>
          <w:lang w:val="ru-RU"/>
        </w:rPr>
        <w:instrText xml:space="preserve">" </w:instrText>
      </w:r>
      <w:r w:rsidR="00D577E1">
        <w:fldChar w:fldCharType="separate"/>
      </w:r>
      <w:r>
        <w:rPr>
          <w:rStyle w:val="Hyperlink"/>
        </w:rPr>
        <w:t>https</w:t>
      </w:r>
      <w:r w:rsidRPr="004B77F6">
        <w:rPr>
          <w:rStyle w:val="Hyperlink"/>
          <w:lang w:val="ru-RU"/>
        </w:rPr>
        <w:t>://</w:t>
      </w:r>
      <w:r>
        <w:rPr>
          <w:rStyle w:val="Hyperlink"/>
        </w:rPr>
        <w:t>academy</w:t>
      </w:r>
      <w:r w:rsidRPr="004B77F6">
        <w:rPr>
          <w:rStyle w:val="Hyperlink"/>
          <w:lang w:val="ru-RU"/>
        </w:rPr>
        <w:t>.</w:t>
      </w:r>
      <w:r>
        <w:rPr>
          <w:rStyle w:val="Hyperlink"/>
        </w:rPr>
        <w:t>itu</w:t>
      </w:r>
      <w:r w:rsidRPr="004B77F6">
        <w:rPr>
          <w:rStyle w:val="Hyperlink"/>
          <w:lang w:val="ru-RU"/>
        </w:rPr>
        <w:t>.</w:t>
      </w:r>
      <w:r>
        <w:rPr>
          <w:rStyle w:val="Hyperlink"/>
        </w:rPr>
        <w:t>int</w:t>
      </w:r>
      <w:r w:rsidRPr="004B77F6">
        <w:rPr>
          <w:rStyle w:val="Hyperlink"/>
          <w:lang w:val="ru-RU"/>
        </w:rPr>
        <w:t>/</w:t>
      </w:r>
      <w:r>
        <w:rPr>
          <w:rStyle w:val="Hyperlink"/>
        </w:rPr>
        <w:t>main</w:t>
      </w:r>
      <w:r w:rsidRPr="004B77F6">
        <w:rPr>
          <w:rStyle w:val="Hyperlink"/>
          <w:lang w:val="ru-RU"/>
        </w:rPr>
        <w:t>-</w:t>
      </w:r>
      <w:r>
        <w:rPr>
          <w:rStyle w:val="Hyperlink"/>
        </w:rPr>
        <w:t>activities</w:t>
      </w:r>
      <w:r w:rsidRPr="004B77F6">
        <w:rPr>
          <w:rStyle w:val="Hyperlink"/>
          <w:lang w:val="ru-RU"/>
        </w:rPr>
        <w:t>/</w:t>
      </w:r>
      <w:r>
        <w:rPr>
          <w:rStyle w:val="Hyperlink"/>
        </w:rPr>
        <w:t>digital</w:t>
      </w:r>
      <w:r w:rsidRPr="004B77F6">
        <w:rPr>
          <w:rStyle w:val="Hyperlink"/>
          <w:lang w:val="ru-RU"/>
        </w:rPr>
        <w:t>-</w:t>
      </w:r>
      <w:r>
        <w:rPr>
          <w:rStyle w:val="Hyperlink"/>
        </w:rPr>
        <w:t>transformation</w:t>
      </w:r>
      <w:r w:rsidRPr="004B77F6">
        <w:rPr>
          <w:rStyle w:val="Hyperlink"/>
          <w:lang w:val="ru-RU"/>
        </w:rPr>
        <w:t>-</w:t>
      </w:r>
      <w:r>
        <w:rPr>
          <w:rStyle w:val="Hyperlink"/>
        </w:rPr>
        <w:t>centres</w:t>
      </w:r>
      <w:r w:rsidRPr="004B77F6">
        <w:rPr>
          <w:rStyle w:val="Hyperlink"/>
          <w:lang w:val="ru-RU"/>
        </w:rPr>
        <w:t>-</w:t>
      </w:r>
      <w:r>
        <w:rPr>
          <w:rStyle w:val="Hyperlink"/>
        </w:rPr>
        <w:t>initiative</w:t>
      </w:r>
      <w:r w:rsidR="00D577E1">
        <w:rPr>
          <w:rStyle w:val="Hyperlink"/>
        </w:rPr>
        <w:fldChar w:fldCharType="end"/>
      </w:r>
      <w:r w:rsidRPr="004B77F6">
        <w:rPr>
          <w:lang w:val="ru-RU"/>
        </w:rPr>
        <w:t xml:space="preserve">. </w:t>
      </w:r>
    </w:p>
  </w:footnote>
  <w:footnote w:id="217">
    <w:p w14:paraId="2A47A56B" w14:textId="77777777" w:rsidR="004B77F6" w:rsidRPr="004B77F6" w:rsidRDefault="004B77F6" w:rsidP="00A105CB">
      <w:pPr>
        <w:pStyle w:val="FootnoteText"/>
        <w:rPr>
          <w:lang w:val="ru-RU"/>
        </w:rPr>
      </w:pPr>
      <w:r>
        <w:rPr>
          <w:rStyle w:val="FootnoteReference"/>
        </w:rPr>
        <w:footnoteRef/>
      </w:r>
      <w:r w:rsidRPr="004B77F6">
        <w:rPr>
          <w:lang w:val="ru-RU"/>
        </w:rPr>
        <w:t xml:space="preserve"> Обратите внимание, что темно-серое затенение указывает на прямое упоминание на платформе Академии МСЭ в начале обзора. </w:t>
      </w:r>
    </w:p>
  </w:footnote>
  <w:footnote w:id="218">
    <w:p w14:paraId="19A1B538" w14:textId="77777777" w:rsidR="004B77F6" w:rsidRPr="004B77F6" w:rsidRDefault="004B77F6" w:rsidP="00A105CB">
      <w:pPr>
        <w:pStyle w:val="FootnoteText"/>
        <w:rPr>
          <w:lang w:val="ru-RU"/>
        </w:rPr>
      </w:pPr>
      <w:r>
        <w:rPr>
          <w:rStyle w:val="FootnoteReference"/>
        </w:rPr>
        <w:footnoteRef/>
      </w:r>
      <w:r w:rsidRPr="004B77F6">
        <w:rPr>
          <w:lang w:val="ru-RU"/>
        </w:rPr>
        <w:t xml:space="preserve"> Курс СПП размещался на платформе Академии только в течение года и на данный момент удален.</w:t>
      </w:r>
    </w:p>
  </w:footnote>
  <w:footnote w:id="219">
    <w:p w14:paraId="6BB1D36C" w14:textId="1ABEA65F" w:rsidR="004B77F6" w:rsidRPr="004B77F6" w:rsidRDefault="004B77F6" w:rsidP="00A105CB">
      <w:pPr>
        <w:pStyle w:val="FootnoteText"/>
        <w:rPr>
          <w:lang w:val="ru-RU"/>
        </w:rPr>
      </w:pPr>
      <w:r>
        <w:rPr>
          <w:rStyle w:val="FootnoteReference"/>
        </w:rPr>
        <w:footnoteRef/>
      </w:r>
      <w:r w:rsidRPr="004B77F6">
        <w:rPr>
          <w:lang w:val="ru-RU"/>
        </w:rPr>
        <w:t xml:space="preserve"> </w:t>
      </w:r>
      <w:r w:rsidR="00275C63">
        <w:rPr>
          <w:lang w:val="ru-RU"/>
        </w:rPr>
        <w:t>ПРС</w:t>
      </w:r>
      <w:r w:rsidRPr="004B77F6">
        <w:rPr>
          <w:lang w:val="ru-RU"/>
        </w:rPr>
        <w:t xml:space="preserve"> – преодоление разрыва в области стандартизации; очное обучение, проводимое во время собраний ИК, предполагающее, что участники предварительно прошли онлайн-курс </w:t>
      </w:r>
      <w:r>
        <w:t>A</w:t>
      </w:r>
      <w:r w:rsidRPr="004B77F6">
        <w:rPr>
          <w:lang w:val="ru-RU"/>
        </w:rPr>
        <w:t>.1.</w:t>
      </w:r>
    </w:p>
  </w:footnote>
  <w:footnote w:id="220">
    <w:p w14:paraId="2008CB46" w14:textId="03199DBE" w:rsidR="004B77F6" w:rsidRPr="004B77F6" w:rsidRDefault="004B77F6" w:rsidP="00A105CB">
      <w:pPr>
        <w:pStyle w:val="FootnoteText"/>
        <w:rPr>
          <w:lang w:val="ru-RU"/>
        </w:rPr>
      </w:pPr>
      <w:r>
        <w:rPr>
          <w:rStyle w:val="FootnoteReference"/>
        </w:rPr>
        <w:footnoteRef/>
      </w:r>
      <w:r w:rsidRPr="004B77F6">
        <w:rPr>
          <w:lang w:val="ru-RU"/>
        </w:rPr>
        <w:t xml:space="preserve"> Такие конференции и симпозиумы можно было бы также отнести к категории </w:t>
      </w:r>
      <w:r w:rsidR="006E72AD">
        <w:rPr>
          <w:lang w:val="ru-RU"/>
        </w:rPr>
        <w:t>"</w:t>
      </w:r>
      <w:r w:rsidRPr="004B77F6">
        <w:rPr>
          <w:lang w:val="ru-RU"/>
        </w:rPr>
        <w:t>Неофициальных</w:t>
      </w:r>
      <w:r w:rsidR="006E72AD">
        <w:rPr>
          <w:lang w:val="ru-RU"/>
        </w:rPr>
        <w:t>"</w:t>
      </w:r>
      <w:r w:rsidRPr="004B77F6">
        <w:rPr>
          <w:lang w:val="ru-RU"/>
        </w:rPr>
        <w:t>, но БСЭ считает их официальными, поскольку перед проведением таких мероприятий распространяется Циркуляр МСЭ и другие официальные формы приглашения, и они образуют часть реализации конкретного пункта в плане действия БСЭ.</w:t>
      </w:r>
      <w:r w:rsidR="00A579EF">
        <w:rPr>
          <w:lang w:val="ru-RU"/>
        </w:rPr>
        <w:t xml:space="preserve"> </w:t>
      </w:r>
    </w:p>
  </w:footnote>
  <w:footnote w:id="221">
    <w:p w14:paraId="0C6B0BC8" w14:textId="2B1CC1AB" w:rsidR="004B77F6" w:rsidRPr="004B77F6" w:rsidRDefault="004B77F6" w:rsidP="00A105CB">
      <w:pPr>
        <w:pStyle w:val="FootnoteText"/>
        <w:rPr>
          <w:lang w:val="ru-RU"/>
        </w:rPr>
      </w:pPr>
      <w:r>
        <w:rPr>
          <w:rStyle w:val="FootnoteReference"/>
        </w:rPr>
        <w:footnoteRef/>
      </w:r>
      <w:r w:rsidRPr="004B77F6">
        <w:rPr>
          <w:lang w:val="ru-RU"/>
        </w:rPr>
        <w:t xml:space="preserve"> Несмотря на упоминание на странице </w:t>
      </w:r>
      <w:r w:rsidR="00D577E1">
        <w:fldChar w:fldCharType="begin"/>
      </w:r>
      <w:r w:rsidR="00D577E1" w:rsidRPr="00D577E1">
        <w:rPr>
          <w:lang w:val="ru-RU"/>
        </w:rPr>
        <w:instrText xml:space="preserve"> </w:instrText>
      </w:r>
      <w:r w:rsidR="00D577E1">
        <w:instrText>HYPERLINK</w:instrText>
      </w:r>
      <w:r w:rsidR="00D577E1" w:rsidRPr="00D577E1">
        <w:rPr>
          <w:lang w:val="ru-RU"/>
        </w:rPr>
        <w:instrText xml:space="preserve"> "</w:instrText>
      </w:r>
      <w:r w:rsidR="00D577E1">
        <w:instrText>https</w:instrText>
      </w:r>
      <w:r w:rsidR="00D577E1" w:rsidRPr="00D577E1">
        <w:rPr>
          <w:lang w:val="ru-RU"/>
        </w:rPr>
        <w:instrText>://</w:instrText>
      </w:r>
      <w:r w:rsidR="00D577E1">
        <w:instrText>www</w:instrText>
      </w:r>
      <w:r w:rsidR="00D577E1" w:rsidRPr="00D577E1">
        <w:rPr>
          <w:lang w:val="ru-RU"/>
        </w:rPr>
        <w:instrText>.</w:instrText>
      </w:r>
      <w:r w:rsidR="00D577E1">
        <w:instrText>itu</w:instrText>
      </w:r>
      <w:r w:rsidR="00D577E1" w:rsidRPr="00D577E1">
        <w:rPr>
          <w:lang w:val="ru-RU"/>
        </w:rPr>
        <w:instrText>.</w:instrText>
      </w:r>
      <w:r w:rsidR="00D577E1">
        <w:instrText>int</w:instrText>
      </w:r>
      <w:r w:rsidR="00D577E1" w:rsidRPr="00D577E1">
        <w:rPr>
          <w:lang w:val="ru-RU"/>
        </w:rPr>
        <w:instrText>/</w:instrText>
      </w:r>
      <w:r w:rsidR="00D577E1">
        <w:instrText>en</w:instrText>
      </w:r>
      <w:r w:rsidR="00D577E1" w:rsidRPr="00D577E1">
        <w:rPr>
          <w:lang w:val="ru-RU"/>
        </w:rPr>
        <w:instrText>/</w:instrText>
      </w:r>
      <w:r w:rsidR="00D577E1">
        <w:instrText>ITU</w:instrText>
      </w:r>
      <w:r w:rsidR="00D577E1" w:rsidRPr="00D577E1">
        <w:rPr>
          <w:lang w:val="ru-RU"/>
        </w:rPr>
        <w:instrText>-</w:instrText>
      </w:r>
      <w:r w:rsidR="00D577E1">
        <w:instrText>T</w:instrText>
      </w:r>
      <w:r w:rsidR="00D577E1" w:rsidRPr="00D577E1">
        <w:rPr>
          <w:lang w:val="ru-RU"/>
        </w:rPr>
        <w:instrText>/</w:instrText>
      </w:r>
      <w:r w:rsidR="00D577E1">
        <w:instrText>gap</w:instrText>
      </w:r>
      <w:r w:rsidR="00D577E1" w:rsidRPr="00D577E1">
        <w:rPr>
          <w:lang w:val="ru-RU"/>
        </w:rPr>
        <w:instrText>/</w:instrText>
      </w:r>
      <w:r w:rsidR="00D577E1">
        <w:instrText>Pages</w:instrText>
      </w:r>
      <w:r w:rsidR="00D577E1" w:rsidRPr="00D577E1">
        <w:rPr>
          <w:lang w:val="ru-RU"/>
        </w:rPr>
        <w:instrText>/</w:instrText>
      </w:r>
      <w:r w:rsidR="00D577E1">
        <w:instrText>quiz</w:instrText>
      </w:r>
      <w:r w:rsidR="00D577E1" w:rsidRPr="00D577E1">
        <w:rPr>
          <w:lang w:val="ru-RU"/>
        </w:rPr>
        <w:instrText>.</w:instrText>
      </w:r>
      <w:r w:rsidR="00D577E1">
        <w:instrText>aspx</w:instrText>
      </w:r>
      <w:r w:rsidR="00D577E1" w:rsidRPr="00D577E1">
        <w:rPr>
          <w:lang w:val="ru-RU"/>
        </w:rPr>
        <w:instrText xml:space="preserve">" </w:instrText>
      </w:r>
      <w:r w:rsidR="00D577E1">
        <w:fldChar w:fldCharType="separate"/>
      </w:r>
      <w:r>
        <w:t>https</w:t>
      </w:r>
      <w:r w:rsidRPr="004B77F6">
        <w:rPr>
          <w:lang w:val="ru-RU"/>
        </w:rPr>
        <w:t>://</w:t>
      </w:r>
      <w:r>
        <w:t>www</w:t>
      </w:r>
      <w:r w:rsidRPr="004B77F6">
        <w:rPr>
          <w:lang w:val="ru-RU"/>
        </w:rPr>
        <w:t>.</w:t>
      </w:r>
      <w:r>
        <w:t>itu</w:t>
      </w:r>
      <w:r w:rsidRPr="004B77F6">
        <w:rPr>
          <w:lang w:val="ru-RU"/>
        </w:rPr>
        <w:t>.</w:t>
      </w:r>
      <w:r>
        <w:t>int</w:t>
      </w:r>
      <w:r w:rsidRPr="004B77F6">
        <w:rPr>
          <w:lang w:val="ru-RU"/>
        </w:rPr>
        <w:t>/</w:t>
      </w:r>
      <w:r>
        <w:t>en</w:t>
      </w:r>
      <w:r w:rsidRPr="004B77F6">
        <w:rPr>
          <w:lang w:val="ru-RU"/>
        </w:rPr>
        <w:t>/</w:t>
      </w:r>
      <w:r>
        <w:t>ITU</w:t>
      </w:r>
      <w:r w:rsidRPr="004B77F6">
        <w:rPr>
          <w:lang w:val="ru-RU"/>
        </w:rPr>
        <w:t>-</w:t>
      </w:r>
      <w:r>
        <w:t>T</w:t>
      </w:r>
      <w:r w:rsidRPr="004B77F6">
        <w:rPr>
          <w:lang w:val="ru-RU"/>
        </w:rPr>
        <w:t>/</w:t>
      </w:r>
      <w:r>
        <w:t>gap</w:t>
      </w:r>
      <w:r w:rsidRPr="004B77F6">
        <w:rPr>
          <w:lang w:val="ru-RU"/>
        </w:rPr>
        <w:t>/</w:t>
      </w:r>
      <w:r>
        <w:t>Pages</w:t>
      </w:r>
      <w:r w:rsidRPr="004B77F6">
        <w:rPr>
          <w:lang w:val="ru-RU"/>
        </w:rPr>
        <w:t>/</w:t>
      </w:r>
      <w:r>
        <w:t>quiz</w:t>
      </w:r>
      <w:r w:rsidRPr="004B77F6">
        <w:rPr>
          <w:lang w:val="ru-RU"/>
        </w:rPr>
        <w:t>.</w:t>
      </w:r>
      <w:r>
        <w:t>aspx</w:t>
      </w:r>
      <w:r w:rsidR="00D577E1">
        <w:fldChar w:fldCharType="end"/>
      </w:r>
      <w:r w:rsidRPr="004B77F6">
        <w:rPr>
          <w:lang w:val="ru-RU"/>
        </w:rPr>
        <w:t>, БСЭ считает это не опросом, а скорее практическим заданием, определяющим как представлять вклады и как участвовать в собраниях ИК.</w:t>
      </w:r>
    </w:p>
  </w:footnote>
  <w:footnote w:id="222">
    <w:p w14:paraId="01AFB8D9" w14:textId="24E45CEB" w:rsidR="004B77F6" w:rsidRPr="004B77F6" w:rsidRDefault="004B77F6" w:rsidP="00A105CB">
      <w:pPr>
        <w:pStyle w:val="FootnoteText"/>
        <w:rPr>
          <w:lang w:val="ru-RU"/>
        </w:rPr>
      </w:pPr>
      <w:r>
        <w:rPr>
          <w:rStyle w:val="FootnoteReference"/>
        </w:rPr>
        <w:footnoteRef/>
      </w:r>
      <w:r w:rsidRPr="004B77F6">
        <w:rPr>
          <w:lang w:val="ru-RU"/>
        </w:rPr>
        <w:t xml:space="preserve"> Отмечаются элементы, которые БРЭ больше не считает реализуемыми в рамках его программы </w:t>
      </w:r>
      <w:r w:rsidR="009421AE">
        <w:rPr>
          <w:lang w:val="ru-RU"/>
        </w:rPr>
        <w:t>развития</w:t>
      </w:r>
      <w:r w:rsidRPr="004B77F6">
        <w:rPr>
          <w:lang w:val="ru-RU"/>
        </w:rPr>
        <w:t xml:space="preserve"> потенциала и профессиональной подготовки.</w:t>
      </w:r>
    </w:p>
  </w:footnote>
  <w:footnote w:id="223">
    <w:p w14:paraId="4D53115B" w14:textId="1215107F" w:rsidR="004B77F6" w:rsidRPr="004B77F6" w:rsidRDefault="004B77F6" w:rsidP="00A105CB">
      <w:pPr>
        <w:pStyle w:val="FootnoteText"/>
        <w:rPr>
          <w:lang w:val="ru-RU"/>
        </w:rPr>
      </w:pPr>
      <w:r>
        <w:rPr>
          <w:rStyle w:val="FootnoteReference"/>
        </w:rPr>
        <w:footnoteRef/>
      </w:r>
      <w:r w:rsidRPr="004B77F6">
        <w:rPr>
          <w:lang w:val="ru-RU"/>
        </w:rPr>
        <w:t xml:space="preserve"> По мнению БР ВКР не является даже неофициальным мероприятием по созданию потенциала; однако аналитическая группа полагает, что, посещая ВКР, люди действительно приобретают опыт и понимание сути вещей, а следовательно она является неофициальным средством обучения.</w:t>
      </w:r>
      <w:r w:rsidR="00A579EF">
        <w:rPr>
          <w:lang w:val="ru-RU"/>
        </w:rPr>
        <w:t xml:space="preserve"> </w:t>
      </w:r>
      <w:r w:rsidRPr="004B77F6">
        <w:rPr>
          <w:lang w:val="ru-RU"/>
        </w:rPr>
        <w:t>Как правило, при втором посещении ВКР люди способны делать более адекватные вклады.</w:t>
      </w:r>
    </w:p>
  </w:footnote>
  <w:footnote w:id="224">
    <w:p w14:paraId="06CDB691" w14:textId="5939CD94" w:rsidR="004B77F6" w:rsidRPr="004B77F6" w:rsidRDefault="004B77F6" w:rsidP="00A105CB">
      <w:pPr>
        <w:pStyle w:val="FootnoteText"/>
        <w:rPr>
          <w:lang w:val="ru-RU"/>
        </w:rPr>
      </w:pPr>
      <w:r>
        <w:rPr>
          <w:rStyle w:val="FootnoteReference"/>
        </w:rPr>
        <w:footnoteRef/>
      </w:r>
      <w:r w:rsidRPr="004B77F6">
        <w:rPr>
          <w:lang w:val="ru-RU"/>
        </w:rPr>
        <w:t xml:space="preserve"> Такие цифры, действительно, являются приблизительными, в некоторых случаях курс может не иметь прямого отношения к теме, тогда как в других учреждениях вполне могут проводить дополнительные курсы или другие формы мероприятий по </w:t>
      </w:r>
      <w:r w:rsidR="009421AE">
        <w:rPr>
          <w:lang w:val="ru-RU"/>
        </w:rPr>
        <w:t>развитию потенциала</w:t>
      </w:r>
      <w:r w:rsidRPr="004B77F6">
        <w:rPr>
          <w:lang w:val="ru-RU"/>
        </w:rPr>
        <w:t xml:space="preserve"> в соответствующих областях, не отображая их, при этом, в своей документации.</w:t>
      </w:r>
      <w:r w:rsidR="00A579EF">
        <w:rPr>
          <w:lang w:val="ru-RU"/>
        </w:rPr>
        <w:t xml:space="preserve"> </w:t>
      </w:r>
      <w:r w:rsidRPr="004B77F6">
        <w:rPr>
          <w:lang w:val="ru-RU"/>
        </w:rPr>
        <w:t xml:space="preserve">При поиске курсов (если такая возможность была) использовалось не одно слово, например </w:t>
      </w:r>
      <w:r w:rsidR="006E72AD">
        <w:rPr>
          <w:lang w:val="ru-RU"/>
        </w:rPr>
        <w:t>"</w:t>
      </w:r>
      <w:r w:rsidRPr="004B77F6">
        <w:rPr>
          <w:lang w:val="ru-RU"/>
        </w:rPr>
        <w:t>Политика</w:t>
      </w:r>
      <w:r w:rsidR="006E72AD">
        <w:rPr>
          <w:lang w:val="ru-RU"/>
        </w:rPr>
        <w:t>"</w:t>
      </w:r>
      <w:r w:rsidRPr="004B77F6">
        <w:rPr>
          <w:lang w:val="ru-RU"/>
        </w:rPr>
        <w:t xml:space="preserve">, а фраза, например </w:t>
      </w:r>
      <w:r w:rsidR="006E72AD">
        <w:rPr>
          <w:lang w:val="ru-RU"/>
        </w:rPr>
        <w:t>"</w:t>
      </w:r>
      <w:r w:rsidRPr="004B77F6">
        <w:rPr>
          <w:lang w:val="ru-RU"/>
        </w:rPr>
        <w:t>Цифровая политика</w:t>
      </w:r>
      <w:r w:rsidR="006E72AD">
        <w:rPr>
          <w:lang w:val="ru-RU"/>
        </w:rPr>
        <w:t>"</w:t>
      </w:r>
      <w:r w:rsidRPr="004B77F6">
        <w:rPr>
          <w:lang w:val="ru-RU"/>
        </w:rPr>
        <w:t xml:space="preserve"> или </w:t>
      </w:r>
      <w:r w:rsidR="006E72AD">
        <w:rPr>
          <w:lang w:val="ru-RU"/>
        </w:rPr>
        <w:t>"</w:t>
      </w:r>
      <w:r w:rsidRPr="004B77F6">
        <w:rPr>
          <w:lang w:val="ru-RU"/>
        </w:rPr>
        <w:t>Регулирование ИКТ</w:t>
      </w:r>
      <w:r w:rsidR="006E72AD">
        <w:rPr>
          <w:lang w:val="ru-RU"/>
        </w:rPr>
        <w:t>"</w:t>
      </w:r>
      <w:r w:rsidRPr="004B77F6">
        <w:rPr>
          <w:lang w:val="ru-RU"/>
        </w:rPr>
        <w:t>.</w:t>
      </w:r>
    </w:p>
  </w:footnote>
  <w:footnote w:id="225">
    <w:p w14:paraId="1CE18F60" w14:textId="59A514D4" w:rsidR="004B77F6" w:rsidRPr="004B77F6" w:rsidRDefault="004B77F6" w:rsidP="00A105CB">
      <w:pPr>
        <w:pStyle w:val="FootnoteText"/>
        <w:rPr>
          <w:lang w:val="ru-RU"/>
        </w:rPr>
      </w:pPr>
      <w:r>
        <w:rPr>
          <w:rStyle w:val="FootnoteReference"/>
        </w:rPr>
        <w:footnoteRef/>
      </w:r>
      <w:r w:rsidRPr="004B77F6">
        <w:rPr>
          <w:lang w:val="ru-RU"/>
        </w:rPr>
        <w:t xml:space="preserve"> По определению, поскольку и содействующие организации по направлениям деятельности ВВУИО, и учреждения ООН принимают определенное участие в работе по </w:t>
      </w:r>
      <w:r w:rsidR="009421AE">
        <w:rPr>
          <w:lang w:val="ru-RU"/>
        </w:rPr>
        <w:t>развитию потенциала</w:t>
      </w:r>
      <w:r w:rsidRPr="004B77F6">
        <w:rPr>
          <w:lang w:val="ru-RU"/>
        </w:rPr>
        <w:t xml:space="preserve"> и профессиональной подготовке, их деятельность в некоторых, если не во всех данных областях пересекается с работой МСЭ.</w:t>
      </w:r>
      <w:r w:rsidR="00A579EF">
        <w:rPr>
          <w:lang w:val="ru-RU"/>
        </w:rPr>
        <w:t xml:space="preserve"> </w:t>
      </w:r>
    </w:p>
  </w:footnote>
  <w:footnote w:id="226">
    <w:p w14:paraId="14462048" w14:textId="4C95EAEC" w:rsidR="004B77F6" w:rsidRPr="004B77F6" w:rsidRDefault="004B77F6" w:rsidP="00A105CB">
      <w:pPr>
        <w:pStyle w:val="FootnoteText"/>
        <w:rPr>
          <w:lang w:val="ru-RU"/>
        </w:rPr>
      </w:pPr>
      <w:r>
        <w:rPr>
          <w:rStyle w:val="FootnoteReference"/>
        </w:rPr>
        <w:footnoteRef/>
      </w:r>
      <w:r w:rsidRPr="004B77F6">
        <w:rPr>
          <w:lang w:val="ru-RU"/>
        </w:rPr>
        <w:t xml:space="preserve"> </w:t>
      </w:r>
      <w:r w:rsidR="00D577E1">
        <w:fldChar w:fldCharType="begin"/>
      </w:r>
      <w:r w:rsidR="00D577E1" w:rsidRPr="00D577E1">
        <w:rPr>
          <w:lang w:val="ru-RU"/>
        </w:rPr>
        <w:instrText xml:space="preserve"> </w:instrText>
      </w:r>
      <w:r w:rsidR="00D577E1">
        <w:instrText>HYPERLINK</w:instrText>
      </w:r>
      <w:r w:rsidR="00D577E1" w:rsidRPr="00D577E1">
        <w:rPr>
          <w:lang w:val="ru-RU"/>
        </w:rPr>
        <w:instrText xml:space="preserve"> "</w:instrText>
      </w:r>
      <w:r w:rsidR="00D577E1">
        <w:instrText>https</w:instrText>
      </w:r>
      <w:r w:rsidR="00D577E1" w:rsidRPr="00D577E1">
        <w:rPr>
          <w:lang w:val="ru-RU"/>
        </w:rPr>
        <w:instrText>://</w:instrText>
      </w:r>
      <w:r w:rsidR="00D577E1">
        <w:instrText>elearning</w:instrText>
      </w:r>
      <w:r w:rsidR="00D577E1" w:rsidRPr="00D577E1">
        <w:rPr>
          <w:lang w:val="ru-RU"/>
        </w:rPr>
        <w:instrText>.</w:instrText>
      </w:r>
      <w:r w:rsidR="00D577E1">
        <w:instrText>fao</w:instrText>
      </w:r>
      <w:r w:rsidR="00D577E1" w:rsidRPr="00D577E1">
        <w:rPr>
          <w:lang w:val="ru-RU"/>
        </w:rPr>
        <w:instrText>.</w:instrText>
      </w:r>
      <w:r w:rsidR="00D577E1">
        <w:instrText>org</w:instrText>
      </w:r>
      <w:r w:rsidR="00D577E1" w:rsidRPr="00D577E1">
        <w:rPr>
          <w:lang w:val="ru-RU"/>
        </w:rPr>
        <w:instrText xml:space="preserve">" </w:instrText>
      </w:r>
      <w:r w:rsidR="00D577E1">
        <w:fldChar w:fldCharType="separate"/>
      </w:r>
      <w:r>
        <w:rPr>
          <w:rStyle w:val="Hyperlink"/>
        </w:rPr>
        <w:t>https</w:t>
      </w:r>
      <w:r w:rsidRPr="004B77F6">
        <w:rPr>
          <w:rStyle w:val="Hyperlink"/>
          <w:lang w:val="ru-RU"/>
        </w:rPr>
        <w:t>://</w:t>
      </w:r>
      <w:r>
        <w:rPr>
          <w:rStyle w:val="Hyperlink"/>
        </w:rPr>
        <w:t>elearning</w:t>
      </w:r>
      <w:r w:rsidRPr="004B77F6">
        <w:rPr>
          <w:rStyle w:val="Hyperlink"/>
          <w:lang w:val="ru-RU"/>
        </w:rPr>
        <w:t>.</w:t>
      </w:r>
      <w:r>
        <w:rPr>
          <w:rStyle w:val="Hyperlink"/>
        </w:rPr>
        <w:t>fao</w:t>
      </w:r>
      <w:r w:rsidRPr="004B77F6">
        <w:rPr>
          <w:rStyle w:val="Hyperlink"/>
          <w:lang w:val="ru-RU"/>
        </w:rPr>
        <w:t>.</w:t>
      </w:r>
      <w:r>
        <w:rPr>
          <w:rStyle w:val="Hyperlink"/>
        </w:rPr>
        <w:t>org</w:t>
      </w:r>
      <w:r w:rsidR="00D577E1">
        <w:rPr>
          <w:rStyle w:val="Hyperlink"/>
        </w:rPr>
        <w:fldChar w:fldCharType="end"/>
      </w:r>
      <w:r w:rsidRPr="004B77F6">
        <w:rPr>
          <w:lang w:val="ru-RU"/>
        </w:rPr>
        <w:t>.</w:t>
      </w:r>
      <w:r w:rsidR="00A579EF">
        <w:rPr>
          <w:lang w:val="ru-RU"/>
        </w:rPr>
        <w:t xml:space="preserve"> </w:t>
      </w:r>
      <w:r w:rsidRPr="004B77F6">
        <w:rPr>
          <w:lang w:val="ru-RU"/>
        </w:rPr>
        <w:t>Данные по курсам. Кроме того, здесь представлено множество вебинаров по различным аспектам.</w:t>
      </w:r>
    </w:p>
  </w:footnote>
  <w:footnote w:id="227">
    <w:p w14:paraId="61512BCB" w14:textId="544CAD32" w:rsidR="004B77F6" w:rsidRPr="004B77F6" w:rsidRDefault="004B77F6" w:rsidP="00A105CB">
      <w:pPr>
        <w:pStyle w:val="FootnoteText"/>
        <w:rPr>
          <w:lang w:val="ru-RU"/>
        </w:rPr>
      </w:pPr>
      <w:r>
        <w:rPr>
          <w:rStyle w:val="FootnoteReference"/>
        </w:rPr>
        <w:footnoteRef/>
      </w:r>
      <w:r w:rsidRPr="004B77F6">
        <w:rPr>
          <w:lang w:val="ru-RU"/>
        </w:rPr>
        <w:t xml:space="preserve"> </w:t>
      </w:r>
      <w:r w:rsidR="00D577E1">
        <w:fldChar w:fldCharType="begin"/>
      </w:r>
      <w:r w:rsidR="00D577E1" w:rsidRPr="00D577E1">
        <w:rPr>
          <w:lang w:val="ru-RU"/>
        </w:rPr>
        <w:instrText xml:space="preserve"> </w:instrText>
      </w:r>
      <w:r w:rsidR="00D577E1">
        <w:instrText>HYPERLINK</w:instrText>
      </w:r>
      <w:r w:rsidR="00D577E1" w:rsidRPr="00D577E1">
        <w:rPr>
          <w:lang w:val="ru-RU"/>
        </w:rPr>
        <w:instrText xml:space="preserve"> "</w:instrText>
      </w:r>
      <w:r w:rsidR="00D577E1">
        <w:instrText>https</w:instrText>
      </w:r>
      <w:r w:rsidR="00D577E1" w:rsidRPr="00D577E1">
        <w:rPr>
          <w:lang w:val="ru-RU"/>
        </w:rPr>
        <w:instrText>://</w:instrText>
      </w:r>
      <w:r w:rsidR="00D577E1">
        <w:instrText>www</w:instrText>
      </w:r>
      <w:r w:rsidR="00D577E1" w:rsidRPr="00D577E1">
        <w:rPr>
          <w:lang w:val="ru-RU"/>
        </w:rPr>
        <w:instrText>.</w:instrText>
      </w:r>
      <w:r w:rsidR="00D577E1">
        <w:instrText>itcilo</w:instrText>
      </w:r>
      <w:r w:rsidR="00D577E1" w:rsidRPr="00D577E1">
        <w:rPr>
          <w:lang w:val="ru-RU"/>
        </w:rPr>
        <w:instrText>.</w:instrText>
      </w:r>
      <w:r w:rsidR="00D577E1">
        <w:instrText>org</w:instrText>
      </w:r>
      <w:r w:rsidR="00D577E1" w:rsidRPr="00D577E1">
        <w:rPr>
          <w:lang w:val="ru-RU"/>
        </w:rPr>
        <w:instrText xml:space="preserve">/" </w:instrText>
      </w:r>
      <w:r w:rsidR="00D577E1">
        <w:fldChar w:fldCharType="separate"/>
      </w:r>
      <w:r>
        <w:rPr>
          <w:rStyle w:val="Hyperlink"/>
        </w:rPr>
        <w:t>https</w:t>
      </w:r>
      <w:r w:rsidRPr="004B77F6">
        <w:rPr>
          <w:rStyle w:val="Hyperlink"/>
          <w:lang w:val="ru-RU"/>
        </w:rPr>
        <w:t>://</w:t>
      </w:r>
      <w:r>
        <w:rPr>
          <w:rStyle w:val="Hyperlink"/>
        </w:rPr>
        <w:t>www</w:t>
      </w:r>
      <w:r w:rsidRPr="004B77F6">
        <w:rPr>
          <w:rStyle w:val="Hyperlink"/>
          <w:lang w:val="ru-RU"/>
        </w:rPr>
        <w:t>.</w:t>
      </w:r>
      <w:r>
        <w:rPr>
          <w:rStyle w:val="Hyperlink"/>
        </w:rPr>
        <w:t>itcilo</w:t>
      </w:r>
      <w:r w:rsidRPr="004B77F6">
        <w:rPr>
          <w:rStyle w:val="Hyperlink"/>
          <w:lang w:val="ru-RU"/>
        </w:rPr>
        <w:t>.</w:t>
      </w:r>
      <w:r>
        <w:rPr>
          <w:rStyle w:val="Hyperlink"/>
        </w:rPr>
        <w:t>org</w:t>
      </w:r>
      <w:r w:rsidRPr="004B77F6">
        <w:rPr>
          <w:rStyle w:val="Hyperlink"/>
          <w:lang w:val="ru-RU"/>
        </w:rPr>
        <w:t>/</w:t>
      </w:r>
      <w:r w:rsidR="00D577E1">
        <w:rPr>
          <w:rStyle w:val="Hyperlink"/>
          <w:lang w:val="ru-RU"/>
        </w:rPr>
        <w:fldChar w:fldCharType="end"/>
      </w:r>
      <w:r w:rsidR="00032E0B">
        <w:rPr>
          <w:lang w:val="ru-RU"/>
        </w:rPr>
        <w:t>.</w:t>
      </w:r>
    </w:p>
  </w:footnote>
  <w:footnote w:id="228">
    <w:p w14:paraId="0209E916" w14:textId="0A6FA0C2" w:rsidR="004B77F6" w:rsidRPr="004B77F6" w:rsidRDefault="004B77F6" w:rsidP="00A105CB">
      <w:pPr>
        <w:pStyle w:val="FootnoteText"/>
        <w:rPr>
          <w:lang w:val="ru-RU"/>
        </w:rPr>
      </w:pPr>
      <w:r>
        <w:rPr>
          <w:rStyle w:val="FootnoteReference"/>
        </w:rPr>
        <w:footnoteRef/>
      </w:r>
      <w:r w:rsidRPr="004B77F6">
        <w:rPr>
          <w:lang w:val="ru-RU"/>
        </w:rPr>
        <w:t xml:space="preserve"> Обратите внимание, что </w:t>
      </w:r>
      <w:r w:rsidR="000D159E">
        <w:rPr>
          <w:lang w:val="en-US"/>
        </w:rPr>
        <w:t>ITC</w:t>
      </w:r>
      <w:r w:rsidRPr="004B77F6">
        <w:rPr>
          <w:lang w:val="ru-RU"/>
        </w:rPr>
        <w:t xml:space="preserve"> являются содействующей организацией, но как таковые не выступают специализированным учреждением ООН, а, напротив, являются многосторонним учреждением с объединенным мандатом ВТО и ЮНКТАД.</w:t>
      </w:r>
      <w:r w:rsidR="00A579EF">
        <w:rPr>
          <w:lang w:val="ru-RU"/>
        </w:rPr>
        <w:t xml:space="preserve"> </w:t>
      </w:r>
      <w:r w:rsidRPr="004B77F6">
        <w:rPr>
          <w:lang w:val="ru-RU"/>
        </w:rPr>
        <w:t xml:space="preserve">См. также </w:t>
      </w:r>
      <w:r w:rsidR="00D577E1">
        <w:fldChar w:fldCharType="begin"/>
      </w:r>
      <w:r w:rsidR="00D577E1" w:rsidRPr="00D577E1">
        <w:rPr>
          <w:lang w:val="ru-RU"/>
        </w:rPr>
        <w:instrText xml:space="preserve"> </w:instrText>
      </w:r>
      <w:r w:rsidR="00D577E1">
        <w:instrText>HYPERLINK</w:instrText>
      </w:r>
      <w:r w:rsidR="00D577E1" w:rsidRPr="00D577E1">
        <w:rPr>
          <w:lang w:val="ru-RU"/>
        </w:rPr>
        <w:instrText xml:space="preserve"> "</w:instrText>
      </w:r>
      <w:r w:rsidR="00D577E1">
        <w:instrText>https</w:instrText>
      </w:r>
      <w:r w:rsidR="00D577E1" w:rsidRPr="00D577E1">
        <w:rPr>
          <w:lang w:val="ru-RU"/>
        </w:rPr>
        <w:instrText>://</w:instrText>
      </w:r>
      <w:r w:rsidR="00D577E1">
        <w:instrText>www</w:instrText>
      </w:r>
      <w:r w:rsidR="00D577E1" w:rsidRPr="00D577E1">
        <w:rPr>
          <w:lang w:val="ru-RU"/>
        </w:rPr>
        <w:instrText>.</w:instrText>
      </w:r>
      <w:r w:rsidR="00D577E1">
        <w:instrText>intracen</w:instrText>
      </w:r>
      <w:r w:rsidR="00D577E1" w:rsidRPr="00D577E1">
        <w:rPr>
          <w:lang w:val="ru-RU"/>
        </w:rPr>
        <w:instrText>.</w:instrText>
      </w:r>
      <w:r w:rsidR="00D577E1">
        <w:instrText>org</w:instrText>
      </w:r>
      <w:r w:rsidR="00D577E1" w:rsidRPr="00D577E1">
        <w:rPr>
          <w:lang w:val="ru-RU"/>
        </w:rPr>
        <w:instrText>/</w:instrText>
      </w:r>
      <w:r w:rsidR="00D577E1">
        <w:instrText>digital</w:instrText>
      </w:r>
      <w:r w:rsidR="00D577E1" w:rsidRPr="00D577E1">
        <w:rPr>
          <w:lang w:val="ru-RU"/>
        </w:rPr>
        <w:instrText>-</w:instrText>
      </w:r>
      <w:r w:rsidR="00D577E1">
        <w:instrText>transforma</w:instrText>
      </w:r>
      <w:r w:rsidR="00D577E1">
        <w:instrText>tion</w:instrText>
      </w:r>
      <w:r w:rsidR="00D577E1" w:rsidRPr="00D577E1">
        <w:rPr>
          <w:lang w:val="ru-RU"/>
        </w:rPr>
        <w:instrText>-</w:instrText>
      </w:r>
      <w:r w:rsidR="00D577E1">
        <w:instrText>for</w:instrText>
      </w:r>
      <w:r w:rsidR="00D577E1" w:rsidRPr="00D577E1">
        <w:rPr>
          <w:lang w:val="ru-RU"/>
        </w:rPr>
        <w:instrText>-</w:instrText>
      </w:r>
      <w:r w:rsidR="00D577E1">
        <w:instrText>good</w:instrText>
      </w:r>
      <w:r w:rsidR="00D577E1" w:rsidRPr="00D577E1">
        <w:rPr>
          <w:lang w:val="ru-RU"/>
        </w:rPr>
        <w:instrText xml:space="preserve">/" </w:instrText>
      </w:r>
      <w:r w:rsidR="00D577E1">
        <w:fldChar w:fldCharType="separate"/>
      </w:r>
      <w:r>
        <w:rPr>
          <w:rStyle w:val="Hyperlink"/>
        </w:rPr>
        <w:t>https</w:t>
      </w:r>
      <w:r w:rsidRPr="004B77F6">
        <w:rPr>
          <w:rStyle w:val="Hyperlink"/>
          <w:lang w:val="ru-RU"/>
        </w:rPr>
        <w:t>://</w:t>
      </w:r>
      <w:r>
        <w:rPr>
          <w:rStyle w:val="Hyperlink"/>
        </w:rPr>
        <w:t>www</w:t>
      </w:r>
      <w:r w:rsidRPr="004B77F6">
        <w:rPr>
          <w:rStyle w:val="Hyperlink"/>
          <w:lang w:val="ru-RU"/>
        </w:rPr>
        <w:t>.</w:t>
      </w:r>
      <w:r>
        <w:rPr>
          <w:rStyle w:val="Hyperlink"/>
        </w:rPr>
        <w:t>intracen</w:t>
      </w:r>
      <w:r w:rsidRPr="004B77F6">
        <w:rPr>
          <w:rStyle w:val="Hyperlink"/>
          <w:lang w:val="ru-RU"/>
        </w:rPr>
        <w:t>.</w:t>
      </w:r>
      <w:r>
        <w:rPr>
          <w:rStyle w:val="Hyperlink"/>
        </w:rPr>
        <w:t>org</w:t>
      </w:r>
      <w:r w:rsidRPr="004B77F6">
        <w:rPr>
          <w:rStyle w:val="Hyperlink"/>
          <w:lang w:val="ru-RU"/>
        </w:rPr>
        <w:t>/</w:t>
      </w:r>
      <w:r>
        <w:rPr>
          <w:rStyle w:val="Hyperlink"/>
        </w:rPr>
        <w:t>digital</w:t>
      </w:r>
      <w:r w:rsidRPr="004B77F6">
        <w:rPr>
          <w:rStyle w:val="Hyperlink"/>
          <w:lang w:val="ru-RU"/>
        </w:rPr>
        <w:t>-</w:t>
      </w:r>
      <w:r>
        <w:rPr>
          <w:rStyle w:val="Hyperlink"/>
        </w:rPr>
        <w:t>transformation</w:t>
      </w:r>
      <w:r w:rsidRPr="004B77F6">
        <w:rPr>
          <w:rStyle w:val="Hyperlink"/>
          <w:lang w:val="ru-RU"/>
        </w:rPr>
        <w:t>-</w:t>
      </w:r>
      <w:r>
        <w:rPr>
          <w:rStyle w:val="Hyperlink"/>
        </w:rPr>
        <w:t>for</w:t>
      </w:r>
      <w:r w:rsidRPr="004B77F6">
        <w:rPr>
          <w:rStyle w:val="Hyperlink"/>
          <w:lang w:val="ru-RU"/>
        </w:rPr>
        <w:t>-</w:t>
      </w:r>
      <w:r>
        <w:rPr>
          <w:rStyle w:val="Hyperlink"/>
        </w:rPr>
        <w:t>good</w:t>
      </w:r>
      <w:r w:rsidRPr="004B77F6">
        <w:rPr>
          <w:rStyle w:val="Hyperlink"/>
          <w:lang w:val="ru-RU"/>
        </w:rPr>
        <w:t>/</w:t>
      </w:r>
      <w:r w:rsidR="00D577E1">
        <w:rPr>
          <w:rStyle w:val="Hyperlink"/>
          <w:lang w:val="ru-RU"/>
        </w:rPr>
        <w:fldChar w:fldCharType="end"/>
      </w:r>
      <w:r w:rsidRPr="004B77F6">
        <w:rPr>
          <w:lang w:val="ru-RU"/>
        </w:rPr>
        <w:t xml:space="preserve">. </w:t>
      </w:r>
    </w:p>
  </w:footnote>
  <w:footnote w:id="229">
    <w:p w14:paraId="513F9867" w14:textId="516E43A2" w:rsidR="004B77F6" w:rsidRPr="004B77F6" w:rsidRDefault="004B77F6" w:rsidP="00A105CB">
      <w:pPr>
        <w:pStyle w:val="FootnoteText"/>
        <w:rPr>
          <w:lang w:val="ru-RU"/>
        </w:rPr>
      </w:pPr>
      <w:r>
        <w:rPr>
          <w:rStyle w:val="FootnoteReference"/>
        </w:rPr>
        <w:footnoteRef/>
      </w:r>
      <w:r w:rsidRPr="004B77F6">
        <w:rPr>
          <w:lang w:val="ru-RU"/>
        </w:rPr>
        <w:t xml:space="preserve"> Виртуальный институт ЮНКТАД </w:t>
      </w:r>
      <w:r w:rsidR="00D577E1">
        <w:fldChar w:fldCharType="begin"/>
      </w:r>
      <w:r w:rsidR="00D577E1" w:rsidRPr="00D577E1">
        <w:rPr>
          <w:lang w:val="ru-RU"/>
        </w:rPr>
        <w:instrText xml:space="preserve"> </w:instrText>
      </w:r>
      <w:r w:rsidR="00D577E1">
        <w:instrText>HYPERLINK</w:instrText>
      </w:r>
      <w:r w:rsidR="00D577E1" w:rsidRPr="00D577E1">
        <w:rPr>
          <w:lang w:val="ru-RU"/>
        </w:rPr>
        <w:instrText xml:space="preserve"> "</w:instrText>
      </w:r>
      <w:r w:rsidR="00D577E1">
        <w:instrText>https</w:instrText>
      </w:r>
      <w:r w:rsidR="00D577E1" w:rsidRPr="00D577E1">
        <w:rPr>
          <w:lang w:val="ru-RU"/>
        </w:rPr>
        <w:instrText>://</w:instrText>
      </w:r>
      <w:r w:rsidR="00D577E1">
        <w:instrText>vi</w:instrText>
      </w:r>
      <w:r w:rsidR="00D577E1" w:rsidRPr="00D577E1">
        <w:rPr>
          <w:lang w:val="ru-RU"/>
        </w:rPr>
        <w:instrText>.</w:instrText>
      </w:r>
      <w:r w:rsidR="00D577E1">
        <w:instrText>unctad</w:instrText>
      </w:r>
      <w:r w:rsidR="00D577E1" w:rsidRPr="00D577E1">
        <w:rPr>
          <w:lang w:val="ru-RU"/>
        </w:rPr>
        <w:instrText>.</w:instrText>
      </w:r>
      <w:r w:rsidR="00D577E1">
        <w:instrText>org</w:instrText>
      </w:r>
      <w:r w:rsidR="00D577E1" w:rsidRPr="00D577E1">
        <w:rPr>
          <w:lang w:val="ru-RU"/>
        </w:rPr>
        <w:instrText xml:space="preserve">/" </w:instrText>
      </w:r>
      <w:r w:rsidR="00D577E1">
        <w:fldChar w:fldCharType="separate"/>
      </w:r>
      <w:r>
        <w:rPr>
          <w:rStyle w:val="Hyperlink"/>
        </w:rPr>
        <w:t>https</w:t>
      </w:r>
      <w:r w:rsidRPr="004B77F6">
        <w:rPr>
          <w:rStyle w:val="Hyperlink"/>
          <w:lang w:val="ru-RU"/>
        </w:rPr>
        <w:t>://</w:t>
      </w:r>
      <w:r>
        <w:rPr>
          <w:rStyle w:val="Hyperlink"/>
        </w:rPr>
        <w:t>vi</w:t>
      </w:r>
      <w:r w:rsidRPr="004B77F6">
        <w:rPr>
          <w:rStyle w:val="Hyperlink"/>
          <w:lang w:val="ru-RU"/>
        </w:rPr>
        <w:t>.</w:t>
      </w:r>
      <w:r>
        <w:rPr>
          <w:rStyle w:val="Hyperlink"/>
        </w:rPr>
        <w:t>unctad</w:t>
      </w:r>
      <w:r w:rsidRPr="004B77F6">
        <w:rPr>
          <w:rStyle w:val="Hyperlink"/>
          <w:lang w:val="ru-RU"/>
        </w:rPr>
        <w:t>.</w:t>
      </w:r>
      <w:r>
        <w:rPr>
          <w:rStyle w:val="Hyperlink"/>
        </w:rPr>
        <w:t>org</w:t>
      </w:r>
      <w:r w:rsidRPr="004B77F6">
        <w:rPr>
          <w:rStyle w:val="Hyperlink"/>
          <w:lang w:val="ru-RU"/>
        </w:rPr>
        <w:t>/</w:t>
      </w:r>
      <w:r w:rsidR="00D577E1">
        <w:rPr>
          <w:rStyle w:val="Hyperlink"/>
          <w:lang w:val="ru-RU"/>
        </w:rPr>
        <w:fldChar w:fldCharType="end"/>
      </w:r>
      <w:r w:rsidR="00032E0B">
        <w:rPr>
          <w:lang w:val="ru-RU"/>
        </w:rPr>
        <w:t>.</w:t>
      </w:r>
    </w:p>
  </w:footnote>
  <w:footnote w:id="230">
    <w:p w14:paraId="0FC69618" w14:textId="4F18CB82" w:rsidR="004B77F6" w:rsidRPr="004B77F6" w:rsidRDefault="004B77F6" w:rsidP="00A105CB">
      <w:pPr>
        <w:pStyle w:val="FootnoteText"/>
        <w:rPr>
          <w:lang w:val="ru-RU"/>
        </w:rPr>
      </w:pPr>
      <w:r>
        <w:rPr>
          <w:rStyle w:val="FootnoteReference"/>
        </w:rPr>
        <w:footnoteRef/>
      </w:r>
      <w:r w:rsidRPr="004B77F6">
        <w:rPr>
          <w:lang w:val="ru-RU"/>
        </w:rPr>
        <w:t xml:space="preserve"> </w:t>
      </w:r>
      <w:r w:rsidR="00D577E1">
        <w:fldChar w:fldCharType="begin"/>
      </w:r>
      <w:r w:rsidR="00D577E1" w:rsidRPr="00D577E1">
        <w:rPr>
          <w:lang w:val="ru-RU"/>
        </w:rPr>
        <w:instrText xml:space="preserve"> </w:instrText>
      </w:r>
      <w:r w:rsidR="00D577E1">
        <w:instrText>HYPERLINK</w:instrText>
      </w:r>
      <w:r w:rsidR="00D577E1" w:rsidRPr="00D577E1">
        <w:rPr>
          <w:lang w:val="ru-RU"/>
        </w:rPr>
        <w:instrText xml:space="preserve"> "</w:instrText>
      </w:r>
      <w:r w:rsidR="00D577E1">
        <w:instrText>https</w:instrText>
      </w:r>
      <w:r w:rsidR="00D577E1" w:rsidRPr="00D577E1">
        <w:rPr>
          <w:lang w:val="ru-RU"/>
        </w:rPr>
        <w:instrText>://</w:instrText>
      </w:r>
      <w:r w:rsidR="00D577E1">
        <w:instrText>www</w:instrText>
      </w:r>
      <w:r w:rsidR="00D577E1" w:rsidRPr="00D577E1">
        <w:rPr>
          <w:lang w:val="ru-RU"/>
        </w:rPr>
        <w:instrText>.</w:instrText>
      </w:r>
      <w:r w:rsidR="00D577E1">
        <w:instrText>un</w:instrText>
      </w:r>
      <w:r w:rsidR="00D577E1" w:rsidRPr="00D577E1">
        <w:rPr>
          <w:lang w:val="ru-RU"/>
        </w:rPr>
        <w:instrText>.</w:instrText>
      </w:r>
      <w:r w:rsidR="00D577E1">
        <w:instrText>org</w:instrText>
      </w:r>
      <w:r w:rsidR="00D577E1" w:rsidRPr="00D577E1">
        <w:rPr>
          <w:lang w:val="ru-RU"/>
        </w:rPr>
        <w:instrText>/</w:instrText>
      </w:r>
      <w:r w:rsidR="00D577E1">
        <w:instrText>development</w:instrText>
      </w:r>
      <w:r w:rsidR="00D577E1" w:rsidRPr="00D577E1">
        <w:rPr>
          <w:lang w:val="ru-RU"/>
        </w:rPr>
        <w:instrText>/</w:instrText>
      </w:r>
      <w:r w:rsidR="00D577E1">
        <w:instrText>desa</w:instrText>
      </w:r>
      <w:r w:rsidR="00D577E1" w:rsidRPr="00D577E1">
        <w:rPr>
          <w:lang w:val="ru-RU"/>
        </w:rPr>
        <w:instrText>/</w:instrText>
      </w:r>
      <w:r w:rsidR="00D577E1">
        <w:instrText>capacity</w:instrText>
      </w:r>
      <w:r w:rsidR="00D577E1" w:rsidRPr="00D577E1">
        <w:rPr>
          <w:lang w:val="ru-RU"/>
        </w:rPr>
        <w:instrText>-</w:instrText>
      </w:r>
      <w:r w:rsidR="00D577E1">
        <w:instrText>development</w:instrText>
      </w:r>
      <w:r w:rsidR="00D577E1" w:rsidRPr="00D577E1">
        <w:rPr>
          <w:lang w:val="ru-RU"/>
        </w:rPr>
        <w:instrText>/</w:instrText>
      </w:r>
      <w:r w:rsidR="00D577E1">
        <w:instrText>about</w:instrText>
      </w:r>
      <w:r w:rsidR="00D577E1" w:rsidRPr="00D577E1">
        <w:rPr>
          <w:lang w:val="ru-RU"/>
        </w:rPr>
        <w:instrText xml:space="preserve">/" </w:instrText>
      </w:r>
      <w:r w:rsidR="00D577E1">
        <w:fldChar w:fldCharType="separate"/>
      </w:r>
      <w:r>
        <w:t>https</w:t>
      </w:r>
      <w:r w:rsidRPr="004B77F6">
        <w:rPr>
          <w:lang w:val="ru-RU"/>
        </w:rPr>
        <w:t>://</w:t>
      </w:r>
      <w:r>
        <w:t>www</w:t>
      </w:r>
      <w:r w:rsidRPr="004B77F6">
        <w:rPr>
          <w:lang w:val="ru-RU"/>
        </w:rPr>
        <w:t>.</w:t>
      </w:r>
      <w:r>
        <w:t>un</w:t>
      </w:r>
      <w:r w:rsidRPr="004B77F6">
        <w:rPr>
          <w:lang w:val="ru-RU"/>
        </w:rPr>
        <w:t>.</w:t>
      </w:r>
      <w:r>
        <w:t>org</w:t>
      </w:r>
      <w:r w:rsidRPr="004B77F6">
        <w:rPr>
          <w:lang w:val="ru-RU"/>
        </w:rPr>
        <w:t>/</w:t>
      </w:r>
      <w:r>
        <w:t>development</w:t>
      </w:r>
      <w:r w:rsidRPr="004B77F6">
        <w:rPr>
          <w:lang w:val="ru-RU"/>
        </w:rPr>
        <w:t>/</w:t>
      </w:r>
      <w:r>
        <w:t>desa</w:t>
      </w:r>
      <w:r w:rsidRPr="004B77F6">
        <w:rPr>
          <w:lang w:val="ru-RU"/>
        </w:rPr>
        <w:t>/</w:t>
      </w:r>
      <w:r>
        <w:t>capacity</w:t>
      </w:r>
      <w:r w:rsidRPr="004B77F6">
        <w:rPr>
          <w:lang w:val="ru-RU"/>
        </w:rPr>
        <w:t>-</w:t>
      </w:r>
      <w:r>
        <w:t>development</w:t>
      </w:r>
      <w:r w:rsidRPr="004B77F6">
        <w:rPr>
          <w:lang w:val="ru-RU"/>
        </w:rPr>
        <w:t>/</w:t>
      </w:r>
      <w:r>
        <w:t>about</w:t>
      </w:r>
      <w:r w:rsidRPr="004B77F6">
        <w:rPr>
          <w:lang w:val="ru-RU"/>
        </w:rPr>
        <w:t>/</w:t>
      </w:r>
      <w:r w:rsidR="00D577E1">
        <w:rPr>
          <w:lang w:val="ru-RU"/>
        </w:rPr>
        <w:fldChar w:fldCharType="end"/>
      </w:r>
      <w:r w:rsidRPr="004B77F6">
        <w:rPr>
          <w:lang w:val="ru-RU"/>
        </w:rPr>
        <w:t xml:space="preserve">; СУП по </w:t>
      </w:r>
      <w:r w:rsidR="009421AE">
        <w:rPr>
          <w:lang w:val="ru-RU"/>
        </w:rPr>
        <w:t>развитию потенциала</w:t>
      </w:r>
      <w:r w:rsidRPr="004B77F6">
        <w:rPr>
          <w:lang w:val="ru-RU"/>
        </w:rPr>
        <w:t xml:space="preserve"> см. </w:t>
      </w:r>
      <w:hyperlink r:id="rId51" w:history="1">
        <w:r>
          <w:rPr>
            <w:rStyle w:val="Hyperlink"/>
          </w:rPr>
          <w:t>https</w:t>
        </w:r>
        <w:r w:rsidRPr="004B77F6">
          <w:rPr>
            <w:rStyle w:val="Hyperlink"/>
            <w:lang w:val="ru-RU"/>
          </w:rPr>
          <w:t>://</w:t>
        </w:r>
        <w:r>
          <w:rPr>
            <w:rStyle w:val="Hyperlink"/>
          </w:rPr>
          <w:t>www</w:t>
        </w:r>
        <w:r w:rsidRPr="004B77F6">
          <w:rPr>
            <w:rStyle w:val="Hyperlink"/>
            <w:lang w:val="ru-RU"/>
          </w:rPr>
          <w:t>.</w:t>
        </w:r>
        <w:r>
          <w:rPr>
            <w:rStyle w:val="Hyperlink"/>
          </w:rPr>
          <w:t>un</w:t>
        </w:r>
        <w:r w:rsidRPr="004B77F6">
          <w:rPr>
            <w:rStyle w:val="Hyperlink"/>
            <w:lang w:val="ru-RU"/>
          </w:rPr>
          <w:t>.</w:t>
        </w:r>
        <w:r>
          <w:rPr>
            <w:rStyle w:val="Hyperlink"/>
          </w:rPr>
          <w:t>org</w:t>
        </w:r>
        <w:r w:rsidRPr="004B77F6">
          <w:rPr>
            <w:rStyle w:val="Hyperlink"/>
            <w:lang w:val="ru-RU"/>
          </w:rPr>
          <w:t>/</w:t>
        </w:r>
        <w:r>
          <w:rPr>
            <w:rStyle w:val="Hyperlink"/>
          </w:rPr>
          <w:t>development</w:t>
        </w:r>
        <w:r w:rsidRPr="004B77F6">
          <w:rPr>
            <w:rStyle w:val="Hyperlink"/>
            <w:lang w:val="ru-RU"/>
          </w:rPr>
          <w:t>/</w:t>
        </w:r>
        <w:r>
          <w:rPr>
            <w:rStyle w:val="Hyperlink"/>
          </w:rPr>
          <w:t>desa</w:t>
        </w:r>
        <w:r w:rsidRPr="004B77F6">
          <w:rPr>
            <w:rStyle w:val="Hyperlink"/>
            <w:lang w:val="ru-RU"/>
          </w:rPr>
          <w:t>/</w:t>
        </w:r>
        <w:r>
          <w:rPr>
            <w:rStyle w:val="Hyperlink"/>
          </w:rPr>
          <w:t>capacity</w:t>
        </w:r>
        <w:r w:rsidRPr="004B77F6">
          <w:rPr>
            <w:rStyle w:val="Hyperlink"/>
            <w:lang w:val="ru-RU"/>
          </w:rPr>
          <w:t>-</w:t>
        </w:r>
        <w:r>
          <w:rPr>
            <w:rStyle w:val="Hyperlink"/>
          </w:rPr>
          <w:t>development</w:t>
        </w:r>
        <w:r w:rsidRPr="004B77F6">
          <w:rPr>
            <w:rStyle w:val="Hyperlink"/>
            <w:lang w:val="ru-RU"/>
          </w:rPr>
          <w:t>/</w:t>
        </w:r>
        <w:r>
          <w:rPr>
            <w:rStyle w:val="Hyperlink"/>
          </w:rPr>
          <w:t>about</w:t>
        </w:r>
        <w:r w:rsidRPr="004B77F6">
          <w:rPr>
            <w:rStyle w:val="Hyperlink"/>
            <w:lang w:val="ru-RU"/>
          </w:rPr>
          <w:t>/</w:t>
        </w:r>
        <w:r>
          <w:rPr>
            <w:rStyle w:val="Hyperlink"/>
          </w:rPr>
          <w:t>capacity</w:t>
        </w:r>
        <w:r w:rsidRPr="004B77F6">
          <w:rPr>
            <w:rStyle w:val="Hyperlink"/>
            <w:lang w:val="ru-RU"/>
          </w:rPr>
          <w:t>-</w:t>
        </w:r>
        <w:r>
          <w:rPr>
            <w:rStyle w:val="Hyperlink"/>
          </w:rPr>
          <w:t>development</w:t>
        </w:r>
        <w:r w:rsidRPr="004B77F6">
          <w:rPr>
            <w:rStyle w:val="Hyperlink"/>
            <w:lang w:val="ru-RU"/>
          </w:rPr>
          <w:t>-</w:t>
        </w:r>
        <w:r>
          <w:rPr>
            <w:rStyle w:val="Hyperlink"/>
          </w:rPr>
          <w:t>office</w:t>
        </w:r>
        <w:r w:rsidRPr="004B77F6">
          <w:rPr>
            <w:rStyle w:val="Hyperlink"/>
            <w:lang w:val="ru-RU"/>
          </w:rPr>
          <w:t>/</w:t>
        </w:r>
      </w:hyperlink>
      <w:r w:rsidRPr="004B77F6">
        <w:rPr>
          <w:lang w:val="ru-RU"/>
        </w:rPr>
        <w:t xml:space="preserve"> и </w:t>
      </w:r>
      <w:hyperlink r:id="rId52" w:history="1">
        <w:r>
          <w:rPr>
            <w:rStyle w:val="Hyperlink"/>
          </w:rPr>
          <w:t>https</w:t>
        </w:r>
        <w:r w:rsidRPr="004B77F6">
          <w:rPr>
            <w:rStyle w:val="Hyperlink"/>
            <w:lang w:val="ru-RU"/>
          </w:rPr>
          <w:t>://</w:t>
        </w:r>
        <w:r>
          <w:rPr>
            <w:rStyle w:val="Hyperlink"/>
          </w:rPr>
          <w:t>www</w:t>
        </w:r>
        <w:r w:rsidRPr="004B77F6">
          <w:rPr>
            <w:rStyle w:val="Hyperlink"/>
            <w:lang w:val="ru-RU"/>
          </w:rPr>
          <w:t>.</w:t>
        </w:r>
        <w:r>
          <w:rPr>
            <w:rStyle w:val="Hyperlink"/>
          </w:rPr>
          <w:t>un</w:t>
        </w:r>
        <w:r w:rsidRPr="004B77F6">
          <w:rPr>
            <w:rStyle w:val="Hyperlink"/>
            <w:lang w:val="ru-RU"/>
          </w:rPr>
          <w:t>.</w:t>
        </w:r>
        <w:r>
          <w:rPr>
            <w:rStyle w:val="Hyperlink"/>
          </w:rPr>
          <w:t>org</w:t>
        </w:r>
        <w:r w:rsidRPr="004B77F6">
          <w:rPr>
            <w:rStyle w:val="Hyperlink"/>
            <w:lang w:val="ru-RU"/>
          </w:rPr>
          <w:t>/</w:t>
        </w:r>
        <w:r>
          <w:rPr>
            <w:rStyle w:val="Hyperlink"/>
          </w:rPr>
          <w:t>development</w:t>
        </w:r>
        <w:r w:rsidRPr="004B77F6">
          <w:rPr>
            <w:rStyle w:val="Hyperlink"/>
            <w:lang w:val="ru-RU"/>
          </w:rPr>
          <w:t>/</w:t>
        </w:r>
        <w:r>
          <w:rPr>
            <w:rStyle w:val="Hyperlink"/>
          </w:rPr>
          <w:t>desa</w:t>
        </w:r>
        <w:r w:rsidRPr="004B77F6">
          <w:rPr>
            <w:rStyle w:val="Hyperlink"/>
            <w:lang w:val="ru-RU"/>
          </w:rPr>
          <w:t>/</w:t>
        </w:r>
        <w:r>
          <w:rPr>
            <w:rStyle w:val="Hyperlink"/>
          </w:rPr>
          <w:t>capacity</w:t>
        </w:r>
        <w:r w:rsidRPr="004B77F6">
          <w:rPr>
            <w:rStyle w:val="Hyperlink"/>
            <w:lang w:val="ru-RU"/>
          </w:rPr>
          <w:t>-</w:t>
        </w:r>
        <w:r>
          <w:rPr>
            <w:rStyle w:val="Hyperlink"/>
          </w:rPr>
          <w:t>development</w:t>
        </w:r>
        <w:r w:rsidRPr="004B77F6">
          <w:rPr>
            <w:rStyle w:val="Hyperlink"/>
            <w:lang w:val="ru-RU"/>
          </w:rPr>
          <w:t>/</w:t>
        </w:r>
        <w:r>
          <w:rPr>
            <w:rStyle w:val="Hyperlink"/>
          </w:rPr>
          <w:t>capacity</w:t>
        </w:r>
        <w:r w:rsidRPr="004B77F6">
          <w:rPr>
            <w:rStyle w:val="Hyperlink"/>
            <w:lang w:val="ru-RU"/>
          </w:rPr>
          <w:t>-</w:t>
        </w:r>
        <w:r>
          <w:rPr>
            <w:rStyle w:val="Hyperlink"/>
          </w:rPr>
          <w:t>development</w:t>
        </w:r>
        <w:r w:rsidRPr="004B77F6">
          <w:rPr>
            <w:rStyle w:val="Hyperlink"/>
            <w:lang w:val="ru-RU"/>
          </w:rPr>
          <w:t>-</w:t>
        </w:r>
        <w:r>
          <w:rPr>
            <w:rStyle w:val="Hyperlink"/>
          </w:rPr>
          <w:t>tools</w:t>
        </w:r>
        <w:r w:rsidRPr="004B77F6">
          <w:rPr>
            <w:rStyle w:val="Hyperlink"/>
            <w:lang w:val="ru-RU"/>
          </w:rPr>
          <w:t>/</w:t>
        </w:r>
      </w:hyperlink>
      <w:r w:rsidRPr="004B77F6">
        <w:rPr>
          <w:lang w:val="ru-RU"/>
        </w:rPr>
        <w:t xml:space="preserve"> по инструментам для </w:t>
      </w:r>
      <w:r w:rsidR="009421AE">
        <w:rPr>
          <w:lang w:val="ru-RU"/>
        </w:rPr>
        <w:t>развития</w:t>
      </w:r>
      <w:r w:rsidRPr="004B77F6">
        <w:rPr>
          <w:lang w:val="ru-RU"/>
        </w:rPr>
        <w:t xml:space="preserve"> потенциала</w:t>
      </w:r>
      <w:r w:rsidR="00032E0B">
        <w:rPr>
          <w:lang w:val="ru-RU"/>
        </w:rPr>
        <w:t>.</w:t>
      </w:r>
    </w:p>
  </w:footnote>
  <w:footnote w:id="231">
    <w:p w14:paraId="5078C5B3" w14:textId="26F0785C" w:rsidR="004B77F6" w:rsidRPr="00A105CB" w:rsidRDefault="004B77F6" w:rsidP="00A105CB">
      <w:pPr>
        <w:pStyle w:val="FootnoteText"/>
        <w:rPr>
          <w:lang w:val="en-US"/>
        </w:rPr>
      </w:pPr>
      <w:r>
        <w:rPr>
          <w:rStyle w:val="FootnoteReference"/>
        </w:rPr>
        <w:footnoteRef/>
      </w:r>
      <w:r w:rsidRPr="004B77F6">
        <w:rPr>
          <w:lang w:val="ru-RU"/>
        </w:rPr>
        <w:t xml:space="preserve"> По заявлению ПРООН, данное учреждение является </w:t>
      </w:r>
      <w:r w:rsidR="006E72AD">
        <w:rPr>
          <w:lang w:val="ru-RU"/>
        </w:rPr>
        <w:t>"</w:t>
      </w:r>
      <w:r w:rsidRPr="004B77F6">
        <w:rPr>
          <w:lang w:val="ru-RU"/>
        </w:rPr>
        <w:t>идейным лидером в области цифрового развития</w:t>
      </w:r>
      <w:r w:rsidR="006E72AD">
        <w:rPr>
          <w:lang w:val="ru-RU"/>
        </w:rPr>
        <w:t>"</w:t>
      </w:r>
      <w:r w:rsidRPr="004B77F6">
        <w:rPr>
          <w:lang w:val="ru-RU"/>
        </w:rPr>
        <w:t xml:space="preserve">, </w:t>
      </w:r>
      <w:r w:rsidR="00D577E1">
        <w:fldChar w:fldCharType="begin"/>
      </w:r>
      <w:r w:rsidR="00D577E1" w:rsidRPr="00D577E1">
        <w:rPr>
          <w:lang w:val="ru-RU"/>
        </w:rPr>
        <w:instrText xml:space="preserve"> </w:instrText>
      </w:r>
      <w:r w:rsidR="00D577E1">
        <w:instrText>HYPERLINK</w:instrText>
      </w:r>
      <w:r w:rsidR="00D577E1" w:rsidRPr="00D577E1">
        <w:rPr>
          <w:lang w:val="ru-RU"/>
        </w:rPr>
        <w:instrText xml:space="preserve"> "</w:instrText>
      </w:r>
      <w:r w:rsidR="00D577E1">
        <w:instrText>https</w:instrText>
      </w:r>
      <w:r w:rsidR="00D577E1" w:rsidRPr="00D577E1">
        <w:rPr>
          <w:lang w:val="ru-RU"/>
        </w:rPr>
        <w:instrText>://</w:instrText>
      </w:r>
      <w:r w:rsidR="00D577E1">
        <w:instrText>digitalstrategy</w:instrText>
      </w:r>
      <w:r w:rsidR="00D577E1" w:rsidRPr="00D577E1">
        <w:rPr>
          <w:lang w:val="ru-RU"/>
        </w:rPr>
        <w:instrText>.</w:instrText>
      </w:r>
      <w:r w:rsidR="00D577E1">
        <w:instrText>undp</w:instrText>
      </w:r>
      <w:r w:rsidR="00D577E1" w:rsidRPr="00D577E1">
        <w:rPr>
          <w:lang w:val="ru-RU"/>
        </w:rPr>
        <w:instrText>.</w:instrText>
      </w:r>
      <w:r w:rsidR="00D577E1">
        <w:instrText>org</w:instrText>
      </w:r>
      <w:r w:rsidR="00D577E1" w:rsidRPr="00D577E1">
        <w:rPr>
          <w:lang w:val="ru-RU"/>
        </w:rPr>
        <w:instrText>/</w:instrText>
      </w:r>
      <w:r w:rsidR="00D577E1">
        <w:instrText>strategy</w:instrText>
      </w:r>
      <w:r w:rsidR="00D577E1" w:rsidRPr="00D577E1">
        <w:rPr>
          <w:lang w:val="ru-RU"/>
        </w:rPr>
        <w:instrText>.</w:instrText>
      </w:r>
      <w:r w:rsidR="00D577E1">
        <w:instrText>html</w:instrText>
      </w:r>
      <w:r w:rsidR="00D577E1" w:rsidRPr="00D577E1">
        <w:rPr>
          <w:lang w:val="ru-RU"/>
        </w:rPr>
        <w:instrText xml:space="preserve">" </w:instrText>
      </w:r>
      <w:r w:rsidR="00D577E1">
        <w:fldChar w:fldCharType="separate"/>
      </w:r>
      <w:r>
        <w:t>https</w:t>
      </w:r>
      <w:r w:rsidRPr="004B77F6">
        <w:rPr>
          <w:lang w:val="ru-RU"/>
        </w:rPr>
        <w:t>://</w:t>
      </w:r>
      <w:r>
        <w:t>digitalstrategy</w:t>
      </w:r>
      <w:r w:rsidRPr="004B77F6">
        <w:rPr>
          <w:lang w:val="ru-RU"/>
        </w:rPr>
        <w:t>.</w:t>
      </w:r>
      <w:r>
        <w:t>undp</w:t>
      </w:r>
      <w:r w:rsidRPr="004B77F6">
        <w:rPr>
          <w:lang w:val="ru-RU"/>
        </w:rPr>
        <w:t>.</w:t>
      </w:r>
      <w:r>
        <w:t>org</w:t>
      </w:r>
      <w:r w:rsidRPr="004B77F6">
        <w:rPr>
          <w:lang w:val="ru-RU"/>
        </w:rPr>
        <w:t>/</w:t>
      </w:r>
      <w:r>
        <w:t>strategy</w:t>
      </w:r>
      <w:r w:rsidRPr="004B77F6">
        <w:rPr>
          <w:lang w:val="ru-RU"/>
        </w:rPr>
        <w:t>.</w:t>
      </w:r>
      <w:r>
        <w:t>html</w:t>
      </w:r>
      <w:r w:rsidR="00D577E1">
        <w:fldChar w:fldCharType="end"/>
      </w:r>
      <w:r w:rsidRPr="004B77F6">
        <w:rPr>
          <w:lang w:val="ru-RU"/>
        </w:rPr>
        <w:t xml:space="preserve">, и соответственно охватывает многие области </w:t>
      </w:r>
      <w:r w:rsidR="009421AE">
        <w:rPr>
          <w:lang w:val="ru-RU"/>
        </w:rPr>
        <w:t>развития</w:t>
      </w:r>
      <w:r w:rsidRPr="004B77F6">
        <w:rPr>
          <w:lang w:val="ru-RU"/>
        </w:rPr>
        <w:t xml:space="preserve"> потенциала, связанные с цифровыми технологиями.</w:t>
      </w:r>
      <w:r w:rsidR="00A579EF">
        <w:rPr>
          <w:lang w:val="ru-RU"/>
        </w:rPr>
        <w:t xml:space="preserve"> </w:t>
      </w:r>
      <w:r>
        <w:t>См</w:t>
      </w:r>
      <w:r w:rsidRPr="00A105CB">
        <w:rPr>
          <w:lang w:val="en-US"/>
        </w:rPr>
        <w:t xml:space="preserve">. </w:t>
      </w:r>
      <w:r>
        <w:t>также</w:t>
      </w:r>
      <w:r w:rsidRPr="00A105CB">
        <w:rPr>
          <w:lang w:val="en-US"/>
        </w:rPr>
        <w:t xml:space="preserve"> </w:t>
      </w:r>
      <w:r>
        <w:t>такие</w:t>
      </w:r>
      <w:r w:rsidRPr="00A105CB">
        <w:rPr>
          <w:lang w:val="en-US"/>
        </w:rPr>
        <w:t xml:space="preserve"> </w:t>
      </w:r>
      <w:r>
        <w:t>примеры</w:t>
      </w:r>
      <w:r w:rsidRPr="00A105CB">
        <w:rPr>
          <w:lang w:val="en-US"/>
        </w:rPr>
        <w:t xml:space="preserve">, </w:t>
      </w:r>
      <w:r>
        <w:t>как</w:t>
      </w:r>
      <w:r w:rsidRPr="00A105CB">
        <w:rPr>
          <w:lang w:val="en-US"/>
        </w:rPr>
        <w:t xml:space="preserve"> </w:t>
      </w:r>
      <w:hyperlink r:id="rId53" w:history="1">
        <w:r w:rsidRPr="00A105CB">
          <w:rPr>
            <w:rStyle w:val="Hyperlink"/>
            <w:lang w:val="en-US"/>
          </w:rPr>
          <w:t>https://www.undp-capacitydevelopment-health.org/en/capacities/focus/innovation-and-technologies/</w:t>
        </w:r>
      </w:hyperlink>
      <w:r w:rsidRPr="00A105CB">
        <w:rPr>
          <w:lang w:val="en-US"/>
        </w:rPr>
        <w:t xml:space="preserve">, </w:t>
      </w:r>
      <w:r>
        <w:t>и</w:t>
      </w:r>
      <w:r w:rsidRPr="00A105CB">
        <w:rPr>
          <w:lang w:val="en-US"/>
        </w:rPr>
        <w:t xml:space="preserve"> </w:t>
      </w:r>
      <w:r>
        <w:t>ПРООН</w:t>
      </w:r>
      <w:r w:rsidRPr="00A105CB">
        <w:rPr>
          <w:lang w:val="en-US"/>
        </w:rPr>
        <w:t xml:space="preserve"> (2009) </w:t>
      </w:r>
      <w:r w:rsidRPr="00A105CB">
        <w:rPr>
          <w:i/>
          <w:lang w:val="en-US"/>
        </w:rPr>
        <w:t>Capacity Development: a UNDP Primer</w:t>
      </w:r>
      <w:r w:rsidRPr="00A105CB">
        <w:rPr>
          <w:lang w:val="en-US"/>
        </w:rPr>
        <w:t xml:space="preserve">, New York: </w:t>
      </w:r>
      <w:r>
        <w:t>ПРООН</w:t>
      </w:r>
      <w:r w:rsidRPr="00A105CB">
        <w:rPr>
          <w:lang w:val="en-US"/>
        </w:rPr>
        <w:t>.</w:t>
      </w:r>
    </w:p>
  </w:footnote>
  <w:footnote w:id="232">
    <w:p w14:paraId="44453998" w14:textId="095B913F" w:rsidR="004B77F6" w:rsidRPr="004B77F6" w:rsidRDefault="004B77F6" w:rsidP="00A105CB">
      <w:pPr>
        <w:pStyle w:val="FootnoteText"/>
        <w:rPr>
          <w:lang w:val="ru-RU"/>
        </w:rPr>
      </w:pPr>
      <w:r>
        <w:rPr>
          <w:rStyle w:val="FootnoteReference"/>
        </w:rPr>
        <w:footnoteRef/>
      </w:r>
      <w:r w:rsidRPr="004B77F6">
        <w:rPr>
          <w:lang w:val="ru-RU"/>
        </w:rPr>
        <w:t xml:space="preserve"> Большая часть работы ЮНЕСКО в области </w:t>
      </w:r>
      <w:r w:rsidR="009421AE">
        <w:rPr>
          <w:lang w:val="ru-RU"/>
        </w:rPr>
        <w:t>развития</w:t>
      </w:r>
      <w:r w:rsidRPr="004B77F6">
        <w:rPr>
          <w:lang w:val="ru-RU"/>
        </w:rPr>
        <w:t xml:space="preserve"> потенциала, связанной с использованием цифровых технологий, проводится в рамках ее институтов (см. в качестве примера </w:t>
      </w:r>
      <w:r>
        <w:t>UIS</w:t>
      </w:r>
      <w:r w:rsidRPr="004B77F6">
        <w:rPr>
          <w:lang w:val="ru-RU"/>
        </w:rPr>
        <w:t xml:space="preserve"> </w:t>
      </w:r>
      <w:hyperlink r:id="rId54" w:history="1">
        <w:r>
          <w:rPr>
            <w:rStyle w:val="Hyperlink"/>
          </w:rPr>
          <w:t>http</w:t>
        </w:r>
        <w:r w:rsidRPr="004B77F6">
          <w:rPr>
            <w:rStyle w:val="Hyperlink"/>
            <w:lang w:val="ru-RU"/>
          </w:rPr>
          <w:t>://</w:t>
        </w:r>
        <w:r>
          <w:rPr>
            <w:rStyle w:val="Hyperlink"/>
          </w:rPr>
          <w:t>uis</w:t>
        </w:r>
        <w:r w:rsidRPr="004B77F6">
          <w:rPr>
            <w:rStyle w:val="Hyperlink"/>
            <w:lang w:val="ru-RU"/>
          </w:rPr>
          <w:t>.</w:t>
        </w:r>
        <w:r>
          <w:rPr>
            <w:rStyle w:val="Hyperlink"/>
          </w:rPr>
          <w:t>unesco</w:t>
        </w:r>
        <w:r w:rsidRPr="004B77F6">
          <w:rPr>
            <w:rStyle w:val="Hyperlink"/>
            <w:lang w:val="ru-RU"/>
          </w:rPr>
          <w:t>.</w:t>
        </w:r>
        <w:r>
          <w:rPr>
            <w:rStyle w:val="Hyperlink"/>
          </w:rPr>
          <w:t>org</w:t>
        </w:r>
        <w:r w:rsidRPr="004B77F6">
          <w:rPr>
            <w:rStyle w:val="Hyperlink"/>
            <w:lang w:val="ru-RU"/>
          </w:rPr>
          <w:t>/</w:t>
        </w:r>
        <w:r>
          <w:rPr>
            <w:rStyle w:val="Hyperlink"/>
          </w:rPr>
          <w:t>en</w:t>
        </w:r>
        <w:r w:rsidRPr="004B77F6">
          <w:rPr>
            <w:rStyle w:val="Hyperlink"/>
            <w:lang w:val="ru-RU"/>
          </w:rPr>
          <w:t>/</w:t>
        </w:r>
        <w:r>
          <w:rPr>
            <w:rStyle w:val="Hyperlink"/>
          </w:rPr>
          <w:t>topic</w:t>
        </w:r>
        <w:r w:rsidRPr="004B77F6">
          <w:rPr>
            <w:rStyle w:val="Hyperlink"/>
            <w:lang w:val="ru-RU"/>
          </w:rPr>
          <w:t>/</w:t>
        </w:r>
        <w:r>
          <w:rPr>
            <w:rStyle w:val="Hyperlink"/>
          </w:rPr>
          <w:t>capacity</w:t>
        </w:r>
        <w:r w:rsidRPr="004B77F6">
          <w:rPr>
            <w:rStyle w:val="Hyperlink"/>
            <w:lang w:val="ru-RU"/>
          </w:rPr>
          <w:t>-</w:t>
        </w:r>
        <w:r>
          <w:rPr>
            <w:rStyle w:val="Hyperlink"/>
          </w:rPr>
          <w:t>development</w:t>
        </w:r>
      </w:hyperlink>
      <w:r w:rsidRPr="004B77F6">
        <w:rPr>
          <w:lang w:val="ru-RU"/>
        </w:rPr>
        <w:t>) и подразделения коммуникации и информации, а также в рамках управления ИКТ в образовании, находящегося в Бангкоке.</w:t>
      </w:r>
    </w:p>
  </w:footnote>
  <w:footnote w:id="233">
    <w:p w14:paraId="2EBF66B1" w14:textId="767DCEA3" w:rsidR="004B77F6" w:rsidRPr="004B77F6" w:rsidRDefault="004B77F6" w:rsidP="00A105CB">
      <w:pPr>
        <w:pStyle w:val="FootnoteText"/>
        <w:rPr>
          <w:lang w:val="ru-RU"/>
        </w:rPr>
      </w:pPr>
      <w:r>
        <w:rPr>
          <w:rStyle w:val="FootnoteReference"/>
        </w:rPr>
        <w:footnoteRef/>
      </w:r>
      <w:r w:rsidRPr="004B77F6">
        <w:rPr>
          <w:lang w:val="ru-RU"/>
        </w:rPr>
        <w:t xml:space="preserve"> См. </w:t>
      </w:r>
      <w:r w:rsidR="00D577E1">
        <w:fldChar w:fldCharType="begin"/>
      </w:r>
      <w:r w:rsidR="00D577E1" w:rsidRPr="00D577E1">
        <w:rPr>
          <w:lang w:val="ru-RU"/>
        </w:rPr>
        <w:instrText xml:space="preserve"> </w:instrText>
      </w:r>
      <w:r w:rsidR="00D577E1">
        <w:instrText>HYPERLINK</w:instrText>
      </w:r>
      <w:r w:rsidR="00D577E1" w:rsidRPr="00D577E1">
        <w:rPr>
          <w:lang w:val="ru-RU"/>
        </w:rPr>
        <w:instrText xml:space="preserve"> "</w:instrText>
      </w:r>
      <w:r w:rsidR="00D577E1">
        <w:instrText>https</w:instrText>
      </w:r>
      <w:r w:rsidR="00D577E1" w:rsidRPr="00D577E1">
        <w:rPr>
          <w:lang w:val="ru-RU"/>
        </w:rPr>
        <w:instrText>://</w:instrText>
      </w:r>
      <w:r w:rsidR="00D577E1">
        <w:instrText>wesr</w:instrText>
      </w:r>
      <w:r w:rsidR="00D577E1" w:rsidRPr="00D577E1">
        <w:rPr>
          <w:lang w:val="ru-RU"/>
        </w:rPr>
        <w:instrText>.</w:instrText>
      </w:r>
      <w:r w:rsidR="00D577E1">
        <w:instrText>unep</w:instrText>
      </w:r>
      <w:r w:rsidR="00D577E1" w:rsidRPr="00D577E1">
        <w:rPr>
          <w:lang w:val="ru-RU"/>
        </w:rPr>
        <w:instrText>.</w:instrText>
      </w:r>
      <w:r w:rsidR="00D577E1">
        <w:instrText>org</w:instrText>
      </w:r>
      <w:r w:rsidR="00D577E1" w:rsidRPr="00D577E1">
        <w:rPr>
          <w:lang w:val="ru-RU"/>
        </w:rPr>
        <w:instrText xml:space="preserve">/" </w:instrText>
      </w:r>
      <w:r w:rsidR="00D577E1">
        <w:fldChar w:fldCharType="separate"/>
      </w:r>
      <w:r>
        <w:rPr>
          <w:rStyle w:val="Hyperlink"/>
        </w:rPr>
        <w:t>https</w:t>
      </w:r>
      <w:r w:rsidRPr="004B77F6">
        <w:rPr>
          <w:rStyle w:val="Hyperlink"/>
          <w:lang w:val="ru-RU"/>
        </w:rPr>
        <w:t>://</w:t>
      </w:r>
      <w:r>
        <w:rPr>
          <w:rStyle w:val="Hyperlink"/>
        </w:rPr>
        <w:t>wesr</w:t>
      </w:r>
      <w:r w:rsidRPr="004B77F6">
        <w:rPr>
          <w:rStyle w:val="Hyperlink"/>
          <w:lang w:val="ru-RU"/>
        </w:rPr>
        <w:t>.</w:t>
      </w:r>
      <w:r>
        <w:rPr>
          <w:rStyle w:val="Hyperlink"/>
        </w:rPr>
        <w:t>unep</w:t>
      </w:r>
      <w:r w:rsidRPr="004B77F6">
        <w:rPr>
          <w:rStyle w:val="Hyperlink"/>
          <w:lang w:val="ru-RU"/>
        </w:rPr>
        <w:t>.</w:t>
      </w:r>
      <w:r>
        <w:rPr>
          <w:rStyle w:val="Hyperlink"/>
        </w:rPr>
        <w:t>org</w:t>
      </w:r>
      <w:r w:rsidRPr="004B77F6">
        <w:rPr>
          <w:rStyle w:val="Hyperlink"/>
          <w:lang w:val="ru-RU"/>
        </w:rPr>
        <w:t>/</w:t>
      </w:r>
      <w:r w:rsidR="00D577E1">
        <w:rPr>
          <w:rStyle w:val="Hyperlink"/>
          <w:lang w:val="ru-RU"/>
        </w:rPr>
        <w:fldChar w:fldCharType="end"/>
      </w:r>
      <w:r w:rsidRPr="004B77F6">
        <w:rPr>
          <w:lang w:val="ru-RU"/>
        </w:rPr>
        <w:t xml:space="preserve">, </w:t>
      </w:r>
      <w:hyperlink r:id="rId55" w:history="1">
        <w:r w:rsidR="0068182E" w:rsidRPr="00DB48CA">
          <w:rPr>
            <w:rStyle w:val="Hyperlink"/>
          </w:rPr>
          <w:t>https</w:t>
        </w:r>
        <w:r w:rsidR="0068182E" w:rsidRPr="00DB48CA">
          <w:rPr>
            <w:rStyle w:val="Hyperlink"/>
            <w:lang w:val="ru-RU"/>
          </w:rPr>
          <w:t>://</w:t>
        </w:r>
        <w:r w:rsidR="0068182E" w:rsidRPr="00DB48CA">
          <w:rPr>
            <w:rStyle w:val="Hyperlink"/>
          </w:rPr>
          <w:t>wedocs</w:t>
        </w:r>
        <w:r w:rsidR="0068182E" w:rsidRPr="00DB48CA">
          <w:rPr>
            <w:rStyle w:val="Hyperlink"/>
            <w:lang w:val="ru-RU"/>
          </w:rPr>
          <w:t>.</w:t>
        </w:r>
        <w:r w:rsidR="0068182E" w:rsidRPr="00DB48CA">
          <w:rPr>
            <w:rStyle w:val="Hyperlink"/>
          </w:rPr>
          <w:t>unep</w:t>
        </w:r>
        <w:r w:rsidR="0068182E" w:rsidRPr="00DB48CA">
          <w:rPr>
            <w:rStyle w:val="Hyperlink"/>
            <w:lang w:val="ru-RU"/>
          </w:rPr>
          <w:t>.</w:t>
        </w:r>
        <w:r w:rsidR="0068182E" w:rsidRPr="00DB48CA">
          <w:rPr>
            <w:rStyle w:val="Hyperlink"/>
          </w:rPr>
          <w:t>org</w:t>
        </w:r>
        <w:r w:rsidR="0068182E" w:rsidRPr="00DB48CA">
          <w:rPr>
            <w:rStyle w:val="Hyperlink"/>
            <w:lang w:val="ru-RU"/>
          </w:rPr>
          <w:t>/</w:t>
        </w:r>
        <w:r w:rsidR="0068182E" w:rsidRPr="00DB48CA">
          <w:rPr>
            <w:rStyle w:val="Hyperlink"/>
          </w:rPr>
          <w:t>bitstream</w:t>
        </w:r>
        <w:r w:rsidR="0068182E" w:rsidRPr="00DB48CA">
          <w:rPr>
            <w:rStyle w:val="Hyperlink"/>
            <w:lang w:val="ru-RU"/>
          </w:rPr>
          <w:t>/</w:t>
        </w:r>
        <w:r w:rsidR="0068182E" w:rsidRPr="00DB48CA">
          <w:rPr>
            <w:rStyle w:val="Hyperlink"/>
          </w:rPr>
          <w:t>handle</w:t>
        </w:r>
        <w:r w:rsidR="0068182E" w:rsidRPr="00DB48CA">
          <w:rPr>
            <w:rStyle w:val="Hyperlink"/>
            <w:lang w:val="ru-RU"/>
          </w:rPr>
          <w:t>/20.500.11822/34917/</w:t>
        </w:r>
        <w:r w:rsidR="0068182E" w:rsidRPr="00DB48CA">
          <w:rPr>
            <w:rStyle w:val="Hyperlink"/>
          </w:rPr>
          <w:t>AN</w:t>
        </w:r>
        <w:r w:rsidR="0068182E" w:rsidRPr="00DB48CA">
          <w:rPr>
            <w:rStyle w:val="Hyperlink"/>
            <w:lang w:val="ru-RU"/>
          </w:rPr>
          <w:t>2020.</w:t>
        </w:r>
        <w:r w:rsidR="0068182E" w:rsidRPr="00DB48CA">
          <w:rPr>
            <w:rStyle w:val="Hyperlink"/>
          </w:rPr>
          <w:t>pdf</w:t>
        </w:r>
        <w:r w:rsidR="0068182E" w:rsidRPr="0068182E">
          <w:rPr>
            <w:rStyle w:val="Hyperlink"/>
            <w:lang w:val="ru-RU"/>
          </w:rPr>
          <w:br/>
        </w:r>
        <w:r w:rsidR="0068182E" w:rsidRPr="00DB48CA">
          <w:rPr>
            <w:rStyle w:val="Hyperlink"/>
            <w:lang w:val="ru-RU"/>
          </w:rPr>
          <w:t>?</w:t>
        </w:r>
        <w:r w:rsidR="0068182E" w:rsidRPr="00DB48CA">
          <w:rPr>
            <w:rStyle w:val="Hyperlink"/>
          </w:rPr>
          <w:t>sequence</w:t>
        </w:r>
        <w:r w:rsidR="0068182E" w:rsidRPr="00DB48CA">
          <w:rPr>
            <w:rStyle w:val="Hyperlink"/>
            <w:lang w:val="ru-RU"/>
          </w:rPr>
          <w:t>=3&amp;</w:t>
        </w:r>
        <w:r w:rsidR="0068182E" w:rsidRPr="00DB48CA">
          <w:rPr>
            <w:rStyle w:val="Hyperlink"/>
          </w:rPr>
          <w:t>isAllowed</w:t>
        </w:r>
        <w:r w:rsidR="0068182E" w:rsidRPr="00DB48CA">
          <w:rPr>
            <w:rStyle w:val="Hyperlink"/>
            <w:lang w:val="ru-RU"/>
          </w:rPr>
          <w:t>=</w:t>
        </w:r>
        <w:r w:rsidR="0068182E" w:rsidRPr="00DB48CA">
          <w:rPr>
            <w:rStyle w:val="Hyperlink"/>
          </w:rPr>
          <w:t>y</w:t>
        </w:r>
      </w:hyperlink>
      <w:r w:rsidRPr="004B77F6">
        <w:rPr>
          <w:lang w:val="ru-RU"/>
        </w:rPr>
        <w:t xml:space="preserve"> (где описан подход ЮНЕП к цифровым преобразованиям) и </w:t>
      </w:r>
      <w:hyperlink r:id="rId56" w:history="1">
        <w:r>
          <w:rPr>
            <w:rStyle w:val="Hyperlink"/>
          </w:rPr>
          <w:t>https</w:t>
        </w:r>
        <w:r w:rsidRPr="004B77F6">
          <w:rPr>
            <w:rStyle w:val="Hyperlink"/>
            <w:lang w:val="ru-RU"/>
          </w:rPr>
          <w:t>://</w:t>
        </w:r>
        <w:r>
          <w:rPr>
            <w:rStyle w:val="Hyperlink"/>
          </w:rPr>
          <w:t>www</w:t>
        </w:r>
        <w:r w:rsidRPr="004B77F6">
          <w:rPr>
            <w:rStyle w:val="Hyperlink"/>
            <w:lang w:val="ru-RU"/>
          </w:rPr>
          <w:t>.</w:t>
        </w:r>
        <w:r>
          <w:rPr>
            <w:rStyle w:val="Hyperlink"/>
          </w:rPr>
          <w:t>unenvironment</w:t>
        </w:r>
        <w:r w:rsidRPr="004B77F6">
          <w:rPr>
            <w:rStyle w:val="Hyperlink"/>
            <w:lang w:val="ru-RU"/>
          </w:rPr>
          <w:t>.</w:t>
        </w:r>
        <w:r>
          <w:rPr>
            <w:rStyle w:val="Hyperlink"/>
          </w:rPr>
          <w:t>org</w:t>
        </w:r>
        <w:r w:rsidRPr="004B77F6">
          <w:rPr>
            <w:rStyle w:val="Hyperlink"/>
            <w:lang w:val="ru-RU"/>
          </w:rPr>
          <w:t>/</w:t>
        </w:r>
        <w:r>
          <w:rPr>
            <w:rStyle w:val="Hyperlink"/>
          </w:rPr>
          <w:t>resources</w:t>
        </w:r>
        <w:r w:rsidRPr="004B77F6">
          <w:rPr>
            <w:rStyle w:val="Hyperlink"/>
            <w:lang w:val="ru-RU"/>
          </w:rPr>
          <w:t>/</w:t>
        </w:r>
        <w:r>
          <w:rPr>
            <w:rStyle w:val="Hyperlink"/>
          </w:rPr>
          <w:t>report</w:t>
        </w:r>
        <w:r w:rsidRPr="004B77F6">
          <w:rPr>
            <w:rStyle w:val="Hyperlink"/>
            <w:lang w:val="ru-RU"/>
          </w:rPr>
          <w:t>/</w:t>
        </w:r>
        <w:r>
          <w:rPr>
            <w:rStyle w:val="Hyperlink"/>
          </w:rPr>
          <w:t>capacity</w:t>
        </w:r>
        <w:r w:rsidRPr="004B77F6">
          <w:rPr>
            <w:rStyle w:val="Hyperlink"/>
            <w:lang w:val="ru-RU"/>
          </w:rPr>
          <w:t>-</w:t>
        </w:r>
        <w:r>
          <w:rPr>
            <w:rStyle w:val="Hyperlink"/>
          </w:rPr>
          <w:t>building</w:t>
        </w:r>
        <w:r w:rsidRPr="004B77F6">
          <w:rPr>
            <w:rStyle w:val="Hyperlink"/>
            <w:lang w:val="ru-RU"/>
          </w:rPr>
          <w:t>-</w:t>
        </w:r>
        <w:r>
          <w:rPr>
            <w:rStyle w:val="Hyperlink"/>
          </w:rPr>
          <w:t>sustainable</w:t>
        </w:r>
        <w:r w:rsidRPr="004B77F6">
          <w:rPr>
            <w:rStyle w:val="Hyperlink"/>
            <w:lang w:val="ru-RU"/>
          </w:rPr>
          <w:t>-</w:t>
        </w:r>
        <w:r>
          <w:rPr>
            <w:rStyle w:val="Hyperlink"/>
          </w:rPr>
          <w:t>development</w:t>
        </w:r>
        <w:r w:rsidRPr="004B77F6">
          <w:rPr>
            <w:rStyle w:val="Hyperlink"/>
            <w:lang w:val="ru-RU"/>
          </w:rPr>
          <w:t>-</w:t>
        </w:r>
        <w:r>
          <w:rPr>
            <w:rStyle w:val="Hyperlink"/>
          </w:rPr>
          <w:t>overview</w:t>
        </w:r>
        <w:r w:rsidRPr="004B77F6">
          <w:rPr>
            <w:rStyle w:val="Hyperlink"/>
            <w:lang w:val="ru-RU"/>
          </w:rPr>
          <w:t>-</w:t>
        </w:r>
        <w:r>
          <w:rPr>
            <w:rStyle w:val="Hyperlink"/>
          </w:rPr>
          <w:t>unep</w:t>
        </w:r>
        <w:r w:rsidRPr="004B77F6">
          <w:rPr>
            <w:rStyle w:val="Hyperlink"/>
            <w:lang w:val="ru-RU"/>
          </w:rPr>
          <w:t>-</w:t>
        </w:r>
        <w:r>
          <w:rPr>
            <w:rStyle w:val="Hyperlink"/>
          </w:rPr>
          <w:t>environmental</w:t>
        </w:r>
        <w:r w:rsidRPr="004B77F6">
          <w:rPr>
            <w:rStyle w:val="Hyperlink"/>
            <w:lang w:val="ru-RU"/>
          </w:rPr>
          <w:t>-</w:t>
        </w:r>
        <w:r>
          <w:rPr>
            <w:rStyle w:val="Hyperlink"/>
          </w:rPr>
          <w:t>capacity</w:t>
        </w:r>
      </w:hyperlink>
      <w:r w:rsidR="00032E0B">
        <w:rPr>
          <w:lang w:val="ru-RU"/>
        </w:rPr>
        <w:t>.</w:t>
      </w:r>
    </w:p>
  </w:footnote>
  <w:footnote w:id="234">
    <w:p w14:paraId="7FD37268" w14:textId="49F44E26" w:rsidR="004B77F6" w:rsidRPr="004B77F6" w:rsidRDefault="004B77F6" w:rsidP="00A105CB">
      <w:pPr>
        <w:pStyle w:val="FootnoteText"/>
        <w:rPr>
          <w:lang w:val="ru-RU"/>
        </w:rPr>
      </w:pPr>
      <w:r>
        <w:rPr>
          <w:rStyle w:val="FootnoteReference"/>
        </w:rPr>
        <w:footnoteRef/>
      </w:r>
      <w:r w:rsidRPr="004B77F6">
        <w:rPr>
          <w:lang w:val="ru-RU"/>
        </w:rPr>
        <w:t xml:space="preserve"> </w:t>
      </w:r>
      <w:r w:rsidR="00D577E1">
        <w:fldChar w:fldCharType="begin"/>
      </w:r>
      <w:r w:rsidR="00D577E1" w:rsidRPr="00D577E1">
        <w:rPr>
          <w:lang w:val="ru-RU"/>
        </w:rPr>
        <w:instrText xml:space="preserve"> </w:instrText>
      </w:r>
      <w:r w:rsidR="00D577E1">
        <w:instrText>HYPERLINK</w:instrText>
      </w:r>
      <w:r w:rsidR="00D577E1" w:rsidRPr="00D577E1">
        <w:rPr>
          <w:lang w:val="ru-RU"/>
        </w:rPr>
        <w:instrText xml:space="preserve"> "</w:instrText>
      </w:r>
      <w:r w:rsidR="00D577E1">
        <w:instrText>http</w:instrText>
      </w:r>
      <w:r w:rsidR="00D577E1" w:rsidRPr="00D577E1">
        <w:rPr>
          <w:lang w:val="ru-RU"/>
        </w:rPr>
        <w:instrText>://</w:instrText>
      </w:r>
      <w:r w:rsidR="00D577E1">
        <w:instrText>upu</w:instrText>
      </w:r>
      <w:r w:rsidR="00D577E1" w:rsidRPr="00D577E1">
        <w:rPr>
          <w:lang w:val="ru-RU"/>
        </w:rPr>
        <w:instrText>-</w:instrText>
      </w:r>
      <w:r w:rsidR="00D577E1">
        <w:instrText>trainpost</w:instrText>
      </w:r>
      <w:r w:rsidR="00D577E1" w:rsidRPr="00D577E1">
        <w:rPr>
          <w:lang w:val="ru-RU"/>
        </w:rPr>
        <w:instrText>.</w:instrText>
      </w:r>
      <w:r w:rsidR="00D577E1">
        <w:instrText>com</w:instrText>
      </w:r>
      <w:r w:rsidR="00D577E1" w:rsidRPr="00D577E1">
        <w:rPr>
          <w:lang w:val="ru-RU"/>
        </w:rPr>
        <w:instrText>/</w:instrText>
      </w:r>
      <w:r w:rsidR="00D577E1">
        <w:instrText>eng</w:instrText>
      </w:r>
      <w:r w:rsidR="00D577E1" w:rsidRPr="00D577E1">
        <w:rPr>
          <w:lang w:val="ru-RU"/>
        </w:rPr>
        <w:instrText>/</w:instrText>
      </w:r>
      <w:r w:rsidR="00D577E1">
        <w:instrText>trainpost</w:instrText>
      </w:r>
      <w:r w:rsidR="00D577E1" w:rsidRPr="00D577E1">
        <w:rPr>
          <w:lang w:val="ru-RU"/>
        </w:rPr>
        <w:instrText>_</w:instrText>
      </w:r>
      <w:r w:rsidR="00D577E1">
        <w:instrText>index</w:instrText>
      </w:r>
      <w:r w:rsidR="00D577E1" w:rsidRPr="00D577E1">
        <w:rPr>
          <w:lang w:val="ru-RU"/>
        </w:rPr>
        <w:instrText>.</w:instrText>
      </w:r>
      <w:r w:rsidR="00D577E1">
        <w:instrText>htm</w:instrText>
      </w:r>
      <w:r w:rsidR="00D577E1" w:rsidRPr="00D577E1">
        <w:rPr>
          <w:lang w:val="ru-RU"/>
        </w:rPr>
        <w:instrText xml:space="preserve">" </w:instrText>
      </w:r>
      <w:r w:rsidR="00D577E1">
        <w:fldChar w:fldCharType="separate"/>
      </w:r>
      <w:r>
        <w:t>http</w:t>
      </w:r>
      <w:r w:rsidRPr="004B77F6">
        <w:rPr>
          <w:lang w:val="ru-RU"/>
        </w:rPr>
        <w:t>://</w:t>
      </w:r>
      <w:r>
        <w:t>upu</w:t>
      </w:r>
      <w:r w:rsidRPr="004B77F6">
        <w:rPr>
          <w:lang w:val="ru-RU"/>
        </w:rPr>
        <w:t>-</w:t>
      </w:r>
      <w:r>
        <w:t>trainpost</w:t>
      </w:r>
      <w:r w:rsidRPr="004B77F6">
        <w:rPr>
          <w:lang w:val="ru-RU"/>
        </w:rPr>
        <w:t>.</w:t>
      </w:r>
      <w:r>
        <w:t>com</w:t>
      </w:r>
      <w:r w:rsidRPr="004B77F6">
        <w:rPr>
          <w:lang w:val="ru-RU"/>
        </w:rPr>
        <w:t>/</w:t>
      </w:r>
      <w:r>
        <w:t>eng</w:t>
      </w:r>
      <w:r w:rsidRPr="004B77F6">
        <w:rPr>
          <w:lang w:val="ru-RU"/>
        </w:rPr>
        <w:t>/</w:t>
      </w:r>
      <w:r>
        <w:t>trainpost</w:t>
      </w:r>
      <w:r w:rsidRPr="004B77F6">
        <w:rPr>
          <w:lang w:val="ru-RU"/>
        </w:rPr>
        <w:t>_</w:t>
      </w:r>
      <w:r>
        <w:t>index</w:t>
      </w:r>
      <w:r w:rsidRPr="004B77F6">
        <w:rPr>
          <w:lang w:val="ru-RU"/>
        </w:rPr>
        <w:t>.</w:t>
      </w:r>
      <w:r>
        <w:t>htm</w:t>
      </w:r>
      <w:r w:rsidR="00D577E1">
        <w:fldChar w:fldCharType="end"/>
      </w:r>
      <w:r w:rsidRPr="004B77F6">
        <w:rPr>
          <w:lang w:val="ru-RU"/>
        </w:rPr>
        <w:t xml:space="preserve"> и </w:t>
      </w:r>
      <w:hyperlink r:id="rId57" w:history="1">
        <w:r>
          <w:rPr>
            <w:rStyle w:val="Hyperlink"/>
          </w:rPr>
          <w:t>http</w:t>
        </w:r>
        <w:r w:rsidRPr="004B77F6">
          <w:rPr>
            <w:rStyle w:val="Hyperlink"/>
            <w:lang w:val="ru-RU"/>
          </w:rPr>
          <w:t>://</w:t>
        </w:r>
        <w:r>
          <w:rPr>
            <w:rStyle w:val="Hyperlink"/>
          </w:rPr>
          <w:t>upu</w:t>
        </w:r>
        <w:r w:rsidRPr="004B77F6">
          <w:rPr>
            <w:rStyle w:val="Hyperlink"/>
            <w:lang w:val="ru-RU"/>
          </w:rPr>
          <w:t>-</w:t>
        </w:r>
        <w:r>
          <w:rPr>
            <w:rStyle w:val="Hyperlink"/>
          </w:rPr>
          <w:t>trainpost</w:t>
        </w:r>
        <w:r w:rsidRPr="004B77F6">
          <w:rPr>
            <w:rStyle w:val="Hyperlink"/>
            <w:lang w:val="ru-RU"/>
          </w:rPr>
          <w:t>.</w:t>
        </w:r>
        <w:r>
          <w:rPr>
            <w:rStyle w:val="Hyperlink"/>
          </w:rPr>
          <w:t>com</w:t>
        </w:r>
        <w:r w:rsidRPr="004B77F6">
          <w:rPr>
            <w:rStyle w:val="Hyperlink"/>
            <w:lang w:val="ru-RU"/>
          </w:rPr>
          <w:t>/</w:t>
        </w:r>
        <w:r>
          <w:rPr>
            <w:rStyle w:val="Hyperlink"/>
          </w:rPr>
          <w:t>eng</w:t>
        </w:r>
        <w:r w:rsidRPr="004B77F6">
          <w:rPr>
            <w:rStyle w:val="Hyperlink"/>
            <w:lang w:val="ru-RU"/>
          </w:rPr>
          <w:t>/</w:t>
        </w:r>
        <w:r>
          <w:rPr>
            <w:rStyle w:val="Hyperlink"/>
          </w:rPr>
          <w:t>calendar</w:t>
        </w:r>
        <w:r w:rsidRPr="004B77F6">
          <w:rPr>
            <w:rStyle w:val="Hyperlink"/>
            <w:lang w:val="ru-RU"/>
          </w:rPr>
          <w:t>.</w:t>
        </w:r>
        <w:r>
          <w:rPr>
            <w:rStyle w:val="Hyperlink"/>
          </w:rPr>
          <w:t>htm</w:t>
        </w:r>
      </w:hyperlink>
      <w:r w:rsidR="00032E0B">
        <w:rPr>
          <w:lang w:val="ru-RU"/>
        </w:rPr>
        <w:t>.</w:t>
      </w:r>
    </w:p>
  </w:footnote>
  <w:footnote w:id="235">
    <w:p w14:paraId="6DD90560" w14:textId="2B02AE97" w:rsidR="004B77F6" w:rsidRPr="004B77F6" w:rsidRDefault="004B77F6" w:rsidP="00A105CB">
      <w:pPr>
        <w:pStyle w:val="FootnoteText"/>
        <w:rPr>
          <w:lang w:val="ru-RU"/>
        </w:rPr>
      </w:pPr>
      <w:r>
        <w:rPr>
          <w:rStyle w:val="FootnoteReference"/>
        </w:rPr>
        <w:footnoteRef/>
      </w:r>
      <w:r w:rsidRPr="004B77F6">
        <w:rPr>
          <w:lang w:val="ru-RU"/>
        </w:rPr>
        <w:t xml:space="preserve"> </w:t>
      </w:r>
      <w:r w:rsidR="00D577E1">
        <w:fldChar w:fldCharType="begin"/>
      </w:r>
      <w:r w:rsidR="00D577E1" w:rsidRPr="00D577E1">
        <w:rPr>
          <w:lang w:val="ru-RU"/>
        </w:rPr>
        <w:instrText xml:space="preserve"> </w:instrText>
      </w:r>
      <w:r w:rsidR="00D577E1">
        <w:instrText>HYPERLINK</w:instrText>
      </w:r>
      <w:r w:rsidR="00D577E1" w:rsidRPr="00D577E1">
        <w:rPr>
          <w:lang w:val="ru-RU"/>
        </w:rPr>
        <w:instrText xml:space="preserve"> "</w:instrText>
      </w:r>
      <w:r w:rsidR="00D577E1">
        <w:instrText>https</w:instrText>
      </w:r>
      <w:r w:rsidR="00D577E1" w:rsidRPr="00D577E1">
        <w:rPr>
          <w:lang w:val="ru-RU"/>
        </w:rPr>
        <w:instrText>://</w:instrText>
      </w:r>
      <w:r w:rsidR="00D577E1">
        <w:instrText>public</w:instrText>
      </w:r>
      <w:r w:rsidR="00D577E1" w:rsidRPr="00D577E1">
        <w:rPr>
          <w:lang w:val="ru-RU"/>
        </w:rPr>
        <w:instrText>.</w:instrText>
      </w:r>
      <w:r w:rsidR="00D577E1">
        <w:instrText>wmo</w:instrText>
      </w:r>
      <w:r w:rsidR="00D577E1" w:rsidRPr="00D577E1">
        <w:rPr>
          <w:lang w:val="ru-RU"/>
        </w:rPr>
        <w:instrText>.</w:instrText>
      </w:r>
      <w:r w:rsidR="00D577E1">
        <w:instrText>int</w:instrText>
      </w:r>
      <w:r w:rsidR="00D577E1" w:rsidRPr="00D577E1">
        <w:rPr>
          <w:lang w:val="ru-RU"/>
        </w:rPr>
        <w:instrText>/</w:instrText>
      </w:r>
      <w:r w:rsidR="00D577E1">
        <w:instrText>en</w:instrText>
      </w:r>
      <w:r w:rsidR="00D577E1" w:rsidRPr="00D577E1">
        <w:rPr>
          <w:lang w:val="ru-RU"/>
        </w:rPr>
        <w:instrText>/</w:instrText>
      </w:r>
      <w:r w:rsidR="00D577E1">
        <w:instrText>our</w:instrText>
      </w:r>
      <w:r w:rsidR="00D577E1" w:rsidRPr="00D577E1">
        <w:rPr>
          <w:lang w:val="ru-RU"/>
        </w:rPr>
        <w:instrText>-</w:instrText>
      </w:r>
      <w:r w:rsidR="00D577E1">
        <w:instrText>mandate</w:instrText>
      </w:r>
      <w:r w:rsidR="00D577E1" w:rsidRPr="00D577E1">
        <w:rPr>
          <w:lang w:val="ru-RU"/>
        </w:rPr>
        <w:instrText>/</w:instrText>
      </w:r>
      <w:r w:rsidR="00D577E1">
        <w:instrText>what</w:instrText>
      </w:r>
      <w:r w:rsidR="00D577E1" w:rsidRPr="00D577E1">
        <w:rPr>
          <w:lang w:val="ru-RU"/>
        </w:rPr>
        <w:instrText>-</w:instrText>
      </w:r>
      <w:r w:rsidR="00D577E1">
        <w:instrText>we</w:instrText>
      </w:r>
      <w:r w:rsidR="00D577E1" w:rsidRPr="00D577E1">
        <w:rPr>
          <w:lang w:val="ru-RU"/>
        </w:rPr>
        <w:instrText>-</w:instrText>
      </w:r>
      <w:r w:rsidR="00D577E1">
        <w:instrText>do</w:instrText>
      </w:r>
      <w:r w:rsidR="00D577E1" w:rsidRPr="00D577E1">
        <w:rPr>
          <w:lang w:val="ru-RU"/>
        </w:rPr>
        <w:instrText>/</w:instrText>
      </w:r>
      <w:r w:rsidR="00D577E1">
        <w:instrText>capacity</w:instrText>
      </w:r>
      <w:r w:rsidR="00D577E1" w:rsidRPr="00D577E1">
        <w:rPr>
          <w:lang w:val="ru-RU"/>
        </w:rPr>
        <w:instrText>-</w:instrText>
      </w:r>
      <w:r w:rsidR="00D577E1">
        <w:instrText>development</w:instrText>
      </w:r>
      <w:r w:rsidR="00D577E1" w:rsidRPr="00D577E1">
        <w:rPr>
          <w:lang w:val="ru-RU"/>
        </w:rPr>
        <w:instrText xml:space="preserve">" </w:instrText>
      </w:r>
      <w:r w:rsidR="00D577E1">
        <w:fldChar w:fldCharType="separate"/>
      </w:r>
      <w:r>
        <w:rPr>
          <w:rStyle w:val="Hyperlink"/>
        </w:rPr>
        <w:t>https</w:t>
      </w:r>
      <w:r w:rsidRPr="004B77F6">
        <w:rPr>
          <w:rStyle w:val="Hyperlink"/>
          <w:lang w:val="ru-RU"/>
        </w:rPr>
        <w:t>://</w:t>
      </w:r>
      <w:r>
        <w:rPr>
          <w:rStyle w:val="Hyperlink"/>
        </w:rPr>
        <w:t>public</w:t>
      </w:r>
      <w:r w:rsidRPr="004B77F6">
        <w:rPr>
          <w:rStyle w:val="Hyperlink"/>
          <w:lang w:val="ru-RU"/>
        </w:rPr>
        <w:t>.</w:t>
      </w:r>
      <w:r>
        <w:rPr>
          <w:rStyle w:val="Hyperlink"/>
        </w:rPr>
        <w:t>wmo</w:t>
      </w:r>
      <w:r w:rsidRPr="004B77F6">
        <w:rPr>
          <w:rStyle w:val="Hyperlink"/>
          <w:lang w:val="ru-RU"/>
        </w:rPr>
        <w:t>.</w:t>
      </w:r>
      <w:r>
        <w:rPr>
          <w:rStyle w:val="Hyperlink"/>
        </w:rPr>
        <w:t>int</w:t>
      </w:r>
      <w:r w:rsidRPr="004B77F6">
        <w:rPr>
          <w:rStyle w:val="Hyperlink"/>
          <w:lang w:val="ru-RU"/>
        </w:rPr>
        <w:t>/</w:t>
      </w:r>
      <w:r>
        <w:rPr>
          <w:rStyle w:val="Hyperlink"/>
        </w:rPr>
        <w:t>en</w:t>
      </w:r>
      <w:r w:rsidRPr="004B77F6">
        <w:rPr>
          <w:rStyle w:val="Hyperlink"/>
          <w:lang w:val="ru-RU"/>
        </w:rPr>
        <w:t>/</w:t>
      </w:r>
      <w:r>
        <w:rPr>
          <w:rStyle w:val="Hyperlink"/>
        </w:rPr>
        <w:t>our</w:t>
      </w:r>
      <w:r w:rsidRPr="004B77F6">
        <w:rPr>
          <w:rStyle w:val="Hyperlink"/>
          <w:lang w:val="ru-RU"/>
        </w:rPr>
        <w:t>-</w:t>
      </w:r>
      <w:r>
        <w:rPr>
          <w:rStyle w:val="Hyperlink"/>
        </w:rPr>
        <w:t>mandate</w:t>
      </w:r>
      <w:r w:rsidRPr="004B77F6">
        <w:rPr>
          <w:rStyle w:val="Hyperlink"/>
          <w:lang w:val="ru-RU"/>
        </w:rPr>
        <w:t>/</w:t>
      </w:r>
      <w:r>
        <w:rPr>
          <w:rStyle w:val="Hyperlink"/>
        </w:rPr>
        <w:t>what</w:t>
      </w:r>
      <w:r w:rsidRPr="004B77F6">
        <w:rPr>
          <w:rStyle w:val="Hyperlink"/>
          <w:lang w:val="ru-RU"/>
        </w:rPr>
        <w:t>-</w:t>
      </w:r>
      <w:r>
        <w:rPr>
          <w:rStyle w:val="Hyperlink"/>
        </w:rPr>
        <w:t>we</w:t>
      </w:r>
      <w:r w:rsidRPr="004B77F6">
        <w:rPr>
          <w:rStyle w:val="Hyperlink"/>
          <w:lang w:val="ru-RU"/>
        </w:rPr>
        <w:t>-</w:t>
      </w:r>
      <w:r>
        <w:rPr>
          <w:rStyle w:val="Hyperlink"/>
        </w:rPr>
        <w:t>do</w:t>
      </w:r>
      <w:r w:rsidRPr="004B77F6">
        <w:rPr>
          <w:rStyle w:val="Hyperlink"/>
          <w:lang w:val="ru-RU"/>
        </w:rPr>
        <w:t>/</w:t>
      </w:r>
      <w:r>
        <w:rPr>
          <w:rStyle w:val="Hyperlink"/>
        </w:rPr>
        <w:t>capacity</w:t>
      </w:r>
      <w:r w:rsidRPr="004B77F6">
        <w:rPr>
          <w:rStyle w:val="Hyperlink"/>
          <w:lang w:val="ru-RU"/>
        </w:rPr>
        <w:t>-</w:t>
      </w:r>
      <w:r>
        <w:rPr>
          <w:rStyle w:val="Hyperlink"/>
        </w:rPr>
        <w:t>development</w:t>
      </w:r>
      <w:r w:rsidR="00D577E1">
        <w:rPr>
          <w:rStyle w:val="Hyperlink"/>
        </w:rPr>
        <w:fldChar w:fldCharType="end"/>
      </w:r>
      <w:r w:rsidR="00032E0B">
        <w:rPr>
          <w:lang w:val="ru-RU"/>
        </w:rPr>
        <w:t>.</w:t>
      </w:r>
    </w:p>
  </w:footnote>
  <w:footnote w:id="236">
    <w:p w14:paraId="39B02EFC" w14:textId="15B85926" w:rsidR="004B77F6" w:rsidRPr="004B77F6" w:rsidRDefault="004B77F6" w:rsidP="00A105CB">
      <w:pPr>
        <w:pStyle w:val="FootnoteText"/>
        <w:rPr>
          <w:lang w:val="ru-RU"/>
        </w:rPr>
      </w:pPr>
      <w:r>
        <w:rPr>
          <w:rStyle w:val="FootnoteReference"/>
        </w:rPr>
        <w:footnoteRef/>
      </w:r>
      <w:r w:rsidRPr="004B77F6">
        <w:rPr>
          <w:lang w:val="ru-RU"/>
        </w:rPr>
        <w:t xml:space="preserve"> Это неполный перечень учреждений и групп ООН, в нем представлены те из них, по которым есть подтвержденные данные, как минимум, о некоторой работе по </w:t>
      </w:r>
      <w:r w:rsidR="009421AE">
        <w:rPr>
          <w:lang w:val="ru-RU"/>
        </w:rPr>
        <w:t>развитию потенциала</w:t>
      </w:r>
      <w:r w:rsidRPr="004B77F6">
        <w:rPr>
          <w:lang w:val="ru-RU"/>
        </w:rPr>
        <w:t xml:space="preserve"> и профессиональной подготовке в этих областях</w:t>
      </w:r>
      <w:r w:rsidR="00032E0B">
        <w:rPr>
          <w:lang w:val="ru-RU"/>
        </w:rPr>
        <w:t>.</w:t>
      </w:r>
    </w:p>
  </w:footnote>
  <w:footnote w:id="237">
    <w:p w14:paraId="37073DCF" w14:textId="65C483D2" w:rsidR="004B77F6" w:rsidRPr="00032E0B" w:rsidRDefault="004B77F6" w:rsidP="00A105CB">
      <w:pPr>
        <w:pStyle w:val="FootnoteText"/>
        <w:rPr>
          <w:lang w:val="ru-RU"/>
        </w:rPr>
      </w:pPr>
      <w:r>
        <w:rPr>
          <w:rStyle w:val="FootnoteReference"/>
        </w:rPr>
        <w:footnoteRef/>
      </w:r>
      <w:r w:rsidRPr="004B77F6">
        <w:rPr>
          <w:lang w:val="ru-RU"/>
        </w:rPr>
        <w:t xml:space="preserve"> </w:t>
      </w:r>
      <w:r w:rsidR="00D577E1">
        <w:fldChar w:fldCharType="begin"/>
      </w:r>
      <w:r w:rsidR="00D577E1" w:rsidRPr="00D577E1">
        <w:rPr>
          <w:lang w:val="ru-RU"/>
        </w:rPr>
        <w:instrText xml:space="preserve"> </w:instrText>
      </w:r>
      <w:r w:rsidR="00D577E1">
        <w:instrText>HYPERLINK</w:instrText>
      </w:r>
      <w:r w:rsidR="00D577E1" w:rsidRPr="00D577E1">
        <w:rPr>
          <w:lang w:val="ru-RU"/>
        </w:rPr>
        <w:instrText xml:space="preserve"> "</w:instrText>
      </w:r>
      <w:r w:rsidR="00D577E1">
        <w:instrText>https</w:instrText>
      </w:r>
      <w:r w:rsidR="00D577E1" w:rsidRPr="00D577E1">
        <w:rPr>
          <w:lang w:val="ru-RU"/>
        </w:rPr>
        <w:instrText>://</w:instrText>
      </w:r>
      <w:r w:rsidR="00D577E1">
        <w:instrText>www</w:instrText>
      </w:r>
      <w:r w:rsidR="00D577E1" w:rsidRPr="00D577E1">
        <w:rPr>
          <w:lang w:val="ru-RU"/>
        </w:rPr>
        <w:instrText>.</w:instrText>
      </w:r>
      <w:r w:rsidR="00D577E1">
        <w:instrText>iaea</w:instrText>
      </w:r>
      <w:r w:rsidR="00D577E1" w:rsidRPr="00D577E1">
        <w:rPr>
          <w:lang w:val="ru-RU"/>
        </w:rPr>
        <w:instrText>.</w:instrText>
      </w:r>
      <w:r w:rsidR="00D577E1">
        <w:instrText>org</w:instrText>
      </w:r>
      <w:r w:rsidR="00D577E1" w:rsidRPr="00D577E1">
        <w:rPr>
          <w:lang w:val="ru-RU"/>
        </w:rPr>
        <w:instrText>/</w:instrText>
      </w:r>
      <w:r w:rsidR="00D577E1">
        <w:instrText>publications</w:instrText>
      </w:r>
      <w:r w:rsidR="00D577E1" w:rsidRPr="00D577E1">
        <w:rPr>
          <w:lang w:val="ru-RU"/>
        </w:rPr>
        <w:instrText>/11166/</w:instrText>
      </w:r>
      <w:r w:rsidR="00D577E1">
        <w:instrText>building</w:instrText>
      </w:r>
      <w:r w:rsidR="00D577E1" w:rsidRPr="00D577E1">
        <w:rPr>
          <w:lang w:val="ru-RU"/>
        </w:rPr>
        <w:instrText>-</w:instrText>
      </w:r>
      <w:r w:rsidR="00D577E1">
        <w:instrText>capacity</w:instrText>
      </w:r>
      <w:r w:rsidR="00D577E1" w:rsidRPr="00D577E1">
        <w:rPr>
          <w:lang w:val="ru-RU"/>
        </w:rPr>
        <w:instrText>-</w:instrText>
      </w:r>
      <w:r w:rsidR="00D577E1">
        <w:instrText>for</w:instrText>
      </w:r>
      <w:r w:rsidR="00D577E1" w:rsidRPr="00D577E1">
        <w:rPr>
          <w:lang w:val="ru-RU"/>
        </w:rPr>
        <w:instrText>-</w:instrText>
      </w:r>
      <w:r w:rsidR="00D577E1">
        <w:instrText>nuclear</w:instrText>
      </w:r>
      <w:r w:rsidR="00D577E1" w:rsidRPr="00D577E1">
        <w:rPr>
          <w:lang w:val="ru-RU"/>
        </w:rPr>
        <w:instrText>-</w:instrText>
      </w:r>
      <w:r w:rsidR="00D577E1">
        <w:instrText>security</w:instrText>
      </w:r>
      <w:r w:rsidR="00D577E1" w:rsidRPr="00D577E1">
        <w:rPr>
          <w:lang w:val="ru-RU"/>
        </w:rPr>
        <w:instrText xml:space="preserve">" </w:instrText>
      </w:r>
      <w:r w:rsidR="00D577E1">
        <w:fldChar w:fldCharType="separate"/>
      </w:r>
      <w:r>
        <w:t>https</w:t>
      </w:r>
      <w:r w:rsidRPr="004B77F6">
        <w:rPr>
          <w:lang w:val="ru-RU"/>
        </w:rPr>
        <w:t>://</w:t>
      </w:r>
      <w:r>
        <w:t>www</w:t>
      </w:r>
      <w:r w:rsidRPr="004B77F6">
        <w:rPr>
          <w:lang w:val="ru-RU"/>
        </w:rPr>
        <w:t>.</w:t>
      </w:r>
      <w:r>
        <w:t>iaea</w:t>
      </w:r>
      <w:r w:rsidRPr="004B77F6">
        <w:rPr>
          <w:lang w:val="ru-RU"/>
        </w:rPr>
        <w:t>.</w:t>
      </w:r>
      <w:r>
        <w:t>org</w:t>
      </w:r>
      <w:r w:rsidRPr="004B77F6">
        <w:rPr>
          <w:lang w:val="ru-RU"/>
        </w:rPr>
        <w:t>/</w:t>
      </w:r>
      <w:r>
        <w:t>publications</w:t>
      </w:r>
      <w:r w:rsidRPr="004B77F6">
        <w:rPr>
          <w:lang w:val="ru-RU"/>
        </w:rPr>
        <w:t>/11166/</w:t>
      </w:r>
      <w:r>
        <w:t>building</w:t>
      </w:r>
      <w:r w:rsidRPr="004B77F6">
        <w:rPr>
          <w:lang w:val="ru-RU"/>
        </w:rPr>
        <w:t>-</w:t>
      </w:r>
      <w:r>
        <w:t>capacity</w:t>
      </w:r>
      <w:r w:rsidRPr="004B77F6">
        <w:rPr>
          <w:lang w:val="ru-RU"/>
        </w:rPr>
        <w:t>-</w:t>
      </w:r>
      <w:r>
        <w:t>for</w:t>
      </w:r>
      <w:r w:rsidRPr="004B77F6">
        <w:rPr>
          <w:lang w:val="ru-RU"/>
        </w:rPr>
        <w:t>-</w:t>
      </w:r>
      <w:r>
        <w:t>nuclear</w:t>
      </w:r>
      <w:r w:rsidRPr="004B77F6">
        <w:rPr>
          <w:lang w:val="ru-RU"/>
        </w:rPr>
        <w:t>-</w:t>
      </w:r>
      <w:r>
        <w:t>security</w:t>
      </w:r>
      <w:r w:rsidR="00D577E1">
        <w:fldChar w:fldCharType="end"/>
      </w:r>
      <w:r w:rsidR="00032E0B">
        <w:rPr>
          <w:lang w:val="ru-RU"/>
        </w:rPr>
        <w:t>.</w:t>
      </w:r>
    </w:p>
  </w:footnote>
  <w:footnote w:id="238">
    <w:p w14:paraId="2BDAF3E2" w14:textId="7140554D" w:rsidR="004B77F6" w:rsidRPr="00032E0B" w:rsidRDefault="004B77F6" w:rsidP="00A105CB">
      <w:pPr>
        <w:pStyle w:val="FootnoteText"/>
        <w:rPr>
          <w:lang w:val="ru-RU"/>
        </w:rPr>
      </w:pPr>
      <w:r>
        <w:rPr>
          <w:rStyle w:val="FootnoteReference"/>
        </w:rPr>
        <w:footnoteRef/>
      </w:r>
      <w:r w:rsidRPr="004B77F6">
        <w:rPr>
          <w:lang w:val="ru-RU"/>
        </w:rPr>
        <w:t xml:space="preserve"> </w:t>
      </w:r>
      <w:r>
        <w:t>https</w:t>
      </w:r>
      <w:r w:rsidRPr="004B77F6">
        <w:rPr>
          <w:lang w:val="ru-RU"/>
        </w:rPr>
        <w:t>://</w:t>
      </w:r>
      <w:r>
        <w:t>www</w:t>
      </w:r>
      <w:r w:rsidRPr="004B77F6">
        <w:rPr>
          <w:lang w:val="ru-RU"/>
        </w:rPr>
        <w:t>.</w:t>
      </w:r>
      <w:r>
        <w:t>icao</w:t>
      </w:r>
      <w:r w:rsidRPr="004B77F6">
        <w:rPr>
          <w:lang w:val="ru-RU"/>
        </w:rPr>
        <w:t>.</w:t>
      </w:r>
      <w:r>
        <w:t>int</w:t>
      </w:r>
      <w:r w:rsidRPr="004B77F6">
        <w:rPr>
          <w:lang w:val="ru-RU"/>
        </w:rPr>
        <w:t>/</w:t>
      </w:r>
      <w:r>
        <w:t>about</w:t>
      </w:r>
      <w:r w:rsidRPr="004B77F6">
        <w:rPr>
          <w:lang w:val="ru-RU"/>
        </w:rPr>
        <w:t>-</w:t>
      </w:r>
      <w:r>
        <w:t>icao</w:t>
      </w:r>
      <w:r w:rsidRPr="004B77F6">
        <w:rPr>
          <w:lang w:val="ru-RU"/>
        </w:rPr>
        <w:t>/</w:t>
      </w:r>
      <w:r>
        <w:t>DrAliu</w:t>
      </w:r>
      <w:r w:rsidRPr="004B77F6">
        <w:rPr>
          <w:lang w:val="ru-RU"/>
        </w:rPr>
        <w:t>/</w:t>
      </w:r>
      <w:r>
        <w:t>Pages</w:t>
      </w:r>
      <w:r w:rsidRPr="004B77F6">
        <w:rPr>
          <w:lang w:val="ru-RU"/>
        </w:rPr>
        <w:t>/</w:t>
      </w:r>
      <w:r>
        <w:t>Capacity</w:t>
      </w:r>
      <w:r w:rsidRPr="004B77F6">
        <w:rPr>
          <w:lang w:val="ru-RU"/>
        </w:rPr>
        <w:t>-</w:t>
      </w:r>
      <w:r>
        <w:t>Building</w:t>
      </w:r>
      <w:r w:rsidRPr="004B77F6">
        <w:rPr>
          <w:lang w:val="ru-RU"/>
        </w:rPr>
        <w:t>-</w:t>
      </w:r>
      <w:r>
        <w:t>and</w:t>
      </w:r>
      <w:r w:rsidRPr="004B77F6">
        <w:rPr>
          <w:lang w:val="ru-RU"/>
        </w:rPr>
        <w:t>-</w:t>
      </w:r>
      <w:r>
        <w:t>Human</w:t>
      </w:r>
      <w:r w:rsidRPr="004B77F6">
        <w:rPr>
          <w:lang w:val="ru-RU"/>
        </w:rPr>
        <w:t>-</w:t>
      </w:r>
      <w:r>
        <w:t>Resources</w:t>
      </w:r>
      <w:r w:rsidRPr="004B77F6">
        <w:rPr>
          <w:lang w:val="ru-RU"/>
        </w:rPr>
        <w:t>-</w:t>
      </w:r>
      <w:r>
        <w:t>Development</w:t>
      </w:r>
      <w:r w:rsidRPr="004B77F6">
        <w:rPr>
          <w:lang w:val="ru-RU"/>
        </w:rPr>
        <w:t>-</w:t>
      </w:r>
      <w:r>
        <w:t>for</w:t>
      </w:r>
      <w:r w:rsidRPr="004B77F6">
        <w:rPr>
          <w:lang w:val="ru-RU"/>
        </w:rPr>
        <w:t>-</w:t>
      </w:r>
      <w:r>
        <w:t>the</w:t>
      </w:r>
      <w:r w:rsidRPr="004B77F6">
        <w:rPr>
          <w:lang w:val="ru-RU"/>
        </w:rPr>
        <w:t>-</w:t>
      </w:r>
      <w:r>
        <w:t>Next</w:t>
      </w:r>
      <w:r w:rsidRPr="004B77F6">
        <w:rPr>
          <w:lang w:val="ru-RU"/>
        </w:rPr>
        <w:t>-</w:t>
      </w:r>
      <w:r>
        <w:t>Generation</w:t>
      </w:r>
      <w:r w:rsidRPr="004B77F6">
        <w:rPr>
          <w:lang w:val="ru-RU"/>
        </w:rPr>
        <w:t>-</w:t>
      </w:r>
      <w:r>
        <w:t>of</w:t>
      </w:r>
      <w:r w:rsidRPr="004B77F6">
        <w:rPr>
          <w:lang w:val="ru-RU"/>
        </w:rPr>
        <w:t>-</w:t>
      </w:r>
      <w:r>
        <w:t>Aviation</w:t>
      </w:r>
      <w:r w:rsidRPr="004B77F6">
        <w:rPr>
          <w:lang w:val="ru-RU"/>
        </w:rPr>
        <w:t>-</w:t>
      </w:r>
      <w:r>
        <w:t>Professionals</w:t>
      </w:r>
      <w:r w:rsidRPr="004B77F6">
        <w:rPr>
          <w:lang w:val="ru-RU"/>
        </w:rPr>
        <w:t>.</w:t>
      </w:r>
      <w:r>
        <w:t>aspx</w:t>
      </w:r>
      <w:r w:rsidR="00032E0B">
        <w:rPr>
          <w:lang w:val="ru-RU"/>
        </w:rPr>
        <w:t>.</w:t>
      </w:r>
    </w:p>
  </w:footnote>
  <w:footnote w:id="239">
    <w:p w14:paraId="09CAFC19" w14:textId="60C49977" w:rsidR="004B77F6" w:rsidRPr="004B77F6" w:rsidRDefault="004B77F6" w:rsidP="00A105CB">
      <w:pPr>
        <w:pStyle w:val="FootnoteText"/>
        <w:rPr>
          <w:lang w:val="ru-RU"/>
        </w:rPr>
      </w:pPr>
      <w:r>
        <w:rPr>
          <w:rStyle w:val="FootnoteReference"/>
        </w:rPr>
        <w:footnoteRef/>
      </w:r>
      <w:r w:rsidRPr="004B77F6">
        <w:rPr>
          <w:lang w:val="ru-RU"/>
        </w:rPr>
        <w:t xml:space="preserve"> </w:t>
      </w:r>
      <w:r w:rsidR="00D577E1">
        <w:fldChar w:fldCharType="begin"/>
      </w:r>
      <w:r w:rsidR="00D577E1" w:rsidRPr="00D577E1">
        <w:rPr>
          <w:lang w:val="ru-RU"/>
        </w:rPr>
        <w:instrText xml:space="preserve"> </w:instrText>
      </w:r>
      <w:r w:rsidR="00D577E1">
        <w:instrText>HYPERLINK</w:instrText>
      </w:r>
      <w:r w:rsidR="00D577E1" w:rsidRPr="00D577E1">
        <w:rPr>
          <w:lang w:val="ru-RU"/>
        </w:rPr>
        <w:instrText xml:space="preserve"> "</w:instrText>
      </w:r>
      <w:r w:rsidR="00D577E1">
        <w:instrText>https</w:instrText>
      </w:r>
      <w:r w:rsidR="00D577E1" w:rsidRPr="00D577E1">
        <w:rPr>
          <w:lang w:val="ru-RU"/>
        </w:rPr>
        <w:instrText>://</w:instrText>
      </w:r>
      <w:r w:rsidR="00D577E1">
        <w:instrText>www</w:instrText>
      </w:r>
      <w:r w:rsidR="00D577E1" w:rsidRPr="00D577E1">
        <w:rPr>
          <w:lang w:val="ru-RU"/>
        </w:rPr>
        <w:instrText>.</w:instrText>
      </w:r>
      <w:r w:rsidR="00D577E1">
        <w:instrText>ifad</w:instrText>
      </w:r>
      <w:r w:rsidR="00D577E1" w:rsidRPr="00D577E1">
        <w:rPr>
          <w:lang w:val="ru-RU"/>
        </w:rPr>
        <w:instrText>.</w:instrText>
      </w:r>
      <w:r w:rsidR="00D577E1">
        <w:instrText>org</w:instrText>
      </w:r>
      <w:r w:rsidR="00D577E1" w:rsidRPr="00D577E1">
        <w:rPr>
          <w:lang w:val="ru-RU"/>
        </w:rPr>
        <w:instrText>/</w:instrText>
      </w:r>
      <w:r w:rsidR="00D577E1">
        <w:instrText>documents</w:instrText>
      </w:r>
      <w:r w:rsidR="00D577E1" w:rsidRPr="00D577E1">
        <w:rPr>
          <w:lang w:val="ru-RU"/>
        </w:rPr>
        <w:instrText>/38714170/39144386/</w:instrText>
      </w:r>
      <w:r w:rsidR="00D577E1">
        <w:instrText>A</w:instrText>
      </w:r>
      <w:r w:rsidR="00D577E1" w:rsidRPr="00D577E1">
        <w:rPr>
          <w:lang w:val="ru-RU"/>
        </w:rPr>
        <w:instrText>+</w:instrText>
      </w:r>
      <w:r w:rsidR="00D577E1">
        <w:instrText>field</w:instrText>
      </w:r>
      <w:r w:rsidR="00D577E1" w:rsidRPr="00D577E1">
        <w:rPr>
          <w:lang w:val="ru-RU"/>
        </w:rPr>
        <w:instrText>+</w:instrText>
      </w:r>
      <w:r w:rsidR="00D577E1">
        <w:instrText>practitioner</w:instrText>
      </w:r>
      <w:r w:rsidR="00D577E1" w:rsidRPr="00D577E1">
        <w:rPr>
          <w:lang w:val="ru-RU"/>
        </w:rPr>
        <w:instrText>'</w:instrText>
      </w:r>
      <w:r w:rsidR="00D577E1">
        <w:instrText>s</w:instrText>
      </w:r>
      <w:r w:rsidR="00D577E1" w:rsidRPr="00D577E1">
        <w:rPr>
          <w:lang w:val="ru-RU"/>
        </w:rPr>
        <w:instrText>+</w:instrText>
      </w:r>
      <w:r w:rsidR="00D577E1">
        <w:instrText>guide</w:instrText>
      </w:r>
      <w:r w:rsidR="00D577E1" w:rsidRPr="00D577E1">
        <w:rPr>
          <w:lang w:val="ru-RU"/>
        </w:rPr>
        <w:instrText>+-+</w:instrText>
      </w:r>
      <w:r w:rsidR="00D577E1">
        <w:instrText>Institutional</w:instrText>
      </w:r>
      <w:r w:rsidR="00D577E1" w:rsidRPr="00D577E1">
        <w:rPr>
          <w:lang w:val="ru-RU"/>
        </w:rPr>
        <w:instrText>+</w:instrText>
      </w:r>
      <w:r w:rsidR="00D577E1">
        <w:instrText>and</w:instrText>
      </w:r>
      <w:r w:rsidR="00D577E1" w:rsidRPr="00D577E1">
        <w:rPr>
          <w:lang w:val="ru-RU"/>
        </w:rPr>
        <w:instrText>+</w:instrText>
      </w:r>
      <w:r w:rsidR="00D577E1">
        <w:instrText>organizational</w:instrText>
      </w:r>
      <w:r w:rsidR="00D577E1" w:rsidRPr="00D577E1">
        <w:rPr>
          <w:lang w:val="ru-RU"/>
        </w:rPr>
        <w:instrText>+</w:instrText>
      </w:r>
      <w:r w:rsidR="00D577E1">
        <w:instrText>analysis</w:instrText>
      </w:r>
      <w:r w:rsidR="00D577E1" w:rsidRPr="00D577E1">
        <w:rPr>
          <w:lang w:val="ru-RU"/>
        </w:rPr>
        <w:instrText>+</w:instrText>
      </w:r>
      <w:r w:rsidR="00D577E1">
        <w:instrText>and</w:instrText>
      </w:r>
      <w:r w:rsidR="00D577E1" w:rsidRPr="00D577E1">
        <w:rPr>
          <w:lang w:val="ru-RU"/>
        </w:rPr>
        <w:instrText>+</w:instrText>
      </w:r>
      <w:r w:rsidR="00D577E1">
        <w:instrText>capacity</w:instrText>
      </w:r>
      <w:r w:rsidR="00D577E1" w:rsidRPr="00D577E1">
        <w:rPr>
          <w:lang w:val="ru-RU"/>
        </w:rPr>
        <w:instrText>+</w:instrText>
      </w:r>
      <w:r w:rsidR="00D577E1">
        <w:instrText>strengthening</w:instrText>
      </w:r>
      <w:r w:rsidR="00D577E1" w:rsidRPr="00D577E1">
        <w:rPr>
          <w:lang w:val="ru-RU"/>
        </w:rPr>
        <w:instrText>.</w:instrText>
      </w:r>
      <w:r w:rsidR="00D577E1">
        <w:instrText>pdf</w:instrText>
      </w:r>
      <w:r w:rsidR="00D577E1" w:rsidRPr="00D577E1">
        <w:rPr>
          <w:lang w:val="ru-RU"/>
        </w:rPr>
        <w:instrText>/48466</w:instrText>
      </w:r>
      <w:r w:rsidR="00D577E1">
        <w:instrText>eeb</w:instrText>
      </w:r>
      <w:r w:rsidR="00D577E1" w:rsidRPr="00D577E1">
        <w:rPr>
          <w:lang w:val="ru-RU"/>
        </w:rPr>
        <w:instrText>-244</w:instrText>
      </w:r>
      <w:r w:rsidR="00D577E1">
        <w:instrText>e</w:instrText>
      </w:r>
      <w:r w:rsidR="00D577E1" w:rsidRPr="00D577E1">
        <w:rPr>
          <w:lang w:val="ru-RU"/>
        </w:rPr>
        <w:instrText>-4</w:instrText>
      </w:r>
      <w:r w:rsidR="00D577E1">
        <w:instrText>f</w:instrText>
      </w:r>
      <w:r w:rsidR="00D577E1" w:rsidRPr="00D577E1">
        <w:rPr>
          <w:lang w:val="ru-RU"/>
        </w:rPr>
        <w:instrText>3</w:instrText>
      </w:r>
      <w:r w:rsidR="00D577E1">
        <w:instrText>b</w:instrText>
      </w:r>
      <w:r w:rsidR="00D577E1" w:rsidRPr="00D577E1">
        <w:rPr>
          <w:lang w:val="ru-RU"/>
        </w:rPr>
        <w:instrText>-</w:instrText>
      </w:r>
      <w:r w:rsidR="00D577E1">
        <w:instrText>a</w:instrText>
      </w:r>
      <w:r w:rsidR="00D577E1" w:rsidRPr="00D577E1">
        <w:rPr>
          <w:lang w:val="ru-RU"/>
        </w:rPr>
        <w:instrText>67</w:instrText>
      </w:r>
      <w:r w:rsidR="00D577E1">
        <w:instrText>d</w:instrText>
      </w:r>
      <w:r w:rsidR="00D577E1" w:rsidRPr="00D577E1">
        <w:rPr>
          <w:lang w:val="ru-RU"/>
        </w:rPr>
        <w:instrText>-</w:instrText>
      </w:r>
      <w:r w:rsidR="00D577E1">
        <w:instrText>f</w:instrText>
      </w:r>
      <w:r w:rsidR="00D577E1" w:rsidRPr="00D577E1">
        <w:rPr>
          <w:lang w:val="ru-RU"/>
        </w:rPr>
        <w:instrText>587</w:instrText>
      </w:r>
      <w:r w:rsidR="00D577E1">
        <w:instrText>ebf</w:instrText>
      </w:r>
      <w:r w:rsidR="00D577E1" w:rsidRPr="00D577E1">
        <w:rPr>
          <w:lang w:val="ru-RU"/>
        </w:rPr>
        <w:instrText>7503</w:instrText>
      </w:r>
      <w:r w:rsidR="00D577E1" w:rsidRPr="00D577E1">
        <w:rPr>
          <w:lang w:val="ru-RU"/>
        </w:rPr>
        <w:instrText xml:space="preserve">8" </w:instrText>
      </w:r>
      <w:r w:rsidR="00D577E1">
        <w:fldChar w:fldCharType="separate"/>
      </w:r>
      <w:r>
        <w:t>https</w:t>
      </w:r>
      <w:r w:rsidRPr="004B77F6">
        <w:rPr>
          <w:lang w:val="ru-RU"/>
        </w:rPr>
        <w:t>://</w:t>
      </w:r>
      <w:r>
        <w:t>www</w:t>
      </w:r>
      <w:r w:rsidRPr="004B77F6">
        <w:rPr>
          <w:lang w:val="ru-RU"/>
        </w:rPr>
        <w:t>.</w:t>
      </w:r>
      <w:r>
        <w:t>ifad</w:t>
      </w:r>
      <w:r w:rsidRPr="004B77F6">
        <w:rPr>
          <w:lang w:val="ru-RU"/>
        </w:rPr>
        <w:t>.</w:t>
      </w:r>
      <w:r>
        <w:t>org</w:t>
      </w:r>
      <w:r w:rsidRPr="004B77F6">
        <w:rPr>
          <w:lang w:val="ru-RU"/>
        </w:rPr>
        <w:t>/</w:t>
      </w:r>
      <w:r>
        <w:t>documents</w:t>
      </w:r>
      <w:r w:rsidRPr="004B77F6">
        <w:rPr>
          <w:lang w:val="ru-RU"/>
        </w:rPr>
        <w:t>/38714170/39144386/</w:t>
      </w:r>
      <w:r>
        <w:t>A</w:t>
      </w:r>
      <w:r w:rsidRPr="004B77F6">
        <w:rPr>
          <w:lang w:val="ru-RU"/>
        </w:rPr>
        <w:t>+</w:t>
      </w:r>
      <w:r>
        <w:t>field</w:t>
      </w:r>
      <w:r w:rsidRPr="004B77F6">
        <w:rPr>
          <w:lang w:val="ru-RU"/>
        </w:rPr>
        <w:t>+</w:t>
      </w:r>
      <w:r>
        <w:t>practitioner</w:t>
      </w:r>
      <w:r w:rsidRPr="004B77F6">
        <w:rPr>
          <w:lang w:val="ru-RU"/>
        </w:rPr>
        <w:t>%27</w:t>
      </w:r>
      <w:r>
        <w:t>s</w:t>
      </w:r>
      <w:r w:rsidRPr="004B77F6">
        <w:rPr>
          <w:lang w:val="ru-RU"/>
        </w:rPr>
        <w:t>+</w:t>
      </w:r>
      <w:r>
        <w:t>guide</w:t>
      </w:r>
      <w:r w:rsidRPr="004B77F6">
        <w:rPr>
          <w:lang w:val="ru-RU"/>
        </w:rPr>
        <w:t>+-+</w:t>
      </w:r>
      <w:r>
        <w:t>Institutional</w:t>
      </w:r>
      <w:r w:rsidRPr="004B77F6">
        <w:rPr>
          <w:lang w:val="ru-RU"/>
        </w:rPr>
        <w:t>+</w:t>
      </w:r>
      <w:r>
        <w:t>and</w:t>
      </w:r>
      <w:r w:rsidRPr="004B77F6">
        <w:rPr>
          <w:lang w:val="ru-RU"/>
        </w:rPr>
        <w:t>+</w:t>
      </w:r>
      <w:r>
        <w:t>organizational</w:t>
      </w:r>
      <w:r w:rsidRPr="004B77F6">
        <w:rPr>
          <w:lang w:val="ru-RU"/>
        </w:rPr>
        <w:t>+</w:t>
      </w:r>
      <w:r>
        <w:t>analysis</w:t>
      </w:r>
      <w:r w:rsidRPr="004B77F6">
        <w:rPr>
          <w:lang w:val="ru-RU"/>
        </w:rPr>
        <w:t>+</w:t>
      </w:r>
      <w:r>
        <w:t>and</w:t>
      </w:r>
      <w:r w:rsidRPr="004B77F6">
        <w:rPr>
          <w:lang w:val="ru-RU"/>
        </w:rPr>
        <w:t>+</w:t>
      </w:r>
      <w:r>
        <w:t>capacity</w:t>
      </w:r>
      <w:r w:rsidRPr="004B77F6">
        <w:rPr>
          <w:lang w:val="ru-RU"/>
        </w:rPr>
        <w:t>+</w:t>
      </w:r>
      <w:r>
        <w:t>strengthening</w:t>
      </w:r>
      <w:r w:rsidRPr="004B77F6">
        <w:rPr>
          <w:lang w:val="ru-RU"/>
        </w:rPr>
        <w:t>.</w:t>
      </w:r>
      <w:r>
        <w:t>pdf</w:t>
      </w:r>
      <w:r w:rsidRPr="004B77F6">
        <w:rPr>
          <w:lang w:val="ru-RU"/>
        </w:rPr>
        <w:t>/48466</w:t>
      </w:r>
      <w:r>
        <w:t>eeb</w:t>
      </w:r>
      <w:r w:rsidRPr="004B77F6">
        <w:rPr>
          <w:lang w:val="ru-RU"/>
        </w:rPr>
        <w:t>-244</w:t>
      </w:r>
      <w:r>
        <w:t>e</w:t>
      </w:r>
      <w:r w:rsidRPr="004B77F6">
        <w:rPr>
          <w:lang w:val="ru-RU"/>
        </w:rPr>
        <w:t>-4</w:t>
      </w:r>
      <w:r>
        <w:t>f</w:t>
      </w:r>
      <w:r w:rsidRPr="004B77F6">
        <w:rPr>
          <w:lang w:val="ru-RU"/>
        </w:rPr>
        <w:t>3</w:t>
      </w:r>
      <w:r>
        <w:t>b</w:t>
      </w:r>
      <w:r w:rsidRPr="004B77F6">
        <w:rPr>
          <w:lang w:val="ru-RU"/>
        </w:rPr>
        <w:t>-</w:t>
      </w:r>
      <w:r>
        <w:t>a</w:t>
      </w:r>
      <w:r w:rsidRPr="004B77F6">
        <w:rPr>
          <w:lang w:val="ru-RU"/>
        </w:rPr>
        <w:t>67</w:t>
      </w:r>
      <w:r>
        <w:t>d</w:t>
      </w:r>
      <w:r w:rsidRPr="004B77F6">
        <w:rPr>
          <w:lang w:val="ru-RU"/>
        </w:rPr>
        <w:t>-</w:t>
      </w:r>
      <w:r>
        <w:t>f</w:t>
      </w:r>
      <w:r w:rsidRPr="004B77F6">
        <w:rPr>
          <w:lang w:val="ru-RU"/>
        </w:rPr>
        <w:t>587</w:t>
      </w:r>
      <w:r>
        <w:t>ebf</w:t>
      </w:r>
      <w:r w:rsidRPr="004B77F6">
        <w:rPr>
          <w:lang w:val="ru-RU"/>
        </w:rPr>
        <w:t>75038</w:t>
      </w:r>
      <w:r w:rsidR="00D577E1">
        <w:rPr>
          <w:lang w:val="ru-RU"/>
        </w:rPr>
        <w:fldChar w:fldCharType="end"/>
      </w:r>
      <w:r w:rsidR="00032E0B">
        <w:rPr>
          <w:lang w:val="ru-RU"/>
        </w:rPr>
        <w:t>.</w:t>
      </w:r>
    </w:p>
  </w:footnote>
  <w:footnote w:id="240">
    <w:p w14:paraId="4B35FA23" w14:textId="35719096" w:rsidR="004B77F6" w:rsidRPr="00032E0B" w:rsidRDefault="004B77F6" w:rsidP="00A105CB">
      <w:pPr>
        <w:pStyle w:val="FootnoteText"/>
        <w:rPr>
          <w:lang w:val="ru-RU"/>
        </w:rPr>
      </w:pPr>
      <w:r>
        <w:rPr>
          <w:rStyle w:val="FootnoteReference"/>
        </w:rPr>
        <w:footnoteRef/>
      </w:r>
      <w:r w:rsidRPr="004B77F6">
        <w:rPr>
          <w:lang w:val="ru-RU"/>
        </w:rPr>
        <w:t xml:space="preserve"> </w:t>
      </w:r>
      <w:r w:rsidR="00D577E1">
        <w:fldChar w:fldCharType="begin"/>
      </w:r>
      <w:r w:rsidR="00D577E1" w:rsidRPr="00D577E1">
        <w:rPr>
          <w:lang w:val="ru-RU"/>
        </w:rPr>
        <w:instrText xml:space="preserve"> </w:instrText>
      </w:r>
      <w:r w:rsidR="00D577E1">
        <w:instrText>HYPERLINK</w:instrText>
      </w:r>
      <w:r w:rsidR="00D577E1" w:rsidRPr="00D577E1">
        <w:rPr>
          <w:lang w:val="ru-RU"/>
        </w:rPr>
        <w:instrText xml:space="preserve"> "</w:instrText>
      </w:r>
      <w:r w:rsidR="00D577E1">
        <w:instrText>https</w:instrText>
      </w:r>
      <w:r w:rsidR="00D577E1" w:rsidRPr="00D577E1">
        <w:rPr>
          <w:lang w:val="ru-RU"/>
        </w:rPr>
        <w:instrText>://</w:instrText>
      </w:r>
      <w:r w:rsidR="00D577E1">
        <w:instrText>www</w:instrText>
      </w:r>
      <w:r w:rsidR="00D577E1" w:rsidRPr="00D577E1">
        <w:rPr>
          <w:lang w:val="ru-RU"/>
        </w:rPr>
        <w:instrText>.</w:instrText>
      </w:r>
      <w:r w:rsidR="00D577E1">
        <w:instrText>imf</w:instrText>
      </w:r>
      <w:r w:rsidR="00D577E1" w:rsidRPr="00D577E1">
        <w:rPr>
          <w:lang w:val="ru-RU"/>
        </w:rPr>
        <w:instrText>.</w:instrText>
      </w:r>
      <w:r w:rsidR="00D577E1">
        <w:instrText>org</w:instrText>
      </w:r>
      <w:r w:rsidR="00D577E1" w:rsidRPr="00D577E1">
        <w:rPr>
          <w:lang w:val="ru-RU"/>
        </w:rPr>
        <w:instrText>/</w:instrText>
      </w:r>
      <w:r w:rsidR="00D577E1">
        <w:instrText>en</w:instrText>
      </w:r>
      <w:r w:rsidR="00D577E1" w:rsidRPr="00D577E1">
        <w:rPr>
          <w:lang w:val="ru-RU"/>
        </w:rPr>
        <w:instrText>/</w:instrText>
      </w:r>
      <w:r w:rsidR="00D577E1">
        <w:instrText>Capacity</w:instrText>
      </w:r>
      <w:r w:rsidR="00D577E1" w:rsidRPr="00D577E1">
        <w:rPr>
          <w:lang w:val="ru-RU"/>
        </w:rPr>
        <w:instrText>-</w:instrText>
      </w:r>
      <w:r w:rsidR="00D577E1">
        <w:instrText>Development</w:instrText>
      </w:r>
      <w:r w:rsidR="00D577E1" w:rsidRPr="00D577E1">
        <w:rPr>
          <w:lang w:val="ru-RU"/>
        </w:rPr>
        <w:instrText>/</w:instrText>
      </w:r>
      <w:r w:rsidR="00D577E1">
        <w:instrText>training</w:instrText>
      </w:r>
      <w:r w:rsidR="00D577E1" w:rsidRPr="00D577E1">
        <w:rPr>
          <w:lang w:val="ru-RU"/>
        </w:rPr>
        <w:instrText>/</w:instrText>
      </w:r>
      <w:r w:rsidR="00D577E1">
        <w:instrText>icdtc</w:instrText>
      </w:r>
      <w:r w:rsidR="00D577E1" w:rsidRPr="00D577E1">
        <w:rPr>
          <w:lang w:val="ru-RU"/>
        </w:rPr>
        <w:instrText xml:space="preserve">" </w:instrText>
      </w:r>
      <w:r w:rsidR="00D577E1">
        <w:fldChar w:fldCharType="separate"/>
      </w:r>
      <w:r>
        <w:t>https</w:t>
      </w:r>
      <w:r w:rsidRPr="004B77F6">
        <w:rPr>
          <w:lang w:val="ru-RU"/>
        </w:rPr>
        <w:t>://</w:t>
      </w:r>
      <w:r>
        <w:t>www</w:t>
      </w:r>
      <w:r w:rsidRPr="004B77F6">
        <w:rPr>
          <w:lang w:val="ru-RU"/>
        </w:rPr>
        <w:t>.</w:t>
      </w:r>
      <w:r>
        <w:t>imf</w:t>
      </w:r>
      <w:r w:rsidRPr="004B77F6">
        <w:rPr>
          <w:lang w:val="ru-RU"/>
        </w:rPr>
        <w:t>.</w:t>
      </w:r>
      <w:r>
        <w:t>org</w:t>
      </w:r>
      <w:r w:rsidRPr="004B77F6">
        <w:rPr>
          <w:lang w:val="ru-RU"/>
        </w:rPr>
        <w:t>/</w:t>
      </w:r>
      <w:r>
        <w:t>en</w:t>
      </w:r>
      <w:r w:rsidRPr="004B77F6">
        <w:rPr>
          <w:lang w:val="ru-RU"/>
        </w:rPr>
        <w:t>/</w:t>
      </w:r>
      <w:r>
        <w:t>Capacity</w:t>
      </w:r>
      <w:r w:rsidRPr="004B77F6">
        <w:rPr>
          <w:lang w:val="ru-RU"/>
        </w:rPr>
        <w:t>-</w:t>
      </w:r>
      <w:r>
        <w:t>Development</w:t>
      </w:r>
      <w:r w:rsidRPr="004B77F6">
        <w:rPr>
          <w:lang w:val="ru-RU"/>
        </w:rPr>
        <w:t>/</w:t>
      </w:r>
      <w:r>
        <w:t>training</w:t>
      </w:r>
      <w:r w:rsidRPr="004B77F6">
        <w:rPr>
          <w:lang w:val="ru-RU"/>
        </w:rPr>
        <w:t>/</w:t>
      </w:r>
      <w:r>
        <w:t>icdtc</w:t>
      </w:r>
      <w:r w:rsidR="00D577E1">
        <w:fldChar w:fldCharType="end"/>
      </w:r>
      <w:r w:rsidR="00032E0B">
        <w:rPr>
          <w:lang w:val="ru-RU"/>
        </w:rPr>
        <w:t>.</w:t>
      </w:r>
    </w:p>
  </w:footnote>
  <w:footnote w:id="241">
    <w:p w14:paraId="70C9ED40" w14:textId="4D1EE630" w:rsidR="004B77F6" w:rsidRPr="004B77F6" w:rsidRDefault="004B77F6" w:rsidP="00A105CB">
      <w:pPr>
        <w:pStyle w:val="FootnoteText"/>
        <w:rPr>
          <w:lang w:val="ru-RU"/>
        </w:rPr>
      </w:pPr>
      <w:r>
        <w:rPr>
          <w:rStyle w:val="FootnoteReference"/>
        </w:rPr>
        <w:footnoteRef/>
      </w:r>
      <w:r w:rsidRPr="004B77F6">
        <w:rPr>
          <w:lang w:val="ru-RU"/>
        </w:rPr>
        <w:t xml:space="preserve"> Поиск по фразе </w:t>
      </w:r>
      <w:r w:rsidR="006E72AD">
        <w:rPr>
          <w:lang w:val="ru-RU"/>
        </w:rPr>
        <w:t>"</w:t>
      </w:r>
      <w:r w:rsidRPr="004B77F6">
        <w:rPr>
          <w:lang w:val="ru-RU"/>
        </w:rPr>
        <w:t>цифровая политика</w:t>
      </w:r>
      <w:r w:rsidR="006E72AD">
        <w:rPr>
          <w:lang w:val="ru-RU"/>
        </w:rPr>
        <w:t>"</w:t>
      </w:r>
      <w:r w:rsidRPr="004B77F6">
        <w:rPr>
          <w:lang w:val="ru-RU"/>
        </w:rPr>
        <w:t xml:space="preserve"> дает 105 результатов; число 26 относится к </w:t>
      </w:r>
      <w:r w:rsidR="006E72AD">
        <w:rPr>
          <w:lang w:val="ru-RU"/>
        </w:rPr>
        <w:t>"</w:t>
      </w:r>
      <w:r w:rsidRPr="004B77F6">
        <w:rPr>
          <w:lang w:val="ru-RU"/>
        </w:rPr>
        <w:t>цифровому регулированию</w:t>
      </w:r>
      <w:r w:rsidR="006E72AD">
        <w:rPr>
          <w:lang w:val="ru-RU"/>
        </w:rPr>
        <w:t>"</w:t>
      </w:r>
      <w:r w:rsidR="00032E0B">
        <w:rPr>
          <w:lang w:val="ru-RU"/>
        </w:rPr>
        <w:t>.</w:t>
      </w:r>
    </w:p>
  </w:footnote>
  <w:footnote w:id="242">
    <w:p w14:paraId="0D9F969B" w14:textId="3F020FA4" w:rsidR="004B77F6" w:rsidRPr="00032E0B" w:rsidRDefault="004B77F6" w:rsidP="00A105CB">
      <w:pPr>
        <w:pStyle w:val="FootnoteText"/>
        <w:rPr>
          <w:lang w:val="ru-RU"/>
        </w:rPr>
      </w:pPr>
      <w:r>
        <w:rPr>
          <w:rStyle w:val="FootnoteReference"/>
        </w:rPr>
        <w:footnoteRef/>
      </w:r>
      <w:r w:rsidRPr="004B77F6">
        <w:rPr>
          <w:lang w:val="ru-RU"/>
        </w:rPr>
        <w:t xml:space="preserve"> </w:t>
      </w:r>
      <w:r w:rsidR="00D577E1">
        <w:fldChar w:fldCharType="begin"/>
      </w:r>
      <w:r w:rsidR="00D577E1" w:rsidRPr="00D577E1">
        <w:rPr>
          <w:lang w:val="ru-RU"/>
        </w:rPr>
        <w:instrText xml:space="preserve"> </w:instrText>
      </w:r>
      <w:r w:rsidR="00D577E1">
        <w:instrText>HYPERLINK</w:instrText>
      </w:r>
      <w:r w:rsidR="00D577E1" w:rsidRPr="00D577E1">
        <w:rPr>
          <w:lang w:val="ru-RU"/>
        </w:rPr>
        <w:instrText xml:space="preserve"> "</w:instrText>
      </w:r>
      <w:r w:rsidR="00D577E1">
        <w:instrText>https</w:instrText>
      </w:r>
      <w:r w:rsidR="00D577E1" w:rsidRPr="00D577E1">
        <w:rPr>
          <w:lang w:val="ru-RU"/>
        </w:rPr>
        <w:instrText>://</w:instrText>
      </w:r>
      <w:r w:rsidR="00D577E1">
        <w:instrText>www</w:instrText>
      </w:r>
      <w:r w:rsidR="00D577E1" w:rsidRPr="00D577E1">
        <w:rPr>
          <w:lang w:val="ru-RU"/>
        </w:rPr>
        <w:instrText>.</w:instrText>
      </w:r>
      <w:r w:rsidR="00D577E1">
        <w:instrText>imo</w:instrText>
      </w:r>
      <w:r w:rsidR="00D577E1" w:rsidRPr="00D577E1">
        <w:rPr>
          <w:lang w:val="ru-RU"/>
        </w:rPr>
        <w:instrText>.</w:instrText>
      </w:r>
      <w:r w:rsidR="00D577E1">
        <w:instrText>org</w:instrText>
      </w:r>
      <w:r w:rsidR="00D577E1" w:rsidRPr="00D577E1">
        <w:rPr>
          <w:lang w:val="ru-RU"/>
        </w:rPr>
        <w:instrText>/</w:instrText>
      </w:r>
      <w:r w:rsidR="00D577E1">
        <w:instrText>en</w:instrText>
      </w:r>
      <w:r w:rsidR="00D577E1" w:rsidRPr="00D577E1">
        <w:rPr>
          <w:lang w:val="ru-RU"/>
        </w:rPr>
        <w:instrText xml:space="preserve">" </w:instrText>
      </w:r>
      <w:r w:rsidR="00D577E1">
        <w:fldChar w:fldCharType="separate"/>
      </w:r>
      <w:r>
        <w:t>https</w:t>
      </w:r>
      <w:r w:rsidRPr="004B77F6">
        <w:rPr>
          <w:lang w:val="ru-RU"/>
        </w:rPr>
        <w:t>://</w:t>
      </w:r>
      <w:r>
        <w:t>www</w:t>
      </w:r>
      <w:r w:rsidRPr="004B77F6">
        <w:rPr>
          <w:lang w:val="ru-RU"/>
        </w:rPr>
        <w:t>.</w:t>
      </w:r>
      <w:r>
        <w:t>imo</w:t>
      </w:r>
      <w:r w:rsidRPr="004B77F6">
        <w:rPr>
          <w:lang w:val="ru-RU"/>
        </w:rPr>
        <w:t>.</w:t>
      </w:r>
      <w:r>
        <w:t>org</w:t>
      </w:r>
      <w:r w:rsidRPr="004B77F6">
        <w:rPr>
          <w:lang w:val="ru-RU"/>
        </w:rPr>
        <w:t>/</w:t>
      </w:r>
      <w:r>
        <w:t>en</w:t>
      </w:r>
      <w:r w:rsidR="00D577E1">
        <w:fldChar w:fldCharType="end"/>
      </w:r>
      <w:r w:rsidR="00032E0B">
        <w:rPr>
          <w:lang w:val="ru-RU"/>
        </w:rPr>
        <w:t>.</w:t>
      </w:r>
    </w:p>
  </w:footnote>
  <w:footnote w:id="243">
    <w:p w14:paraId="3E617095" w14:textId="77777777" w:rsidR="004B77F6" w:rsidRPr="004B77F6" w:rsidRDefault="004B77F6" w:rsidP="00A105CB">
      <w:pPr>
        <w:pStyle w:val="FootnoteText"/>
        <w:rPr>
          <w:lang w:val="ru-RU"/>
        </w:rPr>
      </w:pPr>
      <w:r>
        <w:rPr>
          <w:rStyle w:val="FootnoteReference"/>
        </w:rPr>
        <w:footnoteRef/>
      </w:r>
      <w:r w:rsidRPr="004B77F6">
        <w:rPr>
          <w:lang w:val="ru-RU"/>
        </w:rPr>
        <w:t xml:space="preserve"> См., например, </w:t>
      </w:r>
      <w:r w:rsidR="00D577E1">
        <w:fldChar w:fldCharType="begin"/>
      </w:r>
      <w:r w:rsidR="00D577E1" w:rsidRPr="00D577E1">
        <w:rPr>
          <w:lang w:val="ru-RU"/>
        </w:rPr>
        <w:instrText xml:space="preserve"> </w:instrText>
      </w:r>
      <w:r w:rsidR="00D577E1">
        <w:instrText>HYPERLINK</w:instrText>
      </w:r>
      <w:r w:rsidR="00D577E1" w:rsidRPr="00D577E1">
        <w:rPr>
          <w:lang w:val="ru-RU"/>
        </w:rPr>
        <w:instrText xml:space="preserve"> "</w:instrText>
      </w:r>
      <w:r w:rsidR="00D577E1">
        <w:instrText>https</w:instrText>
      </w:r>
      <w:r w:rsidR="00D577E1" w:rsidRPr="00D577E1">
        <w:rPr>
          <w:lang w:val="ru-RU"/>
        </w:rPr>
        <w:instrText>://</w:instrText>
      </w:r>
      <w:r w:rsidR="00D577E1">
        <w:instrText>www</w:instrText>
      </w:r>
      <w:r w:rsidR="00D577E1" w:rsidRPr="00D577E1">
        <w:rPr>
          <w:lang w:val="ru-RU"/>
        </w:rPr>
        <w:instrText>.</w:instrText>
      </w:r>
      <w:r w:rsidR="00D577E1">
        <w:instrText>unescap</w:instrText>
      </w:r>
      <w:r w:rsidR="00D577E1" w:rsidRPr="00D577E1">
        <w:rPr>
          <w:lang w:val="ru-RU"/>
        </w:rPr>
        <w:instrText>.</w:instrText>
      </w:r>
      <w:r w:rsidR="00D577E1">
        <w:instrText>org</w:instrText>
      </w:r>
      <w:r w:rsidR="00D577E1" w:rsidRPr="00D577E1">
        <w:rPr>
          <w:lang w:val="ru-RU"/>
        </w:rPr>
        <w:instrText>/</w:instrText>
      </w:r>
      <w:r w:rsidR="00D577E1">
        <w:instrText>sites</w:instrText>
      </w:r>
      <w:r w:rsidR="00D577E1" w:rsidRPr="00D577E1">
        <w:rPr>
          <w:lang w:val="ru-RU"/>
        </w:rPr>
        <w:instrText>/</w:instrText>
      </w:r>
      <w:r w:rsidR="00D577E1">
        <w:instrText>default</w:instrText>
      </w:r>
      <w:r w:rsidR="00D577E1" w:rsidRPr="00D577E1">
        <w:rPr>
          <w:lang w:val="ru-RU"/>
        </w:rPr>
        <w:instrText>/</w:instrText>
      </w:r>
      <w:r w:rsidR="00D577E1">
        <w:instrText>files</w:instrText>
      </w:r>
      <w:r w:rsidR="00D577E1" w:rsidRPr="00D577E1">
        <w:rPr>
          <w:lang w:val="ru-RU"/>
        </w:rPr>
        <w:instrText>/</w:instrText>
      </w:r>
      <w:r w:rsidR="00D577E1">
        <w:instrText>Mr</w:instrText>
      </w:r>
      <w:r w:rsidR="00D577E1" w:rsidRPr="00D577E1">
        <w:rPr>
          <w:lang w:val="ru-RU"/>
        </w:rPr>
        <w:instrText>.%20</w:instrText>
      </w:r>
      <w:r w:rsidR="00D577E1">
        <w:instrText>Bokyun</w:instrText>
      </w:r>
      <w:r w:rsidR="00D577E1" w:rsidRPr="00D577E1">
        <w:rPr>
          <w:lang w:val="ru-RU"/>
        </w:rPr>
        <w:instrText>%20</w:instrText>
      </w:r>
      <w:r w:rsidR="00D577E1">
        <w:instrText>Shim</w:instrText>
      </w:r>
      <w:r w:rsidR="00D577E1" w:rsidRPr="00D577E1">
        <w:rPr>
          <w:lang w:val="ru-RU"/>
        </w:rPr>
        <w:instrText>,%20</w:instrText>
      </w:r>
      <w:r w:rsidR="00D577E1">
        <w:instrText>United</w:instrText>
      </w:r>
      <w:r w:rsidR="00D577E1" w:rsidRPr="00D577E1">
        <w:rPr>
          <w:lang w:val="ru-RU"/>
        </w:rPr>
        <w:instrText>%20</w:instrText>
      </w:r>
      <w:r w:rsidR="00D577E1">
        <w:instrText>Nations</w:instrText>
      </w:r>
      <w:r w:rsidR="00D577E1" w:rsidRPr="00D577E1">
        <w:rPr>
          <w:lang w:val="ru-RU"/>
        </w:rPr>
        <w:instrText>%20</w:instrText>
      </w:r>
      <w:r w:rsidR="00D577E1">
        <w:instrText>Project</w:instrText>
      </w:r>
      <w:r w:rsidR="00D577E1" w:rsidRPr="00D577E1">
        <w:rPr>
          <w:lang w:val="ru-RU"/>
        </w:rPr>
        <w:instrText>%20</w:instrText>
      </w:r>
      <w:r w:rsidR="00D577E1">
        <w:instrText>Office</w:instrText>
      </w:r>
      <w:r w:rsidR="00D577E1" w:rsidRPr="00D577E1">
        <w:rPr>
          <w:lang w:val="ru-RU"/>
        </w:rPr>
        <w:instrText>%20</w:instrText>
      </w:r>
      <w:r w:rsidR="00D577E1">
        <w:instrText>on</w:instrText>
      </w:r>
      <w:r w:rsidR="00D577E1" w:rsidRPr="00D577E1">
        <w:rPr>
          <w:lang w:val="ru-RU"/>
        </w:rPr>
        <w:instrText>%20</w:instrText>
      </w:r>
      <w:r w:rsidR="00D577E1">
        <w:instrText>Governance</w:instrText>
      </w:r>
      <w:r w:rsidR="00D577E1" w:rsidRPr="00D577E1">
        <w:rPr>
          <w:lang w:val="ru-RU"/>
        </w:rPr>
        <w:instrText>.</w:instrText>
      </w:r>
      <w:r w:rsidR="00D577E1">
        <w:instrText>pdf</w:instrText>
      </w:r>
      <w:r w:rsidR="00D577E1" w:rsidRPr="00D577E1">
        <w:rPr>
          <w:lang w:val="ru-RU"/>
        </w:rPr>
        <w:instrText xml:space="preserve">" </w:instrText>
      </w:r>
      <w:r w:rsidR="00D577E1">
        <w:fldChar w:fldCharType="separate"/>
      </w:r>
      <w:r>
        <w:rPr>
          <w:rStyle w:val="Hyperlink"/>
        </w:rPr>
        <w:t>https</w:t>
      </w:r>
      <w:r w:rsidRPr="004B77F6">
        <w:rPr>
          <w:rStyle w:val="Hyperlink"/>
          <w:lang w:val="ru-RU"/>
        </w:rPr>
        <w:t>://</w:t>
      </w:r>
      <w:r>
        <w:rPr>
          <w:rStyle w:val="Hyperlink"/>
        </w:rPr>
        <w:t>www</w:t>
      </w:r>
      <w:r w:rsidRPr="004B77F6">
        <w:rPr>
          <w:rStyle w:val="Hyperlink"/>
          <w:lang w:val="ru-RU"/>
        </w:rPr>
        <w:t>.</w:t>
      </w:r>
      <w:r>
        <w:rPr>
          <w:rStyle w:val="Hyperlink"/>
        </w:rPr>
        <w:t>unescap</w:t>
      </w:r>
      <w:r w:rsidRPr="004B77F6">
        <w:rPr>
          <w:rStyle w:val="Hyperlink"/>
          <w:lang w:val="ru-RU"/>
        </w:rPr>
        <w:t>.</w:t>
      </w:r>
      <w:r>
        <w:rPr>
          <w:rStyle w:val="Hyperlink"/>
        </w:rPr>
        <w:t>org</w:t>
      </w:r>
      <w:r w:rsidRPr="004B77F6">
        <w:rPr>
          <w:rStyle w:val="Hyperlink"/>
          <w:lang w:val="ru-RU"/>
        </w:rPr>
        <w:t>/</w:t>
      </w:r>
      <w:r>
        <w:rPr>
          <w:rStyle w:val="Hyperlink"/>
        </w:rPr>
        <w:t>sites</w:t>
      </w:r>
      <w:r w:rsidRPr="004B77F6">
        <w:rPr>
          <w:rStyle w:val="Hyperlink"/>
          <w:lang w:val="ru-RU"/>
        </w:rPr>
        <w:t>/</w:t>
      </w:r>
      <w:r>
        <w:rPr>
          <w:rStyle w:val="Hyperlink"/>
        </w:rPr>
        <w:t>default</w:t>
      </w:r>
      <w:r w:rsidRPr="004B77F6">
        <w:rPr>
          <w:rStyle w:val="Hyperlink"/>
          <w:lang w:val="ru-RU"/>
        </w:rPr>
        <w:t>/</w:t>
      </w:r>
      <w:r>
        <w:rPr>
          <w:rStyle w:val="Hyperlink"/>
        </w:rPr>
        <w:t>files</w:t>
      </w:r>
      <w:r w:rsidRPr="004B77F6">
        <w:rPr>
          <w:rStyle w:val="Hyperlink"/>
          <w:lang w:val="ru-RU"/>
        </w:rPr>
        <w:t>/</w:t>
      </w:r>
      <w:r>
        <w:rPr>
          <w:rStyle w:val="Hyperlink"/>
        </w:rPr>
        <w:t>Mr</w:t>
      </w:r>
      <w:r w:rsidRPr="004B77F6">
        <w:rPr>
          <w:rStyle w:val="Hyperlink"/>
          <w:lang w:val="ru-RU"/>
        </w:rPr>
        <w:t>.%20</w:t>
      </w:r>
      <w:r>
        <w:rPr>
          <w:rStyle w:val="Hyperlink"/>
        </w:rPr>
        <w:t>Bokyun</w:t>
      </w:r>
      <w:r w:rsidRPr="004B77F6">
        <w:rPr>
          <w:rStyle w:val="Hyperlink"/>
          <w:lang w:val="ru-RU"/>
        </w:rPr>
        <w:t>%20</w:t>
      </w:r>
      <w:r>
        <w:rPr>
          <w:rStyle w:val="Hyperlink"/>
        </w:rPr>
        <w:t>Shim</w:t>
      </w:r>
      <w:r w:rsidRPr="004B77F6">
        <w:rPr>
          <w:rStyle w:val="Hyperlink"/>
          <w:lang w:val="ru-RU"/>
        </w:rPr>
        <w:t>%2</w:t>
      </w:r>
      <w:r>
        <w:rPr>
          <w:rStyle w:val="Hyperlink"/>
        </w:rPr>
        <w:t>C</w:t>
      </w:r>
      <w:r w:rsidRPr="004B77F6">
        <w:rPr>
          <w:rStyle w:val="Hyperlink"/>
          <w:lang w:val="ru-RU"/>
        </w:rPr>
        <w:t>%20</w:t>
      </w:r>
      <w:r>
        <w:rPr>
          <w:rStyle w:val="Hyperlink"/>
        </w:rPr>
        <w:t>United</w:t>
      </w:r>
      <w:r w:rsidRPr="004B77F6">
        <w:rPr>
          <w:rStyle w:val="Hyperlink"/>
          <w:lang w:val="ru-RU"/>
        </w:rPr>
        <w:t>%20</w:t>
      </w:r>
      <w:r>
        <w:rPr>
          <w:rStyle w:val="Hyperlink"/>
        </w:rPr>
        <w:t>Nations</w:t>
      </w:r>
      <w:r w:rsidRPr="004B77F6">
        <w:rPr>
          <w:rStyle w:val="Hyperlink"/>
          <w:lang w:val="ru-RU"/>
        </w:rPr>
        <w:t>%20</w:t>
      </w:r>
      <w:r>
        <w:rPr>
          <w:rStyle w:val="Hyperlink"/>
        </w:rPr>
        <w:t>Project</w:t>
      </w:r>
      <w:r w:rsidRPr="004B77F6">
        <w:rPr>
          <w:rStyle w:val="Hyperlink"/>
          <w:lang w:val="ru-RU"/>
        </w:rPr>
        <w:t>%20</w:t>
      </w:r>
      <w:r>
        <w:rPr>
          <w:rStyle w:val="Hyperlink"/>
        </w:rPr>
        <w:t>Office</w:t>
      </w:r>
      <w:r w:rsidRPr="004B77F6">
        <w:rPr>
          <w:rStyle w:val="Hyperlink"/>
          <w:lang w:val="ru-RU"/>
        </w:rPr>
        <w:t>%20</w:t>
      </w:r>
      <w:r>
        <w:rPr>
          <w:rStyle w:val="Hyperlink"/>
        </w:rPr>
        <w:t>on</w:t>
      </w:r>
      <w:r w:rsidRPr="004B77F6">
        <w:rPr>
          <w:rStyle w:val="Hyperlink"/>
          <w:lang w:val="ru-RU"/>
        </w:rPr>
        <w:t>%20</w:t>
      </w:r>
      <w:r>
        <w:rPr>
          <w:rStyle w:val="Hyperlink"/>
        </w:rPr>
        <w:t>Governance</w:t>
      </w:r>
      <w:r w:rsidRPr="004B77F6">
        <w:rPr>
          <w:rStyle w:val="Hyperlink"/>
          <w:lang w:val="ru-RU"/>
        </w:rPr>
        <w:t>.</w:t>
      </w:r>
      <w:r>
        <w:rPr>
          <w:rStyle w:val="Hyperlink"/>
        </w:rPr>
        <w:t>pdf</w:t>
      </w:r>
      <w:r w:rsidR="00D577E1">
        <w:rPr>
          <w:rStyle w:val="Hyperlink"/>
        </w:rPr>
        <w:fldChar w:fldCharType="end"/>
      </w:r>
      <w:r w:rsidRPr="004B77F6">
        <w:rPr>
          <w:lang w:val="ru-RU"/>
        </w:rPr>
        <w:t xml:space="preserve"> </w:t>
      </w:r>
    </w:p>
  </w:footnote>
  <w:footnote w:id="244">
    <w:p w14:paraId="3B28C76A" w14:textId="06A50155" w:rsidR="004B77F6" w:rsidRPr="004B77F6" w:rsidRDefault="004B77F6" w:rsidP="00A105CB">
      <w:pPr>
        <w:pStyle w:val="FootnoteText"/>
        <w:rPr>
          <w:lang w:val="ru-RU"/>
        </w:rPr>
      </w:pPr>
      <w:r>
        <w:rPr>
          <w:rStyle w:val="FootnoteReference"/>
        </w:rPr>
        <w:footnoteRef/>
      </w:r>
      <w:r w:rsidRPr="004B77F6">
        <w:rPr>
          <w:lang w:val="ru-RU"/>
        </w:rPr>
        <w:t xml:space="preserve"> Информацию о политике на региональном/национальном уровне см. на </w:t>
      </w:r>
      <w:r w:rsidR="00D577E1">
        <w:fldChar w:fldCharType="begin"/>
      </w:r>
      <w:r w:rsidR="00D577E1" w:rsidRPr="00D577E1">
        <w:rPr>
          <w:lang w:val="ru-RU"/>
        </w:rPr>
        <w:instrText xml:space="preserve"> </w:instrText>
      </w:r>
      <w:r w:rsidR="00D577E1">
        <w:instrText>HYPERLINK</w:instrText>
      </w:r>
      <w:r w:rsidR="00D577E1" w:rsidRPr="00D577E1">
        <w:rPr>
          <w:lang w:val="ru-RU"/>
        </w:rPr>
        <w:instrText xml:space="preserve"> "</w:instrText>
      </w:r>
      <w:r w:rsidR="00D577E1">
        <w:instrText>https</w:instrText>
      </w:r>
      <w:r w:rsidR="00D577E1" w:rsidRPr="00D577E1">
        <w:rPr>
          <w:lang w:val="ru-RU"/>
        </w:rPr>
        <w:instrText>://</w:instrText>
      </w:r>
      <w:r w:rsidR="00D577E1">
        <w:instrText>www</w:instrText>
      </w:r>
      <w:r w:rsidR="00D577E1" w:rsidRPr="00D577E1">
        <w:rPr>
          <w:lang w:val="ru-RU"/>
        </w:rPr>
        <w:instrText>.</w:instrText>
      </w:r>
      <w:r w:rsidR="00D577E1">
        <w:instrText>unhcr</w:instrText>
      </w:r>
      <w:r w:rsidR="00D577E1" w:rsidRPr="00D577E1">
        <w:rPr>
          <w:lang w:val="ru-RU"/>
        </w:rPr>
        <w:instrText>.</w:instrText>
      </w:r>
      <w:r w:rsidR="00D577E1">
        <w:instrText>org</w:instrText>
      </w:r>
      <w:r w:rsidR="00D577E1" w:rsidRPr="00D577E1">
        <w:rPr>
          <w:lang w:val="ru-RU"/>
        </w:rPr>
        <w:instrText>/</w:instrText>
      </w:r>
      <w:r w:rsidR="00D577E1">
        <w:instrText>ceu</w:instrText>
      </w:r>
      <w:r w:rsidR="00D577E1" w:rsidRPr="00D577E1">
        <w:rPr>
          <w:lang w:val="ru-RU"/>
        </w:rPr>
        <w:instrText>/118-</w:instrText>
      </w:r>
      <w:r w:rsidR="00D577E1">
        <w:instrText>enwhat</w:instrText>
      </w:r>
      <w:r w:rsidR="00D577E1" w:rsidRPr="00D577E1">
        <w:rPr>
          <w:lang w:val="ru-RU"/>
        </w:rPr>
        <w:instrText>-</w:instrText>
      </w:r>
      <w:r w:rsidR="00D577E1">
        <w:instrText>we</w:instrText>
      </w:r>
      <w:r w:rsidR="00D577E1" w:rsidRPr="00D577E1">
        <w:rPr>
          <w:lang w:val="ru-RU"/>
        </w:rPr>
        <w:instrText>-</w:instrText>
      </w:r>
      <w:r w:rsidR="00D577E1">
        <w:instrText>dohow</w:instrText>
      </w:r>
      <w:r w:rsidR="00D577E1" w:rsidRPr="00D577E1">
        <w:rPr>
          <w:lang w:val="ru-RU"/>
        </w:rPr>
        <w:instrText>-</w:instrText>
      </w:r>
      <w:r w:rsidR="00D577E1">
        <w:instrText>unhcr</w:instrText>
      </w:r>
      <w:r w:rsidR="00D577E1" w:rsidRPr="00D577E1">
        <w:rPr>
          <w:lang w:val="ru-RU"/>
        </w:rPr>
        <w:instrText>-</w:instrText>
      </w:r>
      <w:r w:rsidR="00D577E1">
        <w:instrText>operatespartnerships</w:instrText>
      </w:r>
      <w:r w:rsidR="00D577E1" w:rsidRPr="00D577E1">
        <w:rPr>
          <w:lang w:val="ru-RU"/>
        </w:rPr>
        <w:instrText>-</w:instrText>
      </w:r>
      <w:r w:rsidR="00D577E1">
        <w:instrText>and</w:instrText>
      </w:r>
      <w:r w:rsidR="00D577E1" w:rsidRPr="00D577E1">
        <w:rPr>
          <w:lang w:val="ru-RU"/>
        </w:rPr>
        <w:instrText>-</w:instrText>
      </w:r>
      <w:r w:rsidR="00D577E1">
        <w:instrText>capacity</w:instrText>
      </w:r>
      <w:r w:rsidR="00D577E1" w:rsidRPr="00D577E1">
        <w:rPr>
          <w:lang w:val="ru-RU"/>
        </w:rPr>
        <w:instrText>-</w:instrText>
      </w:r>
      <w:r w:rsidR="00D577E1">
        <w:instrText>building</w:instrText>
      </w:r>
      <w:r w:rsidR="00D577E1" w:rsidRPr="00D577E1">
        <w:rPr>
          <w:lang w:val="ru-RU"/>
        </w:rPr>
        <w:instrText>-</w:instrText>
      </w:r>
      <w:r w:rsidR="00D577E1">
        <w:instrText>html</w:instrText>
      </w:r>
      <w:r w:rsidR="00D577E1" w:rsidRPr="00D577E1">
        <w:rPr>
          <w:lang w:val="ru-RU"/>
        </w:rPr>
        <w:instrText>.</w:instrText>
      </w:r>
      <w:r w:rsidR="00D577E1">
        <w:instrText>html</w:instrText>
      </w:r>
      <w:r w:rsidR="00D577E1" w:rsidRPr="00D577E1">
        <w:rPr>
          <w:lang w:val="ru-RU"/>
        </w:rPr>
        <w:instrText xml:space="preserve">" </w:instrText>
      </w:r>
      <w:r w:rsidR="00D577E1">
        <w:fldChar w:fldCharType="separate"/>
      </w:r>
      <w:r>
        <w:rPr>
          <w:rStyle w:val="Hyperlink"/>
        </w:rPr>
        <w:t>https</w:t>
      </w:r>
      <w:r w:rsidRPr="004B77F6">
        <w:rPr>
          <w:rStyle w:val="Hyperlink"/>
          <w:lang w:val="ru-RU"/>
        </w:rPr>
        <w:t>://</w:t>
      </w:r>
      <w:r>
        <w:rPr>
          <w:rStyle w:val="Hyperlink"/>
        </w:rPr>
        <w:t>www</w:t>
      </w:r>
      <w:r w:rsidRPr="004B77F6">
        <w:rPr>
          <w:rStyle w:val="Hyperlink"/>
          <w:lang w:val="ru-RU"/>
        </w:rPr>
        <w:t>.</w:t>
      </w:r>
      <w:r>
        <w:rPr>
          <w:rStyle w:val="Hyperlink"/>
        </w:rPr>
        <w:t>unhcr</w:t>
      </w:r>
      <w:r w:rsidRPr="004B77F6">
        <w:rPr>
          <w:rStyle w:val="Hyperlink"/>
          <w:lang w:val="ru-RU"/>
        </w:rPr>
        <w:t>.</w:t>
      </w:r>
      <w:r>
        <w:rPr>
          <w:rStyle w:val="Hyperlink"/>
        </w:rPr>
        <w:t>org</w:t>
      </w:r>
      <w:r w:rsidRPr="004B77F6">
        <w:rPr>
          <w:rStyle w:val="Hyperlink"/>
          <w:lang w:val="ru-RU"/>
        </w:rPr>
        <w:t>/</w:t>
      </w:r>
      <w:r>
        <w:rPr>
          <w:rStyle w:val="Hyperlink"/>
        </w:rPr>
        <w:t>ceu</w:t>
      </w:r>
      <w:r w:rsidRPr="004B77F6">
        <w:rPr>
          <w:rStyle w:val="Hyperlink"/>
          <w:lang w:val="ru-RU"/>
        </w:rPr>
        <w:t>/118-</w:t>
      </w:r>
      <w:r>
        <w:rPr>
          <w:rStyle w:val="Hyperlink"/>
        </w:rPr>
        <w:t>enwhat</w:t>
      </w:r>
      <w:r w:rsidRPr="004B77F6">
        <w:rPr>
          <w:rStyle w:val="Hyperlink"/>
          <w:lang w:val="ru-RU"/>
        </w:rPr>
        <w:t>-</w:t>
      </w:r>
      <w:r>
        <w:rPr>
          <w:rStyle w:val="Hyperlink"/>
        </w:rPr>
        <w:t>we</w:t>
      </w:r>
      <w:r w:rsidRPr="004B77F6">
        <w:rPr>
          <w:rStyle w:val="Hyperlink"/>
          <w:lang w:val="ru-RU"/>
        </w:rPr>
        <w:t>-</w:t>
      </w:r>
      <w:r>
        <w:rPr>
          <w:rStyle w:val="Hyperlink"/>
        </w:rPr>
        <w:t>dohow</w:t>
      </w:r>
      <w:r w:rsidRPr="004B77F6">
        <w:rPr>
          <w:rStyle w:val="Hyperlink"/>
          <w:lang w:val="ru-RU"/>
        </w:rPr>
        <w:t>-</w:t>
      </w:r>
      <w:r>
        <w:rPr>
          <w:rStyle w:val="Hyperlink"/>
        </w:rPr>
        <w:t>unhcr</w:t>
      </w:r>
      <w:r w:rsidRPr="004B77F6">
        <w:rPr>
          <w:rStyle w:val="Hyperlink"/>
          <w:lang w:val="ru-RU"/>
        </w:rPr>
        <w:t>-</w:t>
      </w:r>
      <w:r>
        <w:rPr>
          <w:rStyle w:val="Hyperlink"/>
        </w:rPr>
        <w:t>operatespartnerships</w:t>
      </w:r>
      <w:r w:rsidRPr="004B77F6">
        <w:rPr>
          <w:rStyle w:val="Hyperlink"/>
          <w:lang w:val="ru-RU"/>
        </w:rPr>
        <w:t>-</w:t>
      </w:r>
      <w:r>
        <w:rPr>
          <w:rStyle w:val="Hyperlink"/>
        </w:rPr>
        <w:t>and</w:t>
      </w:r>
      <w:r w:rsidRPr="004B77F6">
        <w:rPr>
          <w:rStyle w:val="Hyperlink"/>
          <w:lang w:val="ru-RU"/>
        </w:rPr>
        <w:t>-</w:t>
      </w:r>
      <w:r>
        <w:rPr>
          <w:rStyle w:val="Hyperlink"/>
        </w:rPr>
        <w:t>capacity</w:t>
      </w:r>
      <w:r w:rsidRPr="004B77F6">
        <w:rPr>
          <w:rStyle w:val="Hyperlink"/>
          <w:lang w:val="ru-RU"/>
        </w:rPr>
        <w:t>-</w:t>
      </w:r>
      <w:r>
        <w:rPr>
          <w:rStyle w:val="Hyperlink"/>
        </w:rPr>
        <w:t>building</w:t>
      </w:r>
      <w:r w:rsidRPr="004B77F6">
        <w:rPr>
          <w:rStyle w:val="Hyperlink"/>
          <w:lang w:val="ru-RU"/>
        </w:rPr>
        <w:t>-</w:t>
      </w:r>
      <w:r>
        <w:rPr>
          <w:rStyle w:val="Hyperlink"/>
        </w:rPr>
        <w:t>html</w:t>
      </w:r>
      <w:r w:rsidRPr="004B77F6">
        <w:rPr>
          <w:rStyle w:val="Hyperlink"/>
          <w:lang w:val="ru-RU"/>
        </w:rPr>
        <w:t>.</w:t>
      </w:r>
      <w:r>
        <w:rPr>
          <w:rStyle w:val="Hyperlink"/>
        </w:rPr>
        <w:t>html</w:t>
      </w:r>
      <w:r w:rsidR="00D577E1">
        <w:rPr>
          <w:rStyle w:val="Hyperlink"/>
        </w:rPr>
        <w:fldChar w:fldCharType="end"/>
      </w:r>
      <w:r w:rsidRPr="004B77F6">
        <w:rPr>
          <w:lang w:val="ru-RU"/>
        </w:rPr>
        <w:t xml:space="preserve"> и </w:t>
      </w:r>
      <w:hyperlink r:id="rId58" w:history="1">
        <w:r>
          <w:rPr>
            <w:rStyle w:val="Hyperlink"/>
          </w:rPr>
          <w:t>https</w:t>
        </w:r>
        <w:r w:rsidRPr="004B77F6">
          <w:rPr>
            <w:rStyle w:val="Hyperlink"/>
            <w:lang w:val="ru-RU"/>
          </w:rPr>
          <w:t>://</w:t>
        </w:r>
        <w:r>
          <w:rPr>
            <w:rStyle w:val="Hyperlink"/>
          </w:rPr>
          <w:t>www</w:t>
        </w:r>
        <w:r w:rsidRPr="004B77F6">
          <w:rPr>
            <w:rStyle w:val="Hyperlink"/>
            <w:lang w:val="ru-RU"/>
          </w:rPr>
          <w:t>.</w:t>
        </w:r>
        <w:r>
          <w:rPr>
            <w:rStyle w:val="Hyperlink"/>
          </w:rPr>
          <w:t>unhcr</w:t>
        </w:r>
        <w:r w:rsidRPr="004B77F6">
          <w:rPr>
            <w:rStyle w:val="Hyperlink"/>
            <w:lang w:val="ru-RU"/>
          </w:rPr>
          <w:t>.</w:t>
        </w:r>
        <w:r>
          <w:rPr>
            <w:rStyle w:val="Hyperlink"/>
          </w:rPr>
          <w:t>org</w:t>
        </w:r>
        <w:r w:rsidRPr="004B77F6">
          <w:rPr>
            <w:rStyle w:val="Hyperlink"/>
            <w:lang w:val="ru-RU"/>
          </w:rPr>
          <w:t>/</w:t>
        </w:r>
        <w:r>
          <w:rPr>
            <w:rStyle w:val="Hyperlink"/>
          </w:rPr>
          <w:t>id</w:t>
        </w:r>
        <w:r w:rsidRPr="004B77F6">
          <w:rPr>
            <w:rStyle w:val="Hyperlink"/>
            <w:lang w:val="ru-RU"/>
          </w:rPr>
          <w:t>/</w:t>
        </w:r>
        <w:r>
          <w:rPr>
            <w:rStyle w:val="Hyperlink"/>
          </w:rPr>
          <w:t>en</w:t>
        </w:r>
        <w:r w:rsidRPr="004B77F6">
          <w:rPr>
            <w:rStyle w:val="Hyperlink"/>
            <w:lang w:val="ru-RU"/>
          </w:rPr>
          <w:t>/</w:t>
        </w:r>
        <w:r>
          <w:rPr>
            <w:rStyle w:val="Hyperlink"/>
          </w:rPr>
          <w:t>government</w:t>
        </w:r>
        <w:r w:rsidRPr="004B77F6">
          <w:rPr>
            <w:rStyle w:val="Hyperlink"/>
            <w:lang w:val="ru-RU"/>
          </w:rPr>
          <w:t>-</w:t>
        </w:r>
        <w:r>
          <w:rPr>
            <w:rStyle w:val="Hyperlink"/>
          </w:rPr>
          <w:t>relations</w:t>
        </w:r>
        <w:r w:rsidRPr="004B77F6">
          <w:rPr>
            <w:rStyle w:val="Hyperlink"/>
            <w:lang w:val="ru-RU"/>
          </w:rPr>
          <w:t>-</w:t>
        </w:r>
        <w:r>
          <w:rPr>
            <w:rStyle w:val="Hyperlink"/>
          </w:rPr>
          <w:t>and</w:t>
        </w:r>
        <w:r w:rsidRPr="004B77F6">
          <w:rPr>
            <w:rStyle w:val="Hyperlink"/>
            <w:lang w:val="ru-RU"/>
          </w:rPr>
          <w:t>-</w:t>
        </w:r>
        <w:r>
          <w:rPr>
            <w:rStyle w:val="Hyperlink"/>
          </w:rPr>
          <w:t>capacity</w:t>
        </w:r>
        <w:r w:rsidRPr="004B77F6">
          <w:rPr>
            <w:rStyle w:val="Hyperlink"/>
            <w:lang w:val="ru-RU"/>
          </w:rPr>
          <w:t>-</w:t>
        </w:r>
        <w:r>
          <w:rPr>
            <w:rStyle w:val="Hyperlink"/>
          </w:rPr>
          <w:t>building</w:t>
        </w:r>
      </w:hyperlink>
      <w:r w:rsidRPr="004B77F6">
        <w:rPr>
          <w:lang w:val="ru-RU"/>
        </w:rPr>
        <w:t>. УВКБ ООН выпустило большое количество учебных пособий, особенно по защите беженцев.</w:t>
      </w:r>
      <w:r w:rsidR="00A579EF">
        <w:rPr>
          <w:lang w:val="ru-RU"/>
        </w:rPr>
        <w:t xml:space="preserve"> </w:t>
      </w:r>
      <w:r w:rsidRPr="004B77F6">
        <w:rPr>
          <w:lang w:val="ru-RU"/>
        </w:rPr>
        <w:t xml:space="preserve">См. также </w:t>
      </w:r>
      <w:hyperlink r:id="rId59" w:history="1">
        <w:r>
          <w:rPr>
            <w:rStyle w:val="Hyperlink"/>
          </w:rPr>
          <w:t>https</w:t>
        </w:r>
        <w:r w:rsidRPr="004B77F6">
          <w:rPr>
            <w:rStyle w:val="Hyperlink"/>
            <w:lang w:val="ru-RU"/>
          </w:rPr>
          <w:t>://</w:t>
        </w:r>
        <w:r>
          <w:rPr>
            <w:rStyle w:val="Hyperlink"/>
          </w:rPr>
          <w:t>www</w:t>
        </w:r>
        <w:r w:rsidRPr="004B77F6">
          <w:rPr>
            <w:rStyle w:val="Hyperlink"/>
            <w:lang w:val="ru-RU"/>
          </w:rPr>
          <w:t>.</w:t>
        </w:r>
        <w:r>
          <w:rPr>
            <w:rStyle w:val="Hyperlink"/>
          </w:rPr>
          <w:t>unhcr</w:t>
        </w:r>
        <w:r w:rsidRPr="004B77F6">
          <w:rPr>
            <w:rStyle w:val="Hyperlink"/>
            <w:lang w:val="ru-RU"/>
          </w:rPr>
          <w:t>.</w:t>
        </w:r>
        <w:r>
          <w:rPr>
            <w:rStyle w:val="Hyperlink"/>
          </w:rPr>
          <w:t>org</w:t>
        </w:r>
        <w:r w:rsidRPr="004B77F6">
          <w:rPr>
            <w:rStyle w:val="Hyperlink"/>
            <w:lang w:val="ru-RU"/>
          </w:rPr>
          <w:t>/</w:t>
        </w:r>
        <w:r>
          <w:rPr>
            <w:rStyle w:val="Hyperlink"/>
          </w:rPr>
          <w:t>uk</w:t>
        </w:r>
        <w:r w:rsidRPr="004B77F6">
          <w:rPr>
            <w:rStyle w:val="Hyperlink"/>
            <w:lang w:val="ru-RU"/>
          </w:rPr>
          <w:t>/</w:t>
        </w:r>
        <w:r>
          <w:rPr>
            <w:rStyle w:val="Hyperlink"/>
          </w:rPr>
          <w:t>publications</w:t>
        </w:r>
        <w:r w:rsidRPr="004B77F6">
          <w:rPr>
            <w:rStyle w:val="Hyperlink"/>
            <w:lang w:val="ru-RU"/>
          </w:rPr>
          <w:t>/</w:t>
        </w:r>
        <w:r>
          <w:rPr>
            <w:rStyle w:val="Hyperlink"/>
          </w:rPr>
          <w:t>manuals</w:t>
        </w:r>
        <w:r w:rsidRPr="004B77F6">
          <w:rPr>
            <w:rStyle w:val="Hyperlink"/>
            <w:lang w:val="ru-RU"/>
          </w:rPr>
          <w:t>/5</w:t>
        </w:r>
        <w:r>
          <w:rPr>
            <w:rStyle w:val="Hyperlink"/>
          </w:rPr>
          <w:t>c</w:t>
        </w:r>
        <w:r w:rsidRPr="004B77F6">
          <w:rPr>
            <w:rStyle w:val="Hyperlink"/>
            <w:lang w:val="ru-RU"/>
          </w:rPr>
          <w:t>9</w:t>
        </w:r>
        <w:r>
          <w:rPr>
            <w:rStyle w:val="Hyperlink"/>
          </w:rPr>
          <w:t>b</w:t>
        </w:r>
        <w:r w:rsidRPr="004B77F6">
          <w:rPr>
            <w:rStyle w:val="Hyperlink"/>
            <w:lang w:val="ru-RU"/>
          </w:rPr>
          <w:t>811</w:t>
        </w:r>
        <w:r>
          <w:rPr>
            <w:rStyle w:val="Hyperlink"/>
          </w:rPr>
          <w:t>b</w:t>
        </w:r>
        <w:r w:rsidRPr="004B77F6">
          <w:rPr>
            <w:rStyle w:val="Hyperlink"/>
            <w:lang w:val="ru-RU"/>
          </w:rPr>
          <w:t>7/</w:t>
        </w:r>
        <w:r>
          <w:rPr>
            <w:rStyle w:val="Hyperlink"/>
          </w:rPr>
          <w:t>mainstreaming</w:t>
        </w:r>
        <w:r w:rsidRPr="004B77F6">
          <w:rPr>
            <w:rStyle w:val="Hyperlink"/>
            <w:lang w:val="ru-RU"/>
          </w:rPr>
          <w:t>-</w:t>
        </w:r>
        <w:r>
          <w:rPr>
            <w:rStyle w:val="Hyperlink"/>
          </w:rPr>
          <w:t>capacity</w:t>
        </w:r>
        <w:r w:rsidRPr="004B77F6">
          <w:rPr>
            <w:rStyle w:val="Hyperlink"/>
            <w:lang w:val="ru-RU"/>
          </w:rPr>
          <w:t>-</w:t>
        </w:r>
        <w:r>
          <w:rPr>
            <w:rStyle w:val="Hyperlink"/>
          </w:rPr>
          <w:t>development</w:t>
        </w:r>
        <w:r w:rsidRPr="004B77F6">
          <w:rPr>
            <w:rStyle w:val="Hyperlink"/>
            <w:lang w:val="ru-RU"/>
          </w:rPr>
          <w:t>-</w:t>
        </w:r>
        <w:r>
          <w:rPr>
            <w:rStyle w:val="Hyperlink"/>
          </w:rPr>
          <w:t>overview</w:t>
        </w:r>
        <w:r w:rsidRPr="004B77F6">
          <w:rPr>
            <w:rStyle w:val="Hyperlink"/>
            <w:lang w:val="ru-RU"/>
          </w:rPr>
          <w:t>-2018-</w:t>
        </w:r>
        <w:r>
          <w:rPr>
            <w:rStyle w:val="Hyperlink"/>
          </w:rPr>
          <w:t>sexual</w:t>
        </w:r>
        <w:r w:rsidRPr="004B77F6">
          <w:rPr>
            <w:rStyle w:val="Hyperlink"/>
            <w:lang w:val="ru-RU"/>
          </w:rPr>
          <w:t>-</w:t>
        </w:r>
        <w:r>
          <w:rPr>
            <w:rStyle w:val="Hyperlink"/>
          </w:rPr>
          <w:t>gender</w:t>
        </w:r>
        <w:r w:rsidRPr="004B77F6">
          <w:rPr>
            <w:rStyle w:val="Hyperlink"/>
            <w:lang w:val="ru-RU"/>
          </w:rPr>
          <w:t>-</w:t>
        </w:r>
        <w:r>
          <w:rPr>
            <w:rStyle w:val="Hyperlink"/>
          </w:rPr>
          <w:t>based</w:t>
        </w:r>
        <w:r w:rsidRPr="004B77F6">
          <w:rPr>
            <w:rStyle w:val="Hyperlink"/>
            <w:lang w:val="ru-RU"/>
          </w:rPr>
          <w:t>-</w:t>
        </w:r>
        <w:r>
          <w:rPr>
            <w:rStyle w:val="Hyperlink"/>
          </w:rPr>
          <w:t>violence</w:t>
        </w:r>
        <w:r w:rsidRPr="004B77F6">
          <w:rPr>
            <w:rStyle w:val="Hyperlink"/>
            <w:lang w:val="ru-RU"/>
          </w:rPr>
          <w:t>.</w:t>
        </w:r>
        <w:r>
          <w:rPr>
            <w:rStyle w:val="Hyperlink"/>
          </w:rPr>
          <w:t>html</w:t>
        </w:r>
        <w:r w:rsidRPr="004B77F6">
          <w:rPr>
            <w:rStyle w:val="Hyperlink"/>
            <w:lang w:val="ru-RU"/>
          </w:rPr>
          <w:t>?</w:t>
        </w:r>
        <w:r>
          <w:rPr>
            <w:rStyle w:val="Hyperlink"/>
          </w:rPr>
          <w:t>query</w:t>
        </w:r>
        <w:r w:rsidRPr="004B77F6">
          <w:rPr>
            <w:rStyle w:val="Hyperlink"/>
            <w:lang w:val="ru-RU"/>
          </w:rPr>
          <w:t>=</w:t>
        </w:r>
        <w:r>
          <w:rPr>
            <w:rStyle w:val="Hyperlink"/>
          </w:rPr>
          <w:t>Training</w:t>
        </w:r>
      </w:hyperlink>
      <w:r w:rsidRPr="004B77F6">
        <w:rPr>
          <w:lang w:val="ru-RU"/>
        </w:rPr>
        <w:t xml:space="preserve">. </w:t>
      </w:r>
    </w:p>
  </w:footnote>
  <w:footnote w:id="245">
    <w:p w14:paraId="26770BB2" w14:textId="3A7C2ABA" w:rsidR="004B77F6" w:rsidRPr="004B77F6" w:rsidRDefault="004B77F6" w:rsidP="00A105CB">
      <w:pPr>
        <w:pStyle w:val="FootnoteText"/>
        <w:rPr>
          <w:lang w:val="ru-RU"/>
        </w:rPr>
      </w:pPr>
      <w:r>
        <w:rPr>
          <w:rStyle w:val="FootnoteReference"/>
        </w:rPr>
        <w:footnoteRef/>
      </w:r>
      <w:r w:rsidRPr="004B77F6">
        <w:rPr>
          <w:lang w:val="ru-RU"/>
        </w:rPr>
        <w:t xml:space="preserve"> О работе по </w:t>
      </w:r>
      <w:r w:rsidR="009421AE">
        <w:rPr>
          <w:lang w:val="ru-RU"/>
        </w:rPr>
        <w:t>развитию потенциала</w:t>
      </w:r>
      <w:r w:rsidRPr="004B77F6">
        <w:rPr>
          <w:lang w:val="ru-RU"/>
        </w:rPr>
        <w:t xml:space="preserve">, проводимой Международным центром по проблемам развития ребенка при ЮНИСЕФ, см. </w:t>
      </w:r>
      <w:r w:rsidR="00D577E1">
        <w:fldChar w:fldCharType="begin"/>
      </w:r>
      <w:r w:rsidR="00D577E1" w:rsidRPr="00D577E1">
        <w:rPr>
          <w:lang w:val="ru-RU"/>
        </w:rPr>
        <w:instrText xml:space="preserve"> </w:instrText>
      </w:r>
      <w:r w:rsidR="00D577E1">
        <w:instrText>HYPERLINK</w:instrText>
      </w:r>
      <w:r w:rsidR="00D577E1" w:rsidRPr="00D577E1">
        <w:rPr>
          <w:lang w:val="ru-RU"/>
        </w:rPr>
        <w:instrText xml:space="preserve"> "</w:instrText>
      </w:r>
      <w:r w:rsidR="00D577E1">
        <w:instrText>https</w:instrText>
      </w:r>
      <w:r w:rsidR="00D577E1" w:rsidRPr="00D577E1">
        <w:rPr>
          <w:lang w:val="ru-RU"/>
        </w:rPr>
        <w:instrText>://</w:instrText>
      </w:r>
      <w:r w:rsidR="00D577E1">
        <w:instrText>www</w:instrText>
      </w:r>
      <w:r w:rsidR="00D577E1" w:rsidRPr="00D577E1">
        <w:rPr>
          <w:lang w:val="ru-RU"/>
        </w:rPr>
        <w:instrText>.</w:instrText>
      </w:r>
      <w:r w:rsidR="00D577E1">
        <w:instrText>unicef</w:instrText>
      </w:r>
      <w:r w:rsidR="00D577E1" w:rsidRPr="00D577E1">
        <w:rPr>
          <w:lang w:val="ru-RU"/>
        </w:rPr>
        <w:instrText>-</w:instrText>
      </w:r>
      <w:r w:rsidR="00D577E1">
        <w:instrText>irc</w:instrText>
      </w:r>
      <w:r w:rsidR="00D577E1" w:rsidRPr="00D577E1">
        <w:rPr>
          <w:lang w:val="ru-RU"/>
        </w:rPr>
        <w:instrText>.</w:instrText>
      </w:r>
      <w:r w:rsidR="00D577E1">
        <w:instrText>org</w:instrText>
      </w:r>
      <w:r w:rsidR="00D577E1" w:rsidRPr="00D577E1">
        <w:rPr>
          <w:lang w:val="ru-RU"/>
        </w:rPr>
        <w:instrText>/</w:instrText>
      </w:r>
      <w:r w:rsidR="00D577E1">
        <w:instrText>article</w:instrText>
      </w:r>
      <w:r w:rsidR="00D577E1" w:rsidRPr="00D577E1">
        <w:rPr>
          <w:lang w:val="ru-RU"/>
        </w:rPr>
        <w:instrText>/1810-</w:instrText>
      </w:r>
      <w:r w:rsidR="00D577E1">
        <w:instrText>capacity</w:instrText>
      </w:r>
      <w:r w:rsidR="00D577E1" w:rsidRPr="00D577E1">
        <w:rPr>
          <w:lang w:val="ru-RU"/>
        </w:rPr>
        <w:instrText>-</w:instrText>
      </w:r>
      <w:r w:rsidR="00D577E1">
        <w:instrText>building</w:instrText>
      </w:r>
      <w:r w:rsidR="00D577E1" w:rsidRPr="00D577E1">
        <w:rPr>
          <w:lang w:val="ru-RU"/>
        </w:rPr>
        <w:instrText>.</w:instrText>
      </w:r>
      <w:r w:rsidR="00D577E1">
        <w:instrText>ht</w:instrText>
      </w:r>
      <w:r w:rsidR="00D577E1">
        <w:instrText>ml</w:instrText>
      </w:r>
      <w:r w:rsidR="00D577E1" w:rsidRPr="00D577E1">
        <w:rPr>
          <w:lang w:val="ru-RU"/>
        </w:rPr>
        <w:instrText xml:space="preserve">" </w:instrText>
      </w:r>
      <w:r w:rsidR="00D577E1">
        <w:fldChar w:fldCharType="separate"/>
      </w:r>
      <w:r>
        <w:rPr>
          <w:rStyle w:val="Hyperlink"/>
        </w:rPr>
        <w:t>https</w:t>
      </w:r>
      <w:r w:rsidRPr="004B77F6">
        <w:rPr>
          <w:rStyle w:val="Hyperlink"/>
          <w:lang w:val="ru-RU"/>
        </w:rPr>
        <w:t>://</w:t>
      </w:r>
      <w:r>
        <w:rPr>
          <w:rStyle w:val="Hyperlink"/>
        </w:rPr>
        <w:t>www</w:t>
      </w:r>
      <w:r w:rsidRPr="004B77F6">
        <w:rPr>
          <w:rStyle w:val="Hyperlink"/>
          <w:lang w:val="ru-RU"/>
        </w:rPr>
        <w:t>.</w:t>
      </w:r>
      <w:r>
        <w:rPr>
          <w:rStyle w:val="Hyperlink"/>
        </w:rPr>
        <w:t>unicef</w:t>
      </w:r>
      <w:r w:rsidRPr="004B77F6">
        <w:rPr>
          <w:rStyle w:val="Hyperlink"/>
          <w:lang w:val="ru-RU"/>
        </w:rPr>
        <w:t>-</w:t>
      </w:r>
      <w:r>
        <w:rPr>
          <w:rStyle w:val="Hyperlink"/>
        </w:rPr>
        <w:t>irc</w:t>
      </w:r>
      <w:r w:rsidRPr="004B77F6">
        <w:rPr>
          <w:rStyle w:val="Hyperlink"/>
          <w:lang w:val="ru-RU"/>
        </w:rPr>
        <w:t>.</w:t>
      </w:r>
      <w:r>
        <w:rPr>
          <w:rStyle w:val="Hyperlink"/>
        </w:rPr>
        <w:t>org</w:t>
      </w:r>
      <w:r w:rsidRPr="004B77F6">
        <w:rPr>
          <w:rStyle w:val="Hyperlink"/>
          <w:lang w:val="ru-RU"/>
        </w:rPr>
        <w:t>/</w:t>
      </w:r>
      <w:r>
        <w:rPr>
          <w:rStyle w:val="Hyperlink"/>
        </w:rPr>
        <w:t>article</w:t>
      </w:r>
      <w:r w:rsidRPr="004B77F6">
        <w:rPr>
          <w:rStyle w:val="Hyperlink"/>
          <w:lang w:val="ru-RU"/>
        </w:rPr>
        <w:t>/1810-</w:t>
      </w:r>
      <w:r>
        <w:rPr>
          <w:rStyle w:val="Hyperlink"/>
        </w:rPr>
        <w:t>capacity</w:t>
      </w:r>
      <w:r w:rsidRPr="004B77F6">
        <w:rPr>
          <w:rStyle w:val="Hyperlink"/>
          <w:lang w:val="ru-RU"/>
        </w:rPr>
        <w:t>-</w:t>
      </w:r>
      <w:r>
        <w:rPr>
          <w:rStyle w:val="Hyperlink"/>
        </w:rPr>
        <w:t>building</w:t>
      </w:r>
      <w:r w:rsidRPr="004B77F6">
        <w:rPr>
          <w:rStyle w:val="Hyperlink"/>
          <w:lang w:val="ru-RU"/>
        </w:rPr>
        <w:t>.</w:t>
      </w:r>
      <w:r>
        <w:rPr>
          <w:rStyle w:val="Hyperlink"/>
        </w:rPr>
        <w:t>html</w:t>
      </w:r>
      <w:r w:rsidR="00D577E1">
        <w:rPr>
          <w:rStyle w:val="Hyperlink"/>
        </w:rPr>
        <w:fldChar w:fldCharType="end"/>
      </w:r>
      <w:r w:rsidRPr="004B77F6">
        <w:rPr>
          <w:lang w:val="ru-RU"/>
        </w:rPr>
        <w:t xml:space="preserve">. О всемирной группе по обучению при ЮНИСЕФ см. </w:t>
      </w:r>
      <w:hyperlink r:id="rId60" w:history="1">
        <w:r>
          <w:rPr>
            <w:rStyle w:val="Hyperlink"/>
          </w:rPr>
          <w:t>https</w:t>
        </w:r>
        <w:r w:rsidRPr="004B77F6">
          <w:rPr>
            <w:rStyle w:val="Hyperlink"/>
            <w:lang w:val="ru-RU"/>
          </w:rPr>
          <w:t>://</w:t>
        </w:r>
        <w:r>
          <w:rPr>
            <w:rStyle w:val="Hyperlink"/>
          </w:rPr>
          <w:t>agora</w:t>
        </w:r>
        <w:r w:rsidRPr="004B77F6">
          <w:rPr>
            <w:rStyle w:val="Hyperlink"/>
            <w:lang w:val="ru-RU"/>
          </w:rPr>
          <w:t>.</w:t>
        </w:r>
        <w:r>
          <w:rPr>
            <w:rStyle w:val="Hyperlink"/>
          </w:rPr>
          <w:t>unicef</w:t>
        </w:r>
        <w:r w:rsidRPr="004B77F6">
          <w:rPr>
            <w:rStyle w:val="Hyperlink"/>
            <w:lang w:val="ru-RU"/>
          </w:rPr>
          <w:t>.</w:t>
        </w:r>
        <w:r>
          <w:rPr>
            <w:rStyle w:val="Hyperlink"/>
          </w:rPr>
          <w:t>org</w:t>
        </w:r>
        <w:r w:rsidRPr="004B77F6">
          <w:rPr>
            <w:rStyle w:val="Hyperlink"/>
            <w:lang w:val="ru-RU"/>
          </w:rPr>
          <w:t>/</w:t>
        </w:r>
      </w:hyperlink>
      <w:r w:rsidRPr="004B77F6">
        <w:rPr>
          <w:lang w:val="ru-RU"/>
        </w:rPr>
        <w:t xml:space="preserve">. </w:t>
      </w:r>
    </w:p>
  </w:footnote>
  <w:footnote w:id="246">
    <w:p w14:paraId="40086B81" w14:textId="77777777" w:rsidR="004B77F6" w:rsidRPr="004B77F6" w:rsidRDefault="004B77F6" w:rsidP="00A105CB">
      <w:pPr>
        <w:pStyle w:val="FootnoteText"/>
        <w:rPr>
          <w:lang w:val="ru-RU"/>
        </w:rPr>
      </w:pPr>
      <w:r>
        <w:rPr>
          <w:rStyle w:val="FootnoteReference"/>
        </w:rPr>
        <w:footnoteRef/>
      </w:r>
      <w:r w:rsidRPr="004B77F6">
        <w:rPr>
          <w:lang w:val="ru-RU"/>
        </w:rPr>
        <w:t xml:space="preserve"> </w:t>
      </w:r>
      <w:hyperlink r:id="rId61" w:history="1">
        <w:r>
          <w:t>https</w:t>
        </w:r>
        <w:r w:rsidRPr="004B77F6">
          <w:rPr>
            <w:lang w:val="ru-RU"/>
          </w:rPr>
          <w:t>://</w:t>
        </w:r>
        <w:r>
          <w:t>www</w:t>
        </w:r>
        <w:r w:rsidRPr="004B77F6">
          <w:rPr>
            <w:lang w:val="ru-RU"/>
          </w:rPr>
          <w:t>.</w:t>
        </w:r>
        <w:r>
          <w:t>uninnovation</w:t>
        </w:r>
        <w:r w:rsidRPr="004B77F6">
          <w:rPr>
            <w:lang w:val="ru-RU"/>
          </w:rPr>
          <w:t>.</w:t>
        </w:r>
        <w:r>
          <w:t>network</w:t>
        </w:r>
        <w:r w:rsidRPr="004B77F6">
          <w:rPr>
            <w:lang w:val="ru-RU"/>
          </w:rPr>
          <w:t>/</w:t>
        </w:r>
      </w:hyperlink>
      <w:r w:rsidRPr="004B77F6">
        <w:rPr>
          <w:lang w:val="ru-RU"/>
        </w:rPr>
        <w:t>.</w:t>
      </w:r>
    </w:p>
  </w:footnote>
  <w:footnote w:id="247">
    <w:p w14:paraId="1E11046A" w14:textId="77777777" w:rsidR="004B77F6" w:rsidRPr="004B77F6" w:rsidRDefault="004B77F6" w:rsidP="00A105CB">
      <w:pPr>
        <w:pStyle w:val="FootnoteText"/>
        <w:rPr>
          <w:lang w:val="ru-RU"/>
        </w:rPr>
      </w:pPr>
      <w:r>
        <w:rPr>
          <w:rStyle w:val="FootnoteReference"/>
        </w:rPr>
        <w:footnoteRef/>
      </w:r>
      <w:r w:rsidRPr="004B77F6">
        <w:rPr>
          <w:lang w:val="ru-RU"/>
        </w:rPr>
        <w:t xml:space="preserve"> Каталог курсов см. на </w:t>
      </w:r>
      <w:hyperlink r:id="rId62" w:history="1">
        <w:r>
          <w:rPr>
            <w:rStyle w:val="Hyperlink"/>
          </w:rPr>
          <w:t>https</w:t>
        </w:r>
        <w:r w:rsidRPr="004B77F6">
          <w:rPr>
            <w:rStyle w:val="Hyperlink"/>
            <w:lang w:val="ru-RU"/>
          </w:rPr>
          <w:t>://</w:t>
        </w:r>
        <w:r>
          <w:rPr>
            <w:rStyle w:val="Hyperlink"/>
          </w:rPr>
          <w:t>www</w:t>
        </w:r>
        <w:r w:rsidRPr="004B77F6">
          <w:rPr>
            <w:rStyle w:val="Hyperlink"/>
            <w:lang w:val="ru-RU"/>
          </w:rPr>
          <w:t>.</w:t>
        </w:r>
        <w:r>
          <w:rPr>
            <w:rStyle w:val="Hyperlink"/>
          </w:rPr>
          <w:t>unitar</w:t>
        </w:r>
        <w:r w:rsidRPr="004B77F6">
          <w:rPr>
            <w:rStyle w:val="Hyperlink"/>
            <w:lang w:val="ru-RU"/>
          </w:rPr>
          <w:t>.</w:t>
        </w:r>
        <w:r>
          <w:rPr>
            <w:rStyle w:val="Hyperlink"/>
          </w:rPr>
          <w:t>org</w:t>
        </w:r>
        <w:r w:rsidRPr="004B77F6">
          <w:rPr>
            <w:rStyle w:val="Hyperlink"/>
            <w:lang w:val="ru-RU"/>
          </w:rPr>
          <w:t>/</w:t>
        </w:r>
        <w:r>
          <w:rPr>
            <w:rStyle w:val="Hyperlink"/>
          </w:rPr>
          <w:t>event</w:t>
        </w:r>
        <w:r w:rsidRPr="004B77F6">
          <w:rPr>
            <w:rStyle w:val="Hyperlink"/>
            <w:lang w:val="ru-RU"/>
          </w:rPr>
          <w:t>/</w:t>
        </w:r>
        <w:r>
          <w:rPr>
            <w:rStyle w:val="Hyperlink"/>
          </w:rPr>
          <w:t>full</w:t>
        </w:r>
        <w:r w:rsidRPr="004B77F6">
          <w:rPr>
            <w:rStyle w:val="Hyperlink"/>
            <w:lang w:val="ru-RU"/>
          </w:rPr>
          <w:t>-</w:t>
        </w:r>
        <w:r>
          <w:rPr>
            <w:rStyle w:val="Hyperlink"/>
          </w:rPr>
          <w:t>catalog</w:t>
        </w:r>
        <w:r w:rsidRPr="004B77F6">
          <w:rPr>
            <w:rStyle w:val="Hyperlink"/>
            <w:lang w:val="ru-RU"/>
          </w:rPr>
          <w:t>/</w:t>
        </w:r>
        <w:r>
          <w:rPr>
            <w:rStyle w:val="Hyperlink"/>
          </w:rPr>
          <w:t>training</w:t>
        </w:r>
        <w:r w:rsidRPr="004B77F6">
          <w:rPr>
            <w:rStyle w:val="Hyperlink"/>
            <w:lang w:val="ru-RU"/>
          </w:rPr>
          <w:t>-</w:t>
        </w:r>
        <w:r>
          <w:rPr>
            <w:rStyle w:val="Hyperlink"/>
          </w:rPr>
          <w:t>and</w:t>
        </w:r>
        <w:r w:rsidRPr="004B77F6">
          <w:rPr>
            <w:rStyle w:val="Hyperlink"/>
            <w:lang w:val="ru-RU"/>
          </w:rPr>
          <w:t>-</w:t>
        </w:r>
        <w:r>
          <w:rPr>
            <w:rStyle w:val="Hyperlink"/>
          </w:rPr>
          <w:t>capacity</w:t>
        </w:r>
        <w:r w:rsidRPr="004B77F6">
          <w:rPr>
            <w:rStyle w:val="Hyperlink"/>
            <w:lang w:val="ru-RU"/>
          </w:rPr>
          <w:t>-</w:t>
        </w:r>
        <w:r>
          <w:rPr>
            <w:rStyle w:val="Hyperlink"/>
          </w:rPr>
          <w:t>building</w:t>
        </w:r>
      </w:hyperlink>
      <w:r w:rsidRPr="004B77F6">
        <w:rPr>
          <w:lang w:val="ru-RU"/>
        </w:rPr>
        <w:t xml:space="preserve"> </w:t>
      </w:r>
    </w:p>
  </w:footnote>
  <w:footnote w:id="248">
    <w:p w14:paraId="0DE3141A" w14:textId="77777777" w:rsidR="004B77F6" w:rsidRPr="004B77F6" w:rsidRDefault="004B77F6" w:rsidP="00A105CB">
      <w:pPr>
        <w:pStyle w:val="FootnoteText"/>
        <w:rPr>
          <w:lang w:val="ru-RU"/>
        </w:rPr>
      </w:pPr>
      <w:r>
        <w:rPr>
          <w:rStyle w:val="FootnoteReference"/>
        </w:rPr>
        <w:footnoteRef/>
      </w:r>
      <w:r w:rsidRPr="004B77F6">
        <w:rPr>
          <w:lang w:val="ru-RU"/>
        </w:rPr>
        <w:t xml:space="preserve"> См., например, </w:t>
      </w:r>
      <w:r w:rsidR="00D577E1">
        <w:fldChar w:fldCharType="begin"/>
      </w:r>
      <w:r w:rsidR="00D577E1" w:rsidRPr="00D577E1">
        <w:rPr>
          <w:lang w:val="ru-RU"/>
        </w:rPr>
        <w:instrText xml:space="preserve"> </w:instrText>
      </w:r>
      <w:r w:rsidR="00D577E1">
        <w:instrText>HYPERLINK</w:instrText>
      </w:r>
      <w:r w:rsidR="00D577E1" w:rsidRPr="00D577E1">
        <w:rPr>
          <w:lang w:val="ru-RU"/>
        </w:rPr>
        <w:instrText xml:space="preserve"> "</w:instrText>
      </w:r>
      <w:r w:rsidR="00D577E1">
        <w:instrText>https</w:instrText>
      </w:r>
      <w:r w:rsidR="00D577E1" w:rsidRPr="00D577E1">
        <w:rPr>
          <w:lang w:val="ru-RU"/>
        </w:rPr>
        <w:instrText>://</w:instrText>
      </w:r>
      <w:r w:rsidR="00D577E1">
        <w:instrText>www</w:instrText>
      </w:r>
      <w:r w:rsidR="00D577E1" w:rsidRPr="00D577E1">
        <w:rPr>
          <w:lang w:val="ru-RU"/>
        </w:rPr>
        <w:instrText>.</w:instrText>
      </w:r>
      <w:r w:rsidR="00D577E1">
        <w:instrText>unodc</w:instrText>
      </w:r>
      <w:r w:rsidR="00D577E1" w:rsidRPr="00D577E1">
        <w:rPr>
          <w:lang w:val="ru-RU"/>
        </w:rPr>
        <w:instrText>.</w:instrText>
      </w:r>
      <w:r w:rsidR="00D577E1">
        <w:instrText>org</w:instrText>
      </w:r>
      <w:r w:rsidR="00D577E1" w:rsidRPr="00D577E1">
        <w:rPr>
          <w:lang w:val="ru-RU"/>
        </w:rPr>
        <w:instrText>/</w:instrText>
      </w:r>
      <w:r w:rsidR="00D577E1">
        <w:instrText>elearning</w:instrText>
      </w:r>
      <w:r w:rsidR="00D577E1" w:rsidRPr="00D577E1">
        <w:rPr>
          <w:lang w:val="ru-RU"/>
        </w:rPr>
        <w:instrText>/</w:instrText>
      </w:r>
      <w:r w:rsidR="00D577E1">
        <w:instrText>index</w:instrText>
      </w:r>
      <w:r w:rsidR="00D577E1" w:rsidRPr="00D577E1">
        <w:rPr>
          <w:lang w:val="ru-RU"/>
        </w:rPr>
        <w:instrText>.</w:instrText>
      </w:r>
      <w:r w:rsidR="00D577E1">
        <w:instrText>html</w:instrText>
      </w:r>
      <w:r w:rsidR="00D577E1" w:rsidRPr="00D577E1">
        <w:rPr>
          <w:lang w:val="ru-RU"/>
        </w:rPr>
        <w:instrText xml:space="preserve">" </w:instrText>
      </w:r>
      <w:r w:rsidR="00D577E1">
        <w:fldChar w:fldCharType="separate"/>
      </w:r>
      <w:r>
        <w:rPr>
          <w:rStyle w:val="Hyperlink"/>
        </w:rPr>
        <w:t>https</w:t>
      </w:r>
      <w:r w:rsidRPr="004B77F6">
        <w:rPr>
          <w:rStyle w:val="Hyperlink"/>
          <w:lang w:val="ru-RU"/>
        </w:rPr>
        <w:t>://</w:t>
      </w:r>
      <w:r>
        <w:rPr>
          <w:rStyle w:val="Hyperlink"/>
        </w:rPr>
        <w:t>www</w:t>
      </w:r>
      <w:r w:rsidRPr="004B77F6">
        <w:rPr>
          <w:rStyle w:val="Hyperlink"/>
          <w:lang w:val="ru-RU"/>
        </w:rPr>
        <w:t>.</w:t>
      </w:r>
      <w:r>
        <w:rPr>
          <w:rStyle w:val="Hyperlink"/>
        </w:rPr>
        <w:t>unodc</w:t>
      </w:r>
      <w:r w:rsidRPr="004B77F6">
        <w:rPr>
          <w:rStyle w:val="Hyperlink"/>
          <w:lang w:val="ru-RU"/>
        </w:rPr>
        <w:t>.</w:t>
      </w:r>
      <w:r>
        <w:rPr>
          <w:rStyle w:val="Hyperlink"/>
        </w:rPr>
        <w:t>org</w:t>
      </w:r>
      <w:r w:rsidRPr="004B77F6">
        <w:rPr>
          <w:rStyle w:val="Hyperlink"/>
          <w:lang w:val="ru-RU"/>
        </w:rPr>
        <w:t>/</w:t>
      </w:r>
      <w:r>
        <w:rPr>
          <w:rStyle w:val="Hyperlink"/>
        </w:rPr>
        <w:t>elearning</w:t>
      </w:r>
      <w:r w:rsidRPr="004B77F6">
        <w:rPr>
          <w:rStyle w:val="Hyperlink"/>
          <w:lang w:val="ru-RU"/>
        </w:rPr>
        <w:t>/</w:t>
      </w:r>
      <w:r>
        <w:rPr>
          <w:rStyle w:val="Hyperlink"/>
        </w:rPr>
        <w:t>index</w:t>
      </w:r>
      <w:r w:rsidRPr="004B77F6">
        <w:rPr>
          <w:rStyle w:val="Hyperlink"/>
          <w:lang w:val="ru-RU"/>
        </w:rPr>
        <w:t>.</w:t>
      </w:r>
      <w:r>
        <w:rPr>
          <w:rStyle w:val="Hyperlink"/>
        </w:rPr>
        <w:t>html</w:t>
      </w:r>
      <w:r w:rsidR="00D577E1">
        <w:rPr>
          <w:rStyle w:val="Hyperlink"/>
        </w:rPr>
        <w:fldChar w:fldCharType="end"/>
      </w:r>
      <w:r w:rsidRPr="004B77F6">
        <w:rPr>
          <w:lang w:val="ru-RU"/>
        </w:rPr>
        <w:t xml:space="preserve">; материалы по профессиональной подготовке по конкретным темам см. на </w:t>
      </w:r>
      <w:hyperlink r:id="rId63" w:history="1">
        <w:r>
          <w:rPr>
            <w:rStyle w:val="Hyperlink"/>
          </w:rPr>
          <w:t>https</w:t>
        </w:r>
        <w:r w:rsidRPr="004B77F6">
          <w:rPr>
            <w:rStyle w:val="Hyperlink"/>
            <w:lang w:val="ru-RU"/>
          </w:rPr>
          <w:t>://</w:t>
        </w:r>
        <w:r>
          <w:rPr>
            <w:rStyle w:val="Hyperlink"/>
          </w:rPr>
          <w:t>www</w:t>
        </w:r>
        <w:r w:rsidRPr="004B77F6">
          <w:rPr>
            <w:rStyle w:val="Hyperlink"/>
            <w:lang w:val="ru-RU"/>
          </w:rPr>
          <w:t>.</w:t>
        </w:r>
        <w:r>
          <w:rPr>
            <w:rStyle w:val="Hyperlink"/>
          </w:rPr>
          <w:t>unodc</w:t>
        </w:r>
        <w:r w:rsidRPr="004B77F6">
          <w:rPr>
            <w:rStyle w:val="Hyperlink"/>
            <w:lang w:val="ru-RU"/>
          </w:rPr>
          <w:t>.</w:t>
        </w:r>
        <w:r>
          <w:rPr>
            <w:rStyle w:val="Hyperlink"/>
          </w:rPr>
          <w:t>org</w:t>
        </w:r>
        <w:r w:rsidRPr="004B77F6">
          <w:rPr>
            <w:rStyle w:val="Hyperlink"/>
            <w:lang w:val="ru-RU"/>
          </w:rPr>
          <w:t>/</w:t>
        </w:r>
        <w:r>
          <w:rPr>
            <w:rStyle w:val="Hyperlink"/>
          </w:rPr>
          <w:t>ji</w:t>
        </w:r>
        <w:r w:rsidRPr="004B77F6">
          <w:rPr>
            <w:rStyle w:val="Hyperlink"/>
            <w:lang w:val="ru-RU"/>
          </w:rPr>
          <w:t>/</w:t>
        </w:r>
        <w:r>
          <w:rPr>
            <w:rStyle w:val="Hyperlink"/>
          </w:rPr>
          <w:t>en</w:t>
        </w:r>
        <w:r w:rsidRPr="004B77F6">
          <w:rPr>
            <w:rStyle w:val="Hyperlink"/>
            <w:lang w:val="ru-RU"/>
          </w:rPr>
          <w:t>/</w:t>
        </w:r>
        <w:r>
          <w:rPr>
            <w:rStyle w:val="Hyperlink"/>
          </w:rPr>
          <w:t>elearning</w:t>
        </w:r>
        <w:r w:rsidRPr="004B77F6">
          <w:rPr>
            <w:rStyle w:val="Hyperlink"/>
            <w:lang w:val="ru-RU"/>
          </w:rPr>
          <w:t>.</w:t>
        </w:r>
        <w:r>
          <w:rPr>
            <w:rStyle w:val="Hyperlink"/>
          </w:rPr>
          <w:t>html</w:t>
        </w:r>
      </w:hyperlink>
      <w:r w:rsidRPr="004B77F6">
        <w:rPr>
          <w:lang w:val="ru-RU"/>
        </w:rPr>
        <w:t xml:space="preserve">, </w:t>
      </w:r>
      <w:hyperlink r:id="rId64" w:history="1">
        <w:r>
          <w:rPr>
            <w:rStyle w:val="Hyperlink"/>
          </w:rPr>
          <w:t>https</w:t>
        </w:r>
        <w:r w:rsidRPr="004B77F6">
          <w:rPr>
            <w:rStyle w:val="Hyperlink"/>
            <w:lang w:val="ru-RU"/>
          </w:rPr>
          <w:t>://</w:t>
        </w:r>
        <w:r>
          <w:rPr>
            <w:rStyle w:val="Hyperlink"/>
          </w:rPr>
          <w:t>www</w:t>
        </w:r>
        <w:r w:rsidRPr="004B77F6">
          <w:rPr>
            <w:rStyle w:val="Hyperlink"/>
            <w:lang w:val="ru-RU"/>
          </w:rPr>
          <w:t>.</w:t>
        </w:r>
        <w:r>
          <w:rPr>
            <w:rStyle w:val="Hyperlink"/>
          </w:rPr>
          <w:t>unodc</w:t>
        </w:r>
        <w:r w:rsidRPr="004B77F6">
          <w:rPr>
            <w:rStyle w:val="Hyperlink"/>
            <w:lang w:val="ru-RU"/>
          </w:rPr>
          <w:t>.</w:t>
        </w:r>
        <w:r>
          <w:rPr>
            <w:rStyle w:val="Hyperlink"/>
          </w:rPr>
          <w:t>org</w:t>
        </w:r>
        <w:r w:rsidRPr="004B77F6">
          <w:rPr>
            <w:rStyle w:val="Hyperlink"/>
            <w:lang w:val="ru-RU"/>
          </w:rPr>
          <w:t>/</w:t>
        </w:r>
        <w:r>
          <w:rPr>
            <w:rStyle w:val="Hyperlink"/>
          </w:rPr>
          <w:t>ji</w:t>
        </w:r>
        <w:r w:rsidRPr="004B77F6">
          <w:rPr>
            <w:rStyle w:val="Hyperlink"/>
            <w:lang w:val="ru-RU"/>
          </w:rPr>
          <w:t>/</w:t>
        </w:r>
        <w:r>
          <w:rPr>
            <w:rStyle w:val="Hyperlink"/>
          </w:rPr>
          <w:t>en</w:t>
        </w:r>
        <w:r w:rsidRPr="004B77F6">
          <w:rPr>
            <w:rStyle w:val="Hyperlink"/>
            <w:lang w:val="ru-RU"/>
          </w:rPr>
          <w:t>/</w:t>
        </w:r>
        <w:r>
          <w:rPr>
            <w:rStyle w:val="Hyperlink"/>
          </w:rPr>
          <w:t>selfdirected</w:t>
        </w:r>
        <w:r w:rsidRPr="004B77F6">
          <w:rPr>
            <w:rStyle w:val="Hyperlink"/>
            <w:lang w:val="ru-RU"/>
          </w:rPr>
          <w:t>.</w:t>
        </w:r>
        <w:r>
          <w:rPr>
            <w:rStyle w:val="Hyperlink"/>
          </w:rPr>
          <w:t>html</w:t>
        </w:r>
      </w:hyperlink>
      <w:r w:rsidRPr="004B77F6">
        <w:rPr>
          <w:lang w:val="ru-RU"/>
        </w:rPr>
        <w:t xml:space="preserve"> и </w:t>
      </w:r>
      <w:hyperlink r:id="rId65" w:history="1">
        <w:r>
          <w:rPr>
            <w:rStyle w:val="Hyperlink"/>
          </w:rPr>
          <w:t>https</w:t>
        </w:r>
        <w:r w:rsidRPr="004B77F6">
          <w:rPr>
            <w:rStyle w:val="Hyperlink"/>
            <w:lang w:val="ru-RU"/>
          </w:rPr>
          <w:t>://</w:t>
        </w:r>
        <w:r>
          <w:rPr>
            <w:rStyle w:val="Hyperlink"/>
          </w:rPr>
          <w:t>www</w:t>
        </w:r>
        <w:r w:rsidRPr="004B77F6">
          <w:rPr>
            <w:rStyle w:val="Hyperlink"/>
            <w:lang w:val="ru-RU"/>
          </w:rPr>
          <w:t>.</w:t>
        </w:r>
        <w:r>
          <w:rPr>
            <w:rStyle w:val="Hyperlink"/>
          </w:rPr>
          <w:t>unodc</w:t>
        </w:r>
        <w:r w:rsidRPr="004B77F6">
          <w:rPr>
            <w:rStyle w:val="Hyperlink"/>
            <w:lang w:val="ru-RU"/>
          </w:rPr>
          <w:t>.</w:t>
        </w:r>
        <w:r>
          <w:rPr>
            <w:rStyle w:val="Hyperlink"/>
          </w:rPr>
          <w:t>org</w:t>
        </w:r>
        <w:r w:rsidRPr="004B77F6">
          <w:rPr>
            <w:rStyle w:val="Hyperlink"/>
            <w:lang w:val="ru-RU"/>
          </w:rPr>
          <w:t>/</w:t>
        </w:r>
        <w:r>
          <w:rPr>
            <w:rStyle w:val="Hyperlink"/>
          </w:rPr>
          <w:t>ji</w:t>
        </w:r>
        <w:r w:rsidRPr="004B77F6">
          <w:rPr>
            <w:rStyle w:val="Hyperlink"/>
            <w:lang w:val="ru-RU"/>
          </w:rPr>
          <w:t>/</w:t>
        </w:r>
        <w:r>
          <w:rPr>
            <w:rStyle w:val="Hyperlink"/>
          </w:rPr>
          <w:t>en</w:t>
        </w:r>
        <w:r w:rsidRPr="004B77F6">
          <w:rPr>
            <w:rStyle w:val="Hyperlink"/>
            <w:lang w:val="ru-RU"/>
          </w:rPr>
          <w:t>/</w:t>
        </w:r>
        <w:r>
          <w:rPr>
            <w:rStyle w:val="Hyperlink"/>
          </w:rPr>
          <w:t>trainersmanual</w:t>
        </w:r>
        <w:r w:rsidRPr="004B77F6">
          <w:rPr>
            <w:rStyle w:val="Hyperlink"/>
            <w:lang w:val="ru-RU"/>
          </w:rPr>
          <w:t>.</w:t>
        </w:r>
        <w:r>
          <w:rPr>
            <w:rStyle w:val="Hyperlink"/>
          </w:rPr>
          <w:t>html</w:t>
        </w:r>
      </w:hyperlink>
      <w:r w:rsidRPr="004B77F6">
        <w:rPr>
          <w:lang w:val="ru-RU"/>
        </w:rPr>
        <w:t xml:space="preserve">. </w:t>
      </w:r>
    </w:p>
  </w:footnote>
  <w:footnote w:id="249">
    <w:p w14:paraId="5B86E8C2" w14:textId="77777777" w:rsidR="004B77F6" w:rsidRPr="004B77F6" w:rsidRDefault="004B77F6" w:rsidP="00A105CB">
      <w:pPr>
        <w:pStyle w:val="FootnoteText"/>
        <w:rPr>
          <w:lang w:val="ru-RU"/>
        </w:rPr>
      </w:pPr>
      <w:r>
        <w:rPr>
          <w:rStyle w:val="FootnoteReference"/>
        </w:rPr>
        <w:footnoteRef/>
      </w:r>
      <w:r w:rsidRPr="004B77F6">
        <w:rPr>
          <w:lang w:val="ru-RU"/>
        </w:rPr>
        <w:t xml:space="preserve"> </w:t>
      </w:r>
      <w:r w:rsidR="00D577E1">
        <w:fldChar w:fldCharType="begin"/>
      </w:r>
      <w:r w:rsidR="00D577E1" w:rsidRPr="00D577E1">
        <w:rPr>
          <w:lang w:val="ru-RU"/>
        </w:rPr>
        <w:instrText xml:space="preserve"> </w:instrText>
      </w:r>
      <w:r w:rsidR="00D577E1">
        <w:instrText>HYPERLINK</w:instrText>
      </w:r>
      <w:r w:rsidR="00D577E1" w:rsidRPr="00D577E1">
        <w:rPr>
          <w:lang w:val="ru-RU"/>
        </w:rPr>
        <w:instrText xml:space="preserve"> "</w:instrText>
      </w:r>
      <w:r w:rsidR="00D577E1">
        <w:instrText>https</w:instrText>
      </w:r>
      <w:r w:rsidR="00D577E1" w:rsidRPr="00D577E1">
        <w:rPr>
          <w:lang w:val="ru-RU"/>
        </w:rPr>
        <w:instrText>://</w:instrText>
      </w:r>
      <w:r w:rsidR="00D577E1">
        <w:instrText>unpan</w:instrText>
      </w:r>
      <w:r w:rsidR="00D577E1" w:rsidRPr="00D577E1">
        <w:rPr>
          <w:lang w:val="ru-RU"/>
        </w:rPr>
        <w:instrText>.</w:instrText>
      </w:r>
      <w:r w:rsidR="00D577E1">
        <w:instrText>un</w:instrText>
      </w:r>
      <w:r w:rsidR="00D577E1" w:rsidRPr="00D577E1">
        <w:rPr>
          <w:lang w:val="ru-RU"/>
        </w:rPr>
        <w:instrText>.</w:instrText>
      </w:r>
      <w:r w:rsidR="00D577E1">
        <w:instrText>org</w:instrText>
      </w:r>
      <w:r w:rsidR="00D577E1" w:rsidRPr="00D577E1">
        <w:rPr>
          <w:lang w:val="ru-RU"/>
        </w:rPr>
        <w:instrText>/</w:instrText>
      </w:r>
      <w:r w:rsidR="00D577E1">
        <w:instrText>capacity</w:instrText>
      </w:r>
      <w:r w:rsidR="00D577E1" w:rsidRPr="00D577E1">
        <w:rPr>
          <w:lang w:val="ru-RU"/>
        </w:rPr>
        <w:instrText>-</w:instrText>
      </w:r>
      <w:r w:rsidR="00D577E1">
        <w:instrText>development</w:instrText>
      </w:r>
      <w:r w:rsidR="00D577E1" w:rsidRPr="00D577E1">
        <w:rPr>
          <w:lang w:val="ru-RU"/>
        </w:rPr>
        <w:instrText xml:space="preserve">" </w:instrText>
      </w:r>
      <w:r w:rsidR="00D577E1">
        <w:fldChar w:fldCharType="separate"/>
      </w:r>
      <w:r>
        <w:rPr>
          <w:rStyle w:val="Hyperlink"/>
        </w:rPr>
        <w:t>https</w:t>
      </w:r>
      <w:r w:rsidRPr="004B77F6">
        <w:rPr>
          <w:rStyle w:val="Hyperlink"/>
          <w:lang w:val="ru-RU"/>
        </w:rPr>
        <w:t>://</w:t>
      </w:r>
      <w:r>
        <w:rPr>
          <w:rStyle w:val="Hyperlink"/>
        </w:rPr>
        <w:t>unpan</w:t>
      </w:r>
      <w:r w:rsidRPr="004B77F6">
        <w:rPr>
          <w:rStyle w:val="Hyperlink"/>
          <w:lang w:val="ru-RU"/>
        </w:rPr>
        <w:t>.</w:t>
      </w:r>
      <w:r>
        <w:rPr>
          <w:rStyle w:val="Hyperlink"/>
        </w:rPr>
        <w:t>un</w:t>
      </w:r>
      <w:r w:rsidRPr="004B77F6">
        <w:rPr>
          <w:rStyle w:val="Hyperlink"/>
          <w:lang w:val="ru-RU"/>
        </w:rPr>
        <w:t>.</w:t>
      </w:r>
      <w:r>
        <w:rPr>
          <w:rStyle w:val="Hyperlink"/>
        </w:rPr>
        <w:t>org</w:t>
      </w:r>
      <w:r w:rsidRPr="004B77F6">
        <w:rPr>
          <w:rStyle w:val="Hyperlink"/>
          <w:lang w:val="ru-RU"/>
        </w:rPr>
        <w:t>/</w:t>
      </w:r>
      <w:r>
        <w:rPr>
          <w:rStyle w:val="Hyperlink"/>
        </w:rPr>
        <w:t>capacity</w:t>
      </w:r>
      <w:r w:rsidRPr="004B77F6">
        <w:rPr>
          <w:rStyle w:val="Hyperlink"/>
          <w:lang w:val="ru-RU"/>
        </w:rPr>
        <w:t>-</w:t>
      </w:r>
      <w:r>
        <w:rPr>
          <w:rStyle w:val="Hyperlink"/>
        </w:rPr>
        <w:t>development</w:t>
      </w:r>
      <w:r w:rsidR="00D577E1">
        <w:rPr>
          <w:rStyle w:val="Hyperlink"/>
        </w:rPr>
        <w:fldChar w:fldCharType="end"/>
      </w:r>
      <w:r w:rsidRPr="004B77F6">
        <w:rPr>
          <w:lang w:val="ru-RU"/>
        </w:rPr>
        <w:t xml:space="preserve"> и центр онлайн-обучения </w:t>
      </w:r>
      <w:hyperlink r:id="rId66" w:history="1">
        <w:r>
          <w:rPr>
            <w:rStyle w:val="Hyperlink"/>
          </w:rPr>
          <w:t>https</w:t>
        </w:r>
        <w:r w:rsidRPr="004B77F6">
          <w:rPr>
            <w:rStyle w:val="Hyperlink"/>
            <w:lang w:val="ru-RU"/>
          </w:rPr>
          <w:t>://</w:t>
        </w:r>
        <w:r>
          <w:rPr>
            <w:rStyle w:val="Hyperlink"/>
          </w:rPr>
          <w:t>unpan</w:t>
        </w:r>
        <w:r w:rsidRPr="004B77F6">
          <w:rPr>
            <w:rStyle w:val="Hyperlink"/>
            <w:lang w:val="ru-RU"/>
          </w:rPr>
          <w:t>.</w:t>
        </w:r>
        <w:r>
          <w:rPr>
            <w:rStyle w:val="Hyperlink"/>
          </w:rPr>
          <w:t>un</w:t>
        </w:r>
        <w:r w:rsidRPr="004B77F6">
          <w:rPr>
            <w:rStyle w:val="Hyperlink"/>
            <w:lang w:val="ru-RU"/>
          </w:rPr>
          <w:t>.</w:t>
        </w:r>
        <w:r>
          <w:rPr>
            <w:rStyle w:val="Hyperlink"/>
          </w:rPr>
          <w:t>org</w:t>
        </w:r>
        <w:r w:rsidRPr="004B77F6">
          <w:rPr>
            <w:rStyle w:val="Hyperlink"/>
            <w:lang w:val="ru-RU"/>
          </w:rPr>
          <w:t>/</w:t>
        </w:r>
        <w:r>
          <w:rPr>
            <w:rStyle w:val="Hyperlink"/>
          </w:rPr>
          <w:t>capacity</w:t>
        </w:r>
        <w:r w:rsidRPr="004B77F6">
          <w:rPr>
            <w:rStyle w:val="Hyperlink"/>
            <w:lang w:val="ru-RU"/>
          </w:rPr>
          <w:t>-</w:t>
        </w:r>
        <w:r>
          <w:rPr>
            <w:rStyle w:val="Hyperlink"/>
          </w:rPr>
          <w:t>development</w:t>
        </w:r>
        <w:r w:rsidRPr="004B77F6">
          <w:rPr>
            <w:rStyle w:val="Hyperlink"/>
            <w:lang w:val="ru-RU"/>
          </w:rPr>
          <w:t>/</w:t>
        </w:r>
        <w:r>
          <w:rPr>
            <w:rStyle w:val="Hyperlink"/>
          </w:rPr>
          <w:t>OTC</w:t>
        </w:r>
      </w:hyperlink>
      <w:r w:rsidRPr="004B77F6">
        <w:rPr>
          <w:lang w:val="ru-RU"/>
        </w:rPr>
        <w:t xml:space="preserve">. </w:t>
      </w:r>
    </w:p>
  </w:footnote>
  <w:footnote w:id="250">
    <w:p w14:paraId="619C46F9" w14:textId="652074B8" w:rsidR="004B77F6" w:rsidRPr="004B77F6" w:rsidRDefault="004B77F6" w:rsidP="00A105CB">
      <w:pPr>
        <w:pStyle w:val="FootnoteText"/>
        <w:rPr>
          <w:lang w:val="ru-RU"/>
        </w:rPr>
      </w:pPr>
      <w:r>
        <w:rPr>
          <w:rStyle w:val="FootnoteReference"/>
        </w:rPr>
        <w:footnoteRef/>
      </w:r>
      <w:r w:rsidRPr="004B77F6">
        <w:rPr>
          <w:lang w:val="ru-RU"/>
        </w:rPr>
        <w:t xml:space="preserve"> В ТЗ для данного отчета указано, что в нем следует рассмотреть работу Банка технологий ООН непосредственно.</w:t>
      </w:r>
      <w:r w:rsidR="00A579EF">
        <w:rPr>
          <w:lang w:val="ru-RU"/>
        </w:rPr>
        <w:t xml:space="preserve"> </w:t>
      </w:r>
      <w:r w:rsidRPr="004B77F6">
        <w:rPr>
          <w:lang w:val="ru-RU"/>
        </w:rPr>
        <w:t>Банк был учрежден в 2018 году в помощь развивающимся странам при создании научного, технологического и инновационного потенциала, экосистем и регуляторной структуры, и одно из направлений его деятельности охватывает работу с партнерами в таких странах в целях обеспечения наличия потенциала для адаптации и использования тех технологий, к которым у них есть доступ.</w:t>
      </w:r>
      <w:r w:rsidR="00A579EF">
        <w:rPr>
          <w:lang w:val="ru-RU"/>
        </w:rPr>
        <w:t xml:space="preserve"> </w:t>
      </w:r>
      <w:r w:rsidRPr="004B77F6">
        <w:rPr>
          <w:lang w:val="ru-RU"/>
        </w:rPr>
        <w:t xml:space="preserve">Данных о существенной работе по </w:t>
      </w:r>
      <w:r w:rsidR="009421AE">
        <w:rPr>
          <w:lang w:val="ru-RU"/>
        </w:rPr>
        <w:t>развитию потенциала</w:t>
      </w:r>
      <w:r w:rsidRPr="004B77F6">
        <w:rPr>
          <w:lang w:val="ru-RU"/>
        </w:rPr>
        <w:t xml:space="preserve"> и профессиональной подготовке еще не предоставлено, и некоторые рассматривают Банк как еще одну инициативу ООН, реализуемую в целях обслуживания определенных групп по интересам, но это пересекается с работой, уже выполняемой другими учреждениями ООН.</w:t>
      </w:r>
      <w:r w:rsidR="00A579EF">
        <w:rPr>
          <w:lang w:val="ru-RU"/>
        </w:rPr>
        <w:t xml:space="preserve"> </w:t>
      </w:r>
      <w:r w:rsidRPr="004B77F6">
        <w:rPr>
          <w:lang w:val="ru-RU"/>
        </w:rPr>
        <w:t>Например, было объявлено, что в период с июня по октябрь 2020 года Банк намеревается провести онлайн-обучение (МООК) с хорошо зарекомендовавшим себя брендом ФАО в 47 странах с целью повышения доступа к новейшим научным знаниям, чтобы, тем самым, предоставить им возможность полноценного участия в глобальном научном сообществе (</w:t>
      </w:r>
      <w:r>
        <w:t>https</w:t>
      </w:r>
      <w:r w:rsidRPr="004B77F6">
        <w:rPr>
          <w:lang w:val="ru-RU"/>
        </w:rPr>
        <w:t>://</w:t>
      </w:r>
      <w:r>
        <w:t>www</w:t>
      </w:r>
      <w:r w:rsidRPr="004B77F6">
        <w:rPr>
          <w:lang w:val="ru-RU"/>
        </w:rPr>
        <w:t>.</w:t>
      </w:r>
      <w:r>
        <w:t>un</w:t>
      </w:r>
      <w:r w:rsidRPr="004B77F6">
        <w:rPr>
          <w:lang w:val="ru-RU"/>
        </w:rPr>
        <w:t>.</w:t>
      </w:r>
      <w:r>
        <w:t>org</w:t>
      </w:r>
      <w:r w:rsidRPr="004B77F6">
        <w:rPr>
          <w:lang w:val="ru-RU"/>
        </w:rPr>
        <w:t>/</w:t>
      </w:r>
      <w:r>
        <w:t>technologybank</w:t>
      </w:r>
      <w:r w:rsidRPr="004B77F6">
        <w:rPr>
          <w:lang w:val="ru-RU"/>
        </w:rPr>
        <w:t>/</w:t>
      </w:r>
      <w:r>
        <w:t>content</w:t>
      </w:r>
      <w:r w:rsidRPr="004B77F6">
        <w:rPr>
          <w:lang w:val="ru-RU"/>
        </w:rPr>
        <w:t>/</w:t>
      </w:r>
      <w:r>
        <w:t>online</w:t>
      </w:r>
      <w:r w:rsidRPr="004B77F6">
        <w:rPr>
          <w:lang w:val="ru-RU"/>
        </w:rPr>
        <w:t>-</w:t>
      </w:r>
      <w:r>
        <w:t>training</w:t>
      </w:r>
      <w:r w:rsidRPr="004B77F6">
        <w:rPr>
          <w:lang w:val="ru-RU"/>
        </w:rPr>
        <w:t>-</w:t>
      </w:r>
      <w:r>
        <w:t>courses</w:t>
      </w:r>
      <w:r w:rsidRPr="004B77F6">
        <w:rPr>
          <w:lang w:val="ru-RU"/>
        </w:rPr>
        <w:t>). На момент составления настоящего отчета информации об успешном или, напротив, неудавшемся проведении данного мероприятия не было.</w:t>
      </w:r>
    </w:p>
  </w:footnote>
  <w:footnote w:id="251">
    <w:p w14:paraId="435B98E5" w14:textId="6212D379" w:rsidR="004B77F6" w:rsidRPr="004B77F6" w:rsidRDefault="004B77F6" w:rsidP="00A105CB">
      <w:pPr>
        <w:pStyle w:val="FootnoteText"/>
        <w:rPr>
          <w:lang w:val="ru-RU"/>
        </w:rPr>
      </w:pPr>
      <w:r>
        <w:rPr>
          <w:rStyle w:val="FootnoteReference"/>
        </w:rPr>
        <w:footnoteRef/>
      </w:r>
      <w:r w:rsidRPr="004B77F6">
        <w:rPr>
          <w:lang w:val="ru-RU"/>
        </w:rPr>
        <w:t xml:space="preserve"> Обратите внимание, что в составе УООН есть два подразделения с полномочиями в области </w:t>
      </w:r>
      <w:r w:rsidR="00367DAA">
        <w:rPr>
          <w:lang w:val="ru-RU"/>
        </w:rPr>
        <w:t>развития потенциала и профессиональной подготовки</w:t>
      </w:r>
      <w:r w:rsidRPr="004B77F6">
        <w:rPr>
          <w:lang w:val="ru-RU"/>
        </w:rPr>
        <w:t xml:space="preserve"> в сфере цифровых технологий: Институт ООН в Макао и </w:t>
      </w:r>
      <w:r>
        <w:t>UNU</w:t>
      </w:r>
      <w:r w:rsidRPr="004B77F6">
        <w:rPr>
          <w:lang w:val="ru-RU"/>
        </w:rPr>
        <w:t>-</w:t>
      </w:r>
      <w:r>
        <w:t>eGov</w:t>
      </w:r>
      <w:r w:rsidRPr="004B77F6">
        <w:rPr>
          <w:lang w:val="ru-RU"/>
        </w:rPr>
        <w:t>.</w:t>
      </w:r>
    </w:p>
  </w:footnote>
  <w:footnote w:id="252">
    <w:p w14:paraId="2C056C40" w14:textId="1C8E5517" w:rsidR="004B77F6" w:rsidRPr="004B77F6" w:rsidRDefault="004B77F6" w:rsidP="00A105CB">
      <w:pPr>
        <w:pStyle w:val="FootnoteText"/>
        <w:rPr>
          <w:lang w:val="ru-RU"/>
        </w:rPr>
      </w:pPr>
      <w:r>
        <w:rPr>
          <w:rStyle w:val="FootnoteReference"/>
        </w:rPr>
        <w:footnoteRef/>
      </w:r>
      <w:r w:rsidRPr="004B77F6">
        <w:rPr>
          <w:lang w:val="ru-RU"/>
        </w:rPr>
        <w:t xml:space="preserve"> </w:t>
      </w:r>
      <w:r w:rsidR="00D577E1">
        <w:fldChar w:fldCharType="begin"/>
      </w:r>
      <w:r w:rsidR="00D577E1" w:rsidRPr="00D577E1">
        <w:rPr>
          <w:lang w:val="ru-RU"/>
        </w:rPr>
        <w:instrText xml:space="preserve"> </w:instrText>
      </w:r>
      <w:r w:rsidR="00D577E1">
        <w:instrText>HYPERLINK</w:instrText>
      </w:r>
      <w:r w:rsidR="00D577E1" w:rsidRPr="00D577E1">
        <w:rPr>
          <w:lang w:val="ru-RU"/>
        </w:rPr>
        <w:instrText xml:space="preserve"> "</w:instrText>
      </w:r>
      <w:r w:rsidR="00D577E1">
        <w:instrText>https</w:instrText>
      </w:r>
      <w:r w:rsidR="00D577E1" w:rsidRPr="00D577E1">
        <w:rPr>
          <w:lang w:val="ru-RU"/>
        </w:rPr>
        <w:instrText>://</w:instrText>
      </w:r>
      <w:r w:rsidR="00D577E1">
        <w:instrText>trainingcentre</w:instrText>
      </w:r>
      <w:r w:rsidR="00D577E1" w:rsidRPr="00D577E1">
        <w:rPr>
          <w:lang w:val="ru-RU"/>
        </w:rPr>
        <w:instrText>.</w:instrText>
      </w:r>
      <w:r w:rsidR="00D577E1">
        <w:instrText>unwomen</w:instrText>
      </w:r>
      <w:r w:rsidR="00D577E1" w:rsidRPr="00D577E1">
        <w:rPr>
          <w:lang w:val="ru-RU"/>
        </w:rPr>
        <w:instrText>.</w:instrText>
      </w:r>
      <w:r w:rsidR="00D577E1">
        <w:instrText>org</w:instrText>
      </w:r>
      <w:r w:rsidR="00D577E1" w:rsidRPr="00D577E1">
        <w:rPr>
          <w:lang w:val="ru-RU"/>
        </w:rPr>
        <w:instrText>/</w:instrText>
      </w:r>
      <w:r w:rsidR="00D577E1">
        <w:instrText>portal</w:instrText>
      </w:r>
      <w:r w:rsidR="00D577E1" w:rsidRPr="00D577E1">
        <w:rPr>
          <w:lang w:val="ru-RU"/>
        </w:rPr>
        <w:instrText xml:space="preserve">/" </w:instrText>
      </w:r>
      <w:r w:rsidR="00D577E1">
        <w:fldChar w:fldCharType="separate"/>
      </w:r>
      <w:r>
        <w:rPr>
          <w:rStyle w:val="Hyperlink"/>
        </w:rPr>
        <w:t>https</w:t>
      </w:r>
      <w:r w:rsidRPr="004B77F6">
        <w:rPr>
          <w:rStyle w:val="Hyperlink"/>
          <w:lang w:val="ru-RU"/>
        </w:rPr>
        <w:t>://</w:t>
      </w:r>
      <w:r>
        <w:rPr>
          <w:rStyle w:val="Hyperlink"/>
        </w:rPr>
        <w:t>trainingcentre</w:t>
      </w:r>
      <w:r w:rsidRPr="004B77F6">
        <w:rPr>
          <w:rStyle w:val="Hyperlink"/>
          <w:lang w:val="ru-RU"/>
        </w:rPr>
        <w:t>.</w:t>
      </w:r>
      <w:r>
        <w:rPr>
          <w:rStyle w:val="Hyperlink"/>
        </w:rPr>
        <w:t>unwomen</w:t>
      </w:r>
      <w:r w:rsidRPr="004B77F6">
        <w:rPr>
          <w:rStyle w:val="Hyperlink"/>
          <w:lang w:val="ru-RU"/>
        </w:rPr>
        <w:t>.</w:t>
      </w:r>
      <w:r>
        <w:rPr>
          <w:rStyle w:val="Hyperlink"/>
        </w:rPr>
        <w:t>org</w:t>
      </w:r>
      <w:r w:rsidRPr="004B77F6">
        <w:rPr>
          <w:rStyle w:val="Hyperlink"/>
          <w:lang w:val="ru-RU"/>
        </w:rPr>
        <w:t>/</w:t>
      </w:r>
      <w:r>
        <w:rPr>
          <w:rStyle w:val="Hyperlink"/>
        </w:rPr>
        <w:t>portal</w:t>
      </w:r>
      <w:r w:rsidRPr="004B77F6">
        <w:rPr>
          <w:rStyle w:val="Hyperlink"/>
          <w:lang w:val="ru-RU"/>
        </w:rPr>
        <w:t>/</w:t>
      </w:r>
      <w:r w:rsidR="00D577E1">
        <w:rPr>
          <w:rStyle w:val="Hyperlink"/>
          <w:lang w:val="ru-RU"/>
        </w:rPr>
        <w:fldChar w:fldCharType="end"/>
      </w:r>
      <w:r w:rsidRPr="004B77F6">
        <w:rPr>
          <w:lang w:val="ru-RU"/>
        </w:rPr>
        <w:t>. Данная структура создана в сотрудничестве с М</w:t>
      </w:r>
      <w:r w:rsidR="000D159E">
        <w:rPr>
          <w:lang w:val="ru-RU"/>
        </w:rPr>
        <w:t xml:space="preserve">УЦ </w:t>
      </w:r>
      <w:r w:rsidRPr="004B77F6">
        <w:rPr>
          <w:lang w:val="ru-RU"/>
        </w:rPr>
        <w:t>МОТ.</w:t>
      </w:r>
    </w:p>
  </w:footnote>
  <w:footnote w:id="253">
    <w:p w14:paraId="67168BAB" w14:textId="7C9B8F7D" w:rsidR="004B77F6" w:rsidRPr="004B77F6" w:rsidRDefault="004B77F6" w:rsidP="00A105CB">
      <w:pPr>
        <w:pStyle w:val="FootnoteText"/>
        <w:rPr>
          <w:lang w:val="ru-RU"/>
        </w:rPr>
      </w:pPr>
      <w:r>
        <w:rPr>
          <w:rStyle w:val="FootnoteReference"/>
        </w:rPr>
        <w:footnoteRef/>
      </w:r>
      <w:r w:rsidRPr="004B77F6">
        <w:rPr>
          <w:lang w:val="ru-RU"/>
        </w:rPr>
        <w:t xml:space="preserve"> Общий обзор работы ВОИС по </w:t>
      </w:r>
      <w:r w:rsidR="009421AE">
        <w:rPr>
          <w:lang w:val="ru-RU"/>
        </w:rPr>
        <w:t>развитию потенциала</w:t>
      </w:r>
      <w:r w:rsidRPr="004B77F6">
        <w:rPr>
          <w:lang w:val="ru-RU"/>
        </w:rPr>
        <w:t xml:space="preserve"> см. на </w:t>
      </w:r>
      <w:r w:rsidR="00D577E1">
        <w:fldChar w:fldCharType="begin"/>
      </w:r>
      <w:r w:rsidR="00D577E1" w:rsidRPr="00D577E1">
        <w:rPr>
          <w:lang w:val="ru-RU"/>
        </w:rPr>
        <w:instrText xml:space="preserve"> </w:instrText>
      </w:r>
      <w:r w:rsidR="00D577E1">
        <w:instrText>HYPERLINK</w:instrText>
      </w:r>
      <w:r w:rsidR="00D577E1" w:rsidRPr="00D577E1">
        <w:rPr>
          <w:lang w:val="ru-RU"/>
        </w:rPr>
        <w:instrText xml:space="preserve"> "</w:instrText>
      </w:r>
      <w:r w:rsidR="00D577E1">
        <w:instrText>https</w:instrText>
      </w:r>
      <w:r w:rsidR="00D577E1" w:rsidRPr="00D577E1">
        <w:rPr>
          <w:lang w:val="ru-RU"/>
        </w:rPr>
        <w:instrText>://</w:instrText>
      </w:r>
      <w:r w:rsidR="00D577E1">
        <w:instrText>www</w:instrText>
      </w:r>
      <w:r w:rsidR="00D577E1" w:rsidRPr="00D577E1">
        <w:rPr>
          <w:lang w:val="ru-RU"/>
        </w:rPr>
        <w:instrText>.</w:instrText>
      </w:r>
      <w:r w:rsidR="00D577E1">
        <w:instrText>wipo</w:instrText>
      </w:r>
      <w:r w:rsidR="00D577E1" w:rsidRPr="00D577E1">
        <w:rPr>
          <w:lang w:val="ru-RU"/>
        </w:rPr>
        <w:instrText>.</w:instrText>
      </w:r>
      <w:r w:rsidR="00D577E1">
        <w:instrText>int</w:instrText>
      </w:r>
      <w:r w:rsidR="00D577E1" w:rsidRPr="00D577E1">
        <w:rPr>
          <w:lang w:val="ru-RU"/>
        </w:rPr>
        <w:instrText>/</w:instrText>
      </w:r>
      <w:r w:rsidR="00D577E1">
        <w:instrText>cooperation</w:instrText>
      </w:r>
      <w:r w:rsidR="00D577E1" w:rsidRPr="00D577E1">
        <w:rPr>
          <w:lang w:val="ru-RU"/>
        </w:rPr>
        <w:instrText>/</w:instrText>
      </w:r>
      <w:r w:rsidR="00D577E1">
        <w:instrText>en</w:instrText>
      </w:r>
      <w:r w:rsidR="00D577E1" w:rsidRPr="00D577E1">
        <w:rPr>
          <w:lang w:val="ru-RU"/>
        </w:rPr>
        <w:instrText>/</w:instrText>
      </w:r>
      <w:r w:rsidR="00D577E1">
        <w:instrText>capacity</w:instrText>
      </w:r>
      <w:r w:rsidR="00D577E1" w:rsidRPr="00D577E1">
        <w:rPr>
          <w:lang w:val="ru-RU"/>
        </w:rPr>
        <w:instrText>_</w:instrText>
      </w:r>
      <w:r w:rsidR="00D577E1">
        <w:instrText>building</w:instrText>
      </w:r>
      <w:r w:rsidR="00D577E1" w:rsidRPr="00D577E1">
        <w:rPr>
          <w:lang w:val="ru-RU"/>
        </w:rPr>
        <w:instrText xml:space="preserve">/" </w:instrText>
      </w:r>
      <w:r w:rsidR="00D577E1">
        <w:fldChar w:fldCharType="separate"/>
      </w:r>
      <w:r>
        <w:rPr>
          <w:rStyle w:val="Hyperlink"/>
        </w:rPr>
        <w:t>https</w:t>
      </w:r>
      <w:r w:rsidRPr="004B77F6">
        <w:rPr>
          <w:rStyle w:val="Hyperlink"/>
          <w:lang w:val="ru-RU"/>
        </w:rPr>
        <w:t>://</w:t>
      </w:r>
      <w:r>
        <w:rPr>
          <w:rStyle w:val="Hyperlink"/>
        </w:rPr>
        <w:t>www</w:t>
      </w:r>
      <w:r w:rsidRPr="004B77F6">
        <w:rPr>
          <w:rStyle w:val="Hyperlink"/>
          <w:lang w:val="ru-RU"/>
        </w:rPr>
        <w:t>.</w:t>
      </w:r>
      <w:r>
        <w:rPr>
          <w:rStyle w:val="Hyperlink"/>
        </w:rPr>
        <w:t>wipo</w:t>
      </w:r>
      <w:r w:rsidRPr="004B77F6">
        <w:rPr>
          <w:rStyle w:val="Hyperlink"/>
          <w:lang w:val="ru-RU"/>
        </w:rPr>
        <w:t>.</w:t>
      </w:r>
      <w:r>
        <w:rPr>
          <w:rStyle w:val="Hyperlink"/>
        </w:rPr>
        <w:t>int</w:t>
      </w:r>
      <w:r w:rsidRPr="004B77F6">
        <w:rPr>
          <w:rStyle w:val="Hyperlink"/>
          <w:lang w:val="ru-RU"/>
        </w:rPr>
        <w:t>/</w:t>
      </w:r>
      <w:r>
        <w:rPr>
          <w:rStyle w:val="Hyperlink"/>
        </w:rPr>
        <w:t>cooperation</w:t>
      </w:r>
      <w:r w:rsidRPr="004B77F6">
        <w:rPr>
          <w:rStyle w:val="Hyperlink"/>
          <w:lang w:val="ru-RU"/>
        </w:rPr>
        <w:t>/</w:t>
      </w:r>
      <w:r>
        <w:rPr>
          <w:rStyle w:val="Hyperlink"/>
        </w:rPr>
        <w:t>en</w:t>
      </w:r>
      <w:r w:rsidRPr="004B77F6">
        <w:rPr>
          <w:rStyle w:val="Hyperlink"/>
          <w:lang w:val="ru-RU"/>
        </w:rPr>
        <w:t>/</w:t>
      </w:r>
      <w:r>
        <w:rPr>
          <w:rStyle w:val="Hyperlink"/>
        </w:rPr>
        <w:t>capacity</w:t>
      </w:r>
      <w:r w:rsidRPr="004B77F6">
        <w:rPr>
          <w:rStyle w:val="Hyperlink"/>
          <w:lang w:val="ru-RU"/>
        </w:rPr>
        <w:t>_</w:t>
      </w:r>
      <w:r>
        <w:rPr>
          <w:rStyle w:val="Hyperlink"/>
        </w:rPr>
        <w:t>building</w:t>
      </w:r>
      <w:r w:rsidRPr="004B77F6">
        <w:rPr>
          <w:rStyle w:val="Hyperlink"/>
          <w:lang w:val="ru-RU"/>
        </w:rPr>
        <w:t>/</w:t>
      </w:r>
      <w:r w:rsidR="00D577E1">
        <w:rPr>
          <w:rStyle w:val="Hyperlink"/>
          <w:lang w:val="ru-RU"/>
        </w:rPr>
        <w:fldChar w:fldCharType="end"/>
      </w:r>
      <w:r w:rsidRPr="004B77F6">
        <w:rPr>
          <w:lang w:val="ru-RU"/>
        </w:rPr>
        <w:t xml:space="preserve">; информация по Академии профессиональной подготовки приводится на </w:t>
      </w:r>
      <w:hyperlink r:id="rId67" w:history="1">
        <w:r>
          <w:rPr>
            <w:rStyle w:val="Hyperlink"/>
          </w:rPr>
          <w:t>https</w:t>
        </w:r>
        <w:r w:rsidRPr="004B77F6">
          <w:rPr>
            <w:rStyle w:val="Hyperlink"/>
            <w:lang w:val="ru-RU"/>
          </w:rPr>
          <w:t>://</w:t>
        </w:r>
        <w:r>
          <w:rPr>
            <w:rStyle w:val="Hyperlink"/>
          </w:rPr>
          <w:t>www</w:t>
        </w:r>
        <w:r w:rsidRPr="004B77F6">
          <w:rPr>
            <w:rStyle w:val="Hyperlink"/>
            <w:lang w:val="ru-RU"/>
          </w:rPr>
          <w:t>.</w:t>
        </w:r>
        <w:r>
          <w:rPr>
            <w:rStyle w:val="Hyperlink"/>
          </w:rPr>
          <w:t>wipo</w:t>
        </w:r>
        <w:r w:rsidRPr="004B77F6">
          <w:rPr>
            <w:rStyle w:val="Hyperlink"/>
            <w:lang w:val="ru-RU"/>
          </w:rPr>
          <w:t>.</w:t>
        </w:r>
        <w:r>
          <w:rPr>
            <w:rStyle w:val="Hyperlink"/>
          </w:rPr>
          <w:t>int</w:t>
        </w:r>
        <w:r w:rsidRPr="004B77F6">
          <w:rPr>
            <w:rStyle w:val="Hyperlink"/>
            <w:lang w:val="ru-RU"/>
          </w:rPr>
          <w:t>/</w:t>
        </w:r>
        <w:r>
          <w:rPr>
            <w:rStyle w:val="Hyperlink"/>
          </w:rPr>
          <w:t>academy</w:t>
        </w:r>
        <w:r w:rsidRPr="004B77F6">
          <w:rPr>
            <w:rStyle w:val="Hyperlink"/>
            <w:lang w:val="ru-RU"/>
          </w:rPr>
          <w:t>/</w:t>
        </w:r>
        <w:r>
          <w:rPr>
            <w:rStyle w:val="Hyperlink"/>
          </w:rPr>
          <w:t>en</w:t>
        </w:r>
        <w:r w:rsidRPr="004B77F6">
          <w:rPr>
            <w:rStyle w:val="Hyperlink"/>
            <w:lang w:val="ru-RU"/>
          </w:rPr>
          <w:t>/</w:t>
        </w:r>
      </w:hyperlink>
      <w:r w:rsidRPr="004B77F6">
        <w:rPr>
          <w:lang w:val="ru-RU"/>
        </w:rPr>
        <w:t xml:space="preserve">. </w:t>
      </w:r>
    </w:p>
  </w:footnote>
  <w:footnote w:id="254">
    <w:p w14:paraId="66F916B4" w14:textId="6564288C" w:rsidR="004B77F6" w:rsidRPr="004B77F6" w:rsidRDefault="004B77F6" w:rsidP="00A105CB">
      <w:pPr>
        <w:pStyle w:val="FootnoteText"/>
        <w:rPr>
          <w:lang w:val="ru-RU"/>
        </w:rPr>
      </w:pPr>
      <w:r>
        <w:rPr>
          <w:rStyle w:val="FootnoteReference"/>
        </w:rPr>
        <w:footnoteRef/>
      </w:r>
      <w:r w:rsidRPr="004B77F6">
        <w:rPr>
          <w:lang w:val="ru-RU"/>
        </w:rPr>
        <w:t xml:space="preserve"> Приведенные здесь цифры основаны на результатах поиска по каждой теме на сайте </w:t>
      </w:r>
      <w:r>
        <w:t>Open</w:t>
      </w:r>
      <w:r w:rsidRPr="004B77F6">
        <w:rPr>
          <w:lang w:val="ru-RU"/>
        </w:rPr>
        <w:t xml:space="preserve"> </w:t>
      </w:r>
      <w:r>
        <w:t>Learning</w:t>
      </w:r>
      <w:r w:rsidRPr="004B77F6">
        <w:rPr>
          <w:lang w:val="ru-RU"/>
        </w:rPr>
        <w:t xml:space="preserve"> </w:t>
      </w:r>
      <w:r>
        <w:t>Campus</w:t>
      </w:r>
      <w:r w:rsidRPr="004B77F6">
        <w:rPr>
          <w:lang w:val="ru-RU"/>
        </w:rPr>
        <w:t xml:space="preserve"> Банка (включая Академию </w:t>
      </w:r>
      <w:r>
        <w:t>WBa</w:t>
      </w:r>
      <w:r w:rsidRPr="004B77F6">
        <w:rPr>
          <w:lang w:val="ru-RU"/>
        </w:rPr>
        <w:t xml:space="preserve">), где также приводится много дополнительных возможностей </w:t>
      </w:r>
      <w:r w:rsidR="00367DAA">
        <w:rPr>
          <w:lang w:val="ru-RU"/>
        </w:rPr>
        <w:t>по развитию потенциала и профессиональной подготовке</w:t>
      </w:r>
      <w:r>
        <w:t> </w:t>
      </w:r>
      <w:r w:rsidRPr="004B77F6">
        <w:rPr>
          <w:lang w:val="ru-RU"/>
        </w:rPr>
        <w:t xml:space="preserve">— см. </w:t>
      </w:r>
      <w:r w:rsidR="00D577E1">
        <w:fldChar w:fldCharType="begin"/>
      </w:r>
      <w:r w:rsidR="00D577E1" w:rsidRPr="00D577E1">
        <w:rPr>
          <w:lang w:val="ru-RU"/>
        </w:rPr>
        <w:instrText xml:space="preserve"> </w:instrText>
      </w:r>
      <w:r w:rsidR="00D577E1">
        <w:instrText>HYPERLINK</w:instrText>
      </w:r>
      <w:r w:rsidR="00D577E1" w:rsidRPr="00D577E1">
        <w:rPr>
          <w:lang w:val="ru-RU"/>
        </w:rPr>
        <w:instrText xml:space="preserve"> "</w:instrText>
      </w:r>
      <w:r w:rsidR="00D577E1">
        <w:instrText>https</w:instrText>
      </w:r>
      <w:r w:rsidR="00D577E1" w:rsidRPr="00D577E1">
        <w:rPr>
          <w:lang w:val="ru-RU"/>
        </w:rPr>
        <w:instrText>://</w:instrText>
      </w:r>
      <w:r w:rsidR="00D577E1">
        <w:instrText>olc</w:instrText>
      </w:r>
      <w:r w:rsidR="00D577E1" w:rsidRPr="00D577E1">
        <w:rPr>
          <w:lang w:val="ru-RU"/>
        </w:rPr>
        <w:instrText>.</w:instrText>
      </w:r>
      <w:r w:rsidR="00D577E1">
        <w:instrText>worldbank</w:instrText>
      </w:r>
      <w:r w:rsidR="00D577E1" w:rsidRPr="00D577E1">
        <w:rPr>
          <w:lang w:val="ru-RU"/>
        </w:rPr>
        <w:instrText>.</w:instrText>
      </w:r>
      <w:r w:rsidR="00D577E1">
        <w:instrText>org</w:instrText>
      </w:r>
      <w:r w:rsidR="00D577E1" w:rsidRPr="00D577E1">
        <w:rPr>
          <w:lang w:val="ru-RU"/>
        </w:rPr>
        <w:instrText xml:space="preserve">/" </w:instrText>
      </w:r>
      <w:r w:rsidR="00D577E1">
        <w:fldChar w:fldCharType="separate"/>
      </w:r>
      <w:r>
        <w:rPr>
          <w:rStyle w:val="Hyperlink"/>
        </w:rPr>
        <w:t>https</w:t>
      </w:r>
      <w:r w:rsidRPr="004B77F6">
        <w:rPr>
          <w:rStyle w:val="Hyperlink"/>
          <w:lang w:val="ru-RU"/>
        </w:rPr>
        <w:t>://</w:t>
      </w:r>
      <w:r>
        <w:rPr>
          <w:rStyle w:val="Hyperlink"/>
        </w:rPr>
        <w:t>olc</w:t>
      </w:r>
      <w:r w:rsidRPr="004B77F6">
        <w:rPr>
          <w:rStyle w:val="Hyperlink"/>
          <w:lang w:val="ru-RU"/>
        </w:rPr>
        <w:t>.</w:t>
      </w:r>
      <w:r>
        <w:rPr>
          <w:rStyle w:val="Hyperlink"/>
        </w:rPr>
        <w:t>worldbank</w:t>
      </w:r>
      <w:r w:rsidRPr="004B77F6">
        <w:rPr>
          <w:rStyle w:val="Hyperlink"/>
          <w:lang w:val="ru-RU"/>
        </w:rPr>
        <w:t>.</w:t>
      </w:r>
      <w:r>
        <w:rPr>
          <w:rStyle w:val="Hyperlink"/>
        </w:rPr>
        <w:t>org</w:t>
      </w:r>
      <w:r w:rsidRPr="004B77F6">
        <w:rPr>
          <w:rStyle w:val="Hyperlink"/>
          <w:lang w:val="ru-RU"/>
        </w:rPr>
        <w:t>/</w:t>
      </w:r>
      <w:r w:rsidR="00D577E1">
        <w:rPr>
          <w:rStyle w:val="Hyperlink"/>
          <w:lang w:val="ru-RU"/>
        </w:rPr>
        <w:fldChar w:fldCharType="end"/>
      </w:r>
      <w:r w:rsidRPr="004B77F6">
        <w:rPr>
          <w:lang w:val="ru-RU"/>
        </w:rPr>
        <w:t xml:space="preserve">. Группа Всемирного банка уже давно проводит мероприятия </w:t>
      </w:r>
      <w:r w:rsidR="00367DAA">
        <w:rPr>
          <w:lang w:val="ru-RU"/>
        </w:rPr>
        <w:t>по развитию потенциала и профессиональной подготовке</w:t>
      </w:r>
      <w:r w:rsidRPr="004B77F6">
        <w:rPr>
          <w:lang w:val="ru-RU"/>
        </w:rPr>
        <w:t xml:space="preserve"> (см., например, </w:t>
      </w:r>
      <w:hyperlink r:id="rId68" w:history="1">
        <w:r>
          <w:rPr>
            <w:rStyle w:val="Hyperlink"/>
          </w:rPr>
          <w:t>https</w:t>
        </w:r>
        <w:r w:rsidRPr="004B77F6">
          <w:rPr>
            <w:rStyle w:val="Hyperlink"/>
            <w:lang w:val="ru-RU"/>
          </w:rPr>
          <w:t>://</w:t>
        </w:r>
        <w:r>
          <w:rPr>
            <w:rStyle w:val="Hyperlink"/>
          </w:rPr>
          <w:t>web</w:t>
        </w:r>
        <w:r w:rsidRPr="004B77F6">
          <w:rPr>
            <w:rStyle w:val="Hyperlink"/>
            <w:lang w:val="ru-RU"/>
          </w:rPr>
          <w:t>.</w:t>
        </w:r>
        <w:r>
          <w:rPr>
            <w:rStyle w:val="Hyperlink"/>
          </w:rPr>
          <w:t>worldbank</w:t>
        </w:r>
        <w:r w:rsidRPr="004B77F6">
          <w:rPr>
            <w:rStyle w:val="Hyperlink"/>
            <w:lang w:val="ru-RU"/>
          </w:rPr>
          <w:t>.</w:t>
        </w:r>
        <w:r>
          <w:rPr>
            <w:rStyle w:val="Hyperlink"/>
          </w:rPr>
          <w:t>org</w:t>
        </w:r>
        <w:r w:rsidRPr="004B77F6">
          <w:rPr>
            <w:rStyle w:val="Hyperlink"/>
            <w:lang w:val="ru-RU"/>
          </w:rPr>
          <w:t>/</w:t>
        </w:r>
        <w:r>
          <w:rPr>
            <w:rStyle w:val="Hyperlink"/>
          </w:rPr>
          <w:t>archive</w:t>
        </w:r>
        <w:r w:rsidRPr="004B77F6">
          <w:rPr>
            <w:rStyle w:val="Hyperlink"/>
            <w:lang w:val="ru-RU"/>
          </w:rPr>
          <w:t>/</w:t>
        </w:r>
        <w:r>
          <w:rPr>
            <w:rStyle w:val="Hyperlink"/>
          </w:rPr>
          <w:t>website</w:t>
        </w:r>
        <w:r w:rsidRPr="004B77F6">
          <w:rPr>
            <w:rStyle w:val="Hyperlink"/>
            <w:lang w:val="ru-RU"/>
          </w:rPr>
          <w:t>00001/</w:t>
        </w:r>
        <w:r>
          <w:rPr>
            <w:rStyle w:val="Hyperlink"/>
          </w:rPr>
          <w:t>WEB</w:t>
        </w:r>
        <w:r w:rsidRPr="004B77F6">
          <w:rPr>
            <w:rStyle w:val="Hyperlink"/>
            <w:lang w:val="ru-RU"/>
          </w:rPr>
          <w:t>/1</w:t>
        </w:r>
        <w:r>
          <w:rPr>
            <w:rStyle w:val="Hyperlink"/>
          </w:rPr>
          <w:t>ABOUT</w:t>
        </w:r>
        <w:r w:rsidRPr="004B77F6">
          <w:rPr>
            <w:rStyle w:val="Hyperlink"/>
            <w:lang w:val="ru-RU"/>
          </w:rPr>
          <w:t>.</w:t>
        </w:r>
        <w:r>
          <w:rPr>
            <w:rStyle w:val="Hyperlink"/>
          </w:rPr>
          <w:t>HTM</w:t>
        </w:r>
      </w:hyperlink>
      <w:r w:rsidRPr="004B77F6">
        <w:rPr>
          <w:lang w:val="ru-RU"/>
        </w:rPr>
        <w:t xml:space="preserve"> и </w:t>
      </w:r>
      <w:hyperlink r:id="rId69" w:history="1">
        <w:r>
          <w:rPr>
            <w:rStyle w:val="Hyperlink"/>
          </w:rPr>
          <w:t>https</w:t>
        </w:r>
        <w:r w:rsidRPr="004B77F6">
          <w:rPr>
            <w:rStyle w:val="Hyperlink"/>
            <w:lang w:val="ru-RU"/>
          </w:rPr>
          <w:t>://</w:t>
        </w:r>
        <w:r>
          <w:rPr>
            <w:rStyle w:val="Hyperlink"/>
          </w:rPr>
          <w:t>openknowledge</w:t>
        </w:r>
        <w:r w:rsidRPr="004B77F6">
          <w:rPr>
            <w:rStyle w:val="Hyperlink"/>
            <w:lang w:val="ru-RU"/>
          </w:rPr>
          <w:t>.</w:t>
        </w:r>
        <w:r>
          <w:rPr>
            <w:rStyle w:val="Hyperlink"/>
          </w:rPr>
          <w:t>worldbank</w:t>
        </w:r>
        <w:r w:rsidRPr="004B77F6">
          <w:rPr>
            <w:rStyle w:val="Hyperlink"/>
            <w:lang w:val="ru-RU"/>
          </w:rPr>
          <w:t>.</w:t>
        </w:r>
        <w:r>
          <w:rPr>
            <w:rStyle w:val="Hyperlink"/>
          </w:rPr>
          <w:t>org</w:t>
        </w:r>
        <w:r w:rsidRPr="004B77F6">
          <w:rPr>
            <w:rStyle w:val="Hyperlink"/>
            <w:lang w:val="ru-RU"/>
          </w:rPr>
          <w:t>/</w:t>
        </w:r>
        <w:r>
          <w:rPr>
            <w:rStyle w:val="Hyperlink"/>
          </w:rPr>
          <w:t>handle</w:t>
        </w:r>
        <w:r w:rsidRPr="004B77F6">
          <w:rPr>
            <w:rStyle w:val="Hyperlink"/>
            <w:lang w:val="ru-RU"/>
          </w:rPr>
          <w:t>/10986/6312</w:t>
        </w:r>
      </w:hyperlink>
      <w:r w:rsidRPr="004B77F6">
        <w:rPr>
          <w:lang w:val="ru-RU"/>
        </w:rPr>
        <w:t xml:space="preserve">). Всемирный банк также проводит активную деятельность по </w:t>
      </w:r>
      <w:r w:rsidR="009421AE">
        <w:rPr>
          <w:lang w:val="ru-RU"/>
        </w:rPr>
        <w:t>развитию потенциала</w:t>
      </w:r>
      <w:r w:rsidRPr="004B77F6">
        <w:rPr>
          <w:lang w:val="ru-RU"/>
        </w:rPr>
        <w:t xml:space="preserve"> и профессиональной подготовке, помимо мероприятий, перечисленных на сайте </w:t>
      </w:r>
      <w:r>
        <w:t>OLC</w:t>
      </w:r>
      <w:r w:rsidRPr="004B77F6">
        <w:rPr>
          <w:lang w:val="ru-RU"/>
        </w:rPr>
        <w:t xml:space="preserve">. Такая статистика приводится, например, на </w:t>
      </w:r>
      <w:hyperlink r:id="rId70" w:history="1">
        <w:r>
          <w:rPr>
            <w:rStyle w:val="Hyperlink"/>
          </w:rPr>
          <w:t>https</w:t>
        </w:r>
        <w:r w:rsidRPr="004B77F6">
          <w:rPr>
            <w:rStyle w:val="Hyperlink"/>
            <w:lang w:val="ru-RU"/>
          </w:rPr>
          <w:t>://</w:t>
        </w:r>
        <w:r>
          <w:rPr>
            <w:rStyle w:val="Hyperlink"/>
          </w:rPr>
          <w:t>www</w:t>
        </w:r>
        <w:r w:rsidRPr="004B77F6">
          <w:rPr>
            <w:rStyle w:val="Hyperlink"/>
            <w:lang w:val="ru-RU"/>
          </w:rPr>
          <w:t>.</w:t>
        </w:r>
        <w:r>
          <w:rPr>
            <w:rStyle w:val="Hyperlink"/>
          </w:rPr>
          <w:t>worldbank</w:t>
        </w:r>
        <w:r w:rsidRPr="004B77F6">
          <w:rPr>
            <w:rStyle w:val="Hyperlink"/>
            <w:lang w:val="ru-RU"/>
          </w:rPr>
          <w:t>.</w:t>
        </w:r>
        <w:r>
          <w:rPr>
            <w:rStyle w:val="Hyperlink"/>
          </w:rPr>
          <w:t>org</w:t>
        </w:r>
        <w:r w:rsidRPr="004B77F6">
          <w:rPr>
            <w:rStyle w:val="Hyperlink"/>
            <w:lang w:val="ru-RU"/>
          </w:rPr>
          <w:t>/</w:t>
        </w:r>
        <w:r>
          <w:rPr>
            <w:rStyle w:val="Hyperlink"/>
          </w:rPr>
          <w:t>en</w:t>
        </w:r>
        <w:r w:rsidRPr="004B77F6">
          <w:rPr>
            <w:rStyle w:val="Hyperlink"/>
            <w:lang w:val="ru-RU"/>
          </w:rPr>
          <w:t>/</w:t>
        </w:r>
        <w:r>
          <w:rPr>
            <w:rStyle w:val="Hyperlink"/>
          </w:rPr>
          <w:t>data</w:t>
        </w:r>
        <w:r w:rsidRPr="004B77F6">
          <w:rPr>
            <w:rStyle w:val="Hyperlink"/>
            <w:lang w:val="ru-RU"/>
          </w:rPr>
          <w:t>/</w:t>
        </w:r>
        <w:r>
          <w:rPr>
            <w:rStyle w:val="Hyperlink"/>
          </w:rPr>
          <w:t>statistical</w:t>
        </w:r>
        <w:r w:rsidRPr="004B77F6">
          <w:rPr>
            <w:rStyle w:val="Hyperlink"/>
            <w:lang w:val="ru-RU"/>
          </w:rPr>
          <w:t>-</w:t>
        </w:r>
        <w:r>
          <w:rPr>
            <w:rStyle w:val="Hyperlink"/>
          </w:rPr>
          <w:t>capacity</w:t>
        </w:r>
        <w:r w:rsidRPr="004B77F6">
          <w:rPr>
            <w:rStyle w:val="Hyperlink"/>
            <w:lang w:val="ru-RU"/>
          </w:rPr>
          <w:t>-</w:t>
        </w:r>
        <w:r>
          <w:rPr>
            <w:rStyle w:val="Hyperlink"/>
          </w:rPr>
          <w:t>building</w:t>
        </w:r>
      </w:hyperlink>
      <w:r w:rsidRPr="004B77F6">
        <w:rPr>
          <w:lang w:val="ru-RU"/>
        </w:rPr>
        <w:t>.</w:t>
      </w:r>
      <w:r w:rsidR="00A579EF">
        <w:rPr>
          <w:lang w:val="ru-RU"/>
        </w:rPr>
        <w:t xml:space="preserve"> </w:t>
      </w:r>
    </w:p>
  </w:footnote>
  <w:footnote w:id="255">
    <w:p w14:paraId="7CE8F3B1" w14:textId="40C77122" w:rsidR="004B77F6" w:rsidRPr="004B77F6" w:rsidRDefault="004B77F6" w:rsidP="00A105CB">
      <w:pPr>
        <w:pStyle w:val="FootnoteText"/>
        <w:rPr>
          <w:lang w:val="ru-RU"/>
        </w:rPr>
      </w:pPr>
      <w:r>
        <w:rPr>
          <w:rStyle w:val="FootnoteReference"/>
        </w:rPr>
        <w:footnoteRef/>
      </w:r>
      <w:r w:rsidRPr="004B77F6">
        <w:rPr>
          <w:lang w:val="ru-RU"/>
        </w:rPr>
        <w:t xml:space="preserve"> Источник: документы, предоставленные БРЭ, с заголовком </w:t>
      </w:r>
      <w:r w:rsidR="006E72AD">
        <w:rPr>
          <w:lang w:val="ru-RU"/>
        </w:rPr>
        <w:t>"</w:t>
      </w:r>
      <w:r w:rsidRPr="004B77F6">
        <w:rPr>
          <w:lang w:val="ru-RU"/>
        </w:rPr>
        <w:t>Специалисты по...</w:t>
      </w:r>
      <w:r w:rsidR="006E72AD">
        <w:rPr>
          <w:lang w:val="ru-RU"/>
        </w:rPr>
        <w:t>"</w:t>
      </w:r>
      <w:r w:rsidRPr="004B77F6">
        <w:rPr>
          <w:lang w:val="ru-RU"/>
        </w:rPr>
        <w:t xml:space="preserve"> в каждой из четырех программ.</w:t>
      </w:r>
    </w:p>
  </w:footnote>
  <w:footnote w:id="256">
    <w:p w14:paraId="0FD9DA9E" w14:textId="0D0AE2B5" w:rsidR="004B77F6" w:rsidRPr="004B77F6" w:rsidRDefault="004B77F6" w:rsidP="00A105CB">
      <w:pPr>
        <w:pStyle w:val="FootnoteText"/>
        <w:rPr>
          <w:lang w:val="ru-RU"/>
        </w:rPr>
      </w:pPr>
      <w:r>
        <w:rPr>
          <w:rStyle w:val="FootnoteReference"/>
        </w:rPr>
        <w:footnoteRef/>
      </w:r>
      <w:r w:rsidRPr="004B77F6">
        <w:rPr>
          <w:lang w:val="ru-RU"/>
        </w:rPr>
        <w:t xml:space="preserve"> </w:t>
      </w:r>
      <w:r w:rsidR="00D577E1">
        <w:fldChar w:fldCharType="begin"/>
      </w:r>
      <w:r w:rsidR="00D577E1" w:rsidRPr="00D577E1">
        <w:rPr>
          <w:lang w:val="ru-RU"/>
        </w:rPr>
        <w:instrText xml:space="preserve"> </w:instrText>
      </w:r>
      <w:r w:rsidR="00D577E1">
        <w:instrText>HYPERLINK</w:instrText>
      </w:r>
      <w:r w:rsidR="00D577E1" w:rsidRPr="00D577E1">
        <w:rPr>
          <w:lang w:val="ru-RU"/>
        </w:rPr>
        <w:instrText xml:space="preserve"> "</w:instrText>
      </w:r>
      <w:r w:rsidR="00D577E1">
        <w:instrText>https</w:instrText>
      </w:r>
      <w:r w:rsidR="00D577E1" w:rsidRPr="00D577E1">
        <w:rPr>
          <w:lang w:val="ru-RU"/>
        </w:rPr>
        <w:instrText>://</w:instrText>
      </w:r>
      <w:r w:rsidR="00D577E1">
        <w:instrText>support</w:instrText>
      </w:r>
      <w:r w:rsidR="00D577E1" w:rsidRPr="00D577E1">
        <w:rPr>
          <w:lang w:val="ru-RU"/>
        </w:rPr>
        <w:instrText>.</w:instrText>
      </w:r>
      <w:r w:rsidR="00D577E1">
        <w:instrText>google</w:instrText>
      </w:r>
      <w:r w:rsidR="00D577E1" w:rsidRPr="00D577E1">
        <w:rPr>
          <w:lang w:val="ru-RU"/>
        </w:rPr>
        <w:instrText>.</w:instrText>
      </w:r>
      <w:r w:rsidR="00D577E1">
        <w:instrText>com</w:instrText>
      </w:r>
      <w:r w:rsidR="00D577E1" w:rsidRPr="00D577E1">
        <w:rPr>
          <w:lang w:val="ru-RU"/>
        </w:rPr>
        <w:instrText>/</w:instrText>
      </w:r>
      <w:r w:rsidR="00D577E1">
        <w:instrText>jamboard</w:instrText>
      </w:r>
      <w:r w:rsidR="00D577E1" w:rsidRPr="00D577E1">
        <w:rPr>
          <w:lang w:val="ru-RU"/>
        </w:rPr>
        <w:instrText>/</w:instrText>
      </w:r>
      <w:r w:rsidR="00D577E1">
        <w:instrText>answer</w:instrText>
      </w:r>
      <w:r w:rsidR="00D577E1" w:rsidRPr="00D577E1">
        <w:rPr>
          <w:lang w:val="ru-RU"/>
        </w:rPr>
        <w:instrText>/7424836?</w:instrText>
      </w:r>
      <w:r w:rsidR="00D577E1">
        <w:instrText>hl</w:instrText>
      </w:r>
      <w:r w:rsidR="00D577E1" w:rsidRPr="00D577E1">
        <w:rPr>
          <w:lang w:val="ru-RU"/>
        </w:rPr>
        <w:instrText>=</w:instrText>
      </w:r>
      <w:r w:rsidR="00D577E1">
        <w:instrText>en</w:instrText>
      </w:r>
      <w:r w:rsidR="00D577E1" w:rsidRPr="00D577E1">
        <w:rPr>
          <w:lang w:val="ru-RU"/>
        </w:rPr>
        <w:instrText xml:space="preserve">" </w:instrText>
      </w:r>
      <w:r w:rsidR="00D577E1">
        <w:fldChar w:fldCharType="separate"/>
      </w:r>
      <w:r w:rsidR="00CD4D96" w:rsidRPr="00DB48CA">
        <w:rPr>
          <w:rStyle w:val="Hyperlink"/>
        </w:rPr>
        <w:t>https</w:t>
      </w:r>
      <w:r w:rsidR="00CD4D96" w:rsidRPr="00DB48CA">
        <w:rPr>
          <w:rStyle w:val="Hyperlink"/>
          <w:lang w:val="ru-RU"/>
        </w:rPr>
        <w:t>://</w:t>
      </w:r>
      <w:r w:rsidR="00CD4D96" w:rsidRPr="00DB48CA">
        <w:rPr>
          <w:rStyle w:val="Hyperlink"/>
        </w:rPr>
        <w:t>support</w:t>
      </w:r>
      <w:r w:rsidR="00CD4D96" w:rsidRPr="00DB48CA">
        <w:rPr>
          <w:rStyle w:val="Hyperlink"/>
          <w:lang w:val="ru-RU"/>
        </w:rPr>
        <w:t>.</w:t>
      </w:r>
      <w:r w:rsidR="00CD4D96" w:rsidRPr="00DB48CA">
        <w:rPr>
          <w:rStyle w:val="Hyperlink"/>
        </w:rPr>
        <w:t>google</w:t>
      </w:r>
      <w:r w:rsidR="00CD4D96" w:rsidRPr="00DB48CA">
        <w:rPr>
          <w:rStyle w:val="Hyperlink"/>
          <w:lang w:val="ru-RU"/>
        </w:rPr>
        <w:t>.</w:t>
      </w:r>
      <w:r w:rsidR="00CD4D96" w:rsidRPr="00DB48CA">
        <w:rPr>
          <w:rStyle w:val="Hyperlink"/>
        </w:rPr>
        <w:t>com</w:t>
      </w:r>
      <w:r w:rsidR="00CD4D96" w:rsidRPr="00DB48CA">
        <w:rPr>
          <w:rStyle w:val="Hyperlink"/>
          <w:lang w:val="ru-RU"/>
        </w:rPr>
        <w:t>/</w:t>
      </w:r>
      <w:r w:rsidR="00CD4D96" w:rsidRPr="00DB48CA">
        <w:rPr>
          <w:rStyle w:val="Hyperlink"/>
        </w:rPr>
        <w:t>jamboard</w:t>
      </w:r>
      <w:r w:rsidR="00CD4D96" w:rsidRPr="00DB48CA">
        <w:rPr>
          <w:rStyle w:val="Hyperlink"/>
          <w:lang w:val="ru-RU"/>
        </w:rPr>
        <w:t>/</w:t>
      </w:r>
      <w:r w:rsidR="00CD4D96" w:rsidRPr="00DB48CA">
        <w:rPr>
          <w:rStyle w:val="Hyperlink"/>
        </w:rPr>
        <w:t>answer</w:t>
      </w:r>
      <w:r w:rsidR="00CD4D96" w:rsidRPr="00DB48CA">
        <w:rPr>
          <w:rStyle w:val="Hyperlink"/>
          <w:lang w:val="ru-RU"/>
        </w:rPr>
        <w:t>/7424836?</w:t>
      </w:r>
      <w:r w:rsidR="00CD4D96" w:rsidRPr="00DB48CA">
        <w:rPr>
          <w:rStyle w:val="Hyperlink"/>
        </w:rPr>
        <w:t>hl</w:t>
      </w:r>
      <w:r w:rsidR="00CD4D96" w:rsidRPr="00DB48CA">
        <w:rPr>
          <w:rStyle w:val="Hyperlink"/>
          <w:lang w:val="ru-RU"/>
        </w:rPr>
        <w:t>=</w:t>
      </w:r>
      <w:r w:rsidR="00CD4D96" w:rsidRPr="00DB48CA">
        <w:rPr>
          <w:rStyle w:val="Hyperlink"/>
        </w:rPr>
        <w:t>en</w:t>
      </w:r>
      <w:r w:rsidR="00D577E1">
        <w:rPr>
          <w:rStyle w:val="Hyperlink"/>
        </w:rPr>
        <w:fldChar w:fldCharType="end"/>
      </w:r>
      <w:r w:rsidR="00CD4D96">
        <w:rPr>
          <w:lang w:val="ru-RU"/>
        </w:rPr>
        <w:t>.</w:t>
      </w:r>
    </w:p>
  </w:footnote>
  <w:footnote w:id="257">
    <w:p w14:paraId="33A4A90E" w14:textId="77777777" w:rsidR="004B77F6" w:rsidRPr="004B77F6" w:rsidRDefault="004B77F6" w:rsidP="00A105CB">
      <w:pPr>
        <w:pStyle w:val="FootnoteText"/>
        <w:rPr>
          <w:lang w:val="ru-RU"/>
        </w:rPr>
      </w:pPr>
      <w:r>
        <w:rPr>
          <w:rStyle w:val="FootnoteReference"/>
        </w:rPr>
        <w:footnoteRef/>
      </w:r>
      <w:r w:rsidRPr="004B77F6">
        <w:rPr>
          <w:lang w:val="ru-RU"/>
        </w:rPr>
        <w:t xml:space="preserve"> С учетом персонала, работающего как в настоящее время, так и в недалеком прошлом; количество людей, которые больше не работают в указанных организациях ввиду недавних изменений в кадровом составе, очень невелико.</w:t>
      </w:r>
    </w:p>
  </w:footnote>
  <w:footnote w:id="258">
    <w:p w14:paraId="4EF646C4" w14:textId="22F28498" w:rsidR="004B77F6" w:rsidRPr="00032E0B" w:rsidRDefault="004B77F6" w:rsidP="00A105CB">
      <w:pPr>
        <w:pStyle w:val="FootnoteText"/>
        <w:rPr>
          <w:lang w:val="ru-RU"/>
        </w:rPr>
      </w:pPr>
      <w:r>
        <w:rPr>
          <w:rStyle w:val="FootnoteReference"/>
        </w:rPr>
        <w:footnoteRef/>
      </w:r>
      <w:r w:rsidRPr="004B77F6">
        <w:rPr>
          <w:lang w:val="ru-RU"/>
        </w:rPr>
        <w:t xml:space="preserve"> Включая технологические компании, неприбыльные организации и организации (в том числе организации-члены), обеспечивающие </w:t>
      </w:r>
      <w:r w:rsidR="00367DAA">
        <w:rPr>
          <w:lang w:val="ru-RU"/>
        </w:rPr>
        <w:t>развитие потенциала и профессиональную подготовку</w:t>
      </w:r>
      <w:r w:rsidR="00032E0B">
        <w:rPr>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E2175" w14:textId="77777777" w:rsidR="00D577E1" w:rsidRDefault="00D577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8D51B" w14:textId="77777777" w:rsidR="001F560F" w:rsidRPr="001F560F" w:rsidRDefault="001F560F" w:rsidP="001F560F">
    <w:pPr>
      <w:overflowPunct w:val="0"/>
      <w:autoSpaceDE w:val="0"/>
      <w:autoSpaceDN w:val="0"/>
      <w:adjustRightInd w:val="0"/>
      <w:spacing w:after="0"/>
      <w:jc w:val="center"/>
      <w:textAlignment w:val="baseline"/>
      <w:rPr>
        <w:rFonts w:ascii="Calibri" w:eastAsia="Times New Roman" w:hAnsi="Calibri" w:cs="Times New Roman"/>
        <w:color w:val="auto"/>
        <w:sz w:val="18"/>
        <w:szCs w:val="20"/>
        <w:lang w:val="fr-FR"/>
      </w:rPr>
    </w:pPr>
    <w:r w:rsidRPr="001F560F">
      <w:rPr>
        <w:rFonts w:ascii="Calibri" w:eastAsia="Times New Roman" w:hAnsi="Calibri" w:cs="Times New Roman"/>
        <w:color w:val="auto"/>
        <w:sz w:val="18"/>
        <w:szCs w:val="20"/>
        <w:lang w:val="fr-FR"/>
      </w:rPr>
      <w:fldChar w:fldCharType="begin"/>
    </w:r>
    <w:r w:rsidRPr="001F560F">
      <w:rPr>
        <w:rFonts w:ascii="Calibri" w:eastAsia="Times New Roman" w:hAnsi="Calibri" w:cs="Times New Roman"/>
        <w:color w:val="auto"/>
        <w:sz w:val="18"/>
        <w:szCs w:val="20"/>
        <w:lang w:val="fr-FR"/>
      </w:rPr>
      <w:instrText>PAGE</w:instrText>
    </w:r>
    <w:r w:rsidRPr="001F560F">
      <w:rPr>
        <w:rFonts w:ascii="Calibri" w:eastAsia="Times New Roman" w:hAnsi="Calibri" w:cs="Times New Roman"/>
        <w:color w:val="auto"/>
        <w:sz w:val="18"/>
        <w:szCs w:val="20"/>
        <w:lang w:val="fr-FR"/>
      </w:rPr>
      <w:fldChar w:fldCharType="separate"/>
    </w:r>
    <w:r w:rsidRPr="001F560F">
      <w:rPr>
        <w:rFonts w:ascii="Calibri" w:eastAsia="Times New Roman" w:hAnsi="Calibri" w:cs="Times New Roman"/>
        <w:color w:val="auto"/>
        <w:sz w:val="18"/>
        <w:szCs w:val="20"/>
        <w:lang w:val="fr-FR"/>
      </w:rPr>
      <w:t>2</w:t>
    </w:r>
    <w:r w:rsidRPr="001F560F">
      <w:rPr>
        <w:rFonts w:ascii="Calibri" w:eastAsia="Times New Roman" w:hAnsi="Calibri" w:cs="Times New Roman"/>
        <w:noProof/>
        <w:color w:val="auto"/>
        <w:sz w:val="18"/>
        <w:szCs w:val="20"/>
        <w:lang w:val="fr-FR"/>
      </w:rPr>
      <w:fldChar w:fldCharType="end"/>
    </w:r>
  </w:p>
  <w:p w14:paraId="66D46ECF" w14:textId="77777777" w:rsidR="001F560F" w:rsidRPr="001F560F" w:rsidRDefault="001F560F" w:rsidP="001F560F">
    <w:pPr>
      <w:overflowPunct w:val="0"/>
      <w:autoSpaceDE w:val="0"/>
      <w:autoSpaceDN w:val="0"/>
      <w:adjustRightInd w:val="0"/>
      <w:spacing w:after="480"/>
      <w:jc w:val="center"/>
      <w:textAlignment w:val="baseline"/>
      <w:rPr>
        <w:rFonts w:ascii="Calibri" w:eastAsia="Times New Roman" w:hAnsi="Calibri" w:cs="Times New Roman"/>
        <w:color w:val="auto"/>
        <w:sz w:val="18"/>
        <w:szCs w:val="20"/>
        <w:lang w:val="fr-FR"/>
      </w:rPr>
    </w:pPr>
    <w:r w:rsidRPr="001F560F">
      <w:rPr>
        <w:rFonts w:ascii="Calibri" w:eastAsia="Times New Roman" w:hAnsi="Calibri" w:cs="Times New Roman"/>
        <w:color w:val="auto"/>
        <w:sz w:val="18"/>
        <w:szCs w:val="20"/>
        <w:lang w:val="fr-FR"/>
      </w:rPr>
      <w:t>C</w:t>
    </w:r>
    <w:r w:rsidRPr="001F560F">
      <w:rPr>
        <w:rFonts w:ascii="Calibri" w:eastAsia="Times New Roman" w:hAnsi="Calibri" w:cs="Times New Roman"/>
        <w:color w:val="auto"/>
        <w:sz w:val="18"/>
        <w:szCs w:val="20"/>
        <w:lang w:val="ru-RU"/>
      </w:rPr>
      <w:t>21</w:t>
    </w:r>
    <w:r w:rsidRPr="001F560F">
      <w:rPr>
        <w:rFonts w:ascii="Calibri" w:eastAsia="Times New Roman" w:hAnsi="Calibri" w:cs="Times New Roman"/>
        <w:color w:val="auto"/>
        <w:sz w:val="18"/>
        <w:szCs w:val="20"/>
        <w:lang w:val="fr-FR"/>
      </w:rPr>
      <w:t>/</w:t>
    </w:r>
    <w:r w:rsidRPr="001F560F">
      <w:rPr>
        <w:rFonts w:ascii="Calibri" w:eastAsia="Times New Roman" w:hAnsi="Calibri" w:cs="Times New Roman"/>
        <w:color w:val="auto"/>
        <w:sz w:val="18"/>
        <w:szCs w:val="20"/>
        <w:lang w:val="ru-RU"/>
      </w:rPr>
      <w:t>32</w:t>
    </w:r>
    <w:r w:rsidRPr="001F560F">
      <w:rPr>
        <w:rFonts w:ascii="Calibri" w:eastAsia="Times New Roman" w:hAnsi="Calibri" w:cs="Times New Roman"/>
        <w:color w:val="auto"/>
        <w:sz w:val="18"/>
        <w:szCs w:val="20"/>
        <w:lang w:val="fr-FR"/>
      </w:rPr>
      <w:t>-R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17F25" w14:textId="77777777" w:rsidR="00D577E1" w:rsidRDefault="00D577E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88C8D" w14:textId="77777777" w:rsidR="001F560F" w:rsidRDefault="001F560F">
    <w:pPr>
      <w:pStyle w:val="Header"/>
    </w:pPr>
    <w:r>
      <w:rPr>
        <w:noProof/>
      </w:rPr>
      <w:drawing>
        <wp:anchor distT="342900" distB="342900" distL="342900" distR="342900" simplePos="0" relativeHeight="251660288" behindDoc="0" locked="0" layoutInCell="1" hidden="0" allowOverlap="1" wp14:anchorId="05A4D68B" wp14:editId="1FC73364">
          <wp:simplePos x="0" y="0"/>
          <wp:positionH relativeFrom="page">
            <wp:posOffset>4918075</wp:posOffset>
          </wp:positionH>
          <wp:positionV relativeFrom="page">
            <wp:posOffset>425450</wp:posOffset>
          </wp:positionV>
          <wp:extent cx="2011680" cy="764438"/>
          <wp:effectExtent l="0" t="0" r="0" b="0"/>
          <wp:wrapSquare wrapText="bothSides" distT="342900" distB="342900" distL="342900" distR="3429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11680" cy="76443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EA663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A222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EE58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3E2C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0A2D5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205A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CFB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F8ED4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6CE4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FA9D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E5130"/>
    <w:multiLevelType w:val="hybridMultilevel"/>
    <w:tmpl w:val="6F1ACFC6"/>
    <w:lvl w:ilvl="0" w:tplc="08090015">
      <w:start w:val="1"/>
      <w:numFmt w:val="upperLetter"/>
      <w:lvlText w:val="%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F67171"/>
    <w:multiLevelType w:val="hybridMultilevel"/>
    <w:tmpl w:val="AD9CCC50"/>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2" w15:restartNumberingAfterBreak="0">
    <w:nsid w:val="030E4CBE"/>
    <w:multiLevelType w:val="hybridMultilevel"/>
    <w:tmpl w:val="B80E90C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056642DA"/>
    <w:multiLevelType w:val="hybridMultilevel"/>
    <w:tmpl w:val="CD4EE454"/>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4" w15:restartNumberingAfterBreak="0">
    <w:nsid w:val="07A60CDE"/>
    <w:multiLevelType w:val="hybridMultilevel"/>
    <w:tmpl w:val="A3C2FCAC"/>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5" w15:restartNumberingAfterBreak="0">
    <w:nsid w:val="0C0A128F"/>
    <w:multiLevelType w:val="hybridMultilevel"/>
    <w:tmpl w:val="5CF0CD06"/>
    <w:lvl w:ilvl="0" w:tplc="08090001">
      <w:start w:val="1"/>
      <w:numFmt w:val="bullet"/>
      <w:lvlText w:val=""/>
      <w:lvlJc w:val="left"/>
      <w:pPr>
        <w:ind w:left="436" w:hanging="360"/>
      </w:pPr>
      <w:rPr>
        <w:rFonts w:ascii="Symbol" w:hAnsi="Symbol" w:hint="default"/>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16" w15:restartNumberingAfterBreak="0">
    <w:nsid w:val="0D1A4AE2"/>
    <w:multiLevelType w:val="hybridMultilevel"/>
    <w:tmpl w:val="F6FCA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D5A732A"/>
    <w:multiLevelType w:val="hybridMultilevel"/>
    <w:tmpl w:val="AF7A47D2"/>
    <w:lvl w:ilvl="0" w:tplc="0809000F">
      <w:start w:val="1"/>
      <w:numFmt w:val="decimal"/>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18" w15:restartNumberingAfterBreak="0">
    <w:nsid w:val="0DEC5C42"/>
    <w:multiLevelType w:val="hybridMultilevel"/>
    <w:tmpl w:val="0FB4A7C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15:restartNumberingAfterBreak="0">
    <w:nsid w:val="117155AB"/>
    <w:multiLevelType w:val="hybridMultilevel"/>
    <w:tmpl w:val="B6962D4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0" w15:restartNumberingAfterBreak="0">
    <w:nsid w:val="12BE4821"/>
    <w:multiLevelType w:val="hybridMultilevel"/>
    <w:tmpl w:val="117C3E70"/>
    <w:lvl w:ilvl="0" w:tplc="A52C0A3A">
      <w:start w:val="1"/>
      <w:numFmt w:val="decimal"/>
      <w:lvlText w:val="%1."/>
      <w:lvlJc w:val="left"/>
      <w:pPr>
        <w:ind w:left="436" w:hanging="360"/>
      </w:pPr>
      <w:rPr>
        <w:i w:val="0"/>
        <w:iCs w:val="0"/>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21" w15:restartNumberingAfterBreak="0">
    <w:nsid w:val="13A5433F"/>
    <w:multiLevelType w:val="hybridMultilevel"/>
    <w:tmpl w:val="CB703B56"/>
    <w:lvl w:ilvl="0" w:tplc="0809000F">
      <w:start w:val="1"/>
      <w:numFmt w:val="decimal"/>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22" w15:restartNumberingAfterBreak="0">
    <w:nsid w:val="1718203B"/>
    <w:multiLevelType w:val="hybridMultilevel"/>
    <w:tmpl w:val="4B1E44FA"/>
    <w:lvl w:ilvl="0" w:tplc="0809000F">
      <w:start w:val="1"/>
      <w:numFmt w:val="decimal"/>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23" w15:restartNumberingAfterBreak="0">
    <w:nsid w:val="1DDD5912"/>
    <w:multiLevelType w:val="hybridMultilevel"/>
    <w:tmpl w:val="9378FD1A"/>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4" w15:restartNumberingAfterBreak="0">
    <w:nsid w:val="1F0D680D"/>
    <w:multiLevelType w:val="hybridMultilevel"/>
    <w:tmpl w:val="E6A04AFC"/>
    <w:lvl w:ilvl="0" w:tplc="E040787E">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5" w15:restartNumberingAfterBreak="0">
    <w:nsid w:val="1FF11490"/>
    <w:multiLevelType w:val="hybridMultilevel"/>
    <w:tmpl w:val="F70E57B4"/>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6" w15:restartNumberingAfterBreak="0">
    <w:nsid w:val="20121881"/>
    <w:multiLevelType w:val="hybridMultilevel"/>
    <w:tmpl w:val="7B866A9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7" w15:restartNumberingAfterBreak="0">
    <w:nsid w:val="201C08AA"/>
    <w:multiLevelType w:val="hybridMultilevel"/>
    <w:tmpl w:val="395A8952"/>
    <w:lvl w:ilvl="0" w:tplc="0809000F">
      <w:start w:val="1"/>
      <w:numFmt w:val="decimal"/>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28" w15:restartNumberingAfterBreak="0">
    <w:nsid w:val="21FD27D1"/>
    <w:multiLevelType w:val="hybridMultilevel"/>
    <w:tmpl w:val="928C898A"/>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9" w15:restartNumberingAfterBreak="0">
    <w:nsid w:val="223E5CC8"/>
    <w:multiLevelType w:val="hybridMultilevel"/>
    <w:tmpl w:val="46FE04C2"/>
    <w:lvl w:ilvl="0" w:tplc="E41A3F1A">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30" w15:restartNumberingAfterBreak="0">
    <w:nsid w:val="236D3450"/>
    <w:multiLevelType w:val="hybridMultilevel"/>
    <w:tmpl w:val="FF0876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237862A4"/>
    <w:multiLevelType w:val="hybridMultilevel"/>
    <w:tmpl w:val="D0085FC4"/>
    <w:lvl w:ilvl="0" w:tplc="4330EE64">
      <w:start w:val="1"/>
      <w:numFmt w:val="bullet"/>
      <w:pStyle w:val="TOC9"/>
      <w:lvlText w:val=""/>
      <w:lvlJc w:val="left"/>
      <w:pPr>
        <w:ind w:left="534" w:hanging="360"/>
      </w:pPr>
      <w:rPr>
        <w:rFonts w:ascii="Symbol" w:hAnsi="Symbol" w:hint="default"/>
      </w:rPr>
    </w:lvl>
    <w:lvl w:ilvl="1" w:tplc="08090003">
      <w:start w:val="1"/>
      <w:numFmt w:val="bullet"/>
      <w:lvlText w:val="o"/>
      <w:lvlJc w:val="left"/>
      <w:pPr>
        <w:ind w:left="1254" w:hanging="360"/>
      </w:pPr>
      <w:rPr>
        <w:rFonts w:ascii="Courier New" w:hAnsi="Courier New" w:cs="Courier New" w:hint="default"/>
      </w:rPr>
    </w:lvl>
    <w:lvl w:ilvl="2" w:tplc="08090005">
      <w:start w:val="1"/>
      <w:numFmt w:val="bullet"/>
      <w:lvlText w:val=""/>
      <w:lvlJc w:val="left"/>
      <w:pPr>
        <w:ind w:left="1974" w:hanging="360"/>
      </w:pPr>
      <w:rPr>
        <w:rFonts w:ascii="Wingdings" w:hAnsi="Wingdings" w:hint="default"/>
      </w:rPr>
    </w:lvl>
    <w:lvl w:ilvl="3" w:tplc="08090001" w:tentative="1">
      <w:start w:val="1"/>
      <w:numFmt w:val="bullet"/>
      <w:lvlText w:val=""/>
      <w:lvlJc w:val="left"/>
      <w:pPr>
        <w:ind w:left="2694" w:hanging="360"/>
      </w:pPr>
      <w:rPr>
        <w:rFonts w:ascii="Symbol" w:hAnsi="Symbol" w:hint="default"/>
      </w:rPr>
    </w:lvl>
    <w:lvl w:ilvl="4" w:tplc="08090003" w:tentative="1">
      <w:start w:val="1"/>
      <w:numFmt w:val="bullet"/>
      <w:lvlText w:val="o"/>
      <w:lvlJc w:val="left"/>
      <w:pPr>
        <w:ind w:left="3414" w:hanging="360"/>
      </w:pPr>
      <w:rPr>
        <w:rFonts w:ascii="Courier New" w:hAnsi="Courier New" w:cs="Courier New" w:hint="default"/>
      </w:rPr>
    </w:lvl>
    <w:lvl w:ilvl="5" w:tplc="08090005" w:tentative="1">
      <w:start w:val="1"/>
      <w:numFmt w:val="bullet"/>
      <w:lvlText w:val=""/>
      <w:lvlJc w:val="left"/>
      <w:pPr>
        <w:ind w:left="4134" w:hanging="360"/>
      </w:pPr>
      <w:rPr>
        <w:rFonts w:ascii="Wingdings" w:hAnsi="Wingdings" w:hint="default"/>
      </w:rPr>
    </w:lvl>
    <w:lvl w:ilvl="6" w:tplc="08090001" w:tentative="1">
      <w:start w:val="1"/>
      <w:numFmt w:val="bullet"/>
      <w:lvlText w:val=""/>
      <w:lvlJc w:val="left"/>
      <w:pPr>
        <w:ind w:left="4854" w:hanging="360"/>
      </w:pPr>
      <w:rPr>
        <w:rFonts w:ascii="Symbol" w:hAnsi="Symbol" w:hint="default"/>
      </w:rPr>
    </w:lvl>
    <w:lvl w:ilvl="7" w:tplc="08090003" w:tentative="1">
      <w:start w:val="1"/>
      <w:numFmt w:val="bullet"/>
      <w:lvlText w:val="o"/>
      <w:lvlJc w:val="left"/>
      <w:pPr>
        <w:ind w:left="5574" w:hanging="360"/>
      </w:pPr>
      <w:rPr>
        <w:rFonts w:ascii="Courier New" w:hAnsi="Courier New" w:cs="Courier New" w:hint="default"/>
      </w:rPr>
    </w:lvl>
    <w:lvl w:ilvl="8" w:tplc="08090005" w:tentative="1">
      <w:start w:val="1"/>
      <w:numFmt w:val="bullet"/>
      <w:lvlText w:val=""/>
      <w:lvlJc w:val="left"/>
      <w:pPr>
        <w:ind w:left="6294" w:hanging="360"/>
      </w:pPr>
      <w:rPr>
        <w:rFonts w:ascii="Wingdings" w:hAnsi="Wingdings" w:hint="default"/>
      </w:rPr>
    </w:lvl>
  </w:abstractNum>
  <w:abstractNum w:abstractNumId="32" w15:restartNumberingAfterBreak="0">
    <w:nsid w:val="26D74835"/>
    <w:multiLevelType w:val="hybridMultilevel"/>
    <w:tmpl w:val="C24A4908"/>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3" w15:restartNumberingAfterBreak="0">
    <w:nsid w:val="2CEF015D"/>
    <w:multiLevelType w:val="hybridMultilevel"/>
    <w:tmpl w:val="EE8C1DC8"/>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4" w15:restartNumberingAfterBreak="0">
    <w:nsid w:val="2EA24892"/>
    <w:multiLevelType w:val="hybridMultilevel"/>
    <w:tmpl w:val="AE72DFE6"/>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5" w15:restartNumberingAfterBreak="0">
    <w:nsid w:val="31151EA6"/>
    <w:multiLevelType w:val="hybridMultilevel"/>
    <w:tmpl w:val="A44CA04C"/>
    <w:lvl w:ilvl="0" w:tplc="F5380CAA">
      <w:start w:val="1"/>
      <w:numFmt w:val="bullet"/>
      <w:pStyle w:val="TOC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28A23E3"/>
    <w:multiLevelType w:val="hybridMultilevel"/>
    <w:tmpl w:val="D7F8F30A"/>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7" w15:restartNumberingAfterBreak="0">
    <w:nsid w:val="356D56C7"/>
    <w:multiLevelType w:val="hybridMultilevel"/>
    <w:tmpl w:val="5BB45E5C"/>
    <w:lvl w:ilvl="0" w:tplc="71B6C186">
      <w:start w:val="1"/>
      <w:numFmt w:val="decimal"/>
      <w:lvlText w:val="%1."/>
      <w:lvlJc w:val="left"/>
      <w:pPr>
        <w:ind w:left="436" w:hanging="360"/>
      </w:pPr>
      <w:rPr>
        <w:b w:val="0"/>
        <w:bCs w:val="0"/>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38" w15:restartNumberingAfterBreak="0">
    <w:nsid w:val="3611798A"/>
    <w:multiLevelType w:val="hybridMultilevel"/>
    <w:tmpl w:val="FFA2A6A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9" w15:restartNumberingAfterBreak="0">
    <w:nsid w:val="3E4F2CAC"/>
    <w:multiLevelType w:val="hybridMultilevel"/>
    <w:tmpl w:val="06DC9F04"/>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40" w15:restartNumberingAfterBreak="0">
    <w:nsid w:val="4055417B"/>
    <w:multiLevelType w:val="hybridMultilevel"/>
    <w:tmpl w:val="077ED4B2"/>
    <w:lvl w:ilvl="0" w:tplc="A8C4EBA0">
      <w:start w:val="1"/>
      <w:numFmt w:val="bullet"/>
      <w:pStyle w:val="Bulletspoint1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65B6152"/>
    <w:multiLevelType w:val="hybridMultilevel"/>
    <w:tmpl w:val="8A8A5D5A"/>
    <w:lvl w:ilvl="0" w:tplc="CE08839C">
      <w:start w:val="1"/>
      <w:numFmt w:val="decimal"/>
      <w:lvlText w:val="%1."/>
      <w:lvlJc w:val="left"/>
      <w:pPr>
        <w:ind w:left="720" w:hanging="363"/>
      </w:pPr>
      <w:rPr>
        <w:b/>
        <w:color w:val="4472C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49B86E1F"/>
    <w:multiLevelType w:val="hybridMultilevel"/>
    <w:tmpl w:val="49F4A07C"/>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43" w15:restartNumberingAfterBreak="0">
    <w:nsid w:val="4AD77032"/>
    <w:multiLevelType w:val="hybridMultilevel"/>
    <w:tmpl w:val="F74CB690"/>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44" w15:restartNumberingAfterBreak="0">
    <w:nsid w:val="50615BFD"/>
    <w:multiLevelType w:val="hybridMultilevel"/>
    <w:tmpl w:val="972C04B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45" w15:restartNumberingAfterBreak="0">
    <w:nsid w:val="52000D9D"/>
    <w:multiLevelType w:val="hybridMultilevel"/>
    <w:tmpl w:val="C33A07BA"/>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46" w15:restartNumberingAfterBreak="0">
    <w:nsid w:val="58627583"/>
    <w:multiLevelType w:val="hybridMultilevel"/>
    <w:tmpl w:val="4DA04D78"/>
    <w:lvl w:ilvl="0" w:tplc="789A52AA">
      <w:start w:val="1"/>
      <w:numFmt w:val="decimal"/>
      <w:lvlText w:val="%1."/>
      <w:lvlJc w:val="left"/>
      <w:pPr>
        <w:ind w:left="436" w:hanging="360"/>
      </w:pPr>
      <w:rPr>
        <w:b w:val="0"/>
        <w:bCs w:val="0"/>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47" w15:restartNumberingAfterBreak="0">
    <w:nsid w:val="59B6633F"/>
    <w:multiLevelType w:val="hybridMultilevel"/>
    <w:tmpl w:val="686C865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48" w15:restartNumberingAfterBreak="0">
    <w:nsid w:val="5A7B7B8F"/>
    <w:multiLevelType w:val="hybridMultilevel"/>
    <w:tmpl w:val="F8B85D96"/>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49" w15:restartNumberingAfterBreak="0">
    <w:nsid w:val="68C632A2"/>
    <w:multiLevelType w:val="hybridMultilevel"/>
    <w:tmpl w:val="68EA47E8"/>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50" w15:restartNumberingAfterBreak="0">
    <w:nsid w:val="68DE65D1"/>
    <w:multiLevelType w:val="hybridMultilevel"/>
    <w:tmpl w:val="A4920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9D55881"/>
    <w:multiLevelType w:val="hybridMultilevel"/>
    <w:tmpl w:val="16088596"/>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52" w15:restartNumberingAfterBreak="0">
    <w:nsid w:val="6D7C078E"/>
    <w:multiLevelType w:val="hybridMultilevel"/>
    <w:tmpl w:val="2B3CE61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53" w15:restartNumberingAfterBreak="0">
    <w:nsid w:val="6D867299"/>
    <w:multiLevelType w:val="hybridMultilevel"/>
    <w:tmpl w:val="D690F368"/>
    <w:lvl w:ilvl="0" w:tplc="017A2668">
      <w:start w:val="1"/>
      <w:numFmt w:val="decimal"/>
      <w:lvlText w:val="%1."/>
      <w:lvlJc w:val="left"/>
      <w:pPr>
        <w:ind w:left="76" w:hanging="360"/>
      </w:pPr>
      <w:rPr>
        <w:rFonts w:hint="default"/>
        <w:b/>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54" w15:restartNumberingAfterBreak="0">
    <w:nsid w:val="6F265901"/>
    <w:multiLevelType w:val="hybridMultilevel"/>
    <w:tmpl w:val="14405698"/>
    <w:lvl w:ilvl="0" w:tplc="847C17F2">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55" w15:restartNumberingAfterBreak="0">
    <w:nsid w:val="71A464C1"/>
    <w:multiLevelType w:val="hybridMultilevel"/>
    <w:tmpl w:val="1C764D56"/>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56" w15:restartNumberingAfterBreak="0">
    <w:nsid w:val="74D723D9"/>
    <w:multiLevelType w:val="hybridMultilevel"/>
    <w:tmpl w:val="C6705214"/>
    <w:lvl w:ilvl="0" w:tplc="08090001">
      <w:start w:val="1"/>
      <w:numFmt w:val="bullet"/>
      <w:lvlText w:val=""/>
      <w:lvlJc w:val="left"/>
      <w:pPr>
        <w:ind w:left="487" w:hanging="360"/>
      </w:pPr>
      <w:rPr>
        <w:rFonts w:ascii="Symbol" w:hAnsi="Symbol" w:hint="default"/>
      </w:rPr>
    </w:lvl>
    <w:lvl w:ilvl="1" w:tplc="08090003" w:tentative="1">
      <w:start w:val="1"/>
      <w:numFmt w:val="bullet"/>
      <w:lvlText w:val="o"/>
      <w:lvlJc w:val="left"/>
      <w:pPr>
        <w:ind w:left="1207" w:hanging="360"/>
      </w:pPr>
      <w:rPr>
        <w:rFonts w:ascii="Courier New" w:hAnsi="Courier New" w:cs="Courier New" w:hint="default"/>
      </w:rPr>
    </w:lvl>
    <w:lvl w:ilvl="2" w:tplc="08090005" w:tentative="1">
      <w:start w:val="1"/>
      <w:numFmt w:val="bullet"/>
      <w:lvlText w:val=""/>
      <w:lvlJc w:val="left"/>
      <w:pPr>
        <w:ind w:left="1927" w:hanging="360"/>
      </w:pPr>
      <w:rPr>
        <w:rFonts w:ascii="Wingdings" w:hAnsi="Wingdings" w:hint="default"/>
      </w:rPr>
    </w:lvl>
    <w:lvl w:ilvl="3" w:tplc="08090001" w:tentative="1">
      <w:start w:val="1"/>
      <w:numFmt w:val="bullet"/>
      <w:lvlText w:val=""/>
      <w:lvlJc w:val="left"/>
      <w:pPr>
        <w:ind w:left="2647" w:hanging="360"/>
      </w:pPr>
      <w:rPr>
        <w:rFonts w:ascii="Symbol" w:hAnsi="Symbol" w:hint="default"/>
      </w:rPr>
    </w:lvl>
    <w:lvl w:ilvl="4" w:tplc="08090003" w:tentative="1">
      <w:start w:val="1"/>
      <w:numFmt w:val="bullet"/>
      <w:lvlText w:val="o"/>
      <w:lvlJc w:val="left"/>
      <w:pPr>
        <w:ind w:left="3367" w:hanging="360"/>
      </w:pPr>
      <w:rPr>
        <w:rFonts w:ascii="Courier New" w:hAnsi="Courier New" w:cs="Courier New" w:hint="default"/>
      </w:rPr>
    </w:lvl>
    <w:lvl w:ilvl="5" w:tplc="08090005" w:tentative="1">
      <w:start w:val="1"/>
      <w:numFmt w:val="bullet"/>
      <w:lvlText w:val=""/>
      <w:lvlJc w:val="left"/>
      <w:pPr>
        <w:ind w:left="4087" w:hanging="360"/>
      </w:pPr>
      <w:rPr>
        <w:rFonts w:ascii="Wingdings" w:hAnsi="Wingdings" w:hint="default"/>
      </w:rPr>
    </w:lvl>
    <w:lvl w:ilvl="6" w:tplc="08090001" w:tentative="1">
      <w:start w:val="1"/>
      <w:numFmt w:val="bullet"/>
      <w:lvlText w:val=""/>
      <w:lvlJc w:val="left"/>
      <w:pPr>
        <w:ind w:left="4807" w:hanging="360"/>
      </w:pPr>
      <w:rPr>
        <w:rFonts w:ascii="Symbol" w:hAnsi="Symbol" w:hint="default"/>
      </w:rPr>
    </w:lvl>
    <w:lvl w:ilvl="7" w:tplc="08090003" w:tentative="1">
      <w:start w:val="1"/>
      <w:numFmt w:val="bullet"/>
      <w:lvlText w:val="o"/>
      <w:lvlJc w:val="left"/>
      <w:pPr>
        <w:ind w:left="5527" w:hanging="360"/>
      </w:pPr>
      <w:rPr>
        <w:rFonts w:ascii="Courier New" w:hAnsi="Courier New" w:cs="Courier New" w:hint="default"/>
      </w:rPr>
    </w:lvl>
    <w:lvl w:ilvl="8" w:tplc="08090005" w:tentative="1">
      <w:start w:val="1"/>
      <w:numFmt w:val="bullet"/>
      <w:lvlText w:val=""/>
      <w:lvlJc w:val="left"/>
      <w:pPr>
        <w:ind w:left="6247" w:hanging="360"/>
      </w:pPr>
      <w:rPr>
        <w:rFonts w:ascii="Wingdings" w:hAnsi="Wingdings" w:hint="default"/>
      </w:rPr>
    </w:lvl>
  </w:abstractNum>
  <w:abstractNum w:abstractNumId="57" w15:restartNumberingAfterBreak="0">
    <w:nsid w:val="75F8063D"/>
    <w:multiLevelType w:val="hybridMultilevel"/>
    <w:tmpl w:val="CB703B56"/>
    <w:lvl w:ilvl="0" w:tplc="0809000F">
      <w:start w:val="1"/>
      <w:numFmt w:val="decimal"/>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58" w15:restartNumberingAfterBreak="0">
    <w:nsid w:val="7BC16762"/>
    <w:multiLevelType w:val="hybridMultilevel"/>
    <w:tmpl w:val="D91EDE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0"/>
  </w:num>
  <w:num w:numId="2">
    <w:abstractNumId w:val="30"/>
  </w:num>
  <w:num w:numId="3">
    <w:abstractNumId w:val="35"/>
  </w:num>
  <w:num w:numId="4">
    <w:abstractNumId w:val="37"/>
  </w:num>
  <w:num w:numId="5">
    <w:abstractNumId w:val="46"/>
  </w:num>
  <w:num w:numId="6">
    <w:abstractNumId w:val="20"/>
  </w:num>
  <w:num w:numId="7">
    <w:abstractNumId w:val="27"/>
  </w:num>
  <w:num w:numId="8">
    <w:abstractNumId w:val="21"/>
  </w:num>
  <w:num w:numId="9">
    <w:abstractNumId w:val="16"/>
  </w:num>
  <w:num w:numId="10">
    <w:abstractNumId w:val="22"/>
  </w:num>
  <w:num w:numId="11">
    <w:abstractNumId w:val="17"/>
  </w:num>
  <w:num w:numId="12">
    <w:abstractNumId w:val="58"/>
  </w:num>
  <w:num w:numId="13">
    <w:abstractNumId w:val="57"/>
  </w:num>
  <w:num w:numId="14">
    <w:abstractNumId w:val="24"/>
  </w:num>
  <w:num w:numId="15">
    <w:abstractNumId w:val="29"/>
  </w:num>
  <w:num w:numId="16">
    <w:abstractNumId w:val="53"/>
  </w:num>
  <w:num w:numId="17">
    <w:abstractNumId w:val="12"/>
  </w:num>
  <w:num w:numId="18">
    <w:abstractNumId w:val="10"/>
  </w:num>
  <w:num w:numId="19">
    <w:abstractNumId w:val="18"/>
  </w:num>
  <w:num w:numId="20">
    <w:abstractNumId w:val="42"/>
  </w:num>
  <w:num w:numId="21">
    <w:abstractNumId w:val="55"/>
  </w:num>
  <w:num w:numId="22">
    <w:abstractNumId w:val="52"/>
  </w:num>
  <w:num w:numId="23">
    <w:abstractNumId w:val="47"/>
  </w:num>
  <w:num w:numId="24">
    <w:abstractNumId w:val="48"/>
  </w:num>
  <w:num w:numId="25">
    <w:abstractNumId w:val="32"/>
  </w:num>
  <w:num w:numId="26">
    <w:abstractNumId w:val="13"/>
  </w:num>
  <w:num w:numId="27">
    <w:abstractNumId w:val="54"/>
  </w:num>
  <w:num w:numId="28">
    <w:abstractNumId w:val="51"/>
  </w:num>
  <w:num w:numId="29">
    <w:abstractNumId w:val="26"/>
  </w:num>
  <w:num w:numId="30">
    <w:abstractNumId w:val="0"/>
  </w:num>
  <w:num w:numId="31">
    <w:abstractNumId w:val="1"/>
  </w:num>
  <w:num w:numId="32">
    <w:abstractNumId w:val="2"/>
  </w:num>
  <w:num w:numId="33">
    <w:abstractNumId w:val="3"/>
  </w:num>
  <w:num w:numId="34">
    <w:abstractNumId w:val="8"/>
  </w:num>
  <w:num w:numId="35">
    <w:abstractNumId w:val="4"/>
  </w:num>
  <w:num w:numId="36">
    <w:abstractNumId w:val="5"/>
  </w:num>
  <w:num w:numId="37">
    <w:abstractNumId w:val="6"/>
  </w:num>
  <w:num w:numId="38">
    <w:abstractNumId w:val="7"/>
  </w:num>
  <w:num w:numId="39">
    <w:abstractNumId w:val="9"/>
  </w:num>
  <w:num w:numId="40">
    <w:abstractNumId w:val="34"/>
  </w:num>
  <w:num w:numId="41">
    <w:abstractNumId w:val="33"/>
  </w:num>
  <w:num w:numId="42">
    <w:abstractNumId w:val="14"/>
  </w:num>
  <w:num w:numId="43">
    <w:abstractNumId w:val="56"/>
  </w:num>
  <w:num w:numId="44">
    <w:abstractNumId w:val="43"/>
  </w:num>
  <w:num w:numId="45">
    <w:abstractNumId w:val="28"/>
  </w:num>
  <w:num w:numId="46">
    <w:abstractNumId w:val="45"/>
  </w:num>
  <w:num w:numId="47">
    <w:abstractNumId w:val="11"/>
  </w:num>
  <w:num w:numId="48">
    <w:abstractNumId w:val="44"/>
  </w:num>
  <w:num w:numId="49">
    <w:abstractNumId w:val="25"/>
  </w:num>
  <w:num w:numId="50">
    <w:abstractNumId w:val="39"/>
  </w:num>
  <w:num w:numId="51">
    <w:abstractNumId w:val="19"/>
  </w:num>
  <w:num w:numId="52">
    <w:abstractNumId w:val="38"/>
  </w:num>
  <w:num w:numId="53">
    <w:abstractNumId w:val="50"/>
  </w:num>
  <w:num w:numId="54">
    <w:abstractNumId w:val="23"/>
  </w:num>
  <w:num w:numId="55">
    <w:abstractNumId w:val="36"/>
  </w:num>
  <w:num w:numId="56">
    <w:abstractNumId w:val="49"/>
  </w:num>
  <w:num w:numId="57">
    <w:abstractNumId w:val="31"/>
  </w:num>
  <w:num w:numId="58">
    <w:abstractNumId w:val="15"/>
  </w:num>
  <w:num w:numId="59">
    <w:abstractNumId w:val="41"/>
  </w:num>
  <w:num w:numId="60">
    <w:abstractNumId w:val="4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oNotShadeFormData/>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xNzW2MDEyNDEwMzBX0lEKTi0uzszPAykwrgUAJRM1CiwAAAA="/>
  </w:docVars>
  <w:rsids>
    <w:rsidRoot w:val="00A71769"/>
    <w:rsid w:val="00000360"/>
    <w:rsid w:val="00000421"/>
    <w:rsid w:val="00004764"/>
    <w:rsid w:val="00005A86"/>
    <w:rsid w:val="00012010"/>
    <w:rsid w:val="00012EFF"/>
    <w:rsid w:val="0001446B"/>
    <w:rsid w:val="00015C2A"/>
    <w:rsid w:val="00017031"/>
    <w:rsid w:val="00021950"/>
    <w:rsid w:val="000251F4"/>
    <w:rsid w:val="00026556"/>
    <w:rsid w:val="00027036"/>
    <w:rsid w:val="000275C2"/>
    <w:rsid w:val="000278B6"/>
    <w:rsid w:val="000303DD"/>
    <w:rsid w:val="00030C19"/>
    <w:rsid w:val="0003174D"/>
    <w:rsid w:val="00031D60"/>
    <w:rsid w:val="00032812"/>
    <w:rsid w:val="00032D11"/>
    <w:rsid w:val="00032E0B"/>
    <w:rsid w:val="00033EE2"/>
    <w:rsid w:val="00034A0A"/>
    <w:rsid w:val="00034C12"/>
    <w:rsid w:val="00040BBF"/>
    <w:rsid w:val="00041B0D"/>
    <w:rsid w:val="00044EB3"/>
    <w:rsid w:val="000464CD"/>
    <w:rsid w:val="0004793E"/>
    <w:rsid w:val="000518CC"/>
    <w:rsid w:val="00052245"/>
    <w:rsid w:val="00052BDD"/>
    <w:rsid w:val="00052F4D"/>
    <w:rsid w:val="000539B4"/>
    <w:rsid w:val="000549F0"/>
    <w:rsid w:val="00056931"/>
    <w:rsid w:val="00057E26"/>
    <w:rsid w:val="00060EFA"/>
    <w:rsid w:val="000638A2"/>
    <w:rsid w:val="000644C9"/>
    <w:rsid w:val="00064CDD"/>
    <w:rsid w:val="00067947"/>
    <w:rsid w:val="00067AD8"/>
    <w:rsid w:val="000707AA"/>
    <w:rsid w:val="00072CC2"/>
    <w:rsid w:val="00074F43"/>
    <w:rsid w:val="00080D98"/>
    <w:rsid w:val="00081E09"/>
    <w:rsid w:val="00082E27"/>
    <w:rsid w:val="00091A0B"/>
    <w:rsid w:val="00093D7F"/>
    <w:rsid w:val="000946D7"/>
    <w:rsid w:val="00094823"/>
    <w:rsid w:val="00095964"/>
    <w:rsid w:val="00097003"/>
    <w:rsid w:val="000A0773"/>
    <w:rsid w:val="000A07CC"/>
    <w:rsid w:val="000A619B"/>
    <w:rsid w:val="000B0456"/>
    <w:rsid w:val="000B1DBF"/>
    <w:rsid w:val="000B1E80"/>
    <w:rsid w:val="000B21B5"/>
    <w:rsid w:val="000B3144"/>
    <w:rsid w:val="000B51E4"/>
    <w:rsid w:val="000C1C19"/>
    <w:rsid w:val="000C3182"/>
    <w:rsid w:val="000C5172"/>
    <w:rsid w:val="000C661F"/>
    <w:rsid w:val="000C685A"/>
    <w:rsid w:val="000D0F76"/>
    <w:rsid w:val="000D159E"/>
    <w:rsid w:val="000D325E"/>
    <w:rsid w:val="000D352C"/>
    <w:rsid w:val="000D43C1"/>
    <w:rsid w:val="000D534A"/>
    <w:rsid w:val="000D5983"/>
    <w:rsid w:val="000D6643"/>
    <w:rsid w:val="000E02A6"/>
    <w:rsid w:val="000E259A"/>
    <w:rsid w:val="000E4325"/>
    <w:rsid w:val="000E43A3"/>
    <w:rsid w:val="000E4664"/>
    <w:rsid w:val="000E5BB1"/>
    <w:rsid w:val="000F2FE5"/>
    <w:rsid w:val="000F531B"/>
    <w:rsid w:val="000F6AB7"/>
    <w:rsid w:val="000F772D"/>
    <w:rsid w:val="00104A9B"/>
    <w:rsid w:val="00107180"/>
    <w:rsid w:val="001119AF"/>
    <w:rsid w:val="001121FB"/>
    <w:rsid w:val="00112F2A"/>
    <w:rsid w:val="001133A8"/>
    <w:rsid w:val="001149FE"/>
    <w:rsid w:val="00114D77"/>
    <w:rsid w:val="00117A29"/>
    <w:rsid w:val="00121531"/>
    <w:rsid w:val="00121FDF"/>
    <w:rsid w:val="0012240F"/>
    <w:rsid w:val="001226D4"/>
    <w:rsid w:val="00123D88"/>
    <w:rsid w:val="001244C0"/>
    <w:rsid w:val="001249AA"/>
    <w:rsid w:val="00124DA2"/>
    <w:rsid w:val="00124F05"/>
    <w:rsid w:val="0012798F"/>
    <w:rsid w:val="001317C7"/>
    <w:rsid w:val="001328BE"/>
    <w:rsid w:val="00132965"/>
    <w:rsid w:val="00136717"/>
    <w:rsid w:val="00137D61"/>
    <w:rsid w:val="00140DB1"/>
    <w:rsid w:val="00140E93"/>
    <w:rsid w:val="001417F2"/>
    <w:rsid w:val="001431A2"/>
    <w:rsid w:val="0014402E"/>
    <w:rsid w:val="00147324"/>
    <w:rsid w:val="001524BB"/>
    <w:rsid w:val="001527C4"/>
    <w:rsid w:val="00154160"/>
    <w:rsid w:val="00160CAF"/>
    <w:rsid w:val="00160CC0"/>
    <w:rsid w:val="00162F12"/>
    <w:rsid w:val="00163239"/>
    <w:rsid w:val="00163538"/>
    <w:rsid w:val="00163603"/>
    <w:rsid w:val="00170211"/>
    <w:rsid w:val="001739DD"/>
    <w:rsid w:val="00175A45"/>
    <w:rsid w:val="00175F3F"/>
    <w:rsid w:val="00176BBF"/>
    <w:rsid w:val="00180067"/>
    <w:rsid w:val="001804EF"/>
    <w:rsid w:val="0018079D"/>
    <w:rsid w:val="00180E58"/>
    <w:rsid w:val="00182416"/>
    <w:rsid w:val="0018390B"/>
    <w:rsid w:val="001842FE"/>
    <w:rsid w:val="00185121"/>
    <w:rsid w:val="00185D79"/>
    <w:rsid w:val="00185DC8"/>
    <w:rsid w:val="0018694C"/>
    <w:rsid w:val="0019449F"/>
    <w:rsid w:val="00195591"/>
    <w:rsid w:val="00197013"/>
    <w:rsid w:val="00197AD7"/>
    <w:rsid w:val="001A29B6"/>
    <w:rsid w:val="001A3F08"/>
    <w:rsid w:val="001A40F3"/>
    <w:rsid w:val="001A4561"/>
    <w:rsid w:val="001A4A19"/>
    <w:rsid w:val="001A4C14"/>
    <w:rsid w:val="001A678B"/>
    <w:rsid w:val="001B1A70"/>
    <w:rsid w:val="001B1CD0"/>
    <w:rsid w:val="001B3DE5"/>
    <w:rsid w:val="001B67DE"/>
    <w:rsid w:val="001B6B74"/>
    <w:rsid w:val="001B75C3"/>
    <w:rsid w:val="001B7CF0"/>
    <w:rsid w:val="001C21E8"/>
    <w:rsid w:val="001C4E66"/>
    <w:rsid w:val="001D1DD0"/>
    <w:rsid w:val="001D1E5D"/>
    <w:rsid w:val="001D4897"/>
    <w:rsid w:val="001D4AA5"/>
    <w:rsid w:val="001D52AE"/>
    <w:rsid w:val="001D74F9"/>
    <w:rsid w:val="001E0108"/>
    <w:rsid w:val="001E2CBF"/>
    <w:rsid w:val="001E3E8B"/>
    <w:rsid w:val="001E4C57"/>
    <w:rsid w:val="001F1108"/>
    <w:rsid w:val="001F22BC"/>
    <w:rsid w:val="001F2346"/>
    <w:rsid w:val="001F2401"/>
    <w:rsid w:val="001F4A29"/>
    <w:rsid w:val="001F560F"/>
    <w:rsid w:val="001F6AF6"/>
    <w:rsid w:val="00203A64"/>
    <w:rsid w:val="00203BBE"/>
    <w:rsid w:val="002050D3"/>
    <w:rsid w:val="002067D1"/>
    <w:rsid w:val="002070D4"/>
    <w:rsid w:val="0020754D"/>
    <w:rsid w:val="0021249A"/>
    <w:rsid w:val="00212593"/>
    <w:rsid w:val="00213539"/>
    <w:rsid w:val="002154BA"/>
    <w:rsid w:val="00215BE4"/>
    <w:rsid w:val="00216646"/>
    <w:rsid w:val="002207BB"/>
    <w:rsid w:val="00221B49"/>
    <w:rsid w:val="00222AE8"/>
    <w:rsid w:val="00222EE8"/>
    <w:rsid w:val="002235CC"/>
    <w:rsid w:val="002262FB"/>
    <w:rsid w:val="00236776"/>
    <w:rsid w:val="00241364"/>
    <w:rsid w:val="002413EA"/>
    <w:rsid w:val="0024215C"/>
    <w:rsid w:val="00243099"/>
    <w:rsid w:val="002437D2"/>
    <w:rsid w:val="002441CD"/>
    <w:rsid w:val="00244DBC"/>
    <w:rsid w:val="00246340"/>
    <w:rsid w:val="00250613"/>
    <w:rsid w:val="002507C8"/>
    <w:rsid w:val="00255D9C"/>
    <w:rsid w:val="00263A5A"/>
    <w:rsid w:val="00264CE8"/>
    <w:rsid w:val="002654A9"/>
    <w:rsid w:val="0026639C"/>
    <w:rsid w:val="00270089"/>
    <w:rsid w:val="002707C0"/>
    <w:rsid w:val="00273FAD"/>
    <w:rsid w:val="00274D3A"/>
    <w:rsid w:val="002759A1"/>
    <w:rsid w:val="00275C63"/>
    <w:rsid w:val="00276E1B"/>
    <w:rsid w:val="00280CC7"/>
    <w:rsid w:val="00281263"/>
    <w:rsid w:val="00282B33"/>
    <w:rsid w:val="002836AB"/>
    <w:rsid w:val="00285BF9"/>
    <w:rsid w:val="002869EA"/>
    <w:rsid w:val="002870D8"/>
    <w:rsid w:val="00291588"/>
    <w:rsid w:val="00292123"/>
    <w:rsid w:val="00292D5B"/>
    <w:rsid w:val="00293853"/>
    <w:rsid w:val="00293F88"/>
    <w:rsid w:val="002969DD"/>
    <w:rsid w:val="0029721D"/>
    <w:rsid w:val="002A0155"/>
    <w:rsid w:val="002A0B1F"/>
    <w:rsid w:val="002A1634"/>
    <w:rsid w:val="002A212C"/>
    <w:rsid w:val="002A2AA2"/>
    <w:rsid w:val="002A366A"/>
    <w:rsid w:val="002A4854"/>
    <w:rsid w:val="002A58EF"/>
    <w:rsid w:val="002A67E4"/>
    <w:rsid w:val="002B0B53"/>
    <w:rsid w:val="002B0D0B"/>
    <w:rsid w:val="002B0D90"/>
    <w:rsid w:val="002B1310"/>
    <w:rsid w:val="002B2046"/>
    <w:rsid w:val="002B2701"/>
    <w:rsid w:val="002B38B3"/>
    <w:rsid w:val="002B5A18"/>
    <w:rsid w:val="002C0F31"/>
    <w:rsid w:val="002C3800"/>
    <w:rsid w:val="002C38FD"/>
    <w:rsid w:val="002C3FEB"/>
    <w:rsid w:val="002C4EC7"/>
    <w:rsid w:val="002C54AF"/>
    <w:rsid w:val="002C5DB8"/>
    <w:rsid w:val="002D0861"/>
    <w:rsid w:val="002D0CC9"/>
    <w:rsid w:val="002D16F0"/>
    <w:rsid w:val="002D3EE5"/>
    <w:rsid w:val="002D5327"/>
    <w:rsid w:val="002D54E7"/>
    <w:rsid w:val="002D5996"/>
    <w:rsid w:val="002D5DE5"/>
    <w:rsid w:val="002E01D3"/>
    <w:rsid w:val="002E07CE"/>
    <w:rsid w:val="002E0A56"/>
    <w:rsid w:val="002E11FD"/>
    <w:rsid w:val="002E497D"/>
    <w:rsid w:val="002E4AF0"/>
    <w:rsid w:val="002E5573"/>
    <w:rsid w:val="002E5E8F"/>
    <w:rsid w:val="002E70C8"/>
    <w:rsid w:val="002E72A6"/>
    <w:rsid w:val="002F0B94"/>
    <w:rsid w:val="002F10FD"/>
    <w:rsid w:val="002F1525"/>
    <w:rsid w:val="002F3616"/>
    <w:rsid w:val="002F465C"/>
    <w:rsid w:val="002F52EB"/>
    <w:rsid w:val="002F6A4F"/>
    <w:rsid w:val="002F7020"/>
    <w:rsid w:val="002F71F6"/>
    <w:rsid w:val="00302340"/>
    <w:rsid w:val="003036CD"/>
    <w:rsid w:val="00304F05"/>
    <w:rsid w:val="0030583D"/>
    <w:rsid w:val="00306061"/>
    <w:rsid w:val="00307417"/>
    <w:rsid w:val="0031083D"/>
    <w:rsid w:val="00311685"/>
    <w:rsid w:val="003118B3"/>
    <w:rsid w:val="00312507"/>
    <w:rsid w:val="00312F72"/>
    <w:rsid w:val="00313F92"/>
    <w:rsid w:val="00321C2C"/>
    <w:rsid w:val="00324B92"/>
    <w:rsid w:val="003257E9"/>
    <w:rsid w:val="00325921"/>
    <w:rsid w:val="0032631B"/>
    <w:rsid w:val="00330DE6"/>
    <w:rsid w:val="00331CB5"/>
    <w:rsid w:val="00332974"/>
    <w:rsid w:val="003339C6"/>
    <w:rsid w:val="0033450A"/>
    <w:rsid w:val="00334E5C"/>
    <w:rsid w:val="003363B4"/>
    <w:rsid w:val="0034051A"/>
    <w:rsid w:val="003412F4"/>
    <w:rsid w:val="0034156D"/>
    <w:rsid w:val="003417F1"/>
    <w:rsid w:val="00342C0C"/>
    <w:rsid w:val="00343ADE"/>
    <w:rsid w:val="0034460D"/>
    <w:rsid w:val="00350E81"/>
    <w:rsid w:val="003539DF"/>
    <w:rsid w:val="003574BE"/>
    <w:rsid w:val="00360439"/>
    <w:rsid w:val="00364B79"/>
    <w:rsid w:val="00367DAA"/>
    <w:rsid w:val="0036BB12"/>
    <w:rsid w:val="00371125"/>
    <w:rsid w:val="00371AC1"/>
    <w:rsid w:val="00371DC4"/>
    <w:rsid w:val="00371FD5"/>
    <w:rsid w:val="00373038"/>
    <w:rsid w:val="00377EA0"/>
    <w:rsid w:val="00380A16"/>
    <w:rsid w:val="003855F1"/>
    <w:rsid w:val="00386E11"/>
    <w:rsid w:val="003969E5"/>
    <w:rsid w:val="00397D19"/>
    <w:rsid w:val="003A2F3A"/>
    <w:rsid w:val="003A36D9"/>
    <w:rsid w:val="003A41AA"/>
    <w:rsid w:val="003A44C9"/>
    <w:rsid w:val="003A50F3"/>
    <w:rsid w:val="003A529A"/>
    <w:rsid w:val="003A649D"/>
    <w:rsid w:val="003A682D"/>
    <w:rsid w:val="003A7068"/>
    <w:rsid w:val="003A7C7D"/>
    <w:rsid w:val="003B6619"/>
    <w:rsid w:val="003B6C71"/>
    <w:rsid w:val="003C0CD2"/>
    <w:rsid w:val="003C1688"/>
    <w:rsid w:val="003C1DE7"/>
    <w:rsid w:val="003C47F0"/>
    <w:rsid w:val="003C5532"/>
    <w:rsid w:val="003C7D4D"/>
    <w:rsid w:val="003D01FB"/>
    <w:rsid w:val="003D06E7"/>
    <w:rsid w:val="003D11FE"/>
    <w:rsid w:val="003D26E8"/>
    <w:rsid w:val="003D4FA6"/>
    <w:rsid w:val="003D5E12"/>
    <w:rsid w:val="003E0407"/>
    <w:rsid w:val="003E4956"/>
    <w:rsid w:val="003E72A1"/>
    <w:rsid w:val="003E7A80"/>
    <w:rsid w:val="003F2D84"/>
    <w:rsid w:val="003F3F7B"/>
    <w:rsid w:val="003F7E0C"/>
    <w:rsid w:val="0040125F"/>
    <w:rsid w:val="004015CC"/>
    <w:rsid w:val="0040355D"/>
    <w:rsid w:val="00403EDE"/>
    <w:rsid w:val="00405EE3"/>
    <w:rsid w:val="00410D28"/>
    <w:rsid w:val="0041160D"/>
    <w:rsid w:val="004117F6"/>
    <w:rsid w:val="00413BEA"/>
    <w:rsid w:val="00415376"/>
    <w:rsid w:val="00415479"/>
    <w:rsid w:val="00416678"/>
    <w:rsid w:val="00421A59"/>
    <w:rsid w:val="00421BE6"/>
    <w:rsid w:val="00425A6F"/>
    <w:rsid w:val="00434823"/>
    <w:rsid w:val="00434CFD"/>
    <w:rsid w:val="004352CB"/>
    <w:rsid w:val="00436326"/>
    <w:rsid w:val="004375DE"/>
    <w:rsid w:val="004377E7"/>
    <w:rsid w:val="00440EFF"/>
    <w:rsid w:val="00441C29"/>
    <w:rsid w:val="0044291D"/>
    <w:rsid w:val="004447B5"/>
    <w:rsid w:val="004451CC"/>
    <w:rsid w:val="00446E29"/>
    <w:rsid w:val="00450332"/>
    <w:rsid w:val="00450C54"/>
    <w:rsid w:val="00451A76"/>
    <w:rsid w:val="004523B5"/>
    <w:rsid w:val="004524EB"/>
    <w:rsid w:val="00452E55"/>
    <w:rsid w:val="00454A3B"/>
    <w:rsid w:val="00454FD7"/>
    <w:rsid w:val="00456968"/>
    <w:rsid w:val="00457486"/>
    <w:rsid w:val="00457DE7"/>
    <w:rsid w:val="00462D28"/>
    <w:rsid w:val="00463835"/>
    <w:rsid w:val="00465B81"/>
    <w:rsid w:val="00466049"/>
    <w:rsid w:val="004729F8"/>
    <w:rsid w:val="00473FAC"/>
    <w:rsid w:val="004811E9"/>
    <w:rsid w:val="00484DC0"/>
    <w:rsid w:val="004853CC"/>
    <w:rsid w:val="00485B84"/>
    <w:rsid w:val="0049351A"/>
    <w:rsid w:val="00497121"/>
    <w:rsid w:val="004A0154"/>
    <w:rsid w:val="004A045E"/>
    <w:rsid w:val="004A21C2"/>
    <w:rsid w:val="004A2326"/>
    <w:rsid w:val="004A2ABB"/>
    <w:rsid w:val="004A4978"/>
    <w:rsid w:val="004A5BC2"/>
    <w:rsid w:val="004A69EA"/>
    <w:rsid w:val="004A7676"/>
    <w:rsid w:val="004B1BB0"/>
    <w:rsid w:val="004B290A"/>
    <w:rsid w:val="004B3D5F"/>
    <w:rsid w:val="004B53C6"/>
    <w:rsid w:val="004B61D4"/>
    <w:rsid w:val="004B649A"/>
    <w:rsid w:val="004B67E7"/>
    <w:rsid w:val="004B7234"/>
    <w:rsid w:val="004B72DB"/>
    <w:rsid w:val="004B77F6"/>
    <w:rsid w:val="004C0F64"/>
    <w:rsid w:val="004C29F0"/>
    <w:rsid w:val="004C4719"/>
    <w:rsid w:val="004C4FE5"/>
    <w:rsid w:val="004C60C9"/>
    <w:rsid w:val="004D03DF"/>
    <w:rsid w:val="004D1531"/>
    <w:rsid w:val="004D19BC"/>
    <w:rsid w:val="004D1A85"/>
    <w:rsid w:val="004D2ACB"/>
    <w:rsid w:val="004D3840"/>
    <w:rsid w:val="004D4E35"/>
    <w:rsid w:val="004D51FE"/>
    <w:rsid w:val="004D58B4"/>
    <w:rsid w:val="004D69EB"/>
    <w:rsid w:val="004D7617"/>
    <w:rsid w:val="004D7E5C"/>
    <w:rsid w:val="004E0F21"/>
    <w:rsid w:val="004E18C5"/>
    <w:rsid w:val="004E2071"/>
    <w:rsid w:val="004E4C1A"/>
    <w:rsid w:val="004E638A"/>
    <w:rsid w:val="004E63A5"/>
    <w:rsid w:val="004E702B"/>
    <w:rsid w:val="004F5549"/>
    <w:rsid w:val="004F5F29"/>
    <w:rsid w:val="004F63AF"/>
    <w:rsid w:val="004F656A"/>
    <w:rsid w:val="00500420"/>
    <w:rsid w:val="0050083B"/>
    <w:rsid w:val="005011E5"/>
    <w:rsid w:val="005013B1"/>
    <w:rsid w:val="00507633"/>
    <w:rsid w:val="00515CC8"/>
    <w:rsid w:val="00515D51"/>
    <w:rsid w:val="00515FC0"/>
    <w:rsid w:val="005176EA"/>
    <w:rsid w:val="0052167F"/>
    <w:rsid w:val="005219DF"/>
    <w:rsid w:val="005230C1"/>
    <w:rsid w:val="00523A61"/>
    <w:rsid w:val="00523FA0"/>
    <w:rsid w:val="005256FF"/>
    <w:rsid w:val="00526E0B"/>
    <w:rsid w:val="0053096F"/>
    <w:rsid w:val="0053507C"/>
    <w:rsid w:val="00537214"/>
    <w:rsid w:val="0053731A"/>
    <w:rsid w:val="005375BC"/>
    <w:rsid w:val="00537CB6"/>
    <w:rsid w:val="00540EEC"/>
    <w:rsid w:val="0054140C"/>
    <w:rsid w:val="005442BD"/>
    <w:rsid w:val="0054588C"/>
    <w:rsid w:val="00546B9B"/>
    <w:rsid w:val="00547B1A"/>
    <w:rsid w:val="00547BF2"/>
    <w:rsid w:val="005500E2"/>
    <w:rsid w:val="005522F9"/>
    <w:rsid w:val="005536ED"/>
    <w:rsid w:val="005539E5"/>
    <w:rsid w:val="005546D3"/>
    <w:rsid w:val="005555E2"/>
    <w:rsid w:val="005565DE"/>
    <w:rsid w:val="00557DD8"/>
    <w:rsid w:val="00564FB1"/>
    <w:rsid w:val="00566E9B"/>
    <w:rsid w:val="00567716"/>
    <w:rsid w:val="00570041"/>
    <w:rsid w:val="00570212"/>
    <w:rsid w:val="005745FA"/>
    <w:rsid w:val="00580FCC"/>
    <w:rsid w:val="0058384B"/>
    <w:rsid w:val="00583C40"/>
    <w:rsid w:val="00586761"/>
    <w:rsid w:val="00587F6A"/>
    <w:rsid w:val="0059099A"/>
    <w:rsid w:val="005913F4"/>
    <w:rsid w:val="00592D66"/>
    <w:rsid w:val="00595059"/>
    <w:rsid w:val="005956FB"/>
    <w:rsid w:val="00595841"/>
    <w:rsid w:val="005962AD"/>
    <w:rsid w:val="00597916"/>
    <w:rsid w:val="00597C91"/>
    <w:rsid w:val="005A0A2F"/>
    <w:rsid w:val="005A3317"/>
    <w:rsid w:val="005A3A21"/>
    <w:rsid w:val="005A50A6"/>
    <w:rsid w:val="005A6D9D"/>
    <w:rsid w:val="005A746B"/>
    <w:rsid w:val="005A754E"/>
    <w:rsid w:val="005B2648"/>
    <w:rsid w:val="005B3900"/>
    <w:rsid w:val="005B3F04"/>
    <w:rsid w:val="005B5080"/>
    <w:rsid w:val="005C2D6D"/>
    <w:rsid w:val="005C2F5C"/>
    <w:rsid w:val="005C374A"/>
    <w:rsid w:val="005C3BA6"/>
    <w:rsid w:val="005C41CC"/>
    <w:rsid w:val="005C67B1"/>
    <w:rsid w:val="005C6927"/>
    <w:rsid w:val="005D3048"/>
    <w:rsid w:val="005D3CF3"/>
    <w:rsid w:val="005D3E52"/>
    <w:rsid w:val="005D6ED0"/>
    <w:rsid w:val="005D77AD"/>
    <w:rsid w:val="005E2DAA"/>
    <w:rsid w:val="005E44D9"/>
    <w:rsid w:val="005E46FE"/>
    <w:rsid w:val="005E5CA4"/>
    <w:rsid w:val="005E7CA9"/>
    <w:rsid w:val="005F0BD5"/>
    <w:rsid w:val="005F3893"/>
    <w:rsid w:val="005F46A9"/>
    <w:rsid w:val="005F6921"/>
    <w:rsid w:val="005F708F"/>
    <w:rsid w:val="005F7AF8"/>
    <w:rsid w:val="005F7CCC"/>
    <w:rsid w:val="00601197"/>
    <w:rsid w:val="006019BD"/>
    <w:rsid w:val="006026DB"/>
    <w:rsid w:val="0060273D"/>
    <w:rsid w:val="00605939"/>
    <w:rsid w:val="006064D8"/>
    <w:rsid w:val="0060691B"/>
    <w:rsid w:val="00606ABC"/>
    <w:rsid w:val="00607F7B"/>
    <w:rsid w:val="006108EB"/>
    <w:rsid w:val="00611797"/>
    <w:rsid w:val="00612FCF"/>
    <w:rsid w:val="00613945"/>
    <w:rsid w:val="0061399C"/>
    <w:rsid w:val="0061513D"/>
    <w:rsid w:val="006155F3"/>
    <w:rsid w:val="00616F5A"/>
    <w:rsid w:val="00617450"/>
    <w:rsid w:val="006224B5"/>
    <w:rsid w:val="006228CF"/>
    <w:rsid w:val="00622F70"/>
    <w:rsid w:val="00624755"/>
    <w:rsid w:val="00624E6C"/>
    <w:rsid w:val="006255D6"/>
    <w:rsid w:val="0062614A"/>
    <w:rsid w:val="006264E9"/>
    <w:rsid w:val="006265F8"/>
    <w:rsid w:val="00626759"/>
    <w:rsid w:val="00627280"/>
    <w:rsid w:val="006308E0"/>
    <w:rsid w:val="00631FDA"/>
    <w:rsid w:val="0063239B"/>
    <w:rsid w:val="00632F37"/>
    <w:rsid w:val="00633C4F"/>
    <w:rsid w:val="006349CA"/>
    <w:rsid w:val="00634BDF"/>
    <w:rsid w:val="00634C0F"/>
    <w:rsid w:val="00640625"/>
    <w:rsid w:val="00641170"/>
    <w:rsid w:val="006440AF"/>
    <w:rsid w:val="0064537C"/>
    <w:rsid w:val="00646DC0"/>
    <w:rsid w:val="00650A6E"/>
    <w:rsid w:val="006520E6"/>
    <w:rsid w:val="006523DB"/>
    <w:rsid w:val="00652F58"/>
    <w:rsid w:val="00653B7A"/>
    <w:rsid w:val="00653B7D"/>
    <w:rsid w:val="00656B37"/>
    <w:rsid w:val="00656EE8"/>
    <w:rsid w:val="006573FD"/>
    <w:rsid w:val="00660741"/>
    <w:rsid w:val="00660B70"/>
    <w:rsid w:val="00662B65"/>
    <w:rsid w:val="00663867"/>
    <w:rsid w:val="00664CDD"/>
    <w:rsid w:val="006674F2"/>
    <w:rsid w:val="006679E4"/>
    <w:rsid w:val="0067012C"/>
    <w:rsid w:val="006706CE"/>
    <w:rsid w:val="006723E7"/>
    <w:rsid w:val="00680480"/>
    <w:rsid w:val="0068182E"/>
    <w:rsid w:val="00681D4A"/>
    <w:rsid w:val="006824D4"/>
    <w:rsid w:val="00687928"/>
    <w:rsid w:val="00692866"/>
    <w:rsid w:val="00693C1B"/>
    <w:rsid w:val="00694ACA"/>
    <w:rsid w:val="00696850"/>
    <w:rsid w:val="00697997"/>
    <w:rsid w:val="006A1C2A"/>
    <w:rsid w:val="006A2E2D"/>
    <w:rsid w:val="006A6232"/>
    <w:rsid w:val="006A62B5"/>
    <w:rsid w:val="006A687A"/>
    <w:rsid w:val="006B22CC"/>
    <w:rsid w:val="006B3739"/>
    <w:rsid w:val="006B6094"/>
    <w:rsid w:val="006B629F"/>
    <w:rsid w:val="006B79BB"/>
    <w:rsid w:val="006C6841"/>
    <w:rsid w:val="006C6DC4"/>
    <w:rsid w:val="006C6F02"/>
    <w:rsid w:val="006D05BE"/>
    <w:rsid w:val="006D0A22"/>
    <w:rsid w:val="006D0D82"/>
    <w:rsid w:val="006D424C"/>
    <w:rsid w:val="006D6145"/>
    <w:rsid w:val="006D7172"/>
    <w:rsid w:val="006D7779"/>
    <w:rsid w:val="006E161B"/>
    <w:rsid w:val="006E24EC"/>
    <w:rsid w:val="006E35AF"/>
    <w:rsid w:val="006E614C"/>
    <w:rsid w:val="006E72AD"/>
    <w:rsid w:val="006F2F07"/>
    <w:rsid w:val="006F30D8"/>
    <w:rsid w:val="006F539C"/>
    <w:rsid w:val="00700BE8"/>
    <w:rsid w:val="00701950"/>
    <w:rsid w:val="00706C03"/>
    <w:rsid w:val="00706C3E"/>
    <w:rsid w:val="00707BA4"/>
    <w:rsid w:val="00707E4B"/>
    <w:rsid w:val="00711CB5"/>
    <w:rsid w:val="007129D9"/>
    <w:rsid w:val="007154B3"/>
    <w:rsid w:val="00715CA4"/>
    <w:rsid w:val="00716D9F"/>
    <w:rsid w:val="007177A0"/>
    <w:rsid w:val="00721564"/>
    <w:rsid w:val="007236F7"/>
    <w:rsid w:val="007244B5"/>
    <w:rsid w:val="007275EB"/>
    <w:rsid w:val="00732008"/>
    <w:rsid w:val="007322D8"/>
    <w:rsid w:val="007328B7"/>
    <w:rsid w:val="00734212"/>
    <w:rsid w:val="00742D09"/>
    <w:rsid w:val="00743C5D"/>
    <w:rsid w:val="00752E6B"/>
    <w:rsid w:val="00753430"/>
    <w:rsid w:val="00754B0C"/>
    <w:rsid w:val="00754F7C"/>
    <w:rsid w:val="00755228"/>
    <w:rsid w:val="007565AD"/>
    <w:rsid w:val="00757AF3"/>
    <w:rsid w:val="0076062A"/>
    <w:rsid w:val="0076070C"/>
    <w:rsid w:val="0076082A"/>
    <w:rsid w:val="007626A4"/>
    <w:rsid w:val="007671F3"/>
    <w:rsid w:val="0076745E"/>
    <w:rsid w:val="007677F6"/>
    <w:rsid w:val="0077039F"/>
    <w:rsid w:val="00770D38"/>
    <w:rsid w:val="007723E5"/>
    <w:rsid w:val="00774990"/>
    <w:rsid w:val="00777813"/>
    <w:rsid w:val="0078087A"/>
    <w:rsid w:val="0078127F"/>
    <w:rsid w:val="007812D5"/>
    <w:rsid w:val="00781AB8"/>
    <w:rsid w:val="00781CC0"/>
    <w:rsid w:val="00782507"/>
    <w:rsid w:val="00784EF2"/>
    <w:rsid w:val="00786A76"/>
    <w:rsid w:val="00795EB8"/>
    <w:rsid w:val="007A087E"/>
    <w:rsid w:val="007A0BE3"/>
    <w:rsid w:val="007A2DC1"/>
    <w:rsid w:val="007B0174"/>
    <w:rsid w:val="007B19A2"/>
    <w:rsid w:val="007B4BED"/>
    <w:rsid w:val="007B5232"/>
    <w:rsid w:val="007B524A"/>
    <w:rsid w:val="007B562C"/>
    <w:rsid w:val="007B6F1D"/>
    <w:rsid w:val="007B7283"/>
    <w:rsid w:val="007C0717"/>
    <w:rsid w:val="007C1C9C"/>
    <w:rsid w:val="007C25E8"/>
    <w:rsid w:val="007C3B2F"/>
    <w:rsid w:val="007C729B"/>
    <w:rsid w:val="007D1E8A"/>
    <w:rsid w:val="007D3107"/>
    <w:rsid w:val="007D4AB9"/>
    <w:rsid w:val="007D505D"/>
    <w:rsid w:val="007F038D"/>
    <w:rsid w:val="007F4011"/>
    <w:rsid w:val="007F44F2"/>
    <w:rsid w:val="007F5539"/>
    <w:rsid w:val="00800387"/>
    <w:rsid w:val="00801163"/>
    <w:rsid w:val="00802538"/>
    <w:rsid w:val="008025F2"/>
    <w:rsid w:val="00802C4C"/>
    <w:rsid w:val="00804D93"/>
    <w:rsid w:val="00805CB2"/>
    <w:rsid w:val="00807062"/>
    <w:rsid w:val="008103A6"/>
    <w:rsid w:val="008104D1"/>
    <w:rsid w:val="00811C41"/>
    <w:rsid w:val="00812AE4"/>
    <w:rsid w:val="00814094"/>
    <w:rsid w:val="00814C38"/>
    <w:rsid w:val="00815031"/>
    <w:rsid w:val="00816A61"/>
    <w:rsid w:val="0082039A"/>
    <w:rsid w:val="00820EF9"/>
    <w:rsid w:val="00822056"/>
    <w:rsid w:val="00823085"/>
    <w:rsid w:val="00825D55"/>
    <w:rsid w:val="00826A1E"/>
    <w:rsid w:val="00827759"/>
    <w:rsid w:val="00830C54"/>
    <w:rsid w:val="008316B2"/>
    <w:rsid w:val="008322D5"/>
    <w:rsid w:val="00832A16"/>
    <w:rsid w:val="008344C2"/>
    <w:rsid w:val="00834F4C"/>
    <w:rsid w:val="00836690"/>
    <w:rsid w:val="00836919"/>
    <w:rsid w:val="0083715F"/>
    <w:rsid w:val="00837390"/>
    <w:rsid w:val="008404D1"/>
    <w:rsid w:val="00840F54"/>
    <w:rsid w:val="00843AD2"/>
    <w:rsid w:val="00844DCD"/>
    <w:rsid w:val="008450C0"/>
    <w:rsid w:val="00846AE2"/>
    <w:rsid w:val="00846EB5"/>
    <w:rsid w:val="00846ECB"/>
    <w:rsid w:val="00850207"/>
    <w:rsid w:val="00850B21"/>
    <w:rsid w:val="0085205D"/>
    <w:rsid w:val="00852CD7"/>
    <w:rsid w:val="008533B4"/>
    <w:rsid w:val="008539F1"/>
    <w:rsid w:val="00853E42"/>
    <w:rsid w:val="008548DF"/>
    <w:rsid w:val="00856163"/>
    <w:rsid w:val="00860529"/>
    <w:rsid w:val="00860AA0"/>
    <w:rsid w:val="00861764"/>
    <w:rsid w:val="00862935"/>
    <w:rsid w:val="00863313"/>
    <w:rsid w:val="00863533"/>
    <w:rsid w:val="00864AA2"/>
    <w:rsid w:val="00864D54"/>
    <w:rsid w:val="00864D6E"/>
    <w:rsid w:val="00870816"/>
    <w:rsid w:val="00873CBD"/>
    <w:rsid w:val="00874E60"/>
    <w:rsid w:val="008750C3"/>
    <w:rsid w:val="00880968"/>
    <w:rsid w:val="00880DAA"/>
    <w:rsid w:val="00883B05"/>
    <w:rsid w:val="00886A1F"/>
    <w:rsid w:val="008925D9"/>
    <w:rsid w:val="00895051"/>
    <w:rsid w:val="00895060"/>
    <w:rsid w:val="00896C72"/>
    <w:rsid w:val="008A469D"/>
    <w:rsid w:val="008A7810"/>
    <w:rsid w:val="008A7CC9"/>
    <w:rsid w:val="008A7E4D"/>
    <w:rsid w:val="008B1BB9"/>
    <w:rsid w:val="008B3FF9"/>
    <w:rsid w:val="008B4801"/>
    <w:rsid w:val="008B6139"/>
    <w:rsid w:val="008B728A"/>
    <w:rsid w:val="008C04CE"/>
    <w:rsid w:val="008C1209"/>
    <w:rsid w:val="008C2692"/>
    <w:rsid w:val="008C2A90"/>
    <w:rsid w:val="008C4F51"/>
    <w:rsid w:val="008D0E9B"/>
    <w:rsid w:val="008D3D00"/>
    <w:rsid w:val="008D48B9"/>
    <w:rsid w:val="008D5441"/>
    <w:rsid w:val="008D6E1D"/>
    <w:rsid w:val="008E23F1"/>
    <w:rsid w:val="008E58A3"/>
    <w:rsid w:val="008E79B2"/>
    <w:rsid w:val="008F13A4"/>
    <w:rsid w:val="008F2B7B"/>
    <w:rsid w:val="008F4C49"/>
    <w:rsid w:val="008F56CD"/>
    <w:rsid w:val="008F7D66"/>
    <w:rsid w:val="00901293"/>
    <w:rsid w:val="0090159D"/>
    <w:rsid w:val="00907B4F"/>
    <w:rsid w:val="00910863"/>
    <w:rsid w:val="0091182D"/>
    <w:rsid w:val="009145D3"/>
    <w:rsid w:val="00915097"/>
    <w:rsid w:val="009161AB"/>
    <w:rsid w:val="00916D66"/>
    <w:rsid w:val="00920FFF"/>
    <w:rsid w:val="009211AC"/>
    <w:rsid w:val="00922360"/>
    <w:rsid w:val="00922E88"/>
    <w:rsid w:val="009246DC"/>
    <w:rsid w:val="009255CF"/>
    <w:rsid w:val="0092706B"/>
    <w:rsid w:val="0093359D"/>
    <w:rsid w:val="00934A47"/>
    <w:rsid w:val="00936FF3"/>
    <w:rsid w:val="009370C0"/>
    <w:rsid w:val="00937CDE"/>
    <w:rsid w:val="009421AE"/>
    <w:rsid w:val="00944653"/>
    <w:rsid w:val="00944D8A"/>
    <w:rsid w:val="009477A2"/>
    <w:rsid w:val="00947D22"/>
    <w:rsid w:val="00950352"/>
    <w:rsid w:val="00951552"/>
    <w:rsid w:val="009530FB"/>
    <w:rsid w:val="00953DE0"/>
    <w:rsid w:val="00954B6A"/>
    <w:rsid w:val="009550BB"/>
    <w:rsid w:val="0095531B"/>
    <w:rsid w:val="00955990"/>
    <w:rsid w:val="00956C89"/>
    <w:rsid w:val="00960467"/>
    <w:rsid w:val="009631CB"/>
    <w:rsid w:val="009637EE"/>
    <w:rsid w:val="00965ADD"/>
    <w:rsid w:val="0096668F"/>
    <w:rsid w:val="00970A92"/>
    <w:rsid w:val="009710E5"/>
    <w:rsid w:val="009721EE"/>
    <w:rsid w:val="0097357F"/>
    <w:rsid w:val="00973EC4"/>
    <w:rsid w:val="00974012"/>
    <w:rsid w:val="00976AB6"/>
    <w:rsid w:val="0097734F"/>
    <w:rsid w:val="009801E2"/>
    <w:rsid w:val="009802E7"/>
    <w:rsid w:val="00980A5A"/>
    <w:rsid w:val="00980F1C"/>
    <w:rsid w:val="0098402D"/>
    <w:rsid w:val="00984EB1"/>
    <w:rsid w:val="0098524F"/>
    <w:rsid w:val="009862C1"/>
    <w:rsid w:val="0098671B"/>
    <w:rsid w:val="00990020"/>
    <w:rsid w:val="009906E5"/>
    <w:rsid w:val="009912DA"/>
    <w:rsid w:val="0099243A"/>
    <w:rsid w:val="00993B66"/>
    <w:rsid w:val="009957A3"/>
    <w:rsid w:val="00997938"/>
    <w:rsid w:val="009A1CC1"/>
    <w:rsid w:val="009A2DAC"/>
    <w:rsid w:val="009A33BB"/>
    <w:rsid w:val="009A37AE"/>
    <w:rsid w:val="009A3B88"/>
    <w:rsid w:val="009A4D8E"/>
    <w:rsid w:val="009A56D3"/>
    <w:rsid w:val="009A774A"/>
    <w:rsid w:val="009A79C5"/>
    <w:rsid w:val="009B2C11"/>
    <w:rsid w:val="009B487D"/>
    <w:rsid w:val="009B4D98"/>
    <w:rsid w:val="009B5732"/>
    <w:rsid w:val="009B5886"/>
    <w:rsid w:val="009B6505"/>
    <w:rsid w:val="009B79BC"/>
    <w:rsid w:val="009C01D6"/>
    <w:rsid w:val="009C160C"/>
    <w:rsid w:val="009C19A3"/>
    <w:rsid w:val="009C22CD"/>
    <w:rsid w:val="009C2473"/>
    <w:rsid w:val="009C2CFD"/>
    <w:rsid w:val="009C3B52"/>
    <w:rsid w:val="009C4800"/>
    <w:rsid w:val="009C4B07"/>
    <w:rsid w:val="009C5B86"/>
    <w:rsid w:val="009C685B"/>
    <w:rsid w:val="009D4591"/>
    <w:rsid w:val="009D5EB1"/>
    <w:rsid w:val="009D78B1"/>
    <w:rsid w:val="009E0296"/>
    <w:rsid w:val="009E0460"/>
    <w:rsid w:val="009E12CD"/>
    <w:rsid w:val="009E17A5"/>
    <w:rsid w:val="009E6350"/>
    <w:rsid w:val="009E78D7"/>
    <w:rsid w:val="009F04E8"/>
    <w:rsid w:val="009F197A"/>
    <w:rsid w:val="009F3597"/>
    <w:rsid w:val="009F4F41"/>
    <w:rsid w:val="009F6D47"/>
    <w:rsid w:val="009F7AD9"/>
    <w:rsid w:val="009F7C3F"/>
    <w:rsid w:val="00A00CBA"/>
    <w:rsid w:val="00A01A0E"/>
    <w:rsid w:val="00A01AF3"/>
    <w:rsid w:val="00A03C0C"/>
    <w:rsid w:val="00A03D75"/>
    <w:rsid w:val="00A05212"/>
    <w:rsid w:val="00A06826"/>
    <w:rsid w:val="00A06A11"/>
    <w:rsid w:val="00A0788C"/>
    <w:rsid w:val="00A10143"/>
    <w:rsid w:val="00A14A2A"/>
    <w:rsid w:val="00A1548E"/>
    <w:rsid w:val="00A1673D"/>
    <w:rsid w:val="00A16971"/>
    <w:rsid w:val="00A16A38"/>
    <w:rsid w:val="00A21649"/>
    <w:rsid w:val="00A21843"/>
    <w:rsid w:val="00A2285F"/>
    <w:rsid w:val="00A23879"/>
    <w:rsid w:val="00A23CD9"/>
    <w:rsid w:val="00A2452B"/>
    <w:rsid w:val="00A264B5"/>
    <w:rsid w:val="00A265A8"/>
    <w:rsid w:val="00A279C9"/>
    <w:rsid w:val="00A30655"/>
    <w:rsid w:val="00A3088A"/>
    <w:rsid w:val="00A31332"/>
    <w:rsid w:val="00A32B44"/>
    <w:rsid w:val="00A34743"/>
    <w:rsid w:val="00A34F17"/>
    <w:rsid w:val="00A35A7D"/>
    <w:rsid w:val="00A371C2"/>
    <w:rsid w:val="00A37EF8"/>
    <w:rsid w:val="00A41417"/>
    <w:rsid w:val="00A42B1F"/>
    <w:rsid w:val="00A4372D"/>
    <w:rsid w:val="00A43760"/>
    <w:rsid w:val="00A463ED"/>
    <w:rsid w:val="00A47E08"/>
    <w:rsid w:val="00A50257"/>
    <w:rsid w:val="00A507C9"/>
    <w:rsid w:val="00A50CD9"/>
    <w:rsid w:val="00A50ED6"/>
    <w:rsid w:val="00A51DD7"/>
    <w:rsid w:val="00A5570B"/>
    <w:rsid w:val="00A571AC"/>
    <w:rsid w:val="00A579EF"/>
    <w:rsid w:val="00A60F3D"/>
    <w:rsid w:val="00A621C1"/>
    <w:rsid w:val="00A6242F"/>
    <w:rsid w:val="00A641E7"/>
    <w:rsid w:val="00A64AB2"/>
    <w:rsid w:val="00A658E6"/>
    <w:rsid w:val="00A65C04"/>
    <w:rsid w:val="00A66F9B"/>
    <w:rsid w:val="00A70A15"/>
    <w:rsid w:val="00A7162D"/>
    <w:rsid w:val="00A71769"/>
    <w:rsid w:val="00A71952"/>
    <w:rsid w:val="00A730E8"/>
    <w:rsid w:val="00A746B2"/>
    <w:rsid w:val="00A76C4B"/>
    <w:rsid w:val="00A800D5"/>
    <w:rsid w:val="00A80516"/>
    <w:rsid w:val="00A8115D"/>
    <w:rsid w:val="00A83D29"/>
    <w:rsid w:val="00A85E5D"/>
    <w:rsid w:val="00A865DD"/>
    <w:rsid w:val="00A900D2"/>
    <w:rsid w:val="00A92D8A"/>
    <w:rsid w:val="00A95216"/>
    <w:rsid w:val="00A95CFA"/>
    <w:rsid w:val="00A975C0"/>
    <w:rsid w:val="00AA0474"/>
    <w:rsid w:val="00AA0D9B"/>
    <w:rsid w:val="00AA155E"/>
    <w:rsid w:val="00AA3AFB"/>
    <w:rsid w:val="00AA3D3A"/>
    <w:rsid w:val="00AA7243"/>
    <w:rsid w:val="00AB1382"/>
    <w:rsid w:val="00AB1DB2"/>
    <w:rsid w:val="00AB5188"/>
    <w:rsid w:val="00AB5597"/>
    <w:rsid w:val="00AB60E2"/>
    <w:rsid w:val="00AB6D18"/>
    <w:rsid w:val="00AB7351"/>
    <w:rsid w:val="00AC7680"/>
    <w:rsid w:val="00AD06DA"/>
    <w:rsid w:val="00AD0E51"/>
    <w:rsid w:val="00AD5FF5"/>
    <w:rsid w:val="00AD782E"/>
    <w:rsid w:val="00AD7B58"/>
    <w:rsid w:val="00AE1024"/>
    <w:rsid w:val="00AE20DA"/>
    <w:rsid w:val="00AE3379"/>
    <w:rsid w:val="00AE48C5"/>
    <w:rsid w:val="00AE4AE9"/>
    <w:rsid w:val="00AE5508"/>
    <w:rsid w:val="00AE5EB2"/>
    <w:rsid w:val="00AE7857"/>
    <w:rsid w:val="00AF3A9B"/>
    <w:rsid w:val="00AF5360"/>
    <w:rsid w:val="00AF5791"/>
    <w:rsid w:val="00AF5F2D"/>
    <w:rsid w:val="00AF6DA5"/>
    <w:rsid w:val="00B0078E"/>
    <w:rsid w:val="00B038AF"/>
    <w:rsid w:val="00B04DA1"/>
    <w:rsid w:val="00B0618E"/>
    <w:rsid w:val="00B07502"/>
    <w:rsid w:val="00B07F4C"/>
    <w:rsid w:val="00B1190F"/>
    <w:rsid w:val="00B1414D"/>
    <w:rsid w:val="00B15DC4"/>
    <w:rsid w:val="00B163D0"/>
    <w:rsid w:val="00B16BAB"/>
    <w:rsid w:val="00B17058"/>
    <w:rsid w:val="00B22314"/>
    <w:rsid w:val="00B2282C"/>
    <w:rsid w:val="00B31568"/>
    <w:rsid w:val="00B31AE0"/>
    <w:rsid w:val="00B32505"/>
    <w:rsid w:val="00B34D58"/>
    <w:rsid w:val="00B36B50"/>
    <w:rsid w:val="00B37501"/>
    <w:rsid w:val="00B4029D"/>
    <w:rsid w:val="00B41CB0"/>
    <w:rsid w:val="00B4354A"/>
    <w:rsid w:val="00B4530C"/>
    <w:rsid w:val="00B46308"/>
    <w:rsid w:val="00B4758B"/>
    <w:rsid w:val="00B47C95"/>
    <w:rsid w:val="00B523F1"/>
    <w:rsid w:val="00B53371"/>
    <w:rsid w:val="00B53375"/>
    <w:rsid w:val="00B543B9"/>
    <w:rsid w:val="00B54BA1"/>
    <w:rsid w:val="00B560D8"/>
    <w:rsid w:val="00B61892"/>
    <w:rsid w:val="00B64DCC"/>
    <w:rsid w:val="00B70285"/>
    <w:rsid w:val="00B70924"/>
    <w:rsid w:val="00B72FFD"/>
    <w:rsid w:val="00B75454"/>
    <w:rsid w:val="00B80C25"/>
    <w:rsid w:val="00B83578"/>
    <w:rsid w:val="00B83FCB"/>
    <w:rsid w:val="00B8544B"/>
    <w:rsid w:val="00B85C02"/>
    <w:rsid w:val="00B85D7B"/>
    <w:rsid w:val="00B90152"/>
    <w:rsid w:val="00B935AE"/>
    <w:rsid w:val="00B94547"/>
    <w:rsid w:val="00B949F2"/>
    <w:rsid w:val="00B95CE9"/>
    <w:rsid w:val="00B9606A"/>
    <w:rsid w:val="00B97DB8"/>
    <w:rsid w:val="00BA0314"/>
    <w:rsid w:val="00BA0529"/>
    <w:rsid w:val="00BA5979"/>
    <w:rsid w:val="00BA711A"/>
    <w:rsid w:val="00BA7DA3"/>
    <w:rsid w:val="00BA7EF7"/>
    <w:rsid w:val="00BB60FD"/>
    <w:rsid w:val="00BB7CF1"/>
    <w:rsid w:val="00BC4186"/>
    <w:rsid w:val="00BC7E3F"/>
    <w:rsid w:val="00BD6A08"/>
    <w:rsid w:val="00BD7BF1"/>
    <w:rsid w:val="00BE3B33"/>
    <w:rsid w:val="00BE4698"/>
    <w:rsid w:val="00BE4B01"/>
    <w:rsid w:val="00BE6A3A"/>
    <w:rsid w:val="00BE7DA9"/>
    <w:rsid w:val="00BF30FF"/>
    <w:rsid w:val="00BF617C"/>
    <w:rsid w:val="00C0228D"/>
    <w:rsid w:val="00C02290"/>
    <w:rsid w:val="00C0231C"/>
    <w:rsid w:val="00C04E26"/>
    <w:rsid w:val="00C06B81"/>
    <w:rsid w:val="00C12B9C"/>
    <w:rsid w:val="00C135AD"/>
    <w:rsid w:val="00C146C4"/>
    <w:rsid w:val="00C14761"/>
    <w:rsid w:val="00C15309"/>
    <w:rsid w:val="00C1561B"/>
    <w:rsid w:val="00C15BA1"/>
    <w:rsid w:val="00C163BA"/>
    <w:rsid w:val="00C1641E"/>
    <w:rsid w:val="00C16F58"/>
    <w:rsid w:val="00C17BFC"/>
    <w:rsid w:val="00C17E40"/>
    <w:rsid w:val="00C17E4E"/>
    <w:rsid w:val="00C20C2E"/>
    <w:rsid w:val="00C22105"/>
    <w:rsid w:val="00C250B6"/>
    <w:rsid w:val="00C26DA9"/>
    <w:rsid w:val="00C277A6"/>
    <w:rsid w:val="00C3019E"/>
    <w:rsid w:val="00C31EFB"/>
    <w:rsid w:val="00C321C7"/>
    <w:rsid w:val="00C33637"/>
    <w:rsid w:val="00C34F42"/>
    <w:rsid w:val="00C36169"/>
    <w:rsid w:val="00C40CEA"/>
    <w:rsid w:val="00C414A4"/>
    <w:rsid w:val="00C41529"/>
    <w:rsid w:val="00C41931"/>
    <w:rsid w:val="00C41D97"/>
    <w:rsid w:val="00C428E4"/>
    <w:rsid w:val="00C43391"/>
    <w:rsid w:val="00C44088"/>
    <w:rsid w:val="00C4527D"/>
    <w:rsid w:val="00C46534"/>
    <w:rsid w:val="00C4670F"/>
    <w:rsid w:val="00C4793A"/>
    <w:rsid w:val="00C51D16"/>
    <w:rsid w:val="00C55E86"/>
    <w:rsid w:val="00C56652"/>
    <w:rsid w:val="00C57ED3"/>
    <w:rsid w:val="00C611FF"/>
    <w:rsid w:val="00C61FA9"/>
    <w:rsid w:val="00C62EF0"/>
    <w:rsid w:val="00C630F8"/>
    <w:rsid w:val="00C632C5"/>
    <w:rsid w:val="00C63556"/>
    <w:rsid w:val="00C63A3F"/>
    <w:rsid w:val="00C649B9"/>
    <w:rsid w:val="00C716C6"/>
    <w:rsid w:val="00C71799"/>
    <w:rsid w:val="00C74039"/>
    <w:rsid w:val="00C76757"/>
    <w:rsid w:val="00C76AD5"/>
    <w:rsid w:val="00C771CA"/>
    <w:rsid w:val="00C778F6"/>
    <w:rsid w:val="00C77AEA"/>
    <w:rsid w:val="00C80ACA"/>
    <w:rsid w:val="00C83FDC"/>
    <w:rsid w:val="00C8412B"/>
    <w:rsid w:val="00C85A36"/>
    <w:rsid w:val="00C85C3E"/>
    <w:rsid w:val="00C940DC"/>
    <w:rsid w:val="00CA00A9"/>
    <w:rsid w:val="00CA24D9"/>
    <w:rsid w:val="00CA3419"/>
    <w:rsid w:val="00CA6016"/>
    <w:rsid w:val="00CA75C7"/>
    <w:rsid w:val="00CB091A"/>
    <w:rsid w:val="00CB3BBD"/>
    <w:rsid w:val="00CB7689"/>
    <w:rsid w:val="00CC0388"/>
    <w:rsid w:val="00CC2A04"/>
    <w:rsid w:val="00CC5123"/>
    <w:rsid w:val="00CC65C7"/>
    <w:rsid w:val="00CC7B1E"/>
    <w:rsid w:val="00CC7C38"/>
    <w:rsid w:val="00CC7CBD"/>
    <w:rsid w:val="00CD1316"/>
    <w:rsid w:val="00CD1E01"/>
    <w:rsid w:val="00CD1FF4"/>
    <w:rsid w:val="00CD3192"/>
    <w:rsid w:val="00CD3E0C"/>
    <w:rsid w:val="00CD3F00"/>
    <w:rsid w:val="00CD486C"/>
    <w:rsid w:val="00CD4D96"/>
    <w:rsid w:val="00CD52C9"/>
    <w:rsid w:val="00CD58FA"/>
    <w:rsid w:val="00CE25ED"/>
    <w:rsid w:val="00CE2FAC"/>
    <w:rsid w:val="00CE33C2"/>
    <w:rsid w:val="00CE38B0"/>
    <w:rsid w:val="00CE4A2C"/>
    <w:rsid w:val="00CE6553"/>
    <w:rsid w:val="00CE74A2"/>
    <w:rsid w:val="00CE7628"/>
    <w:rsid w:val="00CF1B53"/>
    <w:rsid w:val="00CF7A1F"/>
    <w:rsid w:val="00D00188"/>
    <w:rsid w:val="00D025B6"/>
    <w:rsid w:val="00D03CA6"/>
    <w:rsid w:val="00D03D73"/>
    <w:rsid w:val="00D059DE"/>
    <w:rsid w:val="00D12097"/>
    <w:rsid w:val="00D1530C"/>
    <w:rsid w:val="00D15972"/>
    <w:rsid w:val="00D16BC5"/>
    <w:rsid w:val="00D22069"/>
    <w:rsid w:val="00D278A3"/>
    <w:rsid w:val="00D326A3"/>
    <w:rsid w:val="00D330B5"/>
    <w:rsid w:val="00D33C42"/>
    <w:rsid w:val="00D33D88"/>
    <w:rsid w:val="00D34FDD"/>
    <w:rsid w:val="00D35331"/>
    <w:rsid w:val="00D3568A"/>
    <w:rsid w:val="00D36CEA"/>
    <w:rsid w:val="00D3718E"/>
    <w:rsid w:val="00D37BAE"/>
    <w:rsid w:val="00D4084B"/>
    <w:rsid w:val="00D41AAB"/>
    <w:rsid w:val="00D44C69"/>
    <w:rsid w:val="00D44C9D"/>
    <w:rsid w:val="00D451AE"/>
    <w:rsid w:val="00D4535F"/>
    <w:rsid w:val="00D45600"/>
    <w:rsid w:val="00D468D2"/>
    <w:rsid w:val="00D46E98"/>
    <w:rsid w:val="00D552EB"/>
    <w:rsid w:val="00D553FA"/>
    <w:rsid w:val="00D56BE8"/>
    <w:rsid w:val="00D577E1"/>
    <w:rsid w:val="00D62847"/>
    <w:rsid w:val="00D65148"/>
    <w:rsid w:val="00D65589"/>
    <w:rsid w:val="00D66C6C"/>
    <w:rsid w:val="00D66D62"/>
    <w:rsid w:val="00D73246"/>
    <w:rsid w:val="00D748E0"/>
    <w:rsid w:val="00D76D55"/>
    <w:rsid w:val="00D7752F"/>
    <w:rsid w:val="00D80CAE"/>
    <w:rsid w:val="00D83C7D"/>
    <w:rsid w:val="00D85495"/>
    <w:rsid w:val="00D86CED"/>
    <w:rsid w:val="00D903B4"/>
    <w:rsid w:val="00D925F4"/>
    <w:rsid w:val="00D95B26"/>
    <w:rsid w:val="00D95D38"/>
    <w:rsid w:val="00D961E6"/>
    <w:rsid w:val="00D9667D"/>
    <w:rsid w:val="00D97493"/>
    <w:rsid w:val="00DA0CA8"/>
    <w:rsid w:val="00DA23D7"/>
    <w:rsid w:val="00DA29D4"/>
    <w:rsid w:val="00DA4721"/>
    <w:rsid w:val="00DA6DA2"/>
    <w:rsid w:val="00DA6E7B"/>
    <w:rsid w:val="00DA72CE"/>
    <w:rsid w:val="00DA746A"/>
    <w:rsid w:val="00DA796F"/>
    <w:rsid w:val="00DB20CB"/>
    <w:rsid w:val="00DB219F"/>
    <w:rsid w:val="00DB2CDC"/>
    <w:rsid w:val="00DB342D"/>
    <w:rsid w:val="00DB39BA"/>
    <w:rsid w:val="00DB4723"/>
    <w:rsid w:val="00DB4929"/>
    <w:rsid w:val="00DB6FAC"/>
    <w:rsid w:val="00DC13F0"/>
    <w:rsid w:val="00DC30D2"/>
    <w:rsid w:val="00DC41AB"/>
    <w:rsid w:val="00DC42B3"/>
    <w:rsid w:val="00DC50FF"/>
    <w:rsid w:val="00DC6B52"/>
    <w:rsid w:val="00DD022D"/>
    <w:rsid w:val="00DD5F5D"/>
    <w:rsid w:val="00DE0227"/>
    <w:rsid w:val="00DE0BBF"/>
    <w:rsid w:val="00DE186F"/>
    <w:rsid w:val="00DF081F"/>
    <w:rsid w:val="00DF2D22"/>
    <w:rsid w:val="00DF434F"/>
    <w:rsid w:val="00DF609C"/>
    <w:rsid w:val="00DF6A3E"/>
    <w:rsid w:val="00E0033E"/>
    <w:rsid w:val="00E01111"/>
    <w:rsid w:val="00E0198B"/>
    <w:rsid w:val="00E04E3E"/>
    <w:rsid w:val="00E04E8F"/>
    <w:rsid w:val="00E06A53"/>
    <w:rsid w:val="00E07E58"/>
    <w:rsid w:val="00E12422"/>
    <w:rsid w:val="00E13ABB"/>
    <w:rsid w:val="00E13DCA"/>
    <w:rsid w:val="00E15794"/>
    <w:rsid w:val="00E16B52"/>
    <w:rsid w:val="00E16D8C"/>
    <w:rsid w:val="00E2000F"/>
    <w:rsid w:val="00E2135C"/>
    <w:rsid w:val="00E22F07"/>
    <w:rsid w:val="00E25195"/>
    <w:rsid w:val="00E25E56"/>
    <w:rsid w:val="00E270FE"/>
    <w:rsid w:val="00E27BAE"/>
    <w:rsid w:val="00E27C13"/>
    <w:rsid w:val="00E311C8"/>
    <w:rsid w:val="00E336A0"/>
    <w:rsid w:val="00E34164"/>
    <w:rsid w:val="00E40B85"/>
    <w:rsid w:val="00E4118F"/>
    <w:rsid w:val="00E42560"/>
    <w:rsid w:val="00E443D8"/>
    <w:rsid w:val="00E44411"/>
    <w:rsid w:val="00E45353"/>
    <w:rsid w:val="00E4781F"/>
    <w:rsid w:val="00E50135"/>
    <w:rsid w:val="00E50E78"/>
    <w:rsid w:val="00E54F83"/>
    <w:rsid w:val="00E6241C"/>
    <w:rsid w:val="00E62F70"/>
    <w:rsid w:val="00E70A87"/>
    <w:rsid w:val="00E719C1"/>
    <w:rsid w:val="00E72830"/>
    <w:rsid w:val="00E73B3A"/>
    <w:rsid w:val="00E76CDD"/>
    <w:rsid w:val="00E776F9"/>
    <w:rsid w:val="00E77970"/>
    <w:rsid w:val="00E84C87"/>
    <w:rsid w:val="00E9048A"/>
    <w:rsid w:val="00E91465"/>
    <w:rsid w:val="00E96A02"/>
    <w:rsid w:val="00EA1553"/>
    <w:rsid w:val="00EA176F"/>
    <w:rsid w:val="00EA1DD9"/>
    <w:rsid w:val="00EA6062"/>
    <w:rsid w:val="00EA6103"/>
    <w:rsid w:val="00EB18C3"/>
    <w:rsid w:val="00EB2D3A"/>
    <w:rsid w:val="00EB388F"/>
    <w:rsid w:val="00EB5256"/>
    <w:rsid w:val="00EB59C0"/>
    <w:rsid w:val="00EB5F67"/>
    <w:rsid w:val="00EB72B5"/>
    <w:rsid w:val="00EB7CAB"/>
    <w:rsid w:val="00EB7F6A"/>
    <w:rsid w:val="00EC0D3D"/>
    <w:rsid w:val="00EC5326"/>
    <w:rsid w:val="00EC7637"/>
    <w:rsid w:val="00ED0D55"/>
    <w:rsid w:val="00ED5E07"/>
    <w:rsid w:val="00EE11BB"/>
    <w:rsid w:val="00EE72DD"/>
    <w:rsid w:val="00EE78F3"/>
    <w:rsid w:val="00EE7A1F"/>
    <w:rsid w:val="00EE7A83"/>
    <w:rsid w:val="00EF06D0"/>
    <w:rsid w:val="00EF0CC7"/>
    <w:rsid w:val="00EF2842"/>
    <w:rsid w:val="00EF430E"/>
    <w:rsid w:val="00EF56EB"/>
    <w:rsid w:val="00EF5C99"/>
    <w:rsid w:val="00EF705E"/>
    <w:rsid w:val="00EF7A4E"/>
    <w:rsid w:val="00EF7E0E"/>
    <w:rsid w:val="00F0273B"/>
    <w:rsid w:val="00F04556"/>
    <w:rsid w:val="00F0501D"/>
    <w:rsid w:val="00F0709F"/>
    <w:rsid w:val="00F12256"/>
    <w:rsid w:val="00F1435B"/>
    <w:rsid w:val="00F16263"/>
    <w:rsid w:val="00F16D40"/>
    <w:rsid w:val="00F1708F"/>
    <w:rsid w:val="00F216F4"/>
    <w:rsid w:val="00F21DD2"/>
    <w:rsid w:val="00F222BC"/>
    <w:rsid w:val="00F2248E"/>
    <w:rsid w:val="00F244BE"/>
    <w:rsid w:val="00F252B1"/>
    <w:rsid w:val="00F25D37"/>
    <w:rsid w:val="00F31436"/>
    <w:rsid w:val="00F31CA4"/>
    <w:rsid w:val="00F33AE6"/>
    <w:rsid w:val="00F3669D"/>
    <w:rsid w:val="00F37E4E"/>
    <w:rsid w:val="00F448D3"/>
    <w:rsid w:val="00F44AFF"/>
    <w:rsid w:val="00F458BC"/>
    <w:rsid w:val="00F4638F"/>
    <w:rsid w:val="00F50629"/>
    <w:rsid w:val="00F53BF8"/>
    <w:rsid w:val="00F5642A"/>
    <w:rsid w:val="00F63932"/>
    <w:rsid w:val="00F64BEE"/>
    <w:rsid w:val="00F65826"/>
    <w:rsid w:val="00F66A61"/>
    <w:rsid w:val="00F66C66"/>
    <w:rsid w:val="00F6791B"/>
    <w:rsid w:val="00F70A1C"/>
    <w:rsid w:val="00F72199"/>
    <w:rsid w:val="00F73895"/>
    <w:rsid w:val="00F747EE"/>
    <w:rsid w:val="00F76EC9"/>
    <w:rsid w:val="00F80199"/>
    <w:rsid w:val="00F8077D"/>
    <w:rsid w:val="00F837C5"/>
    <w:rsid w:val="00F843BC"/>
    <w:rsid w:val="00F8626F"/>
    <w:rsid w:val="00F87161"/>
    <w:rsid w:val="00F87817"/>
    <w:rsid w:val="00F87CEA"/>
    <w:rsid w:val="00F906C2"/>
    <w:rsid w:val="00F9447C"/>
    <w:rsid w:val="00F94A2C"/>
    <w:rsid w:val="00F94D23"/>
    <w:rsid w:val="00F95AED"/>
    <w:rsid w:val="00F95DEE"/>
    <w:rsid w:val="00F97D7C"/>
    <w:rsid w:val="00FA0724"/>
    <w:rsid w:val="00FA2058"/>
    <w:rsid w:val="00FA2219"/>
    <w:rsid w:val="00FB0526"/>
    <w:rsid w:val="00FB5619"/>
    <w:rsid w:val="00FB5807"/>
    <w:rsid w:val="00FB7511"/>
    <w:rsid w:val="00FB7EEE"/>
    <w:rsid w:val="00FC0396"/>
    <w:rsid w:val="00FC0925"/>
    <w:rsid w:val="00FC0F66"/>
    <w:rsid w:val="00FC1A4C"/>
    <w:rsid w:val="00FC3055"/>
    <w:rsid w:val="00FC43C8"/>
    <w:rsid w:val="00FC4F51"/>
    <w:rsid w:val="00FC6A08"/>
    <w:rsid w:val="00FD36D1"/>
    <w:rsid w:val="00FD5304"/>
    <w:rsid w:val="00FE0FC6"/>
    <w:rsid w:val="00FE6655"/>
    <w:rsid w:val="00FE6AF0"/>
    <w:rsid w:val="00FE6BDD"/>
    <w:rsid w:val="00FE6F76"/>
    <w:rsid w:val="00FF2324"/>
    <w:rsid w:val="00FF34A0"/>
    <w:rsid w:val="00FF4179"/>
    <w:rsid w:val="00FF5EE4"/>
    <w:rsid w:val="00FF697E"/>
    <w:rsid w:val="00FF69C2"/>
    <w:rsid w:val="012488A2"/>
    <w:rsid w:val="01C5CA9D"/>
    <w:rsid w:val="01FA390F"/>
    <w:rsid w:val="02323C77"/>
    <w:rsid w:val="0278D25E"/>
    <w:rsid w:val="0356A025"/>
    <w:rsid w:val="0357364B"/>
    <w:rsid w:val="0377E174"/>
    <w:rsid w:val="03B1152F"/>
    <w:rsid w:val="03C5D66F"/>
    <w:rsid w:val="0403F454"/>
    <w:rsid w:val="04BDC90B"/>
    <w:rsid w:val="052B67E4"/>
    <w:rsid w:val="0588D8F9"/>
    <w:rsid w:val="05A5DAA9"/>
    <w:rsid w:val="05C68374"/>
    <w:rsid w:val="069F543B"/>
    <w:rsid w:val="0702DA6D"/>
    <w:rsid w:val="08863084"/>
    <w:rsid w:val="08FC4A57"/>
    <w:rsid w:val="091A12A4"/>
    <w:rsid w:val="09BFDE30"/>
    <w:rsid w:val="09C5BF94"/>
    <w:rsid w:val="0A0145C9"/>
    <w:rsid w:val="0A44EDA4"/>
    <w:rsid w:val="0A63B486"/>
    <w:rsid w:val="0A8F562F"/>
    <w:rsid w:val="0BBD0C2A"/>
    <w:rsid w:val="0CEBA68F"/>
    <w:rsid w:val="0D69E5FD"/>
    <w:rsid w:val="0D730776"/>
    <w:rsid w:val="0E392A2F"/>
    <w:rsid w:val="0EC162B8"/>
    <w:rsid w:val="0F34B26F"/>
    <w:rsid w:val="10393FFF"/>
    <w:rsid w:val="1048125E"/>
    <w:rsid w:val="10AE0DC1"/>
    <w:rsid w:val="114BF6C4"/>
    <w:rsid w:val="119FA40B"/>
    <w:rsid w:val="11C0989A"/>
    <w:rsid w:val="11C9A9F4"/>
    <w:rsid w:val="11CE5672"/>
    <w:rsid w:val="122EF8FF"/>
    <w:rsid w:val="129E2DB2"/>
    <w:rsid w:val="12FE7C91"/>
    <w:rsid w:val="130E9028"/>
    <w:rsid w:val="136127A3"/>
    <w:rsid w:val="141EEE0F"/>
    <w:rsid w:val="14D15B18"/>
    <w:rsid w:val="14FDB68A"/>
    <w:rsid w:val="160EE77C"/>
    <w:rsid w:val="16244FB2"/>
    <w:rsid w:val="1683D8F9"/>
    <w:rsid w:val="1796271B"/>
    <w:rsid w:val="17A5F91D"/>
    <w:rsid w:val="17E05EB7"/>
    <w:rsid w:val="1804C802"/>
    <w:rsid w:val="18BB86E4"/>
    <w:rsid w:val="18E279EA"/>
    <w:rsid w:val="1915AF70"/>
    <w:rsid w:val="1A4F1104"/>
    <w:rsid w:val="1AA76EEF"/>
    <w:rsid w:val="1B8615E4"/>
    <w:rsid w:val="1B966090"/>
    <w:rsid w:val="1B990696"/>
    <w:rsid w:val="1C6AC880"/>
    <w:rsid w:val="1D04E09E"/>
    <w:rsid w:val="1DD3F11A"/>
    <w:rsid w:val="1E12ED1B"/>
    <w:rsid w:val="1E45D86F"/>
    <w:rsid w:val="1F26C161"/>
    <w:rsid w:val="1F9203AB"/>
    <w:rsid w:val="2016DCE5"/>
    <w:rsid w:val="20861E0A"/>
    <w:rsid w:val="20876792"/>
    <w:rsid w:val="20BEEAD9"/>
    <w:rsid w:val="217372AA"/>
    <w:rsid w:val="22015104"/>
    <w:rsid w:val="22B87B04"/>
    <w:rsid w:val="232227A4"/>
    <w:rsid w:val="23570719"/>
    <w:rsid w:val="246F37F8"/>
    <w:rsid w:val="25A46B15"/>
    <w:rsid w:val="25D87E46"/>
    <w:rsid w:val="27DD0273"/>
    <w:rsid w:val="27FE937F"/>
    <w:rsid w:val="28BDBD50"/>
    <w:rsid w:val="28CBDE4B"/>
    <w:rsid w:val="28D30ABD"/>
    <w:rsid w:val="28D80F34"/>
    <w:rsid w:val="2A61A384"/>
    <w:rsid w:val="2AF146EF"/>
    <w:rsid w:val="2B2DB7EF"/>
    <w:rsid w:val="2B71F838"/>
    <w:rsid w:val="2BC58062"/>
    <w:rsid w:val="2CCBF441"/>
    <w:rsid w:val="2D022F6C"/>
    <w:rsid w:val="2D995693"/>
    <w:rsid w:val="2DACD209"/>
    <w:rsid w:val="2DE4C023"/>
    <w:rsid w:val="2E37C69E"/>
    <w:rsid w:val="2E3D6605"/>
    <w:rsid w:val="2E89B9D1"/>
    <w:rsid w:val="2E9FAE3E"/>
    <w:rsid w:val="2EC27266"/>
    <w:rsid w:val="30866542"/>
    <w:rsid w:val="30F0F23E"/>
    <w:rsid w:val="317E5CBE"/>
    <w:rsid w:val="31A166C9"/>
    <w:rsid w:val="31A9722D"/>
    <w:rsid w:val="321DE05B"/>
    <w:rsid w:val="325ADBF0"/>
    <w:rsid w:val="33714E30"/>
    <w:rsid w:val="33784C81"/>
    <w:rsid w:val="33E2994D"/>
    <w:rsid w:val="33F55700"/>
    <w:rsid w:val="3407E77B"/>
    <w:rsid w:val="3422A4D1"/>
    <w:rsid w:val="3476351D"/>
    <w:rsid w:val="350EFA29"/>
    <w:rsid w:val="35C3F50E"/>
    <w:rsid w:val="35F1561E"/>
    <w:rsid w:val="36224F73"/>
    <w:rsid w:val="36A6867A"/>
    <w:rsid w:val="36C6E42E"/>
    <w:rsid w:val="375E6DF9"/>
    <w:rsid w:val="37CE8322"/>
    <w:rsid w:val="37F19815"/>
    <w:rsid w:val="37FC8BAA"/>
    <w:rsid w:val="387D7FCD"/>
    <w:rsid w:val="38E5E7A7"/>
    <w:rsid w:val="395A67F6"/>
    <w:rsid w:val="3A30737A"/>
    <w:rsid w:val="3A6F47B2"/>
    <w:rsid w:val="3A7C4966"/>
    <w:rsid w:val="3BE42046"/>
    <w:rsid w:val="3CEA6CB9"/>
    <w:rsid w:val="3D19A2DA"/>
    <w:rsid w:val="3D53B128"/>
    <w:rsid w:val="3D665340"/>
    <w:rsid w:val="3E13A6A8"/>
    <w:rsid w:val="3EA9ABD4"/>
    <w:rsid w:val="3F41A4C5"/>
    <w:rsid w:val="3FC2A6FC"/>
    <w:rsid w:val="400A2C4F"/>
    <w:rsid w:val="40203E91"/>
    <w:rsid w:val="40257997"/>
    <w:rsid w:val="40CB4C75"/>
    <w:rsid w:val="40CF47FE"/>
    <w:rsid w:val="412B2638"/>
    <w:rsid w:val="414B476A"/>
    <w:rsid w:val="41A7A3D4"/>
    <w:rsid w:val="4204BD97"/>
    <w:rsid w:val="425C7D45"/>
    <w:rsid w:val="42796EE0"/>
    <w:rsid w:val="42E4573C"/>
    <w:rsid w:val="432A4FC8"/>
    <w:rsid w:val="43A69CCD"/>
    <w:rsid w:val="43D47DAD"/>
    <w:rsid w:val="44295B56"/>
    <w:rsid w:val="4502D02B"/>
    <w:rsid w:val="4503EB76"/>
    <w:rsid w:val="468E011C"/>
    <w:rsid w:val="46F1B0CD"/>
    <w:rsid w:val="47208F03"/>
    <w:rsid w:val="47E77DF4"/>
    <w:rsid w:val="47FA44D7"/>
    <w:rsid w:val="480AA5A4"/>
    <w:rsid w:val="48325AD4"/>
    <w:rsid w:val="488F5770"/>
    <w:rsid w:val="489B793E"/>
    <w:rsid w:val="48A3D353"/>
    <w:rsid w:val="48B4A5D0"/>
    <w:rsid w:val="4A32C0F7"/>
    <w:rsid w:val="4AE31A96"/>
    <w:rsid w:val="4BC9BB1D"/>
    <w:rsid w:val="4C1D096F"/>
    <w:rsid w:val="4D2D9505"/>
    <w:rsid w:val="4E19B144"/>
    <w:rsid w:val="4EAFE47A"/>
    <w:rsid w:val="4EB2E36F"/>
    <w:rsid w:val="4EDF5CDC"/>
    <w:rsid w:val="4EE69D6C"/>
    <w:rsid w:val="4F0C513C"/>
    <w:rsid w:val="4F6D150A"/>
    <w:rsid w:val="4FCC92B5"/>
    <w:rsid w:val="4FE65571"/>
    <w:rsid w:val="502707D8"/>
    <w:rsid w:val="5049E023"/>
    <w:rsid w:val="50B946ED"/>
    <w:rsid w:val="510449F5"/>
    <w:rsid w:val="5159D0EB"/>
    <w:rsid w:val="519C9F29"/>
    <w:rsid w:val="51B3AD7B"/>
    <w:rsid w:val="51F8C54B"/>
    <w:rsid w:val="522D9F5D"/>
    <w:rsid w:val="52F56AFD"/>
    <w:rsid w:val="53842414"/>
    <w:rsid w:val="54043298"/>
    <w:rsid w:val="54667A7B"/>
    <w:rsid w:val="54E2B246"/>
    <w:rsid w:val="5527566D"/>
    <w:rsid w:val="559A9A35"/>
    <w:rsid w:val="559D0B86"/>
    <w:rsid w:val="55C03100"/>
    <w:rsid w:val="56345749"/>
    <w:rsid w:val="56710A0D"/>
    <w:rsid w:val="569A4C99"/>
    <w:rsid w:val="576F0ED5"/>
    <w:rsid w:val="5797ED27"/>
    <w:rsid w:val="57B287A0"/>
    <w:rsid w:val="57B2890B"/>
    <w:rsid w:val="57E119C8"/>
    <w:rsid w:val="5815D526"/>
    <w:rsid w:val="58341712"/>
    <w:rsid w:val="584D1814"/>
    <w:rsid w:val="59AA620D"/>
    <w:rsid w:val="59DC8F06"/>
    <w:rsid w:val="5A5C7C23"/>
    <w:rsid w:val="5AF0858C"/>
    <w:rsid w:val="5B516E92"/>
    <w:rsid w:val="5BEFB799"/>
    <w:rsid w:val="5BF66004"/>
    <w:rsid w:val="5C17FA56"/>
    <w:rsid w:val="5C210BD8"/>
    <w:rsid w:val="5C73EE93"/>
    <w:rsid w:val="5D1B593E"/>
    <w:rsid w:val="5D1C0DED"/>
    <w:rsid w:val="5D5917D4"/>
    <w:rsid w:val="5DE26346"/>
    <w:rsid w:val="5DED0D7C"/>
    <w:rsid w:val="5EFD618D"/>
    <w:rsid w:val="5F43FAFD"/>
    <w:rsid w:val="5F5FCF38"/>
    <w:rsid w:val="5F866E57"/>
    <w:rsid w:val="5F8D7640"/>
    <w:rsid w:val="6028E62A"/>
    <w:rsid w:val="60B441C9"/>
    <w:rsid w:val="6189018D"/>
    <w:rsid w:val="61DFD726"/>
    <w:rsid w:val="61FA92EB"/>
    <w:rsid w:val="6257D9A2"/>
    <w:rsid w:val="6395EDA3"/>
    <w:rsid w:val="63A5FC70"/>
    <w:rsid w:val="63BADEBE"/>
    <w:rsid w:val="6435F28F"/>
    <w:rsid w:val="64ED74B8"/>
    <w:rsid w:val="65061ACD"/>
    <w:rsid w:val="6520A192"/>
    <w:rsid w:val="6630024D"/>
    <w:rsid w:val="66505B54"/>
    <w:rsid w:val="6671091A"/>
    <w:rsid w:val="66CF69EC"/>
    <w:rsid w:val="66F063C0"/>
    <w:rsid w:val="67457D8D"/>
    <w:rsid w:val="6771DE50"/>
    <w:rsid w:val="67ADBF0B"/>
    <w:rsid w:val="6867F76C"/>
    <w:rsid w:val="690B8374"/>
    <w:rsid w:val="69B6699A"/>
    <w:rsid w:val="6A36A059"/>
    <w:rsid w:val="6A5CCA1F"/>
    <w:rsid w:val="6A6BEA75"/>
    <w:rsid w:val="6A8961AF"/>
    <w:rsid w:val="6AF6DF24"/>
    <w:rsid w:val="6B0E3A02"/>
    <w:rsid w:val="6B136B01"/>
    <w:rsid w:val="6B45B8AE"/>
    <w:rsid w:val="6B8C5F6A"/>
    <w:rsid w:val="6C137F68"/>
    <w:rsid w:val="6CD08BE1"/>
    <w:rsid w:val="6CD3431D"/>
    <w:rsid w:val="6D58BACD"/>
    <w:rsid w:val="6E9BD91A"/>
    <w:rsid w:val="6EDED09D"/>
    <w:rsid w:val="6F46DF4A"/>
    <w:rsid w:val="6F6E730D"/>
    <w:rsid w:val="6FADE671"/>
    <w:rsid w:val="6FC0EF80"/>
    <w:rsid w:val="6FD9527D"/>
    <w:rsid w:val="703EC263"/>
    <w:rsid w:val="704C4125"/>
    <w:rsid w:val="70DB3630"/>
    <w:rsid w:val="71A22737"/>
    <w:rsid w:val="71E89695"/>
    <w:rsid w:val="72CB2E46"/>
    <w:rsid w:val="7331D4C3"/>
    <w:rsid w:val="73D5A2FF"/>
    <w:rsid w:val="740C7EC5"/>
    <w:rsid w:val="741837CA"/>
    <w:rsid w:val="75081F6A"/>
    <w:rsid w:val="751D0EEE"/>
    <w:rsid w:val="7539AF21"/>
    <w:rsid w:val="765E3E69"/>
    <w:rsid w:val="768A20EA"/>
    <w:rsid w:val="772912DD"/>
    <w:rsid w:val="77A32507"/>
    <w:rsid w:val="77A3966F"/>
    <w:rsid w:val="78A71CC2"/>
    <w:rsid w:val="78ACD288"/>
    <w:rsid w:val="791D4F05"/>
    <w:rsid w:val="796F8F25"/>
    <w:rsid w:val="79F20A73"/>
    <w:rsid w:val="7A6EF3F5"/>
    <w:rsid w:val="7B4565CF"/>
    <w:rsid w:val="7C02BC31"/>
    <w:rsid w:val="7EA7281E"/>
    <w:rsid w:val="7EC628D6"/>
    <w:rsid w:val="7F317323"/>
    <w:rsid w:val="7F6C6E3D"/>
    <w:rsid w:val="7F77FDC2"/>
    <w:rsid w:val="7FC69C12"/>
    <w:rsid w:val="7FD189B0"/>
  </w:rsids>
  <m:mathPr>
    <m:mathFont m:val="Cambria Math"/>
    <m:brkBin m:val="before"/>
    <m:brkBinSub m:val="--"/>
    <m:smallFrac m:val="0"/>
    <m:dispDef/>
    <m:lMargin m:val="0"/>
    <m:rMargin m:val="0"/>
    <m:defJc m:val="centerGroup"/>
    <m:wrapIndent m:val="1440"/>
    <m:intLim m:val="subSup"/>
    <m:naryLim m:val="undOvr"/>
  </m:mathPr>
  <w:themeFontLang w:val="en-GB" w:eastAsia="ja-JP" w:bidi="ne-N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D9A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Lato" w:hAnsi="Lato" w:cs="Lato"/>
        <w:color w:val="434343"/>
        <w:sz w:val="22"/>
        <w:szCs w:val="22"/>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1CC"/>
    <w:pPr>
      <w:spacing w:line="240" w:lineRule="auto"/>
    </w:pPr>
    <w:rPr>
      <w:sz w:val="20"/>
      <w:lang w:val="en-GB"/>
    </w:rPr>
  </w:style>
  <w:style w:type="paragraph" w:styleId="Heading1">
    <w:name w:val="heading 1"/>
    <w:basedOn w:val="Normal"/>
    <w:next w:val="Normal"/>
    <w:link w:val="Heading1Char"/>
    <w:uiPriority w:val="9"/>
    <w:qFormat/>
    <w:rsid w:val="009C4800"/>
    <w:pPr>
      <w:keepNext/>
      <w:spacing w:before="400" w:after="240"/>
      <w:ind w:left="-284"/>
      <w:outlineLvl w:val="0"/>
    </w:pPr>
    <w:rPr>
      <w:b/>
      <w:color w:val="FF7816"/>
      <w:sz w:val="28"/>
      <w:szCs w:val="60"/>
    </w:rPr>
  </w:style>
  <w:style w:type="paragraph" w:styleId="Heading2">
    <w:name w:val="heading 2"/>
    <w:basedOn w:val="Normal"/>
    <w:next w:val="Normal"/>
    <w:link w:val="Heading2Char"/>
    <w:uiPriority w:val="9"/>
    <w:unhideWhenUsed/>
    <w:qFormat/>
    <w:rsid w:val="009C4800"/>
    <w:pPr>
      <w:keepNext/>
      <w:spacing w:before="280" w:after="120"/>
      <w:ind w:left="-284"/>
      <w:outlineLvl w:val="1"/>
    </w:pPr>
    <w:rPr>
      <w:b/>
      <w:color w:val="407C9B"/>
      <w:sz w:val="24"/>
      <w:szCs w:val="48"/>
    </w:rPr>
  </w:style>
  <w:style w:type="paragraph" w:styleId="Heading3">
    <w:name w:val="heading 3"/>
    <w:basedOn w:val="Normal"/>
    <w:next w:val="Normal"/>
    <w:link w:val="Heading3Char"/>
    <w:uiPriority w:val="9"/>
    <w:unhideWhenUsed/>
    <w:qFormat/>
    <w:rsid w:val="009C4800"/>
    <w:pPr>
      <w:keepNext/>
      <w:keepLines/>
      <w:spacing w:before="200" w:after="120"/>
      <w:ind w:left="-284"/>
      <w:outlineLvl w:val="2"/>
    </w:pPr>
    <w:rPr>
      <w:color w:val="407C9B"/>
      <w:sz w:val="24"/>
      <w:szCs w:val="40"/>
    </w:rPr>
  </w:style>
  <w:style w:type="paragraph" w:styleId="Heading4">
    <w:name w:val="heading 4"/>
    <w:basedOn w:val="Normal"/>
    <w:next w:val="Normal"/>
    <w:link w:val="Heading4Char"/>
    <w:uiPriority w:val="9"/>
    <w:unhideWhenUsed/>
    <w:qFormat/>
    <w:rsid w:val="00D553FA"/>
    <w:pPr>
      <w:keepNext/>
      <w:keepLines/>
      <w:spacing w:before="120" w:after="120"/>
      <w:ind w:left="-284"/>
      <w:outlineLvl w:val="3"/>
    </w:pPr>
    <w:rPr>
      <w:rFonts w:ascii="Lato Light" w:eastAsia="Lato Light" w:hAnsi="Lato Light" w:cs="Lato Light"/>
      <w:color w:val="407C9B"/>
      <w:sz w:val="24"/>
      <w:szCs w:val="36"/>
    </w:rPr>
  </w:style>
  <w:style w:type="paragraph" w:styleId="Heading5">
    <w:name w:val="heading 5"/>
    <w:basedOn w:val="Normal"/>
    <w:next w:val="Normal"/>
    <w:link w:val="Heading5Char"/>
    <w:uiPriority w:val="9"/>
    <w:unhideWhenUsed/>
    <w:qFormat/>
    <w:pPr>
      <w:keepNext/>
      <w:keepLines/>
      <w:spacing w:before="200"/>
      <w:ind w:left="720"/>
      <w:jc w:val="center"/>
      <w:outlineLvl w:val="4"/>
    </w:pPr>
    <w:rPr>
      <w:rFonts w:ascii="Lato Light" w:eastAsia="Lato Light" w:hAnsi="Lato Light" w:cs="Lato Light"/>
      <w:i/>
      <w:color w:val="FF7816"/>
      <w:sz w:val="36"/>
      <w:szCs w:val="36"/>
    </w:rPr>
  </w:style>
  <w:style w:type="paragraph" w:styleId="Heading6">
    <w:name w:val="heading 6"/>
    <w:basedOn w:val="Normal"/>
    <w:next w:val="Normal"/>
    <w:link w:val="Heading6Char"/>
    <w:uiPriority w:val="9"/>
    <w:unhideWhenUsed/>
    <w:qFormat/>
    <w:rsid w:val="000B21B5"/>
    <w:pPr>
      <w:keepNext/>
      <w:keepLines/>
      <w:spacing w:after="360"/>
      <w:ind w:left="720"/>
      <w:jc w:val="center"/>
      <w:outlineLvl w:val="5"/>
    </w:pPr>
    <w:rPr>
      <w:rFonts w:ascii="Lato Light" w:eastAsia="Lato Light" w:hAnsi="Lato Light" w:cs="Lato Light"/>
      <w:color w:val="FF7816"/>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54B6A"/>
    <w:pPr>
      <w:keepNext/>
      <w:keepLines/>
      <w:spacing w:after="120"/>
    </w:pPr>
    <w:rPr>
      <w:rFonts w:ascii="Lato Black" w:eastAsia="Lato Black" w:hAnsi="Lato Black" w:cs="Lato Black"/>
      <w:b/>
      <w:color w:val="407C9B"/>
      <w:sz w:val="68"/>
      <w:szCs w:val="68"/>
    </w:rPr>
  </w:style>
  <w:style w:type="paragraph" w:styleId="Subtitle">
    <w:name w:val="Subtitle"/>
    <w:basedOn w:val="Normal"/>
    <w:next w:val="Normal"/>
    <w:link w:val="SubtitleChar"/>
    <w:uiPriority w:val="11"/>
    <w:qFormat/>
    <w:rsid w:val="00954B6A"/>
    <w:pPr>
      <w:keepNext/>
      <w:keepLines/>
    </w:pPr>
    <w:rPr>
      <w:rFonts w:ascii="Lato Light" w:eastAsia="Lato Light" w:hAnsi="Lato Light" w:cs="Lato Light"/>
      <w:color w:val="407C9B"/>
      <w:sz w:val="36"/>
      <w:szCs w:val="4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954B6A"/>
    <w:pPr>
      <w:spacing w:before="100" w:beforeAutospacing="1" w:after="100" w:afterAutospacing="1"/>
    </w:pPr>
    <w:rPr>
      <w:rFonts w:ascii="Times New Roman" w:eastAsia="Times New Roman" w:hAnsi="Times New Roman" w:cs="Times New Roman"/>
      <w:color w:val="auto"/>
      <w:sz w:val="24"/>
      <w:szCs w:val="24"/>
    </w:rPr>
  </w:style>
  <w:style w:type="paragraph" w:styleId="BalloonText">
    <w:name w:val="Balloon Text"/>
    <w:basedOn w:val="Normal"/>
    <w:link w:val="BalloonTextChar"/>
    <w:uiPriority w:val="99"/>
    <w:semiHidden/>
    <w:unhideWhenUsed/>
    <w:rsid w:val="00FE6BD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BDD"/>
    <w:rPr>
      <w:rFonts w:ascii="Segoe UI" w:hAnsi="Segoe UI" w:cs="Segoe UI"/>
      <w:sz w:val="18"/>
      <w:szCs w:val="18"/>
    </w:rPr>
  </w:style>
  <w:style w:type="paragraph" w:styleId="Header">
    <w:name w:val="header"/>
    <w:basedOn w:val="Normal"/>
    <w:link w:val="HeaderChar"/>
    <w:uiPriority w:val="99"/>
    <w:unhideWhenUsed/>
    <w:rsid w:val="001F22BC"/>
    <w:pPr>
      <w:tabs>
        <w:tab w:val="center" w:pos="4513"/>
        <w:tab w:val="right" w:pos="9026"/>
      </w:tabs>
      <w:spacing w:after="0"/>
    </w:pPr>
  </w:style>
  <w:style w:type="character" w:customStyle="1" w:styleId="HeaderChar">
    <w:name w:val="Header Char"/>
    <w:basedOn w:val="DefaultParagraphFont"/>
    <w:link w:val="Header"/>
    <w:uiPriority w:val="99"/>
    <w:rsid w:val="001F22BC"/>
  </w:style>
  <w:style w:type="paragraph" w:styleId="Footer">
    <w:name w:val="footer"/>
    <w:basedOn w:val="Normal"/>
    <w:link w:val="FooterChar"/>
    <w:uiPriority w:val="99"/>
    <w:unhideWhenUsed/>
    <w:rsid w:val="001F22BC"/>
    <w:pPr>
      <w:tabs>
        <w:tab w:val="center" w:pos="4513"/>
        <w:tab w:val="right" w:pos="9026"/>
      </w:tabs>
      <w:spacing w:after="0"/>
    </w:pPr>
  </w:style>
  <w:style w:type="character" w:customStyle="1" w:styleId="FooterChar">
    <w:name w:val="Footer Char"/>
    <w:basedOn w:val="DefaultParagraphFont"/>
    <w:link w:val="Footer"/>
    <w:uiPriority w:val="99"/>
    <w:rsid w:val="001F22BC"/>
  </w:style>
  <w:style w:type="character" w:customStyle="1" w:styleId="Heading1Char">
    <w:name w:val="Heading 1 Char"/>
    <w:basedOn w:val="DefaultParagraphFont"/>
    <w:link w:val="Heading1"/>
    <w:uiPriority w:val="9"/>
    <w:rsid w:val="009C4800"/>
    <w:rPr>
      <w:b/>
      <w:color w:val="FF7816"/>
      <w:sz w:val="28"/>
      <w:szCs w:val="60"/>
      <w:lang w:val="en-GB"/>
    </w:rPr>
  </w:style>
  <w:style w:type="character" w:customStyle="1" w:styleId="Heading2Char">
    <w:name w:val="Heading 2 Char"/>
    <w:basedOn w:val="DefaultParagraphFont"/>
    <w:link w:val="Heading2"/>
    <w:uiPriority w:val="9"/>
    <w:rsid w:val="009C4800"/>
    <w:rPr>
      <w:b/>
      <w:color w:val="407C9B"/>
      <w:sz w:val="24"/>
      <w:szCs w:val="48"/>
      <w:lang w:val="en-GB"/>
    </w:rPr>
  </w:style>
  <w:style w:type="character" w:customStyle="1" w:styleId="Heading3Char">
    <w:name w:val="Heading 3 Char"/>
    <w:basedOn w:val="DefaultParagraphFont"/>
    <w:link w:val="Heading3"/>
    <w:uiPriority w:val="9"/>
    <w:rsid w:val="009C4800"/>
    <w:rPr>
      <w:color w:val="407C9B"/>
      <w:sz w:val="24"/>
      <w:szCs w:val="40"/>
      <w:lang w:val="en-GB"/>
    </w:rPr>
  </w:style>
  <w:style w:type="character" w:customStyle="1" w:styleId="Heading4Char">
    <w:name w:val="Heading 4 Char"/>
    <w:basedOn w:val="DefaultParagraphFont"/>
    <w:link w:val="Heading4"/>
    <w:uiPriority w:val="9"/>
    <w:rsid w:val="00D553FA"/>
    <w:rPr>
      <w:rFonts w:ascii="Lato Light" w:eastAsia="Lato Light" w:hAnsi="Lato Light" w:cs="Lato Light"/>
      <w:color w:val="407C9B"/>
      <w:sz w:val="24"/>
      <w:szCs w:val="36"/>
      <w:lang w:val="en-GB"/>
    </w:rPr>
  </w:style>
  <w:style w:type="character" w:customStyle="1" w:styleId="Heading5Char">
    <w:name w:val="Heading 5 Char"/>
    <w:basedOn w:val="DefaultParagraphFont"/>
    <w:link w:val="Heading5"/>
    <w:uiPriority w:val="9"/>
    <w:rsid w:val="001F22BC"/>
    <w:rPr>
      <w:rFonts w:ascii="Lato Light" w:eastAsia="Lato Light" w:hAnsi="Lato Light" w:cs="Lato Light"/>
      <w:i/>
      <w:color w:val="FF7816"/>
      <w:sz w:val="36"/>
      <w:szCs w:val="36"/>
    </w:rPr>
  </w:style>
  <w:style w:type="character" w:customStyle="1" w:styleId="Heading6Char">
    <w:name w:val="Heading 6 Char"/>
    <w:basedOn w:val="DefaultParagraphFont"/>
    <w:link w:val="Heading6"/>
    <w:uiPriority w:val="9"/>
    <w:rsid w:val="000B21B5"/>
    <w:rPr>
      <w:rFonts w:ascii="Lato Light" w:eastAsia="Lato Light" w:hAnsi="Lato Light" w:cs="Lato Light"/>
      <w:color w:val="FF7816"/>
      <w:sz w:val="28"/>
      <w:szCs w:val="32"/>
      <w:lang w:val="en-GB"/>
    </w:rPr>
  </w:style>
  <w:style w:type="character" w:customStyle="1" w:styleId="TitleChar">
    <w:name w:val="Title Char"/>
    <w:basedOn w:val="DefaultParagraphFont"/>
    <w:link w:val="Title"/>
    <w:uiPriority w:val="10"/>
    <w:rsid w:val="001F22BC"/>
    <w:rPr>
      <w:rFonts w:ascii="Lato Black" w:eastAsia="Lato Black" w:hAnsi="Lato Black" w:cs="Lato Black"/>
      <w:b/>
      <w:color w:val="407C9B"/>
      <w:sz w:val="68"/>
      <w:szCs w:val="68"/>
    </w:rPr>
  </w:style>
  <w:style w:type="character" w:customStyle="1" w:styleId="SubtitleChar">
    <w:name w:val="Subtitle Char"/>
    <w:basedOn w:val="DefaultParagraphFont"/>
    <w:link w:val="Subtitle"/>
    <w:uiPriority w:val="11"/>
    <w:rsid w:val="001F22BC"/>
    <w:rPr>
      <w:rFonts w:ascii="Lato Light" w:eastAsia="Lato Light" w:hAnsi="Lato Light" w:cs="Lato Light"/>
      <w:color w:val="407C9B"/>
      <w:sz w:val="36"/>
      <w:szCs w:val="40"/>
    </w:rPr>
  </w:style>
  <w:style w:type="paragraph" w:styleId="ListParagraph">
    <w:name w:val="List Paragraph"/>
    <w:aliases w:val="References,Bullet List,FooterText,List Paragraph1,Colorful List Accent 1,Listenabsatz Standard"/>
    <w:basedOn w:val="Normal"/>
    <w:link w:val="ListParagraphChar"/>
    <w:uiPriority w:val="34"/>
    <w:qFormat/>
    <w:rsid w:val="009A4D8E"/>
    <w:pPr>
      <w:spacing w:after="0"/>
      <w:ind w:left="720"/>
      <w:contextualSpacing/>
    </w:pPr>
    <w:rPr>
      <w:rFonts w:eastAsiaTheme="minorHAnsi" w:cs="Times New Roman (Body CS)"/>
      <w:color w:val="0D0D0D" w:themeColor="text1" w:themeTint="F2"/>
      <w:szCs w:val="24"/>
    </w:rPr>
  </w:style>
  <w:style w:type="table" w:styleId="TableGrid">
    <w:name w:val="Table Grid"/>
    <w:basedOn w:val="TableNormal"/>
    <w:uiPriority w:val="39"/>
    <w:rsid w:val="001F22BC"/>
    <w:pPr>
      <w:spacing w:after="0" w:line="240" w:lineRule="auto"/>
    </w:pPr>
    <w:rPr>
      <w:rFonts w:ascii="Arial" w:eastAsiaTheme="minorHAnsi" w:hAnsi="Arial" w:cs="Times New Roman (Body CS)"/>
      <w:color w:val="auto"/>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F22BC"/>
    <w:rPr>
      <w:sz w:val="16"/>
      <w:szCs w:val="16"/>
    </w:rPr>
  </w:style>
  <w:style w:type="paragraph" w:styleId="CommentText">
    <w:name w:val="annotation text"/>
    <w:basedOn w:val="Normal"/>
    <w:link w:val="CommentTextChar"/>
    <w:uiPriority w:val="99"/>
    <w:semiHidden/>
    <w:unhideWhenUsed/>
    <w:rsid w:val="001F22BC"/>
    <w:pPr>
      <w:spacing w:after="0"/>
    </w:pPr>
    <w:rPr>
      <w:rFonts w:ascii="Arial" w:eastAsiaTheme="minorHAnsi" w:hAnsi="Arial" w:cs="Times New Roman (Body CS)"/>
      <w:color w:val="auto"/>
      <w:szCs w:val="20"/>
    </w:rPr>
  </w:style>
  <w:style w:type="character" w:customStyle="1" w:styleId="CommentTextChar">
    <w:name w:val="Comment Text Char"/>
    <w:basedOn w:val="DefaultParagraphFont"/>
    <w:link w:val="CommentText"/>
    <w:uiPriority w:val="99"/>
    <w:semiHidden/>
    <w:rsid w:val="001F22BC"/>
    <w:rPr>
      <w:rFonts w:ascii="Arial" w:eastAsiaTheme="minorHAnsi" w:hAnsi="Arial" w:cs="Times New Roman (Body CS)"/>
      <w:color w:val="auto"/>
      <w:sz w:val="20"/>
      <w:szCs w:val="20"/>
      <w:lang w:val="en-GB"/>
    </w:rPr>
  </w:style>
  <w:style w:type="paragraph" w:styleId="FootnoteText">
    <w:name w:val="footnote text"/>
    <w:basedOn w:val="Normal"/>
    <w:link w:val="FootnoteTextChar"/>
    <w:uiPriority w:val="99"/>
    <w:unhideWhenUsed/>
    <w:qFormat/>
    <w:rsid w:val="005E44D9"/>
    <w:pPr>
      <w:spacing w:after="0"/>
    </w:pPr>
    <w:rPr>
      <w:rFonts w:eastAsiaTheme="minorHAnsi" w:cs="Times New Roman (Body CS)"/>
      <w:color w:val="auto"/>
      <w:sz w:val="18"/>
      <w:szCs w:val="20"/>
    </w:rPr>
  </w:style>
  <w:style w:type="character" w:customStyle="1" w:styleId="FootnoteTextChar">
    <w:name w:val="Footnote Text Char"/>
    <w:basedOn w:val="DefaultParagraphFont"/>
    <w:link w:val="FootnoteText"/>
    <w:uiPriority w:val="99"/>
    <w:rsid w:val="005E44D9"/>
    <w:rPr>
      <w:rFonts w:eastAsiaTheme="minorHAnsi" w:cs="Times New Roman (Body CS)"/>
      <w:color w:val="auto"/>
      <w:sz w:val="18"/>
      <w:szCs w:val="20"/>
      <w:lang w:val="en-GB"/>
    </w:rPr>
  </w:style>
  <w:style w:type="character" w:styleId="FootnoteReference">
    <w:name w:val="footnote reference"/>
    <w:basedOn w:val="DefaultParagraphFont"/>
    <w:uiPriority w:val="99"/>
    <w:unhideWhenUsed/>
    <w:qFormat/>
    <w:rsid w:val="005E44D9"/>
    <w:rPr>
      <w:rFonts w:ascii="Lato" w:hAnsi="Lato"/>
      <w:caps w:val="0"/>
      <w:smallCaps w:val="0"/>
      <w:strike w:val="0"/>
      <w:dstrike w:val="0"/>
      <w:vanish w:val="0"/>
      <w:position w:val="6"/>
      <w:sz w:val="16"/>
      <w:vertAlign w:val="baseline"/>
    </w:rPr>
  </w:style>
  <w:style w:type="character" w:styleId="Hyperlink">
    <w:name w:val="Hyperlink"/>
    <w:basedOn w:val="DefaultParagraphFont"/>
    <w:uiPriority w:val="99"/>
    <w:unhideWhenUsed/>
    <w:rsid w:val="001F22BC"/>
    <w:rPr>
      <w:color w:val="0000FF" w:themeColor="hyperlink"/>
      <w:u w:val="single"/>
    </w:rPr>
  </w:style>
  <w:style w:type="paragraph" w:customStyle="1" w:styleId="Default">
    <w:name w:val="Default"/>
    <w:rsid w:val="001F22BC"/>
    <w:pPr>
      <w:autoSpaceDE w:val="0"/>
      <w:autoSpaceDN w:val="0"/>
      <w:adjustRightInd w:val="0"/>
      <w:spacing w:after="0" w:line="240" w:lineRule="auto"/>
    </w:pPr>
    <w:rPr>
      <w:rFonts w:ascii="Times New Roman" w:eastAsiaTheme="minorHAnsi" w:hAnsi="Times New Roman" w:cs="Times New Roman"/>
      <w:color w:val="000000"/>
      <w:sz w:val="24"/>
      <w:szCs w:val="24"/>
      <w:lang w:val="en-GB" w:bidi="ne-NP"/>
    </w:rPr>
  </w:style>
  <w:style w:type="character" w:customStyle="1" w:styleId="ListParagraphChar">
    <w:name w:val="List Paragraph Char"/>
    <w:aliases w:val="References Char,Bullet List Char,FooterText Char,List Paragraph1 Char,Colorful List Accent 1 Char,Listenabsatz Standard Char"/>
    <w:link w:val="ListParagraph"/>
    <w:uiPriority w:val="34"/>
    <w:locked/>
    <w:rsid w:val="009A4D8E"/>
    <w:rPr>
      <w:rFonts w:eastAsiaTheme="minorHAnsi" w:cs="Times New Roman (Body CS)"/>
      <w:color w:val="0D0D0D" w:themeColor="text1" w:themeTint="F2"/>
      <w:szCs w:val="24"/>
      <w:lang w:val="en-GB"/>
    </w:rPr>
  </w:style>
  <w:style w:type="paragraph" w:styleId="TOCHeading">
    <w:name w:val="TOC Heading"/>
    <w:basedOn w:val="Heading1"/>
    <w:next w:val="Normal"/>
    <w:uiPriority w:val="39"/>
    <w:unhideWhenUsed/>
    <w:qFormat/>
    <w:rsid w:val="001F22BC"/>
    <w:pPr>
      <w:keepLines/>
      <w:spacing w:before="240" w:after="0" w:line="259" w:lineRule="auto"/>
      <w:outlineLvl w:val="9"/>
    </w:pPr>
    <w:rPr>
      <w:rFonts w:asciiTheme="majorHAnsi" w:eastAsiaTheme="majorEastAsia" w:hAnsiTheme="majorHAnsi" w:cstheme="majorBidi"/>
      <w:b w:val="0"/>
      <w:color w:val="365F91" w:themeColor="accent1" w:themeShade="BF"/>
      <w:sz w:val="32"/>
      <w:szCs w:val="32"/>
      <w:lang w:val="en-US"/>
    </w:rPr>
  </w:style>
  <w:style w:type="paragraph" w:styleId="TOC2">
    <w:name w:val="toc 2"/>
    <w:basedOn w:val="Normal"/>
    <w:next w:val="Normal"/>
    <w:link w:val="TOC2Char"/>
    <w:uiPriority w:val="39"/>
    <w:unhideWhenUsed/>
    <w:rsid w:val="00B15DC4"/>
    <w:pPr>
      <w:numPr>
        <w:numId w:val="3"/>
      </w:numPr>
      <w:spacing w:after="100"/>
      <w:ind w:left="357" w:firstLine="0"/>
      <w:outlineLvl w:val="1"/>
    </w:pPr>
    <w:rPr>
      <w:lang w:eastAsia="en-GB"/>
    </w:rPr>
  </w:style>
  <w:style w:type="paragraph" w:styleId="TOC1">
    <w:name w:val="toc 1"/>
    <w:basedOn w:val="Normal"/>
    <w:next w:val="Normal"/>
    <w:autoRedefine/>
    <w:uiPriority w:val="39"/>
    <w:unhideWhenUsed/>
    <w:rsid w:val="00C163BA"/>
    <w:pPr>
      <w:tabs>
        <w:tab w:val="right" w:leader="dot" w:pos="9350"/>
      </w:tabs>
      <w:spacing w:after="100"/>
      <w:ind w:left="-284"/>
    </w:pPr>
    <w:rPr>
      <w:noProof/>
      <w:sz w:val="18"/>
      <w:szCs w:val="18"/>
      <w:lang w:eastAsia="en-GB"/>
    </w:rPr>
  </w:style>
  <w:style w:type="paragraph" w:styleId="CommentSubject">
    <w:name w:val="annotation subject"/>
    <w:basedOn w:val="CommentText"/>
    <w:next w:val="CommentText"/>
    <w:link w:val="CommentSubjectChar"/>
    <w:uiPriority w:val="99"/>
    <w:semiHidden/>
    <w:unhideWhenUsed/>
    <w:rsid w:val="001F22BC"/>
    <w:rPr>
      <w:b/>
      <w:bCs/>
    </w:rPr>
  </w:style>
  <w:style w:type="character" w:customStyle="1" w:styleId="CommentSubjectChar">
    <w:name w:val="Comment Subject Char"/>
    <w:basedOn w:val="CommentTextChar"/>
    <w:link w:val="CommentSubject"/>
    <w:uiPriority w:val="99"/>
    <w:semiHidden/>
    <w:rsid w:val="001F22BC"/>
    <w:rPr>
      <w:rFonts w:ascii="Arial" w:eastAsiaTheme="minorHAnsi" w:hAnsi="Arial" w:cs="Times New Roman (Body CS)"/>
      <w:b/>
      <w:bCs/>
      <w:color w:val="auto"/>
      <w:sz w:val="20"/>
      <w:szCs w:val="20"/>
      <w:lang w:val="en-GB"/>
    </w:rPr>
  </w:style>
  <w:style w:type="character" w:styleId="PageNumber">
    <w:name w:val="page number"/>
    <w:basedOn w:val="DefaultParagraphFont"/>
    <w:uiPriority w:val="99"/>
    <w:semiHidden/>
    <w:unhideWhenUsed/>
    <w:rsid w:val="001F22BC"/>
  </w:style>
  <w:style w:type="character" w:styleId="UnresolvedMention">
    <w:name w:val="Unresolved Mention"/>
    <w:basedOn w:val="DefaultParagraphFont"/>
    <w:uiPriority w:val="99"/>
    <w:semiHidden/>
    <w:unhideWhenUsed/>
    <w:rsid w:val="001F22BC"/>
    <w:rPr>
      <w:color w:val="605E5C"/>
      <w:shd w:val="clear" w:color="auto" w:fill="E1DFDD"/>
    </w:rPr>
  </w:style>
  <w:style w:type="character" w:styleId="FollowedHyperlink">
    <w:name w:val="FollowedHyperlink"/>
    <w:basedOn w:val="DefaultParagraphFont"/>
    <w:uiPriority w:val="99"/>
    <w:semiHidden/>
    <w:unhideWhenUsed/>
    <w:rsid w:val="001F22BC"/>
    <w:rPr>
      <w:color w:val="800080" w:themeColor="followedHyperlink"/>
      <w:u w:val="single"/>
    </w:rPr>
  </w:style>
  <w:style w:type="character" w:customStyle="1" w:styleId="viiyi">
    <w:name w:val="viiyi"/>
    <w:basedOn w:val="DefaultParagraphFont"/>
    <w:rsid w:val="001F22BC"/>
  </w:style>
  <w:style w:type="character" w:customStyle="1" w:styleId="jlqj4b">
    <w:name w:val="jlqj4b"/>
    <w:basedOn w:val="DefaultParagraphFont"/>
    <w:rsid w:val="001F22BC"/>
  </w:style>
  <w:style w:type="paragraph" w:customStyle="1" w:styleId="trt0xe">
    <w:name w:val="trt0xe"/>
    <w:basedOn w:val="Normal"/>
    <w:rsid w:val="001F22BC"/>
    <w:pPr>
      <w:spacing w:before="100" w:beforeAutospacing="1" w:after="100" w:afterAutospacing="1"/>
    </w:pPr>
    <w:rPr>
      <w:rFonts w:ascii="Times New Roman" w:eastAsia="Times New Roman" w:hAnsi="Times New Roman" w:cs="Times New Roman"/>
      <w:color w:val="auto"/>
      <w:sz w:val="24"/>
      <w:szCs w:val="24"/>
      <w:lang w:eastAsia="en-GB" w:bidi="ne-NP"/>
    </w:rPr>
  </w:style>
  <w:style w:type="table" w:styleId="GridTable5Dark-Accent2">
    <w:name w:val="Grid Table 5 Dark Accent 2"/>
    <w:basedOn w:val="TableNormal"/>
    <w:uiPriority w:val="50"/>
    <w:rsid w:val="001F22BC"/>
    <w:pPr>
      <w:spacing w:after="0" w:line="240" w:lineRule="auto"/>
    </w:pPr>
    <w:rPr>
      <w:rFonts w:asciiTheme="minorHAnsi" w:eastAsiaTheme="minorHAnsi" w:hAnsiTheme="minorHAnsi" w:cstheme="minorBidi"/>
      <w:color w:val="auto"/>
      <w:lang w:val="pl-P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character" w:customStyle="1" w:styleId="field-content">
    <w:name w:val="field-content"/>
    <w:basedOn w:val="DefaultParagraphFont"/>
    <w:rsid w:val="001F22BC"/>
  </w:style>
  <w:style w:type="paragraph" w:styleId="Revision">
    <w:name w:val="Revision"/>
    <w:hidden/>
    <w:uiPriority w:val="99"/>
    <w:semiHidden/>
    <w:rsid w:val="001F22BC"/>
    <w:pPr>
      <w:spacing w:after="0" w:line="240" w:lineRule="auto"/>
    </w:pPr>
    <w:rPr>
      <w:rFonts w:ascii="Arial" w:eastAsiaTheme="minorHAnsi" w:hAnsi="Arial" w:cs="Times New Roman (Body CS)"/>
      <w:color w:val="auto"/>
      <w:sz w:val="24"/>
      <w:szCs w:val="24"/>
      <w:lang w:val="en-GB"/>
    </w:rPr>
  </w:style>
  <w:style w:type="character" w:customStyle="1" w:styleId="hgkelc">
    <w:name w:val="hgkelc"/>
    <w:basedOn w:val="DefaultParagraphFont"/>
    <w:rsid w:val="001F22BC"/>
  </w:style>
  <w:style w:type="paragraph" w:styleId="TOC3">
    <w:name w:val="toc 3"/>
    <w:basedOn w:val="Normal"/>
    <w:next w:val="Normal"/>
    <w:autoRedefine/>
    <w:uiPriority w:val="39"/>
    <w:unhideWhenUsed/>
    <w:rsid w:val="001F22BC"/>
    <w:pPr>
      <w:spacing w:after="100"/>
      <w:ind w:left="440"/>
    </w:pPr>
    <w:rPr>
      <w:lang w:eastAsia="en-GB"/>
    </w:rPr>
  </w:style>
  <w:style w:type="character" w:customStyle="1" w:styleId="apple-tab-span">
    <w:name w:val="apple-tab-span"/>
    <w:basedOn w:val="DefaultParagraphFont"/>
    <w:rsid w:val="001F22BC"/>
  </w:style>
  <w:style w:type="paragraph" w:styleId="TOC4">
    <w:name w:val="toc 4"/>
    <w:basedOn w:val="Normal"/>
    <w:next w:val="Normal"/>
    <w:autoRedefine/>
    <w:uiPriority w:val="39"/>
    <w:unhideWhenUsed/>
    <w:rsid w:val="001F22BC"/>
    <w:pPr>
      <w:spacing w:after="100" w:line="259" w:lineRule="auto"/>
      <w:ind w:left="660"/>
    </w:pPr>
    <w:rPr>
      <w:rFonts w:asciiTheme="minorHAnsi" w:eastAsiaTheme="minorEastAsia" w:hAnsiTheme="minorHAnsi" w:cstheme="minorBidi"/>
      <w:color w:val="auto"/>
      <w:lang w:eastAsia="en-GB"/>
    </w:rPr>
  </w:style>
  <w:style w:type="paragraph" w:styleId="TOC5">
    <w:name w:val="toc 5"/>
    <w:basedOn w:val="Normal"/>
    <w:next w:val="Normal"/>
    <w:autoRedefine/>
    <w:uiPriority w:val="39"/>
    <w:unhideWhenUsed/>
    <w:rsid w:val="001F22BC"/>
    <w:pPr>
      <w:spacing w:after="100" w:line="259" w:lineRule="auto"/>
      <w:ind w:left="880"/>
    </w:pPr>
    <w:rPr>
      <w:rFonts w:asciiTheme="minorHAnsi" w:eastAsiaTheme="minorEastAsia" w:hAnsiTheme="minorHAnsi" w:cstheme="minorBidi"/>
      <w:color w:val="auto"/>
      <w:lang w:eastAsia="en-GB"/>
    </w:rPr>
  </w:style>
  <w:style w:type="paragraph" w:styleId="TOC6">
    <w:name w:val="toc 6"/>
    <w:basedOn w:val="Normal"/>
    <w:next w:val="Normal"/>
    <w:autoRedefine/>
    <w:uiPriority w:val="39"/>
    <w:unhideWhenUsed/>
    <w:rsid w:val="001F22BC"/>
    <w:pPr>
      <w:spacing w:after="100" w:line="259" w:lineRule="auto"/>
      <w:ind w:left="1100"/>
    </w:pPr>
    <w:rPr>
      <w:rFonts w:asciiTheme="minorHAnsi" w:eastAsiaTheme="minorEastAsia" w:hAnsiTheme="minorHAnsi" w:cstheme="minorBidi"/>
      <w:color w:val="auto"/>
      <w:lang w:eastAsia="en-GB"/>
    </w:rPr>
  </w:style>
  <w:style w:type="paragraph" w:styleId="TOC7">
    <w:name w:val="toc 7"/>
    <w:basedOn w:val="Normal"/>
    <w:next w:val="Normal"/>
    <w:autoRedefine/>
    <w:uiPriority w:val="39"/>
    <w:unhideWhenUsed/>
    <w:rsid w:val="001F22BC"/>
    <w:pPr>
      <w:spacing w:after="100" w:line="259" w:lineRule="auto"/>
      <w:ind w:left="1320"/>
    </w:pPr>
    <w:rPr>
      <w:rFonts w:asciiTheme="minorHAnsi" w:eastAsiaTheme="minorEastAsia" w:hAnsiTheme="minorHAnsi" w:cstheme="minorBidi"/>
      <w:color w:val="auto"/>
      <w:lang w:eastAsia="en-GB"/>
    </w:rPr>
  </w:style>
  <w:style w:type="paragraph" w:styleId="TOC8">
    <w:name w:val="toc 8"/>
    <w:basedOn w:val="Normal"/>
    <w:next w:val="Normal"/>
    <w:autoRedefine/>
    <w:uiPriority w:val="39"/>
    <w:unhideWhenUsed/>
    <w:rsid w:val="001F22BC"/>
    <w:pPr>
      <w:spacing w:after="100" w:line="259" w:lineRule="auto"/>
      <w:ind w:left="1540"/>
    </w:pPr>
    <w:rPr>
      <w:rFonts w:asciiTheme="minorHAnsi" w:eastAsiaTheme="minorEastAsia" w:hAnsiTheme="minorHAnsi" w:cstheme="minorBidi"/>
      <w:color w:val="auto"/>
      <w:lang w:eastAsia="en-GB"/>
    </w:rPr>
  </w:style>
  <w:style w:type="paragraph" w:styleId="TOC9">
    <w:name w:val="toc 9"/>
    <w:basedOn w:val="Normal"/>
    <w:next w:val="Normal"/>
    <w:autoRedefine/>
    <w:uiPriority w:val="39"/>
    <w:unhideWhenUsed/>
    <w:rsid w:val="004B7234"/>
    <w:pPr>
      <w:numPr>
        <w:numId w:val="57"/>
      </w:numPr>
      <w:spacing w:after="0"/>
      <w:ind w:left="567" w:hanging="357"/>
    </w:pPr>
    <w:rPr>
      <w:rFonts w:eastAsiaTheme="minorEastAsia" w:cstheme="minorBidi"/>
      <w:lang w:eastAsia="en-GB"/>
    </w:rPr>
  </w:style>
  <w:style w:type="paragraph" w:customStyle="1" w:styleId="m-3487786549644453675msolistparagraph">
    <w:name w:val="m_-3487786549644453675msolistparagraph"/>
    <w:basedOn w:val="Normal"/>
    <w:rsid w:val="001F22BC"/>
    <w:pPr>
      <w:spacing w:before="100" w:beforeAutospacing="1" w:after="100" w:afterAutospacing="1"/>
    </w:pPr>
    <w:rPr>
      <w:rFonts w:ascii="Times New Roman" w:eastAsia="Times New Roman" w:hAnsi="Times New Roman" w:cs="Times New Roman"/>
      <w:color w:val="auto"/>
      <w:sz w:val="24"/>
      <w:szCs w:val="24"/>
      <w:lang w:eastAsia="en-GB"/>
    </w:rPr>
  </w:style>
  <w:style w:type="paragraph" w:styleId="Quote">
    <w:name w:val="Quote"/>
    <w:basedOn w:val="Normal"/>
    <w:next w:val="Normal"/>
    <w:link w:val="QuoteChar"/>
    <w:uiPriority w:val="29"/>
    <w:qFormat/>
    <w:rsid w:val="0060273D"/>
    <w:pPr>
      <w:spacing w:before="200" w:after="160"/>
      <w:ind w:left="864" w:right="864"/>
    </w:pPr>
    <w:rPr>
      <w:i/>
      <w:iCs/>
      <w:color w:val="404040" w:themeColor="text1" w:themeTint="BF"/>
      <w:sz w:val="18"/>
      <w:lang w:eastAsia="en-GB"/>
    </w:rPr>
  </w:style>
  <w:style w:type="character" w:customStyle="1" w:styleId="QuoteChar">
    <w:name w:val="Quote Char"/>
    <w:basedOn w:val="DefaultParagraphFont"/>
    <w:link w:val="Quote"/>
    <w:uiPriority w:val="29"/>
    <w:rsid w:val="0060273D"/>
    <w:rPr>
      <w:i/>
      <w:iCs/>
      <w:color w:val="404040" w:themeColor="text1" w:themeTint="BF"/>
      <w:sz w:val="18"/>
      <w:lang w:val="en-GB" w:eastAsia="en-GB"/>
    </w:rPr>
  </w:style>
  <w:style w:type="paragraph" w:styleId="IntenseQuote">
    <w:name w:val="Intense Quote"/>
    <w:basedOn w:val="Normal"/>
    <w:next w:val="Normal"/>
    <w:link w:val="IntenseQuoteChar"/>
    <w:uiPriority w:val="30"/>
    <w:qFormat/>
    <w:rsid w:val="00415376"/>
    <w:pPr>
      <w:pBdr>
        <w:top w:val="single" w:sz="4" w:space="10" w:color="4F81BD" w:themeColor="accent1"/>
        <w:bottom w:val="single" w:sz="4" w:space="10" w:color="4F81BD" w:themeColor="accent1"/>
      </w:pBdr>
      <w:spacing w:before="120" w:after="24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415376"/>
    <w:rPr>
      <w:i/>
      <w:iCs/>
      <w:color w:val="4F81BD" w:themeColor="accent1"/>
      <w:lang w:val="en-GB"/>
    </w:rPr>
  </w:style>
  <w:style w:type="paragraph" w:styleId="EndnoteText">
    <w:name w:val="endnote text"/>
    <w:basedOn w:val="Normal"/>
    <w:link w:val="EndnoteTextChar"/>
    <w:uiPriority w:val="99"/>
    <w:semiHidden/>
    <w:unhideWhenUsed/>
    <w:rsid w:val="008F7D66"/>
    <w:pPr>
      <w:spacing w:after="0"/>
    </w:pPr>
    <w:rPr>
      <w:szCs w:val="20"/>
    </w:rPr>
  </w:style>
  <w:style w:type="character" w:customStyle="1" w:styleId="EndnoteTextChar">
    <w:name w:val="Endnote Text Char"/>
    <w:basedOn w:val="DefaultParagraphFont"/>
    <w:link w:val="EndnoteText"/>
    <w:uiPriority w:val="99"/>
    <w:semiHidden/>
    <w:rsid w:val="008F7D66"/>
    <w:rPr>
      <w:sz w:val="20"/>
      <w:szCs w:val="20"/>
    </w:rPr>
  </w:style>
  <w:style w:type="character" w:styleId="EndnoteReference">
    <w:name w:val="endnote reference"/>
    <w:basedOn w:val="DefaultParagraphFont"/>
    <w:uiPriority w:val="99"/>
    <w:semiHidden/>
    <w:unhideWhenUsed/>
    <w:rsid w:val="008F7D66"/>
    <w:rPr>
      <w:vertAlign w:val="superscript"/>
    </w:rPr>
  </w:style>
  <w:style w:type="character" w:customStyle="1" w:styleId="apple-converted-space">
    <w:name w:val="apple-converted-space"/>
    <w:basedOn w:val="DefaultParagraphFont"/>
    <w:rsid w:val="00FC0396"/>
  </w:style>
  <w:style w:type="paragraph" w:customStyle="1" w:styleId="m-564543523399088959msolistparagraph">
    <w:name w:val="m_-564543523399088959msolistparagraph"/>
    <w:basedOn w:val="Normal"/>
    <w:rsid w:val="00E04E8F"/>
    <w:pPr>
      <w:spacing w:before="100" w:beforeAutospacing="1" w:after="100" w:afterAutospacing="1"/>
    </w:pPr>
    <w:rPr>
      <w:rFonts w:ascii="Times New Roman" w:eastAsia="Times New Roman" w:hAnsi="Times New Roman" w:cs="Times New Roman"/>
      <w:color w:val="auto"/>
      <w:sz w:val="24"/>
      <w:szCs w:val="24"/>
      <w:lang w:eastAsia="en-GB"/>
    </w:rPr>
  </w:style>
  <w:style w:type="paragraph" w:styleId="NoSpacing">
    <w:name w:val="No Spacing"/>
    <w:uiPriority w:val="1"/>
    <w:qFormat/>
    <w:rsid w:val="00CE33C2"/>
    <w:pPr>
      <w:spacing w:after="0" w:line="240" w:lineRule="auto"/>
    </w:pPr>
    <w:rPr>
      <w:lang w:val="en-GB"/>
    </w:rPr>
  </w:style>
  <w:style w:type="paragraph" w:styleId="Caption">
    <w:name w:val="caption"/>
    <w:basedOn w:val="Normal"/>
    <w:next w:val="Normal"/>
    <w:uiPriority w:val="35"/>
    <w:unhideWhenUsed/>
    <w:qFormat/>
    <w:rsid w:val="00A730E8"/>
    <w:rPr>
      <w:b/>
      <w:i/>
      <w:iCs/>
      <w:color w:val="auto"/>
      <w:szCs w:val="18"/>
    </w:rPr>
  </w:style>
  <w:style w:type="paragraph" w:styleId="TableofFigures">
    <w:name w:val="table of figures"/>
    <w:basedOn w:val="Normal"/>
    <w:next w:val="Normal"/>
    <w:uiPriority w:val="99"/>
    <w:unhideWhenUsed/>
    <w:rsid w:val="00180E58"/>
    <w:pPr>
      <w:spacing w:after="0"/>
    </w:pPr>
  </w:style>
  <w:style w:type="paragraph" w:customStyle="1" w:styleId="Bulletspoint11">
    <w:name w:val="Bullets point 11"/>
    <w:basedOn w:val="TOC2"/>
    <w:link w:val="Bulletspoint11Char"/>
    <w:qFormat/>
    <w:rsid w:val="00D22069"/>
    <w:pPr>
      <w:numPr>
        <w:numId w:val="1"/>
      </w:numPr>
      <w:spacing w:after="0"/>
    </w:pPr>
  </w:style>
  <w:style w:type="character" w:customStyle="1" w:styleId="TOC2Char">
    <w:name w:val="TOC 2 Char"/>
    <w:basedOn w:val="DefaultParagraphFont"/>
    <w:link w:val="TOC2"/>
    <w:uiPriority w:val="39"/>
    <w:rsid w:val="00B15DC4"/>
    <w:rPr>
      <w:sz w:val="20"/>
      <w:lang w:val="en-GB" w:eastAsia="en-GB"/>
    </w:rPr>
  </w:style>
  <w:style w:type="character" w:customStyle="1" w:styleId="Bulletspoint11Char">
    <w:name w:val="Bullets point 11 Char"/>
    <w:basedOn w:val="TOC2Char"/>
    <w:link w:val="Bulletspoint11"/>
    <w:rsid w:val="00D22069"/>
    <w:rPr>
      <w:sz w:val="20"/>
      <w:lang w:val="en-GB" w:eastAsia="en-GB"/>
    </w:rPr>
  </w:style>
  <w:style w:type="character" w:customStyle="1" w:styleId="highlight">
    <w:name w:val="highlight"/>
    <w:basedOn w:val="DefaultParagraphFont"/>
    <w:rsid w:val="00754F7C"/>
  </w:style>
  <w:style w:type="table" w:styleId="GridTable1Light-Accent1">
    <w:name w:val="Grid Table 1 Light Accent 1"/>
    <w:basedOn w:val="TableNormal"/>
    <w:uiPriority w:val="46"/>
    <w:rsid w:val="001119AF"/>
    <w:pPr>
      <w:spacing w:after="0" w:line="240" w:lineRule="auto"/>
    </w:pPr>
    <w:rPr>
      <w:rFonts w:asciiTheme="minorHAnsi" w:eastAsiaTheme="minorEastAsia" w:hAnsiTheme="minorHAnsi" w:cstheme="minorBidi"/>
      <w:color w:val="auto"/>
      <w:lang w:val="fr-FR" w:eastAsia="zh-C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a30">
    <w:name w:val="a3"/>
    <w:basedOn w:val="TableNormal"/>
    <w:rsid w:val="001119AF"/>
    <w:tblPr>
      <w:tblStyleRowBandSize w:val="1"/>
      <w:tblStyleColBandSize w:val="1"/>
      <w:tblCellMar>
        <w:top w:w="100" w:type="dxa"/>
        <w:left w:w="100" w:type="dxa"/>
        <w:bottom w:w="100" w:type="dxa"/>
        <w:right w:w="100" w:type="dxa"/>
      </w:tblCellMar>
    </w:tblPr>
  </w:style>
  <w:style w:type="table" w:customStyle="1" w:styleId="a40">
    <w:name w:val="a4"/>
    <w:basedOn w:val="TableNormal"/>
    <w:rsid w:val="001119AF"/>
    <w:tblPr>
      <w:tblStyleRowBandSize w:val="1"/>
      <w:tblStyleColBandSize w:val="1"/>
      <w:tblCellMar>
        <w:top w:w="100" w:type="dxa"/>
        <w:left w:w="100" w:type="dxa"/>
        <w:bottom w:w="100" w:type="dxa"/>
        <w:right w:w="100" w:type="dxa"/>
      </w:tblCellMar>
    </w:tblPr>
  </w:style>
  <w:style w:type="paragraph" w:customStyle="1" w:styleId="msonormal0">
    <w:name w:val="msonormal"/>
    <w:basedOn w:val="Normal"/>
    <w:rsid w:val="004B77F6"/>
    <w:pPr>
      <w:spacing w:before="100" w:beforeAutospacing="1" w:after="100" w:afterAutospacing="1"/>
    </w:pPr>
    <w:rPr>
      <w:rFonts w:ascii="Times New Roman" w:eastAsia="Times New Roman" w:hAnsi="Times New Roman" w:cs="Times New Roman"/>
      <w:color w:val="auto"/>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64631">
      <w:bodyDiv w:val="1"/>
      <w:marLeft w:val="0"/>
      <w:marRight w:val="0"/>
      <w:marTop w:val="0"/>
      <w:marBottom w:val="0"/>
      <w:divBdr>
        <w:top w:val="none" w:sz="0" w:space="0" w:color="auto"/>
        <w:left w:val="none" w:sz="0" w:space="0" w:color="auto"/>
        <w:bottom w:val="none" w:sz="0" w:space="0" w:color="auto"/>
        <w:right w:val="none" w:sz="0" w:space="0" w:color="auto"/>
      </w:divBdr>
      <w:divsChild>
        <w:div w:id="345058961">
          <w:marLeft w:val="-100"/>
          <w:marRight w:val="0"/>
          <w:marTop w:val="0"/>
          <w:marBottom w:val="0"/>
          <w:divBdr>
            <w:top w:val="none" w:sz="0" w:space="0" w:color="auto"/>
            <w:left w:val="none" w:sz="0" w:space="0" w:color="auto"/>
            <w:bottom w:val="none" w:sz="0" w:space="0" w:color="auto"/>
            <w:right w:val="none" w:sz="0" w:space="0" w:color="auto"/>
          </w:divBdr>
        </w:div>
      </w:divsChild>
    </w:div>
    <w:div w:id="233509927">
      <w:bodyDiv w:val="1"/>
      <w:marLeft w:val="0"/>
      <w:marRight w:val="0"/>
      <w:marTop w:val="0"/>
      <w:marBottom w:val="0"/>
      <w:divBdr>
        <w:top w:val="none" w:sz="0" w:space="0" w:color="auto"/>
        <w:left w:val="none" w:sz="0" w:space="0" w:color="auto"/>
        <w:bottom w:val="none" w:sz="0" w:space="0" w:color="auto"/>
        <w:right w:val="none" w:sz="0" w:space="0" w:color="auto"/>
      </w:divBdr>
    </w:div>
    <w:div w:id="378092145">
      <w:bodyDiv w:val="1"/>
      <w:marLeft w:val="0"/>
      <w:marRight w:val="0"/>
      <w:marTop w:val="0"/>
      <w:marBottom w:val="0"/>
      <w:divBdr>
        <w:top w:val="none" w:sz="0" w:space="0" w:color="auto"/>
        <w:left w:val="none" w:sz="0" w:space="0" w:color="auto"/>
        <w:bottom w:val="none" w:sz="0" w:space="0" w:color="auto"/>
        <w:right w:val="none" w:sz="0" w:space="0" w:color="auto"/>
      </w:divBdr>
    </w:div>
    <w:div w:id="463932247">
      <w:bodyDiv w:val="1"/>
      <w:marLeft w:val="0"/>
      <w:marRight w:val="0"/>
      <w:marTop w:val="0"/>
      <w:marBottom w:val="0"/>
      <w:divBdr>
        <w:top w:val="none" w:sz="0" w:space="0" w:color="auto"/>
        <w:left w:val="none" w:sz="0" w:space="0" w:color="auto"/>
        <w:bottom w:val="none" w:sz="0" w:space="0" w:color="auto"/>
        <w:right w:val="none" w:sz="0" w:space="0" w:color="auto"/>
      </w:divBdr>
      <w:divsChild>
        <w:div w:id="165873805">
          <w:marLeft w:val="-100"/>
          <w:marRight w:val="0"/>
          <w:marTop w:val="0"/>
          <w:marBottom w:val="0"/>
          <w:divBdr>
            <w:top w:val="none" w:sz="0" w:space="0" w:color="auto"/>
            <w:left w:val="none" w:sz="0" w:space="0" w:color="auto"/>
            <w:bottom w:val="none" w:sz="0" w:space="0" w:color="auto"/>
            <w:right w:val="none" w:sz="0" w:space="0" w:color="auto"/>
          </w:divBdr>
        </w:div>
      </w:divsChild>
    </w:div>
    <w:div w:id="480774585">
      <w:bodyDiv w:val="1"/>
      <w:marLeft w:val="0"/>
      <w:marRight w:val="0"/>
      <w:marTop w:val="0"/>
      <w:marBottom w:val="0"/>
      <w:divBdr>
        <w:top w:val="none" w:sz="0" w:space="0" w:color="auto"/>
        <w:left w:val="none" w:sz="0" w:space="0" w:color="auto"/>
        <w:bottom w:val="none" w:sz="0" w:space="0" w:color="auto"/>
        <w:right w:val="none" w:sz="0" w:space="0" w:color="auto"/>
      </w:divBdr>
      <w:divsChild>
        <w:div w:id="824053131">
          <w:marLeft w:val="17"/>
          <w:marRight w:val="0"/>
          <w:marTop w:val="0"/>
          <w:marBottom w:val="0"/>
          <w:divBdr>
            <w:top w:val="none" w:sz="0" w:space="0" w:color="auto"/>
            <w:left w:val="none" w:sz="0" w:space="0" w:color="auto"/>
            <w:bottom w:val="none" w:sz="0" w:space="0" w:color="auto"/>
            <w:right w:val="none" w:sz="0" w:space="0" w:color="auto"/>
          </w:divBdr>
        </w:div>
      </w:divsChild>
    </w:div>
    <w:div w:id="521431880">
      <w:bodyDiv w:val="1"/>
      <w:marLeft w:val="0"/>
      <w:marRight w:val="0"/>
      <w:marTop w:val="0"/>
      <w:marBottom w:val="0"/>
      <w:divBdr>
        <w:top w:val="none" w:sz="0" w:space="0" w:color="auto"/>
        <w:left w:val="none" w:sz="0" w:space="0" w:color="auto"/>
        <w:bottom w:val="none" w:sz="0" w:space="0" w:color="auto"/>
        <w:right w:val="none" w:sz="0" w:space="0" w:color="auto"/>
      </w:divBdr>
    </w:div>
    <w:div w:id="672269984">
      <w:bodyDiv w:val="1"/>
      <w:marLeft w:val="0"/>
      <w:marRight w:val="0"/>
      <w:marTop w:val="0"/>
      <w:marBottom w:val="0"/>
      <w:divBdr>
        <w:top w:val="none" w:sz="0" w:space="0" w:color="auto"/>
        <w:left w:val="none" w:sz="0" w:space="0" w:color="auto"/>
        <w:bottom w:val="none" w:sz="0" w:space="0" w:color="auto"/>
        <w:right w:val="none" w:sz="0" w:space="0" w:color="auto"/>
      </w:divBdr>
      <w:divsChild>
        <w:div w:id="92359683">
          <w:marLeft w:val="-100"/>
          <w:marRight w:val="0"/>
          <w:marTop w:val="0"/>
          <w:marBottom w:val="0"/>
          <w:divBdr>
            <w:top w:val="none" w:sz="0" w:space="0" w:color="auto"/>
            <w:left w:val="none" w:sz="0" w:space="0" w:color="auto"/>
            <w:bottom w:val="none" w:sz="0" w:space="0" w:color="auto"/>
            <w:right w:val="none" w:sz="0" w:space="0" w:color="auto"/>
          </w:divBdr>
        </w:div>
      </w:divsChild>
    </w:div>
    <w:div w:id="864295842">
      <w:bodyDiv w:val="1"/>
      <w:marLeft w:val="0"/>
      <w:marRight w:val="0"/>
      <w:marTop w:val="0"/>
      <w:marBottom w:val="0"/>
      <w:divBdr>
        <w:top w:val="none" w:sz="0" w:space="0" w:color="auto"/>
        <w:left w:val="none" w:sz="0" w:space="0" w:color="auto"/>
        <w:bottom w:val="none" w:sz="0" w:space="0" w:color="auto"/>
        <w:right w:val="none" w:sz="0" w:space="0" w:color="auto"/>
      </w:divBdr>
    </w:div>
    <w:div w:id="923032053">
      <w:bodyDiv w:val="1"/>
      <w:marLeft w:val="0"/>
      <w:marRight w:val="0"/>
      <w:marTop w:val="0"/>
      <w:marBottom w:val="0"/>
      <w:divBdr>
        <w:top w:val="none" w:sz="0" w:space="0" w:color="auto"/>
        <w:left w:val="none" w:sz="0" w:space="0" w:color="auto"/>
        <w:bottom w:val="none" w:sz="0" w:space="0" w:color="auto"/>
        <w:right w:val="none" w:sz="0" w:space="0" w:color="auto"/>
      </w:divBdr>
    </w:div>
    <w:div w:id="959073443">
      <w:bodyDiv w:val="1"/>
      <w:marLeft w:val="0"/>
      <w:marRight w:val="0"/>
      <w:marTop w:val="0"/>
      <w:marBottom w:val="0"/>
      <w:divBdr>
        <w:top w:val="none" w:sz="0" w:space="0" w:color="auto"/>
        <w:left w:val="none" w:sz="0" w:space="0" w:color="auto"/>
        <w:bottom w:val="none" w:sz="0" w:space="0" w:color="auto"/>
        <w:right w:val="none" w:sz="0" w:space="0" w:color="auto"/>
      </w:divBdr>
    </w:div>
    <w:div w:id="992101123">
      <w:bodyDiv w:val="1"/>
      <w:marLeft w:val="0"/>
      <w:marRight w:val="0"/>
      <w:marTop w:val="0"/>
      <w:marBottom w:val="0"/>
      <w:divBdr>
        <w:top w:val="none" w:sz="0" w:space="0" w:color="auto"/>
        <w:left w:val="none" w:sz="0" w:space="0" w:color="auto"/>
        <w:bottom w:val="none" w:sz="0" w:space="0" w:color="auto"/>
        <w:right w:val="none" w:sz="0" w:space="0" w:color="auto"/>
      </w:divBdr>
    </w:div>
    <w:div w:id="1100639355">
      <w:bodyDiv w:val="1"/>
      <w:marLeft w:val="0"/>
      <w:marRight w:val="0"/>
      <w:marTop w:val="0"/>
      <w:marBottom w:val="0"/>
      <w:divBdr>
        <w:top w:val="none" w:sz="0" w:space="0" w:color="auto"/>
        <w:left w:val="none" w:sz="0" w:space="0" w:color="auto"/>
        <w:bottom w:val="none" w:sz="0" w:space="0" w:color="auto"/>
        <w:right w:val="none" w:sz="0" w:space="0" w:color="auto"/>
      </w:divBdr>
    </w:div>
    <w:div w:id="1110011255">
      <w:bodyDiv w:val="1"/>
      <w:marLeft w:val="0"/>
      <w:marRight w:val="0"/>
      <w:marTop w:val="0"/>
      <w:marBottom w:val="0"/>
      <w:divBdr>
        <w:top w:val="none" w:sz="0" w:space="0" w:color="auto"/>
        <w:left w:val="none" w:sz="0" w:space="0" w:color="auto"/>
        <w:bottom w:val="none" w:sz="0" w:space="0" w:color="auto"/>
        <w:right w:val="none" w:sz="0" w:space="0" w:color="auto"/>
      </w:divBdr>
    </w:div>
    <w:div w:id="1320618394">
      <w:bodyDiv w:val="1"/>
      <w:marLeft w:val="0"/>
      <w:marRight w:val="0"/>
      <w:marTop w:val="0"/>
      <w:marBottom w:val="0"/>
      <w:divBdr>
        <w:top w:val="none" w:sz="0" w:space="0" w:color="auto"/>
        <w:left w:val="none" w:sz="0" w:space="0" w:color="auto"/>
        <w:bottom w:val="none" w:sz="0" w:space="0" w:color="auto"/>
        <w:right w:val="none" w:sz="0" w:space="0" w:color="auto"/>
      </w:divBdr>
    </w:div>
    <w:div w:id="1404570240">
      <w:bodyDiv w:val="1"/>
      <w:marLeft w:val="0"/>
      <w:marRight w:val="0"/>
      <w:marTop w:val="0"/>
      <w:marBottom w:val="0"/>
      <w:divBdr>
        <w:top w:val="none" w:sz="0" w:space="0" w:color="auto"/>
        <w:left w:val="none" w:sz="0" w:space="0" w:color="auto"/>
        <w:bottom w:val="none" w:sz="0" w:space="0" w:color="auto"/>
        <w:right w:val="none" w:sz="0" w:space="0" w:color="auto"/>
      </w:divBdr>
    </w:div>
    <w:div w:id="1464425154">
      <w:bodyDiv w:val="1"/>
      <w:marLeft w:val="0"/>
      <w:marRight w:val="0"/>
      <w:marTop w:val="0"/>
      <w:marBottom w:val="0"/>
      <w:divBdr>
        <w:top w:val="none" w:sz="0" w:space="0" w:color="auto"/>
        <w:left w:val="none" w:sz="0" w:space="0" w:color="auto"/>
        <w:bottom w:val="none" w:sz="0" w:space="0" w:color="auto"/>
        <w:right w:val="none" w:sz="0" w:space="0" w:color="auto"/>
      </w:divBdr>
    </w:div>
    <w:div w:id="1521042887">
      <w:bodyDiv w:val="1"/>
      <w:marLeft w:val="0"/>
      <w:marRight w:val="0"/>
      <w:marTop w:val="0"/>
      <w:marBottom w:val="0"/>
      <w:divBdr>
        <w:top w:val="none" w:sz="0" w:space="0" w:color="auto"/>
        <w:left w:val="none" w:sz="0" w:space="0" w:color="auto"/>
        <w:bottom w:val="none" w:sz="0" w:space="0" w:color="auto"/>
        <w:right w:val="none" w:sz="0" w:space="0" w:color="auto"/>
      </w:divBdr>
    </w:div>
    <w:div w:id="1521432076">
      <w:bodyDiv w:val="1"/>
      <w:marLeft w:val="0"/>
      <w:marRight w:val="0"/>
      <w:marTop w:val="0"/>
      <w:marBottom w:val="0"/>
      <w:divBdr>
        <w:top w:val="none" w:sz="0" w:space="0" w:color="auto"/>
        <w:left w:val="none" w:sz="0" w:space="0" w:color="auto"/>
        <w:bottom w:val="none" w:sz="0" w:space="0" w:color="auto"/>
        <w:right w:val="none" w:sz="0" w:space="0" w:color="auto"/>
      </w:divBdr>
    </w:div>
    <w:div w:id="1656954990">
      <w:bodyDiv w:val="1"/>
      <w:marLeft w:val="0"/>
      <w:marRight w:val="0"/>
      <w:marTop w:val="0"/>
      <w:marBottom w:val="0"/>
      <w:divBdr>
        <w:top w:val="none" w:sz="0" w:space="0" w:color="auto"/>
        <w:left w:val="none" w:sz="0" w:space="0" w:color="auto"/>
        <w:bottom w:val="none" w:sz="0" w:space="0" w:color="auto"/>
        <w:right w:val="none" w:sz="0" w:space="0" w:color="auto"/>
      </w:divBdr>
    </w:div>
    <w:div w:id="1663894818">
      <w:bodyDiv w:val="1"/>
      <w:marLeft w:val="0"/>
      <w:marRight w:val="0"/>
      <w:marTop w:val="0"/>
      <w:marBottom w:val="0"/>
      <w:divBdr>
        <w:top w:val="none" w:sz="0" w:space="0" w:color="auto"/>
        <w:left w:val="none" w:sz="0" w:space="0" w:color="auto"/>
        <w:bottom w:val="none" w:sz="0" w:space="0" w:color="auto"/>
        <w:right w:val="none" w:sz="0" w:space="0" w:color="auto"/>
      </w:divBdr>
    </w:div>
    <w:div w:id="1681347304">
      <w:bodyDiv w:val="1"/>
      <w:marLeft w:val="0"/>
      <w:marRight w:val="0"/>
      <w:marTop w:val="0"/>
      <w:marBottom w:val="0"/>
      <w:divBdr>
        <w:top w:val="none" w:sz="0" w:space="0" w:color="auto"/>
        <w:left w:val="none" w:sz="0" w:space="0" w:color="auto"/>
        <w:bottom w:val="none" w:sz="0" w:space="0" w:color="auto"/>
        <w:right w:val="none" w:sz="0" w:space="0" w:color="auto"/>
      </w:divBdr>
    </w:div>
    <w:div w:id="1743286507">
      <w:bodyDiv w:val="1"/>
      <w:marLeft w:val="0"/>
      <w:marRight w:val="0"/>
      <w:marTop w:val="0"/>
      <w:marBottom w:val="0"/>
      <w:divBdr>
        <w:top w:val="none" w:sz="0" w:space="0" w:color="auto"/>
        <w:left w:val="none" w:sz="0" w:space="0" w:color="auto"/>
        <w:bottom w:val="none" w:sz="0" w:space="0" w:color="auto"/>
        <w:right w:val="none" w:sz="0" w:space="0" w:color="auto"/>
      </w:divBdr>
    </w:div>
    <w:div w:id="1906987879">
      <w:bodyDiv w:val="1"/>
      <w:marLeft w:val="0"/>
      <w:marRight w:val="0"/>
      <w:marTop w:val="0"/>
      <w:marBottom w:val="0"/>
      <w:divBdr>
        <w:top w:val="none" w:sz="0" w:space="0" w:color="auto"/>
        <w:left w:val="none" w:sz="0" w:space="0" w:color="auto"/>
        <w:bottom w:val="none" w:sz="0" w:space="0" w:color="auto"/>
        <w:right w:val="none" w:sz="0" w:space="0" w:color="auto"/>
      </w:divBdr>
    </w:div>
    <w:div w:id="1996252319">
      <w:bodyDiv w:val="1"/>
      <w:marLeft w:val="0"/>
      <w:marRight w:val="0"/>
      <w:marTop w:val="0"/>
      <w:marBottom w:val="0"/>
      <w:divBdr>
        <w:top w:val="none" w:sz="0" w:space="0" w:color="auto"/>
        <w:left w:val="none" w:sz="0" w:space="0" w:color="auto"/>
        <w:bottom w:val="none" w:sz="0" w:space="0" w:color="auto"/>
        <w:right w:val="none" w:sz="0" w:space="0" w:color="auto"/>
      </w:divBdr>
      <w:divsChild>
        <w:div w:id="354229807">
          <w:marLeft w:val="-100"/>
          <w:marRight w:val="0"/>
          <w:marTop w:val="0"/>
          <w:marBottom w:val="0"/>
          <w:divBdr>
            <w:top w:val="none" w:sz="0" w:space="0" w:color="auto"/>
            <w:left w:val="none" w:sz="0" w:space="0" w:color="auto"/>
            <w:bottom w:val="none" w:sz="0" w:space="0" w:color="auto"/>
            <w:right w:val="none" w:sz="0" w:space="0" w:color="auto"/>
          </w:divBdr>
        </w:div>
      </w:divsChild>
    </w:div>
    <w:div w:id="2018999933">
      <w:bodyDiv w:val="1"/>
      <w:marLeft w:val="0"/>
      <w:marRight w:val="0"/>
      <w:marTop w:val="0"/>
      <w:marBottom w:val="0"/>
      <w:divBdr>
        <w:top w:val="none" w:sz="0" w:space="0" w:color="auto"/>
        <w:left w:val="none" w:sz="0" w:space="0" w:color="auto"/>
        <w:bottom w:val="none" w:sz="0" w:space="0" w:color="auto"/>
        <w:right w:val="none" w:sz="0" w:space="0" w:color="auto"/>
      </w:divBdr>
    </w:div>
    <w:div w:id="2026516839">
      <w:bodyDiv w:val="1"/>
      <w:marLeft w:val="0"/>
      <w:marRight w:val="0"/>
      <w:marTop w:val="0"/>
      <w:marBottom w:val="0"/>
      <w:divBdr>
        <w:top w:val="none" w:sz="0" w:space="0" w:color="auto"/>
        <w:left w:val="none" w:sz="0" w:space="0" w:color="auto"/>
        <w:bottom w:val="none" w:sz="0" w:space="0" w:color="auto"/>
        <w:right w:val="none" w:sz="0" w:space="0" w:color="auto"/>
      </w:divBdr>
      <w:divsChild>
        <w:div w:id="1591161059">
          <w:marLeft w:val="-100"/>
          <w:marRight w:val="0"/>
          <w:marTop w:val="0"/>
          <w:marBottom w:val="0"/>
          <w:divBdr>
            <w:top w:val="none" w:sz="0" w:space="0" w:color="auto"/>
            <w:left w:val="none" w:sz="0" w:space="0" w:color="auto"/>
            <w:bottom w:val="none" w:sz="0" w:space="0" w:color="auto"/>
            <w:right w:val="none" w:sz="0" w:space="0" w:color="auto"/>
          </w:divBdr>
        </w:div>
      </w:divsChild>
    </w:div>
    <w:div w:id="2082558304">
      <w:bodyDiv w:val="1"/>
      <w:marLeft w:val="0"/>
      <w:marRight w:val="0"/>
      <w:marTop w:val="0"/>
      <w:marBottom w:val="0"/>
      <w:divBdr>
        <w:top w:val="none" w:sz="0" w:space="0" w:color="auto"/>
        <w:left w:val="none" w:sz="0" w:space="0" w:color="auto"/>
        <w:bottom w:val="none" w:sz="0" w:space="0" w:color="auto"/>
        <w:right w:val="none" w:sz="0" w:space="0" w:color="auto"/>
      </w:divBdr>
      <w:divsChild>
        <w:div w:id="2010792898">
          <w:marLeft w:val="-100"/>
          <w:marRight w:val="0"/>
          <w:marTop w:val="0"/>
          <w:marBottom w:val="0"/>
          <w:divBdr>
            <w:top w:val="none" w:sz="0" w:space="0" w:color="auto"/>
            <w:left w:val="none" w:sz="0" w:space="0" w:color="auto"/>
            <w:bottom w:val="none" w:sz="0" w:space="0" w:color="auto"/>
            <w:right w:val="none" w:sz="0" w:space="0" w:color="auto"/>
          </w:divBdr>
        </w:div>
      </w:divsChild>
    </w:div>
    <w:div w:id="2114782960">
      <w:bodyDiv w:val="1"/>
      <w:marLeft w:val="0"/>
      <w:marRight w:val="0"/>
      <w:marTop w:val="0"/>
      <w:marBottom w:val="0"/>
      <w:divBdr>
        <w:top w:val="none" w:sz="0" w:space="0" w:color="auto"/>
        <w:left w:val="none" w:sz="0" w:space="0" w:color="auto"/>
        <w:bottom w:val="none" w:sz="0" w:space="0" w:color="auto"/>
        <w:right w:val="none" w:sz="0" w:space="0" w:color="auto"/>
      </w:divBdr>
    </w:div>
    <w:div w:id="2132630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mailto:d.hollow@jigsawconsul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itu.int/en/events/Pages/Upcoming-Workshops-and-Seminars.aspx"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www.itu.int/en/ITU-D/Pages/Regional-Presence.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0-CL-C-0032/en"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4.xml"/><Relationship Id="rId10" Type="http://schemas.openxmlformats.org/officeDocument/2006/relationships/hyperlink" Target="https://www.itu.int/md/S19-CL-C-0115/en" TargetMode="External"/><Relationship Id="rId19" Type="http://schemas.openxmlformats.org/officeDocument/2006/relationships/hyperlink" Target="https://www.itu.int/en/Pages/default.aspx" TargetMode="External"/><Relationship Id="rId4" Type="http://schemas.openxmlformats.org/officeDocument/2006/relationships/settings" Target="settings.xml"/><Relationship Id="rId9" Type="http://schemas.openxmlformats.org/officeDocument/2006/relationships/hyperlink" Target="https://www.itu.int/md/S19-CL-C-0098/en" TargetMode="External"/><Relationship Id="rId14" Type="http://schemas.openxmlformats.org/officeDocument/2006/relationships/footer" Target="footer1.xml"/><Relationship Id="rId22" Type="http://schemas.openxmlformats.org/officeDocument/2006/relationships/hyperlink" Target="https://academy.itu.int/"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26" Type="http://schemas.openxmlformats.org/officeDocument/2006/relationships/hyperlink" Target="https://www.iso.org/obp/ui/" TargetMode="External"/><Relationship Id="rId21" Type="http://schemas.openxmlformats.org/officeDocument/2006/relationships/hyperlink" Target="http://www.awc-hq.org/home.html" TargetMode="External"/><Relationship Id="rId42" Type="http://schemas.openxmlformats.org/officeDocument/2006/relationships/hyperlink" Target="https://www.who.int/news/item/11-06-2019-collaboration-between-france-and-who-to-realize-the-vision-of-the-who-academy" TargetMode="External"/><Relationship Id="rId47" Type="http://schemas.openxmlformats.org/officeDocument/2006/relationships/hyperlink" Target="https://digitalstrategy.undp.org/strategy.html" TargetMode="External"/><Relationship Id="rId63" Type="http://schemas.openxmlformats.org/officeDocument/2006/relationships/hyperlink" Target="https://www.unodc.org/ji/en/elearning.html" TargetMode="External"/><Relationship Id="rId68" Type="http://schemas.openxmlformats.org/officeDocument/2006/relationships/hyperlink" Target="https://web.worldbank.org/archive/website00001/WEB/1ABOUT.HTM" TargetMode="External"/><Relationship Id="rId7" Type="http://schemas.openxmlformats.org/officeDocument/2006/relationships/hyperlink" Target="https://academy.itu.int/sites/default/files/media/file/GCBI_meeting_presentation.pdf/" TargetMode="External"/><Relationship Id="rId2" Type="http://schemas.openxmlformats.org/officeDocument/2006/relationships/hyperlink" Target="https://openknowledge.worldbank.org/bitstream/handle/10986/9585/389150Capacity0D1Brief11901PUBLIC1.pdf?sequence=1&amp;isAllowed=y" TargetMode="External"/><Relationship Id="rId16" Type="http://schemas.openxmlformats.org/officeDocument/2006/relationships/hyperlink" Target="https://www.digitalskillsfoundation.org/" TargetMode="External"/><Relationship Id="rId29" Type="http://schemas.openxmlformats.org/officeDocument/2006/relationships/hyperlink" Target="https://hewlett.org/about-us/" TargetMode="External"/><Relationship Id="rId11" Type="http://schemas.openxmlformats.org/officeDocument/2006/relationships/hyperlink" Target="https://www.itu.int/en/publications/ITU-D/Pages/default.aspxm" TargetMode="External"/><Relationship Id="rId24" Type="http://schemas.openxmlformats.org/officeDocument/2006/relationships/hyperlink" Target="http://itan.org.ng/" TargetMode="External"/><Relationship Id="rId32" Type="http://schemas.openxmlformats.org/officeDocument/2006/relationships/hyperlink" Target="https://www.itu.int/en/council/ties/Documents/charts/20_HRM.pdf" TargetMode="External"/><Relationship Id="rId37" Type="http://schemas.openxmlformats.org/officeDocument/2006/relationships/hyperlink" Target="https://claned.com/" TargetMode="External"/><Relationship Id="rId40" Type="http://schemas.openxmlformats.org/officeDocument/2006/relationships/hyperlink" Target="https://en.unesco.org/themes/higher-education/unitwin" TargetMode="External"/><Relationship Id="rId45" Type="http://schemas.openxmlformats.org/officeDocument/2006/relationships/hyperlink" Target="https://extranet.who.int/dataform/upload/surveys/961382/files/Concept%20Note%20WHO%20Academy.pdf" TargetMode="External"/><Relationship Id="rId53" Type="http://schemas.openxmlformats.org/officeDocument/2006/relationships/hyperlink" Target="https://www.undp-capacitydevelopment-health.org/en/capacities/focus/innovation-and-technologies/" TargetMode="External"/><Relationship Id="rId58" Type="http://schemas.openxmlformats.org/officeDocument/2006/relationships/hyperlink" Target="https://www.unhcr.org/id/en/government-relations-and-capacity-building" TargetMode="External"/><Relationship Id="rId66" Type="http://schemas.openxmlformats.org/officeDocument/2006/relationships/hyperlink" Target="https://unpan.un.org/capacity-development/OTC" TargetMode="External"/><Relationship Id="rId5" Type="http://schemas.openxmlformats.org/officeDocument/2006/relationships/hyperlink" Target="https://www.undp.org/content/undp/en/home/coronavirus.html%20COVID-19" TargetMode="External"/><Relationship Id="rId61" Type="http://schemas.openxmlformats.org/officeDocument/2006/relationships/hyperlink" Target="https://www.uninnovation.network/" TargetMode="External"/><Relationship Id="rId19" Type="http://schemas.openxmlformats.org/officeDocument/2006/relationships/hyperlink" Target="https://mdec.my/digitalskillstrainingdirectory/page/15/" TargetMode="External"/><Relationship Id="rId14" Type="http://schemas.openxmlformats.org/officeDocument/2006/relationships/hyperlink" Target="https://icdleurope.org/about-us/" TargetMode="External"/><Relationship Id="rId22" Type="http://schemas.openxmlformats.org/officeDocument/2006/relationships/hyperlink" Target="https://www.ieee.org/" TargetMode="External"/><Relationship Id="rId27" Type="http://schemas.openxmlformats.org/officeDocument/2006/relationships/hyperlink" Target="https://www.bsigroup.com/en-GB/industries-and-sectors/ICT-and-telecoms/" TargetMode="External"/><Relationship Id="rId30" Type="http://schemas.openxmlformats.org/officeDocument/2006/relationships/hyperlink" Target="https://www.varkeyfoundation.org/" TargetMode="External"/><Relationship Id="rId35" Type="http://schemas.openxmlformats.org/officeDocument/2006/relationships/hyperlink" Target="https://agora.unicef.org/" TargetMode="External"/><Relationship Id="rId43" Type="http://schemas.openxmlformats.org/officeDocument/2006/relationships/hyperlink" Target="https://extranet.who.int/dataform/upload/surveys/961382/files/Concept%20Note%20WHO%20Academy.pdf" TargetMode="External"/><Relationship Id="rId48" Type="http://schemas.openxmlformats.org/officeDocument/2006/relationships/hyperlink" Target="https://www.topuniversities.com/qs-world-university-rankings" TargetMode="External"/><Relationship Id="rId56" Type="http://schemas.openxmlformats.org/officeDocument/2006/relationships/hyperlink" Target="https://www.unenvironment.org/resources/report/capacity-building-sustainable-development-overview-unep-environmental-capacity" TargetMode="External"/><Relationship Id="rId64" Type="http://schemas.openxmlformats.org/officeDocument/2006/relationships/hyperlink" Target="https://www.unodc.org/ji/en/selfdirected.html" TargetMode="External"/><Relationship Id="rId69" Type="http://schemas.openxmlformats.org/officeDocument/2006/relationships/hyperlink" Target="https://openknowledge.worldbank.org/handle/10986/6312" TargetMode="External"/><Relationship Id="rId8" Type="http://schemas.openxmlformats.org/officeDocument/2006/relationships/hyperlink" Target="https://drive.google.com/drive/folders/1mW8ST5QkNQSGKhy9smEBektAelR0AMSg" TargetMode="External"/><Relationship Id="rId51" Type="http://schemas.openxmlformats.org/officeDocument/2006/relationships/hyperlink" Target="https://www.un.org/development/desa/capacity-development/about/capacity-development-office/" TargetMode="External"/><Relationship Id="rId3" Type="http://schemas.openxmlformats.org/officeDocument/2006/relationships/hyperlink" Target="https://www.itu.int/en/Pages/covid-19.aspx" TargetMode="External"/><Relationship Id="rId12" Type="http://schemas.openxmlformats.org/officeDocument/2006/relationships/hyperlink" Target="https://www.itu.int/en/ITU-D/" TargetMode="External"/><Relationship Id="rId17" Type="http://schemas.openxmlformats.org/officeDocument/2006/relationships/hyperlink" Target="https://digitalskillsglobal.com" TargetMode="External"/><Relationship Id="rId25" Type="http://schemas.openxmlformats.org/officeDocument/2006/relationships/hyperlink" Target="https://www.bcs.org/" TargetMode="External"/><Relationship Id="rId33" Type="http://schemas.openxmlformats.org/officeDocument/2006/relationships/hyperlink" Target="https://www.itcilo.org/sites/default/files/inline-files/Evaluation%20Report_ITCILO_SkillsDev_by%20ECCOS.pdf" TargetMode="External"/><Relationship Id="rId38" Type="http://schemas.openxmlformats.org/officeDocument/2006/relationships/hyperlink" Target="https://www.helmholtz-berlin.de/projects/hvi/index_en.html" TargetMode="External"/><Relationship Id="rId46" Type="http://schemas.openxmlformats.org/officeDocument/2006/relationships/hyperlink" Target="http://www.smg.ac.uk/documents/spacenorms.pdf" TargetMode="External"/><Relationship Id="rId59" Type="http://schemas.openxmlformats.org/officeDocument/2006/relationships/hyperlink" Target="https://www.unhcr.org/uk/publications/manuals/5c9b811b7/mainstreaming-capacity-development-overview-2018-sexual-gender-based-violence.html?query=Training" TargetMode="External"/><Relationship Id="rId67" Type="http://schemas.openxmlformats.org/officeDocument/2006/relationships/hyperlink" Target="https://www.wipo.int/academy/en/" TargetMode="External"/><Relationship Id="rId20" Type="http://schemas.openxmlformats.org/officeDocument/2006/relationships/hyperlink" Target="https://www.acm.org/" TargetMode="External"/><Relationship Id="rId41" Type="http://schemas.openxmlformats.org/officeDocument/2006/relationships/hyperlink" Target="https://www.who.int/about/who-academy" TargetMode="External"/><Relationship Id="rId54" Type="http://schemas.openxmlformats.org/officeDocument/2006/relationships/hyperlink" Target="http://uis.unesco.org/en/topic/capacity-development" TargetMode="External"/><Relationship Id="rId62" Type="http://schemas.openxmlformats.org/officeDocument/2006/relationships/hyperlink" Target="https://www.unitar.org/event/full-catalog/training-and-capacity-building" TargetMode="External"/><Relationship Id="rId70" Type="http://schemas.openxmlformats.org/officeDocument/2006/relationships/hyperlink" Target="https://www.worldbank.org/en/data/statistical-capacity-building" TargetMode="External"/><Relationship Id="rId1" Type="http://schemas.openxmlformats.org/officeDocument/2006/relationships/hyperlink" Target="https://www.diplomacy.edu/blog/what-difference-between-training-and-capacity-development" TargetMode="External"/><Relationship Id="rId6" Type="http://schemas.openxmlformats.org/officeDocument/2006/relationships/hyperlink" Target="https://academy.itu.int" TargetMode="External"/><Relationship Id="rId15" Type="http://schemas.openxmlformats.org/officeDocument/2006/relationships/hyperlink" Target="https://www.cityandguilds.com/qualifications-and-apprenticeships/it/it-professional/4520-ict-professional-competence" TargetMode="External"/><Relationship Id="rId23" Type="http://schemas.openxmlformats.org/officeDocument/2006/relationships/hyperlink" Target="https://www.cssl.lk/" TargetMode="External"/><Relationship Id="rId28" Type="http://schemas.openxmlformats.org/officeDocument/2006/relationships/hyperlink" Target="https://www.gatesfoundation.org/" TargetMode="External"/><Relationship Id="rId36" Type="http://schemas.openxmlformats.org/officeDocument/2006/relationships/hyperlink" Target="https://www.totaralearning.com/" TargetMode="External"/><Relationship Id="rId49" Type="http://schemas.openxmlformats.org/officeDocument/2006/relationships/hyperlink" Target="https://www.bizjournals.com/bizjournals/how-to/marketing/2018/02/5-steps-to-brand-revitalization.html" TargetMode="External"/><Relationship Id="rId57" Type="http://schemas.openxmlformats.org/officeDocument/2006/relationships/hyperlink" Target="http://upu-trainpost.com/eng/calendar.htm" TargetMode="External"/><Relationship Id="rId10" Type="http://schemas.openxmlformats.org/officeDocument/2006/relationships/hyperlink" Target="https://doi.org/10.1111/ijtd.12044" TargetMode="External"/><Relationship Id="rId31" Type="http://schemas.openxmlformats.org/officeDocument/2006/relationships/hyperlink" Target="https://digitalskillsglobal.com" TargetMode="External"/><Relationship Id="rId44" Type="http://schemas.openxmlformats.org/officeDocument/2006/relationships/hyperlink" Target="https://extranet.who.int/dataform/upload/surveys/961382/files/Concept%20Note%20WHO%20Academy.pdf" TargetMode="External"/><Relationship Id="rId52" Type="http://schemas.openxmlformats.org/officeDocument/2006/relationships/hyperlink" Target="https://www.un.org/development/desa/capacity-development/capacity-development-tools/" TargetMode="External"/><Relationship Id="rId60" Type="http://schemas.openxmlformats.org/officeDocument/2006/relationships/hyperlink" Target="https://agora.unicef.org/" TargetMode="External"/><Relationship Id="rId65" Type="http://schemas.openxmlformats.org/officeDocument/2006/relationships/hyperlink" Target="https://www.unodc.org/ji/en/trainersmanual.html" TargetMode="External"/><Relationship Id="rId4" Type="http://schemas.openxmlformats.org/officeDocument/2006/relationships/hyperlink" Target="https://en.unesco.org/covid19" TargetMode="External"/><Relationship Id="rId9" Type="http://schemas.openxmlformats.org/officeDocument/2006/relationships/hyperlink" Target="https://academy.itu.int/sites/default/files/media/file/QoS%20TP%20report.pdf" TargetMode="External"/><Relationship Id="rId13" Type="http://schemas.openxmlformats.org/officeDocument/2006/relationships/hyperlink" Target="https://www.worldwidejournals.com/international-journal-of-scientific-research-(IJSR)/recent_issues_pdf/2014/September/September_2014_1493015030__68.pdf" TargetMode="External"/><Relationship Id="rId18" Type="http://schemas.openxmlformats.org/officeDocument/2006/relationships/hyperlink" Target="https://iide.co/about-us/" TargetMode="External"/><Relationship Id="rId39" Type="http://schemas.openxmlformats.org/officeDocument/2006/relationships/hyperlink" Target="https://medium.com/e-residency-blog/could-virtual-institutes-boost-academic-research-117ddb036828" TargetMode="External"/><Relationship Id="rId34" Type="http://schemas.openxmlformats.org/officeDocument/2006/relationships/hyperlink" Target="https://www.itcilo.org/sites/default/files/inline-files/CC%2083_5_1%20EN%20final.pdf" TargetMode="External"/><Relationship Id="rId50" Type="http://schemas.openxmlformats.org/officeDocument/2006/relationships/hyperlink" Target="https://www.icao.int/about-icao/DrAliu/Pages/Capacity-Building-and-Human-Resources-Development-for-the-Next-Generation-of-Aviation-Professionals.aspx" TargetMode="External"/><Relationship Id="rId55" Type="http://schemas.openxmlformats.org/officeDocument/2006/relationships/hyperlink" Target="https://wedocs.unep.org/bitstream/handle/20.500.11822/34917/AN2020.pdf?sequence=3&amp;isAllowed=y"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A4EFC-6375-4A1E-B657-CEB1320AA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88</Pages>
  <Words>41481</Words>
  <Characters>236444</Characters>
  <Application>Microsoft Office Word</Application>
  <DocSecurity>4</DocSecurity>
  <Lines>1970</Lines>
  <Paragraphs>554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
  <Company/>
  <LinksUpToDate>false</LinksUpToDate>
  <CharactersWithSpaces>277371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Jigsaw Consult presentation to the Council on feasibility study on establishing an ITU training institute</dc:title>
  <dc:subject>Council 2021, Virtual consultation of councillors</dc:subject>
  <dc:creator/>
  <cp:keywords>C2021, C21, VCC, C21-VCC-1</cp:keywords>
  <cp:lastModifiedBy/>
  <cp:revision>1</cp:revision>
  <dcterms:created xsi:type="dcterms:W3CDTF">2021-05-28T13:38:00Z</dcterms:created>
  <dcterms:modified xsi:type="dcterms:W3CDTF">2021-05-28T13:38:00Z</dcterms:modified>
</cp:coreProperties>
</file>