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D7452" w14:paraId="26231A9F" w14:textId="77777777">
        <w:trPr>
          <w:cantSplit/>
        </w:trPr>
        <w:tc>
          <w:tcPr>
            <w:tcW w:w="6912" w:type="dxa"/>
          </w:tcPr>
          <w:p w14:paraId="10D089DD" w14:textId="77777777" w:rsidR="00520F36" w:rsidRPr="00AD7452" w:rsidRDefault="00520F36" w:rsidP="0031797E">
            <w:pPr>
              <w:spacing w:before="360"/>
            </w:pPr>
            <w:bookmarkStart w:id="0" w:name="dc06"/>
            <w:bookmarkEnd w:id="0"/>
            <w:r w:rsidRPr="00AD7452">
              <w:rPr>
                <w:b/>
                <w:bCs/>
                <w:sz w:val="30"/>
                <w:szCs w:val="30"/>
              </w:rPr>
              <w:t>Conseil 20</w:t>
            </w:r>
            <w:r w:rsidR="009C353C" w:rsidRPr="00AD7452">
              <w:rPr>
                <w:b/>
                <w:bCs/>
                <w:sz w:val="30"/>
                <w:szCs w:val="30"/>
              </w:rPr>
              <w:t>2</w:t>
            </w:r>
            <w:r w:rsidR="004D1D50" w:rsidRPr="00AD7452">
              <w:rPr>
                <w:b/>
                <w:bCs/>
                <w:sz w:val="30"/>
                <w:szCs w:val="30"/>
              </w:rPr>
              <w:t>1</w:t>
            </w:r>
            <w:r w:rsidRPr="00AD7452">
              <w:rPr>
                <w:rFonts w:ascii="Verdana" w:hAnsi="Verdana"/>
                <w:b/>
                <w:bCs/>
                <w:sz w:val="26"/>
                <w:szCs w:val="26"/>
              </w:rPr>
              <w:br/>
            </w:r>
            <w:r w:rsidR="004D1D50" w:rsidRPr="00AD7452">
              <w:rPr>
                <w:b/>
                <w:bCs/>
                <w:sz w:val="28"/>
                <w:szCs w:val="28"/>
              </w:rPr>
              <w:t>Consultation virtuelle des Conseillers</w:t>
            </w:r>
            <w:r w:rsidRPr="00AD7452">
              <w:rPr>
                <w:b/>
                <w:bCs/>
                <w:sz w:val="28"/>
                <w:szCs w:val="28"/>
              </w:rPr>
              <w:t xml:space="preserve">, </w:t>
            </w:r>
            <w:r w:rsidR="004D1D50" w:rsidRPr="00AD7452">
              <w:rPr>
                <w:b/>
                <w:bCs/>
                <w:sz w:val="28"/>
                <w:szCs w:val="28"/>
              </w:rPr>
              <w:t>8</w:t>
            </w:r>
            <w:r w:rsidRPr="00AD7452">
              <w:rPr>
                <w:b/>
                <w:bCs/>
                <w:sz w:val="28"/>
                <w:szCs w:val="28"/>
              </w:rPr>
              <w:t>-</w:t>
            </w:r>
            <w:r w:rsidR="009C353C" w:rsidRPr="00AD7452">
              <w:rPr>
                <w:b/>
                <w:bCs/>
                <w:sz w:val="28"/>
                <w:szCs w:val="28"/>
              </w:rPr>
              <w:t>1</w:t>
            </w:r>
            <w:r w:rsidR="004D1D50" w:rsidRPr="00AD7452">
              <w:rPr>
                <w:b/>
                <w:bCs/>
                <w:sz w:val="28"/>
                <w:szCs w:val="28"/>
              </w:rPr>
              <w:t>8</w:t>
            </w:r>
            <w:r w:rsidR="00106B19" w:rsidRPr="00AD7452">
              <w:rPr>
                <w:b/>
                <w:bCs/>
                <w:sz w:val="28"/>
                <w:szCs w:val="28"/>
              </w:rPr>
              <w:t xml:space="preserve"> juin</w:t>
            </w:r>
            <w:r w:rsidRPr="00AD7452">
              <w:rPr>
                <w:b/>
                <w:bCs/>
                <w:sz w:val="28"/>
                <w:szCs w:val="28"/>
              </w:rPr>
              <w:t xml:space="preserve"> 20</w:t>
            </w:r>
            <w:r w:rsidR="009C353C" w:rsidRPr="00AD7452">
              <w:rPr>
                <w:b/>
                <w:bCs/>
                <w:sz w:val="28"/>
                <w:szCs w:val="28"/>
              </w:rPr>
              <w:t>2</w:t>
            </w:r>
            <w:r w:rsidR="004D1D50" w:rsidRPr="00AD7452">
              <w:rPr>
                <w:b/>
                <w:bCs/>
                <w:sz w:val="28"/>
                <w:szCs w:val="28"/>
              </w:rPr>
              <w:t>1</w:t>
            </w:r>
          </w:p>
        </w:tc>
        <w:tc>
          <w:tcPr>
            <w:tcW w:w="3261" w:type="dxa"/>
          </w:tcPr>
          <w:p w14:paraId="2B458C46" w14:textId="77777777" w:rsidR="00520F36" w:rsidRPr="00AD7452" w:rsidRDefault="009C353C" w:rsidP="0031797E">
            <w:pPr>
              <w:spacing w:before="0"/>
            </w:pPr>
            <w:bookmarkStart w:id="1" w:name="ditulogo"/>
            <w:bookmarkEnd w:id="1"/>
            <w:r w:rsidRPr="00AD7452">
              <w:rPr>
                <w:noProof/>
                <w:lang w:val="en-US"/>
              </w:rPr>
              <w:drawing>
                <wp:inline distT="0" distB="0" distL="0" distR="0" wp14:anchorId="3C36D7E3" wp14:editId="1F0503B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AD7452" w14:paraId="55B7113D" w14:textId="77777777" w:rsidTr="00B8207E">
        <w:trPr>
          <w:cantSplit/>
          <w:trHeight w:val="20"/>
        </w:trPr>
        <w:tc>
          <w:tcPr>
            <w:tcW w:w="6912" w:type="dxa"/>
            <w:tcBorders>
              <w:bottom w:val="single" w:sz="12" w:space="0" w:color="auto"/>
            </w:tcBorders>
            <w:vAlign w:val="center"/>
          </w:tcPr>
          <w:p w14:paraId="2BC0FA4A" w14:textId="77777777" w:rsidR="00520F36" w:rsidRPr="00AD7452" w:rsidRDefault="00520F36" w:rsidP="0031797E">
            <w:pPr>
              <w:spacing w:before="0"/>
              <w:rPr>
                <w:b/>
                <w:bCs/>
                <w:sz w:val="26"/>
                <w:szCs w:val="26"/>
              </w:rPr>
            </w:pPr>
          </w:p>
        </w:tc>
        <w:tc>
          <w:tcPr>
            <w:tcW w:w="3261" w:type="dxa"/>
            <w:tcBorders>
              <w:bottom w:val="single" w:sz="12" w:space="0" w:color="auto"/>
            </w:tcBorders>
          </w:tcPr>
          <w:p w14:paraId="254EA906" w14:textId="77777777" w:rsidR="00520F36" w:rsidRPr="00AD7452" w:rsidRDefault="00520F36" w:rsidP="0031797E">
            <w:pPr>
              <w:spacing w:before="0"/>
              <w:rPr>
                <w:b/>
                <w:bCs/>
              </w:rPr>
            </w:pPr>
          </w:p>
        </w:tc>
      </w:tr>
      <w:tr w:rsidR="00520F36" w:rsidRPr="00AD7452" w14:paraId="7019273D" w14:textId="77777777">
        <w:trPr>
          <w:cantSplit/>
          <w:trHeight w:val="20"/>
        </w:trPr>
        <w:tc>
          <w:tcPr>
            <w:tcW w:w="6912" w:type="dxa"/>
            <w:tcBorders>
              <w:top w:val="single" w:sz="12" w:space="0" w:color="auto"/>
            </w:tcBorders>
          </w:tcPr>
          <w:p w14:paraId="6B1D24A1" w14:textId="77777777" w:rsidR="00520F36" w:rsidRPr="00AD7452" w:rsidRDefault="00520F36" w:rsidP="0031797E">
            <w:pPr>
              <w:spacing w:before="0"/>
              <w:rPr>
                <w:smallCaps/>
                <w:sz w:val="22"/>
              </w:rPr>
            </w:pPr>
          </w:p>
        </w:tc>
        <w:tc>
          <w:tcPr>
            <w:tcW w:w="3261" w:type="dxa"/>
            <w:tcBorders>
              <w:top w:val="single" w:sz="12" w:space="0" w:color="auto"/>
            </w:tcBorders>
          </w:tcPr>
          <w:p w14:paraId="58131BAA" w14:textId="77777777" w:rsidR="00520F36" w:rsidRPr="00AD7452" w:rsidRDefault="00520F36" w:rsidP="0031797E">
            <w:pPr>
              <w:spacing w:before="0"/>
              <w:rPr>
                <w:b/>
                <w:bCs/>
              </w:rPr>
            </w:pPr>
          </w:p>
        </w:tc>
      </w:tr>
      <w:tr w:rsidR="00520F36" w:rsidRPr="00AD7452" w14:paraId="2648DD29" w14:textId="77777777">
        <w:trPr>
          <w:cantSplit/>
          <w:trHeight w:val="20"/>
        </w:trPr>
        <w:tc>
          <w:tcPr>
            <w:tcW w:w="6912" w:type="dxa"/>
            <w:vMerge w:val="restart"/>
          </w:tcPr>
          <w:p w14:paraId="1003513D" w14:textId="71C99469" w:rsidR="00520F36" w:rsidRPr="00AD7452" w:rsidRDefault="00D2172E" w:rsidP="0031797E">
            <w:pPr>
              <w:spacing w:before="0"/>
              <w:rPr>
                <w:rFonts w:cs="Times"/>
                <w:b/>
                <w:bCs/>
                <w:szCs w:val="24"/>
              </w:rPr>
            </w:pPr>
            <w:bookmarkStart w:id="2" w:name="dnum" w:colFirst="1" w:colLast="1"/>
            <w:bookmarkStart w:id="3" w:name="dmeeting" w:colFirst="0" w:colLast="0"/>
            <w:r w:rsidRPr="00AD7452">
              <w:rPr>
                <w:rFonts w:cs="Times"/>
                <w:b/>
                <w:bCs/>
                <w:szCs w:val="24"/>
              </w:rPr>
              <w:t>Point de l</w:t>
            </w:r>
            <w:r w:rsidR="00CD260D">
              <w:rPr>
                <w:rFonts w:cs="Times"/>
                <w:b/>
                <w:bCs/>
                <w:szCs w:val="24"/>
              </w:rPr>
              <w:t>'</w:t>
            </w:r>
            <w:r w:rsidRPr="00AD7452">
              <w:rPr>
                <w:rFonts w:cs="Times"/>
                <w:b/>
                <w:bCs/>
                <w:szCs w:val="24"/>
              </w:rPr>
              <w:t xml:space="preserve">ordre du </w:t>
            </w:r>
            <w:proofErr w:type="gramStart"/>
            <w:r w:rsidRPr="00AD7452">
              <w:rPr>
                <w:rFonts w:cs="Times"/>
                <w:b/>
                <w:bCs/>
                <w:szCs w:val="24"/>
              </w:rPr>
              <w:t>jour:</w:t>
            </w:r>
            <w:proofErr w:type="gramEnd"/>
            <w:r w:rsidRPr="00AD7452">
              <w:rPr>
                <w:rFonts w:cs="Times"/>
                <w:b/>
                <w:bCs/>
                <w:szCs w:val="24"/>
              </w:rPr>
              <w:t xml:space="preserve"> PL 1.3</w:t>
            </w:r>
          </w:p>
        </w:tc>
        <w:tc>
          <w:tcPr>
            <w:tcW w:w="3261" w:type="dxa"/>
          </w:tcPr>
          <w:p w14:paraId="6A505139" w14:textId="77777777" w:rsidR="00520F36" w:rsidRPr="00AD7452" w:rsidRDefault="00520F36" w:rsidP="0031797E">
            <w:pPr>
              <w:spacing w:before="0"/>
              <w:rPr>
                <w:b/>
                <w:bCs/>
              </w:rPr>
            </w:pPr>
            <w:r w:rsidRPr="00AD7452">
              <w:rPr>
                <w:b/>
                <w:bCs/>
              </w:rPr>
              <w:t>Document C</w:t>
            </w:r>
            <w:r w:rsidR="009C353C" w:rsidRPr="00AD7452">
              <w:rPr>
                <w:b/>
                <w:bCs/>
              </w:rPr>
              <w:t>2</w:t>
            </w:r>
            <w:r w:rsidR="004D1D50" w:rsidRPr="00AD7452">
              <w:rPr>
                <w:b/>
                <w:bCs/>
              </w:rPr>
              <w:t>1</w:t>
            </w:r>
            <w:r w:rsidRPr="00AD7452">
              <w:rPr>
                <w:b/>
                <w:bCs/>
              </w:rPr>
              <w:t>/</w:t>
            </w:r>
            <w:r w:rsidR="00D2172E" w:rsidRPr="00AD7452">
              <w:rPr>
                <w:b/>
                <w:bCs/>
              </w:rPr>
              <w:t>33</w:t>
            </w:r>
            <w:r w:rsidRPr="00AD7452">
              <w:rPr>
                <w:b/>
                <w:bCs/>
              </w:rPr>
              <w:t>-F</w:t>
            </w:r>
          </w:p>
        </w:tc>
      </w:tr>
      <w:tr w:rsidR="00520F36" w:rsidRPr="00AD7452" w14:paraId="3EE742C4" w14:textId="77777777">
        <w:trPr>
          <w:cantSplit/>
          <w:trHeight w:val="20"/>
        </w:trPr>
        <w:tc>
          <w:tcPr>
            <w:tcW w:w="6912" w:type="dxa"/>
            <w:vMerge/>
          </w:tcPr>
          <w:p w14:paraId="5459457C" w14:textId="77777777" w:rsidR="00520F36" w:rsidRPr="00AD7452" w:rsidRDefault="00520F36" w:rsidP="0031797E">
            <w:pPr>
              <w:shd w:val="solid" w:color="FFFFFF" w:fill="FFFFFF"/>
              <w:spacing w:before="180"/>
              <w:rPr>
                <w:smallCaps/>
              </w:rPr>
            </w:pPr>
            <w:bookmarkStart w:id="4" w:name="ddate" w:colFirst="1" w:colLast="1"/>
            <w:bookmarkEnd w:id="2"/>
            <w:bookmarkEnd w:id="3"/>
          </w:p>
        </w:tc>
        <w:tc>
          <w:tcPr>
            <w:tcW w:w="3261" w:type="dxa"/>
          </w:tcPr>
          <w:p w14:paraId="7FCB8CD8" w14:textId="77777777" w:rsidR="00520F36" w:rsidRPr="00AD7452" w:rsidRDefault="00D2172E" w:rsidP="0031797E">
            <w:pPr>
              <w:spacing w:before="0"/>
              <w:rPr>
                <w:b/>
                <w:bCs/>
              </w:rPr>
            </w:pPr>
            <w:r w:rsidRPr="00AD7452">
              <w:rPr>
                <w:b/>
                <w:bCs/>
              </w:rPr>
              <w:t>7 avril</w:t>
            </w:r>
            <w:r w:rsidR="00520F36" w:rsidRPr="00AD7452">
              <w:rPr>
                <w:b/>
                <w:bCs/>
              </w:rPr>
              <w:t xml:space="preserve"> 20</w:t>
            </w:r>
            <w:r w:rsidR="009C353C" w:rsidRPr="00AD7452">
              <w:rPr>
                <w:b/>
                <w:bCs/>
              </w:rPr>
              <w:t>2</w:t>
            </w:r>
            <w:r w:rsidR="0097363B" w:rsidRPr="00AD7452">
              <w:rPr>
                <w:b/>
                <w:bCs/>
              </w:rPr>
              <w:t>1</w:t>
            </w:r>
          </w:p>
        </w:tc>
      </w:tr>
      <w:tr w:rsidR="00520F36" w:rsidRPr="00AD7452" w14:paraId="74C400BF" w14:textId="77777777">
        <w:trPr>
          <w:cantSplit/>
          <w:trHeight w:val="20"/>
        </w:trPr>
        <w:tc>
          <w:tcPr>
            <w:tcW w:w="6912" w:type="dxa"/>
            <w:vMerge/>
          </w:tcPr>
          <w:p w14:paraId="48F91C44" w14:textId="77777777" w:rsidR="00520F36" w:rsidRPr="00AD7452" w:rsidRDefault="00520F36" w:rsidP="0031797E">
            <w:pPr>
              <w:shd w:val="solid" w:color="FFFFFF" w:fill="FFFFFF"/>
              <w:spacing w:before="180"/>
              <w:rPr>
                <w:smallCaps/>
              </w:rPr>
            </w:pPr>
            <w:bookmarkStart w:id="5" w:name="dorlang" w:colFirst="1" w:colLast="1"/>
            <w:bookmarkEnd w:id="4"/>
          </w:p>
        </w:tc>
        <w:tc>
          <w:tcPr>
            <w:tcW w:w="3261" w:type="dxa"/>
          </w:tcPr>
          <w:p w14:paraId="17BE25FC" w14:textId="77777777" w:rsidR="00520F36" w:rsidRPr="00AD7452" w:rsidRDefault="00520F36" w:rsidP="0031797E">
            <w:pPr>
              <w:spacing w:before="0"/>
              <w:rPr>
                <w:b/>
                <w:bCs/>
              </w:rPr>
            </w:pPr>
            <w:proofErr w:type="gramStart"/>
            <w:r w:rsidRPr="00AD7452">
              <w:rPr>
                <w:b/>
                <w:bCs/>
              </w:rPr>
              <w:t>Original:</w:t>
            </w:r>
            <w:proofErr w:type="gramEnd"/>
            <w:r w:rsidRPr="00AD7452">
              <w:rPr>
                <w:b/>
                <w:bCs/>
              </w:rPr>
              <w:t xml:space="preserve"> anglais</w:t>
            </w:r>
          </w:p>
        </w:tc>
      </w:tr>
      <w:tr w:rsidR="00520F36" w:rsidRPr="00AD7452" w14:paraId="0730A782" w14:textId="77777777">
        <w:trPr>
          <w:cantSplit/>
        </w:trPr>
        <w:tc>
          <w:tcPr>
            <w:tcW w:w="10173" w:type="dxa"/>
            <w:gridSpan w:val="2"/>
          </w:tcPr>
          <w:p w14:paraId="1E5D952D" w14:textId="77777777" w:rsidR="00520F36" w:rsidRPr="00AD7452" w:rsidRDefault="00D2172E" w:rsidP="0031797E">
            <w:pPr>
              <w:pStyle w:val="Source"/>
            </w:pPr>
            <w:bookmarkStart w:id="6" w:name="dsource" w:colFirst="0" w:colLast="0"/>
            <w:bookmarkEnd w:id="5"/>
            <w:r w:rsidRPr="00AD7452">
              <w:t>Rapport du Secrétaire général</w:t>
            </w:r>
          </w:p>
        </w:tc>
      </w:tr>
      <w:tr w:rsidR="00520F36" w:rsidRPr="00AD7452" w14:paraId="65B4C55D" w14:textId="77777777">
        <w:trPr>
          <w:cantSplit/>
        </w:trPr>
        <w:tc>
          <w:tcPr>
            <w:tcW w:w="10173" w:type="dxa"/>
            <w:gridSpan w:val="2"/>
          </w:tcPr>
          <w:p w14:paraId="7096D6A1" w14:textId="2620CF99" w:rsidR="00520F36" w:rsidRPr="00AD7452" w:rsidRDefault="00D2172E" w:rsidP="0031797E">
            <w:pPr>
              <w:pStyle w:val="Title1"/>
            </w:pPr>
            <w:bookmarkStart w:id="7" w:name="dtitle1" w:colFirst="0" w:colLast="0"/>
            <w:bookmarkEnd w:id="6"/>
            <w:r w:rsidRPr="00AD7452">
              <w:t>ACTIVITÉS DE L</w:t>
            </w:r>
            <w:r w:rsidR="00CD260D">
              <w:t>'</w:t>
            </w:r>
            <w:r w:rsidRPr="00AD7452">
              <w:t xml:space="preserve">UIT RELATIVES À </w:t>
            </w:r>
            <w:proofErr w:type="gramStart"/>
            <w:r w:rsidRPr="00AD7452">
              <w:t>L</w:t>
            </w:r>
            <w:r w:rsidR="00CD260D">
              <w:t>'</w:t>
            </w:r>
            <w:r w:rsidRPr="00AD7452">
              <w:t>INTERNET:</w:t>
            </w:r>
            <w:proofErr w:type="gramEnd"/>
            <w:r w:rsidRPr="00AD7452">
              <w:t xml:space="preserve"> </w:t>
            </w:r>
            <w:r w:rsidRPr="00AD7452">
              <w:br/>
              <w:t>RÉSOLUTIONS 101, 102, 133, 180 et 206</w:t>
            </w:r>
          </w:p>
        </w:tc>
      </w:tr>
      <w:bookmarkEnd w:id="7"/>
    </w:tbl>
    <w:p w14:paraId="630469C2" w14:textId="77777777" w:rsidR="00D2172E" w:rsidRPr="00AD7452" w:rsidRDefault="00D2172E" w:rsidP="0031797E"/>
    <w:tbl>
      <w:tblPr>
        <w:tblW w:w="907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D2172E" w:rsidRPr="00AD7452" w14:paraId="6BFDC433" w14:textId="77777777" w:rsidTr="00D2172E">
        <w:trPr>
          <w:trHeight w:val="3372"/>
        </w:trPr>
        <w:tc>
          <w:tcPr>
            <w:tcW w:w="9072" w:type="dxa"/>
            <w:tcBorders>
              <w:top w:val="single" w:sz="12" w:space="0" w:color="auto"/>
              <w:left w:val="single" w:sz="12" w:space="0" w:color="auto"/>
              <w:bottom w:val="single" w:sz="12" w:space="0" w:color="auto"/>
              <w:right w:val="single" w:sz="12" w:space="0" w:color="auto"/>
            </w:tcBorders>
            <w:hideMark/>
          </w:tcPr>
          <w:p w14:paraId="3B5A23AC" w14:textId="77777777" w:rsidR="00D2172E" w:rsidRPr="00AD7452" w:rsidRDefault="00D2172E" w:rsidP="0031797E">
            <w:pPr>
              <w:pStyle w:val="Headingb"/>
              <w:keepNext w:val="0"/>
              <w:keepLines w:val="0"/>
              <w:rPr>
                <w:szCs w:val="24"/>
                <w:lang w:eastAsia="zh-CN"/>
              </w:rPr>
            </w:pPr>
            <w:r w:rsidRPr="00AD7452">
              <w:rPr>
                <w:szCs w:val="24"/>
                <w:lang w:eastAsia="zh-CN"/>
              </w:rPr>
              <w:t>Résumé</w:t>
            </w:r>
          </w:p>
          <w:p w14:paraId="0C17626B" w14:textId="2E8A36BA" w:rsidR="00D2172E" w:rsidRPr="00AD7452" w:rsidRDefault="00D2172E" w:rsidP="0031797E">
            <w:pPr>
              <w:spacing w:before="60"/>
              <w:rPr>
                <w:szCs w:val="24"/>
                <w:lang w:eastAsia="zh-CN"/>
              </w:rPr>
            </w:pPr>
            <w:r w:rsidRPr="00AD7452">
              <w:rPr>
                <w:szCs w:val="24"/>
                <w:lang w:eastAsia="zh-CN"/>
              </w:rPr>
              <w:t>Le présent rapport est une synthèse des activités de l</w:t>
            </w:r>
            <w:r w:rsidR="00CD260D">
              <w:rPr>
                <w:szCs w:val="24"/>
                <w:lang w:eastAsia="zh-CN"/>
              </w:rPr>
              <w:t>'</w:t>
            </w:r>
            <w:r w:rsidRPr="00AD7452">
              <w:rPr>
                <w:szCs w:val="24"/>
                <w:lang w:eastAsia="zh-CN"/>
              </w:rPr>
              <w:t>UIT relatives à la Résolution 101 (Rév. Dubaï, 2018) "</w:t>
            </w:r>
            <w:r w:rsidRPr="00AD7452">
              <w:rPr>
                <w:i/>
                <w:iCs/>
                <w:szCs w:val="24"/>
                <w:lang w:eastAsia="zh-CN"/>
              </w:rPr>
              <w:t>Réseaux fondés sur le protocole Internet</w:t>
            </w:r>
            <w:r w:rsidRPr="00AD7452">
              <w:rPr>
                <w:szCs w:val="24"/>
                <w:lang w:eastAsia="zh-CN"/>
              </w:rPr>
              <w:t xml:space="preserve">", à </w:t>
            </w:r>
            <w:r w:rsidR="00183CD6" w:rsidRPr="00AD7452">
              <w:rPr>
                <w:szCs w:val="24"/>
                <w:lang w:eastAsia="zh-CN"/>
              </w:rPr>
              <w:t>la Résolution 102 (Rév. </w:t>
            </w:r>
            <w:r w:rsidRPr="00AD7452">
              <w:rPr>
                <w:szCs w:val="24"/>
                <w:lang w:eastAsia="zh-CN"/>
              </w:rPr>
              <w:t>Dubaï, 2018) "</w:t>
            </w:r>
            <w:r w:rsidRPr="00AD7452">
              <w:rPr>
                <w:i/>
                <w:iCs/>
                <w:szCs w:val="24"/>
                <w:lang w:eastAsia="zh-CN"/>
              </w:rPr>
              <w:t>Rôle de l</w:t>
            </w:r>
            <w:r w:rsidR="00CD260D">
              <w:rPr>
                <w:i/>
                <w:iCs/>
                <w:szCs w:val="24"/>
                <w:lang w:eastAsia="zh-CN"/>
              </w:rPr>
              <w:t>'</w:t>
            </w:r>
            <w:r w:rsidRPr="00AD7452">
              <w:rPr>
                <w:i/>
                <w:iCs/>
                <w:szCs w:val="24"/>
                <w:lang w:eastAsia="zh-CN"/>
              </w:rPr>
              <w:t>UIT concernant les questions de politiques publiques internationales ayant trait à l</w:t>
            </w:r>
            <w:r w:rsidR="00CD260D">
              <w:rPr>
                <w:i/>
                <w:iCs/>
                <w:szCs w:val="24"/>
                <w:lang w:eastAsia="zh-CN"/>
              </w:rPr>
              <w:t>'</w:t>
            </w:r>
            <w:r w:rsidRPr="00AD7452">
              <w:rPr>
                <w:i/>
                <w:iCs/>
                <w:szCs w:val="24"/>
                <w:lang w:eastAsia="zh-CN"/>
              </w:rPr>
              <w:t>Internet et à la gestion des ressources de l</w:t>
            </w:r>
            <w:r w:rsidR="00CD260D">
              <w:rPr>
                <w:i/>
                <w:iCs/>
                <w:szCs w:val="24"/>
                <w:lang w:eastAsia="zh-CN"/>
              </w:rPr>
              <w:t>'</w:t>
            </w:r>
            <w:r w:rsidRPr="00AD7452">
              <w:rPr>
                <w:i/>
                <w:iCs/>
                <w:szCs w:val="24"/>
                <w:lang w:eastAsia="zh-CN"/>
              </w:rPr>
              <w:t>Internet, y compris les noms de domaine et les adresses</w:t>
            </w:r>
            <w:r w:rsidRPr="00AD7452">
              <w:rPr>
                <w:szCs w:val="24"/>
                <w:lang w:eastAsia="zh-CN"/>
              </w:rPr>
              <w:t>", à la Résolution 133 (Rév. Dubaï, 2018) "</w:t>
            </w:r>
            <w:r w:rsidRPr="00AD7452">
              <w:rPr>
                <w:i/>
                <w:iCs/>
                <w:szCs w:val="24"/>
                <w:lang w:eastAsia="zh-CN"/>
              </w:rPr>
              <w:t>Rôle des administrations des États Membres dans la gestion de noms de domaine (multilingues) internationalisés</w:t>
            </w:r>
            <w:r w:rsidRPr="00AD7452">
              <w:rPr>
                <w:szCs w:val="24"/>
                <w:lang w:eastAsia="zh-CN"/>
              </w:rPr>
              <w:t>", à la Résolution 180 (Rév. Dubaï, 2018) "</w:t>
            </w:r>
            <w:r w:rsidRPr="00AD7452">
              <w:rPr>
                <w:bCs/>
                <w:i/>
                <w:iCs/>
                <w:szCs w:val="24"/>
                <w:lang w:eastAsia="zh-CN"/>
              </w:rPr>
              <w:t>Faciliter le passage du protocole IPv4 au protocole IPv6</w:t>
            </w:r>
            <w:r w:rsidRPr="00AD7452">
              <w:rPr>
                <w:bCs/>
                <w:szCs w:val="24"/>
                <w:lang w:eastAsia="zh-CN"/>
              </w:rPr>
              <w:t>" et à la Résolution 206 (Dubaï, 2018) "</w:t>
            </w:r>
            <w:r w:rsidRPr="00AD7452">
              <w:rPr>
                <w:bCs/>
                <w:i/>
                <w:iCs/>
                <w:szCs w:val="24"/>
                <w:lang w:eastAsia="zh-CN"/>
              </w:rPr>
              <w:t>OTT</w:t>
            </w:r>
            <w:r w:rsidRPr="00AD7452">
              <w:rPr>
                <w:bCs/>
                <w:szCs w:val="24"/>
                <w:lang w:eastAsia="zh-CN"/>
              </w:rPr>
              <w:t xml:space="preserve">" </w:t>
            </w:r>
            <w:r w:rsidRPr="00AD7452">
              <w:rPr>
                <w:szCs w:val="24"/>
                <w:lang w:eastAsia="zh-CN"/>
              </w:rPr>
              <w:t>de la Conférence de plénipotentiaires.</w:t>
            </w:r>
          </w:p>
          <w:p w14:paraId="782749AE" w14:textId="62448E60" w:rsidR="00D2172E" w:rsidRPr="00AD7452" w:rsidRDefault="00023ADA" w:rsidP="0031797E">
            <w:pPr>
              <w:spacing w:before="60"/>
              <w:rPr>
                <w:szCs w:val="24"/>
                <w:lang w:eastAsia="zh-CN"/>
              </w:rPr>
            </w:pPr>
            <w:r w:rsidRPr="00AD7452">
              <w:rPr>
                <w:szCs w:val="24"/>
                <w:lang w:eastAsia="zh-CN"/>
              </w:rPr>
              <w:t xml:space="preserve">La version </w:t>
            </w:r>
            <w:r w:rsidR="00C3640A" w:rsidRPr="00AD7452">
              <w:rPr>
                <w:szCs w:val="24"/>
                <w:lang w:eastAsia="zh-CN"/>
              </w:rPr>
              <w:t xml:space="preserve">de </w:t>
            </w:r>
            <w:r w:rsidRPr="00AD7452">
              <w:rPr>
                <w:szCs w:val="24"/>
                <w:lang w:eastAsia="zh-CN"/>
              </w:rPr>
              <w:t>2020</w:t>
            </w:r>
            <w:r w:rsidR="00D2172E" w:rsidRPr="00AD7452">
              <w:rPr>
                <w:szCs w:val="24"/>
                <w:lang w:eastAsia="zh-CN"/>
              </w:rPr>
              <w:t xml:space="preserve"> </w:t>
            </w:r>
            <w:r w:rsidRPr="00AD7452">
              <w:rPr>
                <w:szCs w:val="24"/>
                <w:lang w:eastAsia="zh-CN"/>
              </w:rPr>
              <w:t>du présent rapport (</w:t>
            </w:r>
            <w:r w:rsidR="00BC2DD0" w:rsidRPr="00AD7452">
              <w:rPr>
                <w:szCs w:val="24"/>
                <w:lang w:eastAsia="zh-CN"/>
              </w:rPr>
              <w:t xml:space="preserve">Document </w:t>
            </w:r>
            <w:r w:rsidR="00D2172E" w:rsidRPr="00AD7452">
              <w:rPr>
                <w:szCs w:val="24"/>
                <w:lang w:eastAsia="zh-CN"/>
              </w:rPr>
              <w:t xml:space="preserve">C20/33) </w:t>
            </w:r>
            <w:r w:rsidRPr="00AD7452">
              <w:rPr>
                <w:szCs w:val="24"/>
                <w:lang w:eastAsia="zh-CN"/>
              </w:rPr>
              <w:t>a initialement été élaborée</w:t>
            </w:r>
            <w:r w:rsidR="00D2172E" w:rsidRPr="00AD7452">
              <w:rPr>
                <w:szCs w:val="24"/>
                <w:lang w:eastAsia="zh-CN"/>
              </w:rPr>
              <w:t xml:space="preserve"> </w:t>
            </w:r>
            <w:r w:rsidRPr="00AD7452">
              <w:rPr>
                <w:szCs w:val="24"/>
                <w:lang w:eastAsia="zh-CN"/>
              </w:rPr>
              <w:t>pour soumission à la session de 2020 du Conseil, mais elle n</w:t>
            </w:r>
            <w:r w:rsidR="00CD260D">
              <w:rPr>
                <w:szCs w:val="24"/>
                <w:lang w:eastAsia="zh-CN"/>
              </w:rPr>
              <w:t>'</w:t>
            </w:r>
            <w:r w:rsidRPr="00AD7452">
              <w:rPr>
                <w:szCs w:val="24"/>
                <w:lang w:eastAsia="zh-CN"/>
              </w:rPr>
              <w:t>a pas été examinée</w:t>
            </w:r>
            <w:r w:rsidR="00D2172E" w:rsidRPr="00AD7452">
              <w:rPr>
                <w:szCs w:val="24"/>
                <w:lang w:eastAsia="zh-CN"/>
              </w:rPr>
              <w:t>.</w:t>
            </w:r>
          </w:p>
          <w:p w14:paraId="16429BDD" w14:textId="77777777" w:rsidR="00D2172E" w:rsidRPr="00AD7452" w:rsidRDefault="00D2172E" w:rsidP="0031797E">
            <w:pPr>
              <w:pStyle w:val="Headingb"/>
              <w:keepNext w:val="0"/>
              <w:keepLines w:val="0"/>
              <w:rPr>
                <w:szCs w:val="24"/>
                <w:lang w:eastAsia="zh-CN"/>
              </w:rPr>
            </w:pPr>
            <w:proofErr w:type="gramStart"/>
            <w:r w:rsidRPr="00AD7452">
              <w:rPr>
                <w:szCs w:val="24"/>
                <w:lang w:eastAsia="zh-CN"/>
              </w:rPr>
              <w:t>Suite à</w:t>
            </w:r>
            <w:proofErr w:type="gramEnd"/>
            <w:r w:rsidRPr="00AD7452">
              <w:rPr>
                <w:szCs w:val="24"/>
                <w:lang w:eastAsia="zh-CN"/>
              </w:rPr>
              <w:t xml:space="preserve"> donner</w:t>
            </w:r>
          </w:p>
          <w:p w14:paraId="1462264F" w14:textId="54CBA01B" w:rsidR="00D2172E" w:rsidRPr="00AD7452" w:rsidRDefault="00D2172E" w:rsidP="0031797E">
            <w:pPr>
              <w:spacing w:before="60"/>
              <w:rPr>
                <w:szCs w:val="24"/>
                <w:lang w:eastAsia="zh-CN"/>
              </w:rPr>
            </w:pPr>
            <w:r w:rsidRPr="00AD7452">
              <w:rPr>
                <w:szCs w:val="24"/>
                <w:lang w:eastAsia="zh-CN"/>
              </w:rPr>
              <w:t xml:space="preserve">Le Conseil est invité à </w:t>
            </w:r>
            <w:r w:rsidRPr="00AD7452">
              <w:rPr>
                <w:b/>
                <w:bCs/>
                <w:szCs w:val="24"/>
                <w:lang w:eastAsia="zh-CN"/>
              </w:rPr>
              <w:t>prendre note</w:t>
            </w:r>
            <w:r w:rsidRPr="00AD7452">
              <w:rPr>
                <w:szCs w:val="24"/>
                <w:lang w:eastAsia="zh-CN"/>
              </w:rPr>
              <w:t xml:space="preserve"> du présent rapport,</w:t>
            </w:r>
            <w:r w:rsidRPr="00AD7452">
              <w:rPr>
                <w:szCs w:val="24"/>
              </w:rPr>
              <w:t xml:space="preserve"> </w:t>
            </w:r>
            <w:r w:rsidR="00023ADA" w:rsidRPr="00AD7452">
              <w:rPr>
                <w:szCs w:val="24"/>
                <w:lang w:eastAsia="zh-CN"/>
              </w:rPr>
              <w:t>ainsi que du</w:t>
            </w:r>
            <w:r w:rsidRPr="00AD7452">
              <w:rPr>
                <w:szCs w:val="24"/>
                <w:lang w:eastAsia="zh-CN"/>
              </w:rPr>
              <w:t xml:space="preserve"> Document </w:t>
            </w:r>
            <w:hyperlink r:id="rId7" w:history="1">
              <w:r w:rsidRPr="00AD7452">
                <w:rPr>
                  <w:rStyle w:val="Hyperlink"/>
                  <w:szCs w:val="24"/>
                  <w:lang w:eastAsia="zh-CN"/>
                </w:rPr>
                <w:t>C20/33</w:t>
              </w:r>
            </w:hyperlink>
            <w:r w:rsidRPr="00AD7452">
              <w:rPr>
                <w:szCs w:val="24"/>
                <w:lang w:eastAsia="zh-CN"/>
              </w:rPr>
              <w:t xml:space="preserve">. Il est également invité à </w:t>
            </w:r>
            <w:r w:rsidRPr="00AD7452">
              <w:rPr>
                <w:b/>
                <w:bCs/>
                <w:szCs w:val="24"/>
                <w:lang w:eastAsia="zh-CN"/>
              </w:rPr>
              <w:t>approuver</w:t>
            </w:r>
            <w:r w:rsidRPr="00AD7452">
              <w:rPr>
                <w:szCs w:val="24"/>
                <w:lang w:eastAsia="zh-CN"/>
              </w:rPr>
              <w:t xml:space="preserve"> la transmission </w:t>
            </w:r>
            <w:r w:rsidR="00023ADA" w:rsidRPr="00AD7452">
              <w:rPr>
                <w:szCs w:val="24"/>
                <w:lang w:eastAsia="zh-CN"/>
              </w:rPr>
              <w:t>des</w:t>
            </w:r>
            <w:r w:rsidRPr="00AD7452">
              <w:rPr>
                <w:szCs w:val="24"/>
                <w:lang w:eastAsia="zh-CN"/>
              </w:rPr>
              <w:t xml:space="preserve"> rapport</w:t>
            </w:r>
            <w:r w:rsidR="00023ADA" w:rsidRPr="00AD7452">
              <w:rPr>
                <w:szCs w:val="24"/>
                <w:lang w:eastAsia="zh-CN"/>
              </w:rPr>
              <w:t>s</w:t>
            </w:r>
            <w:r w:rsidRPr="00AD7452">
              <w:rPr>
                <w:szCs w:val="24"/>
                <w:lang w:eastAsia="zh-CN"/>
              </w:rPr>
              <w:t>, ainsi que de la compilation des points de vue d</w:t>
            </w:r>
            <w:r w:rsidR="00CD260D">
              <w:rPr>
                <w:szCs w:val="24"/>
                <w:lang w:eastAsia="zh-CN"/>
              </w:rPr>
              <w:t>'</w:t>
            </w:r>
            <w:r w:rsidRPr="00AD7452">
              <w:rPr>
                <w:szCs w:val="24"/>
                <w:lang w:eastAsia="zh-CN"/>
              </w:rPr>
              <w:t>États Membres du Conseil, des comptes rendus connexes et de la note de couverture, au Secrétaire général de l</w:t>
            </w:r>
            <w:r w:rsidR="00CD260D">
              <w:rPr>
                <w:szCs w:val="24"/>
                <w:lang w:eastAsia="zh-CN"/>
              </w:rPr>
              <w:t>'</w:t>
            </w:r>
            <w:r w:rsidRPr="00AD7452">
              <w:rPr>
                <w:szCs w:val="24"/>
                <w:lang w:eastAsia="zh-CN"/>
              </w:rPr>
              <w:t>Organisation des Nations Unies.</w:t>
            </w:r>
          </w:p>
          <w:p w14:paraId="146460F2" w14:textId="77777777" w:rsidR="00D2172E" w:rsidRPr="00AD7452" w:rsidRDefault="00D2172E" w:rsidP="0031797E">
            <w:pPr>
              <w:pStyle w:val="Table"/>
              <w:keepNext w:val="0"/>
              <w:spacing w:before="0" w:after="0"/>
              <w:rPr>
                <w:rFonts w:ascii="Calibri" w:hAnsi="Calibri"/>
                <w:caps w:val="0"/>
                <w:szCs w:val="24"/>
                <w:lang w:val="fr-FR" w:eastAsia="zh-CN"/>
              </w:rPr>
            </w:pPr>
            <w:r w:rsidRPr="00AD7452">
              <w:rPr>
                <w:rFonts w:ascii="Calibri" w:hAnsi="Calibri"/>
                <w:caps w:val="0"/>
                <w:szCs w:val="24"/>
                <w:lang w:val="fr-FR" w:eastAsia="zh-CN"/>
              </w:rPr>
              <w:t>____________</w:t>
            </w:r>
          </w:p>
          <w:p w14:paraId="69E7D8E3" w14:textId="77777777" w:rsidR="00D2172E" w:rsidRPr="00AD7452" w:rsidRDefault="00D2172E" w:rsidP="0031797E">
            <w:pPr>
              <w:pStyle w:val="Headingb"/>
              <w:keepNext w:val="0"/>
              <w:keepLines w:val="0"/>
              <w:rPr>
                <w:szCs w:val="24"/>
                <w:lang w:eastAsia="zh-CN"/>
              </w:rPr>
            </w:pPr>
            <w:r w:rsidRPr="00AD7452">
              <w:rPr>
                <w:szCs w:val="24"/>
                <w:lang w:eastAsia="zh-CN"/>
              </w:rPr>
              <w:t>Références</w:t>
            </w:r>
          </w:p>
          <w:p w14:paraId="7E786669" w14:textId="20C74569" w:rsidR="00D2172E" w:rsidRPr="00AD7452" w:rsidRDefault="00D2172E" w:rsidP="0031797E">
            <w:pPr>
              <w:spacing w:after="120"/>
              <w:rPr>
                <w:i/>
                <w:iCs/>
                <w:szCs w:val="24"/>
                <w:lang w:eastAsia="zh-CN"/>
              </w:rPr>
            </w:pPr>
            <w:r w:rsidRPr="00AD7452">
              <w:rPr>
                <w:i/>
                <w:iCs/>
                <w:szCs w:val="24"/>
                <w:lang w:eastAsia="zh-CN"/>
              </w:rPr>
              <w:t xml:space="preserve">Résolutions </w:t>
            </w:r>
            <w:hyperlink r:id="rId8" w:history="1">
              <w:r w:rsidRPr="00AD7452">
                <w:rPr>
                  <w:rStyle w:val="Hyperlink"/>
                  <w:i/>
                  <w:iCs/>
                  <w:szCs w:val="24"/>
                  <w:lang w:eastAsia="zh-CN"/>
                </w:rPr>
                <w:t>101</w:t>
              </w:r>
            </w:hyperlink>
            <w:r w:rsidRPr="00AD7452">
              <w:rPr>
                <w:i/>
                <w:iCs/>
                <w:szCs w:val="24"/>
                <w:lang w:eastAsia="zh-CN"/>
              </w:rPr>
              <w:t xml:space="preserve">, </w:t>
            </w:r>
            <w:hyperlink r:id="rId9" w:history="1">
              <w:r w:rsidRPr="00AD7452">
                <w:rPr>
                  <w:rStyle w:val="Hyperlink"/>
                  <w:i/>
                  <w:iCs/>
                  <w:szCs w:val="24"/>
                  <w:lang w:eastAsia="zh-CN"/>
                </w:rPr>
                <w:t>102</w:t>
              </w:r>
            </w:hyperlink>
            <w:r w:rsidRPr="00AD7452">
              <w:rPr>
                <w:i/>
                <w:iCs/>
                <w:szCs w:val="24"/>
                <w:lang w:eastAsia="zh-CN"/>
              </w:rPr>
              <w:t xml:space="preserve">, </w:t>
            </w:r>
            <w:hyperlink r:id="rId10" w:history="1">
              <w:r w:rsidRPr="00AD7452">
                <w:rPr>
                  <w:rStyle w:val="Hyperlink"/>
                  <w:i/>
                  <w:iCs/>
                  <w:szCs w:val="24"/>
                  <w:lang w:eastAsia="zh-CN"/>
                </w:rPr>
                <w:t>133</w:t>
              </w:r>
            </w:hyperlink>
            <w:r w:rsidRPr="00AD7452">
              <w:rPr>
                <w:i/>
                <w:iCs/>
                <w:szCs w:val="24"/>
                <w:lang w:eastAsia="zh-CN"/>
              </w:rPr>
              <w:t xml:space="preserve">, </w:t>
            </w:r>
            <w:hyperlink r:id="rId11" w:history="1">
              <w:r w:rsidRPr="00AD7452">
                <w:rPr>
                  <w:rStyle w:val="Hyperlink"/>
                  <w:i/>
                  <w:iCs/>
                  <w:szCs w:val="24"/>
                  <w:lang w:eastAsia="zh-CN"/>
                </w:rPr>
                <w:t>180</w:t>
              </w:r>
            </w:hyperlink>
            <w:r w:rsidRPr="00AD7452">
              <w:rPr>
                <w:i/>
                <w:iCs/>
                <w:szCs w:val="24"/>
                <w:lang w:eastAsia="zh-CN"/>
              </w:rPr>
              <w:t xml:space="preserve"> (Rév. Dubaï, 2018), </w:t>
            </w:r>
            <w:hyperlink r:id="rId12" w:history="1">
              <w:r w:rsidRPr="00AD7452">
                <w:rPr>
                  <w:rStyle w:val="Hyperlink"/>
                  <w:i/>
                  <w:iCs/>
                  <w:szCs w:val="24"/>
                  <w:lang w:eastAsia="zh-CN"/>
                </w:rPr>
                <w:t>206</w:t>
              </w:r>
            </w:hyperlink>
            <w:r w:rsidRPr="00AD7452">
              <w:rPr>
                <w:i/>
                <w:iCs/>
                <w:szCs w:val="24"/>
                <w:lang w:eastAsia="zh-CN"/>
              </w:rPr>
              <w:t xml:space="preserve"> (Dubaï, 2018) de la Conférence de plénipotentiaires; Résolutions </w:t>
            </w:r>
            <w:hyperlink r:id="rId13" w:history="1">
              <w:r w:rsidRPr="00AD7452">
                <w:rPr>
                  <w:rStyle w:val="Hyperlink"/>
                  <w:i/>
                  <w:iCs/>
                  <w:szCs w:val="24"/>
                  <w:lang w:eastAsia="zh-CN"/>
                </w:rPr>
                <w:t>1305</w:t>
              </w:r>
            </w:hyperlink>
            <w:r w:rsidRPr="00AD7452">
              <w:rPr>
                <w:i/>
                <w:iCs/>
                <w:szCs w:val="24"/>
                <w:lang w:eastAsia="zh-CN"/>
              </w:rPr>
              <w:t xml:space="preserve">, </w:t>
            </w:r>
            <w:hyperlink r:id="rId14" w:history="1">
              <w:r w:rsidRPr="00AD7452">
                <w:rPr>
                  <w:rStyle w:val="Hyperlink"/>
                  <w:i/>
                  <w:iCs/>
                  <w:szCs w:val="24"/>
                  <w:lang w:eastAsia="zh-CN"/>
                </w:rPr>
                <w:t>1336</w:t>
              </w:r>
            </w:hyperlink>
            <w:r w:rsidRPr="00AD7452">
              <w:rPr>
                <w:i/>
                <w:iCs/>
                <w:szCs w:val="24"/>
                <w:lang w:eastAsia="zh-CN"/>
              </w:rPr>
              <w:t xml:space="preserve">, </w:t>
            </w:r>
            <w:hyperlink r:id="rId15" w:history="1">
              <w:r w:rsidRPr="00AD7452">
                <w:rPr>
                  <w:rStyle w:val="Hyperlink"/>
                  <w:i/>
                  <w:iCs/>
                  <w:szCs w:val="24"/>
                  <w:lang w:eastAsia="zh-CN"/>
                </w:rPr>
                <w:t>1344</w:t>
              </w:r>
            </w:hyperlink>
            <w:r w:rsidRPr="00AD7452">
              <w:rPr>
                <w:i/>
                <w:iCs/>
                <w:szCs w:val="24"/>
                <w:lang w:eastAsia="zh-CN"/>
              </w:rPr>
              <w:t xml:space="preserve"> du Conseil; Résolutions </w:t>
            </w:r>
            <w:hyperlink r:id="rId16" w:history="1">
              <w:r w:rsidRPr="00AD7452">
                <w:rPr>
                  <w:rStyle w:val="Hyperlink"/>
                  <w:i/>
                  <w:iCs/>
                  <w:szCs w:val="24"/>
                  <w:lang w:eastAsia="zh-CN"/>
                </w:rPr>
                <w:t>47</w:t>
              </w:r>
            </w:hyperlink>
            <w:r w:rsidRPr="00AD7452">
              <w:rPr>
                <w:i/>
                <w:iCs/>
                <w:szCs w:val="24"/>
                <w:lang w:eastAsia="zh-CN"/>
              </w:rPr>
              <w:t xml:space="preserve">, </w:t>
            </w:r>
            <w:hyperlink r:id="rId17" w:history="1">
              <w:r w:rsidRPr="00AD7452">
                <w:rPr>
                  <w:rStyle w:val="Hyperlink"/>
                  <w:i/>
                  <w:iCs/>
                  <w:szCs w:val="24"/>
                  <w:lang w:eastAsia="zh-CN"/>
                </w:rPr>
                <w:t>48</w:t>
              </w:r>
            </w:hyperlink>
            <w:r w:rsidRPr="00AD7452">
              <w:rPr>
                <w:i/>
                <w:iCs/>
                <w:szCs w:val="24"/>
                <w:lang w:eastAsia="zh-CN"/>
              </w:rPr>
              <w:t xml:space="preserve"> (Rév.Dubaï, 2012) </w:t>
            </w:r>
            <w:hyperlink r:id="rId18" w:history="1">
              <w:r w:rsidRPr="00AD7452">
                <w:rPr>
                  <w:rStyle w:val="Hyperlink"/>
                  <w:i/>
                  <w:iCs/>
                  <w:szCs w:val="24"/>
                  <w:lang w:eastAsia="zh-CN"/>
                </w:rPr>
                <w:t>49</w:t>
              </w:r>
            </w:hyperlink>
            <w:r w:rsidRPr="00AD7452">
              <w:rPr>
                <w:i/>
                <w:iCs/>
                <w:szCs w:val="24"/>
                <w:lang w:eastAsia="zh-CN"/>
              </w:rPr>
              <w:t xml:space="preserve">, </w:t>
            </w:r>
            <w:hyperlink r:id="rId19" w:history="1">
              <w:r w:rsidRPr="00AD7452">
                <w:rPr>
                  <w:rStyle w:val="Hyperlink"/>
                  <w:i/>
                  <w:iCs/>
                  <w:szCs w:val="24"/>
                  <w:lang w:eastAsia="zh-CN"/>
                </w:rPr>
                <w:t>50</w:t>
              </w:r>
            </w:hyperlink>
            <w:r w:rsidRPr="00AD7452">
              <w:rPr>
                <w:i/>
                <w:iCs/>
                <w:szCs w:val="24"/>
                <w:lang w:eastAsia="zh-CN"/>
              </w:rPr>
              <w:t xml:space="preserve">, </w:t>
            </w:r>
            <w:hyperlink r:id="rId20" w:history="1">
              <w:r w:rsidRPr="00AD7452">
                <w:rPr>
                  <w:rStyle w:val="Hyperlink"/>
                  <w:i/>
                  <w:iCs/>
                  <w:szCs w:val="24"/>
                  <w:lang w:eastAsia="zh-CN"/>
                </w:rPr>
                <w:t>52</w:t>
              </w:r>
            </w:hyperlink>
            <w:r w:rsidRPr="00AD7452">
              <w:rPr>
                <w:i/>
                <w:iCs/>
                <w:szCs w:val="24"/>
                <w:lang w:eastAsia="zh-CN"/>
              </w:rPr>
              <w:t xml:space="preserve"> (Rév.Hammamet, 2016), </w:t>
            </w:r>
            <w:hyperlink r:id="rId21" w:history="1">
              <w:r w:rsidRPr="00AD7452">
                <w:rPr>
                  <w:rStyle w:val="Hyperlink"/>
                  <w:i/>
                  <w:iCs/>
                  <w:szCs w:val="24"/>
                  <w:lang w:eastAsia="zh-CN"/>
                </w:rPr>
                <w:t>58</w:t>
              </w:r>
            </w:hyperlink>
            <w:r w:rsidRPr="00AD7452">
              <w:rPr>
                <w:i/>
                <w:iCs/>
                <w:szCs w:val="24"/>
                <w:lang w:eastAsia="zh-CN"/>
              </w:rPr>
              <w:t xml:space="preserve">, </w:t>
            </w:r>
            <w:hyperlink r:id="rId22" w:history="1">
              <w:r w:rsidR="00BC2DD0" w:rsidRPr="00AD7452">
                <w:rPr>
                  <w:rStyle w:val="Hyperlink"/>
                  <w:i/>
                  <w:szCs w:val="24"/>
                  <w:lang w:eastAsia="zh-CN"/>
                </w:rPr>
                <w:t>60</w:t>
              </w:r>
            </w:hyperlink>
            <w:r w:rsidR="00BC2DD0" w:rsidRPr="00AD7452">
              <w:rPr>
                <w:i/>
                <w:iCs/>
                <w:szCs w:val="24"/>
                <w:lang w:eastAsia="zh-CN"/>
              </w:rPr>
              <w:t xml:space="preserve"> (Rév.Dubaï, 2012),</w:t>
            </w:r>
            <w:r w:rsidRPr="00AD7452">
              <w:rPr>
                <w:i/>
                <w:iCs/>
                <w:szCs w:val="24"/>
                <w:lang w:eastAsia="zh-CN"/>
              </w:rPr>
              <w:t xml:space="preserve"> </w:t>
            </w:r>
            <w:hyperlink r:id="rId23" w:history="1">
              <w:r w:rsidRPr="00AD7452">
                <w:rPr>
                  <w:rStyle w:val="Hyperlink"/>
                  <w:i/>
                  <w:iCs/>
                  <w:szCs w:val="24"/>
                  <w:lang w:eastAsia="zh-CN"/>
                </w:rPr>
                <w:t>64</w:t>
              </w:r>
            </w:hyperlink>
            <w:r w:rsidRPr="00AD7452">
              <w:rPr>
                <w:i/>
                <w:iCs/>
                <w:szCs w:val="24"/>
                <w:lang w:eastAsia="zh-CN"/>
              </w:rPr>
              <w:t xml:space="preserve">, </w:t>
            </w:r>
            <w:hyperlink r:id="rId24" w:history="1">
              <w:r w:rsidRPr="00AD7452">
                <w:rPr>
                  <w:rStyle w:val="Hyperlink"/>
                  <w:i/>
                  <w:iCs/>
                  <w:szCs w:val="24"/>
                  <w:lang w:eastAsia="zh-CN"/>
                </w:rPr>
                <w:t>69</w:t>
              </w:r>
            </w:hyperlink>
            <w:r w:rsidRPr="00AD7452">
              <w:rPr>
                <w:i/>
                <w:iCs/>
                <w:szCs w:val="24"/>
                <w:lang w:eastAsia="zh-CN"/>
              </w:rPr>
              <w:t xml:space="preserve">, </w:t>
            </w:r>
            <w:hyperlink r:id="rId25" w:history="1">
              <w:r w:rsidRPr="00AD7452">
                <w:rPr>
                  <w:rStyle w:val="Hyperlink"/>
                  <w:i/>
                  <w:iCs/>
                  <w:szCs w:val="24"/>
                  <w:lang w:eastAsia="zh-CN"/>
                </w:rPr>
                <w:t>75</w:t>
              </w:r>
            </w:hyperlink>
            <w:r w:rsidRPr="00AD7452">
              <w:rPr>
                <w:i/>
                <w:iCs/>
                <w:szCs w:val="24"/>
                <w:lang w:eastAsia="zh-CN"/>
              </w:rPr>
              <w:t xml:space="preserve"> (Rév.Hammamet, 2016), </w:t>
            </w:r>
            <w:hyperlink r:id="rId26" w:history="1">
              <w:r w:rsidRPr="00AD7452">
                <w:rPr>
                  <w:rStyle w:val="Hyperlink"/>
                  <w:i/>
                  <w:iCs/>
                  <w:szCs w:val="24"/>
                  <w:lang w:eastAsia="zh-CN"/>
                </w:rPr>
                <w:t>98</w:t>
              </w:r>
            </w:hyperlink>
            <w:r w:rsidRPr="00AD7452">
              <w:rPr>
                <w:i/>
                <w:iCs/>
                <w:szCs w:val="24"/>
                <w:lang w:eastAsia="zh-CN"/>
              </w:rPr>
              <w:t xml:space="preserve"> (Hammamet, 2016) de l</w:t>
            </w:r>
            <w:r w:rsidR="00CD260D">
              <w:rPr>
                <w:i/>
                <w:iCs/>
                <w:szCs w:val="24"/>
                <w:lang w:eastAsia="zh-CN"/>
              </w:rPr>
              <w:t>'</w:t>
            </w:r>
            <w:r w:rsidRPr="00AD7452">
              <w:rPr>
                <w:i/>
                <w:iCs/>
                <w:szCs w:val="24"/>
                <w:lang w:eastAsia="zh-CN"/>
              </w:rPr>
              <w:t xml:space="preserve">Assemblée mondiale de normalisation des télécommunications (AMNT); </w:t>
            </w:r>
            <w:hyperlink r:id="rId27" w:history="1">
              <w:r w:rsidRPr="00AD7452">
                <w:rPr>
                  <w:rStyle w:val="Hyperlink"/>
                  <w:i/>
                  <w:iCs/>
                  <w:szCs w:val="24"/>
                  <w:lang w:eastAsia="zh-CN"/>
                </w:rPr>
                <w:t>Objectif 3/produit 3.3 du Plan d</w:t>
              </w:r>
              <w:r w:rsidR="00CD260D">
                <w:rPr>
                  <w:rStyle w:val="Hyperlink"/>
                  <w:i/>
                  <w:iCs/>
                  <w:szCs w:val="24"/>
                  <w:lang w:eastAsia="zh-CN"/>
                </w:rPr>
                <w:t>'</w:t>
              </w:r>
              <w:r w:rsidRPr="00AD7452">
                <w:rPr>
                  <w:rStyle w:val="Hyperlink"/>
                  <w:i/>
                  <w:iCs/>
                  <w:szCs w:val="24"/>
                  <w:lang w:eastAsia="zh-CN"/>
                </w:rPr>
                <w:t>action de Buenos</w:t>
              </w:r>
              <w:r w:rsidR="00E97D07" w:rsidRPr="00AD7452">
                <w:rPr>
                  <w:rStyle w:val="Hyperlink"/>
                  <w:i/>
                  <w:iCs/>
                  <w:szCs w:val="24"/>
                  <w:lang w:eastAsia="zh-CN"/>
                </w:rPr>
                <w:t> </w:t>
              </w:r>
              <w:r w:rsidRPr="00AD7452">
                <w:rPr>
                  <w:rStyle w:val="Hyperlink"/>
                  <w:i/>
                  <w:iCs/>
                  <w:szCs w:val="24"/>
                  <w:lang w:eastAsia="zh-CN"/>
                </w:rPr>
                <w:t>Aires/CMDT</w:t>
              </w:r>
              <w:r w:rsidRPr="00AD7452">
                <w:rPr>
                  <w:rStyle w:val="Hyperlink"/>
                  <w:i/>
                  <w:iCs/>
                  <w:szCs w:val="24"/>
                  <w:lang w:eastAsia="zh-CN"/>
                </w:rPr>
                <w:noBreakHyphen/>
                <w:t>17</w:t>
              </w:r>
            </w:hyperlink>
            <w:r w:rsidRPr="00AD7452">
              <w:rPr>
                <w:i/>
                <w:iCs/>
                <w:szCs w:val="24"/>
                <w:lang w:eastAsia="zh-CN"/>
              </w:rPr>
              <w:t>; Résolutions </w:t>
            </w:r>
            <w:hyperlink r:id="rId28" w:history="1">
              <w:r w:rsidRPr="00AD7452">
                <w:rPr>
                  <w:rStyle w:val="Hyperlink"/>
                  <w:i/>
                  <w:iCs/>
                  <w:szCs w:val="24"/>
                  <w:lang w:eastAsia="zh-CN"/>
                </w:rPr>
                <w:t>20</w:t>
              </w:r>
            </w:hyperlink>
            <w:r w:rsidRPr="00AD7452">
              <w:rPr>
                <w:i/>
                <w:iCs/>
                <w:szCs w:val="24"/>
                <w:lang w:eastAsia="zh-CN"/>
              </w:rPr>
              <w:t xml:space="preserve">, </w:t>
            </w:r>
            <w:hyperlink r:id="rId29" w:history="1">
              <w:r w:rsidRPr="00AD7452">
                <w:rPr>
                  <w:rStyle w:val="Hyperlink"/>
                  <w:i/>
                  <w:iCs/>
                  <w:szCs w:val="24"/>
                  <w:lang w:eastAsia="zh-CN"/>
                </w:rPr>
                <w:t>30</w:t>
              </w:r>
            </w:hyperlink>
            <w:r w:rsidRPr="00AD7452">
              <w:rPr>
                <w:i/>
                <w:iCs/>
                <w:szCs w:val="24"/>
                <w:lang w:eastAsia="zh-CN"/>
              </w:rPr>
              <w:t xml:space="preserve">, </w:t>
            </w:r>
            <w:hyperlink r:id="rId30" w:history="1">
              <w:r w:rsidRPr="00AD7452">
                <w:rPr>
                  <w:rStyle w:val="Hyperlink"/>
                  <w:i/>
                  <w:iCs/>
                  <w:szCs w:val="24"/>
                  <w:lang w:eastAsia="zh-CN"/>
                </w:rPr>
                <w:t>63</w:t>
              </w:r>
            </w:hyperlink>
            <w:r w:rsidRPr="00AD7452">
              <w:rPr>
                <w:i/>
                <w:iCs/>
                <w:szCs w:val="24"/>
                <w:lang w:eastAsia="zh-CN"/>
              </w:rPr>
              <w:t xml:space="preserve"> (Rév.Buenos Aires 2017) et </w:t>
            </w:r>
            <w:hyperlink r:id="rId31" w:history="1">
              <w:r w:rsidRPr="00AD7452">
                <w:rPr>
                  <w:rStyle w:val="Hyperlink"/>
                  <w:i/>
                  <w:iCs/>
                  <w:szCs w:val="24"/>
                  <w:lang w:eastAsia="zh-CN"/>
                </w:rPr>
                <w:t>45</w:t>
              </w:r>
            </w:hyperlink>
            <w:r w:rsidRPr="00AD7452">
              <w:rPr>
                <w:i/>
                <w:iCs/>
                <w:szCs w:val="24"/>
                <w:lang w:eastAsia="zh-CN"/>
              </w:rPr>
              <w:t> (Rév.Dubaï,</w:t>
            </w:r>
            <w:r w:rsidR="00E97D07" w:rsidRPr="00AD7452">
              <w:rPr>
                <w:i/>
                <w:iCs/>
                <w:szCs w:val="24"/>
                <w:lang w:eastAsia="zh-CN"/>
              </w:rPr>
              <w:t> </w:t>
            </w:r>
            <w:r w:rsidRPr="00AD7452">
              <w:rPr>
                <w:i/>
                <w:iCs/>
                <w:szCs w:val="24"/>
                <w:lang w:eastAsia="zh-CN"/>
              </w:rPr>
              <w:t>2014) de la Conférence mondiale de développement des télécommunications (CMDT); Documents </w:t>
            </w:r>
            <w:hyperlink r:id="rId32" w:history="1">
              <w:r w:rsidRPr="00AD7452">
                <w:rPr>
                  <w:rStyle w:val="Hyperlink"/>
                  <w:i/>
                  <w:iCs/>
                  <w:szCs w:val="24"/>
                  <w:lang w:eastAsia="zh-CN"/>
                </w:rPr>
                <w:t>C16/33</w:t>
              </w:r>
            </w:hyperlink>
            <w:r w:rsidRPr="00AD7452">
              <w:rPr>
                <w:i/>
                <w:iCs/>
                <w:szCs w:val="24"/>
                <w:lang w:eastAsia="zh-CN"/>
              </w:rPr>
              <w:t>, </w:t>
            </w:r>
            <w:hyperlink r:id="rId33" w:history="1">
              <w:r w:rsidRPr="00AD7452">
                <w:rPr>
                  <w:rStyle w:val="Hyperlink"/>
                  <w:i/>
                  <w:iCs/>
                  <w:szCs w:val="24"/>
                  <w:lang w:eastAsia="zh-CN"/>
                </w:rPr>
                <w:t>C17/33</w:t>
              </w:r>
            </w:hyperlink>
            <w:r w:rsidRPr="00AD7452">
              <w:rPr>
                <w:i/>
                <w:iCs/>
                <w:szCs w:val="24"/>
                <w:lang w:eastAsia="zh-CN"/>
              </w:rPr>
              <w:t xml:space="preserve">, </w:t>
            </w:r>
            <w:hyperlink r:id="rId34" w:history="1">
              <w:r w:rsidRPr="00AD7452">
                <w:rPr>
                  <w:rStyle w:val="Hyperlink"/>
                  <w:i/>
                  <w:iCs/>
                  <w:szCs w:val="24"/>
                  <w:lang w:eastAsia="zh-CN"/>
                </w:rPr>
                <w:t>C18/33</w:t>
              </w:r>
            </w:hyperlink>
            <w:r w:rsidR="006F6FEB" w:rsidRPr="00AD7452">
              <w:rPr>
                <w:i/>
                <w:iCs/>
                <w:szCs w:val="24"/>
                <w:lang w:eastAsia="zh-CN"/>
              </w:rPr>
              <w:t>,</w:t>
            </w:r>
            <w:r w:rsidRPr="00AD7452">
              <w:rPr>
                <w:i/>
                <w:iCs/>
                <w:szCs w:val="24"/>
                <w:lang w:eastAsia="zh-CN"/>
              </w:rPr>
              <w:t xml:space="preserve"> </w:t>
            </w:r>
            <w:hyperlink r:id="rId35" w:history="1">
              <w:r w:rsidRPr="00AD7452">
                <w:rPr>
                  <w:rStyle w:val="Hyperlink"/>
                  <w:i/>
                  <w:iCs/>
                  <w:szCs w:val="24"/>
                  <w:lang w:eastAsia="zh-CN"/>
                </w:rPr>
                <w:t>C19/33</w:t>
              </w:r>
            </w:hyperlink>
            <w:r w:rsidRPr="00AD7452">
              <w:rPr>
                <w:i/>
                <w:iCs/>
                <w:szCs w:val="24"/>
                <w:lang w:eastAsia="zh-CN"/>
              </w:rPr>
              <w:t xml:space="preserve"> </w:t>
            </w:r>
            <w:r w:rsidR="006F6FEB" w:rsidRPr="00AD7452">
              <w:rPr>
                <w:i/>
                <w:iCs/>
                <w:szCs w:val="24"/>
                <w:lang w:eastAsia="zh-CN"/>
              </w:rPr>
              <w:t xml:space="preserve">et </w:t>
            </w:r>
            <w:hyperlink r:id="rId36" w:history="1">
              <w:r w:rsidR="006F6FEB" w:rsidRPr="00AD7452">
                <w:rPr>
                  <w:rStyle w:val="Hyperlink"/>
                  <w:i/>
                </w:rPr>
                <w:t>C20/33</w:t>
              </w:r>
            </w:hyperlink>
            <w:r w:rsidR="006F6FEB" w:rsidRPr="00AD7452">
              <w:rPr>
                <w:i/>
                <w:iCs/>
                <w:szCs w:val="24"/>
                <w:lang w:eastAsia="zh-CN"/>
              </w:rPr>
              <w:t>du Conseil</w:t>
            </w:r>
            <w:r w:rsidRPr="00AD7452">
              <w:rPr>
                <w:i/>
                <w:iCs/>
                <w:szCs w:val="24"/>
                <w:lang w:eastAsia="zh-CN"/>
              </w:rPr>
              <w:t>.</w:t>
            </w:r>
          </w:p>
        </w:tc>
      </w:tr>
    </w:tbl>
    <w:p w14:paraId="015CD4B0" w14:textId="77777777" w:rsidR="00D2172E" w:rsidRPr="00AD7452" w:rsidRDefault="00D2172E" w:rsidP="0031797E">
      <w:pPr>
        <w:pStyle w:val="Heading1"/>
        <w:rPr>
          <w:rFonts w:eastAsiaTheme="minorEastAsia"/>
        </w:rPr>
      </w:pPr>
      <w:r w:rsidRPr="00AD7452">
        <w:rPr>
          <w:rFonts w:eastAsiaTheme="minorEastAsia"/>
        </w:rPr>
        <w:lastRenderedPageBreak/>
        <w:t>1</w:t>
      </w:r>
      <w:r w:rsidRPr="00AD7452">
        <w:rPr>
          <w:rFonts w:eastAsiaTheme="minorEastAsia"/>
        </w:rPr>
        <w:tab/>
        <w:t>Introduction</w:t>
      </w:r>
    </w:p>
    <w:p w14:paraId="615816AA" w14:textId="0691F4D0" w:rsidR="00D2172E" w:rsidRPr="00AD7452" w:rsidRDefault="00D2172E" w:rsidP="0031797E">
      <w:pPr>
        <w:rPr>
          <w:rFonts w:eastAsiaTheme="minorEastAsia"/>
        </w:rPr>
      </w:pPr>
      <w:r w:rsidRPr="00AD7452">
        <w:t>Le présent rapport décrit les activités menées par l</w:t>
      </w:r>
      <w:r w:rsidR="00CD260D">
        <w:t>'</w:t>
      </w:r>
      <w:r w:rsidRPr="00AD7452">
        <w:t xml:space="preserve">UIT relativement aux Résolutions 101, 102, 133, 180 (Rév. Dubaï, 2018) et 206 (Dubaï, 2018) de la Conférence de plénipotentiaires depuis la </w:t>
      </w:r>
      <w:r w:rsidR="00C3640A" w:rsidRPr="00AD7452">
        <w:t xml:space="preserve">première </w:t>
      </w:r>
      <w:r w:rsidR="00C3640A" w:rsidRPr="00AD7452">
        <w:rPr>
          <w:bCs/>
          <w:szCs w:val="24"/>
        </w:rPr>
        <w:t>c</w:t>
      </w:r>
      <w:r w:rsidR="00856622" w:rsidRPr="00AD7452">
        <w:rPr>
          <w:bCs/>
          <w:szCs w:val="24"/>
        </w:rPr>
        <w:t>onsultation virtuelle des Conseillers</w:t>
      </w:r>
      <w:r w:rsidR="007351EF" w:rsidRPr="00AD7452">
        <w:rPr>
          <w:bCs/>
          <w:szCs w:val="24"/>
        </w:rPr>
        <w:t xml:space="preserve"> (9-12 juin 2020)</w:t>
      </w:r>
      <w:r w:rsidRPr="00AD7452">
        <w:rPr>
          <w:rStyle w:val="FootnoteReference"/>
          <w:rFonts w:asciiTheme="minorHAnsi" w:hAnsiTheme="minorHAnsi" w:cstheme="minorHAnsi"/>
          <w:sz w:val="18"/>
          <w:szCs w:val="18"/>
        </w:rPr>
        <w:footnoteReference w:id="1"/>
      </w:r>
      <w:r w:rsidRPr="00AD7452">
        <w:t>.</w:t>
      </w:r>
    </w:p>
    <w:p w14:paraId="0B6A507A" w14:textId="7084C2F1" w:rsidR="00D2172E" w:rsidRPr="00AD7452" w:rsidRDefault="00D2172E" w:rsidP="0031797E">
      <w:pPr>
        <w:pStyle w:val="Heading1"/>
        <w:rPr>
          <w:rFonts w:eastAsiaTheme="minorEastAsia"/>
        </w:rPr>
      </w:pPr>
      <w:r w:rsidRPr="00AD7452">
        <w:rPr>
          <w:rFonts w:eastAsiaTheme="minorEastAsia"/>
        </w:rPr>
        <w:t>2</w:t>
      </w:r>
      <w:r w:rsidRPr="00AD7452">
        <w:rPr>
          <w:rFonts w:eastAsiaTheme="minorEastAsia"/>
        </w:rPr>
        <w:tab/>
        <w:t>Activités relatives aux réseaux IP, au développement des réseaux de prochaine génération (NGN) et à l</w:t>
      </w:r>
      <w:r w:rsidR="00CD260D">
        <w:rPr>
          <w:rFonts w:eastAsiaTheme="minorEastAsia"/>
        </w:rPr>
        <w:t>'</w:t>
      </w:r>
      <w:r w:rsidRPr="00AD7452">
        <w:rPr>
          <w:rFonts w:eastAsiaTheme="minorEastAsia"/>
        </w:rPr>
        <w:t>Internet de demain, y compris les enjeux en matière de politique générale et de réglementation</w:t>
      </w:r>
    </w:p>
    <w:p w14:paraId="089E19A9" w14:textId="77777777" w:rsidR="00D2172E" w:rsidRPr="00AD7452" w:rsidRDefault="00D2172E" w:rsidP="0031797E">
      <w:pPr>
        <w:rPr>
          <w:rFonts w:eastAsiaTheme="minorEastAsia"/>
        </w:rPr>
      </w:pPr>
      <w:r w:rsidRPr="00AD7452">
        <w:rPr>
          <w:b/>
        </w:rPr>
        <w:t>2.1</w:t>
      </w:r>
      <w:r w:rsidRPr="00AD7452">
        <w:tab/>
        <w:t xml:space="preserve">Plus de </w:t>
      </w:r>
      <w:r w:rsidR="008D708E" w:rsidRPr="00AD7452">
        <w:t>270</w:t>
      </w:r>
      <w:r w:rsidRPr="00AD7452">
        <w:t xml:space="preserve"> </w:t>
      </w:r>
      <w:hyperlink r:id="rId37" w:history="1">
        <w:r w:rsidR="00C465A8" w:rsidRPr="00AD7452">
          <w:rPr>
            <w:rStyle w:val="Hyperlink"/>
          </w:rPr>
          <w:t>Recommandations UIT-T</w:t>
        </w:r>
      </w:hyperlink>
      <w:r w:rsidR="00C465A8" w:rsidRPr="00AD7452">
        <w:t xml:space="preserve"> </w:t>
      </w:r>
      <w:r w:rsidRPr="00AD7452">
        <w:t xml:space="preserve">nouvelles ou révisées </w:t>
      </w:r>
      <w:r w:rsidR="00F40043" w:rsidRPr="00AD7452">
        <w:t>et autres textes ont été approuvé</w:t>
      </w:r>
      <w:r w:rsidRPr="00AD7452">
        <w:t>s entre le</w:t>
      </w:r>
      <w:r w:rsidR="000A4E23" w:rsidRPr="00AD7452">
        <w:t> </w:t>
      </w:r>
      <w:r w:rsidR="008D708E" w:rsidRPr="00AD7452">
        <w:t>1er avril</w:t>
      </w:r>
      <w:r w:rsidRPr="00AD7452">
        <w:t xml:space="preserve"> et le </w:t>
      </w:r>
      <w:r w:rsidR="008D708E" w:rsidRPr="00AD7452">
        <w:t>16 décembre</w:t>
      </w:r>
      <w:r w:rsidRPr="00AD7452">
        <w:t xml:space="preserve"> 2020.</w:t>
      </w:r>
    </w:p>
    <w:p w14:paraId="344B2ADB" w14:textId="77777777" w:rsidR="000A4E23" w:rsidRPr="00AD7452" w:rsidRDefault="00D2172E" w:rsidP="0031797E">
      <w:pPr>
        <w:rPr>
          <w:b/>
          <w:bCs/>
        </w:rPr>
      </w:pPr>
      <w:r w:rsidRPr="00AD7452">
        <w:rPr>
          <w:b/>
          <w:bCs/>
        </w:rPr>
        <w:t>2.2</w:t>
      </w:r>
      <w:r w:rsidRPr="00AD7452">
        <w:rPr>
          <w:b/>
          <w:bCs/>
        </w:rPr>
        <w:tab/>
      </w:r>
      <w:r w:rsidR="000A4E23" w:rsidRPr="00AD7452">
        <w:rPr>
          <w:b/>
          <w:bCs/>
        </w:rPr>
        <w:t>Multimédia</w:t>
      </w:r>
    </w:p>
    <w:p w14:paraId="42B7F1D2" w14:textId="790BB46F" w:rsidR="00D2172E" w:rsidRPr="00AD7452" w:rsidRDefault="000A4E23" w:rsidP="0031797E">
      <w:r w:rsidRPr="00AD7452">
        <w:rPr>
          <w:bCs/>
        </w:rPr>
        <w:t>2.2.1</w:t>
      </w:r>
      <w:r w:rsidRPr="00AD7452">
        <w:rPr>
          <w:bCs/>
        </w:rPr>
        <w:tab/>
      </w:r>
      <w:r w:rsidR="00F40043" w:rsidRPr="00AD7452">
        <w:rPr>
          <w:bCs/>
        </w:rPr>
        <w:t>La CE 16 de l</w:t>
      </w:r>
      <w:r w:rsidR="00CD260D">
        <w:rPr>
          <w:bCs/>
        </w:rPr>
        <w:t>'</w:t>
      </w:r>
      <w:r w:rsidR="00F40043" w:rsidRPr="00AD7452">
        <w:rPr>
          <w:bCs/>
        </w:rPr>
        <w:t>UIT-T</w:t>
      </w:r>
      <w:r w:rsidRPr="00AD7452">
        <w:rPr>
          <w:bCs/>
        </w:rPr>
        <w:t xml:space="preserve"> </w:t>
      </w:r>
      <w:r w:rsidR="00F40043" w:rsidRPr="00AD7452">
        <w:rPr>
          <w:bCs/>
        </w:rPr>
        <w:t>a approuvé quatre normes UIT-T</w:t>
      </w:r>
      <w:r w:rsidRPr="00AD7452">
        <w:rPr>
          <w:bCs/>
        </w:rPr>
        <w:t xml:space="preserve"> </w:t>
      </w:r>
      <w:r w:rsidR="00F40043" w:rsidRPr="00AD7452">
        <w:rPr>
          <w:bCs/>
        </w:rPr>
        <w:t>sur le codage vidéo polyvalent</w:t>
      </w:r>
      <w:r w:rsidRPr="00AD7452">
        <w:rPr>
          <w:bCs/>
        </w:rPr>
        <w:t xml:space="preserve">, </w:t>
      </w:r>
      <w:r w:rsidR="00F40043" w:rsidRPr="00AD7452">
        <w:rPr>
          <w:bCs/>
        </w:rPr>
        <w:t>les réseaux de fourniture de contenu multimédia, l</w:t>
      </w:r>
      <w:r w:rsidR="00CD260D">
        <w:rPr>
          <w:bCs/>
        </w:rPr>
        <w:t>'</w:t>
      </w:r>
      <w:r w:rsidR="00F40043" w:rsidRPr="00AD7452">
        <w:rPr>
          <w:bCs/>
        </w:rPr>
        <w:t>accessibilité de la TVIP et les interfaces de commande gestuelle de la TVIP</w:t>
      </w:r>
      <w:r w:rsidRPr="00AD7452">
        <w:rPr>
          <w:bCs/>
        </w:rPr>
        <w:t>.</w:t>
      </w:r>
      <w:r w:rsidR="00D2172E" w:rsidRPr="00AD7452">
        <w:rPr>
          <w:color w:val="000000"/>
        </w:rPr>
        <w:t xml:space="preserve"> Les travaux sur l</w:t>
      </w:r>
      <w:r w:rsidR="00CD260D">
        <w:rPr>
          <w:color w:val="000000"/>
        </w:rPr>
        <w:t>'</w:t>
      </w:r>
      <w:r w:rsidR="00D2172E" w:rsidRPr="00AD7452">
        <w:rPr>
          <w:color w:val="000000"/>
        </w:rPr>
        <w:t>amélioration de la gestion, du stockage et de la transmission des vidéos sur les réseaux IP se poursuivent également</w:t>
      </w:r>
      <w:r w:rsidR="00D2172E" w:rsidRPr="00AD7452">
        <w:t>.</w:t>
      </w:r>
    </w:p>
    <w:p w14:paraId="25C4CC19" w14:textId="77777777" w:rsidR="000A4E23" w:rsidRPr="00AD7452" w:rsidRDefault="000A4E23" w:rsidP="00CD260D">
      <w:pPr>
        <w:tabs>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bCs/>
          <w:szCs w:val="24"/>
        </w:rPr>
      </w:pPr>
      <w:r w:rsidRPr="00AD7452">
        <w:rPr>
          <w:rFonts w:asciiTheme="minorHAnsi" w:hAnsiTheme="minorHAnsi" w:cstheme="minorHAnsi"/>
          <w:b/>
          <w:bCs/>
          <w:szCs w:val="24"/>
        </w:rPr>
        <w:t>2.3</w:t>
      </w:r>
      <w:r w:rsidRPr="00AD7452">
        <w:rPr>
          <w:rFonts w:asciiTheme="minorHAnsi" w:hAnsiTheme="minorHAnsi" w:cstheme="minorHAnsi"/>
          <w:b/>
          <w:bCs/>
          <w:szCs w:val="24"/>
        </w:rPr>
        <w:tab/>
      </w:r>
      <w:r w:rsidR="007E039E" w:rsidRPr="00AD7452">
        <w:rPr>
          <w:rFonts w:asciiTheme="minorHAnsi" w:hAnsiTheme="minorHAnsi" w:cstheme="minorHAnsi"/>
          <w:b/>
          <w:bCs/>
          <w:szCs w:val="24"/>
        </w:rPr>
        <w:t xml:space="preserve">Technologies des registres distribués </w:t>
      </w:r>
      <w:r w:rsidRPr="00AD7452">
        <w:rPr>
          <w:rFonts w:asciiTheme="minorHAnsi" w:hAnsiTheme="minorHAnsi" w:cstheme="minorHAnsi"/>
          <w:b/>
          <w:bCs/>
          <w:szCs w:val="24"/>
        </w:rPr>
        <w:t>(DLT)</w:t>
      </w:r>
    </w:p>
    <w:p w14:paraId="09D6A783" w14:textId="66D6AC04" w:rsidR="000A4E23" w:rsidRPr="00AD7452" w:rsidRDefault="000A4E23" w:rsidP="00CD260D">
      <w:r w:rsidRPr="00AD7452">
        <w:t>2.3.1</w:t>
      </w:r>
      <w:r w:rsidRPr="00AD7452">
        <w:tab/>
      </w:r>
      <w:r w:rsidR="00B769F0" w:rsidRPr="00AD7452">
        <w:t>Les huit premières</w:t>
      </w:r>
      <w:r w:rsidRPr="00AD7452">
        <w:t xml:space="preserve"> </w:t>
      </w:r>
      <w:r w:rsidR="00B769F0" w:rsidRPr="00AD7452">
        <w:t xml:space="preserve">normes UIT-T fondamentales ont été </w:t>
      </w:r>
      <w:proofErr w:type="gramStart"/>
      <w:r w:rsidR="00B769F0" w:rsidRPr="00AD7452">
        <w:t>approuvées</w:t>
      </w:r>
      <w:r w:rsidR="00A37990" w:rsidRPr="00AD7452">
        <w:t>;</w:t>
      </w:r>
      <w:proofErr w:type="gramEnd"/>
      <w:r w:rsidR="00A37990" w:rsidRPr="00AD7452">
        <w:t xml:space="preserve"> elles portent sur les </w:t>
      </w:r>
      <w:r w:rsidR="00B769F0" w:rsidRPr="00AD7452">
        <w:t>exigences applicables aux systèmes DLT</w:t>
      </w:r>
      <w:r w:rsidRPr="00AD7452">
        <w:t xml:space="preserve">, </w:t>
      </w:r>
      <w:r w:rsidR="00A37990" w:rsidRPr="00AD7452">
        <w:t xml:space="preserve">les </w:t>
      </w:r>
      <w:r w:rsidR="00B769F0" w:rsidRPr="00AD7452">
        <w:t>critères d</w:t>
      </w:r>
      <w:r w:rsidR="00CD260D">
        <w:t>'</w:t>
      </w:r>
      <w:r w:rsidR="00B769F0" w:rsidRPr="00AD7452">
        <w:t>évaluation</w:t>
      </w:r>
      <w:r w:rsidR="00A37990" w:rsidRPr="00AD7452">
        <w:t xml:space="preserve">, un </w:t>
      </w:r>
      <w:r w:rsidR="00B769F0" w:rsidRPr="00AD7452">
        <w:t>cadre de référence</w:t>
      </w:r>
      <w:r w:rsidRPr="00AD7452">
        <w:t xml:space="preserve">, </w:t>
      </w:r>
      <w:r w:rsidR="00A37990" w:rsidRPr="00AD7452">
        <w:t xml:space="preserve">les </w:t>
      </w:r>
      <w:r w:rsidRPr="00AD7452">
        <w:t>term</w:t>
      </w:r>
      <w:r w:rsidR="00B769F0" w:rsidRPr="00AD7452">
        <w:t>e</w:t>
      </w:r>
      <w:r w:rsidRPr="00AD7452">
        <w:t xml:space="preserve">s </w:t>
      </w:r>
      <w:r w:rsidR="00B769F0" w:rsidRPr="00AD7452">
        <w:t>et dé</w:t>
      </w:r>
      <w:r w:rsidRPr="00AD7452">
        <w:t xml:space="preserve">finitions, </w:t>
      </w:r>
      <w:r w:rsidR="00B769F0" w:rsidRPr="00AD7452">
        <w:t>les menaces de sécurité</w:t>
      </w:r>
      <w:r w:rsidRPr="00AD7452">
        <w:t xml:space="preserve">, </w:t>
      </w:r>
      <w:r w:rsidR="00CD5F34" w:rsidRPr="00AD7452">
        <w:t xml:space="preserve">le </w:t>
      </w:r>
      <w:r w:rsidR="00B769F0" w:rsidRPr="00AD7452">
        <w:t>cadre de sécurité</w:t>
      </w:r>
      <w:r w:rsidRPr="00AD7452">
        <w:t xml:space="preserve">, </w:t>
      </w:r>
      <w:r w:rsidR="00A37990" w:rsidRPr="00AD7452">
        <w:t xml:space="preserve">les </w:t>
      </w:r>
      <w:r w:rsidR="00B769F0" w:rsidRPr="00AD7452">
        <w:t>lignes directrices sur la sécurité pour la gestion décentralisée des identités</w:t>
      </w:r>
      <w:r w:rsidRPr="00AD7452">
        <w:t xml:space="preserve"> </w:t>
      </w:r>
      <w:r w:rsidR="00B769F0" w:rsidRPr="00AD7452">
        <w:t>et la garantie de sécurité</w:t>
      </w:r>
      <w:r w:rsidRPr="00AD7452">
        <w:rPr>
          <w:i/>
          <w:iCs/>
        </w:rPr>
        <w:t xml:space="preserve">. </w:t>
      </w:r>
      <w:r w:rsidR="00A37990" w:rsidRPr="00AD7452">
        <w:t xml:space="preserve">Les experts dans le domaine des </w:t>
      </w:r>
      <w:r w:rsidR="00C3640A" w:rsidRPr="00AD7452">
        <w:t xml:space="preserve">technologies </w:t>
      </w:r>
      <w:r w:rsidR="00A37990" w:rsidRPr="00AD7452">
        <w:t>DLT sont aussi convenus d</w:t>
      </w:r>
      <w:r w:rsidR="00CD260D">
        <w:t>'</w:t>
      </w:r>
      <w:r w:rsidR="00A37990" w:rsidRPr="00AD7452">
        <w:t>organiser une série</w:t>
      </w:r>
      <w:r w:rsidRPr="00AD7452">
        <w:t xml:space="preserve"> </w:t>
      </w:r>
      <w:r w:rsidR="00A37990" w:rsidRPr="00AD7452">
        <w:t xml:space="preserve">de </w:t>
      </w:r>
      <w:hyperlink r:id="rId38" w:history="1">
        <w:r w:rsidR="00A37990" w:rsidRPr="00AD7452">
          <w:rPr>
            <w:rStyle w:val="Hyperlink"/>
            <w:rFonts w:asciiTheme="minorHAnsi" w:hAnsiTheme="minorHAnsi" w:cstheme="minorHAnsi"/>
            <w:iCs/>
            <w:szCs w:val="24"/>
          </w:rPr>
          <w:t xml:space="preserve">"rencontres" autour des </w:t>
        </w:r>
        <w:r w:rsidR="00C3640A" w:rsidRPr="00AD7452">
          <w:rPr>
            <w:rStyle w:val="Hyperlink"/>
            <w:rFonts w:asciiTheme="minorHAnsi" w:hAnsiTheme="minorHAnsi" w:cstheme="minorHAnsi"/>
            <w:iCs/>
            <w:szCs w:val="24"/>
          </w:rPr>
          <w:t xml:space="preserve">technologies </w:t>
        </w:r>
        <w:r w:rsidR="00A37990" w:rsidRPr="00AD7452">
          <w:rPr>
            <w:rStyle w:val="Hyperlink"/>
            <w:rFonts w:asciiTheme="minorHAnsi" w:hAnsiTheme="minorHAnsi" w:cstheme="minorHAnsi"/>
            <w:iCs/>
            <w:szCs w:val="24"/>
          </w:rPr>
          <w:t>DLT</w:t>
        </w:r>
      </w:hyperlink>
      <w:r w:rsidRPr="00AD7452">
        <w:t>.</w:t>
      </w:r>
    </w:p>
    <w:p w14:paraId="0AE50A8F" w14:textId="77777777" w:rsidR="000A4E23" w:rsidRPr="00CD260D" w:rsidRDefault="000A4E23" w:rsidP="00CD260D">
      <w:pPr>
        <w:rPr>
          <w:b/>
        </w:rPr>
      </w:pPr>
      <w:r w:rsidRPr="00CD260D">
        <w:rPr>
          <w:b/>
        </w:rPr>
        <w:t>2.4</w:t>
      </w:r>
      <w:r w:rsidRPr="00CD260D">
        <w:rPr>
          <w:b/>
        </w:rPr>
        <w:tab/>
        <w:t>IMT-2020</w:t>
      </w:r>
    </w:p>
    <w:p w14:paraId="0FD2CBBF" w14:textId="1BC7FE3A" w:rsidR="000A4E23" w:rsidRPr="00AD7452" w:rsidRDefault="000A4E23" w:rsidP="00CD260D">
      <w:r w:rsidRPr="00AD7452">
        <w:t>2.4.1</w:t>
      </w:r>
      <w:r w:rsidRPr="00AD7452">
        <w:tab/>
      </w:r>
      <w:r w:rsidR="00A37990" w:rsidRPr="00AD7452">
        <w:t>La CE 13 de l</w:t>
      </w:r>
      <w:r w:rsidR="00CD260D">
        <w:t>'</w:t>
      </w:r>
      <w:r w:rsidR="00A37990" w:rsidRPr="00AD7452">
        <w:t>UIT-T a approuvé quatorze normes UIT-T sur les IMT-2020</w:t>
      </w:r>
      <w:r w:rsidRPr="00AD7452">
        <w:t xml:space="preserve"> </w:t>
      </w:r>
      <w:r w:rsidR="003F7210" w:rsidRPr="00AD7452">
        <w:t>visant</w:t>
      </w:r>
      <w:r w:rsidRPr="00AD7452">
        <w:t xml:space="preserve"> </w:t>
      </w:r>
      <w:r w:rsidR="00643BDE" w:rsidRPr="00AD7452">
        <w:t>les</w:t>
      </w:r>
      <w:r w:rsidRPr="00AD7452">
        <w:t xml:space="preserve"> </w:t>
      </w:r>
      <w:r w:rsidR="00A37990" w:rsidRPr="00AD7452">
        <w:t>réseaux centrés sur l</w:t>
      </w:r>
      <w:r w:rsidR="00CD260D">
        <w:t>'</w:t>
      </w:r>
      <w:r w:rsidR="00A37990" w:rsidRPr="00AD7452">
        <w:t>information</w:t>
      </w:r>
      <w:r w:rsidRPr="00AD7452">
        <w:t xml:space="preserve">, </w:t>
      </w:r>
      <w:r w:rsidR="00A37990" w:rsidRPr="00AD7452">
        <w:t>la</w:t>
      </w:r>
      <w:r w:rsidRPr="00AD7452">
        <w:t xml:space="preserve"> convergence</w:t>
      </w:r>
      <w:r w:rsidR="00A37990" w:rsidRPr="00AD7452">
        <w:t xml:space="preserve"> fixe-mobile</w:t>
      </w:r>
      <w:r w:rsidRPr="00AD7452">
        <w:t xml:space="preserve">, </w:t>
      </w:r>
      <w:r w:rsidR="00A37990" w:rsidRPr="00AD7452">
        <w:t>la logiciellisation de réseau</w:t>
      </w:r>
      <w:r w:rsidRPr="00AD7452">
        <w:t xml:space="preserve">, </w:t>
      </w:r>
      <w:r w:rsidR="00A37990" w:rsidRPr="00AD7452">
        <w:t>l</w:t>
      </w:r>
      <w:r w:rsidR="00CD260D">
        <w:t>'</w:t>
      </w:r>
      <w:r w:rsidR="00A37990" w:rsidRPr="00AD7452">
        <w:t>orchestration et la gestion des tranches de réseau</w:t>
      </w:r>
      <w:r w:rsidRPr="00AD7452">
        <w:t xml:space="preserve">, </w:t>
      </w:r>
      <w:r w:rsidR="00430925" w:rsidRPr="00AD7452">
        <w:t>les réseaux pilotés par logiciel (</w:t>
      </w:r>
      <w:r w:rsidRPr="00AD7452">
        <w:t>SDN</w:t>
      </w:r>
      <w:r w:rsidR="00430925" w:rsidRPr="00AD7452">
        <w:t>)</w:t>
      </w:r>
      <w:r w:rsidRPr="00AD7452">
        <w:t xml:space="preserve">, </w:t>
      </w:r>
      <w:r w:rsidR="00430925" w:rsidRPr="00AD7452">
        <w:t>l</w:t>
      </w:r>
      <w:r w:rsidR="00CD260D">
        <w:t>'</w:t>
      </w:r>
      <w:r w:rsidR="00430925" w:rsidRPr="00AD7452">
        <w:t>analyse assistée par l</w:t>
      </w:r>
      <w:r w:rsidR="00CD260D">
        <w:t>'</w:t>
      </w:r>
      <w:r w:rsidR="00430925" w:rsidRPr="00AD7452">
        <w:t>IA et l</w:t>
      </w:r>
      <w:r w:rsidR="00CD260D">
        <w:t>'</w:t>
      </w:r>
      <w:r w:rsidR="00430925" w:rsidRPr="00AD7452">
        <w:t xml:space="preserve">apprentissage automatique, </w:t>
      </w:r>
      <w:r w:rsidR="0065335D" w:rsidRPr="00AD7452">
        <w:t xml:space="preserve">ainsi que </w:t>
      </w:r>
      <w:r w:rsidR="00430925" w:rsidRPr="00AD7452">
        <w:t>deux Supplé</w:t>
      </w:r>
      <w:r w:rsidRPr="00AD7452">
        <w:t>ments</w:t>
      </w:r>
      <w:r w:rsidR="00430925" w:rsidRPr="00AD7452">
        <w:t xml:space="preserve"> sur </w:t>
      </w:r>
      <w:r w:rsidR="003F7210" w:rsidRPr="00AD7452">
        <w:t>la</w:t>
      </w:r>
      <w:r w:rsidRPr="00AD7452">
        <w:t xml:space="preserve"> </w:t>
      </w:r>
      <w:r w:rsidR="00430925" w:rsidRPr="00AD7452">
        <w:t>feuille de route de la normalisation des IMT-2020</w:t>
      </w:r>
      <w:r w:rsidRPr="00AD7452">
        <w:t xml:space="preserve"> </w:t>
      </w:r>
      <w:r w:rsidR="00486A60" w:rsidRPr="00AD7452">
        <w:t xml:space="preserve">et </w:t>
      </w:r>
      <w:r w:rsidR="00643BDE" w:rsidRPr="00AD7452">
        <w:t>sur l</w:t>
      </w:r>
      <w:r w:rsidR="00430925" w:rsidRPr="00AD7452">
        <w:t>es cas d</w:t>
      </w:r>
      <w:r w:rsidR="00CD260D">
        <w:t>'</w:t>
      </w:r>
      <w:r w:rsidR="00430925" w:rsidRPr="00AD7452">
        <w:t>utilisation et les aspects de la migration</w:t>
      </w:r>
      <w:r w:rsidRPr="00AD7452">
        <w:t xml:space="preserve">. </w:t>
      </w:r>
      <w:r w:rsidR="00430925" w:rsidRPr="00AD7452">
        <w:t>La CE 11 de l</w:t>
      </w:r>
      <w:r w:rsidR="00CD260D">
        <w:t>'</w:t>
      </w:r>
      <w:r w:rsidR="00430925" w:rsidRPr="00AD7452">
        <w:t xml:space="preserve">UIT-T a approuvé une norme </w:t>
      </w:r>
      <w:r w:rsidR="003F7210" w:rsidRPr="00AD7452">
        <w:t>de l</w:t>
      </w:r>
      <w:r w:rsidR="00CD260D">
        <w:t>'</w:t>
      </w:r>
      <w:r w:rsidR="00430925" w:rsidRPr="00AD7452">
        <w:t>UIT sur</w:t>
      </w:r>
      <w:r w:rsidRPr="00AD7452">
        <w:t xml:space="preserve"> </w:t>
      </w:r>
      <w:r w:rsidR="00430925" w:rsidRPr="00AD7452">
        <w:t>la signalisation entre dispositifs économes en énergie</w:t>
      </w:r>
      <w:r w:rsidRPr="00AD7452">
        <w:t>.</w:t>
      </w:r>
    </w:p>
    <w:p w14:paraId="24DF0FEB" w14:textId="77777777" w:rsidR="000A4E23" w:rsidRPr="00CD260D" w:rsidRDefault="000A4E23" w:rsidP="00CD260D">
      <w:pPr>
        <w:rPr>
          <w:b/>
        </w:rPr>
      </w:pPr>
      <w:r w:rsidRPr="00CD260D">
        <w:rPr>
          <w:b/>
        </w:rPr>
        <w:t>2.5</w:t>
      </w:r>
      <w:r w:rsidRPr="00CD260D">
        <w:rPr>
          <w:b/>
        </w:rPr>
        <w:tab/>
        <w:t>Internet des objets (IoT)</w:t>
      </w:r>
    </w:p>
    <w:p w14:paraId="1C726052" w14:textId="0CDF250C" w:rsidR="000A4E23" w:rsidRPr="00AD7452" w:rsidRDefault="000A4E23" w:rsidP="00CD260D">
      <w:r w:rsidRPr="00AD7452">
        <w:t>2.5.1</w:t>
      </w:r>
      <w:r w:rsidRPr="00AD7452">
        <w:tab/>
      </w:r>
      <w:r w:rsidR="00486A60" w:rsidRPr="00AD7452">
        <w:t xml:space="preserve">La </w:t>
      </w:r>
      <w:r w:rsidR="00643BDE" w:rsidRPr="00AD7452">
        <w:t>CE 2 de l</w:t>
      </w:r>
      <w:r w:rsidR="00CD260D">
        <w:t>'</w:t>
      </w:r>
      <w:r w:rsidR="00643BDE" w:rsidRPr="00AD7452">
        <w:t xml:space="preserve">UIT-T a </w:t>
      </w:r>
      <w:r w:rsidR="00907785" w:rsidRPr="00AD7452">
        <w:t xml:space="preserve">approuvé </w:t>
      </w:r>
      <w:r w:rsidR="00643BDE" w:rsidRPr="00AD7452">
        <w:t>un Supplément</w:t>
      </w:r>
      <w:r w:rsidRPr="00AD7452">
        <w:t xml:space="preserve"> </w:t>
      </w:r>
      <w:r w:rsidR="00907785" w:rsidRPr="00AD7452">
        <w:t xml:space="preserve">sur </w:t>
      </w:r>
      <w:r w:rsidR="00A4388F" w:rsidRPr="00AD7452">
        <w:t>l</w:t>
      </w:r>
      <w:r w:rsidR="00CD260D">
        <w:t>'</w:t>
      </w:r>
      <w:r w:rsidR="00A4388F" w:rsidRPr="00AD7452">
        <w:t>attribution des</w:t>
      </w:r>
      <w:r w:rsidR="00643BDE" w:rsidRPr="00AD7452">
        <w:t xml:space="preserve"> codes d</w:t>
      </w:r>
      <w:r w:rsidR="00CD260D">
        <w:t>'</w:t>
      </w:r>
      <w:r w:rsidR="00643BDE" w:rsidRPr="00AD7452">
        <w:t xml:space="preserve">identification </w:t>
      </w:r>
      <w:r w:rsidR="00A4388F" w:rsidRPr="00AD7452">
        <w:t>E.164</w:t>
      </w:r>
      <w:r w:rsidR="00486A60" w:rsidRPr="00AD7452">
        <w:t>.1</w:t>
      </w:r>
      <w:r w:rsidR="00A4388F" w:rsidRPr="00AD7452">
        <w:t xml:space="preserve"> et des codes de réseau mobile </w:t>
      </w:r>
      <w:r w:rsidRPr="00AD7452">
        <w:t xml:space="preserve">E.212 </w:t>
      </w:r>
      <w:r w:rsidR="00486A60" w:rsidRPr="00AD7452">
        <w:t xml:space="preserve">pour </w:t>
      </w:r>
      <w:r w:rsidR="00A4388F" w:rsidRPr="00AD7452">
        <w:t>l</w:t>
      </w:r>
      <w:r w:rsidR="00CD260D">
        <w:t>'</w:t>
      </w:r>
      <w:r w:rsidRPr="00AD7452">
        <w:t>IoT.</w:t>
      </w:r>
    </w:p>
    <w:p w14:paraId="6AE5FB3C" w14:textId="0A5C12D2" w:rsidR="000A4E23" w:rsidRPr="00AD7452" w:rsidRDefault="000A4E23" w:rsidP="00CD260D">
      <w:pPr>
        <w:rPr>
          <w:lang w:eastAsia="en-GB"/>
        </w:rPr>
      </w:pPr>
      <w:r w:rsidRPr="00AD7452">
        <w:rPr>
          <w:lang w:eastAsia="en-GB"/>
        </w:rPr>
        <w:t>2.5.2</w:t>
      </w:r>
      <w:r w:rsidRPr="00AD7452">
        <w:tab/>
      </w:r>
      <w:r w:rsidR="00A4388F" w:rsidRPr="00AD7452">
        <w:rPr>
          <w:lang w:eastAsia="en-GB"/>
        </w:rPr>
        <w:t>La CE 11 de l</w:t>
      </w:r>
      <w:r w:rsidR="00CD260D">
        <w:rPr>
          <w:lang w:eastAsia="en-GB"/>
        </w:rPr>
        <w:t>'</w:t>
      </w:r>
      <w:r w:rsidR="00A4388F" w:rsidRPr="00AD7452">
        <w:rPr>
          <w:lang w:eastAsia="en-GB"/>
        </w:rPr>
        <w:t>UIT-T a approuvé quatre normes UIT-T</w:t>
      </w:r>
      <w:r w:rsidRPr="00AD7452">
        <w:rPr>
          <w:lang w:eastAsia="en-GB"/>
        </w:rPr>
        <w:t xml:space="preserve"> </w:t>
      </w:r>
      <w:r w:rsidR="00A4388F" w:rsidRPr="00AD7452">
        <w:rPr>
          <w:lang w:eastAsia="en-GB"/>
        </w:rPr>
        <w:t>concernant les applications IoT sur des réseaux SDN</w:t>
      </w:r>
      <w:r w:rsidRPr="00AD7452">
        <w:rPr>
          <w:lang w:eastAsia="en-GB"/>
        </w:rPr>
        <w:t xml:space="preserve">, </w:t>
      </w:r>
      <w:r w:rsidR="00A4388F" w:rsidRPr="00AD7452">
        <w:rPr>
          <w:lang w:eastAsia="en-GB"/>
        </w:rPr>
        <w:t>les passerelles IoT hétérogènes,</w:t>
      </w:r>
      <w:r w:rsidRPr="00AD7452">
        <w:rPr>
          <w:lang w:eastAsia="en-GB"/>
        </w:rPr>
        <w:t xml:space="preserve"> </w:t>
      </w:r>
      <w:r w:rsidR="00A4388F" w:rsidRPr="00AD7452">
        <w:rPr>
          <w:lang w:eastAsia="en-GB"/>
        </w:rPr>
        <w:t>le cadre applicable aux tests relatifs à l</w:t>
      </w:r>
      <w:r w:rsidR="00CD260D">
        <w:rPr>
          <w:lang w:eastAsia="en-GB"/>
        </w:rPr>
        <w:t>'</w:t>
      </w:r>
      <w:r w:rsidR="00A4388F" w:rsidRPr="00AD7452">
        <w:rPr>
          <w:lang w:eastAsia="en-GB"/>
        </w:rPr>
        <w:t>IoT</w:t>
      </w:r>
      <w:r w:rsidR="00973271" w:rsidRPr="00AD7452">
        <w:rPr>
          <w:lang w:eastAsia="en-GB"/>
        </w:rPr>
        <w:t xml:space="preserve"> et l</w:t>
      </w:r>
      <w:r w:rsidR="00CD260D">
        <w:rPr>
          <w:lang w:eastAsia="en-GB"/>
        </w:rPr>
        <w:t>'</w:t>
      </w:r>
      <w:r w:rsidR="00973271" w:rsidRPr="00AD7452">
        <w:rPr>
          <w:lang w:eastAsia="en-GB"/>
        </w:rPr>
        <w:t>évaluation des systèmes d</w:t>
      </w:r>
      <w:r w:rsidR="00CD260D">
        <w:rPr>
          <w:lang w:eastAsia="en-GB"/>
        </w:rPr>
        <w:t>'</w:t>
      </w:r>
      <w:r w:rsidR="00973271" w:rsidRPr="00AD7452">
        <w:rPr>
          <w:lang w:eastAsia="en-GB"/>
        </w:rPr>
        <w:t>identification IoT</w:t>
      </w:r>
      <w:r w:rsidRPr="00AD7452">
        <w:rPr>
          <w:lang w:eastAsia="en-GB"/>
        </w:rPr>
        <w:t>.</w:t>
      </w:r>
    </w:p>
    <w:p w14:paraId="03DA2253" w14:textId="77777777" w:rsidR="0031797E" w:rsidRPr="00AD7452" w:rsidRDefault="0031797E" w:rsidP="0031797E">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szCs w:val="24"/>
        </w:rPr>
      </w:pPr>
      <w:r w:rsidRPr="00AD7452">
        <w:rPr>
          <w:rFonts w:asciiTheme="minorHAnsi" w:hAnsiTheme="minorHAnsi" w:cstheme="minorHAnsi"/>
          <w:szCs w:val="24"/>
        </w:rPr>
        <w:br w:type="page"/>
      </w:r>
    </w:p>
    <w:p w14:paraId="13E417A6" w14:textId="3E213222" w:rsidR="000A4E23" w:rsidRPr="00AD7452" w:rsidRDefault="000A4E23" w:rsidP="00CD260D">
      <w:r w:rsidRPr="00AD7452">
        <w:lastRenderedPageBreak/>
        <w:t>2.5.3</w:t>
      </w:r>
      <w:r w:rsidRPr="00AD7452">
        <w:tab/>
      </w:r>
      <w:r w:rsidR="00F94BAC" w:rsidRPr="00AD7452">
        <w:t>La CE 17 de l</w:t>
      </w:r>
      <w:r w:rsidR="00CD260D">
        <w:t>'</w:t>
      </w:r>
      <w:r w:rsidR="00F94BAC" w:rsidRPr="00AD7452">
        <w:t>UIT-T a approuvé six normes UIT-T sur la sécurité</w:t>
      </w:r>
      <w:r w:rsidR="00E9161E" w:rsidRPr="00AD7452">
        <w:t xml:space="preserve"> de l</w:t>
      </w:r>
      <w:r w:rsidR="00CD260D">
        <w:t>'</w:t>
      </w:r>
      <w:r w:rsidR="00E9161E" w:rsidRPr="00AD7452">
        <w:t>IoT</w:t>
      </w:r>
      <w:r w:rsidRPr="00AD7452">
        <w:t xml:space="preserve">, </w:t>
      </w:r>
      <w:r w:rsidR="00F94BAC" w:rsidRPr="00AD7452">
        <w:t>le système de traitement des informations d</w:t>
      </w:r>
      <w:r w:rsidR="00CD260D">
        <w:t>'</w:t>
      </w:r>
      <w:r w:rsidR="00F94BAC" w:rsidRPr="00AD7452">
        <w:t>identification personnelle</w:t>
      </w:r>
      <w:r w:rsidRPr="00AD7452">
        <w:t xml:space="preserve">, </w:t>
      </w:r>
      <w:r w:rsidR="00F94BAC" w:rsidRPr="00AD7452">
        <w:t>les exigences de sécurité pour l</w:t>
      </w:r>
      <w:r w:rsidR="00CD260D">
        <w:t>'</w:t>
      </w:r>
      <w:r w:rsidRPr="00AD7452">
        <w:t xml:space="preserve">IoT, </w:t>
      </w:r>
      <w:r w:rsidR="00F94BAC" w:rsidRPr="00AD7452">
        <w:t>la cryptographie fondée sur l</w:t>
      </w:r>
      <w:r w:rsidR="00CD260D">
        <w:t>'</w:t>
      </w:r>
      <w:r w:rsidR="00F94BAC" w:rsidRPr="00AD7452">
        <w:t>identité pour les dispositifs IoT</w:t>
      </w:r>
      <w:r w:rsidRPr="00AD7452">
        <w:t xml:space="preserve">, </w:t>
      </w:r>
      <w:r w:rsidR="00F94BAC" w:rsidRPr="00AD7452">
        <w:t>les systèmes d</w:t>
      </w:r>
      <w:r w:rsidR="00CD260D">
        <w:t>'</w:t>
      </w:r>
      <w:r w:rsidR="00F94BAC" w:rsidRPr="00AD7452">
        <w:t>authentification de messages et le format de journal d</w:t>
      </w:r>
      <w:r w:rsidR="00CD260D">
        <w:t>'</w:t>
      </w:r>
      <w:r w:rsidR="00F94BAC" w:rsidRPr="00AD7452">
        <w:t xml:space="preserve">erreur </w:t>
      </w:r>
      <w:r w:rsidRPr="00AD7452">
        <w:t xml:space="preserve">IoT. </w:t>
      </w:r>
      <w:r w:rsidR="00F94BAC" w:rsidRPr="00AD7452">
        <w:t xml:space="preserve">Un projet de norme </w:t>
      </w:r>
      <w:r w:rsidR="00486A60" w:rsidRPr="00AD7452">
        <w:t xml:space="preserve">sur la </w:t>
      </w:r>
      <w:r w:rsidR="00B13059" w:rsidRPr="00AD7452">
        <w:rPr>
          <w:i/>
        </w:rPr>
        <w:t>p</w:t>
      </w:r>
      <w:r w:rsidR="00F94BAC" w:rsidRPr="00AD7452">
        <w:rPr>
          <w:i/>
        </w:rPr>
        <w:t>rocédure de mise à jour sécurisée des logiciels</w:t>
      </w:r>
      <w:r w:rsidRPr="00AD7452">
        <w:rPr>
          <w:i/>
        </w:rPr>
        <w:t xml:space="preserve"> </w:t>
      </w:r>
      <w:r w:rsidR="00F94BAC" w:rsidRPr="00AD7452">
        <w:rPr>
          <w:i/>
        </w:rPr>
        <w:t>des dispositifs</w:t>
      </w:r>
      <w:r w:rsidRPr="00AD7452">
        <w:rPr>
          <w:i/>
        </w:rPr>
        <w:t xml:space="preserve"> IoT</w:t>
      </w:r>
      <w:r w:rsidR="00F94BAC" w:rsidRPr="00AD7452">
        <w:rPr>
          <w:i/>
          <w:iCs/>
        </w:rPr>
        <w:t xml:space="preserve"> </w:t>
      </w:r>
      <w:r w:rsidR="00F94BAC" w:rsidRPr="00AD7452">
        <w:rPr>
          <w:iCs/>
        </w:rPr>
        <w:t>est en cours d</w:t>
      </w:r>
      <w:r w:rsidR="00CD260D">
        <w:rPr>
          <w:iCs/>
        </w:rPr>
        <w:t>'</w:t>
      </w:r>
      <w:r w:rsidR="00F94BAC" w:rsidRPr="00AD7452">
        <w:rPr>
          <w:iCs/>
        </w:rPr>
        <w:t>approbation</w:t>
      </w:r>
      <w:r w:rsidR="00F94BAC" w:rsidRPr="00AD7452">
        <w:rPr>
          <w:i/>
          <w:iCs/>
        </w:rPr>
        <w:t>.</w:t>
      </w:r>
    </w:p>
    <w:p w14:paraId="306BEFAE" w14:textId="7E719BCB" w:rsidR="000A4E23" w:rsidRPr="00AD7452" w:rsidRDefault="000A4E23" w:rsidP="00CD260D">
      <w:r w:rsidRPr="00AD7452">
        <w:t>2.5.4</w:t>
      </w:r>
      <w:r w:rsidRPr="00AD7452">
        <w:tab/>
      </w:r>
      <w:r w:rsidR="00881239" w:rsidRPr="00AD7452">
        <w:t>La CE 20 de l</w:t>
      </w:r>
      <w:r w:rsidR="00CD260D">
        <w:t>'</w:t>
      </w:r>
      <w:r w:rsidR="00881239" w:rsidRPr="00AD7452">
        <w:t>UIT-T a approuvé treize normes UIT-T sur</w:t>
      </w:r>
      <w:r w:rsidRPr="00AD7452">
        <w:t xml:space="preserve"> </w:t>
      </w:r>
      <w:r w:rsidR="00881239" w:rsidRPr="00AD7452">
        <w:t>les ports intelligents</w:t>
      </w:r>
      <w:r w:rsidRPr="00AD7452">
        <w:t xml:space="preserve">, </w:t>
      </w:r>
      <w:r w:rsidR="00881239" w:rsidRPr="00AD7452">
        <w:t xml:space="preserve">les dispositifs </w:t>
      </w:r>
      <w:r w:rsidR="00486A60" w:rsidRPr="00AD7452">
        <w:t xml:space="preserve">IoT </w:t>
      </w:r>
      <w:r w:rsidR="00881239" w:rsidRPr="00AD7452">
        <w:t>mobiles</w:t>
      </w:r>
      <w:r w:rsidRPr="00AD7452">
        <w:t xml:space="preserve">, </w:t>
      </w:r>
      <w:r w:rsidR="00881239" w:rsidRPr="00AD7452">
        <w:t>l</w:t>
      </w:r>
      <w:r w:rsidR="00CD260D">
        <w:t>'</w:t>
      </w:r>
      <w:r w:rsidR="00881239" w:rsidRPr="00AD7452">
        <w:t xml:space="preserve">accessibilité </w:t>
      </w:r>
      <w:r w:rsidR="00486A60" w:rsidRPr="00AD7452">
        <w:t xml:space="preserve">des </w:t>
      </w:r>
      <w:r w:rsidR="00881239" w:rsidRPr="00AD7452">
        <w:t>services de transport public intelligents</w:t>
      </w:r>
      <w:r w:rsidRPr="00AD7452">
        <w:t xml:space="preserve">, </w:t>
      </w:r>
      <w:r w:rsidR="00881239" w:rsidRPr="00AD7452">
        <w:t xml:space="preserve">les dispositifs </w:t>
      </w:r>
      <w:r w:rsidRPr="00AD7452">
        <w:t xml:space="preserve">IoT </w:t>
      </w:r>
      <w:r w:rsidR="00881239" w:rsidRPr="00AD7452">
        <w:t>pour la maison intelligente, l</w:t>
      </w:r>
      <w:r w:rsidR="00CD260D">
        <w:t>'</w:t>
      </w:r>
      <w:r w:rsidR="00881239" w:rsidRPr="00AD7452">
        <w:t>IA au service des villes intelligentes et durables</w:t>
      </w:r>
      <w:r w:rsidRPr="00AD7452">
        <w:t xml:space="preserve">, </w:t>
      </w:r>
      <w:r w:rsidR="00881239" w:rsidRPr="00AD7452">
        <w:t>l</w:t>
      </w:r>
      <w:r w:rsidR="00CD260D">
        <w:t>'</w:t>
      </w:r>
      <w:r w:rsidR="00881239" w:rsidRPr="00AD7452">
        <w:t>interface API des capteurs</w:t>
      </w:r>
      <w:r w:rsidRPr="00AD7452">
        <w:t xml:space="preserve">, </w:t>
      </w:r>
      <w:r w:rsidR="00881239" w:rsidRPr="00AD7452">
        <w:t xml:space="preserve">les services </w:t>
      </w:r>
      <w:r w:rsidRPr="00AD7452">
        <w:t xml:space="preserve">IoT </w:t>
      </w:r>
      <w:r w:rsidR="00881239" w:rsidRPr="00AD7452">
        <w:t>utilisant les communications par lumière visible</w:t>
      </w:r>
      <w:r w:rsidRPr="00AD7452">
        <w:t xml:space="preserve">, </w:t>
      </w:r>
      <w:r w:rsidR="00881239" w:rsidRPr="00AD7452">
        <w:t>le cadre logiciel pour les dispositifs IoT</w:t>
      </w:r>
      <w:r w:rsidRPr="00AD7452">
        <w:t xml:space="preserve">, </w:t>
      </w:r>
      <w:r w:rsidR="00881239" w:rsidRPr="00AD7452">
        <w:t>le service intelligent de détection de fumée d</w:t>
      </w:r>
      <w:r w:rsidR="00CD260D">
        <w:t>'</w:t>
      </w:r>
      <w:r w:rsidR="00881239" w:rsidRPr="00AD7452">
        <w:t>incendie</w:t>
      </w:r>
      <w:r w:rsidRPr="00AD7452">
        <w:t xml:space="preserve">, </w:t>
      </w:r>
      <w:r w:rsidR="00881239" w:rsidRPr="00AD7452">
        <w:t xml:space="preserve">les </w:t>
      </w:r>
      <w:r w:rsidR="00486A60" w:rsidRPr="00AD7452">
        <w:t xml:space="preserve">technologies </w:t>
      </w:r>
      <w:r w:rsidRPr="00AD7452">
        <w:t xml:space="preserve">DLT </w:t>
      </w:r>
      <w:r w:rsidR="00E9161E" w:rsidRPr="00AD7452">
        <w:t>pour</w:t>
      </w:r>
      <w:r w:rsidRPr="00AD7452">
        <w:t xml:space="preserve"> </w:t>
      </w:r>
      <w:r w:rsidR="00881239" w:rsidRPr="00AD7452">
        <w:t>l</w:t>
      </w:r>
      <w:r w:rsidR="00CD260D">
        <w:t>'</w:t>
      </w:r>
      <w:r w:rsidRPr="00AD7452">
        <w:t xml:space="preserve">IoT, </w:t>
      </w:r>
      <w:r w:rsidR="00881239" w:rsidRPr="00AD7452">
        <w:t>les villes intelligentes</w:t>
      </w:r>
      <w:r w:rsidRPr="00AD7452">
        <w:t xml:space="preserve"> </w:t>
      </w:r>
      <w:r w:rsidR="00881239" w:rsidRPr="00AD7452">
        <w:t>et la gestion des indicateurs fondamentaux de performance</w:t>
      </w:r>
      <w:r w:rsidR="00BB6F17" w:rsidRPr="00AD7452">
        <w:t xml:space="preserve">. </w:t>
      </w:r>
      <w:r w:rsidRPr="00AD7452">
        <w:t>La normalisation des spécifications de test pour l</w:t>
      </w:r>
      <w:r w:rsidR="00CD260D">
        <w:t>'</w:t>
      </w:r>
      <w:r w:rsidRPr="00AD7452">
        <w:t>I</w:t>
      </w:r>
      <w:r w:rsidR="00E9161E" w:rsidRPr="00AD7452">
        <w:t xml:space="preserve">oT </w:t>
      </w:r>
      <w:r w:rsidRPr="00AD7452">
        <w:t>progresse rapidement, appuyée par la collaboration croissante entre l</w:t>
      </w:r>
      <w:r w:rsidR="00CD260D">
        <w:t>'</w:t>
      </w:r>
      <w:r w:rsidRPr="00AD7452">
        <w:t xml:space="preserve">UIT-T et oneM2M. </w:t>
      </w:r>
      <w:r w:rsidR="00200E4A" w:rsidRPr="00AD7452">
        <w:t>La CE 20 poursuit ses activités relatives à l</w:t>
      </w:r>
      <w:r w:rsidR="00CD260D">
        <w:t>'</w:t>
      </w:r>
      <w:r w:rsidR="00200E4A" w:rsidRPr="00AD7452">
        <w:t>Internet dans le cadre d</w:t>
      </w:r>
      <w:r w:rsidR="00CD260D">
        <w:t>'</w:t>
      </w:r>
      <w:r w:rsidR="00200E4A" w:rsidRPr="00AD7452">
        <w:t>un vaste programme de travail sur l</w:t>
      </w:r>
      <w:r w:rsidR="00CD260D">
        <w:t>'</w:t>
      </w:r>
      <w:r w:rsidR="00200E4A" w:rsidRPr="00AD7452">
        <w:t>IoT et les villes intelligentes et durables</w:t>
      </w:r>
      <w:r w:rsidRPr="00AD7452">
        <w:t>.</w:t>
      </w:r>
    </w:p>
    <w:p w14:paraId="37D6BEC7" w14:textId="77777777" w:rsidR="000A4E23" w:rsidRPr="00AD7452" w:rsidRDefault="000A4E23" w:rsidP="0031797E">
      <w:pPr>
        <w:rPr>
          <w:rFonts w:asciiTheme="minorHAnsi" w:hAnsiTheme="minorHAnsi" w:cstheme="minorHAnsi"/>
          <w:b/>
          <w:bCs/>
          <w:szCs w:val="24"/>
        </w:rPr>
      </w:pPr>
      <w:r w:rsidRPr="00AD7452">
        <w:rPr>
          <w:rFonts w:asciiTheme="minorHAnsi" w:hAnsiTheme="minorHAnsi"/>
          <w:b/>
        </w:rPr>
        <w:t>2.</w:t>
      </w:r>
      <w:r w:rsidRPr="00AD7452">
        <w:rPr>
          <w:rFonts w:asciiTheme="minorHAnsi" w:hAnsiTheme="minorHAnsi" w:cstheme="minorHAnsi"/>
          <w:b/>
          <w:bCs/>
          <w:szCs w:val="24"/>
        </w:rPr>
        <w:t>6</w:t>
      </w:r>
      <w:r w:rsidRPr="00AD7452">
        <w:rPr>
          <w:rFonts w:asciiTheme="minorHAnsi" w:hAnsiTheme="minorHAnsi" w:cstheme="minorHAnsi"/>
          <w:b/>
          <w:bCs/>
          <w:szCs w:val="24"/>
        </w:rPr>
        <w:tab/>
      </w:r>
      <w:r w:rsidR="00BB6F17" w:rsidRPr="00AD7452">
        <w:rPr>
          <w:rFonts w:asciiTheme="minorHAnsi" w:hAnsiTheme="minorHAnsi" w:cstheme="minorHAnsi"/>
          <w:b/>
          <w:bCs/>
          <w:szCs w:val="24"/>
        </w:rPr>
        <w:t>Villes intelligentes</w:t>
      </w:r>
    </w:p>
    <w:p w14:paraId="4461A698" w14:textId="371ED22A" w:rsidR="00BB6F17" w:rsidRPr="00AD7452" w:rsidRDefault="00BB6F17" w:rsidP="00CD260D">
      <w:r w:rsidRPr="00AD7452">
        <w:t>2.6.1</w:t>
      </w:r>
      <w:r w:rsidRPr="00AD7452">
        <w:tab/>
      </w:r>
      <w:r w:rsidR="002977C0" w:rsidRPr="00AD7452">
        <w:t>Dans le cadre</w:t>
      </w:r>
      <w:r w:rsidR="00E31AF6" w:rsidRPr="00AD7452">
        <w:t xml:space="preserve"> de</w:t>
      </w:r>
      <w:r w:rsidRPr="00AD7452">
        <w:t xml:space="preserve"> </w:t>
      </w:r>
      <w:r w:rsidR="00E31AF6" w:rsidRPr="00AD7452">
        <w:t>l</w:t>
      </w:r>
      <w:r w:rsidR="00CD260D">
        <w:t>'</w:t>
      </w:r>
      <w:hyperlink r:id="rId39" w:history="1">
        <w:r w:rsidR="00E31AF6" w:rsidRPr="00AD7452">
          <w:rPr>
            <w:rStyle w:val="Hyperlink"/>
            <w:rFonts w:asciiTheme="minorHAnsi" w:hAnsiTheme="minorHAnsi" w:cstheme="minorHAnsi"/>
            <w:bCs/>
            <w:szCs w:val="24"/>
          </w:rPr>
          <w:t>I</w:t>
        </w:r>
        <w:r w:rsidRPr="00AD7452">
          <w:rPr>
            <w:rStyle w:val="Hyperlink"/>
            <w:rFonts w:asciiTheme="minorHAnsi" w:hAnsiTheme="minorHAnsi" w:cstheme="minorHAnsi"/>
            <w:bCs/>
            <w:szCs w:val="24"/>
          </w:rPr>
          <w:t>nitiative</w:t>
        </w:r>
        <w:r w:rsidR="00E31AF6" w:rsidRPr="00AD7452">
          <w:rPr>
            <w:rStyle w:val="Hyperlink"/>
            <w:rFonts w:asciiTheme="minorHAnsi" w:hAnsiTheme="minorHAnsi" w:cstheme="minorHAnsi"/>
            <w:bCs/>
            <w:szCs w:val="24"/>
          </w:rPr>
          <w:t xml:space="preserve"> "Tous unis pour des villes intelligentes et durables" (U4SSC)</w:t>
        </w:r>
      </w:hyperlink>
      <w:r w:rsidRPr="00AD7452">
        <w:t xml:space="preserve">, </w:t>
      </w:r>
      <w:r w:rsidR="00E31AF6" w:rsidRPr="00AD7452">
        <w:t>trois</w:t>
      </w:r>
      <w:r w:rsidRPr="00AD7452">
        <w:t xml:space="preserve"> </w:t>
      </w:r>
      <w:r w:rsidR="00E31AF6" w:rsidRPr="00AD7452">
        <w:t>produits sur les</w:t>
      </w:r>
      <w:r w:rsidRPr="00AD7452">
        <w:t xml:space="preserve"> </w:t>
      </w:r>
      <w:r w:rsidR="00E31AF6" w:rsidRPr="00AD7452">
        <w:t>villes circulaires</w:t>
      </w:r>
      <w:r w:rsidRPr="00AD7452">
        <w:t xml:space="preserve">, </w:t>
      </w:r>
      <w:r w:rsidR="00E31AF6" w:rsidRPr="00AD7452">
        <w:t xml:space="preserve">la transformation des villes et les </w:t>
      </w:r>
      <w:r w:rsidR="00486A60" w:rsidRPr="00AD7452">
        <w:t xml:space="preserve">technologies </w:t>
      </w:r>
      <w:r w:rsidR="00E31AF6" w:rsidRPr="00AD7452">
        <w:t>DLT ont été publiés</w:t>
      </w:r>
      <w:r w:rsidRPr="00AD7452">
        <w:t xml:space="preserve">. </w:t>
      </w:r>
      <w:r w:rsidR="002977C0" w:rsidRPr="00AD7452">
        <w:t>Des</w:t>
      </w:r>
      <w:r w:rsidRPr="00AD7452">
        <w:t xml:space="preserve"> </w:t>
      </w:r>
      <w:r w:rsidR="00E31AF6" w:rsidRPr="00AD7452">
        <w:t xml:space="preserve">instantanés </w:t>
      </w:r>
      <w:r w:rsidR="002B3E0E" w:rsidRPr="00AD7452">
        <w:t xml:space="preserve">ont également été publiés pour </w:t>
      </w:r>
      <w:r w:rsidR="002977C0" w:rsidRPr="00AD7452">
        <w:t>plusieurs</w:t>
      </w:r>
      <w:r w:rsidR="002B3E0E" w:rsidRPr="00AD7452">
        <w:t xml:space="preserve"> villes</w:t>
      </w:r>
      <w:r w:rsidR="002977C0" w:rsidRPr="00AD7452">
        <w:t xml:space="preserve">, </w:t>
      </w:r>
      <w:r w:rsidR="006B7D2B" w:rsidRPr="00AD7452">
        <w:t>faisant ainsi état d</w:t>
      </w:r>
      <w:r w:rsidR="00A40A39" w:rsidRPr="00AD7452">
        <w:t>es</w:t>
      </w:r>
      <w:r w:rsidR="00836F9A" w:rsidRPr="00AD7452">
        <w:t xml:space="preserve"> progrès </w:t>
      </w:r>
      <w:r w:rsidR="002977C0" w:rsidRPr="00AD7452">
        <w:t xml:space="preserve">accomplis </w:t>
      </w:r>
      <w:r w:rsidR="00836F9A" w:rsidRPr="00AD7452">
        <w:t>dans</w:t>
      </w:r>
      <w:r w:rsidR="00E31AF6" w:rsidRPr="00AD7452">
        <w:t xml:space="preserve"> la mise en œuvre des</w:t>
      </w:r>
      <w:r w:rsidRPr="00AD7452">
        <w:t xml:space="preserve"> </w:t>
      </w:r>
      <w:r w:rsidR="00D94778" w:rsidRPr="00AD7452">
        <w:rPr>
          <w:i/>
          <w:iCs/>
        </w:rPr>
        <w:t>Indicateurs fondamentaux de performance pour les villes intelligentes et durables</w:t>
      </w:r>
      <w:r w:rsidRPr="00AD7452">
        <w:rPr>
          <w:i/>
        </w:rPr>
        <w:t>.</w:t>
      </w:r>
    </w:p>
    <w:p w14:paraId="7140E7F0" w14:textId="681B29BB" w:rsidR="00BB6F17" w:rsidRPr="00AD7452" w:rsidRDefault="00BB6F17" w:rsidP="0031797E">
      <w:r w:rsidRPr="00AD7452">
        <w:rPr>
          <w:rFonts w:asciiTheme="minorHAnsi" w:hAnsiTheme="minorHAnsi"/>
        </w:rPr>
        <w:t>2.</w:t>
      </w:r>
      <w:r w:rsidRPr="00AD7452">
        <w:rPr>
          <w:rFonts w:asciiTheme="minorHAnsi" w:hAnsiTheme="minorHAnsi" w:cstheme="minorHAnsi"/>
          <w:szCs w:val="24"/>
        </w:rPr>
        <w:t>6.2</w:t>
      </w:r>
      <w:r w:rsidRPr="00AD7452">
        <w:rPr>
          <w:rFonts w:asciiTheme="minorHAnsi" w:hAnsiTheme="minorHAnsi"/>
        </w:rPr>
        <w:tab/>
      </w:r>
      <w:r w:rsidR="00750921" w:rsidRPr="00AD7452">
        <w:t>La CE </w:t>
      </w:r>
      <w:r w:rsidR="00D94778" w:rsidRPr="00AD7452">
        <w:t>20 a poursuivi le travail de coordination concernant l</w:t>
      </w:r>
      <w:r w:rsidR="00CD260D">
        <w:t>'</w:t>
      </w:r>
      <w:r w:rsidR="00D94778" w:rsidRPr="00AD7452">
        <w:t>IoT dans le cadre de l</w:t>
      </w:r>
      <w:r w:rsidR="00CD260D">
        <w:t>'</w:t>
      </w:r>
      <w:r w:rsidR="00D94778" w:rsidRPr="00AD7452">
        <w:t>Activité conjointe sur l</w:t>
      </w:r>
      <w:r w:rsidR="00CD260D">
        <w:t>'</w:t>
      </w:r>
      <w:r w:rsidR="00D94778" w:rsidRPr="00AD7452">
        <w:t xml:space="preserve">IoT et les villes et communautés intelligentes, qui est sous sa responsabilité. La CE 20 travaille en collaboration avec </w:t>
      </w:r>
      <w:r w:rsidR="003D4C3E" w:rsidRPr="00AD7452">
        <w:t>l</w:t>
      </w:r>
      <w:r w:rsidR="00CD260D">
        <w:t>'</w:t>
      </w:r>
      <w:r w:rsidR="00D94778" w:rsidRPr="00AD7452">
        <w:t xml:space="preserve">IETF </w:t>
      </w:r>
      <w:r w:rsidR="00DA2BC3" w:rsidRPr="00AD7452">
        <w:t>sur l</w:t>
      </w:r>
      <w:r w:rsidR="00CD260D">
        <w:t>'</w:t>
      </w:r>
      <w:r w:rsidR="00DA2BC3" w:rsidRPr="00AD7452">
        <w:t>utilisation</w:t>
      </w:r>
      <w:r w:rsidR="00D94778" w:rsidRPr="00AD7452">
        <w:t xml:space="preserve"> </w:t>
      </w:r>
      <w:r w:rsidR="00DA2BC3" w:rsidRPr="00AD7452">
        <w:t>du nom de système URI "</w:t>
      </w:r>
      <w:r w:rsidR="00DA2BC3" w:rsidRPr="00AD7452">
        <w:rPr>
          <w:i/>
          <w:iCs/>
        </w:rPr>
        <w:t>ppk</w:t>
      </w:r>
      <w:r w:rsidR="00DA2BC3" w:rsidRPr="00AD7452">
        <w:t>"</w:t>
      </w:r>
      <w:r w:rsidRPr="00AD7452">
        <w:rPr>
          <w:rFonts w:asciiTheme="minorHAnsi" w:hAnsiTheme="minorHAnsi"/>
        </w:rPr>
        <w:t xml:space="preserve">, </w:t>
      </w:r>
      <w:r w:rsidR="00DA2BC3" w:rsidRPr="00AD7452">
        <w:rPr>
          <w:rFonts w:asciiTheme="minorHAnsi" w:hAnsiTheme="minorHAnsi"/>
        </w:rPr>
        <w:t>avec</w:t>
      </w:r>
      <w:r w:rsidRPr="00AD7452">
        <w:rPr>
          <w:rFonts w:asciiTheme="minorHAnsi" w:hAnsiTheme="minorHAnsi"/>
        </w:rPr>
        <w:t xml:space="preserve"> oneM2M </w:t>
      </w:r>
      <w:r w:rsidR="003D4C3E" w:rsidRPr="00AD7452">
        <w:rPr>
          <w:rFonts w:asciiTheme="minorHAnsi" w:hAnsiTheme="minorHAnsi"/>
        </w:rPr>
        <w:t>sur</w:t>
      </w:r>
      <w:r w:rsidRPr="00AD7452">
        <w:rPr>
          <w:rFonts w:asciiTheme="minorHAnsi" w:hAnsiTheme="minorHAnsi"/>
        </w:rPr>
        <w:t xml:space="preserve"> </w:t>
      </w:r>
      <w:r w:rsidR="003D4C3E" w:rsidRPr="00AD7452">
        <w:rPr>
          <w:rFonts w:asciiTheme="minorHAnsi" w:hAnsiTheme="minorHAnsi"/>
        </w:rPr>
        <w:t>les</w:t>
      </w:r>
      <w:r w:rsidR="003D4C3E" w:rsidRPr="00AD7452">
        <w:rPr>
          <w:rFonts w:asciiTheme="minorHAnsi" w:hAnsiTheme="minorHAnsi"/>
          <w:i/>
        </w:rPr>
        <w:t xml:space="preserve"> </w:t>
      </w:r>
      <w:r w:rsidR="003D4C3E" w:rsidRPr="00AD7452">
        <w:rPr>
          <w:rFonts w:asciiTheme="minorHAnsi" w:hAnsiTheme="minorHAnsi"/>
          <w:i/>
          <w:iCs/>
        </w:rPr>
        <w:t xml:space="preserve">solutions de sécurité </w:t>
      </w:r>
      <w:r w:rsidRPr="00AD7452">
        <w:rPr>
          <w:rFonts w:asciiTheme="minorHAnsi" w:hAnsiTheme="minorHAnsi"/>
          <w:i/>
          <w:iCs/>
        </w:rPr>
        <w:t>oneM2M</w:t>
      </w:r>
      <w:r w:rsidRPr="00AD7452">
        <w:rPr>
          <w:rFonts w:asciiTheme="minorHAnsi" w:hAnsiTheme="minorHAnsi" w:cstheme="minorHAnsi"/>
          <w:szCs w:val="24"/>
        </w:rPr>
        <w:t>,</w:t>
      </w:r>
      <w:r w:rsidRPr="00AD7452">
        <w:rPr>
          <w:rFonts w:asciiTheme="minorHAnsi" w:hAnsiTheme="minorHAnsi"/>
        </w:rPr>
        <w:t xml:space="preserve"> </w:t>
      </w:r>
      <w:r w:rsidR="003D4C3E" w:rsidRPr="00AD7452">
        <w:rPr>
          <w:rFonts w:asciiTheme="minorHAnsi" w:hAnsiTheme="minorHAnsi"/>
        </w:rPr>
        <w:t>ainsi qu</w:t>
      </w:r>
      <w:r w:rsidR="00CD260D">
        <w:rPr>
          <w:rFonts w:asciiTheme="minorHAnsi" w:hAnsiTheme="minorHAnsi"/>
        </w:rPr>
        <w:t>'</w:t>
      </w:r>
      <w:r w:rsidR="003D4C3E" w:rsidRPr="00AD7452">
        <w:rPr>
          <w:rFonts w:asciiTheme="minorHAnsi" w:hAnsiTheme="minorHAnsi"/>
        </w:rPr>
        <w:t>avec</w:t>
      </w:r>
      <w:r w:rsidRPr="00AD7452">
        <w:rPr>
          <w:rFonts w:asciiTheme="minorHAnsi" w:hAnsiTheme="minorHAnsi"/>
        </w:rPr>
        <w:t xml:space="preserve"> </w:t>
      </w:r>
      <w:r w:rsidR="003D4C3E" w:rsidRPr="00AD7452">
        <w:rPr>
          <w:rFonts w:asciiTheme="minorHAnsi" w:hAnsiTheme="minorHAnsi"/>
        </w:rPr>
        <w:t xml:space="preserve">le </w:t>
      </w:r>
      <w:r w:rsidRPr="00AD7452">
        <w:rPr>
          <w:rFonts w:asciiTheme="minorHAnsi" w:hAnsiTheme="minorHAnsi"/>
        </w:rPr>
        <w:t xml:space="preserve">W3C </w:t>
      </w:r>
      <w:r w:rsidR="003D4C3E" w:rsidRPr="00AD7452">
        <w:rPr>
          <w:rFonts w:asciiTheme="minorHAnsi" w:hAnsiTheme="minorHAnsi"/>
        </w:rPr>
        <w:t>sur les identifiants décentralisés</w:t>
      </w:r>
      <w:r w:rsidRPr="00AD7452">
        <w:rPr>
          <w:rFonts w:asciiTheme="minorHAnsi" w:hAnsiTheme="minorHAnsi"/>
        </w:rPr>
        <w:t>.</w:t>
      </w:r>
      <w:r w:rsidRPr="00AD7452">
        <w:rPr>
          <w:rFonts w:asciiTheme="minorHAnsi" w:hAnsiTheme="minorHAnsi" w:cstheme="minorHAnsi"/>
          <w:szCs w:val="24"/>
        </w:rPr>
        <w:t xml:space="preserve"> </w:t>
      </w:r>
      <w:r w:rsidR="003D4C3E" w:rsidRPr="00AD7452">
        <w:rPr>
          <w:rFonts w:asciiTheme="minorHAnsi" w:hAnsiTheme="minorHAnsi" w:cstheme="minorHAnsi"/>
          <w:bCs/>
          <w:szCs w:val="24"/>
        </w:rPr>
        <w:t>La CEI</w:t>
      </w:r>
      <w:r w:rsidRPr="00AD7452">
        <w:rPr>
          <w:rFonts w:asciiTheme="minorHAnsi" w:hAnsiTheme="minorHAnsi" w:cstheme="minorHAnsi"/>
          <w:bCs/>
          <w:szCs w:val="24"/>
        </w:rPr>
        <w:t xml:space="preserve">, </w:t>
      </w:r>
      <w:r w:rsidR="003D4C3E" w:rsidRPr="00AD7452">
        <w:rPr>
          <w:rFonts w:asciiTheme="minorHAnsi" w:hAnsiTheme="minorHAnsi" w:cstheme="minorHAnsi"/>
          <w:bCs/>
          <w:szCs w:val="24"/>
        </w:rPr>
        <w:t>l</w:t>
      </w:r>
      <w:r w:rsidR="00CD260D">
        <w:rPr>
          <w:rFonts w:asciiTheme="minorHAnsi" w:hAnsiTheme="minorHAnsi" w:cstheme="minorHAnsi"/>
          <w:bCs/>
          <w:szCs w:val="24"/>
        </w:rPr>
        <w:t>'</w:t>
      </w:r>
      <w:r w:rsidRPr="00AD7452">
        <w:rPr>
          <w:rFonts w:asciiTheme="minorHAnsi" w:hAnsiTheme="minorHAnsi" w:cstheme="minorHAnsi"/>
          <w:bCs/>
          <w:szCs w:val="24"/>
        </w:rPr>
        <w:t xml:space="preserve">ISO, </w:t>
      </w:r>
      <w:r w:rsidR="003D4C3E" w:rsidRPr="00AD7452">
        <w:rPr>
          <w:rFonts w:asciiTheme="minorHAnsi" w:hAnsiTheme="minorHAnsi" w:cstheme="minorHAnsi"/>
          <w:bCs/>
          <w:szCs w:val="24"/>
        </w:rPr>
        <w:t>et l</w:t>
      </w:r>
      <w:r w:rsidR="00CD260D">
        <w:rPr>
          <w:rFonts w:asciiTheme="minorHAnsi" w:hAnsiTheme="minorHAnsi" w:cstheme="minorHAnsi"/>
          <w:bCs/>
          <w:szCs w:val="24"/>
        </w:rPr>
        <w:t>'</w:t>
      </w:r>
      <w:r w:rsidR="003D4C3E" w:rsidRPr="00AD7452">
        <w:rPr>
          <w:rFonts w:asciiTheme="minorHAnsi" w:hAnsiTheme="minorHAnsi" w:cstheme="minorHAnsi"/>
          <w:bCs/>
          <w:szCs w:val="24"/>
        </w:rPr>
        <w:t>UIT ont créé</w:t>
      </w:r>
      <w:r w:rsidRPr="00AD7452">
        <w:rPr>
          <w:rFonts w:asciiTheme="minorHAnsi" w:hAnsiTheme="minorHAnsi" w:cstheme="minorHAnsi"/>
          <w:bCs/>
          <w:szCs w:val="24"/>
        </w:rPr>
        <w:t xml:space="preserve"> </w:t>
      </w:r>
      <w:r w:rsidR="003D4C3E" w:rsidRPr="00AD7452">
        <w:rPr>
          <w:rFonts w:asciiTheme="minorHAnsi" w:hAnsiTheme="minorHAnsi" w:cstheme="minorHAnsi"/>
          <w:bCs/>
          <w:szCs w:val="24"/>
        </w:rPr>
        <w:t>et lancé</w:t>
      </w:r>
      <w:r w:rsidRPr="00AD7452">
        <w:rPr>
          <w:rFonts w:asciiTheme="minorHAnsi" w:hAnsiTheme="minorHAnsi" w:cstheme="minorHAnsi"/>
          <w:bCs/>
          <w:szCs w:val="24"/>
        </w:rPr>
        <w:t xml:space="preserve"> </w:t>
      </w:r>
      <w:r w:rsidR="003D4C3E" w:rsidRPr="00AD7452">
        <w:rPr>
          <w:rFonts w:asciiTheme="minorHAnsi" w:hAnsiTheme="minorHAnsi" w:cstheme="minorHAnsi"/>
          <w:bCs/>
          <w:szCs w:val="24"/>
        </w:rPr>
        <w:t>le</w:t>
      </w:r>
      <w:r w:rsidRPr="00AD7452">
        <w:rPr>
          <w:rFonts w:asciiTheme="minorHAnsi" w:hAnsiTheme="minorHAnsi" w:cstheme="minorHAnsi"/>
          <w:bCs/>
          <w:szCs w:val="24"/>
        </w:rPr>
        <w:t xml:space="preserve"> </w:t>
      </w:r>
      <w:r w:rsidR="003D4C3E" w:rsidRPr="00AD7452">
        <w:rPr>
          <w:rFonts w:asciiTheme="minorHAnsi" w:hAnsiTheme="minorHAnsi" w:cstheme="minorHAnsi"/>
          <w:bCs/>
          <w:szCs w:val="24"/>
        </w:rPr>
        <w:t>Groupe d</w:t>
      </w:r>
      <w:r w:rsidR="00CD260D">
        <w:rPr>
          <w:rFonts w:asciiTheme="minorHAnsi" w:hAnsiTheme="minorHAnsi" w:cstheme="minorHAnsi"/>
          <w:bCs/>
          <w:szCs w:val="24"/>
        </w:rPr>
        <w:t>'</w:t>
      </w:r>
      <w:r w:rsidR="003D4C3E" w:rsidRPr="00AD7452">
        <w:rPr>
          <w:rFonts w:asciiTheme="minorHAnsi" w:hAnsiTheme="minorHAnsi" w:cstheme="minorHAnsi"/>
          <w:bCs/>
          <w:szCs w:val="24"/>
        </w:rPr>
        <w:t>action mixte CEI-ISO-UIT sur les villes intelligentes</w:t>
      </w:r>
      <w:r w:rsidRPr="00AD7452">
        <w:rPr>
          <w:rFonts w:asciiTheme="minorHAnsi" w:hAnsiTheme="minorHAnsi" w:cstheme="minorHAnsi"/>
          <w:bCs/>
          <w:szCs w:val="24"/>
        </w:rPr>
        <w:t xml:space="preserve"> </w:t>
      </w:r>
      <w:r w:rsidR="00F120D4" w:rsidRPr="00AD7452">
        <w:rPr>
          <w:rFonts w:asciiTheme="minorHAnsi" w:hAnsiTheme="minorHAnsi" w:cstheme="minorHAnsi"/>
          <w:bCs/>
          <w:szCs w:val="24"/>
        </w:rPr>
        <w:t>afin</w:t>
      </w:r>
      <w:r w:rsidR="003D4C3E" w:rsidRPr="00AD7452">
        <w:rPr>
          <w:rFonts w:asciiTheme="minorHAnsi" w:hAnsiTheme="minorHAnsi" w:cstheme="minorHAnsi"/>
          <w:bCs/>
          <w:szCs w:val="24"/>
        </w:rPr>
        <w:t xml:space="preserve"> </w:t>
      </w:r>
      <w:r w:rsidR="0065335D" w:rsidRPr="00AD7452">
        <w:rPr>
          <w:rFonts w:asciiTheme="minorHAnsi" w:hAnsiTheme="minorHAnsi" w:cstheme="minorHAnsi"/>
          <w:bCs/>
          <w:szCs w:val="24"/>
        </w:rPr>
        <w:t xml:space="preserve">de se coordonner </w:t>
      </w:r>
      <w:r w:rsidR="00F120D4" w:rsidRPr="00AD7452">
        <w:rPr>
          <w:rFonts w:asciiTheme="minorHAnsi" w:hAnsiTheme="minorHAnsi" w:cstheme="minorHAnsi"/>
          <w:bCs/>
          <w:szCs w:val="24"/>
        </w:rPr>
        <w:t xml:space="preserve">toutes les trois </w:t>
      </w:r>
      <w:r w:rsidR="00F13792" w:rsidRPr="00AD7452">
        <w:rPr>
          <w:rFonts w:asciiTheme="minorHAnsi" w:hAnsiTheme="minorHAnsi" w:cstheme="minorHAnsi"/>
          <w:bCs/>
          <w:szCs w:val="24"/>
        </w:rPr>
        <w:t>en matière de normalisation</w:t>
      </w:r>
      <w:r w:rsidRPr="00AD7452">
        <w:rPr>
          <w:rFonts w:asciiTheme="minorHAnsi" w:hAnsiTheme="minorHAnsi" w:cstheme="minorHAnsi"/>
          <w:bCs/>
          <w:szCs w:val="24"/>
        </w:rPr>
        <w:t>.</w:t>
      </w:r>
    </w:p>
    <w:p w14:paraId="620ED068" w14:textId="70F13555" w:rsidR="00D94778" w:rsidRPr="00CD260D" w:rsidRDefault="00D2172E" w:rsidP="00CD260D">
      <w:pPr>
        <w:rPr>
          <w:b/>
        </w:rPr>
      </w:pPr>
      <w:r w:rsidRPr="00CD260D">
        <w:rPr>
          <w:b/>
        </w:rPr>
        <w:t>2.</w:t>
      </w:r>
      <w:r w:rsidR="00D94778" w:rsidRPr="00CD260D">
        <w:rPr>
          <w:b/>
        </w:rPr>
        <w:t>7</w:t>
      </w:r>
      <w:r w:rsidR="00D94778" w:rsidRPr="00CD260D">
        <w:rPr>
          <w:b/>
        </w:rPr>
        <w:tab/>
        <w:t>Qualité de service et qualité d</w:t>
      </w:r>
      <w:r w:rsidR="00CD260D">
        <w:rPr>
          <w:b/>
        </w:rPr>
        <w:t>'</w:t>
      </w:r>
      <w:r w:rsidR="00D94778" w:rsidRPr="00CD260D">
        <w:rPr>
          <w:b/>
        </w:rPr>
        <w:t>expérience</w:t>
      </w:r>
    </w:p>
    <w:p w14:paraId="6D5E071C" w14:textId="09E9826E" w:rsidR="002511F5" w:rsidRPr="00AD7452" w:rsidRDefault="00982395" w:rsidP="00B87B60">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szCs w:val="24"/>
        </w:rPr>
      </w:pPr>
      <w:r>
        <w:t>2.7.1</w:t>
      </w:r>
      <w:r>
        <w:tab/>
      </w:r>
      <w:r w:rsidR="002511F5" w:rsidRPr="00AD7452">
        <w:t>La CE 12 de l</w:t>
      </w:r>
      <w:r w:rsidR="00CD260D">
        <w:t>'</w:t>
      </w:r>
      <w:r w:rsidR="002511F5" w:rsidRPr="00AD7452">
        <w:t>UIT-T a approuvé une norme de l</w:t>
      </w:r>
      <w:r w:rsidR="00CD260D">
        <w:t>'</w:t>
      </w:r>
      <w:r w:rsidR="002511F5" w:rsidRPr="00AD7452">
        <w:t>UIT sur un algorithme de recherche pour les paramètres et les méthodes de mesure de la capacité IP</w:t>
      </w:r>
      <w:r w:rsidR="009A6456" w:rsidRPr="00AD7452">
        <w:rPr>
          <w:rFonts w:asciiTheme="minorHAnsi" w:hAnsiTheme="minorHAnsi" w:cstheme="minorHAnsi"/>
          <w:szCs w:val="24"/>
        </w:rPr>
        <w:t>, ainsi qu</w:t>
      </w:r>
      <w:r w:rsidR="00CD260D">
        <w:rPr>
          <w:rFonts w:asciiTheme="minorHAnsi" w:hAnsiTheme="minorHAnsi" w:cstheme="minorHAnsi"/>
          <w:szCs w:val="24"/>
        </w:rPr>
        <w:t>'</w:t>
      </w:r>
      <w:r w:rsidR="009A6456" w:rsidRPr="00AD7452">
        <w:rPr>
          <w:rFonts w:asciiTheme="minorHAnsi" w:hAnsiTheme="minorHAnsi" w:cstheme="minorHAnsi"/>
          <w:szCs w:val="24"/>
        </w:rPr>
        <w:t>un Supplément sur</w:t>
      </w:r>
      <w:r w:rsidR="002511F5" w:rsidRPr="00AD7452">
        <w:rPr>
          <w:rFonts w:asciiTheme="minorHAnsi" w:hAnsiTheme="minorHAnsi" w:cstheme="minorHAnsi"/>
          <w:szCs w:val="24"/>
        </w:rPr>
        <w:t xml:space="preserve"> </w:t>
      </w:r>
      <w:r w:rsidR="009A6456" w:rsidRPr="00AD7452">
        <w:rPr>
          <w:rFonts w:asciiTheme="minorHAnsi" w:hAnsiTheme="minorHAnsi" w:cstheme="minorHAnsi"/>
          <w:szCs w:val="24"/>
        </w:rPr>
        <w:t>les mesures de la</w:t>
      </w:r>
      <w:r w:rsidR="002511F5" w:rsidRPr="00AD7452">
        <w:rPr>
          <w:rFonts w:asciiTheme="minorHAnsi" w:hAnsiTheme="minorHAnsi" w:cstheme="minorHAnsi"/>
          <w:szCs w:val="24"/>
        </w:rPr>
        <w:t xml:space="preserve"> </w:t>
      </w:r>
      <w:r w:rsidR="009A6456" w:rsidRPr="00AD7452">
        <w:rPr>
          <w:rFonts w:asciiTheme="minorHAnsi" w:hAnsiTheme="minorHAnsi" w:cstheme="minorHAnsi"/>
          <w:szCs w:val="24"/>
        </w:rPr>
        <w:t xml:space="preserve">capacité </w:t>
      </w:r>
      <w:r w:rsidR="0065335D" w:rsidRPr="00AD7452">
        <w:rPr>
          <w:rFonts w:asciiTheme="minorHAnsi" w:hAnsiTheme="minorHAnsi" w:cstheme="minorHAnsi"/>
          <w:szCs w:val="24"/>
        </w:rPr>
        <w:t xml:space="preserve">maximale </w:t>
      </w:r>
      <w:r w:rsidR="009A6456" w:rsidRPr="00AD7452">
        <w:rPr>
          <w:rFonts w:asciiTheme="minorHAnsi" w:hAnsiTheme="minorHAnsi" w:cstheme="minorHAnsi"/>
          <w:szCs w:val="24"/>
        </w:rPr>
        <w:t>de la couche IP</w:t>
      </w:r>
      <w:r w:rsidR="002511F5" w:rsidRPr="00AD7452">
        <w:rPr>
          <w:rFonts w:asciiTheme="minorHAnsi" w:hAnsiTheme="minorHAnsi" w:cstheme="minorHAnsi"/>
          <w:szCs w:val="24"/>
        </w:rPr>
        <w:t xml:space="preserve">. </w:t>
      </w:r>
      <w:r w:rsidR="009A6456" w:rsidRPr="00AD7452">
        <w:rPr>
          <w:rFonts w:asciiTheme="minorHAnsi" w:hAnsiTheme="minorHAnsi" w:cstheme="minorHAnsi"/>
          <w:szCs w:val="24"/>
        </w:rPr>
        <w:t xml:space="preserve">Les travaux précités sont </w:t>
      </w:r>
      <w:r w:rsidR="00D01B6D" w:rsidRPr="00AD7452">
        <w:rPr>
          <w:rFonts w:asciiTheme="minorHAnsi" w:hAnsiTheme="minorHAnsi" w:cstheme="minorHAnsi"/>
          <w:szCs w:val="24"/>
        </w:rPr>
        <w:t>harmonisés avec</w:t>
      </w:r>
      <w:r w:rsidR="009A6456" w:rsidRPr="00AD7452">
        <w:rPr>
          <w:rFonts w:asciiTheme="minorHAnsi" w:hAnsiTheme="minorHAnsi" w:cstheme="minorHAnsi"/>
          <w:szCs w:val="24"/>
        </w:rPr>
        <w:t xml:space="preserve"> ceux du groupe de travail </w:t>
      </w:r>
      <w:r w:rsidR="0065335D" w:rsidRPr="00AD7452">
        <w:rPr>
          <w:rFonts w:asciiTheme="minorHAnsi" w:hAnsiTheme="minorHAnsi" w:cstheme="minorHAnsi"/>
          <w:szCs w:val="24"/>
        </w:rPr>
        <w:t>de l</w:t>
      </w:r>
      <w:r w:rsidR="00CD260D">
        <w:rPr>
          <w:rFonts w:asciiTheme="minorHAnsi" w:hAnsiTheme="minorHAnsi" w:cstheme="minorHAnsi"/>
          <w:szCs w:val="24"/>
        </w:rPr>
        <w:t>'</w:t>
      </w:r>
      <w:r w:rsidR="0065335D" w:rsidRPr="00AD7452">
        <w:rPr>
          <w:rFonts w:asciiTheme="minorHAnsi" w:hAnsiTheme="minorHAnsi" w:cstheme="minorHAnsi"/>
          <w:szCs w:val="24"/>
        </w:rPr>
        <w:t xml:space="preserve">IETF sur les </w:t>
      </w:r>
      <w:r w:rsidR="009A6456" w:rsidRPr="00AD7452">
        <w:rPr>
          <w:rFonts w:asciiTheme="minorHAnsi" w:hAnsiTheme="minorHAnsi" w:cstheme="minorHAnsi"/>
          <w:szCs w:val="24"/>
        </w:rPr>
        <w:t xml:space="preserve">mesures de </w:t>
      </w:r>
      <w:r w:rsidR="0065335D" w:rsidRPr="00AD7452">
        <w:rPr>
          <w:rFonts w:asciiTheme="minorHAnsi" w:hAnsiTheme="minorHAnsi" w:cstheme="minorHAnsi"/>
          <w:szCs w:val="24"/>
        </w:rPr>
        <w:t xml:space="preserve">la </w:t>
      </w:r>
      <w:r w:rsidR="009A6456" w:rsidRPr="00AD7452">
        <w:rPr>
          <w:rFonts w:asciiTheme="minorHAnsi" w:hAnsiTheme="minorHAnsi" w:cstheme="minorHAnsi"/>
          <w:szCs w:val="24"/>
        </w:rPr>
        <w:t xml:space="preserve">performance IP </w:t>
      </w:r>
      <w:r w:rsidR="002511F5" w:rsidRPr="00AD7452">
        <w:rPr>
          <w:rFonts w:asciiTheme="minorHAnsi" w:hAnsiTheme="minorHAnsi" w:cstheme="minorHAnsi"/>
          <w:szCs w:val="24"/>
        </w:rPr>
        <w:t>(</w:t>
      </w:r>
      <w:r w:rsidR="009A6456" w:rsidRPr="00AD7452">
        <w:rPr>
          <w:rFonts w:asciiTheme="minorHAnsi" w:hAnsiTheme="minorHAnsi" w:cstheme="minorHAnsi"/>
          <w:szCs w:val="24"/>
        </w:rPr>
        <w:t>IPPM</w:t>
      </w:r>
      <w:r w:rsidR="001531FE" w:rsidRPr="00AD7452">
        <w:rPr>
          <w:rFonts w:asciiTheme="minorHAnsi" w:hAnsiTheme="minorHAnsi" w:cstheme="minorHAnsi"/>
          <w:szCs w:val="24"/>
        </w:rPr>
        <w:t>),</w:t>
      </w:r>
      <w:r w:rsidR="002511F5" w:rsidRPr="00AD7452">
        <w:rPr>
          <w:rFonts w:asciiTheme="minorHAnsi" w:hAnsiTheme="minorHAnsi" w:cstheme="minorHAnsi"/>
          <w:szCs w:val="24"/>
        </w:rPr>
        <w:t xml:space="preserve"> </w:t>
      </w:r>
      <w:r w:rsidR="001531FE" w:rsidRPr="00AD7452">
        <w:rPr>
          <w:rFonts w:asciiTheme="minorHAnsi" w:hAnsiTheme="minorHAnsi" w:cstheme="minorHAnsi"/>
          <w:szCs w:val="24"/>
        </w:rPr>
        <w:t xml:space="preserve">du Comité technique </w:t>
      </w:r>
      <w:r w:rsidR="0065335D" w:rsidRPr="00AD7452">
        <w:rPr>
          <w:rFonts w:asciiTheme="minorHAnsi" w:hAnsiTheme="minorHAnsi" w:cstheme="minorHAnsi"/>
          <w:szCs w:val="24"/>
        </w:rPr>
        <w:t>de l</w:t>
      </w:r>
      <w:r w:rsidR="00CD260D">
        <w:rPr>
          <w:rFonts w:asciiTheme="minorHAnsi" w:hAnsiTheme="minorHAnsi" w:cstheme="minorHAnsi"/>
          <w:szCs w:val="24"/>
        </w:rPr>
        <w:t>'</w:t>
      </w:r>
      <w:r w:rsidR="0065335D" w:rsidRPr="00AD7452">
        <w:rPr>
          <w:rFonts w:asciiTheme="minorHAnsi" w:hAnsiTheme="minorHAnsi" w:cstheme="minorHAnsi"/>
          <w:szCs w:val="24"/>
        </w:rPr>
        <w:t xml:space="preserve">ETSI </w:t>
      </w:r>
      <w:r w:rsidR="001531FE" w:rsidRPr="00AD7452">
        <w:rPr>
          <w:rFonts w:asciiTheme="minorHAnsi" w:hAnsiTheme="minorHAnsi" w:cstheme="minorHAnsi"/>
          <w:szCs w:val="24"/>
        </w:rPr>
        <w:t>sur la qualité de transmi</w:t>
      </w:r>
      <w:r w:rsidR="00054897" w:rsidRPr="00AD7452">
        <w:rPr>
          <w:rFonts w:asciiTheme="minorHAnsi" w:hAnsiTheme="minorHAnsi" w:cstheme="minorHAnsi"/>
          <w:szCs w:val="24"/>
        </w:rPr>
        <w:t>ssion vocale et multimédia</w:t>
      </w:r>
      <w:r w:rsidR="001531FE" w:rsidRPr="00AD7452">
        <w:rPr>
          <w:rFonts w:asciiTheme="minorHAnsi" w:hAnsiTheme="minorHAnsi" w:cstheme="minorHAnsi"/>
          <w:szCs w:val="24"/>
        </w:rPr>
        <w:t xml:space="preserve"> (ETSI TC STQ) et du Forum sur le large bande (BBF)</w:t>
      </w:r>
      <w:r w:rsidR="002511F5" w:rsidRPr="00AD7452">
        <w:rPr>
          <w:rFonts w:asciiTheme="minorHAnsi" w:hAnsiTheme="minorHAnsi" w:cstheme="minorHAnsi"/>
          <w:szCs w:val="24"/>
        </w:rPr>
        <w:t xml:space="preserve">. </w:t>
      </w:r>
      <w:r w:rsidR="00D01B6D" w:rsidRPr="00AD7452">
        <w:rPr>
          <w:rFonts w:asciiTheme="minorHAnsi" w:hAnsiTheme="minorHAnsi" w:cstheme="minorHAnsi"/>
          <w:szCs w:val="24"/>
        </w:rPr>
        <w:t>La CE 12 a également approuvé une norme de l</w:t>
      </w:r>
      <w:r w:rsidR="00CD260D">
        <w:rPr>
          <w:rFonts w:asciiTheme="minorHAnsi" w:hAnsiTheme="minorHAnsi" w:cstheme="minorHAnsi"/>
          <w:szCs w:val="24"/>
        </w:rPr>
        <w:t>'</w:t>
      </w:r>
      <w:r w:rsidR="00D01B6D" w:rsidRPr="00AD7452">
        <w:rPr>
          <w:rFonts w:asciiTheme="minorHAnsi" w:hAnsiTheme="minorHAnsi" w:cstheme="minorHAnsi"/>
          <w:szCs w:val="24"/>
        </w:rPr>
        <w:t>UIT</w:t>
      </w:r>
      <w:r w:rsidR="002511F5" w:rsidRPr="00AD7452">
        <w:rPr>
          <w:rFonts w:asciiTheme="minorHAnsi" w:hAnsiTheme="minorHAnsi" w:cstheme="minorHAnsi"/>
          <w:szCs w:val="24"/>
        </w:rPr>
        <w:t xml:space="preserve"> </w:t>
      </w:r>
      <w:r w:rsidR="00D01B6D" w:rsidRPr="00AD7452">
        <w:rPr>
          <w:rFonts w:asciiTheme="minorHAnsi" w:hAnsiTheme="minorHAnsi" w:cstheme="minorHAnsi"/>
          <w:szCs w:val="24"/>
        </w:rPr>
        <w:t>sur</w:t>
      </w:r>
      <w:r w:rsidR="002511F5" w:rsidRPr="00AD7452">
        <w:rPr>
          <w:rFonts w:asciiTheme="minorHAnsi" w:hAnsiTheme="minorHAnsi" w:cstheme="minorHAnsi"/>
          <w:szCs w:val="24"/>
        </w:rPr>
        <w:t xml:space="preserve"> </w:t>
      </w:r>
      <w:r w:rsidR="00D01B6D" w:rsidRPr="00AD7452">
        <w:rPr>
          <w:rFonts w:asciiTheme="minorHAnsi" w:hAnsiTheme="minorHAnsi" w:cstheme="minorHAnsi"/>
          <w:szCs w:val="24"/>
        </w:rPr>
        <w:t>l</w:t>
      </w:r>
      <w:r w:rsidR="00CD260D">
        <w:rPr>
          <w:rFonts w:asciiTheme="minorHAnsi" w:hAnsiTheme="minorHAnsi" w:cstheme="minorHAnsi"/>
          <w:szCs w:val="24"/>
        </w:rPr>
        <w:t>'</w:t>
      </w:r>
      <w:r w:rsidR="00D01B6D" w:rsidRPr="00AD7452">
        <w:rPr>
          <w:rFonts w:asciiTheme="minorHAnsi" w:hAnsiTheme="minorHAnsi" w:cstheme="minorHAnsi"/>
          <w:szCs w:val="24"/>
        </w:rPr>
        <w:t>approche participative pour l</w:t>
      </w:r>
      <w:r w:rsidR="00CD260D">
        <w:rPr>
          <w:rFonts w:asciiTheme="minorHAnsi" w:hAnsiTheme="minorHAnsi" w:cstheme="minorHAnsi"/>
          <w:szCs w:val="24"/>
        </w:rPr>
        <w:t>'</w:t>
      </w:r>
      <w:r w:rsidR="00D01B6D" w:rsidRPr="00AD7452">
        <w:rPr>
          <w:rFonts w:asciiTheme="minorHAnsi" w:hAnsiTheme="minorHAnsi" w:cstheme="minorHAnsi"/>
          <w:szCs w:val="24"/>
        </w:rPr>
        <w:t>évaluation de la qualité de service de bout en bout dans les réseaux large bande fixes et mobiles</w:t>
      </w:r>
      <w:r w:rsidR="002511F5" w:rsidRPr="00AD7452">
        <w:rPr>
          <w:rFonts w:asciiTheme="minorHAnsi" w:hAnsiTheme="minorHAnsi" w:cstheme="minorHAnsi"/>
          <w:szCs w:val="24"/>
        </w:rPr>
        <w:t xml:space="preserve">, </w:t>
      </w:r>
      <w:r w:rsidR="00D01B6D" w:rsidRPr="00AD7452">
        <w:rPr>
          <w:rFonts w:asciiTheme="minorHAnsi" w:hAnsiTheme="minorHAnsi" w:cstheme="minorHAnsi"/>
          <w:szCs w:val="24"/>
        </w:rPr>
        <w:t>ainsi qu</w:t>
      </w:r>
      <w:r w:rsidR="00CD260D">
        <w:rPr>
          <w:rFonts w:asciiTheme="minorHAnsi" w:hAnsiTheme="minorHAnsi" w:cstheme="minorHAnsi"/>
          <w:szCs w:val="24"/>
        </w:rPr>
        <w:t>'</w:t>
      </w:r>
      <w:r w:rsidR="00D01B6D" w:rsidRPr="00AD7452">
        <w:rPr>
          <w:rFonts w:asciiTheme="minorHAnsi" w:hAnsiTheme="minorHAnsi" w:cstheme="minorHAnsi"/>
          <w:szCs w:val="24"/>
        </w:rPr>
        <w:t>un document technique</w:t>
      </w:r>
      <w:r w:rsidR="002511F5" w:rsidRPr="00AD7452">
        <w:rPr>
          <w:rFonts w:asciiTheme="minorHAnsi" w:hAnsiTheme="minorHAnsi" w:cstheme="minorHAnsi"/>
          <w:szCs w:val="24"/>
        </w:rPr>
        <w:t xml:space="preserve"> </w:t>
      </w:r>
      <w:r w:rsidR="00D01B6D" w:rsidRPr="00AD7452">
        <w:rPr>
          <w:rFonts w:asciiTheme="minorHAnsi" w:hAnsiTheme="minorHAnsi" w:cstheme="minorHAnsi"/>
          <w:szCs w:val="24"/>
        </w:rPr>
        <w:t>sur les</w:t>
      </w:r>
      <w:r w:rsidR="002511F5" w:rsidRPr="00AD7452">
        <w:rPr>
          <w:rFonts w:asciiTheme="minorHAnsi" w:hAnsiTheme="minorHAnsi" w:cstheme="minorHAnsi"/>
          <w:szCs w:val="24"/>
        </w:rPr>
        <w:t xml:space="preserve"> </w:t>
      </w:r>
      <w:r w:rsidR="00D01B6D" w:rsidRPr="00AD7452">
        <w:rPr>
          <w:rFonts w:asciiTheme="minorHAnsi" w:hAnsiTheme="minorHAnsi" w:cstheme="minorHAnsi"/>
          <w:szCs w:val="24"/>
        </w:rPr>
        <w:t>mesures de la qualité</w:t>
      </w:r>
      <w:r w:rsidR="002511F5" w:rsidRPr="00AD7452">
        <w:rPr>
          <w:rFonts w:asciiTheme="minorHAnsi" w:hAnsiTheme="minorHAnsi" w:cstheme="minorHAnsi"/>
          <w:szCs w:val="24"/>
        </w:rPr>
        <w:t xml:space="preserve"> </w:t>
      </w:r>
      <w:r w:rsidR="00D01B6D" w:rsidRPr="00AD7452">
        <w:rPr>
          <w:rFonts w:asciiTheme="minorHAnsi" w:hAnsiTheme="minorHAnsi" w:cstheme="minorHAnsi"/>
          <w:szCs w:val="24"/>
        </w:rPr>
        <w:t>de la vidéo de la TVIP de bout en bout</w:t>
      </w:r>
      <w:r w:rsidR="002511F5" w:rsidRPr="00AD7452">
        <w:rPr>
          <w:rFonts w:asciiTheme="minorHAnsi" w:hAnsiTheme="minorHAnsi" w:cstheme="minorHAnsi"/>
          <w:szCs w:val="24"/>
        </w:rPr>
        <w:t>.</w:t>
      </w:r>
    </w:p>
    <w:p w14:paraId="4B43BB80" w14:textId="77777777" w:rsidR="002511F5" w:rsidRPr="00CD260D" w:rsidRDefault="002511F5" w:rsidP="00CD260D">
      <w:pPr>
        <w:rPr>
          <w:b/>
        </w:rPr>
      </w:pPr>
      <w:r w:rsidRPr="00CD260D">
        <w:rPr>
          <w:b/>
        </w:rPr>
        <w:t>2.8</w:t>
      </w:r>
      <w:r w:rsidRPr="00CD260D">
        <w:rPr>
          <w:b/>
        </w:rPr>
        <w:tab/>
        <w:t>Réseaux</w:t>
      </w:r>
    </w:p>
    <w:p w14:paraId="007D00EF" w14:textId="28139925" w:rsidR="002511F5" w:rsidRPr="00AD7452" w:rsidRDefault="002511F5" w:rsidP="00CD260D">
      <w:r w:rsidRPr="00AD7452">
        <w:t>2.8.1</w:t>
      </w:r>
      <w:r w:rsidRPr="00AD7452">
        <w:tab/>
      </w:r>
      <w:r w:rsidR="000F4DD9" w:rsidRPr="00AD7452">
        <w:t>La CE 2 de l</w:t>
      </w:r>
      <w:r w:rsidR="00CD260D">
        <w:t>'</w:t>
      </w:r>
      <w:r w:rsidR="000F4DD9" w:rsidRPr="00AD7452">
        <w:t>UIT-T a approuvé une norme de l</w:t>
      </w:r>
      <w:r w:rsidR="00CD260D">
        <w:t>'</w:t>
      </w:r>
      <w:r w:rsidR="000F4DD9" w:rsidRPr="00AD7452">
        <w:t>UIT sur</w:t>
      </w:r>
      <w:r w:rsidRPr="00AD7452">
        <w:t xml:space="preserve"> </w:t>
      </w:r>
      <w:r w:rsidR="000F4DD9" w:rsidRPr="00AD7452">
        <w:t>l</w:t>
      </w:r>
      <w:r w:rsidR="00CD260D">
        <w:t>'</w:t>
      </w:r>
      <w:r w:rsidR="000F4DD9" w:rsidRPr="00AD7452">
        <w:t>exploitation, la gestion et la maintenance intelligentes</w:t>
      </w:r>
      <w:r w:rsidRPr="00AD7452">
        <w:t>.</w:t>
      </w:r>
    </w:p>
    <w:p w14:paraId="569985B9" w14:textId="0387954A" w:rsidR="002511F5" w:rsidRPr="00AD7452" w:rsidRDefault="002511F5" w:rsidP="00CD260D">
      <w:r w:rsidRPr="00AD7452">
        <w:t>2.8.2</w:t>
      </w:r>
      <w:r w:rsidRPr="00AD7452">
        <w:tab/>
      </w:r>
      <w:r w:rsidR="000F4DD9" w:rsidRPr="00AD7452">
        <w:t>La CE 3 de l</w:t>
      </w:r>
      <w:r w:rsidR="00CD260D">
        <w:t>'</w:t>
      </w:r>
      <w:r w:rsidR="000F4DD9" w:rsidRPr="00AD7452">
        <w:t>UIT-T</w:t>
      </w:r>
      <w:r w:rsidRPr="00AD7452">
        <w:t xml:space="preserve"> </w:t>
      </w:r>
      <w:r w:rsidR="000E16C9" w:rsidRPr="00AD7452">
        <w:t xml:space="preserve">a </w:t>
      </w:r>
      <w:r w:rsidR="00907785" w:rsidRPr="00AD7452">
        <w:t xml:space="preserve">approuvé </w:t>
      </w:r>
      <w:r w:rsidR="000E16C9" w:rsidRPr="00AD7452">
        <w:t>un Supplé</w:t>
      </w:r>
      <w:r w:rsidRPr="00AD7452">
        <w:t xml:space="preserve">ment </w:t>
      </w:r>
      <w:r w:rsidR="000E16C9" w:rsidRPr="00AD7452">
        <w:t>sur les principes pour l</w:t>
      </w:r>
      <w:r w:rsidR="00CD260D">
        <w:t>'</w:t>
      </w:r>
      <w:r w:rsidR="000E16C9" w:rsidRPr="00AD7452">
        <w:t>adoption et l</w:t>
      </w:r>
      <w:r w:rsidR="00CD260D">
        <w:t>'</w:t>
      </w:r>
      <w:r w:rsidR="000E16C9" w:rsidRPr="00AD7452">
        <w:t>utilisation accrues des services financiers sur mobile grâce à des mécanismes efficaces de protection des consommateurs</w:t>
      </w:r>
      <w:r w:rsidRPr="00AD7452">
        <w:t>.</w:t>
      </w:r>
    </w:p>
    <w:p w14:paraId="5AABED30" w14:textId="19521D07" w:rsidR="002511F5" w:rsidRPr="00AD7452" w:rsidRDefault="002511F5" w:rsidP="00CD260D">
      <w:pPr>
        <w:rPr>
          <w:rFonts w:eastAsiaTheme="minorEastAsia"/>
        </w:rPr>
      </w:pPr>
      <w:r w:rsidRPr="00AD7452">
        <w:lastRenderedPageBreak/>
        <w:t>2.8.3</w:t>
      </w:r>
      <w:r w:rsidRPr="00AD7452">
        <w:tab/>
      </w:r>
      <w:r w:rsidR="003D7CA0" w:rsidRPr="00AD7452">
        <w:t>La CE 9 de l</w:t>
      </w:r>
      <w:r w:rsidR="00CD260D">
        <w:t>'</w:t>
      </w:r>
      <w:r w:rsidR="003D7CA0" w:rsidRPr="00AD7452">
        <w:t>UIT-T a approuvé trois normes UIT-T</w:t>
      </w:r>
      <w:r w:rsidRPr="00AD7452">
        <w:t xml:space="preserve"> </w:t>
      </w:r>
      <w:r w:rsidR="003D7CA0" w:rsidRPr="00AD7452">
        <w:t>sur</w:t>
      </w:r>
      <w:r w:rsidRPr="00AD7452">
        <w:t xml:space="preserve"> </w:t>
      </w:r>
      <w:r w:rsidR="003D7CA0" w:rsidRPr="00AD7452">
        <w:t xml:space="preserve">les câblo-modems </w:t>
      </w:r>
      <w:proofErr w:type="gramStart"/>
      <w:r w:rsidR="003D7CA0" w:rsidRPr="00AD7452">
        <w:t>IP</w:t>
      </w:r>
      <w:r w:rsidRPr="00AD7452">
        <w:t>;</w:t>
      </w:r>
      <w:proofErr w:type="gramEnd"/>
      <w:r w:rsidRPr="00AD7452">
        <w:t xml:space="preserve"> </w:t>
      </w:r>
      <w:r w:rsidR="003D7CA0" w:rsidRPr="00AD7452">
        <w:t>un projet de norme</w:t>
      </w:r>
      <w:r w:rsidRPr="00AD7452">
        <w:t xml:space="preserve"> </w:t>
      </w:r>
      <w:r w:rsidR="0047222A" w:rsidRPr="00AD7452">
        <w:t>sur la nécessité d</w:t>
      </w:r>
      <w:r w:rsidR="00CD260D">
        <w:t>'</w:t>
      </w:r>
      <w:r w:rsidR="0047222A" w:rsidRPr="00AD7452">
        <w:t>un</w:t>
      </w:r>
      <w:r w:rsidRPr="00AD7452">
        <w:t xml:space="preserve"> </w:t>
      </w:r>
      <w:r w:rsidR="003D7CA0" w:rsidRPr="00AD7452">
        <w:t xml:space="preserve">service média convergent fondé sur le nuage </w:t>
      </w:r>
      <w:r w:rsidR="0047222A" w:rsidRPr="00AD7452">
        <w:t>pour prendre en charge</w:t>
      </w:r>
      <w:r w:rsidRPr="00AD7452">
        <w:t xml:space="preserve"> </w:t>
      </w:r>
      <w:r w:rsidR="00907785" w:rsidRPr="00AD7452">
        <w:t xml:space="preserve">la TVIP et </w:t>
      </w:r>
      <w:r w:rsidR="00054897" w:rsidRPr="00AD7452">
        <w:t>la télévision par</w:t>
      </w:r>
      <w:r w:rsidR="003D7CA0" w:rsidRPr="00AD7452">
        <w:t xml:space="preserve"> câble est en cours d</w:t>
      </w:r>
      <w:r w:rsidR="00CD260D">
        <w:t>'</w:t>
      </w:r>
      <w:r w:rsidR="003D7CA0" w:rsidRPr="00AD7452">
        <w:t>approbation</w:t>
      </w:r>
      <w:r w:rsidRPr="00AD7452">
        <w:t>.</w:t>
      </w:r>
    </w:p>
    <w:p w14:paraId="10B72DB8" w14:textId="301D051B" w:rsidR="002511F5" w:rsidRPr="00AD7452" w:rsidRDefault="002511F5" w:rsidP="00CD260D">
      <w:r w:rsidRPr="00AD7452">
        <w:rPr>
          <w:spacing w:val="-2"/>
        </w:rPr>
        <w:t>2.8.4</w:t>
      </w:r>
      <w:r w:rsidRPr="00AD7452">
        <w:rPr>
          <w:spacing w:val="-2"/>
        </w:rPr>
        <w:tab/>
      </w:r>
      <w:r w:rsidR="0047222A" w:rsidRPr="00AD7452">
        <w:rPr>
          <w:spacing w:val="2"/>
        </w:rPr>
        <w:t>La CE 11 de l</w:t>
      </w:r>
      <w:r w:rsidR="00CD260D">
        <w:rPr>
          <w:spacing w:val="2"/>
        </w:rPr>
        <w:t>'</w:t>
      </w:r>
      <w:r w:rsidR="0047222A" w:rsidRPr="00AD7452">
        <w:rPr>
          <w:spacing w:val="2"/>
        </w:rPr>
        <w:t>UIT-T a approuvé</w:t>
      </w:r>
      <w:r w:rsidRPr="00AD7452">
        <w:rPr>
          <w:spacing w:val="2"/>
        </w:rPr>
        <w:t xml:space="preserve"> </w:t>
      </w:r>
      <w:r w:rsidR="00BD3EE2" w:rsidRPr="00AD7452">
        <w:rPr>
          <w:spacing w:val="2"/>
        </w:rPr>
        <w:t>seize</w:t>
      </w:r>
      <w:r w:rsidR="0047222A" w:rsidRPr="00AD7452">
        <w:rPr>
          <w:spacing w:val="2"/>
        </w:rPr>
        <w:t xml:space="preserve"> normes UIT-T </w:t>
      </w:r>
      <w:r w:rsidR="001A7532" w:rsidRPr="00AD7452">
        <w:rPr>
          <w:spacing w:val="2"/>
        </w:rPr>
        <w:t>concernant</w:t>
      </w:r>
      <w:r w:rsidR="0047222A" w:rsidRPr="00AD7452">
        <w:rPr>
          <w:spacing w:val="2"/>
        </w:rPr>
        <w:t xml:space="preserve"> la technologie VoLTE, les tests à distance</w:t>
      </w:r>
      <w:r w:rsidRPr="00AD7452">
        <w:rPr>
          <w:spacing w:val="2"/>
        </w:rPr>
        <w:t xml:space="preserve">, </w:t>
      </w:r>
      <w:r w:rsidR="0047222A" w:rsidRPr="00AD7452">
        <w:rPr>
          <w:spacing w:val="2"/>
        </w:rPr>
        <w:t xml:space="preserve">les tests des équipements </w:t>
      </w:r>
      <w:r w:rsidR="00BE58F3" w:rsidRPr="00AD7452">
        <w:rPr>
          <w:spacing w:val="2"/>
        </w:rPr>
        <w:t>fondés</w:t>
      </w:r>
      <w:r w:rsidR="0047222A" w:rsidRPr="00AD7452">
        <w:rPr>
          <w:spacing w:val="2"/>
        </w:rPr>
        <w:t xml:space="preserve"> sur des réseaux SDN</w:t>
      </w:r>
      <w:r w:rsidRPr="00AD7452">
        <w:rPr>
          <w:spacing w:val="2"/>
        </w:rPr>
        <w:t xml:space="preserve"> </w:t>
      </w:r>
      <w:r w:rsidR="0047222A" w:rsidRPr="00AD7452">
        <w:t>utilisant le protocole</w:t>
      </w:r>
      <w:r w:rsidRPr="00AD7452">
        <w:t xml:space="preserve"> OpenFlow, </w:t>
      </w:r>
      <w:r w:rsidR="00013133" w:rsidRPr="00AD7452">
        <w:t xml:space="preserve">la </w:t>
      </w:r>
      <w:r w:rsidR="0047222A" w:rsidRPr="00AD7452">
        <w:t>surveillance</w:t>
      </w:r>
      <w:r w:rsidR="001A7532" w:rsidRPr="00AD7452">
        <w:t xml:space="preserve"> des paramètres et</w:t>
      </w:r>
      <w:r w:rsidR="0047222A" w:rsidRPr="00AD7452">
        <w:t xml:space="preserve"> de la qualité de service des</w:t>
      </w:r>
      <w:r w:rsidRPr="00AD7452">
        <w:t xml:space="preserve"> </w:t>
      </w:r>
      <w:r w:rsidR="0047222A" w:rsidRPr="00AD7452">
        <w:t>passerelles de réseau large bande</w:t>
      </w:r>
      <w:r w:rsidRPr="00AD7452">
        <w:t xml:space="preserve"> </w:t>
      </w:r>
      <w:r w:rsidR="0047222A" w:rsidRPr="00AD7452">
        <w:t>virtualisées et des services de navigation sur le web</w:t>
      </w:r>
      <w:r w:rsidRPr="00AD7452">
        <w:t xml:space="preserve">, </w:t>
      </w:r>
      <w:r w:rsidR="001064B7" w:rsidRPr="00AD7452">
        <w:t>l</w:t>
      </w:r>
      <w:r w:rsidR="00CD260D">
        <w:t>'</w:t>
      </w:r>
      <w:r w:rsidRPr="00AD7452">
        <w:t>architecture</w:t>
      </w:r>
      <w:r w:rsidR="001064B7" w:rsidRPr="00AD7452">
        <w:t xml:space="preserve"> de signalisation</w:t>
      </w:r>
      <w:r w:rsidRPr="00AD7452">
        <w:t xml:space="preserve"> </w:t>
      </w:r>
      <w:r w:rsidR="001064B7" w:rsidRPr="00AD7452">
        <w:t>de</w:t>
      </w:r>
      <w:r w:rsidRPr="00AD7452">
        <w:t xml:space="preserve"> </w:t>
      </w:r>
      <w:r w:rsidR="001064B7" w:rsidRPr="00AD7452">
        <w:t>l</w:t>
      </w:r>
      <w:r w:rsidR="00CD260D">
        <w:t>'</w:t>
      </w:r>
      <w:r w:rsidRPr="00AD7452">
        <w:t xml:space="preserve">orchestration </w:t>
      </w:r>
      <w:r w:rsidR="001064B7" w:rsidRPr="00AD7452">
        <w:t>pour l</w:t>
      </w:r>
      <w:r w:rsidR="00CD260D">
        <w:t>'</w:t>
      </w:r>
      <w:r w:rsidR="001064B7" w:rsidRPr="00AD7452">
        <w:t>évolution NGNe</w:t>
      </w:r>
      <w:r w:rsidRPr="00AD7452">
        <w:t xml:space="preserve">, </w:t>
      </w:r>
      <w:r w:rsidR="001064B7" w:rsidRPr="00AD7452">
        <w:t>le réseau de télécommunications d</w:t>
      </w:r>
      <w:r w:rsidR="00CD260D">
        <w:t>'</w:t>
      </w:r>
      <w:r w:rsidR="001064B7" w:rsidRPr="00AD7452">
        <w:t>urgence à déploiement rapide</w:t>
      </w:r>
      <w:r w:rsidRPr="00AD7452">
        <w:t xml:space="preserve">, </w:t>
      </w:r>
      <w:r w:rsidR="001064B7" w:rsidRPr="00AD7452">
        <w:t>la découverte de fonction de service</w:t>
      </w:r>
      <w:r w:rsidRPr="00AD7452">
        <w:t xml:space="preserve">, </w:t>
      </w:r>
      <w:r w:rsidR="001064B7" w:rsidRPr="00AD7452">
        <w:t>les</w:t>
      </w:r>
      <w:r w:rsidRPr="00AD7452">
        <w:t xml:space="preserve"> communications</w:t>
      </w:r>
      <w:r w:rsidR="001064B7" w:rsidRPr="00AD7452">
        <w:t xml:space="preserve"> P2P hybrides</w:t>
      </w:r>
      <w:r w:rsidRPr="00AD7452">
        <w:t xml:space="preserve">, </w:t>
      </w:r>
      <w:r w:rsidR="001064B7" w:rsidRPr="00AD7452">
        <w:t xml:space="preserve">les </w:t>
      </w:r>
      <w:r w:rsidRPr="00AD7452">
        <w:t>protocol</w:t>
      </w:r>
      <w:r w:rsidR="001064B7" w:rsidRPr="00AD7452">
        <w:t>e</w:t>
      </w:r>
      <w:r w:rsidRPr="00AD7452">
        <w:t>s</w:t>
      </w:r>
      <w:r w:rsidR="001064B7" w:rsidRPr="00AD7452">
        <w:t xml:space="preserve"> </w:t>
      </w:r>
      <w:r w:rsidR="00BE58F3" w:rsidRPr="00AD7452">
        <w:t>pour</w:t>
      </w:r>
      <w:r w:rsidR="001064B7" w:rsidRPr="00AD7452">
        <w:t xml:space="preserve"> la gestion des contenus</w:t>
      </w:r>
      <w:r w:rsidRPr="00AD7452">
        <w:t xml:space="preserve"> </w:t>
      </w:r>
      <w:r w:rsidR="00D22A6D" w:rsidRPr="00AD7452">
        <w:t>superposés</w:t>
      </w:r>
      <w:r w:rsidR="001064B7" w:rsidRPr="00AD7452">
        <w:t xml:space="preserve"> et la transmission en continu</w:t>
      </w:r>
      <w:r w:rsidR="00BE58F3" w:rsidRPr="00AD7452">
        <w:t xml:space="preserve"> de données</w:t>
      </w:r>
      <w:r w:rsidR="001064B7" w:rsidRPr="00AD7452">
        <w:t xml:space="preserve"> dans les réseaux </w:t>
      </w:r>
      <w:r w:rsidRPr="00AD7452">
        <w:t>P2P</w:t>
      </w:r>
      <w:r w:rsidR="001064B7" w:rsidRPr="00AD7452">
        <w:t xml:space="preserve"> gérés</w:t>
      </w:r>
      <w:r w:rsidRPr="00AD7452">
        <w:t xml:space="preserve">, </w:t>
      </w:r>
      <w:r w:rsidR="00D22A6D" w:rsidRPr="00AD7452">
        <w:t xml:space="preserve">les tests des applications de réalité augmentée et </w:t>
      </w:r>
      <w:r w:rsidR="00BE58F3" w:rsidRPr="00AD7452">
        <w:t>la lutte contre les</w:t>
      </w:r>
      <w:r w:rsidRPr="00AD7452">
        <w:t xml:space="preserve"> </w:t>
      </w:r>
      <w:r w:rsidR="00D22A6D" w:rsidRPr="00AD7452">
        <w:t>dispositifs mobiles</w:t>
      </w:r>
      <w:r w:rsidRPr="00AD7452">
        <w:t xml:space="preserve"> </w:t>
      </w:r>
      <w:r w:rsidR="00BE58F3" w:rsidRPr="00AD7452">
        <w:t>ayant des identificateur</w:t>
      </w:r>
      <w:r w:rsidR="00D22A6D" w:rsidRPr="00AD7452">
        <w:t>s uniques dupliqués</w:t>
      </w:r>
      <w:r w:rsidRPr="00AD7452">
        <w:t>.</w:t>
      </w:r>
    </w:p>
    <w:p w14:paraId="5E61B92B" w14:textId="4738BC60" w:rsidR="002511F5" w:rsidRPr="00AD7452" w:rsidRDefault="002511F5" w:rsidP="00CD260D">
      <w:r w:rsidRPr="00AD7452">
        <w:t>2.8.5</w:t>
      </w:r>
      <w:r w:rsidRPr="00AD7452">
        <w:tab/>
      </w:r>
      <w:r w:rsidR="00C2024D" w:rsidRPr="00AD7452">
        <w:t>La CE 13 de l</w:t>
      </w:r>
      <w:r w:rsidR="00CD260D">
        <w:t>'</w:t>
      </w:r>
      <w:r w:rsidR="00C2024D" w:rsidRPr="00AD7452">
        <w:t>UIT-T a approuvé</w:t>
      </w:r>
      <w:r w:rsidRPr="00AD7452">
        <w:t xml:space="preserve"> </w:t>
      </w:r>
      <w:r w:rsidR="00C2024D" w:rsidRPr="00AD7452">
        <w:t>une norme de l</w:t>
      </w:r>
      <w:r w:rsidR="00CD260D">
        <w:t>'</w:t>
      </w:r>
      <w:r w:rsidR="00C2024D" w:rsidRPr="00AD7452">
        <w:t>UIT</w:t>
      </w:r>
      <w:r w:rsidRPr="00AD7452">
        <w:t xml:space="preserve"> </w:t>
      </w:r>
      <w:r w:rsidR="00C2024D" w:rsidRPr="00AD7452">
        <w:t xml:space="preserve">sur le modèle de service </w:t>
      </w:r>
      <w:r w:rsidR="00AC7F66" w:rsidRPr="00AD7452">
        <w:t xml:space="preserve">pour un </w:t>
      </w:r>
      <w:r w:rsidR="00C2024D" w:rsidRPr="00AD7452">
        <w:t xml:space="preserve">service de convergence fondé sur des informations </w:t>
      </w:r>
      <w:r w:rsidR="00AC7F66" w:rsidRPr="00AD7452">
        <w:t>sur l</w:t>
      </w:r>
      <w:r w:rsidR="00CD260D">
        <w:t>'</w:t>
      </w:r>
      <w:r w:rsidR="00AC7F66" w:rsidRPr="00AD7452">
        <w:t>agriculture</w:t>
      </w:r>
      <w:r w:rsidRPr="00AD7452">
        <w:t xml:space="preserve">, </w:t>
      </w:r>
      <w:r w:rsidR="00AC7F66" w:rsidRPr="00AD7452">
        <w:t>ainsi qu</w:t>
      </w:r>
      <w:r w:rsidR="00CD260D">
        <w:t>'</w:t>
      </w:r>
      <w:r w:rsidR="00C2024D" w:rsidRPr="00AD7452">
        <w:t>un Supplément sur les cas d</w:t>
      </w:r>
      <w:r w:rsidR="00CD260D">
        <w:t>'</w:t>
      </w:r>
      <w:r w:rsidR="00C2024D" w:rsidRPr="00AD7452">
        <w:t>utilisation et</w:t>
      </w:r>
      <w:r w:rsidRPr="00AD7452">
        <w:t xml:space="preserve"> </w:t>
      </w:r>
      <w:r w:rsidR="00C2024D" w:rsidRPr="00AD7452">
        <w:t>les principales exigences de réseau pour le réseau 2030</w:t>
      </w:r>
      <w:r w:rsidRPr="00AD7452">
        <w:t>.</w:t>
      </w:r>
    </w:p>
    <w:p w14:paraId="660991D7" w14:textId="7A82B63C" w:rsidR="00D2172E" w:rsidRPr="00AD7452" w:rsidRDefault="00D2172E" w:rsidP="00CD260D">
      <w:pPr>
        <w:rPr>
          <w:bCs/>
        </w:rPr>
      </w:pPr>
      <w:r w:rsidRPr="00AD7452">
        <w:rPr>
          <w:bCs/>
        </w:rPr>
        <w:t>2.8</w:t>
      </w:r>
      <w:r w:rsidR="002511F5" w:rsidRPr="00AD7452">
        <w:rPr>
          <w:bCs/>
        </w:rPr>
        <w:t>.6</w:t>
      </w:r>
      <w:r w:rsidRPr="00AD7452">
        <w:tab/>
        <w:t>La CE 15 de l</w:t>
      </w:r>
      <w:r w:rsidR="00CD260D">
        <w:t>'</w:t>
      </w:r>
      <w:r w:rsidRPr="00AD7452">
        <w:t>UIT-T élabore actuellement des Recommandations en collaboration avec diverses organisations, telles que la CEI, l</w:t>
      </w:r>
      <w:r w:rsidR="00CD260D">
        <w:t>'</w:t>
      </w:r>
      <w:r w:rsidRPr="00AD7452">
        <w:t>IETF, l</w:t>
      </w:r>
      <w:r w:rsidR="00CD260D">
        <w:t>'</w:t>
      </w:r>
      <w:r w:rsidRPr="00AD7452">
        <w:t xml:space="preserve">IEEE, le Forum sur </w:t>
      </w:r>
      <w:proofErr w:type="gramStart"/>
      <w:r w:rsidRPr="00AD7452">
        <w:t>le large bande</w:t>
      </w:r>
      <w:proofErr w:type="gramEnd"/>
      <w:r w:rsidRPr="00AD7452">
        <w:t xml:space="preserve">, </w:t>
      </w:r>
      <w:r w:rsidRPr="00AD7452">
        <w:rPr>
          <w:bCs/>
        </w:rPr>
        <w:t>le Forum MEF, l</w:t>
      </w:r>
      <w:r w:rsidR="00CD260D">
        <w:rPr>
          <w:bCs/>
        </w:rPr>
        <w:t>'</w:t>
      </w:r>
      <w:r w:rsidRPr="00AD7452">
        <w:rPr>
          <w:bCs/>
        </w:rPr>
        <w:t>ETSI, la coopération 3GPP</w:t>
      </w:r>
      <w:r w:rsidRPr="00AD7452">
        <w:t>, le Forum sur l</w:t>
      </w:r>
      <w:r w:rsidR="00CD260D">
        <w:t>'</w:t>
      </w:r>
      <w:r w:rsidRPr="00AD7452">
        <w:t>interfonctionnement optique</w:t>
      </w:r>
      <w:r w:rsidRPr="00AD7452">
        <w:rPr>
          <w:bCs/>
        </w:rPr>
        <w:t xml:space="preserve"> (OIF) et l</w:t>
      </w:r>
      <w:r w:rsidR="00CD260D">
        <w:rPr>
          <w:bCs/>
        </w:rPr>
        <w:t>'</w:t>
      </w:r>
      <w:r w:rsidRPr="00AD7452">
        <w:rPr>
          <w:bCs/>
        </w:rPr>
        <w:t>Open Networking Foundation (ONF).</w:t>
      </w:r>
    </w:p>
    <w:p w14:paraId="182CE28A" w14:textId="77777777" w:rsidR="00183CD6" w:rsidRPr="00AD7452" w:rsidRDefault="00D2172E" w:rsidP="00B87B60">
      <w:pPr>
        <w:rPr>
          <w:b/>
          <w:bCs/>
        </w:rPr>
      </w:pPr>
      <w:r w:rsidRPr="00AD7452">
        <w:rPr>
          <w:b/>
          <w:bCs/>
        </w:rPr>
        <w:t>2.9</w:t>
      </w:r>
      <w:r w:rsidRPr="00AD7452">
        <w:rPr>
          <w:bCs/>
        </w:rPr>
        <w:tab/>
      </w:r>
      <w:r w:rsidR="00183CD6" w:rsidRPr="00AD7452">
        <w:rPr>
          <w:b/>
          <w:bCs/>
        </w:rPr>
        <w:t>Sécurité</w:t>
      </w:r>
    </w:p>
    <w:p w14:paraId="0CFB7E29" w14:textId="7B1050D1" w:rsidR="00183CD6" w:rsidRPr="00AD7452" w:rsidRDefault="00DB43C1" w:rsidP="00B87B60">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szCs w:val="24"/>
        </w:rPr>
      </w:pPr>
      <w:r w:rsidRPr="00AD7452">
        <w:rPr>
          <w:rFonts w:asciiTheme="minorHAnsi" w:hAnsiTheme="minorHAnsi" w:cstheme="minorHAnsi"/>
          <w:szCs w:val="24"/>
        </w:rPr>
        <w:t>Un rapport distinct sur les activités de l</w:t>
      </w:r>
      <w:r w:rsidR="00CD260D">
        <w:rPr>
          <w:rFonts w:asciiTheme="minorHAnsi" w:hAnsiTheme="minorHAnsi" w:cstheme="minorHAnsi"/>
          <w:szCs w:val="24"/>
        </w:rPr>
        <w:t>'</w:t>
      </w:r>
      <w:r w:rsidRPr="00AD7452">
        <w:rPr>
          <w:rFonts w:asciiTheme="minorHAnsi" w:hAnsiTheme="minorHAnsi" w:cstheme="minorHAnsi"/>
          <w:szCs w:val="24"/>
        </w:rPr>
        <w:t>UIT portant</w:t>
      </w:r>
      <w:r w:rsidR="00183CD6" w:rsidRPr="00AD7452">
        <w:rPr>
          <w:rFonts w:asciiTheme="minorHAnsi" w:hAnsiTheme="minorHAnsi" w:cstheme="minorHAnsi"/>
          <w:szCs w:val="24"/>
        </w:rPr>
        <w:t xml:space="preserve"> </w:t>
      </w:r>
      <w:r w:rsidRPr="00AD7452">
        <w:rPr>
          <w:rFonts w:asciiTheme="minorHAnsi" w:hAnsiTheme="minorHAnsi" w:cstheme="minorHAnsi"/>
          <w:szCs w:val="24"/>
        </w:rPr>
        <w:t>sur l</w:t>
      </w:r>
      <w:r w:rsidR="00CD260D">
        <w:rPr>
          <w:rFonts w:asciiTheme="minorHAnsi" w:hAnsiTheme="minorHAnsi" w:cstheme="minorHAnsi"/>
          <w:szCs w:val="24"/>
        </w:rPr>
        <w:t>'</w:t>
      </w:r>
      <w:r w:rsidRPr="00AD7452">
        <w:rPr>
          <w:rFonts w:asciiTheme="minorHAnsi" w:hAnsiTheme="minorHAnsi" w:cstheme="minorHAnsi"/>
          <w:szCs w:val="24"/>
        </w:rPr>
        <w:t>instauration de la confiance et de la sécurité dans l</w:t>
      </w:r>
      <w:r w:rsidR="00CD260D">
        <w:rPr>
          <w:rFonts w:asciiTheme="minorHAnsi" w:hAnsiTheme="minorHAnsi" w:cstheme="minorHAnsi"/>
          <w:szCs w:val="24"/>
        </w:rPr>
        <w:t>'</w:t>
      </w:r>
      <w:r w:rsidRPr="00AD7452">
        <w:rPr>
          <w:rFonts w:asciiTheme="minorHAnsi" w:hAnsiTheme="minorHAnsi" w:cstheme="minorHAnsi"/>
          <w:szCs w:val="24"/>
        </w:rPr>
        <w:t xml:space="preserve">utilisation des TIC </w:t>
      </w:r>
      <w:r w:rsidR="00AC7F66" w:rsidRPr="00AD7452">
        <w:rPr>
          <w:rFonts w:asciiTheme="minorHAnsi" w:hAnsiTheme="minorHAnsi" w:cstheme="minorHAnsi"/>
          <w:szCs w:val="24"/>
        </w:rPr>
        <w:t>fait l</w:t>
      </w:r>
      <w:r w:rsidR="00CD260D">
        <w:rPr>
          <w:rFonts w:asciiTheme="minorHAnsi" w:hAnsiTheme="minorHAnsi" w:cstheme="minorHAnsi"/>
          <w:szCs w:val="24"/>
        </w:rPr>
        <w:t>'</w:t>
      </w:r>
      <w:r w:rsidR="00AC7F66" w:rsidRPr="00AD7452">
        <w:rPr>
          <w:rFonts w:asciiTheme="minorHAnsi" w:hAnsiTheme="minorHAnsi" w:cstheme="minorHAnsi"/>
          <w:szCs w:val="24"/>
        </w:rPr>
        <w:t xml:space="preserve">objet du </w:t>
      </w:r>
      <w:hyperlink r:id="rId40" w:history="1">
        <w:r w:rsidR="00183CD6" w:rsidRPr="00AD7452">
          <w:rPr>
            <w:rStyle w:val="Hyperlink"/>
            <w:rFonts w:asciiTheme="minorHAnsi" w:hAnsiTheme="minorHAnsi" w:cstheme="minorHAnsi"/>
            <w:szCs w:val="24"/>
          </w:rPr>
          <w:t>Document C21/18</w:t>
        </w:r>
      </w:hyperlink>
      <w:r w:rsidR="00183CD6" w:rsidRPr="00AD7452">
        <w:rPr>
          <w:rFonts w:asciiTheme="minorHAnsi" w:hAnsiTheme="minorHAnsi" w:cstheme="minorHAnsi"/>
          <w:szCs w:val="24"/>
        </w:rPr>
        <w:t>.</w:t>
      </w:r>
    </w:p>
    <w:p w14:paraId="27239CF3" w14:textId="69CEB6CE" w:rsidR="00183CD6" w:rsidRPr="00AD7452" w:rsidRDefault="00183CD6" w:rsidP="00B87B60">
      <w:pPr>
        <w:rPr>
          <w:b/>
          <w:bCs/>
        </w:rPr>
      </w:pPr>
      <w:r w:rsidRPr="00AD7452">
        <w:rPr>
          <w:b/>
          <w:bCs/>
        </w:rPr>
        <w:t>2.10</w:t>
      </w:r>
      <w:r w:rsidRPr="00AD7452">
        <w:rPr>
          <w:b/>
          <w:bCs/>
        </w:rPr>
        <w:tab/>
        <w:t>Groupes spécialisés de l</w:t>
      </w:r>
      <w:r w:rsidR="00CD260D">
        <w:rPr>
          <w:b/>
          <w:bCs/>
        </w:rPr>
        <w:t>'</w:t>
      </w:r>
      <w:r w:rsidRPr="00AD7452">
        <w:rPr>
          <w:b/>
          <w:bCs/>
        </w:rPr>
        <w:t>UIT</w:t>
      </w:r>
      <w:r w:rsidR="00EA6E4F" w:rsidRPr="00AD7452">
        <w:rPr>
          <w:b/>
          <w:bCs/>
        </w:rPr>
        <w:t>-T</w:t>
      </w:r>
    </w:p>
    <w:p w14:paraId="1C48D6A5" w14:textId="45E42362" w:rsidR="00183CD6" w:rsidRPr="00AD7452" w:rsidRDefault="00EA6E4F" w:rsidP="00B87B60">
      <w:pPr>
        <w:rPr>
          <w:color w:val="000000"/>
        </w:rPr>
      </w:pPr>
      <w:r w:rsidRPr="00AD7452">
        <w:t>Plusieurs groupes spécialisés de l</w:t>
      </w:r>
      <w:r w:rsidR="00CD260D">
        <w:t>'</w:t>
      </w:r>
      <w:r w:rsidRPr="00AD7452">
        <w:t xml:space="preserve">UIT-T </w:t>
      </w:r>
      <w:r w:rsidR="00A91728" w:rsidRPr="00AD7452">
        <w:t>étudient les technologies émergentes et leurs incidences possibles</w:t>
      </w:r>
      <w:r w:rsidRPr="00AD7452">
        <w:t xml:space="preserve"> sur </w:t>
      </w:r>
      <w:r w:rsidR="00DF797A" w:rsidRPr="00AD7452">
        <w:t>les travaux de normalisation</w:t>
      </w:r>
      <w:r w:rsidRPr="00AD7452">
        <w:t xml:space="preserve"> de l</w:t>
      </w:r>
      <w:r w:rsidR="00CD260D">
        <w:t>'</w:t>
      </w:r>
      <w:r w:rsidRPr="00AD7452">
        <w:t>UIT</w:t>
      </w:r>
      <w:r w:rsidR="000F026C" w:rsidRPr="00AD7452">
        <w:t xml:space="preserve">. </w:t>
      </w:r>
      <w:r w:rsidRPr="00AD7452">
        <w:t>Pour l</w:t>
      </w:r>
      <w:r w:rsidR="00CD260D">
        <w:t>'</w:t>
      </w:r>
      <w:r w:rsidRPr="00AD7452">
        <w:t>heure</w:t>
      </w:r>
      <w:r w:rsidR="000F026C" w:rsidRPr="00AD7452">
        <w:t xml:space="preserve">, </w:t>
      </w:r>
      <w:r w:rsidRPr="00AD7452">
        <w:t>les</w:t>
      </w:r>
      <w:r w:rsidR="000F026C" w:rsidRPr="00AD7452">
        <w:rPr>
          <w:bCs/>
        </w:rPr>
        <w:t xml:space="preserve"> </w:t>
      </w:r>
      <w:hyperlink r:id="rId41" w:history="1">
        <w:r w:rsidRPr="00AD7452">
          <w:rPr>
            <w:rStyle w:val="Hyperlink"/>
            <w:bCs/>
          </w:rPr>
          <w:t>Groupes spécialisés de l</w:t>
        </w:r>
        <w:r w:rsidR="00CD260D">
          <w:rPr>
            <w:rStyle w:val="Hyperlink"/>
            <w:bCs/>
          </w:rPr>
          <w:t>'</w:t>
        </w:r>
        <w:r w:rsidRPr="00AD7452">
          <w:rPr>
            <w:rStyle w:val="Hyperlink"/>
            <w:bCs/>
          </w:rPr>
          <w:t>UIT-T</w:t>
        </w:r>
      </w:hyperlink>
      <w:r w:rsidR="000F026C" w:rsidRPr="00AD7452">
        <w:rPr>
          <w:bCs/>
        </w:rPr>
        <w:t xml:space="preserve"> </w:t>
      </w:r>
      <w:r w:rsidRPr="00AD7452">
        <w:rPr>
          <w:bCs/>
        </w:rPr>
        <w:t>suivants sont actifs</w:t>
      </w:r>
      <w:r w:rsidR="000F026C" w:rsidRPr="00AD7452">
        <w:rPr>
          <w:bCs/>
        </w:rPr>
        <w:t xml:space="preserve">: </w:t>
      </w:r>
      <w:hyperlink r:id="rId42" w:history="1">
        <w:r w:rsidR="00183CD6" w:rsidRPr="00AD7452">
          <w:rPr>
            <w:rStyle w:val="Hyperlink"/>
            <w:rFonts w:asciiTheme="minorHAnsi" w:hAnsiTheme="minorHAnsi"/>
            <w:i/>
            <w:szCs w:val="24"/>
          </w:rPr>
          <w:t>Groupe spécialisé sur l</w:t>
        </w:r>
        <w:r w:rsidR="00CD260D">
          <w:rPr>
            <w:rStyle w:val="Hyperlink"/>
            <w:rFonts w:asciiTheme="minorHAnsi" w:hAnsiTheme="minorHAnsi"/>
            <w:i/>
            <w:szCs w:val="24"/>
          </w:rPr>
          <w:t>'</w:t>
        </w:r>
        <w:r w:rsidR="00183CD6" w:rsidRPr="00AD7452">
          <w:rPr>
            <w:rStyle w:val="Hyperlink"/>
            <w:rFonts w:asciiTheme="minorHAnsi" w:hAnsiTheme="minorHAnsi"/>
            <w:i/>
            <w:szCs w:val="24"/>
          </w:rPr>
          <w:t>intelligence artificielle au service de la santé (FG-AI4H)</w:t>
        </w:r>
      </w:hyperlink>
      <w:r w:rsidR="00183CD6" w:rsidRPr="00AD7452">
        <w:rPr>
          <w:rFonts w:asciiTheme="minorHAnsi" w:hAnsiTheme="minorHAnsi"/>
          <w:szCs w:val="24"/>
        </w:rPr>
        <w:t>;</w:t>
      </w:r>
      <w:r w:rsidR="00183CD6" w:rsidRPr="00AD7452">
        <w:t xml:space="preserve"> </w:t>
      </w:r>
      <w:hyperlink r:id="rId43" w:history="1">
        <w:r w:rsidR="00183CD6" w:rsidRPr="00AD7452">
          <w:rPr>
            <w:rStyle w:val="Hyperlink"/>
            <w:rFonts w:asciiTheme="minorHAnsi" w:hAnsiTheme="minorHAnsi"/>
            <w:i/>
            <w:szCs w:val="24"/>
          </w:rPr>
          <w:t>Groupe spécialisé sur le multimédia dans les véhicules (FG-VM)</w:t>
        </w:r>
      </w:hyperlink>
      <w:r w:rsidR="00183CD6" w:rsidRPr="00AD7452">
        <w:rPr>
          <w:color w:val="000000"/>
        </w:rPr>
        <w:t>;</w:t>
      </w:r>
      <w:r w:rsidR="000F026C" w:rsidRPr="00AD7452">
        <w:t xml:space="preserve"> </w:t>
      </w:r>
      <w:hyperlink r:id="rId44" w:tgtFrame="_blank" w:history="1">
        <w:r w:rsidR="00183CD6" w:rsidRPr="00AD7452">
          <w:rPr>
            <w:rStyle w:val="Hyperlink"/>
            <w:rFonts w:asciiTheme="minorHAnsi" w:hAnsiTheme="minorHAnsi"/>
            <w:i/>
            <w:szCs w:val="24"/>
          </w:rPr>
          <w:t>Groupe spécialisé sur l</w:t>
        </w:r>
        <w:r w:rsidR="00CD260D">
          <w:rPr>
            <w:rStyle w:val="Hyperlink"/>
            <w:rFonts w:asciiTheme="minorHAnsi" w:hAnsiTheme="minorHAnsi"/>
            <w:i/>
            <w:szCs w:val="24"/>
          </w:rPr>
          <w:t>'</w:t>
        </w:r>
        <w:r w:rsidR="00183CD6" w:rsidRPr="00AD7452">
          <w:rPr>
            <w:rStyle w:val="Hyperlink"/>
            <w:rFonts w:asciiTheme="minorHAnsi" w:hAnsiTheme="minorHAnsi"/>
            <w:i/>
            <w:szCs w:val="24"/>
          </w:rPr>
          <w:t>efficacité environnementale de l</w:t>
        </w:r>
        <w:r w:rsidR="00CD260D">
          <w:rPr>
            <w:rStyle w:val="Hyperlink"/>
            <w:rFonts w:asciiTheme="minorHAnsi" w:hAnsiTheme="minorHAnsi"/>
            <w:i/>
            <w:szCs w:val="24"/>
          </w:rPr>
          <w:t>'</w:t>
        </w:r>
        <w:r w:rsidR="00183CD6" w:rsidRPr="00AD7452">
          <w:rPr>
            <w:rStyle w:val="Hyperlink"/>
            <w:rFonts w:asciiTheme="minorHAnsi" w:hAnsiTheme="minorHAnsi"/>
            <w:i/>
            <w:szCs w:val="24"/>
          </w:rPr>
          <w:t>intelligence artificielle et d</w:t>
        </w:r>
        <w:r w:rsidR="00CD260D">
          <w:rPr>
            <w:rStyle w:val="Hyperlink"/>
            <w:rFonts w:asciiTheme="minorHAnsi" w:hAnsiTheme="minorHAnsi"/>
            <w:i/>
            <w:szCs w:val="24"/>
          </w:rPr>
          <w:t>'</w:t>
        </w:r>
        <w:r w:rsidR="00183CD6" w:rsidRPr="00AD7452">
          <w:rPr>
            <w:rStyle w:val="Hyperlink"/>
            <w:rFonts w:asciiTheme="minorHAnsi" w:hAnsiTheme="minorHAnsi"/>
            <w:i/>
            <w:szCs w:val="24"/>
          </w:rPr>
          <w:t>autres technologies émergentes (FG-AI4EE)</w:t>
        </w:r>
      </w:hyperlink>
      <w:r w:rsidR="000F026C" w:rsidRPr="00AD7452">
        <w:rPr>
          <w:color w:val="000000"/>
        </w:rPr>
        <w:t xml:space="preserve">; </w:t>
      </w:r>
      <w:hyperlink r:id="rId45" w:tgtFrame="_blank" w:history="1">
        <w:r w:rsidR="00183CD6" w:rsidRPr="00AD7452">
          <w:rPr>
            <w:rStyle w:val="Hyperlink"/>
            <w:rFonts w:asciiTheme="minorHAnsi" w:hAnsiTheme="minorHAnsi"/>
            <w:i/>
            <w:szCs w:val="24"/>
          </w:rPr>
          <w:t>Groupe spécialisé sur l</w:t>
        </w:r>
        <w:r w:rsidR="00CD260D">
          <w:rPr>
            <w:rStyle w:val="Hyperlink"/>
            <w:rFonts w:asciiTheme="minorHAnsi" w:hAnsiTheme="minorHAnsi"/>
            <w:i/>
            <w:szCs w:val="24"/>
          </w:rPr>
          <w:t>'</w:t>
        </w:r>
        <w:r w:rsidR="00183CD6" w:rsidRPr="00AD7452">
          <w:rPr>
            <w:rStyle w:val="Hyperlink"/>
            <w:rFonts w:asciiTheme="minorHAnsi" w:hAnsiTheme="minorHAnsi"/>
            <w:i/>
            <w:szCs w:val="24"/>
          </w:rPr>
          <w:t>intelligence artificielle au service de la conduite autonome et de la conduite assistée (FG-AI4AD)</w:t>
        </w:r>
      </w:hyperlink>
      <w:r w:rsidR="000F026C" w:rsidRPr="00AD7452">
        <w:rPr>
          <w:color w:val="000000"/>
        </w:rPr>
        <w:t xml:space="preserve">; </w:t>
      </w:r>
      <w:hyperlink r:id="rId46" w:tgtFrame="_blank" w:history="1">
        <w:r w:rsidR="00183CD6" w:rsidRPr="00AD7452">
          <w:rPr>
            <w:rStyle w:val="Hyperlink"/>
            <w:rFonts w:asciiTheme="minorHAnsi" w:hAnsiTheme="minorHAnsi"/>
            <w:i/>
            <w:szCs w:val="24"/>
          </w:rPr>
          <w:t>Groupe spécialisé sur l</w:t>
        </w:r>
        <w:r w:rsidR="00CD260D">
          <w:rPr>
            <w:rStyle w:val="Hyperlink"/>
            <w:rFonts w:asciiTheme="minorHAnsi" w:hAnsiTheme="minorHAnsi"/>
            <w:i/>
            <w:szCs w:val="24"/>
          </w:rPr>
          <w:t>'</w:t>
        </w:r>
        <w:r w:rsidR="00183CD6" w:rsidRPr="00AD7452">
          <w:rPr>
            <w:rStyle w:val="Hyperlink"/>
            <w:rFonts w:asciiTheme="minorHAnsi" w:hAnsiTheme="minorHAnsi"/>
            <w:i/>
            <w:szCs w:val="24"/>
          </w:rPr>
          <w:t>informatique quantique pour les réseaux (FG</w:t>
        </w:r>
        <w:r w:rsidR="00183CD6" w:rsidRPr="00AD7452">
          <w:rPr>
            <w:rStyle w:val="Hyperlink"/>
            <w:rFonts w:asciiTheme="minorHAnsi" w:hAnsiTheme="minorHAnsi"/>
            <w:i/>
            <w:szCs w:val="24"/>
          </w:rPr>
          <w:noBreakHyphen/>
          <w:t>QIT4N)</w:t>
        </w:r>
      </w:hyperlink>
      <w:r w:rsidR="000F026C" w:rsidRPr="00AD7452">
        <w:rPr>
          <w:color w:val="000000"/>
        </w:rPr>
        <w:t xml:space="preserve"> et </w:t>
      </w:r>
      <w:hyperlink r:id="rId47" w:history="1">
        <w:r w:rsidR="000F026C" w:rsidRPr="00AD7452">
          <w:rPr>
            <w:rStyle w:val="Hyperlink"/>
            <w:i/>
            <w:iCs/>
          </w:rPr>
          <w:t>Groupe spécialisé sur l</w:t>
        </w:r>
        <w:r w:rsidR="00CD260D">
          <w:rPr>
            <w:rStyle w:val="Hyperlink"/>
            <w:i/>
            <w:iCs/>
          </w:rPr>
          <w:t>'</w:t>
        </w:r>
        <w:r w:rsidR="000F026C" w:rsidRPr="00AD7452">
          <w:rPr>
            <w:rStyle w:val="Hyperlink"/>
            <w:i/>
            <w:iCs/>
          </w:rPr>
          <w:t>intelligence artificielle au service de la gestion des catastrophes naturelles (FG-AI4NDM)</w:t>
        </w:r>
      </w:hyperlink>
      <w:r w:rsidR="000F026C" w:rsidRPr="00AD7452">
        <w:rPr>
          <w:color w:val="000000"/>
        </w:rPr>
        <w:t>.</w:t>
      </w:r>
    </w:p>
    <w:p w14:paraId="315F2C8B" w14:textId="00644F59" w:rsidR="000F026C" w:rsidRPr="00AD7452" w:rsidRDefault="000F026C" w:rsidP="00B87B60">
      <w:r w:rsidRPr="00AD7452">
        <w:rPr>
          <w:b/>
          <w:color w:val="000000"/>
        </w:rPr>
        <w:t>2.11</w:t>
      </w:r>
      <w:r w:rsidRPr="00AD7452">
        <w:rPr>
          <w:color w:val="000000"/>
        </w:rPr>
        <w:tab/>
      </w:r>
      <w:r w:rsidRPr="00AD7452">
        <w:t>Le TSB n</w:t>
      </w:r>
      <w:r w:rsidR="00CD260D">
        <w:t>'</w:t>
      </w:r>
      <w:r w:rsidRPr="00AD7452">
        <w:t>a pas reçu d</w:t>
      </w:r>
      <w:r w:rsidR="00CD260D">
        <w:t>'</w:t>
      </w:r>
      <w:r w:rsidRPr="00AD7452">
        <w:t xml:space="preserve">informations en retour concernant </w:t>
      </w:r>
      <w:r w:rsidR="00B8207E" w:rsidRPr="00AD7452">
        <w:t>un incident quelconque signalé</w:t>
      </w:r>
      <w:r w:rsidRPr="00AD7452">
        <w:t xml:space="preserve"> relativement à la </w:t>
      </w:r>
      <w:hyperlink r:id="rId48" w:history="1">
        <w:r w:rsidRPr="00AD7452">
          <w:rPr>
            <w:rStyle w:val="Hyperlink"/>
          </w:rPr>
          <w:t>Résolution 69 de l</w:t>
        </w:r>
        <w:r w:rsidR="00CD260D">
          <w:rPr>
            <w:rStyle w:val="Hyperlink"/>
          </w:rPr>
          <w:t>'</w:t>
        </w:r>
        <w:r w:rsidRPr="00AD7452">
          <w:rPr>
            <w:rStyle w:val="Hyperlink"/>
          </w:rPr>
          <w:t>AMNT</w:t>
        </w:r>
      </w:hyperlink>
      <w:r w:rsidRPr="00AD7452">
        <w:t>.</w:t>
      </w:r>
    </w:p>
    <w:p w14:paraId="2B3C979B" w14:textId="31ABCC29" w:rsidR="000F026C" w:rsidRPr="00AD7452" w:rsidRDefault="000F026C" w:rsidP="00B87B60">
      <w:r w:rsidRPr="00AD7452">
        <w:rPr>
          <w:b/>
        </w:rPr>
        <w:t>2.12</w:t>
      </w:r>
      <w:r w:rsidRPr="00AD7452">
        <w:rPr>
          <w:b/>
        </w:rPr>
        <w:tab/>
      </w:r>
      <w:r w:rsidR="00B8207E" w:rsidRPr="00AD7452">
        <w:t>Les CE 1 et</w:t>
      </w:r>
      <w:r w:rsidRPr="00AD7452">
        <w:t xml:space="preserve"> 2 </w:t>
      </w:r>
      <w:r w:rsidR="00B8207E" w:rsidRPr="00AD7452">
        <w:t>de l</w:t>
      </w:r>
      <w:r w:rsidR="00CD260D">
        <w:t>'</w:t>
      </w:r>
      <w:r w:rsidR="00B8207E" w:rsidRPr="00AD7452">
        <w:t xml:space="preserve">UIT-D poursuivent leurs travaux </w:t>
      </w:r>
      <w:r w:rsidR="00677FA4" w:rsidRPr="00AD7452">
        <w:t xml:space="preserve">dans le cadre de </w:t>
      </w:r>
      <w:r w:rsidR="00B8207E" w:rsidRPr="00AD7452">
        <w:t>la</w:t>
      </w:r>
      <w:r w:rsidRPr="00AD7452">
        <w:t xml:space="preserve"> </w:t>
      </w:r>
      <w:hyperlink r:id="rId49" w:history="1">
        <w:r w:rsidR="00B8207E" w:rsidRPr="00AD7452">
          <w:rPr>
            <w:rStyle w:val="Hyperlink"/>
          </w:rPr>
          <w:t>période d</w:t>
        </w:r>
        <w:r w:rsidR="00CD260D">
          <w:rPr>
            <w:rStyle w:val="Hyperlink"/>
          </w:rPr>
          <w:t>'</w:t>
        </w:r>
        <w:r w:rsidR="00B8207E" w:rsidRPr="00AD7452">
          <w:rPr>
            <w:rStyle w:val="Hyperlink"/>
          </w:rPr>
          <w:t>études 2018</w:t>
        </w:r>
        <w:r w:rsidR="00B87B60" w:rsidRPr="00AD7452">
          <w:rPr>
            <w:rStyle w:val="Hyperlink"/>
          </w:rPr>
          <w:noBreakHyphen/>
        </w:r>
        <w:r w:rsidR="00B8207E" w:rsidRPr="00AD7452">
          <w:rPr>
            <w:rStyle w:val="Hyperlink"/>
          </w:rPr>
          <w:t>2021</w:t>
        </w:r>
      </w:hyperlink>
      <w:hyperlink r:id="rId50" w:history="1"/>
      <w:r w:rsidR="00B8207E" w:rsidRPr="00AD7452">
        <w:t xml:space="preserve">, y compris </w:t>
      </w:r>
      <w:r w:rsidR="00D50FBA" w:rsidRPr="00AD7452">
        <w:t xml:space="preserve">sur </w:t>
      </w:r>
      <w:r w:rsidRPr="00AD7452">
        <w:t>les questions relatives au protocole IP, comme l</w:t>
      </w:r>
      <w:r w:rsidR="00CD260D">
        <w:t>'</w:t>
      </w:r>
      <w:r w:rsidRPr="00AD7452">
        <w:t xml:space="preserve">interconnexion des </w:t>
      </w:r>
      <w:r w:rsidR="006B7D2B" w:rsidRPr="00AD7452">
        <w:t xml:space="preserve">réseaux </w:t>
      </w:r>
      <w:r w:rsidRPr="00AD7452">
        <w:t xml:space="preserve">NGN, la téléphonie Internet, les services en nuage et les stratégies, politiques et technologies pour le déploiement </w:t>
      </w:r>
      <w:proofErr w:type="gramStart"/>
      <w:r w:rsidRPr="00AD7452">
        <w:t>du large bande</w:t>
      </w:r>
      <w:proofErr w:type="gramEnd"/>
      <w:r w:rsidRPr="00AD7452">
        <w:t>.</w:t>
      </w:r>
    </w:p>
    <w:p w14:paraId="4E90D73F" w14:textId="4B7EF8C3" w:rsidR="00D2172E" w:rsidRPr="00AD7452" w:rsidRDefault="00D2172E" w:rsidP="00B87B60">
      <w:r w:rsidRPr="00AD7452">
        <w:rPr>
          <w:b/>
          <w:bCs/>
        </w:rPr>
        <w:t>2.1</w:t>
      </w:r>
      <w:r w:rsidR="000F026C" w:rsidRPr="00AD7452">
        <w:rPr>
          <w:b/>
          <w:bCs/>
        </w:rPr>
        <w:t>3</w:t>
      </w:r>
      <w:r w:rsidRPr="00AD7452">
        <w:tab/>
        <w:t>Le BDT continue de développer la connectivité hertzienne Internet large bande et de concevoir des applications TIC destinées à offrir un accès numérique gratuit ou à faible coût à des établissements scolaires et à des hôpitaux, ainsi qu</w:t>
      </w:r>
      <w:r w:rsidR="00CD260D">
        <w:t>'</w:t>
      </w:r>
      <w:r w:rsidRPr="00AD7452">
        <w:t>aux populations mal desservies des zones rurales ou isolées</w:t>
      </w:r>
      <w:r w:rsidR="00B8207E" w:rsidRPr="00AD7452">
        <w:t xml:space="preserve"> de certains pays (</w:t>
      </w:r>
      <w:r w:rsidRPr="00AD7452">
        <w:t>Burundi, Burkina Faso, Djibouti, Lesotho, Mali, Rwanda, Eswatini, Antigua-et-Barbuda, Saint-Kitts-et-Nevis, etc.).</w:t>
      </w:r>
    </w:p>
    <w:p w14:paraId="259E5FBC" w14:textId="40A12252" w:rsidR="00D2172E" w:rsidRPr="00AD7452" w:rsidRDefault="00D2172E" w:rsidP="0031797E">
      <w:pPr>
        <w:rPr>
          <w:color w:val="000000"/>
        </w:rPr>
      </w:pPr>
      <w:r w:rsidRPr="00AD7452">
        <w:rPr>
          <w:b/>
          <w:bCs/>
        </w:rPr>
        <w:lastRenderedPageBreak/>
        <w:t>2.1</w:t>
      </w:r>
      <w:r w:rsidR="000F026C" w:rsidRPr="00AD7452">
        <w:rPr>
          <w:b/>
          <w:bCs/>
        </w:rPr>
        <w:t>4</w:t>
      </w:r>
      <w:r w:rsidRPr="00AD7452">
        <w:tab/>
        <w:t>L</w:t>
      </w:r>
      <w:r w:rsidR="00CD260D">
        <w:t>'</w:t>
      </w:r>
      <w:r w:rsidRPr="00AD7452">
        <w:t>UIT-R a approuvé la Recommandation UIT-R M.2083-0 "</w:t>
      </w:r>
      <w:r w:rsidRPr="00AD7452">
        <w:rPr>
          <w:i/>
          <w:iCs/>
        </w:rPr>
        <w:t>Vision pour les IMT – Cadre et objectifs généraux de l</w:t>
      </w:r>
      <w:r w:rsidR="00CD260D">
        <w:rPr>
          <w:i/>
          <w:iCs/>
        </w:rPr>
        <w:t>'</w:t>
      </w:r>
      <w:r w:rsidRPr="00AD7452">
        <w:rPr>
          <w:i/>
          <w:iCs/>
        </w:rPr>
        <w:t>évolution future des IMT à l</w:t>
      </w:r>
      <w:r w:rsidR="00CD260D">
        <w:rPr>
          <w:i/>
          <w:iCs/>
        </w:rPr>
        <w:t>'</w:t>
      </w:r>
      <w:r w:rsidRPr="00AD7452">
        <w:rPr>
          <w:i/>
          <w:iCs/>
        </w:rPr>
        <w:t>horizon 2020 et au-delà</w:t>
      </w:r>
      <w:r w:rsidRPr="00AD7452">
        <w:t>", les Résolutions UIT</w:t>
      </w:r>
      <w:r w:rsidRPr="00AD7452">
        <w:noBreakHyphen/>
        <w:t>R 65 "</w:t>
      </w:r>
      <w:r w:rsidRPr="00AD7452">
        <w:rPr>
          <w:i/>
          <w:iCs/>
        </w:rPr>
        <w:t>Principes applicables au processus de développement futur des IMT à l</w:t>
      </w:r>
      <w:r w:rsidR="00CD260D">
        <w:rPr>
          <w:i/>
          <w:iCs/>
        </w:rPr>
        <w:t>'</w:t>
      </w:r>
      <w:r w:rsidRPr="00AD7452">
        <w:rPr>
          <w:i/>
          <w:iCs/>
        </w:rPr>
        <w:t>horizon 2020 et au</w:t>
      </w:r>
      <w:r w:rsidRPr="00AD7452">
        <w:rPr>
          <w:i/>
          <w:iCs/>
        </w:rPr>
        <w:noBreakHyphen/>
        <w:t>delà"</w:t>
      </w:r>
      <w:r w:rsidRPr="00AD7452">
        <w:t xml:space="preserve"> et UIT-R 66</w:t>
      </w:r>
      <w:r w:rsidR="00490842" w:rsidRPr="00AD7452">
        <w:t xml:space="preserve"> </w:t>
      </w:r>
      <w:r w:rsidRPr="00AD7452">
        <w:t>"</w:t>
      </w:r>
      <w:r w:rsidRPr="00AD7452">
        <w:rPr>
          <w:i/>
          <w:iCs/>
        </w:rPr>
        <w:t>Études relatives aux systèmes et applications sans fil pour le développement d</w:t>
      </w:r>
      <w:r w:rsidR="00D52533" w:rsidRPr="00AD7452">
        <w:rPr>
          <w:i/>
          <w:iCs/>
        </w:rPr>
        <w:t>e l</w:t>
      </w:r>
      <w:r w:rsidR="00CD260D">
        <w:rPr>
          <w:i/>
          <w:iCs/>
        </w:rPr>
        <w:t>'</w:t>
      </w:r>
      <w:r w:rsidR="00D52533" w:rsidRPr="00AD7452">
        <w:rPr>
          <w:i/>
          <w:iCs/>
        </w:rPr>
        <w:t>Internet des objets</w:t>
      </w:r>
      <w:r w:rsidR="00D52533" w:rsidRPr="00AD7452">
        <w:t>", et le Rapport</w:t>
      </w:r>
      <w:r w:rsidRPr="00AD7452">
        <w:t xml:space="preserve"> </w:t>
      </w:r>
      <w:r w:rsidR="00D52533" w:rsidRPr="00AD7452">
        <w:rPr>
          <w:color w:val="000000"/>
        </w:rPr>
        <w:t>UIT-R M.2440-0</w:t>
      </w:r>
      <w:r w:rsidRPr="00AD7452">
        <w:rPr>
          <w:color w:val="000000"/>
        </w:rPr>
        <w:t xml:space="preserve"> "</w:t>
      </w:r>
      <w:r w:rsidRPr="00AD7452">
        <w:rPr>
          <w:i/>
          <w:iCs/>
          <w:color w:val="000000"/>
        </w:rPr>
        <w:t>Utilisation de la composante de Terre des Télécommunications mobiles internationales (IMT) pour les communications de type machine à b</w:t>
      </w:r>
      <w:r w:rsidR="00D52533" w:rsidRPr="00AD7452">
        <w:rPr>
          <w:i/>
          <w:iCs/>
          <w:color w:val="000000"/>
        </w:rPr>
        <w:t>ande étroite et à large bande</w:t>
      </w:r>
      <w:r w:rsidR="00D52533" w:rsidRPr="00AD7452">
        <w:rPr>
          <w:color w:val="000000"/>
        </w:rPr>
        <w:t>".</w:t>
      </w:r>
    </w:p>
    <w:p w14:paraId="47CB6C97" w14:textId="4FC022E3" w:rsidR="00D2172E" w:rsidRPr="00AD7452" w:rsidRDefault="00D2172E" w:rsidP="0031797E">
      <w:r w:rsidRPr="00AD7452">
        <w:rPr>
          <w:b/>
          <w:bCs/>
        </w:rPr>
        <w:t>2.1</w:t>
      </w:r>
      <w:r w:rsidR="00B8229F" w:rsidRPr="00AD7452">
        <w:rPr>
          <w:b/>
          <w:bCs/>
        </w:rPr>
        <w:t>5</w:t>
      </w:r>
      <w:r w:rsidRPr="00AD7452">
        <w:tab/>
        <w:t>L</w:t>
      </w:r>
      <w:r w:rsidR="00CD260D">
        <w:t>'</w:t>
      </w:r>
      <w:r w:rsidRPr="00AD7452">
        <w:t>UIT continue de travailler en coopération avec la Corporation for National Research Initiatives (CNRI) et la Fondation DONA sur l</w:t>
      </w:r>
      <w:r w:rsidR="00CD260D">
        <w:t>'</w:t>
      </w:r>
      <w:r w:rsidRPr="00AD7452">
        <w:t>utilisation de l</w:t>
      </w:r>
      <w:r w:rsidR="00CD260D">
        <w:t>'</w:t>
      </w:r>
      <w:r w:rsidRPr="00AD7452">
        <w:t>architecture des objets numériques (DOA) – architecture évoluée utilisée pour la gestion de l</w:t>
      </w:r>
      <w:r w:rsidR="00CD260D">
        <w:t>'</w:t>
      </w:r>
      <w:r w:rsidRPr="00AD7452">
        <w:t>information – en vue d</w:t>
      </w:r>
      <w:r w:rsidR="00CD260D">
        <w:t>'</w:t>
      </w:r>
      <w:r w:rsidRPr="00AD7452">
        <w:t>utiliser les fonctionnalités de gestion d</w:t>
      </w:r>
      <w:r w:rsidR="00CD260D">
        <w:t>'</w:t>
      </w:r>
      <w:r w:rsidRPr="00AD7452">
        <w:t>objet numérique évoluée de l</w:t>
      </w:r>
      <w:r w:rsidR="00CD260D">
        <w:t>'</w:t>
      </w:r>
      <w:r w:rsidRPr="00AD7452">
        <w:t>architecture DOA à l</w:t>
      </w:r>
      <w:r w:rsidR="00CD260D">
        <w:t>'</w:t>
      </w:r>
      <w:r w:rsidRPr="00AD7452">
        <w:t>UIT et au sein des institutions des Nations Unies intéressées.</w:t>
      </w:r>
    </w:p>
    <w:p w14:paraId="6211A6A8" w14:textId="23188792" w:rsidR="00D2172E" w:rsidRPr="00AD7452" w:rsidRDefault="00D2172E" w:rsidP="0031797E">
      <w:r w:rsidRPr="00AD7452">
        <w:rPr>
          <w:b/>
          <w:bCs/>
        </w:rPr>
        <w:t>2.1</w:t>
      </w:r>
      <w:r w:rsidR="00B8229F" w:rsidRPr="00AD7452">
        <w:rPr>
          <w:b/>
          <w:bCs/>
        </w:rPr>
        <w:t>6</w:t>
      </w:r>
      <w:r w:rsidRPr="00AD7452">
        <w:tab/>
        <w:t>Plusieurs formations ont été dispensées grâce à l</w:t>
      </w:r>
      <w:r w:rsidR="00CD260D">
        <w:t>'</w:t>
      </w:r>
      <w:hyperlink r:id="rId51" w:history="1">
        <w:r w:rsidRPr="00AD7452">
          <w:rPr>
            <w:rStyle w:val="Hyperlink"/>
          </w:rPr>
          <w:t>Académie de l</w:t>
        </w:r>
        <w:r w:rsidR="00CD260D">
          <w:rPr>
            <w:rStyle w:val="Hyperlink"/>
          </w:rPr>
          <w:t>'</w:t>
        </w:r>
        <w:r w:rsidRPr="00AD7452">
          <w:rPr>
            <w:rStyle w:val="Hyperlink"/>
          </w:rPr>
          <w:t>UIT</w:t>
        </w:r>
      </w:hyperlink>
      <w:r w:rsidRPr="00AD7452">
        <w:t xml:space="preserve"> et au réseau de </w:t>
      </w:r>
      <w:hyperlink r:id="rId52" w:history="1">
        <w:r w:rsidRPr="00AD7452">
          <w:rPr>
            <w:rStyle w:val="Hyperlink"/>
          </w:rPr>
          <w:t>Centres d</w:t>
        </w:r>
        <w:r w:rsidR="00CD260D">
          <w:rPr>
            <w:rStyle w:val="Hyperlink"/>
          </w:rPr>
          <w:t>'</w:t>
        </w:r>
        <w:r w:rsidRPr="00AD7452">
          <w:rPr>
            <w:rStyle w:val="Hyperlink"/>
          </w:rPr>
          <w:t>excellence de l</w:t>
        </w:r>
        <w:r w:rsidR="00CD260D">
          <w:rPr>
            <w:rStyle w:val="Hyperlink"/>
          </w:rPr>
          <w:t>'</w:t>
        </w:r>
        <w:r w:rsidRPr="00AD7452">
          <w:rPr>
            <w:rStyle w:val="Hyperlink"/>
          </w:rPr>
          <w:t>UIT</w:t>
        </w:r>
      </w:hyperlink>
      <w:r w:rsidRPr="00AD7452">
        <w:t>, sur des thèmes relatifs au protocole IPv6, à l</w:t>
      </w:r>
      <w:r w:rsidR="00CD260D">
        <w:t>'</w:t>
      </w:r>
      <w:r w:rsidRPr="00AD7452">
        <w:t>IoT, à la 5G, aux réseaux NGN, aux villes intelligentes et durables, etc.</w:t>
      </w:r>
      <w:r w:rsidR="00B8229F" w:rsidRPr="00AD7452">
        <w:rPr>
          <w:rFonts w:asciiTheme="minorHAnsi" w:hAnsiTheme="minorHAnsi" w:cstheme="minorHAnsi"/>
          <w:szCs w:val="24"/>
        </w:rPr>
        <w:t xml:space="preserve"> </w:t>
      </w:r>
      <w:r w:rsidR="00B8207E" w:rsidRPr="00AD7452">
        <w:t>Dans le cadre de l</w:t>
      </w:r>
      <w:r w:rsidR="00CD260D">
        <w:t>'</w:t>
      </w:r>
      <w:r w:rsidR="00B8207E" w:rsidRPr="00AD7452">
        <w:t>Académie de l</w:t>
      </w:r>
      <w:r w:rsidR="00CD260D">
        <w:t>'</w:t>
      </w:r>
      <w:r w:rsidR="00B8207E" w:rsidRPr="00AD7452">
        <w:t>UIT, un c</w:t>
      </w:r>
      <w:r w:rsidR="0021637D" w:rsidRPr="00AD7452">
        <w:t>ours de formation sur la s</w:t>
      </w:r>
      <w:r w:rsidR="00B8207E" w:rsidRPr="00AD7452">
        <w:t>écurité de l</w:t>
      </w:r>
      <w:r w:rsidR="00CD260D">
        <w:t>'</w:t>
      </w:r>
      <w:r w:rsidR="00B8207E" w:rsidRPr="00AD7452">
        <w:t>Inter</w:t>
      </w:r>
      <w:r w:rsidR="0021637D" w:rsidRPr="00AD7452">
        <w:t>net et de l</w:t>
      </w:r>
      <w:r w:rsidR="00CD260D">
        <w:t>'</w:t>
      </w:r>
      <w:r w:rsidR="0021637D" w:rsidRPr="00AD7452">
        <w:t>infrastructure IPv6</w:t>
      </w:r>
      <w:r w:rsidR="00B8207E" w:rsidRPr="00AD7452">
        <w:t xml:space="preserve"> est toujours dispensé dans la région Asie-Pacifique par le Centre supérieur de formation aux télé</w:t>
      </w:r>
      <w:r w:rsidR="0021637D" w:rsidRPr="00AD7452">
        <w:t>communications (ALTTC)</w:t>
      </w:r>
      <w:r w:rsidR="00B8207E" w:rsidRPr="00AD7452">
        <w:t>, qui est un Centre d</w:t>
      </w:r>
      <w:r w:rsidR="00CD260D">
        <w:t>'</w:t>
      </w:r>
      <w:r w:rsidR="00B8207E" w:rsidRPr="00AD7452">
        <w:t xml:space="preserve">excellence, en partenariat avec le </w:t>
      </w:r>
      <w:proofErr w:type="gramStart"/>
      <w:r w:rsidR="00B8207E" w:rsidRPr="00AD7452">
        <w:t>Ministère de l</w:t>
      </w:r>
      <w:r w:rsidR="00CD260D">
        <w:t>'</w:t>
      </w:r>
      <w:r w:rsidR="00B8207E" w:rsidRPr="00AD7452">
        <w:t>économie</w:t>
      </w:r>
      <w:proofErr w:type="gramEnd"/>
      <w:r w:rsidR="00B8207E" w:rsidRPr="00AD7452">
        <w:t xml:space="preserve"> et de la société numéri</w:t>
      </w:r>
      <w:r w:rsidR="0021637D" w:rsidRPr="00AD7452">
        <w:t>ques de la Thaïlande et le Centre d</w:t>
      </w:r>
      <w:r w:rsidR="00CD260D">
        <w:t>'</w:t>
      </w:r>
      <w:r w:rsidR="0021637D" w:rsidRPr="00AD7452">
        <w:t>information sur les réseaux de la région Asie</w:t>
      </w:r>
      <w:r w:rsidR="00490842" w:rsidRPr="00AD7452">
        <w:noBreakHyphen/>
      </w:r>
      <w:r w:rsidR="0021637D" w:rsidRPr="00AD7452">
        <w:t>Pacifique (</w:t>
      </w:r>
      <w:r w:rsidR="00B8207E" w:rsidRPr="00AD7452">
        <w:t>APNIC</w:t>
      </w:r>
      <w:r w:rsidR="0021637D" w:rsidRPr="00AD7452">
        <w:t>)</w:t>
      </w:r>
      <w:r w:rsidR="00B8229F" w:rsidRPr="00AD7452">
        <w:t xml:space="preserve">. </w:t>
      </w:r>
      <w:r w:rsidR="00B8207E" w:rsidRPr="00AD7452">
        <w:t>D</w:t>
      </w:r>
      <w:r w:rsidR="00CD260D">
        <w:t>'</w:t>
      </w:r>
      <w:r w:rsidR="00B8207E" w:rsidRPr="00AD7452">
        <w:t>autres sessions dispensées en</w:t>
      </w:r>
      <w:r w:rsidR="00B8229F" w:rsidRPr="00AD7452">
        <w:t xml:space="preserve"> 2020 </w:t>
      </w:r>
      <w:r w:rsidR="00B8207E" w:rsidRPr="00AD7452">
        <w:t>abord</w:t>
      </w:r>
      <w:r w:rsidR="0021637D" w:rsidRPr="00AD7452">
        <w:t>ai</w:t>
      </w:r>
      <w:r w:rsidR="00B8207E" w:rsidRPr="00AD7452">
        <w:t xml:space="preserve">ent </w:t>
      </w:r>
      <w:r w:rsidR="006C40E1" w:rsidRPr="00AD7452">
        <w:t xml:space="preserve">notamment les thèmes </w:t>
      </w:r>
      <w:proofErr w:type="gramStart"/>
      <w:r w:rsidR="006C40E1" w:rsidRPr="00AD7452">
        <w:t>suivants:</w:t>
      </w:r>
      <w:proofErr w:type="gramEnd"/>
      <w:r w:rsidR="006C40E1" w:rsidRPr="00AD7452">
        <w:t xml:space="preserve"> </w:t>
      </w:r>
      <w:r w:rsidR="0021637D" w:rsidRPr="00AD7452">
        <w:t>"</w:t>
      </w:r>
      <w:r w:rsidR="00B8207E" w:rsidRPr="00AD7452">
        <w:t>Applications des résea</w:t>
      </w:r>
      <w:r w:rsidR="0021637D" w:rsidRPr="00AD7452">
        <w:t>ux IoT utilisant des satellites</w:t>
      </w:r>
      <w:r w:rsidR="00B8207E" w:rsidRPr="00AD7452">
        <w:t>", "Les services publics numériques et la ville intelligente</w:t>
      </w:r>
      <w:r w:rsidR="00B8229F" w:rsidRPr="00AD7452">
        <w:t xml:space="preserve"> </w:t>
      </w:r>
      <w:r w:rsidR="00B8207E" w:rsidRPr="00AD7452">
        <w:t>au service de la résilience", "Politique et stratégie en matière de cybersécurité", "Internet mobile large bande, 5G et ser</w:t>
      </w:r>
      <w:r w:rsidR="0021637D" w:rsidRPr="00AD7452">
        <w:t>vices futurs</w:t>
      </w:r>
      <w:r w:rsidR="006C40E1" w:rsidRPr="00AD7452">
        <w:t>"</w:t>
      </w:r>
      <w:r w:rsidR="00B8229F" w:rsidRPr="00AD7452">
        <w:t>.</w:t>
      </w:r>
    </w:p>
    <w:p w14:paraId="5A337803" w14:textId="695916A1" w:rsidR="00D2172E" w:rsidRPr="00AD7452" w:rsidRDefault="00D2172E" w:rsidP="0031797E">
      <w:r w:rsidRPr="00AD7452">
        <w:rPr>
          <w:b/>
          <w:bCs/>
        </w:rPr>
        <w:t>2.1</w:t>
      </w:r>
      <w:r w:rsidR="00B8229F" w:rsidRPr="00AD7452">
        <w:rPr>
          <w:b/>
          <w:bCs/>
        </w:rPr>
        <w:t>7</w:t>
      </w:r>
      <w:r w:rsidRPr="00AD7452">
        <w:tab/>
        <w:t>L</w:t>
      </w:r>
      <w:r w:rsidR="00CD260D">
        <w:t>'</w:t>
      </w:r>
      <w:r w:rsidRPr="00AD7452">
        <w:t>UIT aide en outre le Costa Rican ICE à renforcer ses capacités, notamment dans le domaine des réseaux NGN, dans le cadre d</w:t>
      </w:r>
      <w:r w:rsidR="00CD260D">
        <w:t>'</w:t>
      </w:r>
      <w:r w:rsidRPr="00AD7452">
        <w:t>un projet intitulé "</w:t>
      </w:r>
      <w:r w:rsidRPr="00AD7452">
        <w:rPr>
          <w:i/>
          <w:iCs/>
        </w:rPr>
        <w:t>Desarrollo del conocimiento en technologías, para especialistas del ICE</w:t>
      </w:r>
      <w:r w:rsidRPr="00AD7452">
        <w:t>" (renforcement des connaissances dans le domaine des technologies à l</w:t>
      </w:r>
      <w:r w:rsidR="00CD260D">
        <w:t>'</w:t>
      </w:r>
      <w:r w:rsidRPr="00AD7452">
        <w:t>intention des experts de l</w:t>
      </w:r>
      <w:r w:rsidR="00CD260D">
        <w:t>'</w:t>
      </w:r>
      <w:r w:rsidRPr="00AD7452">
        <w:t>ICE).</w:t>
      </w:r>
    </w:p>
    <w:p w14:paraId="038FE409" w14:textId="77777777" w:rsidR="00D2172E" w:rsidRPr="00AD7452" w:rsidRDefault="00D2172E" w:rsidP="0031797E">
      <w:pPr>
        <w:pStyle w:val="Heading1"/>
        <w:rPr>
          <w:rFonts w:eastAsiaTheme="minorEastAsia"/>
        </w:rPr>
      </w:pPr>
      <w:r w:rsidRPr="00AD7452">
        <w:rPr>
          <w:rFonts w:eastAsiaTheme="minorEastAsia"/>
        </w:rPr>
        <w:t>3</w:t>
      </w:r>
      <w:r w:rsidRPr="00AD7452">
        <w:rPr>
          <w:rFonts w:eastAsiaTheme="minorEastAsia"/>
        </w:rPr>
        <w:tab/>
        <w:t>Protocole Internet version 6 (IPv6)</w:t>
      </w:r>
    </w:p>
    <w:p w14:paraId="422BD1AF" w14:textId="706618FB" w:rsidR="00D2172E" w:rsidRPr="00AD7452" w:rsidRDefault="00D2172E" w:rsidP="0031797E">
      <w:pPr>
        <w:rPr>
          <w:rFonts w:eastAsiaTheme="minorEastAsia"/>
        </w:rPr>
      </w:pPr>
      <w:r w:rsidRPr="00AD7452">
        <w:rPr>
          <w:b/>
          <w:bCs/>
        </w:rPr>
        <w:t>3.1</w:t>
      </w:r>
      <w:r w:rsidRPr="00AD7452">
        <w:rPr>
          <w:b/>
          <w:bCs/>
        </w:rPr>
        <w:tab/>
      </w:r>
      <w:r w:rsidRPr="00AD7452">
        <w:t xml:space="preserve">La </w:t>
      </w:r>
      <w:hyperlink r:id="rId53" w:history="1">
        <w:r w:rsidRPr="00AD7452">
          <w:rPr>
            <w:rStyle w:val="Hyperlink"/>
          </w:rPr>
          <w:t xml:space="preserve">page web </w:t>
        </w:r>
        <w:r w:rsidR="006C40E1" w:rsidRPr="00AD7452">
          <w:rPr>
            <w:rStyle w:val="Hyperlink"/>
          </w:rPr>
          <w:t xml:space="preserve">actualisée </w:t>
        </w:r>
        <w:r w:rsidRPr="00AD7452">
          <w:rPr>
            <w:rStyle w:val="Hyperlink"/>
          </w:rPr>
          <w:t>de l</w:t>
        </w:r>
        <w:r w:rsidR="00CD260D">
          <w:rPr>
            <w:rStyle w:val="Hyperlink"/>
          </w:rPr>
          <w:t>'</w:t>
        </w:r>
        <w:r w:rsidRPr="00AD7452">
          <w:rPr>
            <w:rStyle w:val="Hyperlink"/>
          </w:rPr>
          <w:t>UIT-T dédiée au protocole IPv6</w:t>
        </w:r>
      </w:hyperlink>
      <w:r w:rsidRPr="00AD7452">
        <w:t xml:space="preserve"> met en évidence les activités que l</w:t>
      </w:r>
      <w:r w:rsidR="00CD260D">
        <w:t>'</w:t>
      </w:r>
      <w:r w:rsidRPr="00AD7452">
        <w:t>UIT-T mène dans ce domaine.</w:t>
      </w:r>
    </w:p>
    <w:p w14:paraId="26180B0E" w14:textId="7EDF0364" w:rsidR="00D2172E" w:rsidRPr="00AD7452" w:rsidRDefault="00D2172E" w:rsidP="0031797E">
      <w:r w:rsidRPr="00AD7452">
        <w:rPr>
          <w:b/>
          <w:bCs/>
        </w:rPr>
        <w:t>3.2</w:t>
      </w:r>
      <w:r w:rsidRPr="00AD7452">
        <w:tab/>
        <w:t>Le BDT et l</w:t>
      </w:r>
      <w:r w:rsidR="00CD260D">
        <w:t>'</w:t>
      </w:r>
      <w:r w:rsidRPr="00AD7452">
        <w:t>Université des sciences et des technologies de Malaisie continuent de travailler en vue de mettre en place un centre d</w:t>
      </w:r>
      <w:r w:rsidR="00CD260D">
        <w:t>'</w:t>
      </w:r>
      <w:r w:rsidRPr="00AD7452">
        <w:t>expertise UIT sur le protocole IPv6 et l</w:t>
      </w:r>
      <w:r w:rsidR="00CD260D">
        <w:t>'</w:t>
      </w:r>
      <w:r w:rsidRPr="00AD7452">
        <w:t>Internet des objets afin d</w:t>
      </w:r>
      <w:r w:rsidR="00CD260D">
        <w:t>'</w:t>
      </w:r>
      <w:r w:rsidRPr="00AD7452">
        <w:t>aider les États Membres à passer du protocole IPv4 au protocole IPv6.</w:t>
      </w:r>
    </w:p>
    <w:p w14:paraId="036CE1D2" w14:textId="1F4D4E3B" w:rsidR="00D2172E" w:rsidRPr="00AD7452" w:rsidRDefault="00D2172E" w:rsidP="0031797E">
      <w:pPr>
        <w:rPr>
          <w:i/>
          <w:iCs/>
        </w:rPr>
      </w:pPr>
      <w:r w:rsidRPr="00AD7452">
        <w:rPr>
          <w:b/>
          <w:bCs/>
        </w:rPr>
        <w:t>3.3</w:t>
      </w:r>
      <w:r w:rsidRPr="00AD7452">
        <w:rPr>
          <w:b/>
          <w:bCs/>
        </w:rPr>
        <w:tab/>
      </w:r>
      <w:r w:rsidRPr="00AD7452">
        <w:t>Des formations/cours sont dispensés sur toutes les formes de connectivité IoT, à l</w:t>
      </w:r>
      <w:r w:rsidR="00CD260D">
        <w:t>'</w:t>
      </w:r>
      <w:r w:rsidRPr="00AD7452">
        <w:t>instar de la</w:t>
      </w:r>
      <w:r w:rsidRPr="00AD7452">
        <w:rPr>
          <w:i/>
          <w:iCs/>
        </w:rPr>
        <w:t xml:space="preserve"> formation à l</w:t>
      </w:r>
      <w:r w:rsidR="00CD260D">
        <w:rPr>
          <w:i/>
          <w:iCs/>
        </w:rPr>
        <w:t>'</w:t>
      </w:r>
      <w:r w:rsidRPr="00AD7452">
        <w:rPr>
          <w:i/>
          <w:iCs/>
        </w:rPr>
        <w:t>intention des professionnels sur la sécurité de l</w:t>
      </w:r>
      <w:r w:rsidR="00CD260D">
        <w:rPr>
          <w:i/>
          <w:iCs/>
        </w:rPr>
        <w:t>'</w:t>
      </w:r>
      <w:r w:rsidRPr="00AD7452">
        <w:rPr>
          <w:i/>
          <w:iCs/>
        </w:rPr>
        <w:t>IoT, aboutissant à l</w:t>
      </w:r>
      <w:r w:rsidR="00CD260D">
        <w:rPr>
          <w:i/>
          <w:iCs/>
        </w:rPr>
        <w:t>'</w:t>
      </w:r>
      <w:r w:rsidRPr="00AD7452">
        <w:rPr>
          <w:i/>
          <w:iCs/>
        </w:rPr>
        <w:t>obtention d</w:t>
      </w:r>
      <w:r w:rsidR="00CD260D">
        <w:rPr>
          <w:i/>
          <w:iCs/>
        </w:rPr>
        <w:t>'</w:t>
      </w:r>
      <w:r w:rsidRPr="00AD7452">
        <w:rPr>
          <w:i/>
          <w:iCs/>
        </w:rPr>
        <w:t>un certificat,</w:t>
      </w:r>
      <w:r w:rsidR="00B8229F" w:rsidRPr="00AD7452">
        <w:t xml:space="preserve"> organisée </w:t>
      </w:r>
      <w:r w:rsidR="0021637D" w:rsidRPr="00AD7452">
        <w:t>au Maroc du 3 au 7 février 2020</w:t>
      </w:r>
      <w:r w:rsidRPr="00AD7452">
        <w:t>.</w:t>
      </w:r>
      <w:r w:rsidR="00B8229F" w:rsidRPr="00AD7452">
        <w:rPr>
          <w:rFonts w:asciiTheme="minorHAnsi" w:hAnsiTheme="minorHAnsi" w:cstheme="minorHAnsi"/>
          <w:color w:val="000000"/>
          <w:szCs w:val="24"/>
        </w:rPr>
        <w:t xml:space="preserve"> </w:t>
      </w:r>
      <w:r w:rsidR="008E5DF4" w:rsidRPr="00AD7452">
        <w:t>En raison de la pandémie de</w:t>
      </w:r>
      <w:r w:rsidR="00B8229F" w:rsidRPr="00AD7452">
        <w:t xml:space="preserve"> COVID-19, </w:t>
      </w:r>
      <w:r w:rsidR="008E5DF4" w:rsidRPr="00AD7452">
        <w:t xml:space="preserve">plusieurs autres formations en ligne ont également </w:t>
      </w:r>
      <w:r w:rsidR="00070E44" w:rsidRPr="00AD7452">
        <w:t>eu lieu</w:t>
      </w:r>
      <w:r w:rsidR="008E5DF4" w:rsidRPr="00AD7452">
        <w:t xml:space="preserve">, </w:t>
      </w:r>
      <w:r w:rsidR="00B344E9" w:rsidRPr="00AD7452">
        <w:t>comme celle</w:t>
      </w:r>
      <w:r w:rsidR="008E5DF4" w:rsidRPr="00AD7452">
        <w:t xml:space="preserve"> sur les fondamentaux du protocole</w:t>
      </w:r>
      <w:r w:rsidR="00B8229F" w:rsidRPr="00AD7452">
        <w:t xml:space="preserve"> </w:t>
      </w:r>
      <w:r w:rsidR="008E5DF4" w:rsidRPr="00AD7452">
        <w:t>IPv6 et une autre sur l</w:t>
      </w:r>
      <w:r w:rsidR="00CD260D">
        <w:t>'</w:t>
      </w:r>
      <w:r w:rsidR="008E5DF4" w:rsidRPr="00AD7452">
        <w:t>industrie 4.</w:t>
      </w:r>
      <w:r w:rsidR="00EF721A" w:rsidRPr="00AD7452">
        <w:t xml:space="preserve">0, </w:t>
      </w:r>
      <w:r w:rsidR="0021637D" w:rsidRPr="00AD7452">
        <w:t>aboutissant toutes les deux à</w:t>
      </w:r>
      <w:r w:rsidR="00EF721A" w:rsidRPr="00AD7452">
        <w:t xml:space="preserve"> l</w:t>
      </w:r>
      <w:r w:rsidR="00CD260D">
        <w:t>'</w:t>
      </w:r>
      <w:r w:rsidR="00EF721A" w:rsidRPr="00AD7452">
        <w:t>obtention d</w:t>
      </w:r>
      <w:r w:rsidR="00CD260D">
        <w:t>'</w:t>
      </w:r>
      <w:r w:rsidR="00EF721A" w:rsidRPr="00AD7452">
        <w:t>un certificat</w:t>
      </w:r>
      <w:r w:rsidR="00070E44" w:rsidRPr="00AD7452">
        <w:t xml:space="preserve"> et dispensées en </w:t>
      </w:r>
      <w:r w:rsidR="00EF721A" w:rsidRPr="00AD7452">
        <w:t>anglais et en arabe</w:t>
      </w:r>
      <w:r w:rsidR="00B8229F" w:rsidRPr="00AD7452">
        <w:t>.</w:t>
      </w:r>
    </w:p>
    <w:p w14:paraId="031FDE94" w14:textId="1F95A8A6" w:rsidR="00D2172E" w:rsidRPr="00AD7452" w:rsidRDefault="00D2172E" w:rsidP="0031797E">
      <w:pPr>
        <w:rPr>
          <w:color w:val="000000"/>
        </w:rPr>
      </w:pPr>
      <w:r w:rsidRPr="00AD7452">
        <w:rPr>
          <w:b/>
          <w:color w:val="000000"/>
        </w:rPr>
        <w:t>3.4</w:t>
      </w:r>
      <w:r w:rsidRPr="00AD7452">
        <w:rPr>
          <w:color w:val="000000"/>
        </w:rPr>
        <w:tab/>
      </w:r>
      <w:r w:rsidR="00410C4F" w:rsidRPr="00AD7452">
        <w:rPr>
          <w:color w:val="000000"/>
        </w:rPr>
        <w:t>Le BDT fournit également une</w:t>
      </w:r>
      <w:r w:rsidRPr="00AD7452">
        <w:rPr>
          <w:color w:val="000000"/>
        </w:rPr>
        <w:t xml:space="preserve"> assistance technique au Monténégro sur le protocole IPv6</w:t>
      </w:r>
      <w:r w:rsidR="00B8229F" w:rsidRPr="00AD7452">
        <w:rPr>
          <w:color w:val="000000"/>
        </w:rPr>
        <w:t xml:space="preserve">, </w:t>
      </w:r>
      <w:r w:rsidR="00410C4F" w:rsidRPr="00AD7452">
        <w:rPr>
          <w:color w:val="000000"/>
        </w:rPr>
        <w:t>en c</w:t>
      </w:r>
      <w:r w:rsidR="006B7D2B" w:rsidRPr="00AD7452">
        <w:rPr>
          <w:color w:val="000000"/>
        </w:rPr>
        <w:t xml:space="preserve">ollaborant étroitement avec le </w:t>
      </w:r>
      <w:proofErr w:type="gramStart"/>
      <w:r w:rsidR="006B7D2B" w:rsidRPr="00AD7452">
        <w:rPr>
          <w:color w:val="000000"/>
        </w:rPr>
        <w:t>M</w:t>
      </w:r>
      <w:r w:rsidR="00410C4F" w:rsidRPr="00AD7452">
        <w:rPr>
          <w:color w:val="000000"/>
        </w:rPr>
        <w:t>inistère de l</w:t>
      </w:r>
      <w:r w:rsidR="00CD260D">
        <w:rPr>
          <w:color w:val="000000"/>
        </w:rPr>
        <w:t>'</w:t>
      </w:r>
      <w:r w:rsidR="00410C4F" w:rsidRPr="00AD7452">
        <w:rPr>
          <w:color w:val="000000"/>
        </w:rPr>
        <w:t>é</w:t>
      </w:r>
      <w:r w:rsidR="006B7D2B" w:rsidRPr="00AD7452">
        <w:rPr>
          <w:color w:val="000000"/>
        </w:rPr>
        <w:t>conomie</w:t>
      </w:r>
      <w:proofErr w:type="gramEnd"/>
      <w:r w:rsidR="006B7D2B" w:rsidRPr="00AD7452">
        <w:rPr>
          <w:color w:val="000000"/>
        </w:rPr>
        <w:t>, le M</w:t>
      </w:r>
      <w:r w:rsidR="00410C4F" w:rsidRPr="00AD7452">
        <w:rPr>
          <w:color w:val="000000"/>
        </w:rPr>
        <w:t>inistère de l</w:t>
      </w:r>
      <w:r w:rsidR="00CD260D">
        <w:rPr>
          <w:color w:val="000000"/>
        </w:rPr>
        <w:t>'</w:t>
      </w:r>
      <w:r w:rsidR="00410C4F" w:rsidRPr="00AD7452">
        <w:rPr>
          <w:color w:val="000000"/>
        </w:rPr>
        <w:t>administration publique et l</w:t>
      </w:r>
      <w:r w:rsidR="00CD260D">
        <w:rPr>
          <w:color w:val="000000"/>
        </w:rPr>
        <w:t>'</w:t>
      </w:r>
      <w:r w:rsidR="00410C4F" w:rsidRPr="00AD7452">
        <w:rPr>
          <w:color w:val="000000"/>
        </w:rPr>
        <w:t>Université du Monténégro</w:t>
      </w:r>
      <w:r w:rsidR="00B8229F" w:rsidRPr="00AD7452">
        <w:rPr>
          <w:color w:val="000000"/>
        </w:rPr>
        <w:t>.</w:t>
      </w:r>
    </w:p>
    <w:p w14:paraId="78AA8A76" w14:textId="2724A672" w:rsidR="00B8229F" w:rsidRPr="00AD7452" w:rsidRDefault="00D2172E" w:rsidP="0031797E">
      <w:pPr>
        <w:rPr>
          <w:color w:val="000000"/>
        </w:rPr>
      </w:pPr>
      <w:r w:rsidRPr="00AD7452">
        <w:rPr>
          <w:b/>
          <w:color w:val="000000"/>
        </w:rPr>
        <w:lastRenderedPageBreak/>
        <w:t>3.5</w:t>
      </w:r>
      <w:r w:rsidRPr="00AD7452">
        <w:rPr>
          <w:color w:val="000000"/>
        </w:rPr>
        <w:tab/>
      </w:r>
      <w:r w:rsidR="009C19CD" w:rsidRPr="00AD7452">
        <w:rPr>
          <w:color w:val="000000"/>
        </w:rPr>
        <w:t>D</w:t>
      </w:r>
      <w:r w:rsidR="00CD260D">
        <w:rPr>
          <w:color w:val="000000"/>
        </w:rPr>
        <w:t>'</w:t>
      </w:r>
      <w:r w:rsidR="009C19CD" w:rsidRPr="00AD7452">
        <w:rPr>
          <w:color w:val="000000"/>
        </w:rPr>
        <w:t xml:space="preserve">autres ateliers </w:t>
      </w:r>
      <w:r w:rsidR="006C3894" w:rsidRPr="00AD7452">
        <w:rPr>
          <w:color w:val="000000"/>
        </w:rPr>
        <w:t xml:space="preserve">analogues </w:t>
      </w:r>
      <w:r w:rsidR="009C19CD" w:rsidRPr="00AD7452">
        <w:rPr>
          <w:color w:val="000000"/>
        </w:rPr>
        <w:t>sur les écosystèmes de l</w:t>
      </w:r>
      <w:r w:rsidR="00CD260D">
        <w:rPr>
          <w:color w:val="000000"/>
        </w:rPr>
        <w:t>'</w:t>
      </w:r>
      <w:r w:rsidR="009C19CD" w:rsidRPr="00AD7452">
        <w:rPr>
          <w:color w:val="000000"/>
        </w:rPr>
        <w:t>IoT</w:t>
      </w:r>
      <w:r w:rsidR="00B8229F" w:rsidRPr="00AD7452">
        <w:rPr>
          <w:color w:val="000000"/>
        </w:rPr>
        <w:t xml:space="preserve"> </w:t>
      </w:r>
      <w:r w:rsidR="009C19CD" w:rsidRPr="00AD7452">
        <w:rPr>
          <w:color w:val="000000"/>
        </w:rPr>
        <w:t>et/ou</w:t>
      </w:r>
      <w:r w:rsidR="00B8229F" w:rsidRPr="00AD7452">
        <w:rPr>
          <w:color w:val="000000"/>
        </w:rPr>
        <w:t xml:space="preserve"> </w:t>
      </w:r>
      <w:r w:rsidR="009C19CD" w:rsidRPr="00AD7452">
        <w:rPr>
          <w:color w:val="000000"/>
        </w:rPr>
        <w:t xml:space="preserve">le protocole </w:t>
      </w:r>
      <w:r w:rsidR="00B8229F" w:rsidRPr="00AD7452">
        <w:rPr>
          <w:color w:val="000000"/>
        </w:rPr>
        <w:t xml:space="preserve">IPv6 </w:t>
      </w:r>
      <w:r w:rsidR="009C19CD" w:rsidRPr="00AD7452">
        <w:rPr>
          <w:color w:val="000000"/>
        </w:rPr>
        <w:t>sur les réseaux</w:t>
      </w:r>
      <w:r w:rsidR="00B8229F" w:rsidRPr="00AD7452">
        <w:rPr>
          <w:color w:val="000000"/>
        </w:rPr>
        <w:t xml:space="preserve"> 5G</w:t>
      </w:r>
      <w:r w:rsidR="009C19CD" w:rsidRPr="00AD7452">
        <w:rPr>
          <w:color w:val="000000"/>
        </w:rPr>
        <w:t xml:space="preserve">, </w:t>
      </w:r>
      <w:r w:rsidR="00F4618C" w:rsidRPr="00AD7452">
        <w:rPr>
          <w:color w:val="000000"/>
        </w:rPr>
        <w:t>y compris sur</w:t>
      </w:r>
      <w:r w:rsidR="009C19CD" w:rsidRPr="00AD7452">
        <w:rPr>
          <w:color w:val="000000"/>
        </w:rPr>
        <w:t xml:space="preserve"> le protocole </w:t>
      </w:r>
      <w:r w:rsidR="00B8229F" w:rsidRPr="00AD7452">
        <w:rPr>
          <w:color w:val="000000"/>
        </w:rPr>
        <w:t xml:space="preserve">IPv6 </w:t>
      </w:r>
      <w:r w:rsidR="009C19CD" w:rsidRPr="00AD7452">
        <w:rPr>
          <w:color w:val="000000"/>
        </w:rPr>
        <w:t>pour l</w:t>
      </w:r>
      <w:r w:rsidR="00CD260D">
        <w:rPr>
          <w:color w:val="000000"/>
        </w:rPr>
        <w:t>'</w:t>
      </w:r>
      <w:r w:rsidR="009C19CD" w:rsidRPr="00AD7452">
        <w:rPr>
          <w:color w:val="000000"/>
        </w:rPr>
        <w:t xml:space="preserve">industrie 4.0, sont prévus </w:t>
      </w:r>
      <w:r w:rsidR="00A44250" w:rsidRPr="00AD7452">
        <w:rPr>
          <w:color w:val="000000"/>
        </w:rPr>
        <w:t xml:space="preserve">notamment </w:t>
      </w:r>
      <w:r w:rsidR="006C3894" w:rsidRPr="00AD7452">
        <w:rPr>
          <w:color w:val="000000"/>
        </w:rPr>
        <w:t xml:space="preserve">en </w:t>
      </w:r>
      <w:r w:rsidR="00B8229F" w:rsidRPr="00AD7452">
        <w:rPr>
          <w:color w:val="000000"/>
        </w:rPr>
        <w:t>Argentine</w:t>
      </w:r>
      <w:r w:rsidR="00A44250" w:rsidRPr="00AD7452">
        <w:rPr>
          <w:color w:val="000000"/>
        </w:rPr>
        <w:t xml:space="preserve">, </w:t>
      </w:r>
      <w:r w:rsidR="006C3894" w:rsidRPr="00AD7452">
        <w:rPr>
          <w:color w:val="000000"/>
        </w:rPr>
        <w:t xml:space="preserve">au </w:t>
      </w:r>
      <w:r w:rsidR="00B8229F" w:rsidRPr="00AD7452">
        <w:rPr>
          <w:color w:val="000000"/>
        </w:rPr>
        <w:t xml:space="preserve">Maroc, </w:t>
      </w:r>
      <w:r w:rsidR="006C3894" w:rsidRPr="00AD7452">
        <w:rPr>
          <w:color w:val="000000"/>
        </w:rPr>
        <w:t xml:space="preserve">au </w:t>
      </w:r>
      <w:r w:rsidR="00B8229F" w:rsidRPr="00AD7452">
        <w:rPr>
          <w:color w:val="000000"/>
        </w:rPr>
        <w:t xml:space="preserve">Sénégal, </w:t>
      </w:r>
      <w:r w:rsidR="006C3894" w:rsidRPr="00AD7452">
        <w:rPr>
          <w:color w:val="000000"/>
        </w:rPr>
        <w:t xml:space="preserve">à </w:t>
      </w:r>
      <w:r w:rsidR="00B8229F" w:rsidRPr="00AD7452">
        <w:rPr>
          <w:color w:val="000000"/>
        </w:rPr>
        <w:t xml:space="preserve">Sri Lanka, </w:t>
      </w:r>
      <w:r w:rsidR="006C3894" w:rsidRPr="00AD7452">
        <w:rPr>
          <w:color w:val="000000"/>
        </w:rPr>
        <w:t xml:space="preserve">en </w:t>
      </w:r>
      <w:r w:rsidR="00B8229F" w:rsidRPr="00AD7452">
        <w:rPr>
          <w:color w:val="000000"/>
        </w:rPr>
        <w:t>Thaïlande</w:t>
      </w:r>
      <w:r w:rsidR="009C19CD" w:rsidRPr="00AD7452">
        <w:rPr>
          <w:color w:val="000000"/>
        </w:rPr>
        <w:t xml:space="preserve">, </w:t>
      </w:r>
      <w:r w:rsidR="006C3894" w:rsidRPr="00AD7452">
        <w:rPr>
          <w:color w:val="000000"/>
        </w:rPr>
        <w:t xml:space="preserve">en </w:t>
      </w:r>
      <w:r w:rsidR="009C19CD" w:rsidRPr="00AD7452">
        <w:rPr>
          <w:color w:val="000000"/>
        </w:rPr>
        <w:t>Malai</w:t>
      </w:r>
      <w:r w:rsidR="00B8229F" w:rsidRPr="00AD7452">
        <w:rPr>
          <w:color w:val="000000"/>
        </w:rPr>
        <w:t xml:space="preserve">sie </w:t>
      </w:r>
      <w:r w:rsidR="00EC58AC" w:rsidRPr="00AD7452">
        <w:rPr>
          <w:color w:val="000000"/>
        </w:rPr>
        <w:t>et</w:t>
      </w:r>
      <w:r w:rsidR="00B8229F" w:rsidRPr="00AD7452">
        <w:rPr>
          <w:color w:val="000000"/>
        </w:rPr>
        <w:t xml:space="preserve"> </w:t>
      </w:r>
      <w:r w:rsidR="006C3894" w:rsidRPr="00AD7452">
        <w:rPr>
          <w:color w:val="000000"/>
        </w:rPr>
        <w:t xml:space="preserve">au </w:t>
      </w:r>
      <w:r w:rsidR="00B8229F" w:rsidRPr="00AD7452">
        <w:rPr>
          <w:color w:val="000000"/>
        </w:rPr>
        <w:t>Viet N</w:t>
      </w:r>
      <w:r w:rsidR="00EC58AC" w:rsidRPr="00AD7452">
        <w:rPr>
          <w:color w:val="000000"/>
        </w:rPr>
        <w:t>am</w:t>
      </w:r>
      <w:r w:rsidR="00B8229F" w:rsidRPr="00AD7452">
        <w:rPr>
          <w:color w:val="000000"/>
        </w:rPr>
        <w:t>.</w:t>
      </w:r>
    </w:p>
    <w:p w14:paraId="418EC1A3" w14:textId="35B7EA7F" w:rsidR="00D86E4E" w:rsidRPr="00AD7452" w:rsidRDefault="00D86E4E" w:rsidP="0031797E">
      <w:pPr>
        <w:rPr>
          <w:color w:val="000000"/>
        </w:rPr>
      </w:pPr>
      <w:r w:rsidRPr="00AD7452">
        <w:rPr>
          <w:b/>
          <w:color w:val="000000"/>
        </w:rPr>
        <w:t>3.6</w:t>
      </w:r>
      <w:r w:rsidRPr="00AD7452">
        <w:rPr>
          <w:b/>
          <w:color w:val="000000"/>
        </w:rPr>
        <w:tab/>
      </w:r>
      <w:r w:rsidR="00D2172E" w:rsidRPr="00AD7452">
        <w:rPr>
          <w:color w:val="000000"/>
        </w:rPr>
        <w:t>Le BDT travaille en outre à la création d</w:t>
      </w:r>
      <w:r w:rsidR="00CD260D">
        <w:rPr>
          <w:color w:val="000000"/>
        </w:rPr>
        <w:t>'</w:t>
      </w:r>
      <w:r w:rsidR="00D2172E" w:rsidRPr="00AD7452">
        <w:rPr>
          <w:color w:val="000000"/>
        </w:rPr>
        <w:t>un Centre d</w:t>
      </w:r>
      <w:r w:rsidR="00CD260D">
        <w:rPr>
          <w:color w:val="000000"/>
        </w:rPr>
        <w:t>'</w:t>
      </w:r>
      <w:r w:rsidR="00D2172E" w:rsidRPr="00AD7452">
        <w:rPr>
          <w:color w:val="000000"/>
        </w:rPr>
        <w:t>information et de formation sur la téléphonie IP</w:t>
      </w:r>
      <w:r w:rsidRPr="00AD7452">
        <w:rPr>
          <w:color w:val="000000"/>
        </w:rPr>
        <w:t xml:space="preserve"> (</w:t>
      </w:r>
      <w:r w:rsidR="00EC58AC" w:rsidRPr="00AD7452">
        <w:rPr>
          <w:color w:val="000000"/>
        </w:rPr>
        <w:t>sur le plan</w:t>
      </w:r>
      <w:r w:rsidR="009C19CD" w:rsidRPr="00AD7452">
        <w:rPr>
          <w:color w:val="000000"/>
        </w:rPr>
        <w:t xml:space="preserve"> technique, politique, économique et du renforcement des capacités</w:t>
      </w:r>
      <w:r w:rsidRPr="00AD7452">
        <w:rPr>
          <w:color w:val="000000"/>
        </w:rPr>
        <w:t xml:space="preserve">) </w:t>
      </w:r>
      <w:r w:rsidR="00D2172E" w:rsidRPr="00AD7452">
        <w:rPr>
          <w:color w:val="000000"/>
        </w:rPr>
        <w:t xml:space="preserve">pour la région de la CEI. </w:t>
      </w:r>
    </w:p>
    <w:p w14:paraId="1CA762DC" w14:textId="3D318B3F" w:rsidR="00D2172E" w:rsidRPr="00AD7452" w:rsidRDefault="00D86E4E" w:rsidP="0031797E">
      <w:pPr>
        <w:rPr>
          <w:color w:val="000000"/>
        </w:rPr>
      </w:pPr>
      <w:r w:rsidRPr="00AD7452">
        <w:rPr>
          <w:b/>
          <w:color w:val="000000"/>
        </w:rPr>
        <w:t>3.7</w:t>
      </w:r>
      <w:r w:rsidRPr="00AD7452">
        <w:rPr>
          <w:color w:val="000000"/>
        </w:rPr>
        <w:tab/>
        <w:t>Le BDT</w:t>
      </w:r>
      <w:r w:rsidR="00D2172E" w:rsidRPr="00AD7452">
        <w:rPr>
          <w:color w:val="000000"/>
        </w:rPr>
        <w:t xml:space="preserve"> continue de fournir une assistance aux pays concernant la mise en œuvre des politiques générales relatives au protocole IPv6 et au banc d</w:t>
      </w:r>
      <w:r w:rsidR="00CD260D">
        <w:rPr>
          <w:color w:val="000000"/>
        </w:rPr>
        <w:t>'</w:t>
      </w:r>
      <w:r w:rsidR="00D2172E" w:rsidRPr="00AD7452">
        <w:rPr>
          <w:color w:val="000000"/>
        </w:rPr>
        <w:t>essai du protocole IPv6, comme l</w:t>
      </w:r>
      <w:r w:rsidR="00CD260D">
        <w:rPr>
          <w:color w:val="000000"/>
        </w:rPr>
        <w:t>'</w:t>
      </w:r>
      <w:r w:rsidR="00D2172E" w:rsidRPr="00AD7452">
        <w:rPr>
          <w:color w:val="000000"/>
        </w:rPr>
        <w:t>avaient demandé les États Membres</w:t>
      </w:r>
      <w:r w:rsidR="009C19CD" w:rsidRPr="00AD7452">
        <w:rPr>
          <w:color w:val="000000"/>
        </w:rPr>
        <w:t xml:space="preserve">. Par exemple, </w:t>
      </w:r>
      <w:r w:rsidR="00F74A94" w:rsidRPr="00AD7452">
        <w:rPr>
          <w:color w:val="000000"/>
        </w:rPr>
        <w:t>dans la région</w:t>
      </w:r>
      <w:r w:rsidR="009C19CD" w:rsidRPr="00AD7452">
        <w:rPr>
          <w:color w:val="000000"/>
        </w:rPr>
        <w:t xml:space="preserve"> Afrique, </w:t>
      </w:r>
      <w:r w:rsidR="009C19CD" w:rsidRPr="00AD7452">
        <w:rPr>
          <w:iCs/>
          <w:color w:val="000000"/>
        </w:rPr>
        <w:t>une</w:t>
      </w:r>
      <w:r w:rsidR="00495C85" w:rsidRPr="00AD7452">
        <w:rPr>
          <w:iCs/>
          <w:color w:val="000000"/>
        </w:rPr>
        <w:t xml:space="preserve"> assistance </w:t>
      </w:r>
      <w:r w:rsidR="009C19CD" w:rsidRPr="00AD7452">
        <w:rPr>
          <w:iCs/>
          <w:color w:val="000000"/>
        </w:rPr>
        <w:t>a été fournie pour établir un banc d</w:t>
      </w:r>
      <w:r w:rsidR="00CD260D">
        <w:rPr>
          <w:iCs/>
          <w:color w:val="000000"/>
        </w:rPr>
        <w:t>'</w:t>
      </w:r>
      <w:r w:rsidR="009C19CD" w:rsidRPr="00AD7452">
        <w:rPr>
          <w:iCs/>
          <w:color w:val="000000"/>
        </w:rPr>
        <w:t xml:space="preserve">essai du protocole IPv6 en </w:t>
      </w:r>
      <w:r w:rsidR="00467F60" w:rsidRPr="00AD7452">
        <w:rPr>
          <w:iCs/>
          <w:color w:val="000000"/>
        </w:rPr>
        <w:t>Côte d</w:t>
      </w:r>
      <w:r w:rsidR="00CD260D">
        <w:rPr>
          <w:iCs/>
          <w:color w:val="000000"/>
        </w:rPr>
        <w:t>'</w:t>
      </w:r>
      <w:r w:rsidR="00467F60" w:rsidRPr="00AD7452">
        <w:rPr>
          <w:iCs/>
          <w:color w:val="000000"/>
        </w:rPr>
        <w:t xml:space="preserve">Ivoire, </w:t>
      </w:r>
      <w:r w:rsidR="009C19CD" w:rsidRPr="00AD7452">
        <w:rPr>
          <w:iCs/>
          <w:color w:val="000000"/>
        </w:rPr>
        <w:t>en Ouganda</w:t>
      </w:r>
      <w:r w:rsidR="00495C85" w:rsidRPr="00AD7452">
        <w:rPr>
          <w:iCs/>
          <w:color w:val="000000"/>
        </w:rPr>
        <w:t xml:space="preserve">, </w:t>
      </w:r>
      <w:r w:rsidR="00467F60" w:rsidRPr="00AD7452">
        <w:rPr>
          <w:iCs/>
          <w:color w:val="000000"/>
        </w:rPr>
        <w:t xml:space="preserve">au Zimbabwe et au Cameroun, </w:t>
      </w:r>
      <w:r w:rsidR="00B8154D" w:rsidRPr="00AD7452">
        <w:rPr>
          <w:iCs/>
          <w:color w:val="000000"/>
        </w:rPr>
        <w:t>chacun devant</w:t>
      </w:r>
      <w:r w:rsidR="009C19CD" w:rsidRPr="00AD7452">
        <w:rPr>
          <w:iCs/>
          <w:color w:val="000000"/>
        </w:rPr>
        <w:t xml:space="preserve"> servir </w:t>
      </w:r>
      <w:r w:rsidR="00B8154D" w:rsidRPr="00AD7452">
        <w:rPr>
          <w:iCs/>
          <w:color w:val="000000"/>
        </w:rPr>
        <w:t>de banc d</w:t>
      </w:r>
      <w:r w:rsidR="00CD260D">
        <w:rPr>
          <w:iCs/>
          <w:color w:val="000000"/>
        </w:rPr>
        <w:t>'</w:t>
      </w:r>
      <w:r w:rsidR="00B8154D" w:rsidRPr="00AD7452">
        <w:rPr>
          <w:iCs/>
          <w:color w:val="000000"/>
        </w:rPr>
        <w:t>essai sous-régional</w:t>
      </w:r>
      <w:r w:rsidR="00495C85" w:rsidRPr="00AD7452">
        <w:rPr>
          <w:iCs/>
          <w:color w:val="000000"/>
        </w:rPr>
        <w:t xml:space="preserve"> </w:t>
      </w:r>
      <w:r w:rsidR="00B8154D" w:rsidRPr="00AD7452">
        <w:rPr>
          <w:iCs/>
          <w:color w:val="000000"/>
        </w:rPr>
        <w:t xml:space="preserve">dans le cadre du passage du protocole IPv4 au protocole IPv6 respectivement </w:t>
      </w:r>
      <w:r w:rsidR="00467F60" w:rsidRPr="00AD7452">
        <w:rPr>
          <w:iCs/>
          <w:color w:val="000000"/>
        </w:rPr>
        <w:t>en Afrique de l</w:t>
      </w:r>
      <w:r w:rsidR="00CD260D">
        <w:rPr>
          <w:iCs/>
          <w:color w:val="000000"/>
        </w:rPr>
        <w:t>'</w:t>
      </w:r>
      <w:r w:rsidR="00467F60" w:rsidRPr="00AD7452">
        <w:rPr>
          <w:iCs/>
          <w:color w:val="000000"/>
        </w:rPr>
        <w:t xml:space="preserve">Ouest, en Afrique </w:t>
      </w:r>
      <w:r w:rsidR="00B8154D" w:rsidRPr="00AD7452">
        <w:rPr>
          <w:iCs/>
          <w:color w:val="000000"/>
        </w:rPr>
        <w:t>de l</w:t>
      </w:r>
      <w:r w:rsidR="00CD260D">
        <w:rPr>
          <w:iCs/>
          <w:color w:val="000000"/>
        </w:rPr>
        <w:t>'</w:t>
      </w:r>
      <w:r w:rsidR="00B8154D" w:rsidRPr="00AD7452">
        <w:rPr>
          <w:iCs/>
          <w:color w:val="000000"/>
        </w:rPr>
        <w:t>Est</w:t>
      </w:r>
      <w:r w:rsidR="00467F60" w:rsidRPr="00AD7452">
        <w:rPr>
          <w:iCs/>
          <w:color w:val="000000"/>
        </w:rPr>
        <w:t xml:space="preserve">, en </w:t>
      </w:r>
      <w:r w:rsidR="00B8154D" w:rsidRPr="00AD7452">
        <w:rPr>
          <w:iCs/>
          <w:color w:val="000000"/>
        </w:rPr>
        <w:t>Afrique australe</w:t>
      </w:r>
      <w:r w:rsidR="00467F60" w:rsidRPr="00AD7452">
        <w:rPr>
          <w:iCs/>
          <w:color w:val="000000"/>
        </w:rPr>
        <w:t xml:space="preserve"> </w:t>
      </w:r>
      <w:r w:rsidR="00B8154D" w:rsidRPr="00AD7452">
        <w:rPr>
          <w:iCs/>
          <w:color w:val="000000"/>
        </w:rPr>
        <w:t xml:space="preserve">et </w:t>
      </w:r>
      <w:r w:rsidR="00467F60" w:rsidRPr="00AD7452">
        <w:rPr>
          <w:iCs/>
          <w:color w:val="000000"/>
        </w:rPr>
        <w:t xml:space="preserve">en </w:t>
      </w:r>
      <w:r w:rsidR="00B8154D" w:rsidRPr="00AD7452">
        <w:rPr>
          <w:iCs/>
          <w:color w:val="000000"/>
        </w:rPr>
        <w:t>Afrique centrale</w:t>
      </w:r>
      <w:r w:rsidR="00D2172E" w:rsidRPr="00AD7452">
        <w:rPr>
          <w:color w:val="000000"/>
        </w:rPr>
        <w:t>.</w:t>
      </w:r>
    </w:p>
    <w:p w14:paraId="5C8840D3" w14:textId="77777777" w:rsidR="00495C85" w:rsidRPr="00AD7452" w:rsidRDefault="00D2172E" w:rsidP="0031797E">
      <w:pPr>
        <w:rPr>
          <w:b/>
          <w:bCs/>
        </w:rPr>
      </w:pPr>
      <w:r w:rsidRPr="00AD7452">
        <w:rPr>
          <w:b/>
          <w:bCs/>
        </w:rPr>
        <w:t>3.8</w:t>
      </w:r>
      <w:r w:rsidRPr="00AD7452">
        <w:rPr>
          <w:b/>
          <w:bCs/>
        </w:rPr>
        <w:tab/>
      </w:r>
      <w:r w:rsidR="00467F60" w:rsidRPr="00AD7452">
        <w:rPr>
          <w:bCs/>
          <w:iCs/>
        </w:rPr>
        <w:t>Le B</w:t>
      </w:r>
      <w:r w:rsidR="00495C85" w:rsidRPr="00AD7452">
        <w:rPr>
          <w:bCs/>
          <w:iCs/>
        </w:rPr>
        <w:t xml:space="preserve">DT </w:t>
      </w:r>
      <w:r w:rsidR="00467F60" w:rsidRPr="00AD7452">
        <w:rPr>
          <w:bCs/>
          <w:iCs/>
        </w:rPr>
        <w:t>se concentre également sur un programme spécial visant à former les formateurs</w:t>
      </w:r>
      <w:r w:rsidR="00495C85" w:rsidRPr="00AD7452">
        <w:rPr>
          <w:bCs/>
          <w:iCs/>
        </w:rPr>
        <w:t xml:space="preserve"> </w:t>
      </w:r>
      <w:r w:rsidR="00467F60" w:rsidRPr="00AD7452">
        <w:rPr>
          <w:bCs/>
          <w:iCs/>
        </w:rPr>
        <w:t xml:space="preserve">sur le thème "Protocole IPv6 sur les réseaux 5G" afin de fournir une assistance aux pays en développement dans la mise en œuvre de leurs réseaux 5G </w:t>
      </w:r>
      <w:r w:rsidR="00461054" w:rsidRPr="00AD7452">
        <w:rPr>
          <w:bCs/>
          <w:iCs/>
        </w:rPr>
        <w:t>mobiles</w:t>
      </w:r>
      <w:r w:rsidR="00467F60" w:rsidRPr="00AD7452">
        <w:rPr>
          <w:bCs/>
          <w:iCs/>
        </w:rPr>
        <w:t xml:space="preserve"> et/ou </w:t>
      </w:r>
      <w:r w:rsidR="00461054" w:rsidRPr="00AD7452">
        <w:rPr>
          <w:bCs/>
          <w:iCs/>
        </w:rPr>
        <w:t>fixes</w:t>
      </w:r>
      <w:r w:rsidR="00495C85" w:rsidRPr="00AD7452">
        <w:rPr>
          <w:bCs/>
          <w:iCs/>
        </w:rPr>
        <w:t>.</w:t>
      </w:r>
    </w:p>
    <w:p w14:paraId="722BD39D" w14:textId="0AE888A4" w:rsidR="00D2172E" w:rsidRPr="00AD7452" w:rsidRDefault="00495C85" w:rsidP="0031797E">
      <w:r w:rsidRPr="00AD7452">
        <w:rPr>
          <w:b/>
        </w:rPr>
        <w:t>3.9</w:t>
      </w:r>
      <w:r w:rsidRPr="00AD7452">
        <w:rPr>
          <w:b/>
        </w:rPr>
        <w:tab/>
      </w:r>
      <w:r w:rsidR="00D2172E" w:rsidRPr="00AD7452">
        <w:t>Dans la région des États arabes, un projet sur le renforcement des capacités humaines concernant le protocole IPv6 a été mis en œuvre dans le cadre de l</w:t>
      </w:r>
      <w:r w:rsidR="00CD260D">
        <w:t>'</w:t>
      </w:r>
      <w:r w:rsidR="00D2172E" w:rsidRPr="00AD7452">
        <w:t>accord de coopération signé entre l</w:t>
      </w:r>
      <w:r w:rsidR="00CD260D">
        <w:t>'</w:t>
      </w:r>
      <w:r w:rsidR="00D2172E" w:rsidRPr="00AD7452">
        <w:t>Autorité de régulation des télécommunications (TRA) des Émirats arabes unis et l</w:t>
      </w:r>
      <w:r w:rsidR="00CD260D">
        <w:t>'</w:t>
      </w:r>
      <w:r w:rsidR="00D2172E" w:rsidRPr="00AD7452">
        <w:t>UIT.</w:t>
      </w:r>
    </w:p>
    <w:p w14:paraId="16621CA2" w14:textId="40152C2F" w:rsidR="00D2172E" w:rsidRPr="00AD7452" w:rsidRDefault="00D2172E" w:rsidP="0031797E">
      <w:r w:rsidRPr="00AD7452">
        <w:rPr>
          <w:b/>
          <w:bCs/>
        </w:rPr>
        <w:t>3.</w:t>
      </w:r>
      <w:r w:rsidR="00495C85" w:rsidRPr="00AD7452">
        <w:rPr>
          <w:b/>
          <w:bCs/>
        </w:rPr>
        <w:t>10</w:t>
      </w:r>
      <w:r w:rsidRPr="00AD7452">
        <w:rPr>
          <w:b/>
          <w:bCs/>
        </w:rPr>
        <w:tab/>
      </w:r>
      <w:r w:rsidRPr="00AD7452">
        <w:t xml:space="preserve">Le </w:t>
      </w:r>
      <w:hyperlink r:id="rId54" w:history="1">
        <w:r w:rsidRPr="00AD7452">
          <w:rPr>
            <w:rStyle w:val="Hyperlink"/>
          </w:rPr>
          <w:t>rapport final</w:t>
        </w:r>
      </w:hyperlink>
      <w:r w:rsidRPr="00AD7452">
        <w:t xml:space="preserve"> sur la </w:t>
      </w:r>
      <w:hyperlink r:id="rId55" w:history="1">
        <w:r w:rsidRPr="00AD7452">
          <w:rPr>
            <w:rStyle w:val="Hyperlink"/>
          </w:rPr>
          <w:t>Question 1/1</w:t>
        </w:r>
      </w:hyperlink>
      <w:r w:rsidRPr="00AD7452">
        <w:t xml:space="preserve"> confiée à la CE 1 de l</w:t>
      </w:r>
      <w:r w:rsidR="00CD260D">
        <w:t>'</w:t>
      </w:r>
      <w:r w:rsidRPr="00AD7452">
        <w:t>UIT-D est disponible</w:t>
      </w:r>
      <w:r w:rsidR="00D758B7" w:rsidRPr="00AD7452">
        <w:rPr>
          <w:rFonts w:asciiTheme="minorHAnsi" w:hAnsiTheme="minorHAnsi" w:cstheme="minorHAnsi"/>
          <w:szCs w:val="24"/>
        </w:rPr>
        <w:t xml:space="preserve">. </w:t>
      </w:r>
      <w:r w:rsidR="00675768" w:rsidRPr="00AD7452">
        <w:rPr>
          <w:rFonts w:asciiTheme="minorHAnsi" w:hAnsiTheme="minorHAnsi" w:cstheme="minorHAnsi"/>
          <w:szCs w:val="24"/>
        </w:rPr>
        <w:t>Il porte</w:t>
      </w:r>
      <w:r w:rsidR="00D758B7" w:rsidRPr="00AD7452">
        <w:rPr>
          <w:rFonts w:asciiTheme="minorHAnsi" w:hAnsiTheme="minorHAnsi" w:cstheme="minorHAnsi"/>
          <w:szCs w:val="24"/>
        </w:rPr>
        <w:t xml:space="preserve">, </w:t>
      </w:r>
      <w:r w:rsidR="00675768" w:rsidRPr="00AD7452">
        <w:rPr>
          <w:rFonts w:asciiTheme="minorHAnsi" w:hAnsiTheme="minorHAnsi" w:cstheme="minorHAnsi"/>
          <w:szCs w:val="24"/>
        </w:rPr>
        <w:t xml:space="preserve">à travers </w:t>
      </w:r>
      <w:r w:rsidR="00D758B7" w:rsidRPr="00AD7452">
        <w:rPr>
          <w:rFonts w:asciiTheme="minorHAnsi" w:hAnsiTheme="minorHAnsi" w:cstheme="minorHAnsi"/>
          <w:szCs w:val="24"/>
        </w:rPr>
        <w:t xml:space="preserve">des études de cas, </w:t>
      </w:r>
      <w:r w:rsidR="00675768" w:rsidRPr="00AD7452">
        <w:rPr>
          <w:rFonts w:asciiTheme="minorHAnsi" w:hAnsiTheme="minorHAnsi" w:cstheme="minorHAnsi"/>
          <w:szCs w:val="24"/>
        </w:rPr>
        <w:t xml:space="preserve">sur </w:t>
      </w:r>
      <w:r w:rsidR="00D758B7" w:rsidRPr="00AD7452">
        <w:rPr>
          <w:rFonts w:asciiTheme="minorHAnsi" w:hAnsiTheme="minorHAnsi" w:cstheme="minorHAnsi"/>
          <w:szCs w:val="24"/>
        </w:rPr>
        <w:t>l</w:t>
      </w:r>
      <w:r w:rsidR="00CD260D">
        <w:rPr>
          <w:rFonts w:asciiTheme="minorHAnsi" w:hAnsiTheme="minorHAnsi" w:cstheme="minorHAnsi"/>
          <w:szCs w:val="24"/>
        </w:rPr>
        <w:t>'</w:t>
      </w:r>
      <w:r w:rsidR="00D758B7" w:rsidRPr="00AD7452">
        <w:rPr>
          <w:rFonts w:asciiTheme="minorHAnsi" w:hAnsiTheme="minorHAnsi" w:cstheme="minorHAnsi"/>
          <w:szCs w:val="24"/>
        </w:rPr>
        <w:t>expérience des pays en ce qui concerne le passage du protocole IPv4 au protocole IPv6 pour prendre en charge l</w:t>
      </w:r>
      <w:r w:rsidR="00CD260D">
        <w:rPr>
          <w:rFonts w:asciiTheme="minorHAnsi" w:hAnsiTheme="minorHAnsi" w:cstheme="minorHAnsi"/>
          <w:szCs w:val="24"/>
        </w:rPr>
        <w:t>'</w:t>
      </w:r>
      <w:r w:rsidR="00D758B7" w:rsidRPr="00AD7452">
        <w:rPr>
          <w:rFonts w:asciiTheme="minorHAnsi" w:hAnsiTheme="minorHAnsi" w:cstheme="minorHAnsi"/>
          <w:szCs w:val="24"/>
        </w:rPr>
        <w:t>I</w:t>
      </w:r>
      <w:r w:rsidR="00C076B9" w:rsidRPr="00AD7452">
        <w:rPr>
          <w:rFonts w:asciiTheme="minorHAnsi" w:hAnsiTheme="minorHAnsi" w:cstheme="minorHAnsi"/>
          <w:szCs w:val="24"/>
        </w:rPr>
        <w:t>oT</w:t>
      </w:r>
      <w:r w:rsidR="00D758B7" w:rsidRPr="00AD7452">
        <w:rPr>
          <w:rFonts w:asciiTheme="minorHAnsi" w:hAnsiTheme="minorHAnsi" w:cstheme="minorHAnsi"/>
          <w:szCs w:val="24"/>
        </w:rPr>
        <w:t>, les communications M2M, le tout Internet (IoE) et d</w:t>
      </w:r>
      <w:r w:rsidR="00CD260D">
        <w:rPr>
          <w:rFonts w:asciiTheme="minorHAnsi" w:hAnsiTheme="minorHAnsi" w:cstheme="minorHAnsi"/>
          <w:szCs w:val="24"/>
        </w:rPr>
        <w:t>'</w:t>
      </w:r>
      <w:r w:rsidR="00D758B7" w:rsidRPr="00AD7452">
        <w:rPr>
          <w:rFonts w:asciiTheme="minorHAnsi" w:hAnsiTheme="minorHAnsi" w:cstheme="minorHAnsi"/>
          <w:szCs w:val="24"/>
        </w:rPr>
        <w:t>autres technologies futures</w:t>
      </w:r>
      <w:r w:rsidR="00495C85" w:rsidRPr="00AD7452">
        <w:t>.</w:t>
      </w:r>
      <w:r w:rsidR="00D075F9" w:rsidRPr="00AD7452">
        <w:t xml:space="preserve"> </w:t>
      </w:r>
      <w:r w:rsidRPr="00AD7452">
        <w:t>De plus, un guide essentiel a été élaboré afin d</w:t>
      </w:r>
      <w:r w:rsidR="00CD260D">
        <w:t>'</w:t>
      </w:r>
      <w:r w:rsidRPr="00AD7452">
        <w:t>aider les pays en développement à utiliser le protocole IPv6 sur les réseaux 5G.</w:t>
      </w:r>
    </w:p>
    <w:p w14:paraId="4CF12A39" w14:textId="2C34D8FB" w:rsidR="00D2172E" w:rsidRPr="00AD7452" w:rsidRDefault="00D2172E" w:rsidP="0031797E">
      <w:pPr>
        <w:pStyle w:val="Heading1"/>
        <w:rPr>
          <w:rFonts w:eastAsiaTheme="minorEastAsia"/>
        </w:rPr>
      </w:pPr>
      <w:r w:rsidRPr="00AD7452">
        <w:rPr>
          <w:rFonts w:eastAsiaTheme="minorEastAsia"/>
        </w:rPr>
        <w:t>4</w:t>
      </w:r>
      <w:r w:rsidRPr="00AD7452">
        <w:rPr>
          <w:rFonts w:eastAsiaTheme="minorEastAsia"/>
        </w:rPr>
        <w:tab/>
        <w:t>Questions de politiques publiques relatives à l</w:t>
      </w:r>
      <w:r w:rsidR="00CD260D">
        <w:rPr>
          <w:rFonts w:eastAsiaTheme="minorEastAsia"/>
        </w:rPr>
        <w:t>'</w:t>
      </w:r>
      <w:r w:rsidRPr="00AD7452">
        <w:rPr>
          <w:rFonts w:eastAsiaTheme="minorEastAsia"/>
        </w:rPr>
        <w:t>Internet, y compris la gestion des noms de domaine et des adresses</w:t>
      </w:r>
    </w:p>
    <w:p w14:paraId="5AEDAF76" w14:textId="5797DBFF" w:rsidR="00D2172E" w:rsidRPr="00AD7452" w:rsidRDefault="00D2172E" w:rsidP="0031797E">
      <w:pPr>
        <w:rPr>
          <w:rFonts w:eastAsiaTheme="minorEastAsia" w:cstheme="minorHAnsi"/>
          <w:szCs w:val="22"/>
        </w:rPr>
      </w:pPr>
      <w:r w:rsidRPr="00AD7452">
        <w:rPr>
          <w:b/>
          <w:bCs/>
        </w:rPr>
        <w:t>4.1</w:t>
      </w:r>
      <w:r w:rsidRPr="00AD7452">
        <w:tab/>
        <w:t xml:space="preserve">Le </w:t>
      </w:r>
      <w:hyperlink r:id="rId56" w:history="1">
        <w:r w:rsidRPr="00AD7452">
          <w:rPr>
            <w:rStyle w:val="Hyperlink"/>
          </w:rPr>
          <w:t>Groupe de travail du Conseil sur les questions de politiques publiques internationales relatives à l</w:t>
        </w:r>
        <w:r w:rsidR="00CD260D">
          <w:rPr>
            <w:rStyle w:val="Hyperlink"/>
          </w:rPr>
          <w:t>'</w:t>
        </w:r>
        <w:r w:rsidRPr="00AD7452">
          <w:rPr>
            <w:rStyle w:val="Hyperlink"/>
          </w:rPr>
          <w:t>Internet (GTC-Internet)</w:t>
        </w:r>
      </w:hyperlink>
      <w:r w:rsidRPr="00AD7452">
        <w:t xml:space="preserve"> </w:t>
      </w:r>
      <w:r w:rsidR="003145B3" w:rsidRPr="00AD7452">
        <w:t>n</w:t>
      </w:r>
      <w:r w:rsidR="00CD260D">
        <w:t>'</w:t>
      </w:r>
      <w:r w:rsidR="003145B3" w:rsidRPr="00AD7452">
        <w:t>a pas tenu de réunion</w:t>
      </w:r>
      <w:r w:rsidR="00D075F9" w:rsidRPr="00AD7452">
        <w:t xml:space="preserve"> </w:t>
      </w:r>
      <w:r w:rsidR="003145B3" w:rsidRPr="00AD7452">
        <w:t>pendant la série de réunions des GTC</w:t>
      </w:r>
      <w:r w:rsidR="00D075F9" w:rsidRPr="00AD7452">
        <w:t xml:space="preserve"> </w:t>
      </w:r>
      <w:r w:rsidR="003145B3" w:rsidRPr="00AD7452">
        <w:t>en septembre</w:t>
      </w:r>
      <w:r w:rsidR="00D075F9" w:rsidRPr="00AD7452">
        <w:t xml:space="preserve"> 2020. </w:t>
      </w:r>
      <w:r w:rsidR="003145B3" w:rsidRPr="00AD7452">
        <w:t>La consultation ouverte</w:t>
      </w:r>
      <w:r w:rsidR="00D075F9" w:rsidRPr="00AD7452">
        <w:t xml:space="preserve"> </w:t>
      </w:r>
      <w:r w:rsidR="003145B3" w:rsidRPr="00AD7452">
        <w:t>sur le thème</w:t>
      </w:r>
      <w:r w:rsidR="00D075F9" w:rsidRPr="00AD7452">
        <w:t xml:space="preserve"> </w:t>
      </w:r>
      <w:hyperlink r:id="rId57" w:history="1">
        <w:r w:rsidR="003145B3" w:rsidRPr="00AD7452">
          <w:rPr>
            <w:rStyle w:val="Hyperlink"/>
          </w:rPr>
          <w:t>Étendre la connectivité Internet</w:t>
        </w:r>
      </w:hyperlink>
      <w:r w:rsidR="001A2712" w:rsidRPr="00AD7452">
        <w:t>,</w:t>
      </w:r>
      <w:r w:rsidR="003145B3" w:rsidRPr="00AD7452">
        <w:t xml:space="preserve"> lancée en février 2020 par le Groupe, a été prolongée jusqu</w:t>
      </w:r>
      <w:r w:rsidR="00CD260D">
        <w:t>'</w:t>
      </w:r>
      <w:r w:rsidR="003145B3" w:rsidRPr="00AD7452">
        <w:t>au 15 décembre</w:t>
      </w:r>
      <w:r w:rsidR="00D075F9" w:rsidRPr="00AD7452">
        <w:t xml:space="preserve"> 2020. </w:t>
      </w:r>
      <w:r w:rsidR="003145B3" w:rsidRPr="00AD7452">
        <w:t xml:space="preserve">La quinzième </w:t>
      </w:r>
      <w:r w:rsidR="00C076B9" w:rsidRPr="00AD7452">
        <w:t>ré</w:t>
      </w:r>
      <w:r w:rsidR="003145B3" w:rsidRPr="00AD7452">
        <w:t>union du GTC-Internet s</w:t>
      </w:r>
      <w:r w:rsidR="00CD260D">
        <w:t>'</w:t>
      </w:r>
      <w:r w:rsidR="003145B3" w:rsidRPr="00AD7452">
        <w:t>est tenue les 27 et 28 janvier</w:t>
      </w:r>
      <w:r w:rsidR="00D075F9" w:rsidRPr="00AD7452">
        <w:t xml:space="preserve"> 2020. </w:t>
      </w:r>
      <w:r w:rsidR="003145B3" w:rsidRPr="00AD7452">
        <w:t>Une consultation ouverte sur</w:t>
      </w:r>
      <w:hyperlink r:id="rId58" w:history="1">
        <w:r w:rsidR="003145B3" w:rsidRPr="00AD7452">
          <w:t xml:space="preserve"> </w:t>
        </w:r>
        <w:r w:rsidR="003145B3" w:rsidRPr="00AD7452">
          <w:rPr>
            <w:rStyle w:val="Hyperlink"/>
          </w:rPr>
          <w:t>le rôle joué par l</w:t>
        </w:r>
        <w:r w:rsidR="00CD260D">
          <w:rPr>
            <w:rStyle w:val="Hyperlink"/>
          </w:rPr>
          <w:t>'</w:t>
        </w:r>
        <w:r w:rsidR="003145B3" w:rsidRPr="00AD7452">
          <w:rPr>
            <w:rStyle w:val="Hyperlink"/>
          </w:rPr>
          <w:t>Internet et les politiques publiques internationales relatives à l</w:t>
        </w:r>
        <w:r w:rsidR="00CD260D">
          <w:rPr>
            <w:rStyle w:val="Hyperlink"/>
          </w:rPr>
          <w:t>'</w:t>
        </w:r>
        <w:r w:rsidR="003145B3" w:rsidRPr="00AD7452">
          <w:rPr>
            <w:rStyle w:val="Hyperlink"/>
          </w:rPr>
          <w:t>Internet dans l</w:t>
        </w:r>
        <w:r w:rsidR="00CD260D">
          <w:rPr>
            <w:rStyle w:val="Hyperlink"/>
          </w:rPr>
          <w:t>'</w:t>
        </w:r>
        <w:r w:rsidR="003145B3" w:rsidRPr="00AD7452">
          <w:rPr>
            <w:rStyle w:val="Hyperlink"/>
          </w:rPr>
          <w:t>atténuation des effets de la pandémie de COVID-19 et des éventuelles pandémies futures</w:t>
        </w:r>
      </w:hyperlink>
      <w:r w:rsidR="00D075F9" w:rsidRPr="00AD7452">
        <w:t xml:space="preserve"> </w:t>
      </w:r>
      <w:r w:rsidR="007C0932" w:rsidRPr="00AD7452">
        <w:t>a été lancée</w:t>
      </w:r>
      <w:r w:rsidR="00D075F9" w:rsidRPr="00AD7452">
        <w:t xml:space="preserve">. </w:t>
      </w:r>
      <w:r w:rsidR="007C0932" w:rsidRPr="00AD7452">
        <w:t xml:space="preserve">Un rapport distinct </w:t>
      </w:r>
      <w:r w:rsidR="00675768" w:rsidRPr="00AD7452">
        <w:t>fait l</w:t>
      </w:r>
      <w:r w:rsidR="00CD260D">
        <w:t>'</w:t>
      </w:r>
      <w:r w:rsidR="00675768" w:rsidRPr="00AD7452">
        <w:t xml:space="preserve">objet du </w:t>
      </w:r>
      <w:hyperlink r:id="rId59" w:history="1">
        <w:r w:rsidR="00D075F9" w:rsidRPr="00AD7452">
          <w:rPr>
            <w:rStyle w:val="Hyperlink"/>
          </w:rPr>
          <w:t>Document C21/51</w:t>
        </w:r>
      </w:hyperlink>
      <w:r w:rsidR="00D075F9" w:rsidRPr="00AD7452">
        <w:t>.</w:t>
      </w:r>
    </w:p>
    <w:p w14:paraId="6B712B24" w14:textId="08751FAD" w:rsidR="00D2172E" w:rsidRPr="00AD7452" w:rsidRDefault="00D2172E" w:rsidP="0031797E">
      <w:pPr>
        <w:rPr>
          <w:rFonts w:cstheme="minorHAnsi"/>
        </w:rPr>
      </w:pPr>
      <w:r w:rsidRPr="00AD7452">
        <w:rPr>
          <w:rFonts w:cstheme="minorHAnsi"/>
          <w:b/>
        </w:rPr>
        <w:t>4.2</w:t>
      </w:r>
      <w:r w:rsidRPr="00AD7452">
        <w:rPr>
          <w:rFonts w:cstheme="minorHAnsi"/>
          <w:b/>
        </w:rPr>
        <w:tab/>
      </w:r>
      <w:r w:rsidRPr="00AD7452">
        <w:rPr>
          <w:rFonts w:cstheme="minorHAnsi"/>
        </w:rPr>
        <w:t>L</w:t>
      </w:r>
      <w:r w:rsidR="00CD260D">
        <w:rPr>
          <w:rFonts w:cstheme="minorHAnsi"/>
        </w:rPr>
        <w:t>'</w:t>
      </w:r>
      <w:r w:rsidRPr="00AD7452">
        <w:rPr>
          <w:rFonts w:cstheme="minorHAnsi"/>
        </w:rPr>
        <w:t>UIT a participé au 1</w:t>
      </w:r>
      <w:r w:rsidR="00D075F9" w:rsidRPr="00AD7452">
        <w:rPr>
          <w:rFonts w:cstheme="minorHAnsi"/>
        </w:rPr>
        <w:t>5</w:t>
      </w:r>
      <w:r w:rsidRPr="00AD7452">
        <w:rPr>
          <w:rFonts w:cstheme="minorHAnsi"/>
        </w:rPr>
        <w:t>ème Forum sur la gouvernance de l</w:t>
      </w:r>
      <w:r w:rsidR="00CD260D">
        <w:rPr>
          <w:rFonts w:cstheme="minorHAnsi"/>
        </w:rPr>
        <w:t>'</w:t>
      </w:r>
      <w:r w:rsidRPr="00AD7452">
        <w:rPr>
          <w:rFonts w:cstheme="minorHAnsi"/>
        </w:rPr>
        <w:t>Internet</w:t>
      </w:r>
      <w:r w:rsidR="00180C80" w:rsidRPr="00AD7452">
        <w:rPr>
          <w:rFonts w:cstheme="minorHAnsi"/>
        </w:rPr>
        <w:t>,</w:t>
      </w:r>
      <w:r w:rsidRPr="00AD7452">
        <w:rPr>
          <w:rFonts w:cstheme="minorHAnsi"/>
        </w:rPr>
        <w:t xml:space="preserve"> </w:t>
      </w:r>
      <w:r w:rsidR="00D075F9" w:rsidRPr="00AD7452">
        <w:rPr>
          <w:rFonts w:cstheme="minorHAnsi"/>
        </w:rPr>
        <w:t>qui s</w:t>
      </w:r>
      <w:r w:rsidR="00CD260D">
        <w:rPr>
          <w:rFonts w:cstheme="minorHAnsi"/>
        </w:rPr>
        <w:t>'</w:t>
      </w:r>
      <w:r w:rsidR="00D075F9" w:rsidRPr="00AD7452">
        <w:rPr>
          <w:rFonts w:cstheme="minorHAnsi"/>
        </w:rPr>
        <w:t>est tenu de manière virtuelle du 2 au 6 et du 9 au 17 novembre 2020</w:t>
      </w:r>
      <w:r w:rsidRPr="00AD7452">
        <w:rPr>
          <w:rFonts w:cstheme="minorHAnsi"/>
        </w:rPr>
        <w:t>. Le Secrétaire général de l</w:t>
      </w:r>
      <w:r w:rsidR="00CD260D">
        <w:rPr>
          <w:rFonts w:cstheme="minorHAnsi"/>
        </w:rPr>
        <w:t>'</w:t>
      </w:r>
      <w:r w:rsidRPr="00AD7452">
        <w:rPr>
          <w:rFonts w:cstheme="minorHAnsi"/>
        </w:rPr>
        <w:t xml:space="preserve">UIT a </w:t>
      </w:r>
      <w:r w:rsidR="007C0932" w:rsidRPr="00AD7452">
        <w:rPr>
          <w:rFonts w:cstheme="minorHAnsi"/>
        </w:rPr>
        <w:t>été invité à s</w:t>
      </w:r>
      <w:r w:rsidR="00CD260D">
        <w:rPr>
          <w:rFonts w:cstheme="minorHAnsi"/>
        </w:rPr>
        <w:t>'</w:t>
      </w:r>
      <w:r w:rsidR="007C0932" w:rsidRPr="00AD7452">
        <w:rPr>
          <w:rFonts w:cstheme="minorHAnsi"/>
        </w:rPr>
        <w:t>exprimer</w:t>
      </w:r>
      <w:r w:rsidRPr="00AD7452">
        <w:rPr>
          <w:rFonts w:cstheme="minorHAnsi"/>
        </w:rPr>
        <w:t xml:space="preserve"> </w:t>
      </w:r>
      <w:r w:rsidR="007C0932" w:rsidRPr="00AD7452">
        <w:rPr>
          <w:rFonts w:cstheme="minorHAnsi"/>
        </w:rPr>
        <w:t>lors de la cérémonie</w:t>
      </w:r>
      <w:r w:rsidRPr="00AD7452">
        <w:rPr>
          <w:rFonts w:cstheme="minorHAnsi"/>
        </w:rPr>
        <w:t xml:space="preserve"> </w:t>
      </w:r>
      <w:r w:rsidR="007C0932" w:rsidRPr="00AD7452">
        <w:rPr>
          <w:rFonts w:cstheme="minorHAnsi"/>
        </w:rPr>
        <w:t>d</w:t>
      </w:r>
      <w:r w:rsidR="00CD260D">
        <w:rPr>
          <w:rFonts w:cstheme="minorHAnsi"/>
        </w:rPr>
        <w:t>'</w:t>
      </w:r>
      <w:r w:rsidRPr="00AD7452">
        <w:rPr>
          <w:rFonts w:cstheme="minorHAnsi"/>
        </w:rPr>
        <w:t>ouverture</w:t>
      </w:r>
      <w:r w:rsidR="007C0932" w:rsidRPr="00AD7452">
        <w:rPr>
          <w:rFonts w:cstheme="minorHAnsi"/>
        </w:rPr>
        <w:t xml:space="preserve"> du Forum le 9 novembre 2020</w:t>
      </w:r>
      <w:r w:rsidRPr="00AD7452">
        <w:rPr>
          <w:rFonts w:cstheme="minorHAnsi"/>
        </w:rPr>
        <w:t xml:space="preserve">. </w:t>
      </w:r>
      <w:r w:rsidR="007C0932" w:rsidRPr="00AD7452">
        <w:rPr>
          <w:rFonts w:cstheme="minorHAnsi"/>
        </w:rPr>
        <w:t>En outre, l</w:t>
      </w:r>
      <w:r w:rsidR="00CD260D">
        <w:rPr>
          <w:rFonts w:cstheme="minorHAnsi"/>
        </w:rPr>
        <w:t>'</w:t>
      </w:r>
      <w:r w:rsidRPr="00AD7452">
        <w:rPr>
          <w:rFonts w:cstheme="minorHAnsi"/>
        </w:rPr>
        <w:t>UIT a</w:t>
      </w:r>
      <w:r w:rsidR="007C0932" w:rsidRPr="00AD7452">
        <w:rPr>
          <w:rFonts w:cstheme="minorHAnsi"/>
        </w:rPr>
        <w:t xml:space="preserve"> </w:t>
      </w:r>
      <w:r w:rsidRPr="00AD7452">
        <w:rPr>
          <w:rFonts w:cstheme="minorHAnsi"/>
        </w:rPr>
        <w:t>organisé l</w:t>
      </w:r>
      <w:r w:rsidR="00CD260D">
        <w:rPr>
          <w:rFonts w:cstheme="minorHAnsi"/>
        </w:rPr>
        <w:t>'</w:t>
      </w:r>
      <w:r w:rsidRPr="00AD7452">
        <w:rPr>
          <w:rFonts w:cstheme="minorHAnsi"/>
        </w:rPr>
        <w:t>édition an</w:t>
      </w:r>
      <w:r w:rsidR="007C0932" w:rsidRPr="00AD7452">
        <w:rPr>
          <w:rFonts w:cstheme="minorHAnsi"/>
        </w:rPr>
        <w:t>nuelle des prix EQUALs in Tech et co-</w:t>
      </w:r>
      <w:r w:rsidR="00747A0D" w:rsidRPr="00AD7452">
        <w:rPr>
          <w:rFonts w:cstheme="minorHAnsi"/>
        </w:rPr>
        <w:t xml:space="preserve">organisé, </w:t>
      </w:r>
      <w:r w:rsidR="007C0932" w:rsidRPr="00AD7452">
        <w:rPr>
          <w:rFonts w:cstheme="minorHAnsi"/>
        </w:rPr>
        <w:t>avec les coordonnateurs des grandes orientations du SMSI</w:t>
      </w:r>
      <w:r w:rsidR="00747A0D" w:rsidRPr="00AD7452">
        <w:rPr>
          <w:rFonts w:cstheme="minorHAnsi"/>
        </w:rPr>
        <w:t>,</w:t>
      </w:r>
      <w:r w:rsidR="007C0932" w:rsidRPr="00AD7452">
        <w:rPr>
          <w:color w:val="000000"/>
        </w:rPr>
        <w:t xml:space="preserve"> le </w:t>
      </w:r>
      <w:r w:rsidRPr="00AD7452">
        <w:rPr>
          <w:color w:val="000000"/>
        </w:rPr>
        <w:t>Forum ouvert sur la mise en œu</w:t>
      </w:r>
      <w:r w:rsidR="00CD260D">
        <w:rPr>
          <w:color w:val="000000"/>
        </w:rPr>
        <w:t>vre des grandes orientations du </w:t>
      </w:r>
      <w:r w:rsidRPr="00AD7452">
        <w:rPr>
          <w:color w:val="000000"/>
        </w:rPr>
        <w:t>SMSI pour les ODD et l</w:t>
      </w:r>
      <w:r w:rsidR="00CD260D">
        <w:rPr>
          <w:color w:val="000000"/>
        </w:rPr>
        <w:t>'</w:t>
      </w:r>
      <w:r w:rsidRPr="00AD7452">
        <w:rPr>
          <w:color w:val="000000"/>
        </w:rPr>
        <w:t>édition de 202</w:t>
      </w:r>
      <w:r w:rsidR="00D075F9" w:rsidRPr="00AD7452">
        <w:rPr>
          <w:color w:val="000000"/>
        </w:rPr>
        <w:t>1</w:t>
      </w:r>
      <w:r w:rsidRPr="00AD7452">
        <w:rPr>
          <w:color w:val="000000"/>
        </w:rPr>
        <w:t xml:space="preserve"> du Forum du SMSI</w:t>
      </w:r>
      <w:r w:rsidR="00180C80" w:rsidRPr="00AD7452">
        <w:rPr>
          <w:rFonts w:cstheme="minorHAnsi"/>
        </w:rPr>
        <w:t xml:space="preserve">, </w:t>
      </w:r>
      <w:r w:rsidR="007C0932" w:rsidRPr="00AD7452">
        <w:rPr>
          <w:rFonts w:cstheme="minorHAnsi"/>
        </w:rPr>
        <w:t>en parallèle du Forum sur la gouvernance de l</w:t>
      </w:r>
      <w:r w:rsidR="00CD260D">
        <w:rPr>
          <w:rFonts w:cstheme="minorHAnsi"/>
        </w:rPr>
        <w:t>'</w:t>
      </w:r>
      <w:r w:rsidR="007C0932" w:rsidRPr="00AD7452">
        <w:rPr>
          <w:rFonts w:cstheme="minorHAnsi"/>
        </w:rPr>
        <w:t>Internet</w:t>
      </w:r>
      <w:r w:rsidRPr="00AD7452">
        <w:rPr>
          <w:rFonts w:cstheme="minorHAnsi"/>
        </w:rPr>
        <w:t>.</w:t>
      </w:r>
    </w:p>
    <w:p w14:paraId="6F90E5C8" w14:textId="16DDAD0F" w:rsidR="00D2172E" w:rsidRPr="00AD7452" w:rsidRDefault="00D2172E" w:rsidP="0031797E">
      <w:r w:rsidRPr="00AD7452">
        <w:rPr>
          <w:b/>
          <w:bCs/>
        </w:rPr>
        <w:lastRenderedPageBreak/>
        <w:t>4.3</w:t>
      </w:r>
      <w:r w:rsidRPr="00AD7452">
        <w:tab/>
        <w:t>L</w:t>
      </w:r>
      <w:r w:rsidR="00CD260D">
        <w:t>'</w:t>
      </w:r>
      <w:r w:rsidRPr="00AD7452">
        <w:t>UIT continue de suivre la question de la protection des noms et sigles des organisations intergouvernementales (OIG) dans les nouveaux gTLD, dans le cadre de la coalition OIG regroupant environ 35 OIG, dont l</w:t>
      </w:r>
      <w:r w:rsidR="00CD260D">
        <w:t>'</w:t>
      </w:r>
      <w:r w:rsidRPr="00AD7452">
        <w:t>OCDE, l</w:t>
      </w:r>
      <w:r w:rsidR="00CD260D">
        <w:t>'</w:t>
      </w:r>
      <w:r w:rsidRPr="00AD7452">
        <w:t>ONU, l</w:t>
      </w:r>
      <w:r w:rsidR="00CD260D">
        <w:t>'</w:t>
      </w:r>
      <w:r w:rsidRPr="00AD7452">
        <w:t>UPU, l</w:t>
      </w:r>
      <w:r w:rsidR="00CD260D">
        <w:t>'</w:t>
      </w:r>
      <w:r w:rsidRPr="00AD7452">
        <w:t>OMS, l</w:t>
      </w:r>
      <w:r w:rsidR="00CD260D">
        <w:t>'</w:t>
      </w:r>
      <w:r w:rsidRPr="00AD7452">
        <w:t>OMPI et la Banque mondiale.</w:t>
      </w:r>
    </w:p>
    <w:p w14:paraId="24CC2477" w14:textId="655867C7" w:rsidR="00D2172E" w:rsidRPr="00AD7452" w:rsidRDefault="00D2172E" w:rsidP="0031797E">
      <w:r w:rsidRPr="00AD7452">
        <w:rPr>
          <w:b/>
        </w:rPr>
        <w:t>4.4</w:t>
      </w:r>
      <w:r w:rsidRPr="00AD7452">
        <w:tab/>
      </w:r>
      <w:r w:rsidR="00E307CA" w:rsidRPr="00AD7452">
        <w:t>Dans</w:t>
      </w:r>
      <w:r w:rsidR="007C0932" w:rsidRPr="00AD7452">
        <w:t xml:space="preserve"> </w:t>
      </w:r>
      <w:r w:rsidR="00E307CA" w:rsidRPr="00AD7452">
        <w:t>toutes les</w:t>
      </w:r>
      <w:r w:rsidR="007C0932" w:rsidRPr="00AD7452">
        <w:t xml:space="preserve"> activités mentionnées dans les différentes sections du présent rapport</w:t>
      </w:r>
      <w:r w:rsidR="00D075F9" w:rsidRPr="00AD7452">
        <w:t xml:space="preserve">, </w:t>
      </w:r>
      <w:r w:rsidR="00E307CA" w:rsidRPr="00AD7452">
        <w:t>en particulier</w:t>
      </w:r>
      <w:r w:rsidR="007C0932" w:rsidRPr="00AD7452">
        <w:t xml:space="preserve"> </w:t>
      </w:r>
      <w:r w:rsidR="00E307CA" w:rsidRPr="00AD7452">
        <w:t>dans les</w:t>
      </w:r>
      <w:r w:rsidR="007C0932" w:rsidRPr="00AD7452">
        <w:t xml:space="preserve"> activités lié</w:t>
      </w:r>
      <w:r w:rsidR="00F67231" w:rsidRPr="00AD7452">
        <w:t>e</w:t>
      </w:r>
      <w:r w:rsidR="007C0932" w:rsidRPr="00AD7452">
        <w:t xml:space="preserve">s au protocole IPv6, </w:t>
      </w:r>
      <w:proofErr w:type="gramStart"/>
      <w:r w:rsidR="007C0932" w:rsidRPr="00AD7452">
        <w:t>au large bande</w:t>
      </w:r>
      <w:proofErr w:type="gramEnd"/>
      <w:r w:rsidR="007C0932" w:rsidRPr="00AD7452">
        <w:t xml:space="preserve"> et au renforcement des capacités </w:t>
      </w:r>
      <w:r w:rsidR="00E307CA" w:rsidRPr="00AD7452">
        <w:t>dont bénéficient un certain nombre de pays</w:t>
      </w:r>
      <w:r w:rsidR="00D075F9" w:rsidRPr="00AD7452">
        <w:t xml:space="preserve">, </w:t>
      </w:r>
      <w:r w:rsidR="007C0932" w:rsidRPr="00AD7452">
        <w:t>l</w:t>
      </w:r>
      <w:r w:rsidR="00CD260D">
        <w:t>'</w:t>
      </w:r>
      <w:r w:rsidR="007C0932" w:rsidRPr="00AD7452">
        <w:t xml:space="preserve">UIT </w:t>
      </w:r>
      <w:r w:rsidR="00F67231" w:rsidRPr="00AD7452">
        <w:t>s</w:t>
      </w:r>
      <w:r w:rsidR="00CD260D">
        <w:t>'</w:t>
      </w:r>
      <w:r w:rsidR="00F67231" w:rsidRPr="00AD7452">
        <w:t>efforce de</w:t>
      </w:r>
      <w:r w:rsidR="007C0932" w:rsidRPr="00AD7452">
        <w:t xml:space="preserve"> </w:t>
      </w:r>
      <w:r w:rsidR="00F67231" w:rsidRPr="00AD7452">
        <w:t>résoudre les</w:t>
      </w:r>
      <w:r w:rsidR="007C0932" w:rsidRPr="00AD7452">
        <w:t xml:space="preserve"> problèmes rencontrés par les pays en développement sans littoral, conformément au Programme d</w:t>
      </w:r>
      <w:r w:rsidR="00CD260D">
        <w:t>'</w:t>
      </w:r>
      <w:r w:rsidR="007C0932" w:rsidRPr="00AD7452">
        <w:t>action de Vienne</w:t>
      </w:r>
      <w:r w:rsidR="00D075F9" w:rsidRPr="00AD7452">
        <w:t>.</w:t>
      </w:r>
    </w:p>
    <w:p w14:paraId="469FB7FB" w14:textId="77777777" w:rsidR="00D2172E" w:rsidRPr="00AD7452" w:rsidRDefault="00D2172E" w:rsidP="0031797E">
      <w:pPr>
        <w:pStyle w:val="Heading1"/>
        <w:rPr>
          <w:rFonts w:eastAsiaTheme="minorEastAsia"/>
        </w:rPr>
      </w:pPr>
      <w:r w:rsidRPr="00AD7452">
        <w:rPr>
          <w:rFonts w:eastAsiaTheme="minorEastAsia"/>
        </w:rPr>
        <w:t>5</w:t>
      </w:r>
      <w:r w:rsidRPr="00AD7452">
        <w:rPr>
          <w:rFonts w:eastAsiaTheme="minorEastAsia"/>
        </w:rPr>
        <w:tab/>
        <w:t>Protocole ENUM</w:t>
      </w:r>
    </w:p>
    <w:p w14:paraId="7861EE59" w14:textId="48FD6EAE" w:rsidR="00D2172E" w:rsidRPr="00AD7452" w:rsidRDefault="00D2172E" w:rsidP="0031797E">
      <w:pPr>
        <w:rPr>
          <w:rFonts w:eastAsiaTheme="minorEastAsia"/>
        </w:rPr>
      </w:pPr>
      <w:r w:rsidRPr="00AD7452">
        <w:rPr>
          <w:b/>
          <w:bCs/>
        </w:rPr>
        <w:t>5.1</w:t>
      </w:r>
      <w:r w:rsidRPr="00AD7452">
        <w:tab/>
        <w:t>L</w:t>
      </w:r>
      <w:r w:rsidR="00CD260D">
        <w:t>'</w:t>
      </w:r>
      <w:r w:rsidRPr="00AD7452">
        <w:t>UIT</w:t>
      </w:r>
      <w:r w:rsidR="009577A7" w:rsidRPr="00AD7452">
        <w:t>-T</w:t>
      </w:r>
      <w:r w:rsidRPr="00AD7452">
        <w:t xml:space="preserve"> centralise les </w:t>
      </w:r>
      <w:hyperlink r:id="rId60" w:history="1">
        <w:r w:rsidRPr="00AD7452">
          <w:rPr>
            <w:rStyle w:val="Hyperlink"/>
          </w:rPr>
          <w:t>informations actualisées relatives au protocole ENUM</w:t>
        </w:r>
      </w:hyperlink>
      <w:r w:rsidRPr="00AD7452">
        <w:t>.</w:t>
      </w:r>
      <w:r w:rsidR="00D075F9" w:rsidRPr="00AD7452">
        <w:rPr>
          <w:rFonts w:asciiTheme="minorHAnsi" w:hAnsiTheme="minorHAnsi" w:cstheme="minorHAnsi"/>
          <w:szCs w:val="24"/>
        </w:rPr>
        <w:t xml:space="preserve"> </w:t>
      </w:r>
      <w:r w:rsidR="00495681" w:rsidRPr="00AD7452">
        <w:t>La CE 2 de l</w:t>
      </w:r>
      <w:r w:rsidR="00CD260D">
        <w:t>'</w:t>
      </w:r>
      <w:r w:rsidR="00495681" w:rsidRPr="00AD7452">
        <w:t>UIT</w:t>
      </w:r>
      <w:r w:rsidR="00896E8B" w:rsidRPr="00AD7452">
        <w:noBreakHyphen/>
      </w:r>
      <w:r w:rsidR="00495681" w:rsidRPr="00AD7452">
        <w:t>T poursuit les travaux concernant un nouveau projet de norme de l</w:t>
      </w:r>
      <w:r w:rsidR="00CD260D">
        <w:t>'</w:t>
      </w:r>
      <w:r w:rsidR="00495681" w:rsidRPr="00AD7452">
        <w:t>UIT</w:t>
      </w:r>
      <w:r w:rsidR="00D075F9" w:rsidRPr="00AD7452">
        <w:t xml:space="preserve"> </w:t>
      </w:r>
      <w:r w:rsidR="00495681" w:rsidRPr="00AD7452">
        <w:t>sur</w:t>
      </w:r>
      <w:r w:rsidR="00D075F9" w:rsidRPr="00AD7452">
        <w:t xml:space="preserve"> </w:t>
      </w:r>
      <w:r w:rsidR="00495681" w:rsidRPr="00AD7452">
        <w:t xml:space="preserve">la </w:t>
      </w:r>
      <w:r w:rsidR="00495681" w:rsidRPr="00AD7452">
        <w:rPr>
          <w:i/>
          <w:iCs/>
        </w:rPr>
        <w:t xml:space="preserve">distinction entre le </w:t>
      </w:r>
      <w:r w:rsidR="004C0848" w:rsidRPr="00AD7452">
        <w:rPr>
          <w:i/>
          <w:iCs/>
        </w:rPr>
        <w:t>protocole</w:t>
      </w:r>
      <w:r w:rsidR="00495681" w:rsidRPr="00AD7452">
        <w:rPr>
          <w:i/>
          <w:iCs/>
        </w:rPr>
        <w:t xml:space="preserve"> ENUM et le système ENUM d</w:t>
      </w:r>
      <w:r w:rsidR="00CD260D">
        <w:rPr>
          <w:i/>
          <w:iCs/>
        </w:rPr>
        <w:t>'</w:t>
      </w:r>
      <w:r w:rsidR="00495681" w:rsidRPr="00AD7452">
        <w:rPr>
          <w:i/>
          <w:iCs/>
        </w:rPr>
        <w:t>infrastructure</w:t>
      </w:r>
      <w:r w:rsidR="00D075F9" w:rsidRPr="00AD7452">
        <w:t xml:space="preserve">. </w:t>
      </w:r>
      <w:r w:rsidR="00495681" w:rsidRPr="00AD7452">
        <w:t>La CE 11 de l</w:t>
      </w:r>
      <w:r w:rsidR="00CD260D">
        <w:t>'</w:t>
      </w:r>
      <w:r w:rsidR="00495681" w:rsidRPr="00AD7452">
        <w:t>UIT-T a approuvé deux</w:t>
      </w:r>
      <w:r w:rsidR="00896E8B" w:rsidRPr="00AD7452">
        <w:t> </w:t>
      </w:r>
      <w:r w:rsidR="00495681" w:rsidRPr="00AD7452">
        <w:t xml:space="preserve">normes </w:t>
      </w:r>
      <w:r w:rsidR="0073678A" w:rsidRPr="00AD7452">
        <w:t>de l</w:t>
      </w:r>
      <w:r w:rsidR="00CD260D">
        <w:t>'</w:t>
      </w:r>
      <w:r w:rsidR="0073678A" w:rsidRPr="00AD7452">
        <w:t xml:space="preserve">UIT sur le </w:t>
      </w:r>
      <w:r w:rsidR="004C0848" w:rsidRPr="00AD7452">
        <w:t>protocole</w:t>
      </w:r>
      <w:r w:rsidR="0073678A" w:rsidRPr="00AD7452">
        <w:t xml:space="preserve"> ENUM pour le sous-système IMS</w:t>
      </w:r>
      <w:r w:rsidR="00D075F9" w:rsidRPr="00AD7452">
        <w:t>.</w:t>
      </w:r>
    </w:p>
    <w:p w14:paraId="6001C830" w14:textId="38E30ECB" w:rsidR="00D2172E" w:rsidRPr="00AD7452" w:rsidRDefault="00D2172E" w:rsidP="0031797E">
      <w:pPr>
        <w:pStyle w:val="Heading1"/>
        <w:rPr>
          <w:rFonts w:eastAsiaTheme="minorEastAsia"/>
        </w:rPr>
      </w:pPr>
      <w:r w:rsidRPr="00AD7452">
        <w:rPr>
          <w:rFonts w:eastAsiaTheme="minorEastAsia"/>
        </w:rPr>
        <w:t>6</w:t>
      </w:r>
      <w:r w:rsidRPr="00AD7452">
        <w:rPr>
          <w:rFonts w:eastAsiaTheme="minorEastAsia"/>
        </w:rPr>
        <w:tab/>
        <w:t>Connectivité Internet internationale/points d</w:t>
      </w:r>
      <w:r w:rsidR="00CD260D">
        <w:rPr>
          <w:rFonts w:eastAsiaTheme="minorEastAsia"/>
        </w:rPr>
        <w:t>'</w:t>
      </w:r>
      <w:r w:rsidRPr="00AD7452">
        <w:rPr>
          <w:rFonts w:eastAsiaTheme="minorEastAsia"/>
        </w:rPr>
        <w:t>échange Internet</w:t>
      </w:r>
    </w:p>
    <w:p w14:paraId="3F69BD04" w14:textId="67454FA0" w:rsidR="00D075F9" w:rsidRPr="00AD7452" w:rsidRDefault="00D2172E" w:rsidP="0031797E">
      <w:pPr>
        <w:rPr>
          <w:rFonts w:eastAsiaTheme="minorEastAsia"/>
        </w:rPr>
      </w:pPr>
      <w:r w:rsidRPr="00AD7452">
        <w:rPr>
          <w:b/>
        </w:rPr>
        <w:t>6.1</w:t>
      </w:r>
      <w:r w:rsidRPr="00AD7452">
        <w:tab/>
      </w:r>
      <w:bookmarkStart w:id="8" w:name="_Hlk500485334"/>
      <w:r w:rsidR="003531CD" w:rsidRPr="00AD7452">
        <w:t>Le BDT continue d</w:t>
      </w:r>
      <w:r w:rsidR="00CD260D">
        <w:t>'</w:t>
      </w:r>
      <w:r w:rsidR="003531CD" w:rsidRPr="00AD7452">
        <w:t>apporter une assistance à certains pays en ce qui concerne la création de points d</w:t>
      </w:r>
      <w:r w:rsidR="00CD260D">
        <w:t>'</w:t>
      </w:r>
      <w:r w:rsidR="003531CD" w:rsidRPr="00AD7452">
        <w:t>échange Internet (IXP) nationaux et la mise en place d</w:t>
      </w:r>
      <w:r w:rsidR="00CD260D">
        <w:t>'</w:t>
      </w:r>
      <w:r w:rsidR="003531CD" w:rsidRPr="00AD7452">
        <w:t>une connectivité Internet régionale efficace et rentable, par exemple en élaborant un modèle d</w:t>
      </w:r>
      <w:r w:rsidR="00CD260D">
        <w:t>'</w:t>
      </w:r>
      <w:r w:rsidR="003531CD" w:rsidRPr="00AD7452">
        <w:t>interconnexion destiné à servir de base à la création de points d</w:t>
      </w:r>
      <w:r w:rsidR="00CD260D">
        <w:t>'</w:t>
      </w:r>
      <w:r w:rsidR="003531CD" w:rsidRPr="00AD7452">
        <w:t>échange Inte</w:t>
      </w:r>
      <w:r w:rsidR="005B146E" w:rsidRPr="00AD7452">
        <w:t>rnet</w:t>
      </w:r>
      <w:r w:rsidR="003531CD" w:rsidRPr="00AD7452">
        <w:t xml:space="preserve"> nationaux et régionaux, comme cela a été fait au Guatemala</w:t>
      </w:r>
      <w:r w:rsidR="003531CD" w:rsidRPr="00AD7452">
        <w:rPr>
          <w:rFonts w:eastAsiaTheme="minorEastAsia"/>
        </w:rPr>
        <w:t>, et en favorisant le renforcement des capacités des points IXP nationaux (Monténégro) et du Centre d</w:t>
      </w:r>
      <w:r w:rsidR="00CD260D">
        <w:rPr>
          <w:rFonts w:eastAsiaTheme="minorEastAsia"/>
        </w:rPr>
        <w:t>'</w:t>
      </w:r>
      <w:r w:rsidR="003531CD" w:rsidRPr="00AD7452">
        <w:rPr>
          <w:rFonts w:eastAsiaTheme="minorEastAsia"/>
        </w:rPr>
        <w:t>échange Internet national au Timor Leste</w:t>
      </w:r>
      <w:r w:rsidR="00D075F9" w:rsidRPr="00AD7452">
        <w:rPr>
          <w:rFonts w:eastAsiaTheme="minorEastAsia"/>
        </w:rPr>
        <w:t>.</w:t>
      </w:r>
    </w:p>
    <w:p w14:paraId="56852BA7" w14:textId="334EAABB" w:rsidR="00D075F9" w:rsidRPr="00AD7452" w:rsidRDefault="00D075F9" w:rsidP="0031797E">
      <w:pPr>
        <w:rPr>
          <w:rFonts w:eastAsiaTheme="minorEastAsia"/>
          <w:b/>
        </w:rPr>
      </w:pPr>
      <w:r w:rsidRPr="00AD7452">
        <w:rPr>
          <w:rFonts w:eastAsiaTheme="minorEastAsia"/>
          <w:b/>
        </w:rPr>
        <w:t>6.2</w:t>
      </w:r>
      <w:r w:rsidRPr="00AD7452">
        <w:rPr>
          <w:rFonts w:eastAsiaTheme="minorEastAsia"/>
          <w:b/>
        </w:rPr>
        <w:tab/>
      </w:r>
      <w:r w:rsidR="0029536E" w:rsidRPr="00AD7452">
        <w:rPr>
          <w:rFonts w:eastAsiaTheme="minorEastAsia"/>
        </w:rPr>
        <w:t>Le B</w:t>
      </w:r>
      <w:r w:rsidRPr="00AD7452">
        <w:rPr>
          <w:rFonts w:eastAsiaTheme="minorEastAsia"/>
        </w:rPr>
        <w:t xml:space="preserve">DT </w:t>
      </w:r>
      <w:r w:rsidR="003C237C" w:rsidRPr="00AD7452">
        <w:rPr>
          <w:rFonts w:eastAsiaTheme="minorEastAsia"/>
        </w:rPr>
        <w:t>contribue à</w:t>
      </w:r>
      <w:r w:rsidR="005B146E" w:rsidRPr="00AD7452">
        <w:rPr>
          <w:rFonts w:eastAsiaTheme="minorEastAsia"/>
        </w:rPr>
        <w:t xml:space="preserve"> l</w:t>
      </w:r>
      <w:r w:rsidR="00CD260D">
        <w:rPr>
          <w:rFonts w:eastAsiaTheme="minorEastAsia"/>
        </w:rPr>
        <w:t>'</w:t>
      </w:r>
      <w:r w:rsidR="005B146E" w:rsidRPr="00AD7452">
        <w:rPr>
          <w:rFonts w:eastAsiaTheme="minorEastAsia"/>
        </w:rPr>
        <w:t>établissement du</w:t>
      </w:r>
      <w:r w:rsidR="0029536E" w:rsidRPr="00AD7452">
        <w:rPr>
          <w:rFonts w:eastAsiaTheme="minorEastAsia"/>
        </w:rPr>
        <w:t xml:space="preserve"> point IXP des Samoa (SIXP) pour permettre</w:t>
      </w:r>
      <w:r w:rsidRPr="00AD7452">
        <w:rPr>
          <w:rFonts w:eastAsiaTheme="minorEastAsia"/>
        </w:rPr>
        <w:t xml:space="preserve"> </w:t>
      </w:r>
      <w:r w:rsidR="0029536E" w:rsidRPr="00AD7452">
        <w:rPr>
          <w:rFonts w:eastAsiaTheme="minorEastAsia"/>
        </w:rPr>
        <w:t>aux fournisseurs de services Internet locaux d</w:t>
      </w:r>
      <w:r w:rsidR="00CD260D">
        <w:rPr>
          <w:rFonts w:eastAsiaTheme="minorEastAsia"/>
        </w:rPr>
        <w:t>'</w:t>
      </w:r>
      <w:r w:rsidR="0029536E" w:rsidRPr="00AD7452">
        <w:rPr>
          <w:rFonts w:eastAsiaTheme="minorEastAsia"/>
        </w:rPr>
        <w:t>être directement interconnectés et d</w:t>
      </w:r>
      <w:r w:rsidR="00CD260D">
        <w:rPr>
          <w:rFonts w:eastAsiaTheme="minorEastAsia"/>
        </w:rPr>
        <w:t>'</w:t>
      </w:r>
      <w:r w:rsidR="0029536E" w:rsidRPr="00AD7452">
        <w:rPr>
          <w:rFonts w:eastAsiaTheme="minorEastAsia"/>
        </w:rPr>
        <w:t>échanger le trafic national</w:t>
      </w:r>
      <w:r w:rsidR="0015118C" w:rsidRPr="00AD7452">
        <w:rPr>
          <w:rFonts w:eastAsiaTheme="minorEastAsia"/>
        </w:rPr>
        <w:t>. D</w:t>
      </w:r>
      <w:r w:rsidR="00337558" w:rsidRPr="00AD7452">
        <w:rPr>
          <w:rFonts w:eastAsiaTheme="minorEastAsia"/>
        </w:rPr>
        <w:t>es arrangements d</w:t>
      </w:r>
      <w:r w:rsidR="00CD260D">
        <w:rPr>
          <w:rFonts w:eastAsiaTheme="minorEastAsia"/>
        </w:rPr>
        <w:t>'</w:t>
      </w:r>
      <w:r w:rsidR="0015118C" w:rsidRPr="00AD7452">
        <w:rPr>
          <w:rFonts w:eastAsiaTheme="minorEastAsia"/>
        </w:rPr>
        <w:t xml:space="preserve">échange de trafic </w:t>
      </w:r>
      <w:r w:rsidR="0029536E" w:rsidRPr="00AD7452">
        <w:rPr>
          <w:rFonts w:eastAsiaTheme="minorEastAsia"/>
        </w:rPr>
        <w:t>ne donnant lieu à aucun règlement</w:t>
      </w:r>
      <w:r w:rsidR="00337558" w:rsidRPr="00AD7452">
        <w:rPr>
          <w:rFonts w:eastAsiaTheme="minorEastAsia"/>
        </w:rPr>
        <w:t xml:space="preserve"> </w:t>
      </w:r>
      <w:r w:rsidR="0015118C" w:rsidRPr="00AD7452">
        <w:rPr>
          <w:rFonts w:eastAsiaTheme="minorEastAsia"/>
        </w:rPr>
        <w:t>sont généralement conclus entre les fournisseurs, afin de</w:t>
      </w:r>
      <w:r w:rsidR="00337558" w:rsidRPr="00AD7452">
        <w:rPr>
          <w:rFonts w:eastAsiaTheme="minorEastAsia"/>
        </w:rPr>
        <w:t xml:space="preserve"> </w:t>
      </w:r>
      <w:r w:rsidR="0029536E" w:rsidRPr="00AD7452">
        <w:rPr>
          <w:rFonts w:eastAsiaTheme="minorEastAsia"/>
        </w:rPr>
        <w:t xml:space="preserve">réduire le </w:t>
      </w:r>
      <w:r w:rsidR="00954083" w:rsidRPr="00AD7452">
        <w:rPr>
          <w:rFonts w:eastAsiaTheme="minorEastAsia"/>
        </w:rPr>
        <w:t xml:space="preserve">transit </w:t>
      </w:r>
      <w:r w:rsidR="0029536E" w:rsidRPr="00AD7452">
        <w:rPr>
          <w:rFonts w:eastAsiaTheme="minorEastAsia"/>
        </w:rPr>
        <w:t xml:space="preserve">international ou </w:t>
      </w:r>
      <w:r w:rsidR="0015118C" w:rsidRPr="00AD7452">
        <w:rPr>
          <w:rFonts w:eastAsiaTheme="minorEastAsia"/>
        </w:rPr>
        <w:t xml:space="preserve">de </w:t>
      </w:r>
      <w:r w:rsidR="0029536E" w:rsidRPr="00AD7452">
        <w:rPr>
          <w:rFonts w:eastAsiaTheme="minorEastAsia"/>
        </w:rPr>
        <w:t>limiter ses coûts</w:t>
      </w:r>
      <w:r w:rsidRPr="00AD7452">
        <w:rPr>
          <w:rFonts w:eastAsiaTheme="minorEastAsia"/>
        </w:rPr>
        <w:t xml:space="preserve"> </w:t>
      </w:r>
      <w:r w:rsidR="0029536E" w:rsidRPr="00AD7452">
        <w:rPr>
          <w:rFonts w:eastAsiaTheme="minorEastAsia"/>
        </w:rPr>
        <w:t xml:space="preserve">tout en </w:t>
      </w:r>
      <w:r w:rsidR="0015118C" w:rsidRPr="00AD7452">
        <w:rPr>
          <w:rFonts w:eastAsiaTheme="minorEastAsia"/>
        </w:rPr>
        <w:t>diminuant</w:t>
      </w:r>
      <w:r w:rsidR="0029536E" w:rsidRPr="00AD7452">
        <w:rPr>
          <w:rFonts w:eastAsiaTheme="minorEastAsia"/>
        </w:rPr>
        <w:t xml:space="preserve"> </w:t>
      </w:r>
      <w:r w:rsidR="00954083" w:rsidRPr="00AD7452">
        <w:rPr>
          <w:rFonts w:eastAsiaTheme="minorEastAsia"/>
        </w:rPr>
        <w:t xml:space="preserve">le temps de </w:t>
      </w:r>
      <w:r w:rsidR="0029536E" w:rsidRPr="00AD7452">
        <w:rPr>
          <w:rFonts w:eastAsiaTheme="minorEastAsia"/>
        </w:rPr>
        <w:t>latence</w:t>
      </w:r>
      <w:r w:rsidRPr="00AD7452">
        <w:rPr>
          <w:rFonts w:eastAsiaTheme="minorEastAsia"/>
        </w:rPr>
        <w:t xml:space="preserve"> (</w:t>
      </w:r>
      <w:r w:rsidR="0029536E" w:rsidRPr="00AD7452">
        <w:rPr>
          <w:rFonts w:eastAsiaTheme="minorEastAsia"/>
        </w:rPr>
        <w:t xml:space="preserve">en évitant que le trafic local soit </w:t>
      </w:r>
      <w:r w:rsidR="00337558" w:rsidRPr="00AD7452">
        <w:rPr>
          <w:rFonts w:eastAsiaTheme="minorEastAsia"/>
        </w:rPr>
        <w:t>acheminé</w:t>
      </w:r>
      <w:r w:rsidRPr="00AD7452">
        <w:rPr>
          <w:rFonts w:eastAsiaTheme="minorEastAsia"/>
        </w:rPr>
        <w:t xml:space="preserve"> </w:t>
      </w:r>
      <w:r w:rsidR="0029536E" w:rsidRPr="00AD7452">
        <w:rPr>
          <w:rFonts w:eastAsiaTheme="minorEastAsia"/>
        </w:rPr>
        <w:t>à l</w:t>
      </w:r>
      <w:r w:rsidR="00CD260D">
        <w:rPr>
          <w:rFonts w:eastAsiaTheme="minorEastAsia"/>
        </w:rPr>
        <w:t>'</w:t>
      </w:r>
      <w:r w:rsidR="0029536E" w:rsidRPr="00AD7452">
        <w:rPr>
          <w:rFonts w:eastAsiaTheme="minorEastAsia"/>
        </w:rPr>
        <w:t>international</w:t>
      </w:r>
      <w:r w:rsidRPr="00AD7452">
        <w:rPr>
          <w:rFonts w:eastAsiaTheme="minorEastAsia"/>
        </w:rPr>
        <w:t>).</w:t>
      </w:r>
    </w:p>
    <w:p w14:paraId="4DE88068" w14:textId="7D1FE8A1" w:rsidR="00D2172E" w:rsidRPr="00AD7452" w:rsidRDefault="00D2172E" w:rsidP="0031797E">
      <w:r w:rsidRPr="00AD7452">
        <w:rPr>
          <w:b/>
        </w:rPr>
        <w:t>6.</w:t>
      </w:r>
      <w:r w:rsidR="00D075F9" w:rsidRPr="00AD7452">
        <w:rPr>
          <w:b/>
        </w:rPr>
        <w:t>3</w:t>
      </w:r>
      <w:r w:rsidRPr="00AD7452">
        <w:tab/>
        <w:t xml:space="preserve">Dans la région Afrique, le BDT </w:t>
      </w:r>
      <w:r w:rsidR="00363F35" w:rsidRPr="00AD7452">
        <w:t>fournit une assistance pour appuyer</w:t>
      </w:r>
      <w:r w:rsidRPr="00AD7452">
        <w:t xml:space="preserve"> la mise en œuvre du cadre d</w:t>
      </w:r>
      <w:r w:rsidR="00CD260D">
        <w:t>'</w:t>
      </w:r>
      <w:r w:rsidRPr="00AD7452">
        <w:t>itinérance du réseau unique africain (One Netw</w:t>
      </w:r>
      <w:r w:rsidR="00363F35" w:rsidRPr="00AD7452">
        <w:t>ork Area) en Afrique de l</w:t>
      </w:r>
      <w:r w:rsidR="00CD260D">
        <w:t>'</w:t>
      </w:r>
      <w:r w:rsidR="00363F35" w:rsidRPr="00AD7452">
        <w:t xml:space="preserve">Ouest, </w:t>
      </w:r>
      <w:r w:rsidRPr="00AD7452">
        <w:t xml:space="preserve">et </w:t>
      </w:r>
      <w:r w:rsidR="00363F35" w:rsidRPr="00AD7452">
        <w:t xml:space="preserve">contribue à </w:t>
      </w:r>
      <w:r w:rsidRPr="00AD7452">
        <w:t>la création de points IXP nationaux et régionaux pour prendre en charge une connectivité et un accès large bande haut débit de qualité. Il est actuellement envisagé de créer un autre point IXP sous-régional avec Djibouti Telecom</w:t>
      </w:r>
      <w:r w:rsidR="005E1084" w:rsidRPr="00AD7452">
        <w:rPr>
          <w:rFonts w:asciiTheme="minorHAnsi" w:hAnsiTheme="minorHAnsi" w:cstheme="minorHAnsi"/>
          <w:szCs w:val="24"/>
        </w:rPr>
        <w:t xml:space="preserve"> </w:t>
      </w:r>
      <w:r w:rsidR="00363F35" w:rsidRPr="00AD7452">
        <w:t>en utilisant leur nouveau centre de données et des câbles optiques</w:t>
      </w:r>
      <w:r w:rsidRPr="00AD7452">
        <w:t>.</w:t>
      </w:r>
    </w:p>
    <w:p w14:paraId="6B92EE58" w14:textId="2A585287" w:rsidR="00D2172E" w:rsidRPr="00AD7452" w:rsidRDefault="00D2172E" w:rsidP="0031797E">
      <w:r w:rsidRPr="00AD7452">
        <w:rPr>
          <w:b/>
        </w:rPr>
        <w:t>6.</w:t>
      </w:r>
      <w:r w:rsidR="005E1084" w:rsidRPr="00AD7452">
        <w:rPr>
          <w:b/>
        </w:rPr>
        <w:t>4</w:t>
      </w:r>
      <w:r w:rsidR="00363F35" w:rsidRPr="00AD7452">
        <w:tab/>
        <w:t xml:space="preserve">Le BDT a aussi </w:t>
      </w:r>
      <w:r w:rsidRPr="00AD7452">
        <w:t xml:space="preserve">élaboré une </w:t>
      </w:r>
      <w:hyperlink r:id="rId61" w:history="1">
        <w:r w:rsidRPr="00AD7452">
          <w:rPr>
            <w:rStyle w:val="Hyperlink"/>
          </w:rPr>
          <w:t>plate-forme de cartographie des données relatives aux TIC</w:t>
        </w:r>
      </w:hyperlink>
      <w:r w:rsidRPr="00AD7452">
        <w:rPr>
          <w:color w:val="000000"/>
        </w:rPr>
        <w:t xml:space="preserve"> afin de dresser un état des lieux de l</w:t>
      </w:r>
      <w:r w:rsidR="00CD260D">
        <w:rPr>
          <w:color w:val="000000"/>
        </w:rPr>
        <w:t>'</w:t>
      </w:r>
      <w:r w:rsidRPr="00AD7452">
        <w:rPr>
          <w:color w:val="000000"/>
        </w:rPr>
        <w:t xml:space="preserve">emplacement des points IXP, de la connectivité des infrastructures dorsales de chaque pays </w:t>
      </w:r>
      <w:r w:rsidR="00363F35" w:rsidRPr="00AD7452">
        <w:rPr>
          <w:color w:val="000000"/>
        </w:rPr>
        <w:t xml:space="preserve">(câbles </w:t>
      </w:r>
      <w:r w:rsidR="00B13059" w:rsidRPr="00AD7452">
        <w:rPr>
          <w:color w:val="000000"/>
        </w:rPr>
        <w:t xml:space="preserve">à fibres </w:t>
      </w:r>
      <w:r w:rsidR="00363F35" w:rsidRPr="00AD7452">
        <w:rPr>
          <w:color w:val="000000"/>
        </w:rPr>
        <w:t xml:space="preserve">optiques, </w:t>
      </w:r>
      <w:r w:rsidR="009D52F9" w:rsidRPr="00AD7452">
        <w:rPr>
          <w:color w:val="000000"/>
        </w:rPr>
        <w:t xml:space="preserve">liaisons hyperfréquences et </w:t>
      </w:r>
      <w:r w:rsidR="00204A03" w:rsidRPr="00AD7452">
        <w:rPr>
          <w:color w:val="000000"/>
        </w:rPr>
        <w:t xml:space="preserve">stations terriennes </w:t>
      </w:r>
      <w:r w:rsidR="00B13059" w:rsidRPr="00AD7452">
        <w:rPr>
          <w:color w:val="000000"/>
        </w:rPr>
        <w:t xml:space="preserve">de réseau à </w:t>
      </w:r>
      <w:r w:rsidR="00204A03" w:rsidRPr="00AD7452">
        <w:rPr>
          <w:color w:val="000000"/>
        </w:rPr>
        <w:t>satellite), ainsi que</w:t>
      </w:r>
      <w:r w:rsidRPr="00AD7452">
        <w:rPr>
          <w:color w:val="000000"/>
        </w:rPr>
        <w:t xml:space="preserve"> d</w:t>
      </w:r>
      <w:r w:rsidR="00CD260D">
        <w:rPr>
          <w:color w:val="000000"/>
        </w:rPr>
        <w:t>'</w:t>
      </w:r>
      <w:r w:rsidRPr="00AD7452">
        <w:rPr>
          <w:color w:val="000000"/>
        </w:rPr>
        <w:t>autres indicat</w:t>
      </w:r>
      <w:r w:rsidR="00204A03" w:rsidRPr="00AD7452">
        <w:rPr>
          <w:color w:val="000000"/>
        </w:rPr>
        <w:t>eurs clés du secteur des TIC.</w:t>
      </w:r>
      <w:r w:rsidRPr="00AD7452">
        <w:rPr>
          <w:color w:val="000000"/>
        </w:rPr>
        <w:t xml:space="preserve"> </w:t>
      </w:r>
      <w:r w:rsidR="00204A03" w:rsidRPr="00AD7452">
        <w:rPr>
          <w:color w:val="000000"/>
        </w:rPr>
        <w:t>Il s</w:t>
      </w:r>
      <w:r w:rsidR="00CD260D">
        <w:rPr>
          <w:color w:val="000000"/>
        </w:rPr>
        <w:t>'</w:t>
      </w:r>
      <w:r w:rsidR="00204A03" w:rsidRPr="00AD7452">
        <w:rPr>
          <w:color w:val="000000"/>
        </w:rPr>
        <w:t>agit du fruit de la collaboration entre l</w:t>
      </w:r>
      <w:r w:rsidR="00CD260D">
        <w:rPr>
          <w:color w:val="000000"/>
        </w:rPr>
        <w:t>'</w:t>
      </w:r>
      <w:r w:rsidR="00204A03" w:rsidRPr="00AD7452">
        <w:rPr>
          <w:color w:val="000000"/>
        </w:rPr>
        <w:t xml:space="preserve">UIT, </w:t>
      </w:r>
      <w:r w:rsidRPr="00AD7452">
        <w:rPr>
          <w:color w:val="000000"/>
        </w:rPr>
        <w:t>la Commission économique et sociale des Nations Unies pour l</w:t>
      </w:r>
      <w:r w:rsidR="00CD260D">
        <w:rPr>
          <w:color w:val="000000"/>
        </w:rPr>
        <w:t>'</w:t>
      </w:r>
      <w:r w:rsidR="005772BB">
        <w:rPr>
          <w:color w:val="000000"/>
        </w:rPr>
        <w:t>Asie et le </w:t>
      </w:r>
      <w:r w:rsidRPr="00AD7452">
        <w:rPr>
          <w:color w:val="000000"/>
        </w:rPr>
        <w:t>Pacifique (CESAP)</w:t>
      </w:r>
      <w:bookmarkEnd w:id="8"/>
      <w:r w:rsidR="005E1084" w:rsidRPr="00AD7452">
        <w:rPr>
          <w:color w:val="000000"/>
        </w:rPr>
        <w:t xml:space="preserve">, </w:t>
      </w:r>
      <w:proofErr w:type="spellStart"/>
      <w:r w:rsidRPr="00AD7452">
        <w:t>TeleGeography</w:t>
      </w:r>
      <w:proofErr w:type="spellEnd"/>
      <w:r w:rsidR="005E1084" w:rsidRPr="00AD7452">
        <w:t xml:space="preserve"> et les </w:t>
      </w:r>
      <w:r w:rsidR="00204A03" w:rsidRPr="00AD7452">
        <w:rPr>
          <w:caps/>
        </w:rPr>
        <w:t>É</w:t>
      </w:r>
      <w:r w:rsidR="005E1084" w:rsidRPr="00AD7452">
        <w:t>tats Membres de l</w:t>
      </w:r>
      <w:r w:rsidR="00CD260D">
        <w:t>'</w:t>
      </w:r>
      <w:r w:rsidR="005E1084" w:rsidRPr="00AD7452">
        <w:t>UIT</w:t>
      </w:r>
      <w:r w:rsidRPr="00AD7452">
        <w:t>.</w:t>
      </w:r>
    </w:p>
    <w:p w14:paraId="7ECE9AA1" w14:textId="77777777" w:rsidR="00D2172E" w:rsidRPr="00AD7452" w:rsidRDefault="00D2172E" w:rsidP="0031797E">
      <w:pPr>
        <w:pStyle w:val="Heading1"/>
        <w:tabs>
          <w:tab w:val="clear" w:pos="1701"/>
          <w:tab w:val="clear" w:pos="2268"/>
          <w:tab w:val="clear" w:pos="2835"/>
          <w:tab w:val="center" w:pos="4819"/>
        </w:tabs>
        <w:rPr>
          <w:rFonts w:eastAsiaTheme="minorEastAsia"/>
        </w:rPr>
      </w:pPr>
      <w:r w:rsidRPr="00AD7452">
        <w:rPr>
          <w:rFonts w:eastAsiaTheme="minorEastAsia"/>
        </w:rPr>
        <w:lastRenderedPageBreak/>
        <w:t>7</w:t>
      </w:r>
      <w:r w:rsidRPr="00AD7452">
        <w:rPr>
          <w:rFonts w:eastAsiaTheme="minorEastAsia"/>
        </w:rPr>
        <w:tab/>
        <w:t>OTT</w:t>
      </w:r>
    </w:p>
    <w:p w14:paraId="570F0BA5" w14:textId="7B6404B7" w:rsidR="00134771" w:rsidRPr="00AD7452" w:rsidRDefault="00D2172E" w:rsidP="0031797E">
      <w:r w:rsidRPr="00AD7452">
        <w:rPr>
          <w:b/>
          <w:bCs/>
        </w:rPr>
        <w:t>7.1</w:t>
      </w:r>
      <w:r w:rsidRPr="00AD7452">
        <w:tab/>
        <w:t>Dans le cadre de la Question 3/1</w:t>
      </w:r>
      <w:r w:rsidR="00204A03" w:rsidRPr="00AD7452">
        <w:t xml:space="preserve"> de l</w:t>
      </w:r>
      <w:r w:rsidR="00CD260D">
        <w:t>'</w:t>
      </w:r>
      <w:r w:rsidR="00204A03" w:rsidRPr="00AD7452">
        <w:t>UIT-D</w:t>
      </w:r>
      <w:r w:rsidRPr="00AD7452">
        <w:t>, les travaux se poursuivent sur les "</w:t>
      </w:r>
      <w:r w:rsidRPr="00AD7452">
        <w:rPr>
          <w:i/>
          <w:iCs/>
        </w:rPr>
        <w:t>Technologies émergentes, y compris l</w:t>
      </w:r>
      <w:r w:rsidR="00CD260D">
        <w:rPr>
          <w:i/>
          <w:iCs/>
        </w:rPr>
        <w:t>'</w:t>
      </w:r>
      <w:r w:rsidRPr="00AD7452">
        <w:rPr>
          <w:i/>
          <w:iCs/>
        </w:rPr>
        <w:t xml:space="preserve">informatique en nuage, les services sur mobile et les </w:t>
      </w:r>
      <w:proofErr w:type="gramStart"/>
      <w:r w:rsidRPr="00AD7452">
        <w:rPr>
          <w:i/>
          <w:iCs/>
        </w:rPr>
        <w:t>OTT:</w:t>
      </w:r>
      <w:proofErr w:type="gramEnd"/>
      <w:r w:rsidRPr="00AD7452">
        <w:rPr>
          <w:i/>
          <w:iCs/>
        </w:rPr>
        <w:t xml:space="preserve"> enjeux et perspectives, incidences sur le plan de l</w:t>
      </w:r>
      <w:r w:rsidR="00CD260D">
        <w:rPr>
          <w:i/>
          <w:iCs/>
        </w:rPr>
        <w:t>'</w:t>
      </w:r>
      <w:r w:rsidRPr="00AD7452">
        <w:rPr>
          <w:i/>
          <w:iCs/>
        </w:rPr>
        <w:t>économie et des politiques générales pour les pays en développement</w:t>
      </w:r>
      <w:r w:rsidRPr="00AD7452">
        <w:t>".</w:t>
      </w:r>
      <w:r w:rsidR="00D04B98" w:rsidRPr="00AD7452">
        <w:t xml:space="preserve"> </w:t>
      </w:r>
      <w:r w:rsidR="009577A7" w:rsidRPr="00AD7452">
        <w:t>Les travaux de la CE </w:t>
      </w:r>
      <w:r w:rsidRPr="00AD7452">
        <w:t>2 de l</w:t>
      </w:r>
      <w:r w:rsidR="00CD260D">
        <w:t>'</w:t>
      </w:r>
      <w:r w:rsidRPr="00AD7452">
        <w:t xml:space="preserve">UIT-T </w:t>
      </w:r>
      <w:r w:rsidR="00B13059" w:rsidRPr="00AD7452">
        <w:t xml:space="preserve">progressent concernant </w:t>
      </w:r>
      <w:r w:rsidRPr="00AD7452">
        <w:t>deux nouveaux sujets d</w:t>
      </w:r>
      <w:r w:rsidR="00CD260D">
        <w:t>'</w:t>
      </w:r>
      <w:r w:rsidRPr="00AD7452">
        <w:t xml:space="preserve">étude sur les </w:t>
      </w:r>
      <w:proofErr w:type="gramStart"/>
      <w:r w:rsidRPr="00AD7452">
        <w:t>OTT:</w:t>
      </w:r>
      <w:proofErr w:type="gramEnd"/>
      <w:r w:rsidRPr="00AD7452">
        <w:t xml:space="preserve"> TR.OTTnum</w:t>
      </w:r>
      <w:r w:rsidR="00204A03" w:rsidRPr="00AD7452">
        <w:t>ber</w:t>
      </w:r>
      <w:r w:rsidRPr="00AD7452">
        <w:t xml:space="preserve"> "</w:t>
      </w:r>
      <w:r w:rsidRPr="00AD7452">
        <w:rPr>
          <w:i/>
          <w:iCs/>
        </w:rPr>
        <w:t>Utilisation actuelle des numéros E.164 en tant qu</w:t>
      </w:r>
      <w:r w:rsidR="00CD260D">
        <w:rPr>
          <w:i/>
          <w:iCs/>
        </w:rPr>
        <w:t>'</w:t>
      </w:r>
      <w:r w:rsidRPr="00AD7452">
        <w:rPr>
          <w:i/>
          <w:iCs/>
        </w:rPr>
        <w:t>identificateurs des OTT"</w:t>
      </w:r>
      <w:r w:rsidR="00204A03" w:rsidRPr="00AD7452">
        <w:t xml:space="preserve"> </w:t>
      </w:r>
      <w:r w:rsidR="00B13059" w:rsidRPr="00AD7452">
        <w:t xml:space="preserve">et </w:t>
      </w:r>
      <w:r w:rsidRPr="00AD7452">
        <w:t>E.sup.OTTnum "</w:t>
      </w:r>
      <w:r w:rsidRPr="00AD7452">
        <w:rPr>
          <w:i/>
          <w:iCs/>
        </w:rPr>
        <w:t>Orientations relatives à l</w:t>
      </w:r>
      <w:r w:rsidR="00CD260D">
        <w:rPr>
          <w:i/>
          <w:iCs/>
        </w:rPr>
        <w:t>'</w:t>
      </w:r>
      <w:r w:rsidRPr="00AD7452">
        <w:rPr>
          <w:i/>
          <w:iCs/>
        </w:rPr>
        <w:t>utilisation des numéros</w:t>
      </w:r>
      <w:r w:rsidR="00896E8B" w:rsidRPr="00AD7452">
        <w:rPr>
          <w:i/>
          <w:iCs/>
        </w:rPr>
        <w:t> </w:t>
      </w:r>
      <w:r w:rsidRPr="00AD7452">
        <w:rPr>
          <w:i/>
          <w:iCs/>
        </w:rPr>
        <w:t>E.164 en tant qu</w:t>
      </w:r>
      <w:r w:rsidR="00CD260D">
        <w:rPr>
          <w:i/>
          <w:iCs/>
        </w:rPr>
        <w:t>'</w:t>
      </w:r>
      <w:r w:rsidRPr="00AD7452">
        <w:rPr>
          <w:i/>
          <w:iCs/>
        </w:rPr>
        <w:t>identificateurs des OTT</w:t>
      </w:r>
      <w:r w:rsidRPr="00AD7452">
        <w:t>"</w:t>
      </w:r>
      <w:r w:rsidR="00204A03" w:rsidRPr="00AD7452">
        <w:t>,</w:t>
      </w:r>
      <w:r w:rsidR="00204A03" w:rsidRPr="00AD7452">
        <w:rPr>
          <w:i/>
          <w:iCs/>
        </w:rPr>
        <w:t xml:space="preserve"> </w:t>
      </w:r>
      <w:r w:rsidR="00B13059" w:rsidRPr="00AD7452">
        <w:t>ainsi que concernant les sujets d</w:t>
      </w:r>
      <w:r w:rsidR="00CD260D">
        <w:t>'</w:t>
      </w:r>
      <w:r w:rsidR="00B13059" w:rsidRPr="00AD7452">
        <w:t>étude</w:t>
      </w:r>
      <w:r w:rsidR="00B13059" w:rsidRPr="00AD7452">
        <w:rPr>
          <w:i/>
          <w:iCs/>
        </w:rPr>
        <w:t xml:space="preserve"> </w:t>
      </w:r>
      <w:r w:rsidRPr="00AD7452">
        <w:t>E.dit "</w:t>
      </w:r>
      <w:r w:rsidRPr="00AD7452">
        <w:rPr>
          <w:i/>
          <w:iCs/>
        </w:rPr>
        <w:t>Trafic considéré comme inacceptable</w:t>
      </w:r>
      <w:r w:rsidRPr="00AD7452">
        <w:t>" et E.ACP "</w:t>
      </w:r>
      <w:r w:rsidRPr="00AD7452">
        <w:rPr>
          <w:i/>
          <w:iCs/>
        </w:rPr>
        <w:t>Procédures d</w:t>
      </w:r>
      <w:r w:rsidR="00CD260D">
        <w:rPr>
          <w:i/>
          <w:iCs/>
        </w:rPr>
        <w:t>'</w:t>
      </w:r>
      <w:r w:rsidRPr="00AD7452">
        <w:rPr>
          <w:i/>
          <w:iCs/>
        </w:rPr>
        <w:t>appel alternatives</w:t>
      </w:r>
      <w:r w:rsidRPr="00AD7452">
        <w:t>".</w:t>
      </w:r>
      <w:r w:rsidR="00D04B98" w:rsidRPr="00AD7452">
        <w:t xml:space="preserve"> </w:t>
      </w:r>
      <w:r w:rsidR="00204A03" w:rsidRPr="00AD7452">
        <w:t>La CE 3 de l</w:t>
      </w:r>
      <w:r w:rsidR="00CD260D">
        <w:t>'</w:t>
      </w:r>
      <w:r w:rsidR="00204A03" w:rsidRPr="00AD7452">
        <w:t xml:space="preserve">UIT-T a approuvé une norme UIT-T sur </w:t>
      </w:r>
      <w:r w:rsidR="00D04B98" w:rsidRPr="00AD7452">
        <w:t xml:space="preserve">les </w:t>
      </w:r>
      <w:r w:rsidR="00D04B98" w:rsidRPr="00AD7452">
        <w:rPr>
          <w:i/>
          <w:iCs/>
        </w:rPr>
        <w:t>accords commerciaux volontaires entre les opérateurs de réseau</w:t>
      </w:r>
      <w:r w:rsidR="00B13059" w:rsidRPr="00AD7452">
        <w:rPr>
          <w:i/>
          <w:iCs/>
        </w:rPr>
        <w:t>x</w:t>
      </w:r>
      <w:r w:rsidR="00D04B98" w:rsidRPr="00AD7452">
        <w:rPr>
          <w:i/>
          <w:iCs/>
        </w:rPr>
        <w:t xml:space="preserve"> de télécommunication et les fournisseurs OTT</w:t>
      </w:r>
      <w:r w:rsidR="00D04B98" w:rsidRPr="00AD7452">
        <w:t>.</w:t>
      </w:r>
    </w:p>
    <w:p w14:paraId="3AADE4FF" w14:textId="77777777" w:rsidR="00897553" w:rsidRPr="00AD7452" w:rsidRDefault="00D2172E" w:rsidP="0031797E">
      <w:pPr>
        <w:spacing w:before="360"/>
        <w:jc w:val="center"/>
      </w:pPr>
      <w:r w:rsidRPr="00AD7452">
        <w:t>______________</w:t>
      </w:r>
    </w:p>
    <w:sectPr w:rsidR="00897553" w:rsidRPr="00AD7452" w:rsidSect="005C3890">
      <w:headerReference w:type="even" r:id="rId62"/>
      <w:headerReference w:type="default" r:id="rId63"/>
      <w:footerReference w:type="even" r:id="rId64"/>
      <w:footerReference w:type="default" r:id="rId65"/>
      <w:footerReference w:type="first" r:id="rId6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AEC2" w14:textId="77777777" w:rsidR="009F1711" w:rsidRDefault="009F1711">
      <w:r>
        <w:separator/>
      </w:r>
    </w:p>
  </w:endnote>
  <w:endnote w:type="continuationSeparator" w:id="0">
    <w:p w14:paraId="42179CC0" w14:textId="77777777" w:rsidR="009F1711" w:rsidRDefault="009F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81E3" w14:textId="2BF48F3A" w:rsidR="00B8207E" w:rsidRDefault="009F1711">
    <w:pPr>
      <w:pStyle w:val="Footer"/>
    </w:pPr>
    <w:r>
      <w:fldChar w:fldCharType="begin"/>
    </w:r>
    <w:r>
      <w:instrText xml:space="preserve"> FILENAME \p \* MERGEFORMAT </w:instrText>
    </w:r>
    <w:r>
      <w:fldChar w:fldCharType="separate"/>
    </w:r>
    <w:r w:rsidR="00982395">
      <w:t>P:\FRA\SG\CONSEIL\C21\000\033F.docx</w:t>
    </w:r>
    <w:r>
      <w:fldChar w:fldCharType="end"/>
    </w:r>
    <w:r w:rsidR="00B8207E">
      <w:tab/>
    </w:r>
    <w:r w:rsidR="00B8207E">
      <w:fldChar w:fldCharType="begin"/>
    </w:r>
    <w:r w:rsidR="00B8207E">
      <w:instrText xml:space="preserve"> savedate \@ dd.MM.yy </w:instrText>
    </w:r>
    <w:r w:rsidR="00B8207E">
      <w:fldChar w:fldCharType="separate"/>
    </w:r>
    <w:r w:rsidR="00A2181C">
      <w:t>16.04.21</w:t>
    </w:r>
    <w:r w:rsidR="00B8207E">
      <w:fldChar w:fldCharType="end"/>
    </w:r>
    <w:r w:rsidR="00B8207E">
      <w:tab/>
    </w:r>
    <w:r w:rsidR="00B8207E">
      <w:fldChar w:fldCharType="begin"/>
    </w:r>
    <w:r w:rsidR="00B8207E">
      <w:instrText xml:space="preserve"> printdate \@ dd.MM.yy </w:instrText>
    </w:r>
    <w:r w:rsidR="00B8207E">
      <w:fldChar w:fldCharType="separate"/>
    </w:r>
    <w:r w:rsidR="00982395">
      <w:t>18.07.00</w:t>
    </w:r>
    <w:r w:rsidR="00B8207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69C5" w14:textId="0B0E95E5" w:rsidR="00B8207E" w:rsidRDefault="009F1711" w:rsidP="000A4E23">
    <w:pPr>
      <w:pStyle w:val="Footer"/>
    </w:pPr>
    <w:r>
      <w:fldChar w:fldCharType="begin"/>
    </w:r>
    <w:r>
      <w:instrText xml:space="preserve"> FILENAME \p  \* MERGEFORMAT </w:instrText>
    </w:r>
    <w:r>
      <w:fldChar w:fldCharType="separate"/>
    </w:r>
    <w:r w:rsidR="00982395">
      <w:t>P:\FRA\SG\CONSEIL\C21\000\033F.docx</w:t>
    </w:r>
    <w:r>
      <w:fldChar w:fldCharType="end"/>
    </w:r>
    <w:r w:rsidR="00B8207E">
      <w:t xml:space="preserve"> (483229)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1F39" w14:textId="77777777" w:rsidR="00B8207E" w:rsidRDefault="00B8207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C976" w14:textId="77777777" w:rsidR="009F1711" w:rsidRDefault="009F1711">
      <w:r>
        <w:t>____________________</w:t>
      </w:r>
    </w:p>
  </w:footnote>
  <w:footnote w:type="continuationSeparator" w:id="0">
    <w:p w14:paraId="702D1080" w14:textId="77777777" w:rsidR="009F1711" w:rsidRDefault="009F1711">
      <w:r>
        <w:continuationSeparator/>
      </w:r>
    </w:p>
  </w:footnote>
  <w:footnote w:id="1">
    <w:p w14:paraId="655FE28C" w14:textId="77777777" w:rsidR="00B8207E" w:rsidRDefault="00B8207E" w:rsidP="000A4E23">
      <w:pPr>
        <w:pStyle w:val="FootnoteText"/>
        <w:spacing w:line="480" w:lineRule="auto"/>
      </w:pPr>
      <w:r>
        <w:rPr>
          <w:rStyle w:val="FootnoteReference"/>
        </w:rPr>
        <w:footnoteRef/>
      </w:r>
      <w:r>
        <w:tab/>
      </w:r>
      <w:r w:rsidRPr="000A4E23">
        <w:rPr>
          <w:rFonts w:asciiTheme="minorHAnsi" w:hAnsiTheme="minorHAnsi" w:cstheme="minorHAnsi"/>
          <w:sz w:val="22"/>
          <w:szCs w:val="22"/>
        </w:rPr>
        <w:t xml:space="preserve">Une version plus détaillée du rapport (Document </w:t>
      </w:r>
      <w:hyperlink r:id="rId1" w:history="1">
        <w:r w:rsidRPr="000A4E23">
          <w:rPr>
            <w:rStyle w:val="Hyperlink"/>
            <w:sz w:val="22"/>
            <w:szCs w:val="22"/>
          </w:rPr>
          <w:t>CWG-Internet-15/2</w:t>
        </w:r>
      </w:hyperlink>
      <w:r w:rsidRPr="000A4E23">
        <w:rPr>
          <w:rFonts w:asciiTheme="minorHAnsi" w:hAnsiTheme="minorHAnsi" w:cstheme="minorHAnsi"/>
          <w:sz w:val="22"/>
          <w:szCs w:val="22"/>
        </w:rPr>
        <w:t>) a été présentée au GTC</w:t>
      </w:r>
      <w:r w:rsidRPr="000A4E23">
        <w:rPr>
          <w:rFonts w:asciiTheme="minorHAnsi" w:hAnsiTheme="minorHAnsi" w:cstheme="minorHAnsi"/>
          <w:sz w:val="22"/>
          <w:szCs w:val="22"/>
        </w:rPr>
        <w:noBreakHyphen/>
        <w:t>Internet.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E9C1" w14:textId="77777777" w:rsidR="00B8207E" w:rsidRDefault="00B8207E">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62AB8C98" w14:textId="77777777" w:rsidR="00B8207E" w:rsidRDefault="00B8207E">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635C" w14:textId="43FC4E40" w:rsidR="00B8207E" w:rsidRDefault="00B8207E" w:rsidP="00475FB3">
    <w:pPr>
      <w:pStyle w:val="Header"/>
    </w:pPr>
    <w:r>
      <w:fldChar w:fldCharType="begin"/>
    </w:r>
    <w:r>
      <w:instrText>PAGE</w:instrText>
    </w:r>
    <w:r>
      <w:fldChar w:fldCharType="separate"/>
    </w:r>
    <w:r w:rsidR="00982395">
      <w:rPr>
        <w:noProof/>
      </w:rPr>
      <w:t>2</w:t>
    </w:r>
    <w:r>
      <w:rPr>
        <w:noProof/>
      </w:rPr>
      <w:fldChar w:fldCharType="end"/>
    </w:r>
  </w:p>
  <w:p w14:paraId="0F099D69" w14:textId="77777777" w:rsidR="00B8207E" w:rsidRDefault="00B8207E" w:rsidP="00106B19">
    <w:pPr>
      <w:pStyle w:val="Header"/>
    </w:pPr>
    <w:r>
      <w:t>C21/33-F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40"/>
    <w:rsid w:val="00013133"/>
    <w:rsid w:val="00023ADA"/>
    <w:rsid w:val="00054897"/>
    <w:rsid w:val="00070E44"/>
    <w:rsid w:val="000A4E23"/>
    <w:rsid w:val="000D0D0A"/>
    <w:rsid w:val="000E16C9"/>
    <w:rsid w:val="000F026C"/>
    <w:rsid w:val="000F4DD9"/>
    <w:rsid w:val="00103163"/>
    <w:rsid w:val="001064B7"/>
    <w:rsid w:val="00106B19"/>
    <w:rsid w:val="00115D93"/>
    <w:rsid w:val="001247A8"/>
    <w:rsid w:val="00134771"/>
    <w:rsid w:val="001378C0"/>
    <w:rsid w:val="0015118C"/>
    <w:rsid w:val="001531FE"/>
    <w:rsid w:val="00180C80"/>
    <w:rsid w:val="00183CD6"/>
    <w:rsid w:val="0018694A"/>
    <w:rsid w:val="00190009"/>
    <w:rsid w:val="001A2712"/>
    <w:rsid w:val="001A3287"/>
    <w:rsid w:val="001A6508"/>
    <w:rsid w:val="001A7532"/>
    <w:rsid w:val="001D4C31"/>
    <w:rsid w:val="001E4D21"/>
    <w:rsid w:val="00200E4A"/>
    <w:rsid w:val="00204A03"/>
    <w:rsid w:val="00207CD1"/>
    <w:rsid w:val="0021637D"/>
    <w:rsid w:val="00237A67"/>
    <w:rsid w:val="002477A2"/>
    <w:rsid w:val="002511F5"/>
    <w:rsid w:val="00263A51"/>
    <w:rsid w:val="00267E02"/>
    <w:rsid w:val="0029536E"/>
    <w:rsid w:val="002977C0"/>
    <w:rsid w:val="002A5D44"/>
    <w:rsid w:val="002B3E0E"/>
    <w:rsid w:val="002E0BC4"/>
    <w:rsid w:val="002F1B76"/>
    <w:rsid w:val="003145B3"/>
    <w:rsid w:val="0031797E"/>
    <w:rsid w:val="0033568E"/>
    <w:rsid w:val="00337558"/>
    <w:rsid w:val="003531CD"/>
    <w:rsid w:val="00355FF5"/>
    <w:rsid w:val="00361350"/>
    <w:rsid w:val="00363F35"/>
    <w:rsid w:val="003B0F65"/>
    <w:rsid w:val="003B7CB6"/>
    <w:rsid w:val="003C237C"/>
    <w:rsid w:val="003C3FAE"/>
    <w:rsid w:val="003D4C3E"/>
    <w:rsid w:val="003D7CA0"/>
    <w:rsid w:val="003F7210"/>
    <w:rsid w:val="004038CB"/>
    <w:rsid w:val="0040546F"/>
    <w:rsid w:val="00410C4F"/>
    <w:rsid w:val="0042404A"/>
    <w:rsid w:val="00430925"/>
    <w:rsid w:val="0044618F"/>
    <w:rsid w:val="00461054"/>
    <w:rsid w:val="0046769A"/>
    <w:rsid w:val="00467F60"/>
    <w:rsid w:val="0047222A"/>
    <w:rsid w:val="00475FB3"/>
    <w:rsid w:val="00476340"/>
    <w:rsid w:val="00486A60"/>
    <w:rsid w:val="00490842"/>
    <w:rsid w:val="00495681"/>
    <w:rsid w:val="00495C85"/>
    <w:rsid w:val="004B50EC"/>
    <w:rsid w:val="004C0848"/>
    <w:rsid w:val="004C37A9"/>
    <w:rsid w:val="004D1D50"/>
    <w:rsid w:val="004D7E2E"/>
    <w:rsid w:val="004F259E"/>
    <w:rsid w:val="00511F1D"/>
    <w:rsid w:val="00520F36"/>
    <w:rsid w:val="00540615"/>
    <w:rsid w:val="00540A6D"/>
    <w:rsid w:val="00571EEA"/>
    <w:rsid w:val="00575417"/>
    <w:rsid w:val="005768E1"/>
    <w:rsid w:val="005772BB"/>
    <w:rsid w:val="005B146E"/>
    <w:rsid w:val="005B1938"/>
    <w:rsid w:val="005C3890"/>
    <w:rsid w:val="005E1084"/>
    <w:rsid w:val="005F7BFE"/>
    <w:rsid w:val="00600017"/>
    <w:rsid w:val="006235CA"/>
    <w:rsid w:val="00643BDE"/>
    <w:rsid w:val="0065335D"/>
    <w:rsid w:val="006643AB"/>
    <w:rsid w:val="00675768"/>
    <w:rsid w:val="00677FA4"/>
    <w:rsid w:val="006B7D2B"/>
    <w:rsid w:val="006C3894"/>
    <w:rsid w:val="006C40E1"/>
    <w:rsid w:val="006F6FEB"/>
    <w:rsid w:val="007210CD"/>
    <w:rsid w:val="00732045"/>
    <w:rsid w:val="0073431F"/>
    <w:rsid w:val="007351EF"/>
    <w:rsid w:val="0073678A"/>
    <w:rsid w:val="007369DB"/>
    <w:rsid w:val="00747A0D"/>
    <w:rsid w:val="00750921"/>
    <w:rsid w:val="007956C2"/>
    <w:rsid w:val="007A187E"/>
    <w:rsid w:val="007C0932"/>
    <w:rsid w:val="007C72C2"/>
    <w:rsid w:val="007D4436"/>
    <w:rsid w:val="007E039E"/>
    <w:rsid w:val="007F257A"/>
    <w:rsid w:val="007F3665"/>
    <w:rsid w:val="00800037"/>
    <w:rsid w:val="00836F9A"/>
    <w:rsid w:val="00856622"/>
    <w:rsid w:val="00861D73"/>
    <w:rsid w:val="00861E6F"/>
    <w:rsid w:val="00871F61"/>
    <w:rsid w:val="00881239"/>
    <w:rsid w:val="00896E8B"/>
    <w:rsid w:val="00897553"/>
    <w:rsid w:val="008A4E87"/>
    <w:rsid w:val="008D708E"/>
    <w:rsid w:val="008D76E6"/>
    <w:rsid w:val="008E5DF4"/>
    <w:rsid w:val="00907785"/>
    <w:rsid w:val="0092392D"/>
    <w:rsid w:val="0093234A"/>
    <w:rsid w:val="00954083"/>
    <w:rsid w:val="009577A7"/>
    <w:rsid w:val="00973271"/>
    <w:rsid w:val="0097363B"/>
    <w:rsid w:val="00982395"/>
    <w:rsid w:val="00984083"/>
    <w:rsid w:val="009A6456"/>
    <w:rsid w:val="009C19CD"/>
    <w:rsid w:val="009C307F"/>
    <w:rsid w:val="009C353C"/>
    <w:rsid w:val="009D52F9"/>
    <w:rsid w:val="009F1711"/>
    <w:rsid w:val="00A2113E"/>
    <w:rsid w:val="00A2181C"/>
    <w:rsid w:val="00A23A51"/>
    <w:rsid w:val="00A24607"/>
    <w:rsid w:val="00A25CD3"/>
    <w:rsid w:val="00A37990"/>
    <w:rsid w:val="00A40A39"/>
    <w:rsid w:val="00A4388F"/>
    <w:rsid w:val="00A44250"/>
    <w:rsid w:val="00A50F80"/>
    <w:rsid w:val="00A709FE"/>
    <w:rsid w:val="00A82767"/>
    <w:rsid w:val="00A91728"/>
    <w:rsid w:val="00AA332F"/>
    <w:rsid w:val="00AA7BBB"/>
    <w:rsid w:val="00AB64A8"/>
    <w:rsid w:val="00AC0266"/>
    <w:rsid w:val="00AC7F66"/>
    <w:rsid w:val="00AD24EC"/>
    <w:rsid w:val="00AD7452"/>
    <w:rsid w:val="00B13059"/>
    <w:rsid w:val="00B309F9"/>
    <w:rsid w:val="00B32B60"/>
    <w:rsid w:val="00B344E9"/>
    <w:rsid w:val="00B61619"/>
    <w:rsid w:val="00B769F0"/>
    <w:rsid w:val="00B8154D"/>
    <w:rsid w:val="00B8207E"/>
    <w:rsid w:val="00B8229F"/>
    <w:rsid w:val="00B87B60"/>
    <w:rsid w:val="00BB4545"/>
    <w:rsid w:val="00BB6F17"/>
    <w:rsid w:val="00BC2DD0"/>
    <w:rsid w:val="00BD3EE2"/>
    <w:rsid w:val="00BD5873"/>
    <w:rsid w:val="00BE58F3"/>
    <w:rsid w:val="00C04BE3"/>
    <w:rsid w:val="00C076B9"/>
    <w:rsid w:val="00C2024D"/>
    <w:rsid w:val="00C25D29"/>
    <w:rsid w:val="00C27A7C"/>
    <w:rsid w:val="00C314C3"/>
    <w:rsid w:val="00C3640A"/>
    <w:rsid w:val="00C465A8"/>
    <w:rsid w:val="00C51F9E"/>
    <w:rsid w:val="00CA08ED"/>
    <w:rsid w:val="00CD260D"/>
    <w:rsid w:val="00CD5F34"/>
    <w:rsid w:val="00CF183B"/>
    <w:rsid w:val="00D01B6D"/>
    <w:rsid w:val="00D04B98"/>
    <w:rsid w:val="00D075F9"/>
    <w:rsid w:val="00D2172E"/>
    <w:rsid w:val="00D22A6D"/>
    <w:rsid w:val="00D375CD"/>
    <w:rsid w:val="00D50FBA"/>
    <w:rsid w:val="00D52533"/>
    <w:rsid w:val="00D553A2"/>
    <w:rsid w:val="00D758B7"/>
    <w:rsid w:val="00D774D3"/>
    <w:rsid w:val="00D85AA1"/>
    <w:rsid w:val="00D86E4E"/>
    <w:rsid w:val="00D904E8"/>
    <w:rsid w:val="00D94778"/>
    <w:rsid w:val="00DA08C3"/>
    <w:rsid w:val="00DA1D62"/>
    <w:rsid w:val="00DA2BC3"/>
    <w:rsid w:val="00DB43C1"/>
    <w:rsid w:val="00DB5A3E"/>
    <w:rsid w:val="00DC22AA"/>
    <w:rsid w:val="00DC4141"/>
    <w:rsid w:val="00DF74DD"/>
    <w:rsid w:val="00DF797A"/>
    <w:rsid w:val="00E25AD0"/>
    <w:rsid w:val="00E307CA"/>
    <w:rsid w:val="00E31AF6"/>
    <w:rsid w:val="00E9161E"/>
    <w:rsid w:val="00E97D07"/>
    <w:rsid w:val="00EA6E4F"/>
    <w:rsid w:val="00EB6350"/>
    <w:rsid w:val="00EB7E35"/>
    <w:rsid w:val="00EC58AC"/>
    <w:rsid w:val="00ED2979"/>
    <w:rsid w:val="00EF721A"/>
    <w:rsid w:val="00F120D4"/>
    <w:rsid w:val="00F13792"/>
    <w:rsid w:val="00F15B57"/>
    <w:rsid w:val="00F40043"/>
    <w:rsid w:val="00F427DB"/>
    <w:rsid w:val="00F4618C"/>
    <w:rsid w:val="00F67231"/>
    <w:rsid w:val="00F74A94"/>
    <w:rsid w:val="00F94BAC"/>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37483"/>
  <w15:docId w15:val="{A48DA734-F3DB-4683-8A14-274F294D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级链,超????,하이퍼링크2,하이퍼링크21,超链接1,CEO_Hyperlink"/>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D2172E"/>
    <w:rPr>
      <w:rFonts w:ascii="Calibri" w:hAnsi="Calibri"/>
      <w:b/>
      <w:sz w:val="28"/>
      <w:lang w:val="fr-FR" w:eastAsia="en-US"/>
    </w:rPr>
  </w:style>
  <w:style w:type="character" w:customStyle="1" w:styleId="FootnoteTextChar">
    <w:name w:val="Footnote Text Char"/>
    <w:basedOn w:val="DefaultParagraphFont"/>
    <w:link w:val="FootnoteText"/>
    <w:rsid w:val="00D2172E"/>
    <w:rPr>
      <w:rFonts w:ascii="Calibri" w:hAnsi="Calibri"/>
      <w:sz w:val="24"/>
      <w:lang w:val="fr-FR" w:eastAsia="en-US"/>
    </w:rPr>
  </w:style>
  <w:style w:type="character" w:customStyle="1" w:styleId="UnresolvedMention1">
    <w:name w:val="Unresolved Mention1"/>
    <w:basedOn w:val="DefaultParagraphFont"/>
    <w:uiPriority w:val="99"/>
    <w:semiHidden/>
    <w:unhideWhenUsed/>
    <w:rsid w:val="00317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55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T-RES-T.98-2016" TargetMode="External"/><Relationship Id="rId21" Type="http://schemas.openxmlformats.org/officeDocument/2006/relationships/hyperlink" Target="https://www.itu.int/pub/T-RES-T.58-2016" TargetMode="External"/><Relationship Id="rId34" Type="http://schemas.openxmlformats.org/officeDocument/2006/relationships/hyperlink" Target="https://www.itu.int/md/S18-CL-C-0033/en" TargetMode="External"/><Relationship Id="rId42" Type="http://schemas.openxmlformats.org/officeDocument/2006/relationships/hyperlink" Target="https://www.itu.int/en/ITU-T/focusgroups/ai4h/Pages/default.aspx" TargetMode="External"/><Relationship Id="rId47" Type="http://schemas.openxmlformats.org/officeDocument/2006/relationships/hyperlink" Target="https://www.itu.int/en/ITU-T/focusgroups/ai4ndm/Pages/default.aspx" TargetMode="External"/><Relationship Id="rId50" Type="http://schemas.openxmlformats.org/officeDocument/2006/relationships/hyperlink" Target="http://www.itu.int/itu-d/study-groups" TargetMode="External"/><Relationship Id="rId55" Type="http://schemas.openxmlformats.org/officeDocument/2006/relationships/hyperlink" Target="https://www.itu.int/net4/ITU-D/CDS/sg/rgqlist.asp?lg=2&amp;sp=2014&amp;rgq=D14-SG01-RGQ01.1&amp;stg=1" TargetMode="External"/><Relationship Id="rId63" Type="http://schemas.openxmlformats.org/officeDocument/2006/relationships/header" Target="header2.xml"/><Relationship Id="rId68" Type="http://schemas.openxmlformats.org/officeDocument/2006/relationships/theme" Target="theme/theme1.xml"/><Relationship Id="rId7" Type="http://schemas.openxmlformats.org/officeDocument/2006/relationships/hyperlink" Target="https://www.itu.int/md/S20-CL-C-0033/en" TargetMode="External"/><Relationship Id="rId2" Type="http://schemas.openxmlformats.org/officeDocument/2006/relationships/settings" Target="settings.xml"/><Relationship Id="rId16" Type="http://schemas.openxmlformats.org/officeDocument/2006/relationships/hyperlink" Target="https://www.itu.int/pub/T-RES-T.47-2016" TargetMode="External"/><Relationship Id="rId29" Type="http://schemas.openxmlformats.org/officeDocument/2006/relationships/hyperlink" Target="http://www.itu.int/en/action/internet/Documents/Resolution_30_wtdc14.pdf" TargetMode="External"/><Relationship Id="rId11" Type="http://schemas.openxmlformats.org/officeDocument/2006/relationships/hyperlink" Target="https://www.itu.int/en/council/2019/Documents/basic-texts/RES-180-F.pdf" TargetMode="External"/><Relationship Id="rId24" Type="http://schemas.openxmlformats.org/officeDocument/2006/relationships/hyperlink" Target="https://www.itu.int/pub/T-RES-T.69-2016" TargetMode="External"/><Relationship Id="rId32" Type="http://schemas.openxmlformats.org/officeDocument/2006/relationships/hyperlink" Target="http://www.itu.int/md/S16-CL-C-0033/en" TargetMode="External"/><Relationship Id="rId37" Type="http://schemas.openxmlformats.org/officeDocument/2006/relationships/hyperlink" Target="https://www.itu.int/itu-t/workprog/wp_search.aspx?isn_sp=3925&amp;isn_status=-1,2&amp;adf=2019-08-17&amp;adt=2020-03-31&amp;pg_size=100&amp;details=0&amp;field=acdefghijo" TargetMode="External"/><Relationship Id="rId40" Type="http://schemas.openxmlformats.org/officeDocument/2006/relationships/hyperlink" Target="https://www.itu.int/md/S21-CL-C-0018/en" TargetMode="External"/><Relationship Id="rId45" Type="http://schemas.openxmlformats.org/officeDocument/2006/relationships/hyperlink" Target="https://www.itu.int/en/ITU-T/focusgroups/ai4ad/Pages/default.aspx" TargetMode="External"/><Relationship Id="rId53" Type="http://schemas.openxmlformats.org/officeDocument/2006/relationships/hyperlink" Target="https://www.itu.int/fr/ITU-T/ipv6/Pages/default.aspx" TargetMode="External"/><Relationship Id="rId58" Type="http://schemas.openxmlformats.org/officeDocument/2006/relationships/hyperlink" Target="https://www.itu.int/en/council/cwg-internet/Pages/consultation-feb2021.aspx" TargetMode="External"/><Relationship Id="rId66" Type="http://schemas.openxmlformats.org/officeDocument/2006/relationships/footer" Target="footer3.xml"/><Relationship Id="rId5" Type="http://schemas.openxmlformats.org/officeDocument/2006/relationships/endnotes" Target="endnotes.xml"/><Relationship Id="rId61" Type="http://schemas.openxmlformats.org/officeDocument/2006/relationships/hyperlink" Target="https://www.itu.int/itu-d/tnd-map-public/" TargetMode="External"/><Relationship Id="rId19" Type="http://schemas.openxmlformats.org/officeDocument/2006/relationships/hyperlink" Target="https://www.itu.int/pub/T-RES-T.50-2016" TargetMode="External"/><Relationship Id="rId14" Type="http://schemas.openxmlformats.org/officeDocument/2006/relationships/hyperlink" Target="http://www.itu.int/md/S15-CL-C-0113/en" TargetMode="External"/><Relationship Id="rId22" Type="http://schemas.openxmlformats.org/officeDocument/2006/relationships/hyperlink" Target="https://www.itu.int/pub/T-RES-T.60-2016" TargetMode="External"/><Relationship Id="rId27" Type="http://schemas.openxmlformats.org/officeDocument/2006/relationships/hyperlink" Target="https://www.itu.int/md/D14-WTDC17-C-0115/en" TargetMode="External"/><Relationship Id="rId30" Type="http://schemas.openxmlformats.org/officeDocument/2006/relationships/hyperlink" Target="http://www.itu.int/en/action/internet/Documents/Resolution_63_wtdc14.pdf" TargetMode="External"/><Relationship Id="rId35" Type="http://schemas.openxmlformats.org/officeDocument/2006/relationships/hyperlink" Target="https://www.itu.int/md/S19-CL-C-0033/en" TargetMode="External"/><Relationship Id="rId43" Type="http://schemas.openxmlformats.org/officeDocument/2006/relationships/hyperlink" Target="https://www.itu.int/en/ITU-T/focusgroups/vm/Pages/default.aspx" TargetMode="External"/><Relationship Id="rId48" Type="http://schemas.openxmlformats.org/officeDocument/2006/relationships/hyperlink" Target="https://www.itu.int/net/ITU-T/res69/Default.aspx" TargetMode="External"/><Relationship Id="rId56" Type="http://schemas.openxmlformats.org/officeDocument/2006/relationships/hyperlink" Target="http://www.itu.int/council/groups/CWG-internet/index.html" TargetMode="External"/><Relationship Id="rId64" Type="http://schemas.openxmlformats.org/officeDocument/2006/relationships/footer" Target="footer1.xml"/><Relationship Id="rId8" Type="http://schemas.openxmlformats.org/officeDocument/2006/relationships/hyperlink" Target="https://www.itu.int/en/council/2019/Documents/basic-texts/RES-101-F.pdf" TargetMode="External"/><Relationship Id="rId51" Type="http://schemas.openxmlformats.org/officeDocument/2006/relationships/hyperlink" Target="https://academy.itu.int/" TargetMode="External"/><Relationship Id="rId3" Type="http://schemas.openxmlformats.org/officeDocument/2006/relationships/webSettings" Target="webSettings.xml"/><Relationship Id="rId12" Type="http://schemas.openxmlformats.org/officeDocument/2006/relationships/hyperlink" Target="https://www.itu.int/en/council/2019/Documents/basic-texts/RES-206-F.pdf" TargetMode="External"/><Relationship Id="rId17" Type="http://schemas.openxmlformats.org/officeDocument/2006/relationships/hyperlink" Target="https://www.itu.int/pub/T-RES-T.48-2016" TargetMode="External"/><Relationship Id="rId25" Type="http://schemas.openxmlformats.org/officeDocument/2006/relationships/hyperlink" Target="https://www.itu.int/pub/T-RES-T.75-2016" TargetMode="External"/><Relationship Id="rId33" Type="http://schemas.openxmlformats.org/officeDocument/2006/relationships/hyperlink" Target="https://www.itu.int/md/S17-CL-C-0033/en" TargetMode="External"/><Relationship Id="rId38" Type="http://schemas.openxmlformats.org/officeDocument/2006/relationships/hyperlink" Target="https://www.itu.int/en/ITU-T/webinars/Pages/dlt.aspx" TargetMode="External"/><Relationship Id="rId46" Type="http://schemas.openxmlformats.org/officeDocument/2006/relationships/hyperlink" Target="https://www.itu.int/en/ITU-T/focusgroups/qit4n/Pages/default.aspx" TargetMode="External"/><Relationship Id="rId59" Type="http://schemas.openxmlformats.org/officeDocument/2006/relationships/hyperlink" Target="https://www.itu.int/md/S21-CL-C-0051/en" TargetMode="External"/><Relationship Id="rId67" Type="http://schemas.openxmlformats.org/officeDocument/2006/relationships/fontTable" Target="fontTable.xml"/><Relationship Id="rId20" Type="http://schemas.openxmlformats.org/officeDocument/2006/relationships/hyperlink" Target="https://www.itu.int/pub/T-RES-T.52-2016" TargetMode="External"/><Relationship Id="rId41" Type="http://schemas.openxmlformats.org/officeDocument/2006/relationships/hyperlink" Target="https://www.itu.int/en/ITU-T/focusgroups/Pages/default.aspx" TargetMode="External"/><Relationship Id="rId54" Type="http://schemas.openxmlformats.org/officeDocument/2006/relationships/hyperlink" Target="https://www.itu.int/pub/D-STG-SG01.01.1-2017/fr" TargetMode="External"/><Relationship Id="rId62"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itu.int/md/S15-CL-C-0112/en" TargetMode="External"/><Relationship Id="rId23" Type="http://schemas.openxmlformats.org/officeDocument/2006/relationships/hyperlink" Target="https://www.itu.int/pub/T-RES-T.64-2016" TargetMode="External"/><Relationship Id="rId28" Type="http://schemas.openxmlformats.org/officeDocument/2006/relationships/hyperlink" Target="http://www.itu.int/en/action/internet/Documents/Resolution_20_wtdc10.pdf" TargetMode="External"/><Relationship Id="rId36" Type="http://schemas.openxmlformats.org/officeDocument/2006/relationships/hyperlink" Target="https://www.itu.int/md/S20-CL-C-0033/en" TargetMode="External"/><Relationship Id="rId49" Type="http://schemas.openxmlformats.org/officeDocument/2006/relationships/hyperlink" Target="https://www.itu.int/net4/ITU-D/CDS/sg/index.asp?lg=2&amp;sp=2018&amp;stg=" TargetMode="External"/><Relationship Id="rId57" Type="http://schemas.openxmlformats.org/officeDocument/2006/relationships/hyperlink" Target="https://www.itu.int/en/council/cwg-internet/Pages/consultation-sep2020.aspx" TargetMode="External"/><Relationship Id="rId10" Type="http://schemas.openxmlformats.org/officeDocument/2006/relationships/hyperlink" Target="https://www.itu.int/en/council/2019/Documents/basic-texts/RES-133-F.pdf" TargetMode="External"/><Relationship Id="rId31" Type="http://schemas.openxmlformats.org/officeDocument/2006/relationships/hyperlink" Target="http://www.itu.int/en/action/internet/Documents/Resolution_45_wtdc14.pdf" TargetMode="External"/><Relationship Id="rId44" Type="http://schemas.openxmlformats.org/officeDocument/2006/relationships/hyperlink" Target="https://www.itu.int/en/ITU-T/focusgroups/ai4ee/Pages/default.aspx" TargetMode="External"/><Relationship Id="rId52" Type="http://schemas.openxmlformats.org/officeDocument/2006/relationships/hyperlink" Target="https://academy.itu.int/index.php?option=com_content&amp;view=article&amp;id=154&amp;Itemid=588&amp;lang=en" TargetMode="External"/><Relationship Id="rId60" Type="http://schemas.openxmlformats.org/officeDocument/2006/relationships/hyperlink" Target="http://www.itu.int/ITU-T/inr/enum/" TargetMode="External"/><Relationship Id="rId65"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itu.int/en/council/2019/Documents/basic-texts/RES-102-F.pdf" TargetMode="External"/><Relationship Id="rId13" Type="http://schemas.openxmlformats.org/officeDocument/2006/relationships/hyperlink" Target="http://www.itu.int/md/S09-CL-C-0105" TargetMode="External"/><Relationship Id="rId18" Type="http://schemas.openxmlformats.org/officeDocument/2006/relationships/hyperlink" Target="https://www.itu.int/pub/publications.aspx?lang=en&amp;parent=T-RES-T.49-2016" TargetMode="External"/><Relationship Id="rId39" Type="http://schemas.openxmlformats.org/officeDocument/2006/relationships/hyperlink" Target="https://www.itu.int/en/ITU-T/ssc/united/Pages/default.asp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1-RCLINTPOL15-C-000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10</TotalTime>
  <Pages>8</Pages>
  <Words>4031</Words>
  <Characters>22981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26959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Activités de l’UIT relatives à l’Internet : Résolutions 101, 102, 133, 180 et 206</dc:title>
  <dc:subject>Conseil 2021, Virtual consultation of councillors</dc:subject>
  <dc:creator>Royer, Veronique</dc:creator>
  <cp:keywords>C2021, C21, VCC, C21-VCC-1</cp:keywords>
  <dc:description/>
  <cp:lastModifiedBy>Mendoza-Pinto, Yelitza</cp:lastModifiedBy>
  <cp:revision>3</cp:revision>
  <cp:lastPrinted>2000-07-18T08:55:00Z</cp:lastPrinted>
  <dcterms:created xsi:type="dcterms:W3CDTF">2021-04-27T09:01:00Z</dcterms:created>
  <dcterms:modified xsi:type="dcterms:W3CDTF">2021-04-27T09:10:00Z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