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291A7A" w14:paraId="10B41FD5" w14:textId="77777777">
        <w:trPr>
          <w:cantSplit/>
        </w:trPr>
        <w:tc>
          <w:tcPr>
            <w:tcW w:w="6912" w:type="dxa"/>
          </w:tcPr>
          <w:p w14:paraId="5D348718" w14:textId="77777777" w:rsidR="00520F36" w:rsidRPr="00291A7A" w:rsidRDefault="00520F36" w:rsidP="00A674C5">
            <w:pPr>
              <w:spacing w:before="360"/>
            </w:pPr>
            <w:bookmarkStart w:id="0" w:name="dc06"/>
            <w:bookmarkEnd w:id="0"/>
            <w:r w:rsidRPr="00291A7A">
              <w:rPr>
                <w:b/>
                <w:bCs/>
                <w:sz w:val="30"/>
                <w:szCs w:val="30"/>
              </w:rPr>
              <w:t>Conseil 20</w:t>
            </w:r>
            <w:r w:rsidR="009C353C" w:rsidRPr="00291A7A">
              <w:rPr>
                <w:b/>
                <w:bCs/>
                <w:sz w:val="30"/>
                <w:szCs w:val="30"/>
              </w:rPr>
              <w:t>2</w:t>
            </w:r>
            <w:r w:rsidR="004D1D50" w:rsidRPr="00291A7A">
              <w:rPr>
                <w:b/>
                <w:bCs/>
                <w:sz w:val="30"/>
                <w:szCs w:val="30"/>
              </w:rPr>
              <w:t>1</w:t>
            </w:r>
            <w:r w:rsidRPr="00291A7A">
              <w:rPr>
                <w:rFonts w:ascii="Verdana" w:hAnsi="Verdana"/>
                <w:b/>
                <w:bCs/>
                <w:sz w:val="26"/>
                <w:szCs w:val="26"/>
              </w:rPr>
              <w:br/>
            </w:r>
            <w:r w:rsidR="004D1D50" w:rsidRPr="00291A7A">
              <w:rPr>
                <w:b/>
                <w:bCs/>
                <w:sz w:val="28"/>
                <w:szCs w:val="28"/>
              </w:rPr>
              <w:t>Consultation virtuelle des Conseillers</w:t>
            </w:r>
            <w:r w:rsidRPr="00291A7A">
              <w:rPr>
                <w:b/>
                <w:bCs/>
                <w:sz w:val="28"/>
                <w:szCs w:val="28"/>
              </w:rPr>
              <w:t xml:space="preserve">, </w:t>
            </w:r>
            <w:r w:rsidR="004D1D50" w:rsidRPr="00291A7A">
              <w:rPr>
                <w:b/>
                <w:bCs/>
                <w:sz w:val="28"/>
                <w:szCs w:val="28"/>
              </w:rPr>
              <w:t>8</w:t>
            </w:r>
            <w:r w:rsidRPr="00291A7A">
              <w:rPr>
                <w:b/>
                <w:bCs/>
                <w:sz w:val="28"/>
                <w:szCs w:val="28"/>
              </w:rPr>
              <w:t>-</w:t>
            </w:r>
            <w:r w:rsidR="009C353C" w:rsidRPr="00291A7A">
              <w:rPr>
                <w:b/>
                <w:bCs/>
                <w:sz w:val="28"/>
                <w:szCs w:val="28"/>
              </w:rPr>
              <w:t>1</w:t>
            </w:r>
            <w:r w:rsidR="004D1D50" w:rsidRPr="00291A7A">
              <w:rPr>
                <w:b/>
                <w:bCs/>
                <w:sz w:val="28"/>
                <w:szCs w:val="28"/>
              </w:rPr>
              <w:t>8</w:t>
            </w:r>
            <w:r w:rsidR="00106B19" w:rsidRPr="00291A7A">
              <w:rPr>
                <w:b/>
                <w:bCs/>
                <w:sz w:val="28"/>
                <w:szCs w:val="28"/>
              </w:rPr>
              <w:t xml:space="preserve"> juin</w:t>
            </w:r>
            <w:r w:rsidRPr="00291A7A">
              <w:rPr>
                <w:b/>
                <w:bCs/>
                <w:sz w:val="28"/>
                <w:szCs w:val="28"/>
              </w:rPr>
              <w:t xml:space="preserve"> 20</w:t>
            </w:r>
            <w:r w:rsidR="009C353C" w:rsidRPr="00291A7A">
              <w:rPr>
                <w:b/>
                <w:bCs/>
                <w:sz w:val="28"/>
                <w:szCs w:val="28"/>
              </w:rPr>
              <w:t>2</w:t>
            </w:r>
            <w:r w:rsidR="004D1D50" w:rsidRPr="00291A7A">
              <w:rPr>
                <w:b/>
                <w:bCs/>
                <w:sz w:val="28"/>
                <w:szCs w:val="28"/>
              </w:rPr>
              <w:t>1</w:t>
            </w:r>
          </w:p>
        </w:tc>
        <w:tc>
          <w:tcPr>
            <w:tcW w:w="3261" w:type="dxa"/>
          </w:tcPr>
          <w:p w14:paraId="432F82A7" w14:textId="77777777" w:rsidR="00520F36" w:rsidRPr="00291A7A" w:rsidRDefault="009C353C" w:rsidP="00A674C5">
            <w:pPr>
              <w:spacing w:before="0"/>
            </w:pPr>
            <w:bookmarkStart w:id="1" w:name="ditulogo"/>
            <w:bookmarkEnd w:id="1"/>
            <w:r w:rsidRPr="00291A7A">
              <w:rPr>
                <w:noProof/>
                <w:lang w:val="en-US"/>
              </w:rPr>
              <w:drawing>
                <wp:inline distT="0" distB="0" distL="0" distR="0" wp14:anchorId="06604280" wp14:editId="35E3CA7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291A7A" w14:paraId="39B78E89" w14:textId="77777777" w:rsidTr="00EF41DD">
        <w:trPr>
          <w:cantSplit/>
          <w:trHeight w:val="20"/>
        </w:trPr>
        <w:tc>
          <w:tcPr>
            <w:tcW w:w="6912" w:type="dxa"/>
            <w:tcBorders>
              <w:bottom w:val="single" w:sz="12" w:space="0" w:color="auto"/>
            </w:tcBorders>
            <w:vAlign w:val="center"/>
          </w:tcPr>
          <w:p w14:paraId="6935D5B7" w14:textId="77777777" w:rsidR="00520F36" w:rsidRPr="00291A7A" w:rsidRDefault="00520F36" w:rsidP="00A674C5">
            <w:pPr>
              <w:spacing w:before="0"/>
              <w:rPr>
                <w:b/>
                <w:bCs/>
                <w:sz w:val="26"/>
                <w:szCs w:val="26"/>
              </w:rPr>
            </w:pPr>
          </w:p>
        </w:tc>
        <w:tc>
          <w:tcPr>
            <w:tcW w:w="3261" w:type="dxa"/>
            <w:tcBorders>
              <w:bottom w:val="single" w:sz="12" w:space="0" w:color="auto"/>
            </w:tcBorders>
          </w:tcPr>
          <w:p w14:paraId="5154B52E" w14:textId="77777777" w:rsidR="00520F36" w:rsidRPr="00291A7A" w:rsidRDefault="00520F36" w:rsidP="00A674C5">
            <w:pPr>
              <w:spacing w:before="0"/>
              <w:rPr>
                <w:b/>
                <w:bCs/>
              </w:rPr>
            </w:pPr>
          </w:p>
        </w:tc>
      </w:tr>
      <w:tr w:rsidR="00520F36" w:rsidRPr="00291A7A" w14:paraId="233E89E9" w14:textId="77777777">
        <w:trPr>
          <w:cantSplit/>
          <w:trHeight w:val="20"/>
        </w:trPr>
        <w:tc>
          <w:tcPr>
            <w:tcW w:w="6912" w:type="dxa"/>
            <w:tcBorders>
              <w:top w:val="single" w:sz="12" w:space="0" w:color="auto"/>
            </w:tcBorders>
          </w:tcPr>
          <w:p w14:paraId="51E3FC07" w14:textId="77777777" w:rsidR="00520F36" w:rsidRPr="00291A7A" w:rsidRDefault="00520F36" w:rsidP="00A674C5">
            <w:pPr>
              <w:spacing w:before="0"/>
              <w:rPr>
                <w:smallCaps/>
                <w:sz w:val="22"/>
              </w:rPr>
            </w:pPr>
          </w:p>
        </w:tc>
        <w:tc>
          <w:tcPr>
            <w:tcW w:w="3261" w:type="dxa"/>
            <w:tcBorders>
              <w:top w:val="single" w:sz="12" w:space="0" w:color="auto"/>
            </w:tcBorders>
          </w:tcPr>
          <w:p w14:paraId="324885B7" w14:textId="77777777" w:rsidR="00520F36" w:rsidRPr="00291A7A" w:rsidRDefault="00520F36" w:rsidP="00A674C5">
            <w:pPr>
              <w:spacing w:before="0"/>
              <w:rPr>
                <w:b/>
                <w:bCs/>
              </w:rPr>
            </w:pPr>
          </w:p>
        </w:tc>
      </w:tr>
      <w:tr w:rsidR="00520F36" w:rsidRPr="00291A7A" w14:paraId="2ED82BE8" w14:textId="77777777">
        <w:trPr>
          <w:cantSplit/>
          <w:trHeight w:val="20"/>
        </w:trPr>
        <w:tc>
          <w:tcPr>
            <w:tcW w:w="6912" w:type="dxa"/>
            <w:vMerge w:val="restart"/>
          </w:tcPr>
          <w:p w14:paraId="313D6D9D" w14:textId="7A0A66B0" w:rsidR="00520F36" w:rsidRPr="00291A7A" w:rsidRDefault="00A428DC" w:rsidP="00A674C5">
            <w:pPr>
              <w:spacing w:before="0"/>
              <w:rPr>
                <w:rFonts w:cs="Times"/>
                <w:b/>
                <w:bCs/>
                <w:szCs w:val="24"/>
              </w:rPr>
            </w:pPr>
            <w:bookmarkStart w:id="2" w:name="dnum" w:colFirst="1" w:colLast="1"/>
            <w:bookmarkStart w:id="3" w:name="dmeeting" w:colFirst="0" w:colLast="0"/>
            <w:r w:rsidRPr="00291A7A">
              <w:rPr>
                <w:rFonts w:cs="Times"/>
                <w:b/>
                <w:bCs/>
                <w:szCs w:val="24"/>
              </w:rPr>
              <w:t xml:space="preserve">Point de l'ordre du </w:t>
            </w:r>
            <w:proofErr w:type="gramStart"/>
            <w:r w:rsidRPr="00291A7A">
              <w:rPr>
                <w:rFonts w:cs="Times"/>
                <w:b/>
                <w:bCs/>
                <w:szCs w:val="24"/>
              </w:rPr>
              <w:t>jour:</w:t>
            </w:r>
            <w:proofErr w:type="gramEnd"/>
            <w:r w:rsidR="00667469" w:rsidRPr="00291A7A">
              <w:rPr>
                <w:rFonts w:cs="Times"/>
                <w:b/>
                <w:bCs/>
                <w:szCs w:val="24"/>
              </w:rPr>
              <w:t xml:space="preserve"> ADM </w:t>
            </w:r>
            <w:r w:rsidR="00FE07AD" w:rsidRPr="00291A7A">
              <w:rPr>
                <w:rFonts w:cs="Times"/>
                <w:b/>
                <w:bCs/>
                <w:szCs w:val="24"/>
              </w:rPr>
              <w:t>19</w:t>
            </w:r>
          </w:p>
        </w:tc>
        <w:tc>
          <w:tcPr>
            <w:tcW w:w="3261" w:type="dxa"/>
          </w:tcPr>
          <w:p w14:paraId="1CA2DBD5" w14:textId="0E067AE6" w:rsidR="00520F36" w:rsidRPr="00291A7A" w:rsidRDefault="00520F36" w:rsidP="00A674C5">
            <w:pPr>
              <w:spacing w:before="0"/>
              <w:rPr>
                <w:b/>
                <w:bCs/>
              </w:rPr>
            </w:pPr>
            <w:r w:rsidRPr="00291A7A">
              <w:rPr>
                <w:b/>
                <w:bCs/>
              </w:rPr>
              <w:t>Document C</w:t>
            </w:r>
            <w:r w:rsidR="009C353C" w:rsidRPr="00291A7A">
              <w:rPr>
                <w:b/>
                <w:bCs/>
              </w:rPr>
              <w:t>2</w:t>
            </w:r>
            <w:r w:rsidR="004D1D50" w:rsidRPr="00291A7A">
              <w:rPr>
                <w:b/>
                <w:bCs/>
              </w:rPr>
              <w:t>1</w:t>
            </w:r>
            <w:r w:rsidRPr="00291A7A">
              <w:rPr>
                <w:b/>
                <w:bCs/>
              </w:rPr>
              <w:t>/</w:t>
            </w:r>
            <w:r w:rsidR="004D4756" w:rsidRPr="00291A7A">
              <w:rPr>
                <w:b/>
                <w:bCs/>
              </w:rPr>
              <w:t>38</w:t>
            </w:r>
            <w:r w:rsidRPr="00291A7A">
              <w:rPr>
                <w:b/>
                <w:bCs/>
              </w:rPr>
              <w:t>-F</w:t>
            </w:r>
          </w:p>
        </w:tc>
      </w:tr>
      <w:tr w:rsidR="00520F36" w:rsidRPr="00291A7A" w14:paraId="5DFA139B" w14:textId="77777777">
        <w:trPr>
          <w:cantSplit/>
          <w:trHeight w:val="20"/>
        </w:trPr>
        <w:tc>
          <w:tcPr>
            <w:tcW w:w="6912" w:type="dxa"/>
            <w:vMerge/>
          </w:tcPr>
          <w:p w14:paraId="36193F98" w14:textId="77777777" w:rsidR="00520F36" w:rsidRPr="00291A7A" w:rsidRDefault="00520F36" w:rsidP="00A674C5">
            <w:pPr>
              <w:shd w:val="solid" w:color="FFFFFF" w:fill="FFFFFF"/>
              <w:spacing w:before="180"/>
              <w:rPr>
                <w:smallCaps/>
              </w:rPr>
            </w:pPr>
            <w:bookmarkStart w:id="4" w:name="ddate" w:colFirst="1" w:colLast="1"/>
            <w:bookmarkEnd w:id="2"/>
            <w:bookmarkEnd w:id="3"/>
          </w:p>
        </w:tc>
        <w:tc>
          <w:tcPr>
            <w:tcW w:w="3261" w:type="dxa"/>
          </w:tcPr>
          <w:p w14:paraId="01A97BAC" w14:textId="2E2E3F5F" w:rsidR="00520F36" w:rsidRPr="00291A7A" w:rsidRDefault="00A428DC" w:rsidP="00A674C5">
            <w:pPr>
              <w:spacing w:before="0"/>
              <w:rPr>
                <w:b/>
                <w:bCs/>
              </w:rPr>
            </w:pPr>
            <w:r w:rsidRPr="00291A7A">
              <w:rPr>
                <w:b/>
                <w:bCs/>
              </w:rPr>
              <w:t>7 avril 2021</w:t>
            </w:r>
          </w:p>
        </w:tc>
      </w:tr>
      <w:tr w:rsidR="00520F36" w:rsidRPr="00291A7A" w14:paraId="3C94BAD4" w14:textId="77777777">
        <w:trPr>
          <w:cantSplit/>
          <w:trHeight w:val="20"/>
        </w:trPr>
        <w:tc>
          <w:tcPr>
            <w:tcW w:w="6912" w:type="dxa"/>
            <w:vMerge/>
          </w:tcPr>
          <w:p w14:paraId="5DCEFBE6" w14:textId="77777777" w:rsidR="00520F36" w:rsidRPr="00291A7A" w:rsidRDefault="00520F36" w:rsidP="00A674C5">
            <w:pPr>
              <w:shd w:val="solid" w:color="FFFFFF" w:fill="FFFFFF"/>
              <w:spacing w:before="180"/>
              <w:rPr>
                <w:smallCaps/>
              </w:rPr>
            </w:pPr>
            <w:bookmarkStart w:id="5" w:name="dorlang" w:colFirst="1" w:colLast="1"/>
            <w:bookmarkEnd w:id="4"/>
          </w:p>
        </w:tc>
        <w:tc>
          <w:tcPr>
            <w:tcW w:w="3261" w:type="dxa"/>
          </w:tcPr>
          <w:p w14:paraId="68A27CA5" w14:textId="77777777" w:rsidR="00520F36" w:rsidRPr="00291A7A" w:rsidRDefault="00520F36" w:rsidP="00A674C5">
            <w:pPr>
              <w:spacing w:before="0"/>
              <w:rPr>
                <w:b/>
                <w:bCs/>
              </w:rPr>
            </w:pPr>
            <w:proofErr w:type="gramStart"/>
            <w:r w:rsidRPr="00291A7A">
              <w:rPr>
                <w:b/>
                <w:bCs/>
              </w:rPr>
              <w:t>Original:</w:t>
            </w:r>
            <w:proofErr w:type="gramEnd"/>
            <w:r w:rsidRPr="00291A7A">
              <w:rPr>
                <w:b/>
                <w:bCs/>
              </w:rPr>
              <w:t xml:space="preserve"> anglais</w:t>
            </w:r>
          </w:p>
        </w:tc>
      </w:tr>
      <w:tr w:rsidR="00520F36" w:rsidRPr="00291A7A" w14:paraId="3FFFFB6F" w14:textId="77777777">
        <w:trPr>
          <w:cantSplit/>
        </w:trPr>
        <w:tc>
          <w:tcPr>
            <w:tcW w:w="10173" w:type="dxa"/>
            <w:gridSpan w:val="2"/>
          </w:tcPr>
          <w:p w14:paraId="30D03EA5" w14:textId="14F4CFA3" w:rsidR="00520F36" w:rsidRPr="00291A7A" w:rsidRDefault="004D4756" w:rsidP="00A674C5">
            <w:pPr>
              <w:pStyle w:val="Source"/>
            </w:pPr>
            <w:bookmarkStart w:id="6" w:name="dsource" w:colFirst="0" w:colLast="0"/>
            <w:bookmarkEnd w:id="5"/>
            <w:r w:rsidRPr="00291A7A">
              <w:t>Rapport du Secrétaire général</w:t>
            </w:r>
          </w:p>
        </w:tc>
      </w:tr>
      <w:tr w:rsidR="00520F36" w:rsidRPr="00291A7A" w14:paraId="57C3ED2F" w14:textId="77777777">
        <w:trPr>
          <w:cantSplit/>
        </w:trPr>
        <w:tc>
          <w:tcPr>
            <w:tcW w:w="10173" w:type="dxa"/>
            <w:gridSpan w:val="2"/>
          </w:tcPr>
          <w:p w14:paraId="5A5DB3B4" w14:textId="45876CB8" w:rsidR="00520F36" w:rsidRPr="00291A7A" w:rsidRDefault="00667469" w:rsidP="00A674C5">
            <w:pPr>
              <w:pStyle w:val="Title1"/>
            </w:pPr>
            <w:bookmarkStart w:id="7" w:name="dtitle1" w:colFirst="0" w:colLast="0"/>
            <w:bookmarkEnd w:id="6"/>
            <w:r w:rsidRPr="00291A7A">
              <w:t xml:space="preserve">RAPPORT SUR LA MISE EN </w:t>
            </w:r>
            <w:r w:rsidR="0037330F" w:rsidRPr="00291A7A">
              <w:t>œ</w:t>
            </w:r>
            <w:r w:rsidRPr="00291A7A">
              <w:t>UVRE DE LA R</w:t>
            </w:r>
            <w:r w:rsidR="001B2D35" w:rsidRPr="00291A7A">
              <w:t>É</w:t>
            </w:r>
            <w:r w:rsidRPr="00291A7A">
              <w:t>SOLUTION 191 (r</w:t>
            </w:r>
            <w:r w:rsidR="001B2D35" w:rsidRPr="00291A7A">
              <w:t>É</w:t>
            </w:r>
            <w:r w:rsidRPr="00291A7A">
              <w:t>v. dubaï, 2018) DE LA CONF</w:t>
            </w:r>
            <w:r w:rsidR="001B2D35" w:rsidRPr="00291A7A">
              <w:t>É</w:t>
            </w:r>
            <w:r w:rsidRPr="00291A7A">
              <w:t>RENCE DE PL</w:t>
            </w:r>
            <w:r w:rsidR="001B2D35" w:rsidRPr="00291A7A">
              <w:t>É</w:t>
            </w:r>
            <w:r w:rsidRPr="00291A7A">
              <w:t xml:space="preserve">NIPOTENTIAIRES </w:t>
            </w:r>
            <w:r w:rsidRPr="00291A7A">
              <w:rPr>
                <w:rFonts w:asciiTheme="minorHAnsi" w:hAnsiTheme="minorHAnsi"/>
              </w:rPr>
              <w:t>"strat</w:t>
            </w:r>
            <w:r w:rsidR="001B2D35" w:rsidRPr="00291A7A">
              <w:t>É</w:t>
            </w:r>
            <w:r w:rsidRPr="00291A7A">
              <w:rPr>
                <w:rFonts w:asciiTheme="minorHAnsi" w:hAnsiTheme="minorHAnsi"/>
              </w:rPr>
              <w:t>gie de coordination des efforts entre les trois secteurs de l'union"</w:t>
            </w:r>
          </w:p>
        </w:tc>
      </w:tr>
      <w:bookmarkEnd w:id="7"/>
    </w:tbl>
    <w:p w14:paraId="126F1A64" w14:textId="77777777" w:rsidR="00520F36" w:rsidRPr="00291A7A" w:rsidRDefault="00520F36" w:rsidP="00A674C5"/>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291A7A" w14:paraId="41E4C4A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B541A89" w14:textId="77777777" w:rsidR="00520F36" w:rsidRPr="00291A7A" w:rsidRDefault="00520F36" w:rsidP="00A674C5">
            <w:pPr>
              <w:pStyle w:val="Headingb"/>
            </w:pPr>
            <w:r w:rsidRPr="00291A7A">
              <w:t>Résumé</w:t>
            </w:r>
          </w:p>
          <w:p w14:paraId="372FCED8" w14:textId="77777777" w:rsidR="00667469" w:rsidRPr="00291A7A" w:rsidRDefault="00667469" w:rsidP="00A674C5">
            <w:r w:rsidRPr="00291A7A">
              <w:t>On trouvera dans le présent document un rapport sur la mise en œuvre de la Résolution 191 (Rév. Dubaï, 2018) de la Conférence de plénipotentiaires relative à la stratégie de coordination des efforts entre les trois Secteurs de l'Union.</w:t>
            </w:r>
          </w:p>
          <w:p w14:paraId="4C7BD134" w14:textId="0D4C3A25" w:rsidR="004D4756" w:rsidRPr="00291A7A" w:rsidRDefault="004D4756" w:rsidP="00A674C5">
            <w:r w:rsidRPr="00291A7A">
              <w:rPr>
                <w:color w:val="000000"/>
              </w:rPr>
              <w:t xml:space="preserve">Le présent document a initialement été élaboré sous la cote </w:t>
            </w:r>
            <w:hyperlink r:id="rId8" w:history="1">
              <w:r w:rsidRPr="00291A7A">
                <w:rPr>
                  <w:rStyle w:val="Hyperlink"/>
                  <w:szCs w:val="24"/>
                </w:rPr>
                <w:t>C20/38</w:t>
              </w:r>
            </w:hyperlink>
            <w:r w:rsidRPr="00291A7A">
              <w:rPr>
                <w:color w:val="000000"/>
              </w:rPr>
              <w:t xml:space="preserve"> pour soumission à la session de 2020 du Conseil, mais n'a pas été examiné.</w:t>
            </w:r>
          </w:p>
          <w:p w14:paraId="0DDC0E3A" w14:textId="77777777" w:rsidR="00520F36" w:rsidRPr="00291A7A" w:rsidRDefault="00520F36" w:rsidP="00A674C5">
            <w:pPr>
              <w:pStyle w:val="Headingb"/>
            </w:pPr>
            <w:proofErr w:type="gramStart"/>
            <w:r w:rsidRPr="00291A7A">
              <w:t>Suite à</w:t>
            </w:r>
            <w:proofErr w:type="gramEnd"/>
            <w:r w:rsidRPr="00291A7A">
              <w:t xml:space="preserve"> donner</w:t>
            </w:r>
          </w:p>
          <w:p w14:paraId="4E1A70F4" w14:textId="09EA7B37" w:rsidR="00520F36" w:rsidRPr="00291A7A" w:rsidRDefault="00A428DC" w:rsidP="00A674C5">
            <w:r w:rsidRPr="00291A7A">
              <w:t xml:space="preserve">Le Conseil est invité à </w:t>
            </w:r>
            <w:r w:rsidRPr="00291A7A">
              <w:rPr>
                <w:b/>
                <w:bCs/>
              </w:rPr>
              <w:t>prendre note</w:t>
            </w:r>
            <w:r w:rsidRPr="00291A7A">
              <w:t xml:space="preserve"> du présent rapport</w:t>
            </w:r>
            <w:r w:rsidR="004D4756" w:rsidRPr="00291A7A">
              <w:t xml:space="preserve"> </w:t>
            </w:r>
            <w:r w:rsidR="005F6915" w:rsidRPr="00291A7A">
              <w:rPr>
                <w:rFonts w:asciiTheme="minorHAnsi" w:hAnsiTheme="minorHAnsi"/>
                <w:szCs w:val="24"/>
              </w:rPr>
              <w:t>ainsi que du Document</w:t>
            </w:r>
            <w:r w:rsidR="00F65A43" w:rsidRPr="00291A7A">
              <w:rPr>
                <w:rFonts w:asciiTheme="minorHAnsi" w:hAnsiTheme="minorHAnsi"/>
                <w:szCs w:val="24"/>
              </w:rPr>
              <w:t> </w:t>
            </w:r>
            <w:r w:rsidR="004D4756" w:rsidRPr="00291A7A">
              <w:rPr>
                <w:rFonts w:asciiTheme="minorHAnsi" w:hAnsiTheme="minorHAnsi"/>
                <w:szCs w:val="24"/>
              </w:rPr>
              <w:t>C20/38</w:t>
            </w:r>
            <w:r w:rsidR="005F6915" w:rsidRPr="00291A7A">
              <w:rPr>
                <w:rFonts w:asciiTheme="minorHAnsi" w:hAnsiTheme="minorHAnsi"/>
                <w:szCs w:val="24"/>
              </w:rPr>
              <w:t>.</w:t>
            </w:r>
          </w:p>
          <w:p w14:paraId="676C2F15" w14:textId="77777777" w:rsidR="00520F36" w:rsidRPr="00291A7A" w:rsidRDefault="00520F36" w:rsidP="00A674C5">
            <w:pPr>
              <w:pStyle w:val="Table"/>
              <w:keepNext w:val="0"/>
              <w:spacing w:before="0" w:after="0"/>
              <w:rPr>
                <w:rFonts w:ascii="Calibri" w:hAnsi="Calibri"/>
                <w:caps w:val="0"/>
                <w:sz w:val="22"/>
                <w:lang w:val="fr-FR"/>
              </w:rPr>
            </w:pPr>
            <w:r w:rsidRPr="00291A7A">
              <w:rPr>
                <w:rFonts w:ascii="Calibri" w:hAnsi="Calibri"/>
                <w:caps w:val="0"/>
                <w:sz w:val="22"/>
                <w:lang w:val="fr-FR"/>
              </w:rPr>
              <w:t>____________</w:t>
            </w:r>
          </w:p>
          <w:p w14:paraId="3C572ECB" w14:textId="77777777" w:rsidR="00520F36" w:rsidRPr="00291A7A" w:rsidRDefault="00520F36" w:rsidP="00A674C5">
            <w:pPr>
              <w:pStyle w:val="Headingb"/>
            </w:pPr>
            <w:r w:rsidRPr="00291A7A">
              <w:t>Références</w:t>
            </w:r>
          </w:p>
          <w:p w14:paraId="7254FFC3" w14:textId="0EF716BB" w:rsidR="00520F36" w:rsidRPr="00291A7A" w:rsidRDefault="00F82832" w:rsidP="00A674C5">
            <w:pPr>
              <w:spacing w:after="120"/>
              <w:rPr>
                <w:i/>
                <w:iCs/>
              </w:rPr>
            </w:pPr>
            <w:hyperlink r:id="rId9" w:history="1">
              <w:r w:rsidR="00667469" w:rsidRPr="00291A7A">
                <w:rPr>
                  <w:rStyle w:val="Hyperlink"/>
                  <w:rFonts w:cstheme="minorHAnsi"/>
                  <w:i/>
                  <w:iCs/>
                  <w:szCs w:val="24"/>
                </w:rPr>
                <w:t>Résolution 191 (Rév. Dubaï, 2018)</w:t>
              </w:r>
            </w:hyperlink>
            <w:r w:rsidR="00EB2D62" w:rsidRPr="00291A7A">
              <w:rPr>
                <w:rStyle w:val="Hyperlink"/>
                <w:rFonts w:cstheme="minorHAnsi"/>
                <w:i/>
                <w:iCs/>
                <w:szCs w:val="24"/>
              </w:rPr>
              <w:t xml:space="preserve"> de la PP</w:t>
            </w:r>
            <w:r w:rsidR="00667469" w:rsidRPr="00291A7A">
              <w:t xml:space="preserve">, </w:t>
            </w:r>
            <w:r w:rsidR="00BC29C4" w:rsidRPr="00291A7A">
              <w:rPr>
                <w:i/>
                <w:iCs/>
              </w:rPr>
              <w:t xml:space="preserve">Documents </w:t>
            </w:r>
            <w:hyperlink r:id="rId10" w:history="1">
              <w:r w:rsidR="004D4756" w:rsidRPr="00291A7A">
                <w:rPr>
                  <w:rStyle w:val="Hyperlink"/>
                  <w:i/>
                  <w:iCs/>
                </w:rPr>
                <w:t>C20/38</w:t>
              </w:r>
            </w:hyperlink>
            <w:r w:rsidR="00BC29C4" w:rsidRPr="00291A7A">
              <w:rPr>
                <w:i/>
                <w:iCs/>
              </w:rPr>
              <w:t xml:space="preserve"> et</w:t>
            </w:r>
            <w:r w:rsidR="004D4756" w:rsidRPr="00291A7A">
              <w:rPr>
                <w:i/>
                <w:iCs/>
              </w:rPr>
              <w:t xml:space="preserve"> </w:t>
            </w:r>
            <w:hyperlink r:id="rId11" w:history="1">
              <w:r w:rsidR="004D4756" w:rsidRPr="00291A7A">
                <w:rPr>
                  <w:rStyle w:val="Hyperlink"/>
                  <w:i/>
                  <w:iCs/>
                </w:rPr>
                <w:t>C21/INF/11</w:t>
              </w:r>
            </w:hyperlink>
          </w:p>
        </w:tc>
      </w:tr>
    </w:tbl>
    <w:p w14:paraId="0C4EB25F" w14:textId="77777777" w:rsidR="00667469" w:rsidRPr="00291A7A" w:rsidRDefault="00667469" w:rsidP="00A674C5">
      <w:pPr>
        <w:pStyle w:val="Heading1"/>
      </w:pPr>
      <w:r w:rsidRPr="00291A7A">
        <w:t>1</w:t>
      </w:r>
      <w:r w:rsidRPr="00291A7A">
        <w:tab/>
        <w:t>Introduction</w:t>
      </w:r>
    </w:p>
    <w:p w14:paraId="421D93EB" w14:textId="013402F8" w:rsidR="00667469" w:rsidRPr="00291A7A" w:rsidRDefault="00922AD5" w:rsidP="00A674C5">
      <w:pPr>
        <w:rPr>
          <w:rFonts w:asciiTheme="minorHAnsi" w:hAnsiTheme="minorHAnsi"/>
        </w:rPr>
      </w:pPr>
      <w:r w:rsidRPr="00291A7A">
        <w:t xml:space="preserve">Comme </w:t>
      </w:r>
      <w:proofErr w:type="gramStart"/>
      <w:r w:rsidRPr="00291A7A">
        <w:t>s</w:t>
      </w:r>
      <w:r w:rsidR="00667469" w:rsidRPr="00291A7A">
        <w:t>uite à</w:t>
      </w:r>
      <w:proofErr w:type="gramEnd"/>
      <w:r w:rsidR="00667469" w:rsidRPr="00291A7A">
        <w:t xml:space="preserve"> la révision de la Résolution 191 (Rév. Dubaï, 2018) de la Conférence de plénipotentiaires "Stratégie</w:t>
      </w:r>
      <w:r w:rsidR="00667469" w:rsidRPr="00291A7A">
        <w:rPr>
          <w:rFonts w:asciiTheme="minorHAnsi" w:hAnsiTheme="minorHAnsi"/>
        </w:rPr>
        <w:t xml:space="preserve"> de coordination des efforts entre les trois secteurs de l'Union", des rapports concernant la coordination intersectorielle </w:t>
      </w:r>
      <w:r w:rsidR="001944B7" w:rsidRPr="00291A7A">
        <w:rPr>
          <w:rFonts w:asciiTheme="minorHAnsi" w:hAnsiTheme="minorHAnsi"/>
        </w:rPr>
        <w:t xml:space="preserve">des activités </w:t>
      </w:r>
      <w:r w:rsidR="00667469" w:rsidRPr="00291A7A">
        <w:rPr>
          <w:rFonts w:asciiTheme="minorHAnsi" w:hAnsiTheme="minorHAnsi"/>
        </w:rPr>
        <w:t>ont été soumis régulièrement au Conseil, au Groupe de travail du Conseil sur les ressources financières et les ressources humaines (GTC-FHR), ainsi qu'aux groupes consultatifs des trois Secteurs. Les mécanismes et les efforts visant à continuer d'améliorer la coordination intersectorielle ont été renforcés et une coordination plus étroite a été assurée entre le Groupe spécial de coordination intersectorielle (ISC-TF) au niveau du Secrétariat et le Groupe de coordination intersectorielle sur les questions d'intérêt mutuel (ISCG) au niveau des Secteurs.</w:t>
      </w:r>
    </w:p>
    <w:p w14:paraId="03C07B10" w14:textId="77777777" w:rsidR="00667469" w:rsidRPr="00291A7A" w:rsidRDefault="00667469" w:rsidP="00A674C5">
      <w:pPr>
        <w:pStyle w:val="Heading1"/>
      </w:pPr>
      <w:r w:rsidRPr="00291A7A">
        <w:lastRenderedPageBreak/>
        <w:t>2</w:t>
      </w:r>
      <w:r w:rsidRPr="00291A7A">
        <w:tab/>
        <w:t>Coordination au sein du Secrétariat</w:t>
      </w:r>
    </w:p>
    <w:p w14:paraId="7D70851D" w14:textId="77777777" w:rsidR="00667469" w:rsidRPr="00291A7A" w:rsidRDefault="00667469" w:rsidP="00A674C5">
      <w:r w:rsidRPr="00291A7A">
        <w:t>2.1</w:t>
      </w:r>
      <w:r w:rsidRPr="00291A7A">
        <w:tab/>
        <w:t>Le Groupe spécial de coordination intersectorielle (ISC-TF) a été établi pour renforcer la coordination et la collaboration entre les trois Bureaux et le Secrétariat général, dans le but d'éviter tout chevauchement d'activité au niveau interne et d'optimiser l'utilisation des ressources. Le mandat de ce Groupe a fait l'objet de l'</w:t>
      </w:r>
      <w:hyperlink r:id="rId12" w:history="1">
        <w:r w:rsidRPr="00291A7A">
          <w:rPr>
            <w:rStyle w:val="Hyperlink"/>
          </w:rPr>
          <w:t>Ordre de service N° 16/13</w:t>
        </w:r>
      </w:hyperlink>
      <w:r w:rsidRPr="00291A7A">
        <w:t>.</w:t>
      </w:r>
    </w:p>
    <w:p w14:paraId="60AFAC5C" w14:textId="31659BE1" w:rsidR="00667469" w:rsidRPr="00291A7A" w:rsidRDefault="00667469" w:rsidP="00A674C5">
      <w:r w:rsidRPr="00291A7A">
        <w:t>2.2</w:t>
      </w:r>
      <w:r w:rsidRPr="00291A7A">
        <w:tab/>
      </w:r>
      <w:r w:rsidR="000E2A99" w:rsidRPr="00291A7A">
        <w:t>Le Groupe spécial ISC-TF a tenu six réunions (au 31 mars 2021), depuis qu'il a soumis son dernier rapport à la session de 2020 du Conseil (il est prévu d'organiser au moins une</w:t>
      </w:r>
      <w:r w:rsidR="00F65A43" w:rsidRPr="00291A7A">
        <w:t xml:space="preserve"> autre</w:t>
      </w:r>
      <w:r w:rsidR="000E2A99" w:rsidRPr="00291A7A">
        <w:t xml:space="preserve"> réunion avant la consultation virtuelle des Conseillers qui se tiendra du 8 au 18 juin 2021), soit 39 réunions au total depuis sa création en mars 2015. Le Groupe spécial ISC-TF est présidé par le Vice-Secrétaire général, avec la participation des Adjoints aux Directeurs des trois </w:t>
      </w:r>
      <w:proofErr w:type="gramStart"/>
      <w:r w:rsidR="000E2A99" w:rsidRPr="00291A7A">
        <w:t>Bureaux</w:t>
      </w:r>
      <w:r w:rsidR="00F65A43" w:rsidRPr="00291A7A">
        <w:t>;</w:t>
      </w:r>
      <w:proofErr w:type="gramEnd"/>
      <w:r w:rsidR="000E2A99" w:rsidRPr="00291A7A">
        <w:t xml:space="preserve"> des Chefs des Départements du Secrétariat général; des Coordonnateurs intersectoriels responsables de domaines thématiques précis; des Directeurs des Bureaux régionaux; en qualité d'observateur, du Chef de l'Unité de l'audit interne; et à l'invitation du Président, des Chefs des Départements des Bureaux.</w:t>
      </w:r>
    </w:p>
    <w:p w14:paraId="78C0559E" w14:textId="0A36356B" w:rsidR="00667469" w:rsidRPr="00291A7A" w:rsidRDefault="00667469" w:rsidP="00A674C5">
      <w:r w:rsidRPr="00291A7A">
        <w:t>2.3</w:t>
      </w:r>
      <w:r w:rsidRPr="00291A7A">
        <w:tab/>
      </w:r>
      <w:r w:rsidR="000E2A99" w:rsidRPr="00291A7A">
        <w:t xml:space="preserve">Les domaines présentant un intérêt au niveau intersectoriel pour lesquels le Groupe spécial ISC-TF assure une coordination sont les suivants: accessibilité, nouvelles tendances et intelligence artificielle, réduction de l'écart en matière de normalisation, communications, réseaux communautaires, télécommunications d'urgence, environnement et villes et communautés intelligentes et durables, coordination de manifestations, égalité hommes/femmes, activités géospatiales, participation des Membres, mobilisation de ressources et petites et moyennes entreprises (PME), </w:t>
      </w:r>
      <w:r w:rsidR="00F65A43" w:rsidRPr="00291A7A">
        <w:t>et</w:t>
      </w:r>
      <w:r w:rsidR="000E2A99" w:rsidRPr="00291A7A">
        <w:t xml:space="preserve"> multilinguisme (depuis 2020).</w:t>
      </w:r>
      <w:r w:rsidRPr="00291A7A">
        <w:t xml:space="preserve"> </w:t>
      </w:r>
    </w:p>
    <w:p w14:paraId="4E7424F4" w14:textId="506AD5E9" w:rsidR="00667469" w:rsidRPr="00291A7A" w:rsidRDefault="00667469" w:rsidP="00A674C5">
      <w:r w:rsidRPr="00291A7A">
        <w:t>2.4</w:t>
      </w:r>
      <w:r w:rsidRPr="00291A7A">
        <w:tab/>
      </w:r>
      <w:r w:rsidR="000E2A99" w:rsidRPr="00291A7A">
        <w:t xml:space="preserve">Depuis son dernier rapport soumis à la session de 2020 du Conseil, le </w:t>
      </w:r>
      <w:r w:rsidR="00F80755" w:rsidRPr="00291A7A">
        <w:t>G</w:t>
      </w:r>
      <w:r w:rsidR="000E2A99" w:rsidRPr="00291A7A">
        <w:t xml:space="preserve">roupe spécial </w:t>
      </w:r>
      <w:r w:rsidR="00F80755" w:rsidRPr="00291A7A">
        <w:t xml:space="preserve">ISC-TF </w:t>
      </w:r>
      <w:r w:rsidR="000E2A99" w:rsidRPr="00291A7A">
        <w:t xml:space="preserve">a </w:t>
      </w:r>
      <w:proofErr w:type="gramStart"/>
      <w:r w:rsidR="000E2A99" w:rsidRPr="00291A7A">
        <w:t>continué:</w:t>
      </w:r>
      <w:proofErr w:type="gramEnd"/>
    </w:p>
    <w:p w14:paraId="58BA952F" w14:textId="66A2E776" w:rsidR="00667469" w:rsidRPr="00291A7A" w:rsidRDefault="00667469" w:rsidP="00A674C5">
      <w:pPr>
        <w:pStyle w:val="enumlev1"/>
      </w:pPr>
      <w:r w:rsidRPr="00291A7A">
        <w:t>–</w:t>
      </w:r>
      <w:r w:rsidRPr="00291A7A">
        <w:tab/>
      </w:r>
      <w:r w:rsidR="000E2A99" w:rsidRPr="00291A7A">
        <w:t xml:space="preserve">de faciliter les échanges d'informations entre les Secteurs et le Secrétariat général concernant les domaines thématiques susmentionnés, en présentant aux membres du groupe spécial des informations actualisées sur les faits nouveaux et les progrès réalisés dans chaque </w:t>
      </w:r>
      <w:proofErr w:type="gramStart"/>
      <w:r w:rsidR="000E2A99" w:rsidRPr="00291A7A">
        <w:t>domaine</w:t>
      </w:r>
      <w:r w:rsidRPr="00291A7A">
        <w:t>;</w:t>
      </w:r>
      <w:proofErr w:type="gramEnd"/>
    </w:p>
    <w:p w14:paraId="08F9FF2C" w14:textId="77777777" w:rsidR="00667469" w:rsidRPr="00291A7A" w:rsidRDefault="00667469" w:rsidP="00A674C5">
      <w:pPr>
        <w:pStyle w:val="enumlev1"/>
      </w:pPr>
      <w:r w:rsidRPr="00291A7A">
        <w:t>–</w:t>
      </w:r>
      <w:r w:rsidRPr="00291A7A">
        <w:tab/>
        <w:t xml:space="preserve">d'examiner et de proposer des solutions aux principales questions posées par les coordonnateurs, en transmettant au niveau supérieur les questions pour lesquelles des décisions n'ont pas pu être prises ou arrêtées au niveau des </w:t>
      </w:r>
      <w:proofErr w:type="gramStart"/>
      <w:r w:rsidRPr="00291A7A">
        <w:t>coordonnateurs;</w:t>
      </w:r>
      <w:proofErr w:type="gramEnd"/>
    </w:p>
    <w:p w14:paraId="79BEFF51" w14:textId="08E40E60" w:rsidR="00667469" w:rsidRPr="00291A7A" w:rsidRDefault="00667469" w:rsidP="00A674C5">
      <w:pPr>
        <w:pStyle w:val="enumlev1"/>
      </w:pPr>
      <w:r w:rsidRPr="00291A7A">
        <w:t>–</w:t>
      </w:r>
      <w:r w:rsidRPr="00291A7A">
        <w:tab/>
        <w:t xml:space="preserve">de tirer parti de la participation et de la contribution des Bureaux régionaux, qui prennent part aux débats du </w:t>
      </w:r>
      <w:proofErr w:type="gramStart"/>
      <w:r w:rsidRPr="00291A7A">
        <w:t>Groupe;</w:t>
      </w:r>
      <w:proofErr w:type="gramEnd"/>
    </w:p>
    <w:p w14:paraId="06B7F700" w14:textId="30082E13" w:rsidR="00667469" w:rsidRPr="00291A7A" w:rsidRDefault="00667469" w:rsidP="00A674C5">
      <w:pPr>
        <w:pStyle w:val="enumlev1"/>
      </w:pPr>
      <w:r w:rsidRPr="00291A7A">
        <w:t>–</w:t>
      </w:r>
      <w:r w:rsidRPr="00291A7A">
        <w:tab/>
        <w:t xml:space="preserve">de coordonner la participation de l'UIT à des conférences et forums, afin de rationaliser la délégation/présence de l'UIT, tout en veillant à ce que les intérêts intersectoriels soient </w:t>
      </w:r>
      <w:proofErr w:type="gramStart"/>
      <w:r w:rsidRPr="00291A7A">
        <w:t>représentés;</w:t>
      </w:r>
      <w:proofErr w:type="gramEnd"/>
      <w:r w:rsidRPr="00291A7A">
        <w:t xml:space="preserve"> </w:t>
      </w:r>
    </w:p>
    <w:p w14:paraId="5A8B7166" w14:textId="6735B95C" w:rsidR="00667469" w:rsidRPr="00291A7A" w:rsidRDefault="00667469" w:rsidP="00A674C5">
      <w:pPr>
        <w:pStyle w:val="enumlev1"/>
      </w:pPr>
      <w:r w:rsidRPr="00291A7A">
        <w:t>–</w:t>
      </w:r>
      <w:r w:rsidRPr="00291A7A">
        <w:tab/>
        <w:t xml:space="preserve">de contribuer à mieux coordonner l'organisation de manifestations et de réunions de l'UIT, dans le cadre des travaux menés dans ce domaine </w:t>
      </w:r>
      <w:proofErr w:type="gramStart"/>
      <w:r w:rsidRPr="00291A7A">
        <w:t>particulier;</w:t>
      </w:r>
      <w:proofErr w:type="gramEnd"/>
      <w:r w:rsidRPr="00291A7A">
        <w:t xml:space="preserve"> et</w:t>
      </w:r>
    </w:p>
    <w:p w14:paraId="13A2FD4D" w14:textId="054CEF03" w:rsidR="00667469" w:rsidRPr="00291A7A" w:rsidRDefault="00667469" w:rsidP="00A674C5">
      <w:pPr>
        <w:pStyle w:val="enumlev1"/>
      </w:pPr>
      <w:r w:rsidRPr="00291A7A">
        <w:t>–</w:t>
      </w:r>
      <w:r w:rsidRPr="00291A7A">
        <w:tab/>
      </w:r>
      <w:r w:rsidR="000E2A99" w:rsidRPr="00291A7A">
        <w:t xml:space="preserve">de coordonner le processus de publication et de mise à jour de renseignements </w:t>
      </w:r>
      <w:r w:rsidR="000E2A99" w:rsidRPr="00291A7A">
        <w:rPr>
          <w:color w:val="000000"/>
        </w:rPr>
        <w:t xml:space="preserve">sur les </w:t>
      </w:r>
      <w:r w:rsidR="000E2A99" w:rsidRPr="00291A7A">
        <w:t xml:space="preserve">travaux menés par l'UIT </w:t>
      </w:r>
      <w:r w:rsidR="000E2A99" w:rsidRPr="00291A7A">
        <w:rPr>
          <w:color w:val="000000"/>
        </w:rPr>
        <w:t>concernant les domaines thématiques</w:t>
      </w:r>
      <w:r w:rsidR="000E2A99" w:rsidRPr="00291A7A">
        <w:t xml:space="preserve"> sur les pages web pertinentes de l'UIT, d'une manière ouverte et transparente, y compris le </w:t>
      </w:r>
      <w:r w:rsidR="00C81A8E" w:rsidRPr="00291A7A">
        <w:t xml:space="preserve">regroupement des informations relatives aux </w:t>
      </w:r>
      <w:r w:rsidR="000E2A99" w:rsidRPr="00291A7A">
        <w:t xml:space="preserve">activités intersectorielles sur la </w:t>
      </w:r>
      <w:hyperlink r:id="rId13" w:history="1">
        <w:r w:rsidR="00B32131" w:rsidRPr="00291A7A">
          <w:rPr>
            <w:rStyle w:val="Hyperlink"/>
          </w:rPr>
          <w:t xml:space="preserve">page web </w:t>
        </w:r>
        <w:r w:rsidR="00F80755" w:rsidRPr="00291A7A">
          <w:rPr>
            <w:rStyle w:val="Hyperlink"/>
          </w:rPr>
          <w:t xml:space="preserve">commune </w:t>
        </w:r>
        <w:r w:rsidR="00B32131" w:rsidRPr="00291A7A">
          <w:rPr>
            <w:rStyle w:val="Hyperlink"/>
          </w:rPr>
          <w:t>consacrée à la coordination intersectorielle</w:t>
        </w:r>
      </w:hyperlink>
      <w:r w:rsidR="00680220" w:rsidRPr="00291A7A">
        <w:t>.</w:t>
      </w:r>
    </w:p>
    <w:p w14:paraId="1F3776D4" w14:textId="77777777" w:rsidR="00A674C5" w:rsidRPr="00291A7A" w:rsidRDefault="00A674C5" w:rsidP="00A674C5">
      <w:r w:rsidRPr="00291A7A">
        <w:br w:type="page"/>
      </w:r>
    </w:p>
    <w:p w14:paraId="328A2AF3" w14:textId="1C024C57" w:rsidR="00667469" w:rsidRPr="00291A7A" w:rsidRDefault="00667469" w:rsidP="00A674C5">
      <w:r w:rsidRPr="00291A7A">
        <w:lastRenderedPageBreak/>
        <w:t>2.</w:t>
      </w:r>
      <w:r w:rsidR="00680220" w:rsidRPr="00291A7A">
        <w:t>5</w:t>
      </w:r>
      <w:r w:rsidRPr="00291A7A">
        <w:tab/>
        <w:t xml:space="preserve">En outre, le Groupe a obtenu les résultats concrets suivants au cours de l'année </w:t>
      </w:r>
      <w:proofErr w:type="gramStart"/>
      <w:r w:rsidRPr="00291A7A">
        <w:t>écoulée:</w:t>
      </w:r>
      <w:proofErr w:type="gramEnd"/>
    </w:p>
    <w:p w14:paraId="799E7E65" w14:textId="5A72C306" w:rsidR="00667469" w:rsidRPr="00291A7A" w:rsidRDefault="00667469" w:rsidP="00A674C5">
      <w:pPr>
        <w:pStyle w:val="enumlev1"/>
        <w:rPr>
          <w:iCs/>
        </w:rPr>
      </w:pPr>
      <w:r w:rsidRPr="00291A7A">
        <w:rPr>
          <w:color w:val="000000"/>
        </w:rPr>
        <w:t>–</w:t>
      </w:r>
      <w:r w:rsidRPr="00291A7A">
        <w:rPr>
          <w:color w:val="000000"/>
        </w:rPr>
        <w:tab/>
      </w:r>
      <w:r w:rsidR="000E2A99" w:rsidRPr="00291A7A">
        <w:rPr>
          <w:i/>
          <w:color w:val="000000"/>
        </w:rPr>
        <w:t>Stratégie de coordination intersectorielle</w:t>
      </w:r>
      <w:r w:rsidR="000E2A99" w:rsidRPr="00291A7A">
        <w:rPr>
          <w:color w:val="000000"/>
        </w:rPr>
        <w:t xml:space="preserve">: le Secrétariat a poursuivi les efforts </w:t>
      </w:r>
      <w:r w:rsidR="0013108A" w:rsidRPr="00291A7A">
        <w:rPr>
          <w:color w:val="000000"/>
        </w:rPr>
        <w:t>destinés</w:t>
      </w:r>
      <w:r w:rsidR="000E2A99" w:rsidRPr="00291A7A">
        <w:rPr>
          <w:color w:val="000000"/>
        </w:rPr>
        <w:t xml:space="preserve"> à améliorer davantage le modèle actuel, en se concentrant sur les domaines thématiques communs, comme il ressort du rapport annuel de l'UIT (Document </w:t>
      </w:r>
      <w:hyperlink r:id="rId14" w:history="1">
        <w:r w:rsidR="000E2A99" w:rsidRPr="00291A7A">
          <w:rPr>
            <w:rStyle w:val="Hyperlink"/>
          </w:rPr>
          <w:t>C21/35</w:t>
        </w:r>
      </w:hyperlink>
      <w:r w:rsidR="000E2A99" w:rsidRPr="00291A7A">
        <w:rPr>
          <w:color w:val="000000"/>
        </w:rPr>
        <w:t xml:space="preserve">); </w:t>
      </w:r>
      <w:r w:rsidR="0013108A" w:rsidRPr="00291A7A">
        <w:rPr>
          <w:color w:val="000000"/>
        </w:rPr>
        <w:t>ainsi qu'</w:t>
      </w:r>
      <w:r w:rsidR="000E2A99" w:rsidRPr="00291A7A">
        <w:rPr>
          <w:color w:val="000000"/>
        </w:rPr>
        <w:t xml:space="preserve">à </w:t>
      </w:r>
      <w:r w:rsidR="00C81A8E" w:rsidRPr="00291A7A">
        <w:rPr>
          <w:color w:val="000000"/>
        </w:rPr>
        <w:t xml:space="preserve">assurer la </w:t>
      </w:r>
      <w:r w:rsidR="000E2A99" w:rsidRPr="00291A7A">
        <w:rPr>
          <w:color w:val="000000"/>
        </w:rPr>
        <w:t xml:space="preserve">coordination avec </w:t>
      </w:r>
      <w:r w:rsidR="00C81A8E" w:rsidRPr="00291A7A">
        <w:rPr>
          <w:color w:val="000000"/>
        </w:rPr>
        <w:t xml:space="preserve">le </w:t>
      </w:r>
      <w:r w:rsidR="000E2A99" w:rsidRPr="00291A7A">
        <w:rPr>
          <w:color w:val="000000"/>
        </w:rPr>
        <w:t xml:space="preserve">Groupe ISCG, </w:t>
      </w:r>
      <w:r w:rsidR="0013108A" w:rsidRPr="00291A7A">
        <w:rPr>
          <w:color w:val="000000"/>
        </w:rPr>
        <w:t xml:space="preserve">en identifiant </w:t>
      </w:r>
      <w:r w:rsidR="000E2A99" w:rsidRPr="00291A7A">
        <w:rPr>
          <w:color w:val="000000"/>
        </w:rPr>
        <w:t xml:space="preserve">des "thèmes" pour lesquels tous les acteurs pourraient contribuer et œuvrer ensemble à </w:t>
      </w:r>
      <w:r w:rsidR="00DF4030" w:rsidRPr="00291A7A">
        <w:rPr>
          <w:color w:val="000000"/>
        </w:rPr>
        <w:t>proposer</w:t>
      </w:r>
      <w:r w:rsidR="000E2A99" w:rsidRPr="00291A7A">
        <w:rPr>
          <w:color w:val="000000"/>
        </w:rPr>
        <w:t xml:space="preserve"> des méthodes de collaboration renforcée (des informations connexes sont présentées dans la partie sur le Groupe ISCG ci</w:t>
      </w:r>
      <w:r w:rsidR="000E2A99" w:rsidRPr="00291A7A">
        <w:rPr>
          <w:color w:val="000000"/>
        </w:rPr>
        <w:noBreakHyphen/>
        <w:t>dessous).</w:t>
      </w:r>
    </w:p>
    <w:p w14:paraId="5063EBE4" w14:textId="24E8A404" w:rsidR="00667469" w:rsidRPr="00291A7A" w:rsidRDefault="00667469" w:rsidP="00A674C5">
      <w:pPr>
        <w:pStyle w:val="enumlev1"/>
      </w:pPr>
      <w:r w:rsidRPr="00291A7A">
        <w:rPr>
          <w:color w:val="000000"/>
        </w:rPr>
        <w:t>–</w:t>
      </w:r>
      <w:r w:rsidRPr="00291A7A">
        <w:rPr>
          <w:color w:val="000000"/>
        </w:rPr>
        <w:tab/>
      </w:r>
      <w:r w:rsidR="000E2A99" w:rsidRPr="00291A7A">
        <w:rPr>
          <w:i/>
          <w:iCs/>
        </w:rPr>
        <w:t>Mécanismes de coordination intersectorielle pour faire face à l'épidémie de COVID-</w:t>
      </w:r>
      <w:proofErr w:type="gramStart"/>
      <w:r w:rsidR="000E2A99" w:rsidRPr="00291A7A">
        <w:rPr>
          <w:i/>
          <w:iCs/>
        </w:rPr>
        <w:t>19:</w:t>
      </w:r>
      <w:proofErr w:type="gramEnd"/>
    </w:p>
    <w:p w14:paraId="7CF667F0" w14:textId="54FEAB3E" w:rsidR="00B32131" w:rsidRPr="00291A7A" w:rsidRDefault="00B32131" w:rsidP="00A674C5">
      <w:pPr>
        <w:pStyle w:val="enumlev2"/>
      </w:pPr>
      <w:r w:rsidRPr="00291A7A">
        <w:t>a)</w:t>
      </w:r>
      <w:r w:rsidRPr="00291A7A">
        <w:tab/>
      </w:r>
      <w:r w:rsidR="000E2A99" w:rsidRPr="00291A7A">
        <w:rPr>
          <w:color w:val="000000"/>
        </w:rPr>
        <w:t xml:space="preserve">Le groupe intersectoriel sur les activités liées à l'épidémie de COVID, appelé "équipe d'intervention COVID de l'UIT", a poursuivi ses travaux </w:t>
      </w:r>
      <w:r w:rsidR="00C82BD7" w:rsidRPr="00291A7A">
        <w:rPr>
          <w:color w:val="000000"/>
        </w:rPr>
        <w:t xml:space="preserve">visant à échanger des </w:t>
      </w:r>
      <w:r w:rsidR="000E2A99" w:rsidRPr="00291A7A">
        <w:rPr>
          <w:color w:val="000000"/>
        </w:rPr>
        <w:t xml:space="preserve">informations et </w:t>
      </w:r>
      <w:r w:rsidR="00C82BD7" w:rsidRPr="00291A7A">
        <w:rPr>
          <w:color w:val="000000"/>
        </w:rPr>
        <w:t>à coordonner les</w:t>
      </w:r>
      <w:r w:rsidR="000E2A99" w:rsidRPr="00291A7A">
        <w:rPr>
          <w:color w:val="000000"/>
        </w:rPr>
        <w:t xml:space="preserve"> activités entr</w:t>
      </w:r>
      <w:r w:rsidR="00C82BD7" w:rsidRPr="00291A7A">
        <w:rPr>
          <w:color w:val="000000"/>
        </w:rPr>
        <w:t>e</w:t>
      </w:r>
      <w:r w:rsidR="000E2A99" w:rsidRPr="00291A7A">
        <w:rPr>
          <w:color w:val="000000"/>
        </w:rPr>
        <w:t xml:space="preserve"> les trois Secteurs et le Secrétariat général. Une section complète dédiée aux activités/mesures liées au COVID-19 figure dans le Document C21/35.</w:t>
      </w:r>
    </w:p>
    <w:p w14:paraId="209DCDEE" w14:textId="06422703" w:rsidR="00B32131" w:rsidRPr="00291A7A" w:rsidRDefault="00B32131" w:rsidP="00A674C5">
      <w:pPr>
        <w:pStyle w:val="enumlev2"/>
      </w:pPr>
      <w:r w:rsidRPr="00291A7A">
        <w:t>b)</w:t>
      </w:r>
      <w:r w:rsidRPr="00291A7A">
        <w:tab/>
      </w:r>
      <w:r w:rsidR="000E2A99" w:rsidRPr="00291A7A">
        <w:rPr>
          <w:iCs/>
          <w:color w:val="000000"/>
        </w:rPr>
        <w:t>Le groupe intersectoriel sur la coordination des réunions virtuelles et de la participation à distance a tenu plusieurs réunions et élaboré un document exhaustif intitulé "</w:t>
      </w:r>
      <w:r w:rsidR="000E2A99" w:rsidRPr="00291A7A">
        <w:rPr>
          <w:color w:val="000000"/>
        </w:rPr>
        <w:t>Lignes directrices et bonnes pratiques pour les manifestations virtuelles et la participation à distance", qui contient notamment des recommandations concernant la plate-forme à utiliser en fonction du type de réunion de l'UIT.</w:t>
      </w:r>
    </w:p>
    <w:p w14:paraId="058B5567" w14:textId="179BC203" w:rsidR="00785073" w:rsidRPr="00291A7A" w:rsidRDefault="00785073" w:rsidP="00A674C5">
      <w:pPr>
        <w:pStyle w:val="enumlev1"/>
      </w:pPr>
      <w:r w:rsidRPr="00291A7A">
        <w:rPr>
          <w:i/>
          <w:iCs/>
        </w:rPr>
        <w:t>–</w:t>
      </w:r>
      <w:r w:rsidRPr="00291A7A">
        <w:rPr>
          <w:i/>
          <w:iCs/>
        </w:rPr>
        <w:tab/>
      </w:r>
      <w:r w:rsidR="000E2A99" w:rsidRPr="00291A7A">
        <w:rPr>
          <w:i/>
          <w:iCs/>
          <w:color w:val="000000"/>
        </w:rPr>
        <w:t xml:space="preserve">Site web des </w:t>
      </w:r>
      <w:proofErr w:type="gramStart"/>
      <w:r w:rsidR="000E2A99" w:rsidRPr="00291A7A">
        <w:rPr>
          <w:i/>
          <w:iCs/>
          <w:color w:val="000000"/>
        </w:rPr>
        <w:t>manifestations</w:t>
      </w:r>
      <w:r w:rsidR="000E2A99" w:rsidRPr="00291A7A">
        <w:rPr>
          <w:color w:val="000000"/>
        </w:rPr>
        <w:t>:</w:t>
      </w:r>
      <w:proofErr w:type="gramEnd"/>
      <w:r w:rsidR="000E2A99" w:rsidRPr="00291A7A">
        <w:rPr>
          <w:color w:val="000000"/>
        </w:rPr>
        <w:t xml:space="preserve"> le </w:t>
      </w:r>
      <w:hyperlink r:id="rId15" w:history="1">
        <w:r w:rsidR="000E2A99" w:rsidRPr="00291A7A">
          <w:rPr>
            <w:rStyle w:val="Hyperlink"/>
          </w:rPr>
          <w:t>portail des manifestations</w:t>
        </w:r>
      </w:hyperlink>
      <w:r w:rsidR="000E2A99" w:rsidRPr="00291A7A">
        <w:rPr>
          <w:color w:val="000000"/>
        </w:rPr>
        <w:t xml:space="preserve"> a été mis à jour et les manifestations virtuelles de l'UIT ouvertes au public ont été optimisées.</w:t>
      </w:r>
    </w:p>
    <w:p w14:paraId="4D57F2BC" w14:textId="2629DC5E" w:rsidR="00785073" w:rsidRPr="00291A7A" w:rsidRDefault="00785073" w:rsidP="00A674C5">
      <w:pPr>
        <w:pStyle w:val="enumlev1"/>
      </w:pPr>
      <w:r w:rsidRPr="00291A7A">
        <w:rPr>
          <w:i/>
          <w:iCs/>
        </w:rPr>
        <w:t>–</w:t>
      </w:r>
      <w:r w:rsidRPr="00291A7A">
        <w:rPr>
          <w:i/>
          <w:iCs/>
        </w:rPr>
        <w:tab/>
      </w:r>
      <w:r w:rsidR="000E2A99" w:rsidRPr="00291A7A">
        <w:rPr>
          <w:i/>
          <w:iCs/>
        </w:rPr>
        <w:t xml:space="preserve">Pages web par thème/domaine de </w:t>
      </w:r>
      <w:proofErr w:type="gramStart"/>
      <w:r w:rsidR="000E2A99" w:rsidRPr="00291A7A">
        <w:rPr>
          <w:i/>
          <w:iCs/>
        </w:rPr>
        <w:t>travail</w:t>
      </w:r>
      <w:r w:rsidR="000E2A99" w:rsidRPr="00291A7A">
        <w:t>:</w:t>
      </w:r>
      <w:proofErr w:type="gramEnd"/>
      <w:r w:rsidR="000E2A99" w:rsidRPr="00291A7A">
        <w:t xml:space="preserve"> les pages consacrées aux thèmes "</w:t>
      </w:r>
      <w:hyperlink r:id="rId16" w:history="1">
        <w:r w:rsidR="000E2A99" w:rsidRPr="00291A7A">
          <w:rPr>
            <w:rStyle w:val="Hyperlink"/>
          </w:rPr>
          <w:t>Environnement et changements climatiques</w:t>
        </w:r>
      </w:hyperlink>
      <w:r w:rsidR="000E2A99" w:rsidRPr="00291A7A">
        <w:t>" et "</w:t>
      </w:r>
      <w:hyperlink r:id="rId17" w:history="1">
        <w:r w:rsidR="000E2A99" w:rsidRPr="00291A7A">
          <w:rPr>
            <w:rStyle w:val="Hyperlink"/>
          </w:rPr>
          <w:t>Télécommunications d'urgence</w:t>
        </w:r>
      </w:hyperlink>
      <w:r w:rsidR="000E2A99" w:rsidRPr="00291A7A">
        <w:t>" ont été mises à jour et regroupent toutes les informations pertinentes relatives aux activités correspondantes menées à l'échelle de l'UIT.</w:t>
      </w:r>
    </w:p>
    <w:p w14:paraId="4207F77B" w14:textId="436877B1" w:rsidR="00785073" w:rsidRPr="00291A7A" w:rsidRDefault="00785073" w:rsidP="00A674C5">
      <w:pPr>
        <w:pStyle w:val="enumlev1"/>
      </w:pPr>
      <w:r w:rsidRPr="00291A7A">
        <w:rPr>
          <w:i/>
          <w:iCs/>
        </w:rPr>
        <w:t>–</w:t>
      </w:r>
      <w:r w:rsidRPr="00291A7A">
        <w:rPr>
          <w:i/>
          <w:iCs/>
        </w:rPr>
        <w:tab/>
      </w:r>
      <w:proofErr w:type="gramStart"/>
      <w:r w:rsidR="00D462CA" w:rsidRPr="00291A7A">
        <w:rPr>
          <w:i/>
          <w:iCs/>
        </w:rPr>
        <w:t>Accessibilité:</w:t>
      </w:r>
      <w:proofErr w:type="gramEnd"/>
      <w:r w:rsidR="00D462CA" w:rsidRPr="00291A7A">
        <w:rPr>
          <w:i/>
          <w:iCs/>
        </w:rPr>
        <w:t xml:space="preserve"> </w:t>
      </w:r>
      <w:r w:rsidR="00D462CA" w:rsidRPr="00291A7A">
        <w:t>la politique de l'UIT en matière d'accessibilité est en cours d'examen, et un</w:t>
      </w:r>
      <w:r w:rsidR="00533634" w:rsidRPr="00291A7A">
        <w:t>e</w:t>
      </w:r>
      <w:r w:rsidR="00D462CA" w:rsidRPr="00291A7A">
        <w:t xml:space="preserve"> stratégie en matière d'accessibilité ainsi qu'un </w:t>
      </w:r>
      <w:r w:rsidR="00F95525" w:rsidRPr="00291A7A">
        <w:t>programme</w:t>
      </w:r>
      <w:r w:rsidR="00D462CA" w:rsidRPr="00291A7A">
        <w:t xml:space="preserve"> de travail pour 2021-2022 ont été élaborés. De plus, </w:t>
      </w:r>
      <w:r w:rsidR="00F35048" w:rsidRPr="00291A7A">
        <w:t>le Groupe spécial ISC-TF coord</w:t>
      </w:r>
      <w:r w:rsidR="00EF3CB9" w:rsidRPr="00291A7A">
        <w:t xml:space="preserve">onnera </w:t>
      </w:r>
      <w:r w:rsidR="00D462CA" w:rsidRPr="00291A7A">
        <w:t xml:space="preserve">un essai sur l'accessibilité </w:t>
      </w:r>
      <w:r w:rsidR="00F35048" w:rsidRPr="00291A7A">
        <w:t xml:space="preserve">dans le cadre des </w:t>
      </w:r>
      <w:r w:rsidR="00D462CA" w:rsidRPr="00291A7A">
        <w:t>réunions virtuelles</w:t>
      </w:r>
      <w:r w:rsidR="005F49ED" w:rsidRPr="00291A7A">
        <w:t>,</w:t>
      </w:r>
      <w:r w:rsidR="00D462CA" w:rsidRPr="00291A7A">
        <w:t xml:space="preserve"> compte tenu de l'expérience de l'UIT-T.</w:t>
      </w:r>
    </w:p>
    <w:p w14:paraId="46ADF3B6" w14:textId="2D179B53" w:rsidR="00785073" w:rsidRPr="00291A7A" w:rsidRDefault="00785073" w:rsidP="00A674C5">
      <w:pPr>
        <w:pStyle w:val="enumlev1"/>
      </w:pPr>
      <w:r w:rsidRPr="00291A7A">
        <w:rPr>
          <w:i/>
          <w:iCs/>
        </w:rPr>
        <w:t>–</w:t>
      </w:r>
      <w:r w:rsidRPr="00291A7A">
        <w:rPr>
          <w:i/>
          <w:iCs/>
        </w:rPr>
        <w:tab/>
      </w:r>
      <w:proofErr w:type="gramStart"/>
      <w:r w:rsidR="00D462CA" w:rsidRPr="00291A7A">
        <w:rPr>
          <w:i/>
          <w:iCs/>
        </w:rPr>
        <w:t>Multilinguisme</w:t>
      </w:r>
      <w:r w:rsidR="00D462CA" w:rsidRPr="00291A7A">
        <w:t>:</w:t>
      </w:r>
      <w:proofErr w:type="gramEnd"/>
      <w:r w:rsidR="00D462CA" w:rsidRPr="00291A7A">
        <w:t xml:space="preserve"> ce groupe thématique a été créé en 2020 et élabore actuellement un tableau de mise en correspondance des mandats et des recommandations</w:t>
      </w:r>
      <w:r w:rsidR="00533634" w:rsidRPr="00291A7A">
        <w:t>,</w:t>
      </w:r>
      <w:r w:rsidR="00D462CA" w:rsidRPr="00291A7A">
        <w:t xml:space="preserve"> à partir des différents documents </w:t>
      </w:r>
      <w:r w:rsidR="00912E65" w:rsidRPr="00291A7A">
        <w:t>établis à la suite des</w:t>
      </w:r>
      <w:r w:rsidR="00D462CA" w:rsidRPr="00291A7A">
        <w:t xml:space="preserve"> recommandations de travail formulées par l'Organisation des Nations Unies (ONU) concernant le multilinguisme, l'objectif étant d'élaborer un plan d'action détaillé. Un rapport a été présenté au Groupe de travail du Conseil sur l'utilisation des langues (GTC-LANG) en février 2021.</w:t>
      </w:r>
      <w:r w:rsidRPr="00291A7A">
        <w:t xml:space="preserve"> </w:t>
      </w:r>
    </w:p>
    <w:p w14:paraId="1A6B78A4" w14:textId="0AC83714" w:rsidR="00785073" w:rsidRPr="00291A7A" w:rsidRDefault="00785073" w:rsidP="00A674C5">
      <w:pPr>
        <w:pStyle w:val="enumlev1"/>
      </w:pPr>
      <w:r w:rsidRPr="00291A7A">
        <w:rPr>
          <w:i/>
          <w:iCs/>
        </w:rPr>
        <w:t>–</w:t>
      </w:r>
      <w:r w:rsidRPr="00291A7A">
        <w:rPr>
          <w:i/>
          <w:iCs/>
        </w:rPr>
        <w:tab/>
      </w:r>
      <w:r w:rsidR="00D462CA" w:rsidRPr="00291A7A">
        <w:rPr>
          <w:i/>
          <w:iCs/>
        </w:rPr>
        <w:t xml:space="preserve">Corps commun d'inspection (CCI) des Nations </w:t>
      </w:r>
      <w:proofErr w:type="gramStart"/>
      <w:r w:rsidR="00D462CA" w:rsidRPr="00291A7A">
        <w:rPr>
          <w:i/>
          <w:iCs/>
        </w:rPr>
        <w:t>Unies:</w:t>
      </w:r>
      <w:proofErr w:type="gramEnd"/>
      <w:r w:rsidR="00D462CA" w:rsidRPr="00291A7A">
        <w:rPr>
          <w:i/>
          <w:iCs/>
        </w:rPr>
        <w:t xml:space="preserve"> </w:t>
      </w:r>
      <w:r w:rsidR="00D462CA" w:rsidRPr="00291A7A">
        <w:t xml:space="preserve">le </w:t>
      </w:r>
      <w:r w:rsidR="00533634" w:rsidRPr="00291A7A">
        <w:t>G</w:t>
      </w:r>
      <w:r w:rsidR="00D462CA" w:rsidRPr="00291A7A">
        <w:t>roupe spécia</w:t>
      </w:r>
      <w:r w:rsidR="006D6D13" w:rsidRPr="00291A7A">
        <w:t>l</w:t>
      </w:r>
      <w:r w:rsidR="00D462CA" w:rsidRPr="00291A7A">
        <w:t xml:space="preserve"> </w:t>
      </w:r>
      <w:r w:rsidR="00533634" w:rsidRPr="00291A7A">
        <w:t xml:space="preserve">ISC-TF </w:t>
      </w:r>
      <w:r w:rsidR="00D462CA" w:rsidRPr="00291A7A">
        <w:t>est convenu de soumettre le Rap</w:t>
      </w:r>
      <w:r w:rsidR="00EA3DA8" w:rsidRPr="00291A7A">
        <w:t>p</w:t>
      </w:r>
      <w:r w:rsidR="00D462CA" w:rsidRPr="00291A7A">
        <w:t xml:space="preserve">ort du CCI au GTC-FHR, lequel soumet des rapports au Conseil, et d'examiner les recommandations </w:t>
      </w:r>
      <w:r w:rsidR="00F35779" w:rsidRPr="00291A7A">
        <w:t>précises</w:t>
      </w:r>
      <w:r w:rsidR="00D462CA" w:rsidRPr="00291A7A">
        <w:t xml:space="preserve"> dans le cadre des discussions de chacun des groupes thématiques compétents.</w:t>
      </w:r>
      <w:r w:rsidRPr="00291A7A">
        <w:t xml:space="preserve"> </w:t>
      </w:r>
    </w:p>
    <w:p w14:paraId="543CC158" w14:textId="77777777" w:rsidR="007165D0" w:rsidRPr="00291A7A" w:rsidRDefault="00667469" w:rsidP="00A674C5">
      <w:pPr>
        <w:pStyle w:val="enumlev1"/>
        <w:rPr>
          <w:color w:val="000000"/>
        </w:rPr>
      </w:pPr>
      <w:r w:rsidRPr="00291A7A">
        <w:t>–</w:t>
      </w:r>
      <w:r w:rsidRPr="00291A7A">
        <w:tab/>
      </w:r>
      <w:r w:rsidR="00D462CA" w:rsidRPr="00291A7A">
        <w:rPr>
          <w:i/>
          <w:iCs/>
        </w:rPr>
        <w:t xml:space="preserve">Cadre de l'UIT relatif à la gestion des </w:t>
      </w:r>
      <w:proofErr w:type="gramStart"/>
      <w:r w:rsidR="00D462CA" w:rsidRPr="00291A7A">
        <w:rPr>
          <w:i/>
          <w:iCs/>
        </w:rPr>
        <w:t>risques</w:t>
      </w:r>
      <w:r w:rsidR="00D462CA" w:rsidRPr="00291A7A">
        <w:t>:</w:t>
      </w:r>
      <w:proofErr w:type="gramEnd"/>
      <w:r w:rsidR="00D462CA" w:rsidRPr="00291A7A">
        <w:t xml:space="preserve"> </w:t>
      </w:r>
      <w:r w:rsidR="00D462CA" w:rsidRPr="00291A7A">
        <w:rPr>
          <w:color w:val="000000"/>
        </w:rPr>
        <w:t>sous la supervision du Groupe</w:t>
      </w:r>
      <w:r w:rsidR="004A28C4" w:rsidRPr="00291A7A">
        <w:rPr>
          <w:color w:val="000000"/>
        </w:rPr>
        <w:t xml:space="preserve"> </w:t>
      </w:r>
      <w:r w:rsidR="006D6D13" w:rsidRPr="00291A7A">
        <w:rPr>
          <w:color w:val="000000"/>
        </w:rPr>
        <w:t xml:space="preserve">spécial </w:t>
      </w:r>
      <w:r w:rsidR="004A28C4" w:rsidRPr="00291A7A">
        <w:rPr>
          <w:color w:val="000000"/>
        </w:rPr>
        <w:t>ISC-TF</w:t>
      </w:r>
      <w:r w:rsidR="00D462CA" w:rsidRPr="00291A7A">
        <w:rPr>
          <w:color w:val="000000"/>
        </w:rPr>
        <w:t>, le plan d'action visant à renforcer le cadre de l'UIT relatif à la gestion des risques a été mis en œuvre avec succès, ce qui a permis de procéder à des améliorations en vue d'évaluer et de superviser les mécanismes de contrôle interne aux fins d'une supervision davantage efficace</w:t>
      </w:r>
      <w:r w:rsidR="006D6D13" w:rsidRPr="00291A7A">
        <w:rPr>
          <w:color w:val="000000"/>
        </w:rPr>
        <w:t>,</w:t>
      </w:r>
      <w:r w:rsidR="00D462CA" w:rsidRPr="00291A7A">
        <w:rPr>
          <w:color w:val="000000"/>
        </w:rPr>
        <w:t xml:space="preserve"> </w:t>
      </w:r>
      <w:r w:rsidR="007165D0" w:rsidRPr="00291A7A">
        <w:rPr>
          <w:color w:val="000000"/>
        </w:rPr>
        <w:br w:type="page"/>
      </w:r>
    </w:p>
    <w:p w14:paraId="245D65C4" w14:textId="39D2393E" w:rsidR="00667469" w:rsidRPr="00291A7A" w:rsidRDefault="007165D0" w:rsidP="00A674C5">
      <w:pPr>
        <w:pStyle w:val="enumlev1"/>
        <w:rPr>
          <w:color w:val="000000"/>
        </w:rPr>
      </w:pPr>
      <w:r w:rsidRPr="00291A7A">
        <w:rPr>
          <w:color w:val="000000"/>
        </w:rPr>
        <w:lastRenderedPageBreak/>
        <w:tab/>
      </w:r>
      <w:proofErr w:type="gramStart"/>
      <w:r w:rsidR="00D462CA" w:rsidRPr="00291A7A">
        <w:rPr>
          <w:color w:val="000000"/>
        </w:rPr>
        <w:t>et</w:t>
      </w:r>
      <w:proofErr w:type="gramEnd"/>
      <w:r w:rsidR="00D462CA" w:rsidRPr="00291A7A">
        <w:rPr>
          <w:color w:val="000000"/>
        </w:rPr>
        <w:t xml:space="preserve"> de mettre en œuvre les recommandations en la matière du CCIG ainsi que les conditions définies par le CCI concernant la gestion des risques (le </w:t>
      </w:r>
      <w:hyperlink r:id="rId18" w:history="1">
        <w:r w:rsidR="00D462CA" w:rsidRPr="00291A7A">
          <w:rPr>
            <w:rStyle w:val="Hyperlink"/>
          </w:rPr>
          <w:t>Document C21/61</w:t>
        </w:r>
      </w:hyperlink>
      <w:r w:rsidR="00D462CA" w:rsidRPr="00291A7A">
        <w:rPr>
          <w:color w:val="000000"/>
        </w:rPr>
        <w:t xml:space="preserve"> </w:t>
      </w:r>
      <w:r w:rsidR="00667469" w:rsidRPr="00291A7A">
        <w:rPr>
          <w:color w:val="000000"/>
        </w:rPr>
        <w:t xml:space="preserve">contient </w:t>
      </w:r>
      <w:r w:rsidR="00D462CA" w:rsidRPr="00291A7A">
        <w:rPr>
          <w:color w:val="000000"/>
        </w:rPr>
        <w:t>des informations détaillées à ce propos)</w:t>
      </w:r>
      <w:r w:rsidR="00667469" w:rsidRPr="00291A7A">
        <w:rPr>
          <w:color w:val="000000"/>
        </w:rPr>
        <w:t>.</w:t>
      </w:r>
    </w:p>
    <w:p w14:paraId="1A03C130" w14:textId="0840984D" w:rsidR="00460924" w:rsidRPr="00291A7A" w:rsidRDefault="00667469" w:rsidP="00A674C5">
      <w:pPr>
        <w:pStyle w:val="enumlev1"/>
      </w:pPr>
      <w:r w:rsidRPr="00291A7A">
        <w:rPr>
          <w:color w:val="000000"/>
        </w:rPr>
        <w:t>–</w:t>
      </w:r>
      <w:r w:rsidRPr="00291A7A">
        <w:rPr>
          <w:color w:val="000000"/>
        </w:rPr>
        <w:tab/>
      </w:r>
      <w:r w:rsidR="00D11111" w:rsidRPr="00291A7A">
        <w:rPr>
          <w:i/>
          <w:iCs/>
          <w:color w:val="000000"/>
        </w:rPr>
        <w:t xml:space="preserve">Tableau de bord de la conformité de </w:t>
      </w:r>
      <w:proofErr w:type="gramStart"/>
      <w:r w:rsidR="00D11111" w:rsidRPr="00291A7A">
        <w:rPr>
          <w:i/>
          <w:iCs/>
          <w:color w:val="000000"/>
        </w:rPr>
        <w:t>l'UIT:</w:t>
      </w:r>
      <w:proofErr w:type="gramEnd"/>
      <w:r w:rsidR="00D11111" w:rsidRPr="00291A7A">
        <w:rPr>
          <w:i/>
          <w:iCs/>
          <w:color w:val="000000"/>
        </w:rPr>
        <w:t xml:space="preserve"> </w:t>
      </w:r>
      <w:r w:rsidR="00D11111" w:rsidRPr="00291A7A">
        <w:rPr>
          <w:color w:val="000000"/>
        </w:rPr>
        <w:t xml:space="preserve">la direction de l'UIT a décidé de créer un tableau de bord de la conformité </w:t>
      </w:r>
      <w:r w:rsidR="008D6195" w:rsidRPr="00291A7A">
        <w:rPr>
          <w:color w:val="000000"/>
        </w:rPr>
        <w:t xml:space="preserve">de l'Union </w:t>
      </w:r>
      <w:r w:rsidR="00D11111" w:rsidRPr="00291A7A">
        <w:rPr>
          <w:color w:val="000000"/>
        </w:rPr>
        <w:t xml:space="preserve">sur la base des recommandations du Vérificateur extérieur des comptes, du CCIG, du CCI et de l'Unité de l'audit interne. Cet outil permet à la direction de l'UIT et aux organes de contrôle (Unité de l'audit interne, Vérificateur extérieur des comptes et CCIG) d'avoir une vision claire des recommandations en cours et de disposer de renseignements en temps réel sur les progrès accomplis concernant leur mise en œuvre ou l'atténuation des risques résiduels. Ce tableau de bord vient compléter le registre des risques de l'UIT </w:t>
      </w:r>
      <w:r w:rsidR="005D6BF0" w:rsidRPr="00291A7A">
        <w:rPr>
          <w:color w:val="000000"/>
        </w:rPr>
        <w:t>en ce qu'il permet d'évaluer tous</w:t>
      </w:r>
      <w:r w:rsidR="00D11111" w:rsidRPr="00291A7A">
        <w:rPr>
          <w:color w:val="000000"/>
        </w:rPr>
        <w:t xml:space="preserve"> les risques liés aux recommandations en suspens. On trouvera davantage de renseignements sur cet outil dans le Document d'information </w:t>
      </w:r>
      <w:hyperlink r:id="rId19" w:history="1">
        <w:r w:rsidR="00460924" w:rsidRPr="00291A7A">
          <w:rPr>
            <w:rStyle w:val="Hyperlink"/>
          </w:rPr>
          <w:t>C21/INF/11</w:t>
        </w:r>
      </w:hyperlink>
      <w:r w:rsidR="00460924" w:rsidRPr="00291A7A">
        <w:t>.</w:t>
      </w:r>
    </w:p>
    <w:p w14:paraId="7915E6F7" w14:textId="1EF22E10" w:rsidR="00460924" w:rsidRPr="00291A7A" w:rsidRDefault="00460924" w:rsidP="00A674C5">
      <w:pPr>
        <w:pStyle w:val="enumlev1"/>
      </w:pPr>
      <w:r w:rsidRPr="00291A7A">
        <w:t>–</w:t>
      </w:r>
      <w:r w:rsidRPr="00291A7A">
        <w:tab/>
      </w:r>
      <w:r w:rsidR="00EB2D62" w:rsidRPr="00291A7A">
        <w:rPr>
          <w:i/>
          <w:iCs/>
          <w:color w:val="000000"/>
        </w:rPr>
        <w:t xml:space="preserve">Participation des </w:t>
      </w:r>
      <w:r w:rsidR="000257B0" w:rsidRPr="00291A7A">
        <w:rPr>
          <w:i/>
          <w:iCs/>
          <w:color w:val="000000"/>
        </w:rPr>
        <w:t>m</w:t>
      </w:r>
      <w:r w:rsidR="00D11111" w:rsidRPr="00291A7A">
        <w:rPr>
          <w:i/>
          <w:iCs/>
          <w:color w:val="000000"/>
        </w:rPr>
        <w:t xml:space="preserve">embres, mobilisation des ressources et </w:t>
      </w:r>
      <w:proofErr w:type="gramStart"/>
      <w:r w:rsidR="00D11111" w:rsidRPr="00291A7A">
        <w:rPr>
          <w:i/>
          <w:iCs/>
          <w:color w:val="000000"/>
        </w:rPr>
        <w:t>PME</w:t>
      </w:r>
      <w:r w:rsidRPr="00291A7A">
        <w:t>:</w:t>
      </w:r>
      <w:proofErr w:type="gramEnd"/>
      <w:r w:rsidRPr="00291A7A">
        <w:t xml:space="preserve"> </w:t>
      </w:r>
      <w:r w:rsidR="004A28C4" w:rsidRPr="00291A7A">
        <w:t>d</w:t>
      </w:r>
      <w:r w:rsidR="00430D5A" w:rsidRPr="00291A7A">
        <w:t xml:space="preserve">es techniques de marketing numérique et de nouvelles plates-formes, y compris le lancement de "MyITU", ont été mises à profit avec succès afin d'atteindre un nouveau public de </w:t>
      </w:r>
      <w:r w:rsidR="00C005E9" w:rsidRPr="00291A7A">
        <w:t xml:space="preserve">professionnels </w:t>
      </w:r>
      <w:r w:rsidR="00CE76F4" w:rsidRPr="00291A7A">
        <w:t>et d'élargir les perspectives</w:t>
      </w:r>
      <w:r w:rsidR="00430D5A" w:rsidRPr="00291A7A">
        <w:t xml:space="preserve"> d'adhésion à l'UIT.</w:t>
      </w:r>
      <w:r w:rsidRPr="00291A7A">
        <w:t xml:space="preserve"> </w:t>
      </w:r>
      <w:r w:rsidR="00430D5A" w:rsidRPr="00291A7A">
        <w:t>Le</w:t>
      </w:r>
      <w:r w:rsidR="008104B1" w:rsidRPr="00291A7A">
        <w:t xml:space="preserve"> Groupe</w:t>
      </w:r>
      <w:r w:rsidR="00430D5A" w:rsidRPr="00291A7A">
        <w:t xml:space="preserve"> a également continué d'évaluer la participation des PME</w:t>
      </w:r>
      <w:r w:rsidR="004A28C4" w:rsidRPr="00291A7A">
        <w:t xml:space="preserve"> et a dénombré</w:t>
      </w:r>
      <w:r w:rsidR="00430D5A" w:rsidRPr="00291A7A">
        <w:t xml:space="preserve"> 23 nouvelles PME et 26 nouveaux établissements universitaires ayant rejoint l'UIT en 2020</w:t>
      </w:r>
      <w:r w:rsidRPr="00291A7A">
        <w:t>.</w:t>
      </w:r>
    </w:p>
    <w:p w14:paraId="5CAD9844" w14:textId="6A723B77" w:rsidR="00460924" w:rsidRPr="00291A7A" w:rsidRDefault="00460924" w:rsidP="00A674C5">
      <w:pPr>
        <w:pStyle w:val="enumlev1"/>
      </w:pPr>
      <w:r w:rsidRPr="00291A7A">
        <w:rPr>
          <w:i/>
          <w:iCs/>
        </w:rPr>
        <w:t>–</w:t>
      </w:r>
      <w:r w:rsidRPr="00291A7A">
        <w:rPr>
          <w:i/>
          <w:iCs/>
        </w:rPr>
        <w:tab/>
      </w:r>
      <w:r w:rsidR="00430D5A" w:rsidRPr="00291A7A">
        <w:rPr>
          <w:i/>
          <w:iCs/>
        </w:rPr>
        <w:t>Nouvelle initiative</w:t>
      </w:r>
      <w:r w:rsidRPr="00291A7A">
        <w:rPr>
          <w:i/>
          <w:iCs/>
        </w:rPr>
        <w:t>:</w:t>
      </w:r>
      <w:r w:rsidRPr="00291A7A">
        <w:t xml:space="preserve"> </w:t>
      </w:r>
      <w:r w:rsidR="00E27E88" w:rsidRPr="00291A7A">
        <w:t>en vue</w:t>
      </w:r>
      <w:r w:rsidR="003A757F" w:rsidRPr="00291A7A">
        <w:t xml:space="preserve"> de coordonner les efforts déployés, de renforcer l'efficacité et de réduire le nombre de thèmes/domaines de travail, le Groupe</w:t>
      </w:r>
      <w:r w:rsidR="008104B1" w:rsidRPr="00291A7A">
        <w:t xml:space="preserve"> spécial</w:t>
      </w:r>
      <w:r w:rsidR="003A757F" w:rsidRPr="00291A7A">
        <w:t xml:space="preserve"> </w:t>
      </w:r>
      <w:r w:rsidR="00E27E88" w:rsidRPr="00291A7A">
        <w:t xml:space="preserve">ISC-TF </w:t>
      </w:r>
      <w:r w:rsidR="003A757F" w:rsidRPr="00291A7A">
        <w:t xml:space="preserve">est convenu </w:t>
      </w:r>
      <w:r w:rsidR="003A26C8" w:rsidRPr="00291A7A">
        <w:t xml:space="preserve">de créer un groupe </w:t>
      </w:r>
      <w:r w:rsidR="00984D78" w:rsidRPr="00291A7A">
        <w:t xml:space="preserve">fédérateur </w:t>
      </w:r>
      <w:r w:rsidR="003A26C8" w:rsidRPr="00291A7A">
        <w:t>sur la transformation numérique, présidé par le Vice</w:t>
      </w:r>
      <w:r w:rsidR="007165D0" w:rsidRPr="00291A7A">
        <w:noBreakHyphen/>
      </w:r>
      <w:r w:rsidR="003A26C8" w:rsidRPr="00291A7A">
        <w:t>Secrétaire</w:t>
      </w:r>
      <w:r w:rsidR="007165D0" w:rsidRPr="00291A7A">
        <w:t> </w:t>
      </w:r>
      <w:r w:rsidR="003A26C8" w:rsidRPr="00291A7A">
        <w:t>Général,</w:t>
      </w:r>
      <w:r w:rsidR="003A757F" w:rsidRPr="00291A7A">
        <w:t xml:space="preserve"> </w:t>
      </w:r>
      <w:r w:rsidR="00E27E88" w:rsidRPr="00291A7A">
        <w:t>avec la participation des</w:t>
      </w:r>
      <w:r w:rsidR="003A26C8" w:rsidRPr="00291A7A">
        <w:t xml:space="preserve"> Adjoints aux Directeurs des trois Bureaux et </w:t>
      </w:r>
      <w:r w:rsidR="00E27E88" w:rsidRPr="00291A7A">
        <w:t>d</w:t>
      </w:r>
      <w:r w:rsidR="003A26C8" w:rsidRPr="00291A7A">
        <w:t xml:space="preserve">es Chefs des Départements du Secrétariat général, et d'autres acteurs si nécessaire, qui devrait </w:t>
      </w:r>
      <w:r w:rsidR="008104B1" w:rsidRPr="00291A7A">
        <w:t>couvrir</w:t>
      </w:r>
      <w:r w:rsidR="003A26C8" w:rsidRPr="00291A7A">
        <w:t xml:space="preserve"> </w:t>
      </w:r>
      <w:r w:rsidR="008104B1" w:rsidRPr="00291A7A">
        <w:t>l</w:t>
      </w:r>
      <w:r w:rsidR="003A26C8" w:rsidRPr="00291A7A">
        <w:t>es groupes et thèmes suivants: transformation numérique, participation à distance, nouveau site web de l'UIT et page de présentation des manifestations</w:t>
      </w:r>
      <w:r w:rsidRPr="00291A7A">
        <w:t>.</w:t>
      </w:r>
    </w:p>
    <w:p w14:paraId="1C08B86C" w14:textId="77777777" w:rsidR="00667469" w:rsidRPr="00291A7A" w:rsidRDefault="00667469" w:rsidP="00A674C5">
      <w:pPr>
        <w:pStyle w:val="Heading1"/>
      </w:pPr>
      <w:r w:rsidRPr="00291A7A">
        <w:t>3</w:t>
      </w:r>
      <w:r w:rsidRPr="00291A7A">
        <w:tab/>
        <w:t>Coordination avec les membres</w:t>
      </w:r>
    </w:p>
    <w:p w14:paraId="1597C906" w14:textId="77777777" w:rsidR="00667469" w:rsidRPr="00291A7A" w:rsidRDefault="00667469" w:rsidP="00A674C5">
      <w:pPr>
        <w:rPr>
          <w:color w:val="000000"/>
        </w:rPr>
      </w:pPr>
      <w:r w:rsidRPr="00291A7A">
        <w:t>3.1</w:t>
      </w:r>
      <w:r w:rsidRPr="00291A7A">
        <w:tab/>
      </w:r>
      <w:r w:rsidRPr="00291A7A">
        <w:rPr>
          <w:color w:val="000000"/>
        </w:rPr>
        <w:t xml:space="preserve">Le </w:t>
      </w:r>
      <w:hyperlink r:id="rId20" w:history="1">
        <w:r w:rsidRPr="00291A7A">
          <w:rPr>
            <w:rStyle w:val="Hyperlink"/>
          </w:rPr>
          <w:t xml:space="preserve">Groupe </w:t>
        </w:r>
        <w:r w:rsidRPr="00291A7A">
          <w:rPr>
            <w:rStyle w:val="Hyperlink"/>
            <w:rFonts w:asciiTheme="minorHAnsi" w:hAnsiTheme="minorHAnsi"/>
          </w:rPr>
          <w:t>de coordination intersectorielle</w:t>
        </w:r>
      </w:hyperlink>
      <w:r w:rsidRPr="00291A7A">
        <w:rPr>
          <w:rFonts w:asciiTheme="minorHAnsi" w:hAnsiTheme="minorHAnsi"/>
        </w:rPr>
        <w:t xml:space="preserve"> sur les questions d'intérêt mutuel (</w:t>
      </w:r>
      <w:r w:rsidRPr="00291A7A">
        <w:t xml:space="preserve">ISCG) </w:t>
      </w:r>
      <w:r w:rsidRPr="00291A7A">
        <w:rPr>
          <w:color w:val="000000"/>
        </w:rPr>
        <w:t>a été créé conjointement par le Groupe consultatif des radiocommunications (GCR), le Groupe consultatif de la normalisation des télécommunications (GCNT) et le Groupe consultatif pour le développement des télécommunications (GCDT).</w:t>
      </w:r>
    </w:p>
    <w:p w14:paraId="7B07B116" w14:textId="2304D971" w:rsidR="00667469" w:rsidRPr="00291A7A" w:rsidRDefault="00667469" w:rsidP="00A674C5">
      <w:r w:rsidRPr="00291A7A">
        <w:t>3.2</w:t>
      </w:r>
      <w:r w:rsidRPr="00291A7A">
        <w:tab/>
        <w:t>Le Groupe ISCG identifie les sujets communs aux trois Secteurs et au Secrétariat général, ou au niveau bilatéral, les sujets communs à l'UIT-D et à l'UIT-R ou l'UIT-T, et examine une liste actualisée (établie par le Secrétariat) énumérant les domaines intéressant les trois Secteurs et le Secrétariat général, conformément aux missions confiées par chaque assemblée ou conférence de l'UIT. Le Groupe ISCG identifie en outre les mécanismes propres à renforcer la coopération et les activités communes entre les trois Secteurs et le Secrétaire général</w:t>
      </w:r>
      <w:r w:rsidR="003A26C8" w:rsidRPr="00291A7A">
        <w:t>,</w:t>
      </w:r>
      <w:r w:rsidRPr="00291A7A">
        <w:t xml:space="preserve"> sur des questions d'intérêt mutuel.</w:t>
      </w:r>
    </w:p>
    <w:p w14:paraId="2DF3E7E2" w14:textId="3B6031A1" w:rsidR="00667469" w:rsidRPr="00291A7A" w:rsidRDefault="00460924" w:rsidP="00A674C5">
      <w:r w:rsidRPr="00291A7A">
        <w:t>3.3</w:t>
      </w:r>
      <w:r w:rsidRPr="00291A7A">
        <w:tab/>
      </w:r>
      <w:r w:rsidR="003A26C8" w:rsidRPr="00291A7A">
        <w:t xml:space="preserve">Le Groupe ISCG a organisé deux réunions depuis </w:t>
      </w:r>
      <w:r w:rsidR="008104B1" w:rsidRPr="00291A7A">
        <w:t>qu'il a soumis son</w:t>
      </w:r>
      <w:r w:rsidR="003A26C8" w:rsidRPr="00291A7A">
        <w:t xml:space="preserve"> dernier rapport à la session de 2020 du Conseil</w:t>
      </w:r>
      <w:r w:rsidR="00B85517" w:rsidRPr="00291A7A">
        <w:t>,</w:t>
      </w:r>
      <w:r w:rsidR="003A26C8" w:rsidRPr="00291A7A">
        <w:t xml:space="preserve"> et tiendra sa prochaine réunion le 1er septembre 2021. Le groupe a soumis des rapports aux groupes consultatifs des trois Secteurs durant cette période.</w:t>
      </w:r>
    </w:p>
    <w:p w14:paraId="7C44F037" w14:textId="77777777" w:rsidR="007165D0" w:rsidRPr="00291A7A" w:rsidRDefault="007165D0" w:rsidP="00A674C5">
      <w:r w:rsidRPr="00291A7A">
        <w:br w:type="page"/>
      </w:r>
    </w:p>
    <w:p w14:paraId="5AA7EB69" w14:textId="236F34AF" w:rsidR="00667469" w:rsidRPr="00291A7A" w:rsidRDefault="00667469" w:rsidP="00A674C5">
      <w:r w:rsidRPr="00291A7A">
        <w:lastRenderedPageBreak/>
        <w:t>3.</w:t>
      </w:r>
      <w:r w:rsidR="00460924" w:rsidRPr="00291A7A">
        <w:t>4</w:t>
      </w:r>
      <w:r w:rsidRPr="00291A7A">
        <w:tab/>
        <w:t xml:space="preserve">Les </w:t>
      </w:r>
      <w:r w:rsidR="00C76373" w:rsidRPr="00291A7A">
        <w:t>membres</w:t>
      </w:r>
      <w:r w:rsidRPr="00291A7A">
        <w:t xml:space="preserve"> du Groupe ISCG ont </w:t>
      </w:r>
      <w:r w:rsidR="00F95525" w:rsidRPr="00291A7A">
        <w:t>souscrit à</w:t>
      </w:r>
      <w:r w:rsidRPr="00291A7A">
        <w:t xml:space="preserve"> l'idée d'identifier des "thèmes" qui feraient l'objet d'une coordination intersectorielle, pour lesquels tous les acteurs (y compris les groupes consultatifs des Secteurs, les Commissions d'études de l'UIT-R, de l'UIT-T et de l'UIT-D, les conseillers des commissions d'études et le Secrétariat) contribueraient à définir des méthodes de collaboration renforcée, afin d'éviter les doublons et de faire des propositions pour la suite des travaux.</w:t>
      </w:r>
    </w:p>
    <w:p w14:paraId="1A8E5AD5" w14:textId="68FE5B24" w:rsidR="00F95525" w:rsidRPr="00291A7A" w:rsidRDefault="00460924" w:rsidP="00A674C5">
      <w:r w:rsidRPr="00291A7A">
        <w:t>3.5</w:t>
      </w:r>
      <w:r w:rsidRPr="00291A7A">
        <w:tab/>
      </w:r>
      <w:r w:rsidR="00F95525" w:rsidRPr="00291A7A">
        <w:t xml:space="preserve">En 2019, </w:t>
      </w:r>
      <w:r w:rsidR="00984D78" w:rsidRPr="00291A7A">
        <w:t xml:space="preserve">le </w:t>
      </w:r>
      <w:r w:rsidR="00667469" w:rsidRPr="00291A7A">
        <w:t xml:space="preserve">Groupe ISCG </w:t>
      </w:r>
      <w:r w:rsidR="00984D78" w:rsidRPr="00291A7A">
        <w:t xml:space="preserve">a </w:t>
      </w:r>
      <w:r w:rsidR="00667469" w:rsidRPr="00291A7A">
        <w:t xml:space="preserve">adopté "les changements climatiques" comme thème pilote pour lequel tous les Secteurs pourraient apporter leur </w:t>
      </w:r>
      <w:r w:rsidR="00984D78" w:rsidRPr="00291A7A">
        <w:t xml:space="preserve">contribution </w:t>
      </w:r>
      <w:r w:rsidR="00667469" w:rsidRPr="00291A7A">
        <w:t xml:space="preserve">et leur collaboration. Depuis, le </w:t>
      </w:r>
      <w:r w:rsidR="00E25995" w:rsidRPr="00291A7A">
        <w:t>S</w:t>
      </w:r>
      <w:r w:rsidR="00667469" w:rsidRPr="00291A7A">
        <w:t xml:space="preserve">ecrétariat </w:t>
      </w:r>
      <w:r w:rsidR="00F95525" w:rsidRPr="00291A7A">
        <w:t xml:space="preserve">a rendu compte des activités menées dans le domaine des changements climatiques et de la manière dont elles sont coordonnées au </w:t>
      </w:r>
      <w:r w:rsidR="005A2882" w:rsidRPr="00291A7A">
        <w:t>sein</w:t>
      </w:r>
      <w:r w:rsidR="00F95525" w:rsidRPr="00291A7A">
        <w:t xml:space="preserve"> du Groupe </w:t>
      </w:r>
      <w:r w:rsidR="00E25995" w:rsidRPr="00291A7A">
        <w:t xml:space="preserve">spécial </w:t>
      </w:r>
      <w:r w:rsidR="00F95525" w:rsidRPr="00291A7A">
        <w:t xml:space="preserve">ISC-TF. Les rapports </w:t>
      </w:r>
      <w:r w:rsidR="005F7942" w:rsidRPr="00291A7A">
        <w:t xml:space="preserve">faisant le point des </w:t>
      </w:r>
      <w:r w:rsidR="00F95525" w:rsidRPr="00291A7A">
        <w:t>activité</w:t>
      </w:r>
      <w:r w:rsidR="005F7942" w:rsidRPr="00291A7A">
        <w:t>s</w:t>
      </w:r>
      <w:r w:rsidR="00F95525" w:rsidRPr="00291A7A">
        <w:t xml:space="preserve">, </w:t>
      </w:r>
      <w:r w:rsidR="005655CC" w:rsidRPr="00291A7A">
        <w:t>ainsi que</w:t>
      </w:r>
      <w:r w:rsidR="00F95525" w:rsidRPr="00291A7A">
        <w:t xml:space="preserve"> la page web sur le thème "Environnement et changements climatiques", </w:t>
      </w:r>
      <w:r w:rsidR="005655CC" w:rsidRPr="00291A7A">
        <w:t>tout comme</w:t>
      </w:r>
      <w:r w:rsidR="00F95525" w:rsidRPr="00291A7A">
        <w:t xml:space="preserve"> </w:t>
      </w:r>
      <w:r w:rsidR="005655CC" w:rsidRPr="00291A7A">
        <w:t>l</w:t>
      </w:r>
      <w:r w:rsidR="00F95525" w:rsidRPr="00291A7A">
        <w:t xml:space="preserve">es activités internes </w:t>
      </w:r>
      <w:r w:rsidR="00B02542" w:rsidRPr="00291A7A">
        <w:t>concernant</w:t>
      </w:r>
      <w:r w:rsidR="00F95525" w:rsidRPr="00291A7A">
        <w:t xml:space="preserve"> la durabilité environnementale qui ont lieu actuellement à l'UIT, et un programme de travail unifié pour 2021, ont fait l'objet d'une présentation.</w:t>
      </w:r>
    </w:p>
    <w:p w14:paraId="069044E0" w14:textId="5F79957A" w:rsidR="00FE07AD" w:rsidRPr="00291A7A" w:rsidRDefault="00FE07AD" w:rsidP="007165D0">
      <w:r w:rsidRPr="00291A7A">
        <w:t>3.6</w:t>
      </w:r>
      <w:r w:rsidRPr="00291A7A">
        <w:tab/>
      </w:r>
      <w:r w:rsidR="00B02542" w:rsidRPr="00291A7A">
        <w:t xml:space="preserve">Durant sa dernière réunion tenue en mars 2021, le Groupe ISCG est convenu </w:t>
      </w:r>
      <w:r w:rsidR="006D016B" w:rsidRPr="00291A7A">
        <w:t>que la</w:t>
      </w:r>
      <w:r w:rsidR="00B02542" w:rsidRPr="00291A7A">
        <w:t xml:space="preserve"> question de l'"accessibilité" </w:t>
      </w:r>
      <w:r w:rsidR="006D016B" w:rsidRPr="00291A7A">
        <w:t>serait examinée par le groupe en tant que nouveau thème d'étude</w:t>
      </w:r>
      <w:r w:rsidR="00B02542" w:rsidRPr="00291A7A">
        <w:t xml:space="preserve">, </w:t>
      </w:r>
      <w:r w:rsidR="006D016B" w:rsidRPr="00291A7A">
        <w:t>et que les membres identifieraient les méthodes destinées à améliorer et à renforcer la collaboration.</w:t>
      </w:r>
    </w:p>
    <w:p w14:paraId="67AEE9CA" w14:textId="37B628BF" w:rsidR="00FE07AD" w:rsidRPr="00291A7A" w:rsidRDefault="00FE07AD" w:rsidP="007165D0">
      <w:r w:rsidRPr="00291A7A">
        <w:t>3.7</w:t>
      </w:r>
      <w:r w:rsidRPr="00291A7A">
        <w:tab/>
      </w:r>
      <w:r w:rsidR="005F7942" w:rsidRPr="00291A7A">
        <w:t xml:space="preserve">En outre, le </w:t>
      </w:r>
      <w:r w:rsidR="006D016B" w:rsidRPr="00291A7A">
        <w:t xml:space="preserve">Groupe </w:t>
      </w:r>
      <w:r w:rsidR="005A2882" w:rsidRPr="00291A7A">
        <w:t xml:space="preserve">ISCG </w:t>
      </w:r>
      <w:r w:rsidR="006D016B" w:rsidRPr="00291A7A">
        <w:t xml:space="preserve">a demandé au </w:t>
      </w:r>
      <w:r w:rsidR="005655CC" w:rsidRPr="00291A7A">
        <w:t>S</w:t>
      </w:r>
      <w:r w:rsidR="006D016B" w:rsidRPr="00291A7A">
        <w:t xml:space="preserve">ecrétariat de continuer de faire rapport sur d'autres thèmes, </w:t>
      </w:r>
      <w:r w:rsidR="005655CC" w:rsidRPr="00291A7A">
        <w:t>tels que</w:t>
      </w:r>
      <w:r w:rsidR="006D016B" w:rsidRPr="00291A7A">
        <w:t xml:space="preserve"> l'élaboration du nouveau site web de l'UIT, y compris l'harmonisation des sites web des trois Secteurs et du Secrétariat général, ainsi que</w:t>
      </w:r>
      <w:r w:rsidR="005A2882" w:rsidRPr="00291A7A">
        <w:t xml:space="preserve"> sur</w:t>
      </w:r>
      <w:r w:rsidR="006D016B" w:rsidRPr="00291A7A">
        <w:t xml:space="preserve"> les </w:t>
      </w:r>
      <w:r w:rsidR="005F7942" w:rsidRPr="00291A7A">
        <w:t xml:space="preserve">moyens </w:t>
      </w:r>
      <w:r w:rsidR="006D016B" w:rsidRPr="00291A7A">
        <w:t xml:space="preserve">utilisés actuellement pour les réunions virtuelles, </w:t>
      </w:r>
      <w:r w:rsidR="005655CC" w:rsidRPr="00291A7A">
        <w:t>en vue</w:t>
      </w:r>
      <w:r w:rsidR="006D016B" w:rsidRPr="00291A7A">
        <w:t xml:space="preserve"> d'adopter une </w:t>
      </w:r>
      <w:r w:rsidR="005655CC" w:rsidRPr="00291A7A">
        <w:t xml:space="preserve">éventuelle </w:t>
      </w:r>
      <w:r w:rsidR="006D016B" w:rsidRPr="00291A7A">
        <w:t>approche commune au niveau de l'UIT.</w:t>
      </w:r>
    </w:p>
    <w:p w14:paraId="3C4BCEDD" w14:textId="3B200A74" w:rsidR="00FE07AD" w:rsidRPr="00291A7A" w:rsidRDefault="00FE07AD" w:rsidP="007165D0">
      <w:r w:rsidRPr="00291A7A">
        <w:t>3.8</w:t>
      </w:r>
      <w:r w:rsidRPr="00291A7A">
        <w:tab/>
      </w:r>
      <w:r w:rsidR="005F7942" w:rsidRPr="00291A7A">
        <w:t xml:space="preserve">Par ailleurs, le </w:t>
      </w:r>
      <w:r w:rsidR="006D016B" w:rsidRPr="00291A7A">
        <w:t xml:space="preserve">Groupe </w:t>
      </w:r>
      <w:r w:rsidR="005A2882" w:rsidRPr="00291A7A">
        <w:t xml:space="preserve">ISCG </w:t>
      </w:r>
      <w:r w:rsidR="005F7942" w:rsidRPr="00291A7A">
        <w:t xml:space="preserve">tient </w:t>
      </w:r>
      <w:r w:rsidR="007A372D" w:rsidRPr="00291A7A">
        <w:t xml:space="preserve">à jour les tableaux de mise en correspondance et les publie sur son site web. </w:t>
      </w:r>
      <w:r w:rsidR="006D016B" w:rsidRPr="00291A7A">
        <w:t>L</w:t>
      </w:r>
      <w:r w:rsidR="005A2882" w:rsidRPr="00291A7A">
        <w:t xml:space="preserve">es travaux de </w:t>
      </w:r>
      <w:r w:rsidR="006D016B" w:rsidRPr="00291A7A">
        <w:t xml:space="preserve">mise en correspondance </w:t>
      </w:r>
      <w:r w:rsidR="005A2882" w:rsidRPr="00291A7A">
        <w:t>ont</w:t>
      </w:r>
      <w:r w:rsidR="006D016B" w:rsidRPr="00291A7A">
        <w:t xml:space="preserve"> pour objet d'identifier les sujets d'intérêt mutuel ainsi que les entités responsables de ces sujets à l'échelle des trois Secteur</w:t>
      </w:r>
      <w:r w:rsidR="005A2882" w:rsidRPr="00291A7A">
        <w:t>s</w:t>
      </w:r>
      <w:r w:rsidR="006D016B" w:rsidRPr="00291A7A">
        <w:t xml:space="preserve"> de l'U</w:t>
      </w:r>
      <w:r w:rsidR="00B81566" w:rsidRPr="00291A7A">
        <w:t>nion. Le résultat d</w:t>
      </w:r>
      <w:r w:rsidR="005A2882" w:rsidRPr="00291A7A">
        <w:t>es</w:t>
      </w:r>
      <w:r w:rsidR="00B81566" w:rsidRPr="00291A7A">
        <w:t xml:space="preserve"> trava</w:t>
      </w:r>
      <w:r w:rsidR="005A2882" w:rsidRPr="00291A7A">
        <w:t>ux</w:t>
      </w:r>
      <w:r w:rsidR="00B81566" w:rsidRPr="00291A7A">
        <w:t xml:space="preserve"> de mise en correspondance sert de guide afin de faciliter un échange d'informations </w:t>
      </w:r>
      <w:r w:rsidR="005A2882" w:rsidRPr="00291A7A">
        <w:t xml:space="preserve">plus harmonieux </w:t>
      </w:r>
      <w:r w:rsidR="00B81566" w:rsidRPr="00291A7A">
        <w:t>au sein de l'Union en ce qui concerne les sujets d'intérê</w:t>
      </w:r>
      <w:r w:rsidRPr="00291A7A">
        <w:t>t</w:t>
      </w:r>
      <w:r w:rsidR="00B81566" w:rsidRPr="00291A7A">
        <w:t xml:space="preserve"> </w:t>
      </w:r>
      <w:r w:rsidR="00233B02" w:rsidRPr="00291A7A">
        <w:t>mutuel</w:t>
      </w:r>
      <w:r w:rsidR="00B81566" w:rsidRPr="00291A7A">
        <w:t xml:space="preserve"> identifiés</w:t>
      </w:r>
      <w:r w:rsidRPr="00291A7A">
        <w:t>.</w:t>
      </w:r>
    </w:p>
    <w:p w14:paraId="434BBE04" w14:textId="5D77AAAB" w:rsidR="00FE07AD" w:rsidRDefault="00FE07AD" w:rsidP="007165D0">
      <w:r w:rsidRPr="00291A7A">
        <w:t>3.9</w:t>
      </w:r>
      <w:r w:rsidRPr="00291A7A">
        <w:tab/>
      </w:r>
      <w:r w:rsidR="00B81566" w:rsidRPr="00291A7A">
        <w:t>Le site web du Groupe</w:t>
      </w:r>
      <w:r w:rsidR="005A2882" w:rsidRPr="00291A7A">
        <w:t xml:space="preserve"> ISCG</w:t>
      </w:r>
      <w:r w:rsidRPr="00291A7A">
        <w:t xml:space="preserve">, </w:t>
      </w:r>
      <w:r w:rsidR="00B81566" w:rsidRPr="00291A7A">
        <w:t xml:space="preserve">accessible depuis la page web consacrée à la coordination intersectorielle, a été mis à jour </w:t>
      </w:r>
      <w:r w:rsidR="004672F4" w:rsidRPr="00291A7A">
        <w:t>et contient désormais de nouvel</w:t>
      </w:r>
      <w:r w:rsidR="00442E41" w:rsidRPr="00291A7A">
        <w:t>l</w:t>
      </w:r>
      <w:r w:rsidR="004672F4" w:rsidRPr="00291A7A">
        <w:t>es coordonnées</w:t>
      </w:r>
      <w:r w:rsidR="00B81566" w:rsidRPr="00291A7A">
        <w:t xml:space="preserve"> (</w:t>
      </w:r>
      <w:proofErr w:type="gramStart"/>
      <w:r w:rsidR="00442E41" w:rsidRPr="00291A7A">
        <w:t>c</w:t>
      </w:r>
      <w:r w:rsidR="00B81566" w:rsidRPr="00291A7A">
        <w:t>ourriel:</w:t>
      </w:r>
      <w:proofErr w:type="gramEnd"/>
      <w:r w:rsidR="007165D0" w:rsidRPr="00291A7A">
        <w:t> </w:t>
      </w:r>
      <w:hyperlink r:id="rId21" w:history="1">
        <w:r w:rsidR="007165D0" w:rsidRPr="00291A7A">
          <w:rPr>
            <w:rStyle w:val="Hyperlink"/>
          </w:rPr>
          <w:t>iscg@itu.int</w:t>
        </w:r>
      </w:hyperlink>
      <w:r w:rsidR="00B81566" w:rsidRPr="00291A7A">
        <w:t xml:space="preserve"> et liste de distribution</w:t>
      </w:r>
      <w:r w:rsidRPr="00291A7A">
        <w:t>)</w:t>
      </w:r>
      <w:r w:rsidR="00B81566" w:rsidRPr="00291A7A">
        <w:t xml:space="preserve">. L'accès aux documents se fait désormais via un compte TIES et tout membre de l'UIT, indépendamment du Secteur auquel il est associé, peut accéder aux documents relatifs à la coordination intersectorielle publiés sur ce site. Le </w:t>
      </w:r>
      <w:r w:rsidR="001E3343" w:rsidRPr="00291A7A">
        <w:t>S</w:t>
      </w:r>
      <w:r w:rsidR="00B81566" w:rsidRPr="00291A7A">
        <w:t xml:space="preserve">ecrétariat poursuit ses travaux visant à améliorer les informations fournies </w:t>
      </w:r>
      <w:r w:rsidR="00442E41" w:rsidRPr="00291A7A">
        <w:t xml:space="preserve">pour </w:t>
      </w:r>
      <w:r w:rsidR="00B81566" w:rsidRPr="00291A7A">
        <w:t>tout ce qui a trait aux réunions</w:t>
      </w:r>
      <w:r w:rsidR="005A2882" w:rsidRPr="00291A7A">
        <w:t xml:space="preserve"> et l'inscription à celles-ci</w:t>
      </w:r>
      <w:r w:rsidR="00B81566" w:rsidRPr="00291A7A">
        <w:t>.</w:t>
      </w:r>
    </w:p>
    <w:p w14:paraId="52DB5D01" w14:textId="77777777" w:rsidR="000721C2" w:rsidRPr="00291A7A" w:rsidRDefault="000721C2" w:rsidP="000721C2"/>
    <w:p w14:paraId="42212E29" w14:textId="77777777" w:rsidR="007165D0" w:rsidRPr="00291A7A" w:rsidRDefault="007165D0" w:rsidP="007165D0">
      <w:pPr>
        <w:spacing w:before="360"/>
        <w:jc w:val="center"/>
      </w:pPr>
      <w:r w:rsidRPr="00291A7A">
        <w:t>______________</w:t>
      </w:r>
    </w:p>
    <w:sectPr w:rsidR="007165D0" w:rsidRPr="00291A7A" w:rsidSect="005C3890">
      <w:headerReference w:type="even" r:id="rId22"/>
      <w:headerReference w:type="default" r:id="rId23"/>
      <w:footerReference w:type="even" r:id="rId24"/>
      <w:footerReference w:type="default" r:id="rId25"/>
      <w:footerReference w:type="first" r:id="rId2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268CA" w14:textId="77777777" w:rsidR="00F82832" w:rsidRDefault="00F82832">
      <w:r>
        <w:separator/>
      </w:r>
    </w:p>
  </w:endnote>
  <w:endnote w:type="continuationSeparator" w:id="0">
    <w:p w14:paraId="2B989314" w14:textId="77777777" w:rsidR="00F82832" w:rsidRDefault="00F8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C013" w14:textId="5E32A2D5" w:rsidR="00732045" w:rsidRDefault="00F82832">
    <w:pPr>
      <w:pStyle w:val="Footer"/>
    </w:pPr>
    <w:r>
      <w:fldChar w:fldCharType="begin"/>
    </w:r>
    <w:r>
      <w:instrText xml:space="preserve"> FILENAME \p \* MERGEFORMAT </w:instrText>
    </w:r>
    <w:r>
      <w:fldChar w:fldCharType="separate"/>
    </w:r>
    <w:r w:rsidR="00112F47">
      <w:t>P:\FRA\SG\CONSEIL\C21\000\038F.docx</w:t>
    </w:r>
    <w:r>
      <w:fldChar w:fldCharType="end"/>
    </w:r>
    <w:r w:rsidR="00732045">
      <w:tab/>
    </w:r>
    <w:r w:rsidR="002F1B76">
      <w:fldChar w:fldCharType="begin"/>
    </w:r>
    <w:r w:rsidR="00732045">
      <w:instrText xml:space="preserve"> savedate \@ dd.MM.yy </w:instrText>
    </w:r>
    <w:r w:rsidR="002F1B76">
      <w:fldChar w:fldCharType="separate"/>
    </w:r>
    <w:r w:rsidR="002035C5">
      <w:t>29.04.21</w:t>
    </w:r>
    <w:r w:rsidR="002F1B76">
      <w:fldChar w:fldCharType="end"/>
    </w:r>
    <w:r w:rsidR="00732045">
      <w:tab/>
    </w:r>
    <w:r w:rsidR="002F1B76">
      <w:fldChar w:fldCharType="begin"/>
    </w:r>
    <w:r w:rsidR="00732045">
      <w:instrText xml:space="preserve"> printdate \@ dd.MM.yy </w:instrText>
    </w:r>
    <w:r w:rsidR="002F1B76">
      <w:fldChar w:fldCharType="separate"/>
    </w:r>
    <w:r w:rsidR="00112F4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49CB" w14:textId="5CA45F89" w:rsidR="00732045" w:rsidRDefault="00F82832" w:rsidP="00460924">
    <w:pPr>
      <w:pStyle w:val="Footer"/>
    </w:pPr>
    <w:r>
      <w:fldChar w:fldCharType="begin"/>
    </w:r>
    <w:r>
      <w:instrText xml:space="preserve"> FILENAME \p  \* MERGEFORMAT </w:instrText>
    </w:r>
    <w:r>
      <w:fldChar w:fldCharType="separate"/>
    </w:r>
    <w:r w:rsidR="00112F47">
      <w:t>P:\FRA\SG\CONSEIL\C21\000\038F.docx</w:t>
    </w:r>
    <w:r>
      <w:fldChar w:fldCharType="end"/>
    </w:r>
    <w:r w:rsidR="00460924">
      <w:t xml:space="preserve"> (483234)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C3E4"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67CA2" w14:textId="77777777" w:rsidR="00F82832" w:rsidRDefault="00F82832">
      <w:r>
        <w:t>____________________</w:t>
      </w:r>
    </w:p>
  </w:footnote>
  <w:footnote w:type="continuationSeparator" w:id="0">
    <w:p w14:paraId="0B5111B4" w14:textId="77777777" w:rsidR="00F82832" w:rsidRDefault="00F8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9A44"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9DDCDC9"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593D" w14:textId="4A353DB6" w:rsidR="00732045" w:rsidRDefault="00C27A7C" w:rsidP="00475FB3">
    <w:pPr>
      <w:pStyle w:val="Header"/>
    </w:pPr>
    <w:r>
      <w:fldChar w:fldCharType="begin"/>
    </w:r>
    <w:r>
      <w:instrText>PAGE</w:instrText>
    </w:r>
    <w:r>
      <w:fldChar w:fldCharType="separate"/>
    </w:r>
    <w:r w:rsidR="00112F47">
      <w:rPr>
        <w:noProof/>
      </w:rPr>
      <w:t>2</w:t>
    </w:r>
    <w:r>
      <w:rPr>
        <w:noProof/>
      </w:rPr>
      <w:fldChar w:fldCharType="end"/>
    </w:r>
  </w:p>
  <w:p w14:paraId="255D43CA" w14:textId="0AE97F8F" w:rsidR="00732045" w:rsidRDefault="00732045" w:rsidP="00106B19">
    <w:pPr>
      <w:pStyle w:val="Header"/>
    </w:pPr>
    <w:r>
      <w:t>C</w:t>
    </w:r>
    <w:r w:rsidR="009C353C">
      <w:t>2</w:t>
    </w:r>
    <w:r w:rsidR="004D1D50">
      <w:t>1</w:t>
    </w:r>
    <w:r>
      <w:t>/</w:t>
    </w:r>
    <w:r w:rsidR="00460924">
      <w:t>38</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809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B835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90B6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0C2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F658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92B2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464D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0A9F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1807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7A9A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30890"/>
    <w:multiLevelType w:val="hybridMultilevel"/>
    <w:tmpl w:val="BEBA9DC0"/>
    <w:lvl w:ilvl="0" w:tplc="D7660658">
      <w:start w:val="1"/>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D51487D"/>
    <w:multiLevelType w:val="multilevel"/>
    <w:tmpl w:val="8BDA91AC"/>
    <w:lvl w:ilvl="0">
      <w:start w:val="1"/>
      <w:numFmt w:val="decimal"/>
      <w:lvlText w:val="%1"/>
      <w:lvlJc w:val="left"/>
      <w:pPr>
        <w:ind w:left="360" w:hanging="360"/>
      </w:pPr>
      <w:rPr>
        <w:rFonts w:ascii="Calibri" w:eastAsia="Times New Roman" w:hAnsi="Calibri" w:cs="Times New Roman"/>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DC"/>
    <w:rsid w:val="000257B0"/>
    <w:rsid w:val="000721C2"/>
    <w:rsid w:val="000D0D0A"/>
    <w:rsid w:val="000E2A99"/>
    <w:rsid w:val="00103163"/>
    <w:rsid w:val="0010351A"/>
    <w:rsid w:val="00106B19"/>
    <w:rsid w:val="00112F47"/>
    <w:rsid w:val="00115D93"/>
    <w:rsid w:val="001247A8"/>
    <w:rsid w:val="0013108A"/>
    <w:rsid w:val="001378C0"/>
    <w:rsid w:val="001801E0"/>
    <w:rsid w:val="0018694A"/>
    <w:rsid w:val="001944B7"/>
    <w:rsid w:val="001A3287"/>
    <w:rsid w:val="001A6508"/>
    <w:rsid w:val="001B2D35"/>
    <w:rsid w:val="001D4C31"/>
    <w:rsid w:val="001E3343"/>
    <w:rsid w:val="001E4D21"/>
    <w:rsid w:val="002035C5"/>
    <w:rsid w:val="00207CD1"/>
    <w:rsid w:val="00233B02"/>
    <w:rsid w:val="002477A2"/>
    <w:rsid w:val="00263A51"/>
    <w:rsid w:val="00267E02"/>
    <w:rsid w:val="00291A7A"/>
    <w:rsid w:val="002A5D44"/>
    <w:rsid w:val="002E0BC4"/>
    <w:rsid w:val="002F1B76"/>
    <w:rsid w:val="0033568E"/>
    <w:rsid w:val="00355FF5"/>
    <w:rsid w:val="00361350"/>
    <w:rsid w:val="0037330F"/>
    <w:rsid w:val="003A26C8"/>
    <w:rsid w:val="003A46FA"/>
    <w:rsid w:val="003A757F"/>
    <w:rsid w:val="003C3FAE"/>
    <w:rsid w:val="003D66F6"/>
    <w:rsid w:val="004038CB"/>
    <w:rsid w:val="0040546F"/>
    <w:rsid w:val="0042404A"/>
    <w:rsid w:val="00430D5A"/>
    <w:rsid w:val="00442E41"/>
    <w:rsid w:val="0044618F"/>
    <w:rsid w:val="00460924"/>
    <w:rsid w:val="00464808"/>
    <w:rsid w:val="004672F4"/>
    <w:rsid w:val="0046769A"/>
    <w:rsid w:val="00475FB3"/>
    <w:rsid w:val="004A28C4"/>
    <w:rsid w:val="004C37A9"/>
    <w:rsid w:val="004D1D50"/>
    <w:rsid w:val="004D4756"/>
    <w:rsid w:val="004F259E"/>
    <w:rsid w:val="004F7931"/>
    <w:rsid w:val="00511F1D"/>
    <w:rsid w:val="00520F36"/>
    <w:rsid w:val="00533634"/>
    <w:rsid w:val="00540615"/>
    <w:rsid w:val="00540A6D"/>
    <w:rsid w:val="005655CC"/>
    <w:rsid w:val="00571EEA"/>
    <w:rsid w:val="00575417"/>
    <w:rsid w:val="005768E1"/>
    <w:rsid w:val="005A2882"/>
    <w:rsid w:val="005B1938"/>
    <w:rsid w:val="005C3890"/>
    <w:rsid w:val="005D6BF0"/>
    <w:rsid w:val="005F49ED"/>
    <w:rsid w:val="005F6915"/>
    <w:rsid w:val="005F7942"/>
    <w:rsid w:val="005F7BFE"/>
    <w:rsid w:val="00600017"/>
    <w:rsid w:val="006235CA"/>
    <w:rsid w:val="00657E0D"/>
    <w:rsid w:val="006643AB"/>
    <w:rsid w:val="00667469"/>
    <w:rsid w:val="00680220"/>
    <w:rsid w:val="006865C6"/>
    <w:rsid w:val="006D016B"/>
    <w:rsid w:val="006D6D13"/>
    <w:rsid w:val="007165D0"/>
    <w:rsid w:val="007210CD"/>
    <w:rsid w:val="00732045"/>
    <w:rsid w:val="007369DB"/>
    <w:rsid w:val="00740252"/>
    <w:rsid w:val="00785073"/>
    <w:rsid w:val="007956C2"/>
    <w:rsid w:val="007A187E"/>
    <w:rsid w:val="007A372D"/>
    <w:rsid w:val="007B63B1"/>
    <w:rsid w:val="007C72C2"/>
    <w:rsid w:val="007D4436"/>
    <w:rsid w:val="007F257A"/>
    <w:rsid w:val="007F3665"/>
    <w:rsid w:val="00800037"/>
    <w:rsid w:val="008104B1"/>
    <w:rsid w:val="00861D73"/>
    <w:rsid w:val="00881FEC"/>
    <w:rsid w:val="00893686"/>
    <w:rsid w:val="00897553"/>
    <w:rsid w:val="008A4E87"/>
    <w:rsid w:val="008D6195"/>
    <w:rsid w:val="008D76E6"/>
    <w:rsid w:val="00906FD9"/>
    <w:rsid w:val="00912E65"/>
    <w:rsid w:val="00922AD5"/>
    <w:rsid w:val="0092392D"/>
    <w:rsid w:val="0093234A"/>
    <w:rsid w:val="0097363B"/>
    <w:rsid w:val="0097612C"/>
    <w:rsid w:val="00984D78"/>
    <w:rsid w:val="009A0CB0"/>
    <w:rsid w:val="009C307F"/>
    <w:rsid w:val="009C353C"/>
    <w:rsid w:val="00A2113E"/>
    <w:rsid w:val="00A23A51"/>
    <w:rsid w:val="00A24607"/>
    <w:rsid w:val="00A25CD3"/>
    <w:rsid w:val="00A428DC"/>
    <w:rsid w:val="00A674C5"/>
    <w:rsid w:val="00A709FE"/>
    <w:rsid w:val="00A82767"/>
    <w:rsid w:val="00AA332F"/>
    <w:rsid w:val="00AA7BBB"/>
    <w:rsid w:val="00AB64A8"/>
    <w:rsid w:val="00AC0266"/>
    <w:rsid w:val="00AD24EC"/>
    <w:rsid w:val="00B02542"/>
    <w:rsid w:val="00B309F9"/>
    <w:rsid w:val="00B32131"/>
    <w:rsid w:val="00B32B60"/>
    <w:rsid w:val="00B61619"/>
    <w:rsid w:val="00B81566"/>
    <w:rsid w:val="00B85517"/>
    <w:rsid w:val="00BB4545"/>
    <w:rsid w:val="00BC29C4"/>
    <w:rsid w:val="00BD5873"/>
    <w:rsid w:val="00BF6960"/>
    <w:rsid w:val="00C005E9"/>
    <w:rsid w:val="00C04BE3"/>
    <w:rsid w:val="00C25D29"/>
    <w:rsid w:val="00C27A7C"/>
    <w:rsid w:val="00C76373"/>
    <w:rsid w:val="00C81A8E"/>
    <w:rsid w:val="00C82BD7"/>
    <w:rsid w:val="00CA08ED"/>
    <w:rsid w:val="00CE76F4"/>
    <w:rsid w:val="00CF183B"/>
    <w:rsid w:val="00D11111"/>
    <w:rsid w:val="00D375CD"/>
    <w:rsid w:val="00D462CA"/>
    <w:rsid w:val="00D553A2"/>
    <w:rsid w:val="00D774D3"/>
    <w:rsid w:val="00D904E8"/>
    <w:rsid w:val="00D93A80"/>
    <w:rsid w:val="00DA08C3"/>
    <w:rsid w:val="00DB5A3E"/>
    <w:rsid w:val="00DB70B5"/>
    <w:rsid w:val="00DC22AA"/>
    <w:rsid w:val="00DC6329"/>
    <w:rsid w:val="00DF4030"/>
    <w:rsid w:val="00DF74DD"/>
    <w:rsid w:val="00E25995"/>
    <w:rsid w:val="00E25AD0"/>
    <w:rsid w:val="00E27E88"/>
    <w:rsid w:val="00E96A29"/>
    <w:rsid w:val="00EA3DA8"/>
    <w:rsid w:val="00EB2D62"/>
    <w:rsid w:val="00EB6350"/>
    <w:rsid w:val="00ED3113"/>
    <w:rsid w:val="00EF3CB9"/>
    <w:rsid w:val="00F15B57"/>
    <w:rsid w:val="00F35048"/>
    <w:rsid w:val="00F35779"/>
    <w:rsid w:val="00F427DB"/>
    <w:rsid w:val="00F65A43"/>
    <w:rsid w:val="00F80755"/>
    <w:rsid w:val="00F82832"/>
    <w:rsid w:val="00F95525"/>
    <w:rsid w:val="00FA5EB1"/>
    <w:rsid w:val="00FA7439"/>
    <w:rsid w:val="00FC4EC0"/>
    <w:rsid w:val="00FE07A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461FE"/>
  <w15:docId w15:val="{0AC02E98-C226-44D8-8A0A-A2D6CDB3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Style 58,超?级链"/>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A428DC"/>
    <w:rPr>
      <w:color w:val="605E5C"/>
      <w:shd w:val="clear" w:color="auto" w:fill="E1DFDD"/>
    </w:rPr>
  </w:style>
  <w:style w:type="character" w:customStyle="1" w:styleId="FootnoteTextChar">
    <w:name w:val="Footnote Text Char"/>
    <w:basedOn w:val="DefaultParagraphFont"/>
    <w:link w:val="FootnoteText"/>
    <w:rsid w:val="00667469"/>
    <w:rPr>
      <w:rFonts w:ascii="Calibri" w:hAnsi="Calibri"/>
      <w:sz w:val="24"/>
      <w:lang w:val="fr-FR" w:eastAsia="en-US"/>
    </w:rPr>
  </w:style>
  <w:style w:type="paragraph" w:styleId="ListParagraph">
    <w:name w:val="List Paragraph"/>
    <w:aliases w:val="List Paragraph (numbered (a)),WB Para,List Paragraph1,Bullets,Lapis Bulleted List,Dot pt,F5 List Paragraph,No Spacing1,List Paragraph Char Char Char,Indicator Text,Numbered Para 1,Bullet 1,List Paragraph12,Bullet Points,MAIN CONTENT,L"/>
    <w:basedOn w:val="Normal"/>
    <w:link w:val="ListParagraphChar"/>
    <w:uiPriority w:val="34"/>
    <w:qFormat/>
    <w:rsid w:val="0066746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aliases w:val="List Paragraph (numbered (a)) Char,WB Para Char,List Paragraph1 Char,Bullets Char,Lapis Bulleted List Char,Dot pt Char,F5 List Paragraph Char,No Spacing1 Char,List Paragraph Char Char Char Char,Indicator Text Char,Bullet 1 Char"/>
    <w:basedOn w:val="DefaultParagraphFont"/>
    <w:link w:val="ListParagraph"/>
    <w:uiPriority w:val="34"/>
    <w:locked/>
    <w:rsid w:val="00667469"/>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667469"/>
    <w:rPr>
      <w:rFonts w:ascii="Calibri" w:hAnsi="Calibri"/>
      <w:b/>
      <w:sz w:val="28"/>
      <w:lang w:val="fr-FR" w:eastAsia="en-US"/>
    </w:rPr>
  </w:style>
  <w:style w:type="paragraph" w:styleId="Revision">
    <w:name w:val="Revision"/>
    <w:hidden/>
    <w:uiPriority w:val="99"/>
    <w:semiHidden/>
    <w:rsid w:val="00A674C5"/>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396">
      <w:bodyDiv w:val="1"/>
      <w:marLeft w:val="0"/>
      <w:marRight w:val="0"/>
      <w:marTop w:val="0"/>
      <w:marBottom w:val="0"/>
      <w:divBdr>
        <w:top w:val="none" w:sz="0" w:space="0" w:color="auto"/>
        <w:left w:val="none" w:sz="0" w:space="0" w:color="auto"/>
        <w:bottom w:val="none" w:sz="0" w:space="0" w:color="auto"/>
        <w:right w:val="none" w:sz="0" w:space="0" w:color="auto"/>
      </w:divBdr>
    </w:div>
    <w:div w:id="196162306">
      <w:bodyDiv w:val="1"/>
      <w:marLeft w:val="0"/>
      <w:marRight w:val="0"/>
      <w:marTop w:val="0"/>
      <w:marBottom w:val="0"/>
      <w:divBdr>
        <w:top w:val="none" w:sz="0" w:space="0" w:color="auto"/>
        <w:left w:val="none" w:sz="0" w:space="0" w:color="auto"/>
        <w:bottom w:val="none" w:sz="0" w:space="0" w:color="auto"/>
        <w:right w:val="none" w:sz="0" w:space="0" w:color="auto"/>
      </w:divBdr>
    </w:div>
    <w:div w:id="116293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38/en" TargetMode="External"/><Relationship Id="rId13" Type="http://schemas.openxmlformats.org/officeDocument/2006/relationships/hyperlink" Target="http://www.itu.int/en/general-secretariat/Pages/intersectoral-coordination.aspx" TargetMode="External"/><Relationship Id="rId18" Type="http://schemas.openxmlformats.org/officeDocument/2006/relationships/hyperlink" Target="https://www.itu.int/md/S20-CL-C-0061/en"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iscg@itu.int" TargetMode="External"/><Relationship Id="rId7" Type="http://schemas.openxmlformats.org/officeDocument/2006/relationships/image" Target="media/image1.jpeg"/><Relationship Id="rId12" Type="http://schemas.openxmlformats.org/officeDocument/2006/relationships/hyperlink" Target="https://www.itu.int/md/S17-CL-INF-0019/en" TargetMode="External"/><Relationship Id="rId17" Type="http://schemas.openxmlformats.org/officeDocument/2006/relationships/hyperlink" Target="https://www.itu.int/en/action/emergency/Pages/default.asp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en/action/environment-and-climate-change/Pages/default.aspx" TargetMode="External"/><Relationship Id="rId20" Type="http://schemas.openxmlformats.org/officeDocument/2006/relationships/hyperlink" Target="https://www.itu.int/en/general-secretariat/Pages/ISCG/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1-CL-INF-0011/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en/events/Pages/default.asp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www.itu.int/md/S20-CL-C-0038/en" TargetMode="External"/><Relationship Id="rId19" Type="http://schemas.openxmlformats.org/officeDocument/2006/relationships/hyperlink" Target="https://www.itu.int/md/S21-CL-INF-0011/en" TargetMode="External"/><Relationship Id="rId4" Type="http://schemas.openxmlformats.org/officeDocument/2006/relationships/webSettings" Target="webSettings.xml"/><Relationship Id="rId9" Type="http://schemas.openxmlformats.org/officeDocument/2006/relationships/hyperlink" Target="https://www.itu.int/en/council/Documents/basic-texts/RES-191-F.pdf" TargetMode="External"/><Relationship Id="rId14" Type="http://schemas.openxmlformats.org/officeDocument/2006/relationships/hyperlink" Target="https://www.itu.int/md/S20-CL-C-0035/en"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48</TotalTime>
  <Pages>5</Pages>
  <Words>2359</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15775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la mise en œuvre de la Résolution 191 (Rév. Dubaï, 2018) de la Conférence de Plénipotentiaires "stratégie de coordination des efforts entre les trois secteurs de l'union"</dc:title>
  <dc:subject>Conseil 2021, Virtual consultation of councillors</dc:subject>
  <dc:creator>Chanavat, Emilie</dc:creator>
  <cp:keywords>C2021, C21, VCC, C21-VCC-1</cp:keywords>
  <dc:description/>
  <cp:lastModifiedBy>Mendoza-Pinto, Yelitza</cp:lastModifiedBy>
  <cp:revision>9</cp:revision>
  <cp:lastPrinted>2000-07-18T08:55:00Z</cp:lastPrinted>
  <dcterms:created xsi:type="dcterms:W3CDTF">2021-04-29T07:57:00Z</dcterms:created>
  <dcterms:modified xsi:type="dcterms:W3CDTF">2021-05-06T14:42:00Z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