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1413AD83" w14:textId="77777777">
        <w:trPr>
          <w:cantSplit/>
        </w:trPr>
        <w:tc>
          <w:tcPr>
            <w:tcW w:w="6911" w:type="dxa"/>
          </w:tcPr>
          <w:p w14:paraId="4D33EF15" w14:textId="30426421" w:rsidR="00700D1F" w:rsidRPr="00DF23FC" w:rsidRDefault="00D94637" w:rsidP="00EB4CE4">
            <w:pPr>
              <w:spacing w:before="360" w:after="360"/>
              <w:rPr>
                <w:rFonts w:ascii="Verdana" w:hAnsi="Verdana"/>
                <w:position w:val="6"/>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911867" w:rsidRPr="00911867">
              <w:rPr>
                <w:rFonts w:cs="Arial"/>
                <w:b/>
                <w:bCs/>
                <w:sz w:val="30"/>
                <w:szCs w:val="30"/>
                <w:lang w:val="en-US" w:eastAsia="zh-CN"/>
              </w:rPr>
              <w:t>1</w:t>
            </w:r>
            <w:r w:rsidRPr="00911867">
              <w:rPr>
                <w:rFonts w:ascii="SimSun" w:hAnsi="SimSun" w:hint="eastAsia"/>
                <w:b/>
                <w:bCs/>
                <w:sz w:val="30"/>
                <w:szCs w:val="30"/>
                <w:lang w:val="en-US" w:eastAsia="zh-CN"/>
              </w:rPr>
              <w:t>年会议</w:t>
            </w:r>
            <w:r w:rsidR="00EB4CE4">
              <w:rPr>
                <w:rFonts w:ascii="SimSun" w:hAnsi="SimSun" w:cs="SimSun"/>
                <w:b/>
                <w:bCs/>
                <w:smallCaps/>
                <w:sz w:val="28"/>
                <w:szCs w:val="28"/>
                <w:lang w:val="en-US" w:eastAsia="zh-CN"/>
              </w:rPr>
              <w:br/>
            </w:r>
            <w:r w:rsidR="00911867" w:rsidRPr="00911867">
              <w:rPr>
                <w:rFonts w:ascii="SimSun" w:hAnsi="SimSun" w:hint="eastAsia"/>
                <w:b/>
                <w:bCs/>
                <w:color w:val="000000"/>
                <w:sz w:val="28"/>
                <w:szCs w:val="22"/>
                <w:lang w:eastAsia="zh-CN"/>
              </w:rPr>
              <w:t>理事磋商会虚拟会议</w:t>
            </w:r>
            <w:r w:rsidR="00AE3547" w:rsidRPr="00911867">
              <w:rPr>
                <w:rFonts w:ascii="SimSun" w:hAnsi="SimSun" w:cs="SimSun" w:hint="eastAsia"/>
                <w:b/>
                <w:bCs/>
                <w:smallCaps/>
                <w:sz w:val="28"/>
                <w:szCs w:val="28"/>
                <w:lang w:val="en-US" w:eastAsia="zh-CN"/>
              </w:rPr>
              <w:t>，</w:t>
            </w:r>
            <w:r w:rsidR="00AE3547" w:rsidRPr="00911867">
              <w:rPr>
                <w:b/>
                <w:bCs/>
                <w:color w:val="000000"/>
                <w:sz w:val="28"/>
                <w:szCs w:val="22"/>
                <w:lang w:eastAsia="zh-CN"/>
              </w:rPr>
              <w:t>2021</w:t>
            </w:r>
            <w:r w:rsidR="00AE3547" w:rsidRPr="00911867">
              <w:rPr>
                <w:rFonts w:ascii="SimSun" w:hAnsi="SimSun" w:hint="eastAsia"/>
                <w:b/>
                <w:bCs/>
                <w:color w:val="000000"/>
                <w:sz w:val="28"/>
                <w:szCs w:val="22"/>
                <w:lang w:eastAsia="zh-CN"/>
              </w:rPr>
              <w:t>年</w:t>
            </w:r>
            <w:r w:rsidR="00AE3547" w:rsidRPr="00911867">
              <w:rPr>
                <w:b/>
                <w:bCs/>
                <w:color w:val="000000"/>
                <w:sz w:val="28"/>
                <w:szCs w:val="22"/>
                <w:lang w:eastAsia="zh-CN"/>
              </w:rPr>
              <w:t>6</w:t>
            </w:r>
            <w:r w:rsidR="00AE3547" w:rsidRPr="00911867">
              <w:rPr>
                <w:rFonts w:ascii="SimSun" w:hAnsi="SimSun" w:hint="eastAsia"/>
                <w:b/>
                <w:bCs/>
                <w:color w:val="000000"/>
                <w:sz w:val="28"/>
                <w:szCs w:val="22"/>
                <w:lang w:eastAsia="zh-CN"/>
              </w:rPr>
              <w:t>月</w:t>
            </w:r>
            <w:r w:rsidR="00AE3547" w:rsidRPr="00911867">
              <w:rPr>
                <w:b/>
                <w:bCs/>
                <w:color w:val="000000"/>
                <w:sz w:val="28"/>
                <w:szCs w:val="22"/>
                <w:lang w:eastAsia="zh-CN"/>
              </w:rPr>
              <w:t>8-18</w:t>
            </w:r>
            <w:r w:rsidR="00AE3547" w:rsidRPr="00911867">
              <w:rPr>
                <w:rFonts w:ascii="SimSun" w:hAnsi="SimSun" w:hint="eastAsia"/>
                <w:b/>
                <w:bCs/>
                <w:color w:val="000000"/>
                <w:sz w:val="28"/>
                <w:szCs w:val="22"/>
                <w:lang w:eastAsia="zh-CN"/>
              </w:rPr>
              <w:t>日</w:t>
            </w:r>
          </w:p>
        </w:tc>
        <w:tc>
          <w:tcPr>
            <w:tcW w:w="3120" w:type="dxa"/>
          </w:tcPr>
          <w:p w14:paraId="5C67C594" w14:textId="77777777" w:rsidR="00700D1F" w:rsidRDefault="008418F5" w:rsidP="008418F5">
            <w:pPr>
              <w:spacing w:before="0"/>
            </w:pPr>
            <w:bookmarkStart w:id="0" w:name="ditulogo"/>
            <w:bookmarkEnd w:id="0"/>
            <w:r>
              <w:rPr>
                <w:noProof/>
                <w:lang w:val="en-US" w:eastAsia="zh-CN"/>
              </w:rPr>
              <w:drawing>
                <wp:inline distT="0" distB="0" distL="0" distR="0" wp14:anchorId="6F40B911" wp14:editId="2108AB2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2DB4B733" w14:textId="77777777">
        <w:trPr>
          <w:cantSplit/>
        </w:trPr>
        <w:tc>
          <w:tcPr>
            <w:tcW w:w="6911" w:type="dxa"/>
            <w:tcBorders>
              <w:bottom w:val="single" w:sz="12" w:space="0" w:color="auto"/>
            </w:tcBorders>
          </w:tcPr>
          <w:p w14:paraId="51F43FE6"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22443512" w14:textId="77777777" w:rsidR="00700D1F" w:rsidRPr="00617BE4" w:rsidRDefault="00700D1F" w:rsidP="00001B77">
            <w:pPr>
              <w:spacing w:before="0"/>
              <w:rPr>
                <w:rFonts w:ascii="Verdana" w:hAnsi="Verdana"/>
                <w:szCs w:val="24"/>
              </w:rPr>
            </w:pPr>
          </w:p>
        </w:tc>
      </w:tr>
      <w:tr w:rsidR="00700D1F" w:rsidRPr="00617BE4" w14:paraId="7DDF4A79" w14:textId="77777777">
        <w:trPr>
          <w:cantSplit/>
        </w:trPr>
        <w:tc>
          <w:tcPr>
            <w:tcW w:w="6911" w:type="dxa"/>
            <w:tcBorders>
              <w:top w:val="single" w:sz="12" w:space="0" w:color="auto"/>
            </w:tcBorders>
          </w:tcPr>
          <w:p w14:paraId="08E4FA32"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535EFB66" w14:textId="77777777" w:rsidR="00700D1F" w:rsidRPr="00617BE4" w:rsidRDefault="00700D1F" w:rsidP="00001B77">
            <w:pPr>
              <w:spacing w:before="0"/>
              <w:rPr>
                <w:rFonts w:ascii="Verdana" w:hAnsi="Verdana"/>
                <w:szCs w:val="24"/>
              </w:rPr>
            </w:pPr>
          </w:p>
        </w:tc>
      </w:tr>
      <w:tr w:rsidR="00700D1F" w14:paraId="38C398F2" w14:textId="77777777">
        <w:trPr>
          <w:cantSplit/>
          <w:trHeight w:val="23"/>
        </w:trPr>
        <w:tc>
          <w:tcPr>
            <w:tcW w:w="6911" w:type="dxa"/>
            <w:vMerge w:val="restart"/>
          </w:tcPr>
          <w:p w14:paraId="7A38FCAA" w14:textId="79BE219F"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1D3D31">
              <w:rPr>
                <w:b/>
              </w:rPr>
              <w:t>ADM</w:t>
            </w:r>
            <w:r w:rsidR="00B40A53">
              <w:rPr>
                <w:b/>
              </w:rPr>
              <w:t xml:space="preserve"> </w:t>
            </w:r>
            <w:r w:rsidR="001D3D31">
              <w:rPr>
                <w:b/>
                <w:lang w:eastAsia="zh-CN"/>
              </w:rPr>
              <w:t>11</w:t>
            </w:r>
          </w:p>
        </w:tc>
        <w:tc>
          <w:tcPr>
            <w:tcW w:w="3120" w:type="dxa"/>
          </w:tcPr>
          <w:p w14:paraId="7741F792" w14:textId="42A8369C"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911867">
              <w:rPr>
                <w:b/>
                <w:bCs/>
                <w:szCs w:val="24"/>
                <w:lang w:eastAsia="zh-CN"/>
              </w:rPr>
              <w:t>1</w:t>
            </w:r>
            <w:r w:rsidRPr="00FC5386">
              <w:rPr>
                <w:b/>
                <w:bCs/>
                <w:szCs w:val="24"/>
                <w:lang w:eastAsia="zh-CN"/>
              </w:rPr>
              <w:t>/</w:t>
            </w:r>
            <w:r w:rsidR="001D3D31">
              <w:rPr>
                <w:b/>
                <w:bCs/>
                <w:szCs w:val="24"/>
                <w:lang w:eastAsia="zh-CN"/>
              </w:rPr>
              <w:t>39</w:t>
            </w:r>
            <w:r w:rsidRPr="00FC5386">
              <w:rPr>
                <w:b/>
                <w:bCs/>
                <w:szCs w:val="24"/>
                <w:lang w:eastAsia="zh-CN"/>
              </w:rPr>
              <w:t>-C</w:t>
            </w:r>
          </w:p>
        </w:tc>
      </w:tr>
      <w:bookmarkEnd w:id="1"/>
      <w:tr w:rsidR="00700D1F" w14:paraId="505259C8" w14:textId="77777777">
        <w:trPr>
          <w:cantSplit/>
          <w:trHeight w:val="23"/>
        </w:trPr>
        <w:tc>
          <w:tcPr>
            <w:tcW w:w="6911" w:type="dxa"/>
            <w:vMerge/>
          </w:tcPr>
          <w:p w14:paraId="42CF4DF6" w14:textId="77777777" w:rsidR="00700D1F" w:rsidRDefault="00700D1F" w:rsidP="00001B77">
            <w:pPr>
              <w:tabs>
                <w:tab w:val="left" w:pos="851"/>
              </w:tabs>
              <w:rPr>
                <w:b/>
                <w:lang w:eastAsia="zh-CN"/>
              </w:rPr>
            </w:pPr>
          </w:p>
        </w:tc>
        <w:tc>
          <w:tcPr>
            <w:tcW w:w="3120" w:type="dxa"/>
          </w:tcPr>
          <w:p w14:paraId="25EEAC3D" w14:textId="119EE926"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911867">
              <w:rPr>
                <w:b/>
                <w:bCs/>
                <w:szCs w:val="24"/>
                <w:lang w:eastAsia="zh-CN"/>
              </w:rPr>
              <w:t>1</w:t>
            </w:r>
            <w:r w:rsidRPr="00FC5386">
              <w:rPr>
                <w:rFonts w:hint="eastAsia"/>
                <w:b/>
                <w:bCs/>
                <w:szCs w:val="24"/>
                <w:lang w:eastAsia="zh-CN"/>
              </w:rPr>
              <w:t>年</w:t>
            </w:r>
            <w:r w:rsidR="00843F66">
              <w:rPr>
                <w:rFonts w:asciiTheme="minorHAnsi" w:hAnsiTheme="minorHAnsi" w:cstheme="minorHAnsi" w:hint="eastAsia"/>
                <w:b/>
                <w:bCs/>
                <w:szCs w:val="24"/>
                <w:lang w:eastAsia="zh-CN"/>
              </w:rPr>
              <w:t>4</w:t>
            </w:r>
            <w:r w:rsidRPr="00FC5386">
              <w:rPr>
                <w:rFonts w:hint="eastAsia"/>
                <w:b/>
                <w:bCs/>
                <w:szCs w:val="24"/>
                <w:lang w:eastAsia="zh-CN"/>
              </w:rPr>
              <w:t>月</w:t>
            </w:r>
            <w:r w:rsidR="00C71D4A">
              <w:rPr>
                <w:rFonts w:asciiTheme="minorHAnsi" w:hAnsiTheme="minorHAnsi" w:cstheme="minorHAnsi"/>
                <w:b/>
                <w:bCs/>
                <w:szCs w:val="24"/>
                <w:lang w:eastAsia="zh-CN"/>
              </w:rPr>
              <w:t>28</w:t>
            </w:r>
            <w:r w:rsidRPr="00FC5386">
              <w:rPr>
                <w:rFonts w:hint="eastAsia"/>
                <w:b/>
                <w:bCs/>
                <w:szCs w:val="24"/>
                <w:lang w:eastAsia="zh-CN"/>
              </w:rPr>
              <w:t>日</w:t>
            </w:r>
          </w:p>
        </w:tc>
      </w:tr>
      <w:tr w:rsidR="00700D1F" w14:paraId="5AEAE669" w14:textId="77777777">
        <w:trPr>
          <w:cantSplit/>
          <w:trHeight w:val="23"/>
        </w:trPr>
        <w:tc>
          <w:tcPr>
            <w:tcW w:w="6911" w:type="dxa"/>
            <w:vMerge/>
          </w:tcPr>
          <w:p w14:paraId="024B1B49" w14:textId="77777777" w:rsidR="00700D1F" w:rsidRDefault="00700D1F" w:rsidP="00001B77">
            <w:pPr>
              <w:tabs>
                <w:tab w:val="left" w:pos="851"/>
              </w:tabs>
              <w:rPr>
                <w:b/>
                <w:lang w:eastAsia="zh-CN"/>
              </w:rPr>
            </w:pPr>
          </w:p>
        </w:tc>
        <w:tc>
          <w:tcPr>
            <w:tcW w:w="3120" w:type="dxa"/>
          </w:tcPr>
          <w:p w14:paraId="166279E4"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1EFCFD89" w14:textId="77777777">
        <w:trPr>
          <w:cantSplit/>
        </w:trPr>
        <w:tc>
          <w:tcPr>
            <w:tcW w:w="10031" w:type="dxa"/>
          </w:tcPr>
          <w:p w14:paraId="00963F09" w14:textId="7454EBB8" w:rsidR="0093362E" w:rsidRDefault="00E378D8" w:rsidP="00001B77">
            <w:pPr>
              <w:pStyle w:val="Source"/>
              <w:rPr>
                <w:lang w:eastAsia="zh-CN"/>
              </w:rPr>
            </w:pPr>
            <w:r>
              <w:rPr>
                <w:rFonts w:ascii="Times New Roman Bold" w:hAnsi="Times New Roman Bold" w:hint="eastAsia"/>
                <w:lang w:val="fr-CH" w:eastAsia="zh-CN"/>
              </w:rPr>
              <w:t>秘书长的</w:t>
            </w:r>
            <w:r w:rsidR="00C71D4A">
              <w:rPr>
                <w:rFonts w:ascii="Times New Roman Bold" w:hAnsi="Times New Roman Bold" w:hint="eastAsia"/>
                <w:lang w:eastAsia="zh-CN"/>
              </w:rPr>
              <w:t>报告</w:t>
            </w:r>
          </w:p>
        </w:tc>
      </w:tr>
      <w:tr w:rsidR="0093362E" w14:paraId="4489F439" w14:textId="77777777">
        <w:trPr>
          <w:cantSplit/>
        </w:trPr>
        <w:tc>
          <w:tcPr>
            <w:tcW w:w="10031" w:type="dxa"/>
          </w:tcPr>
          <w:p w14:paraId="6A972C43" w14:textId="68C7D64E" w:rsidR="00843F66" w:rsidRPr="00C71D4A" w:rsidRDefault="00C71D4A" w:rsidP="00EB4CE4">
            <w:pPr>
              <w:pStyle w:val="Title1"/>
              <w:spacing w:after="120"/>
              <w:rPr>
                <w:bCs/>
                <w:szCs w:val="28"/>
                <w:lang w:eastAsia="zh-CN"/>
              </w:rPr>
            </w:pPr>
            <w:r w:rsidRPr="00C71D4A">
              <w:rPr>
                <w:rFonts w:ascii="Times New Roman" w:hAnsi="Times New Roman" w:hint="eastAsia"/>
                <w:caps w:val="0"/>
                <w:szCs w:val="28"/>
                <w:lang w:eastAsia="zh-CN"/>
              </w:rPr>
              <w:t>申请免予缴纳</w:t>
            </w:r>
            <w:r w:rsidR="003C63C9">
              <w:rPr>
                <w:rFonts w:ascii="Times New Roman" w:hAnsi="Times New Roman"/>
                <w:caps w:val="0"/>
                <w:szCs w:val="28"/>
                <w:lang w:eastAsia="zh-CN"/>
              </w:rPr>
              <w:br/>
            </w:r>
            <w:r w:rsidRPr="00C71D4A">
              <w:rPr>
                <w:rFonts w:ascii="Times New Roman" w:hAnsi="Times New Roman" w:hint="eastAsia"/>
                <w:caps w:val="0"/>
                <w:szCs w:val="28"/>
                <w:lang w:eastAsia="zh-CN"/>
              </w:rPr>
              <w:t>用于摊付参加国际电联工作费用的会费</w:t>
            </w:r>
          </w:p>
        </w:tc>
      </w:tr>
    </w:tbl>
    <w:p w14:paraId="4AE5B406" w14:textId="77777777" w:rsidR="003C63C9" w:rsidRPr="003C63C9" w:rsidRDefault="003C63C9" w:rsidP="006D2DC3">
      <w:pPr>
        <w:tabs>
          <w:tab w:val="clear" w:pos="794"/>
          <w:tab w:val="clear" w:pos="1191"/>
          <w:tab w:val="clear" w:pos="1588"/>
          <w:tab w:val="clear" w:pos="1985"/>
        </w:tabs>
        <w:overflowPunct/>
        <w:autoSpaceDE/>
        <w:autoSpaceDN/>
        <w:adjustRightInd/>
        <w:textAlignment w:val="auto"/>
        <w:rPr>
          <w:rFonts w:cs="Calibri"/>
          <w:szCs w:val="24"/>
          <w:lang w:val="en-US" w:eastAsia="zh-CN"/>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3C63C9" w:rsidRPr="003C63C9" w14:paraId="0CDA0082" w14:textId="77777777" w:rsidTr="00B77259">
        <w:trPr>
          <w:trHeight w:val="3372"/>
        </w:trPr>
        <w:tc>
          <w:tcPr>
            <w:tcW w:w="8080" w:type="dxa"/>
            <w:tcBorders>
              <w:top w:val="single" w:sz="12" w:space="0" w:color="auto"/>
              <w:left w:val="single" w:sz="12" w:space="0" w:color="auto"/>
              <w:bottom w:val="single" w:sz="12" w:space="0" w:color="auto"/>
              <w:right w:val="single" w:sz="12" w:space="0" w:color="auto"/>
            </w:tcBorders>
          </w:tcPr>
          <w:p w14:paraId="693818A1" w14:textId="77777777" w:rsidR="003C63C9" w:rsidRPr="003C63C9" w:rsidRDefault="003C63C9" w:rsidP="003C63C9">
            <w:pPr>
              <w:keepNext/>
              <w:keepLines/>
              <w:tabs>
                <w:tab w:val="clear" w:pos="1191"/>
                <w:tab w:val="clear" w:pos="1588"/>
                <w:tab w:val="clear" w:pos="1985"/>
                <w:tab w:val="left" w:pos="2127"/>
                <w:tab w:val="left" w:pos="2410"/>
                <w:tab w:val="left" w:pos="2921"/>
                <w:tab w:val="left" w:pos="3261"/>
              </w:tabs>
              <w:overflowPunct/>
              <w:autoSpaceDE/>
              <w:autoSpaceDN/>
              <w:adjustRightInd/>
              <w:spacing w:after="120"/>
              <w:jc w:val="both"/>
              <w:textAlignment w:val="auto"/>
              <w:rPr>
                <w:rFonts w:asciiTheme="minorHAnsi" w:hAnsiTheme="minorHAnsi" w:cstheme="minorHAnsi"/>
                <w:b/>
                <w:szCs w:val="24"/>
                <w:lang w:val="en-US" w:eastAsia="zh-CN"/>
              </w:rPr>
            </w:pPr>
            <w:r w:rsidRPr="003C63C9">
              <w:rPr>
                <w:rFonts w:asciiTheme="minorHAnsi" w:hAnsiTheme="minorHAnsi" w:cstheme="minorHAnsi"/>
                <w:b/>
                <w:szCs w:val="24"/>
                <w:lang w:val="en-US" w:eastAsia="zh-CN"/>
              </w:rPr>
              <w:t>概要</w:t>
            </w:r>
          </w:p>
          <w:p w14:paraId="2815B926" w14:textId="77777777" w:rsidR="003C63C9" w:rsidRPr="003C63C9" w:rsidRDefault="003C63C9" w:rsidP="003C63C9">
            <w:pPr>
              <w:tabs>
                <w:tab w:val="clear" w:pos="794"/>
                <w:tab w:val="clear" w:pos="1191"/>
                <w:tab w:val="clear" w:pos="1588"/>
                <w:tab w:val="clear" w:pos="1985"/>
              </w:tabs>
              <w:overflowPunct/>
              <w:autoSpaceDE/>
              <w:autoSpaceDN/>
              <w:adjustRightInd/>
              <w:spacing w:before="0" w:after="120"/>
              <w:ind w:firstLineChars="200" w:firstLine="480"/>
              <w:jc w:val="both"/>
              <w:textAlignment w:val="auto"/>
              <w:rPr>
                <w:rFonts w:asciiTheme="minorHAnsi" w:hAnsiTheme="minorHAnsi" w:cstheme="minorHAnsi"/>
                <w:szCs w:val="24"/>
                <w:lang w:val="en-US" w:eastAsia="zh-CN"/>
              </w:rPr>
            </w:pPr>
            <w:r w:rsidRPr="003C63C9">
              <w:rPr>
                <w:rFonts w:asciiTheme="minorHAnsi" w:hAnsiTheme="minorHAnsi" w:cstheme="minorHAnsi"/>
                <w:szCs w:val="24"/>
                <w:lang w:val="en-US" w:eastAsia="zh-CN"/>
              </w:rPr>
              <w:t>五个</w:t>
            </w:r>
            <w:r w:rsidRPr="003C63C9">
              <w:rPr>
                <w:rFonts w:asciiTheme="minorHAnsi" w:hAnsiTheme="minorHAnsi" w:cstheme="minorHAnsi"/>
                <w:szCs w:val="24"/>
                <w:lang w:val="zh-CN" w:eastAsia="zh-CN"/>
              </w:rPr>
              <w:t>区域性或国际性组织提出了免予缴纳会费的请求。理事会须根据相关导则，考虑秘书长就这些组织参加国际电联活动是否互利所表示的意见。</w:t>
            </w:r>
          </w:p>
          <w:p w14:paraId="646CA66B" w14:textId="77777777" w:rsidR="003C63C9" w:rsidRPr="003C63C9" w:rsidRDefault="003C63C9" w:rsidP="003C63C9">
            <w:pPr>
              <w:keepNext/>
              <w:keepLines/>
              <w:tabs>
                <w:tab w:val="clear" w:pos="1191"/>
                <w:tab w:val="clear" w:pos="1588"/>
                <w:tab w:val="clear" w:pos="1985"/>
                <w:tab w:val="left" w:pos="2127"/>
                <w:tab w:val="left" w:pos="2410"/>
                <w:tab w:val="left" w:pos="2921"/>
                <w:tab w:val="left" w:pos="3261"/>
              </w:tabs>
              <w:overflowPunct/>
              <w:autoSpaceDE/>
              <w:autoSpaceDN/>
              <w:adjustRightInd/>
              <w:spacing w:after="120"/>
              <w:jc w:val="both"/>
              <w:textAlignment w:val="auto"/>
              <w:rPr>
                <w:rFonts w:asciiTheme="minorHAnsi" w:hAnsiTheme="minorHAnsi" w:cstheme="minorHAnsi"/>
                <w:b/>
                <w:szCs w:val="24"/>
                <w:lang w:val="en-US" w:eastAsia="zh-CN"/>
              </w:rPr>
            </w:pPr>
            <w:r w:rsidRPr="003C63C9">
              <w:rPr>
                <w:rFonts w:asciiTheme="minorHAnsi" w:hAnsiTheme="minorHAnsi" w:cstheme="minorHAnsi"/>
                <w:b/>
                <w:szCs w:val="24"/>
                <w:lang w:val="en-US" w:eastAsia="zh-CN"/>
              </w:rPr>
              <w:t>需要采取的行动</w:t>
            </w:r>
          </w:p>
          <w:p w14:paraId="373938E1" w14:textId="77777777" w:rsidR="003C63C9" w:rsidRPr="003C63C9" w:rsidRDefault="003C63C9" w:rsidP="003C63C9">
            <w:pPr>
              <w:tabs>
                <w:tab w:val="clear" w:pos="794"/>
                <w:tab w:val="clear" w:pos="1191"/>
                <w:tab w:val="clear" w:pos="1588"/>
                <w:tab w:val="clear" w:pos="1985"/>
              </w:tabs>
              <w:overflowPunct/>
              <w:autoSpaceDE/>
              <w:autoSpaceDN/>
              <w:adjustRightInd/>
              <w:spacing w:before="0"/>
              <w:ind w:firstLineChars="200" w:firstLine="480"/>
              <w:textAlignment w:val="auto"/>
              <w:rPr>
                <w:rFonts w:asciiTheme="minorHAnsi" w:hAnsiTheme="minorHAnsi" w:cstheme="minorHAnsi"/>
                <w:szCs w:val="22"/>
                <w:lang w:eastAsia="zh-CN"/>
              </w:rPr>
            </w:pPr>
            <w:r w:rsidRPr="003C63C9">
              <w:rPr>
                <w:rFonts w:asciiTheme="minorHAnsi" w:hAnsiTheme="minorHAnsi" w:cstheme="minorHAnsi"/>
                <w:szCs w:val="24"/>
                <w:lang w:val="en-US" w:eastAsia="zh-CN"/>
              </w:rPr>
              <w:t>请理事会</w:t>
            </w:r>
            <w:r w:rsidRPr="003C63C9">
              <w:rPr>
                <w:rFonts w:asciiTheme="minorHAnsi" w:hAnsiTheme="minorHAnsi" w:cstheme="minorHAnsi"/>
                <w:b/>
                <w:szCs w:val="24"/>
                <w:lang w:val="en-US" w:eastAsia="zh-CN"/>
              </w:rPr>
              <w:t>审议</w:t>
            </w:r>
            <w:r w:rsidRPr="003C63C9">
              <w:rPr>
                <w:rFonts w:asciiTheme="minorHAnsi" w:hAnsiTheme="minorHAnsi" w:cstheme="minorHAnsi"/>
                <w:szCs w:val="24"/>
                <w:lang w:val="en-US" w:eastAsia="zh-CN"/>
              </w:rPr>
              <w:t>有关作为部门成员参加国际电联的工作但免予缴纳会费的请求</w:t>
            </w:r>
            <w:r w:rsidRPr="003C63C9">
              <w:rPr>
                <w:rFonts w:asciiTheme="minorHAnsi" w:hAnsiTheme="minorHAnsi" w:cstheme="minorHAnsi"/>
                <w:szCs w:val="24"/>
                <w:lang w:eastAsia="zh-CN"/>
              </w:rPr>
              <w:t>，</w:t>
            </w:r>
            <w:r w:rsidRPr="003C63C9">
              <w:rPr>
                <w:rFonts w:asciiTheme="minorHAnsi" w:hAnsiTheme="minorHAnsi" w:cstheme="minorHAnsi"/>
                <w:szCs w:val="24"/>
                <w:lang w:val="en-US" w:eastAsia="zh-CN"/>
              </w:rPr>
              <w:t>并</w:t>
            </w:r>
            <w:r w:rsidRPr="003C63C9">
              <w:rPr>
                <w:rFonts w:asciiTheme="minorHAnsi" w:hAnsiTheme="minorHAnsi" w:cstheme="minorHAnsi"/>
                <w:b/>
                <w:szCs w:val="24"/>
                <w:lang w:val="en-US" w:eastAsia="zh-CN"/>
              </w:rPr>
              <w:t>批准</w:t>
            </w:r>
            <w:r w:rsidRPr="003C63C9">
              <w:rPr>
                <w:rFonts w:asciiTheme="minorHAnsi" w:hAnsiTheme="minorHAnsi" w:cstheme="minorHAnsi"/>
                <w:szCs w:val="24"/>
                <w:lang w:val="en-US" w:eastAsia="zh-CN"/>
              </w:rPr>
              <w:t>秘书长的建议。</w:t>
            </w:r>
          </w:p>
          <w:p w14:paraId="2947D9B2" w14:textId="77777777" w:rsidR="003C63C9" w:rsidRPr="003C63C9" w:rsidRDefault="003C63C9" w:rsidP="003C63C9">
            <w:pPr>
              <w:overflowPunct/>
              <w:autoSpaceDE/>
              <w:autoSpaceDN/>
              <w:adjustRightInd/>
              <w:spacing w:after="120"/>
              <w:jc w:val="center"/>
              <w:textAlignment w:val="auto"/>
              <w:rPr>
                <w:rFonts w:asciiTheme="minorHAnsi" w:hAnsiTheme="minorHAnsi" w:cstheme="minorHAnsi"/>
                <w:szCs w:val="24"/>
                <w:lang w:val="en-US" w:eastAsia="zh-CN"/>
              </w:rPr>
            </w:pPr>
            <w:r w:rsidRPr="003C63C9">
              <w:rPr>
                <w:rFonts w:asciiTheme="minorHAnsi" w:hAnsiTheme="minorHAnsi" w:cstheme="minorHAnsi"/>
                <w:szCs w:val="24"/>
                <w:lang w:val="en-US" w:eastAsia="zh-CN"/>
              </w:rPr>
              <w:t>____________</w:t>
            </w:r>
          </w:p>
          <w:p w14:paraId="44773FDB" w14:textId="77777777" w:rsidR="003C63C9" w:rsidRPr="003C63C9" w:rsidRDefault="003C63C9" w:rsidP="003C63C9">
            <w:pPr>
              <w:keepNext/>
              <w:keepLines/>
              <w:tabs>
                <w:tab w:val="clear" w:pos="1191"/>
                <w:tab w:val="clear" w:pos="1588"/>
                <w:tab w:val="clear" w:pos="1985"/>
                <w:tab w:val="left" w:pos="2127"/>
                <w:tab w:val="left" w:pos="2410"/>
                <w:tab w:val="left" w:pos="2921"/>
                <w:tab w:val="left" w:pos="3261"/>
              </w:tabs>
              <w:overflowPunct/>
              <w:autoSpaceDE/>
              <w:autoSpaceDN/>
              <w:adjustRightInd/>
              <w:spacing w:after="120"/>
              <w:textAlignment w:val="auto"/>
              <w:rPr>
                <w:rFonts w:asciiTheme="minorHAnsi" w:hAnsiTheme="minorHAnsi" w:cstheme="minorHAnsi"/>
                <w:b/>
                <w:szCs w:val="24"/>
                <w:lang w:val="en-US" w:eastAsia="zh-CN"/>
              </w:rPr>
            </w:pPr>
            <w:r w:rsidRPr="003C63C9">
              <w:rPr>
                <w:rFonts w:asciiTheme="minorHAnsi" w:hAnsiTheme="minorHAnsi" w:cstheme="minorHAnsi"/>
                <w:b/>
                <w:szCs w:val="24"/>
                <w:lang w:val="en-US" w:eastAsia="zh-CN"/>
              </w:rPr>
              <w:t>参考文件</w:t>
            </w:r>
          </w:p>
          <w:p w14:paraId="2DD98542" w14:textId="77777777" w:rsidR="003C63C9" w:rsidRPr="003C63C9" w:rsidRDefault="00D537EF" w:rsidP="003C63C9">
            <w:pPr>
              <w:tabs>
                <w:tab w:val="clear" w:pos="794"/>
                <w:tab w:val="clear" w:pos="1191"/>
                <w:tab w:val="clear" w:pos="1588"/>
                <w:tab w:val="clear" w:pos="1985"/>
              </w:tabs>
              <w:overflowPunct/>
              <w:autoSpaceDE/>
              <w:autoSpaceDN/>
              <w:adjustRightInd/>
              <w:spacing w:before="0" w:after="120"/>
              <w:textAlignment w:val="auto"/>
              <w:rPr>
                <w:rFonts w:asciiTheme="minorHAnsi" w:hAnsiTheme="minorHAnsi" w:cstheme="minorHAnsi"/>
                <w:i/>
                <w:iCs/>
                <w:szCs w:val="24"/>
                <w:lang w:val="en-US" w:eastAsia="zh-CN"/>
              </w:rPr>
            </w:pPr>
            <w:r>
              <w:fldChar w:fldCharType="begin"/>
            </w:r>
            <w:r>
              <w:rPr>
                <w:lang w:eastAsia="zh-CN"/>
              </w:rPr>
              <w:instrText xml:space="preserve"> HYPERLINK "https://www.itu.int/en/council/2019/Documents/basic-texts/Convention-C.pdf" </w:instrText>
            </w:r>
            <w:r>
              <w:fldChar w:fldCharType="separate"/>
            </w:r>
            <w:r w:rsidR="003C63C9" w:rsidRPr="003C63C9">
              <w:rPr>
                <w:rFonts w:asciiTheme="minorHAnsi" w:eastAsia="STKaiti" w:hAnsiTheme="minorHAnsi" w:cstheme="minorHAnsi"/>
                <w:iCs/>
                <w:color w:val="0000FF"/>
                <w:szCs w:val="24"/>
                <w:u w:val="single"/>
                <w:lang w:val="en-US" w:eastAsia="zh-CN"/>
              </w:rPr>
              <w:t>《公约》第</w:t>
            </w:r>
            <w:r w:rsidR="003C63C9" w:rsidRPr="003C63C9">
              <w:rPr>
                <w:rFonts w:asciiTheme="minorHAnsi" w:eastAsia="STKaiti" w:hAnsiTheme="minorHAnsi" w:cstheme="minorHAnsi"/>
                <w:iCs/>
                <w:color w:val="0000FF"/>
                <w:szCs w:val="24"/>
                <w:u w:val="single"/>
                <w:lang w:eastAsia="zh-CN"/>
              </w:rPr>
              <w:t>231</w:t>
            </w:r>
            <w:r w:rsidR="003C63C9" w:rsidRPr="003C63C9">
              <w:rPr>
                <w:rFonts w:asciiTheme="minorHAnsi" w:eastAsia="STKaiti" w:hAnsiTheme="minorHAnsi" w:cstheme="minorHAnsi"/>
                <w:iCs/>
                <w:color w:val="0000FF"/>
                <w:szCs w:val="24"/>
                <w:u w:val="single"/>
                <w:lang w:val="en-US" w:eastAsia="zh-CN"/>
              </w:rPr>
              <w:t>款</w:t>
            </w:r>
            <w:r>
              <w:rPr>
                <w:rFonts w:asciiTheme="minorHAnsi" w:eastAsia="STKaiti" w:hAnsiTheme="minorHAnsi" w:cstheme="minorHAnsi"/>
                <w:iCs/>
                <w:color w:val="0000FF"/>
                <w:szCs w:val="24"/>
                <w:u w:val="single"/>
                <w:lang w:val="en-US" w:eastAsia="zh-CN"/>
              </w:rPr>
              <w:fldChar w:fldCharType="end"/>
            </w:r>
            <w:r w:rsidR="003C63C9" w:rsidRPr="003C63C9">
              <w:rPr>
                <w:rFonts w:asciiTheme="minorHAnsi" w:eastAsia="STKaiti" w:hAnsiTheme="minorHAnsi" w:cstheme="minorHAnsi"/>
                <w:iCs/>
                <w:szCs w:val="24"/>
                <w:lang w:val="en-US" w:eastAsia="zh-CN"/>
              </w:rPr>
              <w:t>、</w:t>
            </w:r>
            <w:r>
              <w:fldChar w:fldCharType="begin"/>
            </w:r>
            <w:r>
              <w:rPr>
                <w:lang w:eastAsia="zh-CN"/>
              </w:rPr>
              <w:instrText xml:space="preserve"> HYPERLINK "http://www.itu.int/itudoc/gs/council/c00/docs/28rev1.html" \t "_blank" </w:instrText>
            </w:r>
            <w:r>
              <w:fldChar w:fldCharType="separate"/>
            </w:r>
            <w:r w:rsidR="003C63C9" w:rsidRPr="003C63C9">
              <w:rPr>
                <w:rFonts w:asciiTheme="minorHAnsi" w:eastAsia="STKaiti" w:hAnsiTheme="minorHAnsi" w:cstheme="minorHAnsi"/>
                <w:color w:val="0000FF"/>
                <w:szCs w:val="24"/>
                <w:u w:val="single"/>
                <w:lang w:eastAsia="zh-CN"/>
              </w:rPr>
              <w:t>C2000/28</w:t>
            </w:r>
            <w:r w:rsidR="003C63C9" w:rsidRPr="003C63C9">
              <w:rPr>
                <w:rFonts w:asciiTheme="minorHAnsi" w:eastAsia="STKaiti" w:hAnsiTheme="minorHAnsi" w:cstheme="minorHAnsi"/>
                <w:caps/>
                <w:color w:val="0000FF"/>
                <w:szCs w:val="24"/>
                <w:u w:val="single"/>
                <w:lang w:eastAsia="zh-CN"/>
              </w:rPr>
              <w:t>(</w:t>
            </w:r>
            <w:r w:rsidR="003C63C9" w:rsidRPr="003C63C9">
              <w:rPr>
                <w:rFonts w:asciiTheme="minorHAnsi" w:eastAsia="STKaiti" w:hAnsiTheme="minorHAnsi" w:cstheme="minorHAnsi"/>
                <w:color w:val="0000FF"/>
                <w:szCs w:val="24"/>
                <w:u w:val="single"/>
                <w:lang w:eastAsia="zh-CN"/>
              </w:rPr>
              <w:t>Rev.</w:t>
            </w:r>
            <w:r w:rsidR="003C63C9" w:rsidRPr="003C63C9">
              <w:rPr>
                <w:rFonts w:asciiTheme="minorHAnsi" w:eastAsia="STKaiti" w:hAnsiTheme="minorHAnsi" w:cstheme="minorHAnsi"/>
                <w:caps/>
                <w:color w:val="0000FF"/>
                <w:szCs w:val="24"/>
                <w:u w:val="single"/>
                <w:lang w:eastAsia="zh-CN"/>
              </w:rPr>
              <w:t>1)</w:t>
            </w:r>
            <w:r>
              <w:rPr>
                <w:rFonts w:asciiTheme="minorHAnsi" w:eastAsia="STKaiti" w:hAnsiTheme="minorHAnsi" w:cstheme="minorHAnsi"/>
                <w:caps/>
                <w:color w:val="0000FF"/>
                <w:szCs w:val="24"/>
                <w:u w:val="single"/>
                <w:lang w:eastAsia="zh-CN"/>
              </w:rPr>
              <w:fldChar w:fldCharType="end"/>
            </w:r>
            <w:r w:rsidR="003C63C9" w:rsidRPr="003C63C9">
              <w:rPr>
                <w:rFonts w:asciiTheme="minorHAnsi" w:eastAsia="STKaiti" w:hAnsiTheme="minorHAnsi" w:cstheme="minorHAnsi"/>
                <w:caps/>
                <w:color w:val="0000FF"/>
                <w:szCs w:val="24"/>
                <w:u w:val="single"/>
                <w:lang w:eastAsia="zh-CN"/>
              </w:rPr>
              <w:t>号文件</w:t>
            </w:r>
          </w:p>
        </w:tc>
      </w:tr>
    </w:tbl>
    <w:p w14:paraId="2252324D" w14:textId="77777777" w:rsidR="003C63C9" w:rsidRPr="00181E00" w:rsidRDefault="003C63C9" w:rsidP="00CD6895">
      <w:pPr>
        <w:pStyle w:val="Headingb"/>
        <w:spacing w:before="360"/>
        <w:rPr>
          <w:rFonts w:asciiTheme="minorHAnsi" w:hAnsiTheme="minorHAnsi" w:cstheme="minorHAnsi"/>
          <w:lang w:val="en-US" w:eastAsia="zh-CN"/>
        </w:rPr>
      </w:pPr>
      <w:r w:rsidRPr="00181E00">
        <w:rPr>
          <w:rFonts w:asciiTheme="minorHAnsi" w:hAnsiTheme="minorHAnsi" w:cstheme="minorHAnsi"/>
          <w:lang w:val="en-US" w:eastAsia="zh-CN"/>
        </w:rPr>
        <w:t>背景</w:t>
      </w:r>
    </w:p>
    <w:p w14:paraId="46607ADB" w14:textId="6B3C98D0" w:rsidR="003C63C9" w:rsidRPr="003C63C9" w:rsidRDefault="00CD6895" w:rsidP="00577513">
      <w:pPr>
        <w:tabs>
          <w:tab w:val="clear" w:pos="794"/>
          <w:tab w:val="clear" w:pos="1191"/>
          <w:tab w:val="clear" w:pos="1588"/>
          <w:tab w:val="clear" w:pos="1985"/>
        </w:tabs>
        <w:overflowPunct/>
        <w:autoSpaceDE/>
        <w:autoSpaceDN/>
        <w:adjustRightInd/>
        <w:spacing w:after="120"/>
        <w:jc w:val="both"/>
        <w:textAlignment w:val="auto"/>
        <w:rPr>
          <w:rFonts w:asciiTheme="minorHAnsi" w:hAnsiTheme="minorHAnsi" w:cstheme="minorHAnsi"/>
          <w:szCs w:val="24"/>
          <w:lang w:eastAsia="zh-CN"/>
        </w:rPr>
      </w:pPr>
      <w:r w:rsidRPr="00181E00">
        <w:rPr>
          <w:rFonts w:asciiTheme="minorHAnsi" w:hAnsiTheme="minorHAnsi" w:cstheme="minorHAnsi"/>
          <w:szCs w:val="24"/>
          <w:lang w:eastAsia="zh-CN"/>
        </w:rPr>
        <w:t>1.1</w:t>
      </w:r>
      <w:r w:rsidRPr="00181E00">
        <w:rPr>
          <w:rFonts w:asciiTheme="minorHAnsi" w:hAnsiTheme="minorHAnsi" w:cstheme="minorHAnsi"/>
          <w:szCs w:val="24"/>
          <w:lang w:eastAsia="zh-CN"/>
        </w:rPr>
        <w:tab/>
      </w:r>
      <w:r w:rsidR="003C63C9" w:rsidRPr="003C63C9">
        <w:rPr>
          <w:rFonts w:asciiTheme="minorHAnsi" w:hAnsiTheme="minorHAnsi" w:cstheme="minorHAnsi"/>
          <w:szCs w:val="24"/>
          <w:lang w:eastAsia="zh-CN"/>
        </w:rPr>
        <w:t>理事会</w:t>
      </w:r>
      <w:r w:rsidR="003C63C9" w:rsidRPr="003C63C9">
        <w:rPr>
          <w:rFonts w:asciiTheme="minorHAnsi" w:hAnsiTheme="minorHAnsi" w:cstheme="minorHAnsi"/>
          <w:szCs w:val="24"/>
          <w:lang w:val="en-US" w:eastAsia="zh-CN"/>
        </w:rPr>
        <w:t>2000</w:t>
      </w:r>
      <w:r w:rsidR="003C63C9" w:rsidRPr="003C63C9">
        <w:rPr>
          <w:rFonts w:asciiTheme="minorHAnsi" w:hAnsiTheme="minorHAnsi" w:cstheme="minorHAnsi"/>
          <w:szCs w:val="24"/>
          <w:lang w:val="en-US" w:eastAsia="zh-CN"/>
        </w:rPr>
        <w:t>年</w:t>
      </w:r>
      <w:r w:rsidR="003C63C9" w:rsidRPr="003C63C9">
        <w:rPr>
          <w:rFonts w:asciiTheme="minorHAnsi" w:hAnsiTheme="minorHAnsi" w:cstheme="minorHAnsi"/>
          <w:szCs w:val="24"/>
          <w:lang w:eastAsia="zh-CN"/>
        </w:rPr>
        <w:t>会议通过了以</w:t>
      </w:r>
      <w:r w:rsidR="00181E00" w:rsidRPr="00181E00">
        <w:rPr>
          <w:rFonts w:ascii="SimSun" w:hAnsi="SimSun" w:cstheme="minorHAnsi"/>
          <w:szCs w:val="24"/>
          <w:lang w:eastAsia="zh-CN"/>
        </w:rPr>
        <w:t>“</w:t>
      </w:r>
      <w:r w:rsidR="003C63C9" w:rsidRPr="003C63C9">
        <w:rPr>
          <w:rFonts w:asciiTheme="minorHAnsi" w:hAnsiTheme="minorHAnsi" w:cstheme="minorHAnsi"/>
          <w:szCs w:val="24"/>
          <w:lang w:eastAsia="zh-CN"/>
        </w:rPr>
        <w:t>互惠</w:t>
      </w:r>
      <w:r w:rsidR="00181E00" w:rsidRPr="00181E00">
        <w:rPr>
          <w:rFonts w:ascii="SimSun" w:hAnsi="SimSun" w:cstheme="minorHAnsi"/>
          <w:szCs w:val="24"/>
          <w:lang w:eastAsia="zh-CN"/>
        </w:rPr>
        <w:t>”</w:t>
      </w:r>
      <w:r w:rsidR="003C63C9" w:rsidRPr="003C63C9">
        <w:rPr>
          <w:rFonts w:asciiTheme="minorHAnsi" w:hAnsiTheme="minorHAnsi" w:cstheme="minorHAnsi"/>
          <w:szCs w:val="24"/>
          <w:lang w:eastAsia="zh-CN"/>
        </w:rPr>
        <w:t>为条件免予缴费的标准和导则（</w:t>
      </w:r>
      <w:r w:rsidR="00D537EF">
        <w:fldChar w:fldCharType="begin"/>
      </w:r>
      <w:r w:rsidR="00D537EF">
        <w:rPr>
          <w:lang w:eastAsia="zh-CN"/>
        </w:rPr>
        <w:instrText xml:space="preserve"> HYPERLINK "http://www.itu.int/itudoc/gs/council/c00/docs/28rev1.html" </w:instrText>
      </w:r>
      <w:r w:rsidR="00D537EF">
        <w:fldChar w:fldCharType="separate"/>
      </w:r>
      <w:r w:rsidR="00D537EF">
        <w:fldChar w:fldCharType="begin"/>
      </w:r>
      <w:r w:rsidR="00D537EF">
        <w:rPr>
          <w:lang w:eastAsia="zh-CN"/>
        </w:rPr>
        <w:instrText xml:space="preserve"> HYPERLINK "http://www.itu.int/itudoc/gs/council/c00/docs/28rev1.html" </w:instrText>
      </w:r>
      <w:r w:rsidR="00D537EF">
        <w:fldChar w:fldCharType="separate"/>
      </w:r>
      <w:r w:rsidR="003C63C9" w:rsidRPr="003C63C9">
        <w:rPr>
          <w:rFonts w:asciiTheme="minorHAnsi" w:eastAsia="Calibri" w:hAnsiTheme="minorHAnsi" w:cstheme="minorHAnsi"/>
          <w:color w:val="0000FF"/>
          <w:szCs w:val="24"/>
          <w:u w:val="single"/>
          <w:lang w:eastAsia="zh-CN"/>
        </w:rPr>
        <w:t>C2000/28</w:t>
      </w:r>
      <w:r w:rsidR="003C63C9" w:rsidRPr="003C63C9">
        <w:rPr>
          <w:rFonts w:asciiTheme="minorHAnsi" w:eastAsia="Calibri" w:hAnsiTheme="minorHAnsi" w:cstheme="minorHAnsi"/>
          <w:caps/>
          <w:color w:val="0000FF"/>
          <w:szCs w:val="24"/>
          <w:u w:val="single"/>
          <w:lang w:eastAsia="zh-CN"/>
        </w:rPr>
        <w:t>(</w:t>
      </w:r>
      <w:r w:rsidR="003C63C9" w:rsidRPr="003C63C9">
        <w:rPr>
          <w:rFonts w:asciiTheme="minorHAnsi" w:eastAsia="Calibri" w:hAnsiTheme="minorHAnsi" w:cstheme="minorHAnsi"/>
          <w:color w:val="0000FF"/>
          <w:szCs w:val="24"/>
          <w:u w:val="single"/>
          <w:lang w:eastAsia="zh-CN"/>
        </w:rPr>
        <w:t>Rev.</w:t>
      </w:r>
      <w:r w:rsidR="003C63C9" w:rsidRPr="003C63C9">
        <w:rPr>
          <w:rFonts w:asciiTheme="minorHAnsi" w:eastAsia="Calibri" w:hAnsiTheme="minorHAnsi" w:cstheme="minorHAnsi"/>
          <w:caps/>
          <w:color w:val="0000FF"/>
          <w:szCs w:val="24"/>
          <w:u w:val="single"/>
          <w:lang w:eastAsia="zh-CN"/>
        </w:rPr>
        <w:t>1)</w:t>
      </w:r>
      <w:r w:rsidR="00D537EF">
        <w:rPr>
          <w:rFonts w:asciiTheme="minorHAnsi" w:eastAsia="Calibri" w:hAnsiTheme="minorHAnsi" w:cstheme="minorHAnsi"/>
          <w:caps/>
          <w:color w:val="0000FF"/>
          <w:szCs w:val="24"/>
          <w:u w:val="single"/>
          <w:lang w:eastAsia="zh-CN"/>
        </w:rPr>
        <w:fldChar w:fldCharType="end"/>
      </w:r>
      <w:r w:rsidR="00D537EF">
        <w:rPr>
          <w:rFonts w:asciiTheme="minorHAnsi" w:eastAsia="Calibri" w:hAnsiTheme="minorHAnsi" w:cstheme="minorHAnsi"/>
          <w:caps/>
          <w:color w:val="0000FF"/>
          <w:szCs w:val="24"/>
          <w:u w:val="single"/>
          <w:lang w:eastAsia="zh-CN"/>
        </w:rPr>
        <w:fldChar w:fldCharType="end"/>
      </w:r>
      <w:r w:rsidR="00933865" w:rsidRPr="00181E00">
        <w:rPr>
          <w:rFonts w:asciiTheme="minorHAnsi" w:hAnsiTheme="minorHAnsi" w:cstheme="minorHAnsi"/>
          <w:szCs w:val="24"/>
          <w:lang w:eastAsia="zh-CN"/>
        </w:rPr>
        <w:t>号文件</w:t>
      </w:r>
      <w:r w:rsidR="003C63C9" w:rsidRPr="003C63C9">
        <w:rPr>
          <w:rFonts w:asciiTheme="minorHAnsi" w:hAnsiTheme="minorHAnsi" w:cstheme="minorHAnsi"/>
          <w:szCs w:val="24"/>
          <w:lang w:eastAsia="zh-CN"/>
        </w:rPr>
        <w:t>）。理事会在</w:t>
      </w:r>
      <w:r w:rsidR="003C63C9" w:rsidRPr="003C63C9">
        <w:rPr>
          <w:rFonts w:asciiTheme="minorHAnsi" w:hAnsiTheme="minorHAnsi" w:cstheme="minorHAnsi"/>
          <w:szCs w:val="24"/>
          <w:lang w:eastAsia="zh-CN"/>
        </w:rPr>
        <w:t>2017</w:t>
      </w:r>
      <w:r w:rsidR="003C63C9" w:rsidRPr="003C63C9">
        <w:rPr>
          <w:rFonts w:asciiTheme="minorHAnsi" w:hAnsiTheme="minorHAnsi" w:cstheme="minorHAnsi"/>
          <w:szCs w:val="24"/>
          <w:lang w:eastAsia="zh-CN"/>
        </w:rPr>
        <w:t>年对这些标准进行了审查和修订，可从</w:t>
      </w:r>
      <w:r w:rsidR="00D537EF">
        <w:fldChar w:fldCharType="begin"/>
      </w:r>
      <w:r w:rsidR="00D537EF">
        <w:rPr>
          <w:lang w:eastAsia="zh-CN"/>
        </w:rPr>
        <w:instrText xml:space="preserve"> HYPERLINK "https://www.itu.int/en/membership/Pages/exemption-c</w:instrText>
      </w:r>
      <w:r w:rsidR="00D537EF">
        <w:rPr>
          <w:lang w:eastAsia="zh-CN"/>
        </w:rPr>
        <w:instrText xml:space="preserve">riteria.aspx" \h </w:instrText>
      </w:r>
      <w:r w:rsidR="00D537EF">
        <w:fldChar w:fldCharType="separate"/>
      </w:r>
      <w:r w:rsidR="003C63C9" w:rsidRPr="003C63C9">
        <w:rPr>
          <w:rFonts w:asciiTheme="minorHAnsi" w:hAnsiTheme="minorHAnsi" w:cstheme="minorHAnsi"/>
          <w:color w:val="0000FF"/>
          <w:szCs w:val="24"/>
          <w:u w:val="single"/>
          <w:lang w:eastAsia="zh-CN"/>
        </w:rPr>
        <w:t>此处</w:t>
      </w:r>
      <w:r w:rsidR="00D537EF">
        <w:rPr>
          <w:rFonts w:asciiTheme="minorHAnsi" w:hAnsiTheme="minorHAnsi" w:cstheme="minorHAnsi"/>
          <w:color w:val="0000FF"/>
          <w:szCs w:val="24"/>
          <w:u w:val="single"/>
          <w:lang w:eastAsia="zh-CN"/>
        </w:rPr>
        <w:fldChar w:fldCharType="end"/>
      </w:r>
      <w:r w:rsidR="003C63C9" w:rsidRPr="003C63C9">
        <w:rPr>
          <w:rFonts w:asciiTheme="minorHAnsi" w:hAnsiTheme="minorHAnsi" w:cstheme="minorHAnsi"/>
          <w:szCs w:val="24"/>
          <w:lang w:eastAsia="zh-CN"/>
        </w:rPr>
        <w:t>获得这些标准。</w:t>
      </w:r>
    </w:p>
    <w:p w14:paraId="7E55F6F3" w14:textId="7D63C292" w:rsidR="003C63C9" w:rsidRPr="003C63C9" w:rsidRDefault="00CD6895" w:rsidP="00CD6895">
      <w:pPr>
        <w:tabs>
          <w:tab w:val="clear" w:pos="794"/>
          <w:tab w:val="clear" w:pos="1191"/>
          <w:tab w:val="clear" w:pos="1588"/>
          <w:tab w:val="clear" w:pos="1985"/>
        </w:tabs>
        <w:overflowPunct/>
        <w:autoSpaceDE/>
        <w:autoSpaceDN/>
        <w:adjustRightInd/>
        <w:spacing w:before="0" w:after="120"/>
        <w:jc w:val="both"/>
        <w:textAlignment w:val="auto"/>
        <w:rPr>
          <w:rFonts w:asciiTheme="minorHAnsi" w:hAnsiTheme="minorHAnsi" w:cstheme="minorHAnsi"/>
          <w:szCs w:val="24"/>
          <w:lang w:eastAsia="zh-CN"/>
        </w:rPr>
      </w:pPr>
      <w:r w:rsidRPr="00181E00">
        <w:rPr>
          <w:rFonts w:asciiTheme="minorHAnsi" w:hAnsiTheme="minorHAnsi" w:cstheme="minorHAnsi"/>
          <w:szCs w:val="24"/>
          <w:lang w:eastAsia="zh-CN"/>
        </w:rPr>
        <w:t>1.2</w:t>
      </w:r>
      <w:r w:rsidRPr="00181E00">
        <w:rPr>
          <w:rFonts w:asciiTheme="minorHAnsi" w:hAnsiTheme="minorHAnsi" w:cstheme="minorHAnsi"/>
          <w:szCs w:val="24"/>
          <w:lang w:eastAsia="zh-CN"/>
        </w:rPr>
        <w:tab/>
      </w:r>
      <w:r w:rsidR="003C63C9" w:rsidRPr="003C63C9">
        <w:rPr>
          <w:rFonts w:asciiTheme="minorHAnsi" w:hAnsiTheme="minorHAnsi" w:cstheme="minorHAnsi"/>
          <w:szCs w:val="24"/>
          <w:lang w:eastAsia="zh-CN"/>
        </w:rPr>
        <w:t>继相关局进行分析以及秘书长提出建议后，由理事会准予免缴会费。主要标准包括：相关实体必须是涉及电信</w:t>
      </w:r>
      <w:r w:rsidR="003C63C9" w:rsidRPr="003C63C9">
        <w:rPr>
          <w:rFonts w:asciiTheme="minorHAnsi" w:hAnsiTheme="minorHAnsi" w:cstheme="minorHAnsi"/>
          <w:color w:val="000000"/>
          <w:szCs w:val="24"/>
          <w:lang w:eastAsia="zh-CN"/>
        </w:rPr>
        <w:t>/ICT</w:t>
      </w:r>
      <w:r w:rsidR="003C63C9" w:rsidRPr="003C63C9">
        <w:rPr>
          <w:rFonts w:asciiTheme="minorHAnsi" w:hAnsiTheme="minorHAnsi" w:cstheme="minorHAnsi"/>
          <w:color w:val="000000"/>
          <w:szCs w:val="24"/>
          <w:lang w:eastAsia="zh-CN"/>
        </w:rPr>
        <w:t>问题的、法律认可的、</w:t>
      </w:r>
      <w:r w:rsidR="003C63C9" w:rsidRPr="003C63C9">
        <w:rPr>
          <w:rFonts w:asciiTheme="minorHAnsi" w:hAnsiTheme="minorHAnsi" w:cstheme="minorHAnsi"/>
          <w:szCs w:val="24"/>
          <w:lang w:eastAsia="zh-CN"/>
        </w:rPr>
        <w:t>非营利性的、区域性或国际性组织，在多个国家拥有非营利性的成员并开展活动且向国际电联提供互惠条件。如获得批准，这些实体根据《公约》第</w:t>
      </w:r>
      <w:r w:rsidR="003C63C9" w:rsidRPr="003C63C9">
        <w:rPr>
          <w:rFonts w:asciiTheme="minorHAnsi" w:hAnsiTheme="minorHAnsi" w:cstheme="minorHAnsi"/>
          <w:szCs w:val="24"/>
          <w:lang w:eastAsia="zh-CN"/>
        </w:rPr>
        <w:t>231</w:t>
      </w:r>
      <w:r w:rsidR="003C63C9" w:rsidRPr="003C63C9">
        <w:rPr>
          <w:rFonts w:asciiTheme="minorHAnsi" w:hAnsiTheme="minorHAnsi" w:cstheme="minorHAnsi"/>
          <w:szCs w:val="24"/>
          <w:lang w:eastAsia="zh-CN"/>
        </w:rPr>
        <w:t>款的规定成为部门成员或部门准成员。</w:t>
      </w:r>
    </w:p>
    <w:p w14:paraId="3816A920" w14:textId="77777777" w:rsidR="00A82674" w:rsidRPr="00181E00" w:rsidRDefault="00A82674">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lang w:val="en-US" w:eastAsia="zh-CN"/>
        </w:rPr>
      </w:pPr>
      <w:r w:rsidRPr="00181E00">
        <w:rPr>
          <w:rFonts w:asciiTheme="minorHAnsi" w:hAnsiTheme="minorHAnsi" w:cstheme="minorHAnsi"/>
          <w:lang w:val="en-US" w:eastAsia="zh-CN"/>
        </w:rPr>
        <w:br w:type="page"/>
      </w:r>
    </w:p>
    <w:p w14:paraId="42EFCED9" w14:textId="70EC661F" w:rsidR="003C63C9" w:rsidRPr="003C63C9" w:rsidRDefault="003C63C9" w:rsidP="00CD6895">
      <w:pPr>
        <w:pStyle w:val="Headingb"/>
        <w:spacing w:before="360"/>
        <w:rPr>
          <w:lang w:val="en-US" w:eastAsia="zh-CN"/>
        </w:rPr>
      </w:pPr>
      <w:r w:rsidRPr="003C63C9">
        <w:rPr>
          <w:rFonts w:hint="eastAsia"/>
          <w:lang w:val="en-US" w:eastAsia="zh-CN"/>
        </w:rPr>
        <w:lastRenderedPageBreak/>
        <w:t>申请</w:t>
      </w:r>
      <w:r w:rsidRPr="003C63C9">
        <w:rPr>
          <w:lang w:val="en-US" w:eastAsia="zh-CN"/>
        </w:rPr>
        <w:t>和建议</w:t>
      </w:r>
    </w:p>
    <w:p w14:paraId="04DF3D5E" w14:textId="77777777" w:rsidR="003C63C9" w:rsidRPr="003C63C9" w:rsidRDefault="003C63C9" w:rsidP="00CD6895">
      <w:pPr>
        <w:rPr>
          <w:lang w:val="en-US" w:eastAsia="zh-CN"/>
        </w:rPr>
      </w:pPr>
      <w:r w:rsidRPr="003C63C9">
        <w:rPr>
          <w:lang w:val="en-US" w:eastAsia="zh-CN"/>
        </w:rPr>
        <w:t>2</w:t>
      </w:r>
      <w:r w:rsidRPr="003C63C9">
        <w:rPr>
          <w:lang w:val="en-US" w:eastAsia="zh-CN"/>
        </w:rPr>
        <w:tab/>
      </w:r>
      <w:r w:rsidRPr="003C63C9">
        <w:rPr>
          <w:lang w:val="en-US" w:eastAsia="zh-CN"/>
        </w:rPr>
        <w:t>收到了下列申请，现提交理事会，以便采取适当行动：</w:t>
      </w:r>
    </w:p>
    <w:p w14:paraId="0341ED29" w14:textId="77777777" w:rsidR="003C63C9" w:rsidRPr="003C63C9" w:rsidRDefault="003C63C9" w:rsidP="003C63C9">
      <w:pPr>
        <w:keepNext/>
        <w:keepLines/>
        <w:tabs>
          <w:tab w:val="clear" w:pos="794"/>
          <w:tab w:val="clear" w:pos="1191"/>
          <w:tab w:val="clear" w:pos="1588"/>
          <w:tab w:val="clear" w:pos="1985"/>
        </w:tabs>
        <w:overflowPunct/>
        <w:autoSpaceDE/>
        <w:autoSpaceDN/>
        <w:adjustRightInd/>
        <w:spacing w:after="120"/>
        <w:textAlignment w:val="auto"/>
        <w:rPr>
          <w:rFonts w:cs="Calibri"/>
          <w:bCs/>
          <w:szCs w:val="24"/>
          <w:lang w:val="en-US" w:eastAsia="en-GB"/>
        </w:rPr>
      </w:pPr>
      <w:r w:rsidRPr="003C63C9">
        <w:rPr>
          <w:rFonts w:cs="Calibri"/>
          <w:bCs/>
          <w:szCs w:val="24"/>
          <w:lang w:val="en-US" w:eastAsia="en-GB"/>
        </w:rPr>
        <w:t>2.1</w:t>
      </w:r>
    </w:p>
    <w:tbl>
      <w:tblPr>
        <w:tblW w:w="82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489"/>
        <w:gridCol w:w="1559"/>
        <w:gridCol w:w="2250"/>
      </w:tblGrid>
      <w:tr w:rsidR="003C63C9" w:rsidRPr="003C63C9" w14:paraId="155ED1B0" w14:textId="77777777" w:rsidTr="00B77259">
        <w:trPr>
          <w:cantSplit/>
          <w:jc w:val="center"/>
        </w:trPr>
        <w:tc>
          <w:tcPr>
            <w:tcW w:w="4489" w:type="dxa"/>
          </w:tcPr>
          <w:p w14:paraId="1333DF3E" w14:textId="77777777" w:rsidR="003C63C9" w:rsidRPr="003C63C9" w:rsidRDefault="003C63C9" w:rsidP="003C63C9">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Calibri"/>
                <w:b/>
                <w:szCs w:val="24"/>
                <w:lang w:val="en-US"/>
              </w:rPr>
            </w:pPr>
            <w:proofErr w:type="spellStart"/>
            <w:r w:rsidRPr="003C63C9">
              <w:rPr>
                <w:rFonts w:cs="Calibri"/>
                <w:b/>
                <w:szCs w:val="24"/>
                <w:lang w:val="en-US"/>
              </w:rPr>
              <w:t>组织</w:t>
            </w:r>
            <w:proofErr w:type="spellEnd"/>
          </w:p>
        </w:tc>
        <w:tc>
          <w:tcPr>
            <w:tcW w:w="1559" w:type="dxa"/>
          </w:tcPr>
          <w:p w14:paraId="4807FA7C" w14:textId="77777777" w:rsidR="003C63C9" w:rsidRPr="003C63C9" w:rsidRDefault="003C63C9" w:rsidP="003C63C9">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Calibri"/>
                <w:b/>
                <w:szCs w:val="24"/>
                <w:lang w:val="en-US"/>
              </w:rPr>
            </w:pPr>
            <w:proofErr w:type="spellStart"/>
            <w:r w:rsidRPr="003C63C9">
              <w:rPr>
                <w:rFonts w:cs="Calibri"/>
                <w:b/>
                <w:szCs w:val="24"/>
                <w:lang w:val="en-US"/>
              </w:rPr>
              <w:t>部门</w:t>
            </w:r>
            <w:proofErr w:type="spellEnd"/>
          </w:p>
        </w:tc>
        <w:tc>
          <w:tcPr>
            <w:tcW w:w="2250" w:type="dxa"/>
          </w:tcPr>
          <w:p w14:paraId="752130EC" w14:textId="77777777" w:rsidR="003C63C9" w:rsidRPr="003C63C9" w:rsidRDefault="003C63C9" w:rsidP="003C63C9">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Calibri"/>
                <w:b/>
                <w:szCs w:val="24"/>
                <w:lang w:val="en-US"/>
              </w:rPr>
            </w:pPr>
            <w:r w:rsidRPr="003C63C9">
              <w:rPr>
                <w:rFonts w:ascii="SimSun" w:hAnsi="SimSun"/>
                <w:b/>
                <w:sz w:val="22"/>
                <w:szCs w:val="22"/>
                <w:lang w:val="en-US" w:eastAsia="zh-CN"/>
              </w:rPr>
              <w:t>秘书长的建议</w:t>
            </w:r>
          </w:p>
        </w:tc>
      </w:tr>
      <w:tr w:rsidR="003C63C9" w:rsidRPr="003C63C9" w14:paraId="47D25934" w14:textId="77777777" w:rsidTr="00B77259">
        <w:trPr>
          <w:cantSplit/>
          <w:trHeight w:val="1076"/>
          <w:jc w:val="center"/>
        </w:trPr>
        <w:tc>
          <w:tcPr>
            <w:tcW w:w="4489" w:type="dxa"/>
            <w:vAlign w:val="center"/>
          </w:tcPr>
          <w:p w14:paraId="719EFB77" w14:textId="77777777" w:rsidR="003C63C9" w:rsidRPr="003C63C9" w:rsidRDefault="003C63C9" w:rsidP="003C63C9">
            <w:pPr>
              <w:keepNext/>
              <w:keepLines/>
              <w:widowControl w:val="0"/>
              <w:tabs>
                <w:tab w:val="clear" w:pos="794"/>
                <w:tab w:val="clear" w:pos="1191"/>
                <w:tab w:val="clear" w:pos="1588"/>
                <w:tab w:val="clear" w:pos="1985"/>
              </w:tabs>
              <w:overflowPunct/>
              <w:autoSpaceDE/>
              <w:autoSpaceDN/>
              <w:adjustRightInd/>
              <w:spacing w:before="0"/>
              <w:textAlignment w:val="auto"/>
              <w:rPr>
                <w:rFonts w:cs="Calibri"/>
                <w:b/>
                <w:bCs/>
                <w:iCs/>
                <w:szCs w:val="24"/>
                <w:lang w:val="en-US" w:eastAsia="zh-CN"/>
              </w:rPr>
            </w:pPr>
            <w:r w:rsidRPr="003C63C9">
              <w:rPr>
                <w:rFonts w:cs="Calibri"/>
                <w:b/>
                <w:bCs/>
                <w:color w:val="000000"/>
                <w:szCs w:val="24"/>
                <w:shd w:val="clear" w:color="auto" w:fill="FFFFFF"/>
                <w:lang w:eastAsia="zh-CN"/>
              </w:rPr>
              <w:t>南部非洲发展共同体（</w:t>
            </w:r>
            <w:r w:rsidRPr="003C63C9">
              <w:rPr>
                <w:rFonts w:cs="Calibri"/>
                <w:b/>
                <w:bCs/>
                <w:color w:val="000000"/>
                <w:szCs w:val="24"/>
                <w:shd w:val="clear" w:color="auto" w:fill="FFFFFF"/>
                <w:lang w:eastAsia="zh-CN"/>
              </w:rPr>
              <w:t>SADC</w:t>
            </w:r>
            <w:r w:rsidRPr="003C63C9">
              <w:rPr>
                <w:rFonts w:cs="Calibri" w:hint="eastAsia"/>
                <w:b/>
                <w:bCs/>
                <w:color w:val="000000"/>
                <w:szCs w:val="24"/>
                <w:shd w:val="clear" w:color="auto" w:fill="FFFFFF"/>
                <w:lang w:eastAsia="zh-CN"/>
              </w:rPr>
              <w:t>）</w:t>
            </w:r>
          </w:p>
        </w:tc>
        <w:tc>
          <w:tcPr>
            <w:tcW w:w="1559" w:type="dxa"/>
            <w:vAlign w:val="center"/>
          </w:tcPr>
          <w:p w14:paraId="7B21FCB6" w14:textId="77777777" w:rsidR="003C63C9" w:rsidRPr="003C63C9" w:rsidRDefault="003C63C9" w:rsidP="003C63C9">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Calibri"/>
                <w:szCs w:val="24"/>
                <w:lang w:val="fr-CH"/>
              </w:rPr>
            </w:pPr>
            <w:r w:rsidRPr="003C63C9">
              <w:rPr>
                <w:rFonts w:cs="Calibri"/>
                <w:szCs w:val="24"/>
                <w:lang w:val="fr-CH"/>
              </w:rPr>
              <w:t>ITU-R</w:t>
            </w:r>
          </w:p>
          <w:p w14:paraId="61E8D551" w14:textId="77777777" w:rsidR="003C63C9" w:rsidRPr="003C63C9" w:rsidRDefault="003C63C9" w:rsidP="003C63C9">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Calibri"/>
                <w:szCs w:val="24"/>
                <w:lang w:val="fr-CH"/>
              </w:rPr>
            </w:pPr>
            <w:r w:rsidRPr="003C63C9">
              <w:rPr>
                <w:rFonts w:cs="Calibri"/>
                <w:szCs w:val="24"/>
                <w:lang w:val="fr-CH"/>
              </w:rPr>
              <w:t>ITU-T</w:t>
            </w:r>
          </w:p>
        </w:tc>
        <w:tc>
          <w:tcPr>
            <w:tcW w:w="2250" w:type="dxa"/>
            <w:vAlign w:val="center"/>
          </w:tcPr>
          <w:p w14:paraId="3C4C605D" w14:textId="77777777" w:rsidR="003C63C9" w:rsidRPr="003C63C9" w:rsidRDefault="003C63C9" w:rsidP="003C63C9">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Calibri"/>
                <w:szCs w:val="24"/>
                <w:lang w:val="en-US"/>
              </w:rPr>
            </w:pPr>
            <w:r w:rsidRPr="003C63C9">
              <w:rPr>
                <w:rFonts w:cs="Calibri"/>
                <w:szCs w:val="24"/>
                <w:lang w:val="en-US"/>
              </w:rPr>
              <w:t>是</w:t>
            </w:r>
          </w:p>
          <w:p w14:paraId="5919A4C1" w14:textId="77777777" w:rsidR="003C63C9" w:rsidRPr="003C63C9" w:rsidRDefault="003C63C9" w:rsidP="003C63C9">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Calibri"/>
                <w:szCs w:val="24"/>
                <w:lang w:val="en-US"/>
              </w:rPr>
            </w:pPr>
            <w:r w:rsidRPr="003C63C9">
              <w:rPr>
                <w:rFonts w:cs="Calibri"/>
                <w:szCs w:val="24"/>
                <w:lang w:val="en-US"/>
              </w:rPr>
              <w:t>是</w:t>
            </w:r>
          </w:p>
        </w:tc>
      </w:tr>
    </w:tbl>
    <w:p w14:paraId="6BB4F89A" w14:textId="77777777" w:rsidR="003C63C9" w:rsidRPr="003C63C9" w:rsidRDefault="003C63C9" w:rsidP="003C63C9">
      <w:pPr>
        <w:tabs>
          <w:tab w:val="clear" w:pos="794"/>
          <w:tab w:val="clear" w:pos="1191"/>
          <w:tab w:val="clear" w:pos="1588"/>
          <w:tab w:val="clear" w:pos="1985"/>
        </w:tabs>
        <w:overflowPunct/>
        <w:autoSpaceDE/>
        <w:autoSpaceDN/>
        <w:adjustRightInd/>
        <w:spacing w:before="240" w:after="120"/>
        <w:ind w:firstLineChars="200" w:firstLine="480"/>
        <w:jc w:val="both"/>
        <w:textAlignment w:val="auto"/>
        <w:rPr>
          <w:rFonts w:cs="Calibri"/>
          <w:color w:val="000000"/>
          <w:szCs w:val="24"/>
          <w:lang w:eastAsia="zh-CN"/>
        </w:rPr>
      </w:pPr>
      <w:r w:rsidRPr="003C63C9">
        <w:rPr>
          <w:rFonts w:cs="Calibri"/>
          <w:color w:val="000000"/>
          <w:szCs w:val="24"/>
          <w:shd w:val="clear" w:color="auto" w:fill="FFFFFF"/>
          <w:lang w:eastAsia="zh-CN"/>
        </w:rPr>
        <w:t>南部非洲发展共同体是一个政府间组织，总部设在博茨瓦纳。其目标是促进南部非洲</w:t>
      </w:r>
      <w:r w:rsidRPr="003C63C9">
        <w:rPr>
          <w:rFonts w:cs="Calibri"/>
          <w:color w:val="000000"/>
          <w:szCs w:val="24"/>
          <w:shd w:val="clear" w:color="auto" w:fill="FFFFFF"/>
          <w:lang w:eastAsia="zh-CN"/>
        </w:rPr>
        <w:t>16</w:t>
      </w:r>
      <w:r w:rsidRPr="003C63C9">
        <w:rPr>
          <w:rFonts w:cs="Calibri"/>
          <w:color w:val="000000"/>
          <w:szCs w:val="24"/>
          <w:shd w:val="clear" w:color="auto" w:fill="FFFFFF"/>
          <w:lang w:eastAsia="zh-CN"/>
        </w:rPr>
        <w:t>个国家之间的区域社会经济合作和一体化，以及政治和安全合作。南部非洲发展共同体是</w:t>
      </w:r>
      <w:r w:rsidRPr="003C63C9">
        <w:rPr>
          <w:rFonts w:cs="Calibri" w:hint="eastAsia"/>
          <w:color w:val="000000"/>
          <w:szCs w:val="24"/>
          <w:lang w:eastAsia="zh-CN"/>
        </w:rPr>
        <w:t>ITU-D</w:t>
      </w:r>
      <w:r w:rsidRPr="003C63C9">
        <w:rPr>
          <w:rFonts w:ascii="Times New Roman" w:hAnsi="Times New Roman" w:hint="eastAsia"/>
          <w:szCs w:val="22"/>
          <w:lang w:val="en-US" w:eastAsia="zh-CN"/>
        </w:rPr>
        <w:t>免予缴费</w:t>
      </w:r>
      <w:r w:rsidRPr="003C63C9">
        <w:rPr>
          <w:rFonts w:cs="Calibri"/>
          <w:color w:val="000000"/>
          <w:szCs w:val="24"/>
          <w:shd w:val="clear" w:color="auto" w:fill="FFFFFF"/>
          <w:lang w:eastAsia="zh-CN"/>
        </w:rPr>
        <w:t>的成员</w:t>
      </w:r>
      <w:r w:rsidRPr="003C63C9">
        <w:rPr>
          <w:rFonts w:cs="Calibri" w:hint="eastAsia"/>
          <w:color w:val="000000"/>
          <w:szCs w:val="24"/>
          <w:lang w:eastAsia="zh-CN"/>
        </w:rPr>
        <w:t>。</w:t>
      </w:r>
      <w:r w:rsidRPr="003C63C9">
        <w:rPr>
          <w:rFonts w:cs="Calibri"/>
          <w:color w:val="000000"/>
          <w:szCs w:val="24"/>
          <w:lang w:eastAsia="zh-CN"/>
        </w:rPr>
        <w:t>秘书处认为，该实体</w:t>
      </w:r>
      <w:r w:rsidRPr="003C63C9">
        <w:rPr>
          <w:rFonts w:ascii="Times New Roman" w:hAnsi="Times New Roman" w:hint="eastAsia"/>
          <w:szCs w:val="22"/>
          <w:lang w:val="en-US" w:eastAsia="zh-CN"/>
        </w:rPr>
        <w:t>满足</w:t>
      </w:r>
      <w:r w:rsidRPr="003C63C9">
        <w:rPr>
          <w:rFonts w:cs="Calibri"/>
          <w:color w:val="000000"/>
          <w:szCs w:val="24"/>
          <w:lang w:eastAsia="zh-CN"/>
        </w:rPr>
        <w:t>ITU-R</w:t>
      </w:r>
      <w:r w:rsidRPr="003C63C9">
        <w:rPr>
          <w:rFonts w:cs="Calibri"/>
          <w:color w:val="000000"/>
          <w:szCs w:val="24"/>
          <w:lang w:eastAsia="zh-CN"/>
        </w:rPr>
        <w:t>和</w:t>
      </w:r>
      <w:r w:rsidRPr="003C63C9">
        <w:rPr>
          <w:rFonts w:cs="Calibri"/>
          <w:color w:val="000000"/>
          <w:szCs w:val="24"/>
          <w:lang w:eastAsia="zh-CN"/>
        </w:rPr>
        <w:t>ITU-T</w:t>
      </w:r>
      <w:r w:rsidRPr="003C63C9">
        <w:rPr>
          <w:rFonts w:ascii="Times New Roman" w:hAnsi="Times New Roman" w:hint="eastAsia"/>
          <w:szCs w:val="22"/>
          <w:lang w:val="en-US" w:eastAsia="zh-CN"/>
        </w:rPr>
        <w:t>免予缴费的标准。</w:t>
      </w:r>
    </w:p>
    <w:p w14:paraId="18B22E8C" w14:textId="77777777" w:rsidR="003C63C9" w:rsidRPr="003C63C9" w:rsidRDefault="003C63C9" w:rsidP="003C63C9">
      <w:pPr>
        <w:tabs>
          <w:tab w:val="clear" w:pos="794"/>
          <w:tab w:val="clear" w:pos="1191"/>
          <w:tab w:val="clear" w:pos="1588"/>
          <w:tab w:val="clear" w:pos="1985"/>
        </w:tabs>
        <w:overflowPunct/>
        <w:autoSpaceDE/>
        <w:autoSpaceDN/>
        <w:adjustRightInd/>
        <w:spacing w:before="360" w:after="120"/>
        <w:textAlignment w:val="auto"/>
        <w:rPr>
          <w:rFonts w:cs="Calibri"/>
          <w:szCs w:val="24"/>
          <w:lang w:eastAsia="en-GB"/>
        </w:rPr>
      </w:pPr>
      <w:r w:rsidRPr="003C63C9">
        <w:rPr>
          <w:rFonts w:cs="Calibri"/>
          <w:color w:val="000000"/>
          <w:szCs w:val="24"/>
          <w:lang w:eastAsia="en-GB"/>
        </w:rPr>
        <w:t>2.2</w:t>
      </w:r>
    </w:p>
    <w:tbl>
      <w:tblPr>
        <w:tblW w:w="82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930"/>
        <w:gridCol w:w="1559"/>
        <w:gridCol w:w="2742"/>
      </w:tblGrid>
      <w:tr w:rsidR="003C63C9" w:rsidRPr="003C63C9" w14:paraId="78B4DFBB" w14:textId="77777777" w:rsidTr="00B77259">
        <w:trPr>
          <w:cantSplit/>
          <w:jc w:val="center"/>
        </w:trPr>
        <w:tc>
          <w:tcPr>
            <w:tcW w:w="3930" w:type="dxa"/>
          </w:tcPr>
          <w:p w14:paraId="06B07B6B" w14:textId="77777777" w:rsidR="003C63C9" w:rsidRPr="003C63C9" w:rsidRDefault="003C63C9" w:rsidP="003C63C9">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Calibri"/>
                <w:b/>
                <w:szCs w:val="24"/>
                <w:lang w:val="en-US"/>
              </w:rPr>
            </w:pPr>
            <w:proofErr w:type="spellStart"/>
            <w:r w:rsidRPr="003C63C9">
              <w:rPr>
                <w:rFonts w:cs="Calibri"/>
                <w:b/>
                <w:szCs w:val="24"/>
                <w:lang w:val="en-US"/>
              </w:rPr>
              <w:t>组织</w:t>
            </w:r>
            <w:proofErr w:type="spellEnd"/>
          </w:p>
        </w:tc>
        <w:tc>
          <w:tcPr>
            <w:tcW w:w="1559" w:type="dxa"/>
          </w:tcPr>
          <w:p w14:paraId="3B7B6115" w14:textId="77777777" w:rsidR="003C63C9" w:rsidRPr="003C63C9" w:rsidRDefault="003C63C9" w:rsidP="003C63C9">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Calibri"/>
                <w:b/>
                <w:szCs w:val="24"/>
                <w:lang w:val="en-US"/>
              </w:rPr>
            </w:pPr>
            <w:proofErr w:type="spellStart"/>
            <w:r w:rsidRPr="003C63C9">
              <w:rPr>
                <w:rFonts w:cs="Calibri"/>
                <w:b/>
                <w:szCs w:val="24"/>
                <w:lang w:val="en-US"/>
              </w:rPr>
              <w:t>部门</w:t>
            </w:r>
            <w:proofErr w:type="spellEnd"/>
          </w:p>
        </w:tc>
        <w:tc>
          <w:tcPr>
            <w:tcW w:w="2742" w:type="dxa"/>
          </w:tcPr>
          <w:p w14:paraId="074838BA" w14:textId="77777777" w:rsidR="003C63C9" w:rsidRPr="003C63C9" w:rsidRDefault="003C63C9" w:rsidP="003C63C9">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Calibri"/>
                <w:b/>
                <w:szCs w:val="24"/>
                <w:lang w:val="en-US"/>
              </w:rPr>
            </w:pPr>
            <w:r w:rsidRPr="003C63C9">
              <w:rPr>
                <w:rFonts w:ascii="SimSun" w:hAnsi="SimSun"/>
                <w:b/>
                <w:sz w:val="22"/>
                <w:szCs w:val="22"/>
                <w:lang w:val="en-US" w:eastAsia="zh-CN"/>
              </w:rPr>
              <w:t>秘书长的建议</w:t>
            </w:r>
          </w:p>
        </w:tc>
      </w:tr>
      <w:tr w:rsidR="003C63C9" w:rsidRPr="003C63C9" w14:paraId="038168AC" w14:textId="77777777" w:rsidTr="00B77259">
        <w:trPr>
          <w:cantSplit/>
          <w:trHeight w:val="567"/>
          <w:jc w:val="center"/>
        </w:trPr>
        <w:tc>
          <w:tcPr>
            <w:tcW w:w="3930" w:type="dxa"/>
            <w:vAlign w:val="center"/>
          </w:tcPr>
          <w:p w14:paraId="4DF7F08F" w14:textId="77777777" w:rsidR="003C63C9" w:rsidRPr="003C63C9" w:rsidRDefault="003C63C9" w:rsidP="003C63C9">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rPr>
                <w:rFonts w:cs="Calibri"/>
                <w:b/>
                <w:iCs/>
                <w:szCs w:val="24"/>
                <w:lang w:val="es-ES_tradnl" w:eastAsia="zh-CN"/>
              </w:rPr>
            </w:pPr>
            <w:r w:rsidRPr="003C63C9">
              <w:rPr>
                <w:rFonts w:cs="Calibri"/>
                <w:b/>
                <w:iCs/>
                <w:szCs w:val="24"/>
                <w:lang w:val="es-ES_tradnl" w:eastAsia="zh-CN"/>
              </w:rPr>
              <w:t>物联网实验室</w:t>
            </w:r>
            <w:r w:rsidRPr="003C63C9">
              <w:rPr>
                <w:rFonts w:cs="Calibri" w:hint="eastAsia"/>
                <w:b/>
                <w:iCs/>
                <w:szCs w:val="24"/>
                <w:lang w:val="es-ES_tradnl" w:eastAsia="zh-CN"/>
              </w:rPr>
              <w:t>（</w:t>
            </w:r>
            <w:proofErr w:type="spellStart"/>
            <w:r w:rsidRPr="003C63C9">
              <w:rPr>
                <w:rFonts w:cs="Calibri"/>
                <w:b/>
                <w:iCs/>
                <w:szCs w:val="24"/>
                <w:lang w:val="es-ES_tradnl" w:eastAsia="zh-CN"/>
              </w:rPr>
              <w:t>IoT</w:t>
            </w:r>
            <w:proofErr w:type="spellEnd"/>
            <w:r w:rsidRPr="003C63C9">
              <w:rPr>
                <w:rFonts w:cs="Calibri"/>
                <w:b/>
                <w:iCs/>
                <w:szCs w:val="24"/>
                <w:lang w:val="es-ES_tradnl" w:eastAsia="zh-CN"/>
              </w:rPr>
              <w:t xml:space="preserve"> </w:t>
            </w:r>
            <w:proofErr w:type="spellStart"/>
            <w:r w:rsidRPr="003C63C9">
              <w:rPr>
                <w:rFonts w:cs="Calibri"/>
                <w:b/>
                <w:iCs/>
                <w:szCs w:val="24"/>
                <w:lang w:val="es-ES_tradnl" w:eastAsia="zh-CN"/>
              </w:rPr>
              <w:t>Lab</w:t>
            </w:r>
            <w:proofErr w:type="spellEnd"/>
            <w:r w:rsidRPr="003C63C9">
              <w:rPr>
                <w:rFonts w:cs="Calibri" w:hint="eastAsia"/>
                <w:b/>
                <w:iCs/>
                <w:szCs w:val="24"/>
                <w:lang w:val="es-ES_tradnl" w:eastAsia="zh-CN"/>
              </w:rPr>
              <w:t>）</w:t>
            </w:r>
          </w:p>
        </w:tc>
        <w:tc>
          <w:tcPr>
            <w:tcW w:w="1559" w:type="dxa"/>
            <w:vAlign w:val="center"/>
          </w:tcPr>
          <w:p w14:paraId="3BD47FE2" w14:textId="77777777" w:rsidR="003C63C9" w:rsidRPr="003C63C9" w:rsidRDefault="003C63C9" w:rsidP="003C63C9">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rPr>
                <w:rFonts w:cs="Calibri"/>
                <w:szCs w:val="24"/>
                <w:lang w:val="fr-CH"/>
              </w:rPr>
            </w:pPr>
            <w:r w:rsidRPr="003C63C9">
              <w:rPr>
                <w:rFonts w:cs="Calibri"/>
                <w:szCs w:val="24"/>
                <w:lang w:val="fr-CH"/>
              </w:rPr>
              <w:t>ITU-T</w:t>
            </w:r>
          </w:p>
        </w:tc>
        <w:tc>
          <w:tcPr>
            <w:tcW w:w="2742" w:type="dxa"/>
            <w:vAlign w:val="center"/>
          </w:tcPr>
          <w:p w14:paraId="623AC416" w14:textId="77777777" w:rsidR="003C63C9" w:rsidRPr="003C63C9" w:rsidRDefault="003C63C9" w:rsidP="003C63C9">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rPr>
                <w:rFonts w:cs="Calibri"/>
                <w:szCs w:val="24"/>
                <w:lang w:val="en-US"/>
              </w:rPr>
            </w:pPr>
            <w:r w:rsidRPr="003C63C9">
              <w:rPr>
                <w:rFonts w:cs="Calibri" w:hint="eastAsia"/>
                <w:color w:val="000000"/>
                <w:szCs w:val="24"/>
                <w:lang w:val="en-US" w:eastAsia="zh-CN"/>
              </w:rPr>
              <w:t>推迟</w:t>
            </w:r>
          </w:p>
        </w:tc>
      </w:tr>
    </w:tbl>
    <w:p w14:paraId="16993872" w14:textId="77777777" w:rsidR="003C63C9" w:rsidRPr="003C63C9" w:rsidRDefault="003C63C9" w:rsidP="003C63C9">
      <w:pPr>
        <w:tabs>
          <w:tab w:val="clear" w:pos="794"/>
          <w:tab w:val="clear" w:pos="1191"/>
          <w:tab w:val="clear" w:pos="1588"/>
          <w:tab w:val="clear" w:pos="1985"/>
        </w:tabs>
        <w:overflowPunct/>
        <w:autoSpaceDE/>
        <w:autoSpaceDN/>
        <w:adjustRightInd/>
        <w:spacing w:before="240" w:after="120"/>
        <w:ind w:firstLineChars="200" w:firstLine="480"/>
        <w:jc w:val="both"/>
        <w:textAlignment w:val="auto"/>
        <w:rPr>
          <w:rFonts w:cs="Calibri"/>
          <w:szCs w:val="24"/>
          <w:lang w:eastAsia="zh-CN"/>
        </w:rPr>
      </w:pPr>
      <w:r w:rsidRPr="003C63C9">
        <w:rPr>
          <w:rFonts w:cs="Calibri"/>
          <w:szCs w:val="24"/>
          <w:lang w:val="en-US" w:eastAsia="zh-CN"/>
        </w:rPr>
        <w:t>物联网实验室</w:t>
      </w:r>
      <w:r w:rsidRPr="003C63C9">
        <w:rPr>
          <w:rFonts w:cs="Calibri" w:hint="eastAsia"/>
          <w:szCs w:val="24"/>
          <w:lang w:val="en-US" w:eastAsia="zh-CN"/>
        </w:rPr>
        <w:t>（</w:t>
      </w:r>
      <w:r w:rsidRPr="003C63C9">
        <w:rPr>
          <w:rFonts w:cs="Calibri" w:hint="eastAsia"/>
          <w:szCs w:val="24"/>
          <w:lang w:val="en-US" w:eastAsia="zh-CN"/>
        </w:rPr>
        <w:t>I</w:t>
      </w:r>
      <w:r w:rsidRPr="003C63C9">
        <w:rPr>
          <w:rFonts w:cs="Calibri"/>
          <w:szCs w:val="24"/>
          <w:lang w:val="en-US" w:eastAsia="zh-CN"/>
        </w:rPr>
        <w:t>oT Lab</w:t>
      </w:r>
      <w:r w:rsidRPr="003C63C9">
        <w:rPr>
          <w:rFonts w:cs="Calibri" w:hint="eastAsia"/>
          <w:szCs w:val="24"/>
          <w:lang w:val="en-US" w:eastAsia="zh-CN"/>
        </w:rPr>
        <w:t>）</w:t>
      </w:r>
      <w:r w:rsidRPr="003C63C9">
        <w:rPr>
          <w:rFonts w:cs="Calibri"/>
          <w:szCs w:val="24"/>
          <w:lang w:val="en-US" w:eastAsia="zh-CN"/>
        </w:rPr>
        <w:t>是一个物联网服务和资源的国际</w:t>
      </w:r>
      <w:r w:rsidRPr="003C63C9">
        <w:rPr>
          <w:rFonts w:cs="Calibri" w:hint="eastAsia"/>
          <w:szCs w:val="24"/>
          <w:lang w:val="en-US" w:eastAsia="zh-CN"/>
        </w:rPr>
        <w:t>性</w:t>
      </w:r>
      <w:r w:rsidRPr="003C63C9">
        <w:rPr>
          <w:rFonts w:cs="Calibri"/>
          <w:szCs w:val="24"/>
          <w:lang w:val="en-US" w:eastAsia="zh-CN"/>
        </w:rPr>
        <w:t>平台，汇集了物联网服务、隐私和安全、测试和技术转让方面的利益共同体。这是一个相对较新的实体，互惠性尚不明确。</w:t>
      </w:r>
      <w:r w:rsidRPr="003C63C9">
        <w:rPr>
          <w:rFonts w:cs="Calibri" w:hint="eastAsia"/>
          <w:szCs w:val="24"/>
          <w:lang w:eastAsia="zh-CN"/>
        </w:rPr>
        <w:t>在秘书处向理事会提出明智建议之前，需要更多的时间和信息。因此，秘书处建议将该申请推迟到理事会下一次会议。</w:t>
      </w:r>
    </w:p>
    <w:p w14:paraId="0F173C77" w14:textId="77777777" w:rsidR="003C63C9" w:rsidRPr="003C63C9" w:rsidRDefault="003C63C9" w:rsidP="003C63C9">
      <w:pPr>
        <w:tabs>
          <w:tab w:val="clear" w:pos="794"/>
          <w:tab w:val="clear" w:pos="1191"/>
          <w:tab w:val="clear" w:pos="1588"/>
          <w:tab w:val="clear" w:pos="1985"/>
        </w:tabs>
        <w:overflowPunct/>
        <w:autoSpaceDE/>
        <w:autoSpaceDN/>
        <w:adjustRightInd/>
        <w:spacing w:before="360" w:after="120"/>
        <w:textAlignment w:val="auto"/>
        <w:rPr>
          <w:rFonts w:cs="Calibri"/>
          <w:szCs w:val="24"/>
          <w:lang w:val="en-US" w:eastAsia="en-GB"/>
        </w:rPr>
      </w:pPr>
      <w:r w:rsidRPr="003C63C9">
        <w:rPr>
          <w:rFonts w:cs="Calibri"/>
          <w:szCs w:val="24"/>
          <w:lang w:val="en-US" w:eastAsia="en-GB"/>
        </w:rPr>
        <w:t>2.3</w:t>
      </w:r>
    </w:p>
    <w:tbl>
      <w:tblPr>
        <w:tblW w:w="8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48"/>
        <w:gridCol w:w="1559"/>
        <w:gridCol w:w="2250"/>
      </w:tblGrid>
      <w:tr w:rsidR="003C63C9" w:rsidRPr="003C63C9" w14:paraId="36277CA1" w14:textId="77777777" w:rsidTr="00B77259">
        <w:trPr>
          <w:cantSplit/>
          <w:jc w:val="center"/>
        </w:trPr>
        <w:tc>
          <w:tcPr>
            <w:tcW w:w="4348" w:type="dxa"/>
          </w:tcPr>
          <w:p w14:paraId="09776CE9" w14:textId="77777777" w:rsidR="003C63C9" w:rsidRPr="003C63C9" w:rsidRDefault="003C63C9" w:rsidP="003C63C9">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Calibri"/>
                <w:b/>
                <w:szCs w:val="24"/>
                <w:lang w:val="en-US"/>
              </w:rPr>
            </w:pPr>
            <w:proofErr w:type="spellStart"/>
            <w:r w:rsidRPr="003C63C9">
              <w:rPr>
                <w:rFonts w:cs="Calibri"/>
                <w:b/>
                <w:szCs w:val="24"/>
                <w:lang w:val="en-US"/>
              </w:rPr>
              <w:t>组织</w:t>
            </w:r>
            <w:proofErr w:type="spellEnd"/>
          </w:p>
        </w:tc>
        <w:tc>
          <w:tcPr>
            <w:tcW w:w="1559" w:type="dxa"/>
          </w:tcPr>
          <w:p w14:paraId="4599EBA7" w14:textId="77777777" w:rsidR="003C63C9" w:rsidRPr="003C63C9" w:rsidRDefault="003C63C9" w:rsidP="003C63C9">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Calibri"/>
                <w:b/>
                <w:szCs w:val="24"/>
                <w:lang w:val="en-US"/>
              </w:rPr>
            </w:pPr>
            <w:proofErr w:type="spellStart"/>
            <w:r w:rsidRPr="003C63C9">
              <w:rPr>
                <w:rFonts w:cs="Calibri"/>
                <w:b/>
                <w:szCs w:val="24"/>
                <w:lang w:val="en-US"/>
              </w:rPr>
              <w:t>部门</w:t>
            </w:r>
            <w:proofErr w:type="spellEnd"/>
          </w:p>
        </w:tc>
        <w:tc>
          <w:tcPr>
            <w:tcW w:w="2250" w:type="dxa"/>
          </w:tcPr>
          <w:p w14:paraId="3CF24AAC" w14:textId="77777777" w:rsidR="003C63C9" w:rsidRPr="003C63C9" w:rsidRDefault="003C63C9" w:rsidP="003C63C9">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Calibri"/>
                <w:b/>
                <w:szCs w:val="24"/>
                <w:lang w:val="en-US"/>
              </w:rPr>
            </w:pPr>
            <w:r w:rsidRPr="003C63C9">
              <w:rPr>
                <w:rFonts w:ascii="SimSun" w:hAnsi="SimSun"/>
                <w:b/>
                <w:sz w:val="22"/>
                <w:szCs w:val="22"/>
                <w:lang w:val="en-US" w:eastAsia="zh-CN"/>
              </w:rPr>
              <w:t>秘书长的建议</w:t>
            </w:r>
          </w:p>
        </w:tc>
      </w:tr>
      <w:tr w:rsidR="003C63C9" w:rsidRPr="003C63C9" w14:paraId="75487128" w14:textId="77777777" w:rsidTr="00B77259">
        <w:trPr>
          <w:cantSplit/>
          <w:trHeight w:val="1077"/>
          <w:jc w:val="center"/>
        </w:trPr>
        <w:tc>
          <w:tcPr>
            <w:tcW w:w="4348" w:type="dxa"/>
            <w:vAlign w:val="center"/>
          </w:tcPr>
          <w:p w14:paraId="23E505A8" w14:textId="5862FFD3" w:rsidR="003C63C9" w:rsidRPr="003C63C9" w:rsidRDefault="003C63C9" w:rsidP="003C63C9">
            <w:pPr>
              <w:tabs>
                <w:tab w:val="clear" w:pos="794"/>
                <w:tab w:val="clear" w:pos="1191"/>
                <w:tab w:val="clear" w:pos="1588"/>
                <w:tab w:val="clear" w:pos="1985"/>
              </w:tabs>
              <w:overflowPunct/>
              <w:autoSpaceDE/>
              <w:autoSpaceDN/>
              <w:adjustRightInd/>
              <w:spacing w:before="0"/>
              <w:textAlignment w:val="auto"/>
              <w:rPr>
                <w:rFonts w:cs="Calibri"/>
                <w:b/>
                <w:bCs/>
                <w:iCs/>
                <w:szCs w:val="24"/>
                <w:lang w:eastAsia="en-GB"/>
              </w:rPr>
            </w:pPr>
            <w:proofErr w:type="spellStart"/>
            <w:r w:rsidRPr="003C63C9">
              <w:rPr>
                <w:rFonts w:cs="Calibri"/>
                <w:b/>
                <w:bCs/>
                <w:iCs/>
                <w:szCs w:val="24"/>
                <w:lang w:eastAsia="en-GB"/>
              </w:rPr>
              <w:t>康拉德</w:t>
            </w:r>
            <w:r w:rsidRPr="003C63C9">
              <w:rPr>
                <w:rFonts w:cs="Calibri"/>
                <w:b/>
                <w:bCs/>
                <w:iCs/>
                <w:szCs w:val="24"/>
                <w:lang w:eastAsia="en-GB"/>
              </w:rPr>
              <w:t>-</w:t>
            </w:r>
            <w:r w:rsidRPr="003C63C9">
              <w:rPr>
                <w:rFonts w:cs="Calibri"/>
                <w:b/>
                <w:bCs/>
                <w:iCs/>
                <w:szCs w:val="24"/>
                <w:lang w:eastAsia="en-GB"/>
              </w:rPr>
              <w:t>阿登纳基金会</w:t>
            </w:r>
            <w:proofErr w:type="spellEnd"/>
            <w:r w:rsidR="00A82674">
              <w:rPr>
                <w:rFonts w:cs="Calibri"/>
                <w:b/>
                <w:bCs/>
                <w:iCs/>
                <w:szCs w:val="24"/>
                <w:lang w:eastAsia="en-GB"/>
              </w:rPr>
              <w:br/>
            </w:r>
            <w:r w:rsidRPr="003C63C9">
              <w:rPr>
                <w:rFonts w:cs="Calibri" w:hint="eastAsia"/>
                <w:b/>
                <w:bCs/>
                <w:iCs/>
                <w:szCs w:val="24"/>
                <w:lang w:eastAsia="en-GB"/>
              </w:rPr>
              <w:t>（</w:t>
            </w:r>
            <w:r w:rsidRPr="003C63C9">
              <w:rPr>
                <w:rFonts w:cs="Calibri" w:hint="eastAsia"/>
                <w:b/>
                <w:bCs/>
                <w:iCs/>
                <w:szCs w:val="24"/>
                <w:lang w:eastAsia="en-GB"/>
              </w:rPr>
              <w:t>Konrad Adenauer Stiftung</w:t>
            </w:r>
            <w:r w:rsidRPr="003C63C9">
              <w:rPr>
                <w:rFonts w:cs="Calibri" w:hint="eastAsia"/>
                <w:b/>
                <w:bCs/>
                <w:iCs/>
                <w:szCs w:val="24"/>
                <w:lang w:eastAsia="en-GB"/>
              </w:rPr>
              <w:t>）</w:t>
            </w:r>
          </w:p>
        </w:tc>
        <w:tc>
          <w:tcPr>
            <w:tcW w:w="1559" w:type="dxa"/>
            <w:vAlign w:val="center"/>
          </w:tcPr>
          <w:p w14:paraId="2416B75A" w14:textId="77777777" w:rsidR="003C63C9" w:rsidRPr="003C63C9" w:rsidRDefault="003C63C9" w:rsidP="003C63C9">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Calibri"/>
                <w:szCs w:val="24"/>
                <w:lang w:val="fr-CH"/>
              </w:rPr>
            </w:pPr>
            <w:r w:rsidRPr="003C63C9">
              <w:rPr>
                <w:rFonts w:cs="Calibri"/>
                <w:szCs w:val="24"/>
                <w:lang w:val="fr-CH"/>
              </w:rPr>
              <w:t>ITU-R</w:t>
            </w:r>
          </w:p>
          <w:p w14:paraId="1684CFD0" w14:textId="77777777" w:rsidR="003C63C9" w:rsidRPr="003C63C9" w:rsidRDefault="003C63C9" w:rsidP="003C63C9">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Calibri"/>
                <w:szCs w:val="24"/>
                <w:lang w:val="fr-CH"/>
              </w:rPr>
            </w:pPr>
            <w:r w:rsidRPr="003C63C9">
              <w:rPr>
                <w:rFonts w:cs="Calibri"/>
                <w:szCs w:val="24"/>
                <w:lang w:val="fr-CH"/>
              </w:rPr>
              <w:t>ITU-T</w:t>
            </w:r>
          </w:p>
          <w:p w14:paraId="0025296C" w14:textId="77777777" w:rsidR="003C63C9" w:rsidRPr="003C63C9" w:rsidRDefault="003C63C9" w:rsidP="003C63C9">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Calibri"/>
                <w:szCs w:val="24"/>
                <w:lang w:val="fr-CH"/>
              </w:rPr>
            </w:pPr>
            <w:r w:rsidRPr="003C63C9">
              <w:rPr>
                <w:rFonts w:cs="Calibri"/>
                <w:szCs w:val="24"/>
                <w:lang w:val="fr-CH"/>
              </w:rPr>
              <w:t>ITU-D</w:t>
            </w:r>
          </w:p>
        </w:tc>
        <w:tc>
          <w:tcPr>
            <w:tcW w:w="2250" w:type="dxa"/>
            <w:vAlign w:val="center"/>
          </w:tcPr>
          <w:p w14:paraId="2CB2B2F5" w14:textId="77777777" w:rsidR="003C63C9" w:rsidRPr="003C63C9" w:rsidRDefault="003C63C9" w:rsidP="003C63C9">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Calibri"/>
                <w:szCs w:val="24"/>
                <w:lang w:val="fr-CH"/>
              </w:rPr>
            </w:pPr>
            <w:proofErr w:type="gramStart"/>
            <w:r w:rsidRPr="003C63C9">
              <w:rPr>
                <w:rFonts w:cs="Calibri" w:hint="eastAsia"/>
                <w:szCs w:val="24"/>
                <w:lang w:val="fr-CH" w:eastAsia="zh-CN"/>
              </w:rPr>
              <w:t>否</w:t>
            </w:r>
            <w:proofErr w:type="gramEnd"/>
          </w:p>
          <w:p w14:paraId="5E88269D" w14:textId="77777777" w:rsidR="003C63C9" w:rsidRPr="003C63C9" w:rsidRDefault="003C63C9" w:rsidP="003C63C9">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Calibri"/>
                <w:szCs w:val="24"/>
                <w:lang w:val="fr-CH"/>
              </w:rPr>
            </w:pPr>
            <w:proofErr w:type="gramStart"/>
            <w:r w:rsidRPr="003C63C9">
              <w:rPr>
                <w:rFonts w:cs="Calibri" w:hint="eastAsia"/>
                <w:szCs w:val="24"/>
                <w:lang w:val="fr-CH" w:eastAsia="zh-CN"/>
              </w:rPr>
              <w:t>否</w:t>
            </w:r>
            <w:proofErr w:type="gramEnd"/>
          </w:p>
          <w:p w14:paraId="283E3372" w14:textId="77777777" w:rsidR="003C63C9" w:rsidRPr="003C63C9" w:rsidRDefault="003C63C9" w:rsidP="003C63C9">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Calibri"/>
                <w:szCs w:val="24"/>
                <w:lang w:val="fr-CH"/>
              </w:rPr>
            </w:pPr>
            <w:r w:rsidRPr="003C63C9">
              <w:rPr>
                <w:rFonts w:cs="Calibri" w:hint="eastAsia"/>
                <w:szCs w:val="24"/>
                <w:lang w:val="fr-CH" w:eastAsia="zh-CN"/>
              </w:rPr>
              <w:t>否</w:t>
            </w:r>
          </w:p>
        </w:tc>
      </w:tr>
    </w:tbl>
    <w:p w14:paraId="7729F614" w14:textId="77777777" w:rsidR="003C63C9" w:rsidRPr="003C63C9" w:rsidRDefault="003C63C9" w:rsidP="003C63C9">
      <w:pPr>
        <w:tabs>
          <w:tab w:val="clear" w:pos="794"/>
          <w:tab w:val="clear" w:pos="1191"/>
          <w:tab w:val="clear" w:pos="1588"/>
          <w:tab w:val="clear" w:pos="1985"/>
        </w:tabs>
        <w:overflowPunct/>
        <w:autoSpaceDE/>
        <w:autoSpaceDN/>
        <w:adjustRightInd/>
        <w:spacing w:before="240" w:after="120"/>
        <w:ind w:firstLineChars="200" w:firstLine="480"/>
        <w:jc w:val="both"/>
        <w:textAlignment w:val="auto"/>
        <w:rPr>
          <w:rFonts w:cs="Calibri"/>
          <w:szCs w:val="24"/>
          <w:lang w:eastAsia="zh-CN"/>
        </w:rPr>
      </w:pPr>
      <w:r w:rsidRPr="003C63C9">
        <w:rPr>
          <w:rFonts w:cs="Calibri"/>
          <w:szCs w:val="24"/>
          <w:lang w:val="en-US" w:eastAsia="zh-CN"/>
        </w:rPr>
        <w:t>康拉德</w:t>
      </w:r>
      <w:r w:rsidRPr="003C63C9">
        <w:rPr>
          <w:rFonts w:cs="Calibri"/>
          <w:szCs w:val="24"/>
          <w:lang w:val="en-US" w:eastAsia="zh-CN"/>
        </w:rPr>
        <w:t>-</w:t>
      </w:r>
      <w:r w:rsidRPr="003C63C9">
        <w:rPr>
          <w:rFonts w:cs="Calibri"/>
          <w:szCs w:val="24"/>
          <w:lang w:val="en-US" w:eastAsia="zh-CN"/>
        </w:rPr>
        <w:t>阿登纳基金会是一</w:t>
      </w:r>
      <w:r w:rsidRPr="003C63C9">
        <w:rPr>
          <w:rFonts w:cs="Calibri" w:hint="eastAsia"/>
          <w:szCs w:val="24"/>
          <w:lang w:val="en-US" w:eastAsia="zh-CN"/>
        </w:rPr>
        <w:t>家以协会为</w:t>
      </w:r>
      <w:r w:rsidRPr="003C63C9">
        <w:rPr>
          <w:rFonts w:cs="Calibri"/>
          <w:szCs w:val="24"/>
          <w:lang w:val="en-US" w:eastAsia="zh-CN"/>
        </w:rPr>
        <w:t>法律形式的政党附属基金会，与基督教民主联盟关系密切，主要由联邦和</w:t>
      </w:r>
      <w:proofErr w:type="gramStart"/>
      <w:r w:rsidRPr="003C63C9">
        <w:rPr>
          <w:rFonts w:cs="Calibri"/>
          <w:szCs w:val="24"/>
          <w:lang w:val="en-US" w:eastAsia="zh-CN"/>
        </w:rPr>
        <w:t>州</w:t>
      </w:r>
      <w:r w:rsidRPr="003C63C9">
        <w:rPr>
          <w:rFonts w:cs="Calibri" w:hint="eastAsia"/>
          <w:szCs w:val="24"/>
          <w:lang w:val="en-US" w:eastAsia="zh-CN"/>
        </w:rPr>
        <w:t>资金</w:t>
      </w:r>
      <w:proofErr w:type="gramEnd"/>
      <w:r w:rsidRPr="003C63C9">
        <w:rPr>
          <w:rFonts w:cs="Calibri"/>
          <w:szCs w:val="24"/>
          <w:lang w:val="en-US" w:eastAsia="zh-CN"/>
        </w:rPr>
        <w:t>资助。</w:t>
      </w:r>
      <w:r w:rsidRPr="003C63C9">
        <w:rPr>
          <w:rFonts w:cs="Calibri" w:hint="eastAsia"/>
          <w:szCs w:val="24"/>
          <w:lang w:eastAsia="zh-CN"/>
        </w:rPr>
        <w:t>该组织</w:t>
      </w:r>
      <w:r w:rsidRPr="003C63C9">
        <w:rPr>
          <w:rFonts w:cs="Calibri"/>
          <w:szCs w:val="24"/>
          <w:lang w:val="en-US" w:eastAsia="zh-CN"/>
        </w:rPr>
        <w:t>在</w:t>
      </w:r>
      <w:r w:rsidRPr="003C63C9">
        <w:rPr>
          <w:rFonts w:cs="Calibri"/>
          <w:szCs w:val="24"/>
          <w:lang w:val="en-US" w:eastAsia="zh-CN"/>
        </w:rPr>
        <w:t>100</w:t>
      </w:r>
      <w:r w:rsidRPr="003C63C9">
        <w:rPr>
          <w:rFonts w:cs="Calibri"/>
          <w:szCs w:val="24"/>
          <w:lang w:val="en-US" w:eastAsia="zh-CN"/>
        </w:rPr>
        <w:t>多个国家设有办事处，在</w:t>
      </w:r>
      <w:r w:rsidRPr="003C63C9">
        <w:rPr>
          <w:rFonts w:cs="Calibri"/>
          <w:szCs w:val="24"/>
          <w:lang w:val="en-US" w:eastAsia="zh-CN"/>
        </w:rPr>
        <w:t>130</w:t>
      </w:r>
      <w:r w:rsidRPr="003C63C9">
        <w:rPr>
          <w:rFonts w:cs="Calibri"/>
          <w:szCs w:val="24"/>
          <w:lang w:val="en-US" w:eastAsia="zh-CN"/>
        </w:rPr>
        <w:t>多个国家</w:t>
      </w:r>
      <w:r w:rsidRPr="003C63C9">
        <w:rPr>
          <w:rFonts w:cs="Calibri" w:hint="eastAsia"/>
          <w:szCs w:val="24"/>
          <w:lang w:val="en-US" w:eastAsia="zh-CN"/>
        </w:rPr>
        <w:t>开展</w:t>
      </w:r>
      <w:r w:rsidRPr="003C63C9">
        <w:rPr>
          <w:rFonts w:cs="Calibri"/>
          <w:szCs w:val="24"/>
          <w:lang w:val="en-US" w:eastAsia="zh-CN"/>
        </w:rPr>
        <w:t>项目。</w:t>
      </w:r>
      <w:r w:rsidRPr="003C63C9">
        <w:rPr>
          <w:rFonts w:cs="Calibri" w:hint="eastAsia"/>
          <w:szCs w:val="24"/>
          <w:lang w:eastAsia="zh-CN"/>
        </w:rPr>
        <w:t>虽然该组织具有国际影响力并开展国际性活动，但秘书处认为该组织未满足所有标准，因为它们是国家基金会，而且并没有来自多个成员国的成员。</w:t>
      </w:r>
    </w:p>
    <w:p w14:paraId="1FD2427F" w14:textId="77777777" w:rsidR="003C63C9" w:rsidRPr="003C63C9" w:rsidRDefault="003C63C9" w:rsidP="003C63C9">
      <w:pPr>
        <w:keepNext/>
        <w:keepLines/>
        <w:tabs>
          <w:tab w:val="clear" w:pos="794"/>
          <w:tab w:val="clear" w:pos="1191"/>
          <w:tab w:val="clear" w:pos="1588"/>
          <w:tab w:val="clear" w:pos="1985"/>
        </w:tabs>
        <w:overflowPunct/>
        <w:autoSpaceDE/>
        <w:autoSpaceDN/>
        <w:adjustRightInd/>
        <w:spacing w:after="120"/>
        <w:textAlignment w:val="auto"/>
        <w:rPr>
          <w:rFonts w:cs="Calibri"/>
          <w:szCs w:val="24"/>
          <w:lang w:eastAsia="en-GB"/>
        </w:rPr>
      </w:pPr>
      <w:r w:rsidRPr="003C63C9">
        <w:rPr>
          <w:rFonts w:cs="Calibri"/>
          <w:szCs w:val="24"/>
          <w:lang w:val="en-US" w:eastAsia="en-GB"/>
        </w:rPr>
        <w:t>2.4</w:t>
      </w:r>
    </w:p>
    <w:tbl>
      <w:tblPr>
        <w:tblW w:w="8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498"/>
        <w:gridCol w:w="1559"/>
        <w:gridCol w:w="2250"/>
      </w:tblGrid>
      <w:tr w:rsidR="003C63C9" w:rsidRPr="003C63C9" w14:paraId="1ACB5909" w14:textId="77777777" w:rsidTr="00B77259">
        <w:trPr>
          <w:cantSplit/>
          <w:jc w:val="center"/>
        </w:trPr>
        <w:tc>
          <w:tcPr>
            <w:tcW w:w="4498" w:type="dxa"/>
          </w:tcPr>
          <w:p w14:paraId="604DC4E5" w14:textId="77777777" w:rsidR="003C63C9" w:rsidRPr="003C63C9" w:rsidRDefault="003C63C9" w:rsidP="003C63C9">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Calibri"/>
                <w:b/>
                <w:szCs w:val="24"/>
                <w:lang w:val="en-US"/>
              </w:rPr>
            </w:pPr>
            <w:proofErr w:type="spellStart"/>
            <w:r w:rsidRPr="003C63C9">
              <w:rPr>
                <w:rFonts w:cs="Calibri"/>
                <w:b/>
                <w:szCs w:val="24"/>
                <w:lang w:val="en-US"/>
              </w:rPr>
              <w:t>组织</w:t>
            </w:r>
            <w:proofErr w:type="spellEnd"/>
          </w:p>
        </w:tc>
        <w:tc>
          <w:tcPr>
            <w:tcW w:w="1559" w:type="dxa"/>
          </w:tcPr>
          <w:p w14:paraId="22877F54" w14:textId="77777777" w:rsidR="003C63C9" w:rsidRPr="003C63C9" w:rsidRDefault="003C63C9" w:rsidP="003C63C9">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Calibri"/>
                <w:b/>
                <w:szCs w:val="24"/>
                <w:lang w:val="en-US"/>
              </w:rPr>
            </w:pPr>
            <w:proofErr w:type="spellStart"/>
            <w:r w:rsidRPr="003C63C9">
              <w:rPr>
                <w:rFonts w:cs="Calibri"/>
                <w:b/>
                <w:szCs w:val="24"/>
                <w:lang w:val="en-US"/>
              </w:rPr>
              <w:t>部门</w:t>
            </w:r>
            <w:proofErr w:type="spellEnd"/>
          </w:p>
        </w:tc>
        <w:tc>
          <w:tcPr>
            <w:tcW w:w="2250" w:type="dxa"/>
          </w:tcPr>
          <w:p w14:paraId="432C6FD7" w14:textId="77777777" w:rsidR="003C63C9" w:rsidRPr="003C63C9" w:rsidRDefault="003C63C9" w:rsidP="003C63C9">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Calibri"/>
                <w:b/>
                <w:szCs w:val="24"/>
                <w:lang w:val="en-US"/>
              </w:rPr>
            </w:pPr>
            <w:r w:rsidRPr="003C63C9">
              <w:rPr>
                <w:rFonts w:ascii="SimSun" w:hAnsi="SimSun"/>
                <w:b/>
                <w:sz w:val="22"/>
                <w:szCs w:val="22"/>
                <w:lang w:val="en-US" w:eastAsia="zh-CN"/>
              </w:rPr>
              <w:t>秘书长的建议</w:t>
            </w:r>
          </w:p>
        </w:tc>
      </w:tr>
      <w:tr w:rsidR="003C63C9" w:rsidRPr="003C63C9" w14:paraId="7F595298" w14:textId="77777777" w:rsidTr="00B77259">
        <w:trPr>
          <w:cantSplit/>
          <w:trHeight w:val="567"/>
          <w:jc w:val="center"/>
        </w:trPr>
        <w:tc>
          <w:tcPr>
            <w:tcW w:w="4498" w:type="dxa"/>
            <w:vAlign w:val="center"/>
          </w:tcPr>
          <w:p w14:paraId="06235E27" w14:textId="77777777" w:rsidR="003C63C9" w:rsidRPr="003C63C9" w:rsidRDefault="003C63C9" w:rsidP="003C63C9">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cs="Calibri"/>
                <w:b/>
                <w:iCs/>
                <w:szCs w:val="24"/>
                <w:lang w:val="en-US"/>
              </w:rPr>
            </w:pPr>
            <w:proofErr w:type="spellStart"/>
            <w:r w:rsidRPr="003C63C9">
              <w:rPr>
                <w:rFonts w:cs="Calibri" w:hint="eastAsia"/>
                <w:b/>
                <w:iCs/>
                <w:szCs w:val="24"/>
                <w:lang w:val="en-US"/>
              </w:rPr>
              <w:t>Techfugees</w:t>
            </w:r>
            <w:r w:rsidRPr="003C63C9">
              <w:rPr>
                <w:rFonts w:cs="Calibri"/>
                <w:b/>
                <w:iCs/>
                <w:szCs w:val="24"/>
                <w:lang w:val="en-US"/>
              </w:rPr>
              <w:t>基金会</w:t>
            </w:r>
            <w:proofErr w:type="spellEnd"/>
          </w:p>
        </w:tc>
        <w:tc>
          <w:tcPr>
            <w:tcW w:w="1559" w:type="dxa"/>
            <w:vAlign w:val="center"/>
          </w:tcPr>
          <w:p w14:paraId="15DFB445" w14:textId="77777777" w:rsidR="003C63C9" w:rsidRPr="003C63C9" w:rsidRDefault="003C63C9" w:rsidP="003C63C9">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Calibri"/>
                <w:szCs w:val="24"/>
                <w:lang w:val="fr-CH"/>
              </w:rPr>
            </w:pPr>
            <w:r w:rsidRPr="003C63C9">
              <w:rPr>
                <w:rFonts w:cs="Calibri"/>
                <w:szCs w:val="24"/>
                <w:lang w:val="fr-CH"/>
              </w:rPr>
              <w:t>ITU-D</w:t>
            </w:r>
          </w:p>
        </w:tc>
        <w:tc>
          <w:tcPr>
            <w:tcW w:w="2250" w:type="dxa"/>
            <w:vAlign w:val="center"/>
          </w:tcPr>
          <w:p w14:paraId="42137416" w14:textId="77777777" w:rsidR="003C63C9" w:rsidRPr="003C63C9" w:rsidRDefault="003C63C9" w:rsidP="003C63C9">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Calibri"/>
                <w:szCs w:val="24"/>
                <w:lang w:val="fr-CH"/>
              </w:rPr>
            </w:pPr>
            <w:r w:rsidRPr="003C63C9">
              <w:rPr>
                <w:rFonts w:cs="Calibri"/>
                <w:szCs w:val="24"/>
                <w:lang w:val="fr-CH"/>
              </w:rPr>
              <w:t>是</w:t>
            </w:r>
          </w:p>
        </w:tc>
      </w:tr>
    </w:tbl>
    <w:p w14:paraId="20C292EC" w14:textId="77777777" w:rsidR="003C63C9" w:rsidRPr="003C63C9" w:rsidRDefault="003C63C9" w:rsidP="003C63C9">
      <w:pPr>
        <w:tabs>
          <w:tab w:val="clear" w:pos="794"/>
          <w:tab w:val="clear" w:pos="1191"/>
          <w:tab w:val="clear" w:pos="1588"/>
          <w:tab w:val="clear" w:pos="1985"/>
        </w:tabs>
        <w:overflowPunct/>
        <w:autoSpaceDE/>
        <w:autoSpaceDN/>
        <w:adjustRightInd/>
        <w:spacing w:before="240" w:after="120"/>
        <w:ind w:firstLineChars="200" w:firstLine="480"/>
        <w:jc w:val="both"/>
        <w:textAlignment w:val="auto"/>
        <w:rPr>
          <w:rFonts w:cs="Calibri"/>
          <w:szCs w:val="24"/>
          <w:lang w:eastAsia="zh-CN"/>
        </w:rPr>
      </w:pPr>
      <w:proofErr w:type="spellStart"/>
      <w:r w:rsidRPr="003C63C9">
        <w:rPr>
          <w:rFonts w:cs="Calibri"/>
          <w:szCs w:val="24"/>
          <w:lang w:eastAsia="zh-CN"/>
        </w:rPr>
        <w:t>Techfugees</w:t>
      </w:r>
      <w:proofErr w:type="spellEnd"/>
      <w:r w:rsidRPr="003C63C9">
        <w:rPr>
          <w:rFonts w:cs="Calibri"/>
          <w:szCs w:val="24"/>
          <w:lang w:eastAsia="zh-CN"/>
        </w:rPr>
        <w:t>是一家非营利性社会企业，总部设在英国</w:t>
      </w:r>
      <w:r w:rsidRPr="003C63C9">
        <w:rPr>
          <w:rFonts w:cs="Calibri" w:hint="eastAsia"/>
          <w:szCs w:val="24"/>
          <w:lang w:eastAsia="zh-CN"/>
        </w:rPr>
        <w:t>，</w:t>
      </w:r>
      <w:r w:rsidRPr="003C63C9">
        <w:rPr>
          <w:rFonts w:cs="Calibri"/>
          <w:szCs w:val="24"/>
          <w:lang w:eastAsia="zh-CN"/>
        </w:rPr>
        <w:t>拥有一个由企业家、工程师、研究人员、非政府组织和流离失所者组成的国际志愿者领导的数字技术社区。</w:t>
      </w:r>
      <w:r w:rsidRPr="003C63C9">
        <w:rPr>
          <w:rFonts w:cs="Calibri" w:hint="eastAsia"/>
          <w:szCs w:val="24"/>
          <w:lang w:eastAsia="zh-CN"/>
        </w:rPr>
        <w:t>虽然</w:t>
      </w:r>
      <w:r w:rsidRPr="003C63C9">
        <w:rPr>
          <w:rFonts w:cs="Calibri"/>
          <w:szCs w:val="24"/>
          <w:lang w:eastAsia="zh-CN"/>
        </w:rPr>
        <w:t>他们的业务遍及全球</w:t>
      </w:r>
      <w:r w:rsidRPr="003C63C9">
        <w:rPr>
          <w:rFonts w:cs="Calibri"/>
          <w:szCs w:val="24"/>
          <w:lang w:eastAsia="zh-CN"/>
        </w:rPr>
        <w:t>10</w:t>
      </w:r>
      <w:r w:rsidRPr="003C63C9">
        <w:rPr>
          <w:rFonts w:cs="Calibri"/>
          <w:szCs w:val="24"/>
          <w:lang w:eastAsia="zh-CN"/>
        </w:rPr>
        <w:t>个国家，并在不断扩大，但</w:t>
      </w:r>
      <w:r w:rsidRPr="003C63C9">
        <w:rPr>
          <w:rFonts w:cs="Calibri" w:hint="eastAsia"/>
          <w:szCs w:val="24"/>
          <w:lang w:eastAsia="zh-CN"/>
        </w:rPr>
        <w:t>他们</w:t>
      </w:r>
      <w:r w:rsidRPr="003C63C9">
        <w:rPr>
          <w:rFonts w:cs="Calibri"/>
          <w:szCs w:val="24"/>
          <w:lang w:eastAsia="zh-CN"/>
        </w:rPr>
        <w:t>在当地采取行动，将不同的组织和人员聚集在</w:t>
      </w:r>
      <w:r w:rsidRPr="003C63C9">
        <w:rPr>
          <w:rFonts w:cs="Calibri"/>
          <w:szCs w:val="24"/>
          <w:lang w:eastAsia="zh-CN"/>
        </w:rPr>
        <w:lastRenderedPageBreak/>
        <w:t>一个开放、</w:t>
      </w:r>
      <w:r w:rsidRPr="003C63C9">
        <w:rPr>
          <w:rFonts w:cs="Calibri" w:hint="eastAsia"/>
          <w:szCs w:val="24"/>
          <w:lang w:eastAsia="zh-CN"/>
        </w:rPr>
        <w:t>互连</w:t>
      </w:r>
      <w:r w:rsidRPr="003C63C9">
        <w:rPr>
          <w:rFonts w:cs="Calibri"/>
          <w:szCs w:val="24"/>
          <w:lang w:eastAsia="zh-CN"/>
        </w:rPr>
        <w:t>和可信的环境中，</w:t>
      </w:r>
      <w:r w:rsidRPr="003C63C9">
        <w:rPr>
          <w:rFonts w:cs="Calibri" w:hint="eastAsia"/>
          <w:szCs w:val="24"/>
          <w:lang w:eastAsia="zh-CN"/>
        </w:rPr>
        <w:t>孵化</w:t>
      </w:r>
      <w:r w:rsidRPr="003C63C9">
        <w:rPr>
          <w:rFonts w:cs="Calibri"/>
          <w:szCs w:val="24"/>
          <w:lang w:eastAsia="zh-CN"/>
        </w:rPr>
        <w:t>由流离失所者</w:t>
      </w:r>
      <w:r w:rsidRPr="003C63C9">
        <w:rPr>
          <w:rFonts w:cs="Calibri" w:hint="eastAsia"/>
          <w:szCs w:val="24"/>
          <w:lang w:eastAsia="zh-CN"/>
        </w:rPr>
        <w:t>开发的服务于流离失所者</w:t>
      </w:r>
      <w:r w:rsidRPr="003C63C9">
        <w:rPr>
          <w:rFonts w:cs="Calibri"/>
          <w:szCs w:val="24"/>
          <w:lang w:eastAsia="zh-CN"/>
        </w:rPr>
        <w:t>的数字技术人道主义解决方案。</w:t>
      </w:r>
      <w:r w:rsidRPr="003C63C9">
        <w:rPr>
          <w:rFonts w:cs="Calibri" w:hint="eastAsia"/>
          <w:szCs w:val="24"/>
          <w:lang w:eastAsia="zh-CN"/>
        </w:rPr>
        <w:t>秘书处认为，该实体满足</w:t>
      </w:r>
      <w:r w:rsidRPr="003C63C9">
        <w:rPr>
          <w:rFonts w:cs="Calibri" w:hint="eastAsia"/>
          <w:szCs w:val="24"/>
          <w:lang w:eastAsia="zh-CN"/>
        </w:rPr>
        <w:t>ITU-D</w:t>
      </w:r>
      <w:r w:rsidRPr="003C63C9">
        <w:rPr>
          <w:rFonts w:ascii="Times New Roman" w:hAnsi="Times New Roman" w:hint="eastAsia"/>
          <w:szCs w:val="22"/>
          <w:lang w:val="en-US" w:eastAsia="zh-CN"/>
        </w:rPr>
        <w:t>免予缴费的标准。</w:t>
      </w:r>
    </w:p>
    <w:p w14:paraId="638B2B65" w14:textId="77777777" w:rsidR="003C63C9" w:rsidRPr="003C63C9" w:rsidRDefault="003C63C9" w:rsidP="003C63C9">
      <w:pPr>
        <w:tabs>
          <w:tab w:val="clear" w:pos="794"/>
          <w:tab w:val="clear" w:pos="1191"/>
          <w:tab w:val="clear" w:pos="1588"/>
          <w:tab w:val="clear" w:pos="1985"/>
        </w:tabs>
        <w:overflowPunct/>
        <w:autoSpaceDE/>
        <w:autoSpaceDN/>
        <w:adjustRightInd/>
        <w:spacing w:before="360" w:after="120"/>
        <w:textAlignment w:val="auto"/>
        <w:rPr>
          <w:rFonts w:cs="Calibri"/>
          <w:szCs w:val="24"/>
          <w:lang w:val="en-US" w:eastAsia="en-GB"/>
        </w:rPr>
      </w:pPr>
      <w:r w:rsidRPr="003C63C9">
        <w:rPr>
          <w:rFonts w:cs="Calibri"/>
          <w:szCs w:val="24"/>
          <w:lang w:val="en-US" w:eastAsia="en-GB"/>
        </w:rPr>
        <w:t>2.5</w:t>
      </w:r>
    </w:p>
    <w:tbl>
      <w:tblPr>
        <w:tblW w:w="84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614"/>
        <w:gridCol w:w="1559"/>
        <w:gridCol w:w="2250"/>
      </w:tblGrid>
      <w:tr w:rsidR="003C63C9" w:rsidRPr="003C63C9" w14:paraId="0650D75D" w14:textId="77777777" w:rsidTr="00B77259">
        <w:trPr>
          <w:cantSplit/>
          <w:jc w:val="center"/>
        </w:trPr>
        <w:tc>
          <w:tcPr>
            <w:tcW w:w="4614" w:type="dxa"/>
          </w:tcPr>
          <w:p w14:paraId="6D0C9C5A" w14:textId="77777777" w:rsidR="003C63C9" w:rsidRPr="003C63C9" w:rsidRDefault="003C63C9" w:rsidP="003C63C9">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Calibri"/>
                <w:b/>
                <w:szCs w:val="24"/>
                <w:lang w:val="en-US"/>
              </w:rPr>
            </w:pPr>
            <w:proofErr w:type="spellStart"/>
            <w:r w:rsidRPr="003C63C9">
              <w:rPr>
                <w:rFonts w:cs="Calibri"/>
                <w:b/>
                <w:szCs w:val="24"/>
                <w:lang w:val="en-US"/>
              </w:rPr>
              <w:t>组织</w:t>
            </w:r>
            <w:proofErr w:type="spellEnd"/>
          </w:p>
        </w:tc>
        <w:tc>
          <w:tcPr>
            <w:tcW w:w="1559" w:type="dxa"/>
          </w:tcPr>
          <w:p w14:paraId="17D720A9" w14:textId="77777777" w:rsidR="003C63C9" w:rsidRPr="003C63C9" w:rsidRDefault="003C63C9" w:rsidP="003C63C9">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Calibri"/>
                <w:b/>
                <w:szCs w:val="24"/>
                <w:lang w:val="en-US"/>
              </w:rPr>
            </w:pPr>
            <w:proofErr w:type="spellStart"/>
            <w:r w:rsidRPr="003C63C9">
              <w:rPr>
                <w:rFonts w:cs="Calibri"/>
                <w:b/>
                <w:szCs w:val="24"/>
                <w:lang w:val="en-US"/>
              </w:rPr>
              <w:t>部门</w:t>
            </w:r>
            <w:proofErr w:type="spellEnd"/>
          </w:p>
        </w:tc>
        <w:tc>
          <w:tcPr>
            <w:tcW w:w="2250" w:type="dxa"/>
          </w:tcPr>
          <w:p w14:paraId="330C9F87" w14:textId="77777777" w:rsidR="003C63C9" w:rsidRPr="003C63C9" w:rsidRDefault="003C63C9" w:rsidP="003C63C9">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cs="Calibri"/>
                <w:b/>
                <w:szCs w:val="24"/>
                <w:lang w:val="en-US"/>
              </w:rPr>
            </w:pPr>
            <w:r w:rsidRPr="003C63C9">
              <w:rPr>
                <w:rFonts w:ascii="SimSun" w:hAnsi="SimSun"/>
                <w:b/>
                <w:sz w:val="22"/>
                <w:szCs w:val="22"/>
                <w:lang w:val="en-US" w:eastAsia="zh-CN"/>
              </w:rPr>
              <w:t>秘书长的建议</w:t>
            </w:r>
          </w:p>
        </w:tc>
      </w:tr>
      <w:tr w:rsidR="003C63C9" w:rsidRPr="003C63C9" w14:paraId="3E0A98B3" w14:textId="77777777" w:rsidTr="00B77259">
        <w:trPr>
          <w:cantSplit/>
          <w:trHeight w:val="567"/>
          <w:jc w:val="center"/>
        </w:trPr>
        <w:tc>
          <w:tcPr>
            <w:tcW w:w="4614" w:type="dxa"/>
            <w:vAlign w:val="center"/>
          </w:tcPr>
          <w:p w14:paraId="6662ABAD" w14:textId="77777777" w:rsidR="003C63C9" w:rsidRPr="003C63C9" w:rsidRDefault="003C63C9" w:rsidP="003C63C9">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cs="Calibri"/>
                <w:b/>
                <w:bCs/>
                <w:iCs/>
                <w:szCs w:val="24"/>
                <w:lang w:val="fr-FR" w:eastAsia="zh-CN"/>
              </w:rPr>
            </w:pPr>
            <w:r w:rsidRPr="003C63C9">
              <w:rPr>
                <w:rFonts w:cs="Calibri"/>
                <w:b/>
                <w:bCs/>
                <w:color w:val="000000"/>
                <w:szCs w:val="24"/>
                <w:lang w:val="fr-FR" w:eastAsia="zh-CN"/>
              </w:rPr>
              <w:t>全球移动供应商协会（</w:t>
            </w:r>
            <w:r w:rsidRPr="003C63C9">
              <w:rPr>
                <w:rFonts w:cs="Calibri"/>
                <w:b/>
                <w:bCs/>
                <w:color w:val="000000"/>
                <w:szCs w:val="24"/>
                <w:lang w:val="fr-FR" w:eastAsia="zh-CN"/>
              </w:rPr>
              <w:t>GSA</w:t>
            </w:r>
            <w:r w:rsidRPr="003C63C9">
              <w:rPr>
                <w:rFonts w:cs="Calibri" w:hint="eastAsia"/>
                <w:b/>
                <w:bCs/>
                <w:color w:val="000000"/>
                <w:szCs w:val="24"/>
                <w:lang w:val="fr-FR" w:eastAsia="zh-CN"/>
              </w:rPr>
              <w:t>）</w:t>
            </w:r>
          </w:p>
        </w:tc>
        <w:tc>
          <w:tcPr>
            <w:tcW w:w="1559" w:type="dxa"/>
            <w:vAlign w:val="center"/>
          </w:tcPr>
          <w:p w14:paraId="72610215" w14:textId="77777777" w:rsidR="003C63C9" w:rsidRPr="003C63C9" w:rsidRDefault="003C63C9" w:rsidP="003C63C9">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Calibri"/>
                <w:szCs w:val="24"/>
                <w:lang w:val="fr-CH"/>
              </w:rPr>
            </w:pPr>
            <w:r w:rsidRPr="003C63C9">
              <w:rPr>
                <w:rFonts w:cs="Calibri"/>
                <w:szCs w:val="24"/>
                <w:lang w:val="fr-CH"/>
              </w:rPr>
              <w:t>ITU-R</w:t>
            </w:r>
          </w:p>
        </w:tc>
        <w:tc>
          <w:tcPr>
            <w:tcW w:w="2250" w:type="dxa"/>
            <w:vAlign w:val="center"/>
          </w:tcPr>
          <w:p w14:paraId="0E99D199" w14:textId="77777777" w:rsidR="003C63C9" w:rsidRPr="003C63C9" w:rsidRDefault="003C63C9" w:rsidP="003C63C9">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cs="Calibri"/>
                <w:szCs w:val="24"/>
                <w:lang w:val="fr-CH"/>
              </w:rPr>
            </w:pPr>
            <w:r w:rsidRPr="003C63C9">
              <w:rPr>
                <w:rFonts w:cs="Calibri" w:hint="eastAsia"/>
                <w:szCs w:val="24"/>
                <w:lang w:val="fr-CH" w:eastAsia="zh-CN"/>
              </w:rPr>
              <w:t>否</w:t>
            </w:r>
          </w:p>
        </w:tc>
      </w:tr>
    </w:tbl>
    <w:p w14:paraId="3790D4C2" w14:textId="6FA38B2E" w:rsidR="003C63C9" w:rsidRPr="003C63C9" w:rsidRDefault="003C63C9" w:rsidP="003C63C9">
      <w:pPr>
        <w:tabs>
          <w:tab w:val="clear" w:pos="794"/>
          <w:tab w:val="clear" w:pos="1191"/>
          <w:tab w:val="clear" w:pos="1588"/>
          <w:tab w:val="clear" w:pos="1985"/>
        </w:tabs>
        <w:overflowPunct/>
        <w:autoSpaceDE/>
        <w:autoSpaceDN/>
        <w:adjustRightInd/>
        <w:spacing w:before="240" w:after="120"/>
        <w:ind w:firstLineChars="200" w:firstLine="480"/>
        <w:jc w:val="both"/>
        <w:textAlignment w:val="auto"/>
        <w:rPr>
          <w:rFonts w:cs="Calibri"/>
          <w:color w:val="222128"/>
          <w:szCs w:val="24"/>
          <w:lang w:eastAsia="zh-CN"/>
        </w:rPr>
      </w:pPr>
      <w:r w:rsidRPr="003C63C9">
        <w:rPr>
          <w:rFonts w:cs="Calibri"/>
          <w:color w:val="222128"/>
          <w:szCs w:val="24"/>
          <w:lang w:eastAsia="zh-CN"/>
        </w:rPr>
        <w:t>全球移动供应商协会是一个非营利性的行业组织，代表全球移动生态系统</w:t>
      </w:r>
      <w:r w:rsidRPr="003C63C9">
        <w:rPr>
          <w:rFonts w:cs="Calibri" w:hint="eastAsia"/>
          <w:color w:val="222128"/>
          <w:szCs w:val="24"/>
          <w:lang w:eastAsia="zh-CN"/>
        </w:rPr>
        <w:t>中提供</w:t>
      </w:r>
      <w:r w:rsidRPr="003C63C9">
        <w:rPr>
          <w:rFonts w:cs="Calibri"/>
          <w:color w:val="222128"/>
          <w:szCs w:val="24"/>
          <w:lang w:eastAsia="zh-CN"/>
        </w:rPr>
        <w:t>基础设施、半导体、测试设备、</w:t>
      </w:r>
      <w:r w:rsidRPr="003C63C9">
        <w:rPr>
          <w:rFonts w:cs="Calibri" w:hint="eastAsia"/>
          <w:color w:val="222128"/>
          <w:szCs w:val="24"/>
          <w:lang w:eastAsia="zh-CN"/>
        </w:rPr>
        <w:t>终端</w:t>
      </w:r>
      <w:r w:rsidRPr="003C63C9">
        <w:rPr>
          <w:rFonts w:cs="Calibri"/>
          <w:color w:val="222128"/>
          <w:szCs w:val="24"/>
          <w:lang w:eastAsia="zh-CN"/>
        </w:rPr>
        <w:t>、应用</w:t>
      </w:r>
      <w:r w:rsidRPr="003C63C9">
        <w:rPr>
          <w:rFonts w:cs="Calibri" w:hint="eastAsia"/>
          <w:color w:val="222128"/>
          <w:szCs w:val="24"/>
          <w:lang w:eastAsia="zh-CN"/>
        </w:rPr>
        <w:t>程序</w:t>
      </w:r>
      <w:r w:rsidRPr="003C63C9">
        <w:rPr>
          <w:rFonts w:cs="Calibri"/>
          <w:color w:val="222128"/>
          <w:szCs w:val="24"/>
          <w:lang w:eastAsia="zh-CN"/>
        </w:rPr>
        <w:t>和移动支持服务的公司。</w:t>
      </w:r>
      <w:r w:rsidRPr="003C63C9">
        <w:rPr>
          <w:rFonts w:cs="Calibri" w:hint="eastAsia"/>
          <w:color w:val="222128"/>
          <w:szCs w:val="24"/>
          <w:lang w:eastAsia="zh-CN"/>
        </w:rPr>
        <w:t>它们推动了</w:t>
      </w:r>
      <w:r w:rsidRPr="003C63C9">
        <w:rPr>
          <w:rFonts w:cs="Calibri" w:hint="eastAsia"/>
          <w:color w:val="222128"/>
          <w:szCs w:val="24"/>
          <w:lang w:eastAsia="zh-CN"/>
        </w:rPr>
        <w:t>3GPP</w:t>
      </w:r>
      <w:r w:rsidRPr="003C63C9">
        <w:rPr>
          <w:rFonts w:cs="Calibri" w:hint="eastAsia"/>
          <w:color w:val="222128"/>
          <w:szCs w:val="24"/>
          <w:lang w:eastAsia="zh-CN"/>
        </w:rPr>
        <w:t>技术路线图</w:t>
      </w:r>
      <w:r w:rsidR="00CD6895">
        <w:rPr>
          <w:rFonts w:cs="Calibri" w:hint="eastAsia"/>
          <w:color w:val="222128"/>
          <w:szCs w:val="24"/>
          <w:lang w:eastAsia="zh-CN"/>
        </w:rPr>
        <w:t xml:space="preserve"> </w:t>
      </w:r>
      <w:r w:rsidR="00CD6895" w:rsidRPr="00CD6895">
        <w:rPr>
          <w:rFonts w:cs="Calibri"/>
          <w:color w:val="222128"/>
          <w:szCs w:val="24"/>
          <w:lang w:eastAsia="zh-CN"/>
        </w:rPr>
        <w:t>–</w:t>
      </w:r>
      <w:r w:rsidR="00CD6895">
        <w:rPr>
          <w:rFonts w:cs="Calibri"/>
          <w:color w:val="222128"/>
          <w:szCs w:val="24"/>
          <w:lang w:eastAsia="zh-CN"/>
        </w:rPr>
        <w:t xml:space="preserve"> </w:t>
      </w:r>
      <w:r w:rsidRPr="003C63C9">
        <w:rPr>
          <w:rFonts w:cs="Calibri" w:hint="eastAsia"/>
          <w:color w:val="222128"/>
          <w:szCs w:val="24"/>
          <w:lang w:eastAsia="zh-CN"/>
        </w:rPr>
        <w:t>从</w:t>
      </w:r>
      <w:r w:rsidRPr="003C63C9">
        <w:rPr>
          <w:rFonts w:cs="Calibri" w:hint="eastAsia"/>
          <w:color w:val="222128"/>
          <w:szCs w:val="24"/>
          <w:lang w:eastAsia="zh-CN"/>
        </w:rPr>
        <w:t>3G</w:t>
      </w:r>
      <w:r w:rsidRPr="003C63C9">
        <w:rPr>
          <w:rFonts w:cs="Calibri" w:hint="eastAsia"/>
          <w:color w:val="222128"/>
          <w:szCs w:val="24"/>
          <w:lang w:eastAsia="zh-CN"/>
        </w:rPr>
        <w:t>、</w:t>
      </w:r>
      <w:r w:rsidRPr="003C63C9">
        <w:rPr>
          <w:rFonts w:cs="Calibri" w:hint="eastAsia"/>
          <w:color w:val="222128"/>
          <w:szCs w:val="24"/>
          <w:lang w:eastAsia="zh-CN"/>
        </w:rPr>
        <w:t>4G</w:t>
      </w:r>
      <w:r w:rsidRPr="003C63C9">
        <w:rPr>
          <w:rFonts w:cs="Calibri" w:hint="eastAsia"/>
          <w:color w:val="222128"/>
          <w:szCs w:val="24"/>
          <w:lang w:eastAsia="zh-CN"/>
        </w:rPr>
        <w:t>和</w:t>
      </w:r>
      <w:r w:rsidRPr="003C63C9">
        <w:rPr>
          <w:rFonts w:cs="Calibri" w:hint="eastAsia"/>
          <w:color w:val="222128"/>
          <w:szCs w:val="24"/>
          <w:lang w:eastAsia="zh-CN"/>
        </w:rPr>
        <w:t>5G</w:t>
      </w:r>
      <w:r w:rsidR="00CD6895">
        <w:rPr>
          <w:rFonts w:cs="Calibri" w:hint="eastAsia"/>
          <w:color w:val="222128"/>
          <w:szCs w:val="24"/>
          <w:lang w:eastAsia="zh-CN"/>
        </w:rPr>
        <w:t xml:space="preserve"> </w:t>
      </w:r>
      <w:r w:rsidR="00CD6895" w:rsidRPr="00CD6895">
        <w:rPr>
          <w:rFonts w:cs="Calibri"/>
          <w:color w:val="222128"/>
          <w:szCs w:val="24"/>
          <w:lang w:eastAsia="zh-CN"/>
        </w:rPr>
        <w:t>–</w:t>
      </w:r>
      <w:r w:rsidR="00CD6895">
        <w:rPr>
          <w:rFonts w:cs="Calibri"/>
          <w:color w:val="222128"/>
          <w:szCs w:val="24"/>
          <w:lang w:eastAsia="zh-CN"/>
        </w:rPr>
        <w:t xml:space="preserve"> </w:t>
      </w:r>
      <w:r w:rsidRPr="003C63C9">
        <w:rPr>
          <w:rFonts w:cs="Calibri" w:hint="eastAsia"/>
          <w:color w:val="222128"/>
          <w:szCs w:val="24"/>
          <w:lang w:eastAsia="zh-CN"/>
        </w:rPr>
        <w:t>并成为行业报告和市场情报的信息来源。</w:t>
      </w:r>
      <w:r w:rsidRPr="003C63C9">
        <w:rPr>
          <w:rFonts w:cs="Calibri"/>
          <w:color w:val="000000"/>
          <w:szCs w:val="24"/>
          <w:lang w:eastAsia="zh-CN"/>
        </w:rPr>
        <w:t>鉴于</w:t>
      </w:r>
      <w:r w:rsidRPr="003C63C9">
        <w:rPr>
          <w:rFonts w:cs="Calibri"/>
          <w:color w:val="000000"/>
          <w:szCs w:val="24"/>
          <w:lang w:eastAsia="zh-CN"/>
        </w:rPr>
        <w:t>GSA</w:t>
      </w:r>
      <w:r w:rsidRPr="003C63C9">
        <w:rPr>
          <w:rFonts w:cs="Calibri"/>
          <w:color w:val="000000"/>
          <w:szCs w:val="24"/>
          <w:lang w:eastAsia="zh-CN"/>
        </w:rPr>
        <w:t>的成员主要是营利性公司，秘书处认为，该实体</w:t>
      </w:r>
      <w:r w:rsidRPr="003C63C9">
        <w:rPr>
          <w:rFonts w:cs="Calibri" w:hint="eastAsia"/>
          <w:color w:val="000000"/>
          <w:szCs w:val="24"/>
          <w:lang w:eastAsia="zh-CN"/>
        </w:rPr>
        <w:t>不符合</w:t>
      </w:r>
      <w:r w:rsidRPr="003C63C9">
        <w:rPr>
          <w:rFonts w:ascii="Times New Roman" w:hAnsi="Times New Roman" w:hint="eastAsia"/>
          <w:szCs w:val="22"/>
          <w:lang w:val="en-US" w:eastAsia="zh-CN"/>
        </w:rPr>
        <w:t>免予缴费的标准。</w:t>
      </w:r>
    </w:p>
    <w:p w14:paraId="71742286" w14:textId="77777777" w:rsidR="003C63C9" w:rsidRPr="003C63C9" w:rsidRDefault="003C63C9" w:rsidP="006806FA">
      <w:pPr>
        <w:tabs>
          <w:tab w:val="clear" w:pos="794"/>
          <w:tab w:val="clear" w:pos="1191"/>
          <w:tab w:val="clear" w:pos="1588"/>
          <w:tab w:val="clear" w:pos="1985"/>
          <w:tab w:val="left" w:pos="567"/>
          <w:tab w:val="left" w:pos="1134"/>
          <w:tab w:val="left" w:pos="1701"/>
          <w:tab w:val="left" w:pos="2268"/>
          <w:tab w:val="left" w:pos="2835"/>
        </w:tabs>
        <w:rPr>
          <w:rFonts w:asciiTheme="minorHAnsi" w:eastAsia="Times New Roman" w:hAnsiTheme="minorHAnsi" w:cstheme="minorHAnsi"/>
          <w:lang w:eastAsia="zh-CN"/>
        </w:rPr>
      </w:pPr>
    </w:p>
    <w:p w14:paraId="5E68A2F7" w14:textId="4A5C1F32" w:rsidR="00195FED" w:rsidRDefault="00D64A8C" w:rsidP="00B66C26">
      <w:pPr>
        <w:pStyle w:val="ListParagraph"/>
        <w:jc w:val="center"/>
        <w:rPr>
          <w:lang w:eastAsia="zh-CN"/>
        </w:rPr>
      </w:pPr>
      <w:r w:rsidRPr="00280EB8">
        <w:rPr>
          <w:lang w:val="en-US" w:eastAsia="zh-CN"/>
        </w:rPr>
        <w:t>________________</w:t>
      </w:r>
    </w:p>
    <w:sectPr w:rsidR="00195FED" w:rsidSect="006C36CD">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B3C9C" w14:textId="77777777" w:rsidR="008272ED" w:rsidRDefault="008272ED">
      <w:r>
        <w:separator/>
      </w:r>
    </w:p>
  </w:endnote>
  <w:endnote w:type="continuationSeparator" w:id="0">
    <w:p w14:paraId="6C3E7F01" w14:textId="77777777" w:rsidR="008272ED" w:rsidRDefault="00827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C081" w14:textId="77777777" w:rsidR="00D537EF" w:rsidRDefault="00D53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E603" w14:textId="71A0608E" w:rsidR="00B40A53" w:rsidRPr="004E4BFF" w:rsidRDefault="00D537EF" w:rsidP="00F705DF">
    <w:pPr>
      <w:pStyle w:val="Footer"/>
    </w:pPr>
    <w:r w:rsidRPr="00D537EF">
      <w:rPr>
        <w:color w:val="F2F2F2" w:themeColor="background1" w:themeShade="F2"/>
      </w:rPr>
      <w:fldChar w:fldCharType="begin"/>
    </w:r>
    <w:r w:rsidRPr="00D537EF">
      <w:rPr>
        <w:color w:val="F2F2F2" w:themeColor="background1" w:themeShade="F2"/>
      </w:rPr>
      <w:instrText xml:space="preserve"> FILENAME \p  \* MERGEFORMAT </w:instrText>
    </w:r>
    <w:r w:rsidRPr="00D537EF">
      <w:rPr>
        <w:color w:val="F2F2F2" w:themeColor="background1" w:themeShade="F2"/>
      </w:rPr>
      <w:fldChar w:fldCharType="separate"/>
    </w:r>
    <w:r w:rsidR="00CD6895" w:rsidRPr="00D537EF">
      <w:rPr>
        <w:color w:val="F2F2F2" w:themeColor="background1" w:themeShade="F2"/>
      </w:rPr>
      <w:t>P:\CHI\SG\CONSEIL\C21\000\039C.docx</w:t>
    </w:r>
    <w:r w:rsidRPr="00D537EF">
      <w:rPr>
        <w:color w:val="F2F2F2" w:themeColor="background1" w:themeShade="F2"/>
      </w:rPr>
      <w:fldChar w:fldCharType="end"/>
    </w:r>
    <w:r w:rsidR="004E4BFF" w:rsidRPr="00D537EF">
      <w:rPr>
        <w:color w:val="F2F2F2" w:themeColor="background1" w:themeShade="F2"/>
      </w:rPr>
      <w:t xml:space="preserve"> (</w:t>
    </w:r>
    <w:r w:rsidR="00D64A8C" w:rsidRPr="00D537EF">
      <w:rPr>
        <w:color w:val="F2F2F2" w:themeColor="background1" w:themeShade="F2"/>
      </w:rPr>
      <w:t>48</w:t>
    </w:r>
    <w:r w:rsidR="00CD6895" w:rsidRPr="00D537EF">
      <w:rPr>
        <w:color w:val="F2F2F2" w:themeColor="background1" w:themeShade="F2"/>
        <w:lang w:eastAsia="zh-CN"/>
      </w:rPr>
      <w:t>3235</w:t>
    </w:r>
    <w:r w:rsidR="004E4BFF" w:rsidRPr="00D537EF">
      <w:rPr>
        <w:color w:val="F2F2F2" w:themeColor="background1" w:themeShade="F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54FD"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75D0A" w14:textId="77777777" w:rsidR="008272ED" w:rsidRDefault="008272ED">
      <w:r>
        <w:t>____________________</w:t>
      </w:r>
    </w:p>
  </w:footnote>
  <w:footnote w:type="continuationSeparator" w:id="0">
    <w:p w14:paraId="4B97EE38" w14:textId="77777777" w:rsidR="008272ED" w:rsidRDefault="00827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3D71" w14:textId="77777777" w:rsidR="00D537EF" w:rsidRDefault="00D537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168C" w14:textId="77777777" w:rsidR="00AC516F" w:rsidRDefault="00AC516F" w:rsidP="00CE6F22">
    <w:pPr>
      <w:pStyle w:val="Header"/>
    </w:pPr>
    <w:r>
      <w:fldChar w:fldCharType="begin"/>
    </w:r>
    <w:r>
      <w:instrText>PAGE</w:instrText>
    </w:r>
    <w:r>
      <w:fldChar w:fldCharType="separate"/>
    </w:r>
    <w:r w:rsidR="005B246F">
      <w:rPr>
        <w:noProof/>
      </w:rPr>
      <w:t>2</w:t>
    </w:r>
    <w:r>
      <w:rPr>
        <w:noProof/>
      </w:rPr>
      <w:fldChar w:fldCharType="end"/>
    </w:r>
  </w:p>
  <w:p w14:paraId="6C37E0C8" w14:textId="04597E4A" w:rsidR="00AC516F" w:rsidRDefault="0098459B" w:rsidP="00D453EE">
    <w:pPr>
      <w:pStyle w:val="Header"/>
      <w:rPr>
        <w:lang w:eastAsia="zh-CN"/>
      </w:rPr>
    </w:pPr>
    <w:r>
      <w:t>C</w:t>
    </w:r>
    <w:r w:rsidR="0009409E">
      <w:t>2</w:t>
    </w:r>
    <w:r w:rsidR="00911867">
      <w:t>1</w:t>
    </w:r>
    <w:r w:rsidR="004672E6">
      <w:t>/</w:t>
    </w:r>
    <w:r w:rsidR="00CD6895">
      <w:rPr>
        <w:lang w:eastAsia="zh-CN"/>
      </w:rPr>
      <w:t>39</w:t>
    </w:r>
    <w:r w:rsidR="00AC516F">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6554" w14:textId="77777777" w:rsidR="00D537EF" w:rsidRDefault="00D537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DF5E7E"/>
    <w:multiLevelType w:val="multilevel"/>
    <w:tmpl w:val="861C7D7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5"/>
  </w:num>
  <w:num w:numId="5">
    <w:abstractNumId w:val="7"/>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2D9"/>
    <w:rsid w:val="00001B77"/>
    <w:rsid w:val="0000517A"/>
    <w:rsid w:val="00031E72"/>
    <w:rsid w:val="000404D2"/>
    <w:rsid w:val="00051965"/>
    <w:rsid w:val="00083AEF"/>
    <w:rsid w:val="000853C0"/>
    <w:rsid w:val="0009278D"/>
    <w:rsid w:val="0009409E"/>
    <w:rsid w:val="000A1C21"/>
    <w:rsid w:val="000D15EA"/>
    <w:rsid w:val="00100D84"/>
    <w:rsid w:val="00124C9D"/>
    <w:rsid w:val="00157773"/>
    <w:rsid w:val="00181E00"/>
    <w:rsid w:val="0018251A"/>
    <w:rsid w:val="00190272"/>
    <w:rsid w:val="00193244"/>
    <w:rsid w:val="00195C6C"/>
    <w:rsid w:val="00195FED"/>
    <w:rsid w:val="001A4BD6"/>
    <w:rsid w:val="001B14F4"/>
    <w:rsid w:val="001D3D31"/>
    <w:rsid w:val="001D5A18"/>
    <w:rsid w:val="00280EB8"/>
    <w:rsid w:val="002A6670"/>
    <w:rsid w:val="00303502"/>
    <w:rsid w:val="00325618"/>
    <w:rsid w:val="00325C25"/>
    <w:rsid w:val="00372C8F"/>
    <w:rsid w:val="00380ECE"/>
    <w:rsid w:val="00393DDF"/>
    <w:rsid w:val="00397F55"/>
    <w:rsid w:val="003B4454"/>
    <w:rsid w:val="003C2E37"/>
    <w:rsid w:val="003C63C9"/>
    <w:rsid w:val="003F1415"/>
    <w:rsid w:val="0040144C"/>
    <w:rsid w:val="00403EB7"/>
    <w:rsid w:val="00430BF0"/>
    <w:rsid w:val="004672E6"/>
    <w:rsid w:val="00474ED1"/>
    <w:rsid w:val="00493085"/>
    <w:rsid w:val="004A36EC"/>
    <w:rsid w:val="004D163F"/>
    <w:rsid w:val="004E4BFF"/>
    <w:rsid w:val="004F2598"/>
    <w:rsid w:val="00532143"/>
    <w:rsid w:val="005403F7"/>
    <w:rsid w:val="00540632"/>
    <w:rsid w:val="00541CF4"/>
    <w:rsid w:val="005451E8"/>
    <w:rsid w:val="005507F2"/>
    <w:rsid w:val="005759CC"/>
    <w:rsid w:val="00577513"/>
    <w:rsid w:val="005A72E1"/>
    <w:rsid w:val="005B246F"/>
    <w:rsid w:val="005C6632"/>
    <w:rsid w:val="005D1C9E"/>
    <w:rsid w:val="006238A6"/>
    <w:rsid w:val="00654257"/>
    <w:rsid w:val="0065435A"/>
    <w:rsid w:val="006806FA"/>
    <w:rsid w:val="006814B9"/>
    <w:rsid w:val="006A2DD3"/>
    <w:rsid w:val="006A5AF8"/>
    <w:rsid w:val="006C36CD"/>
    <w:rsid w:val="006D2DC3"/>
    <w:rsid w:val="00700D1F"/>
    <w:rsid w:val="007155D1"/>
    <w:rsid w:val="007205CB"/>
    <w:rsid w:val="00726073"/>
    <w:rsid w:val="00734FE8"/>
    <w:rsid w:val="007360CE"/>
    <w:rsid w:val="007613FB"/>
    <w:rsid w:val="00772315"/>
    <w:rsid w:val="00775157"/>
    <w:rsid w:val="007813AE"/>
    <w:rsid w:val="007A37DB"/>
    <w:rsid w:val="007D0D78"/>
    <w:rsid w:val="007E189D"/>
    <w:rsid w:val="00811259"/>
    <w:rsid w:val="00813AA2"/>
    <w:rsid w:val="00814209"/>
    <w:rsid w:val="008173A3"/>
    <w:rsid w:val="008272ED"/>
    <w:rsid w:val="00831FD6"/>
    <w:rsid w:val="008418F5"/>
    <w:rsid w:val="00843F66"/>
    <w:rsid w:val="0086059C"/>
    <w:rsid w:val="00864589"/>
    <w:rsid w:val="00890AFB"/>
    <w:rsid w:val="00890FC4"/>
    <w:rsid w:val="00895905"/>
    <w:rsid w:val="00911867"/>
    <w:rsid w:val="009164A9"/>
    <w:rsid w:val="009258CB"/>
    <w:rsid w:val="0093362E"/>
    <w:rsid w:val="00933865"/>
    <w:rsid w:val="00944563"/>
    <w:rsid w:val="00953160"/>
    <w:rsid w:val="009625D8"/>
    <w:rsid w:val="0098459B"/>
    <w:rsid w:val="00997185"/>
    <w:rsid w:val="009C2458"/>
    <w:rsid w:val="009C4A7B"/>
    <w:rsid w:val="009C6123"/>
    <w:rsid w:val="009F1E3E"/>
    <w:rsid w:val="00A1213C"/>
    <w:rsid w:val="00A272FF"/>
    <w:rsid w:val="00A5354B"/>
    <w:rsid w:val="00A71B57"/>
    <w:rsid w:val="00A82674"/>
    <w:rsid w:val="00AB42C1"/>
    <w:rsid w:val="00AC516F"/>
    <w:rsid w:val="00AE2926"/>
    <w:rsid w:val="00AE3547"/>
    <w:rsid w:val="00B0184B"/>
    <w:rsid w:val="00B035CD"/>
    <w:rsid w:val="00B0769D"/>
    <w:rsid w:val="00B217F8"/>
    <w:rsid w:val="00B332EA"/>
    <w:rsid w:val="00B40A53"/>
    <w:rsid w:val="00B45365"/>
    <w:rsid w:val="00B46A65"/>
    <w:rsid w:val="00B60184"/>
    <w:rsid w:val="00B62D20"/>
    <w:rsid w:val="00B66C26"/>
    <w:rsid w:val="00B81E75"/>
    <w:rsid w:val="00BC52D9"/>
    <w:rsid w:val="00BD1A5A"/>
    <w:rsid w:val="00BD5D60"/>
    <w:rsid w:val="00BD7A9B"/>
    <w:rsid w:val="00BD7BE1"/>
    <w:rsid w:val="00BF416B"/>
    <w:rsid w:val="00C64E4E"/>
    <w:rsid w:val="00C66E64"/>
    <w:rsid w:val="00C71D4A"/>
    <w:rsid w:val="00C761A0"/>
    <w:rsid w:val="00C85F7E"/>
    <w:rsid w:val="00C90D53"/>
    <w:rsid w:val="00CC3E31"/>
    <w:rsid w:val="00CD47F0"/>
    <w:rsid w:val="00CD5566"/>
    <w:rsid w:val="00CD64D7"/>
    <w:rsid w:val="00CD6895"/>
    <w:rsid w:val="00CE6F22"/>
    <w:rsid w:val="00CF41F6"/>
    <w:rsid w:val="00CF7D3E"/>
    <w:rsid w:val="00D02B4E"/>
    <w:rsid w:val="00D21F11"/>
    <w:rsid w:val="00D36817"/>
    <w:rsid w:val="00D453EE"/>
    <w:rsid w:val="00D537EF"/>
    <w:rsid w:val="00D5666C"/>
    <w:rsid w:val="00D64A8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B4CE4"/>
    <w:rsid w:val="00EE5706"/>
    <w:rsid w:val="00EF373D"/>
    <w:rsid w:val="00F11595"/>
    <w:rsid w:val="00F13BC9"/>
    <w:rsid w:val="00F276F2"/>
    <w:rsid w:val="00F33F2D"/>
    <w:rsid w:val="00F350AE"/>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D435B0"/>
  <w15:docId w15:val="{D02058A2-58D6-4C0F-816C-A7EA5638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4B3AD-C111-42AA-B95A-055ADE8DE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PC_C21.dotx</Template>
  <TotalTime>1</TotalTime>
  <Pages>3</Pages>
  <Words>1276</Words>
  <Characters>739</Characters>
  <Application>Microsoft Office Word</Application>
  <DocSecurity>4</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2011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Requests for exemption from any financial contribution to defraying expenses relating to participation in the work of ITU</dc:title>
  <dc:subject>Council 2021, Virtual consultation of councillors</dc:subject>
  <dc:creator>Tang, Ting</dc:creator>
  <cp:keywords>C2021, C21, VCC, C21-VCC-1</cp:keywords>
  <dc:description/>
  <cp:lastModifiedBy>Xue, Kun</cp:lastModifiedBy>
  <cp:revision>2</cp:revision>
  <cp:lastPrinted>2015-02-24T13:23:00Z</cp:lastPrinted>
  <dcterms:created xsi:type="dcterms:W3CDTF">2021-05-27T08:34:00Z</dcterms:created>
  <dcterms:modified xsi:type="dcterms:W3CDTF">2021-05-27T08:34:00Z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