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B646C" w:rsidRPr="003101DB" w14:paraId="08A08E94" w14:textId="77777777">
        <w:trPr>
          <w:cantSplit/>
        </w:trPr>
        <w:tc>
          <w:tcPr>
            <w:tcW w:w="6911" w:type="dxa"/>
          </w:tcPr>
          <w:p w14:paraId="542B566D" w14:textId="684C57E6" w:rsidR="00AB646C" w:rsidRPr="003101DB" w:rsidRDefault="00AB646C" w:rsidP="008D0E26">
            <w:pPr>
              <w:spacing w:before="360" w:after="48" w:line="240" w:lineRule="atLeast"/>
              <w:rPr>
                <w:rFonts w:asciiTheme="minorHAnsi" w:hAnsiTheme="minorHAnsi" w:cs="Calibri"/>
                <w:position w:val="6"/>
                <w:sz w:val="30"/>
                <w:szCs w:val="30"/>
                <w:lang w:val="en-US"/>
              </w:rPr>
            </w:pPr>
            <w:bookmarkStart w:id="0" w:name="dc06"/>
            <w:bookmarkEnd w:id="0"/>
            <w:r w:rsidRPr="003101DB">
              <w:rPr>
                <w:rFonts w:asciiTheme="minorHAnsi" w:hAnsiTheme="minorHAnsi" w:cs="Calibri"/>
                <w:b/>
                <w:position w:val="6"/>
                <w:sz w:val="30"/>
                <w:szCs w:val="30"/>
                <w:lang w:val="en-US"/>
              </w:rPr>
              <w:t>C</w:t>
            </w:r>
            <w:r w:rsidR="007F7F47">
              <w:rPr>
                <w:rFonts w:asciiTheme="minorHAnsi" w:hAnsiTheme="minorHAnsi" w:cs="Calibri"/>
                <w:b/>
                <w:position w:val="6"/>
                <w:sz w:val="30"/>
                <w:szCs w:val="30"/>
                <w:lang w:val="en-US"/>
              </w:rPr>
              <w:t>ouncil 202</w:t>
            </w:r>
            <w:r w:rsidR="00243D94">
              <w:rPr>
                <w:rFonts w:asciiTheme="minorHAnsi" w:hAnsiTheme="minorHAnsi" w:cs="Calibri"/>
                <w:b/>
                <w:position w:val="6"/>
                <w:sz w:val="30"/>
                <w:szCs w:val="30"/>
                <w:lang w:val="en-US"/>
              </w:rPr>
              <w:t>1</w:t>
            </w:r>
            <w:r w:rsidRPr="003101DB">
              <w:rPr>
                <w:rFonts w:asciiTheme="minorHAnsi" w:hAnsiTheme="minorHAnsi" w:cs="Calibri"/>
                <w:b/>
                <w:position w:val="6"/>
                <w:sz w:val="30"/>
                <w:szCs w:val="30"/>
                <w:lang w:val="en-US"/>
              </w:rPr>
              <w:br/>
            </w:r>
            <w:r w:rsidR="00243D94">
              <w:rPr>
                <w:rFonts w:asciiTheme="minorHAnsi" w:hAnsiTheme="minorHAnsi" w:cs="Calibri"/>
                <w:b/>
                <w:bCs/>
                <w:position w:val="6"/>
                <w:sz w:val="30"/>
                <w:szCs w:val="30"/>
                <w:lang w:val="en-US"/>
              </w:rPr>
              <w:t xml:space="preserve">Virtual consultation of </w:t>
            </w:r>
            <w:r w:rsidR="00D3418D">
              <w:rPr>
                <w:rFonts w:asciiTheme="minorHAnsi" w:hAnsiTheme="minorHAnsi" w:cs="Calibri"/>
                <w:b/>
                <w:bCs/>
                <w:position w:val="6"/>
                <w:sz w:val="30"/>
                <w:szCs w:val="30"/>
                <w:lang w:val="en-US"/>
              </w:rPr>
              <w:t>councilors</w:t>
            </w:r>
            <w:r w:rsidR="00243D94">
              <w:rPr>
                <w:rFonts w:asciiTheme="minorHAnsi" w:hAnsiTheme="minorHAnsi" w:cs="Calibri"/>
                <w:b/>
                <w:bCs/>
                <w:position w:val="6"/>
                <w:sz w:val="30"/>
                <w:szCs w:val="30"/>
                <w:lang w:val="en-US"/>
              </w:rPr>
              <w:t>, 8-18 June 2021</w:t>
            </w:r>
          </w:p>
        </w:tc>
        <w:tc>
          <w:tcPr>
            <w:tcW w:w="3120" w:type="dxa"/>
          </w:tcPr>
          <w:p w14:paraId="1D9F7036" w14:textId="147A5227" w:rsidR="00AB646C" w:rsidRPr="003101DB" w:rsidRDefault="00243D94" w:rsidP="00AB646C">
            <w:pPr>
              <w:spacing w:line="240" w:lineRule="atLeast"/>
              <w:rPr>
                <w:rFonts w:asciiTheme="minorHAnsi" w:hAnsiTheme="minorHAnsi" w:cs="Calibri"/>
                <w:lang w:val="en-US"/>
              </w:rPr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33AE5293" wp14:editId="41A291E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646C" w:rsidRPr="003101DB" w14:paraId="4FC3D7CA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28A77C5" w14:textId="77777777" w:rsidR="00AB646C" w:rsidRPr="003101DB" w:rsidRDefault="00AB646C">
            <w:pPr>
              <w:spacing w:after="48" w:line="240" w:lineRule="atLeast"/>
              <w:rPr>
                <w:rFonts w:asciiTheme="minorHAnsi" w:hAnsiTheme="minorHAnsi" w:cs="Calibri"/>
                <w:b/>
                <w:smallCaps/>
                <w:lang w:val="en-US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521764A" w14:textId="77777777" w:rsidR="00AB646C" w:rsidRPr="003101DB" w:rsidRDefault="00AB646C">
            <w:pPr>
              <w:spacing w:line="240" w:lineRule="atLeast"/>
              <w:rPr>
                <w:rFonts w:asciiTheme="minorHAnsi" w:hAnsiTheme="minorHAnsi" w:cs="Calibri"/>
                <w:lang w:val="en-US"/>
              </w:rPr>
            </w:pPr>
          </w:p>
        </w:tc>
      </w:tr>
      <w:tr w:rsidR="00AB646C" w:rsidRPr="003101DB" w14:paraId="7C0DB5BF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73A313B" w14:textId="77777777" w:rsidR="00AB646C" w:rsidRPr="003101DB" w:rsidRDefault="00AB646C">
            <w:pPr>
              <w:spacing w:after="48" w:line="240" w:lineRule="atLeast"/>
              <w:rPr>
                <w:rFonts w:asciiTheme="minorHAnsi" w:hAnsiTheme="minorHAnsi" w:cs="Calibri"/>
                <w:b/>
                <w:smallCaps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E7F7DE5" w14:textId="77777777" w:rsidR="00AB646C" w:rsidRPr="003101DB" w:rsidRDefault="00AB646C">
            <w:pPr>
              <w:spacing w:line="240" w:lineRule="atLeast"/>
              <w:rPr>
                <w:rFonts w:asciiTheme="minorHAnsi" w:hAnsiTheme="minorHAnsi" w:cs="Calibri"/>
                <w:lang w:val="en-US"/>
              </w:rPr>
            </w:pPr>
          </w:p>
        </w:tc>
      </w:tr>
      <w:tr w:rsidR="00AB646C" w:rsidRPr="003101DB" w14:paraId="7B1DA4C2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35024E75" w14:textId="04B5149A" w:rsidR="00AB646C" w:rsidRPr="003101DB" w:rsidRDefault="00AB646C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 w:cs="Calibri"/>
                <w:b/>
                <w:lang w:val="en-US"/>
              </w:rPr>
            </w:pPr>
            <w:bookmarkStart w:id="2" w:name="dmeeting" w:colFirst="0" w:colLast="0"/>
            <w:bookmarkStart w:id="3" w:name="dnum" w:colFirst="1" w:colLast="1"/>
            <w:r w:rsidRPr="003101DB">
              <w:rPr>
                <w:rFonts w:asciiTheme="minorHAnsi" w:hAnsiTheme="minorHAnsi" w:cs="Calibri"/>
                <w:b/>
              </w:rPr>
              <w:t xml:space="preserve">Agenda item: </w:t>
            </w:r>
            <w:r w:rsidR="00244928">
              <w:rPr>
                <w:rFonts w:asciiTheme="minorHAnsi" w:hAnsiTheme="minorHAnsi" w:cs="Calibri"/>
                <w:b/>
              </w:rPr>
              <w:t>ADM 11</w:t>
            </w:r>
          </w:p>
        </w:tc>
        <w:tc>
          <w:tcPr>
            <w:tcW w:w="3120" w:type="dxa"/>
          </w:tcPr>
          <w:p w14:paraId="3488B1E6" w14:textId="158C6788" w:rsidR="00AB646C" w:rsidRPr="003101DB" w:rsidRDefault="00AB646C" w:rsidP="008D0E26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 w:cs="Calibri"/>
                <w:b/>
                <w:lang w:val="en-US"/>
              </w:rPr>
            </w:pPr>
            <w:r w:rsidRPr="003101DB">
              <w:rPr>
                <w:rFonts w:asciiTheme="minorHAnsi" w:hAnsiTheme="minorHAnsi" w:cs="Calibri"/>
                <w:b/>
                <w:lang w:val="en-US"/>
              </w:rPr>
              <w:t xml:space="preserve">Document </w:t>
            </w:r>
            <w:r w:rsidR="00243D94">
              <w:rPr>
                <w:rFonts w:asciiTheme="minorHAnsi" w:hAnsiTheme="minorHAnsi" w:cs="Calibri"/>
                <w:b/>
                <w:lang w:val="en-US"/>
              </w:rPr>
              <w:t>C21/</w:t>
            </w:r>
            <w:r w:rsidR="00244928">
              <w:rPr>
                <w:rFonts w:asciiTheme="minorHAnsi" w:hAnsiTheme="minorHAnsi" w:cs="Calibri"/>
                <w:b/>
                <w:lang w:val="en-US"/>
              </w:rPr>
              <w:t>39</w:t>
            </w:r>
            <w:r w:rsidR="00243D94">
              <w:rPr>
                <w:rFonts w:asciiTheme="minorHAnsi" w:hAnsiTheme="minorHAnsi" w:cs="Calibri"/>
                <w:b/>
                <w:lang w:val="en-US"/>
              </w:rPr>
              <w:t>-E</w:t>
            </w:r>
          </w:p>
        </w:tc>
      </w:tr>
      <w:tr w:rsidR="00AB646C" w:rsidRPr="003101DB" w14:paraId="4318BCAE" w14:textId="77777777">
        <w:trPr>
          <w:cantSplit/>
          <w:trHeight w:val="23"/>
        </w:trPr>
        <w:tc>
          <w:tcPr>
            <w:tcW w:w="6911" w:type="dxa"/>
            <w:vMerge/>
          </w:tcPr>
          <w:p w14:paraId="3B46AF5F" w14:textId="77777777" w:rsidR="00AB646C" w:rsidRPr="003101DB" w:rsidRDefault="00AB646C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 w:cs="Calibri"/>
                <w:b/>
                <w:lang w:val="en-US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21C2A3F5" w14:textId="41640165" w:rsidR="00AB646C" w:rsidRPr="003101DB" w:rsidRDefault="00244928" w:rsidP="003276EA">
            <w:pPr>
              <w:tabs>
                <w:tab w:val="left" w:pos="993"/>
              </w:tabs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28 April</w:t>
            </w:r>
            <w:r w:rsidR="008D0E26" w:rsidRPr="003101DB">
              <w:rPr>
                <w:rFonts w:asciiTheme="minorHAnsi" w:hAnsiTheme="minorHAnsi" w:cs="Calibri"/>
                <w:b/>
                <w:lang w:val="en-US"/>
              </w:rPr>
              <w:t xml:space="preserve"> </w:t>
            </w:r>
            <w:r w:rsidR="00AB646C" w:rsidRPr="003101DB">
              <w:rPr>
                <w:rFonts w:asciiTheme="minorHAnsi" w:hAnsiTheme="minorHAnsi" w:cs="Calibri"/>
                <w:b/>
                <w:lang w:val="en-US"/>
              </w:rPr>
              <w:t>20</w:t>
            </w:r>
            <w:r w:rsidR="007F7F47">
              <w:rPr>
                <w:rFonts w:asciiTheme="minorHAnsi" w:hAnsiTheme="minorHAnsi" w:cs="Calibri"/>
                <w:b/>
                <w:lang w:val="en-US"/>
              </w:rPr>
              <w:t>2</w:t>
            </w:r>
            <w:r w:rsidR="00243D94">
              <w:rPr>
                <w:rFonts w:asciiTheme="minorHAnsi" w:hAnsiTheme="minorHAnsi" w:cs="Calibri"/>
                <w:b/>
                <w:lang w:val="en-US"/>
              </w:rPr>
              <w:t>1</w:t>
            </w:r>
          </w:p>
        </w:tc>
      </w:tr>
      <w:tr w:rsidR="00AB646C" w:rsidRPr="003101DB" w14:paraId="6D67349B" w14:textId="77777777">
        <w:trPr>
          <w:cantSplit/>
          <w:trHeight w:val="23"/>
        </w:trPr>
        <w:tc>
          <w:tcPr>
            <w:tcW w:w="6911" w:type="dxa"/>
            <w:vMerge/>
          </w:tcPr>
          <w:p w14:paraId="270B2E69" w14:textId="77777777" w:rsidR="00AB646C" w:rsidRPr="003101DB" w:rsidRDefault="00AB646C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 w:cs="Calibri"/>
                <w:b/>
                <w:lang w:val="en-US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73004BC2" w14:textId="77777777" w:rsidR="00AB646C" w:rsidRPr="003101DB" w:rsidRDefault="00AB646C" w:rsidP="00AB646C">
            <w:pPr>
              <w:tabs>
                <w:tab w:val="left" w:pos="993"/>
              </w:tabs>
              <w:rPr>
                <w:rFonts w:asciiTheme="minorHAnsi" w:hAnsiTheme="minorHAnsi" w:cs="Calibri"/>
                <w:b/>
                <w:lang w:val="en-US"/>
              </w:rPr>
            </w:pPr>
            <w:r w:rsidRPr="003101DB">
              <w:rPr>
                <w:rFonts w:asciiTheme="minorHAnsi" w:hAnsiTheme="minorHAnsi" w:cs="Calibri"/>
                <w:b/>
                <w:lang w:val="en-US"/>
              </w:rPr>
              <w:t>Original: English</w:t>
            </w:r>
          </w:p>
        </w:tc>
      </w:tr>
      <w:tr w:rsidR="00AB646C" w:rsidRPr="003101DB" w14:paraId="375D86DC" w14:textId="77777777">
        <w:trPr>
          <w:cantSplit/>
        </w:trPr>
        <w:tc>
          <w:tcPr>
            <w:tcW w:w="10031" w:type="dxa"/>
            <w:gridSpan w:val="2"/>
          </w:tcPr>
          <w:p w14:paraId="2B5A0423" w14:textId="77777777" w:rsidR="00AB646C" w:rsidRPr="00055FE2" w:rsidRDefault="00AB646C" w:rsidP="003101DB">
            <w:pPr>
              <w:pStyle w:val="Source"/>
              <w:spacing w:before="840"/>
              <w:rPr>
                <w:rFonts w:asciiTheme="minorHAnsi" w:hAnsiTheme="minorHAnsi" w:cs="Calibri"/>
                <w:szCs w:val="28"/>
                <w:lang w:val="en-US"/>
              </w:rPr>
            </w:pPr>
            <w:bookmarkStart w:id="6" w:name="dsource" w:colFirst="0" w:colLast="0"/>
            <w:bookmarkEnd w:id="5"/>
            <w:r w:rsidRPr="00055FE2">
              <w:rPr>
                <w:rFonts w:asciiTheme="minorHAnsi" w:hAnsiTheme="minorHAnsi" w:cs="Calibri"/>
                <w:szCs w:val="28"/>
                <w:lang w:val="en-US"/>
              </w:rPr>
              <w:t>Report by the Secretary-General</w:t>
            </w:r>
          </w:p>
        </w:tc>
      </w:tr>
      <w:tr w:rsidR="00AB646C" w:rsidRPr="003101DB" w14:paraId="46174EAD" w14:textId="77777777">
        <w:trPr>
          <w:cantSplit/>
        </w:trPr>
        <w:tc>
          <w:tcPr>
            <w:tcW w:w="10031" w:type="dxa"/>
            <w:gridSpan w:val="2"/>
          </w:tcPr>
          <w:p w14:paraId="1A0B7F17" w14:textId="77777777" w:rsidR="00AB646C" w:rsidRPr="00055FE2" w:rsidRDefault="00AB646C" w:rsidP="009F371C">
            <w:pPr>
              <w:pStyle w:val="Title1"/>
              <w:rPr>
                <w:rFonts w:asciiTheme="minorHAnsi" w:hAnsiTheme="minorHAnsi" w:cs="Calibri"/>
                <w:szCs w:val="28"/>
                <w:lang w:val="en-US"/>
              </w:rPr>
            </w:pPr>
            <w:bookmarkStart w:id="7" w:name="dtitle1" w:colFirst="0" w:colLast="0"/>
            <w:bookmarkEnd w:id="6"/>
            <w:r w:rsidRPr="00055FE2">
              <w:rPr>
                <w:rFonts w:asciiTheme="minorHAnsi" w:hAnsiTheme="minorHAnsi" w:cs="Calibri"/>
                <w:caps w:val="0"/>
                <w:szCs w:val="28"/>
                <w:lang w:val="en-US"/>
              </w:rPr>
              <w:t xml:space="preserve">REQUESTS FOR EXEMPTION FROM ANY </w:t>
            </w:r>
            <w:r w:rsidRPr="00055FE2">
              <w:rPr>
                <w:rFonts w:asciiTheme="minorHAnsi" w:hAnsiTheme="minorHAnsi" w:cs="Calibri"/>
                <w:szCs w:val="28"/>
                <w:lang w:val="en-US"/>
              </w:rPr>
              <w:t>FINANCIAL CONTRIBUTION TO DEFRAYING EXPENSES RELATING TO PARTICIPATION</w:t>
            </w:r>
            <w:r w:rsidR="008D0E26" w:rsidRPr="00055FE2">
              <w:rPr>
                <w:rFonts w:asciiTheme="minorHAnsi" w:hAnsiTheme="minorHAnsi" w:cs="Calibri"/>
                <w:szCs w:val="28"/>
                <w:lang w:val="en-US"/>
              </w:rPr>
              <w:t xml:space="preserve"> </w:t>
            </w:r>
            <w:r w:rsidRPr="00055FE2">
              <w:rPr>
                <w:rFonts w:asciiTheme="minorHAnsi" w:hAnsiTheme="minorHAnsi" w:cs="Calibri"/>
                <w:szCs w:val="28"/>
                <w:lang w:val="en-US"/>
              </w:rPr>
              <w:t>IN THE WORK OF ITU</w:t>
            </w:r>
          </w:p>
        </w:tc>
      </w:tr>
      <w:bookmarkEnd w:id="7"/>
    </w:tbl>
    <w:p w14:paraId="07321AF8" w14:textId="77777777" w:rsidR="00AB646C" w:rsidRPr="003101DB" w:rsidRDefault="00AB646C">
      <w:pPr>
        <w:rPr>
          <w:rFonts w:asciiTheme="minorHAnsi" w:hAnsiTheme="minorHAnsi" w:cs="Calibri"/>
          <w:lang w:val="en-US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AB646C" w:rsidRPr="003101DB" w14:paraId="43E12AA8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414096" w14:textId="77777777" w:rsidR="00AB646C" w:rsidRPr="00055FE2" w:rsidRDefault="00AB646C" w:rsidP="00055FE2">
            <w:pPr>
              <w:pStyle w:val="Headingb"/>
              <w:spacing w:before="120" w:after="120"/>
              <w:jc w:val="both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055FE2">
              <w:rPr>
                <w:rFonts w:asciiTheme="minorHAnsi" w:hAnsiTheme="minorHAnsi" w:cstheme="minorHAnsi"/>
                <w:szCs w:val="24"/>
                <w:lang w:val="en-US"/>
              </w:rPr>
              <w:t>Summary</w:t>
            </w:r>
          </w:p>
          <w:p w14:paraId="6A577F93" w14:textId="2D196164" w:rsidR="00AB646C" w:rsidRPr="00055FE2" w:rsidRDefault="00AB646C" w:rsidP="00055FE2">
            <w:pPr>
              <w:spacing w:after="120"/>
              <w:jc w:val="both"/>
              <w:rPr>
                <w:rFonts w:asciiTheme="minorHAnsi" w:hAnsiTheme="minorHAnsi" w:cstheme="minorHAnsi"/>
                <w:lang w:val="en-US"/>
              </w:rPr>
            </w:pPr>
            <w:r w:rsidRPr="00055FE2">
              <w:rPr>
                <w:rFonts w:asciiTheme="minorHAnsi" w:hAnsiTheme="minorHAnsi" w:cstheme="minorHAnsi"/>
                <w:lang w:val="en-US"/>
              </w:rPr>
              <w:t xml:space="preserve">Requests for exemption from making financial contribution were submitted by </w:t>
            </w:r>
            <w:r w:rsidR="007632D5" w:rsidRPr="00055FE2">
              <w:rPr>
                <w:rFonts w:asciiTheme="minorHAnsi" w:hAnsiTheme="minorHAnsi" w:cstheme="minorHAnsi"/>
                <w:lang w:val="en-US"/>
              </w:rPr>
              <w:t>five o</w:t>
            </w:r>
            <w:r w:rsidRPr="00055FE2">
              <w:rPr>
                <w:rFonts w:asciiTheme="minorHAnsi" w:hAnsiTheme="minorHAnsi" w:cstheme="minorHAnsi"/>
                <w:lang w:val="en-US"/>
              </w:rPr>
              <w:t>rganizations of a</w:t>
            </w:r>
            <w:r w:rsidR="005C5401" w:rsidRPr="00055FE2">
              <w:rPr>
                <w:rFonts w:asciiTheme="minorHAnsi" w:hAnsiTheme="minorHAnsi" w:cstheme="minorHAnsi"/>
                <w:lang w:val="en-US"/>
              </w:rPr>
              <w:t xml:space="preserve"> regional or</w:t>
            </w:r>
            <w:r w:rsidRPr="00055FE2">
              <w:rPr>
                <w:rFonts w:asciiTheme="minorHAnsi" w:hAnsiTheme="minorHAnsi" w:cstheme="minorHAnsi"/>
                <w:lang w:val="en-US"/>
              </w:rPr>
              <w:t xml:space="preserve"> international character. Under the guidelines, the Council shall take account of the views expressed by the Secretary-General as to the mutual advantages of their participation in the activities of the Union.</w:t>
            </w:r>
          </w:p>
          <w:p w14:paraId="39C61660" w14:textId="77777777" w:rsidR="00AB646C" w:rsidRPr="00055FE2" w:rsidRDefault="00AB646C" w:rsidP="00055FE2">
            <w:pPr>
              <w:pStyle w:val="Headingb"/>
              <w:spacing w:before="120" w:after="120"/>
              <w:jc w:val="both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055FE2">
              <w:rPr>
                <w:rFonts w:asciiTheme="minorHAnsi" w:hAnsiTheme="minorHAnsi" w:cstheme="minorHAnsi"/>
                <w:szCs w:val="24"/>
                <w:lang w:val="en-US"/>
              </w:rPr>
              <w:t>Action required</w:t>
            </w:r>
          </w:p>
          <w:p w14:paraId="7F5530E5" w14:textId="77777777" w:rsidR="00AB646C" w:rsidRPr="00055FE2" w:rsidRDefault="004E072F" w:rsidP="00055FE2">
            <w:pPr>
              <w:spacing w:after="120"/>
              <w:jc w:val="both"/>
              <w:rPr>
                <w:rFonts w:asciiTheme="minorHAnsi" w:hAnsiTheme="minorHAnsi" w:cstheme="minorHAnsi"/>
                <w:lang w:val="en-US"/>
              </w:rPr>
            </w:pPr>
            <w:r w:rsidRPr="00055FE2">
              <w:rPr>
                <w:rFonts w:asciiTheme="minorHAnsi" w:hAnsiTheme="minorHAnsi" w:cstheme="minorHAnsi"/>
                <w:spacing w:val="-2"/>
                <w:lang w:val="en-US"/>
              </w:rPr>
              <w:t xml:space="preserve">The </w:t>
            </w:r>
            <w:r w:rsidR="00AB646C" w:rsidRPr="00055FE2">
              <w:rPr>
                <w:rFonts w:asciiTheme="minorHAnsi" w:hAnsiTheme="minorHAnsi" w:cstheme="minorHAnsi"/>
                <w:spacing w:val="-2"/>
                <w:lang w:val="en-US"/>
              </w:rPr>
              <w:t xml:space="preserve">Council is invited to </w:t>
            </w:r>
            <w:r w:rsidR="00AB646C" w:rsidRPr="00055FE2">
              <w:rPr>
                <w:rFonts w:asciiTheme="minorHAnsi" w:hAnsiTheme="minorHAnsi" w:cstheme="minorHAnsi"/>
                <w:b/>
                <w:bCs/>
                <w:spacing w:val="-2"/>
                <w:lang w:val="en-US"/>
              </w:rPr>
              <w:t>consider</w:t>
            </w:r>
            <w:r w:rsidR="00AB646C" w:rsidRPr="00055FE2">
              <w:rPr>
                <w:rFonts w:asciiTheme="minorHAnsi" w:hAnsiTheme="minorHAnsi" w:cstheme="minorHAnsi"/>
                <w:spacing w:val="-2"/>
                <w:lang w:val="en-US"/>
              </w:rPr>
              <w:t xml:space="preserve"> these requests for admission as Sector Members,</w:t>
            </w:r>
            <w:r w:rsidR="00AB646C" w:rsidRPr="00055FE2">
              <w:rPr>
                <w:rFonts w:asciiTheme="minorHAnsi" w:hAnsiTheme="minorHAnsi" w:cstheme="minorHAnsi"/>
                <w:lang w:val="en-US"/>
              </w:rPr>
              <w:t xml:space="preserve"> exempted from financial contribution, and to </w:t>
            </w:r>
            <w:r w:rsidR="00AB646C" w:rsidRPr="00055FE2">
              <w:rPr>
                <w:rFonts w:asciiTheme="minorHAnsi" w:hAnsiTheme="minorHAnsi" w:cstheme="minorHAnsi"/>
                <w:b/>
                <w:bCs/>
                <w:lang w:val="en-US"/>
              </w:rPr>
              <w:t xml:space="preserve">approve </w:t>
            </w:r>
            <w:r w:rsidR="00AB646C" w:rsidRPr="00055FE2">
              <w:rPr>
                <w:rFonts w:asciiTheme="minorHAnsi" w:hAnsiTheme="minorHAnsi" w:cstheme="minorHAnsi"/>
                <w:lang w:val="en-US"/>
              </w:rPr>
              <w:t>the recommendations from the Secretary-General.</w:t>
            </w:r>
          </w:p>
          <w:p w14:paraId="0241C119" w14:textId="77777777" w:rsidR="00AB646C" w:rsidRPr="00055FE2" w:rsidRDefault="00AB646C" w:rsidP="003101DB">
            <w:pPr>
              <w:pStyle w:val="Table"/>
              <w:keepNext w:val="0"/>
              <w:spacing w:before="120"/>
              <w:rPr>
                <w:rFonts w:asciiTheme="minorHAnsi" w:hAnsiTheme="minorHAnsi" w:cstheme="minorHAnsi"/>
                <w:caps w:val="0"/>
                <w:szCs w:val="24"/>
                <w:lang w:val="en-US"/>
              </w:rPr>
            </w:pPr>
            <w:r w:rsidRPr="00055FE2">
              <w:rPr>
                <w:rFonts w:asciiTheme="minorHAnsi" w:hAnsiTheme="minorHAnsi" w:cstheme="minorHAnsi"/>
                <w:caps w:val="0"/>
                <w:szCs w:val="24"/>
                <w:lang w:val="en-US"/>
              </w:rPr>
              <w:t>____________</w:t>
            </w:r>
          </w:p>
          <w:p w14:paraId="2F9991F5" w14:textId="77777777" w:rsidR="00AB646C" w:rsidRPr="00055FE2" w:rsidRDefault="00AB646C" w:rsidP="003101DB">
            <w:pPr>
              <w:pStyle w:val="Headingb"/>
              <w:spacing w:before="120" w:after="12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055FE2">
              <w:rPr>
                <w:rFonts w:asciiTheme="minorHAnsi" w:hAnsiTheme="minorHAnsi" w:cstheme="minorHAnsi"/>
                <w:szCs w:val="24"/>
                <w:lang w:val="en-US"/>
              </w:rPr>
              <w:t>References</w:t>
            </w:r>
          </w:p>
          <w:p w14:paraId="31812E7C" w14:textId="18B28807" w:rsidR="00AB646C" w:rsidRPr="003101DB" w:rsidRDefault="00C216AF" w:rsidP="003101DB">
            <w:pPr>
              <w:spacing w:after="120"/>
              <w:rPr>
                <w:rFonts w:asciiTheme="minorHAnsi" w:hAnsiTheme="minorHAnsi" w:cs="Calibri"/>
                <w:i/>
                <w:iCs/>
                <w:lang w:val="en-US"/>
              </w:rPr>
            </w:pPr>
            <w:hyperlink r:id="rId8" w:anchor="cv231" w:history="1">
              <w:r w:rsidR="00AB646C" w:rsidRPr="00055FE2">
                <w:rPr>
                  <w:rStyle w:val="Hyperlink"/>
                  <w:rFonts w:asciiTheme="minorHAnsi" w:hAnsiTheme="minorHAnsi" w:cstheme="minorHAnsi"/>
                  <w:i/>
                  <w:iCs/>
                  <w:lang w:val="en-US"/>
                </w:rPr>
                <w:t>CV231</w:t>
              </w:r>
            </w:hyperlink>
            <w:r w:rsidR="00AB646C" w:rsidRPr="00055FE2">
              <w:rPr>
                <w:rFonts w:asciiTheme="minorHAnsi" w:hAnsiTheme="minorHAnsi" w:cstheme="minorHAnsi"/>
                <w:i/>
                <w:iCs/>
                <w:lang w:val="en-US"/>
              </w:rPr>
              <w:t xml:space="preserve">, </w:t>
            </w:r>
            <w:hyperlink r:id="rId9" w:tgtFrame="_blank" w:history="1">
              <w:r w:rsidR="009B2B06" w:rsidRPr="00055FE2">
                <w:rPr>
                  <w:rStyle w:val="normaltextrun"/>
                  <w:rFonts w:asciiTheme="minorHAnsi" w:hAnsiTheme="minorHAnsi" w:cstheme="minorHAnsi"/>
                  <w:i/>
                  <w:iCs/>
                  <w:color w:val="0000FF"/>
                  <w:u w:val="single"/>
                </w:rPr>
                <w:t>C2000/28</w:t>
              </w:r>
              <w:r w:rsidR="009B2B06" w:rsidRPr="00055FE2">
                <w:rPr>
                  <w:rStyle w:val="normaltextrun"/>
                  <w:rFonts w:asciiTheme="minorHAnsi" w:hAnsiTheme="minorHAnsi" w:cstheme="minorHAnsi"/>
                  <w:i/>
                  <w:iCs/>
                  <w:caps/>
                  <w:color w:val="0000FF"/>
                  <w:u w:val="single"/>
                </w:rPr>
                <w:t>(</w:t>
              </w:r>
              <w:r w:rsidR="009B2B06" w:rsidRPr="00055FE2">
                <w:rPr>
                  <w:rStyle w:val="normaltextrun"/>
                  <w:rFonts w:asciiTheme="minorHAnsi" w:hAnsiTheme="minorHAnsi" w:cstheme="minorHAnsi"/>
                  <w:i/>
                  <w:iCs/>
                  <w:color w:val="0000FF"/>
                  <w:u w:val="single"/>
                </w:rPr>
                <w:t>Rev.</w:t>
              </w:r>
              <w:r w:rsidR="009B2B06" w:rsidRPr="00055FE2">
                <w:rPr>
                  <w:rStyle w:val="normaltextrun"/>
                  <w:rFonts w:asciiTheme="minorHAnsi" w:hAnsiTheme="minorHAnsi" w:cstheme="minorHAnsi"/>
                  <w:i/>
                  <w:iCs/>
                  <w:caps/>
                  <w:color w:val="0000FF"/>
                  <w:u w:val="single"/>
                </w:rPr>
                <w:t>1)</w:t>
              </w:r>
            </w:hyperlink>
          </w:p>
        </w:tc>
      </w:tr>
    </w:tbl>
    <w:p w14:paraId="7960F3AF" w14:textId="597A2765" w:rsidR="00AB646C" w:rsidRPr="00055FE2" w:rsidRDefault="00AB646C" w:rsidP="00055FE2">
      <w:pPr>
        <w:pStyle w:val="Heading2"/>
        <w:tabs>
          <w:tab w:val="clear" w:pos="794"/>
          <w:tab w:val="clear" w:pos="1191"/>
          <w:tab w:val="clear" w:pos="1588"/>
          <w:tab w:val="clear" w:pos="1985"/>
        </w:tabs>
        <w:spacing w:before="600" w:after="120"/>
        <w:ind w:left="792" w:hanging="792"/>
        <w:rPr>
          <w:rFonts w:asciiTheme="minorHAnsi" w:hAnsiTheme="minorHAnsi" w:cstheme="minorHAnsi"/>
          <w:szCs w:val="24"/>
          <w:lang w:val="en-US"/>
        </w:rPr>
      </w:pPr>
      <w:r w:rsidRPr="00055FE2">
        <w:rPr>
          <w:rFonts w:asciiTheme="minorHAnsi" w:hAnsiTheme="minorHAnsi" w:cstheme="minorHAnsi"/>
          <w:szCs w:val="24"/>
          <w:lang w:val="en-US"/>
        </w:rPr>
        <w:t>Background</w:t>
      </w:r>
    </w:p>
    <w:p w14:paraId="7A04A7B5" w14:textId="669182E0" w:rsidR="00B33012" w:rsidRPr="00055FE2" w:rsidRDefault="00B33012" w:rsidP="00055FE2">
      <w:pPr>
        <w:pStyle w:val="paragraph"/>
        <w:numPr>
          <w:ilvl w:val="1"/>
          <w:numId w:val="5"/>
        </w:numPr>
        <w:spacing w:before="120" w:beforeAutospacing="0" w:after="12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055FE2">
        <w:rPr>
          <w:rStyle w:val="normaltextrun"/>
          <w:rFonts w:asciiTheme="minorHAnsi" w:hAnsiTheme="minorHAnsi" w:cstheme="minorHAnsi"/>
        </w:rPr>
        <w:t>The criteria and guidelines on granting exemption, subject to “reciprocity”, were</w:t>
      </w:r>
      <w:r w:rsidR="00055FE2">
        <w:rPr>
          <w:rStyle w:val="normaltextrun"/>
          <w:rFonts w:asciiTheme="minorHAnsi" w:hAnsiTheme="minorHAnsi" w:cstheme="minorHAnsi"/>
        </w:rPr>
        <w:t xml:space="preserve"> </w:t>
      </w:r>
      <w:r w:rsidRPr="00055FE2">
        <w:rPr>
          <w:rStyle w:val="normaltextrun"/>
          <w:rFonts w:asciiTheme="minorHAnsi" w:hAnsiTheme="minorHAnsi" w:cstheme="minorHAnsi"/>
        </w:rPr>
        <w:t>adopted by the 2000 session of the Council (Document</w:t>
      </w:r>
      <w:r w:rsidR="00055FE2">
        <w:rPr>
          <w:rStyle w:val="normaltextrun"/>
          <w:rFonts w:asciiTheme="minorHAnsi" w:hAnsiTheme="minorHAnsi" w:cstheme="minorHAnsi"/>
        </w:rPr>
        <w:t xml:space="preserve"> </w:t>
      </w:r>
      <w:hyperlink r:id="rId10" w:tgtFrame="_blank" w:history="1">
        <w:r w:rsidRPr="00055FE2">
          <w:rPr>
            <w:rStyle w:val="normaltextrun"/>
            <w:rFonts w:asciiTheme="minorHAnsi" w:hAnsiTheme="minorHAnsi" w:cstheme="minorHAnsi"/>
            <w:color w:val="0000FF"/>
            <w:u w:val="single"/>
          </w:rPr>
          <w:t>C2000/28</w:t>
        </w:r>
        <w:r w:rsidRPr="00055FE2">
          <w:rPr>
            <w:rStyle w:val="normaltextrun"/>
            <w:rFonts w:asciiTheme="minorHAnsi" w:hAnsiTheme="minorHAnsi" w:cstheme="minorHAnsi"/>
            <w:caps/>
            <w:color w:val="0000FF"/>
            <w:u w:val="single"/>
          </w:rPr>
          <w:t>(</w:t>
        </w:r>
        <w:r w:rsidRPr="00055FE2">
          <w:rPr>
            <w:rStyle w:val="normaltextrun"/>
            <w:rFonts w:asciiTheme="minorHAnsi" w:hAnsiTheme="minorHAnsi" w:cstheme="minorHAnsi"/>
            <w:color w:val="0000FF"/>
            <w:u w:val="single"/>
          </w:rPr>
          <w:t>Rev.</w:t>
        </w:r>
        <w:r w:rsidRPr="00055FE2">
          <w:rPr>
            <w:rStyle w:val="normaltextrun"/>
            <w:rFonts w:asciiTheme="minorHAnsi" w:hAnsiTheme="minorHAnsi" w:cstheme="minorHAnsi"/>
            <w:caps/>
            <w:color w:val="0000FF"/>
            <w:u w:val="single"/>
          </w:rPr>
          <w:t>1)</w:t>
        </w:r>
      </w:hyperlink>
      <w:r w:rsidRPr="00055FE2">
        <w:rPr>
          <w:rStyle w:val="normaltextrun"/>
          <w:rFonts w:asciiTheme="minorHAnsi" w:hAnsiTheme="minorHAnsi" w:cstheme="minorHAnsi"/>
          <w:caps/>
        </w:rPr>
        <w:t>)</w:t>
      </w:r>
      <w:r w:rsidRPr="00055FE2">
        <w:rPr>
          <w:rStyle w:val="normaltextrun"/>
          <w:rFonts w:asciiTheme="minorHAnsi" w:hAnsiTheme="minorHAnsi" w:cstheme="minorHAnsi"/>
        </w:rPr>
        <w:t>. These criteria were reviewed and revised by Council in 2017. The criteria are available</w:t>
      </w:r>
      <w:r w:rsidR="00055FE2">
        <w:rPr>
          <w:rStyle w:val="normaltextrun"/>
          <w:rFonts w:asciiTheme="minorHAnsi" w:hAnsiTheme="minorHAnsi" w:cstheme="minorHAnsi"/>
        </w:rPr>
        <w:t xml:space="preserve"> </w:t>
      </w:r>
      <w:hyperlink r:id="rId11" w:tgtFrame="_blank" w:history="1">
        <w:r w:rsidRPr="00055FE2">
          <w:rPr>
            <w:rStyle w:val="normaltextrun"/>
            <w:rFonts w:asciiTheme="minorHAnsi" w:hAnsiTheme="minorHAnsi" w:cstheme="minorHAnsi"/>
            <w:color w:val="0000FF"/>
            <w:u w:val="single"/>
          </w:rPr>
          <w:t>here</w:t>
        </w:r>
      </w:hyperlink>
      <w:r w:rsidRPr="00055FE2">
        <w:rPr>
          <w:rStyle w:val="normaltextrun"/>
          <w:rFonts w:asciiTheme="minorHAnsi" w:hAnsiTheme="minorHAnsi" w:cstheme="minorHAnsi"/>
        </w:rPr>
        <w:t>.</w:t>
      </w:r>
    </w:p>
    <w:p w14:paraId="1FA2C710" w14:textId="33D75E15" w:rsidR="00B33012" w:rsidRPr="00055FE2" w:rsidRDefault="00B33012" w:rsidP="00055FE2">
      <w:pPr>
        <w:pStyle w:val="paragraph"/>
        <w:numPr>
          <w:ilvl w:val="1"/>
          <w:numId w:val="5"/>
        </w:numPr>
        <w:spacing w:before="120" w:beforeAutospacing="0" w:after="12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055FE2">
        <w:rPr>
          <w:rStyle w:val="normaltextrun"/>
          <w:rFonts w:asciiTheme="minorHAnsi" w:hAnsiTheme="minorHAnsi" w:cstheme="minorHAnsi"/>
        </w:rPr>
        <w:t>Exemption</w:t>
      </w:r>
      <w:r w:rsidR="00055FE2">
        <w:rPr>
          <w:rStyle w:val="normaltextrun"/>
          <w:rFonts w:asciiTheme="minorHAnsi" w:hAnsiTheme="minorHAnsi" w:cstheme="minorHAnsi"/>
        </w:rPr>
        <w:t xml:space="preserve"> </w:t>
      </w:r>
      <w:r w:rsidRPr="00055FE2">
        <w:rPr>
          <w:rStyle w:val="normaltextrun"/>
          <w:rFonts w:asciiTheme="minorHAnsi" w:hAnsiTheme="minorHAnsi" w:cstheme="minorHAnsi"/>
        </w:rPr>
        <w:t>from fees is granted by the Council following an analysis by the relevant Bureaux and a recommendation by the Secretary-General. The main criteria include that the entity must be a legally recognized, non-profit, regional,</w:t>
      </w:r>
      <w:r w:rsidR="00055FE2">
        <w:rPr>
          <w:rStyle w:val="normaltextrun"/>
          <w:rFonts w:asciiTheme="minorHAnsi" w:hAnsiTheme="minorHAnsi" w:cstheme="minorHAnsi"/>
        </w:rPr>
        <w:t xml:space="preserve"> </w:t>
      </w:r>
      <w:r w:rsidRPr="00055FE2">
        <w:rPr>
          <w:rStyle w:val="normaltextrun"/>
          <w:rFonts w:asciiTheme="minorHAnsi" w:hAnsiTheme="minorHAnsi" w:cstheme="minorHAnsi"/>
        </w:rPr>
        <w:t xml:space="preserve">or international organization dealing with telecommunications/ICTs, having non-profit member and activities in multiple countries, and offering reciprocal benefits to ITU. If approved, they become Sector Members or Associates under the terms of No. 231 of the Convention. </w:t>
      </w:r>
    </w:p>
    <w:p w14:paraId="753B8882" w14:textId="7576D7C7" w:rsidR="00AB646C" w:rsidRPr="00055FE2" w:rsidRDefault="009B2B06" w:rsidP="00055FE2">
      <w:pPr>
        <w:pStyle w:val="Heading2"/>
        <w:tabs>
          <w:tab w:val="clear" w:pos="794"/>
          <w:tab w:val="clear" w:pos="1191"/>
          <w:tab w:val="clear" w:pos="1588"/>
          <w:tab w:val="clear" w:pos="1985"/>
        </w:tabs>
        <w:spacing w:before="120" w:after="120"/>
        <w:rPr>
          <w:rFonts w:asciiTheme="minorHAnsi" w:hAnsiTheme="minorHAnsi" w:cstheme="minorHAnsi"/>
          <w:szCs w:val="24"/>
          <w:lang w:val="en-US"/>
        </w:rPr>
      </w:pPr>
      <w:r w:rsidRPr="00055FE2">
        <w:rPr>
          <w:rFonts w:asciiTheme="minorHAnsi" w:hAnsiTheme="minorHAnsi" w:cstheme="minorHAnsi"/>
          <w:szCs w:val="24"/>
          <w:lang w:val="en-US"/>
        </w:rPr>
        <w:lastRenderedPageBreak/>
        <w:t xml:space="preserve">Requests and </w:t>
      </w:r>
      <w:r w:rsidR="00AB646C" w:rsidRPr="00055FE2">
        <w:rPr>
          <w:rFonts w:asciiTheme="minorHAnsi" w:hAnsiTheme="minorHAnsi" w:cstheme="minorHAnsi"/>
          <w:szCs w:val="24"/>
          <w:lang w:val="en-US"/>
        </w:rPr>
        <w:t>Recommendations</w:t>
      </w:r>
    </w:p>
    <w:p w14:paraId="5725EB19" w14:textId="77777777" w:rsidR="009B2B06" w:rsidRPr="00055FE2" w:rsidRDefault="00AB646C" w:rsidP="00055FE2">
      <w:pPr>
        <w:keepNext/>
        <w:keepLines/>
        <w:spacing w:before="120" w:after="120"/>
        <w:rPr>
          <w:rFonts w:asciiTheme="minorHAnsi" w:hAnsiTheme="minorHAnsi" w:cstheme="minorHAnsi"/>
          <w:lang w:val="en-US"/>
        </w:rPr>
      </w:pPr>
      <w:r w:rsidRPr="00055FE2">
        <w:rPr>
          <w:rFonts w:asciiTheme="minorHAnsi" w:hAnsiTheme="minorHAnsi" w:cstheme="minorHAnsi"/>
          <w:lang w:val="en-US"/>
        </w:rPr>
        <w:t>2</w:t>
      </w:r>
      <w:r w:rsidRPr="00055FE2">
        <w:rPr>
          <w:rFonts w:asciiTheme="minorHAnsi" w:hAnsiTheme="minorHAnsi" w:cstheme="minorHAnsi"/>
          <w:lang w:val="en-US"/>
        </w:rPr>
        <w:tab/>
        <w:t>The following requests were received and are submitted for appropriate action:</w:t>
      </w:r>
    </w:p>
    <w:p w14:paraId="3C3B4833" w14:textId="20514BCA" w:rsidR="004B6412" w:rsidRPr="00055FE2" w:rsidRDefault="004B6412" w:rsidP="00055FE2">
      <w:pPr>
        <w:keepNext/>
        <w:keepLines/>
        <w:spacing w:before="120" w:after="120"/>
        <w:rPr>
          <w:rFonts w:asciiTheme="minorHAnsi" w:hAnsiTheme="minorHAnsi" w:cstheme="minorHAnsi"/>
          <w:bCs/>
          <w:lang w:val="en-US"/>
        </w:rPr>
      </w:pPr>
      <w:r w:rsidRPr="00055FE2">
        <w:rPr>
          <w:rFonts w:asciiTheme="minorHAnsi" w:hAnsiTheme="minorHAnsi" w:cstheme="minorHAnsi"/>
          <w:bCs/>
          <w:lang w:val="en-US"/>
        </w:rPr>
        <w:t>2.</w:t>
      </w:r>
      <w:r w:rsidR="00F56A02" w:rsidRPr="00055FE2">
        <w:rPr>
          <w:rFonts w:asciiTheme="minorHAnsi" w:hAnsiTheme="minorHAnsi" w:cstheme="minorHAnsi"/>
          <w:bCs/>
          <w:lang w:val="en-US"/>
        </w:rPr>
        <w:t>1</w:t>
      </w:r>
    </w:p>
    <w:tbl>
      <w:tblPr>
        <w:tblW w:w="82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89"/>
        <w:gridCol w:w="1559"/>
        <w:gridCol w:w="2250"/>
      </w:tblGrid>
      <w:tr w:rsidR="007632D5" w:rsidRPr="00055FE2" w14:paraId="17E9EAA1" w14:textId="77777777" w:rsidTr="00244D45">
        <w:trPr>
          <w:cantSplit/>
          <w:jc w:val="center"/>
        </w:trPr>
        <w:tc>
          <w:tcPr>
            <w:tcW w:w="4489" w:type="dxa"/>
          </w:tcPr>
          <w:p w14:paraId="547E6C18" w14:textId="77777777" w:rsidR="007632D5" w:rsidRPr="00055FE2" w:rsidRDefault="007632D5" w:rsidP="00055FE2">
            <w:pPr>
              <w:pStyle w:val="TableHead0"/>
              <w:keepLines/>
              <w:widowControl w:val="0"/>
              <w:spacing w:before="60" w:after="6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055FE2">
              <w:rPr>
                <w:rFonts w:asciiTheme="minorHAnsi" w:hAnsiTheme="minorHAnsi" w:cstheme="minorHAnsi"/>
                <w:szCs w:val="24"/>
                <w:lang w:val="en-US"/>
              </w:rPr>
              <w:t>Organization</w:t>
            </w:r>
          </w:p>
        </w:tc>
        <w:tc>
          <w:tcPr>
            <w:tcW w:w="1559" w:type="dxa"/>
          </w:tcPr>
          <w:p w14:paraId="1105B933" w14:textId="77777777" w:rsidR="007632D5" w:rsidRPr="00055FE2" w:rsidRDefault="007632D5" w:rsidP="00055FE2">
            <w:pPr>
              <w:pStyle w:val="TableHead0"/>
              <w:keepLines/>
              <w:widowControl w:val="0"/>
              <w:spacing w:before="60" w:after="6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055FE2">
              <w:rPr>
                <w:rFonts w:asciiTheme="minorHAnsi" w:hAnsiTheme="minorHAnsi" w:cstheme="minorHAnsi"/>
                <w:szCs w:val="24"/>
                <w:lang w:val="en-US"/>
              </w:rPr>
              <w:t>Sector</w:t>
            </w:r>
          </w:p>
        </w:tc>
        <w:tc>
          <w:tcPr>
            <w:tcW w:w="2250" w:type="dxa"/>
          </w:tcPr>
          <w:p w14:paraId="239EA342" w14:textId="77777777" w:rsidR="007632D5" w:rsidRPr="00055FE2" w:rsidRDefault="007632D5" w:rsidP="00055FE2">
            <w:pPr>
              <w:pStyle w:val="TableHead0"/>
              <w:keepLines/>
              <w:widowControl w:val="0"/>
              <w:spacing w:before="60" w:after="6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055FE2">
              <w:rPr>
                <w:rFonts w:asciiTheme="minorHAnsi" w:hAnsiTheme="minorHAnsi" w:cstheme="minorHAnsi"/>
                <w:szCs w:val="24"/>
                <w:lang w:val="en-US"/>
              </w:rPr>
              <w:t>SG</w:t>
            </w:r>
            <w:r w:rsidRPr="00055FE2">
              <w:rPr>
                <w:rFonts w:asciiTheme="minorHAnsi" w:hAnsiTheme="minorHAnsi" w:cstheme="minorHAnsi"/>
                <w:szCs w:val="24"/>
                <w:lang w:val="en-US"/>
              </w:rPr>
              <w:br/>
              <w:t>Recommendation</w:t>
            </w:r>
          </w:p>
        </w:tc>
      </w:tr>
      <w:tr w:rsidR="007632D5" w:rsidRPr="00055FE2" w14:paraId="7224ABA6" w14:textId="77777777" w:rsidTr="007632D5">
        <w:trPr>
          <w:cantSplit/>
          <w:trHeight w:val="1076"/>
          <w:jc w:val="center"/>
        </w:trPr>
        <w:tc>
          <w:tcPr>
            <w:tcW w:w="4489" w:type="dxa"/>
            <w:vAlign w:val="center"/>
          </w:tcPr>
          <w:p w14:paraId="03DAD931" w14:textId="77777777" w:rsidR="007632D5" w:rsidRPr="00055FE2" w:rsidRDefault="007632D5" w:rsidP="007632D5">
            <w:pPr>
              <w:keepNext/>
              <w:keepLines/>
              <w:widowControl w:val="0"/>
              <w:rPr>
                <w:rFonts w:asciiTheme="minorHAnsi" w:hAnsiTheme="minorHAnsi" w:cstheme="minorHAnsi"/>
                <w:b/>
                <w:bCs/>
                <w:iCs/>
                <w:lang w:val="en-US"/>
              </w:rPr>
            </w:pPr>
            <w:r w:rsidRPr="00055FE2">
              <w:rPr>
                <w:rFonts w:asciiTheme="minorHAnsi" w:hAnsiTheme="minorHAnsi" w:cstheme="minorHAnsi"/>
                <w:b/>
                <w:bCs/>
                <w:color w:val="000000" w:themeColor="text1"/>
                <w:shd w:val="clear" w:color="auto" w:fill="FFFFFF"/>
              </w:rPr>
              <w:t>Southern African Development Community (SADC)</w:t>
            </w:r>
          </w:p>
        </w:tc>
        <w:tc>
          <w:tcPr>
            <w:tcW w:w="1559" w:type="dxa"/>
            <w:vAlign w:val="center"/>
          </w:tcPr>
          <w:p w14:paraId="7DCAD0D6" w14:textId="77777777" w:rsidR="007632D5" w:rsidRPr="00055FE2" w:rsidRDefault="007632D5" w:rsidP="007632D5">
            <w:pPr>
              <w:pStyle w:val="TableText0"/>
              <w:keepNext/>
              <w:keepLines/>
              <w:widowControl w:val="0"/>
              <w:spacing w:before="0" w:after="0"/>
              <w:jc w:val="center"/>
              <w:rPr>
                <w:rFonts w:asciiTheme="minorHAnsi" w:hAnsiTheme="minorHAnsi" w:cstheme="minorHAnsi"/>
                <w:szCs w:val="24"/>
                <w:lang w:val="fr-CH"/>
              </w:rPr>
            </w:pPr>
            <w:r w:rsidRPr="00055FE2">
              <w:rPr>
                <w:rFonts w:asciiTheme="minorHAnsi" w:hAnsiTheme="minorHAnsi" w:cstheme="minorHAnsi"/>
                <w:szCs w:val="24"/>
                <w:lang w:val="fr-CH"/>
              </w:rPr>
              <w:t>ITU-R</w:t>
            </w:r>
          </w:p>
          <w:p w14:paraId="68BAB01B" w14:textId="22C0A6E0" w:rsidR="007632D5" w:rsidRPr="00055FE2" w:rsidRDefault="007632D5" w:rsidP="007632D5">
            <w:pPr>
              <w:pStyle w:val="TableText0"/>
              <w:keepNext/>
              <w:keepLines/>
              <w:widowControl w:val="0"/>
              <w:spacing w:before="0" w:after="0"/>
              <w:jc w:val="center"/>
              <w:rPr>
                <w:rFonts w:asciiTheme="minorHAnsi" w:hAnsiTheme="minorHAnsi" w:cstheme="minorHAnsi"/>
                <w:szCs w:val="24"/>
                <w:lang w:val="fr-CH"/>
              </w:rPr>
            </w:pPr>
            <w:r w:rsidRPr="00055FE2">
              <w:rPr>
                <w:rFonts w:asciiTheme="minorHAnsi" w:hAnsiTheme="minorHAnsi" w:cstheme="minorHAnsi"/>
                <w:szCs w:val="24"/>
                <w:lang w:val="fr-CH"/>
              </w:rPr>
              <w:t>ITU-T</w:t>
            </w:r>
          </w:p>
        </w:tc>
        <w:tc>
          <w:tcPr>
            <w:tcW w:w="2250" w:type="dxa"/>
            <w:vAlign w:val="center"/>
          </w:tcPr>
          <w:p w14:paraId="5D02DA24" w14:textId="68410DF0" w:rsidR="007632D5" w:rsidRPr="00055FE2" w:rsidRDefault="007632D5" w:rsidP="007632D5">
            <w:pPr>
              <w:pStyle w:val="TableText0"/>
              <w:keepNext/>
              <w:keepLines/>
              <w:widowControl w:val="0"/>
              <w:spacing w:before="0" w:after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055FE2">
              <w:rPr>
                <w:rFonts w:asciiTheme="minorHAnsi" w:hAnsiTheme="minorHAnsi" w:cstheme="minorHAnsi"/>
                <w:szCs w:val="24"/>
                <w:lang w:val="en-US"/>
              </w:rPr>
              <w:t>YES</w:t>
            </w:r>
          </w:p>
          <w:p w14:paraId="51778B37" w14:textId="53CEAE6C" w:rsidR="007632D5" w:rsidRPr="00055FE2" w:rsidRDefault="007632D5" w:rsidP="007632D5">
            <w:pPr>
              <w:pStyle w:val="TableText0"/>
              <w:keepNext/>
              <w:keepLines/>
              <w:widowControl w:val="0"/>
              <w:spacing w:before="0" w:after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055FE2">
              <w:rPr>
                <w:rFonts w:asciiTheme="minorHAnsi" w:hAnsiTheme="minorHAnsi" w:cstheme="minorHAnsi"/>
                <w:szCs w:val="24"/>
                <w:lang w:val="en-US"/>
              </w:rPr>
              <w:t>YES</w:t>
            </w:r>
          </w:p>
        </w:tc>
      </w:tr>
    </w:tbl>
    <w:p w14:paraId="03D9E403" w14:textId="40E4FB4C" w:rsidR="007632D5" w:rsidRPr="00055FE2" w:rsidRDefault="007632D5" w:rsidP="00055FE2">
      <w:pPr>
        <w:spacing w:before="240" w:after="120"/>
        <w:jc w:val="both"/>
        <w:rPr>
          <w:rFonts w:asciiTheme="minorHAnsi" w:hAnsiTheme="minorHAnsi" w:cstheme="minorHAnsi"/>
          <w:color w:val="000000"/>
        </w:rPr>
      </w:pPr>
      <w:r w:rsidRPr="00055FE2">
        <w:rPr>
          <w:rFonts w:asciiTheme="minorHAnsi" w:hAnsiTheme="minorHAnsi" w:cstheme="minorHAnsi"/>
          <w:color w:val="000000" w:themeColor="text1"/>
          <w:shd w:val="clear" w:color="auto" w:fill="FFFFFF"/>
        </w:rPr>
        <w:t>The Southern African Development Community is an inter-governmental organization headquartered in Botswana. Its goal is to further regional socio-economic cooperation and integration as well as political and security cooperation among 16 countries in southern Africa.</w:t>
      </w:r>
      <w:r w:rsidR="00055FE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Pr="00055FE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SADC is already a member of ITU-D with exemption from fees. </w:t>
      </w:r>
      <w:r w:rsidRPr="00055FE2">
        <w:rPr>
          <w:rFonts w:asciiTheme="minorHAnsi" w:hAnsiTheme="minorHAnsi" w:cstheme="minorHAnsi"/>
          <w:color w:val="000000"/>
        </w:rPr>
        <w:t xml:space="preserve">The </w:t>
      </w:r>
      <w:r w:rsidR="00055FE2">
        <w:rPr>
          <w:rFonts w:asciiTheme="minorHAnsi" w:hAnsiTheme="minorHAnsi" w:cstheme="minorHAnsi"/>
          <w:color w:val="000000"/>
        </w:rPr>
        <w:t>s</w:t>
      </w:r>
      <w:r w:rsidRPr="00055FE2">
        <w:rPr>
          <w:rFonts w:asciiTheme="minorHAnsi" w:hAnsiTheme="minorHAnsi" w:cstheme="minorHAnsi"/>
          <w:color w:val="000000"/>
        </w:rPr>
        <w:t>ecretariat is of the view that this entity meets the criteria for exemption for ITU-R and ITU-T.</w:t>
      </w:r>
    </w:p>
    <w:p w14:paraId="0F812342" w14:textId="254124AE" w:rsidR="007632D5" w:rsidRPr="00055FE2" w:rsidRDefault="007632D5" w:rsidP="00055FE2">
      <w:pPr>
        <w:spacing w:before="360" w:after="120"/>
        <w:rPr>
          <w:rFonts w:asciiTheme="minorHAnsi" w:hAnsiTheme="minorHAnsi" w:cstheme="minorHAnsi"/>
        </w:rPr>
      </w:pPr>
      <w:r w:rsidRPr="00055FE2">
        <w:rPr>
          <w:rFonts w:asciiTheme="minorHAnsi" w:hAnsiTheme="minorHAnsi" w:cstheme="minorHAnsi"/>
          <w:color w:val="000000"/>
        </w:rPr>
        <w:t>2.2</w:t>
      </w:r>
    </w:p>
    <w:tbl>
      <w:tblPr>
        <w:tblW w:w="82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30"/>
        <w:gridCol w:w="1559"/>
        <w:gridCol w:w="2742"/>
      </w:tblGrid>
      <w:tr w:rsidR="008C7947" w:rsidRPr="00055FE2" w14:paraId="43FE3383" w14:textId="77777777" w:rsidTr="008C7947">
        <w:trPr>
          <w:cantSplit/>
          <w:jc w:val="center"/>
        </w:trPr>
        <w:tc>
          <w:tcPr>
            <w:tcW w:w="3930" w:type="dxa"/>
          </w:tcPr>
          <w:p w14:paraId="494D944F" w14:textId="77777777" w:rsidR="008C7947" w:rsidRPr="00055FE2" w:rsidRDefault="008C7947" w:rsidP="00071F06">
            <w:pPr>
              <w:pStyle w:val="TableHead0"/>
              <w:keepLines/>
              <w:spacing w:before="60" w:after="6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055FE2">
              <w:rPr>
                <w:rFonts w:asciiTheme="minorHAnsi" w:hAnsiTheme="minorHAnsi" w:cstheme="minorHAnsi"/>
                <w:szCs w:val="24"/>
                <w:lang w:val="en-US"/>
              </w:rPr>
              <w:t>Organization</w:t>
            </w:r>
          </w:p>
        </w:tc>
        <w:tc>
          <w:tcPr>
            <w:tcW w:w="1559" w:type="dxa"/>
          </w:tcPr>
          <w:p w14:paraId="403F74FD" w14:textId="77777777" w:rsidR="008C7947" w:rsidRPr="00055FE2" w:rsidRDefault="008C7947" w:rsidP="00071F06">
            <w:pPr>
              <w:pStyle w:val="TableHead0"/>
              <w:keepLines/>
              <w:spacing w:before="60" w:after="6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055FE2">
              <w:rPr>
                <w:rFonts w:asciiTheme="minorHAnsi" w:hAnsiTheme="minorHAnsi" w:cstheme="minorHAnsi"/>
                <w:szCs w:val="24"/>
                <w:lang w:val="en-US"/>
              </w:rPr>
              <w:t>Sector</w:t>
            </w:r>
          </w:p>
        </w:tc>
        <w:tc>
          <w:tcPr>
            <w:tcW w:w="2742" w:type="dxa"/>
          </w:tcPr>
          <w:p w14:paraId="5B4D6A91" w14:textId="77777777" w:rsidR="008C7947" w:rsidRPr="00055FE2" w:rsidRDefault="008C7947" w:rsidP="00071F06">
            <w:pPr>
              <w:pStyle w:val="TableHead0"/>
              <w:keepLines/>
              <w:spacing w:before="60" w:after="6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055FE2">
              <w:rPr>
                <w:rFonts w:asciiTheme="minorHAnsi" w:hAnsiTheme="minorHAnsi" w:cstheme="minorHAnsi"/>
                <w:szCs w:val="24"/>
                <w:lang w:val="en-US"/>
              </w:rPr>
              <w:t>SG</w:t>
            </w:r>
            <w:r w:rsidRPr="00055FE2">
              <w:rPr>
                <w:rFonts w:asciiTheme="minorHAnsi" w:hAnsiTheme="minorHAnsi" w:cstheme="minorHAnsi"/>
                <w:szCs w:val="24"/>
                <w:lang w:val="en-US"/>
              </w:rPr>
              <w:br/>
              <w:t>Recommendation</w:t>
            </w:r>
          </w:p>
        </w:tc>
      </w:tr>
      <w:tr w:rsidR="008C7947" w:rsidRPr="00055FE2" w14:paraId="2C6EE200" w14:textId="77777777" w:rsidTr="00055FE2">
        <w:trPr>
          <w:cantSplit/>
          <w:trHeight w:val="567"/>
          <w:jc w:val="center"/>
        </w:trPr>
        <w:tc>
          <w:tcPr>
            <w:tcW w:w="3930" w:type="dxa"/>
            <w:vAlign w:val="center"/>
          </w:tcPr>
          <w:p w14:paraId="0A0B0594" w14:textId="32832056" w:rsidR="008C7947" w:rsidRPr="00055FE2" w:rsidRDefault="008C7947" w:rsidP="00055FE2">
            <w:pPr>
              <w:pStyle w:val="TableText0"/>
              <w:keepNext/>
              <w:keepLines/>
              <w:spacing w:before="120" w:after="120"/>
              <w:rPr>
                <w:rFonts w:asciiTheme="minorHAnsi" w:hAnsiTheme="minorHAnsi" w:cstheme="minorHAnsi"/>
                <w:b/>
                <w:iCs/>
                <w:szCs w:val="24"/>
                <w:lang w:val="es-ES_tradnl"/>
              </w:rPr>
            </w:pPr>
            <w:r w:rsidRPr="00055FE2">
              <w:rPr>
                <w:rFonts w:asciiTheme="minorHAnsi" w:hAnsiTheme="minorHAnsi" w:cstheme="minorHAnsi"/>
                <w:b/>
                <w:iCs/>
                <w:szCs w:val="24"/>
                <w:lang w:val="es-ES_tradnl"/>
              </w:rPr>
              <w:t>IoT Lab</w:t>
            </w:r>
          </w:p>
        </w:tc>
        <w:tc>
          <w:tcPr>
            <w:tcW w:w="1559" w:type="dxa"/>
            <w:vAlign w:val="center"/>
          </w:tcPr>
          <w:p w14:paraId="63E1C233" w14:textId="7D4F03CC" w:rsidR="008C7947" w:rsidRPr="00055FE2" w:rsidRDefault="008C7947" w:rsidP="00055FE2">
            <w:pPr>
              <w:pStyle w:val="TableText0"/>
              <w:keepNext/>
              <w:keepLines/>
              <w:spacing w:before="120" w:after="120"/>
              <w:jc w:val="center"/>
              <w:rPr>
                <w:rFonts w:asciiTheme="minorHAnsi" w:hAnsiTheme="minorHAnsi" w:cstheme="minorHAnsi"/>
                <w:szCs w:val="24"/>
                <w:lang w:val="fr-CH"/>
              </w:rPr>
            </w:pPr>
            <w:r w:rsidRPr="00055FE2">
              <w:rPr>
                <w:rFonts w:asciiTheme="minorHAnsi" w:hAnsiTheme="minorHAnsi" w:cstheme="minorHAnsi"/>
                <w:szCs w:val="24"/>
                <w:lang w:val="fr-CH"/>
              </w:rPr>
              <w:t>ITU-T</w:t>
            </w:r>
          </w:p>
        </w:tc>
        <w:tc>
          <w:tcPr>
            <w:tcW w:w="2742" w:type="dxa"/>
            <w:vAlign w:val="center"/>
          </w:tcPr>
          <w:p w14:paraId="55796044" w14:textId="5B51B47A" w:rsidR="008C7947" w:rsidRPr="00055FE2" w:rsidRDefault="008C7947" w:rsidP="00055FE2">
            <w:pPr>
              <w:pStyle w:val="TableText0"/>
              <w:keepNext/>
              <w:keepLines/>
              <w:spacing w:before="120" w:after="12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055FE2">
              <w:rPr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  <w:t>Deferral</w:t>
            </w:r>
          </w:p>
        </w:tc>
      </w:tr>
    </w:tbl>
    <w:p w14:paraId="34E0F6E9" w14:textId="3CCE1DCD" w:rsidR="004B6412" w:rsidRPr="00055FE2" w:rsidRDefault="00393605" w:rsidP="00055FE2">
      <w:pPr>
        <w:spacing w:before="240" w:after="120"/>
        <w:jc w:val="both"/>
        <w:rPr>
          <w:rFonts w:asciiTheme="minorHAnsi" w:hAnsiTheme="minorHAnsi" w:cstheme="minorHAnsi"/>
        </w:rPr>
      </w:pPr>
      <w:r w:rsidRPr="00055FE2">
        <w:rPr>
          <w:rFonts w:asciiTheme="minorHAnsi" w:hAnsiTheme="minorHAnsi" w:cstheme="minorHAnsi"/>
          <w:lang w:val="en-US"/>
        </w:rPr>
        <w:t>IoT Lab is an international platform of services and resources for the Internet of Things (IoT), bringing together</w:t>
      </w:r>
      <w:r w:rsidR="00C735F5" w:rsidRPr="00055FE2">
        <w:rPr>
          <w:rFonts w:asciiTheme="minorHAnsi" w:hAnsiTheme="minorHAnsi" w:cstheme="minorHAnsi"/>
          <w:lang w:val="en-US"/>
        </w:rPr>
        <w:t xml:space="preserve"> communities of interest in</w:t>
      </w:r>
      <w:r w:rsidRPr="00055FE2">
        <w:rPr>
          <w:rFonts w:asciiTheme="minorHAnsi" w:hAnsiTheme="minorHAnsi" w:cstheme="minorHAnsi"/>
          <w:lang w:val="en-US"/>
        </w:rPr>
        <w:t xml:space="preserve"> </w:t>
      </w:r>
      <w:r w:rsidR="00853F64" w:rsidRPr="00055FE2">
        <w:rPr>
          <w:rFonts w:asciiTheme="minorHAnsi" w:hAnsiTheme="minorHAnsi" w:cstheme="minorHAnsi"/>
          <w:lang w:val="en-US"/>
        </w:rPr>
        <w:t>I</w:t>
      </w:r>
      <w:r w:rsidRPr="00055FE2">
        <w:rPr>
          <w:rFonts w:asciiTheme="minorHAnsi" w:hAnsiTheme="minorHAnsi" w:cstheme="minorHAnsi"/>
          <w:lang w:val="en-US"/>
        </w:rPr>
        <w:t>o</w:t>
      </w:r>
      <w:r w:rsidR="007632D5" w:rsidRPr="00055FE2">
        <w:rPr>
          <w:rFonts w:asciiTheme="minorHAnsi" w:hAnsiTheme="minorHAnsi" w:cstheme="minorHAnsi"/>
          <w:lang w:val="en-US"/>
        </w:rPr>
        <w:t>T</w:t>
      </w:r>
      <w:r w:rsidRPr="00055FE2">
        <w:rPr>
          <w:rFonts w:asciiTheme="minorHAnsi" w:hAnsiTheme="minorHAnsi" w:cstheme="minorHAnsi"/>
          <w:lang w:val="en-US"/>
        </w:rPr>
        <w:t xml:space="preserve"> </w:t>
      </w:r>
      <w:r w:rsidR="007632D5" w:rsidRPr="00055FE2">
        <w:rPr>
          <w:rFonts w:asciiTheme="minorHAnsi" w:hAnsiTheme="minorHAnsi" w:cstheme="minorHAnsi"/>
          <w:lang w:val="en-US"/>
        </w:rPr>
        <w:t>s</w:t>
      </w:r>
      <w:r w:rsidRPr="00055FE2">
        <w:rPr>
          <w:rFonts w:asciiTheme="minorHAnsi" w:hAnsiTheme="minorHAnsi" w:cstheme="minorHAnsi"/>
          <w:lang w:val="en-US"/>
        </w:rPr>
        <w:t xml:space="preserve">ervices, </w:t>
      </w:r>
      <w:r w:rsidR="007632D5" w:rsidRPr="00055FE2">
        <w:rPr>
          <w:rFonts w:asciiTheme="minorHAnsi" w:hAnsiTheme="minorHAnsi" w:cstheme="minorHAnsi"/>
          <w:lang w:val="en-US"/>
        </w:rPr>
        <w:t>p</w:t>
      </w:r>
      <w:r w:rsidRPr="00055FE2">
        <w:rPr>
          <w:rFonts w:asciiTheme="minorHAnsi" w:hAnsiTheme="minorHAnsi" w:cstheme="minorHAnsi"/>
          <w:lang w:val="en-US"/>
        </w:rPr>
        <w:t>rivacy</w:t>
      </w:r>
      <w:r w:rsidR="007632D5" w:rsidRPr="00055FE2">
        <w:rPr>
          <w:rFonts w:asciiTheme="minorHAnsi" w:hAnsiTheme="minorHAnsi" w:cstheme="minorHAnsi"/>
          <w:lang w:val="en-US"/>
        </w:rPr>
        <w:t xml:space="preserve"> and s</w:t>
      </w:r>
      <w:r w:rsidRPr="00055FE2">
        <w:rPr>
          <w:rFonts w:asciiTheme="minorHAnsi" w:hAnsiTheme="minorHAnsi" w:cstheme="minorHAnsi"/>
          <w:lang w:val="en-US"/>
        </w:rPr>
        <w:t>ecurity,</w:t>
      </w:r>
      <w:r w:rsidR="00853F64" w:rsidRPr="00055FE2">
        <w:rPr>
          <w:rFonts w:asciiTheme="minorHAnsi" w:hAnsiTheme="minorHAnsi" w:cstheme="minorHAnsi"/>
          <w:lang w:val="en-US"/>
        </w:rPr>
        <w:t xml:space="preserve"> </w:t>
      </w:r>
      <w:r w:rsidR="007632D5" w:rsidRPr="00055FE2">
        <w:rPr>
          <w:rFonts w:asciiTheme="minorHAnsi" w:hAnsiTheme="minorHAnsi" w:cstheme="minorHAnsi"/>
          <w:lang w:val="en-US"/>
        </w:rPr>
        <w:t>t</w:t>
      </w:r>
      <w:r w:rsidR="00853F64" w:rsidRPr="00055FE2">
        <w:rPr>
          <w:rFonts w:asciiTheme="minorHAnsi" w:hAnsiTheme="minorHAnsi" w:cstheme="minorHAnsi"/>
          <w:lang w:val="en-US"/>
        </w:rPr>
        <w:t>est</w:t>
      </w:r>
      <w:r w:rsidR="00C735F5" w:rsidRPr="00055FE2">
        <w:rPr>
          <w:rFonts w:asciiTheme="minorHAnsi" w:hAnsiTheme="minorHAnsi" w:cstheme="minorHAnsi"/>
          <w:lang w:val="en-US"/>
        </w:rPr>
        <w:t>ing</w:t>
      </w:r>
      <w:r w:rsidR="00C216AF">
        <w:rPr>
          <w:rFonts w:asciiTheme="minorHAnsi" w:hAnsiTheme="minorHAnsi" w:cstheme="minorHAnsi"/>
          <w:lang w:val="en-US"/>
        </w:rPr>
        <w:t>,</w:t>
      </w:r>
      <w:r w:rsidR="00C735F5" w:rsidRPr="00055FE2">
        <w:rPr>
          <w:rFonts w:asciiTheme="minorHAnsi" w:hAnsiTheme="minorHAnsi" w:cstheme="minorHAnsi"/>
          <w:lang w:val="en-US"/>
        </w:rPr>
        <w:t xml:space="preserve"> and</w:t>
      </w:r>
      <w:r w:rsidR="00853F64" w:rsidRPr="00055FE2">
        <w:rPr>
          <w:rFonts w:asciiTheme="minorHAnsi" w:hAnsiTheme="minorHAnsi" w:cstheme="minorHAnsi"/>
          <w:lang w:val="en-US"/>
        </w:rPr>
        <w:t xml:space="preserve"> </w:t>
      </w:r>
      <w:r w:rsidR="007632D5" w:rsidRPr="00055FE2">
        <w:rPr>
          <w:rFonts w:asciiTheme="minorHAnsi" w:hAnsiTheme="minorHAnsi" w:cstheme="minorHAnsi"/>
          <w:lang w:val="en-US"/>
        </w:rPr>
        <w:t>t</w:t>
      </w:r>
      <w:r w:rsidR="00853F64" w:rsidRPr="00055FE2">
        <w:rPr>
          <w:rFonts w:asciiTheme="minorHAnsi" w:hAnsiTheme="minorHAnsi" w:cstheme="minorHAnsi"/>
          <w:lang w:val="en-US"/>
        </w:rPr>
        <w:t xml:space="preserve">ech </w:t>
      </w:r>
      <w:r w:rsidR="007632D5" w:rsidRPr="00055FE2">
        <w:rPr>
          <w:rFonts w:asciiTheme="minorHAnsi" w:hAnsiTheme="minorHAnsi" w:cstheme="minorHAnsi"/>
          <w:lang w:val="en-US"/>
        </w:rPr>
        <w:t>t</w:t>
      </w:r>
      <w:r w:rsidR="00853F64" w:rsidRPr="00055FE2">
        <w:rPr>
          <w:rFonts w:asciiTheme="minorHAnsi" w:hAnsiTheme="minorHAnsi" w:cstheme="minorHAnsi"/>
          <w:lang w:val="en-US"/>
        </w:rPr>
        <w:t>ransfer</w:t>
      </w:r>
      <w:r w:rsidR="00B33012" w:rsidRPr="00055FE2">
        <w:rPr>
          <w:rFonts w:asciiTheme="minorHAnsi" w:hAnsiTheme="minorHAnsi" w:cstheme="minorHAnsi"/>
          <w:lang w:val="en-US"/>
        </w:rPr>
        <w:t>.</w:t>
      </w:r>
      <w:r w:rsidR="00113B83" w:rsidRPr="00055FE2">
        <w:rPr>
          <w:rFonts w:asciiTheme="minorHAnsi" w:hAnsiTheme="minorHAnsi" w:cstheme="minorHAnsi"/>
          <w:lang w:val="en-US"/>
        </w:rPr>
        <w:t xml:space="preserve"> This is a relatively new entity and reciprocity is not yet </w:t>
      </w:r>
      <w:r w:rsidR="007632D5" w:rsidRPr="00055FE2">
        <w:rPr>
          <w:rFonts w:asciiTheme="minorHAnsi" w:hAnsiTheme="minorHAnsi" w:cstheme="minorHAnsi"/>
          <w:lang w:val="en-US"/>
        </w:rPr>
        <w:t>clear</w:t>
      </w:r>
      <w:r w:rsidR="00113B83" w:rsidRPr="00055FE2">
        <w:rPr>
          <w:rFonts w:asciiTheme="minorHAnsi" w:hAnsiTheme="minorHAnsi" w:cstheme="minorHAnsi"/>
          <w:lang w:val="en-US"/>
        </w:rPr>
        <w:t>.</w:t>
      </w:r>
      <w:r w:rsidR="00B33012" w:rsidRPr="00055FE2">
        <w:rPr>
          <w:rFonts w:asciiTheme="minorHAnsi" w:hAnsiTheme="minorHAnsi" w:cstheme="minorHAnsi"/>
          <w:lang w:val="en-US"/>
        </w:rPr>
        <w:t xml:space="preserve"> </w:t>
      </w:r>
      <w:r w:rsidR="00EC794E" w:rsidRPr="00055FE2">
        <w:rPr>
          <w:rFonts w:asciiTheme="minorHAnsi" w:hAnsiTheme="minorHAnsi" w:cstheme="minorHAnsi"/>
          <w:color w:val="000000"/>
        </w:rPr>
        <w:t>Further time and information</w:t>
      </w:r>
      <w:r w:rsidR="00113B83" w:rsidRPr="00055FE2">
        <w:rPr>
          <w:rFonts w:asciiTheme="minorHAnsi" w:hAnsiTheme="minorHAnsi" w:cstheme="minorHAnsi"/>
          <w:color w:val="000000"/>
        </w:rPr>
        <w:t xml:space="preserve"> </w:t>
      </w:r>
      <w:r w:rsidR="00C735F5" w:rsidRPr="00055FE2">
        <w:rPr>
          <w:rFonts w:asciiTheme="minorHAnsi" w:hAnsiTheme="minorHAnsi" w:cstheme="minorHAnsi"/>
          <w:color w:val="000000"/>
        </w:rPr>
        <w:t>are</w:t>
      </w:r>
      <w:r w:rsidR="00EC794E" w:rsidRPr="00055FE2">
        <w:rPr>
          <w:rFonts w:asciiTheme="minorHAnsi" w:hAnsiTheme="minorHAnsi" w:cstheme="minorHAnsi"/>
          <w:color w:val="000000"/>
        </w:rPr>
        <w:t xml:space="preserve"> required before the </w:t>
      </w:r>
      <w:r w:rsidR="00055FE2">
        <w:rPr>
          <w:rFonts w:asciiTheme="minorHAnsi" w:hAnsiTheme="minorHAnsi" w:cstheme="minorHAnsi"/>
          <w:color w:val="000000"/>
        </w:rPr>
        <w:t>s</w:t>
      </w:r>
      <w:r w:rsidR="00EC794E" w:rsidRPr="00055FE2">
        <w:rPr>
          <w:rFonts w:asciiTheme="minorHAnsi" w:hAnsiTheme="minorHAnsi" w:cstheme="minorHAnsi"/>
          <w:color w:val="000000"/>
        </w:rPr>
        <w:t>ecretariat can make an informed recommendation to</w:t>
      </w:r>
      <w:r w:rsidR="00C216AF">
        <w:rPr>
          <w:rFonts w:asciiTheme="minorHAnsi" w:hAnsiTheme="minorHAnsi" w:cstheme="minorHAnsi"/>
          <w:color w:val="000000"/>
        </w:rPr>
        <w:t xml:space="preserve"> the</w:t>
      </w:r>
      <w:r w:rsidR="00EC794E" w:rsidRPr="00055FE2">
        <w:rPr>
          <w:rFonts w:asciiTheme="minorHAnsi" w:hAnsiTheme="minorHAnsi" w:cstheme="minorHAnsi"/>
          <w:color w:val="000000"/>
        </w:rPr>
        <w:t xml:space="preserve"> Council. </w:t>
      </w:r>
      <w:r w:rsidR="00113B83" w:rsidRPr="00055FE2">
        <w:rPr>
          <w:rFonts w:asciiTheme="minorHAnsi" w:hAnsiTheme="minorHAnsi" w:cstheme="minorHAnsi"/>
          <w:color w:val="000000"/>
        </w:rPr>
        <w:t xml:space="preserve">The </w:t>
      </w:r>
      <w:r w:rsidR="00055FE2">
        <w:rPr>
          <w:rFonts w:asciiTheme="minorHAnsi" w:hAnsiTheme="minorHAnsi" w:cstheme="minorHAnsi"/>
          <w:color w:val="000000"/>
        </w:rPr>
        <w:t>s</w:t>
      </w:r>
      <w:r w:rsidR="00113B83" w:rsidRPr="00055FE2">
        <w:rPr>
          <w:rFonts w:asciiTheme="minorHAnsi" w:hAnsiTheme="minorHAnsi" w:cstheme="minorHAnsi"/>
          <w:color w:val="000000"/>
        </w:rPr>
        <w:t>ecretariat therefore recommends deferral of this application to the next Council.</w:t>
      </w:r>
    </w:p>
    <w:p w14:paraId="356D2B7A" w14:textId="6EBED392" w:rsidR="003276EA" w:rsidRPr="00055FE2" w:rsidRDefault="00F56A02" w:rsidP="00055FE2">
      <w:pPr>
        <w:spacing w:before="360" w:after="120"/>
        <w:rPr>
          <w:rFonts w:asciiTheme="minorHAnsi" w:hAnsiTheme="minorHAnsi" w:cstheme="minorHAnsi"/>
          <w:lang w:val="en-US"/>
        </w:rPr>
      </w:pPr>
      <w:r w:rsidRPr="00055FE2">
        <w:rPr>
          <w:rFonts w:asciiTheme="minorHAnsi" w:hAnsiTheme="minorHAnsi" w:cstheme="minorHAnsi"/>
          <w:lang w:val="en-US"/>
        </w:rPr>
        <w:t>2.</w:t>
      </w:r>
      <w:r w:rsidR="007632D5" w:rsidRPr="00055FE2">
        <w:rPr>
          <w:rFonts w:asciiTheme="minorHAnsi" w:hAnsiTheme="minorHAnsi" w:cstheme="minorHAnsi"/>
          <w:lang w:val="en-US"/>
        </w:rPr>
        <w:t>3</w:t>
      </w:r>
    </w:p>
    <w:tbl>
      <w:tblPr>
        <w:tblW w:w="81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48"/>
        <w:gridCol w:w="1559"/>
        <w:gridCol w:w="2250"/>
      </w:tblGrid>
      <w:tr w:rsidR="008C7947" w:rsidRPr="00055FE2" w14:paraId="54EF4EA6" w14:textId="77777777" w:rsidTr="008C7947">
        <w:trPr>
          <w:cantSplit/>
          <w:jc w:val="center"/>
        </w:trPr>
        <w:tc>
          <w:tcPr>
            <w:tcW w:w="4348" w:type="dxa"/>
          </w:tcPr>
          <w:p w14:paraId="3829B133" w14:textId="77777777" w:rsidR="008C7947" w:rsidRPr="00055FE2" w:rsidRDefault="008C7947" w:rsidP="003276EA">
            <w:pPr>
              <w:pStyle w:val="TableHead0"/>
              <w:keepLines/>
              <w:spacing w:before="60" w:after="6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055FE2">
              <w:rPr>
                <w:rFonts w:asciiTheme="minorHAnsi" w:hAnsiTheme="minorHAnsi" w:cstheme="minorHAnsi"/>
                <w:szCs w:val="24"/>
                <w:lang w:val="en-US"/>
              </w:rPr>
              <w:t>Organization</w:t>
            </w:r>
          </w:p>
        </w:tc>
        <w:tc>
          <w:tcPr>
            <w:tcW w:w="1559" w:type="dxa"/>
          </w:tcPr>
          <w:p w14:paraId="327FCF1D" w14:textId="77777777" w:rsidR="008C7947" w:rsidRPr="00055FE2" w:rsidRDefault="008C7947" w:rsidP="003276EA">
            <w:pPr>
              <w:pStyle w:val="TableHead0"/>
              <w:keepLines/>
              <w:spacing w:before="60" w:after="6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055FE2">
              <w:rPr>
                <w:rFonts w:asciiTheme="minorHAnsi" w:hAnsiTheme="minorHAnsi" w:cstheme="minorHAnsi"/>
                <w:szCs w:val="24"/>
                <w:lang w:val="en-US"/>
              </w:rPr>
              <w:t>Sector</w:t>
            </w:r>
          </w:p>
        </w:tc>
        <w:tc>
          <w:tcPr>
            <w:tcW w:w="2250" w:type="dxa"/>
          </w:tcPr>
          <w:p w14:paraId="70324E36" w14:textId="77777777" w:rsidR="008C7947" w:rsidRPr="00055FE2" w:rsidRDefault="008C7947" w:rsidP="003276EA">
            <w:pPr>
              <w:pStyle w:val="TableHead0"/>
              <w:keepLines/>
              <w:spacing w:before="60" w:after="6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055FE2">
              <w:rPr>
                <w:rFonts w:asciiTheme="minorHAnsi" w:hAnsiTheme="minorHAnsi" w:cstheme="minorHAnsi"/>
                <w:szCs w:val="24"/>
                <w:lang w:val="en-US"/>
              </w:rPr>
              <w:t>SG</w:t>
            </w:r>
            <w:r w:rsidRPr="00055FE2">
              <w:rPr>
                <w:rFonts w:asciiTheme="minorHAnsi" w:hAnsiTheme="minorHAnsi" w:cstheme="minorHAnsi"/>
                <w:szCs w:val="24"/>
                <w:lang w:val="en-US"/>
              </w:rPr>
              <w:br/>
              <w:t>Recommendation</w:t>
            </w:r>
          </w:p>
        </w:tc>
      </w:tr>
      <w:tr w:rsidR="008C7947" w:rsidRPr="00055FE2" w14:paraId="0767CAA5" w14:textId="77777777" w:rsidTr="00055FE2">
        <w:trPr>
          <w:cantSplit/>
          <w:trHeight w:val="1077"/>
          <w:jc w:val="center"/>
        </w:trPr>
        <w:tc>
          <w:tcPr>
            <w:tcW w:w="4348" w:type="dxa"/>
            <w:vAlign w:val="center"/>
          </w:tcPr>
          <w:p w14:paraId="7BA918D5" w14:textId="1456DBFA" w:rsidR="008C7947" w:rsidRPr="00055FE2" w:rsidRDefault="008C7947" w:rsidP="007632D5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055FE2">
              <w:rPr>
                <w:rFonts w:asciiTheme="minorHAnsi" w:hAnsiTheme="minorHAnsi" w:cstheme="minorHAnsi"/>
                <w:b/>
                <w:bCs/>
                <w:iCs/>
              </w:rPr>
              <w:t>Konrad Adenauer Stiftung</w:t>
            </w:r>
          </w:p>
        </w:tc>
        <w:tc>
          <w:tcPr>
            <w:tcW w:w="1559" w:type="dxa"/>
            <w:vAlign w:val="center"/>
          </w:tcPr>
          <w:p w14:paraId="4B826ACA" w14:textId="77777777" w:rsidR="008C7947" w:rsidRPr="00055FE2" w:rsidRDefault="008C7947" w:rsidP="00055FE2">
            <w:pPr>
              <w:pStyle w:val="TableText0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Cs w:val="24"/>
                <w:lang w:val="fr-CH"/>
              </w:rPr>
            </w:pPr>
            <w:r w:rsidRPr="00055FE2">
              <w:rPr>
                <w:rFonts w:asciiTheme="minorHAnsi" w:hAnsiTheme="minorHAnsi" w:cstheme="minorHAnsi"/>
                <w:szCs w:val="24"/>
                <w:lang w:val="fr-CH"/>
              </w:rPr>
              <w:t>ITU-R</w:t>
            </w:r>
          </w:p>
          <w:p w14:paraId="098D8789" w14:textId="77777777" w:rsidR="008C7947" w:rsidRPr="00055FE2" w:rsidRDefault="008C7947" w:rsidP="007632D5">
            <w:pPr>
              <w:pStyle w:val="TableText0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Cs w:val="24"/>
                <w:lang w:val="fr-CH"/>
              </w:rPr>
            </w:pPr>
            <w:r w:rsidRPr="00055FE2">
              <w:rPr>
                <w:rFonts w:asciiTheme="minorHAnsi" w:hAnsiTheme="minorHAnsi" w:cstheme="minorHAnsi"/>
                <w:szCs w:val="24"/>
                <w:lang w:val="fr-CH"/>
              </w:rPr>
              <w:t>ITU-T</w:t>
            </w:r>
          </w:p>
          <w:p w14:paraId="212A9E1D" w14:textId="7901D08C" w:rsidR="008C7947" w:rsidRPr="00055FE2" w:rsidRDefault="008C7947" w:rsidP="007632D5">
            <w:pPr>
              <w:pStyle w:val="TableText0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Cs w:val="24"/>
                <w:lang w:val="fr-CH"/>
              </w:rPr>
            </w:pPr>
            <w:r w:rsidRPr="00055FE2">
              <w:rPr>
                <w:rFonts w:asciiTheme="minorHAnsi" w:hAnsiTheme="minorHAnsi" w:cstheme="minorHAnsi"/>
                <w:szCs w:val="24"/>
                <w:lang w:val="fr-CH"/>
              </w:rPr>
              <w:t>ITU-D</w:t>
            </w:r>
          </w:p>
        </w:tc>
        <w:tc>
          <w:tcPr>
            <w:tcW w:w="2250" w:type="dxa"/>
            <w:vAlign w:val="center"/>
          </w:tcPr>
          <w:p w14:paraId="011C75AB" w14:textId="3A83D7C6" w:rsidR="008C7947" w:rsidRPr="00055FE2" w:rsidRDefault="008C7947" w:rsidP="00055FE2">
            <w:pPr>
              <w:pStyle w:val="TableText0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Cs w:val="24"/>
                <w:lang w:val="fr-CH"/>
              </w:rPr>
            </w:pPr>
            <w:r w:rsidRPr="00055FE2">
              <w:rPr>
                <w:rFonts w:asciiTheme="minorHAnsi" w:hAnsiTheme="minorHAnsi" w:cstheme="minorHAnsi"/>
                <w:szCs w:val="24"/>
                <w:lang w:val="fr-CH"/>
              </w:rPr>
              <w:t>NO</w:t>
            </w:r>
          </w:p>
          <w:p w14:paraId="4A43AC86" w14:textId="01CF93A8" w:rsidR="008C7947" w:rsidRPr="00055FE2" w:rsidRDefault="008C7947" w:rsidP="007632D5">
            <w:pPr>
              <w:pStyle w:val="TableText0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Cs w:val="24"/>
                <w:lang w:val="fr-CH"/>
              </w:rPr>
            </w:pPr>
            <w:r w:rsidRPr="00055FE2">
              <w:rPr>
                <w:rFonts w:asciiTheme="minorHAnsi" w:hAnsiTheme="minorHAnsi" w:cstheme="minorHAnsi"/>
                <w:szCs w:val="24"/>
                <w:lang w:val="fr-CH"/>
              </w:rPr>
              <w:t>NO</w:t>
            </w:r>
          </w:p>
          <w:p w14:paraId="5E308B95" w14:textId="55AA8810" w:rsidR="008C7947" w:rsidRPr="00055FE2" w:rsidRDefault="008C7947" w:rsidP="007632D5">
            <w:pPr>
              <w:pStyle w:val="TableText0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Cs w:val="24"/>
                <w:lang w:val="fr-CH"/>
              </w:rPr>
            </w:pPr>
            <w:r w:rsidRPr="00055FE2">
              <w:rPr>
                <w:rFonts w:asciiTheme="minorHAnsi" w:hAnsiTheme="minorHAnsi" w:cstheme="minorHAnsi"/>
                <w:szCs w:val="24"/>
                <w:lang w:val="fr-CH"/>
              </w:rPr>
              <w:t>NO</w:t>
            </w:r>
          </w:p>
        </w:tc>
      </w:tr>
    </w:tbl>
    <w:p w14:paraId="6E2CE46C" w14:textId="66D31575" w:rsidR="008A54F2" w:rsidRPr="00055FE2" w:rsidRDefault="008162F8" w:rsidP="00055FE2">
      <w:pPr>
        <w:spacing w:before="240" w:after="120"/>
        <w:jc w:val="both"/>
        <w:rPr>
          <w:rFonts w:asciiTheme="minorHAnsi" w:hAnsiTheme="minorHAnsi" w:cstheme="minorHAnsi"/>
        </w:rPr>
      </w:pPr>
      <w:r w:rsidRPr="00055FE2">
        <w:rPr>
          <w:rFonts w:asciiTheme="minorHAnsi" w:hAnsiTheme="minorHAnsi" w:cstheme="minorHAnsi"/>
          <w:lang w:val="en-US"/>
        </w:rPr>
        <w:t>Konrad</w:t>
      </w:r>
      <w:r w:rsidR="00C735F5" w:rsidRPr="00055FE2">
        <w:rPr>
          <w:rFonts w:asciiTheme="minorHAnsi" w:hAnsiTheme="minorHAnsi" w:cstheme="minorHAnsi"/>
          <w:lang w:val="en-US"/>
        </w:rPr>
        <w:t xml:space="preserve"> </w:t>
      </w:r>
      <w:r w:rsidRPr="00055FE2">
        <w:rPr>
          <w:rFonts w:asciiTheme="minorHAnsi" w:hAnsiTheme="minorHAnsi" w:cstheme="minorHAnsi"/>
          <w:lang w:val="en-US"/>
        </w:rPr>
        <w:t>Adenauer</w:t>
      </w:r>
      <w:r w:rsidR="00C735F5" w:rsidRPr="00055FE2">
        <w:rPr>
          <w:rFonts w:asciiTheme="minorHAnsi" w:hAnsiTheme="minorHAnsi" w:cstheme="minorHAnsi"/>
          <w:lang w:val="en-US"/>
        </w:rPr>
        <w:t xml:space="preserve"> </w:t>
      </w:r>
      <w:r w:rsidRPr="00055FE2">
        <w:rPr>
          <w:rFonts w:asciiTheme="minorHAnsi" w:hAnsiTheme="minorHAnsi" w:cstheme="minorHAnsi"/>
          <w:lang w:val="en-US"/>
        </w:rPr>
        <w:t>Stiftung is a party-affiliated foundation in the legal form of an association, which is close to the Christian Democratic Union and is mainly financed by federal and state funds.</w:t>
      </w:r>
      <w:r w:rsidR="00B03B5D" w:rsidRPr="00055FE2">
        <w:rPr>
          <w:rFonts w:asciiTheme="minorHAnsi" w:hAnsiTheme="minorHAnsi" w:cstheme="minorHAnsi"/>
          <w:lang w:val="en-US"/>
        </w:rPr>
        <w:t xml:space="preserve"> They have offices in more than 100 countries with projects in more than 130 countries.</w:t>
      </w:r>
      <w:r w:rsidR="0009031F" w:rsidRPr="00055FE2">
        <w:rPr>
          <w:rFonts w:asciiTheme="minorHAnsi" w:hAnsiTheme="minorHAnsi" w:cstheme="minorHAnsi"/>
          <w:lang w:val="en-US"/>
        </w:rPr>
        <w:t xml:space="preserve"> </w:t>
      </w:r>
      <w:r w:rsidR="00B03B5D" w:rsidRPr="00055FE2">
        <w:rPr>
          <w:rFonts w:asciiTheme="minorHAnsi" w:hAnsiTheme="minorHAnsi" w:cstheme="minorHAnsi"/>
          <w:lang w:val="en-US"/>
        </w:rPr>
        <w:t>While this organization has an international presence and activities, t</w:t>
      </w:r>
      <w:r w:rsidR="0009031F" w:rsidRPr="00055FE2">
        <w:rPr>
          <w:rFonts w:asciiTheme="minorHAnsi" w:hAnsiTheme="minorHAnsi" w:cstheme="minorHAnsi"/>
          <w:lang w:val="en-US"/>
        </w:rPr>
        <w:t xml:space="preserve">he </w:t>
      </w:r>
      <w:r w:rsidR="00055FE2">
        <w:rPr>
          <w:rFonts w:asciiTheme="minorHAnsi" w:hAnsiTheme="minorHAnsi" w:cstheme="minorHAnsi"/>
          <w:lang w:val="en-US"/>
        </w:rPr>
        <w:t>s</w:t>
      </w:r>
      <w:r w:rsidR="0009031F" w:rsidRPr="00055FE2">
        <w:rPr>
          <w:rFonts w:asciiTheme="minorHAnsi" w:hAnsiTheme="minorHAnsi" w:cstheme="minorHAnsi"/>
          <w:lang w:val="en-US"/>
        </w:rPr>
        <w:t xml:space="preserve">ecretariat is of the view that </w:t>
      </w:r>
      <w:r w:rsidR="000E6FF4" w:rsidRPr="00055FE2">
        <w:rPr>
          <w:rFonts w:asciiTheme="minorHAnsi" w:hAnsiTheme="minorHAnsi" w:cstheme="minorHAnsi"/>
          <w:lang w:val="en-US"/>
        </w:rPr>
        <w:t>they do</w:t>
      </w:r>
      <w:r w:rsidR="0009031F" w:rsidRPr="00055FE2">
        <w:rPr>
          <w:rFonts w:asciiTheme="minorHAnsi" w:hAnsiTheme="minorHAnsi" w:cstheme="minorHAnsi"/>
          <w:lang w:val="en-US"/>
        </w:rPr>
        <w:t xml:space="preserve"> not meet all of the criteria </w:t>
      </w:r>
      <w:r w:rsidR="00B33012" w:rsidRPr="00055FE2">
        <w:rPr>
          <w:rFonts w:asciiTheme="minorHAnsi" w:hAnsiTheme="minorHAnsi" w:cstheme="minorHAnsi"/>
          <w:lang w:val="en-US"/>
        </w:rPr>
        <w:t>as</w:t>
      </w:r>
      <w:r w:rsidR="0009031F" w:rsidRPr="00055FE2">
        <w:rPr>
          <w:rFonts w:asciiTheme="minorHAnsi" w:hAnsiTheme="minorHAnsi" w:cstheme="minorHAnsi"/>
          <w:lang w:val="en-US"/>
        </w:rPr>
        <w:t xml:space="preserve"> they </w:t>
      </w:r>
      <w:r w:rsidR="00B03B5D" w:rsidRPr="00055FE2">
        <w:rPr>
          <w:rFonts w:asciiTheme="minorHAnsi" w:hAnsiTheme="minorHAnsi" w:cstheme="minorHAnsi"/>
          <w:lang w:val="en-US"/>
        </w:rPr>
        <w:t xml:space="preserve">are a national foundation and </w:t>
      </w:r>
      <w:r w:rsidR="0009031F" w:rsidRPr="00055FE2">
        <w:rPr>
          <w:rFonts w:asciiTheme="minorHAnsi" w:hAnsiTheme="minorHAnsi" w:cstheme="minorHAnsi"/>
          <w:lang w:val="en-US"/>
        </w:rPr>
        <w:t>do not have members</w:t>
      </w:r>
      <w:r w:rsidR="00B33012" w:rsidRPr="00055FE2">
        <w:rPr>
          <w:rFonts w:asciiTheme="minorHAnsi" w:hAnsiTheme="minorHAnsi" w:cstheme="minorHAnsi"/>
          <w:lang w:val="en-US"/>
        </w:rPr>
        <w:t xml:space="preserve"> in multiple Member States</w:t>
      </w:r>
      <w:r w:rsidR="0009031F" w:rsidRPr="00055FE2">
        <w:rPr>
          <w:rFonts w:asciiTheme="minorHAnsi" w:hAnsiTheme="minorHAnsi" w:cstheme="minorHAnsi"/>
          <w:lang w:val="en-US"/>
        </w:rPr>
        <w:t>.</w:t>
      </w:r>
      <w:r w:rsidR="00564971" w:rsidRPr="00055FE2">
        <w:rPr>
          <w:rFonts w:asciiTheme="minorHAnsi" w:hAnsiTheme="minorHAnsi" w:cstheme="minorHAnsi"/>
          <w:lang w:val="en-US"/>
        </w:rPr>
        <w:t xml:space="preserve"> </w:t>
      </w:r>
    </w:p>
    <w:p w14:paraId="14F72BEC" w14:textId="5DFF07D3" w:rsidR="004B6412" w:rsidRPr="00055FE2" w:rsidRDefault="004B6412" w:rsidP="00055FE2">
      <w:pPr>
        <w:keepNext/>
        <w:keepLines/>
        <w:spacing w:before="120" w:after="120"/>
        <w:rPr>
          <w:rFonts w:asciiTheme="minorHAnsi" w:hAnsiTheme="minorHAnsi" w:cstheme="minorHAnsi"/>
        </w:rPr>
      </w:pPr>
      <w:r w:rsidRPr="00055FE2">
        <w:rPr>
          <w:rFonts w:asciiTheme="minorHAnsi" w:hAnsiTheme="minorHAnsi" w:cstheme="minorHAnsi"/>
          <w:lang w:val="en-US"/>
        </w:rPr>
        <w:lastRenderedPageBreak/>
        <w:t>2.</w:t>
      </w:r>
      <w:r w:rsidR="007632D5" w:rsidRPr="00055FE2">
        <w:rPr>
          <w:rFonts w:asciiTheme="minorHAnsi" w:hAnsiTheme="minorHAnsi" w:cstheme="minorHAnsi"/>
          <w:lang w:val="en-US"/>
        </w:rPr>
        <w:t>4</w:t>
      </w:r>
    </w:p>
    <w:tbl>
      <w:tblPr>
        <w:tblW w:w="83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98"/>
        <w:gridCol w:w="1559"/>
        <w:gridCol w:w="2250"/>
      </w:tblGrid>
      <w:tr w:rsidR="008C7947" w:rsidRPr="00055FE2" w14:paraId="1708FA76" w14:textId="77777777" w:rsidTr="008C7947">
        <w:trPr>
          <w:cantSplit/>
          <w:jc w:val="center"/>
        </w:trPr>
        <w:tc>
          <w:tcPr>
            <w:tcW w:w="4498" w:type="dxa"/>
          </w:tcPr>
          <w:p w14:paraId="695CCA22" w14:textId="77777777" w:rsidR="008C7947" w:rsidRPr="00055FE2" w:rsidRDefault="008C7947" w:rsidP="00055FE2">
            <w:pPr>
              <w:pStyle w:val="TableHead0"/>
              <w:keepLines/>
              <w:spacing w:before="60" w:after="6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055FE2">
              <w:rPr>
                <w:rFonts w:asciiTheme="minorHAnsi" w:hAnsiTheme="minorHAnsi" w:cstheme="minorHAnsi"/>
                <w:szCs w:val="24"/>
                <w:lang w:val="en-US"/>
              </w:rPr>
              <w:t>Organization</w:t>
            </w:r>
          </w:p>
        </w:tc>
        <w:tc>
          <w:tcPr>
            <w:tcW w:w="1559" w:type="dxa"/>
          </w:tcPr>
          <w:p w14:paraId="27C36C8B" w14:textId="77777777" w:rsidR="008C7947" w:rsidRPr="00055FE2" w:rsidRDefault="008C7947" w:rsidP="00055FE2">
            <w:pPr>
              <w:pStyle w:val="TableHead0"/>
              <w:keepLines/>
              <w:spacing w:before="60" w:after="6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055FE2">
              <w:rPr>
                <w:rFonts w:asciiTheme="minorHAnsi" w:hAnsiTheme="minorHAnsi" w:cstheme="minorHAnsi"/>
                <w:szCs w:val="24"/>
                <w:lang w:val="en-US"/>
              </w:rPr>
              <w:t>Sector</w:t>
            </w:r>
          </w:p>
        </w:tc>
        <w:tc>
          <w:tcPr>
            <w:tcW w:w="2250" w:type="dxa"/>
          </w:tcPr>
          <w:p w14:paraId="084D42D1" w14:textId="77777777" w:rsidR="008C7947" w:rsidRPr="00055FE2" w:rsidRDefault="008C7947" w:rsidP="00055FE2">
            <w:pPr>
              <w:pStyle w:val="TableHead0"/>
              <w:keepLines/>
              <w:spacing w:before="60" w:after="6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055FE2">
              <w:rPr>
                <w:rFonts w:asciiTheme="minorHAnsi" w:hAnsiTheme="minorHAnsi" w:cstheme="minorHAnsi"/>
                <w:szCs w:val="24"/>
                <w:lang w:val="en-US"/>
              </w:rPr>
              <w:t>SG</w:t>
            </w:r>
            <w:r w:rsidRPr="00055FE2">
              <w:rPr>
                <w:rFonts w:asciiTheme="minorHAnsi" w:hAnsiTheme="minorHAnsi" w:cstheme="minorHAnsi"/>
                <w:szCs w:val="24"/>
                <w:lang w:val="en-US"/>
              </w:rPr>
              <w:br/>
              <w:t>Recommendation</w:t>
            </w:r>
          </w:p>
        </w:tc>
      </w:tr>
      <w:tr w:rsidR="008C7947" w:rsidRPr="00055FE2" w14:paraId="7E0E0D8B" w14:textId="77777777" w:rsidTr="00055FE2">
        <w:trPr>
          <w:cantSplit/>
          <w:trHeight w:val="567"/>
          <w:jc w:val="center"/>
        </w:trPr>
        <w:tc>
          <w:tcPr>
            <w:tcW w:w="4498" w:type="dxa"/>
            <w:vAlign w:val="center"/>
          </w:tcPr>
          <w:p w14:paraId="4E7D2CA0" w14:textId="112F48E5" w:rsidR="008C7947" w:rsidRPr="00055FE2" w:rsidRDefault="008C7947" w:rsidP="007632D5">
            <w:pPr>
              <w:pStyle w:val="TableText0"/>
              <w:keepNext/>
              <w:keepLines/>
              <w:spacing w:before="0" w:after="0"/>
              <w:rPr>
                <w:rFonts w:asciiTheme="minorHAnsi" w:hAnsiTheme="minorHAnsi" w:cstheme="minorHAnsi"/>
                <w:b/>
                <w:iCs/>
                <w:szCs w:val="24"/>
                <w:lang w:val="en-US"/>
              </w:rPr>
            </w:pPr>
            <w:r w:rsidRPr="00055FE2">
              <w:rPr>
                <w:rFonts w:asciiTheme="minorHAnsi" w:hAnsiTheme="minorHAnsi" w:cstheme="minorHAnsi"/>
                <w:b/>
                <w:iCs/>
                <w:szCs w:val="24"/>
                <w:lang w:val="en-US"/>
              </w:rPr>
              <w:t>Techfugees Foundation</w:t>
            </w:r>
          </w:p>
        </w:tc>
        <w:tc>
          <w:tcPr>
            <w:tcW w:w="1559" w:type="dxa"/>
            <w:vAlign w:val="center"/>
          </w:tcPr>
          <w:p w14:paraId="4D1B033B" w14:textId="5A7940F3" w:rsidR="008C7947" w:rsidRPr="00055FE2" w:rsidRDefault="008C7947" w:rsidP="00055FE2">
            <w:pPr>
              <w:pStyle w:val="TableText0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Cs w:val="24"/>
                <w:lang w:val="fr-CH"/>
              </w:rPr>
            </w:pPr>
            <w:r w:rsidRPr="00055FE2">
              <w:rPr>
                <w:rFonts w:asciiTheme="minorHAnsi" w:hAnsiTheme="minorHAnsi" w:cstheme="minorHAnsi"/>
                <w:szCs w:val="24"/>
                <w:lang w:val="fr-CH"/>
              </w:rPr>
              <w:t>ITU-D</w:t>
            </w:r>
          </w:p>
        </w:tc>
        <w:tc>
          <w:tcPr>
            <w:tcW w:w="2250" w:type="dxa"/>
            <w:vAlign w:val="center"/>
          </w:tcPr>
          <w:p w14:paraId="5CF354EE" w14:textId="78BD7E7E" w:rsidR="008C7947" w:rsidRPr="00055FE2" w:rsidRDefault="008C7947" w:rsidP="00055FE2">
            <w:pPr>
              <w:pStyle w:val="TableText0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Cs w:val="24"/>
                <w:lang w:val="fr-CH"/>
              </w:rPr>
            </w:pPr>
            <w:r w:rsidRPr="00055FE2">
              <w:rPr>
                <w:rFonts w:asciiTheme="minorHAnsi" w:hAnsiTheme="minorHAnsi" w:cstheme="minorHAnsi"/>
                <w:szCs w:val="24"/>
                <w:lang w:val="fr-CH"/>
              </w:rPr>
              <w:t>YES</w:t>
            </w:r>
          </w:p>
        </w:tc>
      </w:tr>
    </w:tbl>
    <w:p w14:paraId="3195E028" w14:textId="7C892CBC" w:rsidR="00B33012" w:rsidRPr="00055FE2" w:rsidRDefault="00263B99" w:rsidP="00055FE2">
      <w:pPr>
        <w:spacing w:before="240" w:after="120"/>
        <w:jc w:val="both"/>
        <w:rPr>
          <w:rFonts w:asciiTheme="minorHAnsi" w:hAnsiTheme="minorHAnsi" w:cstheme="minorHAnsi"/>
        </w:rPr>
      </w:pPr>
      <w:r w:rsidRPr="00055FE2">
        <w:rPr>
          <w:rFonts w:asciiTheme="minorHAnsi" w:hAnsiTheme="minorHAnsi" w:cstheme="minorHAnsi"/>
        </w:rPr>
        <w:t>Techfugees is a UK headquartered non-profit social enterprise with an international volunteer-led digital technology community of entrepreneurs, engineers, researchers, NGOs</w:t>
      </w:r>
      <w:r w:rsidR="00C216AF">
        <w:rPr>
          <w:rFonts w:asciiTheme="minorHAnsi" w:hAnsiTheme="minorHAnsi" w:cstheme="minorHAnsi"/>
        </w:rPr>
        <w:t>,</w:t>
      </w:r>
      <w:r w:rsidR="0061528A" w:rsidRPr="00055FE2">
        <w:rPr>
          <w:rFonts w:asciiTheme="minorHAnsi" w:hAnsiTheme="minorHAnsi" w:cstheme="minorHAnsi"/>
        </w:rPr>
        <w:t xml:space="preserve"> and displaced persons. They </w:t>
      </w:r>
      <w:r w:rsidRPr="00055FE2">
        <w:rPr>
          <w:rFonts w:asciiTheme="minorHAnsi" w:hAnsiTheme="minorHAnsi" w:cstheme="minorHAnsi"/>
        </w:rPr>
        <w:t>are globally present across 10 countries and expanding but act local</w:t>
      </w:r>
      <w:r w:rsidR="0061528A" w:rsidRPr="00055FE2">
        <w:rPr>
          <w:rFonts w:asciiTheme="minorHAnsi" w:hAnsiTheme="minorHAnsi" w:cstheme="minorHAnsi"/>
        </w:rPr>
        <w:t xml:space="preserve">ly to </w:t>
      </w:r>
      <w:r w:rsidRPr="00055FE2">
        <w:rPr>
          <w:rFonts w:asciiTheme="minorHAnsi" w:hAnsiTheme="minorHAnsi" w:cstheme="minorHAnsi"/>
        </w:rPr>
        <w:t>bring</w:t>
      </w:r>
      <w:r w:rsidR="004B1536" w:rsidRPr="00055FE2">
        <w:rPr>
          <w:rFonts w:asciiTheme="minorHAnsi" w:hAnsiTheme="minorHAnsi" w:cstheme="minorHAnsi"/>
        </w:rPr>
        <w:t xml:space="preserve"> </w:t>
      </w:r>
      <w:r w:rsidRPr="00055FE2">
        <w:rPr>
          <w:rFonts w:asciiTheme="minorHAnsi" w:hAnsiTheme="minorHAnsi" w:cstheme="minorHAnsi"/>
        </w:rPr>
        <w:t>different organisations</w:t>
      </w:r>
      <w:r w:rsidR="0061528A" w:rsidRPr="00055FE2">
        <w:rPr>
          <w:rFonts w:asciiTheme="minorHAnsi" w:hAnsiTheme="minorHAnsi" w:cstheme="minorHAnsi"/>
        </w:rPr>
        <w:t xml:space="preserve"> and</w:t>
      </w:r>
      <w:r w:rsidRPr="00055FE2">
        <w:rPr>
          <w:rFonts w:asciiTheme="minorHAnsi" w:hAnsiTheme="minorHAnsi" w:cstheme="minorHAnsi"/>
        </w:rPr>
        <w:t xml:space="preserve"> people together in an open, connected</w:t>
      </w:r>
      <w:r w:rsidR="00C216AF">
        <w:rPr>
          <w:rFonts w:asciiTheme="minorHAnsi" w:hAnsiTheme="minorHAnsi" w:cstheme="minorHAnsi"/>
        </w:rPr>
        <w:t>,</w:t>
      </w:r>
      <w:r w:rsidRPr="00055FE2">
        <w:rPr>
          <w:rFonts w:asciiTheme="minorHAnsi" w:hAnsiTheme="minorHAnsi" w:cstheme="minorHAnsi"/>
        </w:rPr>
        <w:t xml:space="preserve"> and trusted environment to curate</w:t>
      </w:r>
      <w:r w:rsidR="004B1536" w:rsidRPr="00055FE2">
        <w:rPr>
          <w:rFonts w:asciiTheme="minorHAnsi" w:hAnsiTheme="minorHAnsi" w:cstheme="minorHAnsi"/>
        </w:rPr>
        <w:t xml:space="preserve"> </w:t>
      </w:r>
      <w:r w:rsidRPr="00055FE2">
        <w:rPr>
          <w:rFonts w:asciiTheme="minorHAnsi" w:hAnsiTheme="minorHAnsi" w:cstheme="minorHAnsi"/>
        </w:rPr>
        <w:t>digital technology humanitarian solutions developed by the displaced, for the displaced.</w:t>
      </w:r>
      <w:r w:rsidR="00B33012" w:rsidRPr="00055FE2">
        <w:rPr>
          <w:rFonts w:asciiTheme="minorHAnsi" w:hAnsiTheme="minorHAnsi" w:cstheme="minorHAnsi"/>
        </w:rPr>
        <w:t xml:space="preserve"> </w:t>
      </w:r>
      <w:r w:rsidR="00B33012" w:rsidRPr="00055FE2">
        <w:rPr>
          <w:rFonts w:asciiTheme="minorHAnsi" w:hAnsiTheme="minorHAnsi" w:cstheme="minorHAnsi"/>
          <w:color w:val="000000"/>
        </w:rPr>
        <w:t xml:space="preserve">The </w:t>
      </w:r>
      <w:r w:rsidR="00055FE2">
        <w:rPr>
          <w:rFonts w:asciiTheme="minorHAnsi" w:hAnsiTheme="minorHAnsi" w:cstheme="minorHAnsi"/>
          <w:color w:val="000000"/>
        </w:rPr>
        <w:t>s</w:t>
      </w:r>
      <w:r w:rsidR="00B33012" w:rsidRPr="00055FE2">
        <w:rPr>
          <w:rFonts w:asciiTheme="minorHAnsi" w:hAnsiTheme="minorHAnsi" w:cstheme="minorHAnsi"/>
          <w:color w:val="000000"/>
        </w:rPr>
        <w:t>ecretariat is of the view that this entity meets the criteria for exemption for ITU-D</w:t>
      </w:r>
      <w:r w:rsidR="00564971" w:rsidRPr="00055FE2">
        <w:rPr>
          <w:rFonts w:asciiTheme="minorHAnsi" w:hAnsiTheme="minorHAnsi" w:cstheme="minorHAnsi"/>
          <w:color w:val="000000"/>
        </w:rPr>
        <w:t>.</w:t>
      </w:r>
    </w:p>
    <w:p w14:paraId="2CAF143B" w14:textId="66923B7F" w:rsidR="00AB646C" w:rsidRPr="00055FE2" w:rsidRDefault="00AB646C" w:rsidP="00055FE2">
      <w:pPr>
        <w:spacing w:before="360" w:after="120"/>
        <w:rPr>
          <w:rFonts w:asciiTheme="minorHAnsi" w:hAnsiTheme="minorHAnsi" w:cstheme="minorHAnsi"/>
          <w:lang w:val="en-US"/>
        </w:rPr>
      </w:pPr>
      <w:r w:rsidRPr="00055FE2">
        <w:rPr>
          <w:rFonts w:asciiTheme="minorHAnsi" w:hAnsiTheme="minorHAnsi" w:cstheme="minorHAnsi"/>
          <w:lang w:val="en-US"/>
        </w:rPr>
        <w:t>2.</w:t>
      </w:r>
      <w:r w:rsidR="007632D5" w:rsidRPr="00055FE2">
        <w:rPr>
          <w:rFonts w:asciiTheme="minorHAnsi" w:hAnsiTheme="minorHAnsi" w:cstheme="minorHAnsi"/>
          <w:lang w:val="en-US"/>
        </w:rPr>
        <w:t>5</w:t>
      </w:r>
    </w:p>
    <w:tbl>
      <w:tblPr>
        <w:tblW w:w="84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14"/>
        <w:gridCol w:w="1559"/>
        <w:gridCol w:w="2250"/>
      </w:tblGrid>
      <w:tr w:rsidR="008C7947" w:rsidRPr="00055FE2" w14:paraId="7D561FF8" w14:textId="77777777" w:rsidTr="008C7947">
        <w:trPr>
          <w:cantSplit/>
          <w:jc w:val="center"/>
        </w:trPr>
        <w:tc>
          <w:tcPr>
            <w:tcW w:w="4614" w:type="dxa"/>
          </w:tcPr>
          <w:p w14:paraId="7416640C" w14:textId="77777777" w:rsidR="008C7947" w:rsidRPr="00055FE2" w:rsidRDefault="008C7947" w:rsidP="006E5431">
            <w:pPr>
              <w:pStyle w:val="TableHead0"/>
              <w:keepLines/>
              <w:spacing w:before="60" w:after="6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055FE2">
              <w:rPr>
                <w:rFonts w:asciiTheme="minorHAnsi" w:hAnsiTheme="minorHAnsi" w:cstheme="minorHAnsi"/>
                <w:szCs w:val="24"/>
                <w:lang w:val="en-US"/>
              </w:rPr>
              <w:t>Organization</w:t>
            </w:r>
          </w:p>
        </w:tc>
        <w:tc>
          <w:tcPr>
            <w:tcW w:w="1559" w:type="dxa"/>
          </w:tcPr>
          <w:p w14:paraId="1A092942" w14:textId="77777777" w:rsidR="008C7947" w:rsidRPr="00055FE2" w:rsidRDefault="008C7947" w:rsidP="006E5431">
            <w:pPr>
              <w:pStyle w:val="TableHead0"/>
              <w:keepLines/>
              <w:spacing w:before="60" w:after="6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055FE2">
              <w:rPr>
                <w:rFonts w:asciiTheme="minorHAnsi" w:hAnsiTheme="minorHAnsi" w:cstheme="minorHAnsi"/>
                <w:szCs w:val="24"/>
                <w:lang w:val="en-US"/>
              </w:rPr>
              <w:t>Sector</w:t>
            </w:r>
          </w:p>
        </w:tc>
        <w:tc>
          <w:tcPr>
            <w:tcW w:w="2250" w:type="dxa"/>
          </w:tcPr>
          <w:p w14:paraId="17644920" w14:textId="77777777" w:rsidR="008C7947" w:rsidRPr="00055FE2" w:rsidRDefault="008C7947" w:rsidP="006E5431">
            <w:pPr>
              <w:pStyle w:val="TableHead0"/>
              <w:keepLines/>
              <w:spacing w:before="60" w:after="6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055FE2">
              <w:rPr>
                <w:rFonts w:asciiTheme="minorHAnsi" w:hAnsiTheme="minorHAnsi" w:cstheme="minorHAnsi"/>
                <w:szCs w:val="24"/>
                <w:lang w:val="en-US"/>
              </w:rPr>
              <w:t>SG</w:t>
            </w:r>
            <w:r w:rsidRPr="00055FE2">
              <w:rPr>
                <w:rFonts w:asciiTheme="minorHAnsi" w:hAnsiTheme="minorHAnsi" w:cstheme="minorHAnsi"/>
                <w:szCs w:val="24"/>
                <w:lang w:val="en-US"/>
              </w:rPr>
              <w:br/>
              <w:t>Recommendation</w:t>
            </w:r>
          </w:p>
        </w:tc>
      </w:tr>
      <w:tr w:rsidR="008C7947" w:rsidRPr="00055FE2" w14:paraId="0D30F8C9" w14:textId="77777777" w:rsidTr="00055FE2">
        <w:trPr>
          <w:cantSplit/>
          <w:trHeight w:val="567"/>
          <w:jc w:val="center"/>
        </w:trPr>
        <w:tc>
          <w:tcPr>
            <w:tcW w:w="4614" w:type="dxa"/>
            <w:vAlign w:val="center"/>
          </w:tcPr>
          <w:p w14:paraId="6C157B01" w14:textId="37F20B6E" w:rsidR="008C7947" w:rsidRPr="00055FE2" w:rsidRDefault="008C7947" w:rsidP="007632D5">
            <w:pPr>
              <w:pStyle w:val="TableText0"/>
              <w:keepNext/>
              <w:keepLines/>
              <w:spacing w:before="0" w:after="0"/>
              <w:rPr>
                <w:rFonts w:asciiTheme="minorHAnsi" w:hAnsiTheme="minorHAnsi" w:cstheme="minorHAnsi"/>
                <w:b/>
                <w:bCs/>
                <w:iCs/>
                <w:szCs w:val="24"/>
                <w:lang w:val="fr-FR"/>
              </w:rPr>
            </w:pPr>
            <w:r w:rsidRPr="00055FE2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fr-FR"/>
              </w:rPr>
              <w:t>Global Mobile Suppliers Association (GSA)</w:t>
            </w:r>
          </w:p>
        </w:tc>
        <w:tc>
          <w:tcPr>
            <w:tcW w:w="1559" w:type="dxa"/>
            <w:vAlign w:val="center"/>
          </w:tcPr>
          <w:p w14:paraId="6067EB5A" w14:textId="09900300" w:rsidR="008C7947" w:rsidRPr="00055FE2" w:rsidRDefault="008C7947" w:rsidP="00055FE2">
            <w:pPr>
              <w:pStyle w:val="TableText0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Cs w:val="24"/>
                <w:lang w:val="fr-CH"/>
              </w:rPr>
            </w:pPr>
            <w:r w:rsidRPr="00055FE2">
              <w:rPr>
                <w:rFonts w:asciiTheme="minorHAnsi" w:hAnsiTheme="minorHAnsi" w:cstheme="minorHAnsi"/>
                <w:szCs w:val="24"/>
                <w:lang w:val="fr-CH"/>
              </w:rPr>
              <w:t>ITU-R</w:t>
            </w:r>
          </w:p>
        </w:tc>
        <w:tc>
          <w:tcPr>
            <w:tcW w:w="2250" w:type="dxa"/>
            <w:vAlign w:val="center"/>
          </w:tcPr>
          <w:p w14:paraId="0E772E1E" w14:textId="74CFDAF5" w:rsidR="008C7947" w:rsidRPr="00055FE2" w:rsidRDefault="008C7947" w:rsidP="00055FE2">
            <w:pPr>
              <w:pStyle w:val="TableText0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Cs w:val="24"/>
                <w:lang w:val="fr-CH"/>
              </w:rPr>
            </w:pPr>
            <w:r w:rsidRPr="00055FE2">
              <w:rPr>
                <w:rFonts w:asciiTheme="minorHAnsi" w:hAnsiTheme="minorHAnsi" w:cstheme="minorHAnsi"/>
                <w:szCs w:val="24"/>
                <w:lang w:val="fr-CH"/>
              </w:rPr>
              <w:t>NO</w:t>
            </w:r>
          </w:p>
        </w:tc>
      </w:tr>
    </w:tbl>
    <w:p w14:paraId="0E3741E1" w14:textId="26031414" w:rsidR="00FA2647" w:rsidRPr="00055FE2" w:rsidRDefault="004D1231" w:rsidP="00055FE2">
      <w:pPr>
        <w:pStyle w:val="NormalWeb"/>
        <w:spacing w:before="240" w:beforeAutospacing="0" w:after="120" w:afterAutospacing="0"/>
        <w:jc w:val="both"/>
        <w:rPr>
          <w:rFonts w:asciiTheme="minorHAnsi" w:hAnsiTheme="minorHAnsi" w:cstheme="minorHAnsi"/>
          <w:color w:val="222128"/>
        </w:rPr>
      </w:pPr>
      <w:r w:rsidRPr="00055FE2">
        <w:rPr>
          <w:rFonts w:asciiTheme="minorHAnsi" w:hAnsiTheme="minorHAnsi" w:cstheme="minorHAnsi"/>
          <w:color w:val="222128"/>
        </w:rPr>
        <w:t>The Global Mobile Suppliers Association is a not-for-profit industry organi</w:t>
      </w:r>
      <w:r w:rsidR="00C216AF">
        <w:rPr>
          <w:rFonts w:asciiTheme="minorHAnsi" w:hAnsiTheme="minorHAnsi" w:cstheme="minorHAnsi"/>
          <w:color w:val="222128"/>
        </w:rPr>
        <w:t>z</w:t>
      </w:r>
      <w:r w:rsidRPr="00055FE2">
        <w:rPr>
          <w:rFonts w:asciiTheme="minorHAnsi" w:hAnsiTheme="minorHAnsi" w:cstheme="minorHAnsi"/>
          <w:color w:val="222128"/>
        </w:rPr>
        <w:t>ation representing companies across the worldwide mobile ecosystem who are engaged in the supply of infrastructure, semiconductors, test equipment, devices, applications</w:t>
      </w:r>
      <w:r w:rsidR="00C216AF">
        <w:rPr>
          <w:rFonts w:asciiTheme="minorHAnsi" w:hAnsiTheme="minorHAnsi" w:cstheme="minorHAnsi"/>
          <w:color w:val="222128"/>
        </w:rPr>
        <w:t>,</w:t>
      </w:r>
      <w:r w:rsidRPr="00055FE2">
        <w:rPr>
          <w:rFonts w:asciiTheme="minorHAnsi" w:hAnsiTheme="minorHAnsi" w:cstheme="minorHAnsi"/>
          <w:color w:val="222128"/>
        </w:rPr>
        <w:t xml:space="preserve"> and mobile support services. They promote the 3GPP technology road-map – 3G</w:t>
      </w:r>
      <w:r w:rsidR="00255A60" w:rsidRPr="00055FE2">
        <w:rPr>
          <w:rFonts w:asciiTheme="minorHAnsi" w:hAnsiTheme="minorHAnsi" w:cstheme="minorHAnsi"/>
          <w:color w:val="222128"/>
        </w:rPr>
        <w:t xml:space="preserve">, </w:t>
      </w:r>
      <w:r w:rsidRPr="00055FE2">
        <w:rPr>
          <w:rFonts w:asciiTheme="minorHAnsi" w:hAnsiTheme="minorHAnsi" w:cstheme="minorHAnsi"/>
          <w:color w:val="222128"/>
        </w:rPr>
        <w:t>4G</w:t>
      </w:r>
      <w:r w:rsidR="00255A60" w:rsidRPr="00055FE2">
        <w:rPr>
          <w:rFonts w:asciiTheme="minorHAnsi" w:hAnsiTheme="minorHAnsi" w:cstheme="minorHAnsi"/>
          <w:color w:val="222128"/>
        </w:rPr>
        <w:t xml:space="preserve"> and </w:t>
      </w:r>
      <w:r w:rsidRPr="00055FE2">
        <w:rPr>
          <w:rFonts w:asciiTheme="minorHAnsi" w:hAnsiTheme="minorHAnsi" w:cstheme="minorHAnsi"/>
          <w:color w:val="222128"/>
          <w:lang w:val="en-US"/>
        </w:rPr>
        <w:t xml:space="preserve">5G </w:t>
      </w:r>
      <w:r w:rsidRPr="00055FE2">
        <w:rPr>
          <w:rFonts w:asciiTheme="minorHAnsi" w:hAnsiTheme="minorHAnsi" w:cstheme="minorHAnsi"/>
          <w:color w:val="222128"/>
        </w:rPr>
        <w:t xml:space="preserve">– and are a source of information for industry reports and market intelligence. </w:t>
      </w:r>
      <w:r w:rsidR="00A14BE1" w:rsidRPr="00055FE2">
        <w:rPr>
          <w:rFonts w:asciiTheme="minorHAnsi" w:hAnsiTheme="minorHAnsi" w:cstheme="minorHAnsi"/>
          <w:color w:val="000000"/>
        </w:rPr>
        <w:t>Given</w:t>
      </w:r>
      <w:r w:rsidR="008C7947" w:rsidRPr="00055FE2">
        <w:rPr>
          <w:rFonts w:asciiTheme="minorHAnsi" w:hAnsiTheme="minorHAnsi" w:cstheme="minorHAnsi"/>
          <w:color w:val="000000"/>
        </w:rPr>
        <w:t xml:space="preserve"> that</w:t>
      </w:r>
      <w:r w:rsidR="00A14BE1" w:rsidRPr="00055FE2">
        <w:rPr>
          <w:rFonts w:asciiTheme="minorHAnsi" w:hAnsiTheme="minorHAnsi" w:cstheme="minorHAnsi"/>
          <w:color w:val="000000"/>
        </w:rPr>
        <w:t xml:space="preserve"> GSA’s </w:t>
      </w:r>
      <w:r w:rsidR="008C7947" w:rsidRPr="00055FE2">
        <w:rPr>
          <w:rFonts w:asciiTheme="minorHAnsi" w:hAnsiTheme="minorHAnsi" w:cstheme="minorHAnsi"/>
          <w:color w:val="000000"/>
        </w:rPr>
        <w:t xml:space="preserve">membership </w:t>
      </w:r>
      <w:r w:rsidR="000D64C4" w:rsidRPr="00055FE2">
        <w:rPr>
          <w:rFonts w:asciiTheme="minorHAnsi" w:hAnsiTheme="minorHAnsi" w:cstheme="minorHAnsi"/>
          <w:color w:val="000000"/>
        </w:rPr>
        <w:t xml:space="preserve">is </w:t>
      </w:r>
      <w:r w:rsidR="008C7947" w:rsidRPr="00055FE2">
        <w:rPr>
          <w:rFonts w:asciiTheme="minorHAnsi" w:hAnsiTheme="minorHAnsi" w:cstheme="minorHAnsi"/>
          <w:color w:val="000000"/>
        </w:rPr>
        <w:t>predominately for-profit companies, t</w:t>
      </w:r>
      <w:r w:rsidR="00B33012" w:rsidRPr="00055FE2">
        <w:rPr>
          <w:rFonts w:asciiTheme="minorHAnsi" w:hAnsiTheme="minorHAnsi" w:cstheme="minorHAnsi"/>
          <w:color w:val="000000"/>
        </w:rPr>
        <w:t xml:space="preserve">he </w:t>
      </w:r>
      <w:r w:rsidR="00055FE2">
        <w:rPr>
          <w:rFonts w:asciiTheme="minorHAnsi" w:hAnsiTheme="minorHAnsi" w:cstheme="minorHAnsi"/>
          <w:color w:val="000000"/>
        </w:rPr>
        <w:t>s</w:t>
      </w:r>
      <w:r w:rsidR="00B33012" w:rsidRPr="00055FE2">
        <w:rPr>
          <w:rFonts w:asciiTheme="minorHAnsi" w:hAnsiTheme="minorHAnsi" w:cstheme="minorHAnsi"/>
          <w:color w:val="000000"/>
        </w:rPr>
        <w:t xml:space="preserve">ecretariat is of the view that this entity </w:t>
      </w:r>
      <w:r w:rsidR="008C7947" w:rsidRPr="00055FE2">
        <w:rPr>
          <w:rFonts w:asciiTheme="minorHAnsi" w:hAnsiTheme="minorHAnsi" w:cstheme="minorHAnsi"/>
          <w:color w:val="000000"/>
        </w:rPr>
        <w:t xml:space="preserve">does not </w:t>
      </w:r>
      <w:r w:rsidR="00B33012" w:rsidRPr="00055FE2">
        <w:rPr>
          <w:rFonts w:asciiTheme="minorHAnsi" w:hAnsiTheme="minorHAnsi" w:cstheme="minorHAnsi"/>
          <w:color w:val="000000"/>
        </w:rPr>
        <w:t>meet the criteria for exemption.</w:t>
      </w:r>
      <w:r w:rsidR="00FA2647" w:rsidRPr="00055FE2">
        <w:rPr>
          <w:rFonts w:asciiTheme="minorHAnsi" w:hAnsiTheme="minorHAnsi" w:cstheme="minorHAnsi"/>
          <w:color w:val="000000"/>
        </w:rPr>
        <w:t xml:space="preserve"> </w:t>
      </w:r>
    </w:p>
    <w:p w14:paraId="53A7DB0C" w14:textId="15EA8D77" w:rsidR="00AB646C" w:rsidRPr="00055FE2" w:rsidRDefault="00AB646C" w:rsidP="00055FE2">
      <w:pPr>
        <w:spacing w:before="840"/>
        <w:jc w:val="center"/>
        <w:rPr>
          <w:rFonts w:asciiTheme="minorHAnsi" w:hAnsiTheme="minorHAnsi" w:cstheme="minorHAnsi"/>
        </w:rPr>
      </w:pPr>
      <w:r w:rsidRPr="00055FE2">
        <w:rPr>
          <w:rFonts w:asciiTheme="minorHAnsi" w:hAnsiTheme="minorHAnsi" w:cstheme="minorHAnsi"/>
          <w:bCs/>
          <w:lang w:val="en-US"/>
        </w:rPr>
        <w:t>____________________</w:t>
      </w:r>
    </w:p>
    <w:sectPr w:rsidR="00AB646C" w:rsidRPr="00055FE2">
      <w:head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5B419" w14:textId="77777777" w:rsidR="00733E10" w:rsidRDefault="00733E10">
      <w:r>
        <w:separator/>
      </w:r>
    </w:p>
  </w:endnote>
  <w:endnote w:type="continuationSeparator" w:id="0">
    <w:p w14:paraId="46A4806F" w14:textId="77777777" w:rsidR="00733E10" w:rsidRDefault="0073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F32B8" w14:textId="77777777" w:rsidR="009245C7" w:rsidRDefault="009245C7">
    <w:pPr>
      <w:spacing w:after="120"/>
      <w:jc w:val="center"/>
    </w:pPr>
    <w:r>
      <w:t xml:space="preserve">• </w:t>
    </w:r>
    <w:hyperlink r:id="rId1" w:history="1">
      <w:r w:rsidRPr="008D0E26">
        <w:rPr>
          <w:rStyle w:val="Hyperlink"/>
          <w:rFonts w:asciiTheme="minorHAnsi" w:hAnsiTheme="minorHAnsi" w:cstheme="minorHAnsi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00A1A" w14:textId="77777777" w:rsidR="00733E10" w:rsidRDefault="00733E10">
      <w:r>
        <w:t>____________________</w:t>
      </w:r>
    </w:p>
    <w:p w14:paraId="396055AC" w14:textId="77777777" w:rsidR="00733E10" w:rsidRDefault="00733E10"/>
  </w:footnote>
  <w:footnote w:type="continuationSeparator" w:id="0">
    <w:p w14:paraId="4828B723" w14:textId="77777777" w:rsidR="00733E10" w:rsidRDefault="00733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5FC4E" w14:textId="77777777" w:rsidR="009245C7" w:rsidRPr="008D0E26" w:rsidRDefault="009245C7">
    <w:pPr>
      <w:pStyle w:val="Header"/>
      <w:rPr>
        <w:rFonts w:asciiTheme="minorHAnsi" w:hAnsiTheme="minorHAnsi" w:cstheme="minorHAnsi"/>
      </w:rPr>
    </w:pPr>
    <w:r w:rsidRPr="008D0E26">
      <w:rPr>
        <w:rFonts w:asciiTheme="minorHAnsi" w:hAnsiTheme="minorHAnsi" w:cstheme="minorHAnsi"/>
      </w:rPr>
      <w:t xml:space="preserve">- </w:t>
    </w:r>
    <w:r w:rsidRPr="008D0E26">
      <w:rPr>
        <w:rFonts w:asciiTheme="minorHAnsi" w:hAnsiTheme="minorHAnsi" w:cstheme="minorHAnsi"/>
      </w:rPr>
      <w:fldChar w:fldCharType="begin"/>
    </w:r>
    <w:r w:rsidRPr="008D0E26">
      <w:rPr>
        <w:rFonts w:asciiTheme="minorHAnsi" w:hAnsiTheme="minorHAnsi" w:cstheme="minorHAnsi"/>
      </w:rPr>
      <w:instrText>PAGE</w:instrText>
    </w:r>
    <w:r w:rsidRPr="008D0E26">
      <w:rPr>
        <w:rFonts w:asciiTheme="minorHAnsi" w:hAnsiTheme="minorHAnsi" w:cstheme="minorHAnsi"/>
      </w:rPr>
      <w:fldChar w:fldCharType="separate"/>
    </w:r>
    <w:r w:rsidR="007A1191">
      <w:rPr>
        <w:rFonts w:asciiTheme="minorHAnsi" w:hAnsiTheme="minorHAnsi" w:cstheme="minorHAnsi"/>
        <w:noProof/>
      </w:rPr>
      <w:t>2</w:t>
    </w:r>
    <w:r w:rsidRPr="008D0E26">
      <w:rPr>
        <w:rFonts w:asciiTheme="minorHAnsi" w:hAnsiTheme="minorHAnsi" w:cstheme="minorHAnsi"/>
      </w:rPr>
      <w:fldChar w:fldCharType="end"/>
    </w:r>
    <w:r w:rsidRPr="008D0E26">
      <w:rPr>
        <w:rFonts w:asciiTheme="minorHAnsi" w:hAnsiTheme="minorHAnsi" w:cstheme="minorHAnsi"/>
      </w:rPr>
      <w:t xml:space="preserve"> -</w:t>
    </w:r>
  </w:p>
  <w:p w14:paraId="4CAD0FA8" w14:textId="7C782FEF" w:rsidR="009245C7" w:rsidRPr="008D0E26" w:rsidRDefault="009245C7" w:rsidP="00AB646C">
    <w:pPr>
      <w:pStyle w:val="Header"/>
      <w:rPr>
        <w:rFonts w:asciiTheme="minorHAnsi" w:hAnsiTheme="minorHAnsi" w:cstheme="minorHAnsi"/>
      </w:rPr>
    </w:pPr>
    <w:r w:rsidRPr="008D0E26">
      <w:rPr>
        <w:rFonts w:asciiTheme="minorHAnsi" w:hAnsiTheme="minorHAnsi" w:cstheme="minorHAnsi"/>
      </w:rPr>
      <w:t>C</w:t>
    </w:r>
    <w:r w:rsidR="00B33012">
      <w:rPr>
        <w:rFonts w:asciiTheme="minorHAnsi" w:hAnsiTheme="minorHAnsi" w:cstheme="minorHAnsi"/>
      </w:rPr>
      <w:t>21</w:t>
    </w:r>
    <w:r w:rsidRPr="008D0E26">
      <w:rPr>
        <w:rFonts w:asciiTheme="minorHAnsi" w:hAnsiTheme="minorHAnsi" w:cstheme="minorHAnsi"/>
      </w:rPr>
      <w:t>/</w:t>
    </w:r>
    <w:r w:rsidR="00244928">
      <w:rPr>
        <w:rFonts w:asciiTheme="minorHAnsi" w:hAnsiTheme="minorHAnsi" w:cstheme="minorHAnsi"/>
      </w:rPr>
      <w:t>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DF5E7E"/>
    <w:multiLevelType w:val="multilevel"/>
    <w:tmpl w:val="861C7D7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BE6044D"/>
    <w:multiLevelType w:val="hybridMultilevel"/>
    <w:tmpl w:val="531AA482"/>
    <w:lvl w:ilvl="0" w:tplc="9D509E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47D37"/>
    <w:multiLevelType w:val="hybridMultilevel"/>
    <w:tmpl w:val="A2200FD0"/>
    <w:lvl w:ilvl="0" w:tplc="41420A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1169F0"/>
    <w:multiLevelType w:val="hybridMultilevel"/>
    <w:tmpl w:val="A1BAED5C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fr-FR" w:vendorID="64" w:dllVersion="4096" w:nlCheck="1" w:checkStyle="0"/>
  <w:activeWritingStyle w:appName="MSWord" w:lang="es-ES_tradnl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363"/>
    <w:rsid w:val="00015DA4"/>
    <w:rsid w:val="00050674"/>
    <w:rsid w:val="00055FE2"/>
    <w:rsid w:val="0009031F"/>
    <w:rsid w:val="000919DD"/>
    <w:rsid w:val="000A5895"/>
    <w:rsid w:val="000B65DD"/>
    <w:rsid w:val="000D272A"/>
    <w:rsid w:val="000D64C4"/>
    <w:rsid w:val="000E6FF4"/>
    <w:rsid w:val="00113B83"/>
    <w:rsid w:val="00120B70"/>
    <w:rsid w:val="00121D29"/>
    <w:rsid w:val="001A7DBF"/>
    <w:rsid w:val="001D2DDF"/>
    <w:rsid w:val="001D3619"/>
    <w:rsid w:val="002041C9"/>
    <w:rsid w:val="00204853"/>
    <w:rsid w:val="00210F56"/>
    <w:rsid w:val="00243D94"/>
    <w:rsid w:val="00244928"/>
    <w:rsid w:val="002453B4"/>
    <w:rsid w:val="00255A60"/>
    <w:rsid w:val="00256BFE"/>
    <w:rsid w:val="00263B99"/>
    <w:rsid w:val="002C4D5A"/>
    <w:rsid w:val="002E7E05"/>
    <w:rsid w:val="003101DB"/>
    <w:rsid w:val="00323979"/>
    <w:rsid w:val="003276EA"/>
    <w:rsid w:val="00384C29"/>
    <w:rsid w:val="0038545F"/>
    <w:rsid w:val="00393605"/>
    <w:rsid w:val="003B11D2"/>
    <w:rsid w:val="003D2654"/>
    <w:rsid w:val="003D365F"/>
    <w:rsid w:val="003F1D3F"/>
    <w:rsid w:val="004071A3"/>
    <w:rsid w:val="00426C89"/>
    <w:rsid w:val="00476E93"/>
    <w:rsid w:val="00495E67"/>
    <w:rsid w:val="004964B5"/>
    <w:rsid w:val="004B1536"/>
    <w:rsid w:val="004B241B"/>
    <w:rsid w:val="004B3AFA"/>
    <w:rsid w:val="004B6412"/>
    <w:rsid w:val="004C415E"/>
    <w:rsid w:val="004D1231"/>
    <w:rsid w:val="004E072F"/>
    <w:rsid w:val="004E6597"/>
    <w:rsid w:val="005063CF"/>
    <w:rsid w:val="00556E5B"/>
    <w:rsid w:val="00564971"/>
    <w:rsid w:val="005C5401"/>
    <w:rsid w:val="005D44E1"/>
    <w:rsid w:val="005F004E"/>
    <w:rsid w:val="005F73D9"/>
    <w:rsid w:val="0061528A"/>
    <w:rsid w:val="00615E2F"/>
    <w:rsid w:val="00635510"/>
    <w:rsid w:val="006463A3"/>
    <w:rsid w:val="00651DD9"/>
    <w:rsid w:val="00652102"/>
    <w:rsid w:val="006671BD"/>
    <w:rsid w:val="00671877"/>
    <w:rsid w:val="00676247"/>
    <w:rsid w:val="00706A0B"/>
    <w:rsid w:val="007251BC"/>
    <w:rsid w:val="00733E10"/>
    <w:rsid w:val="0074597F"/>
    <w:rsid w:val="007632D5"/>
    <w:rsid w:val="00773B79"/>
    <w:rsid w:val="00774137"/>
    <w:rsid w:val="0078359B"/>
    <w:rsid w:val="00785715"/>
    <w:rsid w:val="00792C5D"/>
    <w:rsid w:val="007A1191"/>
    <w:rsid w:val="007A3DF2"/>
    <w:rsid w:val="007A7F66"/>
    <w:rsid w:val="007B5DD2"/>
    <w:rsid w:val="007D0A10"/>
    <w:rsid w:val="007F7F47"/>
    <w:rsid w:val="008068B5"/>
    <w:rsid w:val="008162F8"/>
    <w:rsid w:val="008409FC"/>
    <w:rsid w:val="00853F64"/>
    <w:rsid w:val="00887BB8"/>
    <w:rsid w:val="008972E4"/>
    <w:rsid w:val="008A116D"/>
    <w:rsid w:val="008A1EEF"/>
    <w:rsid w:val="008A54F2"/>
    <w:rsid w:val="008C7947"/>
    <w:rsid w:val="008D0E26"/>
    <w:rsid w:val="00902829"/>
    <w:rsid w:val="009028B6"/>
    <w:rsid w:val="009245C7"/>
    <w:rsid w:val="00964D8E"/>
    <w:rsid w:val="00990860"/>
    <w:rsid w:val="00991A71"/>
    <w:rsid w:val="00996A5C"/>
    <w:rsid w:val="00997177"/>
    <w:rsid w:val="009A196D"/>
    <w:rsid w:val="009B2B06"/>
    <w:rsid w:val="009D158E"/>
    <w:rsid w:val="009F371C"/>
    <w:rsid w:val="00A13661"/>
    <w:rsid w:val="00A14BE1"/>
    <w:rsid w:val="00A30510"/>
    <w:rsid w:val="00A7202B"/>
    <w:rsid w:val="00AB0C02"/>
    <w:rsid w:val="00AB6060"/>
    <w:rsid w:val="00AB646C"/>
    <w:rsid w:val="00AB72C9"/>
    <w:rsid w:val="00AC4363"/>
    <w:rsid w:val="00AD41DE"/>
    <w:rsid w:val="00B00834"/>
    <w:rsid w:val="00B020E4"/>
    <w:rsid w:val="00B03B5D"/>
    <w:rsid w:val="00B10678"/>
    <w:rsid w:val="00B313EB"/>
    <w:rsid w:val="00B33012"/>
    <w:rsid w:val="00BB2902"/>
    <w:rsid w:val="00C14B10"/>
    <w:rsid w:val="00C216AF"/>
    <w:rsid w:val="00C45271"/>
    <w:rsid w:val="00C735F5"/>
    <w:rsid w:val="00C809A9"/>
    <w:rsid w:val="00C850CA"/>
    <w:rsid w:val="00CB0ECC"/>
    <w:rsid w:val="00CC3295"/>
    <w:rsid w:val="00CD2636"/>
    <w:rsid w:val="00CE309C"/>
    <w:rsid w:val="00CF2493"/>
    <w:rsid w:val="00D3418D"/>
    <w:rsid w:val="00D368D2"/>
    <w:rsid w:val="00D92411"/>
    <w:rsid w:val="00DB2607"/>
    <w:rsid w:val="00DB2EFF"/>
    <w:rsid w:val="00DE3151"/>
    <w:rsid w:val="00DF1F91"/>
    <w:rsid w:val="00E10008"/>
    <w:rsid w:val="00E65AB7"/>
    <w:rsid w:val="00E9040E"/>
    <w:rsid w:val="00E942BF"/>
    <w:rsid w:val="00EC794E"/>
    <w:rsid w:val="00EE1952"/>
    <w:rsid w:val="00F10158"/>
    <w:rsid w:val="00F115E3"/>
    <w:rsid w:val="00F13EB4"/>
    <w:rsid w:val="00F50338"/>
    <w:rsid w:val="00F53986"/>
    <w:rsid w:val="00F54D48"/>
    <w:rsid w:val="00F56A02"/>
    <w:rsid w:val="00F673D1"/>
    <w:rsid w:val="00F70540"/>
    <w:rsid w:val="00FA2647"/>
    <w:rsid w:val="00FB2B8F"/>
    <w:rsid w:val="00FB510F"/>
    <w:rsid w:val="00FE5BC7"/>
    <w:rsid w:val="00FF4776"/>
    <w:rsid w:val="00FF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58127534"/>
  <w15:docId w15:val="{5B488AA7-4AC6-41C9-A66F-DEE6A770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54F2"/>
    <w:rPr>
      <w:rFonts w:ascii="Times New Roman" w:hAnsi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ind w:left="794" w:hanging="794"/>
      <w:textAlignment w:val="baseline"/>
      <w:outlineLvl w:val="0"/>
    </w:pPr>
    <w:rPr>
      <w:b/>
      <w:sz w:val="28"/>
      <w:szCs w:val="20"/>
      <w:lang w:eastAsia="en-US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left" w:leader="dot" w:pos="7938"/>
        <w:tab w:val="center" w:pos="8789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szCs w:val="20"/>
      <w:lang w:eastAsia="en-US"/>
    </w:r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1698"/>
      <w:textAlignment w:val="baseline"/>
    </w:pPr>
    <w:rPr>
      <w:szCs w:val="20"/>
      <w:lang w:eastAsia="en-US"/>
    </w:rPr>
  </w:style>
  <w:style w:type="paragraph" w:styleId="Index6">
    <w:name w:val="index 6"/>
    <w:basedOn w:val="Normal"/>
    <w:next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1415"/>
      <w:textAlignment w:val="baseline"/>
    </w:pPr>
    <w:rPr>
      <w:szCs w:val="20"/>
      <w:lang w:eastAsia="en-US"/>
    </w:rPr>
  </w:style>
  <w:style w:type="paragraph" w:styleId="Index5">
    <w:name w:val="index 5"/>
    <w:basedOn w:val="Normal"/>
    <w:next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1132"/>
      <w:textAlignment w:val="baseline"/>
    </w:pPr>
    <w:rPr>
      <w:szCs w:val="20"/>
      <w:lang w:eastAsia="en-US"/>
    </w:rPr>
  </w:style>
  <w:style w:type="paragraph" w:styleId="Index4">
    <w:name w:val="index 4"/>
    <w:basedOn w:val="Normal"/>
    <w:next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849"/>
      <w:textAlignment w:val="baseline"/>
    </w:pPr>
    <w:rPr>
      <w:szCs w:val="20"/>
      <w:lang w:eastAsia="en-US"/>
    </w:rPr>
  </w:style>
  <w:style w:type="paragraph" w:styleId="Index3">
    <w:name w:val="index 3"/>
    <w:basedOn w:val="Normal"/>
    <w:next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566"/>
      <w:textAlignment w:val="baseline"/>
    </w:pPr>
    <w:rPr>
      <w:szCs w:val="20"/>
      <w:lang w:eastAsia="en-US"/>
    </w:rPr>
  </w:style>
  <w:style w:type="paragraph" w:styleId="Index2">
    <w:name w:val="index 2"/>
    <w:basedOn w:val="Normal"/>
    <w:next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283"/>
      <w:textAlignment w:val="baseline"/>
    </w:pPr>
    <w:rPr>
      <w:szCs w:val="20"/>
      <w:lang w:eastAsia="en-US"/>
    </w:rPr>
  </w:style>
  <w:style w:type="paragraph" w:styleId="Index1">
    <w:name w:val="index 1"/>
    <w:basedOn w:val="Normal"/>
    <w:next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eastAsia="en-US"/>
    </w:rPr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eastAsia="en-US"/>
    </w:rPr>
  </w:style>
  <w:style w:type="paragraph" w:styleId="Footer">
    <w:name w:val="footer"/>
    <w:basedOn w:val="Normal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caps/>
      <w:noProof/>
      <w:sz w:val="16"/>
      <w:szCs w:val="20"/>
      <w:lang w:val="fr-FR" w:eastAsia="en-US"/>
    </w:rPr>
  </w:style>
  <w:style w:type="paragraph" w:styleId="Header">
    <w:name w:val="header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sz w:val="18"/>
      <w:szCs w:val="20"/>
      <w:lang w:val="fr-FR" w:eastAsia="en-US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255" w:hanging="255"/>
      <w:textAlignment w:val="baseline"/>
    </w:pPr>
    <w:rPr>
      <w:szCs w:val="20"/>
      <w:lang w:eastAsia="en-US"/>
    </w:rPr>
  </w:style>
  <w:style w:type="paragraph" w:styleId="NormalIndent">
    <w:name w:val="Normal Indent"/>
    <w:basedOn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794"/>
      <w:textAlignment w:val="baseline"/>
    </w:pPr>
    <w:rPr>
      <w:szCs w:val="20"/>
      <w:lang w:eastAsia="en-US"/>
    </w:rPr>
  </w:style>
  <w:style w:type="paragraph" w:customStyle="1" w:styleId="enumlev1">
    <w:name w:val="enumlev1"/>
    <w:basedOn w:val="Normal"/>
    <w:pPr>
      <w:tabs>
        <w:tab w:val="left" w:pos="794"/>
        <w:tab w:val="left" w:pos="1191"/>
        <w:tab w:val="left" w:pos="1588"/>
        <w:tab w:val="left" w:pos="1985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eastAsia="en-US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20"/>
      <w:textAlignment w:val="baseline"/>
    </w:pPr>
    <w:rPr>
      <w:szCs w:val="20"/>
      <w:lang w:eastAsia="en-US"/>
    </w:rPr>
  </w:style>
  <w:style w:type="paragraph" w:customStyle="1" w:styleId="Equation">
    <w:name w:val="Equation"/>
    <w:basedOn w:val="Normal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eastAsia="en-US"/>
    </w:rPr>
  </w:style>
  <w:style w:type="paragraph" w:customStyle="1" w:styleId="Head">
    <w:name w:val="Head"/>
    <w:basedOn w:val="Normal"/>
    <w:pPr>
      <w:tabs>
        <w:tab w:val="left" w:pos="794"/>
        <w:tab w:val="left" w:pos="1191"/>
        <w:tab w:val="left" w:pos="1588"/>
        <w:tab w:val="left" w:pos="1985"/>
        <w:tab w:val="left" w:pos="6663"/>
      </w:tabs>
    </w:pPr>
    <w:rPr>
      <w:szCs w:val="20"/>
      <w:lang w:eastAsia="en-US"/>
    </w:rPr>
  </w:style>
  <w:style w:type="paragraph" w:customStyle="1" w:styleId="toc0">
    <w:name w:val="toc 0"/>
    <w:basedOn w:val="Normal"/>
    <w:next w:val="TOC1"/>
    <w:pPr>
      <w:tabs>
        <w:tab w:val="left" w:pos="794"/>
        <w:tab w:val="center" w:pos="8789"/>
      </w:tabs>
      <w:overflowPunct w:val="0"/>
      <w:autoSpaceDE w:val="0"/>
      <w:autoSpaceDN w:val="0"/>
      <w:adjustRightInd w:val="0"/>
      <w:spacing w:before="120"/>
      <w:textAlignment w:val="baseline"/>
    </w:pPr>
    <w:rPr>
      <w:b/>
      <w:szCs w:val="20"/>
      <w:lang w:eastAsia="en-US"/>
    </w:rPr>
  </w:style>
  <w:style w:type="paragraph" w:styleId="List">
    <w:name w:val="List"/>
    <w:basedOn w:val="Normal"/>
    <w:pPr>
      <w:tabs>
        <w:tab w:val="left" w:pos="1701"/>
        <w:tab w:val="left" w:pos="2127"/>
      </w:tabs>
      <w:overflowPunct w:val="0"/>
      <w:autoSpaceDE w:val="0"/>
      <w:autoSpaceDN w:val="0"/>
      <w:adjustRightInd w:val="0"/>
      <w:spacing w:before="120"/>
      <w:ind w:left="2127" w:hanging="2127"/>
      <w:textAlignment w:val="baseline"/>
    </w:pPr>
    <w:rPr>
      <w:szCs w:val="20"/>
      <w:lang w:eastAsia="en-US"/>
    </w:rPr>
  </w:style>
  <w:style w:type="paragraph" w:customStyle="1" w:styleId="Part">
    <w:name w:val="Part"/>
    <w:basedOn w:val="Normal"/>
    <w:pPr>
      <w:tabs>
        <w:tab w:val="left" w:pos="1276"/>
        <w:tab w:val="left" w:pos="1701"/>
      </w:tabs>
      <w:overflowPunct w:val="0"/>
      <w:autoSpaceDE w:val="0"/>
      <w:autoSpaceDN w:val="0"/>
      <w:adjustRightInd w:val="0"/>
      <w:spacing w:before="199"/>
      <w:ind w:left="1701" w:hanging="1701"/>
      <w:textAlignment w:val="baseline"/>
    </w:pPr>
    <w:rPr>
      <w:caps/>
      <w:szCs w:val="20"/>
      <w:lang w:eastAsia="en-US"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right="91"/>
      <w:textAlignment w:val="baseline"/>
    </w:pPr>
    <w:rPr>
      <w:sz w:val="20"/>
      <w:szCs w:val="20"/>
      <w:lang w:eastAsia="en-US"/>
    </w:rPr>
  </w:style>
  <w:style w:type="paragraph" w:customStyle="1" w:styleId="Source">
    <w:name w:val="Source"/>
    <w:basedOn w:val="Normal"/>
    <w:next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eastAsia="en-US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left" w:pos="1134"/>
      </w:tabs>
      <w:overflowPunct w:val="0"/>
      <w:autoSpaceDE w:val="0"/>
      <w:autoSpaceDN w:val="0"/>
      <w:adjustRightInd w:val="0"/>
      <w:ind w:left="1134" w:hanging="1134"/>
      <w:textAlignment w:val="baseline"/>
    </w:pPr>
    <w:rPr>
      <w:szCs w:val="20"/>
      <w:lang w:eastAsia="en-US"/>
    </w:r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overflowPunct w:val="0"/>
      <w:autoSpaceDE w:val="0"/>
      <w:autoSpaceDN w:val="0"/>
      <w:adjustRightInd w:val="0"/>
      <w:spacing w:before="80"/>
      <w:textAlignment w:val="baseline"/>
    </w:pPr>
    <w:rPr>
      <w:szCs w:val="20"/>
      <w:lang w:eastAsia="en-US"/>
    </w:r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b/>
      <w:bCs/>
      <w:szCs w:val="20"/>
      <w:lang w:eastAsia="en-US"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b/>
      <w:bCs/>
      <w:szCs w:val="20"/>
      <w:lang w:eastAsia="en-US"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b/>
      <w:bCs/>
      <w:szCs w:val="20"/>
      <w:lang w:eastAsia="en-US"/>
    </w:rPr>
  </w:style>
  <w:style w:type="paragraph" w:customStyle="1" w:styleId="Table">
    <w:name w:val="Table_#"/>
    <w:basedOn w:val="Normal"/>
    <w:next w:val="Normal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caps/>
      <w:szCs w:val="20"/>
      <w:lang w:eastAsia="en-US"/>
    </w:rPr>
  </w:style>
  <w:style w:type="paragraph" w:customStyle="1" w:styleId="AnnexNo">
    <w:name w:val="Annex_No"/>
    <w:basedOn w:val="Normal"/>
    <w:next w:val="Annextitl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eastAsia="en-US"/>
    </w:rPr>
  </w:style>
  <w:style w:type="paragraph" w:customStyle="1" w:styleId="Annextitle">
    <w:name w:val="Annex_title"/>
    <w:basedOn w:val="Normal"/>
    <w:next w:val="Annexre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8"/>
      <w:szCs w:val="20"/>
      <w:lang w:eastAsia="en-US"/>
    </w:rPr>
  </w:style>
  <w:style w:type="paragraph" w:customStyle="1" w:styleId="Annexref">
    <w:name w:val="Annex_ref"/>
    <w:basedOn w:val="Normal"/>
    <w:next w:val="Normalaftertitl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280"/>
      <w:jc w:val="center"/>
      <w:textAlignment w:val="baseline"/>
    </w:pPr>
    <w:rPr>
      <w:szCs w:val="20"/>
      <w:lang w:eastAsia="en-US"/>
    </w:r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szCs w:val="20"/>
      <w:lang w:eastAsia="en-US"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right" w:pos="1531"/>
        <w:tab w:val="left" w:pos="1701"/>
      </w:tabs>
      <w:spacing w:before="80"/>
      <w:ind w:left="1701" w:hanging="1701"/>
    </w:pPr>
    <w:rPr>
      <w:szCs w:val="20"/>
      <w:lang w:eastAsia="en-US"/>
    </w:rPr>
  </w:style>
  <w:style w:type="paragraph" w:customStyle="1" w:styleId="Figure">
    <w:name w:val="Figure"/>
    <w:basedOn w:val="Normal"/>
    <w:next w:val="Figuretitl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szCs w:val="20"/>
      <w:lang w:eastAsia="en-US"/>
    </w:r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caps/>
      <w:szCs w:val="20"/>
      <w:lang w:eastAsia="en-US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2"/>
      <w:szCs w:val="20"/>
      <w:lang w:eastAsia="en-US"/>
    </w:rPr>
  </w:style>
  <w:style w:type="paragraph" w:customStyle="1" w:styleId="Figurelegend">
    <w:name w:val="Figure_legend"/>
    <w:basedOn w:val="Normal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eastAsia="en-US"/>
    </w:rPr>
  </w:style>
  <w:style w:type="paragraph" w:customStyle="1" w:styleId="FigureNo">
    <w:name w:val="Figure_No"/>
    <w:basedOn w:val="Normal"/>
    <w:next w:val="Figuretitl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caps/>
      <w:szCs w:val="20"/>
      <w:lang w:eastAsia="en-US"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eastAsia="en-US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794" w:hanging="794"/>
      <w:textAlignment w:val="baseline"/>
    </w:pPr>
    <w:rPr>
      <w:szCs w:val="20"/>
      <w:lang w:eastAsia="en-US"/>
    </w:rPr>
  </w:style>
  <w:style w:type="paragraph" w:customStyle="1" w:styleId="Reftitle">
    <w:name w:val="Ref_title"/>
    <w:basedOn w:val="Normal"/>
    <w:next w:val="Reftext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Cs w:val="20"/>
      <w:lang w:eastAsia="en-US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8"/>
      <w:szCs w:val="20"/>
      <w:lang w:eastAsia="en-US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/>
      <w:jc w:val="center"/>
      <w:textAlignment w:val="baseline"/>
    </w:pPr>
    <w:rPr>
      <w:szCs w:val="20"/>
      <w:lang w:eastAsia="en-US"/>
    </w:rPr>
  </w:style>
  <w:style w:type="paragraph" w:customStyle="1" w:styleId="Artheading">
    <w:name w:val="Art_heading"/>
    <w:basedOn w:val="Normal"/>
    <w:next w:val="Normalaftertitl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sz w:val="28"/>
      <w:szCs w:val="20"/>
      <w:lang w:eastAsia="en-US"/>
    </w:rPr>
  </w:style>
  <w:style w:type="paragraph" w:customStyle="1" w:styleId="ArtNo">
    <w:name w:val="Art_No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eastAsia="en-US"/>
    </w:rPr>
  </w:style>
  <w:style w:type="paragraph" w:customStyle="1" w:styleId="Arttitle">
    <w:name w:val="Art_title"/>
    <w:basedOn w:val="Normal"/>
    <w:next w:val="Normalaftertitl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eastAsia="en-US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TableHead0">
    <w:name w:val="Table_Head"/>
    <w:basedOn w:val="Normal"/>
    <w:rsid w:val="00AF4149"/>
    <w:pPr>
      <w:keepNext/>
      <w:tabs>
        <w:tab w:val="left" w:pos="284"/>
        <w:tab w:val="left" w:pos="567"/>
        <w:tab w:val="left" w:pos="794"/>
        <w:tab w:val="left" w:pos="851"/>
        <w:tab w:val="left" w:pos="1134"/>
        <w:tab w:val="left" w:pos="1191"/>
        <w:tab w:val="left" w:pos="1418"/>
        <w:tab w:val="left" w:pos="158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Cs w:val="20"/>
      <w:lang w:eastAsia="en-US"/>
    </w:rPr>
  </w:style>
  <w:style w:type="paragraph" w:customStyle="1" w:styleId="TableText0">
    <w:name w:val="Table_Text"/>
    <w:basedOn w:val="Normal"/>
    <w:rsid w:val="00AF4149"/>
    <w:pPr>
      <w:tabs>
        <w:tab w:val="left" w:pos="284"/>
        <w:tab w:val="left" w:pos="567"/>
        <w:tab w:val="left" w:pos="794"/>
        <w:tab w:val="left" w:pos="851"/>
        <w:tab w:val="left" w:pos="1134"/>
        <w:tab w:val="left" w:pos="1191"/>
        <w:tab w:val="left" w:pos="1418"/>
        <w:tab w:val="left" w:pos="158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Cs w:val="20"/>
      <w:lang w:eastAsia="en-US"/>
    </w:rPr>
  </w:style>
  <w:style w:type="paragraph" w:styleId="Date">
    <w:name w:val="Date"/>
    <w:basedOn w:val="Normal"/>
    <w:next w:val="Normal"/>
    <w:rsid w:val="008B1A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eastAsia="en-US"/>
    </w:rPr>
  </w:style>
  <w:style w:type="paragraph" w:styleId="DocumentMap">
    <w:name w:val="Document Map"/>
    <w:basedOn w:val="Normal"/>
    <w:semiHidden/>
    <w:rsid w:val="00B644DE"/>
    <w:pPr>
      <w:shd w:val="clear" w:color="auto" w:fill="000080"/>
    </w:pPr>
    <w:rPr>
      <w:rFonts w:ascii="Tahoma" w:hAnsi="Tahoma" w:cs="Tahoma"/>
      <w:sz w:val="20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2870B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i/>
      <w:iCs/>
      <w:color w:val="000000"/>
      <w:szCs w:val="20"/>
      <w:lang w:eastAsia="en-US"/>
    </w:rPr>
  </w:style>
  <w:style w:type="character" w:customStyle="1" w:styleId="ColorfulGrid-Accent1Char">
    <w:name w:val="Colorful Grid - Accent 1 Char"/>
    <w:link w:val="ColorfulGrid-Accent11"/>
    <w:uiPriority w:val="29"/>
    <w:rsid w:val="002870BA"/>
    <w:rPr>
      <w:rFonts w:ascii="Times New Roman" w:hAnsi="Times New Roman"/>
      <w:i/>
      <w:iCs/>
      <w:color w:val="000000"/>
      <w:sz w:val="24"/>
      <w:lang w:val="en-GB" w:eastAsia="en-US"/>
    </w:rPr>
  </w:style>
  <w:style w:type="paragraph" w:customStyle="1" w:styleId="s42">
    <w:name w:val="s42"/>
    <w:basedOn w:val="Normal"/>
    <w:rsid w:val="008B4BD8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customStyle="1" w:styleId="apple-style-span">
    <w:name w:val="apple-style-span"/>
    <w:rsid w:val="008B4BD8"/>
  </w:style>
  <w:style w:type="character" w:customStyle="1" w:styleId="s25">
    <w:name w:val="s25"/>
    <w:rsid w:val="008B4BD8"/>
  </w:style>
  <w:style w:type="paragraph" w:styleId="BalloonText">
    <w:name w:val="Balloon Text"/>
    <w:basedOn w:val="Normal"/>
    <w:link w:val="BalloonTextChar"/>
    <w:rsid w:val="0079276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Lucida Grande" w:hAnsi="Lucida Grande"/>
      <w:sz w:val="18"/>
      <w:szCs w:val="18"/>
      <w:lang w:eastAsia="en-US"/>
    </w:rPr>
  </w:style>
  <w:style w:type="character" w:customStyle="1" w:styleId="BalloonTextChar">
    <w:name w:val="Balloon Text Char"/>
    <w:link w:val="BalloonText"/>
    <w:rsid w:val="00792765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556E5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rsid w:val="00AB60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606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eastAsia="en-US"/>
    </w:rPr>
  </w:style>
  <w:style w:type="character" w:customStyle="1" w:styleId="CommentTextChar">
    <w:name w:val="Comment Text Char"/>
    <w:link w:val="CommentText"/>
    <w:rsid w:val="00AB606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B6060"/>
    <w:rPr>
      <w:b/>
      <w:bCs/>
    </w:rPr>
  </w:style>
  <w:style w:type="character" w:customStyle="1" w:styleId="CommentSubjectChar">
    <w:name w:val="Comment Subject Char"/>
    <w:link w:val="CommentSubject"/>
    <w:rsid w:val="00AB6060"/>
    <w:rPr>
      <w:rFonts w:ascii="Times New Roman" w:hAnsi="Times New Roman"/>
      <w:b/>
      <w:bCs/>
      <w:lang w:val="en-GB" w:eastAsia="en-US"/>
    </w:rPr>
  </w:style>
  <w:style w:type="paragraph" w:customStyle="1" w:styleId="paragraph">
    <w:name w:val="paragraph"/>
    <w:basedOn w:val="Normal"/>
    <w:rsid w:val="00B330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33012"/>
  </w:style>
  <w:style w:type="character" w:customStyle="1" w:styleId="tabchar">
    <w:name w:val="tabchar"/>
    <w:basedOn w:val="DefaultParagraphFont"/>
    <w:rsid w:val="00B33012"/>
  </w:style>
  <w:style w:type="character" w:customStyle="1" w:styleId="eop">
    <w:name w:val="eop"/>
    <w:basedOn w:val="DefaultParagraphFont"/>
    <w:rsid w:val="00B33012"/>
  </w:style>
  <w:style w:type="paragraph" w:styleId="ListParagraph">
    <w:name w:val="List Paragraph"/>
    <w:basedOn w:val="Normal"/>
    <w:uiPriority w:val="34"/>
    <w:qFormat/>
    <w:rsid w:val="009B2B0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12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council/pd/convention.doc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membership/Pages/exemption-criteria.asp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tu.int/itudoc/gs/council/c00/docs/28rev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doc/gs/council/c00/docs/28rev1.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685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REQUESTS FOR EXEMPTION FROM ANY FINANCIAL CONTRIBUTION TO DEFRAYING EXPENSES RELATING TO PARTICIPATION IN THE WORK OF THE ITU</vt:lpstr>
    </vt:vector>
  </TitlesOfParts>
  <Manager>General Secretariat - Pool</Manager>
  <Company>International Telecommunication Union (ITU)</Company>
  <LinksUpToDate>false</LinksUpToDate>
  <CharactersWithSpaces>5101</CharactersWithSpaces>
  <SharedDoc>false</SharedDoc>
  <HLinks>
    <vt:vector size="54" baseType="variant">
      <vt:variant>
        <vt:i4>4128879</vt:i4>
      </vt:variant>
      <vt:variant>
        <vt:i4>21</vt:i4>
      </vt:variant>
      <vt:variant>
        <vt:i4>0</vt:i4>
      </vt:variant>
      <vt:variant>
        <vt:i4>5</vt:i4>
      </vt:variant>
      <vt:variant>
        <vt:lpwstr>http://www.itu.int/md/S05-CL-C-0040/en</vt:lpwstr>
      </vt:variant>
      <vt:variant>
        <vt:lpwstr/>
      </vt:variant>
      <vt:variant>
        <vt:i4>6225931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http://www.itu.int/md/S03-ADCL-C-0003/en</vt:lpwstr>
      </vt:variant>
      <vt:variant>
        <vt:lpwstr/>
      </vt:variant>
      <vt:variant>
        <vt:i4>4128873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http://www.itu.int/md/S03-CL-C-0040/en</vt:lpwstr>
      </vt:variant>
      <vt:variant>
        <vt:lpwstr/>
      </vt:variant>
      <vt:variant>
        <vt:i4>3276908</vt:i4>
      </vt:variant>
      <vt:variant>
        <vt:i4>12</vt:i4>
      </vt:variant>
      <vt:variant>
        <vt:i4>0</vt:i4>
      </vt:variant>
      <vt:variant>
        <vt:i4>5</vt:i4>
      </vt:variant>
      <vt:variant>
        <vt:lpwstr>http://www.itu.int/md/S02-CL-C-0094/en</vt:lpwstr>
      </vt:variant>
      <vt:variant>
        <vt:lpwstr/>
      </vt:variant>
      <vt:variant>
        <vt:i4>6422583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http://www.itu.int/itudoc/gs/council/c01/docs/026.html</vt:lpwstr>
      </vt:variant>
      <vt:variant>
        <vt:lpwstr/>
      </vt:variant>
      <vt:variant>
        <vt:i4>917592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http://www.itu.int/itudoc/gs/council/c00/docs/28rev1.html</vt:lpwstr>
      </vt:variant>
      <vt:variant>
        <vt:lpwstr/>
      </vt:variant>
      <vt:variant>
        <vt:i4>589913</vt:i4>
      </vt:variant>
      <vt:variant>
        <vt:i4>3</vt:i4>
      </vt:variant>
      <vt:variant>
        <vt:i4>0</vt:i4>
      </vt:variant>
      <vt:variant>
        <vt:i4>5</vt:i4>
      </vt:variant>
      <vt:variant>
        <vt:lpwstr>http://www.itu.int/council/pd/basic-dec-res-rec.doc</vt:lpwstr>
      </vt:variant>
      <vt:variant>
        <vt:lpwstr>res110</vt:lpwstr>
      </vt:variant>
      <vt:variant>
        <vt:i4>6160395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http://www.itu.int/council/pd/convention.doc</vt:lpwstr>
      </vt:variant>
      <vt:variant>
        <vt:lpwstr>cv231</vt:lpwstr>
      </vt:variant>
      <vt:variant>
        <vt:i4>3342371</vt:i4>
      </vt:variant>
      <vt:variant>
        <vt:i4>3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REQUESTS FOR EXEMPTION FROM ANY FINANCIAL CONTRIBUTION TO DEFRAYING EXPENSES RELATING TO PARTICIPATION IN THE WORK OF THE ITU</dc:title>
  <dc:subject>Council 2008</dc:subject>
  <dc:creator>Report by the Secretary-General</dc:creator>
  <cp:keywords>C2008</cp:keywords>
  <cp:lastModifiedBy>Elizabeth Aschenbrener</cp:lastModifiedBy>
  <cp:revision>3</cp:revision>
  <cp:lastPrinted>2011-05-31T09:59:00Z</cp:lastPrinted>
  <dcterms:created xsi:type="dcterms:W3CDTF">2021-04-28T14:23:00Z</dcterms:created>
  <dcterms:modified xsi:type="dcterms:W3CDTF">2021-04-28T15:24:00Z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C08/-E</vt:lpwstr>
  </property>
  <property fmtid="{D5CDD505-2E9C-101B-9397-08002B2CF9AE}" pid="3" name="Docdate">
    <vt:lpwstr>… August 2008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Report by the Secretary-General</vt:lpwstr>
  </property>
</Properties>
</file>