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119AE" w14:paraId="5B6F4608" w14:textId="77777777">
        <w:trPr>
          <w:cantSplit/>
        </w:trPr>
        <w:tc>
          <w:tcPr>
            <w:tcW w:w="6912" w:type="dxa"/>
          </w:tcPr>
          <w:p w14:paraId="2BD307CD" w14:textId="77777777" w:rsidR="00520F36" w:rsidRPr="00B119AE" w:rsidRDefault="00520F36" w:rsidP="00106B19">
            <w:pPr>
              <w:spacing w:before="360"/>
            </w:pPr>
            <w:bookmarkStart w:id="0" w:name="dc06"/>
            <w:bookmarkEnd w:id="0"/>
            <w:r w:rsidRPr="00B119AE">
              <w:rPr>
                <w:b/>
                <w:bCs/>
                <w:sz w:val="30"/>
                <w:szCs w:val="30"/>
              </w:rPr>
              <w:t>Conseil 20</w:t>
            </w:r>
            <w:r w:rsidR="009C353C" w:rsidRPr="00B119AE">
              <w:rPr>
                <w:b/>
                <w:bCs/>
                <w:sz w:val="30"/>
                <w:szCs w:val="30"/>
              </w:rPr>
              <w:t>2</w:t>
            </w:r>
            <w:r w:rsidR="004D1D50" w:rsidRPr="00B119AE">
              <w:rPr>
                <w:b/>
                <w:bCs/>
                <w:sz w:val="30"/>
                <w:szCs w:val="30"/>
              </w:rPr>
              <w:t>1</w:t>
            </w:r>
            <w:r w:rsidRPr="00B119AE">
              <w:rPr>
                <w:rFonts w:ascii="Verdana" w:hAnsi="Verdana"/>
                <w:b/>
                <w:bCs/>
                <w:sz w:val="26"/>
                <w:szCs w:val="26"/>
              </w:rPr>
              <w:br/>
            </w:r>
            <w:r w:rsidR="004D1D50" w:rsidRPr="00B119AE">
              <w:rPr>
                <w:b/>
                <w:bCs/>
                <w:sz w:val="28"/>
                <w:szCs w:val="28"/>
              </w:rPr>
              <w:t>Consultation virtuelle des Conseillers</w:t>
            </w:r>
            <w:r w:rsidRPr="00B119AE">
              <w:rPr>
                <w:b/>
                <w:bCs/>
                <w:sz w:val="28"/>
                <w:szCs w:val="28"/>
              </w:rPr>
              <w:t xml:space="preserve">, </w:t>
            </w:r>
            <w:r w:rsidR="004D1D50" w:rsidRPr="00B119AE">
              <w:rPr>
                <w:b/>
                <w:bCs/>
                <w:sz w:val="28"/>
                <w:szCs w:val="28"/>
              </w:rPr>
              <w:t>8</w:t>
            </w:r>
            <w:r w:rsidRPr="00B119AE">
              <w:rPr>
                <w:b/>
                <w:bCs/>
                <w:sz w:val="28"/>
                <w:szCs w:val="28"/>
              </w:rPr>
              <w:t>-</w:t>
            </w:r>
            <w:r w:rsidR="009C353C" w:rsidRPr="00B119AE">
              <w:rPr>
                <w:b/>
                <w:bCs/>
                <w:sz w:val="28"/>
                <w:szCs w:val="28"/>
              </w:rPr>
              <w:t>1</w:t>
            </w:r>
            <w:r w:rsidR="004D1D50" w:rsidRPr="00B119AE">
              <w:rPr>
                <w:b/>
                <w:bCs/>
                <w:sz w:val="28"/>
                <w:szCs w:val="28"/>
              </w:rPr>
              <w:t>8</w:t>
            </w:r>
            <w:r w:rsidR="00106B19" w:rsidRPr="00B119AE">
              <w:rPr>
                <w:b/>
                <w:bCs/>
                <w:sz w:val="28"/>
                <w:szCs w:val="28"/>
              </w:rPr>
              <w:t xml:space="preserve"> juin</w:t>
            </w:r>
            <w:r w:rsidRPr="00B119AE">
              <w:rPr>
                <w:b/>
                <w:bCs/>
                <w:sz w:val="28"/>
                <w:szCs w:val="28"/>
              </w:rPr>
              <w:t xml:space="preserve"> 20</w:t>
            </w:r>
            <w:r w:rsidR="009C353C" w:rsidRPr="00B119AE">
              <w:rPr>
                <w:b/>
                <w:bCs/>
                <w:sz w:val="28"/>
                <w:szCs w:val="28"/>
              </w:rPr>
              <w:t>2</w:t>
            </w:r>
            <w:r w:rsidR="004D1D50" w:rsidRPr="00B119AE">
              <w:rPr>
                <w:b/>
                <w:bCs/>
                <w:sz w:val="28"/>
                <w:szCs w:val="28"/>
              </w:rPr>
              <w:t>1</w:t>
            </w:r>
          </w:p>
        </w:tc>
        <w:tc>
          <w:tcPr>
            <w:tcW w:w="3261" w:type="dxa"/>
          </w:tcPr>
          <w:p w14:paraId="59DF027C" w14:textId="77777777" w:rsidR="00520F36" w:rsidRPr="00B119AE" w:rsidRDefault="009C353C" w:rsidP="009C353C">
            <w:pPr>
              <w:spacing w:before="0"/>
            </w:pPr>
            <w:bookmarkStart w:id="1" w:name="ditulogo"/>
            <w:bookmarkEnd w:id="1"/>
            <w:r w:rsidRPr="00B119AE">
              <w:rPr>
                <w:noProof/>
                <w:lang w:val="en-US"/>
              </w:rPr>
              <w:drawing>
                <wp:inline distT="0" distB="0" distL="0" distR="0" wp14:anchorId="334A9904" wp14:editId="4FDCF2B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B119AE" w14:paraId="51593EE9" w14:textId="77777777" w:rsidTr="00EF41DD">
        <w:trPr>
          <w:cantSplit/>
          <w:trHeight w:val="20"/>
        </w:trPr>
        <w:tc>
          <w:tcPr>
            <w:tcW w:w="6912" w:type="dxa"/>
            <w:tcBorders>
              <w:bottom w:val="single" w:sz="12" w:space="0" w:color="auto"/>
            </w:tcBorders>
            <w:vAlign w:val="center"/>
          </w:tcPr>
          <w:p w14:paraId="56DE8BD4" w14:textId="77777777" w:rsidR="00520F36" w:rsidRPr="00B119AE" w:rsidRDefault="00520F36" w:rsidP="004C37A9">
            <w:pPr>
              <w:spacing w:before="0"/>
              <w:rPr>
                <w:b/>
                <w:bCs/>
                <w:sz w:val="26"/>
                <w:szCs w:val="26"/>
              </w:rPr>
            </w:pPr>
          </w:p>
        </w:tc>
        <w:tc>
          <w:tcPr>
            <w:tcW w:w="3261" w:type="dxa"/>
            <w:tcBorders>
              <w:bottom w:val="single" w:sz="12" w:space="0" w:color="auto"/>
            </w:tcBorders>
          </w:tcPr>
          <w:p w14:paraId="32A72593" w14:textId="77777777" w:rsidR="00520F36" w:rsidRPr="00B119AE" w:rsidRDefault="00520F36" w:rsidP="00DF74DD">
            <w:pPr>
              <w:spacing w:before="0"/>
              <w:rPr>
                <w:b/>
                <w:bCs/>
              </w:rPr>
            </w:pPr>
          </w:p>
        </w:tc>
      </w:tr>
      <w:tr w:rsidR="00520F36" w:rsidRPr="00B119AE" w14:paraId="135D7280" w14:textId="77777777">
        <w:trPr>
          <w:cantSplit/>
          <w:trHeight w:val="20"/>
        </w:trPr>
        <w:tc>
          <w:tcPr>
            <w:tcW w:w="6912" w:type="dxa"/>
            <w:tcBorders>
              <w:top w:val="single" w:sz="12" w:space="0" w:color="auto"/>
            </w:tcBorders>
          </w:tcPr>
          <w:p w14:paraId="67CF478F" w14:textId="77777777" w:rsidR="00520F36" w:rsidRPr="00B119AE" w:rsidRDefault="00520F36" w:rsidP="00DF74DD">
            <w:pPr>
              <w:spacing w:before="0"/>
              <w:rPr>
                <w:smallCaps/>
                <w:sz w:val="22"/>
              </w:rPr>
            </w:pPr>
          </w:p>
        </w:tc>
        <w:tc>
          <w:tcPr>
            <w:tcW w:w="3261" w:type="dxa"/>
            <w:tcBorders>
              <w:top w:val="single" w:sz="12" w:space="0" w:color="auto"/>
            </w:tcBorders>
          </w:tcPr>
          <w:p w14:paraId="15F92DC4" w14:textId="77777777" w:rsidR="00520F36" w:rsidRPr="00B119AE" w:rsidRDefault="00520F36" w:rsidP="00DF74DD">
            <w:pPr>
              <w:spacing w:before="0"/>
              <w:rPr>
                <w:b/>
                <w:bCs/>
              </w:rPr>
            </w:pPr>
          </w:p>
        </w:tc>
      </w:tr>
      <w:tr w:rsidR="00520F36" w:rsidRPr="00B119AE" w14:paraId="47AAC874" w14:textId="77777777">
        <w:trPr>
          <w:cantSplit/>
          <w:trHeight w:val="20"/>
        </w:trPr>
        <w:tc>
          <w:tcPr>
            <w:tcW w:w="6912" w:type="dxa"/>
            <w:vMerge w:val="restart"/>
          </w:tcPr>
          <w:p w14:paraId="02FE581E" w14:textId="425D4730" w:rsidR="00520F36" w:rsidRPr="00B119AE" w:rsidRDefault="00911A60" w:rsidP="00DF74DD">
            <w:pPr>
              <w:spacing w:before="0"/>
              <w:rPr>
                <w:rFonts w:cs="Times"/>
                <w:b/>
                <w:bCs/>
                <w:szCs w:val="24"/>
              </w:rPr>
            </w:pPr>
            <w:bookmarkStart w:id="2" w:name="dnum" w:colFirst="1" w:colLast="1"/>
            <w:bookmarkStart w:id="3" w:name="dmeeting" w:colFirst="0" w:colLast="0"/>
            <w:r w:rsidRPr="00B119AE">
              <w:rPr>
                <w:rFonts w:cs="Times"/>
                <w:b/>
                <w:bCs/>
                <w:szCs w:val="24"/>
              </w:rPr>
              <w:t xml:space="preserve">Point de l'ordre du </w:t>
            </w:r>
            <w:proofErr w:type="gramStart"/>
            <w:r w:rsidRPr="00B119AE">
              <w:rPr>
                <w:rFonts w:cs="Times"/>
                <w:b/>
                <w:bCs/>
                <w:szCs w:val="24"/>
              </w:rPr>
              <w:t>jour:</w:t>
            </w:r>
            <w:proofErr w:type="gramEnd"/>
            <w:r w:rsidRPr="00B119AE">
              <w:rPr>
                <w:rFonts w:cs="Times"/>
                <w:b/>
                <w:bCs/>
                <w:szCs w:val="24"/>
              </w:rPr>
              <w:t xml:space="preserve"> ADM 11</w:t>
            </w:r>
          </w:p>
        </w:tc>
        <w:tc>
          <w:tcPr>
            <w:tcW w:w="3261" w:type="dxa"/>
          </w:tcPr>
          <w:p w14:paraId="7287328A" w14:textId="427352F0" w:rsidR="00520F36" w:rsidRPr="00B119AE" w:rsidRDefault="00520F36" w:rsidP="00106B19">
            <w:pPr>
              <w:spacing w:before="0"/>
              <w:rPr>
                <w:b/>
                <w:bCs/>
              </w:rPr>
            </w:pPr>
            <w:r w:rsidRPr="00B119AE">
              <w:rPr>
                <w:b/>
                <w:bCs/>
              </w:rPr>
              <w:t>Document C</w:t>
            </w:r>
            <w:r w:rsidR="009C353C" w:rsidRPr="00B119AE">
              <w:rPr>
                <w:b/>
                <w:bCs/>
              </w:rPr>
              <w:t>2</w:t>
            </w:r>
            <w:r w:rsidR="004D1D50" w:rsidRPr="00B119AE">
              <w:rPr>
                <w:b/>
                <w:bCs/>
              </w:rPr>
              <w:t>1</w:t>
            </w:r>
            <w:r w:rsidRPr="00B119AE">
              <w:rPr>
                <w:b/>
                <w:bCs/>
              </w:rPr>
              <w:t>/</w:t>
            </w:r>
            <w:r w:rsidR="00911A60" w:rsidRPr="00B119AE">
              <w:rPr>
                <w:b/>
                <w:bCs/>
              </w:rPr>
              <w:t>39</w:t>
            </w:r>
            <w:r w:rsidRPr="00B119AE">
              <w:rPr>
                <w:b/>
                <w:bCs/>
              </w:rPr>
              <w:t>-F</w:t>
            </w:r>
          </w:p>
        </w:tc>
      </w:tr>
      <w:tr w:rsidR="00520F36" w:rsidRPr="00B119AE" w14:paraId="0FA736BB" w14:textId="77777777">
        <w:trPr>
          <w:cantSplit/>
          <w:trHeight w:val="20"/>
        </w:trPr>
        <w:tc>
          <w:tcPr>
            <w:tcW w:w="6912" w:type="dxa"/>
            <w:vMerge/>
          </w:tcPr>
          <w:p w14:paraId="7DD8DF55" w14:textId="77777777" w:rsidR="00520F36" w:rsidRPr="00B119AE" w:rsidRDefault="00520F36" w:rsidP="00DF74DD">
            <w:pPr>
              <w:shd w:val="solid" w:color="FFFFFF" w:fill="FFFFFF"/>
              <w:spacing w:before="180"/>
              <w:rPr>
                <w:smallCaps/>
              </w:rPr>
            </w:pPr>
            <w:bookmarkStart w:id="4" w:name="ddate" w:colFirst="1" w:colLast="1"/>
            <w:bookmarkEnd w:id="2"/>
            <w:bookmarkEnd w:id="3"/>
          </w:p>
        </w:tc>
        <w:tc>
          <w:tcPr>
            <w:tcW w:w="3261" w:type="dxa"/>
          </w:tcPr>
          <w:p w14:paraId="03FCADE1" w14:textId="5D30B2CC" w:rsidR="00520F36" w:rsidRPr="00B119AE" w:rsidRDefault="00911A60" w:rsidP="00106B19">
            <w:pPr>
              <w:spacing w:before="0"/>
              <w:rPr>
                <w:b/>
                <w:bCs/>
              </w:rPr>
            </w:pPr>
            <w:r w:rsidRPr="00B119AE">
              <w:rPr>
                <w:b/>
                <w:bCs/>
              </w:rPr>
              <w:t>28 avril</w:t>
            </w:r>
            <w:r w:rsidR="00520F36" w:rsidRPr="00B119AE">
              <w:rPr>
                <w:b/>
                <w:bCs/>
              </w:rPr>
              <w:t xml:space="preserve"> 20</w:t>
            </w:r>
            <w:r w:rsidR="009C353C" w:rsidRPr="00B119AE">
              <w:rPr>
                <w:b/>
                <w:bCs/>
              </w:rPr>
              <w:t>2</w:t>
            </w:r>
            <w:r w:rsidR="0097363B" w:rsidRPr="00B119AE">
              <w:rPr>
                <w:b/>
                <w:bCs/>
              </w:rPr>
              <w:t>1</w:t>
            </w:r>
          </w:p>
        </w:tc>
      </w:tr>
      <w:tr w:rsidR="00520F36" w:rsidRPr="00B119AE" w14:paraId="4D69242D" w14:textId="77777777">
        <w:trPr>
          <w:cantSplit/>
          <w:trHeight w:val="20"/>
        </w:trPr>
        <w:tc>
          <w:tcPr>
            <w:tcW w:w="6912" w:type="dxa"/>
            <w:vMerge/>
          </w:tcPr>
          <w:p w14:paraId="1CEB5AEF" w14:textId="77777777" w:rsidR="00520F36" w:rsidRPr="00B119AE" w:rsidRDefault="00520F36" w:rsidP="00DF74DD">
            <w:pPr>
              <w:shd w:val="solid" w:color="FFFFFF" w:fill="FFFFFF"/>
              <w:spacing w:before="180"/>
              <w:rPr>
                <w:smallCaps/>
              </w:rPr>
            </w:pPr>
            <w:bookmarkStart w:id="5" w:name="dorlang" w:colFirst="1" w:colLast="1"/>
            <w:bookmarkEnd w:id="4"/>
          </w:p>
        </w:tc>
        <w:tc>
          <w:tcPr>
            <w:tcW w:w="3261" w:type="dxa"/>
          </w:tcPr>
          <w:p w14:paraId="0C0C42BE" w14:textId="77777777" w:rsidR="00520F36" w:rsidRPr="00B119AE" w:rsidRDefault="00520F36" w:rsidP="00520F36">
            <w:pPr>
              <w:spacing w:before="0"/>
              <w:rPr>
                <w:b/>
                <w:bCs/>
              </w:rPr>
            </w:pPr>
            <w:proofErr w:type="gramStart"/>
            <w:r w:rsidRPr="00B119AE">
              <w:rPr>
                <w:b/>
                <w:bCs/>
              </w:rPr>
              <w:t>Original:</w:t>
            </w:r>
            <w:proofErr w:type="gramEnd"/>
            <w:r w:rsidRPr="00B119AE">
              <w:rPr>
                <w:b/>
                <w:bCs/>
              </w:rPr>
              <w:t xml:space="preserve"> anglais</w:t>
            </w:r>
          </w:p>
        </w:tc>
      </w:tr>
      <w:tr w:rsidR="00520F36" w:rsidRPr="00B119AE" w14:paraId="1DC974C4" w14:textId="77777777">
        <w:trPr>
          <w:cantSplit/>
        </w:trPr>
        <w:tc>
          <w:tcPr>
            <w:tcW w:w="10173" w:type="dxa"/>
            <w:gridSpan w:val="2"/>
          </w:tcPr>
          <w:p w14:paraId="559DB22E" w14:textId="53DA45C4" w:rsidR="00520F36" w:rsidRPr="00B119AE" w:rsidRDefault="00911A60" w:rsidP="00DF74DD">
            <w:pPr>
              <w:pStyle w:val="Source"/>
            </w:pPr>
            <w:bookmarkStart w:id="6" w:name="dsource" w:colFirst="0" w:colLast="0"/>
            <w:bookmarkEnd w:id="5"/>
            <w:r w:rsidRPr="00B119AE">
              <w:t>Rapport du Secrétaire général</w:t>
            </w:r>
          </w:p>
        </w:tc>
      </w:tr>
      <w:tr w:rsidR="00520F36" w:rsidRPr="00B119AE" w14:paraId="643028C2" w14:textId="77777777">
        <w:trPr>
          <w:cantSplit/>
        </w:trPr>
        <w:tc>
          <w:tcPr>
            <w:tcW w:w="10173" w:type="dxa"/>
            <w:gridSpan w:val="2"/>
          </w:tcPr>
          <w:p w14:paraId="549145D0" w14:textId="4217D6F0" w:rsidR="00520F36" w:rsidRPr="00B119AE" w:rsidRDefault="00911A60" w:rsidP="00DF74DD">
            <w:pPr>
              <w:pStyle w:val="Title1"/>
            </w:pPr>
            <w:bookmarkStart w:id="7" w:name="dtitle1" w:colFirst="0" w:colLast="0"/>
            <w:bookmarkEnd w:id="6"/>
            <w:r w:rsidRPr="00B119AE">
              <w:t>DEMANDES D'EXONÉRATION DE TOUTE CONTRIBUTION AU FINANCEMENT DES DÉPENSES RELATIVES À LA PARTICIPATION AUX TRAVAUX DE L'UIT</w:t>
            </w:r>
          </w:p>
        </w:tc>
      </w:tr>
      <w:bookmarkEnd w:id="7"/>
    </w:tbl>
    <w:p w14:paraId="26987F68" w14:textId="77777777" w:rsidR="00520F36" w:rsidRPr="00B119AE"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119AE" w14:paraId="0BEC6E9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35C85F5" w14:textId="77777777" w:rsidR="00520F36" w:rsidRPr="00B119AE" w:rsidRDefault="00520F36">
            <w:pPr>
              <w:pStyle w:val="Headingb"/>
            </w:pPr>
            <w:r w:rsidRPr="00B119AE">
              <w:t>Résumé</w:t>
            </w:r>
          </w:p>
          <w:p w14:paraId="4F8BE54A" w14:textId="1BBD252F" w:rsidR="00520F36" w:rsidRPr="00B119AE" w:rsidRDefault="00911A60">
            <w:r w:rsidRPr="00B119AE">
              <w:t>Des demandes d'exonération de contribution financière ont été soumises par cinq organisations ayant un caractère régional ou international. Conformément aux principes directeurs, le Conseil doit tenir compte des vues exprimées par le Secrétaire général concernant les avantages mutuels de la participation de ces entités aux activités de l'Union.</w:t>
            </w:r>
          </w:p>
          <w:p w14:paraId="44E82731" w14:textId="77777777" w:rsidR="00520F36" w:rsidRPr="00B119AE" w:rsidRDefault="00520F36">
            <w:pPr>
              <w:pStyle w:val="Headingb"/>
            </w:pPr>
            <w:proofErr w:type="gramStart"/>
            <w:r w:rsidRPr="00B119AE">
              <w:t>Suite à</w:t>
            </w:r>
            <w:proofErr w:type="gramEnd"/>
            <w:r w:rsidRPr="00B119AE">
              <w:t xml:space="preserve"> donner</w:t>
            </w:r>
          </w:p>
          <w:p w14:paraId="19345E71" w14:textId="206B3A8F" w:rsidR="00520F36" w:rsidRPr="00B119AE" w:rsidRDefault="00911A60">
            <w:r w:rsidRPr="00B119AE">
              <w:t xml:space="preserve">Le Conseil est invité à </w:t>
            </w:r>
            <w:r w:rsidRPr="00B119AE">
              <w:rPr>
                <w:b/>
                <w:bCs/>
              </w:rPr>
              <w:t>examiner</w:t>
            </w:r>
            <w:r w:rsidRPr="00B119AE">
              <w:t xml:space="preserve"> ces demandes d'admission en qualité de Membre de Secteur exonéré de contribution financière, et à </w:t>
            </w:r>
            <w:r w:rsidRPr="00B119AE">
              <w:rPr>
                <w:b/>
                <w:bCs/>
              </w:rPr>
              <w:t>approuver</w:t>
            </w:r>
            <w:r w:rsidRPr="00B119AE">
              <w:t xml:space="preserve"> les recommandations formulées par le Secrétaire général.</w:t>
            </w:r>
          </w:p>
          <w:p w14:paraId="0917CE26" w14:textId="77777777" w:rsidR="00520F36" w:rsidRPr="00B119AE" w:rsidRDefault="00520F36">
            <w:pPr>
              <w:pStyle w:val="Table"/>
              <w:keepNext w:val="0"/>
              <w:spacing w:before="0" w:after="0"/>
              <w:rPr>
                <w:rFonts w:ascii="Calibri" w:hAnsi="Calibri"/>
                <w:caps w:val="0"/>
                <w:sz w:val="22"/>
                <w:lang w:val="fr-FR"/>
              </w:rPr>
            </w:pPr>
            <w:r w:rsidRPr="00B119AE">
              <w:rPr>
                <w:rFonts w:ascii="Calibri" w:hAnsi="Calibri"/>
                <w:caps w:val="0"/>
                <w:sz w:val="22"/>
                <w:lang w:val="fr-FR"/>
              </w:rPr>
              <w:t>____________</w:t>
            </w:r>
          </w:p>
          <w:p w14:paraId="714C4B03" w14:textId="77777777" w:rsidR="00520F36" w:rsidRPr="00B119AE" w:rsidRDefault="00520F36">
            <w:pPr>
              <w:pStyle w:val="Headingb"/>
            </w:pPr>
            <w:r w:rsidRPr="00B119AE">
              <w:t>Références</w:t>
            </w:r>
          </w:p>
          <w:p w14:paraId="2AEE1D72" w14:textId="17EE3098" w:rsidR="00520F36" w:rsidRPr="00B119AE" w:rsidRDefault="00821A64" w:rsidP="00C36EA6">
            <w:pPr>
              <w:spacing w:after="120"/>
              <w:rPr>
                <w:i/>
                <w:iCs/>
              </w:rPr>
            </w:pPr>
            <w:hyperlink r:id="rId7" w:history="1">
              <w:r w:rsidR="00911A60" w:rsidRPr="00B119AE">
                <w:rPr>
                  <w:rStyle w:val="Hyperlink"/>
                  <w:i/>
                  <w:iCs/>
                </w:rPr>
                <w:t>Numéro 231 de la Convention</w:t>
              </w:r>
            </w:hyperlink>
            <w:r w:rsidR="00C36EA6">
              <w:rPr>
                <w:i/>
                <w:iCs/>
              </w:rPr>
              <w:t>,</w:t>
            </w:r>
            <w:r w:rsidR="00911A60" w:rsidRPr="00B119AE">
              <w:rPr>
                <w:i/>
                <w:iCs/>
              </w:rPr>
              <w:t xml:space="preserve"> </w:t>
            </w:r>
            <w:hyperlink r:id="rId8" w:history="1">
              <w:r w:rsidR="00911A60" w:rsidRPr="00B119AE">
                <w:rPr>
                  <w:rStyle w:val="Hyperlink"/>
                  <w:i/>
                  <w:iCs/>
                </w:rPr>
                <w:t>Document C2000/28(Rév.1)</w:t>
              </w:r>
            </w:hyperlink>
          </w:p>
        </w:tc>
      </w:tr>
    </w:tbl>
    <w:p w14:paraId="35CDDB7F" w14:textId="5B0BDFA9" w:rsidR="00911A60" w:rsidRPr="00B119AE" w:rsidRDefault="00911A60" w:rsidP="00911A60">
      <w:pPr>
        <w:pStyle w:val="Headingb"/>
        <w:spacing w:before="360"/>
      </w:pPr>
      <w:r w:rsidRPr="00B119AE">
        <w:t>Considérations générales</w:t>
      </w:r>
    </w:p>
    <w:p w14:paraId="356A587A" w14:textId="77777777" w:rsidR="00911A60" w:rsidRPr="00B119AE" w:rsidRDefault="00911A60" w:rsidP="00911A60">
      <w:pPr>
        <w:rPr>
          <w:rFonts w:eastAsia="SimSun"/>
          <w:lang w:eastAsia="zh-CN"/>
        </w:rPr>
      </w:pPr>
      <w:r w:rsidRPr="00B119AE">
        <w:t>1.1</w:t>
      </w:r>
      <w:r w:rsidRPr="00B119AE">
        <w:tab/>
        <w:t xml:space="preserve">Les critères et principes directeurs régissant l'octroi d'exonérations, sous réserve de "réciprocité", ont été adoptés par le Conseil à sa session de 2000 (Document </w:t>
      </w:r>
      <w:hyperlink r:id="rId9" w:history="1">
        <w:r w:rsidRPr="00B119AE">
          <w:rPr>
            <w:rStyle w:val="Hyperlink"/>
          </w:rPr>
          <w:t>C2000/28(Rév.1)</w:t>
        </w:r>
      </w:hyperlink>
      <w:r w:rsidRPr="00B119AE">
        <w:t>).</w:t>
      </w:r>
      <w:r w:rsidRPr="00B119AE">
        <w:rPr>
          <w:szCs w:val="24"/>
        </w:rPr>
        <w:t xml:space="preserve"> Ces critères ont été examinés et révisés par le Conseil à sa session de 2017. Les critères sont disponibles </w:t>
      </w:r>
      <w:hyperlink r:id="rId10" w:history="1">
        <w:r w:rsidRPr="00B119AE">
          <w:rPr>
            <w:rStyle w:val="Hyperlink"/>
            <w:szCs w:val="24"/>
          </w:rPr>
          <w:t>ici</w:t>
        </w:r>
      </w:hyperlink>
      <w:r w:rsidRPr="00B119AE">
        <w:rPr>
          <w:szCs w:val="24"/>
        </w:rPr>
        <w:t xml:space="preserve">. </w:t>
      </w:r>
    </w:p>
    <w:p w14:paraId="4BD102C8" w14:textId="71902EE2" w:rsidR="00911A60" w:rsidRPr="00B119AE" w:rsidRDefault="00911A60" w:rsidP="00911A60">
      <w:pPr>
        <w:rPr>
          <w:rFonts w:eastAsia="SimSun"/>
          <w:lang w:eastAsia="zh-CN"/>
        </w:rPr>
      </w:pPr>
      <w:r w:rsidRPr="00B119AE">
        <w:rPr>
          <w:rFonts w:eastAsia="SimSun"/>
          <w:lang w:eastAsia="zh-CN"/>
        </w:rPr>
        <w:t>1.2</w:t>
      </w:r>
      <w:r w:rsidRPr="00B119AE">
        <w:rPr>
          <w:rFonts w:eastAsia="SimSun"/>
          <w:lang w:eastAsia="zh-CN"/>
        </w:rPr>
        <w:tab/>
        <w:t xml:space="preserve">Les exonérations de paiement des droits sont accordées par le Conseil à la suite d'une analyse des Bureaux concernés et d'une recommandation du Secrétaire général. Les principaux critères sont notamment les </w:t>
      </w:r>
      <w:proofErr w:type="gramStart"/>
      <w:r w:rsidRPr="00B119AE">
        <w:rPr>
          <w:rFonts w:eastAsia="SimSun"/>
          <w:lang w:eastAsia="zh-CN"/>
        </w:rPr>
        <w:t>suivants:</w:t>
      </w:r>
      <w:proofErr w:type="gramEnd"/>
      <w:r w:rsidRPr="00B119AE">
        <w:rPr>
          <w:rFonts w:eastAsia="SimSun"/>
          <w:lang w:eastAsia="zh-CN"/>
        </w:rPr>
        <w:t xml:space="preserve"> l'entité doit être une organisation juridiquement reconnue, à but non lucratif, ayant un caractère régional ou international et s'occupant de télécommunications/technologies de l'information et de la communication (TIC). Elle doit en outre </w:t>
      </w:r>
      <w:r w:rsidRPr="00B119AE">
        <w:t>compter des membres ayant le statut d'organisation à but non lucratif ainsi que des activités à but non lucratif dans plusieurs pays</w:t>
      </w:r>
      <w:r w:rsidRPr="00B119AE">
        <w:rPr>
          <w:rFonts w:eastAsia="SimSun"/>
          <w:lang w:eastAsia="zh-CN"/>
        </w:rPr>
        <w:t>, et offrir des avantages à l'UIT en échange de l'exonération. Si leur demande est approuvée, les entités concernées deviennent des Membres de Secteur ou des Associés au titre du numéro 231 de la Convention.</w:t>
      </w:r>
    </w:p>
    <w:p w14:paraId="2C6490EB" w14:textId="77777777" w:rsidR="00911A60" w:rsidRPr="00B119AE" w:rsidRDefault="00911A60" w:rsidP="00911A60">
      <w:pPr>
        <w:pStyle w:val="Headingb"/>
      </w:pPr>
      <w:r w:rsidRPr="00B119AE">
        <w:lastRenderedPageBreak/>
        <w:t>Demandes et Recommandations</w:t>
      </w:r>
    </w:p>
    <w:p w14:paraId="29184E2E" w14:textId="22402881" w:rsidR="00911A60" w:rsidRPr="00B119AE" w:rsidRDefault="00911A60" w:rsidP="002712C3">
      <w:r w:rsidRPr="00B119AE">
        <w:t>2</w:t>
      </w:r>
      <w:r w:rsidRPr="00B119AE">
        <w:tab/>
        <w:t>Les demandes suivantes ont été reçues et sont soumises au Conseil, afin qu</w:t>
      </w:r>
      <w:r w:rsidR="002712C3" w:rsidRPr="00B119AE">
        <w:t>'</w:t>
      </w:r>
      <w:r w:rsidRPr="00B119AE">
        <w:t xml:space="preserve">il prenne les mesures </w:t>
      </w:r>
      <w:proofErr w:type="gramStart"/>
      <w:r w:rsidRPr="00B119AE">
        <w:t>appropriées:</w:t>
      </w:r>
      <w:proofErr w:type="gramEnd"/>
    </w:p>
    <w:p w14:paraId="247C0724" w14:textId="77777777" w:rsidR="00911A60" w:rsidRPr="00B119AE" w:rsidRDefault="00911A60" w:rsidP="00C36EA6">
      <w:pPr>
        <w:spacing w:after="240"/>
        <w:rPr>
          <w:b/>
        </w:rPr>
      </w:pPr>
      <w:r w:rsidRPr="00B119AE">
        <w:t>2.1</w:t>
      </w:r>
    </w:p>
    <w:tbl>
      <w:tblPr>
        <w:tblW w:w="7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3"/>
        <w:gridCol w:w="1276"/>
        <w:gridCol w:w="2693"/>
      </w:tblGrid>
      <w:tr w:rsidR="002712C3" w:rsidRPr="00B119AE" w14:paraId="68A7BF49" w14:textId="77777777" w:rsidTr="00C36EA6">
        <w:trPr>
          <w:cantSplit/>
          <w:jc w:val="center"/>
        </w:trPr>
        <w:tc>
          <w:tcPr>
            <w:tcW w:w="3403" w:type="dxa"/>
            <w:vAlign w:val="center"/>
          </w:tcPr>
          <w:p w14:paraId="452AAE0B" w14:textId="77777777" w:rsidR="002712C3" w:rsidRPr="00B119AE" w:rsidRDefault="002712C3" w:rsidP="00475A30">
            <w:pPr>
              <w:pStyle w:val="Tablehead"/>
            </w:pPr>
            <w:r w:rsidRPr="00B119AE">
              <w:t>Organisation</w:t>
            </w:r>
          </w:p>
        </w:tc>
        <w:tc>
          <w:tcPr>
            <w:tcW w:w="1276" w:type="dxa"/>
            <w:vAlign w:val="center"/>
          </w:tcPr>
          <w:p w14:paraId="1163BE28" w14:textId="77777777" w:rsidR="002712C3" w:rsidRPr="00B119AE" w:rsidRDefault="002712C3" w:rsidP="00475A30">
            <w:pPr>
              <w:pStyle w:val="Tablehead"/>
            </w:pPr>
            <w:r w:rsidRPr="00B119AE">
              <w:t>Secteur</w:t>
            </w:r>
          </w:p>
        </w:tc>
        <w:tc>
          <w:tcPr>
            <w:tcW w:w="2693" w:type="dxa"/>
            <w:vAlign w:val="center"/>
          </w:tcPr>
          <w:p w14:paraId="438F39C3" w14:textId="77777777" w:rsidR="002712C3" w:rsidRPr="00B119AE" w:rsidRDefault="002712C3" w:rsidP="00475A30">
            <w:pPr>
              <w:pStyle w:val="Tablehead"/>
            </w:pPr>
            <w:r w:rsidRPr="00B119AE">
              <w:t>Recommandation du SG</w:t>
            </w:r>
          </w:p>
        </w:tc>
      </w:tr>
      <w:tr w:rsidR="002712C3" w:rsidRPr="00B119AE" w14:paraId="52E795B9" w14:textId="77777777" w:rsidTr="00C36EA6">
        <w:trPr>
          <w:cantSplit/>
          <w:jc w:val="center"/>
        </w:trPr>
        <w:tc>
          <w:tcPr>
            <w:tcW w:w="3403" w:type="dxa"/>
          </w:tcPr>
          <w:p w14:paraId="06623E5F" w14:textId="43D261B0" w:rsidR="002712C3" w:rsidRPr="00B119AE" w:rsidRDefault="002712C3" w:rsidP="00C36EA6">
            <w:pPr>
              <w:pStyle w:val="Tabletext"/>
              <w:rPr>
                <w:b/>
                <w:bCs/>
              </w:rPr>
            </w:pPr>
            <w:r w:rsidRPr="00B119AE">
              <w:rPr>
                <w:b/>
                <w:bCs/>
                <w:color w:val="000000"/>
              </w:rPr>
              <w:t>Communauté de développement de l'Afrique australe (SADC)</w:t>
            </w:r>
          </w:p>
        </w:tc>
        <w:tc>
          <w:tcPr>
            <w:tcW w:w="1276" w:type="dxa"/>
          </w:tcPr>
          <w:p w14:paraId="01FF76BE" w14:textId="78FA84EF" w:rsidR="002712C3" w:rsidRPr="00B119AE" w:rsidRDefault="002712C3" w:rsidP="000E5376">
            <w:pPr>
              <w:pStyle w:val="Tabletext"/>
              <w:jc w:val="center"/>
            </w:pPr>
            <w:r w:rsidRPr="00B119AE">
              <w:t>UIT-R</w:t>
            </w:r>
          </w:p>
          <w:p w14:paraId="407AFB4A" w14:textId="77777777" w:rsidR="002712C3" w:rsidRPr="00B119AE" w:rsidRDefault="002712C3" w:rsidP="000E5376">
            <w:pPr>
              <w:pStyle w:val="Tabletext"/>
              <w:jc w:val="center"/>
            </w:pPr>
            <w:r w:rsidRPr="00B119AE">
              <w:t>UIT-T</w:t>
            </w:r>
          </w:p>
        </w:tc>
        <w:tc>
          <w:tcPr>
            <w:tcW w:w="2693" w:type="dxa"/>
          </w:tcPr>
          <w:p w14:paraId="30DA6A93" w14:textId="77777777" w:rsidR="002712C3" w:rsidRPr="00B119AE" w:rsidRDefault="002712C3" w:rsidP="000E5376">
            <w:pPr>
              <w:pStyle w:val="Tabletext"/>
              <w:jc w:val="center"/>
            </w:pPr>
            <w:r w:rsidRPr="00B119AE">
              <w:t>OUI</w:t>
            </w:r>
          </w:p>
          <w:p w14:paraId="46374F3C" w14:textId="77777777" w:rsidR="002712C3" w:rsidRPr="00B119AE" w:rsidRDefault="002712C3" w:rsidP="000E5376">
            <w:pPr>
              <w:pStyle w:val="Tabletext"/>
              <w:jc w:val="center"/>
            </w:pPr>
            <w:r w:rsidRPr="00B119AE">
              <w:t>OUI</w:t>
            </w:r>
          </w:p>
        </w:tc>
      </w:tr>
    </w:tbl>
    <w:p w14:paraId="1967CDC0" w14:textId="4239E50C" w:rsidR="00911A60" w:rsidRPr="00B119AE" w:rsidRDefault="00911A60" w:rsidP="002712C3">
      <w:pPr>
        <w:spacing w:before="240"/>
      </w:pPr>
      <w:r w:rsidRPr="00B119AE">
        <w:t>La Communauté de développement de l</w:t>
      </w:r>
      <w:r w:rsidR="002712C3" w:rsidRPr="00B119AE">
        <w:t>'</w:t>
      </w:r>
      <w:r w:rsidRPr="00B119AE">
        <w:t>Afrique australe est une organisation intergouvernementale ayant son siège au Botswana. Elle vise à développer la coopération et l</w:t>
      </w:r>
      <w:r w:rsidR="002712C3" w:rsidRPr="00B119AE">
        <w:t>'</w:t>
      </w:r>
      <w:r w:rsidRPr="00B119AE">
        <w:t>intégration socio-économiques au niveau régional ainsi que la coopération en matière de politique et de sécurité entre 16 pays d</w:t>
      </w:r>
      <w:r w:rsidR="002712C3" w:rsidRPr="00B119AE">
        <w:t>'</w:t>
      </w:r>
      <w:r w:rsidRPr="00B119AE">
        <w:t>Afrique australe. En tant que membre de l</w:t>
      </w:r>
      <w:r w:rsidR="002712C3" w:rsidRPr="00B119AE">
        <w:t>'</w:t>
      </w:r>
      <w:r w:rsidRPr="00B119AE">
        <w:t>UIT-D, elle bénéficie déjà d</w:t>
      </w:r>
      <w:r w:rsidR="002712C3" w:rsidRPr="00B119AE">
        <w:t>'</w:t>
      </w:r>
      <w:r w:rsidRPr="00B119AE">
        <w:t>une exonération de droits. Le secrétariat estime qu</w:t>
      </w:r>
      <w:r w:rsidR="002712C3" w:rsidRPr="00B119AE">
        <w:t>'</w:t>
      </w:r>
      <w:r w:rsidRPr="00B119AE">
        <w:t>elle remplit les critères d'exonération pour l'UIT-R et l</w:t>
      </w:r>
      <w:r w:rsidR="002712C3" w:rsidRPr="00B119AE">
        <w:t>'</w:t>
      </w:r>
      <w:r w:rsidRPr="00B119AE">
        <w:t>UIT-T.</w:t>
      </w:r>
    </w:p>
    <w:p w14:paraId="3E4CF5AC" w14:textId="77777777" w:rsidR="00911A60" w:rsidRPr="00B119AE" w:rsidRDefault="00911A60" w:rsidP="00C36EA6">
      <w:pPr>
        <w:spacing w:after="240"/>
        <w:rPr>
          <w:rFonts w:cs="Calibri"/>
        </w:rPr>
      </w:pPr>
      <w:r w:rsidRPr="00B119AE">
        <w:rPr>
          <w:rFonts w:cs="Calibri"/>
        </w:rPr>
        <w:t>2.2</w:t>
      </w:r>
    </w:p>
    <w:tbl>
      <w:tblPr>
        <w:tblW w:w="72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394"/>
        <w:gridCol w:w="1276"/>
        <w:gridCol w:w="2615"/>
      </w:tblGrid>
      <w:tr w:rsidR="002712C3" w:rsidRPr="00B119AE" w14:paraId="6C46D265" w14:textId="77777777" w:rsidTr="00C36EA6">
        <w:trPr>
          <w:cantSplit/>
          <w:jc w:val="center"/>
        </w:trPr>
        <w:tc>
          <w:tcPr>
            <w:tcW w:w="3394" w:type="dxa"/>
            <w:vAlign w:val="center"/>
          </w:tcPr>
          <w:p w14:paraId="2979A6CB" w14:textId="77777777" w:rsidR="002712C3" w:rsidRPr="00B119AE" w:rsidRDefault="002712C3" w:rsidP="00475A30">
            <w:pPr>
              <w:pStyle w:val="Tablehead"/>
            </w:pPr>
            <w:r w:rsidRPr="00B119AE">
              <w:t>Organisation</w:t>
            </w:r>
          </w:p>
        </w:tc>
        <w:tc>
          <w:tcPr>
            <w:tcW w:w="1276" w:type="dxa"/>
            <w:vAlign w:val="center"/>
          </w:tcPr>
          <w:p w14:paraId="3B009562" w14:textId="77777777" w:rsidR="002712C3" w:rsidRPr="00B119AE" w:rsidRDefault="002712C3" w:rsidP="00475A30">
            <w:pPr>
              <w:pStyle w:val="Tablehead"/>
            </w:pPr>
            <w:r w:rsidRPr="00B119AE">
              <w:t>Secteur</w:t>
            </w:r>
          </w:p>
        </w:tc>
        <w:tc>
          <w:tcPr>
            <w:tcW w:w="2615" w:type="dxa"/>
            <w:vAlign w:val="center"/>
          </w:tcPr>
          <w:p w14:paraId="77C21905" w14:textId="77777777" w:rsidR="002712C3" w:rsidRPr="00B119AE" w:rsidRDefault="002712C3" w:rsidP="00475A30">
            <w:pPr>
              <w:pStyle w:val="Tablehead"/>
            </w:pPr>
            <w:r w:rsidRPr="00B119AE">
              <w:t>Recommandation du SG</w:t>
            </w:r>
          </w:p>
        </w:tc>
      </w:tr>
      <w:tr w:rsidR="002712C3" w:rsidRPr="00B119AE" w14:paraId="395C6B01" w14:textId="77777777" w:rsidTr="00C36EA6">
        <w:trPr>
          <w:cantSplit/>
          <w:jc w:val="center"/>
        </w:trPr>
        <w:tc>
          <w:tcPr>
            <w:tcW w:w="3394" w:type="dxa"/>
            <w:vAlign w:val="center"/>
          </w:tcPr>
          <w:p w14:paraId="74025703" w14:textId="579FDD86" w:rsidR="002712C3" w:rsidRPr="00B119AE" w:rsidRDefault="002712C3" w:rsidP="00C36EA6">
            <w:pPr>
              <w:pStyle w:val="Tabletext"/>
              <w:rPr>
                <w:b/>
                <w:szCs w:val="22"/>
              </w:rPr>
            </w:pPr>
            <w:r w:rsidRPr="00B119AE">
              <w:rPr>
                <w:b/>
              </w:rPr>
              <w:t>IoT Lab</w:t>
            </w:r>
          </w:p>
        </w:tc>
        <w:tc>
          <w:tcPr>
            <w:tcW w:w="1276" w:type="dxa"/>
            <w:vAlign w:val="center"/>
          </w:tcPr>
          <w:p w14:paraId="18D104B4" w14:textId="46C45D77" w:rsidR="002712C3" w:rsidRPr="00B119AE" w:rsidRDefault="002712C3" w:rsidP="00475A30">
            <w:pPr>
              <w:pStyle w:val="Tabletext"/>
              <w:jc w:val="center"/>
              <w:rPr>
                <w:szCs w:val="22"/>
              </w:rPr>
            </w:pPr>
            <w:r w:rsidRPr="00B119AE">
              <w:rPr>
                <w:szCs w:val="22"/>
              </w:rPr>
              <w:t>UIT-T</w:t>
            </w:r>
          </w:p>
        </w:tc>
        <w:tc>
          <w:tcPr>
            <w:tcW w:w="2615" w:type="dxa"/>
            <w:vAlign w:val="center"/>
          </w:tcPr>
          <w:p w14:paraId="274912A1" w14:textId="1FA5FE23" w:rsidR="002712C3" w:rsidRPr="00B119AE" w:rsidRDefault="002712C3" w:rsidP="00475A30">
            <w:pPr>
              <w:pStyle w:val="Tabletext"/>
              <w:jc w:val="center"/>
              <w:rPr>
                <w:szCs w:val="22"/>
              </w:rPr>
            </w:pPr>
            <w:r w:rsidRPr="00B119AE">
              <w:rPr>
                <w:szCs w:val="22"/>
              </w:rPr>
              <w:t>Report</w:t>
            </w:r>
          </w:p>
        </w:tc>
      </w:tr>
    </w:tbl>
    <w:p w14:paraId="2981C7E7" w14:textId="76427884" w:rsidR="00911A60" w:rsidRPr="00B119AE" w:rsidRDefault="00911A60" w:rsidP="002712C3">
      <w:pPr>
        <w:spacing w:before="240"/>
      </w:pPr>
      <w:r w:rsidRPr="00B119AE">
        <w:t>IoT Lab est une plate-forme internationale de services et de ressources pour l</w:t>
      </w:r>
      <w:r w:rsidR="002712C3" w:rsidRPr="00B119AE">
        <w:t>'</w:t>
      </w:r>
      <w:r w:rsidRPr="00B119AE">
        <w:t>Internet des objets (IoT) qui rassemble des communautés ayant un intérêt pour les services IoT, la confidentialité et la sécurité, les tests ainsi que le transfert de technologie en la matière. Il s</w:t>
      </w:r>
      <w:r w:rsidR="002712C3" w:rsidRPr="00B119AE">
        <w:t>'</w:t>
      </w:r>
      <w:r w:rsidRPr="00B119AE">
        <w:t>agit d</w:t>
      </w:r>
      <w:r w:rsidR="002712C3" w:rsidRPr="00B119AE">
        <w:t>'</w:t>
      </w:r>
      <w:r w:rsidRPr="00B119AE">
        <w:t>une entité relativement nouvelle et la question de la réciprocité est encore difficile à trancher. Le secrétariat a besoin de plus de temps et de renseignements avant de pouvoir formuler une recommandation éclairée à l</w:t>
      </w:r>
      <w:r w:rsidR="002712C3" w:rsidRPr="00B119AE">
        <w:t>'</w:t>
      </w:r>
      <w:r w:rsidRPr="00B119AE">
        <w:t>intention du Conseil. Il recommande donc de renvoyer cette demande à la prochaine session du Conseil.</w:t>
      </w:r>
    </w:p>
    <w:p w14:paraId="72DEA7C8" w14:textId="77777777" w:rsidR="00911A60" w:rsidRPr="00B119AE" w:rsidRDefault="00911A60" w:rsidP="00C36EA6">
      <w:pPr>
        <w:spacing w:after="240"/>
      </w:pPr>
      <w:r w:rsidRPr="00B119AE">
        <w:t>2.3</w:t>
      </w:r>
    </w:p>
    <w:tbl>
      <w:tblPr>
        <w:tblW w:w="72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394"/>
        <w:gridCol w:w="1274"/>
        <w:gridCol w:w="2625"/>
      </w:tblGrid>
      <w:tr w:rsidR="002712C3" w:rsidRPr="00B119AE" w14:paraId="25435BB3" w14:textId="77777777" w:rsidTr="00C36EA6">
        <w:trPr>
          <w:cantSplit/>
          <w:jc w:val="center"/>
        </w:trPr>
        <w:tc>
          <w:tcPr>
            <w:tcW w:w="3394" w:type="dxa"/>
            <w:vAlign w:val="center"/>
          </w:tcPr>
          <w:p w14:paraId="62D78CB4" w14:textId="77777777" w:rsidR="002712C3" w:rsidRPr="00B119AE" w:rsidRDefault="002712C3" w:rsidP="00475A30">
            <w:pPr>
              <w:pStyle w:val="Tablehead"/>
            </w:pPr>
            <w:r w:rsidRPr="00B119AE">
              <w:t>Organisation</w:t>
            </w:r>
          </w:p>
        </w:tc>
        <w:tc>
          <w:tcPr>
            <w:tcW w:w="1274" w:type="dxa"/>
            <w:vAlign w:val="center"/>
          </w:tcPr>
          <w:p w14:paraId="023DC8B6" w14:textId="77777777" w:rsidR="002712C3" w:rsidRPr="00B119AE" w:rsidRDefault="002712C3" w:rsidP="00475A30">
            <w:pPr>
              <w:pStyle w:val="Tablehead"/>
            </w:pPr>
            <w:r w:rsidRPr="00B119AE">
              <w:t>Secteur</w:t>
            </w:r>
          </w:p>
        </w:tc>
        <w:tc>
          <w:tcPr>
            <w:tcW w:w="2625" w:type="dxa"/>
            <w:vAlign w:val="center"/>
          </w:tcPr>
          <w:p w14:paraId="7C2B5406" w14:textId="77777777" w:rsidR="002712C3" w:rsidRPr="00B119AE" w:rsidRDefault="002712C3" w:rsidP="00475A30">
            <w:pPr>
              <w:pStyle w:val="Tablehead"/>
            </w:pPr>
            <w:r w:rsidRPr="00B119AE">
              <w:t>Recommandation du SG</w:t>
            </w:r>
          </w:p>
        </w:tc>
      </w:tr>
      <w:tr w:rsidR="002712C3" w:rsidRPr="00B119AE" w14:paraId="3900AF04" w14:textId="77777777" w:rsidTr="00C36EA6">
        <w:trPr>
          <w:cantSplit/>
          <w:jc w:val="center"/>
        </w:trPr>
        <w:tc>
          <w:tcPr>
            <w:tcW w:w="3394" w:type="dxa"/>
          </w:tcPr>
          <w:p w14:paraId="24219CB3" w14:textId="2F6108A2" w:rsidR="002712C3" w:rsidRPr="00B119AE" w:rsidRDefault="002712C3" w:rsidP="00C36EA6">
            <w:pPr>
              <w:pStyle w:val="Tabletext"/>
              <w:rPr>
                <w:b/>
              </w:rPr>
            </w:pPr>
            <w:r w:rsidRPr="00B119AE">
              <w:rPr>
                <w:rFonts w:asciiTheme="minorHAnsi" w:hAnsiTheme="minorHAnsi" w:cstheme="minorHAnsi"/>
                <w:b/>
                <w:bCs/>
                <w:iCs/>
              </w:rPr>
              <w:t>Konrad Adenauer Stiftung</w:t>
            </w:r>
          </w:p>
        </w:tc>
        <w:tc>
          <w:tcPr>
            <w:tcW w:w="1274" w:type="dxa"/>
          </w:tcPr>
          <w:p w14:paraId="38853B1F" w14:textId="77777777" w:rsidR="002712C3" w:rsidRPr="00B119AE" w:rsidRDefault="002712C3" w:rsidP="00475A30">
            <w:pPr>
              <w:pStyle w:val="Tabletext"/>
              <w:jc w:val="center"/>
            </w:pPr>
            <w:r w:rsidRPr="00B119AE">
              <w:t>UIT-R</w:t>
            </w:r>
          </w:p>
          <w:p w14:paraId="6A39E1A9" w14:textId="77777777" w:rsidR="002712C3" w:rsidRPr="00B119AE" w:rsidRDefault="002712C3" w:rsidP="00475A30">
            <w:pPr>
              <w:pStyle w:val="Tabletext"/>
              <w:jc w:val="center"/>
            </w:pPr>
            <w:r w:rsidRPr="00B119AE">
              <w:t>UIT-T</w:t>
            </w:r>
          </w:p>
          <w:p w14:paraId="49930296" w14:textId="77777777" w:rsidR="002712C3" w:rsidRPr="00B119AE" w:rsidRDefault="002712C3" w:rsidP="00475A30">
            <w:pPr>
              <w:pStyle w:val="Tabletext"/>
              <w:jc w:val="center"/>
            </w:pPr>
            <w:r w:rsidRPr="00B119AE">
              <w:t>UIT-D</w:t>
            </w:r>
          </w:p>
        </w:tc>
        <w:tc>
          <w:tcPr>
            <w:tcW w:w="2625" w:type="dxa"/>
          </w:tcPr>
          <w:p w14:paraId="7F453072" w14:textId="77777777" w:rsidR="002712C3" w:rsidRPr="00B119AE" w:rsidRDefault="002712C3" w:rsidP="00475A30">
            <w:pPr>
              <w:pStyle w:val="Tabletext"/>
              <w:jc w:val="center"/>
            </w:pPr>
            <w:r w:rsidRPr="00B119AE">
              <w:t>NON</w:t>
            </w:r>
          </w:p>
          <w:p w14:paraId="1C6080AC" w14:textId="77777777" w:rsidR="002712C3" w:rsidRPr="00B119AE" w:rsidRDefault="002712C3" w:rsidP="00475A30">
            <w:pPr>
              <w:pStyle w:val="Tabletext"/>
              <w:jc w:val="center"/>
            </w:pPr>
            <w:r w:rsidRPr="00B119AE">
              <w:t>NON</w:t>
            </w:r>
          </w:p>
          <w:p w14:paraId="3D3518AE" w14:textId="46141BA6" w:rsidR="002712C3" w:rsidRPr="00B119AE" w:rsidRDefault="002712C3" w:rsidP="00475A30">
            <w:pPr>
              <w:pStyle w:val="Tabletext"/>
              <w:jc w:val="center"/>
            </w:pPr>
            <w:r w:rsidRPr="00B119AE">
              <w:t>NON</w:t>
            </w:r>
          </w:p>
        </w:tc>
      </w:tr>
    </w:tbl>
    <w:p w14:paraId="4178C08A" w14:textId="5C4CA40E" w:rsidR="00911A60" w:rsidRPr="00B119AE" w:rsidRDefault="00911A60" w:rsidP="002712C3">
      <w:pPr>
        <w:spacing w:before="240"/>
        <w:rPr>
          <w:rFonts w:cs="Calibri"/>
        </w:rPr>
      </w:pPr>
      <w:r w:rsidRPr="00B119AE">
        <w:t>L</w:t>
      </w:r>
      <w:r w:rsidR="002712C3" w:rsidRPr="00B119AE">
        <w:t>'</w:t>
      </w:r>
      <w:r w:rsidRPr="00B119AE">
        <w:t>association Konrad Adenauer Stiftung est une fondation affiliée à un parti, entretient des liens étroits avec l</w:t>
      </w:r>
      <w:r w:rsidR="002712C3" w:rsidRPr="00B119AE">
        <w:t>'</w:t>
      </w:r>
      <w:r w:rsidRPr="00B119AE">
        <w:t>Union des démocrates chrétiens et est financée essentiellement par des fonds fédéraux et étatiques</w:t>
      </w:r>
      <w:r w:rsidRPr="00B119AE">
        <w:rPr>
          <w:rFonts w:cs="Calibri"/>
        </w:rPr>
        <w:t>. Elle compte des bureaux dans plus d</w:t>
      </w:r>
      <w:r w:rsidR="002712C3" w:rsidRPr="00B119AE">
        <w:rPr>
          <w:rFonts w:cs="Calibri"/>
        </w:rPr>
        <w:t>'</w:t>
      </w:r>
      <w:r w:rsidRPr="00B119AE">
        <w:rPr>
          <w:rFonts w:cs="Calibri"/>
        </w:rPr>
        <w:t>une centaine de pays et mène des projets dans plus de 130 pays. Bien que cette organisation ait une présence et des activités internationales, le secrétariat estime qu</w:t>
      </w:r>
      <w:r w:rsidR="002712C3" w:rsidRPr="00B119AE">
        <w:rPr>
          <w:rFonts w:cs="Calibri"/>
        </w:rPr>
        <w:t>'</w:t>
      </w:r>
      <w:r w:rsidRPr="00B119AE">
        <w:rPr>
          <w:rFonts w:cs="Calibri"/>
        </w:rPr>
        <w:t>elle ne remplit pas tous les critères, étant donné qu</w:t>
      </w:r>
      <w:r w:rsidR="002712C3" w:rsidRPr="00B119AE">
        <w:rPr>
          <w:rFonts w:cs="Calibri"/>
        </w:rPr>
        <w:t>'</w:t>
      </w:r>
      <w:r w:rsidRPr="00B119AE">
        <w:rPr>
          <w:rFonts w:cs="Calibri"/>
        </w:rPr>
        <w:t>il s</w:t>
      </w:r>
      <w:r w:rsidR="002712C3" w:rsidRPr="00B119AE">
        <w:rPr>
          <w:rFonts w:cs="Calibri"/>
        </w:rPr>
        <w:t>'</w:t>
      </w:r>
      <w:r w:rsidRPr="00B119AE">
        <w:rPr>
          <w:rFonts w:cs="Calibri"/>
        </w:rPr>
        <w:t>agit d</w:t>
      </w:r>
      <w:r w:rsidR="002712C3" w:rsidRPr="00B119AE">
        <w:rPr>
          <w:rFonts w:cs="Calibri"/>
        </w:rPr>
        <w:t>'</w:t>
      </w:r>
      <w:r w:rsidRPr="00B119AE">
        <w:rPr>
          <w:rFonts w:cs="Calibri"/>
        </w:rPr>
        <w:t>une fondation nationale et qu</w:t>
      </w:r>
      <w:r w:rsidR="002712C3" w:rsidRPr="00B119AE">
        <w:rPr>
          <w:rFonts w:cs="Calibri"/>
        </w:rPr>
        <w:t>'</w:t>
      </w:r>
      <w:r w:rsidRPr="00B119AE">
        <w:rPr>
          <w:rFonts w:cs="Calibri"/>
        </w:rPr>
        <w:t>elle n</w:t>
      </w:r>
      <w:r w:rsidR="002712C3" w:rsidRPr="00B119AE">
        <w:rPr>
          <w:rFonts w:cs="Calibri"/>
        </w:rPr>
        <w:t>'</w:t>
      </w:r>
      <w:r w:rsidRPr="00B119AE">
        <w:rPr>
          <w:rFonts w:cs="Calibri"/>
        </w:rPr>
        <w:t xml:space="preserve">a pas de membres dans plusieurs États Membres. </w:t>
      </w:r>
    </w:p>
    <w:p w14:paraId="571E3BBE" w14:textId="77777777" w:rsidR="002712C3" w:rsidRPr="00B119AE" w:rsidRDefault="002712C3" w:rsidP="00911A60">
      <w:pPr>
        <w:spacing w:after="240"/>
      </w:pPr>
      <w:r w:rsidRPr="00B119AE">
        <w:br w:type="page"/>
      </w:r>
    </w:p>
    <w:p w14:paraId="507F47D2" w14:textId="1240B2F6" w:rsidR="00911A60" w:rsidRPr="00B119AE" w:rsidRDefault="00911A60" w:rsidP="002A669F">
      <w:pPr>
        <w:spacing w:after="120"/>
      </w:pPr>
      <w:r w:rsidRPr="00B119AE">
        <w:lastRenderedPageBreak/>
        <w:t>2.4</w:t>
      </w:r>
    </w:p>
    <w:tbl>
      <w:tblPr>
        <w:tblW w:w="7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344"/>
        <w:gridCol w:w="1260"/>
        <w:gridCol w:w="2744"/>
      </w:tblGrid>
      <w:tr w:rsidR="002A669F" w:rsidRPr="00B119AE" w14:paraId="6F7DECB5" w14:textId="77777777" w:rsidTr="00C36EA6">
        <w:trPr>
          <w:cantSplit/>
          <w:jc w:val="center"/>
        </w:trPr>
        <w:tc>
          <w:tcPr>
            <w:tcW w:w="3344" w:type="dxa"/>
            <w:vAlign w:val="center"/>
          </w:tcPr>
          <w:p w14:paraId="3DF32D63" w14:textId="77777777" w:rsidR="002A669F" w:rsidRPr="00B119AE" w:rsidRDefault="002A669F" w:rsidP="00475A30">
            <w:pPr>
              <w:pStyle w:val="Tablehead"/>
            </w:pPr>
            <w:r w:rsidRPr="00B119AE">
              <w:t>Organisation</w:t>
            </w:r>
          </w:p>
        </w:tc>
        <w:tc>
          <w:tcPr>
            <w:tcW w:w="1260" w:type="dxa"/>
            <w:vAlign w:val="center"/>
          </w:tcPr>
          <w:p w14:paraId="35211099" w14:textId="77777777" w:rsidR="002A669F" w:rsidRPr="00B119AE" w:rsidRDefault="002A669F" w:rsidP="00475A30">
            <w:pPr>
              <w:pStyle w:val="Tablehead"/>
            </w:pPr>
            <w:r w:rsidRPr="00B119AE">
              <w:t>Secteur</w:t>
            </w:r>
          </w:p>
        </w:tc>
        <w:tc>
          <w:tcPr>
            <w:tcW w:w="2744" w:type="dxa"/>
            <w:vAlign w:val="center"/>
          </w:tcPr>
          <w:p w14:paraId="5491913E" w14:textId="77777777" w:rsidR="002A669F" w:rsidRPr="00B119AE" w:rsidRDefault="002A669F" w:rsidP="00475A30">
            <w:pPr>
              <w:pStyle w:val="Tablehead"/>
            </w:pPr>
            <w:r w:rsidRPr="00B119AE">
              <w:t>Recommandation du SG</w:t>
            </w:r>
          </w:p>
        </w:tc>
      </w:tr>
      <w:tr w:rsidR="002A669F" w:rsidRPr="00B119AE" w14:paraId="21E6E029" w14:textId="77777777" w:rsidTr="00C36EA6">
        <w:trPr>
          <w:cantSplit/>
          <w:jc w:val="center"/>
        </w:trPr>
        <w:tc>
          <w:tcPr>
            <w:tcW w:w="3344" w:type="dxa"/>
            <w:vAlign w:val="center"/>
          </w:tcPr>
          <w:p w14:paraId="4CEEDF41" w14:textId="620F6642" w:rsidR="002A669F" w:rsidRPr="00B119AE" w:rsidRDefault="002A669F" w:rsidP="00C36EA6">
            <w:pPr>
              <w:pStyle w:val="Tabletext"/>
              <w:rPr>
                <w:b/>
                <w:szCs w:val="22"/>
              </w:rPr>
            </w:pPr>
            <w:r w:rsidRPr="00B119AE">
              <w:rPr>
                <w:rFonts w:asciiTheme="minorHAnsi" w:hAnsiTheme="minorHAnsi" w:cstheme="minorHAnsi"/>
                <w:b/>
                <w:iCs/>
                <w:szCs w:val="24"/>
              </w:rPr>
              <w:t>Fondation Techfugees</w:t>
            </w:r>
          </w:p>
        </w:tc>
        <w:tc>
          <w:tcPr>
            <w:tcW w:w="1260" w:type="dxa"/>
            <w:vAlign w:val="center"/>
          </w:tcPr>
          <w:p w14:paraId="02F79210" w14:textId="318AF693" w:rsidR="002A669F" w:rsidRPr="00B119AE" w:rsidRDefault="002A669F" w:rsidP="000E5376">
            <w:pPr>
              <w:pStyle w:val="Tabletext"/>
              <w:jc w:val="center"/>
              <w:rPr>
                <w:szCs w:val="22"/>
              </w:rPr>
            </w:pPr>
            <w:r w:rsidRPr="00B119AE">
              <w:rPr>
                <w:szCs w:val="22"/>
              </w:rPr>
              <w:t>UIT-D</w:t>
            </w:r>
          </w:p>
        </w:tc>
        <w:tc>
          <w:tcPr>
            <w:tcW w:w="2744" w:type="dxa"/>
            <w:vAlign w:val="center"/>
          </w:tcPr>
          <w:p w14:paraId="39022233" w14:textId="77777777" w:rsidR="002A669F" w:rsidRPr="00B119AE" w:rsidRDefault="002A669F" w:rsidP="000E5376">
            <w:pPr>
              <w:pStyle w:val="Tabletext"/>
              <w:jc w:val="center"/>
              <w:rPr>
                <w:szCs w:val="22"/>
              </w:rPr>
            </w:pPr>
            <w:r w:rsidRPr="00B119AE">
              <w:rPr>
                <w:szCs w:val="22"/>
              </w:rPr>
              <w:t>OUI</w:t>
            </w:r>
          </w:p>
        </w:tc>
      </w:tr>
    </w:tbl>
    <w:p w14:paraId="3132525F" w14:textId="1742FC60" w:rsidR="00911A60" w:rsidRPr="00B119AE" w:rsidRDefault="00911A60" w:rsidP="002A669F">
      <w:pPr>
        <w:spacing w:before="240"/>
      </w:pPr>
      <w:proofErr w:type="spellStart"/>
      <w:r w:rsidRPr="00B119AE">
        <w:t>Techfugees</w:t>
      </w:r>
      <w:proofErr w:type="spellEnd"/>
      <w:r w:rsidRPr="00B119AE">
        <w:t xml:space="preserve"> est une entreprise sociale à but non lucratif dont le siège est au Royaume-Uni. Il s</w:t>
      </w:r>
      <w:r w:rsidR="002712C3" w:rsidRPr="00B119AE">
        <w:t>'</w:t>
      </w:r>
      <w:r w:rsidRPr="00B119AE">
        <w:t>agit d</w:t>
      </w:r>
      <w:r w:rsidR="002712C3" w:rsidRPr="00B119AE">
        <w:t>'</w:t>
      </w:r>
      <w:r w:rsidRPr="00B119AE">
        <w:t>une communauté mondiale de bénévoles spécialistes des technologies numériques qui comprend des entrepreneurs, des ingénieurs, des chercheurs, des organisations non gouvernementales et des personnes déplacées. Techfugees est présente dans 10 pays et continue de s'étendre, mais intervient localement pour rassembler différentes organisations et personnes dans un environnement ouvert, connecté et fiable, afin de promouvoir des solutions humanitaires basées sur les technologies numériques et mises au point par des personnes déplacées, pour les personnes déplacées. Le Secrétariat estime que cette entité remplit les critères d'exonération pour l'UIT</w:t>
      </w:r>
      <w:r w:rsidRPr="00B119AE">
        <w:noBreakHyphen/>
        <w:t>D.</w:t>
      </w:r>
    </w:p>
    <w:p w14:paraId="728ED94E" w14:textId="77777777" w:rsidR="00911A60" w:rsidRPr="00B119AE" w:rsidRDefault="00911A60" w:rsidP="002A669F">
      <w:pPr>
        <w:spacing w:after="120"/>
      </w:pPr>
      <w:r w:rsidRPr="00B119AE">
        <w:t>2.5</w:t>
      </w:r>
    </w:p>
    <w:tbl>
      <w:tblPr>
        <w:tblW w:w="73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344"/>
        <w:gridCol w:w="1260"/>
        <w:gridCol w:w="2730"/>
      </w:tblGrid>
      <w:tr w:rsidR="000E5376" w:rsidRPr="00B119AE" w14:paraId="084C78E2" w14:textId="77777777" w:rsidTr="00C36EA6">
        <w:trPr>
          <w:cantSplit/>
          <w:jc w:val="center"/>
        </w:trPr>
        <w:tc>
          <w:tcPr>
            <w:tcW w:w="3344" w:type="dxa"/>
            <w:vAlign w:val="center"/>
          </w:tcPr>
          <w:p w14:paraId="6D337A85" w14:textId="77777777" w:rsidR="000E5376" w:rsidRPr="00B119AE" w:rsidRDefault="000E5376" w:rsidP="00475A30">
            <w:pPr>
              <w:pStyle w:val="Tablehead"/>
            </w:pPr>
            <w:r w:rsidRPr="00B119AE">
              <w:t>Organisation</w:t>
            </w:r>
          </w:p>
        </w:tc>
        <w:tc>
          <w:tcPr>
            <w:tcW w:w="1260" w:type="dxa"/>
            <w:vAlign w:val="center"/>
          </w:tcPr>
          <w:p w14:paraId="6AF043D0" w14:textId="77777777" w:rsidR="000E5376" w:rsidRPr="00B119AE" w:rsidRDefault="000E5376" w:rsidP="00475A30">
            <w:pPr>
              <w:pStyle w:val="Tablehead"/>
            </w:pPr>
            <w:r w:rsidRPr="00B119AE">
              <w:t>Secteur</w:t>
            </w:r>
          </w:p>
        </w:tc>
        <w:tc>
          <w:tcPr>
            <w:tcW w:w="2730" w:type="dxa"/>
            <w:vAlign w:val="center"/>
          </w:tcPr>
          <w:p w14:paraId="5C71796F" w14:textId="77777777" w:rsidR="000E5376" w:rsidRPr="00B119AE" w:rsidRDefault="000E5376" w:rsidP="00475A30">
            <w:pPr>
              <w:pStyle w:val="Tablehead"/>
            </w:pPr>
            <w:r w:rsidRPr="00B119AE">
              <w:t>Recommandation du SG</w:t>
            </w:r>
          </w:p>
        </w:tc>
      </w:tr>
      <w:tr w:rsidR="000E5376" w:rsidRPr="00B119AE" w14:paraId="5F678554" w14:textId="77777777" w:rsidTr="00C36EA6">
        <w:trPr>
          <w:cantSplit/>
          <w:jc w:val="center"/>
        </w:trPr>
        <w:tc>
          <w:tcPr>
            <w:tcW w:w="3344" w:type="dxa"/>
          </w:tcPr>
          <w:p w14:paraId="78C63C9B" w14:textId="6FF8F887" w:rsidR="000E5376" w:rsidRPr="00B119AE" w:rsidRDefault="000E5376" w:rsidP="00C36EA6">
            <w:pPr>
              <w:pStyle w:val="Tabletext"/>
              <w:rPr>
                <w:b/>
                <w:szCs w:val="22"/>
              </w:rPr>
            </w:pPr>
            <w:r w:rsidRPr="00B119AE">
              <w:rPr>
                <w:rFonts w:asciiTheme="minorHAnsi" w:hAnsiTheme="minorHAnsi" w:cstheme="minorHAnsi"/>
                <w:b/>
                <w:bCs/>
                <w:color w:val="000000"/>
                <w:szCs w:val="24"/>
              </w:rPr>
              <w:t>Global Mobile Suppliers Association (GSA)</w:t>
            </w:r>
          </w:p>
        </w:tc>
        <w:tc>
          <w:tcPr>
            <w:tcW w:w="1260" w:type="dxa"/>
          </w:tcPr>
          <w:p w14:paraId="4966864E" w14:textId="40AC8D73" w:rsidR="000E5376" w:rsidRPr="00B119AE" w:rsidRDefault="000E5376" w:rsidP="00B119AE">
            <w:pPr>
              <w:pStyle w:val="Tabletext"/>
              <w:spacing w:after="0"/>
              <w:jc w:val="center"/>
              <w:rPr>
                <w:szCs w:val="22"/>
              </w:rPr>
            </w:pPr>
            <w:r w:rsidRPr="00B119AE">
              <w:rPr>
                <w:szCs w:val="22"/>
              </w:rPr>
              <w:t>UIT-R</w:t>
            </w:r>
          </w:p>
        </w:tc>
        <w:tc>
          <w:tcPr>
            <w:tcW w:w="2730" w:type="dxa"/>
          </w:tcPr>
          <w:p w14:paraId="64EC7C40" w14:textId="6625CB23" w:rsidR="000E5376" w:rsidRPr="00B119AE" w:rsidRDefault="000E5376" w:rsidP="00B119AE">
            <w:pPr>
              <w:pStyle w:val="Tabletext"/>
              <w:jc w:val="center"/>
              <w:rPr>
                <w:szCs w:val="22"/>
              </w:rPr>
            </w:pPr>
            <w:r w:rsidRPr="00B119AE">
              <w:rPr>
                <w:szCs w:val="22"/>
              </w:rPr>
              <w:t>NON</w:t>
            </w:r>
          </w:p>
        </w:tc>
      </w:tr>
    </w:tbl>
    <w:p w14:paraId="2172DECE" w14:textId="50017AF4" w:rsidR="00911A60" w:rsidRDefault="00911A60" w:rsidP="000E5376">
      <w:pPr>
        <w:spacing w:before="240"/>
      </w:pPr>
      <w:r w:rsidRPr="00B119AE">
        <w:t xml:space="preserve">La Global Mobile </w:t>
      </w:r>
      <w:proofErr w:type="spellStart"/>
      <w:r w:rsidRPr="00B119AE">
        <w:t>Suppliers</w:t>
      </w:r>
      <w:proofErr w:type="spellEnd"/>
      <w:r w:rsidRPr="00B119AE">
        <w:t xml:space="preserve"> Association est une organisation à but non lucratif du secteur privé qui représente des entreprises de l'écosystème mobile mondial fournissant des infrastructures, des semi-conducteurs, des équipements de test, des dispositifs, des applications et des services d'assistance sur mobile. Elle s</w:t>
      </w:r>
      <w:r w:rsidR="002712C3" w:rsidRPr="00B119AE">
        <w:t>'</w:t>
      </w:r>
      <w:r w:rsidRPr="00B119AE">
        <w:t xml:space="preserve">emploie à promouvoir la feuille de route sur les technologies 3GPP </w:t>
      </w:r>
      <w:r w:rsidR="000E5376" w:rsidRPr="00B119AE">
        <w:t>–</w:t>
      </w:r>
      <w:r w:rsidRPr="00B119AE">
        <w:t xml:space="preserve"> 3G, 4G et 5G </w:t>
      </w:r>
      <w:r w:rsidR="000E5376" w:rsidRPr="00B119AE">
        <w:t>–</w:t>
      </w:r>
      <w:r w:rsidRPr="00B119AE">
        <w:t xml:space="preserve"> et constitue une source d'information pour les rapports des entreprises et la veille commerciale. Étant donné que les membres de la GSA sont principalement des entreprises à but lucratif, le secrétariat estime que cette entité ne remplit pas les critères d'exonération.</w:t>
      </w:r>
    </w:p>
    <w:p w14:paraId="63D6B655" w14:textId="77777777" w:rsidR="00C36EA6" w:rsidRPr="00B119AE" w:rsidRDefault="00C36EA6" w:rsidP="000E5376">
      <w:pPr>
        <w:spacing w:before="240"/>
        <w:rPr>
          <w:rFonts w:cs="Calibri"/>
          <w:szCs w:val="24"/>
        </w:rPr>
      </w:pPr>
    </w:p>
    <w:p w14:paraId="14F8B2FE" w14:textId="77777777" w:rsidR="000E5376" w:rsidRPr="00B119AE" w:rsidRDefault="000E5376" w:rsidP="000E5376">
      <w:pPr>
        <w:spacing w:before="360"/>
        <w:jc w:val="center"/>
      </w:pPr>
      <w:r w:rsidRPr="00B119AE">
        <w:t>______________</w:t>
      </w:r>
    </w:p>
    <w:sectPr w:rsidR="000E5376" w:rsidRPr="00B119AE"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9B16" w14:textId="77777777" w:rsidR="00911A60" w:rsidRDefault="00911A60">
      <w:r>
        <w:separator/>
      </w:r>
    </w:p>
  </w:endnote>
  <w:endnote w:type="continuationSeparator" w:id="0">
    <w:p w14:paraId="359CBDD2" w14:textId="77777777" w:rsidR="00911A60" w:rsidRDefault="0091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D091" w14:textId="29BC1A46" w:rsidR="00732045" w:rsidRDefault="00C36EA6">
    <w:pPr>
      <w:pStyle w:val="Footer"/>
    </w:pPr>
    <w:fldSimple w:instr=" FILENAME \p \* MERGEFORMAT ">
      <w:r>
        <w:t>P:\FRA\SG\CONSEIL\C21\000\039F.docx</w:t>
      </w:r>
    </w:fldSimple>
    <w:r w:rsidR="00732045">
      <w:tab/>
    </w:r>
    <w:r w:rsidR="002F1B76">
      <w:fldChar w:fldCharType="begin"/>
    </w:r>
    <w:r w:rsidR="00732045">
      <w:instrText xml:space="preserve"> savedate \@ dd.MM.yy </w:instrText>
    </w:r>
    <w:r w:rsidR="002F1B76">
      <w:fldChar w:fldCharType="separate"/>
    </w:r>
    <w:r w:rsidR="00821A64">
      <w:t>13.05.21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45F0" w14:textId="1F213850" w:rsidR="00732045" w:rsidRDefault="00C36EA6">
    <w:pPr>
      <w:pStyle w:val="Footer"/>
    </w:pPr>
    <w:r w:rsidRPr="00821A64">
      <w:rPr>
        <w:color w:val="F2F2F2" w:themeColor="background1" w:themeShade="F2"/>
      </w:rPr>
      <w:fldChar w:fldCharType="begin"/>
    </w:r>
    <w:r w:rsidRPr="00821A64">
      <w:rPr>
        <w:color w:val="F2F2F2" w:themeColor="background1" w:themeShade="F2"/>
      </w:rPr>
      <w:instrText xml:space="preserve"> FILENAME \p \* MERGEFORMAT </w:instrText>
    </w:r>
    <w:r w:rsidRPr="00821A64">
      <w:rPr>
        <w:color w:val="F2F2F2" w:themeColor="background1" w:themeShade="F2"/>
      </w:rPr>
      <w:fldChar w:fldCharType="separate"/>
    </w:r>
    <w:r w:rsidRPr="00821A64">
      <w:rPr>
        <w:color w:val="F2F2F2" w:themeColor="background1" w:themeShade="F2"/>
      </w:rPr>
      <w:t>P:\FRA\SG\CONSEIL\C21\000\039F.docx</w:t>
    </w:r>
    <w:r w:rsidRPr="00821A64">
      <w:rPr>
        <w:color w:val="F2F2F2" w:themeColor="background1" w:themeShade="F2"/>
      </w:rPr>
      <w:fldChar w:fldCharType="end"/>
    </w:r>
    <w:r w:rsidR="000E5376" w:rsidRPr="00821A64">
      <w:rPr>
        <w:color w:val="F2F2F2" w:themeColor="background1" w:themeShade="F2"/>
      </w:rPr>
      <w:t xml:space="preserve"> (483235)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2C0F"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4E40" w14:textId="77777777" w:rsidR="00911A60" w:rsidRDefault="00911A60">
      <w:r>
        <w:t>____________________</w:t>
      </w:r>
    </w:p>
  </w:footnote>
  <w:footnote w:type="continuationSeparator" w:id="0">
    <w:p w14:paraId="040BF6A9" w14:textId="77777777" w:rsidR="00911A60" w:rsidRDefault="0091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0D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E686BD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44E9" w14:textId="5C799667" w:rsidR="00732045" w:rsidRDefault="00C27A7C" w:rsidP="00475FB3">
    <w:pPr>
      <w:pStyle w:val="Header"/>
    </w:pPr>
    <w:r>
      <w:fldChar w:fldCharType="begin"/>
    </w:r>
    <w:r>
      <w:instrText>PAGE</w:instrText>
    </w:r>
    <w:r>
      <w:fldChar w:fldCharType="separate"/>
    </w:r>
    <w:r w:rsidR="00C36EA6">
      <w:rPr>
        <w:noProof/>
      </w:rPr>
      <w:t>3</w:t>
    </w:r>
    <w:r>
      <w:rPr>
        <w:noProof/>
      </w:rPr>
      <w:fldChar w:fldCharType="end"/>
    </w:r>
  </w:p>
  <w:p w14:paraId="156560F6" w14:textId="50DBF83C" w:rsidR="00732045" w:rsidRDefault="00732045" w:rsidP="00106B19">
    <w:pPr>
      <w:pStyle w:val="Header"/>
    </w:pPr>
    <w:r>
      <w:t>C</w:t>
    </w:r>
    <w:r w:rsidR="009C353C">
      <w:t>2</w:t>
    </w:r>
    <w:r w:rsidR="004D1D50">
      <w:t>1</w:t>
    </w:r>
    <w:r>
      <w:t>/</w:t>
    </w:r>
    <w:r w:rsidR="002712C3">
      <w:t>39</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60"/>
    <w:rsid w:val="000D0D0A"/>
    <w:rsid w:val="000E5376"/>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712C3"/>
    <w:rsid w:val="002A5D44"/>
    <w:rsid w:val="002A669F"/>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21A64"/>
    <w:rsid w:val="00861D73"/>
    <w:rsid w:val="00897553"/>
    <w:rsid w:val="008A4E87"/>
    <w:rsid w:val="008D76E6"/>
    <w:rsid w:val="00911A60"/>
    <w:rsid w:val="0092392D"/>
    <w:rsid w:val="0093234A"/>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119AE"/>
    <w:rsid w:val="00B309F9"/>
    <w:rsid w:val="00B32B60"/>
    <w:rsid w:val="00B61619"/>
    <w:rsid w:val="00BB4545"/>
    <w:rsid w:val="00BD5873"/>
    <w:rsid w:val="00C04BE3"/>
    <w:rsid w:val="00C25D29"/>
    <w:rsid w:val="00C27A7C"/>
    <w:rsid w:val="00C36EA6"/>
    <w:rsid w:val="00CA08ED"/>
    <w:rsid w:val="00CF183B"/>
    <w:rsid w:val="00D375CD"/>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59AA6E"/>
  <w15:docId w15:val="{FEFFB3FB-2CB3-4A67-B4FC-F31132C8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911A60"/>
    <w:rPr>
      <w:color w:val="605E5C"/>
      <w:shd w:val="clear" w:color="auto" w:fill="E1DFDD"/>
    </w:rPr>
  </w:style>
  <w:style w:type="paragraph" w:styleId="NormalWeb">
    <w:name w:val="Normal (Web)"/>
    <w:basedOn w:val="Normal"/>
    <w:uiPriority w:val="99"/>
    <w:unhideWhenUsed/>
    <w:rsid w:val="00911A60"/>
    <w:pPr>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itudoc/gs/council/c00/docs/28rev1.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en/council/2019/Documents/basic-texts/Convention-F.pdf"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en/membership/Pages/exemption-criteria.aspx" TargetMode="External"/><Relationship Id="rId4" Type="http://schemas.openxmlformats.org/officeDocument/2006/relationships/footnotes" Target="footnotes.xml"/><Relationship Id="rId9" Type="http://schemas.openxmlformats.org/officeDocument/2006/relationships/hyperlink" Target="http://www.itu.int/itudoc/gs/council/c00/docs/28rev1.htm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TotalTime>
  <Pages>3</Pages>
  <Words>843</Words>
  <Characters>5295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6126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Demandes d'exonération de toute contribution au financement des dépenses relatives à la participation aux travaux de l'UIT</dc:title>
  <dc:subject>Council 2021, Virtual consultation of councillors</dc:subject>
  <dc:creator>Chanavat, Emilie</dc:creator>
  <cp:keywords>C2021, C21, VCC, C21-VCC-1</cp:keywords>
  <dc:description/>
  <cp:lastModifiedBy>Xue, Kun</cp:lastModifiedBy>
  <cp:revision>2</cp:revision>
  <cp:lastPrinted>2000-07-18T08:55:00Z</cp:lastPrinted>
  <dcterms:created xsi:type="dcterms:W3CDTF">2021-05-13T11:23:00Z</dcterms:created>
  <dcterms:modified xsi:type="dcterms:W3CDTF">2021-05-13T11:23:00Z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