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695EBE9" w14:textId="77777777">
        <w:trPr>
          <w:cantSplit/>
        </w:trPr>
        <w:tc>
          <w:tcPr>
            <w:tcW w:w="6911" w:type="dxa"/>
          </w:tcPr>
          <w:p w14:paraId="79DE88F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55E6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55E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520A8DDE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A0A32" w:rsidRPr="00ED5DA9">
              <w:rPr>
                <w:b/>
                <w:bCs/>
                <w:caps/>
                <w:color w:val="000000"/>
                <w:szCs w:val="22"/>
              </w:rPr>
              <w:t>ADM 11</w:t>
            </w:r>
          </w:p>
        </w:tc>
        <w:tc>
          <w:tcPr>
            <w:tcW w:w="3120" w:type="dxa"/>
          </w:tcPr>
          <w:p w14:paraId="42480DAF" w14:textId="71E28D15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8A0A32">
              <w:rPr>
                <w:b/>
                <w:bCs/>
                <w:szCs w:val="22"/>
                <w:lang w:val="en-US"/>
              </w:rPr>
              <w:t>39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35CC9FC4" w:rsidR="00BC7BC0" w:rsidRPr="001E6719" w:rsidRDefault="0064128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="008A0A32">
              <w:rPr>
                <w:b/>
                <w:bCs/>
                <w:szCs w:val="22"/>
                <w:lang w:val="en-US"/>
              </w:rPr>
              <w:t>8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891FC7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2D2E4130" w:rsidR="00BC7BC0" w:rsidRPr="00EB4FCB" w:rsidRDefault="00096EB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96EB6">
              <w:rPr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096EB6">
              <w:rPr>
                <w:lang w:val="ru-RU"/>
              </w:rPr>
              <w:br/>
              <w:t>связанных с участием в работе мсэ</w:t>
            </w:r>
          </w:p>
        </w:tc>
      </w:tr>
      <w:bookmarkEnd w:id="2"/>
    </w:tbl>
    <w:p w14:paraId="2B3B82E3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10710" w14:paraId="2B6D673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39EE" w14:textId="77777777" w:rsidR="00A3551A" w:rsidRPr="00A3551A" w:rsidRDefault="00A3551A" w:rsidP="00891FC7">
            <w:pPr>
              <w:pStyle w:val="Headingb"/>
              <w:rPr>
                <w:lang w:val="ru-RU"/>
              </w:rPr>
            </w:pPr>
            <w:r w:rsidRPr="00A3551A">
              <w:rPr>
                <w:lang w:val="ru-RU"/>
              </w:rPr>
              <w:t>Резюме</w:t>
            </w:r>
          </w:p>
          <w:p w14:paraId="4F291491" w14:textId="1497A3B2" w:rsidR="00EB08E3" w:rsidRPr="005F32B8" w:rsidRDefault="00096EB6" w:rsidP="007914D8">
            <w:pPr>
              <w:rPr>
                <w:highlight w:val="lightGray"/>
                <w:lang w:val="ru-RU"/>
              </w:rPr>
            </w:pPr>
            <w:r w:rsidRPr="00096EB6">
              <w:rPr>
                <w:lang w:val="ru-RU"/>
              </w:rPr>
              <w:t xml:space="preserve">Заявки на предоставление освобождения от финансовых взносов подали </w:t>
            </w:r>
            <w:r w:rsidR="008E6F40">
              <w:rPr>
                <w:lang w:val="ru-RU"/>
              </w:rPr>
              <w:t>пять</w:t>
            </w:r>
            <w:r w:rsidRPr="00096EB6">
              <w:rPr>
                <w:lang w:val="ru-RU"/>
              </w:rPr>
              <w:t xml:space="preserve"> организаций регионального или международного характера. В соответствии с руководящими указаниями Совет должен учитывать мнения, высказанные Генеральным секретарем о взаимных преимуществах участия этих организаций в деятельности Союза</w:t>
            </w:r>
            <w:r w:rsidR="00326964" w:rsidRPr="001D3E98">
              <w:rPr>
                <w:lang w:val="ru-RU"/>
              </w:rPr>
              <w:t>.</w:t>
            </w:r>
          </w:p>
          <w:p w14:paraId="4F848399" w14:textId="77777777" w:rsidR="00A3551A" w:rsidRPr="00A3551A" w:rsidRDefault="00A3551A" w:rsidP="00891FC7">
            <w:pPr>
              <w:pStyle w:val="Headingb"/>
              <w:rPr>
                <w:b w:val="0"/>
                <w:lang w:val="ru-RU"/>
              </w:rPr>
            </w:pPr>
            <w:r w:rsidRPr="00A3551A">
              <w:rPr>
                <w:lang w:val="ru-RU"/>
              </w:rPr>
              <w:t>Необходимые действия</w:t>
            </w:r>
          </w:p>
          <w:p w14:paraId="29B96A69" w14:textId="69746CB0" w:rsidR="00A3551A" w:rsidRPr="00096EB6" w:rsidRDefault="00096EB6" w:rsidP="00A3551A">
            <w:pPr>
              <w:rPr>
                <w:lang w:val="ru-RU"/>
              </w:rPr>
            </w:pPr>
            <w:r w:rsidRPr="00096EB6">
              <w:rPr>
                <w:lang w:val="ru-RU"/>
              </w:rPr>
              <w:t xml:space="preserve">Совету предлагается </w:t>
            </w:r>
            <w:r w:rsidRPr="00096EB6">
              <w:rPr>
                <w:b/>
                <w:bCs/>
                <w:lang w:val="ru-RU"/>
              </w:rPr>
              <w:t>рассмотреть</w:t>
            </w:r>
            <w:r w:rsidRPr="00096EB6">
              <w:rPr>
                <w:lang w:val="ru-RU"/>
              </w:rPr>
              <w:t xml:space="preserve"> эти заявки на принятие в качестве Членов Секторов, освобожденных от финансовых взносов, и </w:t>
            </w:r>
            <w:r w:rsidRPr="00096EB6">
              <w:rPr>
                <w:b/>
                <w:bCs/>
                <w:lang w:val="ru-RU"/>
              </w:rPr>
              <w:t>утвердить</w:t>
            </w:r>
            <w:r w:rsidRPr="00096EB6">
              <w:rPr>
                <w:lang w:val="ru-RU"/>
              </w:rPr>
              <w:t xml:space="preserve"> рекомендации, представленные Генеральным секретарем</w:t>
            </w:r>
            <w:r w:rsidR="005D6AC9" w:rsidRPr="005D6AC9">
              <w:rPr>
                <w:szCs w:val="18"/>
                <w:lang w:val="ru-RU"/>
              </w:rPr>
              <w:t>.</w:t>
            </w:r>
          </w:p>
          <w:p w14:paraId="49341237" w14:textId="77777777" w:rsidR="00A3551A" w:rsidRPr="00A3551A" w:rsidRDefault="00A3551A" w:rsidP="00A3551A">
            <w:pPr>
              <w:rPr>
                <w:lang w:val="ru-RU"/>
              </w:rPr>
            </w:pPr>
            <w:r w:rsidRPr="00A3551A">
              <w:rPr>
                <w:lang w:val="ru-RU"/>
              </w:rPr>
              <w:t>____________</w:t>
            </w:r>
          </w:p>
          <w:p w14:paraId="6DAB9A2D" w14:textId="77777777" w:rsidR="00A3551A" w:rsidRPr="00A3551A" w:rsidRDefault="00A3551A" w:rsidP="00891FC7">
            <w:pPr>
              <w:pStyle w:val="Headingb"/>
              <w:rPr>
                <w:b w:val="0"/>
                <w:lang w:val="ru-RU"/>
              </w:rPr>
            </w:pPr>
            <w:r w:rsidRPr="00A3551A">
              <w:rPr>
                <w:lang w:val="ru-RU"/>
              </w:rPr>
              <w:t>Справочные материалы</w:t>
            </w:r>
          </w:p>
          <w:p w14:paraId="745CE941" w14:textId="47150F82" w:rsidR="002D2F57" w:rsidRPr="00096EB6" w:rsidRDefault="00B10710" w:rsidP="00A3551A">
            <w:pPr>
              <w:rPr>
                <w:lang w:val="ru-RU"/>
              </w:rPr>
            </w:pPr>
            <w:hyperlink r:id="rId9" w:anchor="cv231" w:history="1">
              <w:r w:rsidR="00E85715">
                <w:rPr>
                  <w:rStyle w:val="Hyperlink"/>
                  <w:i/>
                  <w:iCs/>
                  <w:lang w:val="ru-RU"/>
                </w:rPr>
                <w:t>К</w:t>
              </w:r>
              <w:r w:rsidR="00E85715" w:rsidRPr="00E85715">
                <w:rPr>
                  <w:rStyle w:val="Hyperlink"/>
                  <w:i/>
                  <w:iCs/>
                  <w:lang w:val="ru-RU"/>
                </w:rPr>
                <w:t>231</w:t>
              </w:r>
            </w:hyperlink>
            <w:r w:rsidR="00E85715" w:rsidRPr="00E85715">
              <w:rPr>
                <w:i/>
                <w:iCs/>
                <w:lang w:val="ru-RU"/>
              </w:rPr>
              <w:t xml:space="preserve">, </w:t>
            </w:r>
            <w:r w:rsidR="00E85715">
              <w:rPr>
                <w:i/>
                <w:iCs/>
                <w:lang w:val="ru-RU"/>
              </w:rPr>
              <w:t xml:space="preserve">Документ </w:t>
            </w:r>
            <w:hyperlink r:id="rId10" w:tgtFrame="_blank" w:history="1">
              <w:r w:rsidR="00E85715" w:rsidRPr="00E85715">
                <w:rPr>
                  <w:rStyle w:val="Hyperlink"/>
                  <w:i/>
                  <w:iCs/>
                </w:rPr>
                <w:t>C</w:t>
              </w:r>
              <w:r w:rsidR="00E85715" w:rsidRPr="00E85715">
                <w:rPr>
                  <w:rStyle w:val="Hyperlink"/>
                  <w:i/>
                  <w:iCs/>
                  <w:lang w:val="ru-RU"/>
                </w:rPr>
                <w:t>2000/28(</w:t>
              </w:r>
              <w:r w:rsidR="00E85715" w:rsidRPr="00E85715">
                <w:rPr>
                  <w:rStyle w:val="Hyperlink"/>
                  <w:i/>
                  <w:iCs/>
                </w:rPr>
                <w:t>Rev</w:t>
              </w:r>
              <w:r w:rsidR="00E85715" w:rsidRPr="00E85715">
                <w:rPr>
                  <w:rStyle w:val="Hyperlink"/>
                  <w:i/>
                  <w:iCs/>
                  <w:lang w:val="ru-RU"/>
                </w:rPr>
                <w:t>.1)</w:t>
              </w:r>
            </w:hyperlink>
            <w:r w:rsidR="00E85715">
              <w:rPr>
                <w:i/>
                <w:iCs/>
                <w:lang w:val="ru-RU"/>
              </w:rPr>
              <w:t xml:space="preserve"> </w:t>
            </w:r>
          </w:p>
        </w:tc>
      </w:tr>
    </w:tbl>
    <w:p w14:paraId="56CB6068" w14:textId="77777777" w:rsidR="00F517CF" w:rsidRPr="00F517CF" w:rsidRDefault="00F517CF" w:rsidP="00891FC7">
      <w:pPr>
        <w:pStyle w:val="Headingb"/>
        <w:spacing w:before="360"/>
        <w:rPr>
          <w:b w:val="0"/>
          <w:lang w:val="ru-RU"/>
        </w:rPr>
      </w:pPr>
      <w:r w:rsidRPr="00F517CF">
        <w:rPr>
          <w:lang w:val="ru-RU"/>
        </w:rPr>
        <w:t>Базовая информация</w:t>
      </w:r>
    </w:p>
    <w:p w14:paraId="533E6593" w14:textId="6765309C" w:rsidR="00F517CF" w:rsidRPr="00F517CF" w:rsidRDefault="00F517CF" w:rsidP="00F517CF">
      <w:pPr>
        <w:rPr>
          <w:rFonts w:asciiTheme="minorHAnsi" w:eastAsia="SimSun" w:hAnsiTheme="minorHAnsi"/>
          <w:lang w:val="ru-RU" w:eastAsia="zh-CN"/>
        </w:rPr>
      </w:pPr>
      <w:r w:rsidRPr="00F517CF">
        <w:rPr>
          <w:lang w:val="ru-RU"/>
        </w:rPr>
        <w:t>1.1</w:t>
      </w:r>
      <w:r w:rsidRPr="00F517CF">
        <w:rPr>
          <w:lang w:val="ru-RU"/>
        </w:rPr>
        <w:tab/>
        <w:t>Критерии и руководящие указания по предоставлению освобождения на основе "взаимных преимуществ" были приняты на сессии Совета 2000 года (Документ</w:t>
      </w:r>
      <w:r w:rsidR="000D1375">
        <w:rPr>
          <w:lang w:val="ru-RU"/>
        </w:rPr>
        <w:t xml:space="preserve"> </w:t>
      </w:r>
      <w:hyperlink r:id="rId11" w:tgtFrame="_blank" w:history="1">
        <w:r w:rsidR="000D1375" w:rsidRPr="00055FE2">
          <w:rPr>
            <w:rStyle w:val="normaltextrun"/>
            <w:rFonts w:asciiTheme="minorHAnsi" w:hAnsiTheme="minorHAnsi" w:cstheme="minorHAnsi"/>
            <w:color w:val="0000FF"/>
            <w:u w:val="single"/>
          </w:rPr>
          <w:t>C</w:t>
        </w:r>
        <w:r w:rsidR="000D1375" w:rsidRPr="000D1375">
          <w:rPr>
            <w:rStyle w:val="normaltextrun"/>
            <w:rFonts w:asciiTheme="minorHAnsi" w:hAnsiTheme="minorHAnsi" w:cstheme="minorHAnsi"/>
            <w:color w:val="0000FF"/>
            <w:u w:val="single"/>
            <w:lang w:val="ru-RU"/>
          </w:rPr>
          <w:t>2000/28</w:t>
        </w:r>
        <w:r w:rsidR="000D1375" w:rsidRPr="000D1375">
          <w:rPr>
            <w:rStyle w:val="normaltextrun"/>
            <w:rFonts w:asciiTheme="minorHAnsi" w:hAnsiTheme="minorHAnsi" w:cstheme="minorHAnsi"/>
            <w:caps/>
            <w:color w:val="0000FF"/>
            <w:u w:val="single"/>
            <w:lang w:val="ru-RU"/>
          </w:rPr>
          <w:t>(</w:t>
        </w:r>
        <w:r w:rsidR="000D1375" w:rsidRPr="00055FE2">
          <w:rPr>
            <w:rStyle w:val="normaltextrun"/>
            <w:rFonts w:asciiTheme="minorHAnsi" w:hAnsiTheme="minorHAnsi" w:cstheme="minorHAnsi"/>
            <w:color w:val="0000FF"/>
            <w:u w:val="single"/>
          </w:rPr>
          <w:t>Rev</w:t>
        </w:r>
        <w:r w:rsidR="000D1375" w:rsidRPr="000D1375">
          <w:rPr>
            <w:rStyle w:val="normaltextrun"/>
            <w:rFonts w:asciiTheme="minorHAnsi" w:hAnsiTheme="minorHAnsi" w:cstheme="minorHAnsi"/>
            <w:color w:val="0000FF"/>
            <w:u w:val="single"/>
            <w:lang w:val="ru-RU"/>
          </w:rPr>
          <w:t>.</w:t>
        </w:r>
        <w:r w:rsidR="000D1375" w:rsidRPr="000D1375">
          <w:rPr>
            <w:rStyle w:val="normaltextrun"/>
            <w:rFonts w:asciiTheme="minorHAnsi" w:hAnsiTheme="minorHAnsi" w:cstheme="minorHAnsi"/>
            <w:caps/>
            <w:color w:val="0000FF"/>
            <w:u w:val="single"/>
            <w:lang w:val="ru-RU"/>
          </w:rPr>
          <w:t>1)</w:t>
        </w:r>
      </w:hyperlink>
      <w:r w:rsidRPr="00F517CF">
        <w:rPr>
          <w:lang w:val="ru-RU"/>
        </w:rPr>
        <w:t>).</w:t>
      </w:r>
      <w:r w:rsidRPr="00F517CF">
        <w:rPr>
          <w:rFonts w:asciiTheme="minorHAnsi" w:eastAsia="SimSun" w:hAnsiTheme="minorHAnsi"/>
          <w:lang w:val="ru-RU" w:eastAsia="zh-CN"/>
        </w:rPr>
        <w:t xml:space="preserve"> Эти критерии были проанализированы и пересмотрены на сессии Совета 2017 года. Критерии размещены </w:t>
      </w:r>
      <w:hyperlink r:id="rId12" w:history="1">
        <w:r w:rsidRPr="00F517CF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здесь</w:t>
        </w:r>
      </w:hyperlink>
      <w:r w:rsidRPr="00F517CF">
        <w:rPr>
          <w:rFonts w:asciiTheme="minorHAnsi" w:eastAsia="SimSun" w:hAnsiTheme="minorHAnsi"/>
          <w:lang w:val="ru-RU" w:eastAsia="zh-CN"/>
        </w:rPr>
        <w:t>.</w:t>
      </w:r>
    </w:p>
    <w:p w14:paraId="1BCB928B" w14:textId="2E3E9317" w:rsidR="00F517CF" w:rsidRPr="00F517CF" w:rsidRDefault="00F517CF" w:rsidP="00F517CF">
      <w:pPr>
        <w:rPr>
          <w:lang w:val="ru-RU"/>
        </w:rPr>
      </w:pPr>
      <w:r w:rsidRPr="00F517CF">
        <w:rPr>
          <w:color w:val="000000"/>
          <w:lang w:val="ru-RU"/>
        </w:rPr>
        <w:t>1.2</w:t>
      </w:r>
      <w:r w:rsidRPr="00F517CF">
        <w:rPr>
          <w:color w:val="000000"/>
          <w:lang w:val="ru-RU"/>
        </w:rPr>
        <w:tab/>
        <w:t>Освобождение от уплаты взносов предоставляется Советом на основании анализа, проведенного соответствующими Бюро, и рекомендации Генерального секретаря</w:t>
      </w:r>
      <w:r w:rsidRPr="00F517CF">
        <w:rPr>
          <w:lang w:val="ru-RU"/>
        </w:rPr>
        <w:t xml:space="preserve">. Основные критерии заключаются в том, что объединение должно быть юридически признанной некоммерческой региональной или международной организацией, занимающейся вопросами электросвязи/ИКТ, иметь некоммерческих членов и проводить деятельность в нескольких странах, а также предлагать МСЭ ответные выгоды. В случае утверждения такие организации становятся </w:t>
      </w:r>
      <w:r w:rsidRPr="00F517CF">
        <w:rPr>
          <w:color w:val="000000"/>
          <w:lang w:val="ru-RU"/>
        </w:rPr>
        <w:t xml:space="preserve">Членами Секторов или Ассоциированными членами согласно </w:t>
      </w:r>
      <w:r w:rsidRPr="00F517CF">
        <w:rPr>
          <w:lang w:val="ru-RU"/>
        </w:rPr>
        <w:t>п. 231 Конвенции.</w:t>
      </w:r>
    </w:p>
    <w:p w14:paraId="6BC1A5AD" w14:textId="398F81D8" w:rsidR="00F517CF" w:rsidRPr="00F517CF" w:rsidRDefault="00436A71" w:rsidP="00F517C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160"/>
        <w:textAlignment w:val="auto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 xml:space="preserve">Заявки и </w:t>
      </w:r>
      <w:r w:rsidR="007343A9">
        <w:rPr>
          <w:b/>
          <w:szCs w:val="22"/>
          <w:lang w:val="ru-RU"/>
        </w:rPr>
        <w:t>р</w:t>
      </w:r>
      <w:r w:rsidR="00F517CF" w:rsidRPr="00F517CF">
        <w:rPr>
          <w:b/>
          <w:szCs w:val="22"/>
          <w:lang w:val="ru-RU"/>
        </w:rPr>
        <w:t>екомендации</w:t>
      </w:r>
    </w:p>
    <w:p w14:paraId="7EFDCD1D" w14:textId="7B0BF635" w:rsidR="00F517CF" w:rsidRPr="00F517CF" w:rsidRDefault="00F517CF" w:rsidP="00F517C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F517CF">
        <w:rPr>
          <w:szCs w:val="22"/>
          <w:lang w:val="ru-RU"/>
        </w:rPr>
        <w:t>2</w:t>
      </w:r>
      <w:r w:rsidRPr="00F517CF">
        <w:rPr>
          <w:szCs w:val="22"/>
          <w:lang w:val="ru-RU"/>
        </w:rPr>
        <w:tab/>
        <w:t xml:space="preserve">Получены и представляются </w:t>
      </w:r>
      <w:r w:rsidR="00671E4F" w:rsidRPr="00671E4F">
        <w:rPr>
          <w:szCs w:val="22"/>
          <w:lang w:val="ru-RU"/>
        </w:rPr>
        <w:t>для принятия соответствующих мер</w:t>
      </w:r>
      <w:r w:rsidR="00671E4F" w:rsidRPr="00F517CF">
        <w:rPr>
          <w:szCs w:val="22"/>
          <w:lang w:val="ru-RU"/>
        </w:rPr>
        <w:t xml:space="preserve"> </w:t>
      </w:r>
      <w:r w:rsidRPr="00F517CF">
        <w:rPr>
          <w:szCs w:val="22"/>
          <w:lang w:val="ru-RU"/>
        </w:rPr>
        <w:t>нижеследующие заявки.</w:t>
      </w:r>
    </w:p>
    <w:p w14:paraId="69B2C7B2" w14:textId="77777777" w:rsidR="00F517CF" w:rsidRPr="00F517CF" w:rsidRDefault="00F517CF" w:rsidP="00F517CF">
      <w:pPr>
        <w:keepNext/>
        <w:keepLines/>
        <w:spacing w:after="120"/>
        <w:rPr>
          <w:b/>
          <w:lang w:val="ru-RU"/>
        </w:rPr>
      </w:pPr>
      <w:r w:rsidRPr="00F517CF">
        <w:rPr>
          <w:lang w:val="ru-RU"/>
        </w:rPr>
        <w:t>2.1</w:t>
      </w:r>
    </w:p>
    <w:tbl>
      <w:tblPr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3"/>
        <w:gridCol w:w="1699"/>
        <w:gridCol w:w="1985"/>
      </w:tblGrid>
      <w:tr w:rsidR="00671E4F" w:rsidRPr="00F517CF" w14:paraId="367EBEE2" w14:textId="77777777" w:rsidTr="00891FC7">
        <w:trPr>
          <w:cantSplit/>
          <w:trHeight w:val="399"/>
        </w:trPr>
        <w:tc>
          <w:tcPr>
            <w:tcW w:w="2758" w:type="pct"/>
            <w:vAlign w:val="center"/>
          </w:tcPr>
          <w:p w14:paraId="0AA3E2BD" w14:textId="77777777" w:rsidR="00671E4F" w:rsidRPr="00891FC7" w:rsidRDefault="00671E4F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034" w:type="pct"/>
            <w:vAlign w:val="center"/>
          </w:tcPr>
          <w:p w14:paraId="4C3E35CA" w14:textId="77777777" w:rsidR="00671E4F" w:rsidRPr="00891FC7" w:rsidRDefault="00671E4F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208" w:type="pct"/>
            <w:vAlign w:val="center"/>
          </w:tcPr>
          <w:p w14:paraId="36F029C2" w14:textId="77777777" w:rsidR="00671E4F" w:rsidRPr="00891FC7" w:rsidRDefault="00671E4F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671E4F" w:rsidRPr="00F517CF" w14:paraId="3644EE02" w14:textId="77777777" w:rsidTr="00891FC7">
        <w:trPr>
          <w:cantSplit/>
          <w:trHeight w:val="343"/>
        </w:trPr>
        <w:tc>
          <w:tcPr>
            <w:tcW w:w="2758" w:type="pct"/>
          </w:tcPr>
          <w:p w14:paraId="376DC1EA" w14:textId="006DB3F5" w:rsidR="00671E4F" w:rsidRPr="00891FC7" w:rsidRDefault="00671E4F" w:rsidP="00891FC7">
            <w:pPr>
              <w:pStyle w:val="Tabletext"/>
              <w:rPr>
                <w:b/>
                <w:lang w:val="ru-RU"/>
              </w:rPr>
            </w:pPr>
            <w:r w:rsidRPr="00891FC7">
              <w:rPr>
                <w:b/>
                <w:lang w:val="ru-RU"/>
              </w:rPr>
              <w:t>Сообществ</w:t>
            </w:r>
            <w:r w:rsidR="00D878B7" w:rsidRPr="00891FC7">
              <w:rPr>
                <w:b/>
                <w:lang w:val="ru-RU"/>
              </w:rPr>
              <w:t>о</w:t>
            </w:r>
            <w:r w:rsidRPr="00891FC7">
              <w:rPr>
                <w:b/>
                <w:lang w:val="ru-RU"/>
              </w:rPr>
              <w:t xml:space="preserve"> по вопросам развития юга Африки (САДК)</w:t>
            </w:r>
          </w:p>
        </w:tc>
        <w:tc>
          <w:tcPr>
            <w:tcW w:w="1034" w:type="pct"/>
          </w:tcPr>
          <w:p w14:paraId="0E2A23BE" w14:textId="77777777" w:rsidR="00671E4F" w:rsidRDefault="00671E4F" w:rsidP="00891FC7">
            <w:pPr>
              <w:pStyle w:val="Tabletext"/>
              <w:jc w:val="center"/>
              <w:rPr>
                <w:lang w:val="en-US"/>
              </w:rPr>
            </w:pPr>
            <w:r w:rsidRPr="00F517CF">
              <w:rPr>
                <w:lang w:val="ru-RU"/>
              </w:rPr>
              <w:t>МСЭ-</w:t>
            </w:r>
            <w:r>
              <w:rPr>
                <w:lang w:val="en-US"/>
              </w:rPr>
              <w:t>R</w:t>
            </w:r>
          </w:p>
          <w:p w14:paraId="08B4F15F" w14:textId="51337757" w:rsidR="00671E4F" w:rsidRPr="00F517CF" w:rsidRDefault="00671E4F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МСЭ-Т</w:t>
            </w:r>
          </w:p>
        </w:tc>
        <w:tc>
          <w:tcPr>
            <w:tcW w:w="1208" w:type="pct"/>
          </w:tcPr>
          <w:p w14:paraId="633CF396" w14:textId="77777777" w:rsidR="00671E4F" w:rsidRDefault="00671E4F" w:rsidP="00891FC7">
            <w:pPr>
              <w:pStyle w:val="Tabletext"/>
              <w:jc w:val="center"/>
              <w:rPr>
                <w:lang w:val="ru-RU"/>
              </w:rPr>
            </w:pPr>
            <w:r w:rsidRPr="00F517CF">
              <w:rPr>
                <w:lang w:val="ru-RU"/>
              </w:rPr>
              <w:t>ДА</w:t>
            </w:r>
          </w:p>
          <w:p w14:paraId="3025D40E" w14:textId="6E244C7A" w:rsidR="00671E4F" w:rsidRPr="00F517CF" w:rsidRDefault="00671E4F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14:paraId="0D6BA32A" w14:textId="6A72FF0A" w:rsidR="00F517CF" w:rsidRPr="00F517CF" w:rsidRDefault="0043184F" w:rsidP="00F517CF">
      <w:pPr>
        <w:rPr>
          <w:rFonts w:cstheme="minorHAnsi"/>
          <w:lang w:val="ru-RU"/>
        </w:rPr>
      </w:pPr>
      <w:r w:rsidRPr="0043184F">
        <w:rPr>
          <w:lang w:val="ru-RU"/>
        </w:rPr>
        <w:t xml:space="preserve">Сообщество </w:t>
      </w:r>
      <w:r>
        <w:rPr>
          <w:lang w:val="ru-RU"/>
        </w:rPr>
        <w:t xml:space="preserve">по вопросам </w:t>
      </w:r>
      <w:r w:rsidRPr="0043184F">
        <w:rPr>
          <w:lang w:val="ru-RU"/>
        </w:rPr>
        <w:t xml:space="preserve">развития юга Африки </w:t>
      </w:r>
      <w:r w:rsidR="00D878B7">
        <w:rPr>
          <w:lang w:val="ru-RU"/>
        </w:rPr>
        <w:t xml:space="preserve">(САДК) </w:t>
      </w:r>
      <w:r w:rsidR="00A24084">
        <w:rPr>
          <w:lang w:val="ru-RU"/>
        </w:rPr>
        <w:t>–</w:t>
      </w:r>
      <w:r w:rsidRPr="0043184F">
        <w:rPr>
          <w:lang w:val="ru-RU"/>
        </w:rPr>
        <w:t xml:space="preserve"> межправительственная организация со штаб-квартирой в Ботсване</w:t>
      </w:r>
      <w:r w:rsidR="00A24084">
        <w:rPr>
          <w:lang w:val="ru-RU"/>
        </w:rPr>
        <w:t xml:space="preserve">, </w:t>
      </w:r>
      <w:r w:rsidRPr="0043184F">
        <w:rPr>
          <w:lang w:val="ru-RU"/>
        </w:rPr>
        <w:t>цель</w:t>
      </w:r>
      <w:r w:rsidR="00A24084">
        <w:rPr>
          <w:lang w:val="ru-RU"/>
        </w:rPr>
        <w:t>ю которой является</w:t>
      </w:r>
      <w:r w:rsidRPr="0043184F">
        <w:rPr>
          <w:lang w:val="ru-RU"/>
        </w:rPr>
        <w:t xml:space="preserve"> </w:t>
      </w:r>
      <w:r w:rsidR="005D373B" w:rsidRPr="005D373B">
        <w:rPr>
          <w:lang w:val="ru-RU"/>
        </w:rPr>
        <w:t xml:space="preserve">дальнейшее </w:t>
      </w:r>
      <w:r w:rsidR="00A24084">
        <w:rPr>
          <w:lang w:val="ru-RU"/>
        </w:rPr>
        <w:t xml:space="preserve">содействие </w:t>
      </w:r>
      <w:r w:rsidRPr="0043184F">
        <w:rPr>
          <w:lang w:val="ru-RU"/>
        </w:rPr>
        <w:t xml:space="preserve">региональному социально-экономическому сотрудничеству и интеграции, а также сотрудничеству в области политики и безопасности между 16 странами юга Африки. САДК </w:t>
      </w:r>
      <w:r w:rsidR="00C46CAF" w:rsidRPr="00C46CAF">
        <w:rPr>
          <w:lang w:val="ru-RU"/>
        </w:rPr>
        <w:t xml:space="preserve">уже предоставлено освобождение от уплаты взносов как </w:t>
      </w:r>
      <w:r w:rsidR="00E41BCD">
        <w:rPr>
          <w:lang w:val="ru-RU"/>
        </w:rPr>
        <w:t>Ч</w:t>
      </w:r>
      <w:r w:rsidR="00C46CAF">
        <w:rPr>
          <w:lang w:val="ru-RU"/>
        </w:rPr>
        <w:t xml:space="preserve">лену </w:t>
      </w:r>
      <w:r w:rsidR="00D660DF">
        <w:rPr>
          <w:lang w:val="ru-RU"/>
        </w:rPr>
        <w:t>МСЭ</w:t>
      </w:r>
      <w:r w:rsidRPr="0043184F">
        <w:rPr>
          <w:lang w:val="ru-RU"/>
        </w:rPr>
        <w:t>-</w:t>
      </w:r>
      <w:r w:rsidRPr="0043184F">
        <w:t>D</w:t>
      </w:r>
      <w:r w:rsidRPr="0043184F">
        <w:rPr>
          <w:lang w:val="ru-RU"/>
        </w:rPr>
        <w:t>.</w:t>
      </w:r>
      <w:r>
        <w:rPr>
          <w:lang w:val="ru-RU"/>
        </w:rPr>
        <w:t xml:space="preserve"> </w:t>
      </w:r>
      <w:r w:rsidR="00F517CF" w:rsidRPr="00F517CF">
        <w:rPr>
          <w:rFonts w:cstheme="minorHAnsi"/>
          <w:lang w:val="ru-RU"/>
        </w:rPr>
        <w:t xml:space="preserve">Секретариат считает, что </w:t>
      </w:r>
      <w:r w:rsidR="007D0431">
        <w:rPr>
          <w:lang w:val="ru-RU"/>
        </w:rPr>
        <w:t>это учреждение</w:t>
      </w:r>
      <w:r w:rsidR="00F517CF" w:rsidRPr="00F517CF">
        <w:rPr>
          <w:lang w:val="ru-RU"/>
        </w:rPr>
        <w:t xml:space="preserve"> </w:t>
      </w:r>
      <w:r w:rsidR="00F517CF" w:rsidRPr="00F517CF">
        <w:rPr>
          <w:rFonts w:cstheme="minorHAnsi"/>
          <w:lang w:val="ru-RU"/>
        </w:rPr>
        <w:t>удовлетворяет критериям предоставления освобождения от взносов по линии МСЭ-</w:t>
      </w:r>
      <w:r w:rsidR="007D0431">
        <w:rPr>
          <w:rFonts w:cstheme="minorHAnsi"/>
          <w:lang w:val="en-US"/>
        </w:rPr>
        <w:t>R</w:t>
      </w:r>
      <w:r w:rsidR="007D0431" w:rsidRPr="007D0431">
        <w:rPr>
          <w:rFonts w:cstheme="minorHAnsi"/>
          <w:lang w:val="ru-RU"/>
        </w:rPr>
        <w:t xml:space="preserve"> </w:t>
      </w:r>
      <w:r w:rsidR="007D0431">
        <w:rPr>
          <w:rFonts w:cstheme="minorHAnsi"/>
          <w:lang w:val="ru-RU"/>
        </w:rPr>
        <w:t>и МСЭ-</w:t>
      </w:r>
      <w:r w:rsidR="007D0431">
        <w:rPr>
          <w:rFonts w:cstheme="minorHAnsi"/>
          <w:lang w:val="en-US"/>
        </w:rPr>
        <w:t>T</w:t>
      </w:r>
      <w:r w:rsidR="00F517CF" w:rsidRPr="00F517CF">
        <w:rPr>
          <w:rFonts w:cstheme="minorHAnsi"/>
          <w:lang w:val="ru-RU"/>
        </w:rPr>
        <w:t>.</w:t>
      </w:r>
    </w:p>
    <w:p w14:paraId="755F2CF7" w14:textId="77777777" w:rsidR="00F517CF" w:rsidRPr="00F517CF" w:rsidRDefault="00F517CF" w:rsidP="00F517CF">
      <w:pPr>
        <w:spacing w:after="120"/>
        <w:rPr>
          <w:lang w:val="ru-RU"/>
        </w:rPr>
      </w:pPr>
      <w:r w:rsidRPr="00F517CF">
        <w:rPr>
          <w:rFonts w:cs="Calibri"/>
          <w:lang w:val="ru-RU"/>
        </w:rPr>
        <w:t>2</w:t>
      </w:r>
      <w:r w:rsidRPr="00F517CF">
        <w:rPr>
          <w:lang w:val="ru-RU"/>
        </w:rPr>
        <w:t>.2</w:t>
      </w: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698"/>
        <w:gridCol w:w="1988"/>
      </w:tblGrid>
      <w:tr w:rsidR="007D0431" w:rsidRPr="00F517CF" w14:paraId="204E8034" w14:textId="77777777" w:rsidTr="00891FC7">
        <w:trPr>
          <w:cantSplit/>
        </w:trPr>
        <w:tc>
          <w:tcPr>
            <w:tcW w:w="4528" w:type="dxa"/>
            <w:vAlign w:val="center"/>
          </w:tcPr>
          <w:p w14:paraId="5F4CEE19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698" w:type="dxa"/>
            <w:tcBorders>
              <w:bottom w:val="single" w:sz="6" w:space="0" w:color="auto"/>
            </w:tcBorders>
            <w:vAlign w:val="center"/>
          </w:tcPr>
          <w:p w14:paraId="2557245A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988" w:type="dxa"/>
            <w:tcBorders>
              <w:bottom w:val="single" w:sz="6" w:space="0" w:color="auto"/>
            </w:tcBorders>
            <w:vAlign w:val="center"/>
          </w:tcPr>
          <w:p w14:paraId="5DF1CCE6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7D0431" w:rsidRPr="00F517CF" w14:paraId="5A370106" w14:textId="77777777" w:rsidTr="00891FC7">
        <w:trPr>
          <w:cantSplit/>
          <w:trHeight w:val="623"/>
        </w:trPr>
        <w:tc>
          <w:tcPr>
            <w:tcW w:w="4528" w:type="dxa"/>
            <w:vAlign w:val="center"/>
          </w:tcPr>
          <w:p w14:paraId="7E990CE6" w14:textId="560927E3" w:rsidR="007D0431" w:rsidRPr="00891FC7" w:rsidRDefault="007D0431" w:rsidP="00891FC7">
            <w:pPr>
              <w:pStyle w:val="Tabletext"/>
              <w:rPr>
                <w:b/>
                <w:lang w:val="ru-RU"/>
              </w:rPr>
            </w:pPr>
            <w:r w:rsidRPr="00891FC7">
              <w:rPr>
                <w:b/>
                <w:iCs/>
                <w:lang w:val="es-ES_tradnl"/>
              </w:rPr>
              <w:t>IoT Lab</w:t>
            </w:r>
          </w:p>
        </w:tc>
        <w:tc>
          <w:tcPr>
            <w:tcW w:w="1698" w:type="dxa"/>
            <w:vAlign w:val="center"/>
          </w:tcPr>
          <w:p w14:paraId="5090D4BB" w14:textId="77777777" w:rsidR="007D0431" w:rsidRPr="00F517CF" w:rsidRDefault="007D0431" w:rsidP="00891FC7">
            <w:pPr>
              <w:pStyle w:val="Tabletext"/>
              <w:jc w:val="center"/>
              <w:rPr>
                <w:lang w:val="ru-RU"/>
              </w:rPr>
            </w:pPr>
            <w:r w:rsidRPr="00F517CF">
              <w:rPr>
                <w:lang w:val="ru-RU"/>
              </w:rPr>
              <w:t>МСЭ-Т</w:t>
            </w:r>
          </w:p>
        </w:tc>
        <w:tc>
          <w:tcPr>
            <w:tcW w:w="1988" w:type="dxa"/>
            <w:vAlign w:val="center"/>
          </w:tcPr>
          <w:p w14:paraId="65326AC5" w14:textId="3D708906" w:rsidR="007D0431" w:rsidRPr="00F517CF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D0431">
              <w:t>тложить рассмотрение</w:t>
            </w:r>
          </w:p>
        </w:tc>
      </w:tr>
    </w:tbl>
    <w:p w14:paraId="71904C94" w14:textId="57F92CEC" w:rsidR="00F517CF" w:rsidRPr="00891FC7" w:rsidRDefault="00740010" w:rsidP="00F517CF">
      <w:pPr>
        <w:rPr>
          <w:lang w:val="ru-RU"/>
        </w:rPr>
      </w:pPr>
      <w:r w:rsidRPr="00740010">
        <w:rPr>
          <w:lang w:val="en-US"/>
        </w:rPr>
        <w:t>IoT</w:t>
      </w:r>
      <w:r w:rsidRPr="00740010">
        <w:rPr>
          <w:lang w:val="ru-RU"/>
        </w:rPr>
        <w:t xml:space="preserve"> </w:t>
      </w:r>
      <w:r w:rsidRPr="00740010">
        <w:rPr>
          <w:lang w:val="en-US"/>
        </w:rPr>
        <w:t>Lab</w:t>
      </w:r>
      <w:r w:rsidRPr="00740010">
        <w:rPr>
          <w:lang w:val="ru-RU"/>
        </w:rPr>
        <w:t xml:space="preserve"> </w:t>
      </w:r>
      <w:r w:rsidR="00F048CE">
        <w:rPr>
          <w:lang w:val="ru-RU"/>
        </w:rPr>
        <w:t>–</w:t>
      </w:r>
      <w:r w:rsidR="00A72E9A">
        <w:rPr>
          <w:lang w:val="ru-RU"/>
        </w:rPr>
        <w:t xml:space="preserve"> </w:t>
      </w:r>
      <w:r w:rsidRPr="00740010">
        <w:rPr>
          <w:lang w:val="ru-RU"/>
        </w:rPr>
        <w:t xml:space="preserve">международная платформа услуг и ресурсов для </w:t>
      </w:r>
      <w:r w:rsidR="00F048CE">
        <w:rPr>
          <w:lang w:val="ru-RU"/>
        </w:rPr>
        <w:t>и</w:t>
      </w:r>
      <w:r w:rsidRPr="00740010">
        <w:rPr>
          <w:lang w:val="ru-RU"/>
        </w:rPr>
        <w:t>нтернета вещей (</w:t>
      </w:r>
      <w:r w:rsidRPr="00740010">
        <w:rPr>
          <w:lang w:val="en-US"/>
        </w:rPr>
        <w:t>IoT</w:t>
      </w:r>
      <w:r w:rsidRPr="00740010">
        <w:rPr>
          <w:lang w:val="ru-RU"/>
        </w:rPr>
        <w:t xml:space="preserve">), объединяющая сообщества, </w:t>
      </w:r>
      <w:r w:rsidR="00821127">
        <w:rPr>
          <w:lang w:val="ru-RU"/>
        </w:rPr>
        <w:t xml:space="preserve">в область интересов которых входят </w:t>
      </w:r>
      <w:r w:rsidRPr="00740010">
        <w:rPr>
          <w:lang w:val="ru-RU"/>
        </w:rPr>
        <w:t>услуг</w:t>
      </w:r>
      <w:r w:rsidR="00821127">
        <w:rPr>
          <w:lang w:val="ru-RU"/>
        </w:rPr>
        <w:t>и</w:t>
      </w:r>
      <w:r w:rsidRPr="00740010">
        <w:rPr>
          <w:lang w:val="ru-RU"/>
        </w:rPr>
        <w:t xml:space="preserve"> </w:t>
      </w:r>
      <w:r w:rsidRPr="00740010">
        <w:rPr>
          <w:lang w:val="en-US"/>
        </w:rPr>
        <w:t>IoT</w:t>
      </w:r>
      <w:r w:rsidRPr="00740010">
        <w:rPr>
          <w:lang w:val="ru-RU"/>
        </w:rPr>
        <w:t xml:space="preserve">, </w:t>
      </w:r>
      <w:r w:rsidR="000F2F32" w:rsidRPr="000F2F32">
        <w:rPr>
          <w:lang w:val="ru-RU"/>
        </w:rPr>
        <w:t>неприкосновенност</w:t>
      </w:r>
      <w:r w:rsidR="000F2F32">
        <w:rPr>
          <w:lang w:val="ru-RU"/>
        </w:rPr>
        <w:t>ь</w:t>
      </w:r>
      <w:r w:rsidR="000F2F32" w:rsidRPr="000F2F32">
        <w:rPr>
          <w:lang w:val="ru-RU"/>
        </w:rPr>
        <w:t xml:space="preserve"> частной жизни </w:t>
      </w:r>
      <w:r w:rsidRPr="00740010">
        <w:rPr>
          <w:lang w:val="ru-RU"/>
        </w:rPr>
        <w:t>и безопасност</w:t>
      </w:r>
      <w:r w:rsidR="000F2F32">
        <w:rPr>
          <w:lang w:val="ru-RU"/>
        </w:rPr>
        <w:t>ь</w:t>
      </w:r>
      <w:r w:rsidRPr="00740010">
        <w:rPr>
          <w:lang w:val="ru-RU"/>
        </w:rPr>
        <w:t>, тестировани</w:t>
      </w:r>
      <w:r w:rsidR="008916CC">
        <w:rPr>
          <w:lang w:val="ru-RU"/>
        </w:rPr>
        <w:t>е</w:t>
      </w:r>
      <w:r w:rsidRPr="00740010">
        <w:rPr>
          <w:lang w:val="ru-RU"/>
        </w:rPr>
        <w:t xml:space="preserve"> и передач</w:t>
      </w:r>
      <w:r w:rsidR="008916CC">
        <w:rPr>
          <w:lang w:val="ru-RU"/>
        </w:rPr>
        <w:t>а</w:t>
      </w:r>
      <w:r w:rsidRPr="00740010">
        <w:rPr>
          <w:lang w:val="ru-RU"/>
        </w:rPr>
        <w:t xml:space="preserve"> технологий. Это относительно новая организация, и </w:t>
      </w:r>
      <w:r w:rsidR="000C48AE" w:rsidRPr="00F517CF">
        <w:rPr>
          <w:lang w:val="ru-RU"/>
        </w:rPr>
        <w:t>"взаимны</w:t>
      </w:r>
      <w:r w:rsidR="0028084E">
        <w:rPr>
          <w:lang w:val="ru-RU"/>
        </w:rPr>
        <w:t>е</w:t>
      </w:r>
      <w:r w:rsidR="000C48AE" w:rsidRPr="00F517CF">
        <w:rPr>
          <w:lang w:val="ru-RU"/>
        </w:rPr>
        <w:t xml:space="preserve"> преимуществ</w:t>
      </w:r>
      <w:r w:rsidR="0028084E">
        <w:rPr>
          <w:lang w:val="ru-RU"/>
        </w:rPr>
        <w:t>а</w:t>
      </w:r>
      <w:r w:rsidR="000C48AE" w:rsidRPr="00F517CF">
        <w:rPr>
          <w:lang w:val="ru-RU"/>
        </w:rPr>
        <w:t>"</w:t>
      </w:r>
      <w:r w:rsidR="0028084E">
        <w:rPr>
          <w:lang w:val="ru-RU"/>
        </w:rPr>
        <w:t xml:space="preserve"> </w:t>
      </w:r>
      <w:r w:rsidR="001F2F66" w:rsidRPr="001F2F66">
        <w:rPr>
          <w:lang w:val="ru-RU"/>
        </w:rPr>
        <w:t xml:space="preserve">участия </w:t>
      </w:r>
      <w:r w:rsidRPr="00740010">
        <w:rPr>
          <w:lang w:val="ru-RU"/>
        </w:rPr>
        <w:t>пока не ясн</w:t>
      </w:r>
      <w:r w:rsidR="00FD520A">
        <w:rPr>
          <w:lang w:val="ru-RU"/>
        </w:rPr>
        <w:t>ы</w:t>
      </w:r>
      <w:r w:rsidRPr="00740010">
        <w:rPr>
          <w:lang w:val="ru-RU"/>
        </w:rPr>
        <w:t xml:space="preserve">. </w:t>
      </w:r>
      <w:r w:rsidR="007343A9">
        <w:rPr>
          <w:lang w:val="ru-RU"/>
        </w:rPr>
        <w:t>Для того</w:t>
      </w:r>
      <w:r w:rsidR="00F97138" w:rsidRPr="00891FC7">
        <w:rPr>
          <w:lang w:val="ru-RU"/>
        </w:rPr>
        <w:t xml:space="preserve"> </w:t>
      </w:r>
      <w:r w:rsidR="00F97138">
        <w:rPr>
          <w:lang w:val="ru-RU"/>
        </w:rPr>
        <w:t>чтобы</w:t>
      </w:r>
      <w:r w:rsidRPr="00740010">
        <w:rPr>
          <w:lang w:val="ru-RU"/>
        </w:rPr>
        <w:t xml:space="preserve"> дать обоснованную рекомендацию Совету, </w:t>
      </w:r>
      <w:r w:rsidR="007343A9" w:rsidRPr="00740010">
        <w:rPr>
          <w:lang w:val="ru-RU"/>
        </w:rPr>
        <w:t>секретариат</w:t>
      </w:r>
      <w:r w:rsidR="00C414D5">
        <w:rPr>
          <w:lang w:val="ru-RU"/>
        </w:rPr>
        <w:t>у</w:t>
      </w:r>
      <w:r w:rsidR="007343A9" w:rsidRPr="00740010">
        <w:rPr>
          <w:lang w:val="ru-RU"/>
        </w:rPr>
        <w:t xml:space="preserve"> </w:t>
      </w:r>
      <w:r w:rsidRPr="00740010">
        <w:rPr>
          <w:lang w:val="ru-RU"/>
        </w:rPr>
        <w:t xml:space="preserve">требуется </w:t>
      </w:r>
      <w:r w:rsidR="00D22437">
        <w:rPr>
          <w:lang w:val="ru-RU"/>
        </w:rPr>
        <w:t xml:space="preserve">больше </w:t>
      </w:r>
      <w:r w:rsidRPr="00740010">
        <w:rPr>
          <w:lang w:val="ru-RU"/>
        </w:rPr>
        <w:t>врем</w:t>
      </w:r>
      <w:r w:rsidR="00D22437">
        <w:rPr>
          <w:lang w:val="ru-RU"/>
        </w:rPr>
        <w:t>ени</w:t>
      </w:r>
      <w:r w:rsidRPr="00740010">
        <w:rPr>
          <w:lang w:val="ru-RU"/>
        </w:rPr>
        <w:t xml:space="preserve"> и </w:t>
      </w:r>
      <w:r w:rsidR="00D22437" w:rsidRPr="00740010">
        <w:rPr>
          <w:lang w:val="ru-RU"/>
        </w:rPr>
        <w:t>дополнительн</w:t>
      </w:r>
      <w:r w:rsidR="00D22437">
        <w:rPr>
          <w:lang w:val="ru-RU"/>
        </w:rPr>
        <w:t>ая</w:t>
      </w:r>
      <w:r w:rsidR="00D22437" w:rsidRPr="00740010">
        <w:rPr>
          <w:lang w:val="ru-RU"/>
        </w:rPr>
        <w:t xml:space="preserve"> </w:t>
      </w:r>
      <w:r w:rsidRPr="00740010">
        <w:rPr>
          <w:lang w:val="ru-RU"/>
        </w:rPr>
        <w:t>информация. Поэтому секретариат рекомендует отложить рассмотрение этой заявки до следующе</w:t>
      </w:r>
      <w:r w:rsidR="00196335">
        <w:rPr>
          <w:lang w:val="ru-RU"/>
        </w:rPr>
        <w:t>й сессии</w:t>
      </w:r>
      <w:r w:rsidRPr="00740010">
        <w:rPr>
          <w:lang w:val="ru-RU"/>
        </w:rPr>
        <w:t xml:space="preserve"> Совета.</w:t>
      </w:r>
      <w:r>
        <w:rPr>
          <w:lang w:val="ru-RU"/>
        </w:rPr>
        <w:t xml:space="preserve"> </w:t>
      </w:r>
    </w:p>
    <w:p w14:paraId="47D6D07D" w14:textId="77777777" w:rsidR="00F517CF" w:rsidRPr="00F517CF" w:rsidRDefault="00F517CF" w:rsidP="00F517CF">
      <w:pPr>
        <w:spacing w:after="120"/>
        <w:rPr>
          <w:lang w:val="ru-RU"/>
        </w:rPr>
      </w:pPr>
      <w:r w:rsidRPr="00F517CF">
        <w:rPr>
          <w:rFonts w:cs="Calibri"/>
          <w:lang w:val="ru-RU"/>
        </w:rPr>
        <w:t>2</w:t>
      </w:r>
      <w:r w:rsidRPr="00F517CF">
        <w:rPr>
          <w:lang w:val="ru-RU"/>
        </w:rPr>
        <w:t>.3</w:t>
      </w: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703"/>
        <w:gridCol w:w="1983"/>
      </w:tblGrid>
      <w:tr w:rsidR="007D0431" w:rsidRPr="00F517CF" w14:paraId="02197B33" w14:textId="77777777" w:rsidTr="00891FC7">
        <w:trPr>
          <w:cantSplit/>
        </w:trPr>
        <w:tc>
          <w:tcPr>
            <w:tcW w:w="4528" w:type="dxa"/>
            <w:vAlign w:val="center"/>
          </w:tcPr>
          <w:p w14:paraId="170915AB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703" w:type="dxa"/>
            <w:vAlign w:val="center"/>
          </w:tcPr>
          <w:p w14:paraId="5290F4D2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983" w:type="dxa"/>
            <w:vAlign w:val="center"/>
          </w:tcPr>
          <w:p w14:paraId="7433CBAC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7D0431" w:rsidRPr="00F517CF" w14:paraId="47EF35D8" w14:textId="77777777" w:rsidTr="00891FC7">
        <w:trPr>
          <w:cantSplit/>
        </w:trPr>
        <w:tc>
          <w:tcPr>
            <w:tcW w:w="4528" w:type="dxa"/>
            <w:vAlign w:val="center"/>
          </w:tcPr>
          <w:p w14:paraId="269814CB" w14:textId="4BB95171" w:rsidR="007D0431" w:rsidRPr="00891FC7" w:rsidRDefault="00F97138" w:rsidP="00891FC7">
            <w:pPr>
              <w:pStyle w:val="Tabletext"/>
              <w:rPr>
                <w:b/>
                <w:lang w:val="ru-RU"/>
              </w:rPr>
            </w:pPr>
            <w:r w:rsidRPr="00891FC7">
              <w:rPr>
                <w:b/>
                <w:iCs/>
                <w:lang w:val="ru-RU"/>
              </w:rPr>
              <w:t>Фонд Конрада Аденауэра</w:t>
            </w:r>
          </w:p>
        </w:tc>
        <w:tc>
          <w:tcPr>
            <w:tcW w:w="1703" w:type="dxa"/>
            <w:vAlign w:val="center"/>
          </w:tcPr>
          <w:p w14:paraId="6BE605A0" w14:textId="77777777" w:rsidR="007D0431" w:rsidRPr="00891FC7" w:rsidRDefault="007D0431" w:rsidP="00891FC7">
            <w:pPr>
              <w:pStyle w:val="Tabletext"/>
              <w:jc w:val="center"/>
              <w:rPr>
                <w:lang w:val="ru-RU"/>
              </w:rPr>
            </w:pPr>
            <w:r w:rsidRPr="007D0431">
              <w:rPr>
                <w:lang w:val="ru-RU"/>
              </w:rPr>
              <w:t>МСЭ-</w:t>
            </w:r>
            <w:r w:rsidRPr="007D0431">
              <w:rPr>
                <w:lang w:val="en-US"/>
              </w:rPr>
              <w:t>R</w:t>
            </w:r>
          </w:p>
          <w:p w14:paraId="754618BF" w14:textId="77777777" w:rsidR="007D0431" w:rsidRDefault="007D0431" w:rsidP="00891FC7">
            <w:pPr>
              <w:pStyle w:val="Tabletext"/>
              <w:jc w:val="center"/>
              <w:rPr>
                <w:lang w:val="ru-RU"/>
              </w:rPr>
            </w:pPr>
            <w:r w:rsidRPr="007D0431">
              <w:rPr>
                <w:lang w:val="ru-RU"/>
              </w:rPr>
              <w:t>МСЭ-Т</w:t>
            </w:r>
          </w:p>
          <w:p w14:paraId="33626B3E" w14:textId="514516C7" w:rsidR="007D0431" w:rsidRPr="00891FC7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МСЭ-</w:t>
            </w:r>
            <w:r>
              <w:rPr>
                <w:lang w:val="en-US"/>
              </w:rPr>
              <w:t>D</w:t>
            </w:r>
          </w:p>
        </w:tc>
        <w:tc>
          <w:tcPr>
            <w:tcW w:w="1983" w:type="dxa"/>
            <w:vAlign w:val="center"/>
          </w:tcPr>
          <w:p w14:paraId="7EE8ABD2" w14:textId="77777777" w:rsidR="007D0431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30AAD9A2" w14:textId="77777777" w:rsidR="007D0431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10BD443B" w14:textId="523F3DE3" w:rsidR="007D0431" w:rsidRPr="00F517CF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3EF171F7" w14:textId="2D88B1A8" w:rsidR="00F517CF" w:rsidRPr="00F517CF" w:rsidRDefault="00F97138" w:rsidP="00F517CF">
      <w:pPr>
        <w:rPr>
          <w:rFonts w:eastAsia="Calibri"/>
          <w:lang w:val="ru-RU"/>
        </w:rPr>
      </w:pPr>
      <w:r w:rsidRPr="00F97138">
        <w:rPr>
          <w:lang w:val="ru-RU"/>
        </w:rPr>
        <w:t>Фонд Конрада Аденауэра</w:t>
      </w:r>
      <w:r w:rsidRPr="00891FC7">
        <w:rPr>
          <w:lang w:val="ru-RU"/>
        </w:rPr>
        <w:t xml:space="preserve"> </w:t>
      </w:r>
      <w:r w:rsidR="00506806">
        <w:rPr>
          <w:lang w:val="ru-RU"/>
        </w:rPr>
        <w:t>–</w:t>
      </w:r>
      <w:r w:rsidR="00740010" w:rsidRPr="00740010">
        <w:rPr>
          <w:lang w:val="ru-RU"/>
        </w:rPr>
        <w:t xml:space="preserve"> партийный фонд</w:t>
      </w:r>
      <w:r w:rsidR="00506806">
        <w:rPr>
          <w:lang w:val="ru-RU"/>
        </w:rPr>
        <w:t>, имеющий</w:t>
      </w:r>
      <w:r w:rsidR="00740010" w:rsidRPr="00740010">
        <w:rPr>
          <w:lang w:val="ru-RU"/>
        </w:rPr>
        <w:t xml:space="preserve"> юридическ</w:t>
      </w:r>
      <w:r w:rsidR="00506806">
        <w:rPr>
          <w:lang w:val="ru-RU"/>
        </w:rPr>
        <w:t>ую</w:t>
      </w:r>
      <w:r w:rsidR="00740010" w:rsidRPr="00740010">
        <w:rPr>
          <w:lang w:val="ru-RU"/>
        </w:rPr>
        <w:t xml:space="preserve"> форм</w:t>
      </w:r>
      <w:r w:rsidR="00506806">
        <w:rPr>
          <w:lang w:val="ru-RU"/>
        </w:rPr>
        <w:t>у</w:t>
      </w:r>
      <w:r w:rsidR="00740010" w:rsidRPr="00740010">
        <w:rPr>
          <w:lang w:val="ru-RU"/>
        </w:rPr>
        <w:t xml:space="preserve"> ассоциации, близкий Христианско-демократическому союзу и финансируемый в основном из федеральн</w:t>
      </w:r>
      <w:r w:rsidR="002D2015">
        <w:rPr>
          <w:lang w:val="ru-RU"/>
        </w:rPr>
        <w:t>ого</w:t>
      </w:r>
      <w:r w:rsidR="00740010" w:rsidRPr="00740010">
        <w:rPr>
          <w:lang w:val="ru-RU"/>
        </w:rPr>
        <w:t xml:space="preserve"> и </w:t>
      </w:r>
      <w:r w:rsidR="002D2015">
        <w:rPr>
          <w:lang w:val="ru-RU"/>
        </w:rPr>
        <w:t xml:space="preserve">земельных </w:t>
      </w:r>
      <w:r w:rsidR="00740010" w:rsidRPr="00740010">
        <w:rPr>
          <w:lang w:val="ru-RU"/>
        </w:rPr>
        <w:t xml:space="preserve">фондов. </w:t>
      </w:r>
      <w:r w:rsidR="00B50E48">
        <w:rPr>
          <w:lang w:val="ru-RU"/>
        </w:rPr>
        <w:t>Его</w:t>
      </w:r>
      <w:r w:rsidR="00740010" w:rsidRPr="00740010">
        <w:rPr>
          <w:lang w:val="ru-RU"/>
        </w:rPr>
        <w:t xml:space="preserve"> </w:t>
      </w:r>
      <w:r w:rsidR="00C85410">
        <w:rPr>
          <w:lang w:val="ru-RU"/>
        </w:rPr>
        <w:t xml:space="preserve">отделения </w:t>
      </w:r>
      <w:r w:rsidR="00B50E48">
        <w:rPr>
          <w:lang w:val="ru-RU"/>
        </w:rPr>
        <w:t xml:space="preserve">находятся </w:t>
      </w:r>
      <w:r w:rsidR="00740010" w:rsidRPr="00740010">
        <w:rPr>
          <w:lang w:val="ru-RU"/>
        </w:rPr>
        <w:t xml:space="preserve">более чем </w:t>
      </w:r>
      <w:r w:rsidR="00C85410">
        <w:rPr>
          <w:lang w:val="ru-RU"/>
        </w:rPr>
        <w:t xml:space="preserve">в </w:t>
      </w:r>
      <w:r w:rsidR="00740010" w:rsidRPr="00740010">
        <w:rPr>
          <w:lang w:val="ru-RU"/>
        </w:rPr>
        <w:t>100 странах</w:t>
      </w:r>
      <w:r w:rsidR="008013DA">
        <w:rPr>
          <w:lang w:val="ru-RU"/>
        </w:rPr>
        <w:t>,</w:t>
      </w:r>
      <w:r w:rsidR="00740010" w:rsidRPr="00740010">
        <w:rPr>
          <w:lang w:val="ru-RU"/>
        </w:rPr>
        <w:t xml:space="preserve"> проект</w:t>
      </w:r>
      <w:r w:rsidR="008013DA">
        <w:rPr>
          <w:lang w:val="ru-RU"/>
        </w:rPr>
        <w:t>ы проводятся</w:t>
      </w:r>
      <w:r w:rsidR="00740010" w:rsidRPr="00740010">
        <w:rPr>
          <w:lang w:val="ru-RU"/>
        </w:rPr>
        <w:t xml:space="preserve"> более чем </w:t>
      </w:r>
      <w:r w:rsidR="00492A56">
        <w:rPr>
          <w:lang w:val="ru-RU"/>
        </w:rPr>
        <w:t xml:space="preserve">в </w:t>
      </w:r>
      <w:r w:rsidR="00740010" w:rsidRPr="00740010">
        <w:rPr>
          <w:lang w:val="ru-RU"/>
        </w:rPr>
        <w:t>130</w:t>
      </w:r>
      <w:r w:rsidR="004269B6">
        <w:rPr>
          <w:lang w:val="ru-RU"/>
        </w:rPr>
        <w:t> </w:t>
      </w:r>
      <w:r w:rsidR="00740010" w:rsidRPr="00740010">
        <w:rPr>
          <w:lang w:val="ru-RU"/>
        </w:rPr>
        <w:t xml:space="preserve">странах. Хотя эта организация </w:t>
      </w:r>
      <w:r w:rsidR="00E41BCD" w:rsidRPr="00E41BCD">
        <w:rPr>
          <w:lang w:val="ru-RU"/>
        </w:rPr>
        <w:t xml:space="preserve">имеет международное присутствие </w:t>
      </w:r>
      <w:r w:rsidR="00740010" w:rsidRPr="00740010">
        <w:rPr>
          <w:lang w:val="ru-RU"/>
        </w:rPr>
        <w:t>и</w:t>
      </w:r>
      <w:r w:rsidR="00E01C20">
        <w:rPr>
          <w:lang w:val="ru-RU"/>
        </w:rPr>
        <w:t xml:space="preserve"> ведет международную </w:t>
      </w:r>
      <w:r w:rsidR="00740010" w:rsidRPr="00740010">
        <w:rPr>
          <w:lang w:val="ru-RU"/>
        </w:rPr>
        <w:t xml:space="preserve">деятельность, </w:t>
      </w:r>
      <w:r w:rsidR="004269B6">
        <w:rPr>
          <w:lang w:val="ru-RU"/>
        </w:rPr>
        <w:t>с</w:t>
      </w:r>
      <w:r w:rsidR="00F306DC" w:rsidRPr="00F517CF">
        <w:rPr>
          <w:lang w:val="ru-RU"/>
        </w:rPr>
        <w:t xml:space="preserve">екретариат считает, что </w:t>
      </w:r>
      <w:r w:rsidR="00F306DC" w:rsidRPr="00F306DC">
        <w:rPr>
          <w:lang w:val="ru-RU"/>
        </w:rPr>
        <w:t xml:space="preserve">это </w:t>
      </w:r>
      <w:r w:rsidR="00F306DC">
        <w:rPr>
          <w:lang w:val="ru-RU"/>
        </w:rPr>
        <w:t xml:space="preserve">учреждение </w:t>
      </w:r>
      <w:r w:rsidR="00740010" w:rsidRPr="00740010">
        <w:rPr>
          <w:lang w:val="ru-RU"/>
        </w:rPr>
        <w:t xml:space="preserve">не </w:t>
      </w:r>
      <w:r w:rsidR="00DD4E84">
        <w:rPr>
          <w:lang w:val="ru-RU"/>
        </w:rPr>
        <w:t>удовлетворяет</w:t>
      </w:r>
      <w:r w:rsidR="006F7AEA">
        <w:rPr>
          <w:lang w:val="ru-RU"/>
        </w:rPr>
        <w:t xml:space="preserve"> </w:t>
      </w:r>
      <w:r w:rsidR="00740010" w:rsidRPr="00740010">
        <w:rPr>
          <w:lang w:val="ru-RU"/>
        </w:rPr>
        <w:t>всем критериям, поскольку явля</w:t>
      </w:r>
      <w:r w:rsidR="00806DE9">
        <w:rPr>
          <w:lang w:val="ru-RU"/>
        </w:rPr>
        <w:t>е</w:t>
      </w:r>
      <w:r w:rsidR="00740010" w:rsidRPr="00740010">
        <w:rPr>
          <w:lang w:val="ru-RU"/>
        </w:rPr>
        <w:t>тся национальным фондом и не име</w:t>
      </w:r>
      <w:r w:rsidR="00C234DC">
        <w:rPr>
          <w:lang w:val="ru-RU"/>
        </w:rPr>
        <w:t>е</w:t>
      </w:r>
      <w:r w:rsidR="00740010" w:rsidRPr="00740010">
        <w:rPr>
          <w:lang w:val="ru-RU"/>
        </w:rPr>
        <w:t xml:space="preserve">т членов в нескольких </w:t>
      </w:r>
      <w:r w:rsidR="00E01C20" w:rsidRPr="00740010">
        <w:rPr>
          <w:lang w:val="ru-RU"/>
        </w:rPr>
        <w:t>Государствах-Членах</w:t>
      </w:r>
      <w:r w:rsidR="00740010" w:rsidRPr="00740010">
        <w:rPr>
          <w:lang w:val="ru-RU"/>
        </w:rPr>
        <w:t>.</w:t>
      </w:r>
    </w:p>
    <w:p w14:paraId="4FADEA0B" w14:textId="77777777" w:rsidR="00F517CF" w:rsidRPr="00F517CF" w:rsidRDefault="00F517CF" w:rsidP="00F517CF">
      <w:pPr>
        <w:keepNext/>
        <w:keepLines/>
        <w:spacing w:after="120"/>
        <w:rPr>
          <w:lang w:val="ru-RU"/>
        </w:rPr>
      </w:pPr>
      <w:r w:rsidRPr="00F517CF">
        <w:rPr>
          <w:rFonts w:cs="Calibri"/>
          <w:lang w:val="ru-RU"/>
        </w:rPr>
        <w:lastRenderedPageBreak/>
        <w:t>2</w:t>
      </w:r>
      <w:r w:rsidRPr="00F517CF">
        <w:rPr>
          <w:lang w:val="ru-RU"/>
        </w:rPr>
        <w:t>.4</w:t>
      </w: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703"/>
        <w:gridCol w:w="1983"/>
      </w:tblGrid>
      <w:tr w:rsidR="007D0431" w:rsidRPr="00F517CF" w14:paraId="601181D2" w14:textId="77777777" w:rsidTr="00891FC7">
        <w:trPr>
          <w:cantSplit/>
        </w:trPr>
        <w:tc>
          <w:tcPr>
            <w:tcW w:w="4528" w:type="dxa"/>
            <w:vAlign w:val="center"/>
          </w:tcPr>
          <w:p w14:paraId="5DF8959D" w14:textId="77777777" w:rsidR="007D0431" w:rsidRPr="00891FC7" w:rsidRDefault="007D0431" w:rsidP="00891FC7">
            <w:pPr>
              <w:pStyle w:val="Tabletext"/>
              <w:keepNext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703" w:type="dxa"/>
            <w:vAlign w:val="center"/>
          </w:tcPr>
          <w:p w14:paraId="24909E46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983" w:type="dxa"/>
            <w:vAlign w:val="center"/>
          </w:tcPr>
          <w:p w14:paraId="438BAA4F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7D0431" w:rsidRPr="00F517CF" w14:paraId="32E9A7AD" w14:textId="77777777" w:rsidTr="00891FC7">
        <w:trPr>
          <w:cantSplit/>
        </w:trPr>
        <w:tc>
          <w:tcPr>
            <w:tcW w:w="4528" w:type="dxa"/>
            <w:vAlign w:val="center"/>
          </w:tcPr>
          <w:p w14:paraId="673A86C6" w14:textId="77777777" w:rsidR="007D0431" w:rsidRDefault="00AF7CFA" w:rsidP="00891FC7">
            <w:pPr>
              <w:pStyle w:val="Tabletext"/>
              <w:rPr>
                <w:b/>
                <w:bCs/>
                <w:lang w:val="en-US"/>
              </w:rPr>
            </w:pPr>
            <w:r w:rsidRPr="00891FC7">
              <w:rPr>
                <w:b/>
                <w:bCs/>
                <w:lang w:val="ru-RU"/>
              </w:rPr>
              <w:t xml:space="preserve">Фонд </w:t>
            </w:r>
            <w:r w:rsidR="007D0431" w:rsidRPr="00891FC7">
              <w:rPr>
                <w:b/>
                <w:bCs/>
                <w:lang w:val="en-US"/>
              </w:rPr>
              <w:t xml:space="preserve">Techfugees </w:t>
            </w:r>
          </w:p>
          <w:p w14:paraId="074146F7" w14:textId="77777777" w:rsidR="00B10710" w:rsidRPr="00B10710" w:rsidRDefault="00B10710" w:rsidP="00B10710">
            <w:pPr>
              <w:rPr>
                <w:lang w:val="ru-RU"/>
              </w:rPr>
            </w:pPr>
          </w:p>
          <w:p w14:paraId="1AAE4F6D" w14:textId="4B514141" w:rsidR="00B10710" w:rsidRPr="00B10710" w:rsidRDefault="00B10710" w:rsidP="00B10710">
            <w:pPr>
              <w:rPr>
                <w:lang w:val="ru-RU"/>
              </w:rPr>
            </w:pPr>
          </w:p>
        </w:tc>
        <w:tc>
          <w:tcPr>
            <w:tcW w:w="1703" w:type="dxa"/>
            <w:vAlign w:val="center"/>
          </w:tcPr>
          <w:p w14:paraId="2C29BEEC" w14:textId="4E75BB82" w:rsidR="007D0431" w:rsidRPr="00F517CF" w:rsidRDefault="007D0431" w:rsidP="00891FC7">
            <w:pPr>
              <w:pStyle w:val="Tabletext"/>
              <w:jc w:val="center"/>
              <w:rPr>
                <w:lang w:val="en-US"/>
              </w:rPr>
            </w:pPr>
            <w:r w:rsidRPr="00F517CF">
              <w:rPr>
                <w:lang w:val="ru-RU"/>
              </w:rPr>
              <w:t>МСЭ-</w:t>
            </w:r>
            <w:r>
              <w:rPr>
                <w:lang w:val="en-US"/>
              </w:rPr>
              <w:t>D</w:t>
            </w:r>
          </w:p>
        </w:tc>
        <w:tc>
          <w:tcPr>
            <w:tcW w:w="1983" w:type="dxa"/>
            <w:vAlign w:val="center"/>
          </w:tcPr>
          <w:p w14:paraId="6213F6A3" w14:textId="77777777" w:rsidR="007D0431" w:rsidRPr="00F517CF" w:rsidRDefault="007D0431" w:rsidP="00891FC7">
            <w:pPr>
              <w:pStyle w:val="Tabletext"/>
              <w:jc w:val="center"/>
              <w:rPr>
                <w:lang w:val="ru-RU"/>
              </w:rPr>
            </w:pPr>
            <w:r w:rsidRPr="00F517CF">
              <w:rPr>
                <w:lang w:val="ru-RU"/>
              </w:rPr>
              <w:t>ДА</w:t>
            </w:r>
          </w:p>
        </w:tc>
      </w:tr>
    </w:tbl>
    <w:p w14:paraId="48D2773B" w14:textId="1443C5DC" w:rsidR="00F517CF" w:rsidRPr="00891FC7" w:rsidRDefault="00740010" w:rsidP="00F517CF">
      <w:pPr>
        <w:rPr>
          <w:lang w:val="ru-RU"/>
        </w:rPr>
      </w:pPr>
      <w:r w:rsidRPr="00740010">
        <w:t>Techfugees</w:t>
      </w:r>
      <w:r w:rsidRPr="00740010">
        <w:rPr>
          <w:lang w:val="ru-RU"/>
        </w:rPr>
        <w:t xml:space="preserve"> </w:t>
      </w:r>
      <w:r>
        <w:rPr>
          <w:lang w:val="ru-RU"/>
        </w:rPr>
        <w:t>–</w:t>
      </w:r>
      <w:r w:rsidR="006E26A2">
        <w:rPr>
          <w:lang w:val="ru-RU"/>
        </w:rPr>
        <w:t xml:space="preserve"> </w:t>
      </w:r>
      <w:r w:rsidRPr="00740010">
        <w:rPr>
          <w:lang w:val="ru-RU"/>
        </w:rPr>
        <w:t>некоммерческое социально</w:t>
      </w:r>
      <w:r w:rsidR="00CF7F28">
        <w:rPr>
          <w:lang w:val="ru-RU"/>
        </w:rPr>
        <w:t>-ориентированное</w:t>
      </w:r>
      <w:r w:rsidRPr="00740010">
        <w:rPr>
          <w:lang w:val="ru-RU"/>
        </w:rPr>
        <w:t xml:space="preserve"> предприятие со штаб-квартирой в </w:t>
      </w:r>
      <w:r w:rsidR="00EC447C">
        <w:rPr>
          <w:lang w:val="ru-RU"/>
        </w:rPr>
        <w:t>Соединенном Королевстве</w:t>
      </w:r>
      <w:r w:rsidR="004B6EB8">
        <w:rPr>
          <w:lang w:val="ru-RU"/>
        </w:rPr>
        <w:t>. Это глобальное сообщество добровольцев в области цифровых технологий, в которое входят</w:t>
      </w:r>
      <w:r w:rsidRPr="00740010">
        <w:rPr>
          <w:lang w:val="ru-RU"/>
        </w:rPr>
        <w:t xml:space="preserve"> предпринимател</w:t>
      </w:r>
      <w:r w:rsidR="004B6EB8">
        <w:rPr>
          <w:lang w:val="ru-RU"/>
        </w:rPr>
        <w:t>и</w:t>
      </w:r>
      <w:r w:rsidRPr="00740010">
        <w:rPr>
          <w:lang w:val="ru-RU"/>
        </w:rPr>
        <w:t>, инженер</w:t>
      </w:r>
      <w:r w:rsidR="004B6EB8">
        <w:rPr>
          <w:lang w:val="ru-RU"/>
        </w:rPr>
        <w:t>ы</w:t>
      </w:r>
      <w:r w:rsidRPr="00740010">
        <w:rPr>
          <w:lang w:val="ru-RU"/>
        </w:rPr>
        <w:t>, исследовател</w:t>
      </w:r>
      <w:r w:rsidR="004B6EB8">
        <w:rPr>
          <w:lang w:val="ru-RU"/>
        </w:rPr>
        <w:t>и</w:t>
      </w:r>
      <w:r w:rsidRPr="00740010">
        <w:rPr>
          <w:lang w:val="ru-RU"/>
        </w:rPr>
        <w:t xml:space="preserve">, </w:t>
      </w:r>
      <w:r w:rsidR="003D4869">
        <w:rPr>
          <w:lang w:val="ru-RU"/>
        </w:rPr>
        <w:t>НПО</w:t>
      </w:r>
      <w:r w:rsidR="00B712AF" w:rsidRPr="00B712AF">
        <w:rPr>
          <w:lang w:val="ru-RU"/>
        </w:rPr>
        <w:t xml:space="preserve"> </w:t>
      </w:r>
      <w:r w:rsidR="00B712AF">
        <w:rPr>
          <w:lang w:val="ru-RU"/>
        </w:rPr>
        <w:t xml:space="preserve">и </w:t>
      </w:r>
      <w:r w:rsidR="00B712AF" w:rsidRPr="00740010">
        <w:rPr>
          <w:lang w:val="ru-RU"/>
        </w:rPr>
        <w:t>перемещенны</w:t>
      </w:r>
      <w:r w:rsidR="004B6EB8">
        <w:rPr>
          <w:lang w:val="ru-RU"/>
        </w:rPr>
        <w:t>е</w:t>
      </w:r>
      <w:r w:rsidR="00B712AF" w:rsidRPr="00740010">
        <w:rPr>
          <w:lang w:val="ru-RU"/>
        </w:rPr>
        <w:t xml:space="preserve"> лиц</w:t>
      </w:r>
      <w:r w:rsidR="004B6EB8">
        <w:rPr>
          <w:lang w:val="ru-RU"/>
        </w:rPr>
        <w:t>а</w:t>
      </w:r>
      <w:r w:rsidRPr="00740010">
        <w:rPr>
          <w:lang w:val="ru-RU"/>
        </w:rPr>
        <w:t xml:space="preserve">. </w:t>
      </w:r>
      <w:r w:rsidR="004007C6" w:rsidRPr="004007C6">
        <w:t>Techfugees</w:t>
      </w:r>
      <w:r w:rsidR="004007C6" w:rsidRPr="004007C6">
        <w:rPr>
          <w:lang w:val="ru-RU"/>
        </w:rPr>
        <w:t xml:space="preserve"> </w:t>
      </w:r>
      <w:r w:rsidR="004007C6">
        <w:rPr>
          <w:lang w:val="ru-RU"/>
        </w:rPr>
        <w:t xml:space="preserve">присутствует </w:t>
      </w:r>
      <w:r w:rsidRPr="00740010">
        <w:rPr>
          <w:lang w:val="ru-RU"/>
        </w:rPr>
        <w:t xml:space="preserve">в </w:t>
      </w:r>
      <w:r w:rsidR="004007C6">
        <w:rPr>
          <w:lang w:val="ru-RU"/>
        </w:rPr>
        <w:t>десяти</w:t>
      </w:r>
      <w:r w:rsidRPr="00740010">
        <w:rPr>
          <w:lang w:val="ru-RU"/>
        </w:rPr>
        <w:t xml:space="preserve"> странах </w:t>
      </w:r>
      <w:r w:rsidR="004007C6">
        <w:rPr>
          <w:lang w:val="ru-RU"/>
        </w:rPr>
        <w:t xml:space="preserve">мира </w:t>
      </w:r>
      <w:r w:rsidRPr="00740010">
        <w:rPr>
          <w:lang w:val="ru-RU"/>
        </w:rPr>
        <w:t xml:space="preserve">и </w:t>
      </w:r>
      <w:r w:rsidR="004007C6">
        <w:rPr>
          <w:lang w:val="ru-RU"/>
        </w:rPr>
        <w:t xml:space="preserve">продолжает </w:t>
      </w:r>
      <w:r w:rsidRPr="00740010">
        <w:rPr>
          <w:lang w:val="ru-RU"/>
        </w:rPr>
        <w:t>расширя</w:t>
      </w:r>
      <w:r w:rsidR="00A8297A">
        <w:rPr>
          <w:lang w:val="ru-RU"/>
        </w:rPr>
        <w:t>ть</w:t>
      </w:r>
      <w:r w:rsidRPr="00740010">
        <w:rPr>
          <w:lang w:val="ru-RU"/>
        </w:rPr>
        <w:t xml:space="preserve">ся, </w:t>
      </w:r>
      <w:r w:rsidR="00F97138">
        <w:rPr>
          <w:lang w:val="ru-RU"/>
        </w:rPr>
        <w:t>но при этом</w:t>
      </w:r>
      <w:r w:rsidR="002D40A1">
        <w:rPr>
          <w:lang w:val="ru-RU"/>
        </w:rPr>
        <w:t xml:space="preserve"> его работа проводится на местах в целях </w:t>
      </w:r>
      <w:r w:rsidRPr="00740010">
        <w:rPr>
          <w:lang w:val="ru-RU"/>
        </w:rPr>
        <w:t>объедин</w:t>
      </w:r>
      <w:r w:rsidR="002D40A1">
        <w:rPr>
          <w:lang w:val="ru-RU"/>
        </w:rPr>
        <w:t>ения</w:t>
      </w:r>
      <w:r w:rsidRPr="00740010">
        <w:rPr>
          <w:lang w:val="ru-RU"/>
        </w:rPr>
        <w:t xml:space="preserve"> различны</w:t>
      </w:r>
      <w:r w:rsidR="002D40A1">
        <w:rPr>
          <w:lang w:val="ru-RU"/>
        </w:rPr>
        <w:t>х</w:t>
      </w:r>
      <w:r w:rsidRPr="00740010">
        <w:rPr>
          <w:lang w:val="ru-RU"/>
        </w:rPr>
        <w:t xml:space="preserve"> организаци</w:t>
      </w:r>
      <w:r w:rsidR="002D40A1">
        <w:rPr>
          <w:lang w:val="ru-RU"/>
        </w:rPr>
        <w:t>й</w:t>
      </w:r>
      <w:r w:rsidRPr="00740010">
        <w:rPr>
          <w:lang w:val="ru-RU"/>
        </w:rPr>
        <w:t xml:space="preserve"> и людей в открыт</w:t>
      </w:r>
      <w:r w:rsidR="009112F4">
        <w:rPr>
          <w:lang w:val="ru-RU"/>
        </w:rPr>
        <w:t>ую</w:t>
      </w:r>
      <w:r w:rsidRPr="00740010">
        <w:rPr>
          <w:lang w:val="ru-RU"/>
        </w:rPr>
        <w:t xml:space="preserve">, </w:t>
      </w:r>
      <w:r w:rsidR="00A8297A">
        <w:rPr>
          <w:lang w:val="ru-RU"/>
        </w:rPr>
        <w:t>соединенн</w:t>
      </w:r>
      <w:r w:rsidR="009112F4">
        <w:rPr>
          <w:lang w:val="ru-RU"/>
        </w:rPr>
        <w:t>ую</w:t>
      </w:r>
      <w:r w:rsidRPr="00740010">
        <w:rPr>
          <w:lang w:val="ru-RU"/>
        </w:rPr>
        <w:t xml:space="preserve"> и </w:t>
      </w:r>
      <w:r w:rsidR="00A8297A">
        <w:rPr>
          <w:lang w:val="ru-RU"/>
        </w:rPr>
        <w:t>безопасн</w:t>
      </w:r>
      <w:r w:rsidR="009112F4">
        <w:rPr>
          <w:lang w:val="ru-RU"/>
        </w:rPr>
        <w:t>ую</w:t>
      </w:r>
      <w:r w:rsidRPr="00740010">
        <w:rPr>
          <w:lang w:val="ru-RU"/>
        </w:rPr>
        <w:t xml:space="preserve"> сред</w:t>
      </w:r>
      <w:r w:rsidR="009112F4">
        <w:rPr>
          <w:lang w:val="ru-RU"/>
        </w:rPr>
        <w:t>у</w:t>
      </w:r>
      <w:r w:rsidRPr="00740010">
        <w:rPr>
          <w:lang w:val="ru-RU"/>
        </w:rPr>
        <w:t xml:space="preserve">, </w:t>
      </w:r>
      <w:r w:rsidR="00501A2E">
        <w:rPr>
          <w:lang w:val="ru-RU"/>
        </w:rPr>
        <w:t xml:space="preserve">для того </w:t>
      </w:r>
      <w:r w:rsidRPr="00740010">
        <w:rPr>
          <w:lang w:val="ru-RU"/>
        </w:rPr>
        <w:t xml:space="preserve">чтобы курировать </w:t>
      </w:r>
      <w:r w:rsidR="00A8297A">
        <w:rPr>
          <w:lang w:val="ru-RU"/>
        </w:rPr>
        <w:t xml:space="preserve">основанные на </w:t>
      </w:r>
      <w:r w:rsidR="00A8297A" w:rsidRPr="00740010">
        <w:rPr>
          <w:lang w:val="ru-RU"/>
        </w:rPr>
        <w:t>цифровых технологи</w:t>
      </w:r>
      <w:r w:rsidR="00A8297A">
        <w:rPr>
          <w:lang w:val="ru-RU"/>
        </w:rPr>
        <w:t>ях</w:t>
      </w:r>
      <w:r w:rsidR="00A8297A" w:rsidRPr="00740010">
        <w:rPr>
          <w:lang w:val="ru-RU"/>
        </w:rPr>
        <w:t xml:space="preserve"> </w:t>
      </w:r>
      <w:r w:rsidRPr="00740010">
        <w:rPr>
          <w:lang w:val="ru-RU"/>
        </w:rPr>
        <w:t xml:space="preserve">решения </w:t>
      </w:r>
      <w:r w:rsidR="00A8297A" w:rsidRPr="00740010">
        <w:rPr>
          <w:lang w:val="ru-RU"/>
        </w:rPr>
        <w:t>гуманитарны</w:t>
      </w:r>
      <w:r w:rsidR="00A8297A">
        <w:rPr>
          <w:lang w:val="ru-RU"/>
        </w:rPr>
        <w:t>х проблем</w:t>
      </w:r>
      <w:r w:rsidRPr="00740010">
        <w:rPr>
          <w:lang w:val="ru-RU"/>
        </w:rPr>
        <w:t>, разраб</w:t>
      </w:r>
      <w:r w:rsidR="00A8297A">
        <w:rPr>
          <w:lang w:val="ru-RU"/>
        </w:rPr>
        <w:t>атываемые</w:t>
      </w:r>
      <w:r w:rsidRPr="00740010">
        <w:rPr>
          <w:lang w:val="ru-RU"/>
        </w:rPr>
        <w:t xml:space="preserve"> перемещенными лицами для перемещенных лиц. </w:t>
      </w:r>
      <w:r w:rsidR="00A8297A" w:rsidRPr="00A8297A">
        <w:rPr>
          <w:lang w:val="ru-RU"/>
        </w:rPr>
        <w:t xml:space="preserve">Секретариат считает, что </w:t>
      </w:r>
      <w:r w:rsidR="00BC2604">
        <w:rPr>
          <w:lang w:val="ru-RU"/>
        </w:rPr>
        <w:t xml:space="preserve">это </w:t>
      </w:r>
      <w:r w:rsidR="00A8297A">
        <w:rPr>
          <w:lang w:val="ru-RU"/>
        </w:rPr>
        <w:t xml:space="preserve">учреждение </w:t>
      </w:r>
      <w:r w:rsidR="00A8297A" w:rsidRPr="00A8297A">
        <w:rPr>
          <w:lang w:val="ru-RU"/>
        </w:rPr>
        <w:t xml:space="preserve">удовлетворяет критериям предоставления освобождения от взносов по линии </w:t>
      </w:r>
      <w:r w:rsidRPr="00740010">
        <w:rPr>
          <w:lang w:val="ru-RU"/>
        </w:rPr>
        <w:t>МСЭ-</w:t>
      </w:r>
      <w:r w:rsidRPr="00740010">
        <w:t>D</w:t>
      </w:r>
      <w:r w:rsidRPr="00740010">
        <w:rPr>
          <w:lang w:val="ru-RU"/>
        </w:rPr>
        <w:t>.</w:t>
      </w:r>
    </w:p>
    <w:p w14:paraId="4D34F50A" w14:textId="77777777" w:rsidR="00F517CF" w:rsidRPr="00F517CF" w:rsidRDefault="00F517CF" w:rsidP="00F517CF">
      <w:pPr>
        <w:spacing w:after="120"/>
        <w:rPr>
          <w:lang w:val="ru-RU"/>
        </w:rPr>
      </w:pPr>
      <w:r w:rsidRPr="00F517CF">
        <w:rPr>
          <w:rFonts w:cstheme="minorBidi"/>
          <w:lang w:val="ru-RU"/>
        </w:rPr>
        <w:t>2</w:t>
      </w:r>
      <w:r w:rsidRPr="00F517CF">
        <w:rPr>
          <w:lang w:val="ru-RU"/>
        </w:rPr>
        <w:t>.5</w:t>
      </w: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703"/>
        <w:gridCol w:w="1983"/>
      </w:tblGrid>
      <w:tr w:rsidR="007D0431" w:rsidRPr="00F517CF" w14:paraId="292EADDD" w14:textId="77777777" w:rsidTr="00891FC7">
        <w:trPr>
          <w:cantSplit/>
        </w:trPr>
        <w:tc>
          <w:tcPr>
            <w:tcW w:w="4528" w:type="dxa"/>
            <w:vAlign w:val="center"/>
          </w:tcPr>
          <w:p w14:paraId="03A95BF9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703" w:type="dxa"/>
            <w:vAlign w:val="center"/>
          </w:tcPr>
          <w:p w14:paraId="133A230C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983" w:type="dxa"/>
            <w:vAlign w:val="center"/>
          </w:tcPr>
          <w:p w14:paraId="36DBCC05" w14:textId="77777777" w:rsidR="007D0431" w:rsidRPr="00891FC7" w:rsidRDefault="007D0431" w:rsidP="00891F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91FC7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7D0431" w:rsidRPr="00F517CF" w14:paraId="1FC76AC2" w14:textId="77777777" w:rsidTr="00891FC7">
        <w:trPr>
          <w:cantSplit/>
        </w:trPr>
        <w:tc>
          <w:tcPr>
            <w:tcW w:w="4528" w:type="dxa"/>
            <w:vAlign w:val="center"/>
          </w:tcPr>
          <w:p w14:paraId="7ED0CD26" w14:textId="2F59137D" w:rsidR="007D0431" w:rsidRPr="00891FC7" w:rsidRDefault="007D0431" w:rsidP="00891FC7">
            <w:pPr>
              <w:pStyle w:val="Tabletext"/>
              <w:rPr>
                <w:b/>
                <w:lang w:val="ru-RU"/>
              </w:rPr>
            </w:pPr>
            <w:r w:rsidRPr="00891FC7">
              <w:rPr>
                <w:b/>
                <w:lang w:val="ru-RU"/>
              </w:rPr>
              <w:t>Всемирная ассоциация поставщиков средств подвижной связи (</w:t>
            </w:r>
            <w:r w:rsidRPr="00891FC7">
              <w:rPr>
                <w:b/>
              </w:rPr>
              <w:t>GSA</w:t>
            </w:r>
            <w:r w:rsidRPr="00891FC7">
              <w:rPr>
                <w:b/>
                <w:lang w:val="ru-RU"/>
              </w:rPr>
              <w:t>)</w:t>
            </w:r>
          </w:p>
        </w:tc>
        <w:tc>
          <w:tcPr>
            <w:tcW w:w="1703" w:type="dxa"/>
            <w:vAlign w:val="center"/>
          </w:tcPr>
          <w:p w14:paraId="647972DE" w14:textId="672A7842" w:rsidR="007D0431" w:rsidRPr="00F517CF" w:rsidRDefault="007D0431" w:rsidP="00891FC7">
            <w:pPr>
              <w:pStyle w:val="Tabletext"/>
              <w:jc w:val="center"/>
              <w:rPr>
                <w:lang w:val="en-US"/>
              </w:rPr>
            </w:pPr>
            <w:r w:rsidRPr="00F517CF">
              <w:rPr>
                <w:lang w:val="ru-RU"/>
              </w:rPr>
              <w:t>МСЭ-</w:t>
            </w:r>
            <w:r>
              <w:rPr>
                <w:lang w:val="en-US"/>
              </w:rPr>
              <w:t>R</w:t>
            </w:r>
          </w:p>
        </w:tc>
        <w:tc>
          <w:tcPr>
            <w:tcW w:w="1983" w:type="dxa"/>
            <w:vAlign w:val="center"/>
          </w:tcPr>
          <w:p w14:paraId="691683B3" w14:textId="054A74D1" w:rsidR="007D0431" w:rsidRPr="00F517CF" w:rsidRDefault="007D0431" w:rsidP="00891FC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3A773277" w14:textId="2C9A1000" w:rsidR="00F517CF" w:rsidRPr="00891FC7" w:rsidRDefault="00740010" w:rsidP="00F517CF">
      <w:pPr>
        <w:rPr>
          <w:rFonts w:eastAsia="Calibri"/>
          <w:lang w:val="ru-RU"/>
        </w:rPr>
      </w:pPr>
      <w:r w:rsidRPr="00740010">
        <w:rPr>
          <w:lang w:val="ru-RU"/>
        </w:rPr>
        <w:t xml:space="preserve">Всемирная ассоциация поставщиков средств подвижной связи </w:t>
      </w:r>
      <w:r w:rsidR="00BC2604">
        <w:rPr>
          <w:lang w:val="ru-RU"/>
        </w:rPr>
        <w:t>(</w:t>
      </w:r>
      <w:r w:rsidR="00BC2604" w:rsidRPr="00BC2604">
        <w:t>GSA</w:t>
      </w:r>
      <w:r w:rsidR="00BC2604">
        <w:rPr>
          <w:lang w:val="ru-RU"/>
        </w:rPr>
        <w:t xml:space="preserve">) </w:t>
      </w:r>
      <w:r>
        <w:rPr>
          <w:lang w:val="ru-RU"/>
        </w:rPr>
        <w:t>–</w:t>
      </w:r>
      <w:r w:rsidR="004B4FBF">
        <w:rPr>
          <w:lang w:val="ru-RU"/>
        </w:rPr>
        <w:t xml:space="preserve"> </w:t>
      </w:r>
      <w:r w:rsidR="00936ACF" w:rsidRPr="00740010">
        <w:rPr>
          <w:lang w:val="ru-RU"/>
        </w:rPr>
        <w:t xml:space="preserve">отраслевая </w:t>
      </w:r>
      <w:r w:rsidRPr="00740010">
        <w:rPr>
          <w:lang w:val="ru-RU"/>
        </w:rPr>
        <w:t>некоммерческая организация, представляющая компани</w:t>
      </w:r>
      <w:r w:rsidR="00880BC8">
        <w:rPr>
          <w:lang w:val="ru-RU"/>
        </w:rPr>
        <w:t>и</w:t>
      </w:r>
      <w:r w:rsidRPr="00740010">
        <w:rPr>
          <w:lang w:val="ru-RU"/>
        </w:rPr>
        <w:t xml:space="preserve"> всемирной экосистемы</w:t>
      </w:r>
      <w:r w:rsidR="009236CC">
        <w:rPr>
          <w:lang w:val="ru-RU"/>
        </w:rPr>
        <w:t xml:space="preserve"> подвижной связи</w:t>
      </w:r>
      <w:r w:rsidRPr="00740010">
        <w:rPr>
          <w:lang w:val="ru-RU"/>
        </w:rPr>
        <w:t xml:space="preserve">, которые занимаются </w:t>
      </w:r>
      <w:r w:rsidR="005E0DCB">
        <w:rPr>
          <w:lang w:val="ru-RU"/>
        </w:rPr>
        <w:t>созданием</w:t>
      </w:r>
      <w:r w:rsidR="0015627C">
        <w:rPr>
          <w:lang w:val="ru-RU"/>
        </w:rPr>
        <w:t xml:space="preserve"> </w:t>
      </w:r>
      <w:r w:rsidRPr="00740010">
        <w:rPr>
          <w:lang w:val="ru-RU"/>
        </w:rPr>
        <w:t xml:space="preserve">инфраструктуры, </w:t>
      </w:r>
      <w:r w:rsidR="0015627C" w:rsidRPr="00740010">
        <w:rPr>
          <w:lang w:val="ru-RU"/>
        </w:rPr>
        <w:t xml:space="preserve">поставкой </w:t>
      </w:r>
      <w:r w:rsidRPr="00740010">
        <w:rPr>
          <w:lang w:val="ru-RU"/>
        </w:rPr>
        <w:t>полупроводников</w:t>
      </w:r>
      <w:r w:rsidR="005E0DCB">
        <w:rPr>
          <w:lang w:val="ru-RU"/>
        </w:rPr>
        <w:t>ых приборов</w:t>
      </w:r>
      <w:r w:rsidRPr="00740010">
        <w:rPr>
          <w:lang w:val="ru-RU"/>
        </w:rPr>
        <w:t>, испытательного оборудования, устройств, приложений и услуг поддержки</w:t>
      </w:r>
      <w:r w:rsidR="00787454">
        <w:rPr>
          <w:lang w:val="ru-RU"/>
        </w:rPr>
        <w:t xml:space="preserve"> подвижной связи</w:t>
      </w:r>
      <w:r w:rsidRPr="00740010">
        <w:rPr>
          <w:lang w:val="ru-RU"/>
        </w:rPr>
        <w:t xml:space="preserve">. </w:t>
      </w:r>
      <w:r w:rsidR="00282135">
        <w:rPr>
          <w:lang w:val="ru-RU"/>
        </w:rPr>
        <w:t>А</w:t>
      </w:r>
      <w:r w:rsidR="00282135" w:rsidRPr="00282135">
        <w:rPr>
          <w:lang w:val="ru-RU"/>
        </w:rPr>
        <w:t>ссоциаци</w:t>
      </w:r>
      <w:r w:rsidR="00282135">
        <w:rPr>
          <w:lang w:val="ru-RU"/>
        </w:rPr>
        <w:t>я</w:t>
      </w:r>
      <w:r w:rsidR="00282135" w:rsidRPr="00282135">
        <w:rPr>
          <w:lang w:val="ru-RU"/>
        </w:rPr>
        <w:t xml:space="preserve"> </w:t>
      </w:r>
      <w:r w:rsidR="00EC1E50">
        <w:rPr>
          <w:lang w:val="ru-RU"/>
        </w:rPr>
        <w:t>выступает за</w:t>
      </w:r>
      <w:r w:rsidR="00282135">
        <w:rPr>
          <w:lang w:val="ru-RU"/>
        </w:rPr>
        <w:t xml:space="preserve"> реализацию </w:t>
      </w:r>
      <w:r w:rsidRPr="00740010">
        <w:rPr>
          <w:lang w:val="ru-RU"/>
        </w:rPr>
        <w:t>дорожн</w:t>
      </w:r>
      <w:r w:rsidR="00282135">
        <w:rPr>
          <w:lang w:val="ru-RU"/>
        </w:rPr>
        <w:t>ой</w:t>
      </w:r>
      <w:r w:rsidRPr="00740010">
        <w:rPr>
          <w:lang w:val="ru-RU"/>
        </w:rPr>
        <w:t xml:space="preserve"> карт</w:t>
      </w:r>
      <w:r w:rsidR="00282135">
        <w:rPr>
          <w:lang w:val="ru-RU"/>
        </w:rPr>
        <w:t>ы</w:t>
      </w:r>
      <w:r w:rsidRPr="00740010">
        <w:rPr>
          <w:lang w:val="ru-RU"/>
        </w:rPr>
        <w:t xml:space="preserve"> </w:t>
      </w:r>
      <w:r w:rsidR="009821F0">
        <w:rPr>
          <w:lang w:val="ru-RU"/>
        </w:rPr>
        <w:t xml:space="preserve">развития </w:t>
      </w:r>
      <w:r w:rsidRPr="00740010">
        <w:rPr>
          <w:lang w:val="ru-RU"/>
        </w:rPr>
        <w:t>технологи</w:t>
      </w:r>
      <w:r w:rsidR="009821F0">
        <w:rPr>
          <w:lang w:val="ru-RU"/>
        </w:rPr>
        <w:t>й</w:t>
      </w:r>
      <w:r w:rsidRPr="00740010">
        <w:rPr>
          <w:lang w:val="ru-RU"/>
        </w:rPr>
        <w:t xml:space="preserve"> 3</w:t>
      </w:r>
      <w:r w:rsidRPr="00740010">
        <w:t>GPP</w:t>
      </w:r>
      <w:r w:rsidRPr="00740010">
        <w:rPr>
          <w:lang w:val="ru-RU"/>
        </w:rPr>
        <w:t xml:space="preserve"> </w:t>
      </w:r>
      <w:r w:rsidR="009821F0">
        <w:rPr>
          <w:lang w:val="ru-RU"/>
        </w:rPr>
        <w:t>–</w:t>
      </w:r>
      <w:r w:rsidRPr="00740010">
        <w:rPr>
          <w:lang w:val="ru-RU"/>
        </w:rPr>
        <w:t xml:space="preserve"> 3</w:t>
      </w:r>
      <w:r w:rsidRPr="00740010">
        <w:t>G</w:t>
      </w:r>
      <w:r w:rsidRPr="00740010">
        <w:rPr>
          <w:lang w:val="ru-RU"/>
        </w:rPr>
        <w:t>, 4</w:t>
      </w:r>
      <w:r w:rsidRPr="00740010">
        <w:t>G</w:t>
      </w:r>
      <w:r w:rsidRPr="00740010">
        <w:rPr>
          <w:lang w:val="ru-RU"/>
        </w:rPr>
        <w:t xml:space="preserve"> и 5</w:t>
      </w:r>
      <w:r w:rsidRPr="00740010">
        <w:t>G</w:t>
      </w:r>
      <w:r w:rsidRPr="00740010">
        <w:rPr>
          <w:lang w:val="ru-RU"/>
        </w:rPr>
        <w:t xml:space="preserve"> </w:t>
      </w:r>
      <w:r w:rsidR="009821F0">
        <w:rPr>
          <w:lang w:val="ru-RU"/>
        </w:rPr>
        <w:t>–</w:t>
      </w:r>
      <w:r w:rsidRPr="00740010">
        <w:rPr>
          <w:lang w:val="ru-RU"/>
        </w:rPr>
        <w:t xml:space="preserve"> и явля</w:t>
      </w:r>
      <w:r w:rsidR="009821F0">
        <w:rPr>
          <w:lang w:val="ru-RU"/>
        </w:rPr>
        <w:t>е</w:t>
      </w:r>
      <w:r w:rsidRPr="00740010">
        <w:rPr>
          <w:lang w:val="ru-RU"/>
        </w:rPr>
        <w:t xml:space="preserve">тся источником информации для </w:t>
      </w:r>
      <w:r w:rsidR="000041BF">
        <w:rPr>
          <w:lang w:val="ru-RU"/>
        </w:rPr>
        <w:t xml:space="preserve">подготовки </w:t>
      </w:r>
      <w:r w:rsidRPr="00740010">
        <w:rPr>
          <w:lang w:val="ru-RU"/>
        </w:rPr>
        <w:t xml:space="preserve">отраслевых отчетов и анализа рынка. Учитывая, что членами </w:t>
      </w:r>
      <w:r w:rsidRPr="00740010">
        <w:t>GSA</w:t>
      </w:r>
      <w:r w:rsidRPr="00740010">
        <w:rPr>
          <w:lang w:val="ru-RU"/>
        </w:rPr>
        <w:t xml:space="preserve"> являются преимущественно коммерческие компании, секретариат считает, </w:t>
      </w:r>
      <w:r w:rsidR="00BC2604" w:rsidRPr="00BC2604">
        <w:rPr>
          <w:lang w:val="ru-RU"/>
        </w:rPr>
        <w:t xml:space="preserve">что </w:t>
      </w:r>
      <w:r w:rsidR="00BC2604">
        <w:rPr>
          <w:lang w:val="ru-RU"/>
        </w:rPr>
        <w:t xml:space="preserve">это </w:t>
      </w:r>
      <w:r w:rsidR="00BC2604" w:rsidRPr="00BC2604">
        <w:rPr>
          <w:lang w:val="ru-RU"/>
        </w:rPr>
        <w:t xml:space="preserve">учреждение </w:t>
      </w:r>
      <w:r w:rsidR="00BC2604">
        <w:rPr>
          <w:lang w:val="ru-RU"/>
        </w:rPr>
        <w:t xml:space="preserve">не </w:t>
      </w:r>
      <w:r w:rsidR="00BC2604" w:rsidRPr="00BC2604">
        <w:rPr>
          <w:lang w:val="ru-RU"/>
        </w:rPr>
        <w:t>удовлетворяет критериям предоставления освобождения от взносов</w:t>
      </w:r>
      <w:r w:rsidRPr="00740010">
        <w:rPr>
          <w:lang w:val="ru-RU"/>
        </w:rPr>
        <w:t>.</w:t>
      </w:r>
    </w:p>
    <w:p w14:paraId="69DA9742" w14:textId="6A2496D3" w:rsidR="002D2F57" w:rsidRPr="0043184F" w:rsidRDefault="00F517CF" w:rsidP="00891FC7">
      <w:pPr>
        <w:spacing w:before="720"/>
        <w:jc w:val="center"/>
        <w:rPr>
          <w:lang w:val="en-US"/>
        </w:rPr>
      </w:pPr>
      <w:r w:rsidRPr="00F517CF">
        <w:rPr>
          <w:rFonts w:asciiTheme="minorHAnsi" w:hAnsiTheme="minorHAnsi" w:cs="Calibri"/>
          <w:szCs w:val="22"/>
          <w:lang w:val="en-US"/>
        </w:rPr>
        <w:t>________________</w:t>
      </w:r>
    </w:p>
    <w:sectPr w:rsidR="002D2F57" w:rsidRPr="0043184F" w:rsidSect="00F517CF">
      <w:headerReference w:type="even" r:id="rId13"/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B446" w14:textId="77777777" w:rsidR="009D11AC" w:rsidRDefault="009D11AC">
      <w:r>
        <w:separator/>
      </w:r>
    </w:p>
  </w:endnote>
  <w:endnote w:type="continuationSeparator" w:id="0">
    <w:p w14:paraId="3AE0B43F" w14:textId="77777777" w:rsidR="009D11AC" w:rsidRDefault="009D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115AC6BB" w:rsidR="000E568E" w:rsidRPr="00891FC7" w:rsidRDefault="00707304" w:rsidP="009B0BAE">
    <w:pPr>
      <w:pStyle w:val="Footer"/>
      <w:rPr>
        <w:sz w:val="18"/>
        <w:szCs w:val="18"/>
      </w:rPr>
    </w:pPr>
    <w:r w:rsidRPr="00B10710">
      <w:rPr>
        <w:color w:val="F2F2F2" w:themeColor="background1" w:themeShade="F2"/>
      </w:rPr>
      <w:fldChar w:fldCharType="begin"/>
    </w:r>
    <w:r w:rsidRPr="00B10710">
      <w:rPr>
        <w:color w:val="F2F2F2" w:themeColor="background1" w:themeShade="F2"/>
      </w:rPr>
      <w:instrText xml:space="preserve"> FILENAME \p  \* MERGEFORMAT </w:instrText>
    </w:r>
    <w:r w:rsidRPr="00B10710">
      <w:rPr>
        <w:color w:val="F2F2F2" w:themeColor="background1" w:themeShade="F2"/>
      </w:rPr>
      <w:fldChar w:fldCharType="separate"/>
    </w:r>
    <w:r w:rsidR="00891FC7" w:rsidRPr="00B10710">
      <w:rPr>
        <w:color w:val="F2F2F2" w:themeColor="background1" w:themeShade="F2"/>
      </w:rPr>
      <w:t>P:\RUS\SG\CONSEIL\C21\000\039R.docx</w:t>
    </w:r>
    <w:r w:rsidRPr="00B10710">
      <w:rPr>
        <w:color w:val="F2F2F2" w:themeColor="background1" w:themeShade="F2"/>
        <w:lang w:val="en-US"/>
      </w:rPr>
      <w:fldChar w:fldCharType="end"/>
    </w:r>
    <w:r w:rsidR="000E568E" w:rsidRPr="00B10710">
      <w:rPr>
        <w:color w:val="F2F2F2" w:themeColor="background1" w:themeShade="F2"/>
      </w:rPr>
      <w:t xml:space="preserve"> (</w:t>
    </w:r>
    <w:r w:rsidR="00891FC7" w:rsidRPr="00B10710">
      <w:rPr>
        <w:color w:val="F2F2F2" w:themeColor="background1" w:themeShade="F2"/>
      </w:rPr>
      <w:t>483235</w:t>
    </w:r>
    <w:r w:rsidR="000E568E" w:rsidRPr="00B10710">
      <w:rPr>
        <w:color w:val="F2F2F2" w:themeColor="background1" w:themeShade="F2"/>
      </w:rPr>
      <w:t>)</w:t>
    </w:r>
    <w:r w:rsidR="000E568E" w:rsidRPr="00891FC7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10710">
      <w:t>27.05.21</w:t>
    </w:r>
    <w:r w:rsidR="002D48C5">
      <w:fldChar w:fldCharType="end"/>
    </w:r>
    <w:r w:rsidR="000E568E" w:rsidRPr="00891FC7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91FC7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C0B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53C1" w14:textId="77777777" w:rsidR="009D11AC" w:rsidRDefault="009D11AC">
      <w:r>
        <w:t>____________________</w:t>
      </w:r>
    </w:p>
  </w:footnote>
  <w:footnote w:type="continuationSeparator" w:id="0">
    <w:p w14:paraId="39193945" w14:textId="77777777" w:rsidR="009D11AC" w:rsidRDefault="009D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BC61" w14:textId="77777777" w:rsidR="002B1A11" w:rsidRDefault="002B1A11">
    <w:pPr>
      <w:pStyle w:val="Header"/>
    </w:pPr>
  </w:p>
  <w:p w14:paraId="47F1360F" w14:textId="77777777" w:rsidR="00C179F9" w:rsidRDefault="00C179F9"/>
  <w:p w14:paraId="3F3257C8" w14:textId="77777777" w:rsidR="00C179F9" w:rsidRDefault="00C179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9C114E1" w14:textId="0EB0E8C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F517CF">
      <w:rPr>
        <w:lang w:val="ru-RU"/>
      </w:rPr>
      <w:t>39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5"/>
    <w:rsid w:val="000018D4"/>
    <w:rsid w:val="000041BF"/>
    <w:rsid w:val="0001373A"/>
    <w:rsid w:val="0002183E"/>
    <w:rsid w:val="00022049"/>
    <w:rsid w:val="00025CD0"/>
    <w:rsid w:val="00041AF8"/>
    <w:rsid w:val="000436B4"/>
    <w:rsid w:val="00045DD9"/>
    <w:rsid w:val="00046977"/>
    <w:rsid w:val="00051F36"/>
    <w:rsid w:val="00052469"/>
    <w:rsid w:val="00053946"/>
    <w:rsid w:val="000569B4"/>
    <w:rsid w:val="000666CE"/>
    <w:rsid w:val="00070D0A"/>
    <w:rsid w:val="000745B9"/>
    <w:rsid w:val="00077737"/>
    <w:rsid w:val="00080E82"/>
    <w:rsid w:val="00082EB1"/>
    <w:rsid w:val="00083C58"/>
    <w:rsid w:val="00086C85"/>
    <w:rsid w:val="00091FC0"/>
    <w:rsid w:val="00095681"/>
    <w:rsid w:val="00096EB6"/>
    <w:rsid w:val="000B1155"/>
    <w:rsid w:val="000B178D"/>
    <w:rsid w:val="000C302D"/>
    <w:rsid w:val="000C48AE"/>
    <w:rsid w:val="000D1375"/>
    <w:rsid w:val="000D49D4"/>
    <w:rsid w:val="000E568E"/>
    <w:rsid w:val="000F0B83"/>
    <w:rsid w:val="000F23D4"/>
    <w:rsid w:val="000F2F32"/>
    <w:rsid w:val="00107810"/>
    <w:rsid w:val="00113C89"/>
    <w:rsid w:val="00143985"/>
    <w:rsid w:val="00146B79"/>
    <w:rsid w:val="0014734F"/>
    <w:rsid w:val="001560AA"/>
    <w:rsid w:val="0015627C"/>
    <w:rsid w:val="0015710D"/>
    <w:rsid w:val="00163A32"/>
    <w:rsid w:val="00172078"/>
    <w:rsid w:val="001844AB"/>
    <w:rsid w:val="00192B41"/>
    <w:rsid w:val="00196335"/>
    <w:rsid w:val="00197F90"/>
    <w:rsid w:val="001A298C"/>
    <w:rsid w:val="001A7DDC"/>
    <w:rsid w:val="001B03A5"/>
    <w:rsid w:val="001B5AF2"/>
    <w:rsid w:val="001B6DF8"/>
    <w:rsid w:val="001B7B09"/>
    <w:rsid w:val="001D235B"/>
    <w:rsid w:val="001D3C0E"/>
    <w:rsid w:val="001D3E98"/>
    <w:rsid w:val="001D6D9E"/>
    <w:rsid w:val="001E12D4"/>
    <w:rsid w:val="001E6719"/>
    <w:rsid w:val="001E7F50"/>
    <w:rsid w:val="001F2F66"/>
    <w:rsid w:val="002055CC"/>
    <w:rsid w:val="00205803"/>
    <w:rsid w:val="00225368"/>
    <w:rsid w:val="00225405"/>
    <w:rsid w:val="00227FF0"/>
    <w:rsid w:val="002408DD"/>
    <w:rsid w:val="00246202"/>
    <w:rsid w:val="0025025C"/>
    <w:rsid w:val="00253003"/>
    <w:rsid w:val="00260D24"/>
    <w:rsid w:val="00262CA4"/>
    <w:rsid w:val="0027087F"/>
    <w:rsid w:val="00274E58"/>
    <w:rsid w:val="0028084E"/>
    <w:rsid w:val="00282135"/>
    <w:rsid w:val="00291EB6"/>
    <w:rsid w:val="002963F9"/>
    <w:rsid w:val="00296574"/>
    <w:rsid w:val="002A2DEF"/>
    <w:rsid w:val="002A3D1F"/>
    <w:rsid w:val="002A4E04"/>
    <w:rsid w:val="002A5784"/>
    <w:rsid w:val="002A60D0"/>
    <w:rsid w:val="002A68B5"/>
    <w:rsid w:val="002B1A11"/>
    <w:rsid w:val="002B28D7"/>
    <w:rsid w:val="002C7F1F"/>
    <w:rsid w:val="002D2015"/>
    <w:rsid w:val="002D2F57"/>
    <w:rsid w:val="002D40A1"/>
    <w:rsid w:val="002D48C5"/>
    <w:rsid w:val="002D4946"/>
    <w:rsid w:val="002E084B"/>
    <w:rsid w:val="002E6A02"/>
    <w:rsid w:val="002F50E4"/>
    <w:rsid w:val="00301FB1"/>
    <w:rsid w:val="00304FF8"/>
    <w:rsid w:val="00305A1F"/>
    <w:rsid w:val="00320B42"/>
    <w:rsid w:val="00326964"/>
    <w:rsid w:val="00327E79"/>
    <w:rsid w:val="003329DA"/>
    <w:rsid w:val="00333291"/>
    <w:rsid w:val="003367AE"/>
    <w:rsid w:val="00344180"/>
    <w:rsid w:val="003509CA"/>
    <w:rsid w:val="0035216E"/>
    <w:rsid w:val="00355E61"/>
    <w:rsid w:val="003656D8"/>
    <w:rsid w:val="00372DDD"/>
    <w:rsid w:val="00391830"/>
    <w:rsid w:val="00392140"/>
    <w:rsid w:val="003A1122"/>
    <w:rsid w:val="003B5920"/>
    <w:rsid w:val="003C6276"/>
    <w:rsid w:val="003D4869"/>
    <w:rsid w:val="003F099E"/>
    <w:rsid w:val="003F235E"/>
    <w:rsid w:val="003F63AB"/>
    <w:rsid w:val="003F71FB"/>
    <w:rsid w:val="004007C6"/>
    <w:rsid w:val="004023E0"/>
    <w:rsid w:val="00403DD8"/>
    <w:rsid w:val="00406C93"/>
    <w:rsid w:val="004109D7"/>
    <w:rsid w:val="00420997"/>
    <w:rsid w:val="00422A74"/>
    <w:rsid w:val="004269B6"/>
    <w:rsid w:val="0043184F"/>
    <w:rsid w:val="00432E13"/>
    <w:rsid w:val="00436A71"/>
    <w:rsid w:val="00442515"/>
    <w:rsid w:val="0044346D"/>
    <w:rsid w:val="00450DEF"/>
    <w:rsid w:val="0045686C"/>
    <w:rsid w:val="00470E78"/>
    <w:rsid w:val="004903FD"/>
    <w:rsid w:val="004918C4"/>
    <w:rsid w:val="00492A56"/>
    <w:rsid w:val="00497703"/>
    <w:rsid w:val="004A0374"/>
    <w:rsid w:val="004A45B5"/>
    <w:rsid w:val="004B1EE9"/>
    <w:rsid w:val="004B4FBF"/>
    <w:rsid w:val="004B6EB8"/>
    <w:rsid w:val="004C2AB1"/>
    <w:rsid w:val="004C5251"/>
    <w:rsid w:val="004D0129"/>
    <w:rsid w:val="004D4B5B"/>
    <w:rsid w:val="004E0072"/>
    <w:rsid w:val="004E26E0"/>
    <w:rsid w:val="00501A2E"/>
    <w:rsid w:val="00506806"/>
    <w:rsid w:val="00512B79"/>
    <w:rsid w:val="00513BFC"/>
    <w:rsid w:val="0053147E"/>
    <w:rsid w:val="00540A41"/>
    <w:rsid w:val="00544158"/>
    <w:rsid w:val="00547963"/>
    <w:rsid w:val="00570563"/>
    <w:rsid w:val="00582558"/>
    <w:rsid w:val="00594B32"/>
    <w:rsid w:val="005A4858"/>
    <w:rsid w:val="005A63C0"/>
    <w:rsid w:val="005A64D5"/>
    <w:rsid w:val="005B3DEC"/>
    <w:rsid w:val="005B3EC4"/>
    <w:rsid w:val="005C62E2"/>
    <w:rsid w:val="005D0E67"/>
    <w:rsid w:val="005D373B"/>
    <w:rsid w:val="005D464F"/>
    <w:rsid w:val="005D6AC9"/>
    <w:rsid w:val="005E0DCB"/>
    <w:rsid w:val="005F32B8"/>
    <w:rsid w:val="00601994"/>
    <w:rsid w:val="00604B54"/>
    <w:rsid w:val="0060621B"/>
    <w:rsid w:val="006100F2"/>
    <w:rsid w:val="00617C80"/>
    <w:rsid w:val="006203CB"/>
    <w:rsid w:val="00620CD0"/>
    <w:rsid w:val="00630AF2"/>
    <w:rsid w:val="00641281"/>
    <w:rsid w:val="006476AC"/>
    <w:rsid w:val="00657F6B"/>
    <w:rsid w:val="00664B5B"/>
    <w:rsid w:val="00671E4F"/>
    <w:rsid w:val="00677A05"/>
    <w:rsid w:val="00677D51"/>
    <w:rsid w:val="00677F2E"/>
    <w:rsid w:val="00687CDB"/>
    <w:rsid w:val="00696066"/>
    <w:rsid w:val="00697F8B"/>
    <w:rsid w:val="006E0933"/>
    <w:rsid w:val="006E26A2"/>
    <w:rsid w:val="006E2D42"/>
    <w:rsid w:val="006F5725"/>
    <w:rsid w:val="006F7500"/>
    <w:rsid w:val="006F7AEA"/>
    <w:rsid w:val="00703676"/>
    <w:rsid w:val="007064EA"/>
    <w:rsid w:val="00707304"/>
    <w:rsid w:val="00732269"/>
    <w:rsid w:val="007343A9"/>
    <w:rsid w:val="00740010"/>
    <w:rsid w:val="00743982"/>
    <w:rsid w:val="00753F8C"/>
    <w:rsid w:val="007706A9"/>
    <w:rsid w:val="0078138B"/>
    <w:rsid w:val="00783DE8"/>
    <w:rsid w:val="00785ABD"/>
    <w:rsid w:val="00787454"/>
    <w:rsid w:val="007914D8"/>
    <w:rsid w:val="00791848"/>
    <w:rsid w:val="0079552E"/>
    <w:rsid w:val="007A2DD4"/>
    <w:rsid w:val="007A2F94"/>
    <w:rsid w:val="007A7A65"/>
    <w:rsid w:val="007B2E68"/>
    <w:rsid w:val="007C35A0"/>
    <w:rsid w:val="007C551C"/>
    <w:rsid w:val="007D0431"/>
    <w:rsid w:val="007D2C93"/>
    <w:rsid w:val="007D38B5"/>
    <w:rsid w:val="007D3D8C"/>
    <w:rsid w:val="007E7EA0"/>
    <w:rsid w:val="008013DA"/>
    <w:rsid w:val="00806DE9"/>
    <w:rsid w:val="00807255"/>
    <w:rsid w:val="0081023E"/>
    <w:rsid w:val="008173AA"/>
    <w:rsid w:val="00821127"/>
    <w:rsid w:val="008227D4"/>
    <w:rsid w:val="0082787A"/>
    <w:rsid w:val="00830629"/>
    <w:rsid w:val="00840A14"/>
    <w:rsid w:val="00842D6D"/>
    <w:rsid w:val="00847ECD"/>
    <w:rsid w:val="00854245"/>
    <w:rsid w:val="00862735"/>
    <w:rsid w:val="00880BC8"/>
    <w:rsid w:val="00882749"/>
    <w:rsid w:val="008916CC"/>
    <w:rsid w:val="00891FC7"/>
    <w:rsid w:val="00895715"/>
    <w:rsid w:val="00896B6D"/>
    <w:rsid w:val="008A0A32"/>
    <w:rsid w:val="008B310C"/>
    <w:rsid w:val="008B62B4"/>
    <w:rsid w:val="008C48ED"/>
    <w:rsid w:val="008D2D7B"/>
    <w:rsid w:val="008D2FE5"/>
    <w:rsid w:val="008D6A11"/>
    <w:rsid w:val="008E0737"/>
    <w:rsid w:val="008E6F40"/>
    <w:rsid w:val="008F7C2C"/>
    <w:rsid w:val="009112F4"/>
    <w:rsid w:val="00916FA9"/>
    <w:rsid w:val="00923579"/>
    <w:rsid w:val="009236CC"/>
    <w:rsid w:val="00932053"/>
    <w:rsid w:val="00936ACF"/>
    <w:rsid w:val="009404DD"/>
    <w:rsid w:val="00940662"/>
    <w:rsid w:val="00940E96"/>
    <w:rsid w:val="00952F0C"/>
    <w:rsid w:val="009533D3"/>
    <w:rsid w:val="00961596"/>
    <w:rsid w:val="0096476F"/>
    <w:rsid w:val="00964BB0"/>
    <w:rsid w:val="00964D2D"/>
    <w:rsid w:val="009661B3"/>
    <w:rsid w:val="00972707"/>
    <w:rsid w:val="00977AEB"/>
    <w:rsid w:val="009821F0"/>
    <w:rsid w:val="00986CF7"/>
    <w:rsid w:val="00991503"/>
    <w:rsid w:val="00991DD0"/>
    <w:rsid w:val="00993369"/>
    <w:rsid w:val="009A1434"/>
    <w:rsid w:val="009B04B8"/>
    <w:rsid w:val="009B0BAE"/>
    <w:rsid w:val="009C1C89"/>
    <w:rsid w:val="009C6F70"/>
    <w:rsid w:val="009D06D1"/>
    <w:rsid w:val="009D07C9"/>
    <w:rsid w:val="009D11AC"/>
    <w:rsid w:val="009E0B8C"/>
    <w:rsid w:val="009E2232"/>
    <w:rsid w:val="009F1DD1"/>
    <w:rsid w:val="009F3448"/>
    <w:rsid w:val="009F72E5"/>
    <w:rsid w:val="00A01CF9"/>
    <w:rsid w:val="00A24084"/>
    <w:rsid w:val="00A3551A"/>
    <w:rsid w:val="00A550A0"/>
    <w:rsid w:val="00A5623F"/>
    <w:rsid w:val="00A60778"/>
    <w:rsid w:val="00A71773"/>
    <w:rsid w:val="00A72E9A"/>
    <w:rsid w:val="00A73D5F"/>
    <w:rsid w:val="00A7754D"/>
    <w:rsid w:val="00A8297A"/>
    <w:rsid w:val="00A82F23"/>
    <w:rsid w:val="00A931D6"/>
    <w:rsid w:val="00AA3082"/>
    <w:rsid w:val="00AC1C7A"/>
    <w:rsid w:val="00AC3E8E"/>
    <w:rsid w:val="00AD464F"/>
    <w:rsid w:val="00AD6F8C"/>
    <w:rsid w:val="00AE0313"/>
    <w:rsid w:val="00AE2C85"/>
    <w:rsid w:val="00AF7CFA"/>
    <w:rsid w:val="00B02A72"/>
    <w:rsid w:val="00B10710"/>
    <w:rsid w:val="00B12A37"/>
    <w:rsid w:val="00B16DC0"/>
    <w:rsid w:val="00B357D0"/>
    <w:rsid w:val="00B42201"/>
    <w:rsid w:val="00B42719"/>
    <w:rsid w:val="00B50E48"/>
    <w:rsid w:val="00B525F2"/>
    <w:rsid w:val="00B62FA8"/>
    <w:rsid w:val="00B63EF2"/>
    <w:rsid w:val="00B64F7D"/>
    <w:rsid w:val="00B712AF"/>
    <w:rsid w:val="00B76C4E"/>
    <w:rsid w:val="00BA183A"/>
    <w:rsid w:val="00BA213C"/>
    <w:rsid w:val="00BA51B0"/>
    <w:rsid w:val="00BA7D89"/>
    <w:rsid w:val="00BB3B92"/>
    <w:rsid w:val="00BC0D39"/>
    <w:rsid w:val="00BC2604"/>
    <w:rsid w:val="00BC3599"/>
    <w:rsid w:val="00BC45D0"/>
    <w:rsid w:val="00BC7BC0"/>
    <w:rsid w:val="00BD57B7"/>
    <w:rsid w:val="00BE1D8A"/>
    <w:rsid w:val="00BE63E2"/>
    <w:rsid w:val="00BF3D1A"/>
    <w:rsid w:val="00BF4F59"/>
    <w:rsid w:val="00BF5C18"/>
    <w:rsid w:val="00C017BC"/>
    <w:rsid w:val="00C05A53"/>
    <w:rsid w:val="00C1330A"/>
    <w:rsid w:val="00C14EEA"/>
    <w:rsid w:val="00C15382"/>
    <w:rsid w:val="00C179F9"/>
    <w:rsid w:val="00C234DC"/>
    <w:rsid w:val="00C34C90"/>
    <w:rsid w:val="00C414D5"/>
    <w:rsid w:val="00C4271F"/>
    <w:rsid w:val="00C465DF"/>
    <w:rsid w:val="00C46CAF"/>
    <w:rsid w:val="00C540E6"/>
    <w:rsid w:val="00C62B55"/>
    <w:rsid w:val="00C65B52"/>
    <w:rsid w:val="00C70D54"/>
    <w:rsid w:val="00C73695"/>
    <w:rsid w:val="00C736FC"/>
    <w:rsid w:val="00C85410"/>
    <w:rsid w:val="00C86DBF"/>
    <w:rsid w:val="00C9090E"/>
    <w:rsid w:val="00C96A27"/>
    <w:rsid w:val="00C96ECD"/>
    <w:rsid w:val="00CA0D72"/>
    <w:rsid w:val="00CA4DB5"/>
    <w:rsid w:val="00CB22C9"/>
    <w:rsid w:val="00CC0EE8"/>
    <w:rsid w:val="00CD10FA"/>
    <w:rsid w:val="00CD195D"/>
    <w:rsid w:val="00CD2009"/>
    <w:rsid w:val="00CF4697"/>
    <w:rsid w:val="00CF4F50"/>
    <w:rsid w:val="00CF629C"/>
    <w:rsid w:val="00CF7F28"/>
    <w:rsid w:val="00D01499"/>
    <w:rsid w:val="00D05A83"/>
    <w:rsid w:val="00D16135"/>
    <w:rsid w:val="00D22437"/>
    <w:rsid w:val="00D40940"/>
    <w:rsid w:val="00D45D52"/>
    <w:rsid w:val="00D66072"/>
    <w:rsid w:val="00D660DF"/>
    <w:rsid w:val="00D85E64"/>
    <w:rsid w:val="00D878B7"/>
    <w:rsid w:val="00D92EEA"/>
    <w:rsid w:val="00DA2774"/>
    <w:rsid w:val="00DA4E52"/>
    <w:rsid w:val="00DA5ADC"/>
    <w:rsid w:val="00DA5B67"/>
    <w:rsid w:val="00DA5D4E"/>
    <w:rsid w:val="00DD4E84"/>
    <w:rsid w:val="00DE5A71"/>
    <w:rsid w:val="00DE6E63"/>
    <w:rsid w:val="00DF5B3F"/>
    <w:rsid w:val="00DF705A"/>
    <w:rsid w:val="00E01C20"/>
    <w:rsid w:val="00E0550D"/>
    <w:rsid w:val="00E176BA"/>
    <w:rsid w:val="00E35374"/>
    <w:rsid w:val="00E37D25"/>
    <w:rsid w:val="00E41BCD"/>
    <w:rsid w:val="00E423EC"/>
    <w:rsid w:val="00E43CB2"/>
    <w:rsid w:val="00E5008C"/>
    <w:rsid w:val="00E51D89"/>
    <w:rsid w:val="00E54118"/>
    <w:rsid w:val="00E55121"/>
    <w:rsid w:val="00E743AD"/>
    <w:rsid w:val="00E76EE6"/>
    <w:rsid w:val="00E81505"/>
    <w:rsid w:val="00E82BE8"/>
    <w:rsid w:val="00E83A28"/>
    <w:rsid w:val="00E85715"/>
    <w:rsid w:val="00E931F2"/>
    <w:rsid w:val="00EA34AE"/>
    <w:rsid w:val="00EB08E3"/>
    <w:rsid w:val="00EB4FCB"/>
    <w:rsid w:val="00EC09D5"/>
    <w:rsid w:val="00EC135F"/>
    <w:rsid w:val="00EC1E50"/>
    <w:rsid w:val="00EC37E1"/>
    <w:rsid w:val="00EC42C4"/>
    <w:rsid w:val="00EC447C"/>
    <w:rsid w:val="00EC6BC5"/>
    <w:rsid w:val="00ED0393"/>
    <w:rsid w:val="00ED5DA9"/>
    <w:rsid w:val="00EE7024"/>
    <w:rsid w:val="00EE73A9"/>
    <w:rsid w:val="00EF0356"/>
    <w:rsid w:val="00EF5C14"/>
    <w:rsid w:val="00EF72E6"/>
    <w:rsid w:val="00EF7771"/>
    <w:rsid w:val="00EF7A8B"/>
    <w:rsid w:val="00F048CE"/>
    <w:rsid w:val="00F16536"/>
    <w:rsid w:val="00F17627"/>
    <w:rsid w:val="00F205B4"/>
    <w:rsid w:val="00F306DC"/>
    <w:rsid w:val="00F35898"/>
    <w:rsid w:val="00F37C77"/>
    <w:rsid w:val="00F43F29"/>
    <w:rsid w:val="00F517CF"/>
    <w:rsid w:val="00F5225B"/>
    <w:rsid w:val="00F62510"/>
    <w:rsid w:val="00F71A3E"/>
    <w:rsid w:val="00F82C25"/>
    <w:rsid w:val="00F82ECC"/>
    <w:rsid w:val="00F91434"/>
    <w:rsid w:val="00F91B4C"/>
    <w:rsid w:val="00F93B3D"/>
    <w:rsid w:val="00F97138"/>
    <w:rsid w:val="00FB00A9"/>
    <w:rsid w:val="00FD005D"/>
    <w:rsid w:val="00FD1BF1"/>
    <w:rsid w:val="00FD32C7"/>
    <w:rsid w:val="00FD3CA5"/>
    <w:rsid w:val="00FD520A"/>
    <w:rsid w:val="00FE5701"/>
    <w:rsid w:val="00FF1187"/>
    <w:rsid w:val="00FF2707"/>
    <w:rsid w:val="00FF2E0D"/>
    <w:rsid w:val="00FF4E31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51A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0D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membership/Pages/exemption-criteria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doc/gs/council/c00/docs/28rev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7BAC-0ED2-4D1F-9875-A31D383B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</Pages>
  <Words>654</Words>
  <Characters>5166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5809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Ksenia Loskutova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2021-05-28T13:44:00Z</dcterms:created>
  <dcterms:modified xsi:type="dcterms:W3CDTF">2021-05-28T13:44:00Z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