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3DA5A258" w14:textId="77777777">
        <w:trPr>
          <w:cantSplit/>
        </w:trPr>
        <w:tc>
          <w:tcPr>
            <w:tcW w:w="6912" w:type="dxa"/>
          </w:tcPr>
          <w:p w14:paraId="13A2194B" w14:textId="062797C3" w:rsidR="00093EEB" w:rsidRPr="008C23D3" w:rsidRDefault="00093EEB" w:rsidP="00C2727F">
            <w:pPr>
              <w:spacing w:before="360"/>
              <w:rPr>
                <w:b/>
                <w:bCs/>
                <w:sz w:val="30"/>
                <w:szCs w:val="30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</w:t>
            </w:r>
            <w:r w:rsidR="007955DA">
              <w:rPr>
                <w:b/>
                <w:bCs/>
                <w:sz w:val="30"/>
                <w:szCs w:val="30"/>
              </w:rPr>
              <w:t>2</w:t>
            </w:r>
            <w:r w:rsidR="000007D1">
              <w:rPr>
                <w:b/>
                <w:bCs/>
                <w:sz w:val="30"/>
                <w:szCs w:val="30"/>
              </w:rPr>
              <w:t>1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bookmarkStart w:id="2" w:name="lt_pId446"/>
            <w:r w:rsidR="000007D1" w:rsidRPr="000007D1">
              <w:rPr>
                <w:b/>
                <w:bCs/>
                <w:sz w:val="26"/>
                <w:szCs w:val="26"/>
              </w:rPr>
              <w:t>Consulta virtual de los consejeros</w:t>
            </w:r>
            <w:bookmarkEnd w:id="2"/>
            <w:r w:rsidRPr="000007D1">
              <w:rPr>
                <w:b/>
                <w:bCs/>
                <w:sz w:val="26"/>
                <w:szCs w:val="26"/>
              </w:rPr>
              <w:t xml:space="preserve">, </w:t>
            </w:r>
            <w:r w:rsidR="000007D1" w:rsidRPr="000007D1">
              <w:rPr>
                <w:b/>
                <w:bCs/>
                <w:sz w:val="26"/>
                <w:szCs w:val="26"/>
              </w:rPr>
              <w:t>8</w:t>
            </w:r>
            <w:r w:rsidRPr="000007D1">
              <w:rPr>
                <w:b/>
                <w:bCs/>
                <w:sz w:val="26"/>
                <w:szCs w:val="26"/>
              </w:rPr>
              <w:t>-</w:t>
            </w:r>
            <w:r w:rsidR="007955DA" w:rsidRPr="000007D1">
              <w:rPr>
                <w:b/>
                <w:bCs/>
                <w:sz w:val="26"/>
                <w:szCs w:val="26"/>
              </w:rPr>
              <w:t>1</w:t>
            </w:r>
            <w:r w:rsidR="000007D1" w:rsidRPr="000007D1">
              <w:rPr>
                <w:b/>
                <w:bCs/>
                <w:sz w:val="26"/>
                <w:szCs w:val="26"/>
              </w:rPr>
              <w:t>8</w:t>
            </w:r>
            <w:r w:rsidRPr="000007D1">
              <w:rPr>
                <w:b/>
                <w:bCs/>
                <w:sz w:val="26"/>
                <w:szCs w:val="26"/>
              </w:rPr>
              <w:t xml:space="preserve"> de </w:t>
            </w:r>
            <w:r w:rsidR="00C2727F" w:rsidRPr="000007D1">
              <w:rPr>
                <w:b/>
                <w:bCs/>
                <w:sz w:val="26"/>
                <w:szCs w:val="26"/>
              </w:rPr>
              <w:t>junio</w:t>
            </w:r>
            <w:r w:rsidRPr="000007D1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0007D1">
              <w:rPr>
                <w:b/>
                <w:bCs/>
                <w:sz w:val="26"/>
                <w:szCs w:val="26"/>
              </w:rPr>
              <w:t>2</w:t>
            </w:r>
            <w:r w:rsidR="000007D1" w:rsidRPr="000007D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14:paraId="4CB101FA" w14:textId="77777777" w:rsidR="00093EEB" w:rsidRPr="000B0D00" w:rsidRDefault="007955DA" w:rsidP="007955DA">
            <w:pPr>
              <w:spacing w:before="0"/>
              <w:rPr>
                <w:szCs w:val="24"/>
              </w:rPr>
            </w:pPr>
            <w:bookmarkStart w:id="3" w:name="ditulogo"/>
            <w:bookmarkEnd w:id="3"/>
            <w:r>
              <w:rPr>
                <w:noProof/>
                <w:lang w:eastAsia="zh-CN"/>
              </w:rPr>
              <w:drawing>
                <wp:inline distT="0" distB="0" distL="0" distR="0" wp14:anchorId="6A4FAECA" wp14:editId="0DF16FC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60AE3613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1651F199" w14:textId="77777777"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58D25F97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165D5949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16370BF4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C23D3" w:rsidRPr="000B0D00" w14:paraId="75B9083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19A9F66E" w14:textId="0B0205C7" w:rsidR="008C23D3" w:rsidRPr="00093EEB" w:rsidRDefault="008C23D3" w:rsidP="008C23D3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4" w:name="dnum" w:colFirst="1" w:colLast="1"/>
            <w:bookmarkStart w:id="5" w:name="dmeeting" w:colFirst="0" w:colLast="0"/>
            <w:bookmarkEnd w:id="1"/>
            <w:r w:rsidRPr="00B73BCB">
              <w:rPr>
                <w:rFonts w:cs="Times"/>
                <w:b/>
                <w:szCs w:val="24"/>
              </w:rPr>
              <w:t>Punto del orden del día: ADM</w:t>
            </w:r>
            <w:r>
              <w:rPr>
                <w:rFonts w:cs="Times"/>
                <w:b/>
                <w:szCs w:val="24"/>
              </w:rPr>
              <w:t xml:space="preserve"> 11</w:t>
            </w:r>
          </w:p>
        </w:tc>
        <w:tc>
          <w:tcPr>
            <w:tcW w:w="3261" w:type="dxa"/>
          </w:tcPr>
          <w:p w14:paraId="285F93E2" w14:textId="3AF9E009" w:rsidR="008C23D3" w:rsidRPr="00093EEB" w:rsidRDefault="008C23D3" w:rsidP="008C23D3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C21/39-S</w:t>
            </w:r>
          </w:p>
        </w:tc>
      </w:tr>
      <w:tr w:rsidR="008C23D3" w:rsidRPr="000B0D00" w14:paraId="284A10BE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567DDC68" w14:textId="77777777" w:rsidR="008C23D3" w:rsidRPr="000B0D00" w:rsidRDefault="008C23D3" w:rsidP="008C23D3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14:paraId="357D704D" w14:textId="70B0499F" w:rsidR="008C23D3" w:rsidRPr="00093EEB" w:rsidRDefault="008C23D3" w:rsidP="008C23D3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 de abril de 2021</w:t>
            </w:r>
          </w:p>
        </w:tc>
      </w:tr>
      <w:tr w:rsidR="008C23D3" w:rsidRPr="000B0D00" w14:paraId="0C51465A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C71098A" w14:textId="77777777" w:rsidR="008C23D3" w:rsidRPr="000B0D00" w:rsidRDefault="008C23D3" w:rsidP="008C23D3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14:paraId="5787B5AB" w14:textId="03A36AF8" w:rsidR="008C23D3" w:rsidRPr="00093EEB" w:rsidRDefault="008C23D3" w:rsidP="008C23D3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8C23D3" w:rsidRPr="000B0D00" w14:paraId="3F7C5567" w14:textId="77777777">
        <w:trPr>
          <w:cantSplit/>
        </w:trPr>
        <w:tc>
          <w:tcPr>
            <w:tcW w:w="10173" w:type="dxa"/>
            <w:gridSpan w:val="2"/>
          </w:tcPr>
          <w:p w14:paraId="2504AD62" w14:textId="4DC0B888" w:rsidR="008C23D3" w:rsidRPr="000B0D00" w:rsidRDefault="008C23D3" w:rsidP="008C23D3">
            <w:pPr>
              <w:pStyle w:val="Source"/>
            </w:pPr>
            <w:bookmarkStart w:id="8" w:name="dsource" w:colFirst="0" w:colLast="0"/>
            <w:bookmarkEnd w:id="7"/>
            <w:r w:rsidRPr="00D7419C">
              <w:t>Informe del Secretario General</w:t>
            </w:r>
          </w:p>
        </w:tc>
      </w:tr>
      <w:tr w:rsidR="008C23D3" w:rsidRPr="000B0D00" w14:paraId="369E4B9F" w14:textId="77777777">
        <w:trPr>
          <w:cantSplit/>
        </w:trPr>
        <w:tc>
          <w:tcPr>
            <w:tcW w:w="10173" w:type="dxa"/>
            <w:gridSpan w:val="2"/>
          </w:tcPr>
          <w:tbl>
            <w:tblPr>
              <w:tblpPr w:leftFromText="180" w:rightFromText="180" w:horzAnchor="margin" w:tblpY="-645"/>
              <w:tblW w:w="10173" w:type="dxa"/>
              <w:tblLayout w:type="fixed"/>
              <w:tblLook w:val="0000" w:firstRow="0" w:lastRow="0" w:firstColumn="0" w:lastColumn="0" w:noHBand="0" w:noVBand="0"/>
            </w:tblPr>
            <w:tblGrid>
              <w:gridCol w:w="10173"/>
            </w:tblGrid>
            <w:tr w:rsidR="008C23D3" w:rsidRPr="000B0D00" w14:paraId="77C9D9C3" w14:textId="77777777" w:rsidTr="00502435">
              <w:trPr>
                <w:cantSplit/>
              </w:trPr>
              <w:tc>
                <w:tcPr>
                  <w:tcW w:w="10173" w:type="dxa"/>
                </w:tcPr>
                <w:p w14:paraId="77BA3E30" w14:textId="77777777" w:rsidR="00250EEA" w:rsidRDefault="008C23D3" w:rsidP="00250EEA">
                  <w:pPr>
                    <w:pStyle w:val="Title1"/>
                    <w:ind w:left="567" w:hanging="567"/>
                  </w:pPr>
                  <w:bookmarkStart w:id="9" w:name="dtitle1" w:colFirst="0" w:colLast="0"/>
                  <w:bookmarkEnd w:id="8"/>
                  <w:r>
                    <w:t xml:space="preserve">SOLICITUDES DE EXONERACIÓN DEL PAGO DE CONTRIBUCIONES </w:t>
                  </w:r>
                  <w:r>
                    <w:br/>
                    <w:t xml:space="preserve">FINANCIERAS PARA SUFRAGAR LOS GASTOS RELATIVOS A </w:t>
                  </w:r>
                  <w:r>
                    <w:br/>
                    <w:t>LA PARTICIPACIÓN EN LOS TRABAJOS DE LA UI</w:t>
                  </w:r>
                  <w:r w:rsidR="00250EEA">
                    <w:t>T</w:t>
                  </w:r>
                </w:p>
                <w:p w14:paraId="4D66B20F" w14:textId="3AAEABF1" w:rsidR="00250EEA" w:rsidRPr="00250EEA" w:rsidRDefault="00250EEA" w:rsidP="00250EEA"/>
              </w:tc>
            </w:tr>
          </w:tbl>
          <w:p w14:paraId="1FE5313A" w14:textId="77777777" w:rsidR="008C23D3" w:rsidRPr="000B0D00" w:rsidRDefault="008C23D3" w:rsidP="008C23D3">
            <w:pPr>
              <w:pStyle w:val="Title1"/>
            </w:pPr>
          </w:p>
        </w:tc>
      </w:tr>
    </w:tbl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 w14:paraId="072B03B1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9"/>
          <w:p w14:paraId="1DC9C1C0" w14:textId="77777777"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14:paraId="534B20D9" w14:textId="77777777" w:rsidR="008C23D3" w:rsidRPr="000B0D00" w:rsidRDefault="008C23D3" w:rsidP="008C23D3">
            <w:pPr>
              <w:rPr>
                <w:lang w:val="es-ES"/>
              </w:rPr>
            </w:pPr>
            <w:r>
              <w:rPr>
                <w:lang w:val="es-ES"/>
              </w:rPr>
              <w:t>Cinco</w:t>
            </w:r>
            <w:r w:rsidRPr="003A1623">
              <w:rPr>
                <w:lang w:val="es-ES"/>
              </w:rPr>
              <w:t xml:space="preserve"> organizaciones de carácter regional o internacional han solicitado una exoneración del pago de su contribución financiera. Con arreglo a las directrices correspondientes, el Consejo deberá tener en cuenta las opiniones expresadas por el Secretario General respecto de las ventajas mutuas de su participación en las actividades de la Unión.</w:t>
            </w:r>
          </w:p>
          <w:p w14:paraId="7791BA46" w14:textId="77777777"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14:paraId="68F7985A" w14:textId="77777777" w:rsidR="008C23D3" w:rsidRPr="000B0D00" w:rsidRDefault="008C23D3" w:rsidP="008C23D3">
            <w:pPr>
              <w:rPr>
                <w:lang w:val="es-ES"/>
              </w:rPr>
            </w:pPr>
            <w:r w:rsidRPr="00B73BCB">
              <w:rPr>
                <w:lang w:val="es-ES"/>
              </w:rPr>
              <w:t xml:space="preserve">Se invita al Consejo a </w:t>
            </w:r>
            <w:r w:rsidRPr="00B73BCB">
              <w:rPr>
                <w:b/>
                <w:bCs/>
                <w:lang w:val="es-ES"/>
              </w:rPr>
              <w:t>examinar</w:t>
            </w:r>
            <w:r w:rsidRPr="00B73BCB">
              <w:rPr>
                <w:lang w:val="es-ES"/>
              </w:rPr>
              <w:t xml:space="preserve"> las solicitudes de admisión como Miembros de Sector exonerados del pago de la contribución correspondiente, y a </w:t>
            </w:r>
            <w:r w:rsidRPr="00B73BCB">
              <w:rPr>
                <w:b/>
                <w:bCs/>
                <w:lang w:val="es-ES"/>
              </w:rPr>
              <w:t>aprobar</w:t>
            </w:r>
            <w:r w:rsidRPr="00B73BCB">
              <w:rPr>
                <w:lang w:val="es-ES"/>
              </w:rPr>
              <w:t xml:space="preserve"> las recomendaciones del Secretario General.</w:t>
            </w:r>
          </w:p>
          <w:p w14:paraId="2AC524F3" w14:textId="77777777" w:rsidR="00093EEB" w:rsidRPr="000B0D00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0B0D00">
              <w:rPr>
                <w:caps w:val="0"/>
                <w:sz w:val="22"/>
                <w:lang w:val="es-ES"/>
              </w:rPr>
              <w:t>____________</w:t>
            </w:r>
          </w:p>
          <w:p w14:paraId="68273A5E" w14:textId="77777777"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Referencia</w:t>
            </w:r>
          </w:p>
          <w:p w14:paraId="79F6ABD5" w14:textId="3448038F" w:rsidR="00093EEB" w:rsidRPr="000B0D00" w:rsidRDefault="009F5A7D">
            <w:pPr>
              <w:spacing w:after="120"/>
              <w:rPr>
                <w:i/>
                <w:iCs/>
                <w:lang w:val="es-ES"/>
              </w:rPr>
            </w:pPr>
            <w:hyperlink r:id="rId7" w:anchor="cv231" w:history="1">
              <w:r w:rsidR="00091D48" w:rsidRPr="00091D48">
                <w:rPr>
                  <w:rStyle w:val="Hyperlink"/>
                  <w:i/>
                  <w:iCs/>
                </w:rPr>
                <w:t xml:space="preserve">Número </w:t>
              </w:r>
              <w:r w:rsidR="008C23D3" w:rsidRPr="00091D48">
                <w:rPr>
                  <w:rStyle w:val="Hyperlink"/>
                  <w:rFonts w:asciiTheme="minorHAnsi" w:hAnsiTheme="minorHAnsi" w:cstheme="minorHAnsi"/>
                  <w:i/>
                  <w:iCs/>
                  <w:lang w:val="es-ES"/>
                </w:rPr>
                <w:t>231</w:t>
              </w:r>
              <w:r w:rsidR="00091D48" w:rsidRPr="00091D48">
                <w:rPr>
                  <w:rStyle w:val="Hyperlink"/>
                  <w:rFonts w:asciiTheme="minorHAnsi" w:hAnsiTheme="minorHAnsi" w:cstheme="minorHAnsi"/>
                  <w:i/>
                  <w:iCs/>
                  <w:lang w:val="es-ES"/>
                </w:rPr>
                <w:t xml:space="preserve"> del Convenio</w:t>
              </w:r>
            </w:hyperlink>
            <w:r w:rsidR="008C23D3" w:rsidRPr="00091D48">
              <w:rPr>
                <w:rFonts w:asciiTheme="minorHAnsi" w:hAnsiTheme="minorHAnsi" w:cstheme="minorHAnsi"/>
                <w:i/>
                <w:iCs/>
                <w:lang w:val="es-ES"/>
              </w:rPr>
              <w:t>,</w:t>
            </w:r>
            <w:r w:rsidR="00091D48">
              <w:rPr>
                <w:rFonts w:asciiTheme="minorHAnsi" w:hAnsiTheme="minorHAnsi" w:cstheme="minorHAnsi"/>
                <w:i/>
                <w:iCs/>
                <w:lang w:val="es-ES"/>
              </w:rPr>
              <w:t xml:space="preserve"> Documento</w:t>
            </w:r>
            <w:r w:rsidR="008C23D3" w:rsidRPr="00091D48">
              <w:rPr>
                <w:rFonts w:asciiTheme="minorHAnsi" w:hAnsiTheme="minorHAnsi" w:cstheme="minorHAnsi"/>
                <w:i/>
                <w:iCs/>
                <w:lang w:val="es-ES"/>
              </w:rPr>
              <w:t xml:space="preserve"> </w:t>
            </w:r>
            <w:hyperlink r:id="rId8" w:tgtFrame="_blank" w:history="1">
              <w:r w:rsidR="008C23D3" w:rsidRPr="00055FE2">
                <w:rPr>
                  <w:rStyle w:val="normaltextrun"/>
                  <w:rFonts w:asciiTheme="minorHAnsi" w:hAnsiTheme="minorHAnsi" w:cstheme="minorHAnsi"/>
                  <w:i/>
                  <w:iCs/>
                  <w:color w:val="0000FF"/>
                  <w:u w:val="single"/>
                </w:rPr>
                <w:t>C2000/28</w:t>
              </w:r>
              <w:r w:rsidR="008C23D3" w:rsidRPr="00055FE2">
                <w:rPr>
                  <w:rStyle w:val="normaltextrun"/>
                  <w:rFonts w:asciiTheme="minorHAnsi" w:hAnsiTheme="minorHAnsi" w:cstheme="minorHAnsi"/>
                  <w:i/>
                  <w:iCs/>
                  <w:caps/>
                  <w:color w:val="0000FF"/>
                  <w:u w:val="single"/>
                </w:rPr>
                <w:t>(</w:t>
              </w:r>
              <w:r w:rsidR="008C23D3" w:rsidRPr="00055FE2">
                <w:rPr>
                  <w:rStyle w:val="normaltextrun"/>
                  <w:rFonts w:asciiTheme="minorHAnsi" w:hAnsiTheme="minorHAnsi" w:cstheme="minorHAnsi"/>
                  <w:i/>
                  <w:iCs/>
                  <w:color w:val="0000FF"/>
                  <w:u w:val="single"/>
                </w:rPr>
                <w:t>Rev.</w:t>
              </w:r>
              <w:r w:rsidR="008C23D3" w:rsidRPr="00055FE2">
                <w:rPr>
                  <w:rStyle w:val="normaltextrun"/>
                  <w:rFonts w:asciiTheme="minorHAnsi" w:hAnsiTheme="minorHAnsi" w:cstheme="minorHAnsi"/>
                  <w:i/>
                  <w:iCs/>
                  <w:caps/>
                  <w:color w:val="0000FF"/>
                  <w:u w:val="single"/>
                </w:rPr>
                <w:t>1)</w:t>
              </w:r>
            </w:hyperlink>
          </w:p>
        </w:tc>
      </w:tr>
    </w:tbl>
    <w:p w14:paraId="197CA8CE" w14:textId="77777777" w:rsidR="00891878" w:rsidRPr="00B73BCB" w:rsidRDefault="00891878" w:rsidP="00091D48">
      <w:pPr>
        <w:pStyle w:val="Headingb"/>
        <w:spacing w:before="360"/>
      </w:pPr>
      <w:r w:rsidRPr="00091D48">
        <w:rPr>
          <w:lang w:val="fr-FR"/>
        </w:rPr>
        <w:t>Antecedentes</w:t>
      </w:r>
    </w:p>
    <w:p w14:paraId="5E649451" w14:textId="6CE5A80D" w:rsidR="00891878" w:rsidRDefault="00891878" w:rsidP="00891878">
      <w:r>
        <w:t>1.1</w:t>
      </w:r>
      <w:r>
        <w:tab/>
        <w:t>Los criterios y directrices para la concesión de exoneraciones, sujetas a la condición de</w:t>
      </w:r>
      <w:r w:rsidR="002160E4">
        <w:t> </w:t>
      </w:r>
      <w:r>
        <w:t>"reciprocidad", fueron adoptados por el Consejo en su reunión del año 2000 (Documento </w:t>
      </w:r>
      <w:hyperlink r:id="rId9" w:history="1">
        <w:r w:rsidRPr="005F393F">
          <w:rPr>
            <w:rStyle w:val="Hyperlink"/>
          </w:rPr>
          <w:t>C2000/28(Rev.1)</w:t>
        </w:r>
      </w:hyperlink>
      <w:r>
        <w:t xml:space="preserve">). Dichos criterios fueron examinados y revisados por el Consejo en 2017. Los criterios pueden consultarse </w:t>
      </w:r>
      <w:hyperlink r:id="rId10" w:history="1">
        <w:r w:rsidRPr="003A1623">
          <w:rPr>
            <w:rStyle w:val="Hyperlink"/>
            <w:lang w:val="es-ES"/>
          </w:rPr>
          <w:t>aquí</w:t>
        </w:r>
      </w:hyperlink>
      <w:r>
        <w:t xml:space="preserve">. </w:t>
      </w:r>
    </w:p>
    <w:p w14:paraId="539ACB14" w14:textId="4FD89CD2" w:rsidR="00891878" w:rsidRPr="003A1623" w:rsidRDefault="00891878" w:rsidP="00891878">
      <w:pPr>
        <w:widowControl w:val="0"/>
        <w:rPr>
          <w:lang w:val="es-ES"/>
        </w:rPr>
      </w:pPr>
      <w:r>
        <w:t>1.2</w:t>
      </w:r>
      <w:r>
        <w:tab/>
        <w:t>El Consejo concede la exoneración del pago de contribuciones a raíz del análisis de las Oficinas pertinentes y de una recomendación del Secretario General. Los principales criterios son que la entidad sea una organización regional o internacional legalmente reconocida, sin ánimo de lucro y activa en el ámbito de las telecomunicaciones/TIC, con miembros sin ánimo de lucro y actividades en varios países, y que proporcionen beneficios recíprocos a la UIT. Si son aprobadas, esas organizaciones pasan a ser Miembros de Sector o Asociados en virtud del número 231 del Convenio.</w:t>
      </w:r>
    </w:p>
    <w:p w14:paraId="161B0DB4" w14:textId="77777777" w:rsidR="00891878" w:rsidRPr="001C0BE6" w:rsidRDefault="00891878" w:rsidP="001C0BE6">
      <w:pPr>
        <w:pStyle w:val="Headingb"/>
        <w:spacing w:before="360"/>
        <w:rPr>
          <w:lang w:val="fr-FR"/>
        </w:rPr>
      </w:pPr>
      <w:r w:rsidRPr="001C0BE6">
        <w:rPr>
          <w:lang w:val="fr-FR"/>
        </w:rPr>
        <w:lastRenderedPageBreak/>
        <w:t>Solicitudes y recomendaciones</w:t>
      </w:r>
    </w:p>
    <w:p w14:paraId="26E97C1F" w14:textId="77777777" w:rsidR="00891878" w:rsidRPr="00B73BCB" w:rsidRDefault="00891878" w:rsidP="00891878">
      <w:r>
        <w:t>2</w:t>
      </w:r>
      <w:r>
        <w:tab/>
      </w:r>
      <w:proofErr w:type="gramStart"/>
      <w:r w:rsidRPr="00B73BCB">
        <w:t>Se</w:t>
      </w:r>
      <w:proofErr w:type="gramEnd"/>
      <w:r w:rsidRPr="00B73BCB">
        <w:t xml:space="preserve"> han recibido las siguientes solicitudes, que se someten </w:t>
      </w:r>
      <w:r>
        <w:t xml:space="preserve">al Consejo </w:t>
      </w:r>
      <w:r w:rsidRPr="00CE6DA9">
        <w:t xml:space="preserve">para que </w:t>
      </w:r>
      <w:r>
        <w:t>adopte</w:t>
      </w:r>
      <w:r w:rsidRPr="00CE6DA9">
        <w:t xml:space="preserve"> las medidas </w:t>
      </w:r>
      <w:r>
        <w:t>apropiadas</w:t>
      </w:r>
      <w:r w:rsidRPr="00B73BCB">
        <w:t>:</w:t>
      </w:r>
    </w:p>
    <w:p w14:paraId="5B857B6E" w14:textId="77777777" w:rsidR="00484103" w:rsidRDefault="00484103" w:rsidP="00484103">
      <w:pPr>
        <w:spacing w:after="120"/>
      </w:pPr>
      <w:r>
        <w:t>2.1</w:t>
      </w:r>
    </w:p>
    <w:tbl>
      <w:tblPr>
        <w:tblW w:w="82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30"/>
        <w:gridCol w:w="1559"/>
        <w:gridCol w:w="2742"/>
      </w:tblGrid>
      <w:tr w:rsidR="00484103" w:rsidRPr="001C0BE6" w14:paraId="3DA968D6" w14:textId="77777777" w:rsidTr="00502435">
        <w:trPr>
          <w:cantSplit/>
          <w:jc w:val="center"/>
        </w:trPr>
        <w:tc>
          <w:tcPr>
            <w:tcW w:w="3930" w:type="dxa"/>
          </w:tcPr>
          <w:p w14:paraId="7CB1D6C5" w14:textId="77777777" w:rsidR="00484103" w:rsidRPr="001C0BE6" w:rsidRDefault="00484103" w:rsidP="00502435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1C0BE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Organización</w:t>
            </w:r>
            <w:proofErr w:type="spellEnd"/>
          </w:p>
        </w:tc>
        <w:tc>
          <w:tcPr>
            <w:tcW w:w="1559" w:type="dxa"/>
          </w:tcPr>
          <w:p w14:paraId="4D893E99" w14:textId="77777777" w:rsidR="00484103" w:rsidRPr="001C0BE6" w:rsidRDefault="00484103" w:rsidP="00502435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BE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Sector</w:t>
            </w:r>
          </w:p>
        </w:tc>
        <w:tc>
          <w:tcPr>
            <w:tcW w:w="2742" w:type="dxa"/>
          </w:tcPr>
          <w:p w14:paraId="25335750" w14:textId="77777777" w:rsidR="00484103" w:rsidRPr="001C0BE6" w:rsidRDefault="00484103" w:rsidP="00502435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1C0BE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Recomendación</w:t>
            </w:r>
            <w:proofErr w:type="spellEnd"/>
            <w:r w:rsidRPr="001C0BE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del SG</w:t>
            </w:r>
          </w:p>
        </w:tc>
      </w:tr>
      <w:tr w:rsidR="00484103" w:rsidRPr="001C0BE6" w14:paraId="721F051D" w14:textId="77777777" w:rsidTr="00502435">
        <w:trPr>
          <w:cantSplit/>
          <w:trHeight w:val="567"/>
          <w:jc w:val="center"/>
        </w:trPr>
        <w:tc>
          <w:tcPr>
            <w:tcW w:w="3930" w:type="dxa"/>
            <w:vAlign w:val="center"/>
          </w:tcPr>
          <w:p w14:paraId="2727AC3D" w14:textId="77777777" w:rsidR="00484103" w:rsidRPr="001C0BE6" w:rsidRDefault="00484103" w:rsidP="00502435">
            <w:pPr>
              <w:pStyle w:val="TableText0"/>
              <w:keepNext/>
              <w:keepLines/>
              <w:spacing w:before="120" w:after="120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s-ES_tradnl"/>
              </w:rPr>
            </w:pPr>
            <w:r w:rsidRPr="001C0BE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Comunidad para el Desarrollo del África Meridional (SADC)</w:t>
            </w:r>
          </w:p>
        </w:tc>
        <w:tc>
          <w:tcPr>
            <w:tcW w:w="1559" w:type="dxa"/>
            <w:vAlign w:val="center"/>
          </w:tcPr>
          <w:p w14:paraId="3807797A" w14:textId="77777777" w:rsidR="00484103" w:rsidRPr="001C0BE6" w:rsidRDefault="00484103" w:rsidP="001C0BE6">
            <w:pPr>
              <w:pStyle w:val="TableText0"/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 w:rsidRPr="001C0B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  <w:t>UIT-R</w:t>
            </w:r>
          </w:p>
          <w:p w14:paraId="11CC0495" w14:textId="77777777" w:rsidR="00484103" w:rsidRPr="001C0BE6" w:rsidRDefault="00484103" w:rsidP="001C0BE6">
            <w:pPr>
              <w:pStyle w:val="TableText0"/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 w:rsidRPr="001C0B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  <w:t>UIT-T</w:t>
            </w:r>
          </w:p>
        </w:tc>
        <w:tc>
          <w:tcPr>
            <w:tcW w:w="2742" w:type="dxa"/>
            <w:vAlign w:val="center"/>
          </w:tcPr>
          <w:p w14:paraId="5AD871A3" w14:textId="77777777" w:rsidR="00484103" w:rsidRPr="001C0BE6" w:rsidRDefault="00484103" w:rsidP="001C0BE6">
            <w:pPr>
              <w:pStyle w:val="TableText0"/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 w:rsidRPr="001C0B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  <w:t>SÍ</w:t>
            </w:r>
          </w:p>
          <w:p w14:paraId="3C8C6C2E" w14:textId="77777777" w:rsidR="00484103" w:rsidRPr="001C0BE6" w:rsidRDefault="00484103" w:rsidP="001C0BE6">
            <w:pPr>
              <w:pStyle w:val="TableText0"/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 w:rsidRPr="001C0B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  <w:t>SÍ</w:t>
            </w:r>
          </w:p>
        </w:tc>
      </w:tr>
    </w:tbl>
    <w:p w14:paraId="69F0AF7A" w14:textId="3174D9E1" w:rsidR="00484103" w:rsidRDefault="00484103" w:rsidP="004126E7">
      <w:pPr>
        <w:spacing w:before="240"/>
        <w:rPr>
          <w:lang w:val="es-ES"/>
        </w:rPr>
      </w:pPr>
      <w:r w:rsidRPr="00A076E4">
        <w:rPr>
          <w:shd w:val="clear" w:color="auto" w:fill="FFFFFF"/>
          <w:lang w:val="es-ES"/>
        </w:rPr>
        <w:t xml:space="preserve">La </w:t>
      </w:r>
      <w:r w:rsidRPr="00A076E4">
        <w:rPr>
          <w:color w:val="000000"/>
          <w:lang w:val="es-ES"/>
        </w:rPr>
        <w:t>Comunidad para el Desarrollo del África Meridional (SADC)</w:t>
      </w:r>
      <w:r>
        <w:rPr>
          <w:color w:val="000000"/>
          <w:lang w:val="es-ES"/>
        </w:rPr>
        <w:t xml:space="preserve"> </w:t>
      </w:r>
      <w:r w:rsidRPr="00A076E4">
        <w:rPr>
          <w:shd w:val="clear" w:color="auto" w:fill="FFFFFF"/>
          <w:lang w:val="es-ES"/>
        </w:rPr>
        <w:t xml:space="preserve">es una organización intergubernamental con sede en </w:t>
      </w:r>
      <w:proofErr w:type="spellStart"/>
      <w:r w:rsidRPr="00A076E4">
        <w:rPr>
          <w:shd w:val="clear" w:color="auto" w:fill="FFFFFF"/>
          <w:lang w:val="es-ES"/>
        </w:rPr>
        <w:t>Botswana</w:t>
      </w:r>
      <w:proofErr w:type="spellEnd"/>
      <w:r w:rsidRPr="00A076E4">
        <w:rPr>
          <w:shd w:val="clear" w:color="auto" w:fill="FFFFFF"/>
          <w:lang w:val="es-ES"/>
        </w:rPr>
        <w:t>. Tiene por objetivo fomentar la cooperación e integración socioeconómica regional, así como la cooperación política y de seguridad entre 16</w:t>
      </w:r>
      <w:r w:rsidR="00495289">
        <w:rPr>
          <w:shd w:val="clear" w:color="auto" w:fill="FFFFFF"/>
          <w:lang w:val="es-ES"/>
        </w:rPr>
        <w:t> </w:t>
      </w:r>
      <w:r w:rsidRPr="00A076E4">
        <w:rPr>
          <w:shd w:val="clear" w:color="auto" w:fill="FFFFFF"/>
          <w:lang w:val="es-ES"/>
        </w:rPr>
        <w:t xml:space="preserve">países del sur de África. La SADC ya es miembro del UIT-D </w:t>
      </w:r>
      <w:r>
        <w:rPr>
          <w:shd w:val="clear" w:color="auto" w:fill="FFFFFF"/>
          <w:lang w:val="es-ES"/>
        </w:rPr>
        <w:t>y se beneficia de una</w:t>
      </w:r>
      <w:r w:rsidRPr="00A076E4">
        <w:rPr>
          <w:shd w:val="clear" w:color="auto" w:fill="FFFFFF"/>
          <w:lang w:val="es-ES"/>
        </w:rPr>
        <w:t xml:space="preserve"> </w:t>
      </w:r>
      <w:r>
        <w:rPr>
          <w:shd w:val="clear" w:color="auto" w:fill="FFFFFF"/>
          <w:lang w:val="es-ES"/>
        </w:rPr>
        <w:t xml:space="preserve">exoneración del pago de contribuciones. </w:t>
      </w:r>
      <w:r w:rsidRPr="00A076E4">
        <w:rPr>
          <w:shd w:val="clear" w:color="auto" w:fill="FFFFFF"/>
          <w:lang w:val="es-ES"/>
        </w:rPr>
        <w:t xml:space="preserve">La secretaría considera que esta entidad cumple los criterios </w:t>
      </w:r>
      <w:r>
        <w:rPr>
          <w:shd w:val="clear" w:color="auto" w:fill="FFFFFF"/>
          <w:lang w:val="es-ES"/>
        </w:rPr>
        <w:t>para la obtención de una</w:t>
      </w:r>
      <w:r w:rsidRPr="00A076E4">
        <w:rPr>
          <w:shd w:val="clear" w:color="auto" w:fill="FFFFFF"/>
          <w:lang w:val="es-ES"/>
        </w:rPr>
        <w:t xml:space="preserve"> ex</w:t>
      </w:r>
      <w:r>
        <w:rPr>
          <w:shd w:val="clear" w:color="auto" w:fill="FFFFFF"/>
          <w:lang w:val="es-ES"/>
        </w:rPr>
        <w:t>onera</w:t>
      </w:r>
      <w:r w:rsidRPr="00A076E4">
        <w:rPr>
          <w:shd w:val="clear" w:color="auto" w:fill="FFFFFF"/>
          <w:lang w:val="es-ES"/>
        </w:rPr>
        <w:t xml:space="preserve">ción </w:t>
      </w:r>
      <w:r>
        <w:rPr>
          <w:shd w:val="clear" w:color="auto" w:fill="FFFFFF"/>
          <w:lang w:val="es-ES"/>
        </w:rPr>
        <w:t>del</w:t>
      </w:r>
      <w:r w:rsidRPr="00A076E4">
        <w:rPr>
          <w:shd w:val="clear" w:color="auto" w:fill="FFFFFF"/>
          <w:lang w:val="es-ES"/>
        </w:rPr>
        <w:t xml:space="preserve"> UIT-R y el UIT-T.</w:t>
      </w:r>
    </w:p>
    <w:p w14:paraId="43FB514B" w14:textId="77777777" w:rsidR="00484103" w:rsidRDefault="00484103" w:rsidP="00484103">
      <w:pPr>
        <w:spacing w:after="120"/>
      </w:pPr>
      <w:r>
        <w:t>2.2</w:t>
      </w:r>
    </w:p>
    <w:tbl>
      <w:tblPr>
        <w:tblW w:w="82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30"/>
        <w:gridCol w:w="1559"/>
        <w:gridCol w:w="2742"/>
      </w:tblGrid>
      <w:tr w:rsidR="00484103" w:rsidRPr="00495289" w14:paraId="130AF98B" w14:textId="77777777" w:rsidTr="00502435">
        <w:trPr>
          <w:cantSplit/>
          <w:jc w:val="center"/>
        </w:trPr>
        <w:tc>
          <w:tcPr>
            <w:tcW w:w="3930" w:type="dxa"/>
          </w:tcPr>
          <w:p w14:paraId="1B6A81B1" w14:textId="77777777" w:rsidR="00484103" w:rsidRPr="00495289" w:rsidRDefault="00484103" w:rsidP="00502435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49528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Organización</w:t>
            </w:r>
            <w:proofErr w:type="spellEnd"/>
          </w:p>
        </w:tc>
        <w:tc>
          <w:tcPr>
            <w:tcW w:w="1559" w:type="dxa"/>
          </w:tcPr>
          <w:p w14:paraId="5FFE15CD" w14:textId="77777777" w:rsidR="00484103" w:rsidRPr="00495289" w:rsidRDefault="00484103" w:rsidP="00502435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528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Sector</w:t>
            </w:r>
          </w:p>
        </w:tc>
        <w:tc>
          <w:tcPr>
            <w:tcW w:w="2742" w:type="dxa"/>
          </w:tcPr>
          <w:p w14:paraId="319743A6" w14:textId="77777777" w:rsidR="00484103" w:rsidRPr="00495289" w:rsidRDefault="00484103" w:rsidP="00502435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49528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Recomendación</w:t>
            </w:r>
            <w:proofErr w:type="spellEnd"/>
            <w:r w:rsidRPr="0049528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del SG</w:t>
            </w:r>
          </w:p>
        </w:tc>
      </w:tr>
      <w:tr w:rsidR="00484103" w:rsidRPr="00495289" w14:paraId="277A2FAC" w14:textId="77777777" w:rsidTr="00502435">
        <w:trPr>
          <w:cantSplit/>
          <w:trHeight w:val="567"/>
          <w:jc w:val="center"/>
        </w:trPr>
        <w:tc>
          <w:tcPr>
            <w:tcW w:w="3930" w:type="dxa"/>
            <w:vAlign w:val="center"/>
          </w:tcPr>
          <w:p w14:paraId="271412DA" w14:textId="77777777" w:rsidR="00484103" w:rsidRPr="00495289" w:rsidRDefault="00484103" w:rsidP="00502435">
            <w:pPr>
              <w:pStyle w:val="TableText0"/>
              <w:keepNext/>
              <w:keepLines/>
              <w:spacing w:before="120" w:after="120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s-ES_tradnl"/>
              </w:rPr>
            </w:pPr>
            <w:proofErr w:type="spellStart"/>
            <w:r w:rsidRPr="00495289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s-ES_tradnl"/>
              </w:rPr>
              <w:t>IoT</w:t>
            </w:r>
            <w:proofErr w:type="spellEnd"/>
            <w:r w:rsidRPr="00495289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495289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s-ES_tradnl"/>
              </w:rPr>
              <w:t>Lab</w:t>
            </w:r>
            <w:proofErr w:type="spellEnd"/>
          </w:p>
        </w:tc>
        <w:tc>
          <w:tcPr>
            <w:tcW w:w="1559" w:type="dxa"/>
            <w:vAlign w:val="center"/>
          </w:tcPr>
          <w:p w14:paraId="4824085E" w14:textId="77777777" w:rsidR="00484103" w:rsidRPr="00495289" w:rsidRDefault="00484103" w:rsidP="00502435">
            <w:pPr>
              <w:pStyle w:val="TableText0"/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495289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UIT-T</w:t>
            </w:r>
          </w:p>
        </w:tc>
        <w:tc>
          <w:tcPr>
            <w:tcW w:w="2742" w:type="dxa"/>
            <w:vAlign w:val="center"/>
          </w:tcPr>
          <w:p w14:paraId="2961C974" w14:textId="77777777" w:rsidR="00484103" w:rsidRPr="00495289" w:rsidRDefault="00484103" w:rsidP="00502435">
            <w:pPr>
              <w:pStyle w:val="TableText0"/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49528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Aplazamiento</w:t>
            </w:r>
            <w:proofErr w:type="spellEnd"/>
          </w:p>
        </w:tc>
      </w:tr>
    </w:tbl>
    <w:p w14:paraId="731E368D" w14:textId="77777777" w:rsidR="00484103" w:rsidRPr="00A076E4" w:rsidRDefault="00484103" w:rsidP="004126E7">
      <w:pPr>
        <w:spacing w:before="240"/>
        <w:rPr>
          <w:lang w:val="es-ES"/>
        </w:rPr>
      </w:pPr>
      <w:proofErr w:type="spellStart"/>
      <w:r w:rsidRPr="00A076E4">
        <w:rPr>
          <w:lang w:val="es-ES"/>
        </w:rPr>
        <w:t>IoT</w:t>
      </w:r>
      <w:proofErr w:type="spellEnd"/>
      <w:r w:rsidRPr="00A076E4">
        <w:rPr>
          <w:lang w:val="es-ES"/>
        </w:rPr>
        <w:t xml:space="preserve"> </w:t>
      </w:r>
      <w:proofErr w:type="spellStart"/>
      <w:r w:rsidRPr="00A076E4">
        <w:rPr>
          <w:lang w:val="es-ES"/>
        </w:rPr>
        <w:t>Lab</w:t>
      </w:r>
      <w:proofErr w:type="spellEnd"/>
      <w:r w:rsidRPr="00A076E4">
        <w:rPr>
          <w:lang w:val="es-ES"/>
        </w:rPr>
        <w:t xml:space="preserve"> es una plataforma internacional de servicios y recursos para </w:t>
      </w:r>
      <w:r>
        <w:rPr>
          <w:lang w:val="es-ES"/>
        </w:rPr>
        <w:t>la</w:t>
      </w:r>
      <w:r w:rsidRPr="00A076E4">
        <w:rPr>
          <w:lang w:val="es-ES"/>
        </w:rPr>
        <w:t xml:space="preserve"> Internet de las Cosas (</w:t>
      </w:r>
      <w:proofErr w:type="spellStart"/>
      <w:r w:rsidRPr="00A076E4">
        <w:rPr>
          <w:lang w:val="es-ES"/>
        </w:rPr>
        <w:t>IoT</w:t>
      </w:r>
      <w:proofErr w:type="spellEnd"/>
      <w:r w:rsidRPr="00A076E4">
        <w:rPr>
          <w:lang w:val="es-ES"/>
        </w:rPr>
        <w:t xml:space="preserve">), que reúne a </w:t>
      </w:r>
      <w:r>
        <w:rPr>
          <w:lang w:val="es-ES"/>
        </w:rPr>
        <w:t xml:space="preserve">diversos </w:t>
      </w:r>
      <w:r w:rsidRPr="00A076E4">
        <w:rPr>
          <w:lang w:val="es-ES"/>
        </w:rPr>
        <w:t xml:space="preserve">grupos de interés en </w:t>
      </w:r>
      <w:r>
        <w:rPr>
          <w:lang w:val="es-ES"/>
        </w:rPr>
        <w:t xml:space="preserve">ámbitos como los </w:t>
      </w:r>
      <w:r w:rsidRPr="00A076E4">
        <w:rPr>
          <w:lang w:val="es-ES"/>
        </w:rPr>
        <w:t xml:space="preserve">servicios de </w:t>
      </w:r>
      <w:proofErr w:type="spellStart"/>
      <w:r w:rsidRPr="00A076E4">
        <w:rPr>
          <w:lang w:val="es-ES"/>
        </w:rPr>
        <w:t>IoT</w:t>
      </w:r>
      <w:proofErr w:type="spellEnd"/>
      <w:r w:rsidRPr="00A076E4">
        <w:rPr>
          <w:lang w:val="es-ES"/>
        </w:rPr>
        <w:t xml:space="preserve">, privacidad y seguridad, pruebas y transferencia de tecnología. </w:t>
      </w:r>
      <w:r>
        <w:rPr>
          <w:lang w:val="es-ES"/>
        </w:rPr>
        <w:t xml:space="preserve">Al tratarse </w:t>
      </w:r>
      <w:r w:rsidRPr="00A076E4">
        <w:rPr>
          <w:lang w:val="es-ES"/>
        </w:rPr>
        <w:t>de una entidad relativamente n</w:t>
      </w:r>
      <w:r>
        <w:rPr>
          <w:lang w:val="es-ES"/>
        </w:rPr>
        <w:t xml:space="preserve">ueva, </w:t>
      </w:r>
      <w:r w:rsidRPr="00A076E4">
        <w:rPr>
          <w:lang w:val="es-ES"/>
        </w:rPr>
        <w:t xml:space="preserve">la reciprocidad aún no </w:t>
      </w:r>
      <w:r>
        <w:rPr>
          <w:lang w:val="es-ES"/>
        </w:rPr>
        <w:t>ha podido establecerse con claridad</w:t>
      </w:r>
      <w:r w:rsidRPr="00A076E4">
        <w:rPr>
          <w:lang w:val="es-ES"/>
        </w:rPr>
        <w:t xml:space="preserve">. La secretaría necesita más tiempo e información para poder </w:t>
      </w:r>
      <w:r>
        <w:rPr>
          <w:lang w:val="es-ES"/>
        </w:rPr>
        <w:t>presentar</w:t>
      </w:r>
      <w:r w:rsidRPr="00A076E4">
        <w:rPr>
          <w:lang w:val="es-ES"/>
        </w:rPr>
        <w:t xml:space="preserve"> una recomendación fundamentada al Consejo. Por </w:t>
      </w:r>
      <w:r>
        <w:rPr>
          <w:lang w:val="es-ES"/>
        </w:rPr>
        <w:t xml:space="preserve">consiguiente, </w:t>
      </w:r>
      <w:r w:rsidRPr="00A076E4">
        <w:rPr>
          <w:lang w:val="es-ES"/>
        </w:rPr>
        <w:t xml:space="preserve">recomienda aplazar esta solicitud hasta la próxima reunión del Consejo. </w:t>
      </w:r>
    </w:p>
    <w:p w14:paraId="0BE13C59" w14:textId="77777777" w:rsidR="00484103" w:rsidRDefault="00484103" w:rsidP="00484103">
      <w:pPr>
        <w:spacing w:after="120"/>
        <w:rPr>
          <w:lang w:val="es-ES"/>
        </w:rPr>
      </w:pPr>
      <w:r w:rsidRPr="003A1623">
        <w:rPr>
          <w:lang w:val="es-ES"/>
        </w:rPr>
        <w:t>2.3</w:t>
      </w:r>
    </w:p>
    <w:tbl>
      <w:tblPr>
        <w:tblW w:w="81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48"/>
        <w:gridCol w:w="1559"/>
        <w:gridCol w:w="2250"/>
      </w:tblGrid>
      <w:tr w:rsidR="00484103" w:rsidRPr="00495289" w14:paraId="464BBF77" w14:textId="77777777" w:rsidTr="00502435">
        <w:trPr>
          <w:cantSplit/>
          <w:jc w:val="center"/>
        </w:trPr>
        <w:tc>
          <w:tcPr>
            <w:tcW w:w="4348" w:type="dxa"/>
          </w:tcPr>
          <w:p w14:paraId="5AD4E132" w14:textId="77777777" w:rsidR="00484103" w:rsidRPr="00495289" w:rsidRDefault="00484103" w:rsidP="00502435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49528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Organización</w:t>
            </w:r>
            <w:proofErr w:type="spellEnd"/>
          </w:p>
        </w:tc>
        <w:tc>
          <w:tcPr>
            <w:tcW w:w="1559" w:type="dxa"/>
          </w:tcPr>
          <w:p w14:paraId="33D02437" w14:textId="77777777" w:rsidR="00484103" w:rsidRPr="00495289" w:rsidRDefault="00484103" w:rsidP="00502435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528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Sector</w:t>
            </w:r>
          </w:p>
        </w:tc>
        <w:tc>
          <w:tcPr>
            <w:tcW w:w="2250" w:type="dxa"/>
          </w:tcPr>
          <w:p w14:paraId="530A1EC8" w14:textId="77777777" w:rsidR="00484103" w:rsidRPr="00495289" w:rsidRDefault="00484103" w:rsidP="00502435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49528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Recomendación</w:t>
            </w:r>
            <w:proofErr w:type="spellEnd"/>
            <w:r w:rsidRPr="0049528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del SG</w:t>
            </w:r>
          </w:p>
        </w:tc>
      </w:tr>
      <w:tr w:rsidR="00484103" w:rsidRPr="00495289" w14:paraId="66412F3C" w14:textId="77777777" w:rsidTr="00495289">
        <w:trPr>
          <w:cantSplit/>
          <w:trHeight w:val="1077"/>
          <w:jc w:val="center"/>
        </w:trPr>
        <w:tc>
          <w:tcPr>
            <w:tcW w:w="4348" w:type="dxa"/>
          </w:tcPr>
          <w:p w14:paraId="62FD05C8" w14:textId="77777777" w:rsidR="00484103" w:rsidRPr="00495289" w:rsidRDefault="00484103" w:rsidP="00502435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49528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Konrad Adenauer </w:t>
            </w:r>
            <w:proofErr w:type="spellStart"/>
            <w:r w:rsidRPr="0049528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Stiftung</w:t>
            </w:r>
            <w:proofErr w:type="spellEnd"/>
          </w:p>
        </w:tc>
        <w:tc>
          <w:tcPr>
            <w:tcW w:w="1559" w:type="dxa"/>
            <w:vAlign w:val="center"/>
          </w:tcPr>
          <w:p w14:paraId="1FD3A36C" w14:textId="77777777" w:rsidR="00484103" w:rsidRPr="00495289" w:rsidRDefault="00484103" w:rsidP="00502435">
            <w:pPr>
              <w:pStyle w:val="TableText0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495289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UIT-R</w:t>
            </w:r>
          </w:p>
          <w:p w14:paraId="153130F1" w14:textId="77777777" w:rsidR="00484103" w:rsidRPr="00495289" w:rsidRDefault="00484103" w:rsidP="00502435">
            <w:pPr>
              <w:pStyle w:val="TableText0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495289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UIT-T</w:t>
            </w:r>
          </w:p>
          <w:p w14:paraId="1B2F44B3" w14:textId="77777777" w:rsidR="00484103" w:rsidRPr="00495289" w:rsidRDefault="00484103" w:rsidP="00502435">
            <w:pPr>
              <w:pStyle w:val="TableText0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495289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UIT-D</w:t>
            </w:r>
          </w:p>
        </w:tc>
        <w:tc>
          <w:tcPr>
            <w:tcW w:w="2250" w:type="dxa"/>
            <w:vAlign w:val="center"/>
          </w:tcPr>
          <w:p w14:paraId="7F6B54E0" w14:textId="77777777" w:rsidR="00484103" w:rsidRPr="00495289" w:rsidRDefault="00484103" w:rsidP="00502435">
            <w:pPr>
              <w:pStyle w:val="TableText0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495289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NO</w:t>
            </w:r>
          </w:p>
          <w:p w14:paraId="53A40B03" w14:textId="77777777" w:rsidR="00484103" w:rsidRPr="00495289" w:rsidRDefault="00484103" w:rsidP="00502435">
            <w:pPr>
              <w:pStyle w:val="TableText0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495289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NO</w:t>
            </w:r>
          </w:p>
          <w:p w14:paraId="574752D2" w14:textId="77777777" w:rsidR="00484103" w:rsidRPr="00495289" w:rsidRDefault="00484103" w:rsidP="00502435">
            <w:pPr>
              <w:pStyle w:val="TableText0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495289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NO</w:t>
            </w:r>
          </w:p>
        </w:tc>
      </w:tr>
    </w:tbl>
    <w:p w14:paraId="577BA3A9" w14:textId="52E6714F" w:rsidR="00E65034" w:rsidRDefault="00484103" w:rsidP="00495289">
      <w:pPr>
        <w:spacing w:before="240" w:after="120"/>
        <w:rPr>
          <w:rFonts w:asciiTheme="minorHAnsi" w:hAnsiTheme="minorHAnsi" w:cstheme="minorHAnsi"/>
          <w:lang w:val="es-ES"/>
        </w:rPr>
      </w:pPr>
      <w:r w:rsidRPr="00A076E4">
        <w:rPr>
          <w:rFonts w:asciiTheme="minorHAnsi" w:hAnsiTheme="minorHAnsi" w:cstheme="minorHAnsi"/>
          <w:lang w:val="es-ES"/>
        </w:rPr>
        <w:t xml:space="preserve">La Konrad Adenauer </w:t>
      </w:r>
      <w:proofErr w:type="spellStart"/>
      <w:r w:rsidRPr="00A076E4">
        <w:rPr>
          <w:rFonts w:asciiTheme="minorHAnsi" w:hAnsiTheme="minorHAnsi" w:cstheme="minorHAnsi"/>
          <w:lang w:val="es-ES"/>
        </w:rPr>
        <w:t>Stiftung</w:t>
      </w:r>
      <w:proofErr w:type="spellEnd"/>
      <w:r>
        <w:rPr>
          <w:rFonts w:asciiTheme="minorHAnsi" w:hAnsiTheme="minorHAnsi" w:cstheme="minorHAnsi"/>
          <w:lang w:val="es-ES"/>
        </w:rPr>
        <w:t>, que</w:t>
      </w:r>
      <w:r w:rsidRPr="00A076E4">
        <w:rPr>
          <w:rFonts w:asciiTheme="minorHAnsi" w:hAnsiTheme="minorHAnsi" w:cstheme="minorHAnsi"/>
          <w:lang w:val="es-ES"/>
        </w:rPr>
        <w:t xml:space="preserve"> es una fundación afiliada a un partido político </w:t>
      </w:r>
      <w:r>
        <w:rPr>
          <w:rFonts w:asciiTheme="minorHAnsi" w:hAnsiTheme="minorHAnsi" w:cstheme="minorHAnsi"/>
          <w:lang w:val="es-ES"/>
        </w:rPr>
        <w:t>con</w:t>
      </w:r>
      <w:r w:rsidRPr="00A076E4">
        <w:rPr>
          <w:rFonts w:asciiTheme="minorHAnsi" w:hAnsiTheme="minorHAnsi" w:cstheme="minorHAnsi"/>
          <w:lang w:val="es-ES"/>
        </w:rPr>
        <w:t xml:space="preserve"> forma jurídica de asociación, </w:t>
      </w:r>
      <w:r>
        <w:rPr>
          <w:rFonts w:asciiTheme="minorHAnsi" w:hAnsiTheme="minorHAnsi" w:cstheme="minorHAnsi"/>
          <w:lang w:val="es-ES"/>
        </w:rPr>
        <w:t xml:space="preserve">es </w:t>
      </w:r>
      <w:r w:rsidRPr="00A076E4">
        <w:rPr>
          <w:rFonts w:asciiTheme="minorHAnsi" w:hAnsiTheme="minorHAnsi" w:cstheme="minorHAnsi"/>
          <w:lang w:val="es-ES"/>
        </w:rPr>
        <w:t xml:space="preserve">cercana a la Unión Demócrata Cristiana y </w:t>
      </w:r>
      <w:r>
        <w:rPr>
          <w:rFonts w:asciiTheme="minorHAnsi" w:hAnsiTheme="minorHAnsi" w:cstheme="minorHAnsi"/>
          <w:lang w:val="es-ES"/>
        </w:rPr>
        <w:t>se financia</w:t>
      </w:r>
      <w:r w:rsidRPr="00A076E4">
        <w:rPr>
          <w:rFonts w:asciiTheme="minorHAnsi" w:hAnsiTheme="minorHAnsi" w:cstheme="minorHAnsi"/>
          <w:lang w:val="es-ES"/>
        </w:rPr>
        <w:t xml:space="preserve"> esencialmente con fondos federales y estatales. Tiene oficinas en más de 100 países y </w:t>
      </w:r>
      <w:r>
        <w:rPr>
          <w:rFonts w:asciiTheme="minorHAnsi" w:hAnsiTheme="minorHAnsi" w:cstheme="minorHAnsi"/>
          <w:lang w:val="es-ES"/>
        </w:rPr>
        <w:t xml:space="preserve">ejecuta </w:t>
      </w:r>
      <w:r w:rsidRPr="00A076E4">
        <w:rPr>
          <w:rFonts w:asciiTheme="minorHAnsi" w:hAnsiTheme="minorHAnsi" w:cstheme="minorHAnsi"/>
          <w:lang w:val="es-ES"/>
        </w:rPr>
        <w:t xml:space="preserve">proyectos en más de 130. Aunque esta organización </w:t>
      </w:r>
      <w:r>
        <w:rPr>
          <w:rFonts w:asciiTheme="minorHAnsi" w:hAnsiTheme="minorHAnsi" w:cstheme="minorHAnsi"/>
          <w:lang w:val="es-ES"/>
        </w:rPr>
        <w:t xml:space="preserve">cuenta con una </w:t>
      </w:r>
      <w:r w:rsidRPr="00A076E4">
        <w:rPr>
          <w:rFonts w:asciiTheme="minorHAnsi" w:hAnsiTheme="minorHAnsi" w:cstheme="minorHAnsi"/>
          <w:lang w:val="es-ES"/>
        </w:rPr>
        <w:t>presencia y actividades internacionales, la secretaría considera que no cumple todos los criterios</w:t>
      </w:r>
      <w:r>
        <w:rPr>
          <w:rFonts w:asciiTheme="minorHAnsi" w:hAnsiTheme="minorHAnsi" w:cstheme="minorHAnsi"/>
          <w:lang w:val="es-ES"/>
        </w:rPr>
        <w:t xml:space="preserve"> requeridos</w:t>
      </w:r>
      <w:r w:rsidRPr="00A076E4">
        <w:rPr>
          <w:rFonts w:asciiTheme="minorHAnsi" w:hAnsiTheme="minorHAnsi" w:cstheme="minorHAnsi"/>
          <w:lang w:val="es-ES"/>
        </w:rPr>
        <w:t xml:space="preserve">, </w:t>
      </w:r>
      <w:r>
        <w:rPr>
          <w:rFonts w:asciiTheme="minorHAnsi" w:hAnsiTheme="minorHAnsi" w:cstheme="minorHAnsi"/>
          <w:lang w:val="es-ES"/>
        </w:rPr>
        <w:t>al ser</w:t>
      </w:r>
      <w:r w:rsidRPr="00A076E4">
        <w:rPr>
          <w:rFonts w:asciiTheme="minorHAnsi" w:hAnsiTheme="minorHAnsi" w:cstheme="minorHAnsi"/>
          <w:lang w:val="es-ES"/>
        </w:rPr>
        <w:t xml:space="preserve"> una fundación nacional y no t</w:t>
      </w:r>
      <w:r>
        <w:rPr>
          <w:rFonts w:asciiTheme="minorHAnsi" w:hAnsiTheme="minorHAnsi" w:cstheme="minorHAnsi"/>
          <w:lang w:val="es-ES"/>
        </w:rPr>
        <w:t>ener</w:t>
      </w:r>
      <w:r w:rsidRPr="00A076E4">
        <w:rPr>
          <w:rFonts w:asciiTheme="minorHAnsi" w:hAnsiTheme="minorHAnsi" w:cstheme="minorHAnsi"/>
          <w:lang w:val="es-ES"/>
        </w:rPr>
        <w:t xml:space="preserve"> miembros en varios Estados Miembros.</w:t>
      </w:r>
    </w:p>
    <w:p w14:paraId="3A240903" w14:textId="301C49F1" w:rsidR="00484103" w:rsidRDefault="00E65034" w:rsidP="00484103">
      <w:pPr>
        <w:keepNext/>
        <w:keepLines/>
        <w:spacing w:after="120"/>
        <w:rPr>
          <w:lang w:val="es-ES"/>
        </w:rPr>
      </w:pPr>
      <w:r>
        <w:rPr>
          <w:lang w:val="es-ES"/>
        </w:rPr>
        <w:lastRenderedPageBreak/>
        <w:t>2</w:t>
      </w:r>
      <w:r w:rsidR="00484103" w:rsidRPr="003A1623">
        <w:rPr>
          <w:lang w:val="es-ES"/>
        </w:rPr>
        <w:t>.4</w:t>
      </w:r>
    </w:p>
    <w:tbl>
      <w:tblPr>
        <w:tblW w:w="83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98"/>
        <w:gridCol w:w="1559"/>
        <w:gridCol w:w="2250"/>
      </w:tblGrid>
      <w:tr w:rsidR="00484103" w:rsidRPr="00F2196B" w14:paraId="1534F908" w14:textId="77777777" w:rsidTr="00502435">
        <w:trPr>
          <w:cantSplit/>
          <w:jc w:val="center"/>
        </w:trPr>
        <w:tc>
          <w:tcPr>
            <w:tcW w:w="4498" w:type="dxa"/>
          </w:tcPr>
          <w:p w14:paraId="137A7BAE" w14:textId="77777777" w:rsidR="00484103" w:rsidRPr="00F2196B" w:rsidRDefault="00484103" w:rsidP="00502435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2196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Organización</w:t>
            </w:r>
            <w:proofErr w:type="spellEnd"/>
          </w:p>
        </w:tc>
        <w:tc>
          <w:tcPr>
            <w:tcW w:w="1559" w:type="dxa"/>
          </w:tcPr>
          <w:p w14:paraId="5CE76F8B" w14:textId="77777777" w:rsidR="00484103" w:rsidRPr="00F2196B" w:rsidRDefault="00484103" w:rsidP="00502435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96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Sector</w:t>
            </w:r>
          </w:p>
        </w:tc>
        <w:tc>
          <w:tcPr>
            <w:tcW w:w="2250" w:type="dxa"/>
          </w:tcPr>
          <w:p w14:paraId="35AEFD37" w14:textId="77777777" w:rsidR="00484103" w:rsidRPr="00F2196B" w:rsidRDefault="00484103" w:rsidP="00502435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2196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Recomendación</w:t>
            </w:r>
            <w:proofErr w:type="spellEnd"/>
            <w:r w:rsidRPr="00F2196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del SG</w:t>
            </w:r>
          </w:p>
        </w:tc>
      </w:tr>
      <w:tr w:rsidR="00484103" w:rsidRPr="00F2196B" w14:paraId="45D6F9C4" w14:textId="77777777" w:rsidTr="00502435">
        <w:trPr>
          <w:cantSplit/>
          <w:trHeight w:val="567"/>
          <w:jc w:val="center"/>
        </w:trPr>
        <w:tc>
          <w:tcPr>
            <w:tcW w:w="4498" w:type="dxa"/>
            <w:vAlign w:val="center"/>
          </w:tcPr>
          <w:p w14:paraId="2C42576A" w14:textId="77777777" w:rsidR="00484103" w:rsidRPr="00F2196B" w:rsidRDefault="00484103" w:rsidP="00502435">
            <w:pPr>
              <w:pStyle w:val="TableText0"/>
              <w:keepNext/>
              <w:keepLines/>
              <w:spacing w:before="0" w:after="0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/>
              </w:rPr>
            </w:pPr>
            <w:r w:rsidRPr="00F2196B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/>
              </w:rPr>
              <w:t xml:space="preserve">Fundación </w:t>
            </w:r>
            <w:proofErr w:type="spellStart"/>
            <w:r w:rsidRPr="00F2196B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/>
              </w:rPr>
              <w:t>Techfugees</w:t>
            </w:r>
            <w:proofErr w:type="spellEnd"/>
            <w:r w:rsidRPr="00F2196B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203722" w14:textId="77777777" w:rsidR="00484103" w:rsidRPr="00F2196B" w:rsidRDefault="00484103" w:rsidP="00502435">
            <w:pPr>
              <w:pStyle w:val="TableText0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F2196B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UIT-D</w:t>
            </w:r>
          </w:p>
        </w:tc>
        <w:tc>
          <w:tcPr>
            <w:tcW w:w="2250" w:type="dxa"/>
            <w:vAlign w:val="center"/>
          </w:tcPr>
          <w:p w14:paraId="56EFBA9D" w14:textId="77777777" w:rsidR="00484103" w:rsidRPr="00F2196B" w:rsidRDefault="00484103" w:rsidP="00502435">
            <w:pPr>
              <w:pStyle w:val="TableText0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F2196B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SÍ</w:t>
            </w:r>
          </w:p>
        </w:tc>
      </w:tr>
    </w:tbl>
    <w:p w14:paraId="6338C126" w14:textId="72C731D4" w:rsidR="00484103" w:rsidRPr="00A076E4" w:rsidRDefault="00484103" w:rsidP="004126E7">
      <w:pPr>
        <w:spacing w:before="240"/>
        <w:rPr>
          <w:lang w:val="es-ES"/>
        </w:rPr>
      </w:pPr>
      <w:proofErr w:type="spellStart"/>
      <w:r w:rsidRPr="00A076E4">
        <w:rPr>
          <w:lang w:val="es-ES"/>
        </w:rPr>
        <w:t>Techfugees</w:t>
      </w:r>
      <w:proofErr w:type="spellEnd"/>
      <w:r w:rsidRPr="00A076E4">
        <w:rPr>
          <w:lang w:val="es-ES"/>
        </w:rPr>
        <w:t xml:space="preserve"> es una empresa </w:t>
      </w:r>
      <w:r>
        <w:rPr>
          <w:lang w:val="es-ES"/>
        </w:rPr>
        <w:t xml:space="preserve">de carácter </w:t>
      </w:r>
      <w:r w:rsidRPr="00A076E4">
        <w:rPr>
          <w:lang w:val="es-ES"/>
        </w:rPr>
        <w:t xml:space="preserve">social sin ánimo de lucro con sede en el Reino Unido que </w:t>
      </w:r>
      <w:r>
        <w:rPr>
          <w:lang w:val="es-ES"/>
        </w:rPr>
        <w:t>está integrada por</w:t>
      </w:r>
      <w:r w:rsidRPr="00A076E4">
        <w:rPr>
          <w:lang w:val="es-ES"/>
        </w:rPr>
        <w:t xml:space="preserve"> un </w:t>
      </w:r>
      <w:r>
        <w:rPr>
          <w:lang w:val="es-ES"/>
        </w:rPr>
        <w:t>grupo internacional de voluntarios del</w:t>
      </w:r>
      <w:r w:rsidRPr="00F163A8">
        <w:rPr>
          <w:lang w:val="es-ES"/>
        </w:rPr>
        <w:t xml:space="preserve"> </w:t>
      </w:r>
      <w:r>
        <w:rPr>
          <w:lang w:val="es-ES"/>
        </w:rPr>
        <w:t>sector</w:t>
      </w:r>
      <w:r w:rsidRPr="00F163A8">
        <w:rPr>
          <w:lang w:val="es-ES"/>
        </w:rPr>
        <w:t xml:space="preserve"> de la tecn</w:t>
      </w:r>
      <w:r>
        <w:rPr>
          <w:lang w:val="es-ES"/>
        </w:rPr>
        <w:t xml:space="preserve">ología digital que incluye a </w:t>
      </w:r>
      <w:r w:rsidRPr="00A076E4">
        <w:rPr>
          <w:lang w:val="es-ES"/>
        </w:rPr>
        <w:t xml:space="preserve">empresarios, ingenieros, investigadores, ONG y personas desplazadas. </w:t>
      </w:r>
      <w:r>
        <w:rPr>
          <w:lang w:val="es-ES"/>
        </w:rPr>
        <w:t>Si bien e</w:t>
      </w:r>
      <w:r w:rsidRPr="00A076E4">
        <w:rPr>
          <w:lang w:val="es-ES"/>
        </w:rPr>
        <w:t xml:space="preserve">stá presente a nivel mundial en 10 países y se está expandiendo, </w:t>
      </w:r>
      <w:r>
        <w:rPr>
          <w:lang w:val="es-ES"/>
        </w:rPr>
        <w:t xml:space="preserve">su actuación se centra en el nivel local, reuniendo a </w:t>
      </w:r>
      <w:r w:rsidRPr="00A076E4">
        <w:rPr>
          <w:lang w:val="es-ES"/>
        </w:rPr>
        <w:t xml:space="preserve">diferentes organizaciones y personas en un entorno abierto, conectado y de confianza </w:t>
      </w:r>
      <w:r>
        <w:rPr>
          <w:lang w:val="es-ES"/>
        </w:rPr>
        <w:t xml:space="preserve">con el fin de </w:t>
      </w:r>
      <w:r w:rsidRPr="00A076E4">
        <w:rPr>
          <w:lang w:val="es-ES"/>
        </w:rPr>
        <w:t xml:space="preserve">recopilar soluciones humanitarias </w:t>
      </w:r>
      <w:r>
        <w:rPr>
          <w:lang w:val="es-ES"/>
        </w:rPr>
        <w:t>basadas en la</w:t>
      </w:r>
      <w:r w:rsidRPr="00A076E4">
        <w:rPr>
          <w:lang w:val="es-ES"/>
        </w:rPr>
        <w:t xml:space="preserve"> tecnología digital</w:t>
      </w:r>
      <w:r>
        <w:rPr>
          <w:lang w:val="es-ES"/>
        </w:rPr>
        <w:t>, destinadas a las personas desplazadas e ideadas por ellas</w:t>
      </w:r>
      <w:r w:rsidRPr="00A076E4">
        <w:rPr>
          <w:lang w:val="es-ES"/>
        </w:rPr>
        <w:t>. La secretaría considera que esta entidad cumple los criterios para la obtención de la exoneración del UIT-D</w:t>
      </w:r>
      <w:r>
        <w:rPr>
          <w:lang w:val="es-ES"/>
        </w:rPr>
        <w:t>.</w:t>
      </w:r>
    </w:p>
    <w:p w14:paraId="7316E300" w14:textId="77777777" w:rsidR="00484103" w:rsidRDefault="00484103" w:rsidP="00484103">
      <w:pPr>
        <w:spacing w:after="120"/>
        <w:rPr>
          <w:lang w:val="es-ES"/>
        </w:rPr>
      </w:pPr>
      <w:r>
        <w:rPr>
          <w:lang w:val="es-ES"/>
        </w:rPr>
        <w:t>2.5</w:t>
      </w:r>
    </w:p>
    <w:tbl>
      <w:tblPr>
        <w:tblW w:w="84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14"/>
        <w:gridCol w:w="1559"/>
        <w:gridCol w:w="2250"/>
      </w:tblGrid>
      <w:tr w:rsidR="00484103" w:rsidRPr="005702B3" w14:paraId="492A6C50" w14:textId="77777777" w:rsidTr="00502435">
        <w:trPr>
          <w:cantSplit/>
          <w:jc w:val="center"/>
        </w:trPr>
        <w:tc>
          <w:tcPr>
            <w:tcW w:w="4614" w:type="dxa"/>
          </w:tcPr>
          <w:p w14:paraId="500F7E18" w14:textId="77777777" w:rsidR="00484103" w:rsidRPr="005702B3" w:rsidRDefault="00484103" w:rsidP="00502435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5702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Organización</w:t>
            </w:r>
            <w:proofErr w:type="spellEnd"/>
          </w:p>
        </w:tc>
        <w:tc>
          <w:tcPr>
            <w:tcW w:w="1559" w:type="dxa"/>
          </w:tcPr>
          <w:p w14:paraId="7D654BBC" w14:textId="77777777" w:rsidR="00484103" w:rsidRPr="005702B3" w:rsidRDefault="00484103" w:rsidP="00502435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702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Sector</w:t>
            </w:r>
          </w:p>
        </w:tc>
        <w:tc>
          <w:tcPr>
            <w:tcW w:w="2250" w:type="dxa"/>
          </w:tcPr>
          <w:p w14:paraId="32177684" w14:textId="77777777" w:rsidR="00484103" w:rsidRPr="005702B3" w:rsidRDefault="00484103" w:rsidP="00502435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5702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Recomendación</w:t>
            </w:r>
            <w:proofErr w:type="spellEnd"/>
            <w:r w:rsidRPr="005702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del SG</w:t>
            </w:r>
          </w:p>
        </w:tc>
      </w:tr>
      <w:tr w:rsidR="00484103" w:rsidRPr="005702B3" w14:paraId="20F97470" w14:textId="77777777" w:rsidTr="00502435">
        <w:trPr>
          <w:cantSplit/>
          <w:trHeight w:val="567"/>
          <w:jc w:val="center"/>
        </w:trPr>
        <w:tc>
          <w:tcPr>
            <w:tcW w:w="4614" w:type="dxa"/>
            <w:vAlign w:val="center"/>
          </w:tcPr>
          <w:p w14:paraId="7B8A020A" w14:textId="77777777" w:rsidR="00484103" w:rsidRPr="005702B3" w:rsidRDefault="00484103" w:rsidP="00502435">
            <w:pPr>
              <w:pStyle w:val="TableText0"/>
              <w:keepNext/>
              <w:keepLines/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FR"/>
              </w:rPr>
            </w:pPr>
            <w:r w:rsidRPr="005702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 xml:space="preserve">Global Mobile </w:t>
            </w:r>
            <w:proofErr w:type="spellStart"/>
            <w:r w:rsidRPr="005702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Suppliers</w:t>
            </w:r>
            <w:proofErr w:type="spellEnd"/>
            <w:r w:rsidRPr="005702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 xml:space="preserve"> Association (GSA)</w:t>
            </w:r>
          </w:p>
        </w:tc>
        <w:tc>
          <w:tcPr>
            <w:tcW w:w="1559" w:type="dxa"/>
            <w:vAlign w:val="center"/>
          </w:tcPr>
          <w:p w14:paraId="787D36AF" w14:textId="77777777" w:rsidR="00484103" w:rsidRPr="005702B3" w:rsidRDefault="00484103" w:rsidP="00502435">
            <w:pPr>
              <w:pStyle w:val="TableText0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5702B3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UIT-R</w:t>
            </w:r>
          </w:p>
        </w:tc>
        <w:tc>
          <w:tcPr>
            <w:tcW w:w="2250" w:type="dxa"/>
            <w:vAlign w:val="center"/>
          </w:tcPr>
          <w:p w14:paraId="76A7DDEB" w14:textId="77777777" w:rsidR="00484103" w:rsidRPr="005702B3" w:rsidRDefault="00484103" w:rsidP="00502435">
            <w:pPr>
              <w:pStyle w:val="TableText0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5702B3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NO</w:t>
            </w:r>
          </w:p>
        </w:tc>
      </w:tr>
    </w:tbl>
    <w:p w14:paraId="1CF4AE1A" w14:textId="7C75105E" w:rsidR="00484103" w:rsidRDefault="00484103" w:rsidP="004126E7">
      <w:pPr>
        <w:spacing w:before="240"/>
        <w:rPr>
          <w:color w:val="000000"/>
          <w:lang w:val="es-ES"/>
        </w:rPr>
      </w:pPr>
      <w:r w:rsidRPr="00A076E4">
        <w:rPr>
          <w:lang w:val="es-ES"/>
        </w:rPr>
        <w:t xml:space="preserve">La Global Mobile </w:t>
      </w:r>
      <w:proofErr w:type="spellStart"/>
      <w:r w:rsidRPr="00A076E4">
        <w:rPr>
          <w:lang w:val="es-ES"/>
        </w:rPr>
        <w:t>Suppliers</w:t>
      </w:r>
      <w:proofErr w:type="spellEnd"/>
      <w:r w:rsidRPr="00A076E4">
        <w:rPr>
          <w:lang w:val="es-ES"/>
        </w:rPr>
        <w:t xml:space="preserve"> </w:t>
      </w:r>
      <w:proofErr w:type="spellStart"/>
      <w:r w:rsidRPr="00A076E4">
        <w:rPr>
          <w:lang w:val="es-ES"/>
        </w:rPr>
        <w:t>Association</w:t>
      </w:r>
      <w:proofErr w:type="spellEnd"/>
      <w:r w:rsidRPr="00A076E4">
        <w:rPr>
          <w:lang w:val="es-ES"/>
        </w:rPr>
        <w:t xml:space="preserve"> </w:t>
      </w:r>
      <w:r>
        <w:rPr>
          <w:lang w:val="es-ES"/>
        </w:rPr>
        <w:t xml:space="preserve">(GSA) </w:t>
      </w:r>
      <w:r w:rsidRPr="00A076E4">
        <w:rPr>
          <w:lang w:val="es-ES"/>
        </w:rPr>
        <w:t xml:space="preserve">es una organización </w:t>
      </w:r>
      <w:r>
        <w:rPr>
          <w:lang w:val="es-ES"/>
        </w:rPr>
        <w:t>de sector</w:t>
      </w:r>
      <w:r w:rsidRPr="00A076E4">
        <w:rPr>
          <w:lang w:val="es-ES"/>
        </w:rPr>
        <w:t xml:space="preserve"> sin ánimo de lucro que representa a empresas de todo el ecosistema </w:t>
      </w:r>
      <w:r>
        <w:rPr>
          <w:lang w:val="es-ES"/>
        </w:rPr>
        <w:t xml:space="preserve">mundial de las telecomunicaciones </w:t>
      </w:r>
      <w:r w:rsidRPr="00A076E4">
        <w:rPr>
          <w:lang w:val="es-ES"/>
        </w:rPr>
        <w:t>móvil</w:t>
      </w:r>
      <w:r>
        <w:rPr>
          <w:lang w:val="es-ES"/>
        </w:rPr>
        <w:t>es</w:t>
      </w:r>
      <w:r w:rsidRPr="00A076E4">
        <w:rPr>
          <w:lang w:val="es-ES"/>
        </w:rPr>
        <w:t xml:space="preserve"> que se dedican al suministro de infraestructuras, semiconductores, equipos de prueba, dispositivos, aplicaciones y servicios de apoyo a la telefonía móvil. </w:t>
      </w:r>
      <w:r>
        <w:rPr>
          <w:lang w:val="es-ES"/>
        </w:rPr>
        <w:t>La organización p</w:t>
      </w:r>
      <w:r w:rsidRPr="00A076E4">
        <w:rPr>
          <w:lang w:val="es-ES"/>
        </w:rPr>
        <w:t>romueve la hoja de ruta</w:t>
      </w:r>
      <w:r>
        <w:rPr>
          <w:lang w:val="es-ES"/>
        </w:rPr>
        <w:t xml:space="preserve"> tecnológica de </w:t>
      </w:r>
      <w:r w:rsidRPr="00A076E4">
        <w:rPr>
          <w:lang w:val="es-ES"/>
        </w:rPr>
        <w:t>3GPP</w:t>
      </w:r>
      <w:r>
        <w:rPr>
          <w:lang w:val="es-ES"/>
        </w:rPr>
        <w:t xml:space="preserve"> (</w:t>
      </w:r>
      <w:r w:rsidRPr="00A076E4">
        <w:rPr>
          <w:lang w:val="es-ES"/>
        </w:rPr>
        <w:t>3G, 4G y 5G</w:t>
      </w:r>
      <w:r>
        <w:rPr>
          <w:lang w:val="es-ES"/>
        </w:rPr>
        <w:t>) y la informa</w:t>
      </w:r>
      <w:r w:rsidRPr="00A076E4">
        <w:rPr>
          <w:lang w:val="es-ES"/>
        </w:rPr>
        <w:t xml:space="preserve">ción </w:t>
      </w:r>
      <w:r>
        <w:rPr>
          <w:lang w:val="es-ES"/>
        </w:rPr>
        <w:t xml:space="preserve">que publica es utilizada como referencia para la elaboración de </w:t>
      </w:r>
      <w:r w:rsidRPr="00A076E4">
        <w:rPr>
          <w:lang w:val="es-ES"/>
        </w:rPr>
        <w:t>los informes del sector y</w:t>
      </w:r>
      <w:r>
        <w:rPr>
          <w:lang w:val="es-ES"/>
        </w:rPr>
        <w:t xml:space="preserve"> los informes especializados sobre los</w:t>
      </w:r>
      <w:r w:rsidRPr="00A076E4">
        <w:rPr>
          <w:lang w:val="es-ES"/>
        </w:rPr>
        <w:t xml:space="preserve"> mercado</w:t>
      </w:r>
      <w:r>
        <w:rPr>
          <w:lang w:val="es-ES"/>
        </w:rPr>
        <w:t>s</w:t>
      </w:r>
      <w:r w:rsidRPr="00A076E4">
        <w:rPr>
          <w:lang w:val="es-ES"/>
        </w:rPr>
        <w:t xml:space="preserve">. Dado que los miembros de la GSA son predominantemente empresas con ánimo de lucro, la secretaría </w:t>
      </w:r>
      <w:r>
        <w:rPr>
          <w:lang w:val="es-ES"/>
        </w:rPr>
        <w:t>considera</w:t>
      </w:r>
      <w:r w:rsidRPr="00A076E4">
        <w:rPr>
          <w:lang w:val="es-ES"/>
        </w:rPr>
        <w:t xml:space="preserve"> que esta entidad no cumple los criterios </w:t>
      </w:r>
      <w:r>
        <w:rPr>
          <w:lang w:val="es-ES"/>
        </w:rPr>
        <w:t>para la obtención de una exoneración.</w:t>
      </w:r>
      <w:r w:rsidRPr="00A076E4">
        <w:rPr>
          <w:color w:val="000000"/>
          <w:lang w:val="es-ES"/>
        </w:rPr>
        <w:t xml:space="preserve"> </w:t>
      </w:r>
    </w:p>
    <w:p w14:paraId="3201D92A" w14:textId="77777777" w:rsidR="0021679B" w:rsidRPr="00A076E4" w:rsidRDefault="0021679B" w:rsidP="00484103">
      <w:pPr>
        <w:pStyle w:val="NormalWeb"/>
        <w:spacing w:before="240" w:beforeAutospacing="0" w:after="120" w:afterAutospacing="0"/>
        <w:jc w:val="both"/>
        <w:rPr>
          <w:rFonts w:asciiTheme="minorHAnsi" w:hAnsiTheme="minorHAnsi" w:cstheme="minorHAnsi"/>
          <w:color w:val="222128"/>
          <w:lang w:val="es-ES"/>
        </w:rPr>
      </w:pPr>
    </w:p>
    <w:p w14:paraId="39E41996" w14:textId="77777777" w:rsidR="00A75F29" w:rsidRDefault="00A75F29">
      <w:pPr>
        <w:jc w:val="center"/>
      </w:pPr>
      <w:r>
        <w:t>______________</w:t>
      </w:r>
    </w:p>
    <w:sectPr w:rsidR="00A75F29" w:rsidSect="006710F6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5DEC" w14:textId="77777777" w:rsidR="008C23D3" w:rsidRDefault="008C23D3">
      <w:r>
        <w:separator/>
      </w:r>
    </w:p>
  </w:endnote>
  <w:endnote w:type="continuationSeparator" w:id="0">
    <w:p w14:paraId="7DE27FFB" w14:textId="77777777" w:rsidR="008C23D3" w:rsidRDefault="008C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DEA8" w14:textId="7179A745" w:rsidR="00760F1C" w:rsidRPr="00390157" w:rsidRDefault="0021679B">
    <w:pPr>
      <w:pStyle w:val="Footer"/>
      <w:rPr>
        <w:lang w:val="fr-FR"/>
      </w:rPr>
    </w:pPr>
    <w:r w:rsidRPr="009F5A7D">
      <w:rPr>
        <w:color w:val="F2F2F2" w:themeColor="background1" w:themeShade="F2"/>
      </w:rPr>
      <w:fldChar w:fldCharType="begin"/>
    </w:r>
    <w:r w:rsidRPr="009F5A7D">
      <w:rPr>
        <w:color w:val="F2F2F2" w:themeColor="background1" w:themeShade="F2"/>
        <w:lang w:val="fr-FR"/>
      </w:rPr>
      <w:instrText xml:space="preserve"> FILENAME \p \* MERGEFORMAT </w:instrText>
    </w:r>
    <w:r w:rsidRPr="009F5A7D">
      <w:rPr>
        <w:color w:val="F2F2F2" w:themeColor="background1" w:themeShade="F2"/>
      </w:rPr>
      <w:fldChar w:fldCharType="separate"/>
    </w:r>
    <w:r w:rsidR="00390157" w:rsidRPr="009F5A7D">
      <w:rPr>
        <w:color w:val="F2F2F2" w:themeColor="background1" w:themeShade="F2"/>
        <w:lang w:val="fr-FR"/>
      </w:rPr>
      <w:t>P:\ESP\SG\CONSEIL\C21\000\039S.docx</w:t>
    </w:r>
    <w:r w:rsidRPr="009F5A7D">
      <w:rPr>
        <w:color w:val="F2F2F2" w:themeColor="background1" w:themeShade="F2"/>
        <w:lang w:val="en-US"/>
      </w:rPr>
      <w:fldChar w:fldCharType="end"/>
    </w:r>
    <w:r w:rsidR="00F2196B" w:rsidRPr="009F5A7D">
      <w:rPr>
        <w:color w:val="F2F2F2" w:themeColor="background1" w:themeShade="F2"/>
        <w:lang w:val="fr-FR"/>
      </w:rPr>
      <w:t xml:space="preserve"> (483235)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47E0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F8ED" w14:textId="77777777" w:rsidR="008C23D3" w:rsidRDefault="008C23D3">
      <w:r>
        <w:t>____________________</w:t>
      </w:r>
    </w:p>
  </w:footnote>
  <w:footnote w:type="continuationSeparator" w:id="0">
    <w:p w14:paraId="61AEB8DC" w14:textId="77777777" w:rsidR="008C23D3" w:rsidRDefault="008C2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DDE2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3D30013E" w14:textId="44EF5BD6" w:rsidR="00760F1C" w:rsidRDefault="00760F1C" w:rsidP="00C2727F">
    <w:pPr>
      <w:pStyle w:val="Header"/>
    </w:pPr>
    <w:r>
      <w:t>C</w:t>
    </w:r>
    <w:r w:rsidR="007955DA">
      <w:t>2</w:t>
    </w:r>
    <w:r w:rsidR="000007D1">
      <w:t>1</w:t>
    </w:r>
    <w:r>
      <w:t>/</w:t>
    </w:r>
    <w:r w:rsidR="0021679B">
      <w:t>39</w:t>
    </w:r>
    <w:r w:rsidR="00657933">
      <w:t>-</w:t>
    </w:r>
    <w:r w:rsidR="0021679B"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D3"/>
    <w:rsid w:val="000007D1"/>
    <w:rsid w:val="00091D48"/>
    <w:rsid w:val="00093EEB"/>
    <w:rsid w:val="000B0D00"/>
    <w:rsid w:val="000B7C15"/>
    <w:rsid w:val="000D1D0F"/>
    <w:rsid w:val="000F5290"/>
    <w:rsid w:val="0010165C"/>
    <w:rsid w:val="00146BFB"/>
    <w:rsid w:val="001C0BE6"/>
    <w:rsid w:val="001F14A2"/>
    <w:rsid w:val="002160E4"/>
    <w:rsid w:val="0021679B"/>
    <w:rsid w:val="00250EEA"/>
    <w:rsid w:val="002801AA"/>
    <w:rsid w:val="002C4676"/>
    <w:rsid w:val="002C70B0"/>
    <w:rsid w:val="002F3CC4"/>
    <w:rsid w:val="00390157"/>
    <w:rsid w:val="004126E7"/>
    <w:rsid w:val="00484103"/>
    <w:rsid w:val="00495289"/>
    <w:rsid w:val="004B66E7"/>
    <w:rsid w:val="00513630"/>
    <w:rsid w:val="00560125"/>
    <w:rsid w:val="005702B3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57933"/>
    <w:rsid w:val="00664572"/>
    <w:rsid w:val="006710F6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891878"/>
    <w:rsid w:val="008C23D3"/>
    <w:rsid w:val="00913B9C"/>
    <w:rsid w:val="00956E77"/>
    <w:rsid w:val="009F4811"/>
    <w:rsid w:val="009F5A7D"/>
    <w:rsid w:val="00A75F29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E786A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65034"/>
    <w:rsid w:val="00E92DE8"/>
    <w:rsid w:val="00EB1212"/>
    <w:rsid w:val="00ED65AB"/>
    <w:rsid w:val="00F12850"/>
    <w:rsid w:val="00F2196B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D4A6576"/>
  <w15:docId w15:val="{647FAED0-6F1A-4C06-87E6-4DD376B1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rmaltextrun">
    <w:name w:val="normaltextrun"/>
    <w:basedOn w:val="DefaultParagraphFont"/>
    <w:rsid w:val="008C23D3"/>
  </w:style>
  <w:style w:type="paragraph" w:customStyle="1" w:styleId="TableText0">
    <w:name w:val="Table_Text"/>
    <w:basedOn w:val="Normal"/>
    <w:rsid w:val="00484103"/>
    <w:pPr>
      <w:tabs>
        <w:tab w:val="left" w:pos="284"/>
        <w:tab w:val="left" w:pos="794"/>
        <w:tab w:val="left" w:pos="851"/>
        <w:tab w:val="left" w:pos="1191"/>
        <w:tab w:val="left" w:pos="1418"/>
        <w:tab w:val="left" w:pos="158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hAnsi="Times New Roman"/>
      <w:lang w:val="en-GB"/>
    </w:rPr>
  </w:style>
  <w:style w:type="paragraph" w:customStyle="1" w:styleId="TableHead0">
    <w:name w:val="Table_Head"/>
    <w:basedOn w:val="Normal"/>
    <w:rsid w:val="00484103"/>
    <w:pPr>
      <w:keepNext/>
      <w:tabs>
        <w:tab w:val="left" w:pos="284"/>
        <w:tab w:val="left" w:pos="794"/>
        <w:tab w:val="left" w:pos="851"/>
        <w:tab w:val="left" w:pos="1191"/>
        <w:tab w:val="left" w:pos="1418"/>
        <w:tab w:val="left" w:pos="158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Times New Roman" w:hAnsi="Times New Roman"/>
      <w:b/>
      <w:lang w:val="en-GB"/>
    </w:rPr>
  </w:style>
  <w:style w:type="paragraph" w:styleId="NormalWeb">
    <w:name w:val="Normal (Web)"/>
    <w:basedOn w:val="Normal"/>
    <w:uiPriority w:val="99"/>
    <w:unhideWhenUsed/>
    <w:rsid w:val="0048410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91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doc/gs/council/c00/docs/28rev1.htm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council/pd/convention.doc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membership/Pages/exemption-criteria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itudoc/gs/council/c00/docs/28rev1.htm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1</TotalTime>
  <Pages>3</Pages>
  <Words>844</Words>
  <Characters>5065</Characters>
  <Application>Microsoft Office Word</Application>
  <DocSecurity>4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5898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Requests for exemption from any financial contribution to defraying expenses relating to participation in the work of ITU</dc:title>
  <dc:subject>Council 2021, Virtual consultation of councillors</dc:subject>
  <dc:creator>Spanish</dc:creator>
  <cp:keywords>C2021, C21, VCC, C21-VCC-1</cp:keywords>
  <dc:description/>
  <cp:lastModifiedBy>Xue, Kun</cp:lastModifiedBy>
  <cp:revision>2</cp:revision>
  <cp:lastPrinted>2006-03-24T09:51:00Z</cp:lastPrinted>
  <dcterms:created xsi:type="dcterms:W3CDTF">2021-06-04T12:42:00Z</dcterms:created>
  <dcterms:modified xsi:type="dcterms:W3CDTF">2021-06-04T12:42:00Z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