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5191CC23" w14:textId="77777777" w:rsidTr="006C7CC0">
        <w:trPr>
          <w:cantSplit/>
          <w:trHeight w:val="20"/>
        </w:trPr>
        <w:tc>
          <w:tcPr>
            <w:tcW w:w="6620" w:type="dxa"/>
          </w:tcPr>
          <w:p w14:paraId="2D3CA7F9" w14:textId="42F9E2D9" w:rsidR="00290728" w:rsidRPr="00290728" w:rsidRDefault="00DE5073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0B04C8A3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FBE0278" wp14:editId="7771857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2069D863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1513A06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042BD3D2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03CEF8A4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179F112E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4C62C290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6E409CB7" w14:textId="77777777" w:rsidTr="009F66A8">
        <w:trPr>
          <w:cantSplit/>
        </w:trPr>
        <w:tc>
          <w:tcPr>
            <w:tcW w:w="6620" w:type="dxa"/>
            <w:vMerge w:val="restart"/>
          </w:tcPr>
          <w:p w14:paraId="51499E71" w14:textId="03865668" w:rsidR="005805EA" w:rsidRPr="00DE5073" w:rsidRDefault="0015650C" w:rsidP="00DE5073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DE5073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DE5073">
              <w:rPr>
                <w:b/>
                <w:bCs/>
                <w:lang w:bidi="ar-EG"/>
              </w:rPr>
              <w:t>ADM </w:t>
            </w:r>
            <w:r w:rsidR="00DE5073" w:rsidRPr="00DE5073">
              <w:rPr>
                <w:b/>
                <w:bCs/>
                <w:lang w:val="en-GB" w:bidi="ar-EG"/>
              </w:rPr>
              <w:t>11</w:t>
            </w:r>
          </w:p>
        </w:tc>
        <w:tc>
          <w:tcPr>
            <w:tcW w:w="3052" w:type="dxa"/>
            <w:vAlign w:val="center"/>
          </w:tcPr>
          <w:p w14:paraId="105028F9" w14:textId="3A6AE21F" w:rsidR="0015650C" w:rsidRPr="002F71D8" w:rsidRDefault="001A0599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الإضافة</w:t>
            </w:r>
            <w:r w:rsidR="005A6DA8">
              <w:rPr>
                <w:rFonts w:hint="cs"/>
                <w:b/>
                <w:bCs/>
                <w:rtl/>
                <w:lang w:bidi="ar-EG"/>
              </w:rPr>
              <w:t> </w:t>
            </w:r>
            <w:r w:rsidR="005A6DA8">
              <w:rPr>
                <w:b/>
                <w:bCs/>
                <w:lang w:bidi="ar-EG"/>
              </w:rPr>
              <w:t>1</w:t>
            </w:r>
            <w:r w:rsidR="005A6DA8">
              <w:rPr>
                <w:b/>
                <w:bCs/>
                <w:rtl/>
                <w:lang w:bidi="ar-EG"/>
              </w:rPr>
              <w:br/>
            </w:r>
            <w:r w:rsidR="005A6DA8">
              <w:rPr>
                <w:rFonts w:hint="cs"/>
                <w:b/>
                <w:bCs/>
                <w:rtl/>
                <w:lang w:bidi="ar-EG"/>
              </w:rPr>
              <w:t>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15650C" w:rsidRPr="002F71D8">
              <w:rPr>
                <w:b/>
                <w:bCs/>
                <w:lang w:bidi="ar-SY"/>
              </w:rPr>
              <w:t>C2</w:t>
            </w:r>
            <w:r w:rsidR="0015650C">
              <w:rPr>
                <w:b/>
                <w:bCs/>
                <w:lang w:bidi="ar-SY"/>
              </w:rPr>
              <w:t>1</w:t>
            </w:r>
            <w:r w:rsidR="0015650C" w:rsidRPr="002F71D8">
              <w:rPr>
                <w:b/>
                <w:bCs/>
                <w:lang w:bidi="ar-SY"/>
              </w:rPr>
              <w:t>/</w:t>
            </w:r>
            <w:r w:rsidR="00D1327C">
              <w:rPr>
                <w:b/>
                <w:bCs/>
                <w:lang w:bidi="ar-SY"/>
              </w:rPr>
              <w:t>39</w:t>
            </w:r>
            <w:r w:rsidR="0015650C"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578B9C6E" w14:textId="77777777" w:rsidTr="009F66A8">
        <w:trPr>
          <w:cantSplit/>
        </w:trPr>
        <w:tc>
          <w:tcPr>
            <w:tcW w:w="6620" w:type="dxa"/>
            <w:vMerge/>
          </w:tcPr>
          <w:p w14:paraId="3FC9048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1DBF8630" w14:textId="20617C36" w:rsidR="0015650C" w:rsidRPr="002F71D8" w:rsidRDefault="005A6DA8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25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4867B3EC" w14:textId="77777777" w:rsidTr="009F66A8">
        <w:trPr>
          <w:cantSplit/>
        </w:trPr>
        <w:tc>
          <w:tcPr>
            <w:tcW w:w="6620" w:type="dxa"/>
            <w:vMerge/>
          </w:tcPr>
          <w:p w14:paraId="21FCFC42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16630B8" w14:textId="77777777" w:rsidR="0015650C" w:rsidRPr="00D1327C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D1327C">
              <w:rPr>
                <w:b/>
                <w:bCs/>
                <w:rtl/>
                <w:lang w:bidi="ar-EG"/>
              </w:rPr>
              <w:t xml:space="preserve">الأصل: </w:t>
            </w:r>
            <w:r w:rsidRPr="00D1327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193E0C39" w14:textId="77777777" w:rsidTr="009F66A8">
        <w:trPr>
          <w:cantSplit/>
        </w:trPr>
        <w:tc>
          <w:tcPr>
            <w:tcW w:w="9672" w:type="dxa"/>
            <w:gridSpan w:val="2"/>
          </w:tcPr>
          <w:p w14:paraId="4D6E3D9A" w14:textId="7D579B2A" w:rsidR="00290728" w:rsidRPr="00290728" w:rsidRDefault="00002612" w:rsidP="00002612">
            <w:pPr>
              <w:pStyle w:val="Source"/>
              <w:rPr>
                <w:rtl/>
                <w:lang w:bidi="ar-EG"/>
              </w:rPr>
            </w:pPr>
            <w:r w:rsidRPr="00002612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2E95831C" w14:textId="77777777" w:rsidTr="009F66A8">
        <w:trPr>
          <w:cantSplit/>
        </w:trPr>
        <w:tc>
          <w:tcPr>
            <w:tcW w:w="9672" w:type="dxa"/>
            <w:gridSpan w:val="2"/>
          </w:tcPr>
          <w:p w14:paraId="7C67A0EC" w14:textId="411771D6" w:rsidR="00290728" w:rsidRPr="00383829" w:rsidRDefault="00002612" w:rsidP="00002612">
            <w:pPr>
              <w:pStyle w:val="Title1"/>
              <w:rPr>
                <w:rtl/>
              </w:rPr>
            </w:pPr>
            <w:r w:rsidRPr="00002612">
              <w:rPr>
                <w:rFonts w:hint="cs"/>
                <w:rtl/>
              </w:rPr>
              <w:t>طلبات الإعفاء من أي مساهمة مالية في تحمل النفقات</w:t>
            </w:r>
            <w:r w:rsidRPr="00002612">
              <w:rPr>
                <w:rFonts w:hint="cs"/>
                <w:rtl/>
              </w:rPr>
              <w:br/>
              <w:t>المتصلة بالمشاركة في أعمال الاتحاد الدولي للاتصالات</w:t>
            </w:r>
          </w:p>
        </w:tc>
      </w:tr>
      <w:tr w:rsidR="00DC5FB0" w:rsidRPr="00290728" w14:paraId="263928C5" w14:textId="77777777" w:rsidTr="009F66A8">
        <w:trPr>
          <w:cantSplit/>
        </w:trPr>
        <w:tc>
          <w:tcPr>
            <w:tcW w:w="9672" w:type="dxa"/>
            <w:gridSpan w:val="2"/>
          </w:tcPr>
          <w:p w14:paraId="38D388F0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9DDCF46" w14:textId="77777777" w:rsidR="00706D7A" w:rsidRDefault="00706D7A" w:rsidP="002154EE"/>
    <w:p w14:paraId="7DDEE15F" w14:textId="2EA25F21" w:rsidR="004E11DC" w:rsidRPr="00F974C5" w:rsidRDefault="005A6DA8" w:rsidP="0026373E">
      <w:pPr>
        <w:rPr>
          <w:rtl/>
          <w:lang w:bidi="ar-EG"/>
        </w:rPr>
      </w:pPr>
      <w:r>
        <w:rPr>
          <w:rFonts w:hint="cs"/>
          <w:rtl/>
        </w:rPr>
        <w:t xml:space="preserve">ينبغي تعديل الفقرة التالية </w:t>
      </w:r>
      <w:r>
        <w:t>1.2</w:t>
      </w:r>
      <w:r>
        <w:rPr>
          <w:rFonts w:hint="cs"/>
          <w:rtl/>
          <w:lang w:bidi="ar-EG"/>
        </w:rPr>
        <w:t xml:space="preserve"> </w:t>
      </w:r>
      <w:r w:rsidR="00BD27B6">
        <w:rPr>
          <w:rFonts w:hint="cs"/>
          <w:rtl/>
          <w:lang w:bidi="ar-EG"/>
        </w:rPr>
        <w:t xml:space="preserve">الواردة </w:t>
      </w:r>
      <w:r>
        <w:rPr>
          <w:rFonts w:hint="cs"/>
          <w:rtl/>
          <w:lang w:bidi="ar-EG"/>
        </w:rPr>
        <w:t>تح</w:t>
      </w:r>
      <w:r w:rsidR="00C50AB0">
        <w:rPr>
          <w:rFonts w:hint="cs"/>
          <w:rtl/>
        </w:rPr>
        <w:t>ت عنوان</w:t>
      </w:r>
      <w:r>
        <w:rPr>
          <w:rFonts w:hint="cs"/>
          <w:rtl/>
          <w:lang w:bidi="ar-EG"/>
        </w:rPr>
        <w:t xml:space="preserve"> </w:t>
      </w:r>
      <w:r w:rsidRPr="00CF2D16">
        <w:rPr>
          <w:rFonts w:hint="cs"/>
          <w:b/>
          <w:bCs/>
          <w:rtl/>
          <w:lang w:bidi="ar-EG"/>
        </w:rPr>
        <w:t>الطلبات والتوصيات</w:t>
      </w:r>
      <w:r>
        <w:rPr>
          <w:rFonts w:hint="cs"/>
          <w:rtl/>
          <w:lang w:bidi="ar-EG"/>
        </w:rPr>
        <w:t xml:space="preserve"> </w:t>
      </w:r>
      <w:r w:rsidR="0016637F">
        <w:rPr>
          <w:rFonts w:hint="cs"/>
          <w:rtl/>
          <w:lang w:bidi="ar-EG"/>
        </w:rPr>
        <w:t>بالوثيقة</w:t>
      </w:r>
      <w:r>
        <w:rPr>
          <w:rFonts w:hint="cs"/>
          <w:rtl/>
          <w:lang w:bidi="ar-EG"/>
        </w:rPr>
        <w:t xml:space="preserve"> </w:t>
      </w:r>
      <w:hyperlink r:id="rId9" w:history="1">
        <w:r w:rsidRPr="005A6DA8">
          <w:rPr>
            <w:rStyle w:val="Hyperlink"/>
            <w:lang w:bidi="ar-EG"/>
          </w:rPr>
          <w:t>C21/039</w:t>
        </w:r>
      </w:hyperlink>
      <w:r>
        <w:rPr>
          <w:rFonts w:hint="cs"/>
          <w:rtl/>
          <w:lang w:bidi="ar-EG"/>
        </w:rPr>
        <w:t xml:space="preserve"> </w:t>
      </w:r>
      <w:r w:rsidR="00C50AB0">
        <w:rPr>
          <w:rFonts w:hint="cs"/>
          <w:rtl/>
          <w:lang w:bidi="ar-EG"/>
        </w:rPr>
        <w:t>على النحو التالي</w:t>
      </w:r>
      <w:r>
        <w:rPr>
          <w:rFonts w:hint="cs"/>
          <w:rtl/>
          <w:lang w:bidi="ar-EG"/>
        </w:rPr>
        <w:t>:</w:t>
      </w:r>
    </w:p>
    <w:p w14:paraId="71ADDBAF" w14:textId="40CA7503" w:rsidR="00914159" w:rsidRDefault="00DD7E9A" w:rsidP="00580CF9">
      <w:pPr>
        <w:pStyle w:val="Headingb"/>
        <w:keepLines/>
        <w:rPr>
          <w:rtl/>
        </w:rPr>
      </w:pPr>
      <w:r>
        <w:rPr>
          <w:rFonts w:hint="cs"/>
          <w:rtl/>
          <w:lang w:bidi="ar-EG"/>
        </w:rPr>
        <w:t>الطلبات و</w:t>
      </w:r>
      <w:r w:rsidR="00914159" w:rsidRPr="00682D11">
        <w:rPr>
          <w:rFonts w:hint="cs"/>
          <w:rtl/>
        </w:rPr>
        <w:t>التوصيات</w:t>
      </w:r>
    </w:p>
    <w:p w14:paraId="35D1CBA0" w14:textId="387EAD05" w:rsidR="00914159" w:rsidRPr="00682D11" w:rsidRDefault="00914159" w:rsidP="00580CF9">
      <w:pPr>
        <w:keepNext/>
        <w:keepLines/>
        <w:rPr>
          <w:rtl/>
          <w:lang w:bidi="ar-SY"/>
        </w:rPr>
      </w:pPr>
      <w:r>
        <w:t>2</w:t>
      </w:r>
      <w:r>
        <w:rPr>
          <w:rtl/>
          <w:lang w:bidi="ar-EG"/>
        </w:rPr>
        <w:tab/>
      </w:r>
      <w:r w:rsidRPr="00F61D7B">
        <w:rPr>
          <w:rFonts w:hint="cs"/>
          <w:rtl/>
          <w:lang w:bidi="ar-SY"/>
        </w:rPr>
        <w:t xml:space="preserve">وردت الطلبات التالية وتُقدَّم </w:t>
      </w:r>
      <w:r w:rsidR="00DD7E9A">
        <w:rPr>
          <w:rFonts w:hint="cs"/>
          <w:rtl/>
          <w:lang w:bidi="ar-SY"/>
        </w:rPr>
        <w:t xml:space="preserve">لتُتخذ بشأنها </w:t>
      </w:r>
      <w:r w:rsidR="00DD7E9A">
        <w:rPr>
          <w:rFonts w:hint="cs"/>
          <w:rtl/>
          <w:lang w:bidi="ar-EG"/>
        </w:rPr>
        <w:t>الإجراءات المناسبة</w:t>
      </w:r>
      <w:r w:rsidRPr="00F61D7B">
        <w:rPr>
          <w:rFonts w:hint="cs"/>
          <w:rtl/>
          <w:lang w:bidi="ar-SY"/>
        </w:rPr>
        <w:t>:</w:t>
      </w:r>
    </w:p>
    <w:p w14:paraId="4C7D8720" w14:textId="77777777" w:rsidR="00914159" w:rsidRPr="00682D11" w:rsidRDefault="00914159" w:rsidP="00914159">
      <w:pPr>
        <w:keepNext/>
        <w:keepLines/>
        <w:spacing w:after="120"/>
        <w:rPr>
          <w:rtl/>
        </w:rPr>
      </w:pPr>
      <w:r w:rsidRPr="00682D11">
        <w:t>1</w:t>
      </w:r>
      <w:r>
        <w:t>.2</w:t>
      </w:r>
      <w:r>
        <w:rPr>
          <w:rFonts w:hint="cs"/>
          <w:rtl/>
        </w:rPr>
        <w:t> </w:t>
      </w:r>
    </w:p>
    <w:tbl>
      <w:tblPr>
        <w:bidiVisual/>
        <w:tblW w:w="7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3"/>
        <w:gridCol w:w="2630"/>
        <w:gridCol w:w="1521"/>
      </w:tblGrid>
      <w:tr w:rsidR="00FA05D3" w:rsidRPr="00AF2032" w14:paraId="514F1C74" w14:textId="77777777" w:rsidTr="004B2EEC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5B3D7" w14:textId="77777777" w:rsidR="00FA05D3" w:rsidRPr="00A619A9" w:rsidRDefault="00FA05D3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7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0F116" w14:textId="77777777" w:rsidR="00FA05D3" w:rsidRPr="00A619A9" w:rsidRDefault="00FA05D3" w:rsidP="003664D1">
            <w:pPr>
              <w:pStyle w:val="TableHead"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1224" w:type="pct"/>
          </w:tcPr>
          <w:p w14:paraId="0415BF0E" w14:textId="59A88DB8" w:rsidR="00FA05D3" w:rsidRPr="00A619A9" w:rsidRDefault="00FA05D3" w:rsidP="003664D1">
            <w:pPr>
              <w:pStyle w:val="TableHead"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</w:t>
            </w:r>
            <w:r w:rsidR="00E00FA7">
              <w:rPr>
                <w:rFonts w:hint="eastAsia"/>
                <w:rtl/>
              </w:rPr>
              <w:t> </w:t>
            </w:r>
            <w:r w:rsidRPr="00A619A9">
              <w:rPr>
                <w:rFonts w:hint="cs"/>
                <w:rtl/>
              </w:rPr>
              <w:t>العام</w:t>
            </w:r>
          </w:p>
        </w:tc>
      </w:tr>
      <w:tr w:rsidR="00FA05D3" w:rsidRPr="00AF2032" w14:paraId="109C182E" w14:textId="77777777" w:rsidTr="004B2EEC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0379F6" w14:textId="717FCA9B" w:rsidR="00FA05D3" w:rsidRPr="00867BCC" w:rsidRDefault="00E2035F" w:rsidP="003664D1">
            <w:pPr>
              <w:pStyle w:val="Tabletexte"/>
              <w:rPr>
                <w:b/>
                <w:bCs/>
                <w:lang w:val="en-CA"/>
              </w:rPr>
            </w:pPr>
            <w:r>
              <w:rPr>
                <w:rFonts w:hint="cs"/>
                <w:b/>
                <w:bCs/>
                <w:rtl/>
              </w:rPr>
              <w:t>الجماعة الإنمائية ل</w:t>
            </w:r>
            <w:r w:rsidR="00DD7E9A">
              <w:rPr>
                <w:rFonts w:hint="cs"/>
                <w:b/>
                <w:bCs/>
                <w:rtl/>
              </w:rPr>
              <w:t>لجنوب الإفريقي</w:t>
            </w:r>
            <w:r w:rsidR="00FA05D3" w:rsidRPr="00867BCC">
              <w:rPr>
                <w:rFonts w:hint="cs"/>
                <w:b/>
                <w:bCs/>
                <w:rtl/>
              </w:rPr>
              <w:t xml:space="preserve"> </w:t>
            </w:r>
            <w:r w:rsidR="00FA05D3" w:rsidRPr="00867BCC">
              <w:rPr>
                <w:b/>
                <w:bCs/>
                <w:lang w:val="en-CA"/>
              </w:rPr>
              <w:t>(</w:t>
            </w:r>
            <w:r w:rsidR="00DD7E9A">
              <w:rPr>
                <w:b/>
                <w:bCs/>
                <w:lang w:val="en-CA"/>
              </w:rPr>
              <w:t>SADC</w:t>
            </w:r>
            <w:r w:rsidR="00FA05D3" w:rsidRPr="00867BCC">
              <w:rPr>
                <w:b/>
                <w:bCs/>
                <w:lang w:val="en-CA"/>
              </w:rPr>
              <w:t>)</w:t>
            </w:r>
          </w:p>
        </w:tc>
        <w:tc>
          <w:tcPr>
            <w:tcW w:w="17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B7B38" w14:textId="77777777" w:rsidR="007A17E7" w:rsidRDefault="003E4A59" w:rsidP="003E4A59">
            <w:pPr>
              <w:pStyle w:val="Tabletexte"/>
              <w:jc w:val="center"/>
            </w:pPr>
            <w:r w:rsidRPr="00A619A9">
              <w:rPr>
                <w:rFonts w:hint="cs"/>
                <w:rtl/>
              </w:rPr>
              <w:t>قطاع الاتصالات</w:t>
            </w:r>
            <w:r w:rsidR="00DD7E9A">
              <w:rPr>
                <w:rFonts w:hint="cs"/>
                <w:rtl/>
                <w:lang w:bidi="ar-EG"/>
              </w:rPr>
              <w:t xml:space="preserve"> الراد</w:t>
            </w:r>
            <w:r w:rsidR="008569EB">
              <w:rPr>
                <w:rFonts w:hint="cs"/>
                <w:rtl/>
                <w:lang w:bidi="ar-EG"/>
              </w:rPr>
              <w:t>ي</w:t>
            </w:r>
            <w:r w:rsidR="00DD7E9A">
              <w:rPr>
                <w:rFonts w:hint="cs"/>
                <w:rtl/>
                <w:lang w:bidi="ar-EG"/>
              </w:rPr>
              <w:t xml:space="preserve">وية </w:t>
            </w:r>
            <w:r w:rsidR="00DD7E9A">
              <w:rPr>
                <w:lang w:bidi="ar-EG"/>
              </w:rPr>
              <w:t>(ITU-R)</w:t>
            </w:r>
          </w:p>
          <w:p w14:paraId="176ABAD2" w14:textId="2A1F6B7E" w:rsidR="003E4A59" w:rsidRPr="00A27598" w:rsidRDefault="003E4A59" w:rsidP="003E4A59">
            <w:pPr>
              <w:pStyle w:val="Tabletexte"/>
              <w:jc w:val="center"/>
              <w:rPr>
                <w:lang w:bidi="ar-EG"/>
              </w:rPr>
            </w:pPr>
            <w:r w:rsidRPr="002A7194">
              <w:rPr>
                <w:rFonts w:hint="cs"/>
                <w:rtl/>
              </w:rPr>
              <w:t xml:space="preserve">قطاع </w:t>
            </w:r>
            <w:r>
              <w:rPr>
                <w:rFonts w:hint="cs"/>
                <w:rtl/>
                <w:lang w:bidi="ar-EG"/>
              </w:rPr>
              <w:t xml:space="preserve">تقييس </w:t>
            </w:r>
            <w:r w:rsidRPr="002A7194">
              <w:rPr>
                <w:rFonts w:hint="cs"/>
                <w:rtl/>
              </w:rPr>
              <w:t>الاتصالات</w:t>
            </w:r>
            <w:r w:rsidR="00DD7E9A">
              <w:rPr>
                <w:rFonts w:hint="cs"/>
                <w:rtl/>
                <w:lang w:bidi="ar-EG"/>
              </w:rPr>
              <w:t xml:space="preserve"> </w:t>
            </w:r>
            <w:r w:rsidR="00DD7E9A">
              <w:rPr>
                <w:lang w:bidi="ar-EG"/>
              </w:rPr>
              <w:t>(ITU</w:t>
            </w:r>
            <w:r w:rsidR="007A17E7">
              <w:rPr>
                <w:lang w:bidi="ar-EG"/>
              </w:rPr>
              <w:noBreakHyphen/>
            </w:r>
            <w:r w:rsidR="00DD7E9A">
              <w:rPr>
                <w:lang w:bidi="ar-EG"/>
              </w:rPr>
              <w:t>T)</w:t>
            </w:r>
          </w:p>
        </w:tc>
        <w:tc>
          <w:tcPr>
            <w:tcW w:w="1224" w:type="pct"/>
          </w:tcPr>
          <w:p w14:paraId="446E5172" w14:textId="77777777" w:rsidR="00FA05D3" w:rsidRDefault="00FA05D3" w:rsidP="003664D1">
            <w:pPr>
              <w:pStyle w:val="Tabletexte"/>
              <w:jc w:val="center"/>
              <w:rPr>
                <w:rtl/>
              </w:rPr>
            </w:pPr>
            <w:r w:rsidRPr="00AF2032">
              <w:rPr>
                <w:rFonts w:hint="cs"/>
                <w:rtl/>
              </w:rPr>
              <w:t>نعم</w:t>
            </w:r>
          </w:p>
          <w:p w14:paraId="7DE68C2A" w14:textId="29801D99" w:rsidR="003E4A59" w:rsidRPr="00AF2032" w:rsidRDefault="00D331E8" w:rsidP="003664D1">
            <w:pPr>
              <w:pStyle w:val="Tabletexte"/>
              <w:jc w:val="center"/>
              <w:rPr>
                <w:rtl/>
              </w:rPr>
            </w:pPr>
            <w:r w:rsidRPr="00AF2032">
              <w:rPr>
                <w:rFonts w:hint="cs"/>
                <w:rtl/>
              </w:rPr>
              <w:t>نعم</w:t>
            </w:r>
          </w:p>
        </w:tc>
      </w:tr>
    </w:tbl>
    <w:p w14:paraId="4F5845FF" w14:textId="5AA06A20" w:rsidR="00914159" w:rsidRPr="004F5126" w:rsidRDefault="00EC4B67" w:rsidP="00914159">
      <w:pPr>
        <w:spacing w:before="240"/>
        <w:rPr>
          <w:rtl/>
        </w:rPr>
      </w:pPr>
      <w:r w:rsidRPr="004F5126">
        <w:rPr>
          <w:rFonts w:hint="cs"/>
          <w:rtl/>
          <w:lang w:bidi="ar-EG"/>
        </w:rPr>
        <w:t xml:space="preserve">الجماعة </w:t>
      </w:r>
      <w:r w:rsidRPr="004F5126">
        <w:rPr>
          <w:rFonts w:hint="cs"/>
          <w:rtl/>
        </w:rPr>
        <w:t>الإنمائية للجنوب الإفريقي</w:t>
      </w:r>
      <w:r w:rsidRPr="004F5126">
        <w:rPr>
          <w:rFonts w:hint="cs"/>
          <w:rtl/>
          <w:lang w:bidi="ar-EG"/>
        </w:rPr>
        <w:t xml:space="preserve"> منظمة حكومية دولية </w:t>
      </w:r>
      <w:r w:rsidR="00023739" w:rsidRPr="004F5126">
        <w:rPr>
          <w:rFonts w:hint="cs"/>
          <w:rtl/>
          <w:lang w:bidi="ar-EG"/>
        </w:rPr>
        <w:t xml:space="preserve">يقع مقرها في </w:t>
      </w:r>
      <w:r w:rsidRPr="004F5126">
        <w:rPr>
          <w:rFonts w:hint="cs"/>
          <w:rtl/>
          <w:lang w:bidi="ar-EG"/>
        </w:rPr>
        <w:t>بوتسوانا. وغايتها دعم التعاون</w:t>
      </w:r>
      <w:r w:rsidR="0054242E" w:rsidRPr="004F5126">
        <w:rPr>
          <w:rFonts w:hint="cs"/>
          <w:rtl/>
          <w:lang w:bidi="ar-EG"/>
        </w:rPr>
        <w:t xml:space="preserve"> والتكامل</w:t>
      </w:r>
      <w:r w:rsidRPr="004F5126">
        <w:rPr>
          <w:rFonts w:hint="cs"/>
          <w:rtl/>
          <w:lang w:bidi="ar-EG"/>
        </w:rPr>
        <w:t xml:space="preserve"> الاجتماعي</w:t>
      </w:r>
      <w:r w:rsidR="0054242E" w:rsidRPr="004F5126">
        <w:rPr>
          <w:rFonts w:hint="cs"/>
          <w:rtl/>
          <w:lang w:bidi="ar-EG"/>
        </w:rPr>
        <w:t xml:space="preserve">ين </w:t>
      </w:r>
      <w:r w:rsidRPr="004F5126">
        <w:rPr>
          <w:rFonts w:hint="cs"/>
          <w:rtl/>
          <w:lang w:bidi="ar-EG"/>
        </w:rPr>
        <w:t>الاقتصادي</w:t>
      </w:r>
      <w:r w:rsidR="0054242E" w:rsidRPr="004F5126">
        <w:rPr>
          <w:rFonts w:hint="cs"/>
          <w:rtl/>
          <w:lang w:bidi="ar-EG"/>
        </w:rPr>
        <w:t>ين،</w:t>
      </w:r>
      <w:r w:rsidRPr="004F5126">
        <w:rPr>
          <w:rFonts w:hint="cs"/>
          <w:rtl/>
          <w:lang w:bidi="ar-EG"/>
        </w:rPr>
        <w:t xml:space="preserve"> </w:t>
      </w:r>
      <w:r w:rsidR="0054242E" w:rsidRPr="004F5126">
        <w:rPr>
          <w:rFonts w:hint="cs"/>
          <w:rtl/>
          <w:lang w:bidi="ar-EG"/>
        </w:rPr>
        <w:t xml:space="preserve">فضلاً عن التعاون السياسي والأمني، على الصعيد الإقليمي فيما بين </w:t>
      </w:r>
      <w:r w:rsidR="0054242E" w:rsidRPr="004F5126">
        <w:rPr>
          <w:lang w:bidi="ar-EG"/>
        </w:rPr>
        <w:t>16</w:t>
      </w:r>
      <w:r w:rsidR="0054242E" w:rsidRPr="004F5126">
        <w:rPr>
          <w:rFonts w:hint="cs"/>
          <w:rtl/>
          <w:lang w:bidi="ar-EG"/>
        </w:rPr>
        <w:t xml:space="preserve"> بلداً في جنوب إفريقيا</w:t>
      </w:r>
      <w:r w:rsidR="00914159" w:rsidRPr="004F5126">
        <w:rPr>
          <w:rtl/>
        </w:rPr>
        <w:t>.</w:t>
      </w:r>
      <w:r w:rsidR="0054242E" w:rsidRPr="004F5126">
        <w:rPr>
          <w:rFonts w:hint="cs"/>
          <w:rtl/>
        </w:rPr>
        <w:t xml:space="preserve"> </w:t>
      </w:r>
      <w:r w:rsidR="00914159" w:rsidRPr="004F5126">
        <w:rPr>
          <w:rFonts w:hint="cs"/>
          <w:rtl/>
        </w:rPr>
        <w:t>و</w:t>
      </w:r>
      <w:r w:rsidR="0054242E" w:rsidRPr="004F5126">
        <w:rPr>
          <w:rFonts w:hint="cs"/>
          <w:rtl/>
        </w:rPr>
        <w:t xml:space="preserve">الجماعة </w:t>
      </w:r>
      <w:r w:rsidR="005A6DA8" w:rsidRPr="004F5126">
        <w:rPr>
          <w:rFonts w:hint="cs"/>
          <w:rtl/>
        </w:rPr>
        <w:t xml:space="preserve">عضو </w:t>
      </w:r>
      <w:r w:rsidR="00C50AB0" w:rsidRPr="004F5126">
        <w:rPr>
          <w:rFonts w:hint="cs"/>
          <w:rtl/>
        </w:rPr>
        <w:t xml:space="preserve">قطاع </w:t>
      </w:r>
      <w:r w:rsidR="0054242E" w:rsidRPr="004F5126">
        <w:rPr>
          <w:rFonts w:hint="cs"/>
          <w:rtl/>
        </w:rPr>
        <w:t xml:space="preserve">معفي </w:t>
      </w:r>
      <w:r w:rsidR="00BB7DF1" w:rsidRPr="004F5126">
        <w:rPr>
          <w:rFonts w:hint="cs"/>
          <w:rtl/>
        </w:rPr>
        <w:t xml:space="preserve">بالفعل </w:t>
      </w:r>
      <w:r w:rsidR="0054242E" w:rsidRPr="004F5126">
        <w:rPr>
          <w:rFonts w:hint="cs"/>
          <w:rtl/>
        </w:rPr>
        <w:t xml:space="preserve">من الرسوم في قطاع تنمية الاتصالات بالاتحاد </w:t>
      </w:r>
      <w:r w:rsidR="0054242E" w:rsidRPr="004F5126">
        <w:t>(ITU-D)</w:t>
      </w:r>
      <w:r w:rsidR="00914159" w:rsidRPr="004F5126">
        <w:rPr>
          <w:rtl/>
        </w:rPr>
        <w:t xml:space="preserve">. وترى الأمانة أن </w:t>
      </w:r>
      <w:r w:rsidR="0054242E" w:rsidRPr="004F5126">
        <w:rPr>
          <w:rFonts w:hint="cs"/>
          <w:rtl/>
        </w:rPr>
        <w:t xml:space="preserve">هذا الكيان </w:t>
      </w:r>
      <w:r w:rsidR="00914159" w:rsidRPr="004F5126">
        <w:rPr>
          <w:rFonts w:hint="cs"/>
          <w:rtl/>
          <w:lang w:val="fr-CH" w:bidi="ar-SY"/>
        </w:rPr>
        <w:t xml:space="preserve">يستوفي معايير الإعفاء من رسوم العضوية في </w:t>
      </w:r>
      <w:r w:rsidR="00914159" w:rsidRPr="004F5126">
        <w:rPr>
          <w:rtl/>
        </w:rPr>
        <w:t>قطاع</w:t>
      </w:r>
      <w:r w:rsidR="0054242E" w:rsidRPr="004F5126">
        <w:rPr>
          <w:rFonts w:hint="cs"/>
          <w:rtl/>
          <w:lang w:bidi="ar-EG"/>
        </w:rPr>
        <w:t xml:space="preserve">ي الاتصالات الراديوية </w:t>
      </w:r>
      <w:r w:rsidR="0054242E" w:rsidRPr="004F5126">
        <w:rPr>
          <w:lang w:bidi="ar-EG"/>
        </w:rPr>
        <w:t>(ITU-R)</w:t>
      </w:r>
      <w:r w:rsidR="0054242E" w:rsidRPr="004F5126">
        <w:rPr>
          <w:rFonts w:hint="cs"/>
          <w:rtl/>
          <w:lang w:bidi="ar-EG"/>
        </w:rPr>
        <w:t xml:space="preserve"> وتقييس الاتصالات </w:t>
      </w:r>
      <w:r w:rsidR="0054242E" w:rsidRPr="004F5126">
        <w:rPr>
          <w:lang w:bidi="ar-EG"/>
        </w:rPr>
        <w:t>(ITU-T)</w:t>
      </w:r>
      <w:r w:rsidR="00914159" w:rsidRPr="004F5126">
        <w:rPr>
          <w:rtl/>
        </w:rPr>
        <w:t>.</w:t>
      </w:r>
    </w:p>
    <w:p w14:paraId="5B01F19E" w14:textId="059E2187" w:rsidR="005A6DA8" w:rsidRPr="00FA4154" w:rsidRDefault="005A6DA8" w:rsidP="00854969">
      <w:pPr>
        <w:keepNext/>
        <w:keepLines/>
        <w:spacing w:before="240"/>
        <w:rPr>
          <w:spacing w:val="-2"/>
          <w:rtl/>
          <w:lang w:bidi="ar-EG"/>
        </w:rPr>
      </w:pPr>
      <w:r>
        <w:rPr>
          <w:rFonts w:hint="cs"/>
          <w:spacing w:val="-2"/>
          <w:rtl/>
        </w:rPr>
        <w:lastRenderedPageBreak/>
        <w:t xml:space="preserve">وينبغي إضافة الفقرة التالية في الصفحة </w:t>
      </w:r>
      <w:r>
        <w:rPr>
          <w:spacing w:val="-2"/>
        </w:rPr>
        <w:t>3</w:t>
      </w:r>
      <w:r>
        <w:rPr>
          <w:rFonts w:hint="cs"/>
          <w:spacing w:val="-2"/>
          <w:rtl/>
          <w:lang w:bidi="ar-EG"/>
        </w:rPr>
        <w:t>:</w:t>
      </w:r>
    </w:p>
    <w:p w14:paraId="088224B4" w14:textId="1DD9770C" w:rsidR="00914159" w:rsidRDefault="005A6DA8" w:rsidP="00854969">
      <w:pPr>
        <w:keepNext/>
        <w:keepLines/>
        <w:spacing w:after="120"/>
        <w:rPr>
          <w:rtl/>
          <w:lang w:bidi="ar-EG"/>
        </w:rPr>
      </w:pPr>
      <w:r>
        <w:rPr>
          <w:lang w:bidi="ar-EG"/>
        </w:rPr>
        <w:t>6</w:t>
      </w:r>
      <w:r w:rsidR="00914159">
        <w:rPr>
          <w:lang w:bidi="ar-EG"/>
        </w:rPr>
        <w:t>.2</w:t>
      </w:r>
      <w:r w:rsidR="00914159">
        <w:rPr>
          <w:rFonts w:hint="cs"/>
          <w:rtl/>
          <w:lang w:bidi="ar-EG"/>
        </w:rPr>
        <w:t> </w:t>
      </w:r>
    </w:p>
    <w:tbl>
      <w:tblPr>
        <w:bidiVisual/>
        <w:tblW w:w="77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83"/>
        <w:gridCol w:w="2630"/>
        <w:gridCol w:w="1521"/>
      </w:tblGrid>
      <w:tr w:rsidR="00D331E8" w:rsidRPr="00AF2032" w14:paraId="3286A7CC" w14:textId="77777777" w:rsidTr="00F1631A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C6B16F" w14:textId="77777777" w:rsidR="00D331E8" w:rsidRPr="00A619A9" w:rsidRDefault="00D331E8" w:rsidP="00854969">
            <w:pPr>
              <w:pStyle w:val="TableHead"/>
              <w:keepLines/>
            </w:pPr>
            <w:r w:rsidRPr="00A619A9">
              <w:rPr>
                <w:rFonts w:hint="cs"/>
                <w:rtl/>
              </w:rPr>
              <w:t>المنظمة</w:t>
            </w:r>
          </w:p>
        </w:tc>
        <w:tc>
          <w:tcPr>
            <w:tcW w:w="170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1B0F5" w14:textId="77777777" w:rsidR="00D331E8" w:rsidRPr="00A619A9" w:rsidRDefault="00D331E8" w:rsidP="00854969">
            <w:pPr>
              <w:pStyle w:val="TableHead"/>
              <w:keepLines/>
            </w:pPr>
            <w:r w:rsidRPr="00A619A9">
              <w:rPr>
                <w:rFonts w:hint="cs"/>
                <w:rtl/>
              </w:rPr>
              <w:t>القطاع</w:t>
            </w:r>
          </w:p>
        </w:tc>
        <w:tc>
          <w:tcPr>
            <w:tcW w:w="1224" w:type="pct"/>
          </w:tcPr>
          <w:p w14:paraId="674DE63D" w14:textId="05B4C98E" w:rsidR="00D331E8" w:rsidRPr="00A619A9" w:rsidRDefault="00D331E8" w:rsidP="00854969">
            <w:pPr>
              <w:pStyle w:val="TableHead"/>
              <w:keepLines/>
              <w:rPr>
                <w:rtl/>
              </w:rPr>
            </w:pPr>
            <w:r w:rsidRPr="00A619A9">
              <w:rPr>
                <w:rFonts w:hint="cs"/>
                <w:rtl/>
              </w:rPr>
              <w:t>توصية الأمين</w:t>
            </w:r>
            <w:r w:rsidR="00E00FA7">
              <w:rPr>
                <w:rFonts w:hint="eastAsia"/>
                <w:rtl/>
              </w:rPr>
              <w:t> </w:t>
            </w:r>
            <w:r w:rsidRPr="00A619A9">
              <w:rPr>
                <w:rFonts w:hint="cs"/>
                <w:rtl/>
              </w:rPr>
              <w:t>العام</w:t>
            </w:r>
          </w:p>
        </w:tc>
      </w:tr>
      <w:tr w:rsidR="00D331E8" w:rsidRPr="00AF2032" w14:paraId="06EE874C" w14:textId="77777777" w:rsidTr="00F1631A">
        <w:trPr>
          <w:cantSplit/>
          <w:jc w:val="center"/>
        </w:trPr>
        <w:tc>
          <w:tcPr>
            <w:tcW w:w="231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E01DB0" w14:textId="5057B0E9" w:rsidR="00D331E8" w:rsidRPr="004F5126" w:rsidRDefault="005A6DA8" w:rsidP="00854969">
            <w:pPr>
              <w:pStyle w:val="Tabletexte"/>
              <w:keepNext/>
              <w:keepLines/>
              <w:rPr>
                <w:b/>
                <w:bCs/>
                <w:lang w:bidi="ar-SA"/>
              </w:rPr>
            </w:pPr>
            <w:r w:rsidRPr="004F5126">
              <w:rPr>
                <w:rFonts w:hint="cs"/>
                <w:b/>
                <w:bCs/>
                <w:rtl/>
                <w:lang w:val="en-CA"/>
              </w:rPr>
              <w:t xml:space="preserve">المنظمة الدولية </w:t>
            </w:r>
            <w:proofErr w:type="spellStart"/>
            <w:r w:rsidRPr="004F5126">
              <w:rPr>
                <w:rFonts w:hint="cs"/>
                <w:b/>
                <w:bCs/>
                <w:rtl/>
                <w:lang w:val="en-CA"/>
              </w:rPr>
              <w:t>للفرانكوفونية</w:t>
            </w:r>
            <w:proofErr w:type="spellEnd"/>
            <w:r w:rsidR="000717FA" w:rsidRPr="004F5126">
              <w:rPr>
                <w:rFonts w:hint="cs"/>
                <w:b/>
                <w:bCs/>
                <w:rtl/>
                <w:lang w:val="en-CA" w:bidi="ar-SA"/>
              </w:rPr>
              <w:t xml:space="preserve"> </w:t>
            </w:r>
            <w:r w:rsidR="000717FA" w:rsidRPr="004F5126">
              <w:rPr>
                <w:b/>
                <w:bCs/>
                <w:lang w:bidi="ar-SA"/>
              </w:rPr>
              <w:t>(</w:t>
            </w:r>
            <w:r w:rsidRPr="004F5126">
              <w:rPr>
                <w:b/>
                <w:bCs/>
                <w:lang w:bidi="ar-SA"/>
              </w:rPr>
              <w:t>OIF</w:t>
            </w:r>
            <w:r w:rsidR="000717FA" w:rsidRPr="004F5126">
              <w:rPr>
                <w:b/>
                <w:bCs/>
                <w:lang w:bidi="ar-SA"/>
              </w:rPr>
              <w:t>)</w:t>
            </w:r>
          </w:p>
        </w:tc>
        <w:tc>
          <w:tcPr>
            <w:tcW w:w="1700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FEE50" w14:textId="05A42FCD" w:rsidR="00EA5024" w:rsidRPr="007A17E7" w:rsidRDefault="005A6DA8" w:rsidP="00854969">
            <w:pPr>
              <w:pStyle w:val="Tabletexte"/>
              <w:keepNext/>
              <w:keepLines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قطاع الاتصالات الراديوية</w:t>
            </w:r>
            <w:r w:rsidR="00F1631A">
              <w:rPr>
                <w:rFonts w:hint="cs"/>
                <w:rtl/>
                <w:lang w:bidi="ar-EG"/>
              </w:rPr>
              <w:t xml:space="preserve"> </w:t>
            </w:r>
            <w:r w:rsidR="00F1631A">
              <w:rPr>
                <w:lang w:bidi="ar-EG"/>
              </w:rPr>
              <w:t>(ITU</w:t>
            </w:r>
            <w:r w:rsidR="00F1631A">
              <w:rPr>
                <w:lang w:bidi="ar-EG"/>
              </w:rPr>
              <w:noBreakHyphen/>
              <w:t>R)</w:t>
            </w:r>
            <w:r>
              <w:rPr>
                <w:rtl/>
                <w:lang w:bidi="ar-EG"/>
              </w:rPr>
              <w:br/>
            </w:r>
            <w:r w:rsidR="00EA5024" w:rsidRPr="002A7194">
              <w:rPr>
                <w:rFonts w:hint="cs"/>
                <w:rtl/>
              </w:rPr>
              <w:t xml:space="preserve">قطاع </w:t>
            </w:r>
            <w:r w:rsidR="00EA5024">
              <w:rPr>
                <w:rFonts w:hint="cs"/>
                <w:rtl/>
                <w:lang w:bidi="ar-EG"/>
              </w:rPr>
              <w:t xml:space="preserve">تقييس </w:t>
            </w:r>
            <w:r w:rsidR="005225C3" w:rsidRPr="002A7194">
              <w:rPr>
                <w:rFonts w:hint="cs"/>
                <w:rtl/>
              </w:rPr>
              <w:t>الاتصالا</w:t>
            </w:r>
            <w:r w:rsidR="005225C3" w:rsidRPr="002A7194">
              <w:rPr>
                <w:rtl/>
              </w:rPr>
              <w:t>ت</w:t>
            </w:r>
            <w:r w:rsidR="00F1631A">
              <w:rPr>
                <w:rFonts w:hint="cs"/>
                <w:rtl/>
                <w:lang w:bidi="ar-EG"/>
              </w:rPr>
              <w:t xml:space="preserve"> </w:t>
            </w:r>
            <w:r w:rsidR="00F1631A">
              <w:rPr>
                <w:lang w:bidi="ar-EG"/>
              </w:rPr>
              <w:t>(ITU-T)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قطاع تنمية الاتصالات</w:t>
            </w:r>
            <w:r w:rsidR="00F1631A">
              <w:rPr>
                <w:rFonts w:hint="cs"/>
                <w:rtl/>
                <w:lang w:bidi="ar-EG"/>
              </w:rPr>
              <w:t xml:space="preserve"> </w:t>
            </w:r>
            <w:r w:rsidR="00F1631A">
              <w:rPr>
                <w:lang w:bidi="ar-EG"/>
              </w:rPr>
              <w:t>(ITU-D)</w:t>
            </w:r>
          </w:p>
        </w:tc>
        <w:tc>
          <w:tcPr>
            <w:tcW w:w="1224" w:type="pct"/>
            <w:vAlign w:val="center"/>
          </w:tcPr>
          <w:p w14:paraId="1D98B899" w14:textId="724BDAC3" w:rsidR="008609E4" w:rsidRPr="00AF2032" w:rsidRDefault="005A6DA8" w:rsidP="00854969">
            <w:pPr>
              <w:pStyle w:val="Tabletexte"/>
              <w:keepNext/>
              <w:keepLines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نعم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نعم</w:t>
            </w:r>
            <w:r>
              <w:rPr>
                <w:rtl/>
                <w:lang w:bidi="ar-EG"/>
              </w:rPr>
              <w:br/>
            </w:r>
            <w:r>
              <w:rPr>
                <w:rFonts w:hint="cs"/>
                <w:rtl/>
                <w:lang w:bidi="ar-EG"/>
              </w:rPr>
              <w:t>نعم</w:t>
            </w:r>
          </w:p>
        </w:tc>
      </w:tr>
    </w:tbl>
    <w:p w14:paraId="716B4E53" w14:textId="3C239266" w:rsidR="008C68B4" w:rsidRPr="00F20675" w:rsidRDefault="00F20675" w:rsidP="008C68B4">
      <w:pPr>
        <w:spacing w:before="240"/>
        <w:rPr>
          <w:spacing w:val="2"/>
        </w:rPr>
      </w:pPr>
      <w:r>
        <w:rPr>
          <w:rFonts w:hint="cs"/>
          <w:spacing w:val="2"/>
          <w:rtl/>
          <w:lang w:val="en-GB" w:bidi="ar-EG"/>
        </w:rPr>
        <w:t xml:space="preserve">المنظمة الدولية </w:t>
      </w:r>
      <w:proofErr w:type="spellStart"/>
      <w:r>
        <w:rPr>
          <w:rFonts w:hint="cs"/>
          <w:spacing w:val="2"/>
          <w:rtl/>
          <w:lang w:val="en-GB" w:bidi="ar-EG"/>
        </w:rPr>
        <w:t>للفرانكوفونية</w:t>
      </w:r>
      <w:proofErr w:type="spellEnd"/>
      <w:r>
        <w:rPr>
          <w:rFonts w:hint="cs"/>
          <w:spacing w:val="2"/>
          <w:rtl/>
          <w:lang w:val="en-GB" w:bidi="ar-EG"/>
        </w:rPr>
        <w:t xml:space="preserve"> </w:t>
      </w:r>
      <w:r>
        <w:rPr>
          <w:spacing w:val="2"/>
          <w:lang w:bidi="ar-EG"/>
        </w:rPr>
        <w:t>(OIF)</w:t>
      </w:r>
      <w:r>
        <w:rPr>
          <w:rFonts w:hint="cs"/>
          <w:spacing w:val="2"/>
          <w:rtl/>
          <w:lang w:bidi="ar-EG"/>
        </w:rPr>
        <w:t xml:space="preserve"> تمثل البلدان والمناطق التي تكون فيها اللغة الفرنسية هي اللغة السائدة، حيث نسبة كبيرة من السكان </w:t>
      </w:r>
      <w:r w:rsidR="00C35CD0">
        <w:rPr>
          <w:rFonts w:hint="cs"/>
          <w:spacing w:val="2"/>
          <w:rtl/>
          <w:lang w:bidi="ar-EG"/>
        </w:rPr>
        <w:t>يتحدثون</w:t>
      </w:r>
      <w:r>
        <w:rPr>
          <w:rFonts w:hint="cs"/>
          <w:spacing w:val="2"/>
          <w:rtl/>
          <w:lang w:bidi="ar-EG"/>
        </w:rPr>
        <w:t xml:space="preserve"> بالفرنسية، أو حيث يوجد ارتباط ملحوظ بالثقافة الفرنسية. وتتكون المنظمة الدولية </w:t>
      </w:r>
      <w:proofErr w:type="spellStart"/>
      <w:r>
        <w:rPr>
          <w:rFonts w:hint="cs"/>
          <w:spacing w:val="2"/>
          <w:rtl/>
          <w:lang w:bidi="ar-EG"/>
        </w:rPr>
        <w:t>للفرانكوفونية</w:t>
      </w:r>
      <w:proofErr w:type="spellEnd"/>
      <w:r>
        <w:rPr>
          <w:rFonts w:hint="cs"/>
          <w:spacing w:val="2"/>
          <w:rtl/>
          <w:lang w:bidi="ar-EG"/>
        </w:rPr>
        <w:t xml:space="preserve"> بشكل أساسي من الدول الأعضاء وهي </w:t>
      </w:r>
      <w:r w:rsidR="00C35CD0">
        <w:rPr>
          <w:rFonts w:hint="cs"/>
          <w:spacing w:val="2"/>
          <w:rtl/>
          <w:lang w:bidi="ar-EG"/>
        </w:rPr>
        <w:t>محفل</w:t>
      </w:r>
      <w:r w:rsidR="00CA24FF">
        <w:rPr>
          <w:rFonts w:hint="cs"/>
          <w:spacing w:val="2"/>
          <w:rtl/>
          <w:lang w:bidi="ar-EG"/>
        </w:rPr>
        <w:t xml:space="preserve"> للتعاون متعدد الأطراف بين أعضائها. </w:t>
      </w:r>
      <w:r w:rsidR="00C35CD0">
        <w:rPr>
          <w:rFonts w:hint="cs"/>
          <w:spacing w:val="2"/>
          <w:rtl/>
          <w:lang w:bidi="ar-EG"/>
        </w:rPr>
        <w:t>وتنفذ</w:t>
      </w:r>
      <w:r w:rsidR="00CA24FF">
        <w:rPr>
          <w:rFonts w:hint="cs"/>
          <w:spacing w:val="2"/>
          <w:rtl/>
          <w:lang w:bidi="ar-EG"/>
        </w:rPr>
        <w:t xml:space="preserve"> المنظمة </w:t>
      </w:r>
      <w:r w:rsidR="00C35CD0">
        <w:rPr>
          <w:rFonts w:hint="cs"/>
          <w:spacing w:val="2"/>
          <w:rtl/>
          <w:lang w:bidi="ar-EG"/>
        </w:rPr>
        <w:t>منذ أكثر من 20 عاماً</w:t>
      </w:r>
      <w:r w:rsidR="00CA24FF">
        <w:rPr>
          <w:rFonts w:hint="cs"/>
          <w:spacing w:val="2"/>
          <w:rtl/>
          <w:lang w:bidi="ar-EG"/>
        </w:rPr>
        <w:t xml:space="preserve"> مشاريع في مجال تكنولوجيا المعلومات والاتصالات. وأنشأت المنظمة العام الماضي فريق عمل لمراجعة استراتيجيتها القطاعية </w:t>
      </w:r>
      <w:proofErr w:type="spellStart"/>
      <w:r w:rsidR="00CA24FF">
        <w:rPr>
          <w:rFonts w:hint="cs"/>
          <w:spacing w:val="2"/>
          <w:rtl/>
          <w:lang w:bidi="ar-EG"/>
        </w:rPr>
        <w:t>للفرانكوفونية</w:t>
      </w:r>
      <w:proofErr w:type="spellEnd"/>
      <w:r w:rsidR="00CA24FF">
        <w:rPr>
          <w:rFonts w:hint="cs"/>
          <w:spacing w:val="2"/>
          <w:rtl/>
          <w:lang w:bidi="ar-EG"/>
        </w:rPr>
        <w:t xml:space="preserve"> </w:t>
      </w:r>
      <w:r w:rsidR="00502821">
        <w:rPr>
          <w:rFonts w:hint="cs"/>
          <w:spacing w:val="2"/>
          <w:rtl/>
          <w:lang w:bidi="ar-EG"/>
        </w:rPr>
        <w:t xml:space="preserve">الرقمية </w:t>
      </w:r>
      <w:r w:rsidR="00CA24FF">
        <w:rPr>
          <w:rFonts w:hint="cs"/>
          <w:spacing w:val="2"/>
          <w:rtl/>
          <w:lang w:bidi="ar-EG"/>
        </w:rPr>
        <w:t xml:space="preserve">(التي ساهم فيها خبراء الاتحاد)، التي </w:t>
      </w:r>
      <w:r w:rsidR="00502821">
        <w:rPr>
          <w:rFonts w:hint="cs"/>
          <w:spacing w:val="2"/>
          <w:rtl/>
          <w:lang w:bidi="ar-EG"/>
        </w:rPr>
        <w:t>س</w:t>
      </w:r>
      <w:r w:rsidR="00CA24FF">
        <w:rPr>
          <w:rFonts w:hint="cs"/>
          <w:spacing w:val="2"/>
          <w:rtl/>
          <w:lang w:bidi="ar-EG"/>
        </w:rPr>
        <w:t xml:space="preserve">تُعرض على رؤساء الدول في </w:t>
      </w:r>
      <w:r w:rsidR="00502821">
        <w:rPr>
          <w:rFonts w:hint="cs"/>
          <w:spacing w:val="2"/>
          <w:rtl/>
          <w:lang w:bidi="ar-EG"/>
        </w:rPr>
        <w:t xml:space="preserve">قمة رؤساء الدول </w:t>
      </w:r>
      <w:r w:rsidR="00CA24FF">
        <w:rPr>
          <w:rFonts w:hint="cs"/>
          <w:spacing w:val="2"/>
          <w:rtl/>
          <w:lang w:bidi="ar-EG"/>
        </w:rPr>
        <w:t>في</w:t>
      </w:r>
      <w:r w:rsidR="004F5126">
        <w:rPr>
          <w:rFonts w:hint="eastAsia"/>
          <w:spacing w:val="2"/>
          <w:rtl/>
          <w:lang w:bidi="ar-EG"/>
        </w:rPr>
        <w:t> </w:t>
      </w:r>
      <w:r w:rsidR="00CA24FF">
        <w:rPr>
          <w:rFonts w:hint="cs"/>
          <w:spacing w:val="2"/>
          <w:rtl/>
          <w:lang w:bidi="ar-EG"/>
        </w:rPr>
        <w:t xml:space="preserve">نوفمبر </w:t>
      </w:r>
      <w:r w:rsidR="00CA24FF">
        <w:rPr>
          <w:spacing w:val="2"/>
          <w:lang w:bidi="ar-EG"/>
        </w:rPr>
        <w:t>2021</w:t>
      </w:r>
      <w:r w:rsidR="00CA24FF">
        <w:rPr>
          <w:rFonts w:hint="cs"/>
          <w:spacing w:val="2"/>
          <w:rtl/>
          <w:lang w:bidi="ar-EG"/>
        </w:rPr>
        <w:t>. والمنظمة مهتمة بالتعاون بشكل أوثق مع الاتحاد</w:t>
      </w:r>
      <w:r w:rsidR="00D06715">
        <w:rPr>
          <w:rFonts w:hint="cs"/>
          <w:spacing w:val="2"/>
          <w:rtl/>
          <w:lang w:bidi="ar-EG"/>
        </w:rPr>
        <w:t xml:space="preserve"> مع تطور هذا العمل. </w:t>
      </w:r>
      <w:r w:rsidR="00D06715" w:rsidRPr="00FA4154">
        <w:rPr>
          <w:spacing w:val="-2"/>
          <w:rtl/>
        </w:rPr>
        <w:t xml:space="preserve">وترى الأمانة أن </w:t>
      </w:r>
      <w:r w:rsidR="00D06715">
        <w:rPr>
          <w:rFonts w:hint="cs"/>
          <w:spacing w:val="-2"/>
          <w:rtl/>
        </w:rPr>
        <w:t xml:space="preserve">هذا الكيان </w:t>
      </w:r>
      <w:r w:rsidR="00D06715" w:rsidRPr="00FA4154">
        <w:rPr>
          <w:rFonts w:hint="cs"/>
          <w:spacing w:val="-2"/>
          <w:rtl/>
          <w:lang w:val="fr-CH" w:bidi="ar-SY"/>
        </w:rPr>
        <w:t>يستوفي معايير الإعفاء من رسوم العضوية في</w:t>
      </w:r>
      <w:r w:rsidR="00283948">
        <w:rPr>
          <w:rFonts w:hint="cs"/>
          <w:spacing w:val="-2"/>
          <w:rtl/>
          <w:lang w:val="fr-CH" w:bidi="ar-SY"/>
        </w:rPr>
        <w:t xml:space="preserve"> جميع</w:t>
      </w:r>
      <w:r w:rsidR="00D06715" w:rsidRPr="00FA4154">
        <w:rPr>
          <w:rFonts w:hint="cs"/>
          <w:spacing w:val="-2"/>
          <w:rtl/>
          <w:lang w:val="fr-CH" w:bidi="ar-SY"/>
        </w:rPr>
        <w:t xml:space="preserve"> </w:t>
      </w:r>
      <w:r w:rsidR="00D06715">
        <w:rPr>
          <w:rFonts w:hint="cs"/>
          <w:spacing w:val="-2"/>
          <w:rtl/>
        </w:rPr>
        <w:t>القطاعات الثلاثة</w:t>
      </w:r>
      <w:r w:rsidR="00D06715" w:rsidRPr="00FA4154">
        <w:rPr>
          <w:spacing w:val="-2"/>
          <w:rtl/>
        </w:rPr>
        <w:t>.</w:t>
      </w:r>
    </w:p>
    <w:p w14:paraId="2A3148AE" w14:textId="77777777" w:rsidR="00BB7213" w:rsidRDefault="00BB7213" w:rsidP="00BB7213">
      <w:pPr>
        <w:spacing w:before="600"/>
        <w:jc w:val="center"/>
        <w:rPr>
          <w:rFonts w:hint="eastAsia"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8407D" w14:textId="77777777" w:rsidR="00A0516A" w:rsidRDefault="00A0516A" w:rsidP="006C3242">
      <w:pPr>
        <w:spacing w:before="0" w:line="240" w:lineRule="auto"/>
      </w:pPr>
      <w:r>
        <w:separator/>
      </w:r>
    </w:p>
  </w:endnote>
  <w:endnote w:type="continuationSeparator" w:id="0">
    <w:p w14:paraId="4960E5EA" w14:textId="77777777" w:rsidR="00A0516A" w:rsidRDefault="00A0516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726F" w14:textId="5311992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A27598">
      <w:rPr>
        <w:color w:val="F2F2F2" w:themeColor="background1" w:themeShade="F2"/>
        <w:sz w:val="16"/>
        <w:szCs w:val="16"/>
        <w:lang w:val="fr-FR"/>
      </w:rPr>
      <w:fldChar w:fldCharType="begin"/>
    </w:r>
    <w:r w:rsidRPr="00A2759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A27598">
      <w:rPr>
        <w:color w:val="F2F2F2" w:themeColor="background1" w:themeShade="F2"/>
        <w:sz w:val="16"/>
        <w:szCs w:val="16"/>
        <w:lang w:val="fr-FR"/>
      </w:rPr>
      <w:fldChar w:fldCharType="separate"/>
    </w:r>
    <w:r w:rsidR="004F5126" w:rsidRPr="00A27598">
      <w:rPr>
        <w:noProof/>
        <w:color w:val="F2F2F2" w:themeColor="background1" w:themeShade="F2"/>
        <w:sz w:val="16"/>
        <w:szCs w:val="16"/>
        <w:lang w:val="fr-FR"/>
      </w:rPr>
      <w:t>P:\ARA\SG\CONSEIL\C21\000\039ADD01A.docx</w:t>
    </w:r>
    <w:r w:rsidRPr="00A27598">
      <w:rPr>
        <w:color w:val="F2F2F2" w:themeColor="background1" w:themeShade="F2"/>
        <w:sz w:val="16"/>
        <w:szCs w:val="16"/>
      </w:rPr>
      <w:fldChar w:fldCharType="end"/>
    </w:r>
    <w:r w:rsidRPr="00A27598">
      <w:rPr>
        <w:color w:val="F2F2F2" w:themeColor="background1" w:themeShade="F2"/>
        <w:sz w:val="16"/>
        <w:szCs w:val="16"/>
        <w:lang w:val="fr-CH"/>
      </w:rPr>
      <w:t xml:space="preserve">  </w:t>
    </w:r>
    <w:r w:rsidRPr="00A27598">
      <w:rPr>
        <w:color w:val="F2F2F2" w:themeColor="background1" w:themeShade="F2"/>
        <w:sz w:val="16"/>
        <w:szCs w:val="16"/>
        <w:lang w:val="fr-FR"/>
      </w:rPr>
      <w:t xml:space="preserve"> (</w:t>
    </w:r>
    <w:r w:rsidR="00D004FD" w:rsidRPr="00A27598">
      <w:rPr>
        <w:color w:val="F2F2F2" w:themeColor="background1" w:themeShade="F2"/>
        <w:sz w:val="16"/>
        <w:szCs w:val="16"/>
        <w:lang w:val="fr-FR"/>
      </w:rPr>
      <w:t>489561</w:t>
    </w:r>
    <w:r w:rsidRPr="00A27598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E91E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97EB" w14:textId="77777777" w:rsidR="00A0516A" w:rsidRDefault="00A0516A" w:rsidP="006C3242">
      <w:pPr>
        <w:spacing w:before="0" w:line="240" w:lineRule="auto"/>
      </w:pPr>
      <w:r>
        <w:separator/>
      </w:r>
    </w:p>
  </w:footnote>
  <w:footnote w:type="continuationSeparator" w:id="0">
    <w:p w14:paraId="10EB691E" w14:textId="77777777" w:rsidR="00A0516A" w:rsidRDefault="00A0516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B7A6" w14:textId="745CDF55" w:rsidR="00447F32" w:rsidRPr="00447F32" w:rsidRDefault="00A2759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2A2E3E">
          <w:rPr>
            <w:rFonts w:cs="Calibri"/>
            <w:noProof/>
            <w:sz w:val="20"/>
            <w:szCs w:val="20"/>
          </w:rPr>
          <w:t>39</w:t>
        </w:r>
        <w:r w:rsidR="00D004FD">
          <w:rPr>
            <w:rFonts w:cs="Calibri"/>
            <w:noProof/>
            <w:sz w:val="20"/>
            <w:szCs w:val="20"/>
          </w:rPr>
          <w:t>(</w:t>
        </w:r>
        <w:r w:rsidR="001A0599">
          <w:rPr>
            <w:rFonts w:cs="Calibri"/>
            <w:noProof/>
            <w:sz w:val="20"/>
            <w:szCs w:val="20"/>
          </w:rPr>
          <w:t>Add.</w:t>
        </w:r>
        <w:r w:rsidR="00D004FD">
          <w:rPr>
            <w:rFonts w:cs="Calibri"/>
            <w:noProof/>
            <w:sz w:val="20"/>
            <w:szCs w:val="20"/>
          </w:rPr>
          <w:t>1)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53"/>
    <w:rsid w:val="00002612"/>
    <w:rsid w:val="00023739"/>
    <w:rsid w:val="00056552"/>
    <w:rsid w:val="000717FA"/>
    <w:rsid w:val="00090574"/>
    <w:rsid w:val="000A63E7"/>
    <w:rsid w:val="000C1C0E"/>
    <w:rsid w:val="000C548A"/>
    <w:rsid w:val="00102953"/>
    <w:rsid w:val="0015650C"/>
    <w:rsid w:val="0016637F"/>
    <w:rsid w:val="00181430"/>
    <w:rsid w:val="001A0599"/>
    <w:rsid w:val="001C0169"/>
    <w:rsid w:val="001D1D50"/>
    <w:rsid w:val="001D6745"/>
    <w:rsid w:val="001E446E"/>
    <w:rsid w:val="002154EE"/>
    <w:rsid w:val="00226E7A"/>
    <w:rsid w:val="002276D2"/>
    <w:rsid w:val="0023283D"/>
    <w:rsid w:val="0026373E"/>
    <w:rsid w:val="00271C43"/>
    <w:rsid w:val="00283948"/>
    <w:rsid w:val="00290728"/>
    <w:rsid w:val="00292B24"/>
    <w:rsid w:val="002978F4"/>
    <w:rsid w:val="002A2E3E"/>
    <w:rsid w:val="002B028D"/>
    <w:rsid w:val="002D08F6"/>
    <w:rsid w:val="002D4379"/>
    <w:rsid w:val="002E6541"/>
    <w:rsid w:val="002F71D8"/>
    <w:rsid w:val="00334924"/>
    <w:rsid w:val="003409BC"/>
    <w:rsid w:val="0034418D"/>
    <w:rsid w:val="00357185"/>
    <w:rsid w:val="00365E9D"/>
    <w:rsid w:val="00383829"/>
    <w:rsid w:val="003937E9"/>
    <w:rsid w:val="003C2C5D"/>
    <w:rsid w:val="003C6B4F"/>
    <w:rsid w:val="003E4396"/>
    <w:rsid w:val="003E4A59"/>
    <w:rsid w:val="003F4B29"/>
    <w:rsid w:val="00404E42"/>
    <w:rsid w:val="0041737D"/>
    <w:rsid w:val="0042686F"/>
    <w:rsid w:val="004317D8"/>
    <w:rsid w:val="00434183"/>
    <w:rsid w:val="00443869"/>
    <w:rsid w:val="00447F32"/>
    <w:rsid w:val="00495A27"/>
    <w:rsid w:val="004B2EEC"/>
    <w:rsid w:val="004E11DC"/>
    <w:rsid w:val="004F5126"/>
    <w:rsid w:val="00502821"/>
    <w:rsid w:val="005225C3"/>
    <w:rsid w:val="00525E1C"/>
    <w:rsid w:val="005409AC"/>
    <w:rsid w:val="0054242E"/>
    <w:rsid w:val="0055516A"/>
    <w:rsid w:val="00571B95"/>
    <w:rsid w:val="0057364B"/>
    <w:rsid w:val="005805EA"/>
    <w:rsid w:val="00580CF9"/>
    <w:rsid w:val="0058491B"/>
    <w:rsid w:val="00592EA5"/>
    <w:rsid w:val="00592ECA"/>
    <w:rsid w:val="00594BF4"/>
    <w:rsid w:val="005A3170"/>
    <w:rsid w:val="005A6DA8"/>
    <w:rsid w:val="005B1652"/>
    <w:rsid w:val="005C203B"/>
    <w:rsid w:val="00614855"/>
    <w:rsid w:val="00677396"/>
    <w:rsid w:val="0069200F"/>
    <w:rsid w:val="006A65CB"/>
    <w:rsid w:val="006A793B"/>
    <w:rsid w:val="006C3242"/>
    <w:rsid w:val="006C7CC0"/>
    <w:rsid w:val="006D12DB"/>
    <w:rsid w:val="006F63F7"/>
    <w:rsid w:val="007025C7"/>
    <w:rsid w:val="00706D7A"/>
    <w:rsid w:val="00722F0D"/>
    <w:rsid w:val="0074420E"/>
    <w:rsid w:val="00762864"/>
    <w:rsid w:val="00783E26"/>
    <w:rsid w:val="0078622D"/>
    <w:rsid w:val="007A17E7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4969"/>
    <w:rsid w:val="008569EB"/>
    <w:rsid w:val="008609E4"/>
    <w:rsid w:val="00862356"/>
    <w:rsid w:val="0086409F"/>
    <w:rsid w:val="008A7F84"/>
    <w:rsid w:val="008C68B4"/>
    <w:rsid w:val="00914159"/>
    <w:rsid w:val="0091702E"/>
    <w:rsid w:val="00923B0C"/>
    <w:rsid w:val="0094021C"/>
    <w:rsid w:val="00952F86"/>
    <w:rsid w:val="0098293C"/>
    <w:rsid w:val="00982B28"/>
    <w:rsid w:val="009952A8"/>
    <w:rsid w:val="009958FB"/>
    <w:rsid w:val="009D313F"/>
    <w:rsid w:val="00A0516A"/>
    <w:rsid w:val="00A27598"/>
    <w:rsid w:val="00A47A5A"/>
    <w:rsid w:val="00A6683B"/>
    <w:rsid w:val="00A763D7"/>
    <w:rsid w:val="00A91B37"/>
    <w:rsid w:val="00A97F94"/>
    <w:rsid w:val="00AC19C7"/>
    <w:rsid w:val="00AD711F"/>
    <w:rsid w:val="00AF3B14"/>
    <w:rsid w:val="00B03099"/>
    <w:rsid w:val="00B05BC8"/>
    <w:rsid w:val="00B445E3"/>
    <w:rsid w:val="00B47C03"/>
    <w:rsid w:val="00B64B47"/>
    <w:rsid w:val="00BA5576"/>
    <w:rsid w:val="00BB7213"/>
    <w:rsid w:val="00BB7DF1"/>
    <w:rsid w:val="00BD27B6"/>
    <w:rsid w:val="00BF539E"/>
    <w:rsid w:val="00C002DE"/>
    <w:rsid w:val="00C1324C"/>
    <w:rsid w:val="00C35CD0"/>
    <w:rsid w:val="00C50AB0"/>
    <w:rsid w:val="00C50D78"/>
    <w:rsid w:val="00C53BF8"/>
    <w:rsid w:val="00C566BA"/>
    <w:rsid w:val="00C66157"/>
    <w:rsid w:val="00C674FE"/>
    <w:rsid w:val="00C67501"/>
    <w:rsid w:val="00C67A87"/>
    <w:rsid w:val="00C75633"/>
    <w:rsid w:val="00C8338A"/>
    <w:rsid w:val="00C93B4E"/>
    <w:rsid w:val="00CA24FF"/>
    <w:rsid w:val="00CB5DC6"/>
    <w:rsid w:val="00CE2EE1"/>
    <w:rsid w:val="00CE3349"/>
    <w:rsid w:val="00CE36E5"/>
    <w:rsid w:val="00CF27F5"/>
    <w:rsid w:val="00CF2D16"/>
    <w:rsid w:val="00CF3FFD"/>
    <w:rsid w:val="00D004FD"/>
    <w:rsid w:val="00D06715"/>
    <w:rsid w:val="00D108A5"/>
    <w:rsid w:val="00D10CCF"/>
    <w:rsid w:val="00D1327C"/>
    <w:rsid w:val="00D331E8"/>
    <w:rsid w:val="00D653B0"/>
    <w:rsid w:val="00D77D0F"/>
    <w:rsid w:val="00D84049"/>
    <w:rsid w:val="00DA1CF0"/>
    <w:rsid w:val="00DA2422"/>
    <w:rsid w:val="00DB5B38"/>
    <w:rsid w:val="00DC1E02"/>
    <w:rsid w:val="00DC24B4"/>
    <w:rsid w:val="00DC5FB0"/>
    <w:rsid w:val="00DD7E9A"/>
    <w:rsid w:val="00DE5073"/>
    <w:rsid w:val="00DE5BA2"/>
    <w:rsid w:val="00DF16DC"/>
    <w:rsid w:val="00E00FA7"/>
    <w:rsid w:val="00E2035F"/>
    <w:rsid w:val="00E45211"/>
    <w:rsid w:val="00E473C5"/>
    <w:rsid w:val="00E516C4"/>
    <w:rsid w:val="00E625EB"/>
    <w:rsid w:val="00E87703"/>
    <w:rsid w:val="00E92863"/>
    <w:rsid w:val="00EA2401"/>
    <w:rsid w:val="00EA5024"/>
    <w:rsid w:val="00EB796D"/>
    <w:rsid w:val="00EC4B67"/>
    <w:rsid w:val="00EF4526"/>
    <w:rsid w:val="00F058DC"/>
    <w:rsid w:val="00F1631A"/>
    <w:rsid w:val="00F20675"/>
    <w:rsid w:val="00F24FC4"/>
    <w:rsid w:val="00F2676C"/>
    <w:rsid w:val="00F3438A"/>
    <w:rsid w:val="00F82D63"/>
    <w:rsid w:val="00F84366"/>
    <w:rsid w:val="00F85089"/>
    <w:rsid w:val="00F90BD2"/>
    <w:rsid w:val="00F974C5"/>
    <w:rsid w:val="00FA05D3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4468A93"/>
  <w15:chartTrackingRefBased/>
  <w15:docId w15:val="{068B7378-53FC-4E37-95D9-17B5500D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26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81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430"/>
    <w:rPr>
      <w:rFonts w:ascii="Dubai" w:hAnsi="Dubai" w:cs="Duba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430"/>
    <w:rPr>
      <w:rFonts w:ascii="Dubai" w:hAnsi="Dubai" w:cs="Duba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1-CL-C-0039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exemption from any financial contribution to defraying expenses relating to participation in the work of ITU</dc:title>
  <dc:subject>Council 2021, Virtual consultation of councillors</dc:subject>
  <dc:creator>Aly, Abdullah</dc:creator>
  <cp:keywords>C2021, C21, VCC, C21-VCC-1</cp:keywords>
  <dc:description/>
  <cp:lastModifiedBy>Xue, Kun</cp:lastModifiedBy>
  <cp:revision>2</cp:revision>
  <dcterms:created xsi:type="dcterms:W3CDTF">2021-06-02T13:28:00Z</dcterms:created>
  <dcterms:modified xsi:type="dcterms:W3CDTF">2021-06-02T13:28:00Z</dcterms:modified>
</cp:coreProperties>
</file>