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80061A">
            <w:pPr>
              <w:spacing w:before="360" w:after="48"/>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8741F5">
              <w:rPr>
                <w:b/>
                <w:bCs/>
                <w:position w:val="6"/>
                <w:sz w:val="28"/>
                <w:szCs w:val="28"/>
              </w:rPr>
              <w:t>8-18</w:t>
            </w:r>
            <w:r w:rsidR="00F56668" w:rsidRPr="00DE4373">
              <w:rPr>
                <w:b/>
                <w:bCs/>
                <w:position w:val="6"/>
                <w:sz w:val="28"/>
                <w:szCs w:val="28"/>
              </w:rPr>
              <w:t xml:space="preserve"> June 2021</w:t>
            </w:r>
          </w:p>
        </w:tc>
        <w:tc>
          <w:tcPr>
            <w:tcW w:w="3120" w:type="dxa"/>
            <w:vAlign w:val="center"/>
          </w:tcPr>
          <w:p w14:paraId="049BF09C" w14:textId="77777777" w:rsidR="002A2188" w:rsidRPr="00813E5E" w:rsidRDefault="009F66A3" w:rsidP="0080061A">
            <w:pPr>
              <w:spacing w:before="0"/>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B81DA2">
            <w:pPr>
              <w:spacing w:before="0"/>
              <w:rPr>
                <w:b/>
                <w:smallCaps/>
                <w:szCs w:val="24"/>
              </w:rPr>
            </w:pPr>
          </w:p>
        </w:tc>
        <w:tc>
          <w:tcPr>
            <w:tcW w:w="3120" w:type="dxa"/>
            <w:tcBorders>
              <w:bottom w:val="single" w:sz="12" w:space="0" w:color="auto"/>
            </w:tcBorders>
          </w:tcPr>
          <w:p w14:paraId="3D08500D" w14:textId="77777777" w:rsidR="002A2188" w:rsidRPr="00813E5E" w:rsidRDefault="002A2188" w:rsidP="00B81DA2">
            <w:pPr>
              <w:spacing w:before="0"/>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B81DA2">
            <w:pPr>
              <w:spacing w:before="0"/>
              <w:rPr>
                <w:b/>
                <w:smallCaps/>
                <w:szCs w:val="24"/>
              </w:rPr>
            </w:pPr>
          </w:p>
        </w:tc>
        <w:tc>
          <w:tcPr>
            <w:tcW w:w="3120" w:type="dxa"/>
            <w:tcBorders>
              <w:top w:val="single" w:sz="12" w:space="0" w:color="auto"/>
            </w:tcBorders>
          </w:tcPr>
          <w:p w14:paraId="22C9147A" w14:textId="77777777" w:rsidR="002A2188" w:rsidRPr="00813E5E" w:rsidRDefault="002A2188" w:rsidP="00B81DA2">
            <w:pPr>
              <w:spacing w:before="0"/>
              <w:rPr>
                <w:szCs w:val="24"/>
              </w:rPr>
            </w:pPr>
          </w:p>
        </w:tc>
      </w:tr>
      <w:tr w:rsidR="002A2188" w:rsidRPr="00813E5E" w14:paraId="6804D83E" w14:textId="77777777" w:rsidTr="00464B6C">
        <w:trPr>
          <w:cantSplit/>
          <w:trHeight w:val="23"/>
        </w:trPr>
        <w:tc>
          <w:tcPr>
            <w:tcW w:w="6911" w:type="dxa"/>
            <w:vMerge w:val="restart"/>
          </w:tcPr>
          <w:p w14:paraId="42A03540" w14:textId="65E1DB2C" w:rsidR="002A2188" w:rsidRPr="00E85629" w:rsidRDefault="00DE4373" w:rsidP="00B81DA2">
            <w:pPr>
              <w:tabs>
                <w:tab w:val="left" w:pos="851"/>
              </w:tabs>
              <w:spacing w:before="0"/>
              <w:rPr>
                <w:b/>
              </w:rPr>
            </w:pPr>
            <w:bookmarkStart w:id="2" w:name="dmeeting" w:colFirst="0" w:colLast="0"/>
            <w:bookmarkStart w:id="3" w:name="dnum" w:colFirst="1" w:colLast="1"/>
            <w:r>
              <w:rPr>
                <w:b/>
              </w:rPr>
              <w:t xml:space="preserve">Agenda item: </w:t>
            </w:r>
            <w:r w:rsidR="00ED4E31">
              <w:rPr>
                <w:b/>
              </w:rPr>
              <w:t>ADM 20</w:t>
            </w:r>
          </w:p>
        </w:tc>
        <w:tc>
          <w:tcPr>
            <w:tcW w:w="3120" w:type="dxa"/>
          </w:tcPr>
          <w:p w14:paraId="1727AC2C" w14:textId="56BA71C4" w:rsidR="002A2188" w:rsidRPr="00E85629" w:rsidRDefault="009F66A3" w:rsidP="00B81DA2">
            <w:pPr>
              <w:tabs>
                <w:tab w:val="left" w:pos="851"/>
              </w:tabs>
              <w:spacing w:before="0"/>
              <w:rPr>
                <w:b/>
              </w:rPr>
            </w:pPr>
            <w:r>
              <w:rPr>
                <w:b/>
              </w:rPr>
              <w:t>Document C2</w:t>
            </w:r>
            <w:r w:rsidR="00F56668">
              <w:rPr>
                <w:b/>
              </w:rPr>
              <w:t>1</w:t>
            </w:r>
            <w:r w:rsidR="002A2188">
              <w:rPr>
                <w:b/>
              </w:rPr>
              <w:t>/</w:t>
            </w:r>
            <w:r w:rsidR="007002E4" w:rsidRPr="008741F5">
              <w:rPr>
                <w:b/>
              </w:rPr>
              <w:t>48</w:t>
            </w:r>
            <w:r w:rsidR="002A2188" w:rsidRPr="008741F5">
              <w:rPr>
                <w:b/>
              </w:rPr>
              <w:t>-</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B81DA2">
            <w:pPr>
              <w:tabs>
                <w:tab w:val="left" w:pos="851"/>
              </w:tabs>
              <w:spacing w:before="0"/>
              <w:rPr>
                <w:b/>
              </w:rPr>
            </w:pPr>
            <w:bookmarkStart w:id="4" w:name="ddate" w:colFirst="1" w:colLast="1"/>
            <w:bookmarkEnd w:id="2"/>
            <w:bookmarkEnd w:id="3"/>
          </w:p>
        </w:tc>
        <w:tc>
          <w:tcPr>
            <w:tcW w:w="3120" w:type="dxa"/>
          </w:tcPr>
          <w:p w14:paraId="257DEE08" w14:textId="76349E77" w:rsidR="002A2188" w:rsidRPr="00E85629" w:rsidRDefault="008741F5" w:rsidP="00B81DA2">
            <w:pPr>
              <w:tabs>
                <w:tab w:val="left" w:pos="993"/>
              </w:tabs>
              <w:spacing w:before="0"/>
              <w:rPr>
                <w:b/>
              </w:rPr>
            </w:pPr>
            <w:r w:rsidRPr="008741F5">
              <w:rPr>
                <w:b/>
              </w:rPr>
              <w:t xml:space="preserve">26 </w:t>
            </w:r>
            <w:r w:rsidR="007002E4" w:rsidRPr="008741F5">
              <w:rPr>
                <w:b/>
              </w:rPr>
              <w:t>March</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B81DA2">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B81DA2">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5893EE22" w:rsidR="00EA2120" w:rsidRPr="00DE4373" w:rsidRDefault="007002E4" w:rsidP="00ED4E31">
            <w:pPr>
              <w:pStyle w:val="Source"/>
              <w:rPr>
                <w:bCs/>
              </w:rPr>
            </w:pPr>
            <w:bookmarkStart w:id="6" w:name="dsource" w:colFirst="0" w:colLast="0"/>
            <w:bookmarkEnd w:id="5"/>
            <w:r w:rsidRPr="00F2766D">
              <w:t>Note by the Secretary-General</w:t>
            </w:r>
          </w:p>
        </w:tc>
      </w:tr>
      <w:tr w:rsidR="002A2188" w:rsidRPr="00813E5E" w14:paraId="73F317E2" w14:textId="77777777" w:rsidTr="00464B6C">
        <w:trPr>
          <w:cantSplit/>
        </w:trPr>
        <w:tc>
          <w:tcPr>
            <w:tcW w:w="10031" w:type="dxa"/>
            <w:gridSpan w:val="2"/>
          </w:tcPr>
          <w:p w14:paraId="29B3DB5C" w14:textId="3E2363FF" w:rsidR="002A2188" w:rsidRPr="00813E5E" w:rsidRDefault="007002E4" w:rsidP="0080061A">
            <w:pPr>
              <w:pStyle w:val="Title1"/>
            </w:pPr>
            <w:bookmarkStart w:id="7" w:name="_Hlk40948671"/>
            <w:bookmarkStart w:id="8" w:name="dtitle1" w:colFirst="0" w:colLast="0"/>
            <w:bookmarkEnd w:id="6"/>
            <w:r>
              <w:t xml:space="preserve">SUMMARY REPORT ON THE WORK OF THE MEMBER STATES ADVISORY GROUP </w:t>
            </w:r>
            <w:r>
              <w:br/>
              <w:t>ON THE UNION’S HEADQUARTERS PREMISES PROJECT</w:t>
            </w:r>
            <w:bookmarkEnd w:id="7"/>
          </w:p>
        </w:tc>
      </w:tr>
    </w:tbl>
    <w:bookmarkEnd w:id="8"/>
    <w:p w14:paraId="2631865A" w14:textId="77777777" w:rsidR="000C4C1E" w:rsidRPr="00FE7CFF" w:rsidRDefault="000C4C1E" w:rsidP="000C4C1E">
      <w:pPr>
        <w:spacing w:before="1200"/>
        <w:jc w:val="both"/>
        <w:rPr>
          <w:rFonts w:asciiTheme="minorHAnsi" w:hAnsiTheme="minorHAnsi"/>
        </w:rPr>
      </w:pPr>
      <w:r w:rsidRPr="00FE7CFF">
        <w:rPr>
          <w:rFonts w:asciiTheme="minorHAnsi" w:hAnsiTheme="minorHAnsi"/>
        </w:rPr>
        <w:t xml:space="preserve">I have the honour to transmit to the Member States of the Council the summary report on the work of the </w:t>
      </w:r>
      <w:r w:rsidRPr="00FE7CFF">
        <w:rPr>
          <w:rFonts w:asciiTheme="minorHAnsi" w:hAnsiTheme="minorHAnsi"/>
          <w:b/>
          <w:bCs/>
        </w:rPr>
        <w:t>Member States Advisory Group (MSAG)</w:t>
      </w:r>
      <w:r w:rsidRPr="00FE7CFF">
        <w:rPr>
          <w:rFonts w:asciiTheme="minorHAnsi" w:hAnsiTheme="minorHAnsi"/>
        </w:rPr>
        <w:t>.</w:t>
      </w:r>
    </w:p>
    <w:p w14:paraId="54FBFF97" w14:textId="77777777" w:rsidR="000C4C1E" w:rsidRPr="00FE7CFF" w:rsidRDefault="000C4C1E" w:rsidP="000C4C1E">
      <w:pPr>
        <w:tabs>
          <w:tab w:val="clear" w:pos="567"/>
          <w:tab w:val="clear" w:pos="1134"/>
          <w:tab w:val="clear" w:pos="1701"/>
          <w:tab w:val="clear" w:pos="2268"/>
          <w:tab w:val="clear" w:pos="2835"/>
          <w:tab w:val="left" w:pos="7088"/>
        </w:tabs>
        <w:spacing w:before="840"/>
        <w:rPr>
          <w:rFonts w:asciiTheme="minorHAnsi" w:hAnsiTheme="minorHAnsi"/>
        </w:rPr>
      </w:pPr>
      <w:r w:rsidRPr="00FE7CFF">
        <w:rPr>
          <w:rFonts w:asciiTheme="minorHAnsi" w:hAnsiTheme="minorHAnsi"/>
        </w:rPr>
        <w:tab/>
        <w:t>Houlin ZHAO</w:t>
      </w:r>
      <w:r w:rsidRPr="00FE7CFF">
        <w:rPr>
          <w:rFonts w:asciiTheme="minorHAnsi" w:hAnsiTheme="minorHAnsi"/>
        </w:rPr>
        <w:br/>
      </w:r>
      <w:r w:rsidRPr="00FE7CFF">
        <w:rPr>
          <w:rFonts w:asciiTheme="minorHAnsi" w:hAnsiTheme="minorHAnsi"/>
        </w:rPr>
        <w:tab/>
        <w:t>Secretary-General</w:t>
      </w:r>
    </w:p>
    <w:p w14:paraId="3690B90D" w14:textId="77777777" w:rsidR="000C4C1E" w:rsidRDefault="000C4C1E">
      <w:pPr>
        <w:tabs>
          <w:tab w:val="clear" w:pos="567"/>
          <w:tab w:val="clear" w:pos="1134"/>
          <w:tab w:val="clear" w:pos="1701"/>
          <w:tab w:val="clear" w:pos="2268"/>
          <w:tab w:val="clear" w:pos="2835"/>
        </w:tabs>
        <w:overflowPunct/>
        <w:autoSpaceDE/>
        <w:autoSpaceDN/>
        <w:adjustRightInd/>
        <w:spacing w:before="0"/>
        <w:textAlignment w:val="auto"/>
      </w:pPr>
      <w:r>
        <w:br w:type="page"/>
      </w:r>
    </w:p>
    <w:p w14:paraId="1D75194A" w14:textId="57D8B04E" w:rsidR="002A2188" w:rsidRPr="000C4C1E" w:rsidRDefault="000C4C1E" w:rsidP="000C4C1E">
      <w:pPr>
        <w:jc w:val="center"/>
        <w:rPr>
          <w:sz w:val="28"/>
          <w:szCs w:val="28"/>
        </w:rPr>
      </w:pPr>
      <w:r w:rsidRPr="000C4C1E">
        <w:rPr>
          <w:sz w:val="28"/>
          <w:szCs w:val="28"/>
        </w:rPr>
        <w:lastRenderedPageBreak/>
        <w:t xml:space="preserve">SUMMARY REPORT ON THE WORK OF THE MEMBER STATES ADVISORY GROUP </w:t>
      </w:r>
      <w:r w:rsidRPr="000C4C1E">
        <w:rPr>
          <w:sz w:val="28"/>
          <w:szCs w:val="28"/>
        </w:rPr>
        <w:br/>
        <w:t>ON THE UNION’S HEADQUARTERS PREMISES PROJECT</w:t>
      </w:r>
    </w:p>
    <w:p w14:paraId="2EF07C33" w14:textId="77777777" w:rsidR="000C4C1E" w:rsidRPr="00813E5E" w:rsidRDefault="000C4C1E" w:rsidP="0080061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002E4" w:rsidRPr="00813E5E" w14:paraId="4E4C3AF4" w14:textId="77777777" w:rsidTr="007002E4">
        <w:trPr>
          <w:trHeight w:val="3372"/>
        </w:trPr>
        <w:tc>
          <w:tcPr>
            <w:tcW w:w="8080" w:type="dxa"/>
            <w:tcBorders>
              <w:top w:val="single" w:sz="12" w:space="0" w:color="auto"/>
              <w:left w:val="single" w:sz="12" w:space="0" w:color="auto"/>
              <w:bottom w:val="single" w:sz="12" w:space="0" w:color="auto"/>
              <w:right w:val="single" w:sz="12" w:space="0" w:color="auto"/>
            </w:tcBorders>
          </w:tcPr>
          <w:p w14:paraId="4A9C00BE" w14:textId="77777777" w:rsidR="007002E4" w:rsidRPr="00813E5E" w:rsidRDefault="007002E4" w:rsidP="00B81DA2">
            <w:pPr>
              <w:pStyle w:val="Headingb"/>
              <w:spacing w:before="120" w:after="120"/>
            </w:pPr>
            <w:bookmarkStart w:id="9" w:name="_Hlk66972156"/>
            <w:r w:rsidRPr="00813E5E">
              <w:t>Summary</w:t>
            </w:r>
          </w:p>
          <w:p w14:paraId="5DD546CC" w14:textId="741B0C56" w:rsidR="007002E4" w:rsidRPr="00FE7CFF" w:rsidRDefault="007002E4" w:rsidP="00B81DA2">
            <w:pPr>
              <w:spacing w:after="120"/>
              <w:jc w:val="both"/>
              <w:rPr>
                <w:rFonts w:asciiTheme="minorHAnsi" w:hAnsiTheme="minorHAnsi"/>
              </w:rPr>
            </w:pPr>
            <w:r w:rsidRPr="00FE7CFF">
              <w:rPr>
                <w:rFonts w:asciiTheme="minorHAnsi" w:hAnsiTheme="minorHAnsi"/>
              </w:rPr>
              <w:t>This document presents a summary report on the work of the Member States Advisory Group on the Union’s headquarters premises project (MSAG)</w:t>
            </w:r>
            <w:r w:rsidR="008741F5">
              <w:rPr>
                <w:rFonts w:asciiTheme="minorHAnsi" w:hAnsiTheme="minorHAnsi"/>
              </w:rPr>
              <w:t xml:space="preserve"> since last reported to</w:t>
            </w:r>
            <w:r w:rsidR="00497A68">
              <w:rPr>
                <w:rFonts w:asciiTheme="minorHAnsi" w:hAnsiTheme="minorHAnsi"/>
              </w:rPr>
              <w:t xml:space="preserve"> the</w:t>
            </w:r>
            <w:r w:rsidR="008741F5">
              <w:rPr>
                <w:rFonts w:asciiTheme="minorHAnsi" w:hAnsiTheme="minorHAnsi"/>
              </w:rPr>
              <w:t xml:space="preserve"> Council</w:t>
            </w:r>
            <w:r w:rsidRPr="00FE7CFF">
              <w:rPr>
                <w:rFonts w:asciiTheme="minorHAnsi" w:hAnsiTheme="minorHAnsi"/>
              </w:rPr>
              <w:t xml:space="preserve">. </w:t>
            </w:r>
          </w:p>
          <w:p w14:paraId="5A09EEC7" w14:textId="77777777" w:rsidR="007002E4" w:rsidRPr="00813E5E" w:rsidRDefault="007002E4" w:rsidP="00B81DA2">
            <w:pPr>
              <w:pStyle w:val="Headingb"/>
              <w:spacing w:before="120" w:after="120"/>
            </w:pPr>
            <w:r w:rsidRPr="00813E5E">
              <w:t xml:space="preserve">Action </w:t>
            </w:r>
            <w:proofErr w:type="gramStart"/>
            <w:r w:rsidRPr="00813E5E">
              <w:t>required</w:t>
            </w:r>
            <w:proofErr w:type="gramEnd"/>
          </w:p>
          <w:p w14:paraId="4A1A2CFF" w14:textId="77777777" w:rsidR="007002E4" w:rsidRPr="00F2766D" w:rsidRDefault="007002E4" w:rsidP="00B81DA2">
            <w:pPr>
              <w:spacing w:after="120"/>
              <w:jc w:val="both"/>
              <w:rPr>
                <w:rFonts w:asciiTheme="minorHAnsi" w:hAnsiTheme="minorHAnsi"/>
              </w:rPr>
            </w:pPr>
            <w:r w:rsidRPr="00FE7CFF">
              <w:rPr>
                <w:rFonts w:asciiTheme="minorHAnsi" w:hAnsiTheme="minorHAnsi"/>
              </w:rPr>
              <w:t xml:space="preserve">The Council is invited to </w:t>
            </w:r>
            <w:r w:rsidRPr="00FE7CFF">
              <w:rPr>
                <w:rFonts w:asciiTheme="minorHAnsi" w:hAnsiTheme="minorHAnsi"/>
                <w:b/>
                <w:bCs/>
              </w:rPr>
              <w:t>take note</w:t>
            </w:r>
            <w:r w:rsidRPr="00FE7CFF">
              <w:rPr>
                <w:rFonts w:asciiTheme="minorHAnsi" w:hAnsiTheme="minorHAnsi"/>
              </w:rPr>
              <w:t xml:space="preserve"> of the report and </w:t>
            </w:r>
            <w:r w:rsidRPr="00FE7CFF">
              <w:rPr>
                <w:rFonts w:asciiTheme="minorHAnsi" w:hAnsiTheme="minorHAnsi"/>
                <w:b/>
              </w:rPr>
              <w:t>provide any further guidance</w:t>
            </w:r>
            <w:r w:rsidRPr="00FE7CFF">
              <w:rPr>
                <w:rFonts w:asciiTheme="minorHAnsi" w:hAnsiTheme="minorHAnsi"/>
              </w:rPr>
              <w:t xml:space="preserve"> as appropriate.</w:t>
            </w:r>
          </w:p>
          <w:p w14:paraId="693D1145" w14:textId="77777777" w:rsidR="007002E4" w:rsidRPr="00813E5E" w:rsidRDefault="007002E4" w:rsidP="00B81DA2">
            <w:pPr>
              <w:pStyle w:val="Table"/>
              <w:keepNext w:val="0"/>
              <w:spacing w:before="120"/>
              <w:rPr>
                <w:rFonts w:ascii="Calibri" w:hAnsi="Calibri"/>
                <w:caps w:val="0"/>
                <w:sz w:val="22"/>
              </w:rPr>
            </w:pPr>
            <w:r w:rsidRPr="00813E5E">
              <w:rPr>
                <w:rFonts w:ascii="Calibri" w:hAnsi="Calibri"/>
                <w:caps w:val="0"/>
                <w:sz w:val="22"/>
              </w:rPr>
              <w:t>____________</w:t>
            </w:r>
          </w:p>
          <w:p w14:paraId="66CC6DB7" w14:textId="77777777" w:rsidR="007002E4" w:rsidRPr="00813E5E" w:rsidRDefault="007002E4" w:rsidP="00B81DA2">
            <w:pPr>
              <w:pStyle w:val="Headingb"/>
              <w:spacing w:before="120" w:after="120"/>
            </w:pPr>
            <w:r w:rsidRPr="00813E5E">
              <w:t>References</w:t>
            </w:r>
          </w:p>
          <w:p w14:paraId="5A079CA8" w14:textId="07D40B04" w:rsidR="007002E4" w:rsidRPr="00B81DA2" w:rsidRDefault="0034746E" w:rsidP="00B81DA2">
            <w:pPr>
              <w:pStyle w:val="Headingb"/>
              <w:spacing w:before="120" w:after="120"/>
              <w:ind w:left="0" w:firstLine="0"/>
              <w:rPr>
                <w:b w:val="0"/>
                <w:bCs/>
                <w:szCs w:val="24"/>
              </w:rPr>
            </w:pPr>
            <w:hyperlink r:id="rId12" w:history="1">
              <w:r w:rsidR="007002E4" w:rsidRPr="00B81DA2">
                <w:rPr>
                  <w:rStyle w:val="Hyperlink"/>
                  <w:rFonts w:asciiTheme="minorHAnsi" w:hAnsiTheme="minorHAnsi"/>
                  <w:b w:val="0"/>
                  <w:bCs/>
                  <w:i/>
                  <w:iCs/>
                </w:rPr>
                <w:t>Council Decision 588</w:t>
              </w:r>
            </w:hyperlink>
            <w:r w:rsidR="007002E4" w:rsidRPr="00B81DA2">
              <w:rPr>
                <w:rFonts w:asciiTheme="minorHAnsi" w:hAnsiTheme="minorHAnsi"/>
                <w:b w:val="0"/>
                <w:bCs/>
                <w:i/>
                <w:iCs/>
              </w:rPr>
              <w:t xml:space="preserve">, </w:t>
            </w:r>
            <w:hyperlink r:id="rId13" w:history="1">
              <w:r w:rsidR="007002E4" w:rsidRPr="00B81DA2">
                <w:rPr>
                  <w:rStyle w:val="Hyperlink"/>
                  <w:rFonts w:asciiTheme="minorHAnsi" w:hAnsiTheme="minorHAnsi"/>
                  <w:b w:val="0"/>
                  <w:bCs/>
                  <w:i/>
                  <w:iCs/>
                </w:rPr>
                <w:t>Council Decision 619</w:t>
              </w:r>
            </w:hyperlink>
            <w:r w:rsidR="007002E4" w:rsidRPr="00B81DA2">
              <w:rPr>
                <w:rFonts w:asciiTheme="minorHAnsi" w:hAnsiTheme="minorHAnsi"/>
                <w:b w:val="0"/>
                <w:bCs/>
                <w:i/>
                <w:iCs/>
              </w:rPr>
              <w:t xml:space="preserve">, </w:t>
            </w:r>
            <w:hyperlink r:id="rId14" w:history="1">
              <w:r w:rsidR="007002E4" w:rsidRPr="00B81DA2">
                <w:rPr>
                  <w:rStyle w:val="Hyperlink"/>
                  <w:rFonts w:asciiTheme="minorHAnsi" w:hAnsiTheme="minorHAnsi"/>
                  <w:b w:val="0"/>
                  <w:bCs/>
                  <w:i/>
                  <w:iCs/>
                </w:rPr>
                <w:t>Resolution 212 (Dubai, 2018)</w:t>
              </w:r>
            </w:hyperlink>
            <w:r w:rsidR="007002E4" w:rsidRPr="00B81DA2">
              <w:rPr>
                <w:rStyle w:val="Hyperlink"/>
                <w:rFonts w:asciiTheme="minorHAnsi" w:hAnsiTheme="minorHAnsi"/>
                <w:b w:val="0"/>
                <w:bCs/>
                <w:i/>
                <w:iCs/>
                <w:color w:val="auto"/>
                <w:u w:val="none"/>
              </w:rPr>
              <w:t xml:space="preserve">, </w:t>
            </w:r>
            <w:hyperlink r:id="rId15" w:history="1">
              <w:r w:rsidR="007002E4" w:rsidRPr="00B81DA2">
                <w:rPr>
                  <w:rStyle w:val="Hyperlink"/>
                  <w:rFonts w:asciiTheme="minorHAnsi" w:hAnsiTheme="minorHAnsi"/>
                  <w:b w:val="0"/>
                  <w:bCs/>
                  <w:i/>
                  <w:iCs/>
                </w:rPr>
                <w:t>C19/48</w:t>
              </w:r>
            </w:hyperlink>
            <w:r w:rsidR="007002E4" w:rsidRPr="00B81DA2">
              <w:rPr>
                <w:rStyle w:val="Hyperlink"/>
                <w:rFonts w:asciiTheme="minorHAnsi" w:hAnsiTheme="minorHAnsi"/>
                <w:b w:val="0"/>
                <w:bCs/>
                <w:i/>
                <w:iCs/>
                <w:u w:val="none"/>
              </w:rPr>
              <w:t xml:space="preserve">, </w:t>
            </w:r>
            <w:hyperlink r:id="rId16" w:history="1">
              <w:r w:rsidR="007002E4" w:rsidRPr="00B81DA2">
                <w:rPr>
                  <w:rStyle w:val="Hyperlink"/>
                  <w:rFonts w:asciiTheme="minorHAnsi" w:hAnsiTheme="minorHAnsi"/>
                  <w:b w:val="0"/>
                  <w:bCs/>
                  <w:i/>
                  <w:iCs/>
                </w:rPr>
                <w:t>C20/48</w:t>
              </w:r>
            </w:hyperlink>
          </w:p>
        </w:tc>
      </w:tr>
    </w:tbl>
    <w:p w14:paraId="3DC27152" w14:textId="77777777" w:rsidR="00031CB4" w:rsidRDefault="00031CB4" w:rsidP="000C4C1E">
      <w:pPr>
        <w:pStyle w:val="Normalaftertitle"/>
        <w:tabs>
          <w:tab w:val="clear" w:pos="567"/>
          <w:tab w:val="clear" w:pos="1134"/>
          <w:tab w:val="clear" w:pos="1701"/>
          <w:tab w:val="clear" w:pos="2268"/>
          <w:tab w:val="clear" w:pos="2835"/>
        </w:tabs>
        <w:snapToGrid w:val="0"/>
        <w:spacing w:before="600" w:after="120"/>
        <w:jc w:val="both"/>
        <w:rPr>
          <w:rFonts w:asciiTheme="minorHAnsi" w:hAnsiTheme="minorHAnsi"/>
          <w:b/>
          <w:bCs/>
          <w:color w:val="000000" w:themeColor="text1"/>
        </w:rPr>
      </w:pPr>
      <w:bookmarkStart w:id="10" w:name="dstart"/>
      <w:bookmarkStart w:id="11" w:name="dbreak"/>
      <w:bookmarkEnd w:id="9"/>
      <w:bookmarkEnd w:id="10"/>
      <w:bookmarkEnd w:id="11"/>
      <w:r w:rsidRPr="00FE7CFF">
        <w:rPr>
          <w:rFonts w:asciiTheme="minorHAnsi" w:hAnsiTheme="minorHAnsi"/>
          <w:b/>
          <w:bCs/>
          <w:color w:val="000000" w:themeColor="text1"/>
        </w:rPr>
        <w:t>1.</w:t>
      </w:r>
      <w:r w:rsidRPr="00FE7CFF">
        <w:rPr>
          <w:rFonts w:asciiTheme="minorHAnsi" w:hAnsiTheme="minorHAnsi"/>
          <w:b/>
          <w:bCs/>
          <w:color w:val="000000" w:themeColor="text1"/>
        </w:rPr>
        <w:tab/>
      </w:r>
      <w:r>
        <w:rPr>
          <w:rFonts w:asciiTheme="minorHAnsi" w:hAnsiTheme="minorHAnsi"/>
          <w:b/>
          <w:bCs/>
          <w:color w:val="000000" w:themeColor="text1"/>
        </w:rPr>
        <w:t>Summary of recent MSAG meetings</w:t>
      </w:r>
    </w:p>
    <w:p w14:paraId="67822024" w14:textId="17248F40" w:rsidR="00031CB4" w:rsidRPr="007E1449" w:rsidRDefault="008741F5" w:rsidP="0080061A">
      <w:pPr>
        <w:spacing w:after="120"/>
        <w:jc w:val="both"/>
        <w:rPr>
          <w:rFonts w:asciiTheme="minorHAnsi" w:hAnsiTheme="minorHAnsi" w:cstheme="minorHAnsi"/>
        </w:rPr>
      </w:pPr>
      <w:r w:rsidRPr="007E1449">
        <w:rPr>
          <w:rFonts w:asciiTheme="minorHAnsi" w:hAnsiTheme="minorHAnsi"/>
        </w:rPr>
        <w:t xml:space="preserve">Since the </w:t>
      </w:r>
      <w:r>
        <w:rPr>
          <w:rFonts w:asciiTheme="minorHAnsi" w:hAnsiTheme="minorHAnsi"/>
        </w:rPr>
        <w:t xml:space="preserve">report to </w:t>
      </w:r>
      <w:r w:rsidR="00497A68">
        <w:rPr>
          <w:rFonts w:asciiTheme="minorHAnsi" w:hAnsiTheme="minorHAnsi"/>
        </w:rPr>
        <w:t xml:space="preserve">the </w:t>
      </w:r>
      <w:r>
        <w:rPr>
          <w:rFonts w:asciiTheme="minorHAnsi" w:hAnsiTheme="minorHAnsi"/>
        </w:rPr>
        <w:t>November 2020</w:t>
      </w:r>
      <w:r w:rsidRPr="007E1449">
        <w:rPr>
          <w:rFonts w:asciiTheme="minorHAnsi" w:hAnsiTheme="minorHAnsi"/>
        </w:rPr>
        <w:t xml:space="preserve"> session of the</w:t>
      </w:r>
      <w:r>
        <w:rPr>
          <w:rFonts w:asciiTheme="minorHAnsi" w:hAnsiTheme="minorHAnsi"/>
        </w:rPr>
        <w:t xml:space="preserve"> Virtual </w:t>
      </w:r>
      <w:r w:rsidR="00497A68">
        <w:rPr>
          <w:rFonts w:asciiTheme="minorHAnsi" w:hAnsiTheme="minorHAnsi"/>
        </w:rPr>
        <w:t>c</w:t>
      </w:r>
      <w:r>
        <w:rPr>
          <w:rFonts w:asciiTheme="minorHAnsi" w:hAnsiTheme="minorHAnsi"/>
        </w:rPr>
        <w:t>onsultation of</w:t>
      </w:r>
      <w:r w:rsidRPr="007E1449">
        <w:rPr>
          <w:rFonts w:asciiTheme="minorHAnsi" w:hAnsiTheme="minorHAnsi"/>
        </w:rPr>
        <w:t xml:space="preserve"> </w:t>
      </w:r>
      <w:r w:rsidR="00497A68">
        <w:rPr>
          <w:rFonts w:asciiTheme="minorHAnsi" w:hAnsiTheme="minorHAnsi"/>
        </w:rPr>
        <w:t>c</w:t>
      </w:r>
      <w:r w:rsidRPr="007E1449">
        <w:rPr>
          <w:rFonts w:asciiTheme="minorHAnsi" w:hAnsiTheme="minorHAnsi"/>
        </w:rPr>
        <w:t>ouncil</w:t>
      </w:r>
      <w:r>
        <w:rPr>
          <w:rFonts w:asciiTheme="minorHAnsi" w:hAnsiTheme="minorHAnsi"/>
        </w:rPr>
        <w:t xml:space="preserve">lors in </w:t>
      </w:r>
      <w:hyperlink r:id="rId17" w:history="1">
        <w:r w:rsidRPr="00B81DA2">
          <w:rPr>
            <w:rStyle w:val="Hyperlink"/>
            <w:rFonts w:asciiTheme="minorHAnsi" w:hAnsiTheme="minorHAnsi"/>
          </w:rPr>
          <w:t>C20/48</w:t>
        </w:r>
      </w:hyperlink>
      <w:r w:rsidRPr="007E1449">
        <w:rPr>
          <w:rFonts w:asciiTheme="minorHAnsi" w:hAnsiTheme="minorHAnsi"/>
        </w:rPr>
        <w:t xml:space="preserve">, there have been </w:t>
      </w:r>
      <w:r>
        <w:rPr>
          <w:rFonts w:asciiTheme="minorHAnsi" w:hAnsiTheme="minorHAnsi"/>
        </w:rPr>
        <w:t>two</w:t>
      </w:r>
      <w:r w:rsidRPr="007E1449">
        <w:rPr>
          <w:rFonts w:asciiTheme="minorHAnsi" w:hAnsiTheme="minorHAnsi"/>
        </w:rPr>
        <w:t xml:space="preserve"> meetings of the Member States </w:t>
      </w:r>
      <w:r w:rsidRPr="00C61001">
        <w:rPr>
          <w:rFonts w:asciiTheme="minorHAnsi" w:hAnsiTheme="minorHAnsi"/>
          <w:spacing w:val="-4"/>
        </w:rPr>
        <w:t xml:space="preserve">Advisory Group on the Union’s headquarters premises project (MSAG). </w:t>
      </w:r>
      <w:r>
        <w:rPr>
          <w:rFonts w:asciiTheme="minorHAnsi" w:hAnsiTheme="minorHAnsi"/>
          <w:spacing w:val="-4"/>
        </w:rPr>
        <w:t>These</w:t>
      </w:r>
      <w:r>
        <w:rPr>
          <w:rFonts w:asciiTheme="minorHAnsi" w:hAnsiTheme="minorHAnsi"/>
          <w:spacing w:val="-2"/>
        </w:rPr>
        <w:t xml:space="preserve"> were</w:t>
      </w:r>
      <w:r w:rsidRPr="00C61001">
        <w:rPr>
          <w:rFonts w:asciiTheme="minorHAnsi" w:hAnsiTheme="minorHAnsi"/>
          <w:spacing w:val="-2"/>
        </w:rPr>
        <w:t xml:space="preserve"> virtual meeting</w:t>
      </w:r>
      <w:r>
        <w:rPr>
          <w:rFonts w:asciiTheme="minorHAnsi" w:hAnsiTheme="minorHAnsi"/>
          <w:spacing w:val="-2"/>
        </w:rPr>
        <w:t>s</w:t>
      </w:r>
      <w:r w:rsidRPr="00C61001">
        <w:rPr>
          <w:rFonts w:asciiTheme="minorHAnsi" w:hAnsiTheme="minorHAnsi"/>
          <w:spacing w:val="-2"/>
        </w:rPr>
        <w:t xml:space="preserve"> on </w:t>
      </w:r>
      <w:r>
        <w:rPr>
          <w:rFonts w:asciiTheme="minorHAnsi" w:hAnsiTheme="minorHAnsi"/>
          <w:spacing w:val="-2"/>
        </w:rPr>
        <w:t>12 November</w:t>
      </w:r>
      <w:r w:rsidRPr="00C61001">
        <w:rPr>
          <w:rFonts w:asciiTheme="minorHAnsi" w:hAnsiTheme="minorHAnsi"/>
          <w:spacing w:val="-2"/>
        </w:rPr>
        <w:t xml:space="preserve"> 2020</w:t>
      </w:r>
      <w:r>
        <w:rPr>
          <w:rFonts w:asciiTheme="minorHAnsi" w:hAnsiTheme="minorHAnsi"/>
          <w:spacing w:val="-2"/>
        </w:rPr>
        <w:t xml:space="preserve"> and 25 February 2021</w:t>
      </w:r>
      <w:r w:rsidRPr="00C61001">
        <w:rPr>
          <w:rFonts w:asciiTheme="minorHAnsi" w:hAnsiTheme="minorHAnsi"/>
          <w:spacing w:val="-2"/>
        </w:rPr>
        <w:t>,</w:t>
      </w:r>
      <w:r w:rsidRPr="007E1449">
        <w:rPr>
          <w:rFonts w:asciiTheme="minorHAnsi" w:hAnsiTheme="minorHAnsi"/>
        </w:rPr>
        <w:t xml:space="preserve"> with Mr Greg Ratta (USA) as </w:t>
      </w:r>
      <w:r>
        <w:rPr>
          <w:rFonts w:asciiTheme="minorHAnsi" w:hAnsiTheme="minorHAnsi"/>
        </w:rPr>
        <w:t>c</w:t>
      </w:r>
      <w:r w:rsidRPr="007E1449">
        <w:rPr>
          <w:rFonts w:asciiTheme="minorHAnsi" w:hAnsiTheme="minorHAnsi"/>
        </w:rPr>
        <w:t xml:space="preserve">hairperson. The full reports of these meetings can be accessed at the following link: </w:t>
      </w:r>
      <w:hyperlink r:id="rId18" w:history="1">
        <w:r w:rsidRPr="00CC0472">
          <w:rPr>
            <w:rStyle w:val="Hyperlink"/>
            <w:rFonts w:asciiTheme="minorHAnsi" w:hAnsiTheme="minorHAnsi"/>
          </w:rPr>
          <w:t>https://www.itu.int/en/hq-building/Pages/default.aspx</w:t>
        </w:r>
      </w:hyperlink>
      <w:r>
        <w:rPr>
          <w:rFonts w:asciiTheme="minorHAnsi" w:hAnsiTheme="minorHAnsi"/>
        </w:rPr>
        <w:t xml:space="preserve"> </w:t>
      </w:r>
      <w:r w:rsidRPr="007E1449">
        <w:rPr>
          <w:rFonts w:asciiTheme="minorHAnsi" w:hAnsiTheme="minorHAnsi"/>
        </w:rPr>
        <w:t>(TIES</w:t>
      </w:r>
      <w:r w:rsidR="00497A68">
        <w:rPr>
          <w:rFonts w:asciiTheme="minorHAnsi" w:hAnsiTheme="minorHAnsi"/>
        </w:rPr>
        <w:t>-</w:t>
      </w:r>
      <w:r w:rsidRPr="007E1449">
        <w:rPr>
          <w:rFonts w:asciiTheme="minorHAnsi" w:hAnsiTheme="minorHAnsi"/>
        </w:rPr>
        <w:t>protected).</w:t>
      </w:r>
      <w:r>
        <w:rPr>
          <w:rFonts w:asciiTheme="minorHAnsi" w:hAnsiTheme="minorHAnsi"/>
        </w:rPr>
        <w:t xml:space="preserve"> </w:t>
      </w:r>
      <w:r w:rsidR="00031CB4" w:rsidRPr="008741F5">
        <w:rPr>
          <w:rFonts w:asciiTheme="minorHAnsi" w:hAnsiTheme="minorHAnsi" w:cstheme="minorHAnsi"/>
        </w:rPr>
        <w:t>The</w:t>
      </w:r>
      <w:r>
        <w:rPr>
          <w:rFonts w:asciiTheme="minorHAnsi" w:hAnsiTheme="minorHAnsi" w:cstheme="minorHAnsi"/>
        </w:rPr>
        <w:t>se</w:t>
      </w:r>
      <w:r w:rsidR="00031CB4" w:rsidRPr="008741F5">
        <w:rPr>
          <w:rFonts w:asciiTheme="minorHAnsi" w:hAnsiTheme="minorHAnsi" w:cstheme="minorHAnsi"/>
        </w:rPr>
        <w:t xml:space="preserve"> meetings are summarized below.</w:t>
      </w:r>
    </w:p>
    <w:p w14:paraId="20C96AFF" w14:textId="76A8076F" w:rsidR="00031CB4" w:rsidRDefault="00C020D4" w:rsidP="0080061A">
      <w:pPr>
        <w:pStyle w:val="ListParagraph"/>
        <w:numPr>
          <w:ilvl w:val="1"/>
          <w:numId w:val="4"/>
        </w:numPr>
        <w:spacing w:after="120"/>
        <w:contextualSpacing w:val="0"/>
        <w:jc w:val="both"/>
        <w:rPr>
          <w:rFonts w:asciiTheme="minorHAnsi" w:hAnsiTheme="minorHAnsi" w:cstheme="minorHAnsi"/>
        </w:rPr>
      </w:pPr>
      <w:r w:rsidRPr="00EC0FD7">
        <w:rPr>
          <w:rFonts w:eastAsia="SimSun"/>
          <w:color w:val="000000" w:themeColor="text1"/>
          <w:lang w:eastAsia="en-AU"/>
        </w:rPr>
        <w:t>T</w:t>
      </w:r>
      <w:r w:rsidR="00031CB4" w:rsidRPr="00EC0FD7">
        <w:rPr>
          <w:rFonts w:eastAsia="SimSun"/>
          <w:color w:val="000000" w:themeColor="text1"/>
          <w:lang w:eastAsia="en-AU"/>
        </w:rPr>
        <w:t xml:space="preserve">he </w:t>
      </w:r>
      <w:r w:rsidR="00031CB4" w:rsidRPr="00EC0FD7">
        <w:rPr>
          <w:rFonts w:eastAsia="SimSun"/>
          <w:b/>
          <w:bCs/>
          <w:color w:val="000000" w:themeColor="text1"/>
          <w:lang w:eastAsia="en-AU"/>
        </w:rPr>
        <w:t>12th meeting</w:t>
      </w:r>
      <w:r w:rsidR="00031CB4" w:rsidRPr="00EC0FD7">
        <w:rPr>
          <w:rFonts w:eastAsia="SimSun"/>
          <w:color w:val="000000" w:themeColor="text1"/>
          <w:lang w:eastAsia="en-AU"/>
        </w:rPr>
        <w:t xml:space="preserve"> (12 November 2020) of MSAG </w:t>
      </w:r>
      <w:r w:rsidRPr="008741F5">
        <w:rPr>
          <w:rFonts w:asciiTheme="minorHAnsi" w:hAnsiTheme="minorHAnsi" w:cstheme="minorHAnsi"/>
        </w:rPr>
        <w:t>discussed the progress report on the project in C20/7</w:t>
      </w:r>
      <w:r w:rsidR="00497A68">
        <w:rPr>
          <w:rFonts w:asciiTheme="minorHAnsi" w:hAnsiTheme="minorHAnsi" w:cstheme="minorHAnsi"/>
        </w:rPr>
        <w:t>R</w:t>
      </w:r>
      <w:r w:rsidRPr="008741F5">
        <w:rPr>
          <w:rFonts w:asciiTheme="minorHAnsi" w:hAnsiTheme="minorHAnsi" w:cstheme="minorHAnsi"/>
        </w:rPr>
        <w:t xml:space="preserve">1, examined the 9 risk register items that had been revised through August and September, sought clarifications in the SPG Intercity report in </w:t>
      </w:r>
      <w:hyperlink r:id="rId19" w:history="1">
        <w:r w:rsidRPr="00B81DA2">
          <w:rPr>
            <w:rStyle w:val="Hyperlink"/>
            <w:rFonts w:asciiTheme="minorHAnsi" w:hAnsiTheme="minorHAnsi" w:cstheme="minorHAnsi"/>
          </w:rPr>
          <w:t>C20/77</w:t>
        </w:r>
      </w:hyperlink>
      <w:r w:rsidRPr="008741F5">
        <w:rPr>
          <w:rFonts w:asciiTheme="minorHAnsi" w:hAnsiTheme="minorHAnsi" w:cstheme="minorHAnsi"/>
        </w:rPr>
        <w:t xml:space="preserve"> and </w:t>
      </w:r>
      <w:hyperlink r:id="rId20" w:history="1">
        <w:r w:rsidRPr="00B81DA2">
          <w:rPr>
            <w:rStyle w:val="Hyperlink"/>
            <w:rFonts w:asciiTheme="minorHAnsi" w:hAnsiTheme="minorHAnsi" w:cstheme="minorHAnsi"/>
          </w:rPr>
          <w:t>C20/INF/20</w:t>
        </w:r>
      </w:hyperlink>
      <w:r w:rsidRPr="008741F5">
        <w:rPr>
          <w:rFonts w:asciiTheme="minorHAnsi" w:hAnsiTheme="minorHAnsi" w:cstheme="minorHAnsi"/>
        </w:rPr>
        <w:t xml:space="preserve"> on the strategy to put the Tower on the market optimally, and touched upon the post-COVID design implications described in </w:t>
      </w:r>
      <w:hyperlink r:id="rId21" w:history="1">
        <w:r w:rsidRPr="00B81DA2">
          <w:rPr>
            <w:rStyle w:val="Hyperlink"/>
            <w:rFonts w:asciiTheme="minorHAnsi" w:hAnsiTheme="minorHAnsi" w:cstheme="minorHAnsi"/>
          </w:rPr>
          <w:t>C20/INF/21</w:t>
        </w:r>
      </w:hyperlink>
      <w:r w:rsidRPr="008741F5">
        <w:rPr>
          <w:rFonts w:asciiTheme="minorHAnsi" w:hAnsiTheme="minorHAnsi" w:cstheme="minorHAnsi"/>
        </w:rPr>
        <w:t>.</w:t>
      </w:r>
    </w:p>
    <w:p w14:paraId="1E23129C" w14:textId="27321A59" w:rsidR="008741F5" w:rsidRPr="008741F5" w:rsidRDefault="008741F5" w:rsidP="0080061A">
      <w:pPr>
        <w:spacing w:after="120"/>
        <w:ind w:left="540"/>
        <w:jc w:val="both"/>
        <w:rPr>
          <w:rFonts w:asciiTheme="minorHAnsi" w:hAnsiTheme="minorHAnsi" w:cstheme="minorHAnsi"/>
        </w:rPr>
      </w:pPr>
      <w:r w:rsidRPr="008741F5">
        <w:rPr>
          <w:rFonts w:asciiTheme="minorHAnsi" w:hAnsiTheme="minorHAnsi" w:cstheme="minorHAnsi"/>
        </w:rPr>
        <w:t>A</w:t>
      </w:r>
      <w:r>
        <w:rPr>
          <w:rFonts w:asciiTheme="minorHAnsi" w:hAnsiTheme="minorHAnsi" w:cstheme="minorHAnsi"/>
        </w:rPr>
        <w:t>s a reminder, a</w:t>
      </w:r>
      <w:r w:rsidRPr="008741F5">
        <w:rPr>
          <w:rFonts w:asciiTheme="minorHAnsi" w:hAnsiTheme="minorHAnsi" w:cstheme="minorHAnsi"/>
        </w:rPr>
        <w:t xml:space="preserve"> risk register is a tool that is a best practice within project management to identify and manage risks. Risk registers record answers the question “what would happen if &lt;x&gt; occurs, and how much would it cost?”. The items considered </w:t>
      </w:r>
      <w:r w:rsidR="003118F8">
        <w:rPr>
          <w:rFonts w:asciiTheme="minorHAnsi" w:hAnsiTheme="minorHAnsi" w:cstheme="minorHAnsi"/>
        </w:rPr>
        <w:t xml:space="preserve">during this meeting </w:t>
      </w:r>
      <w:r w:rsidRPr="008741F5">
        <w:rPr>
          <w:rFonts w:asciiTheme="minorHAnsi" w:hAnsiTheme="minorHAnsi" w:cstheme="minorHAnsi"/>
        </w:rPr>
        <w:t>focused upon the possible impacts of the Covid-19 pandemic on the design of the new headquarters building or its schedule for construction, the status security arrangements outside the perimeter of the ITU parcel and maximizing the value of the Tower in its sale.</w:t>
      </w:r>
    </w:p>
    <w:p w14:paraId="4305DF03" w14:textId="7BFC0265" w:rsidR="00EC0FD7" w:rsidRDefault="003118F8" w:rsidP="0080061A">
      <w:pPr>
        <w:spacing w:after="120"/>
        <w:ind w:left="540"/>
        <w:jc w:val="both"/>
        <w:rPr>
          <w:rFonts w:asciiTheme="minorHAnsi" w:hAnsiTheme="minorHAnsi" w:cstheme="minorHAnsi"/>
          <w:szCs w:val="24"/>
        </w:rPr>
      </w:pPr>
      <w:r>
        <w:rPr>
          <w:rFonts w:asciiTheme="minorHAnsi" w:hAnsiTheme="minorHAnsi" w:cstheme="minorHAnsi"/>
          <w:szCs w:val="24"/>
        </w:rPr>
        <w:t xml:space="preserve">MSAG examined the SPC Intercity proposal that was further discussed in the </w:t>
      </w:r>
      <w:r w:rsidRPr="00B81DA2">
        <w:rPr>
          <w:rFonts w:asciiTheme="minorHAnsi" w:hAnsiTheme="minorHAnsi" w:cstheme="minorHAnsi"/>
          <w:szCs w:val="24"/>
        </w:rPr>
        <w:t>2nd</w:t>
      </w:r>
      <w:r>
        <w:rPr>
          <w:rFonts w:asciiTheme="minorHAnsi" w:hAnsiTheme="minorHAnsi" w:cstheme="minorHAnsi"/>
          <w:szCs w:val="24"/>
        </w:rPr>
        <w:t xml:space="preserve"> Virtual </w:t>
      </w:r>
      <w:r w:rsidR="00497A68">
        <w:rPr>
          <w:rFonts w:asciiTheme="minorHAnsi" w:hAnsiTheme="minorHAnsi" w:cstheme="minorHAnsi"/>
          <w:szCs w:val="24"/>
        </w:rPr>
        <w:t>c</w:t>
      </w:r>
      <w:r>
        <w:rPr>
          <w:rFonts w:asciiTheme="minorHAnsi" w:hAnsiTheme="minorHAnsi" w:cstheme="minorHAnsi"/>
          <w:szCs w:val="24"/>
        </w:rPr>
        <w:t xml:space="preserve">onsultation of </w:t>
      </w:r>
      <w:r w:rsidR="00497A68">
        <w:rPr>
          <w:rFonts w:asciiTheme="minorHAnsi" w:hAnsiTheme="minorHAnsi" w:cstheme="minorHAnsi"/>
          <w:szCs w:val="24"/>
        </w:rPr>
        <w:t>c</w:t>
      </w:r>
      <w:r>
        <w:rPr>
          <w:rFonts w:asciiTheme="minorHAnsi" w:hAnsiTheme="minorHAnsi" w:cstheme="minorHAnsi"/>
          <w:szCs w:val="24"/>
        </w:rPr>
        <w:t xml:space="preserve">ouncillors later in November. The MSAG discussion concentrated on gaining a better understanding of why the lease-back option is desirable </w:t>
      </w:r>
      <w:r w:rsidR="00497A68">
        <w:rPr>
          <w:rFonts w:asciiTheme="minorHAnsi" w:hAnsiTheme="minorHAnsi" w:cstheme="minorHAnsi"/>
          <w:szCs w:val="24"/>
        </w:rPr>
        <w:t xml:space="preserve">to </w:t>
      </w:r>
      <w:r>
        <w:rPr>
          <w:rFonts w:asciiTheme="minorHAnsi" w:hAnsiTheme="minorHAnsi" w:cstheme="minorHAnsi"/>
          <w:szCs w:val="24"/>
        </w:rPr>
        <w:t>ITU</w:t>
      </w:r>
      <w:r w:rsidR="00EC0FD7">
        <w:rPr>
          <w:rFonts w:asciiTheme="minorHAnsi" w:hAnsiTheme="minorHAnsi" w:cstheme="minorHAnsi"/>
          <w:szCs w:val="24"/>
        </w:rPr>
        <w:t>.</w:t>
      </w:r>
    </w:p>
    <w:p w14:paraId="4735DC81" w14:textId="0BE195D7" w:rsidR="003118F8" w:rsidRDefault="003118F8" w:rsidP="0080061A">
      <w:pPr>
        <w:spacing w:after="120"/>
        <w:ind w:left="540"/>
        <w:jc w:val="both"/>
        <w:rPr>
          <w:rFonts w:asciiTheme="minorHAnsi" w:hAnsiTheme="minorHAnsi" w:cstheme="minorHAnsi"/>
          <w:szCs w:val="24"/>
        </w:rPr>
      </w:pPr>
      <w:r w:rsidRPr="003118F8">
        <w:rPr>
          <w:rFonts w:asciiTheme="minorHAnsi" w:hAnsiTheme="minorHAnsi" w:cstheme="minorHAnsi"/>
          <w:szCs w:val="24"/>
        </w:rPr>
        <w:t>While it is too early to fully assess the impacts of the Covid-19 pandemic</w:t>
      </w:r>
      <w:r>
        <w:rPr>
          <w:rFonts w:asciiTheme="minorHAnsi" w:hAnsiTheme="minorHAnsi" w:cstheme="minorHAnsi"/>
          <w:szCs w:val="24"/>
        </w:rPr>
        <w:t>,</w:t>
      </w:r>
      <w:r w:rsidRPr="003118F8">
        <w:rPr>
          <w:rFonts w:asciiTheme="minorHAnsi" w:hAnsiTheme="minorHAnsi" w:cstheme="minorHAnsi"/>
          <w:szCs w:val="24"/>
        </w:rPr>
        <w:t xml:space="preserve"> Ms Dobbelstein repeated that the current capacity of the new building could not support the current staff should there be a need to separate workers by at least two meters, unless the daily average </w:t>
      </w:r>
      <w:r w:rsidRPr="003118F8">
        <w:rPr>
          <w:rFonts w:asciiTheme="minorHAnsi" w:hAnsiTheme="minorHAnsi" w:cstheme="minorHAnsi"/>
          <w:szCs w:val="24"/>
        </w:rPr>
        <w:lastRenderedPageBreak/>
        <w:t>number of on-site workers can be reduced by at least 33% through modification of the assigned desk policy and the telework policy.</w:t>
      </w:r>
    </w:p>
    <w:p w14:paraId="6A1A8EF4" w14:textId="3D30F504" w:rsidR="00031CB4" w:rsidRPr="0069641A" w:rsidRDefault="00C020D4" w:rsidP="0080061A">
      <w:pPr>
        <w:pStyle w:val="ListParagraph"/>
        <w:numPr>
          <w:ilvl w:val="1"/>
          <w:numId w:val="4"/>
        </w:numPr>
        <w:spacing w:after="120"/>
        <w:contextualSpacing w:val="0"/>
        <w:jc w:val="both"/>
        <w:rPr>
          <w:rFonts w:eastAsia="SimSun"/>
          <w:color w:val="000000" w:themeColor="text1"/>
          <w:lang w:eastAsia="en-AU"/>
        </w:rPr>
      </w:pPr>
      <w:r w:rsidRPr="0069641A">
        <w:rPr>
          <w:rFonts w:eastAsia="SimSun"/>
          <w:color w:val="000000" w:themeColor="text1"/>
          <w:lang w:eastAsia="en-AU"/>
        </w:rPr>
        <w:t xml:space="preserve">The </w:t>
      </w:r>
      <w:r w:rsidRPr="0069641A">
        <w:rPr>
          <w:rFonts w:eastAsia="SimSun"/>
          <w:b/>
          <w:bCs/>
          <w:color w:val="000000" w:themeColor="text1"/>
          <w:lang w:eastAsia="en-AU"/>
        </w:rPr>
        <w:t>13th meeting</w:t>
      </w:r>
      <w:r w:rsidRPr="0069641A">
        <w:rPr>
          <w:rFonts w:eastAsia="SimSun"/>
          <w:color w:val="000000" w:themeColor="text1"/>
          <w:lang w:eastAsia="en-AU"/>
        </w:rPr>
        <w:t xml:space="preserve"> (2</w:t>
      </w:r>
      <w:r w:rsidR="00EC0FD7" w:rsidRPr="0069641A">
        <w:rPr>
          <w:rFonts w:eastAsia="SimSun"/>
          <w:color w:val="000000" w:themeColor="text1"/>
          <w:lang w:eastAsia="en-AU"/>
        </w:rPr>
        <w:t>5</w:t>
      </w:r>
      <w:r w:rsidRPr="0069641A">
        <w:rPr>
          <w:rFonts w:eastAsia="SimSun"/>
          <w:color w:val="000000" w:themeColor="text1"/>
          <w:lang w:eastAsia="en-AU"/>
        </w:rPr>
        <w:t xml:space="preserve"> February 2021) of MSAG </w:t>
      </w:r>
      <w:r w:rsidR="00370F2E" w:rsidRPr="0069641A">
        <w:rPr>
          <w:rFonts w:eastAsia="SimSun"/>
          <w:color w:val="000000" w:themeColor="text1"/>
          <w:lang w:eastAsia="en-AU"/>
        </w:rPr>
        <w:t>again executed a</w:t>
      </w:r>
      <w:r w:rsidR="00031CB4" w:rsidRPr="0069641A">
        <w:rPr>
          <w:rFonts w:eastAsia="SimSun"/>
          <w:color w:val="000000" w:themeColor="text1"/>
          <w:lang w:eastAsia="en-AU"/>
        </w:rPr>
        <w:t xml:space="preserve"> detailed analysis of the risk register (current as of 14 July 2020) and 16 of the 102 items in the register were discussed in depth</w:t>
      </w:r>
      <w:r w:rsidR="0069641A">
        <w:rPr>
          <w:rFonts w:eastAsia="SimSun"/>
          <w:color w:val="000000" w:themeColor="text1"/>
          <w:lang w:eastAsia="en-AU"/>
        </w:rPr>
        <w:t xml:space="preserve"> related to the following categories:</w:t>
      </w:r>
      <w:r w:rsidR="00031CB4" w:rsidRPr="0069641A">
        <w:rPr>
          <w:rFonts w:eastAsia="SimSun"/>
          <w:color w:val="000000" w:themeColor="text1"/>
          <w:lang w:eastAsia="en-AU"/>
        </w:rPr>
        <w:t xml:space="preserve"> </w:t>
      </w:r>
      <w:r w:rsidR="0069641A">
        <w:rPr>
          <w:rFonts w:eastAsia="SimSun"/>
          <w:color w:val="000000" w:themeColor="text1"/>
          <w:lang w:eastAsia="en-AU"/>
        </w:rPr>
        <w:t>b</w:t>
      </w:r>
      <w:r w:rsidR="0069641A" w:rsidRPr="0069641A">
        <w:rPr>
          <w:rFonts w:eastAsia="SimSun"/>
          <w:color w:val="000000" w:themeColor="text1"/>
          <w:lang w:eastAsia="en-AU"/>
        </w:rPr>
        <w:t>usiness continuity risks, change management</w:t>
      </w:r>
      <w:r w:rsidR="00031CB4" w:rsidRPr="0069641A">
        <w:rPr>
          <w:rFonts w:eastAsia="SimSun"/>
          <w:color w:val="000000" w:themeColor="text1"/>
          <w:lang w:eastAsia="en-AU"/>
        </w:rPr>
        <w:t xml:space="preserve">, </w:t>
      </w:r>
      <w:r w:rsidR="0069641A" w:rsidRPr="0069641A">
        <w:rPr>
          <w:rFonts w:eastAsia="SimSun"/>
          <w:color w:val="000000" w:themeColor="text1"/>
          <w:lang w:eastAsia="en-AU"/>
        </w:rPr>
        <w:t xml:space="preserve">communication, external risk, </w:t>
      </w:r>
      <w:r w:rsidR="00031CB4" w:rsidRPr="0069641A">
        <w:rPr>
          <w:rFonts w:eastAsia="SimSun"/>
          <w:color w:val="000000" w:themeColor="text1"/>
          <w:lang w:eastAsia="en-AU"/>
        </w:rPr>
        <w:t xml:space="preserve">finance, </w:t>
      </w:r>
      <w:r w:rsidR="0069641A" w:rsidRPr="0069641A">
        <w:rPr>
          <w:rFonts w:eastAsia="SimSun"/>
          <w:color w:val="000000" w:themeColor="text1"/>
          <w:lang w:eastAsia="en-AU"/>
        </w:rPr>
        <w:t>legal</w:t>
      </w:r>
      <w:r w:rsidR="00031CB4" w:rsidRPr="0069641A">
        <w:rPr>
          <w:rFonts w:eastAsia="SimSun"/>
          <w:color w:val="000000" w:themeColor="text1"/>
          <w:lang w:eastAsia="en-AU"/>
        </w:rPr>
        <w:t>, procurement and contract management, and programme – scope of work. In most cases, the result of the discussion was agreement by the secretariat to clarify the register.</w:t>
      </w:r>
      <w:r w:rsidR="0069641A" w:rsidRPr="0069641A">
        <w:rPr>
          <w:rFonts w:eastAsia="SimSun"/>
          <w:color w:val="000000" w:themeColor="text1"/>
          <w:lang w:eastAsia="en-AU"/>
        </w:rPr>
        <w:t xml:space="preserve"> </w:t>
      </w:r>
    </w:p>
    <w:p w14:paraId="73C3B281" w14:textId="683E1426" w:rsidR="007C07E5" w:rsidRDefault="0069641A" w:rsidP="0080061A">
      <w:pPr>
        <w:spacing w:after="120"/>
        <w:ind w:left="540"/>
        <w:jc w:val="both"/>
        <w:rPr>
          <w:rFonts w:eastAsia="SimSun"/>
          <w:color w:val="000000" w:themeColor="text1"/>
          <w:lang w:eastAsia="en-AU"/>
        </w:rPr>
      </w:pPr>
      <w:r w:rsidRPr="0069641A">
        <w:rPr>
          <w:rFonts w:eastAsia="SimSun"/>
          <w:color w:val="000000" w:themeColor="text1"/>
          <w:lang w:eastAsia="en-AU"/>
        </w:rPr>
        <w:t xml:space="preserve">MSAG also received an update of the status of the project from Ms </w:t>
      </w:r>
      <w:r w:rsidR="0080061A" w:rsidRPr="003118F8">
        <w:rPr>
          <w:rFonts w:asciiTheme="minorHAnsi" w:hAnsiTheme="minorHAnsi" w:cstheme="minorHAnsi"/>
          <w:szCs w:val="24"/>
        </w:rPr>
        <w:t>Dobbelstein</w:t>
      </w:r>
      <w:r w:rsidRPr="0069641A">
        <w:rPr>
          <w:rFonts w:eastAsia="SimSun"/>
          <w:color w:val="000000" w:themeColor="text1"/>
          <w:lang w:eastAsia="en-AU"/>
        </w:rPr>
        <w:t>.</w:t>
      </w:r>
      <w:r>
        <w:rPr>
          <w:rFonts w:eastAsia="SimSun"/>
          <w:color w:val="000000" w:themeColor="text1"/>
          <w:lang w:eastAsia="en-AU"/>
        </w:rPr>
        <w:t xml:space="preserve"> </w:t>
      </w:r>
      <w:r w:rsidR="007C07E5">
        <w:rPr>
          <w:rFonts w:eastAsia="SimSun"/>
          <w:color w:val="000000" w:themeColor="text1"/>
          <w:lang w:eastAsia="en-AU"/>
        </w:rPr>
        <w:t>The project status included indications that:</w:t>
      </w:r>
    </w:p>
    <w:p w14:paraId="0C17518E" w14:textId="268F1250" w:rsidR="007C07E5" w:rsidRDefault="007C07E5" w:rsidP="00B81DA2">
      <w:pPr>
        <w:pStyle w:val="ListParagraph"/>
        <w:numPr>
          <w:ilvl w:val="0"/>
          <w:numId w:val="5"/>
        </w:numPr>
        <w:tabs>
          <w:tab w:val="clear" w:pos="567"/>
        </w:tabs>
        <w:spacing w:before="60" w:after="60"/>
        <w:ind w:left="1134" w:hanging="567"/>
        <w:contextualSpacing w:val="0"/>
        <w:jc w:val="both"/>
        <w:rPr>
          <w:rFonts w:eastAsia="SimSun"/>
          <w:color w:val="000000" w:themeColor="text1"/>
          <w:lang w:eastAsia="en-AU"/>
        </w:rPr>
      </w:pPr>
      <w:r w:rsidRPr="007C07E5">
        <w:rPr>
          <w:rFonts w:eastAsia="SimSun"/>
          <w:color w:val="000000" w:themeColor="text1"/>
          <w:lang w:eastAsia="en-AU"/>
        </w:rPr>
        <w:t>The loan contract is currently being finalized and its signature is anticipated in March.</w:t>
      </w:r>
    </w:p>
    <w:p w14:paraId="707C5EF2" w14:textId="57FED297" w:rsidR="007C07E5" w:rsidRDefault="007C07E5" w:rsidP="00B81DA2">
      <w:pPr>
        <w:pStyle w:val="ListParagraph"/>
        <w:numPr>
          <w:ilvl w:val="0"/>
          <w:numId w:val="5"/>
        </w:numPr>
        <w:tabs>
          <w:tab w:val="clear" w:pos="567"/>
        </w:tabs>
        <w:spacing w:before="60" w:after="60"/>
        <w:ind w:left="1134" w:hanging="567"/>
        <w:contextualSpacing w:val="0"/>
        <w:jc w:val="both"/>
        <w:rPr>
          <w:rFonts w:eastAsia="SimSun"/>
          <w:color w:val="000000" w:themeColor="text1"/>
          <w:lang w:eastAsia="en-AU"/>
        </w:rPr>
      </w:pPr>
      <w:r w:rsidRPr="007C07E5">
        <w:rPr>
          <w:rFonts w:eastAsia="SimSun"/>
          <w:color w:val="000000" w:themeColor="text1"/>
          <w:lang w:eastAsia="en-AU"/>
        </w:rPr>
        <w:t xml:space="preserve">The scope of work that was submitted to the Swiss Mission in November 2019 was approved in January 2021. It has been enlarged to include the application of the UN-MOSS recommendations on a larger perimeter (rue </w:t>
      </w:r>
      <w:proofErr w:type="spellStart"/>
      <w:r w:rsidRPr="007C07E5">
        <w:rPr>
          <w:rFonts w:eastAsia="SimSun"/>
          <w:color w:val="000000" w:themeColor="text1"/>
          <w:lang w:eastAsia="en-AU"/>
        </w:rPr>
        <w:t>Montbrillant</w:t>
      </w:r>
      <w:proofErr w:type="spellEnd"/>
      <w:r w:rsidRPr="007C07E5">
        <w:rPr>
          <w:rFonts w:eastAsia="SimSun"/>
          <w:color w:val="000000" w:themeColor="text1"/>
          <w:lang w:eastAsia="en-AU"/>
        </w:rPr>
        <w:t xml:space="preserve">, </w:t>
      </w:r>
      <w:r w:rsidR="003B044C">
        <w:rPr>
          <w:rFonts w:eastAsia="SimSun"/>
          <w:color w:val="000000" w:themeColor="text1"/>
          <w:lang w:eastAsia="en-AU"/>
        </w:rPr>
        <w:t>Avenue</w:t>
      </w:r>
      <w:r w:rsidR="003B044C" w:rsidRPr="007C07E5">
        <w:rPr>
          <w:rFonts w:eastAsia="SimSun"/>
          <w:color w:val="000000" w:themeColor="text1"/>
          <w:lang w:eastAsia="en-AU"/>
        </w:rPr>
        <w:t xml:space="preserve"> </w:t>
      </w:r>
      <w:r w:rsidRPr="007C07E5">
        <w:rPr>
          <w:rFonts w:eastAsia="SimSun"/>
          <w:color w:val="000000" w:themeColor="text1"/>
          <w:lang w:eastAsia="en-AU"/>
        </w:rPr>
        <w:t>de France and Av</w:t>
      </w:r>
      <w:r w:rsidR="003B044C">
        <w:rPr>
          <w:rFonts w:eastAsia="SimSun"/>
          <w:color w:val="000000" w:themeColor="text1"/>
          <w:lang w:eastAsia="en-AU"/>
        </w:rPr>
        <w:t>enue</w:t>
      </w:r>
      <w:r w:rsidRPr="007C07E5">
        <w:rPr>
          <w:rFonts w:eastAsia="SimSun"/>
          <w:color w:val="000000" w:themeColor="text1"/>
          <w:lang w:eastAsia="en-AU"/>
        </w:rPr>
        <w:t xml:space="preserve"> G. Motta), as well as for additional security measures in the Parking des Nations. The scope of the study also includes requirements from all neighbours. A detailed timetable for this activity is to be included in the new building report to be presented to the June 2021 VCC.</w:t>
      </w:r>
      <w:r w:rsidR="008E009C">
        <w:rPr>
          <w:rFonts w:eastAsia="SimSun"/>
          <w:color w:val="000000" w:themeColor="text1"/>
          <w:lang w:eastAsia="en-AU"/>
        </w:rPr>
        <w:t xml:space="preserve">  T</w:t>
      </w:r>
      <w:r w:rsidR="008E009C" w:rsidRPr="008E009C">
        <w:rPr>
          <w:rFonts w:eastAsia="SimSun"/>
          <w:color w:val="000000" w:themeColor="text1"/>
          <w:lang w:eastAsia="en-AU"/>
        </w:rPr>
        <w:t>he cost for the implementation of security measures on the public domain is not included within the approved new building cost, but an amount has been allocated for this purpose in the risk register. The negotiation regarding an eventual allocation of the costs among all the parties will take place once the feasibility study has been finalized.</w:t>
      </w:r>
    </w:p>
    <w:p w14:paraId="71A9BBE8" w14:textId="75709599" w:rsidR="007C07E5" w:rsidRDefault="007C07E5" w:rsidP="00B81DA2">
      <w:pPr>
        <w:pStyle w:val="ListParagraph"/>
        <w:numPr>
          <w:ilvl w:val="0"/>
          <w:numId w:val="5"/>
        </w:numPr>
        <w:tabs>
          <w:tab w:val="clear" w:pos="567"/>
        </w:tabs>
        <w:spacing w:before="60" w:after="60"/>
        <w:ind w:left="1134" w:hanging="567"/>
        <w:contextualSpacing w:val="0"/>
        <w:jc w:val="both"/>
        <w:rPr>
          <w:rFonts w:eastAsia="SimSun"/>
          <w:color w:val="000000" w:themeColor="text1"/>
          <w:lang w:eastAsia="en-AU"/>
        </w:rPr>
      </w:pPr>
      <w:r w:rsidRPr="007C07E5">
        <w:rPr>
          <w:rFonts w:eastAsia="SimSun"/>
          <w:color w:val="000000" w:themeColor="text1"/>
          <w:lang w:eastAsia="en-AU"/>
        </w:rPr>
        <w:t>The draft, detailed design submission was received from the architect at the end of January and ITU is in the process of finalizing their comments to be addressed within the final submission that is due in March.</w:t>
      </w:r>
    </w:p>
    <w:p w14:paraId="7B27FF32" w14:textId="4BC935D2" w:rsidR="008E009C" w:rsidRPr="007C07E5" w:rsidRDefault="008E009C" w:rsidP="00B81DA2">
      <w:pPr>
        <w:pStyle w:val="ListParagraph"/>
        <w:numPr>
          <w:ilvl w:val="0"/>
          <w:numId w:val="5"/>
        </w:numPr>
        <w:tabs>
          <w:tab w:val="clear" w:pos="567"/>
        </w:tabs>
        <w:spacing w:before="60" w:after="60"/>
        <w:ind w:left="1134" w:hanging="567"/>
        <w:contextualSpacing w:val="0"/>
        <w:jc w:val="both"/>
        <w:rPr>
          <w:rFonts w:eastAsia="SimSun"/>
          <w:color w:val="000000" w:themeColor="text1"/>
          <w:lang w:eastAsia="en-AU"/>
        </w:rPr>
      </w:pPr>
      <w:r w:rsidRPr="008E009C">
        <w:rPr>
          <w:rFonts w:eastAsia="SimSun"/>
          <w:color w:val="000000" w:themeColor="text1"/>
          <w:lang w:eastAsia="en-AU"/>
        </w:rPr>
        <w:t>The Staff working condition</w:t>
      </w:r>
      <w:r>
        <w:rPr>
          <w:rFonts w:eastAsia="SimSun"/>
          <w:color w:val="000000" w:themeColor="text1"/>
          <w:lang w:eastAsia="en-AU"/>
        </w:rPr>
        <w:t>s</w:t>
      </w:r>
      <w:r w:rsidRPr="008E009C">
        <w:rPr>
          <w:rFonts w:eastAsia="SimSun"/>
          <w:color w:val="000000" w:themeColor="text1"/>
          <w:lang w:eastAsia="en-AU"/>
        </w:rPr>
        <w:t xml:space="preserve"> implementation plan will include policies applicable during relocation and once the new building is occupied. The tender process has been finalized and the contract is to be signed with the selected company that specializes in staff working conditions. </w:t>
      </w:r>
      <w:r>
        <w:rPr>
          <w:rFonts w:eastAsia="SimSun"/>
          <w:color w:val="000000" w:themeColor="text1"/>
          <w:lang w:eastAsia="en-AU"/>
        </w:rPr>
        <w:t>T</w:t>
      </w:r>
      <w:r w:rsidRPr="008E009C">
        <w:rPr>
          <w:rFonts w:eastAsia="SimSun"/>
          <w:color w:val="000000" w:themeColor="text1"/>
          <w:lang w:eastAsia="en-AU"/>
        </w:rPr>
        <w:t xml:space="preserve">he initial deliverables will be established in time to provide initial feedback to </w:t>
      </w:r>
      <w:r w:rsidR="00497A68">
        <w:rPr>
          <w:rFonts w:eastAsia="SimSun"/>
          <w:color w:val="000000" w:themeColor="text1"/>
          <w:lang w:eastAsia="en-AU"/>
        </w:rPr>
        <w:t>c</w:t>
      </w:r>
      <w:r w:rsidRPr="008E009C">
        <w:rPr>
          <w:rFonts w:eastAsia="SimSun"/>
          <w:color w:val="000000" w:themeColor="text1"/>
          <w:lang w:eastAsia="en-AU"/>
        </w:rPr>
        <w:t>ouncil</w:t>
      </w:r>
      <w:r>
        <w:rPr>
          <w:rFonts w:eastAsia="SimSun"/>
          <w:color w:val="000000" w:themeColor="text1"/>
          <w:lang w:eastAsia="en-AU"/>
        </w:rPr>
        <w:t>l</w:t>
      </w:r>
      <w:r w:rsidRPr="008E009C">
        <w:rPr>
          <w:rFonts w:eastAsia="SimSun"/>
          <w:color w:val="000000" w:themeColor="text1"/>
          <w:lang w:eastAsia="en-AU"/>
        </w:rPr>
        <w:t>ors in June.</w:t>
      </w:r>
    </w:p>
    <w:p w14:paraId="527D87A6" w14:textId="2418B5EB" w:rsidR="00EC0FD7" w:rsidRPr="00EC0FD7" w:rsidRDefault="00EC0FD7" w:rsidP="0080061A">
      <w:pPr>
        <w:spacing w:after="120"/>
        <w:ind w:left="547"/>
        <w:jc w:val="both"/>
        <w:rPr>
          <w:rFonts w:asciiTheme="minorHAnsi" w:hAnsiTheme="minorHAnsi" w:cstheme="minorHAnsi"/>
          <w:lang w:val="en-US"/>
        </w:rPr>
      </w:pPr>
      <w:r w:rsidRPr="00EC0FD7">
        <w:rPr>
          <w:rFonts w:asciiTheme="minorHAnsi" w:hAnsiTheme="minorHAnsi" w:cstheme="minorHAnsi"/>
          <w:lang w:val="en-US"/>
        </w:rPr>
        <w:t>MSAG advised</w:t>
      </w:r>
      <w:r w:rsidR="008E009C">
        <w:rPr>
          <w:rFonts w:asciiTheme="minorHAnsi" w:hAnsiTheme="minorHAnsi" w:cstheme="minorHAnsi"/>
          <w:lang w:val="en-US"/>
        </w:rPr>
        <w:t xml:space="preserve"> the </w:t>
      </w:r>
      <w:r w:rsidR="00497A68">
        <w:rPr>
          <w:rFonts w:asciiTheme="minorHAnsi" w:hAnsiTheme="minorHAnsi" w:cstheme="minorHAnsi"/>
          <w:lang w:val="en-US"/>
        </w:rPr>
        <w:t>s</w:t>
      </w:r>
      <w:r w:rsidR="008E009C">
        <w:rPr>
          <w:rFonts w:asciiTheme="minorHAnsi" w:hAnsiTheme="minorHAnsi" w:cstheme="minorHAnsi"/>
          <w:lang w:val="en-US"/>
        </w:rPr>
        <w:t>ecretariat</w:t>
      </w:r>
      <w:r w:rsidRPr="00EC0FD7">
        <w:rPr>
          <w:rFonts w:asciiTheme="minorHAnsi" w:hAnsiTheme="minorHAnsi" w:cstheme="minorHAnsi"/>
          <w:lang w:val="en-US"/>
        </w:rPr>
        <w:t xml:space="preserve"> </w:t>
      </w:r>
      <w:r w:rsidR="007C07E5">
        <w:rPr>
          <w:rFonts w:asciiTheme="minorHAnsi" w:hAnsiTheme="minorHAnsi" w:cstheme="minorHAnsi"/>
          <w:lang w:val="en-US"/>
        </w:rPr>
        <w:t xml:space="preserve">to </w:t>
      </w:r>
      <w:r w:rsidRPr="00EC0FD7">
        <w:rPr>
          <w:rFonts w:asciiTheme="minorHAnsi" w:hAnsiTheme="minorHAnsi" w:cstheme="minorHAnsi"/>
          <w:lang w:val="en-US"/>
        </w:rPr>
        <w:t>includ</w:t>
      </w:r>
      <w:r w:rsidR="007C07E5">
        <w:rPr>
          <w:rFonts w:asciiTheme="minorHAnsi" w:hAnsiTheme="minorHAnsi" w:cstheme="minorHAnsi"/>
          <w:lang w:val="en-US"/>
        </w:rPr>
        <w:t>e</w:t>
      </w:r>
      <w:r w:rsidRPr="00EC0FD7">
        <w:rPr>
          <w:rFonts w:asciiTheme="minorHAnsi" w:hAnsiTheme="minorHAnsi" w:cstheme="minorHAnsi"/>
          <w:lang w:val="en-US"/>
        </w:rPr>
        <w:t xml:space="preserve"> </w:t>
      </w:r>
      <w:r w:rsidR="008E009C">
        <w:rPr>
          <w:rFonts w:asciiTheme="minorHAnsi" w:hAnsiTheme="minorHAnsi" w:cstheme="minorHAnsi"/>
          <w:lang w:val="en-US"/>
        </w:rPr>
        <w:t>in the comparison of running and maintenance costs for the tower building the</w:t>
      </w:r>
      <w:r w:rsidRPr="00EC0FD7">
        <w:rPr>
          <w:rFonts w:asciiTheme="minorHAnsi" w:hAnsiTheme="minorHAnsi" w:cstheme="minorHAnsi"/>
          <w:lang w:val="en-US"/>
        </w:rPr>
        <w:t xml:space="preserve"> explicit indication that the calculation had been made based on the surface area of the office space (as opposed to a market analysis).</w:t>
      </w:r>
    </w:p>
    <w:p w14:paraId="4EBF886C" w14:textId="62A96C7F" w:rsidR="00EC0FD7" w:rsidRPr="00EC0FD7" w:rsidRDefault="00EC0FD7" w:rsidP="0080061A">
      <w:pPr>
        <w:spacing w:after="240"/>
        <w:ind w:left="540"/>
        <w:jc w:val="both"/>
        <w:rPr>
          <w:rFonts w:asciiTheme="minorHAnsi" w:hAnsiTheme="minorHAnsi" w:cstheme="minorHAnsi"/>
          <w:lang w:val="en-US"/>
        </w:rPr>
      </w:pPr>
      <w:r w:rsidRPr="00EC0FD7">
        <w:rPr>
          <w:rFonts w:asciiTheme="minorHAnsi" w:hAnsiTheme="minorHAnsi" w:cstheme="minorHAnsi"/>
          <w:lang w:val="en-US"/>
        </w:rPr>
        <w:t xml:space="preserve">The </w:t>
      </w:r>
      <w:r w:rsidR="008E009C">
        <w:rPr>
          <w:rFonts w:asciiTheme="minorHAnsi" w:hAnsiTheme="minorHAnsi" w:cstheme="minorHAnsi"/>
          <w:lang w:val="en-US"/>
        </w:rPr>
        <w:t>c</w:t>
      </w:r>
      <w:r w:rsidRPr="00EC0FD7">
        <w:rPr>
          <w:rFonts w:asciiTheme="minorHAnsi" w:hAnsiTheme="minorHAnsi" w:cstheme="minorHAnsi"/>
          <w:lang w:val="en-US"/>
        </w:rPr>
        <w:t>hairperson reported</w:t>
      </w:r>
      <w:r w:rsidR="008E009C">
        <w:rPr>
          <w:rFonts w:asciiTheme="minorHAnsi" w:hAnsiTheme="minorHAnsi" w:cstheme="minorHAnsi"/>
          <w:lang w:val="en-US"/>
        </w:rPr>
        <w:t xml:space="preserve"> to MSAG</w:t>
      </w:r>
      <w:r w:rsidRPr="00EC0FD7">
        <w:rPr>
          <w:rFonts w:asciiTheme="minorHAnsi" w:hAnsiTheme="minorHAnsi" w:cstheme="minorHAnsi"/>
          <w:lang w:val="en-US"/>
        </w:rPr>
        <w:t xml:space="preserve"> that the issues raised by MSAG during the VCC sessions have been considered by CWG-FHR. The </w:t>
      </w:r>
      <w:r w:rsidR="00497A68">
        <w:rPr>
          <w:rFonts w:asciiTheme="minorHAnsi" w:hAnsiTheme="minorHAnsi" w:cstheme="minorHAnsi"/>
          <w:lang w:val="en-US"/>
        </w:rPr>
        <w:t>s</w:t>
      </w:r>
      <w:r w:rsidRPr="00EC0FD7">
        <w:rPr>
          <w:rFonts w:asciiTheme="minorHAnsi" w:hAnsiTheme="minorHAnsi" w:cstheme="minorHAnsi"/>
          <w:lang w:val="en-US"/>
        </w:rPr>
        <w:t xml:space="preserve">ecretariat has suggested to add CHF 3.6 million to the Risk Register Fund from the 2020 savings, if available. No decision has been made yet on additional financing. The final decision is to be taken by the Council. The participants indicated appreciation for the efforts of the </w:t>
      </w:r>
      <w:r w:rsidR="00497A68">
        <w:rPr>
          <w:rFonts w:asciiTheme="minorHAnsi" w:hAnsiTheme="minorHAnsi" w:cstheme="minorHAnsi"/>
          <w:lang w:val="en-US"/>
        </w:rPr>
        <w:t>s</w:t>
      </w:r>
      <w:r w:rsidRPr="00EC0FD7">
        <w:rPr>
          <w:rFonts w:asciiTheme="minorHAnsi" w:hAnsiTheme="minorHAnsi" w:cstheme="minorHAnsi"/>
          <w:lang w:val="en-US"/>
        </w:rPr>
        <w:t>ecretariat to finance the fund.</w:t>
      </w:r>
    </w:p>
    <w:p w14:paraId="35AD6FF5" w14:textId="77777777" w:rsidR="00031CB4" w:rsidRDefault="00031CB4" w:rsidP="0080061A">
      <w:pPr>
        <w:tabs>
          <w:tab w:val="left" w:pos="630"/>
        </w:tabs>
        <w:spacing w:before="360" w:after="120"/>
        <w:rPr>
          <w:rFonts w:asciiTheme="minorHAnsi" w:hAnsiTheme="minorHAnsi" w:cstheme="minorHAnsi"/>
          <w:b/>
          <w:bCs/>
          <w:color w:val="000000" w:themeColor="text1"/>
        </w:rPr>
      </w:pPr>
      <w:r w:rsidRPr="00123D73">
        <w:rPr>
          <w:rFonts w:asciiTheme="minorHAnsi" w:hAnsiTheme="minorHAnsi" w:cstheme="minorHAnsi"/>
          <w:b/>
          <w:bCs/>
          <w:color w:val="000000" w:themeColor="text1"/>
        </w:rPr>
        <w:t>2.</w:t>
      </w:r>
      <w:r w:rsidRPr="00123D73">
        <w:rPr>
          <w:rFonts w:asciiTheme="minorHAnsi" w:hAnsiTheme="minorHAnsi" w:cstheme="minorHAnsi"/>
          <w:b/>
          <w:bCs/>
          <w:color w:val="000000" w:themeColor="text1"/>
        </w:rPr>
        <w:tab/>
      </w:r>
      <w:r>
        <w:rPr>
          <w:rFonts w:asciiTheme="minorHAnsi" w:hAnsiTheme="minorHAnsi" w:cstheme="minorHAnsi"/>
          <w:b/>
          <w:bCs/>
          <w:color w:val="000000" w:themeColor="text1"/>
        </w:rPr>
        <w:t>Items for the attention of the Council</w:t>
      </w:r>
    </w:p>
    <w:p w14:paraId="5FD89905" w14:textId="34830014" w:rsidR="00031CB4" w:rsidRPr="0069641A" w:rsidRDefault="00370F2E" w:rsidP="0080061A">
      <w:pPr>
        <w:spacing w:after="240"/>
        <w:jc w:val="both"/>
        <w:rPr>
          <w:rFonts w:asciiTheme="minorHAnsi" w:hAnsiTheme="minorHAnsi" w:cstheme="minorHAnsi"/>
          <w:highlight w:val="yellow"/>
          <w:lang w:val="en-US"/>
        </w:rPr>
      </w:pPr>
      <w:r w:rsidRPr="008E009C">
        <w:rPr>
          <w:rFonts w:asciiTheme="minorHAnsi" w:hAnsiTheme="minorHAnsi" w:cstheme="minorHAnsi"/>
        </w:rPr>
        <w:t xml:space="preserve">MSAG </w:t>
      </w:r>
      <w:r w:rsidR="008E009C">
        <w:rPr>
          <w:rFonts w:asciiTheme="minorHAnsi" w:hAnsiTheme="minorHAnsi" w:cstheme="minorHAnsi"/>
        </w:rPr>
        <w:t>has not identified any new issues to draw to the attention of</w:t>
      </w:r>
      <w:r w:rsidR="00497A68">
        <w:rPr>
          <w:rFonts w:asciiTheme="minorHAnsi" w:hAnsiTheme="minorHAnsi" w:cstheme="minorHAnsi"/>
        </w:rPr>
        <w:t xml:space="preserve"> the</w:t>
      </w:r>
      <w:r w:rsidR="008E009C">
        <w:rPr>
          <w:rFonts w:asciiTheme="minorHAnsi" w:hAnsiTheme="minorHAnsi" w:cstheme="minorHAnsi"/>
        </w:rPr>
        <w:t xml:space="preserve"> Council.</w:t>
      </w:r>
    </w:p>
    <w:p w14:paraId="40975FDC" w14:textId="2A48B195" w:rsidR="00CF134B" w:rsidRPr="00CF134B" w:rsidRDefault="00CF134B" w:rsidP="000C4C1E">
      <w:pPr>
        <w:spacing w:before="600"/>
        <w:jc w:val="center"/>
        <w:rPr>
          <w:rFonts w:cstheme="minorHAnsi"/>
        </w:rPr>
      </w:pPr>
      <w:r w:rsidRPr="008D77AF">
        <w:rPr>
          <w:rFonts w:cstheme="minorHAnsi"/>
        </w:rPr>
        <w:t>_______________</w:t>
      </w:r>
    </w:p>
    <w:sectPr w:rsidR="00CF134B" w:rsidRPr="00CF134B"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00743" w14:textId="77777777" w:rsidR="008D015E" w:rsidRDefault="008D015E">
      <w:r>
        <w:separator/>
      </w:r>
    </w:p>
  </w:endnote>
  <w:endnote w:type="continuationSeparator" w:id="0">
    <w:p w14:paraId="2C554DBA" w14:textId="77777777" w:rsidR="008D015E" w:rsidRDefault="008D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D202" w14:textId="77777777" w:rsidR="008D015E" w:rsidRDefault="008D015E">
      <w:r>
        <w:t>____________________</w:t>
      </w:r>
    </w:p>
  </w:footnote>
  <w:footnote w:type="continuationSeparator" w:id="0">
    <w:p w14:paraId="7B2A9ABA" w14:textId="77777777" w:rsidR="008D015E" w:rsidRDefault="008D0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00931E9F"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F55D9B">
      <w:rPr>
        <w:bCs/>
      </w:rPr>
      <w:t>48</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2A7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0F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AE0C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28F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C2C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A16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2A6D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10C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49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C2A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DD1CF0"/>
    <w:multiLevelType w:val="hybridMultilevel"/>
    <w:tmpl w:val="93B2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D19CB"/>
    <w:multiLevelType w:val="multilevel"/>
    <w:tmpl w:val="5F4A1988"/>
    <w:lvl w:ilvl="0">
      <w:start w:val="1"/>
      <w:numFmt w:val="decimal"/>
      <w:lvlText w:val="%1"/>
      <w:lvlJc w:val="left"/>
      <w:pPr>
        <w:ind w:left="570" w:hanging="570"/>
      </w:pPr>
      <w:rPr>
        <w:rFonts w:ascii="Calibri" w:eastAsia="SimSun" w:hAnsi="Calibri" w:cs="Times New Roman" w:hint="default"/>
        <w:color w:val="000000" w:themeColor="text1"/>
      </w:rPr>
    </w:lvl>
    <w:lvl w:ilvl="1">
      <w:start w:val="1"/>
      <w:numFmt w:val="decimal"/>
      <w:lvlText w:val="%1.%2"/>
      <w:lvlJc w:val="left"/>
      <w:pPr>
        <w:ind w:left="570" w:hanging="570"/>
      </w:pPr>
      <w:rPr>
        <w:rFonts w:ascii="Calibri" w:eastAsia="SimSun" w:hAnsi="Calibri" w:cs="Times New Roman" w:hint="default"/>
        <w:color w:val="000000" w:themeColor="text1"/>
      </w:rPr>
    </w:lvl>
    <w:lvl w:ilvl="2">
      <w:start w:val="1"/>
      <w:numFmt w:val="decimal"/>
      <w:lvlText w:val="%1.%2.%3"/>
      <w:lvlJc w:val="left"/>
      <w:pPr>
        <w:ind w:left="720" w:hanging="720"/>
      </w:pPr>
      <w:rPr>
        <w:rFonts w:ascii="Calibri" w:eastAsia="SimSun" w:hAnsi="Calibri" w:cs="Times New Roman" w:hint="default"/>
        <w:color w:val="000000" w:themeColor="text1"/>
      </w:rPr>
    </w:lvl>
    <w:lvl w:ilvl="3">
      <w:start w:val="1"/>
      <w:numFmt w:val="decimal"/>
      <w:lvlText w:val="%1.%2.%3.%4"/>
      <w:lvlJc w:val="left"/>
      <w:pPr>
        <w:ind w:left="720" w:hanging="720"/>
      </w:pPr>
      <w:rPr>
        <w:rFonts w:ascii="Calibri" w:eastAsia="SimSun" w:hAnsi="Calibri" w:cs="Times New Roman" w:hint="default"/>
        <w:color w:val="000000" w:themeColor="text1"/>
      </w:rPr>
    </w:lvl>
    <w:lvl w:ilvl="4">
      <w:start w:val="1"/>
      <w:numFmt w:val="decimal"/>
      <w:lvlText w:val="%1.%2.%3.%4.%5"/>
      <w:lvlJc w:val="left"/>
      <w:pPr>
        <w:ind w:left="1080" w:hanging="1080"/>
      </w:pPr>
      <w:rPr>
        <w:rFonts w:ascii="Calibri" w:eastAsia="SimSun" w:hAnsi="Calibri" w:cs="Times New Roman" w:hint="default"/>
        <w:color w:val="000000" w:themeColor="text1"/>
      </w:rPr>
    </w:lvl>
    <w:lvl w:ilvl="5">
      <w:start w:val="1"/>
      <w:numFmt w:val="decimal"/>
      <w:lvlText w:val="%1.%2.%3.%4.%5.%6"/>
      <w:lvlJc w:val="left"/>
      <w:pPr>
        <w:ind w:left="1080" w:hanging="1080"/>
      </w:pPr>
      <w:rPr>
        <w:rFonts w:ascii="Calibri" w:eastAsia="SimSun" w:hAnsi="Calibri" w:cs="Times New Roman" w:hint="default"/>
        <w:color w:val="000000" w:themeColor="text1"/>
      </w:rPr>
    </w:lvl>
    <w:lvl w:ilvl="6">
      <w:start w:val="1"/>
      <w:numFmt w:val="decimal"/>
      <w:lvlText w:val="%1.%2.%3.%4.%5.%6.%7"/>
      <w:lvlJc w:val="left"/>
      <w:pPr>
        <w:ind w:left="1440" w:hanging="1440"/>
      </w:pPr>
      <w:rPr>
        <w:rFonts w:ascii="Calibri" w:eastAsia="SimSun" w:hAnsi="Calibri" w:cs="Times New Roman" w:hint="default"/>
        <w:color w:val="000000" w:themeColor="text1"/>
      </w:rPr>
    </w:lvl>
    <w:lvl w:ilvl="7">
      <w:start w:val="1"/>
      <w:numFmt w:val="decimal"/>
      <w:lvlText w:val="%1.%2.%3.%4.%5.%6.%7.%8"/>
      <w:lvlJc w:val="left"/>
      <w:pPr>
        <w:ind w:left="1440" w:hanging="1440"/>
      </w:pPr>
      <w:rPr>
        <w:rFonts w:ascii="Calibri" w:eastAsia="SimSun" w:hAnsi="Calibri" w:cs="Times New Roman" w:hint="default"/>
        <w:color w:val="000000" w:themeColor="text1"/>
      </w:rPr>
    </w:lvl>
    <w:lvl w:ilvl="8">
      <w:start w:val="1"/>
      <w:numFmt w:val="decimal"/>
      <w:lvlText w:val="%1.%2.%3.%4.%5.%6.%7.%8.%9"/>
      <w:lvlJc w:val="left"/>
      <w:pPr>
        <w:ind w:left="1800" w:hanging="1800"/>
      </w:pPr>
      <w:rPr>
        <w:rFonts w:ascii="Calibri" w:eastAsia="SimSun" w:hAnsi="Calibri" w:cs="Times New Roman" w:hint="default"/>
        <w:color w:val="000000" w:themeColor="text1"/>
      </w:rPr>
    </w:lvl>
  </w:abstractNum>
  <w:abstractNum w:abstractNumId="12" w15:restartNumberingAfterBreak="0">
    <w:nsid w:val="35A36C4E"/>
    <w:multiLevelType w:val="hybridMultilevel"/>
    <w:tmpl w:val="837CC698"/>
    <w:lvl w:ilvl="0" w:tplc="04090001">
      <w:start w:val="1"/>
      <w:numFmt w:val="bullet"/>
      <w:lvlText w:val=""/>
      <w:lvlJc w:val="left"/>
      <w:pPr>
        <w:ind w:left="1312" w:hanging="360"/>
      </w:pPr>
      <w:rPr>
        <w:rFonts w:ascii="Symbol" w:hAnsi="Symbol" w:hint="default"/>
      </w:rPr>
    </w:lvl>
    <w:lvl w:ilvl="1" w:tplc="04090003" w:tentative="1">
      <w:start w:val="1"/>
      <w:numFmt w:val="bullet"/>
      <w:lvlText w:val="o"/>
      <w:lvlJc w:val="left"/>
      <w:pPr>
        <w:ind w:left="2032" w:hanging="360"/>
      </w:pPr>
      <w:rPr>
        <w:rFonts w:ascii="Courier New" w:hAnsi="Courier New" w:cs="Courier New" w:hint="default"/>
      </w:rPr>
    </w:lvl>
    <w:lvl w:ilvl="2" w:tplc="04090005" w:tentative="1">
      <w:start w:val="1"/>
      <w:numFmt w:val="bullet"/>
      <w:lvlText w:val=""/>
      <w:lvlJc w:val="left"/>
      <w:pPr>
        <w:ind w:left="2752" w:hanging="360"/>
      </w:pPr>
      <w:rPr>
        <w:rFonts w:ascii="Wingdings" w:hAnsi="Wingdings" w:hint="default"/>
      </w:rPr>
    </w:lvl>
    <w:lvl w:ilvl="3" w:tplc="04090001" w:tentative="1">
      <w:start w:val="1"/>
      <w:numFmt w:val="bullet"/>
      <w:lvlText w:val=""/>
      <w:lvlJc w:val="left"/>
      <w:pPr>
        <w:ind w:left="3472" w:hanging="360"/>
      </w:pPr>
      <w:rPr>
        <w:rFonts w:ascii="Symbol" w:hAnsi="Symbol" w:hint="default"/>
      </w:rPr>
    </w:lvl>
    <w:lvl w:ilvl="4" w:tplc="04090003" w:tentative="1">
      <w:start w:val="1"/>
      <w:numFmt w:val="bullet"/>
      <w:lvlText w:val="o"/>
      <w:lvlJc w:val="left"/>
      <w:pPr>
        <w:ind w:left="4192" w:hanging="360"/>
      </w:pPr>
      <w:rPr>
        <w:rFonts w:ascii="Courier New" w:hAnsi="Courier New" w:cs="Courier New" w:hint="default"/>
      </w:rPr>
    </w:lvl>
    <w:lvl w:ilvl="5" w:tplc="04090005" w:tentative="1">
      <w:start w:val="1"/>
      <w:numFmt w:val="bullet"/>
      <w:lvlText w:val=""/>
      <w:lvlJc w:val="left"/>
      <w:pPr>
        <w:ind w:left="4912" w:hanging="360"/>
      </w:pPr>
      <w:rPr>
        <w:rFonts w:ascii="Wingdings" w:hAnsi="Wingdings" w:hint="default"/>
      </w:rPr>
    </w:lvl>
    <w:lvl w:ilvl="6" w:tplc="04090001" w:tentative="1">
      <w:start w:val="1"/>
      <w:numFmt w:val="bullet"/>
      <w:lvlText w:val=""/>
      <w:lvlJc w:val="left"/>
      <w:pPr>
        <w:ind w:left="5632" w:hanging="360"/>
      </w:pPr>
      <w:rPr>
        <w:rFonts w:ascii="Symbol" w:hAnsi="Symbol" w:hint="default"/>
      </w:rPr>
    </w:lvl>
    <w:lvl w:ilvl="7" w:tplc="04090003" w:tentative="1">
      <w:start w:val="1"/>
      <w:numFmt w:val="bullet"/>
      <w:lvlText w:val="o"/>
      <w:lvlJc w:val="left"/>
      <w:pPr>
        <w:ind w:left="6352" w:hanging="360"/>
      </w:pPr>
      <w:rPr>
        <w:rFonts w:ascii="Courier New" w:hAnsi="Courier New" w:cs="Courier New" w:hint="default"/>
      </w:rPr>
    </w:lvl>
    <w:lvl w:ilvl="8" w:tplc="04090005" w:tentative="1">
      <w:start w:val="1"/>
      <w:numFmt w:val="bullet"/>
      <w:lvlText w:val=""/>
      <w:lvlJc w:val="left"/>
      <w:pPr>
        <w:ind w:left="7072" w:hanging="360"/>
      </w:pPr>
      <w:rPr>
        <w:rFonts w:ascii="Wingdings" w:hAnsi="Wingdings" w:hint="default"/>
      </w:rPr>
    </w:lvl>
  </w:abstractNum>
  <w:abstractNum w:abstractNumId="13"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1"/>
  </w:num>
  <w:num w:numId="5">
    <w:abstractNumId w:val="1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1CB4"/>
    <w:rsid w:val="00063016"/>
    <w:rsid w:val="00066795"/>
    <w:rsid w:val="00076AF6"/>
    <w:rsid w:val="00085CF2"/>
    <w:rsid w:val="000B1705"/>
    <w:rsid w:val="000C4C1E"/>
    <w:rsid w:val="000D3FA5"/>
    <w:rsid w:val="000D75B2"/>
    <w:rsid w:val="00107A63"/>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118F8"/>
    <w:rsid w:val="00322D0D"/>
    <w:rsid w:val="0034746E"/>
    <w:rsid w:val="00370F2E"/>
    <w:rsid w:val="003942D4"/>
    <w:rsid w:val="003958A8"/>
    <w:rsid w:val="003B044C"/>
    <w:rsid w:val="003C2533"/>
    <w:rsid w:val="0040435A"/>
    <w:rsid w:val="00416A24"/>
    <w:rsid w:val="00431D9E"/>
    <w:rsid w:val="00433CE8"/>
    <w:rsid w:val="00434A5C"/>
    <w:rsid w:val="004544D9"/>
    <w:rsid w:val="00490E72"/>
    <w:rsid w:val="00491157"/>
    <w:rsid w:val="004921C8"/>
    <w:rsid w:val="00497A6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9641A"/>
    <w:rsid w:val="006B6680"/>
    <w:rsid w:val="006B6DCC"/>
    <w:rsid w:val="007002E4"/>
    <w:rsid w:val="00702DEF"/>
    <w:rsid w:val="00706861"/>
    <w:rsid w:val="00740FE3"/>
    <w:rsid w:val="0075051B"/>
    <w:rsid w:val="00793188"/>
    <w:rsid w:val="00794D34"/>
    <w:rsid w:val="007C07E5"/>
    <w:rsid w:val="0080061A"/>
    <w:rsid w:val="00813E5E"/>
    <w:rsid w:val="0083581B"/>
    <w:rsid w:val="00864AFF"/>
    <w:rsid w:val="008741F5"/>
    <w:rsid w:val="00887E6D"/>
    <w:rsid w:val="008B4A6A"/>
    <w:rsid w:val="008C7E27"/>
    <w:rsid w:val="008D015E"/>
    <w:rsid w:val="008E009C"/>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1DA2"/>
    <w:rsid w:val="00B824C8"/>
    <w:rsid w:val="00BC251A"/>
    <w:rsid w:val="00BD032B"/>
    <w:rsid w:val="00BE2640"/>
    <w:rsid w:val="00C01189"/>
    <w:rsid w:val="00C020D4"/>
    <w:rsid w:val="00C374DE"/>
    <w:rsid w:val="00C47AD4"/>
    <w:rsid w:val="00C52D81"/>
    <w:rsid w:val="00C55198"/>
    <w:rsid w:val="00CA6393"/>
    <w:rsid w:val="00CB0839"/>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4E4"/>
    <w:rsid w:val="00EA2120"/>
    <w:rsid w:val="00EB0D6F"/>
    <w:rsid w:val="00EB2232"/>
    <w:rsid w:val="00EC0FD7"/>
    <w:rsid w:val="00EC5337"/>
    <w:rsid w:val="00ED4E31"/>
    <w:rsid w:val="00F2150A"/>
    <w:rsid w:val="00F231D8"/>
    <w:rsid w:val="00F46C5F"/>
    <w:rsid w:val="00F55D9B"/>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BalloonText">
    <w:name w:val="Balloon Text"/>
    <w:basedOn w:val="Normal"/>
    <w:link w:val="BalloonTextChar"/>
    <w:semiHidden/>
    <w:unhideWhenUsed/>
    <w:rsid w:val="00031C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31CB4"/>
    <w:rPr>
      <w:rFonts w:ascii="Segoe UI" w:hAnsi="Segoe UI" w:cs="Segoe UI"/>
      <w:sz w:val="18"/>
      <w:szCs w:val="18"/>
      <w:lang w:val="en-GB" w:eastAsia="en-US"/>
    </w:rPr>
  </w:style>
  <w:style w:type="paragraph" w:styleId="ListParagraph">
    <w:name w:val="List Paragraph"/>
    <w:basedOn w:val="Normal"/>
    <w:uiPriority w:val="34"/>
    <w:qFormat/>
    <w:rsid w:val="00370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ADD-C-0005/en" TargetMode="External"/><Relationship Id="rId18" Type="http://schemas.openxmlformats.org/officeDocument/2006/relationships/hyperlink" Target="https://www.itu.int/en/hq-building/Pages/default.aspx" TargetMode="External"/><Relationship Id="rId3" Type="http://schemas.openxmlformats.org/officeDocument/2006/relationships/customXml" Target="../customXml/item3.xml"/><Relationship Id="rId21" Type="http://schemas.openxmlformats.org/officeDocument/2006/relationships/hyperlink" Target="https://www.itu.int/md/S20-CL-INF-0021/en" TargetMode="Externa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20-CL-C-0048/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0-CL-C-0048/en" TargetMode="External"/><Relationship Id="rId20" Type="http://schemas.openxmlformats.org/officeDocument/2006/relationships/hyperlink" Target="https://www.itu.int/md/S20-CL-INF-0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9-CL-C-0048/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0-CL-C-007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212-E.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E0B8F8A61BC45AE3DDF53674B50FA" ma:contentTypeVersion="2" ma:contentTypeDescription="Create a new document." ma:contentTypeScope="" ma:versionID="7f53629bfab506d3b291dd70fd207efc">
  <xsd:schema xmlns:xsd="http://www.w3.org/2001/XMLSchema" xmlns:xs="http://www.w3.org/2001/XMLSchema" xmlns:p="http://schemas.microsoft.com/office/2006/metadata/properties" xmlns:ns2="f413e73c-0d45-446a-a106-728708596ba9" targetNamespace="http://schemas.microsoft.com/office/2006/metadata/properties" ma:root="true" ma:fieldsID="de58a5e8b24d6c34caa9dd3905b617a8" ns2:_="">
    <xsd:import namespace="f413e73c-0d45-446a-a106-728708596ba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customXml/itemProps2.xml><?xml version="1.0" encoding="utf-8"?>
<ds:datastoreItem xmlns:ds="http://schemas.openxmlformats.org/officeDocument/2006/customXml" ds:itemID="{B3210EB2-20AF-4B01-B0AF-7EC725DD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58C77-9ED7-40FF-9381-26C11679861D}">
  <ds:schemaRefs>
    <ds:schemaRef ds:uri="http://schemas.microsoft.com/sharepoint/v3/contenttype/forms"/>
  </ds:schemaRefs>
</ds:datastoreItem>
</file>

<file path=customXml/itemProps4.xml><?xml version="1.0" encoding="utf-8"?>
<ds:datastoreItem xmlns:ds="http://schemas.openxmlformats.org/officeDocument/2006/customXml" ds:itemID="{AD943CCC-F4FF-4B22-A974-A22FBCED0378}">
  <ds:schemaRefs>
    <ds:schemaRef ds:uri="http://schemas.microsoft.com/office/2006/documentManagement/types"/>
    <ds:schemaRef ds:uri="f413e73c-0d45-446a-a106-728708596ba9"/>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6734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2021-04-12T19:04:00Z</dcterms:created>
  <dcterms:modified xsi:type="dcterms:W3CDTF">2021-04-12T19:04:00Z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0x0101007A0E0B8F8A61BC45AE3DDF53674B50FA</vt:lpwstr>
  </property>
</Properties>
</file>