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240DC6A2" w14:textId="77777777" w:rsidTr="006C7CC0">
        <w:trPr>
          <w:cantSplit/>
          <w:trHeight w:val="20"/>
        </w:trPr>
        <w:tc>
          <w:tcPr>
            <w:tcW w:w="6620" w:type="dxa"/>
          </w:tcPr>
          <w:p w14:paraId="632ADECF" w14:textId="7777777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</w:t>
            </w:r>
            <w:r w:rsidR="00C566BA">
              <w:rPr>
                <w:b/>
                <w:bCs/>
                <w:w w:val="110"/>
                <w:sz w:val="30"/>
                <w:szCs w:val="30"/>
                <w:lang w:bidi="ar-SY"/>
              </w:rPr>
              <w:t>1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C67A8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المشاورة الافتراضية لأعضاء المجلس</w:t>
            </w:r>
            <w:r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C566BA">
              <w:rPr>
                <w:b/>
                <w:bCs/>
                <w:sz w:val="24"/>
                <w:szCs w:val="24"/>
                <w:lang w:bidi="ar-SY"/>
              </w:rPr>
              <w:t>18-8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2358A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يونيو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566BA">
              <w:rPr>
                <w:b/>
                <w:bCs/>
                <w:sz w:val="24"/>
                <w:szCs w:val="24"/>
                <w:lang w:bidi="ar-EG"/>
              </w:rPr>
              <w:t>2021</w:t>
            </w:r>
          </w:p>
        </w:tc>
        <w:tc>
          <w:tcPr>
            <w:tcW w:w="3052" w:type="dxa"/>
          </w:tcPr>
          <w:p w14:paraId="7EB29512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4FF85ABB" wp14:editId="05BD9646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044DFAD5" w14:textId="77777777" w:rsidTr="00450F29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3F89E854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8A2B030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33BDBAC5" w14:textId="77777777" w:rsidTr="00450F29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3E9C653E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10E4C747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0502A5B2" w14:textId="77777777" w:rsidTr="00450F29">
        <w:trPr>
          <w:cantSplit/>
        </w:trPr>
        <w:tc>
          <w:tcPr>
            <w:tcW w:w="6620" w:type="dxa"/>
            <w:vMerge w:val="restart"/>
          </w:tcPr>
          <w:p w14:paraId="3CF2284C" w14:textId="3F5F1901" w:rsidR="005805EA" w:rsidRPr="005805EA" w:rsidRDefault="0015650C" w:rsidP="00450F29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450F29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450F29">
              <w:rPr>
                <w:b/>
                <w:bCs/>
                <w:lang w:bidi="ar-EG"/>
              </w:rPr>
              <w:t>ADM </w:t>
            </w:r>
            <w:r w:rsidR="00450F29" w:rsidRPr="00450F29">
              <w:rPr>
                <w:b/>
                <w:bCs/>
                <w:lang w:bidi="ar-EG"/>
              </w:rPr>
              <w:t>1</w:t>
            </w:r>
          </w:p>
        </w:tc>
        <w:tc>
          <w:tcPr>
            <w:tcW w:w="3052" w:type="dxa"/>
            <w:vAlign w:val="center"/>
          </w:tcPr>
          <w:p w14:paraId="3100C141" w14:textId="712CBB3F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>
              <w:rPr>
                <w:b/>
                <w:bCs/>
                <w:lang w:bidi="ar-SY"/>
              </w:rPr>
              <w:t>1</w:t>
            </w:r>
            <w:r w:rsidRPr="002F71D8">
              <w:rPr>
                <w:b/>
                <w:bCs/>
                <w:lang w:bidi="ar-SY"/>
              </w:rPr>
              <w:t>/</w:t>
            </w:r>
            <w:r w:rsidR="00450F29">
              <w:rPr>
                <w:b/>
                <w:bCs/>
                <w:lang w:bidi="ar-SY"/>
              </w:rPr>
              <w:t>56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2E17A9EC" w14:textId="77777777" w:rsidTr="00450F29">
        <w:trPr>
          <w:cantSplit/>
        </w:trPr>
        <w:tc>
          <w:tcPr>
            <w:tcW w:w="6620" w:type="dxa"/>
            <w:vMerge/>
          </w:tcPr>
          <w:p w14:paraId="519B514A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4E8A637E" w14:textId="7B27C7B4" w:rsidR="0015650C" w:rsidRPr="002F71D8" w:rsidRDefault="00450F29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7 أبريل 2021</w:t>
            </w:r>
          </w:p>
        </w:tc>
      </w:tr>
      <w:tr w:rsidR="0015650C" w:rsidRPr="00290728" w14:paraId="55010925" w14:textId="77777777" w:rsidTr="00450F29">
        <w:trPr>
          <w:cantSplit/>
        </w:trPr>
        <w:tc>
          <w:tcPr>
            <w:tcW w:w="6620" w:type="dxa"/>
            <w:vMerge/>
          </w:tcPr>
          <w:p w14:paraId="5CDE91B5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6188B7D3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Pr="00450F29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450F29" w:rsidRPr="00290728" w14:paraId="65D74B34" w14:textId="77777777" w:rsidTr="00450F29">
        <w:trPr>
          <w:cantSplit/>
        </w:trPr>
        <w:tc>
          <w:tcPr>
            <w:tcW w:w="9672" w:type="dxa"/>
            <w:gridSpan w:val="2"/>
          </w:tcPr>
          <w:p w14:paraId="23C8B512" w14:textId="1F45B21C" w:rsidR="00450F29" w:rsidRPr="00290728" w:rsidRDefault="00450F29" w:rsidP="00450F29">
            <w:pPr>
              <w:pStyle w:val="Source"/>
              <w:rPr>
                <w:rtl/>
                <w:lang w:bidi="ar-EG"/>
              </w:rPr>
            </w:pPr>
            <w:r w:rsidRPr="00BB4070">
              <w:rPr>
                <w:rtl/>
              </w:rPr>
              <w:t>تقرير من الأمين العام</w:t>
            </w:r>
          </w:p>
        </w:tc>
      </w:tr>
      <w:tr w:rsidR="00450F29" w:rsidRPr="00290728" w14:paraId="6265EC34" w14:textId="77777777" w:rsidTr="00450F29">
        <w:trPr>
          <w:cantSplit/>
        </w:trPr>
        <w:tc>
          <w:tcPr>
            <w:tcW w:w="9672" w:type="dxa"/>
            <w:gridSpan w:val="2"/>
          </w:tcPr>
          <w:p w14:paraId="0F6CF7AA" w14:textId="4269A4FA" w:rsidR="00450F29" w:rsidRPr="00383829" w:rsidRDefault="00450F29" w:rsidP="00450F29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 xml:space="preserve">القيمة المبدئية </w:t>
            </w:r>
            <w:r w:rsidRPr="00A53418">
              <w:rPr>
                <w:rtl/>
              </w:rPr>
              <w:t>لمبلغ وحدة المساهمة</w:t>
            </w:r>
          </w:p>
        </w:tc>
      </w:tr>
    </w:tbl>
    <w:p w14:paraId="47DA3FAB" w14:textId="77777777" w:rsidR="00706D7A" w:rsidRDefault="00706D7A" w:rsidP="002154EE">
      <w:pPr>
        <w:rPr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363EF96F" w14:textId="77777777" w:rsidTr="00952F86">
        <w:trPr>
          <w:jc w:val="center"/>
        </w:trPr>
        <w:tc>
          <w:tcPr>
            <w:tcW w:w="8080" w:type="dxa"/>
          </w:tcPr>
          <w:p w14:paraId="1AC961FC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39E8D9C3" w14:textId="40D3AE0C" w:rsidR="00450F29" w:rsidRPr="000E4FF0" w:rsidRDefault="00450F29" w:rsidP="00450F29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tl/>
                <w:lang w:bidi="ar-SY"/>
              </w:rPr>
            </w:pPr>
            <w:r w:rsidRPr="00BB4070">
              <w:rPr>
                <w:rFonts w:hint="cs"/>
                <w:rtl/>
                <w:lang w:bidi="ar-SY"/>
              </w:rPr>
              <w:t xml:space="preserve">ينوي الأمين العام اقتراح الإبقاء على </w:t>
            </w:r>
            <w:r>
              <w:rPr>
                <w:rFonts w:hint="cs"/>
                <w:rtl/>
                <w:lang w:bidi="ar-SY"/>
              </w:rPr>
              <w:t xml:space="preserve">مبلغ </w:t>
            </w:r>
            <w:r w:rsidRPr="00BB4070">
              <w:rPr>
                <w:rFonts w:hint="cs"/>
                <w:rtl/>
                <w:lang w:bidi="ar-SY"/>
              </w:rPr>
              <w:t xml:space="preserve">وحدة المساهمة عند المستوى الحالي البالغ </w:t>
            </w:r>
            <w:r w:rsidRPr="00BB4070">
              <w:rPr>
                <w:lang w:bidi="ar-SY"/>
              </w:rPr>
              <w:t>318 000</w:t>
            </w:r>
            <w:r>
              <w:rPr>
                <w:rFonts w:hint="eastAsia"/>
                <w:rtl/>
                <w:lang w:bidi="ar-SY"/>
              </w:rPr>
              <w:t> </w:t>
            </w:r>
            <w:r w:rsidRPr="00BB4070">
              <w:rPr>
                <w:rFonts w:hint="cs"/>
                <w:rtl/>
                <w:lang w:bidi="ar-SY"/>
              </w:rPr>
              <w:t xml:space="preserve">فرنك سويسري. </w:t>
            </w:r>
            <w:r>
              <w:rPr>
                <w:rFonts w:hint="cs"/>
                <w:rtl/>
                <w:lang w:bidi="ar-SY"/>
              </w:rPr>
              <w:t>وسيوفر ذلك لجميع الدول الأعضاء،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مثلما كان الحال</w:t>
            </w:r>
            <w:r w:rsidRPr="002B4138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 xml:space="preserve">في </w:t>
            </w:r>
            <w:r w:rsidRPr="00947861">
              <w:rPr>
                <w:rFonts w:hint="cs"/>
                <w:rtl/>
                <w:lang w:bidi="ar-SY"/>
              </w:rPr>
              <w:t xml:space="preserve">مؤتمر المندوبين المفوضين الأخير، أساساً جيداً لمناقشة الخطة المالية ويسمح بالتحضير الكافي قبل </w:t>
            </w:r>
            <w:r>
              <w:rPr>
                <w:rFonts w:hint="cs"/>
                <w:rtl/>
                <w:lang w:bidi="ar-SY"/>
              </w:rPr>
              <w:t xml:space="preserve">انعقاد </w:t>
            </w:r>
            <w:r w:rsidRPr="00947861">
              <w:rPr>
                <w:rFonts w:hint="cs"/>
                <w:rtl/>
                <w:lang w:bidi="ar-SY"/>
              </w:rPr>
              <w:t xml:space="preserve">مؤتمر المندوبين المفوضين لعام </w:t>
            </w:r>
            <w:r>
              <w:rPr>
                <w:lang w:bidi="ar-SY"/>
              </w:rPr>
              <w:t>2022</w:t>
            </w:r>
            <w:r w:rsidRPr="00947861">
              <w:rPr>
                <w:rFonts w:hint="cs"/>
                <w:rtl/>
                <w:lang w:bidi="ar-SY"/>
              </w:rPr>
              <w:t>.</w:t>
            </w:r>
          </w:p>
          <w:p w14:paraId="34F6CF54" w14:textId="77777777" w:rsidR="00450F29" w:rsidRPr="000E4FF0" w:rsidRDefault="00450F29" w:rsidP="00450F29">
            <w:pPr>
              <w:tabs>
                <w:tab w:val="left" w:pos="1361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7B7C99E9" w14:textId="77777777" w:rsidR="00450F29" w:rsidRPr="000E4FF0" w:rsidRDefault="00450F29" w:rsidP="00450F29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يُدعى المجلس</w:t>
            </w:r>
            <w:r w:rsidRPr="00091850">
              <w:rPr>
                <w:rtl/>
                <w:lang w:bidi="ar-SY"/>
              </w:rPr>
              <w:t xml:space="preserve"> </w:t>
            </w:r>
            <w:r w:rsidRPr="00091850">
              <w:rPr>
                <w:rFonts w:hint="eastAsia"/>
                <w:rtl/>
                <w:lang w:bidi="ar-SY"/>
              </w:rPr>
              <w:t>إلى</w:t>
            </w:r>
            <w:r w:rsidRPr="00091850">
              <w:rPr>
                <w:rtl/>
                <w:lang w:bidi="ar-SY"/>
              </w:rPr>
              <w:t xml:space="preserve"> </w:t>
            </w:r>
            <w:r w:rsidRPr="00091850">
              <w:rPr>
                <w:rFonts w:hint="eastAsia"/>
                <w:b/>
                <w:bCs/>
                <w:rtl/>
                <w:lang w:bidi="ar-SY"/>
              </w:rPr>
              <w:t>النظر</w:t>
            </w:r>
            <w:r w:rsidRPr="00091850">
              <w:rPr>
                <w:rtl/>
                <w:lang w:bidi="ar-SY"/>
              </w:rPr>
              <w:t xml:space="preserve"> </w:t>
            </w:r>
            <w:r w:rsidRPr="00091850">
              <w:rPr>
                <w:rFonts w:hint="eastAsia"/>
                <w:rtl/>
                <w:lang w:bidi="ar-SY"/>
              </w:rPr>
              <w:t>في</w:t>
            </w:r>
            <w:r w:rsidRPr="00091850">
              <w:rPr>
                <w:rtl/>
                <w:lang w:bidi="ar-SY"/>
              </w:rPr>
              <w:t xml:space="preserve"> </w:t>
            </w:r>
            <w:r w:rsidRPr="00091850">
              <w:rPr>
                <w:rFonts w:hint="eastAsia"/>
                <w:rtl/>
                <w:lang w:bidi="ar-SY"/>
              </w:rPr>
              <w:t>هذا</w:t>
            </w:r>
            <w:r w:rsidRPr="00091850"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المقترح</w:t>
            </w:r>
            <w:r w:rsidRPr="00091850">
              <w:rPr>
                <w:rtl/>
                <w:lang w:bidi="ar-SY"/>
              </w:rPr>
              <w:t xml:space="preserve"> </w:t>
            </w:r>
            <w:r w:rsidRPr="00091850">
              <w:rPr>
                <w:rFonts w:hint="eastAsia"/>
                <w:b/>
                <w:bCs/>
                <w:rtl/>
                <w:lang w:bidi="ar-SY"/>
              </w:rPr>
              <w:t>والموافقة</w:t>
            </w:r>
            <w:r w:rsidRPr="00091850">
              <w:rPr>
                <w:rtl/>
                <w:lang w:bidi="ar-SY"/>
              </w:rPr>
              <w:t xml:space="preserve"> </w:t>
            </w:r>
            <w:r w:rsidRPr="00091850">
              <w:rPr>
                <w:rFonts w:hint="eastAsia"/>
                <w:rtl/>
                <w:lang w:bidi="ar-SY"/>
              </w:rPr>
              <w:t>عليه</w:t>
            </w:r>
            <w:r w:rsidRPr="00091850">
              <w:rPr>
                <w:rtl/>
                <w:lang w:bidi="ar-SY"/>
              </w:rPr>
              <w:t>.</w:t>
            </w:r>
          </w:p>
          <w:p w14:paraId="68F88B41" w14:textId="77777777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22032F7B" w14:textId="77777777"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6F41469D" w14:textId="3DA43FFC" w:rsidR="00290728" w:rsidRPr="00290728" w:rsidRDefault="00450F29" w:rsidP="005409AC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r>
              <w:rPr>
                <w:rFonts w:hint="cs"/>
                <w:i/>
                <w:iCs/>
                <w:rtl/>
                <w:lang w:bidi="ar-EG"/>
              </w:rPr>
              <w:t xml:space="preserve">المواد </w:t>
            </w:r>
            <w:hyperlink r:id="rId9" w:history="1">
              <w:r w:rsidRPr="00450F29">
                <w:rPr>
                  <w:rStyle w:val="Hyperlink"/>
                  <w:i/>
                  <w:iCs/>
                  <w:lang w:bidi="ar-EG"/>
                </w:rPr>
                <w:t>8</w:t>
              </w:r>
            </w:hyperlink>
            <w:r>
              <w:rPr>
                <w:rFonts w:hint="cs"/>
                <w:i/>
                <w:iCs/>
                <w:rtl/>
                <w:lang w:bidi="ar-EG"/>
              </w:rPr>
              <w:t xml:space="preserve"> و</w:t>
            </w:r>
            <w:hyperlink r:id="rId10" w:history="1">
              <w:r w:rsidRPr="00450F29">
                <w:rPr>
                  <w:rStyle w:val="Hyperlink"/>
                  <w:i/>
                  <w:iCs/>
                  <w:lang w:bidi="ar-EG"/>
                </w:rPr>
                <w:t>28</w:t>
              </w:r>
            </w:hyperlink>
            <w:r>
              <w:rPr>
                <w:rFonts w:hint="cs"/>
                <w:i/>
                <w:iCs/>
                <w:rtl/>
                <w:lang w:bidi="ar-EG"/>
              </w:rPr>
              <w:t xml:space="preserve"> و</w:t>
            </w:r>
            <w:hyperlink r:id="rId11" w:history="1">
              <w:r w:rsidRPr="00450F29">
                <w:rPr>
                  <w:rStyle w:val="Hyperlink"/>
                  <w:i/>
                  <w:iCs/>
                  <w:lang w:bidi="ar-EG"/>
                </w:rPr>
                <w:t>33</w:t>
              </w:r>
            </w:hyperlink>
            <w:r>
              <w:rPr>
                <w:rFonts w:hint="cs"/>
                <w:i/>
                <w:iCs/>
                <w:rtl/>
                <w:lang w:bidi="ar-EG"/>
              </w:rPr>
              <w:t xml:space="preserve"> </w:t>
            </w:r>
            <w:r w:rsidRPr="00554516">
              <w:rPr>
                <w:rFonts w:hint="cs"/>
                <w:i/>
                <w:iCs/>
                <w:rtl/>
                <w:lang w:bidi="ar-EG"/>
              </w:rPr>
              <w:t>من الدستور؛</w:t>
            </w:r>
            <w:r w:rsidRPr="00693A96">
              <w:rPr>
                <w:rFonts w:hint="cs"/>
                <w:rtl/>
              </w:rPr>
              <w:t xml:space="preserve"> </w:t>
            </w:r>
            <w:hyperlink r:id="rId12" w:history="1">
              <w:r w:rsidRPr="00450F29">
                <w:rPr>
                  <w:rStyle w:val="Hyperlink"/>
                  <w:rFonts w:ascii="Traditional Arabic" w:hAnsi="Traditional Arabic" w:hint="cs"/>
                  <w:b/>
                  <w:i/>
                  <w:iCs/>
                  <w:sz w:val="30"/>
                  <w:rtl/>
                </w:rPr>
                <w:t>المقرر</w:t>
              </w:r>
              <w:r w:rsidR="00E26045">
                <w:rPr>
                  <w:rStyle w:val="Hyperlink"/>
                  <w:rFonts w:ascii="Traditional Arabic" w:hAnsi="Traditional Arabic" w:hint="cs"/>
                  <w:b/>
                  <w:i/>
                  <w:iCs/>
                  <w:sz w:val="30"/>
                  <w:rtl/>
                  <w:lang w:bidi="ar-EG"/>
                </w:rPr>
                <w:t xml:space="preserve"> </w:t>
              </w:r>
              <w:r w:rsidRPr="00450F29">
                <w:rPr>
                  <w:rStyle w:val="Hyperlink"/>
                  <w:rFonts w:cs="Times New Roman"/>
                  <w:bCs/>
                  <w:i/>
                  <w:iCs/>
                  <w:sz w:val="24"/>
                  <w:szCs w:val="24"/>
                </w:rPr>
                <w:t>5</w:t>
              </w:r>
              <w:r w:rsidRPr="00450F2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(المراجَع في بوسان، </w:t>
              </w:r>
              <w:r w:rsidRPr="00450F29">
                <w:rPr>
                  <w:rStyle w:val="Hyperlink"/>
                  <w:i/>
                  <w:iCs/>
                  <w:lang w:bidi="ar-EG"/>
                </w:rPr>
                <w:t>2014</w:t>
              </w:r>
              <w:r w:rsidRPr="00450F29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)</w:t>
              </w:r>
            </w:hyperlink>
          </w:p>
        </w:tc>
      </w:tr>
    </w:tbl>
    <w:p w14:paraId="28F3EFAB" w14:textId="77777777" w:rsidR="004E11DC" w:rsidRPr="00F974C5" w:rsidRDefault="004E11DC" w:rsidP="0026373E">
      <w:pPr>
        <w:rPr>
          <w:rtl/>
        </w:rPr>
      </w:pPr>
    </w:p>
    <w:p w14:paraId="22B700E6" w14:textId="77777777" w:rsidR="00450F29" w:rsidRDefault="00450F29" w:rsidP="00450F29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14:paraId="61AA3A77" w14:textId="65F51B31" w:rsidR="00450F29" w:rsidRDefault="00450F29" w:rsidP="00450F29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الغرض من مشروع الخطة المالية للفترة 2024-2027 </w:t>
      </w:r>
      <w:r w:rsidRPr="00923212">
        <w:rPr>
          <w:rFonts w:hint="cs"/>
          <w:rtl/>
          <w:lang w:bidi="ar-EG"/>
        </w:rPr>
        <w:t xml:space="preserve">توفير مرجع </w:t>
      </w:r>
      <w:r>
        <w:rPr>
          <w:rFonts w:hint="cs"/>
          <w:rtl/>
          <w:lang w:bidi="ar-EG"/>
        </w:rPr>
        <w:t xml:space="preserve">لمؤتمر المندوبين المفوضين لعام 2022 لوضع أساس لميزانية الاتحاد وتحديد الحدود </w:t>
      </w:r>
      <w:r w:rsidRPr="00E83C3E">
        <w:rPr>
          <w:rFonts w:hint="eastAsia"/>
          <w:rtl/>
          <w:lang w:bidi="ar-EG"/>
        </w:rPr>
        <w:t>المالية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ذات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الصلة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حتى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موعد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مؤتمر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المندوبين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المفوضين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التالي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بعد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النظر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في</w:t>
      </w:r>
      <w:r w:rsidR="00E26045">
        <w:rPr>
          <w:rFonts w:hint="cs"/>
          <w:rtl/>
          <w:lang w:bidi="ar-EG"/>
        </w:rPr>
        <w:t> </w:t>
      </w:r>
      <w:r w:rsidRPr="00E83C3E">
        <w:rPr>
          <w:rFonts w:hint="eastAsia"/>
          <w:rtl/>
          <w:lang w:bidi="ar-EG"/>
        </w:rPr>
        <w:t>جميع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الجوانب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ذات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الصلة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من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أعمال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الاتحاد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في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الفترة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المعنية</w:t>
      </w:r>
      <w:r w:rsidRPr="00E83C3E">
        <w:rPr>
          <w:rtl/>
          <w:lang w:bidi="ar-EG"/>
        </w:rPr>
        <w:t xml:space="preserve"> (</w:t>
      </w:r>
      <w:r w:rsidRPr="00E83C3E">
        <w:rPr>
          <w:rFonts w:hint="eastAsia"/>
          <w:rtl/>
          <w:lang w:bidi="ar-EG"/>
        </w:rPr>
        <w:t>الرقم</w:t>
      </w:r>
      <w:r w:rsidRPr="00E83C3E">
        <w:rPr>
          <w:rtl/>
          <w:lang w:bidi="ar-EG"/>
        </w:rPr>
        <w:t xml:space="preserve"> </w:t>
      </w:r>
      <w:r>
        <w:rPr>
          <w:lang w:bidi="ar-EG"/>
        </w:rPr>
        <w:t>51</w:t>
      </w:r>
      <w:r w:rsidRPr="00E83C3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من </w:t>
      </w:r>
      <w:r w:rsidRPr="00E83C3E">
        <w:rPr>
          <w:rFonts w:hint="eastAsia"/>
          <w:rtl/>
          <w:lang w:bidi="ar-EG"/>
        </w:rPr>
        <w:t>المادة</w:t>
      </w:r>
      <w:r w:rsidRPr="00E83C3E">
        <w:rPr>
          <w:rtl/>
          <w:lang w:bidi="ar-EG"/>
        </w:rPr>
        <w:t xml:space="preserve"> </w:t>
      </w:r>
      <w:r>
        <w:rPr>
          <w:lang w:bidi="ar-EG"/>
        </w:rPr>
        <w:t>8</w:t>
      </w:r>
      <w:r>
        <w:rPr>
          <w:rFonts w:hint="cs"/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من</w:t>
      </w:r>
      <w:r w:rsidRPr="00E83C3E">
        <w:rPr>
          <w:rtl/>
          <w:lang w:bidi="ar-EG"/>
        </w:rPr>
        <w:t xml:space="preserve"> </w:t>
      </w:r>
      <w:r w:rsidRPr="00E83C3E">
        <w:rPr>
          <w:rFonts w:hint="eastAsia"/>
          <w:rtl/>
          <w:lang w:bidi="ar-EG"/>
        </w:rPr>
        <w:t>الدستور</w:t>
      </w:r>
      <w:r w:rsidRPr="00E83C3E">
        <w:rPr>
          <w:rtl/>
          <w:lang w:bidi="ar-EG"/>
        </w:rPr>
        <w:t>).</w:t>
      </w:r>
    </w:p>
    <w:p w14:paraId="5A91C8F0" w14:textId="77777777" w:rsidR="00450F29" w:rsidRDefault="00450F29" w:rsidP="00450F29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Pr="00CB6C16">
        <w:rPr>
          <w:rFonts w:hint="cs"/>
          <w:rtl/>
          <w:lang w:bidi="ar-SY"/>
        </w:rPr>
        <w:t>و</w:t>
      </w:r>
      <w:r w:rsidRPr="00CB6C16">
        <w:rPr>
          <w:rFonts w:hint="cs"/>
          <w:rtl/>
          <w:lang w:bidi="ar-EG"/>
        </w:rPr>
        <w:t xml:space="preserve">وفقاً للرقم </w:t>
      </w:r>
      <w:r w:rsidRPr="00CB6C16">
        <w:rPr>
          <w:lang w:bidi="ar-EG"/>
        </w:rPr>
        <w:t>161B</w:t>
      </w:r>
      <w:r w:rsidRPr="00CB6C16">
        <w:rPr>
          <w:rFonts w:hint="cs"/>
          <w:rtl/>
          <w:lang w:bidi="ar-EG"/>
        </w:rPr>
        <w:t xml:space="preserve"> من المادة </w:t>
      </w:r>
      <w:r w:rsidRPr="00CB6C16">
        <w:rPr>
          <w:lang w:bidi="ar-EG"/>
        </w:rPr>
        <w:t>28</w:t>
      </w:r>
      <w:r w:rsidRPr="00CB6C16">
        <w:rPr>
          <w:rFonts w:hint="cs"/>
          <w:rtl/>
          <w:lang w:bidi="ar-EG"/>
        </w:rPr>
        <w:t xml:space="preserve"> من الدستور، </w:t>
      </w:r>
      <w:r w:rsidRPr="00CB6C16">
        <w:rPr>
          <w:rtl/>
          <w:lang w:bidi="ar-EG"/>
        </w:rPr>
        <w:t xml:space="preserve">يحدد المجلس، في دورته التي تسبق انعقاد مؤتمر المندوبين المفوضين، مبلغاً مؤقتاً لوحدة المساهمة، على أساس مشروع الخطة المالية للفترة المعنية </w:t>
      </w:r>
      <w:r w:rsidRPr="00CB6C16">
        <w:rPr>
          <w:rFonts w:hint="cs"/>
          <w:rtl/>
          <w:lang w:bidi="ar-EG"/>
        </w:rPr>
        <w:t>و</w:t>
      </w:r>
      <w:r w:rsidRPr="00CB6C16">
        <w:rPr>
          <w:rtl/>
          <w:lang w:bidi="ar-EG"/>
        </w:rPr>
        <w:t>العدد الكلي لوحدات المساهمة</w:t>
      </w:r>
      <w:r w:rsidRPr="00CB6C16">
        <w:rPr>
          <w:rFonts w:hint="cs"/>
          <w:rtl/>
          <w:lang w:bidi="ar-EG"/>
        </w:rPr>
        <w:t>.</w:t>
      </w:r>
    </w:p>
    <w:p w14:paraId="25D673A2" w14:textId="393B98B7" w:rsidR="00450F29" w:rsidRPr="00F60EBE" w:rsidRDefault="00450F29" w:rsidP="00450F29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فالمقرر 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(المراجَع في دبي، </w:t>
      </w:r>
      <w:proofErr w:type="gramStart"/>
      <w:r>
        <w:rPr>
          <w:rFonts w:hint="cs"/>
          <w:rtl/>
          <w:lang w:bidi="ar-EG"/>
        </w:rPr>
        <w:t>2018)،</w:t>
      </w:r>
      <w:proofErr w:type="gramEnd"/>
      <w:r>
        <w:rPr>
          <w:rFonts w:hint="cs"/>
          <w:rtl/>
          <w:lang w:bidi="ar-EG"/>
        </w:rPr>
        <w:t xml:space="preserve"> في هذا السياق، </w:t>
      </w:r>
      <w:r w:rsidRPr="00142655">
        <w:rPr>
          <w:rFonts w:hint="cs"/>
          <w:i/>
          <w:iCs/>
          <w:rtl/>
          <w:lang w:bidi="ar-EG"/>
        </w:rPr>
        <w:t>يدعو المجلس</w:t>
      </w:r>
      <w:r>
        <w:rPr>
          <w:rFonts w:hint="cs"/>
          <w:rtl/>
          <w:lang w:bidi="ar-EG"/>
        </w:rPr>
        <w:t xml:space="preserve"> إلى أن يحدد، قدر الإمكان عملياً، القيمة المبدئية لمبلغ وحدة المساهمة للفترة 2024-2027، في دورته العادية لعام 2021، </w:t>
      </w:r>
      <w:r w:rsidRPr="00F60EBE">
        <w:rPr>
          <w:rFonts w:hint="cs"/>
          <w:i/>
          <w:iCs/>
          <w:rtl/>
          <w:lang w:bidi="ar-EG"/>
        </w:rPr>
        <w:t>ويدعو الدول الأعضاء</w:t>
      </w:r>
      <w:r>
        <w:rPr>
          <w:rFonts w:hint="cs"/>
          <w:rtl/>
          <w:lang w:bidi="ar-EG"/>
        </w:rPr>
        <w:t xml:space="preserve"> إلى أن تعلن، قبل انتهاء السنة التقويمية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2021، عن فئة مساهمتها المؤقتة للفترة 2024-2027.</w:t>
      </w:r>
    </w:p>
    <w:p w14:paraId="2F1EDC87" w14:textId="28B28E3C" w:rsidR="00450F29" w:rsidRDefault="00450F29" w:rsidP="00450F29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 w:rsidRPr="002B4138">
        <w:rPr>
          <w:rFonts w:hint="cs"/>
          <w:rtl/>
          <w:lang w:bidi="ar-SY"/>
        </w:rPr>
        <w:t xml:space="preserve">وينوي الأمين العام اقتراح الإبقاء على </w:t>
      </w:r>
      <w:r>
        <w:rPr>
          <w:rFonts w:hint="cs"/>
          <w:rtl/>
          <w:lang w:bidi="ar-SY"/>
        </w:rPr>
        <w:t xml:space="preserve">مبلغ </w:t>
      </w:r>
      <w:r w:rsidRPr="002B4138">
        <w:rPr>
          <w:rFonts w:hint="cs"/>
          <w:rtl/>
          <w:lang w:bidi="ar-SY"/>
        </w:rPr>
        <w:t xml:space="preserve">وحدة المساهمة عند المستوى الحالي البالغ </w:t>
      </w:r>
      <w:r w:rsidRPr="002B4138">
        <w:rPr>
          <w:lang w:bidi="ar-EG"/>
        </w:rPr>
        <w:t>318 000</w:t>
      </w:r>
      <w:r w:rsidRPr="002B4138">
        <w:rPr>
          <w:rFonts w:hint="cs"/>
          <w:rtl/>
          <w:lang w:bidi="ar-SY"/>
        </w:rPr>
        <w:t xml:space="preserve"> فرنك سويسري. </w:t>
      </w:r>
      <w:r>
        <w:rPr>
          <w:rFonts w:hint="cs"/>
          <w:rtl/>
          <w:lang w:bidi="ar-SY"/>
        </w:rPr>
        <w:t>وسيوفر ذلك لجميع الدول الأعضاء، مثلما كان الحال</w:t>
      </w:r>
      <w:r w:rsidRPr="002B4138">
        <w:rPr>
          <w:rFonts w:hint="cs"/>
          <w:rtl/>
          <w:lang w:bidi="ar-SY"/>
        </w:rPr>
        <w:t xml:space="preserve"> في مؤتمر المندوبين المفوضين الأخير، أساساً جيداً لمناقشة الخطة المالية ويسمح بالتحضير الكافي قبل </w:t>
      </w:r>
      <w:r>
        <w:rPr>
          <w:rFonts w:hint="cs"/>
          <w:rtl/>
          <w:lang w:bidi="ar-SY"/>
        </w:rPr>
        <w:t xml:space="preserve">انعقاد </w:t>
      </w:r>
      <w:r w:rsidRPr="002B4138">
        <w:rPr>
          <w:rFonts w:hint="cs"/>
          <w:rtl/>
          <w:lang w:bidi="ar-SY"/>
        </w:rPr>
        <w:t xml:space="preserve">مؤتمر المندوبين المفوضين لعام </w:t>
      </w:r>
      <w:r>
        <w:rPr>
          <w:rFonts w:hint="cs"/>
          <w:rtl/>
          <w:lang w:bidi="ar-EG"/>
        </w:rPr>
        <w:t>2022</w:t>
      </w:r>
      <w:r>
        <w:rPr>
          <w:rFonts w:hint="cs"/>
          <w:rtl/>
          <w:lang w:bidi="ar-SY"/>
        </w:rPr>
        <w:t xml:space="preserve">. ووفقاً للمقرر 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(المراجَع في دبي، 2018)، </w:t>
      </w:r>
      <w:r>
        <w:rPr>
          <w:rFonts w:hint="cs"/>
          <w:rtl/>
          <w:lang w:bidi="ar-SY"/>
        </w:rPr>
        <w:t>تم</w:t>
      </w:r>
      <w:r w:rsidR="00E26045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 xml:space="preserve">الإبقاء على قيمة وحدة المساهمة بمبلغ </w:t>
      </w:r>
      <w:r w:rsidRPr="002B4138">
        <w:rPr>
          <w:lang w:bidi="ar-EG"/>
        </w:rPr>
        <w:t>318 000</w:t>
      </w:r>
      <w:r w:rsidRPr="002B4138">
        <w:rPr>
          <w:rFonts w:hint="cs"/>
          <w:rtl/>
          <w:lang w:bidi="ar-SY"/>
        </w:rPr>
        <w:t xml:space="preserve"> فرنك سويسري</w:t>
      </w:r>
      <w:r>
        <w:rPr>
          <w:rFonts w:hint="cs"/>
          <w:rtl/>
          <w:lang w:bidi="ar-SY"/>
        </w:rPr>
        <w:t xml:space="preserve">، </w:t>
      </w:r>
      <w:r>
        <w:rPr>
          <w:rFonts w:hint="cs"/>
          <w:rtl/>
          <w:lang w:bidi="ar-EG"/>
        </w:rPr>
        <w:t xml:space="preserve">أي ما يعادل نمواً اسمياً صفرياً منذ عام </w:t>
      </w:r>
      <w:r>
        <w:rPr>
          <w:lang w:bidi="ar-EG"/>
        </w:rPr>
        <w:t>2006</w:t>
      </w:r>
      <w:r>
        <w:rPr>
          <w:rFonts w:hint="cs"/>
          <w:rtl/>
          <w:lang w:bidi="ar-EG"/>
        </w:rPr>
        <w:t>.</w:t>
      </w:r>
    </w:p>
    <w:p w14:paraId="4DFEF63E" w14:textId="15038981" w:rsidR="00450F29" w:rsidRDefault="00450F29" w:rsidP="00450F29">
      <w:pPr>
        <w:rPr>
          <w:rtl/>
          <w:lang w:bidi="ar-EG"/>
        </w:rPr>
      </w:pPr>
      <w:r>
        <w:rPr>
          <w:lang w:bidi="ar-EG"/>
        </w:rPr>
        <w:lastRenderedPageBreak/>
        <w:t>5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وبمجرد أن يوافق المجلس على القيمة المبدئية لمبلغ وحدة المساهمة، </w:t>
      </w:r>
      <w:r w:rsidRPr="009874F1">
        <w:rPr>
          <w:rFonts w:hint="eastAsia"/>
          <w:rtl/>
          <w:lang w:bidi="ar-EG"/>
        </w:rPr>
        <w:t>يرسل</w:t>
      </w:r>
      <w:r w:rsidRPr="009874F1">
        <w:rPr>
          <w:rtl/>
          <w:lang w:bidi="ar-EG"/>
        </w:rPr>
        <w:t xml:space="preserve"> </w:t>
      </w:r>
      <w:r w:rsidRPr="009874F1">
        <w:rPr>
          <w:rFonts w:hint="eastAsia"/>
          <w:rtl/>
          <w:lang w:bidi="ar-EG"/>
        </w:rPr>
        <w:t>الأمين</w:t>
      </w:r>
      <w:r w:rsidRPr="009874F1">
        <w:rPr>
          <w:rtl/>
          <w:lang w:bidi="ar-EG"/>
        </w:rPr>
        <w:t xml:space="preserve"> </w:t>
      </w:r>
      <w:r w:rsidRPr="009874F1">
        <w:rPr>
          <w:rFonts w:hint="eastAsia"/>
          <w:rtl/>
          <w:lang w:bidi="ar-EG"/>
        </w:rPr>
        <w:t>العام</w:t>
      </w:r>
      <w:r w:rsidRPr="009874F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رسالة</w:t>
      </w:r>
      <w:r w:rsidRPr="009874F1">
        <w:rPr>
          <w:rtl/>
          <w:lang w:bidi="ar-EG"/>
        </w:rPr>
        <w:t xml:space="preserve"> </w:t>
      </w:r>
      <w:r w:rsidRPr="009874F1">
        <w:rPr>
          <w:rFonts w:hint="eastAsia"/>
          <w:rtl/>
          <w:lang w:bidi="ar-EG"/>
        </w:rPr>
        <w:t>إلى</w:t>
      </w:r>
      <w:r w:rsidRPr="009874F1">
        <w:rPr>
          <w:rtl/>
          <w:lang w:bidi="ar-EG"/>
        </w:rPr>
        <w:t xml:space="preserve"> </w:t>
      </w:r>
      <w:r w:rsidRPr="009874F1">
        <w:rPr>
          <w:rFonts w:hint="eastAsia"/>
          <w:rtl/>
          <w:lang w:bidi="ar-EG"/>
        </w:rPr>
        <w:t>جميع</w:t>
      </w:r>
      <w:r w:rsidRPr="009874F1">
        <w:rPr>
          <w:rtl/>
          <w:lang w:bidi="ar-EG"/>
        </w:rPr>
        <w:t xml:space="preserve"> </w:t>
      </w:r>
      <w:r w:rsidRPr="009874F1">
        <w:rPr>
          <w:rFonts w:hint="eastAsia"/>
          <w:rtl/>
          <w:lang w:bidi="ar-EG"/>
        </w:rPr>
        <w:t>الدول</w:t>
      </w:r>
      <w:r w:rsidRPr="009874F1">
        <w:rPr>
          <w:rtl/>
          <w:lang w:bidi="ar-EG"/>
        </w:rPr>
        <w:t xml:space="preserve"> </w:t>
      </w:r>
      <w:r w:rsidRPr="009874F1">
        <w:rPr>
          <w:rFonts w:hint="eastAsia"/>
          <w:rtl/>
          <w:lang w:bidi="ar-EG"/>
        </w:rPr>
        <w:t>الأعضاء</w:t>
      </w:r>
      <w:r>
        <w:rPr>
          <w:rFonts w:hint="cs"/>
          <w:rtl/>
          <w:lang w:bidi="ar-EG"/>
        </w:rPr>
        <w:t xml:space="preserve"> لدعوتها إلى الإعلان عن اختيارها المؤقت لفئة المساهمة للفترة 2024-2027، وذلك بحلول </w:t>
      </w:r>
      <w:r>
        <w:rPr>
          <w:lang w:bidi="ar-EG"/>
        </w:rPr>
        <w:t>31</w:t>
      </w:r>
      <w:r>
        <w:rPr>
          <w:rFonts w:hint="cs"/>
          <w:rtl/>
          <w:lang w:bidi="ar-EG"/>
        </w:rPr>
        <w:t xml:space="preserve"> ديسمبر 2021</w:t>
      </w:r>
      <w:r w:rsidRPr="009874F1">
        <w:rPr>
          <w:rtl/>
          <w:lang w:bidi="ar-EG"/>
        </w:rPr>
        <w:t>.</w:t>
      </w:r>
    </w:p>
    <w:p w14:paraId="49398223" w14:textId="0201404F" w:rsidR="00450F29" w:rsidRPr="00554516" w:rsidRDefault="00450F29" w:rsidP="00450F29">
      <w:pPr>
        <w:rPr>
          <w:rtl/>
          <w:lang w:bidi="ar-EG"/>
        </w:rPr>
      </w:pPr>
      <w:r>
        <w:rPr>
          <w:lang w:bidi="ar-EG"/>
        </w:rPr>
        <w:t>6</w:t>
      </w:r>
      <w:r>
        <w:rPr>
          <w:rtl/>
          <w:lang w:bidi="ar-EG"/>
        </w:rPr>
        <w:tab/>
      </w:r>
      <w:r w:rsidRPr="00554516">
        <w:rPr>
          <w:rFonts w:hint="cs"/>
          <w:rtl/>
          <w:lang w:bidi="ar-SY"/>
        </w:rPr>
        <w:t>ومن المتوقع أن يحدد مؤتمر المندوبين المفوضين لعام</w:t>
      </w:r>
      <w:r w:rsidRPr="00554516">
        <w:rPr>
          <w:rFonts w:hint="eastAsia"/>
          <w:rtl/>
          <w:lang w:bidi="ar-SY"/>
        </w:rPr>
        <w:t> </w:t>
      </w:r>
      <w:r>
        <w:rPr>
          <w:rFonts w:hint="cs"/>
          <w:rtl/>
          <w:lang w:bidi="ar-EG"/>
        </w:rPr>
        <w:t>2022</w:t>
      </w:r>
      <w:r w:rsidRPr="00554516">
        <w:rPr>
          <w:rFonts w:hint="cs"/>
          <w:rtl/>
          <w:lang w:bidi="ar-SY"/>
        </w:rPr>
        <w:t xml:space="preserve"> إطاراً وتوجيهات كأساس لوضع ميزانيتي</w:t>
      </w:r>
      <w:r>
        <w:rPr>
          <w:rFonts w:hint="cs"/>
          <w:rtl/>
          <w:lang w:bidi="ar-SY"/>
        </w:rPr>
        <w:t xml:space="preserve"> فترتي السنتين للفترتين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EG"/>
        </w:rPr>
        <w:t xml:space="preserve">2024-2025 </w:t>
      </w:r>
      <w:r w:rsidRPr="00554516">
        <w:rPr>
          <w:rFonts w:hint="cs"/>
          <w:rtl/>
          <w:lang w:bidi="ar-SY"/>
        </w:rPr>
        <w:t>و</w:t>
      </w:r>
      <w:r>
        <w:rPr>
          <w:rFonts w:hint="cs"/>
          <w:rtl/>
          <w:lang w:bidi="ar-EG"/>
        </w:rPr>
        <w:t>202</w:t>
      </w:r>
      <w:r w:rsidR="00D5612A">
        <w:rPr>
          <w:rFonts w:hint="cs"/>
          <w:rtl/>
          <w:lang w:bidi="ar-EG"/>
        </w:rPr>
        <w:t>6</w:t>
      </w:r>
      <w:r>
        <w:rPr>
          <w:rFonts w:hint="cs"/>
          <w:rtl/>
          <w:lang w:bidi="ar-EG"/>
        </w:rPr>
        <w:t>-2027</w:t>
      </w:r>
      <w:r w:rsidRPr="00554516">
        <w:rPr>
          <w:rFonts w:hint="cs"/>
          <w:rtl/>
          <w:lang w:bidi="ar-SY"/>
        </w:rPr>
        <w:t>.</w:t>
      </w:r>
    </w:p>
    <w:p w14:paraId="3E425BD8" w14:textId="41066C06" w:rsidR="00450F29" w:rsidRPr="00E30E73" w:rsidRDefault="00450F29" w:rsidP="00450F29">
      <w:pPr>
        <w:rPr>
          <w:rtl/>
          <w:lang w:bidi="ar-EG"/>
        </w:rPr>
      </w:pPr>
      <w:r>
        <w:rPr>
          <w:lang w:bidi="ar-EG"/>
        </w:rPr>
        <w:t>7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وسيقدَّم مشروع الخطة المالية للفترة 2024-2027 ويناقَش خلال الاجتماع المقبل لفريق العمل التابع للمجلس والمعني بالموارد المالية والبشرية (</w:t>
      </w:r>
      <w:r w:rsidRPr="00E30E73">
        <w:rPr>
          <w:lang w:bidi="ar-EG"/>
        </w:rPr>
        <w:t>CWG-FHR</w:t>
      </w:r>
      <w:r>
        <w:rPr>
          <w:rFonts w:hint="cs"/>
          <w:rtl/>
          <w:lang w:bidi="ar-EG"/>
        </w:rPr>
        <w:t>) في عام 2022.</w:t>
      </w:r>
    </w:p>
    <w:p w14:paraId="12CA5339" w14:textId="77777777" w:rsidR="00450F29" w:rsidRDefault="00450F29" w:rsidP="00450F29">
      <w:pPr>
        <w:rPr>
          <w:rtl/>
          <w:lang w:bidi="ar-EG"/>
        </w:rPr>
      </w:pPr>
      <w:r>
        <w:rPr>
          <w:lang w:bidi="ar-EG"/>
        </w:rPr>
        <w:t>8</w:t>
      </w:r>
      <w:r>
        <w:rPr>
          <w:rtl/>
          <w:lang w:bidi="ar-EG"/>
        </w:rPr>
        <w:tab/>
      </w:r>
      <w:r>
        <w:rPr>
          <w:rFonts w:hint="cs"/>
          <w:rtl/>
        </w:rPr>
        <w:t>ويعكس</w:t>
      </w:r>
      <w:r w:rsidRPr="00E30E73">
        <w:rPr>
          <w:rFonts w:hint="cs"/>
          <w:rtl/>
        </w:rPr>
        <w:t xml:space="preserve"> الملحق </w:t>
      </w:r>
      <w:r w:rsidRPr="00E30E73">
        <w:t>1</w:t>
      </w:r>
      <w:r w:rsidRPr="00E30E73">
        <w:rPr>
          <w:rFonts w:hint="cs"/>
          <w:rtl/>
        </w:rPr>
        <w:t xml:space="preserve"> </w:t>
      </w:r>
      <w:r>
        <w:rPr>
          <w:rFonts w:hint="cs"/>
          <w:rtl/>
        </w:rPr>
        <w:t>الحالة الراهنة</w:t>
      </w:r>
      <w:r w:rsidRPr="00E30E73">
        <w:rPr>
          <w:rFonts w:hint="cs"/>
          <w:rtl/>
        </w:rPr>
        <w:t xml:space="preserve"> لفئات المساهمة التي اختارتها الدول الأعضاء.</w:t>
      </w:r>
    </w:p>
    <w:p w14:paraId="76E77ECE" w14:textId="2566C879" w:rsidR="00450F29" w:rsidRDefault="00450F29" w:rsidP="00450F29">
      <w:pPr>
        <w:rPr>
          <w:rtl/>
          <w:lang w:bidi="ar-EG"/>
        </w:rPr>
      </w:pPr>
      <w:r>
        <w:rPr>
          <w:lang w:bidi="ar-EG"/>
        </w:rPr>
        <w:t>9</w:t>
      </w:r>
      <w:r>
        <w:rPr>
          <w:rtl/>
          <w:lang w:bidi="ar-EG"/>
        </w:rPr>
        <w:tab/>
      </w:r>
      <w:r w:rsidRPr="003779D7">
        <w:rPr>
          <w:rFonts w:hint="cs"/>
          <w:rtl/>
        </w:rPr>
        <w:t xml:space="preserve">ويبين الملحق </w:t>
      </w:r>
      <w:r w:rsidRPr="003779D7">
        <w:rPr>
          <w:lang w:bidi="ar-EG"/>
        </w:rPr>
        <w:t>2</w:t>
      </w:r>
      <w:r w:rsidRPr="003779D7">
        <w:rPr>
          <w:rFonts w:hint="cs"/>
          <w:rtl/>
        </w:rPr>
        <w:t xml:space="preserve"> تطور وحدات المساهمة التي اختارها أعضاء القطاعات وتطور عدد </w:t>
      </w:r>
      <w:r w:rsidRPr="003779D7">
        <w:rPr>
          <w:rtl/>
        </w:rPr>
        <w:t>المنتسبين والهيئات الأكاديمية</w:t>
      </w:r>
      <w:r w:rsidRPr="003779D7">
        <w:rPr>
          <w:rFonts w:hint="cs"/>
          <w:rtl/>
        </w:rPr>
        <w:t xml:space="preserve"> في</w:t>
      </w:r>
      <w:r w:rsidRPr="003779D7">
        <w:rPr>
          <w:rFonts w:hint="eastAsia"/>
          <w:rtl/>
        </w:rPr>
        <w:t> </w:t>
      </w:r>
      <w:r w:rsidRPr="003779D7">
        <w:rPr>
          <w:rFonts w:hint="cs"/>
          <w:rtl/>
        </w:rPr>
        <w:t xml:space="preserve">الفترة الممتدة بين مؤتمر المندوبين المفوضين </w:t>
      </w:r>
      <w:r>
        <w:rPr>
          <w:rFonts w:hint="cs"/>
          <w:rtl/>
        </w:rPr>
        <w:t>(دبي، 2018</w:t>
      </w:r>
      <w:r w:rsidRPr="007A5A21">
        <w:rPr>
          <w:rFonts w:hint="cs"/>
          <w:rtl/>
        </w:rPr>
        <w:t xml:space="preserve">) </w:t>
      </w:r>
      <w:r>
        <w:rPr>
          <w:rFonts w:hint="cs"/>
          <w:rtl/>
          <w:lang w:bidi="ar-EG"/>
        </w:rPr>
        <w:t xml:space="preserve">والحالة الراهنة حتى </w:t>
      </w:r>
      <w:r w:rsidRPr="007A5A21">
        <w:rPr>
          <w:rFonts w:hint="cs"/>
          <w:rtl/>
          <w:lang w:bidi="ar-EG"/>
        </w:rPr>
        <w:t>يوم</w:t>
      </w:r>
      <w:r>
        <w:rPr>
          <w:rFonts w:hint="cs"/>
          <w:rtl/>
          <w:lang w:bidi="ar-EG"/>
        </w:rPr>
        <w:t>نا هذا</w:t>
      </w:r>
      <w:r w:rsidRPr="007A5A21">
        <w:rPr>
          <w:rFonts w:hint="cs"/>
          <w:rtl/>
        </w:rPr>
        <w:t>.</w:t>
      </w:r>
    </w:p>
    <w:p w14:paraId="29F8A185" w14:textId="77777777" w:rsidR="00450F29" w:rsidRDefault="00450F29" w:rsidP="00450F29">
      <w:pPr>
        <w:rPr>
          <w:rtl/>
          <w:lang w:bidi="ar-EG"/>
        </w:rPr>
      </w:pPr>
    </w:p>
    <w:p w14:paraId="42592862" w14:textId="77777777" w:rsidR="00450F29" w:rsidRDefault="00450F29" w:rsidP="00450F29">
      <w:pPr>
        <w:rPr>
          <w:rtl/>
          <w:lang w:bidi="ar-EG"/>
        </w:rPr>
      </w:pPr>
    </w:p>
    <w:p w14:paraId="716F12DD" w14:textId="77777777" w:rsidR="00450F29" w:rsidRDefault="00450F29" w:rsidP="00450F29">
      <w:pPr>
        <w:rPr>
          <w:rtl/>
          <w:lang w:bidi="ar-EG"/>
        </w:rPr>
      </w:pPr>
    </w:p>
    <w:p w14:paraId="4D338B44" w14:textId="77777777" w:rsidR="00450F29" w:rsidRDefault="00450F29" w:rsidP="00450F29">
      <w:pPr>
        <w:rPr>
          <w:rtl/>
          <w:lang w:bidi="ar-EG"/>
        </w:rPr>
      </w:pPr>
    </w:p>
    <w:p w14:paraId="4D728798" w14:textId="77777777" w:rsidR="00450F29" w:rsidRDefault="00450F29" w:rsidP="00450F29">
      <w:pPr>
        <w:rPr>
          <w:rtl/>
          <w:lang w:bidi="ar-EG"/>
        </w:rPr>
      </w:pPr>
    </w:p>
    <w:p w14:paraId="3DC8AE88" w14:textId="77777777" w:rsidR="00450F29" w:rsidRDefault="00450F29" w:rsidP="00450F29">
      <w:pPr>
        <w:rPr>
          <w:rtl/>
          <w:lang w:bidi="ar-EG"/>
        </w:rPr>
      </w:pPr>
    </w:p>
    <w:p w14:paraId="56DC68DA" w14:textId="77777777" w:rsidR="00450F29" w:rsidRDefault="00450F29" w:rsidP="00450F29">
      <w:pPr>
        <w:rPr>
          <w:rtl/>
          <w:lang w:bidi="ar-EG"/>
        </w:rPr>
      </w:pPr>
    </w:p>
    <w:p w14:paraId="60AF5E0B" w14:textId="77777777" w:rsidR="00450F29" w:rsidRDefault="00450F29" w:rsidP="00450F29">
      <w:pPr>
        <w:rPr>
          <w:rtl/>
          <w:lang w:bidi="ar-EG"/>
        </w:rPr>
      </w:pPr>
    </w:p>
    <w:p w14:paraId="42B7A696" w14:textId="77777777" w:rsidR="00450F29" w:rsidRDefault="00450F29" w:rsidP="00450F29">
      <w:pPr>
        <w:rPr>
          <w:rtl/>
          <w:lang w:bidi="ar-EG"/>
        </w:rPr>
      </w:pPr>
    </w:p>
    <w:p w14:paraId="1A7E9320" w14:textId="77777777" w:rsidR="00450F29" w:rsidRDefault="00450F29" w:rsidP="00450F29">
      <w:pPr>
        <w:rPr>
          <w:rtl/>
          <w:lang w:bidi="ar-EG"/>
        </w:rPr>
      </w:pPr>
    </w:p>
    <w:p w14:paraId="04DEE2CF" w14:textId="77777777" w:rsidR="00450F29" w:rsidRDefault="00450F29" w:rsidP="00450F29">
      <w:pPr>
        <w:rPr>
          <w:rtl/>
          <w:lang w:bidi="ar-EG"/>
        </w:rPr>
      </w:pPr>
    </w:p>
    <w:p w14:paraId="75AFCACE" w14:textId="77777777" w:rsidR="00450F29" w:rsidRPr="00B86CCD" w:rsidRDefault="00450F29" w:rsidP="00450F29">
      <w:pPr>
        <w:rPr>
          <w:b/>
          <w:bCs/>
          <w:rtl/>
          <w:lang w:bidi="ar-EG"/>
        </w:rPr>
      </w:pPr>
      <w:r w:rsidRPr="00B86CCD">
        <w:rPr>
          <w:rFonts w:hint="cs"/>
          <w:b/>
          <w:bCs/>
          <w:rtl/>
          <w:lang w:bidi="ar-EG"/>
        </w:rPr>
        <w:t xml:space="preserve">الملحقات: </w:t>
      </w:r>
      <w:r w:rsidRPr="00554516">
        <w:rPr>
          <w:lang w:bidi="ar-EG"/>
        </w:rPr>
        <w:t>2</w:t>
      </w:r>
      <w:r w:rsidRPr="00B86CCD">
        <w:rPr>
          <w:b/>
          <w:bCs/>
          <w:rtl/>
          <w:lang w:bidi="ar-EG"/>
        </w:rPr>
        <w:br w:type="page"/>
      </w:r>
    </w:p>
    <w:p w14:paraId="74043619" w14:textId="77777777" w:rsidR="00450F29" w:rsidRDefault="00450F29" w:rsidP="00520913">
      <w:pPr>
        <w:pStyle w:val="AnnexNo"/>
      </w:pPr>
      <w:r>
        <w:rPr>
          <w:rFonts w:hint="cs"/>
          <w:rtl/>
        </w:rPr>
        <w:lastRenderedPageBreak/>
        <w:t xml:space="preserve">الملحق </w:t>
      </w:r>
      <w:r>
        <w:t>1</w:t>
      </w:r>
    </w:p>
    <w:tbl>
      <w:tblPr>
        <w:bidiVisual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2835"/>
      </w:tblGrid>
      <w:tr w:rsidR="00450F29" w:rsidRPr="00520913" w14:paraId="0D13DCF5" w14:textId="77777777" w:rsidTr="00520913">
        <w:trPr>
          <w:trHeight w:val="533"/>
          <w:tblHeader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4142" w14:textId="77777777" w:rsidR="00450F29" w:rsidRPr="00520913" w:rsidRDefault="00450F29" w:rsidP="00F6736E">
            <w:pPr>
              <w:pStyle w:val="Tablehead0"/>
              <w:spacing w:before="60" w:after="60" w:line="300" w:lineRule="exact"/>
              <w:rPr>
                <w:highlight w:val="yellow"/>
                <w:lang w:eastAsia="zh-CN"/>
              </w:rPr>
            </w:pPr>
            <w:r w:rsidRPr="00520913">
              <w:rPr>
                <w:rFonts w:hint="cs"/>
                <w:rtl/>
              </w:rPr>
              <w:t>الدول الأعضاء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7BA2" w14:textId="77777777" w:rsidR="00450F29" w:rsidRPr="00520913" w:rsidRDefault="00450F29" w:rsidP="00F6736E">
            <w:pPr>
              <w:pStyle w:val="Tablehead0"/>
              <w:spacing w:before="60" w:after="60" w:line="300" w:lineRule="exact"/>
              <w:rPr>
                <w:highlight w:val="yellow"/>
              </w:rPr>
            </w:pPr>
            <w:r w:rsidRPr="00520913">
              <w:rPr>
                <w:rFonts w:hint="cs"/>
                <w:rtl/>
              </w:rPr>
              <w:t>العدد الحالي للوحدات</w:t>
            </w:r>
          </w:p>
        </w:tc>
      </w:tr>
      <w:tr w:rsidR="00450F29" w:rsidRPr="00520913" w14:paraId="547905F2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0541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cs"/>
                <w:b/>
                <w:bCs/>
                <w:rtl/>
              </w:rPr>
              <w:t>أ</w:t>
            </w:r>
            <w:r w:rsidRPr="00520913">
              <w:rPr>
                <w:rFonts w:hint="eastAsia"/>
                <w:b/>
                <w:bCs/>
                <w:rtl/>
              </w:rPr>
              <w:t>فغانستان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76827E" w14:textId="69B3977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17CFFBD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5FD8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ألبانيا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3B7A4F" w14:textId="54E49D4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396F3640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E6551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الجزائر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819CF4" w14:textId="57D5B35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00AE9A0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1078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أندورا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0A6417" w14:textId="1BA23B2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1981C76B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8BA71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أنغولا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F55318" w14:textId="1937B22C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2B401961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C058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أنتيغوا</w:t>
            </w:r>
            <w:r w:rsidRPr="00520913">
              <w:rPr>
                <w:b/>
                <w:bCs/>
                <w:rtl/>
              </w:rPr>
              <w:t xml:space="preserve"> </w:t>
            </w:r>
            <w:proofErr w:type="spellStart"/>
            <w:r w:rsidRPr="00520913">
              <w:rPr>
                <w:rFonts w:hint="eastAsia"/>
                <w:b/>
                <w:bCs/>
                <w:rtl/>
              </w:rPr>
              <w:t>وبربودا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FDB61D" w14:textId="08BAFA2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378BD8A5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A6379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الأرجنتين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66EC80" w14:textId="4C3573A2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5F56C40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30C6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أرمينيا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FEC84C" w14:textId="2603E1A0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58F6D46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B382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أستراليا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951FEF" w14:textId="13ADC85D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13</w:t>
            </w:r>
          </w:p>
        </w:tc>
      </w:tr>
      <w:tr w:rsidR="00450F29" w:rsidRPr="00520913" w14:paraId="00551B9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FB00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النمسا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504432" w14:textId="62AAFD02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5651E212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0393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أذربيجان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6F9FC9" w14:textId="5AF8BAF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072BF83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AB6B7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البهاما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204CB8" w14:textId="7F785A2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677A326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8FB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البحرين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DE9155" w14:textId="3740BD10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5743EF5B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CB96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بنغلاديش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910399" w14:textId="4727F69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 xml:space="preserve">1/8 </w:t>
            </w:r>
          </w:p>
        </w:tc>
      </w:tr>
      <w:tr w:rsidR="00450F29" w:rsidRPr="00520913" w14:paraId="4AEE2B6D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49C0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بربادوس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1446D4" w14:textId="2714F625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64FF669B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4CA7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بيلاروس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D81738" w14:textId="6A33A04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425D78A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0290B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بلجيكا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035194" w14:textId="789DC24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3</w:t>
            </w:r>
          </w:p>
        </w:tc>
      </w:tr>
      <w:tr w:rsidR="00450F29" w:rsidRPr="00520913" w14:paraId="36F3859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A6900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بليز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CADFAB" w14:textId="635C55C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2498E3BA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84C2B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بنن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6ED973" w14:textId="52440168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1D426E0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50CF9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بوتان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AF5AFC" w14:textId="39BB4E6C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0E03437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405BF" w14:textId="2FCC1DD9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بوليفيا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DD25E3" w14:textId="13BA8084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2E633816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00971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البوسنة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والهرسك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B70C64" w14:textId="74E100B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1F4C8E76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B831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بوتسوانا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905CFF" w14:textId="06B38A8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1C042AA6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206F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البرازيل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D1A06D" w14:textId="34E1410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3</w:t>
            </w:r>
          </w:p>
        </w:tc>
      </w:tr>
      <w:tr w:rsidR="00450F29" w:rsidRPr="00520913" w14:paraId="2644753B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4ECDB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بروني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دار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السلام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5F837E" w14:textId="4ACFDA7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4B73A83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22709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بلغاريا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B04C81" w14:textId="78DE8650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5B08B3D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9E88E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بوركينا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فا</w:t>
            </w:r>
            <w:r w:rsidRPr="00520913">
              <w:rPr>
                <w:rFonts w:hint="cs"/>
                <w:b/>
                <w:bCs/>
                <w:rtl/>
              </w:rPr>
              <w:t>ص</w:t>
            </w:r>
            <w:r w:rsidRPr="00520913">
              <w:rPr>
                <w:rFonts w:hint="eastAsia"/>
                <w:b/>
                <w:bCs/>
                <w:rtl/>
              </w:rPr>
              <w:t>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2B5280" w14:textId="0BD3A2B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350ECCED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839E9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بوروندي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0294AF" w14:textId="5116703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2E64644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8614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كمبوديا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190868" w14:textId="64DAF19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7C051BF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80A9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الكاميرون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6AA33D" w14:textId="27EB014C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351EA0F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EFDD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t>كندا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2E0265" w14:textId="1FE51A5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11</w:t>
            </w:r>
          </w:p>
        </w:tc>
      </w:tr>
      <w:tr w:rsidR="00450F29" w:rsidRPr="00520913" w14:paraId="7A9ED1E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1765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  <w:rtl/>
              </w:rPr>
            </w:pPr>
            <w:r w:rsidRPr="00520913">
              <w:rPr>
                <w:rFonts w:hint="eastAsia"/>
                <w:b/>
                <w:bCs/>
                <w:rtl/>
              </w:rPr>
              <w:lastRenderedPageBreak/>
              <w:t>كابو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فيردي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F52524" w14:textId="3E7366B4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7F06C901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8A16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جمهورية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cs"/>
                <w:b/>
                <w:bCs/>
                <w:rtl/>
              </w:rPr>
              <w:t>إ</w:t>
            </w:r>
            <w:r w:rsidRPr="00520913">
              <w:rPr>
                <w:rFonts w:hint="eastAsia"/>
                <w:b/>
                <w:bCs/>
                <w:rtl/>
              </w:rPr>
              <w:t>فريقيا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الوسطى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84D5B2" w14:textId="37667EFE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532EE67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A262C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تشاد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7734BD" w14:textId="3843D4C7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1A40CC5A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C38B9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شيلي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28F4B7" w14:textId="2624F51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62DA8E1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C5131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الصين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F39CFD" w14:textId="7660802D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20</w:t>
            </w:r>
          </w:p>
        </w:tc>
      </w:tr>
      <w:tr w:rsidR="00450F29" w:rsidRPr="00520913" w14:paraId="3EBA4C9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A160B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كولومبيا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7C9058" w14:textId="0E454A4D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1B2090F5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A42A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جزر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القمر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7B16A4" w14:textId="1D469C0E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3344E24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5D8C0" w14:textId="050CC7C8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الكونغو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391E1C" w14:textId="0840212C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1B77832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989EB" w14:textId="4C732DC5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كوستاريكا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1CEB31" w14:textId="57FFB7E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5E06CA4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F4C87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كوت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ديفوار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57BD52" w14:textId="6AC1C2F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2</w:t>
            </w:r>
          </w:p>
        </w:tc>
      </w:tr>
      <w:tr w:rsidR="00450F29" w:rsidRPr="00520913" w14:paraId="4AA24C75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BF22B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كرواتيا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641AD" w14:textId="6DF480D7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14E18F2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C10B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كوبا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F987F5" w14:textId="1F45443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65FD148D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EB500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قبرص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B279F1" w14:textId="3F55CFE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49465020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A44C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</w:rPr>
              <w:t>ال</w:t>
            </w:r>
            <w:r w:rsidRPr="00520913">
              <w:rPr>
                <w:rFonts w:hint="eastAsia"/>
                <w:b/>
                <w:bCs/>
                <w:rtl/>
              </w:rPr>
              <w:t>جمهورية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التشيك</w:t>
            </w:r>
            <w:r w:rsidRPr="00520913">
              <w:rPr>
                <w:rFonts w:hint="cs"/>
                <w:b/>
                <w:bCs/>
                <w:rtl/>
              </w:rPr>
              <w:t>ية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FC90A8" w14:textId="5AB9DB7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1D63F3B6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CC65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جمهورية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الكونغو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الديمقراطية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D12ACE" w14:textId="36C9920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0AD62620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93C8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جمهورية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كوريا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الشعبية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الديمقراطية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E49FE1" w14:textId="56C591D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279A44C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1539E" w14:textId="79AFC13E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الدانم</w:t>
            </w:r>
            <w:r w:rsidR="00D91578">
              <w:rPr>
                <w:rFonts w:hint="cs"/>
                <w:b/>
                <w:bCs/>
                <w:rtl/>
              </w:rPr>
              <w:t>ا</w:t>
            </w:r>
            <w:r w:rsidRPr="00520913">
              <w:rPr>
                <w:rFonts w:hint="eastAsia"/>
                <w:b/>
                <w:bCs/>
                <w:rtl/>
              </w:rPr>
              <w:t>رك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71C4DF" w14:textId="0FF4900E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1 1/2</w:t>
            </w:r>
          </w:p>
        </w:tc>
      </w:tr>
      <w:tr w:rsidR="00450F29" w:rsidRPr="00520913" w14:paraId="2BD5670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D4EBF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جيبوتي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D2F388" w14:textId="197733E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1FD1453B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F0B81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دومينيكا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C92D07" w14:textId="0D0E535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3414E23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99A4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</w:rPr>
              <w:t xml:space="preserve">الجمهورية </w:t>
            </w:r>
            <w:proofErr w:type="spellStart"/>
            <w:r w:rsidRPr="00520913">
              <w:rPr>
                <w:rFonts w:hint="cs"/>
                <w:b/>
                <w:bCs/>
                <w:rtl/>
              </w:rPr>
              <w:t>ال</w:t>
            </w:r>
            <w:r w:rsidRPr="00520913">
              <w:rPr>
                <w:rFonts w:hint="eastAsia"/>
                <w:b/>
                <w:bCs/>
                <w:rtl/>
              </w:rPr>
              <w:t>دوميني</w:t>
            </w:r>
            <w:r w:rsidRPr="00520913">
              <w:rPr>
                <w:rFonts w:hint="cs"/>
                <w:b/>
                <w:bCs/>
                <w:rtl/>
              </w:rPr>
              <w:t>كية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7FCE2A" w14:textId="4B334D4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1964A7C6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76AB1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إكوادور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04D4CE" w14:textId="16D02BF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0EF7AA6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50E9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مصر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8E0237" w14:textId="6A6DF155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3E399A0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13AFC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السلفادور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50C245" w14:textId="5DD25E0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71F85482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7950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غينيا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</w:t>
            </w:r>
            <w:r w:rsidRPr="00520913">
              <w:rPr>
                <w:rFonts w:hint="cs"/>
                <w:b/>
                <w:bCs/>
                <w:rtl/>
              </w:rPr>
              <w:t>ا</w:t>
            </w:r>
            <w:r w:rsidRPr="00520913">
              <w:rPr>
                <w:rFonts w:hint="eastAsia"/>
                <w:b/>
                <w:bCs/>
                <w:rtl/>
              </w:rPr>
              <w:t>ستوائية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7DF3A1" w14:textId="14AE9635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17A215E5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EE41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إريتريا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10BFFD" w14:textId="7C2EE1E2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04CB7FBB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EA28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إستونيا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1DA839" w14:textId="08C5311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620AD68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3D0B9E" w14:textId="5824A0D2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</w:rPr>
            </w:pPr>
            <w:r w:rsidRPr="00520913">
              <w:rPr>
                <w:rFonts w:hint="cs"/>
                <w:b/>
                <w:bCs/>
                <w:rtl/>
              </w:rPr>
              <w:t>إسواتيني (سوازيلاند سابقاً)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F368DE" w14:textId="0FFA18C7" w:rsidR="00450F29" w:rsidRPr="00520913" w:rsidRDefault="00450F29" w:rsidP="00F6736E">
            <w:pPr>
              <w:spacing w:before="60" w:after="60" w:line="300" w:lineRule="exact"/>
              <w:jc w:val="center"/>
              <w:rPr>
                <w:rtl/>
                <w:lang w:bidi="ar-EG"/>
              </w:rPr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2EA7EE3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E76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</w:rPr>
              <w:t>إ</w:t>
            </w:r>
            <w:r w:rsidRPr="00520913">
              <w:rPr>
                <w:rFonts w:hint="eastAsia"/>
                <w:b/>
                <w:bCs/>
                <w:rtl/>
              </w:rPr>
              <w:t>ثيوبي</w:t>
            </w:r>
            <w:r w:rsidRPr="00520913">
              <w:rPr>
                <w:rFonts w:hint="cs"/>
                <w:b/>
                <w:bCs/>
                <w:rtl/>
              </w:rPr>
              <w:t>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8E06CE" w14:textId="2C91B15D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755E899B" w14:textId="77777777" w:rsidTr="00450F29">
        <w:trPr>
          <w:trHeight w:val="3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B9F74" w14:textId="34DFD728" w:rsidR="00450F29" w:rsidRPr="00520913" w:rsidRDefault="00D5612A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>
              <w:rPr>
                <w:rFonts w:hint="cs"/>
                <w:b/>
                <w:bCs/>
                <w:rtl/>
              </w:rPr>
              <w:t xml:space="preserve">اتحاد </w:t>
            </w:r>
            <w:r w:rsidR="00450F29" w:rsidRPr="00520913">
              <w:rPr>
                <w:rFonts w:hint="eastAsia"/>
                <w:b/>
                <w:bCs/>
                <w:rtl/>
              </w:rPr>
              <w:t>سانت</w:t>
            </w:r>
            <w:r w:rsidR="00450F29" w:rsidRPr="00520913">
              <w:rPr>
                <w:b/>
                <w:bCs/>
                <w:rtl/>
              </w:rPr>
              <w:t xml:space="preserve"> </w:t>
            </w:r>
            <w:r w:rsidR="00450F29" w:rsidRPr="00520913">
              <w:rPr>
                <w:rFonts w:hint="eastAsia"/>
                <w:b/>
                <w:bCs/>
                <w:rtl/>
              </w:rPr>
              <w:t>كيتس</w:t>
            </w:r>
            <w:r w:rsidR="00450F29" w:rsidRPr="00520913">
              <w:rPr>
                <w:b/>
                <w:bCs/>
                <w:rtl/>
              </w:rPr>
              <w:t xml:space="preserve"> </w:t>
            </w:r>
            <w:r w:rsidR="00450F29" w:rsidRPr="00520913">
              <w:rPr>
                <w:rFonts w:hint="eastAsia"/>
                <w:b/>
                <w:bCs/>
                <w:rtl/>
              </w:rPr>
              <w:t>ونيفيس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D12AA9" w14:textId="6C4E186C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5D97D8E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F50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فيجي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B1A870" w14:textId="08954BB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5EB4C98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91ED0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فنلندا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CFE5EE" w14:textId="69459BAE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2</w:t>
            </w:r>
          </w:p>
        </w:tc>
      </w:tr>
      <w:tr w:rsidR="00450F29" w:rsidRPr="00520913" w14:paraId="624C84D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439B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فرنسا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476DD0" w14:textId="72C3AA5F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21</w:t>
            </w:r>
          </w:p>
        </w:tc>
      </w:tr>
      <w:tr w:rsidR="00450F29" w:rsidRPr="00520913" w14:paraId="1BAAF67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17331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lastRenderedPageBreak/>
              <w:t>غابون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FCEA07" w14:textId="04156CFC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72E13BA2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E30F7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غامبيا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691F45" w14:textId="12027A2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727D56B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99E1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جورجيا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F23237" w14:textId="4502BD3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7ADCB0E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4E307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ألمانيا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366C12" w14:textId="5C60D2D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25</w:t>
            </w:r>
          </w:p>
        </w:tc>
      </w:tr>
      <w:tr w:rsidR="00450F29" w:rsidRPr="00520913" w14:paraId="64B0BDF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C4B6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غانا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650654" w14:textId="4800CBB7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0224A106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4E427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اليونان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619F2E" w14:textId="13CDD444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20CB016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219A7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غرينادا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DEF788" w14:textId="6194064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5FDCF10B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1ED4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غواتيمالا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F9090D" w14:textId="34D8F85E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0D871B6A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80B1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غينيا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6F2263" w14:textId="2384B32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5D50FC46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3771F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غينيا</w:t>
            </w:r>
            <w:r w:rsidRPr="00520913">
              <w:rPr>
                <w:b/>
                <w:bCs/>
                <w:rtl/>
              </w:rPr>
              <w:t xml:space="preserve"> - </w:t>
            </w:r>
            <w:r w:rsidRPr="00520913">
              <w:rPr>
                <w:rFonts w:hint="eastAsia"/>
                <w:b/>
                <w:bCs/>
                <w:rtl/>
              </w:rPr>
              <w:t>بيساو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6D89EC" w14:textId="47AF78D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720CC1A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AE59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غيانا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76BBBA" w14:textId="5341EF4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060201E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E4A3B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هايتي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22B18C" w14:textId="043A7FB5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52AFE61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0D889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هندوراس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4FC7C7" w14:textId="74783A52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490A813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C2261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</w:rPr>
              <w:t>هنغاريا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5FCB63" w14:textId="4362407E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7F57D16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C6C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أيسلندا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324398" w14:textId="2B51006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0F41E303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8EBD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الهند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4CF438" w14:textId="6D0954E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10</w:t>
            </w:r>
          </w:p>
        </w:tc>
      </w:tr>
      <w:tr w:rsidR="00450F29" w:rsidRPr="00520913" w14:paraId="602FD0B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E955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</w:rPr>
              <w:t>إ</w:t>
            </w:r>
            <w:r w:rsidRPr="00520913">
              <w:rPr>
                <w:rFonts w:hint="eastAsia"/>
                <w:b/>
                <w:bCs/>
                <w:rtl/>
              </w:rPr>
              <w:t>ندونيسيا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A36392" w14:textId="61FF2F2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7157908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82121" w14:textId="4329F9D1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إيران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CBBE7D" w14:textId="0D97DB9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1C4F56BA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0AA6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العراق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A68BD5" w14:textId="7DCDF478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365B868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EEA39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أيرلندا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2C5F93" w14:textId="6C1D2295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2</w:t>
            </w:r>
          </w:p>
        </w:tc>
      </w:tr>
      <w:tr w:rsidR="00450F29" w:rsidRPr="00520913" w14:paraId="282E8792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5F509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إسرائيل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D65959" w14:textId="78DC5F2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33EE3BF3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3B68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إيطاليا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4DD4EC" w14:textId="1CA457E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15</w:t>
            </w:r>
          </w:p>
        </w:tc>
      </w:tr>
      <w:tr w:rsidR="00450F29" w:rsidRPr="00520913" w14:paraId="0705CE7D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EA76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جامايكا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E9EBBE" w14:textId="1CA57F7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3B8B744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F4BA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اليابان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953E80" w14:textId="466BF01E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30</w:t>
            </w:r>
          </w:p>
        </w:tc>
      </w:tr>
      <w:tr w:rsidR="00450F29" w:rsidRPr="00520913" w14:paraId="7112F4C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81E4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الأردن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AE983C" w14:textId="1416CD1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5A64B94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6A02F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كازاخستان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7C15FF" w14:textId="700B15D3" w:rsidR="00450F29" w:rsidRPr="00520913" w:rsidRDefault="00450F29" w:rsidP="00F6736E">
            <w:pPr>
              <w:spacing w:before="60" w:after="60" w:line="300" w:lineRule="exact"/>
              <w:jc w:val="center"/>
              <w:rPr>
                <w:rtl/>
                <w:lang w:bidi="ar-EG"/>
              </w:rPr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1B5A9813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4598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كينيا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8BFC4B" w14:textId="087B68BD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3CAB8D60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8C7AC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كيريباتي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610939" w14:textId="745133B7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184B1F1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B6229" w14:textId="047C1ADE" w:rsidR="00450F29" w:rsidRPr="00520913" w:rsidRDefault="00D5612A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>
              <w:rPr>
                <w:rFonts w:hint="cs"/>
                <w:b/>
                <w:bCs/>
                <w:rtl/>
              </w:rPr>
              <w:t xml:space="preserve">جمهورية </w:t>
            </w:r>
            <w:r w:rsidR="00450F29" w:rsidRPr="00520913">
              <w:rPr>
                <w:rFonts w:hint="eastAsia"/>
                <w:b/>
                <w:bCs/>
                <w:rtl/>
              </w:rPr>
              <w:t>كوريا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D180E7" w14:textId="623A598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10</w:t>
            </w:r>
          </w:p>
        </w:tc>
      </w:tr>
      <w:tr w:rsidR="00450F29" w:rsidRPr="00520913" w14:paraId="719A1CD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4BB41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الكويت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C076CC" w14:textId="132FCF14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5</w:t>
            </w:r>
          </w:p>
        </w:tc>
      </w:tr>
      <w:tr w:rsidR="00450F29" w:rsidRPr="00520913" w14:paraId="2DCAEB4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14ECE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قيرغيزستان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49017E" w14:textId="6A39DB4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406CD3FE" w14:textId="77777777" w:rsidTr="00450F29">
        <w:trPr>
          <w:trHeight w:val="3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0FEF3" w14:textId="58315F8E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</w:rPr>
              <w:t xml:space="preserve">جمهورية </w:t>
            </w:r>
            <w:r w:rsidRPr="00520913">
              <w:rPr>
                <w:rFonts w:hint="eastAsia"/>
                <w:b/>
                <w:bCs/>
                <w:rtl/>
              </w:rPr>
              <w:t>لاو</w:t>
            </w:r>
            <w:r w:rsidR="00483D68">
              <w:rPr>
                <w:rFonts w:hint="cs"/>
                <w:b/>
                <w:bCs/>
                <w:rtl/>
              </w:rPr>
              <w:t xml:space="preserve"> </w:t>
            </w:r>
            <w:r w:rsidRPr="00520913">
              <w:rPr>
                <w:rFonts w:hint="cs"/>
                <w:b/>
                <w:bCs/>
                <w:rtl/>
              </w:rPr>
              <w:t>الديمقراطية الشعبية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31894C" w14:textId="489D3C7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2E2EE222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D97A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lastRenderedPageBreak/>
              <w:t>لاتفيا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7EEBF4" w14:textId="53261BC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5BF355B6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5FACE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لبنان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93A37B" w14:textId="7804FDCE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10AA981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C118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ليسوتو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A8CC19" w14:textId="7289B77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3F9A8625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8E53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ليب</w:t>
            </w:r>
            <w:r w:rsidRPr="00520913">
              <w:rPr>
                <w:rFonts w:hint="cs"/>
                <w:b/>
                <w:bCs/>
                <w:rtl/>
              </w:rPr>
              <w:t>ي</w:t>
            </w:r>
            <w:r w:rsidRPr="00520913">
              <w:rPr>
                <w:rFonts w:hint="eastAsia"/>
                <w:b/>
                <w:bCs/>
                <w:rtl/>
              </w:rPr>
              <w:t>ريا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9D9644" w14:textId="2850B60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73E577D3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9124F" w14:textId="792BAC3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  <w:lang w:bidi="ar-EG"/>
              </w:rPr>
              <w:t xml:space="preserve">الجماهيرية </w:t>
            </w:r>
            <w:r w:rsidRPr="00520913">
              <w:rPr>
                <w:rFonts w:hint="cs"/>
                <w:b/>
                <w:bCs/>
                <w:rtl/>
              </w:rPr>
              <w:t>العربية</w:t>
            </w:r>
            <w:r w:rsidRPr="00520913">
              <w:rPr>
                <w:rFonts w:hint="cs"/>
                <w:b/>
                <w:bCs/>
                <w:rtl/>
                <w:lang w:bidi="ar-EG"/>
              </w:rPr>
              <w:t xml:space="preserve"> ال</w:t>
            </w:r>
            <w:r w:rsidRPr="00520913">
              <w:rPr>
                <w:rFonts w:hint="eastAsia"/>
                <w:b/>
                <w:bCs/>
                <w:rtl/>
              </w:rPr>
              <w:t>ليبي</w:t>
            </w:r>
            <w:r w:rsidRPr="00520913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E02483" w14:textId="668FF1B0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427D28B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2C95F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ليختنشتاين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6414C2" w14:textId="3B6454B5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4205D0B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11229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ليتوانيا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728284" w14:textId="13126AA4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7833C0A1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45F8E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ل</w:t>
            </w:r>
            <w:r w:rsidRPr="00520913">
              <w:rPr>
                <w:rFonts w:hint="cs"/>
                <w:b/>
                <w:bCs/>
                <w:rtl/>
              </w:rPr>
              <w:t>ك</w:t>
            </w:r>
            <w:r w:rsidRPr="00520913">
              <w:rPr>
                <w:rFonts w:hint="eastAsia"/>
                <w:b/>
                <w:bCs/>
                <w:rtl/>
              </w:rPr>
              <w:t>سمب</w:t>
            </w:r>
            <w:r w:rsidRPr="00520913">
              <w:rPr>
                <w:rFonts w:hint="cs"/>
                <w:b/>
                <w:bCs/>
                <w:rtl/>
              </w:rPr>
              <w:t>ر</w:t>
            </w:r>
            <w:r w:rsidRPr="00520913">
              <w:rPr>
                <w:rFonts w:hint="eastAsia"/>
                <w:b/>
                <w:bCs/>
                <w:rtl/>
              </w:rPr>
              <w:t>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72C672" w14:textId="4491C29C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25C308C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298AE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مدغشقر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B819D1" w14:textId="26E3BAE2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0F7497F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5317B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ملاوي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B81E71" w14:textId="09852C4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343D604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69A1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ماليزيا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81B65A" w14:textId="1ED7CFD5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2</w:t>
            </w:r>
          </w:p>
        </w:tc>
      </w:tr>
      <w:tr w:rsidR="00450F29" w:rsidRPr="00520913" w14:paraId="5CD9F38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4605C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ملديف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1182F7" w14:textId="5500276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1BCD0FE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06BEB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مالي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18E318" w14:textId="01F5BB6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3369551A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8A27C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مالطة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AE290B" w14:textId="4B22E50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1DCB994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2929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جزر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مارشال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EDD9DB" w14:textId="14B87D5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38C6DACD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3EFDE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موريتانيا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D5DE88" w14:textId="04ACFD2D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5152E86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4CAAE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موريشيوس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A057BD" w14:textId="7B794BE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0B917E0D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A328B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المكسيك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62061E" w14:textId="6608D2D4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3</w:t>
            </w:r>
          </w:p>
        </w:tc>
      </w:tr>
      <w:tr w:rsidR="00450F29" w:rsidRPr="00520913" w14:paraId="2C7B2DC6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D615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ميكرونيزيا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ABE4F4" w14:textId="77621C0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614CAEC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7C33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مولدوفا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282CD5" w14:textId="09DB536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6973AFD0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A32D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موناكو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DCD8BE" w14:textId="3E1A615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4576C0B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CA0A6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منغوليا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1BAADD" w14:textId="1514394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7D83702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C23E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</w:rPr>
              <w:t>الجبل الأسود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8AB660" w14:textId="43E6B60E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5EFCDCED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20B3E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المغرب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260E3B" w14:textId="2D02BF1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6CA45A90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454B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موزامبيق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233B3D" w14:textId="04E31FB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16364AC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34A7C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ميانمار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BD60C5" w14:textId="18436C4C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3ECD577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036CC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ناميبيا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A2FCEA" w14:textId="6D9E4C6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4FFDD0E1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0CAB0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ناورو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8CC211" w14:textId="6CE6702C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763A72B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3253F" w14:textId="0F87A9FF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نيبال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F8D61A" w14:textId="5F6A36F4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3558694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FDD6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هولندا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EE7DB0" w14:textId="7414A5C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5</w:t>
            </w:r>
          </w:p>
        </w:tc>
      </w:tr>
      <w:tr w:rsidR="00450F29" w:rsidRPr="00520913" w14:paraId="3FE70E43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CC12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نيوزيلندا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1B1AFD" w14:textId="59413BD7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2</w:t>
            </w:r>
          </w:p>
        </w:tc>
      </w:tr>
      <w:tr w:rsidR="00450F29" w:rsidRPr="00520913" w14:paraId="3AD62D7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AFC9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نيكاراغوا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8843F" w14:textId="08CB08E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521BB699" w14:textId="77777777" w:rsidTr="00450F29">
        <w:trPr>
          <w:trHeight w:val="300"/>
          <w:jc w:val="center"/>
        </w:trPr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C14F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lastRenderedPageBreak/>
              <w:t>النيجر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DDFC10" w14:textId="72EC7FC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37B3A4E3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8DBAF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نيجيريا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5082B7" w14:textId="4E573274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2</w:t>
            </w:r>
          </w:p>
        </w:tc>
      </w:tr>
      <w:tr w:rsidR="00450F29" w:rsidRPr="00520913" w14:paraId="7C441A0B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95C6E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النرويج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EB91C6" w14:textId="2175A9B0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5</w:t>
            </w:r>
          </w:p>
        </w:tc>
      </w:tr>
      <w:tr w:rsidR="00450F29" w:rsidRPr="00520913" w14:paraId="1D9F9AD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802EB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ع</w:t>
            </w:r>
            <w:r w:rsidRPr="00520913">
              <w:rPr>
                <w:rFonts w:hint="cs"/>
                <w:b/>
                <w:bCs/>
                <w:rtl/>
              </w:rPr>
              <w:t>ُ</w:t>
            </w:r>
            <w:r w:rsidRPr="00520913">
              <w:rPr>
                <w:rFonts w:hint="eastAsia"/>
                <w:b/>
                <w:bCs/>
                <w:rtl/>
              </w:rPr>
              <w:t>مان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84D300" w14:textId="0027991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44986E2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3FCE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باكستان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09F8BF" w14:textId="6538D1E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41E8C2D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6EC4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بنما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62D095" w14:textId="0F4399A5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7DEB0E9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77C5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بابوا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غينيا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الجديدة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BAAF7B" w14:textId="0074789C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364D294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CDD3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باراغواي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DFD076" w14:textId="21E244C2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530C5BF2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4ECD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بيرو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6EFDD4" w14:textId="79F407F5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7060640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03A0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الفلبين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2E82E6" w14:textId="7D928B3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5372EE13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B574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بولندا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7F7331" w14:textId="16B0D597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17D00A3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42F7B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البرتغال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3E870F" w14:textId="7EFDC9DB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4ED8BA7B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4A990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قطر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89BB06" w14:textId="52FDF742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2</w:t>
            </w:r>
          </w:p>
        </w:tc>
      </w:tr>
      <w:tr w:rsidR="00450F29" w:rsidRPr="00520913" w14:paraId="1228640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50984E" w14:textId="2ED81A1D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  <w:r w:rsidRPr="00520913">
              <w:rPr>
                <w:b/>
                <w:bCs/>
                <w:rtl/>
              </w:rPr>
              <w:t>جمهورية مقدونيا الشمالية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EF8E06" w14:textId="1BB1583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1EDF7DE0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F0B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رومانيا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FCF212" w14:textId="2C0E249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6CC8A7D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CABF9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الاتحاد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الروسي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8E7919" w14:textId="4B6BB2C8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15</w:t>
            </w:r>
          </w:p>
        </w:tc>
      </w:tr>
      <w:tr w:rsidR="00450F29" w:rsidRPr="00520913" w14:paraId="23A0C75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BFBA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رواندا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525557" w14:textId="0568126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646059B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D360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</w:rPr>
              <w:t>سانت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لوسيا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DF161F" w14:textId="5994D4C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6D861D66" w14:textId="77777777" w:rsidTr="00450F29">
        <w:trPr>
          <w:trHeight w:val="3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F5D2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سانت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فنسنت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cs"/>
                <w:b/>
                <w:bCs/>
                <w:rtl/>
              </w:rPr>
              <w:t>و</w:t>
            </w:r>
            <w:r w:rsidRPr="00520913">
              <w:rPr>
                <w:rFonts w:hint="eastAsia"/>
                <w:b/>
                <w:bCs/>
                <w:rtl/>
              </w:rPr>
              <w:t>غرينادين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85BBE5" w14:textId="3DB45AF8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2726F6C1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2D0C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ساموا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AF824F" w14:textId="4B12B32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6280B15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50CB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سان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مارينو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560168" w14:textId="0496791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4D1868F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07081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سا</w:t>
            </w:r>
            <w:r w:rsidRPr="00520913">
              <w:rPr>
                <w:rFonts w:hint="cs"/>
                <w:b/>
                <w:bCs/>
                <w:rtl/>
              </w:rPr>
              <w:t>ن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تومي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وبر</w:t>
            </w:r>
            <w:r w:rsidRPr="00520913">
              <w:rPr>
                <w:rFonts w:hint="cs"/>
                <w:b/>
                <w:bCs/>
                <w:rtl/>
              </w:rPr>
              <w:t>ي</w:t>
            </w:r>
            <w:r w:rsidRPr="00520913">
              <w:rPr>
                <w:rFonts w:hint="eastAsia"/>
                <w:b/>
                <w:bCs/>
                <w:rtl/>
              </w:rPr>
              <w:t>نسيبي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890883" w14:textId="0FFA8A9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750E4BC0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FFB10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المملكة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العربية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السعودية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CF7027" w14:textId="7ED7ABC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13</w:t>
            </w:r>
          </w:p>
        </w:tc>
      </w:tr>
      <w:tr w:rsidR="00450F29" w:rsidRPr="00520913" w14:paraId="6826894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CFECF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السنغال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4820FF" w14:textId="2432E6F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087423F1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DADA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صربيا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AAD9D8" w14:textId="2A75D48E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29413D45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37A6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سيشيل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CB1DC1" w14:textId="19EEDF2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22E4768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856D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سيراليون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881041" w14:textId="24FD74C8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40FCD99F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364D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سنغافورة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5F8EF9" w14:textId="16DBF00C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7ABE419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5899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سلوفاكيا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EB7398" w14:textId="497B9484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59A423D1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83B76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سلوفينيا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3E21D1" w14:textId="21CCD10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461A7A0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F016A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جزر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سليمان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E5F5FB" w14:textId="3F0784C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7074B931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8EC5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الصومال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2062A2" w14:textId="1E7DE9A4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0C540E26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17806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lastRenderedPageBreak/>
              <w:t>جنوب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cs"/>
                <w:b/>
                <w:bCs/>
                <w:rtl/>
              </w:rPr>
              <w:t>إ</w:t>
            </w:r>
            <w:r w:rsidRPr="00520913">
              <w:rPr>
                <w:rFonts w:hint="eastAsia"/>
                <w:b/>
                <w:bCs/>
                <w:rtl/>
              </w:rPr>
              <w:t>فريقيا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965552" w14:textId="765FBE6B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4</w:t>
            </w:r>
          </w:p>
        </w:tc>
      </w:tr>
      <w:tr w:rsidR="00450F29" w:rsidRPr="00520913" w14:paraId="138AB84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F75E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جنوب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السودان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4A5423" w14:textId="5F78EB27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77872565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C556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إسبانيا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F559E9" w14:textId="3F6FD608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6</w:t>
            </w:r>
          </w:p>
        </w:tc>
      </w:tr>
      <w:tr w:rsidR="00450F29" w:rsidRPr="00520913" w14:paraId="71E31EE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2874F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سري</w:t>
            </w:r>
            <w:r w:rsidRPr="00520913">
              <w:rPr>
                <w:rFonts w:hint="cs"/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لانكا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FD9FAA" w14:textId="39B2F77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3378DAF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5CEE6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السودان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7F29F2" w14:textId="3BEB057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5B79B5B3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51C7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سورينام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D18F78" w14:textId="5A243285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70FC045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3481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السويد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E0B13B" w14:textId="25CDBF45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4</w:t>
            </w:r>
          </w:p>
        </w:tc>
      </w:tr>
      <w:tr w:rsidR="00450F29" w:rsidRPr="00520913" w14:paraId="0F0DFF92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F81A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سويسرا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5CD96E" w14:textId="7889659D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10</w:t>
            </w:r>
          </w:p>
        </w:tc>
      </w:tr>
      <w:tr w:rsidR="00450F29" w:rsidRPr="00520913" w14:paraId="26DA749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236C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الجمهورية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العربية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السورية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CBD5EC" w14:textId="1D517C8F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5770E94A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84F27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طاجيكستان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C15F47" w14:textId="44BA73C2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2E0CA78A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2B0D0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تنزانيا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35CD2A" w14:textId="13FE495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321A53A3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42676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تايلاند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C441BB" w14:textId="46F068E2" w:rsidR="00450F29" w:rsidRPr="00520913" w:rsidRDefault="00450F29" w:rsidP="00F6736E">
            <w:pPr>
              <w:spacing w:before="60" w:after="60" w:line="300" w:lineRule="exact"/>
              <w:jc w:val="center"/>
              <w:rPr>
                <w:rtl/>
                <w:lang w:bidi="ar-EG"/>
              </w:rPr>
            </w:pPr>
            <w:r w:rsidRPr="00520913">
              <w:rPr>
                <w:lang w:eastAsia="en-GB"/>
              </w:rPr>
              <w:t>1 1/2</w:t>
            </w:r>
          </w:p>
        </w:tc>
      </w:tr>
      <w:tr w:rsidR="00450F29" w:rsidRPr="00520913" w14:paraId="0EB65C2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7709A" w14:textId="032B953A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تيمور</w:t>
            </w:r>
            <w:r w:rsidRPr="00520913">
              <w:rPr>
                <w:b/>
                <w:bCs/>
                <w:rtl/>
              </w:rPr>
              <w:t xml:space="preserve"> - </w:t>
            </w:r>
            <w:r w:rsidR="00FE0785">
              <w:rPr>
                <w:rFonts w:hint="cs"/>
                <w:b/>
                <w:bCs/>
                <w:rtl/>
              </w:rPr>
              <w:t>ليشتي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779C5D" w14:textId="371E51C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3D2802C9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9F8C6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</w:rPr>
              <w:t>توغو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C964AD" w14:textId="55D7B5C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7FC7505A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FACD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تونغا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977DF0" w14:textId="12124B92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7901322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289AE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ترين</w:t>
            </w:r>
            <w:r w:rsidRPr="00520913">
              <w:rPr>
                <w:rFonts w:hint="cs"/>
                <w:b/>
                <w:bCs/>
                <w:rtl/>
              </w:rPr>
              <w:t>ي</w:t>
            </w:r>
            <w:r w:rsidRPr="00520913">
              <w:rPr>
                <w:rFonts w:hint="eastAsia"/>
                <w:b/>
                <w:bCs/>
                <w:rtl/>
              </w:rPr>
              <w:t>داد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وتوباغو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488ACB" w14:textId="2789358A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053AF0D5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E3360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تونس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35B3AD" w14:textId="78170E3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33E3AF23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5CDF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</w:rPr>
              <w:t>تركيا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2AFAC8" w14:textId="0E117827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0F2426E0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9B7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تركمانستان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D23411" w14:textId="15AA8C85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 xml:space="preserve">1/4 </w:t>
            </w:r>
          </w:p>
        </w:tc>
      </w:tr>
      <w:tr w:rsidR="00450F29" w:rsidRPr="00520913" w14:paraId="2232DE95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429C7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توفالو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F39F4B" w14:textId="4ADD8A28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49917A32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1C7E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أوغندا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AED796" w14:textId="211685C8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02473DD1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9AECC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أوكرانيا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83B1C3" w14:textId="58D5E747" w:rsidR="00450F29" w:rsidRPr="00520913" w:rsidRDefault="00450F29" w:rsidP="00F6736E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55FE8558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B225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الإمارات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العربية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المتحدة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012BE9" w14:textId="3788E27D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3</w:t>
            </w:r>
          </w:p>
        </w:tc>
      </w:tr>
      <w:tr w:rsidR="00450F29" w:rsidRPr="00520913" w14:paraId="66EDAFC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E7542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المملكة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المتحدة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F53B37" w14:textId="6CE9FCF4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10</w:t>
            </w:r>
          </w:p>
        </w:tc>
      </w:tr>
      <w:tr w:rsidR="00450F29" w:rsidRPr="00520913" w14:paraId="49D72065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E515F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الولايات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المتحدة</w:t>
            </w:r>
            <w:r w:rsidRPr="00520913">
              <w:rPr>
                <w:b/>
                <w:bCs/>
                <w:rtl/>
              </w:rPr>
              <w:t xml:space="preserve"> </w:t>
            </w:r>
            <w:r w:rsidRPr="00520913">
              <w:rPr>
                <w:rFonts w:hint="eastAsia"/>
                <w:b/>
                <w:bCs/>
                <w:rtl/>
              </w:rPr>
              <w:t>ال</w:t>
            </w:r>
            <w:r w:rsidRPr="00520913">
              <w:rPr>
                <w:rFonts w:hint="cs"/>
                <w:b/>
                <w:bCs/>
                <w:rtl/>
              </w:rPr>
              <w:t>أ</w:t>
            </w:r>
            <w:r w:rsidRPr="00520913">
              <w:rPr>
                <w:rFonts w:hint="eastAsia"/>
                <w:b/>
                <w:bCs/>
                <w:rtl/>
              </w:rPr>
              <w:t>مريكية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0473B1" w14:textId="1D71264E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30</w:t>
            </w:r>
          </w:p>
        </w:tc>
      </w:tr>
      <w:tr w:rsidR="00450F29" w:rsidRPr="00520913" w14:paraId="27CCED0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2AD63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أوروغواي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C2A1FB" w14:textId="390A3D13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720B8CDB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F07E0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أوزبكستان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CE1BC2" w14:textId="3DFD49EF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6DB5AE35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7B448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فانواتو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3BF869" w14:textId="09AD9D8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1/16</w:t>
            </w:r>
          </w:p>
        </w:tc>
      </w:tr>
      <w:tr w:rsidR="00450F29" w:rsidRPr="00520913" w14:paraId="2B42521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90DD4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الفاتيكان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C4717B" w14:textId="5D270BD1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1/4</w:t>
            </w:r>
          </w:p>
        </w:tc>
      </w:tr>
      <w:tr w:rsidR="00450F29" w:rsidRPr="00520913" w14:paraId="2F052DE4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38D4D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فنزويلا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609A1D" w14:textId="095EDBD0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</w:t>
            </w:r>
          </w:p>
        </w:tc>
      </w:tr>
      <w:tr w:rsidR="00450F29" w:rsidRPr="00520913" w14:paraId="63ADBB3A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E581F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في</w:t>
            </w:r>
            <w:r w:rsidRPr="00520913">
              <w:rPr>
                <w:rFonts w:hint="cs"/>
                <w:b/>
                <w:bCs/>
                <w:rtl/>
              </w:rPr>
              <w:t>ت</w:t>
            </w:r>
            <w:r w:rsidRPr="00520913">
              <w:rPr>
                <w:rFonts w:hint="eastAsia"/>
                <w:b/>
                <w:bCs/>
                <w:rtl/>
              </w:rPr>
              <w:t>نام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47845D" w14:textId="48D38816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660CE93C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478F0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اليمن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D05300" w14:textId="76187D45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336487EE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C9285" w14:textId="77777777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lastRenderedPageBreak/>
              <w:t>زامبيا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6DA520" w14:textId="248AB2A2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1/8</w:t>
            </w:r>
          </w:p>
        </w:tc>
      </w:tr>
      <w:tr w:rsidR="00450F29" w:rsidRPr="00520913" w14:paraId="04F15C97" w14:textId="77777777" w:rsidTr="00450F29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F7DFE" w14:textId="1CBFCEE4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eastAsia"/>
                <w:b/>
                <w:bCs/>
                <w:rtl/>
              </w:rPr>
              <w:t>زمبابوي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514C84" w14:textId="77F3C059" w:rsidR="00450F29" w:rsidRPr="00520913" w:rsidRDefault="00450F29" w:rsidP="00F6736E">
            <w:pPr>
              <w:spacing w:before="60" w:after="60" w:line="300" w:lineRule="exact"/>
              <w:jc w:val="center"/>
            </w:pPr>
            <w:r w:rsidRPr="00520913">
              <w:rPr>
                <w:lang w:eastAsia="en-GB"/>
              </w:rPr>
              <w:t>1/2</w:t>
            </w:r>
          </w:p>
        </w:tc>
      </w:tr>
      <w:tr w:rsidR="00450F29" w:rsidRPr="00520913" w14:paraId="018C9FB0" w14:textId="77777777" w:rsidTr="00450F29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D16A" w14:textId="5DB6CCB2" w:rsidR="00450F29" w:rsidRPr="00520913" w:rsidRDefault="00450F29" w:rsidP="00F6736E">
            <w:pPr>
              <w:spacing w:before="60" w:after="60" w:line="300" w:lineRule="exact"/>
              <w:jc w:val="left"/>
              <w:rPr>
                <w:b/>
                <w:bCs/>
                <w:highlight w:val="yellow"/>
              </w:rPr>
            </w:pPr>
            <w:r w:rsidRPr="00520913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3B110" w14:textId="4612974A" w:rsidR="00450F29" w:rsidRPr="00BC4CFE" w:rsidRDefault="00450F29" w:rsidP="00F6736E">
            <w:pPr>
              <w:pStyle w:val="Tabletexte"/>
              <w:spacing w:line="300" w:lineRule="exact"/>
              <w:jc w:val="center"/>
              <w:rPr>
                <w:b/>
                <w:bCs/>
              </w:rPr>
            </w:pPr>
            <w:r w:rsidRPr="00BC4CFE">
              <w:rPr>
                <w:b/>
                <w:bCs/>
                <w:lang w:eastAsia="en-GB"/>
              </w:rPr>
              <w:t>343 11/16</w:t>
            </w:r>
          </w:p>
        </w:tc>
      </w:tr>
    </w:tbl>
    <w:p w14:paraId="0AD6D392" w14:textId="77777777" w:rsidR="00450F29" w:rsidRDefault="00450F29" w:rsidP="00520913">
      <w:pPr>
        <w:pStyle w:val="Tabletexte"/>
        <w:rPr>
          <w:rtl/>
          <w:lang w:bidi="ar-EG"/>
        </w:rPr>
      </w:pPr>
      <w:r>
        <w:rPr>
          <w:rtl/>
        </w:rPr>
        <w:br w:type="page"/>
      </w:r>
    </w:p>
    <w:p w14:paraId="6E7F3718" w14:textId="77777777" w:rsidR="00450F29" w:rsidRDefault="00450F29" w:rsidP="00520913">
      <w:pPr>
        <w:pStyle w:val="AnnexNo"/>
      </w:pPr>
      <w:r>
        <w:rPr>
          <w:rFonts w:hint="cs"/>
          <w:rtl/>
        </w:rPr>
        <w:lastRenderedPageBreak/>
        <w:t xml:space="preserve">الملحق </w:t>
      </w:r>
      <w:r>
        <w:t>2</w:t>
      </w:r>
    </w:p>
    <w:tbl>
      <w:tblPr>
        <w:bidiVisual/>
        <w:tblW w:w="4991" w:type="pct"/>
        <w:jc w:val="center"/>
        <w:tblLayout w:type="fixed"/>
        <w:tblLook w:val="04A0" w:firstRow="1" w:lastRow="0" w:firstColumn="1" w:lastColumn="0" w:noHBand="0" w:noVBand="1"/>
      </w:tblPr>
      <w:tblGrid>
        <w:gridCol w:w="3984"/>
        <w:gridCol w:w="1588"/>
        <w:gridCol w:w="1516"/>
        <w:gridCol w:w="1262"/>
        <w:gridCol w:w="1262"/>
      </w:tblGrid>
      <w:tr w:rsidR="00450F29" w:rsidRPr="007015DE" w14:paraId="07AC102A" w14:textId="77777777" w:rsidTr="00520913">
        <w:trPr>
          <w:trHeight w:val="1065"/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7BC2" w14:textId="584B13DF" w:rsidR="00450F29" w:rsidRPr="007015DE" w:rsidRDefault="00520913" w:rsidP="00B4482C">
            <w:pPr>
              <w:pStyle w:val="Tablehead0"/>
              <w:bidi/>
              <w:spacing w:before="60" w:after="60" w:line="300" w:lineRule="exact"/>
              <w:rPr>
                <w:rtl/>
                <w:lang w:eastAsia="zh-CN" w:bidi="ar-EG"/>
              </w:rPr>
            </w:pPr>
            <w:r>
              <w:rPr>
                <w:rFonts w:hint="cs"/>
                <w:rtl/>
                <w:lang w:bidi="ar-EG"/>
              </w:rPr>
              <w:t>أعضاء القطاع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903B" w14:textId="308D9D2E" w:rsidR="00450F29" w:rsidRPr="007015DE" w:rsidRDefault="00450F29" w:rsidP="00B4482C">
            <w:pPr>
              <w:pStyle w:val="Tablehead0"/>
              <w:bidi/>
              <w:spacing w:before="60" w:after="60" w:line="300" w:lineRule="exact"/>
            </w:pPr>
            <w:r w:rsidRPr="007015DE">
              <w:rPr>
                <w:rFonts w:hint="cs"/>
                <w:rtl/>
              </w:rPr>
              <w:t xml:space="preserve">عدد </w:t>
            </w:r>
            <w:r>
              <w:rPr>
                <w:rFonts w:hint="cs"/>
                <w:rtl/>
              </w:rPr>
              <w:t>الوحدات</w:t>
            </w:r>
            <w:r>
              <w:rPr>
                <w:rtl/>
              </w:rPr>
              <w:br/>
            </w:r>
            <w:r w:rsidRPr="007015DE">
              <w:t>PP-</w:t>
            </w:r>
            <w:r w:rsidR="00520913"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D73C" w14:textId="2250A4D8" w:rsidR="00450F29" w:rsidRPr="007015DE" w:rsidRDefault="00450F29" w:rsidP="00B4482C">
            <w:pPr>
              <w:pStyle w:val="Tablehead0"/>
              <w:bidi/>
              <w:spacing w:before="60" w:after="60" w:line="300" w:lineRule="exact"/>
            </w:pPr>
            <w:bookmarkStart w:id="1" w:name="lt_pId446"/>
            <w:r>
              <w:rPr>
                <w:rFonts w:hint="cs"/>
                <w:rtl/>
              </w:rPr>
              <w:t>عدد الوحدات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في</w:t>
            </w:r>
            <w:bookmarkEnd w:id="1"/>
            <w:r>
              <w:rPr>
                <w:rFonts w:hint="cs"/>
                <w:rtl/>
              </w:rPr>
              <w:t xml:space="preserve"> </w:t>
            </w:r>
            <w:r>
              <w:t>20</w:t>
            </w:r>
            <w:r w:rsidR="00520913">
              <w:t>21</w:t>
            </w:r>
            <w:r>
              <w:t>.01.31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14A7" w14:textId="77777777" w:rsidR="00450F29" w:rsidRPr="007015DE" w:rsidRDefault="00450F29" w:rsidP="00B4482C">
            <w:pPr>
              <w:pStyle w:val="Tablehead0"/>
              <w:bidi/>
              <w:spacing w:before="60" w:after="60" w:line="300" w:lineRule="exact"/>
            </w:pPr>
            <w:r w:rsidRPr="007015DE">
              <w:rPr>
                <w:rFonts w:hint="cs"/>
                <w:rtl/>
              </w:rPr>
              <w:t>الفرق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52E40" w14:textId="77777777" w:rsidR="00450F29" w:rsidRPr="00C320F2" w:rsidRDefault="00450F29" w:rsidP="00B4482C">
            <w:pPr>
              <w:pStyle w:val="Tablehead0"/>
              <w:bidi/>
              <w:spacing w:before="60" w:after="60" w:line="300" w:lineRule="exact"/>
            </w:pPr>
            <w:r w:rsidRPr="00C320F2">
              <w:rPr>
                <w:rFonts w:hint="cs"/>
                <w:rtl/>
              </w:rPr>
              <w:t xml:space="preserve">الفرق في </w:t>
            </w:r>
            <w:r w:rsidRPr="00C320F2">
              <w:rPr>
                <w:rtl/>
              </w:rPr>
              <w:t>%</w:t>
            </w:r>
          </w:p>
        </w:tc>
      </w:tr>
      <w:tr w:rsidR="00520913" w:rsidRPr="007015DE" w14:paraId="52D72A6E" w14:textId="77777777" w:rsidTr="00520913">
        <w:trPr>
          <w:trHeight w:val="402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4D699" w14:textId="77777777" w:rsidR="00520913" w:rsidRPr="003F281B" w:rsidRDefault="00520913" w:rsidP="00B4482C">
            <w:pPr>
              <w:pStyle w:val="Tabletexte"/>
              <w:spacing w:line="300" w:lineRule="exact"/>
            </w:pPr>
            <w:r>
              <w:rPr>
                <w:rFonts w:hint="cs"/>
                <w:rtl/>
              </w:rPr>
              <w:t xml:space="preserve">أعضاء </w:t>
            </w:r>
            <w:r w:rsidRPr="003F281B">
              <w:rPr>
                <w:rFonts w:hint="cs"/>
                <w:rtl/>
              </w:rPr>
              <w:t>قطاع الاتصالات الراديوية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D9A664" w14:textId="1D1844E8" w:rsidR="00520913" w:rsidRPr="007015DE" w:rsidRDefault="00520913" w:rsidP="00B4482C">
            <w:pPr>
              <w:pStyle w:val="Tabletexte"/>
              <w:spacing w:line="300" w:lineRule="exact"/>
              <w:jc w:val="center"/>
              <w:rPr>
                <w:rtl/>
              </w:rPr>
            </w:pPr>
            <w:r w:rsidRPr="00527C47">
              <w:rPr>
                <w:rFonts w:cs="Calibri"/>
                <w:lang w:eastAsia="en-GB"/>
              </w:rPr>
              <w:t>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D11914" w14:textId="0595A02E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99</w:t>
            </w:r>
            <w:r w:rsidR="00EE53ED">
              <w:rPr>
                <w:rFonts w:cs="Calibri"/>
                <w:lang w:eastAsia="en-GB"/>
              </w:rPr>
              <w:t xml:space="preserve"> </w:t>
            </w:r>
            <w:r w:rsidRPr="00527C47">
              <w:rPr>
                <w:rFonts w:cs="Calibri"/>
                <w:lang w:eastAsia="en-GB"/>
              </w:rPr>
              <w:t>7/16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BBEA6F" w14:textId="45C83A9F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1 1/2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D79D2" w14:textId="78F0F46E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>
              <w:t>%2</w:t>
            </w:r>
          </w:p>
        </w:tc>
      </w:tr>
      <w:tr w:rsidR="00520913" w:rsidRPr="007015DE" w14:paraId="48BD4F50" w14:textId="77777777" w:rsidTr="00520913">
        <w:trPr>
          <w:trHeight w:val="402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3A032" w14:textId="77777777" w:rsidR="00520913" w:rsidRPr="003F281B" w:rsidRDefault="00520913" w:rsidP="00B4482C">
            <w:pPr>
              <w:pStyle w:val="Tabletexte"/>
              <w:spacing w:line="300" w:lineRule="exact"/>
              <w:rPr>
                <w:lang w:bidi="ar-EG"/>
              </w:rPr>
            </w:pPr>
            <w:r>
              <w:rPr>
                <w:rFonts w:hint="cs"/>
                <w:rtl/>
              </w:rPr>
              <w:t xml:space="preserve">أعضاء </w:t>
            </w:r>
            <w:r w:rsidRPr="003F281B">
              <w:rPr>
                <w:rFonts w:hint="cs"/>
                <w:rtl/>
              </w:rPr>
              <w:t>قطاع تقييس الاتصالات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A556AA" w14:textId="4DF96C77" w:rsidR="00520913" w:rsidRPr="006109B0" w:rsidRDefault="00520913" w:rsidP="00B4482C">
            <w:pPr>
              <w:pStyle w:val="Tabletexte"/>
              <w:spacing w:line="300" w:lineRule="exact"/>
              <w:jc w:val="center"/>
              <w:rPr>
                <w:rtl/>
              </w:rPr>
            </w:pPr>
            <w:r w:rsidRPr="00527C47">
              <w:rPr>
                <w:rFonts w:cs="Calibri"/>
                <w:lang w:eastAsia="en-GB"/>
              </w:rPr>
              <w:t>98 1/2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FA6995" w14:textId="3692C604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96</w:t>
            </w:r>
            <w:r w:rsidR="00EE53ED">
              <w:rPr>
                <w:rFonts w:cs="Calibri"/>
                <w:lang w:eastAsia="en-GB"/>
              </w:rPr>
              <w:t xml:space="preserve"> </w:t>
            </w:r>
            <w:r w:rsidRPr="00527C47">
              <w:rPr>
                <w:rFonts w:cs="Calibri"/>
                <w:lang w:eastAsia="en-GB"/>
              </w:rPr>
              <w:t>1/2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B17151" w14:textId="21258137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2</w:t>
            </w:r>
            <w:r w:rsidR="00F11808" w:rsidRPr="00527C47">
              <w:rPr>
                <w:rFonts w:cs="Calibri"/>
                <w:lang w:eastAsia="en-GB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4F164" w14:textId="31E2E062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>
              <w:rPr>
                <w:rFonts w:cs="Calibri"/>
                <w:lang w:eastAsia="en-GB"/>
              </w:rPr>
              <w:t>%</w:t>
            </w:r>
            <w:r w:rsidRPr="00527C47">
              <w:rPr>
                <w:rFonts w:cs="Calibri"/>
                <w:lang w:eastAsia="en-GB"/>
              </w:rPr>
              <w:t>2</w:t>
            </w:r>
            <w:r w:rsidR="00F11808">
              <w:rPr>
                <w:rFonts w:cs="Calibri"/>
                <w:lang w:eastAsia="en-GB"/>
              </w:rPr>
              <w:t>-</w:t>
            </w:r>
          </w:p>
        </w:tc>
      </w:tr>
      <w:tr w:rsidR="00520913" w:rsidRPr="007015DE" w14:paraId="36EFCE93" w14:textId="77777777" w:rsidTr="00520913">
        <w:trPr>
          <w:trHeight w:val="402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89392" w14:textId="77777777" w:rsidR="00520913" w:rsidRPr="003F281B" w:rsidRDefault="00520913" w:rsidP="00B4482C">
            <w:pPr>
              <w:pStyle w:val="Tabletexte"/>
              <w:spacing w:line="300" w:lineRule="exact"/>
            </w:pPr>
            <w:r>
              <w:rPr>
                <w:rFonts w:hint="cs"/>
                <w:rtl/>
              </w:rPr>
              <w:t xml:space="preserve">أعضاء </w:t>
            </w:r>
            <w:r w:rsidRPr="003F281B">
              <w:rPr>
                <w:rFonts w:hint="cs"/>
                <w:rtl/>
              </w:rPr>
              <w:t>قطاع تنمية الاتصالات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6203E7" w14:textId="2C7F3764" w:rsidR="00520913" w:rsidRPr="00502231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22 1/2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3CBA24" w14:textId="795A73D6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21 1/8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BDCF6B" w14:textId="4DB701B1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1 1/2</w:t>
            </w:r>
            <w:r w:rsidR="00F11808" w:rsidRPr="00527C47">
              <w:rPr>
                <w:rFonts w:cs="Calibri"/>
                <w:lang w:eastAsia="en-GB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B1BA2" w14:textId="6DDA8A66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>
              <w:rPr>
                <w:rFonts w:cs="Calibri"/>
                <w:lang w:eastAsia="en-GB"/>
              </w:rPr>
              <w:t>%</w:t>
            </w:r>
            <w:r w:rsidRPr="00527C47">
              <w:rPr>
                <w:rFonts w:cs="Calibri"/>
                <w:lang w:eastAsia="en-GB"/>
              </w:rPr>
              <w:t>6</w:t>
            </w:r>
            <w:r w:rsidR="00F11808">
              <w:rPr>
                <w:rFonts w:cs="Calibri"/>
                <w:lang w:eastAsia="en-GB"/>
              </w:rPr>
              <w:t>-</w:t>
            </w:r>
          </w:p>
        </w:tc>
      </w:tr>
      <w:tr w:rsidR="00520913" w:rsidRPr="007015DE" w14:paraId="0EDB8A72" w14:textId="77777777" w:rsidTr="00520913">
        <w:trPr>
          <w:trHeight w:val="402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D4A423" w14:textId="77777777" w:rsidR="00520913" w:rsidRPr="00EB450F" w:rsidRDefault="00520913" w:rsidP="00B4482C">
            <w:pPr>
              <w:pStyle w:val="Tabletexte"/>
              <w:spacing w:line="300" w:lineRule="exact"/>
              <w:rPr>
                <w:b/>
                <w:bCs/>
              </w:rPr>
            </w:pPr>
            <w:r w:rsidRPr="00EB450F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A9982D" w14:textId="43CC5C2E" w:rsidR="00520913" w:rsidRPr="00BF14B6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b/>
                <w:bCs/>
                <w:lang w:eastAsia="en-GB"/>
              </w:rPr>
              <w:t>218 1/2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3FB870" w14:textId="00693129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b/>
                <w:bCs/>
                <w:lang w:eastAsia="en-GB"/>
              </w:rPr>
              <w:t>217 1/16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935C1B" w14:textId="5E8F9FC0" w:rsidR="00520913" w:rsidRPr="00A513E0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b/>
                <w:bCs/>
                <w:lang w:eastAsia="en-GB"/>
              </w:rPr>
              <w:t>1 1/2</w:t>
            </w:r>
            <w:r w:rsidR="00F11808" w:rsidRPr="00527C47">
              <w:rPr>
                <w:rFonts w:cs="Calibri"/>
                <w:b/>
                <w:bCs/>
                <w:lang w:eastAsia="en-GB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5EB8" w14:textId="5F670C41" w:rsidR="00520913" w:rsidRPr="00A513E0" w:rsidRDefault="00520913" w:rsidP="00B4482C">
            <w:pPr>
              <w:pStyle w:val="Tabletexte"/>
              <w:spacing w:line="300" w:lineRule="exact"/>
              <w:jc w:val="center"/>
            </w:pPr>
            <w:r>
              <w:rPr>
                <w:rFonts w:cs="Calibri"/>
                <w:b/>
                <w:bCs/>
                <w:lang w:eastAsia="en-GB"/>
              </w:rPr>
              <w:t>%</w:t>
            </w:r>
            <w:r w:rsidRPr="00527C47">
              <w:rPr>
                <w:rFonts w:cs="Calibri"/>
                <w:b/>
                <w:bCs/>
                <w:lang w:eastAsia="en-GB"/>
              </w:rPr>
              <w:t>1</w:t>
            </w:r>
            <w:r w:rsidR="00F11808" w:rsidRPr="00527C47">
              <w:rPr>
                <w:rFonts w:cs="Calibri"/>
                <w:b/>
                <w:bCs/>
                <w:lang w:eastAsia="en-GB"/>
              </w:rPr>
              <w:t>-</w:t>
            </w:r>
          </w:p>
        </w:tc>
      </w:tr>
      <w:tr w:rsidR="00450F29" w:rsidRPr="007015DE" w14:paraId="4C72FA58" w14:textId="77777777" w:rsidTr="00520913">
        <w:trPr>
          <w:trHeight w:val="435"/>
          <w:jc w:val="center"/>
        </w:trPr>
        <w:tc>
          <w:tcPr>
            <w:tcW w:w="3985" w:type="dxa"/>
            <w:shd w:val="clear" w:color="auto" w:fill="FFFFFF"/>
            <w:vAlign w:val="bottom"/>
            <w:hideMark/>
          </w:tcPr>
          <w:p w14:paraId="175AE37A" w14:textId="77777777" w:rsidR="00450F29" w:rsidRPr="007015DE" w:rsidRDefault="00450F29" w:rsidP="00B4482C">
            <w:pPr>
              <w:pStyle w:val="Tabletexte"/>
              <w:spacing w:line="300" w:lineRule="exact"/>
            </w:pPr>
            <w:r w:rsidRPr="007015DE">
              <w:t> </w:t>
            </w:r>
          </w:p>
        </w:tc>
        <w:tc>
          <w:tcPr>
            <w:tcW w:w="1589" w:type="dxa"/>
            <w:shd w:val="clear" w:color="auto" w:fill="FFFFFF"/>
            <w:noWrap/>
            <w:vAlign w:val="bottom"/>
            <w:hideMark/>
          </w:tcPr>
          <w:p w14:paraId="14D56B4E" w14:textId="77777777" w:rsidR="00450F29" w:rsidRPr="007015DE" w:rsidRDefault="00450F29" w:rsidP="00B4482C">
            <w:pPr>
              <w:pStyle w:val="Tabletexte"/>
              <w:spacing w:line="300" w:lineRule="exact"/>
            </w:pPr>
            <w:r w:rsidRPr="007015DE">
              <w:t> </w:t>
            </w:r>
          </w:p>
        </w:tc>
        <w:tc>
          <w:tcPr>
            <w:tcW w:w="1517" w:type="dxa"/>
            <w:shd w:val="clear" w:color="auto" w:fill="FFFFFF"/>
            <w:noWrap/>
            <w:vAlign w:val="bottom"/>
            <w:hideMark/>
          </w:tcPr>
          <w:p w14:paraId="5A825AB6" w14:textId="77777777" w:rsidR="00450F29" w:rsidRPr="007015DE" w:rsidRDefault="00450F29" w:rsidP="00B4482C">
            <w:pPr>
              <w:pStyle w:val="Tabletexte"/>
              <w:spacing w:line="300" w:lineRule="exact"/>
            </w:pPr>
            <w:r w:rsidRPr="007015DE">
              <w:t> </w:t>
            </w:r>
          </w:p>
        </w:tc>
        <w:tc>
          <w:tcPr>
            <w:tcW w:w="1263" w:type="dxa"/>
            <w:shd w:val="clear" w:color="auto" w:fill="FFFFFF"/>
            <w:noWrap/>
            <w:vAlign w:val="bottom"/>
            <w:hideMark/>
          </w:tcPr>
          <w:p w14:paraId="55DEEDFA" w14:textId="77777777" w:rsidR="00450F29" w:rsidRPr="007015DE" w:rsidRDefault="00450F29" w:rsidP="00B4482C">
            <w:pPr>
              <w:pStyle w:val="Tabletexte"/>
              <w:spacing w:line="300" w:lineRule="exact"/>
            </w:pPr>
            <w:r w:rsidRPr="007015DE">
              <w:t> </w:t>
            </w:r>
          </w:p>
        </w:tc>
        <w:tc>
          <w:tcPr>
            <w:tcW w:w="1263" w:type="dxa"/>
            <w:shd w:val="clear" w:color="auto" w:fill="FFFFFF"/>
            <w:noWrap/>
            <w:vAlign w:val="bottom"/>
            <w:hideMark/>
          </w:tcPr>
          <w:p w14:paraId="645C854E" w14:textId="77777777" w:rsidR="00450F29" w:rsidRPr="007015DE" w:rsidRDefault="00450F29" w:rsidP="00B4482C">
            <w:pPr>
              <w:pStyle w:val="Tabletexte"/>
              <w:spacing w:line="300" w:lineRule="exact"/>
            </w:pPr>
            <w:r w:rsidRPr="007015DE">
              <w:t> </w:t>
            </w:r>
          </w:p>
        </w:tc>
      </w:tr>
      <w:tr w:rsidR="00450F29" w:rsidRPr="007015DE" w14:paraId="34849019" w14:textId="77777777" w:rsidTr="00520913">
        <w:trPr>
          <w:trHeight w:val="1065"/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E938" w14:textId="4E7BD1C5" w:rsidR="00450F29" w:rsidRPr="00DC0F93" w:rsidRDefault="00450F29" w:rsidP="00B4482C">
            <w:pPr>
              <w:pStyle w:val="Tablehead0"/>
              <w:bidi/>
              <w:spacing w:before="60" w:after="60" w:line="300" w:lineRule="exact"/>
            </w:pPr>
            <w:r w:rsidRPr="00DC0F93">
              <w:rPr>
                <w:rtl/>
              </w:rPr>
              <w:t>المنتسب</w:t>
            </w:r>
            <w:r w:rsidR="00520913">
              <w:rPr>
                <w:rFonts w:hint="cs"/>
                <w:rtl/>
              </w:rPr>
              <w:t>و</w:t>
            </w:r>
            <w:r w:rsidRPr="00DC0F93">
              <w:rPr>
                <w:rtl/>
              </w:rPr>
              <w:t xml:space="preserve">ن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EEB9" w14:textId="1E0F6FFF" w:rsidR="00450F29" w:rsidRPr="007015DE" w:rsidRDefault="00450F29" w:rsidP="00B4482C">
            <w:pPr>
              <w:pStyle w:val="Tablehead0"/>
              <w:bidi/>
              <w:spacing w:before="60" w:after="60" w:line="300" w:lineRule="exact"/>
            </w:pPr>
            <w:r>
              <w:rPr>
                <w:rFonts w:hint="cs"/>
                <w:rtl/>
              </w:rPr>
              <w:t>العدد</w:t>
            </w:r>
            <w:r>
              <w:rPr>
                <w:rtl/>
              </w:rPr>
              <w:br/>
            </w:r>
            <w:r w:rsidRPr="007015DE">
              <w:t>PP-</w:t>
            </w:r>
            <w:r w:rsidR="00520913"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FFE8" w14:textId="63E5D4C7" w:rsidR="00450F29" w:rsidRPr="007015DE" w:rsidRDefault="00450F29" w:rsidP="00B4482C">
            <w:pPr>
              <w:pStyle w:val="Tablehead0"/>
              <w:bidi/>
              <w:spacing w:before="60" w:after="60" w:line="300" w:lineRule="exact"/>
            </w:pPr>
            <w:r>
              <w:rPr>
                <w:rFonts w:hint="cs"/>
                <w:rtl/>
              </w:rPr>
              <w:t xml:space="preserve">العدد </w:t>
            </w:r>
            <w:r w:rsidR="00950623">
              <w:rPr>
                <w:rtl/>
              </w:rPr>
              <w:br/>
            </w:r>
            <w:r>
              <w:rPr>
                <w:rFonts w:hint="cs"/>
                <w:rtl/>
              </w:rPr>
              <w:t>في</w:t>
            </w:r>
            <w:r w:rsidR="00950623">
              <w:rPr>
                <w:rFonts w:hint="cs"/>
                <w:rtl/>
              </w:rPr>
              <w:t xml:space="preserve"> </w:t>
            </w:r>
            <w:r w:rsidR="00520913">
              <w:t>2021</w:t>
            </w:r>
            <w:r>
              <w:t>.01.31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32CF" w14:textId="77777777" w:rsidR="00450F29" w:rsidRPr="007015DE" w:rsidRDefault="00450F29" w:rsidP="00B4482C">
            <w:pPr>
              <w:pStyle w:val="Tablehead0"/>
              <w:bidi/>
              <w:spacing w:before="60" w:after="60" w:line="300" w:lineRule="exact"/>
            </w:pPr>
            <w:r w:rsidRPr="007015DE">
              <w:rPr>
                <w:rFonts w:hint="cs"/>
                <w:rtl/>
              </w:rPr>
              <w:t>الفرق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0CA2" w14:textId="77777777" w:rsidR="00450F29" w:rsidRPr="000464AA" w:rsidRDefault="00450F29" w:rsidP="00B4482C">
            <w:pPr>
              <w:pStyle w:val="Tablehead0"/>
              <w:bidi/>
              <w:spacing w:before="60" w:after="60" w:line="300" w:lineRule="exact"/>
            </w:pPr>
            <w:r w:rsidRPr="000464AA">
              <w:rPr>
                <w:rFonts w:hint="cs"/>
                <w:rtl/>
              </w:rPr>
              <w:t xml:space="preserve">الفرق في </w:t>
            </w:r>
            <w:r w:rsidRPr="000464AA">
              <w:rPr>
                <w:rtl/>
              </w:rPr>
              <w:t>%</w:t>
            </w:r>
          </w:p>
        </w:tc>
      </w:tr>
      <w:tr w:rsidR="00520913" w:rsidRPr="007015DE" w14:paraId="4B195D3D" w14:textId="77777777" w:rsidTr="00520913">
        <w:trPr>
          <w:trHeight w:val="402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8E2A0" w14:textId="77777777" w:rsidR="00520913" w:rsidRPr="003F281B" w:rsidRDefault="00520913" w:rsidP="00B4482C">
            <w:pPr>
              <w:pStyle w:val="Tabletexte"/>
              <w:spacing w:line="300" w:lineRule="exact"/>
            </w:pPr>
            <w:r>
              <w:rPr>
                <w:rFonts w:hint="cs"/>
                <w:rtl/>
              </w:rPr>
              <w:t xml:space="preserve">المنتسبون إلى </w:t>
            </w:r>
            <w:r w:rsidRPr="003F281B">
              <w:rPr>
                <w:rFonts w:hint="cs"/>
                <w:rtl/>
              </w:rPr>
              <w:t>قطاع الاتصالات الراديوية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3B0244" w14:textId="236431BF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D2EB5B" w14:textId="5C7C4156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9BD741" w14:textId="28DDEFE6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DA03F" w14:textId="1C29C7A7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>
              <w:rPr>
                <w:rFonts w:cs="Calibri"/>
                <w:lang w:eastAsia="en-GB"/>
              </w:rPr>
              <w:t>%</w:t>
            </w:r>
            <w:r w:rsidRPr="00527C47">
              <w:rPr>
                <w:rFonts w:cs="Calibri"/>
                <w:lang w:eastAsia="en-GB"/>
              </w:rPr>
              <w:t>5</w:t>
            </w:r>
          </w:p>
        </w:tc>
      </w:tr>
      <w:tr w:rsidR="00520913" w:rsidRPr="007015DE" w14:paraId="4810789B" w14:textId="77777777" w:rsidTr="00520913">
        <w:trPr>
          <w:trHeight w:val="402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ACA86" w14:textId="77777777" w:rsidR="00520913" w:rsidRPr="003F281B" w:rsidRDefault="00520913" w:rsidP="00B4482C">
            <w:pPr>
              <w:pStyle w:val="Tabletexte"/>
              <w:spacing w:line="300" w:lineRule="exact"/>
            </w:pPr>
            <w:r>
              <w:rPr>
                <w:rFonts w:hint="cs"/>
                <w:rtl/>
              </w:rPr>
              <w:t xml:space="preserve">المنتسبون إلى </w:t>
            </w:r>
            <w:r w:rsidRPr="003F281B">
              <w:rPr>
                <w:rFonts w:hint="cs"/>
                <w:rtl/>
              </w:rPr>
              <w:t>قطاع تقييس الاتصالات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D83698" w14:textId="33CD91C8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161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33CBD" w14:textId="4BB378BC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194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2DD822" w14:textId="7388D7D9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9500A" w14:textId="09DCFFFA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>
              <w:rPr>
                <w:rFonts w:cs="Calibri"/>
                <w:lang w:eastAsia="en-GB"/>
              </w:rPr>
              <w:t>%</w:t>
            </w:r>
            <w:r w:rsidRPr="00527C47">
              <w:rPr>
                <w:rFonts w:cs="Calibri"/>
                <w:lang w:eastAsia="en-GB"/>
              </w:rPr>
              <w:t>20</w:t>
            </w:r>
          </w:p>
        </w:tc>
      </w:tr>
      <w:tr w:rsidR="00520913" w:rsidRPr="007015DE" w14:paraId="29C2872C" w14:textId="77777777" w:rsidTr="00520913">
        <w:trPr>
          <w:trHeight w:val="402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FBE95" w14:textId="77777777" w:rsidR="00520913" w:rsidRPr="003F281B" w:rsidRDefault="00520913" w:rsidP="00B4482C">
            <w:pPr>
              <w:pStyle w:val="Tabletexte"/>
              <w:spacing w:line="300" w:lineRule="exact"/>
            </w:pPr>
            <w:r>
              <w:rPr>
                <w:rFonts w:hint="cs"/>
                <w:rtl/>
              </w:rPr>
              <w:t xml:space="preserve">المنتسبون إلى </w:t>
            </w:r>
            <w:r w:rsidRPr="003F281B">
              <w:rPr>
                <w:rFonts w:hint="cs"/>
                <w:rtl/>
              </w:rPr>
              <w:t>قطاع تنمية الاتصالات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6F1FAA" w14:textId="194FF864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1E85D0" w14:textId="0A3B93D9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005A3A" w14:textId="36E298F4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2187F" w14:textId="7E54D709" w:rsidR="00520913" w:rsidRPr="007015DE" w:rsidRDefault="00520913" w:rsidP="00B4482C">
            <w:pPr>
              <w:pStyle w:val="Tabletexte"/>
              <w:spacing w:line="300" w:lineRule="exact"/>
              <w:jc w:val="center"/>
            </w:pPr>
            <w:r>
              <w:rPr>
                <w:rFonts w:cs="Calibri"/>
                <w:lang w:eastAsia="en-GB"/>
              </w:rPr>
              <w:t>%</w:t>
            </w:r>
            <w:r w:rsidRPr="00527C47">
              <w:rPr>
                <w:rFonts w:cs="Calibri"/>
                <w:lang w:eastAsia="en-GB"/>
              </w:rPr>
              <w:t>33</w:t>
            </w:r>
          </w:p>
        </w:tc>
      </w:tr>
      <w:tr w:rsidR="00520913" w:rsidRPr="007015DE" w14:paraId="54BF34C8" w14:textId="77777777" w:rsidTr="00520913">
        <w:trPr>
          <w:trHeight w:val="402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C85DF4" w14:textId="77777777" w:rsidR="00520913" w:rsidRPr="00EB450F" w:rsidRDefault="00520913" w:rsidP="00B4482C">
            <w:pPr>
              <w:pStyle w:val="Tabletexte"/>
              <w:spacing w:line="300" w:lineRule="exact"/>
              <w:rPr>
                <w:b/>
                <w:bCs/>
              </w:rPr>
            </w:pPr>
            <w:r w:rsidRPr="00EB450F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C9319B" w14:textId="12E03DA1" w:rsidR="00520913" w:rsidRPr="00D07911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b/>
                <w:bCs/>
                <w:lang w:eastAsia="en-GB"/>
              </w:rPr>
              <w:t>194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80EA97" w14:textId="69D94CB5" w:rsidR="00520913" w:rsidRPr="00D07911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b/>
                <w:bCs/>
                <w:lang w:eastAsia="en-GB"/>
              </w:rPr>
              <w:t>232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B47042" w14:textId="55AF6EA4" w:rsidR="00520913" w:rsidRPr="00D07911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b/>
                <w:bCs/>
                <w:lang w:eastAsia="en-GB"/>
              </w:rPr>
              <w:t>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35FCF" w14:textId="17CA5D79" w:rsidR="00520913" w:rsidRPr="00D07911" w:rsidRDefault="00520913" w:rsidP="00B4482C">
            <w:pPr>
              <w:pStyle w:val="Tabletexte"/>
              <w:spacing w:line="300" w:lineRule="exact"/>
              <w:jc w:val="center"/>
            </w:pPr>
            <w:r>
              <w:rPr>
                <w:rFonts w:cs="Calibri"/>
                <w:b/>
                <w:bCs/>
                <w:lang w:eastAsia="en-GB"/>
              </w:rPr>
              <w:t>%</w:t>
            </w:r>
            <w:r w:rsidRPr="00527C47">
              <w:rPr>
                <w:rFonts w:cs="Calibri"/>
                <w:b/>
                <w:bCs/>
                <w:lang w:eastAsia="en-GB"/>
              </w:rPr>
              <w:t>20</w:t>
            </w:r>
          </w:p>
        </w:tc>
      </w:tr>
      <w:tr w:rsidR="00450F29" w:rsidRPr="007015DE" w14:paraId="74686964" w14:textId="77777777" w:rsidTr="00520913">
        <w:trPr>
          <w:trHeight w:val="435"/>
          <w:jc w:val="center"/>
        </w:trPr>
        <w:tc>
          <w:tcPr>
            <w:tcW w:w="3985" w:type="dxa"/>
            <w:shd w:val="clear" w:color="auto" w:fill="FFFFFF"/>
            <w:vAlign w:val="center"/>
            <w:hideMark/>
          </w:tcPr>
          <w:p w14:paraId="4658B96B" w14:textId="77777777" w:rsidR="00450F29" w:rsidRPr="007015DE" w:rsidRDefault="00450F29" w:rsidP="00B4482C">
            <w:pPr>
              <w:pStyle w:val="Tabletexte"/>
              <w:spacing w:line="300" w:lineRule="exact"/>
            </w:pPr>
            <w:r w:rsidRPr="007015DE">
              <w:t> 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54CE12C4" w14:textId="77777777" w:rsidR="00450F29" w:rsidRPr="007015DE" w:rsidRDefault="00450F29" w:rsidP="00B4482C">
            <w:pPr>
              <w:pStyle w:val="Tabletexte"/>
              <w:spacing w:line="300" w:lineRule="exact"/>
            </w:pPr>
            <w:r w:rsidRPr="007015DE">
              <w:t> </w:t>
            </w:r>
          </w:p>
        </w:tc>
        <w:tc>
          <w:tcPr>
            <w:tcW w:w="1517" w:type="dxa"/>
            <w:shd w:val="clear" w:color="auto" w:fill="FFFFFF"/>
            <w:noWrap/>
            <w:vAlign w:val="center"/>
            <w:hideMark/>
          </w:tcPr>
          <w:p w14:paraId="00B2BB54" w14:textId="77777777" w:rsidR="00450F29" w:rsidRPr="007015DE" w:rsidRDefault="00450F29" w:rsidP="00B4482C">
            <w:pPr>
              <w:pStyle w:val="Tabletexte"/>
              <w:spacing w:line="300" w:lineRule="exact"/>
            </w:pPr>
            <w:r w:rsidRPr="007015DE">
              <w:t> </w:t>
            </w:r>
          </w:p>
        </w:tc>
        <w:tc>
          <w:tcPr>
            <w:tcW w:w="1263" w:type="dxa"/>
            <w:shd w:val="clear" w:color="auto" w:fill="FFFFFF"/>
            <w:noWrap/>
            <w:vAlign w:val="center"/>
            <w:hideMark/>
          </w:tcPr>
          <w:p w14:paraId="63C93BFD" w14:textId="77777777" w:rsidR="00450F29" w:rsidRPr="007015DE" w:rsidRDefault="00450F29" w:rsidP="00B4482C">
            <w:pPr>
              <w:pStyle w:val="Tabletexte"/>
              <w:spacing w:line="300" w:lineRule="exact"/>
            </w:pPr>
            <w:r w:rsidRPr="007015DE">
              <w:t> </w:t>
            </w:r>
          </w:p>
        </w:tc>
        <w:tc>
          <w:tcPr>
            <w:tcW w:w="1263" w:type="dxa"/>
            <w:noWrap/>
            <w:vAlign w:val="bottom"/>
            <w:hideMark/>
          </w:tcPr>
          <w:p w14:paraId="3A0F34C6" w14:textId="77777777" w:rsidR="00450F29" w:rsidRPr="007015DE" w:rsidRDefault="00450F29" w:rsidP="00B4482C">
            <w:pPr>
              <w:pStyle w:val="Tabletext"/>
              <w:spacing w:line="300" w:lineRule="exact"/>
            </w:pPr>
          </w:p>
        </w:tc>
      </w:tr>
      <w:tr w:rsidR="00450F29" w:rsidRPr="007015DE" w14:paraId="6E878314" w14:textId="77777777" w:rsidTr="00520913">
        <w:trPr>
          <w:trHeight w:val="630"/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1CE2" w14:textId="17067580" w:rsidR="00450F29" w:rsidRPr="00EE149B" w:rsidRDefault="00520913" w:rsidP="00B4482C">
            <w:pPr>
              <w:pStyle w:val="Tablehead0"/>
              <w:bidi/>
              <w:spacing w:before="60" w:after="60" w:line="300" w:lineRule="exact"/>
              <w:rPr>
                <w:rtl/>
              </w:rPr>
            </w:pPr>
            <w:r w:rsidRPr="00EE149B">
              <w:rPr>
                <w:rFonts w:hint="cs"/>
                <w:rtl/>
              </w:rPr>
              <w:t>المؤسسات</w:t>
            </w:r>
            <w:r w:rsidR="00450F29" w:rsidRPr="00EE149B">
              <w:rPr>
                <w:rtl/>
              </w:rPr>
              <w:t xml:space="preserve"> الأكاديمية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F82B" w14:textId="2980283D" w:rsidR="00450F29" w:rsidRPr="00EE149B" w:rsidRDefault="00450F29" w:rsidP="00B4482C">
            <w:pPr>
              <w:pStyle w:val="Tablehead0"/>
              <w:bidi/>
              <w:spacing w:before="60" w:after="60" w:line="300" w:lineRule="exact"/>
              <w:rPr>
                <w:rtl/>
              </w:rPr>
            </w:pPr>
            <w:r w:rsidRPr="00EE149B">
              <w:rPr>
                <w:rFonts w:hint="cs"/>
                <w:rtl/>
              </w:rPr>
              <w:t>العدد</w:t>
            </w:r>
            <w:r w:rsidRPr="00EE149B">
              <w:rPr>
                <w:rtl/>
              </w:rPr>
              <w:br/>
            </w:r>
            <w:r w:rsidRPr="00EE149B">
              <w:t>PP-</w:t>
            </w:r>
            <w:r w:rsidR="00520913" w:rsidRPr="00EE149B"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834F" w14:textId="49EABF2C" w:rsidR="00450F29" w:rsidRPr="00EE149B" w:rsidRDefault="00450F29" w:rsidP="00B4482C">
            <w:pPr>
              <w:pStyle w:val="Tablehead0"/>
              <w:bidi/>
              <w:spacing w:before="60" w:after="60" w:line="300" w:lineRule="exact"/>
            </w:pPr>
            <w:r w:rsidRPr="00EE149B">
              <w:rPr>
                <w:rFonts w:hint="cs"/>
                <w:rtl/>
              </w:rPr>
              <w:t xml:space="preserve">العدد </w:t>
            </w:r>
            <w:r w:rsidR="00EE149B">
              <w:rPr>
                <w:rtl/>
              </w:rPr>
              <w:br/>
            </w:r>
            <w:r w:rsidRPr="00EE149B">
              <w:rPr>
                <w:rFonts w:hint="cs"/>
                <w:rtl/>
              </w:rPr>
              <w:t>في</w:t>
            </w:r>
            <w:r w:rsidR="00EE149B">
              <w:rPr>
                <w:rFonts w:hint="cs"/>
                <w:rtl/>
              </w:rPr>
              <w:t xml:space="preserve"> </w:t>
            </w:r>
            <w:r w:rsidR="00520913" w:rsidRPr="00EE149B">
              <w:t>2021</w:t>
            </w:r>
            <w:r w:rsidRPr="00EE149B">
              <w:t>.01.31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2094" w14:textId="77777777" w:rsidR="00450F29" w:rsidRPr="00EE149B" w:rsidRDefault="00450F29" w:rsidP="00B4482C">
            <w:pPr>
              <w:pStyle w:val="Tablehead0"/>
              <w:bidi/>
              <w:spacing w:before="60" w:after="60" w:line="300" w:lineRule="exact"/>
            </w:pPr>
            <w:r w:rsidRPr="00EE149B">
              <w:rPr>
                <w:rFonts w:hint="cs"/>
                <w:rtl/>
              </w:rPr>
              <w:t>الفرق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8E0E" w14:textId="77777777" w:rsidR="00450F29" w:rsidRPr="00EE149B" w:rsidRDefault="00450F29" w:rsidP="00B4482C">
            <w:pPr>
              <w:pStyle w:val="Tablehead0"/>
              <w:bidi/>
              <w:spacing w:before="60" w:after="60" w:line="300" w:lineRule="exact"/>
            </w:pPr>
            <w:r w:rsidRPr="00EE149B">
              <w:rPr>
                <w:rFonts w:hint="cs"/>
                <w:rtl/>
              </w:rPr>
              <w:t xml:space="preserve">الفرق في </w:t>
            </w:r>
            <w:r w:rsidRPr="00EE149B">
              <w:rPr>
                <w:rtl/>
              </w:rPr>
              <w:t>%</w:t>
            </w:r>
          </w:p>
        </w:tc>
      </w:tr>
      <w:tr w:rsidR="00520913" w14:paraId="151E6B58" w14:textId="77777777" w:rsidTr="00520913">
        <w:trPr>
          <w:trHeight w:val="390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BC87DB" w14:textId="59E5D435" w:rsidR="00520913" w:rsidRPr="00EB450F" w:rsidRDefault="00520913" w:rsidP="00B4482C">
            <w:pPr>
              <w:pStyle w:val="Tabletexte"/>
              <w:spacing w:line="300" w:lineRule="exact"/>
              <w:rPr>
                <w:b/>
                <w:bCs/>
              </w:rPr>
            </w:pPr>
            <w:r w:rsidRPr="00EB450F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B4C47C" w14:textId="741D68DD" w:rsidR="00520913" w:rsidRPr="00923D5C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146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E2A06A" w14:textId="6D725EC3" w:rsidR="00520913" w:rsidRPr="00923D5C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151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30D468" w14:textId="6238C2B7" w:rsidR="00520913" w:rsidRPr="00923D5C" w:rsidRDefault="00520913" w:rsidP="00B4482C">
            <w:pPr>
              <w:pStyle w:val="Tabletexte"/>
              <w:spacing w:line="300" w:lineRule="exact"/>
              <w:jc w:val="center"/>
            </w:pPr>
            <w:r w:rsidRPr="00527C47">
              <w:rPr>
                <w:rFonts w:cs="Calibri"/>
                <w:lang w:eastAsia="en-GB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161B6" w14:textId="5F4165F9" w:rsidR="00520913" w:rsidRPr="00923D5C" w:rsidRDefault="00520913" w:rsidP="00B4482C">
            <w:pPr>
              <w:pStyle w:val="Tabletexte"/>
              <w:spacing w:line="300" w:lineRule="exact"/>
              <w:jc w:val="center"/>
            </w:pPr>
            <w:r>
              <w:rPr>
                <w:rFonts w:cs="Calibri"/>
                <w:lang w:eastAsia="en-GB"/>
              </w:rPr>
              <w:t>%</w:t>
            </w:r>
            <w:r w:rsidRPr="00527C47">
              <w:rPr>
                <w:rFonts w:cs="Calibri"/>
                <w:lang w:eastAsia="en-GB"/>
              </w:rPr>
              <w:t>3</w:t>
            </w:r>
          </w:p>
        </w:tc>
      </w:tr>
    </w:tbl>
    <w:p w14:paraId="5EBB3BF7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FFB2" w14:textId="77777777" w:rsidR="00450F29" w:rsidRDefault="00450F29" w:rsidP="006C3242">
      <w:pPr>
        <w:spacing w:before="0" w:line="240" w:lineRule="auto"/>
      </w:pPr>
      <w:r>
        <w:separator/>
      </w:r>
    </w:p>
  </w:endnote>
  <w:endnote w:type="continuationSeparator" w:id="0">
    <w:p w14:paraId="0325C40A" w14:textId="77777777" w:rsidR="00450F29" w:rsidRDefault="00450F2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0717" w14:textId="77777777" w:rsidR="00E30029" w:rsidRDefault="00E30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BE4E" w14:textId="06DCA5E6" w:rsidR="00450F29" w:rsidRPr="0026373E" w:rsidRDefault="00450F29" w:rsidP="0027799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E30029">
      <w:rPr>
        <w:color w:val="F2F2F2" w:themeColor="background1" w:themeShade="F2"/>
        <w:sz w:val="16"/>
        <w:szCs w:val="16"/>
        <w:lang w:val="fr-FR"/>
      </w:rPr>
      <w:fldChar w:fldCharType="begin"/>
    </w:r>
    <w:r w:rsidRPr="00E30029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E30029">
      <w:rPr>
        <w:color w:val="F2F2F2" w:themeColor="background1" w:themeShade="F2"/>
        <w:sz w:val="16"/>
        <w:szCs w:val="16"/>
        <w:lang w:val="fr-FR"/>
      </w:rPr>
      <w:fldChar w:fldCharType="separate"/>
    </w:r>
    <w:r w:rsidR="00984017" w:rsidRPr="00E30029">
      <w:rPr>
        <w:noProof/>
        <w:color w:val="F2F2F2" w:themeColor="background1" w:themeShade="F2"/>
        <w:sz w:val="16"/>
        <w:szCs w:val="16"/>
        <w:lang w:val="fr-FR"/>
      </w:rPr>
      <w:t>P:\ARA\SG\CONSEIL\C21\000\056A.docx</w:t>
    </w:r>
    <w:r w:rsidRPr="00E30029">
      <w:rPr>
        <w:color w:val="F2F2F2" w:themeColor="background1" w:themeShade="F2"/>
        <w:sz w:val="16"/>
        <w:szCs w:val="16"/>
      </w:rPr>
      <w:fldChar w:fldCharType="end"/>
    </w:r>
    <w:r w:rsidRPr="00E30029">
      <w:rPr>
        <w:color w:val="F2F2F2" w:themeColor="background1" w:themeShade="F2"/>
        <w:sz w:val="16"/>
        <w:szCs w:val="16"/>
        <w:lang w:val="fr-CH"/>
      </w:rPr>
      <w:t xml:space="preserve">  </w:t>
    </w:r>
    <w:r w:rsidRPr="00E30029">
      <w:rPr>
        <w:color w:val="F2F2F2" w:themeColor="background1" w:themeShade="F2"/>
        <w:sz w:val="16"/>
        <w:szCs w:val="16"/>
        <w:lang w:val="fr-FR"/>
      </w:rPr>
      <w:t xml:space="preserve"> (</w:t>
    </w:r>
    <w:r w:rsidR="00277992" w:rsidRPr="00E30029">
      <w:rPr>
        <w:color w:val="F2F2F2" w:themeColor="background1" w:themeShade="F2"/>
        <w:sz w:val="16"/>
        <w:szCs w:val="16"/>
        <w:lang w:val="fr-CH"/>
      </w:rPr>
      <w:t>483261</w:t>
    </w:r>
    <w:r w:rsidRPr="00E30029">
      <w:rPr>
        <w:color w:val="F2F2F2" w:themeColor="background1" w:themeShade="F2"/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9FA5" w14:textId="77777777" w:rsidR="00450F29" w:rsidRPr="005B1652" w:rsidRDefault="00450F29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A2D7" w14:textId="77777777" w:rsidR="00450F29" w:rsidRDefault="00450F29" w:rsidP="006C3242">
      <w:pPr>
        <w:spacing w:before="0" w:line="240" w:lineRule="auto"/>
      </w:pPr>
      <w:r>
        <w:separator/>
      </w:r>
    </w:p>
  </w:footnote>
  <w:footnote w:type="continuationSeparator" w:id="0">
    <w:p w14:paraId="40D890A2" w14:textId="77777777" w:rsidR="00450F29" w:rsidRDefault="00450F2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F3BA" w14:textId="77777777" w:rsidR="00E30029" w:rsidRDefault="00E30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FEE2" w14:textId="38B8FB2A" w:rsidR="00450F29" w:rsidRPr="00447F32" w:rsidRDefault="00E30029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50F29" w:rsidRPr="00447F32">
          <w:rPr>
            <w:rFonts w:cs="Calibri"/>
            <w:sz w:val="20"/>
            <w:szCs w:val="20"/>
          </w:rPr>
          <w:fldChar w:fldCharType="begin"/>
        </w:r>
        <w:r w:rsidR="00450F29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50F29" w:rsidRPr="00447F32">
          <w:rPr>
            <w:rFonts w:cs="Calibri"/>
            <w:sz w:val="20"/>
            <w:szCs w:val="20"/>
          </w:rPr>
          <w:fldChar w:fldCharType="separate"/>
        </w:r>
        <w:r w:rsidR="00450F29">
          <w:rPr>
            <w:rFonts w:cs="Calibri"/>
            <w:noProof/>
            <w:sz w:val="20"/>
            <w:szCs w:val="20"/>
          </w:rPr>
          <w:t>2</w:t>
        </w:r>
        <w:r w:rsidR="00450F29" w:rsidRPr="00447F32">
          <w:rPr>
            <w:rFonts w:cs="Calibri"/>
            <w:noProof/>
            <w:sz w:val="20"/>
            <w:szCs w:val="20"/>
          </w:rPr>
          <w:fldChar w:fldCharType="end"/>
        </w:r>
        <w:r w:rsidR="00450F29" w:rsidRPr="00447F32">
          <w:rPr>
            <w:rFonts w:cs="Calibri"/>
            <w:noProof/>
            <w:sz w:val="20"/>
            <w:szCs w:val="20"/>
          </w:rPr>
          <w:br/>
          <w:t>C</w:t>
        </w:r>
        <w:r w:rsidR="00450F29">
          <w:rPr>
            <w:rFonts w:cs="Calibri"/>
            <w:noProof/>
            <w:sz w:val="20"/>
            <w:szCs w:val="20"/>
          </w:rPr>
          <w:t>21</w:t>
        </w:r>
        <w:r w:rsidR="00450F29" w:rsidRPr="00447F32">
          <w:rPr>
            <w:rFonts w:cs="Calibri"/>
            <w:noProof/>
            <w:sz w:val="20"/>
            <w:szCs w:val="20"/>
          </w:rPr>
          <w:t>/</w:t>
        </w:r>
        <w:r w:rsidR="00450F29">
          <w:rPr>
            <w:rFonts w:cs="Calibri"/>
            <w:noProof/>
            <w:sz w:val="20"/>
            <w:szCs w:val="20"/>
          </w:rPr>
          <w:t>56</w:t>
        </w:r>
        <w:r w:rsidR="00450F29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9033" w14:textId="77777777" w:rsidR="00E30029" w:rsidRDefault="00E3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29"/>
    <w:rsid w:val="000464AA"/>
    <w:rsid w:val="00090574"/>
    <w:rsid w:val="000B1CAA"/>
    <w:rsid w:val="000C1C0E"/>
    <w:rsid w:val="000C548A"/>
    <w:rsid w:val="0015650C"/>
    <w:rsid w:val="0017559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77992"/>
    <w:rsid w:val="00290728"/>
    <w:rsid w:val="002978F4"/>
    <w:rsid w:val="002B028D"/>
    <w:rsid w:val="002E4F29"/>
    <w:rsid w:val="002E6541"/>
    <w:rsid w:val="002F71D8"/>
    <w:rsid w:val="00334924"/>
    <w:rsid w:val="003409BC"/>
    <w:rsid w:val="00350AFC"/>
    <w:rsid w:val="00357185"/>
    <w:rsid w:val="00383829"/>
    <w:rsid w:val="003C6B4F"/>
    <w:rsid w:val="003F4B29"/>
    <w:rsid w:val="0042686F"/>
    <w:rsid w:val="004317D8"/>
    <w:rsid w:val="00434183"/>
    <w:rsid w:val="00443869"/>
    <w:rsid w:val="00447F32"/>
    <w:rsid w:val="00450F29"/>
    <w:rsid w:val="00483D68"/>
    <w:rsid w:val="004C2757"/>
    <w:rsid w:val="004E11DC"/>
    <w:rsid w:val="00520913"/>
    <w:rsid w:val="005409AC"/>
    <w:rsid w:val="0055516A"/>
    <w:rsid w:val="005805EA"/>
    <w:rsid w:val="005821AA"/>
    <w:rsid w:val="0058491B"/>
    <w:rsid w:val="00592EA5"/>
    <w:rsid w:val="005A3170"/>
    <w:rsid w:val="005B1652"/>
    <w:rsid w:val="00614855"/>
    <w:rsid w:val="00624CEB"/>
    <w:rsid w:val="00677396"/>
    <w:rsid w:val="0069200F"/>
    <w:rsid w:val="00693A96"/>
    <w:rsid w:val="006A65CB"/>
    <w:rsid w:val="006A793B"/>
    <w:rsid w:val="006B3761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8B092D"/>
    <w:rsid w:val="008E2B19"/>
    <w:rsid w:val="0091702E"/>
    <w:rsid w:val="00923B0C"/>
    <w:rsid w:val="0094021C"/>
    <w:rsid w:val="00950623"/>
    <w:rsid w:val="00952F86"/>
    <w:rsid w:val="00982B28"/>
    <w:rsid w:val="00984017"/>
    <w:rsid w:val="009C30CF"/>
    <w:rsid w:val="009D313F"/>
    <w:rsid w:val="00A47A5A"/>
    <w:rsid w:val="00A6683B"/>
    <w:rsid w:val="00A763D7"/>
    <w:rsid w:val="00A97F94"/>
    <w:rsid w:val="00B03099"/>
    <w:rsid w:val="00B05BC8"/>
    <w:rsid w:val="00B4482C"/>
    <w:rsid w:val="00B64B47"/>
    <w:rsid w:val="00BB7213"/>
    <w:rsid w:val="00BC4CFE"/>
    <w:rsid w:val="00C002DE"/>
    <w:rsid w:val="00C320F2"/>
    <w:rsid w:val="00C41CD7"/>
    <w:rsid w:val="00C53BF8"/>
    <w:rsid w:val="00C566BA"/>
    <w:rsid w:val="00C66157"/>
    <w:rsid w:val="00C674FE"/>
    <w:rsid w:val="00C67501"/>
    <w:rsid w:val="00C67A87"/>
    <w:rsid w:val="00C75633"/>
    <w:rsid w:val="00CA136F"/>
    <w:rsid w:val="00CE2EE1"/>
    <w:rsid w:val="00CE3349"/>
    <w:rsid w:val="00CE36E5"/>
    <w:rsid w:val="00CF27F5"/>
    <w:rsid w:val="00CF3FFD"/>
    <w:rsid w:val="00D10CCF"/>
    <w:rsid w:val="00D53733"/>
    <w:rsid w:val="00D5612A"/>
    <w:rsid w:val="00D77D0F"/>
    <w:rsid w:val="00D91578"/>
    <w:rsid w:val="00DA1CF0"/>
    <w:rsid w:val="00DC1E02"/>
    <w:rsid w:val="00DC24B4"/>
    <w:rsid w:val="00DC5FB0"/>
    <w:rsid w:val="00DF16DC"/>
    <w:rsid w:val="00E26045"/>
    <w:rsid w:val="00E30029"/>
    <w:rsid w:val="00E45211"/>
    <w:rsid w:val="00E473C5"/>
    <w:rsid w:val="00E92863"/>
    <w:rsid w:val="00EB0396"/>
    <w:rsid w:val="00EB450F"/>
    <w:rsid w:val="00EB796D"/>
    <w:rsid w:val="00EE149B"/>
    <w:rsid w:val="00EE53ED"/>
    <w:rsid w:val="00F058DC"/>
    <w:rsid w:val="00F11808"/>
    <w:rsid w:val="00F24FC4"/>
    <w:rsid w:val="00F2676C"/>
    <w:rsid w:val="00F6736E"/>
    <w:rsid w:val="00F84366"/>
    <w:rsid w:val="00F85089"/>
    <w:rsid w:val="00F974C5"/>
    <w:rsid w:val="00FA6F46"/>
    <w:rsid w:val="00FE0785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6DEE4C6"/>
  <w15:chartTrackingRefBased/>
  <w15:docId w15:val="{8A5FCBEC-7337-4D6B-84D8-5801249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rsid w:val="00F974C5"/>
    <w:rPr>
      <w:rFonts w:ascii="Dubai" w:eastAsiaTheme="majorEastAsia" w:hAnsi="Dubai" w:cs="Dubai"/>
      <w:b/>
      <w:bCs/>
    </w:rPr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qFormat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450F29"/>
    <w:rPr>
      <w:rFonts w:ascii="Dubai" w:hAnsi="Dubai" w:cs="Dubai"/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character" w:customStyle="1" w:styleId="NormalaftertitleChar">
    <w:name w:val="Normal after title Char"/>
    <w:basedOn w:val="DefaultParagraphFont"/>
    <w:link w:val="Normalaftertitle"/>
    <w:rsid w:val="00450F29"/>
    <w:rPr>
      <w:rFonts w:ascii="Dubai" w:hAnsi="Dubai" w:cs="Dubai"/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link w:val="ReasonsChar"/>
    <w:qFormat/>
    <w:rsid w:val="00F974C5"/>
    <w:rPr>
      <w:b/>
      <w:bCs/>
    </w:rPr>
  </w:style>
  <w:style w:type="character" w:customStyle="1" w:styleId="ReasonsChar">
    <w:name w:val="Reasons Char"/>
    <w:basedOn w:val="DefaultParagraphFont"/>
    <w:link w:val="Reasons"/>
    <w:rsid w:val="00450F29"/>
    <w:rPr>
      <w:rFonts w:ascii="Dubai" w:hAnsi="Dubai" w:cs="Dubai"/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link w:val="ResNoChar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character" w:customStyle="1" w:styleId="ResNoChar">
    <w:name w:val="Res_No Char"/>
    <w:basedOn w:val="DefaultParagraphFont"/>
    <w:link w:val="ResNo"/>
    <w:rsid w:val="00450F29"/>
    <w:rPr>
      <w:rFonts w:ascii="Dubai" w:hAnsi="Dubai" w:cs="Dubai"/>
      <w:sz w:val="26"/>
      <w:szCs w:val="26"/>
    </w:rPr>
  </w:style>
  <w:style w:type="paragraph" w:customStyle="1" w:styleId="Restitle">
    <w:name w:val="Res_title"/>
    <w:basedOn w:val="Normal"/>
    <w:link w:val="RestitleChar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character" w:customStyle="1" w:styleId="RestitleChar">
    <w:name w:val="Res_title Char"/>
    <w:basedOn w:val="AnnextitleChar"/>
    <w:link w:val="Restitle"/>
    <w:rsid w:val="00450F29"/>
    <w:rPr>
      <w:rFonts w:ascii="Dubai" w:eastAsia="Times New Roman" w:hAnsi="Dubai" w:cs="Dubai"/>
      <w:b/>
      <w:bCs/>
      <w:sz w:val="28"/>
      <w:szCs w:val="28"/>
      <w:lang w:eastAsia="en-US" w:bidi="ar-SY"/>
    </w:rPr>
  </w:style>
  <w:style w:type="character" w:customStyle="1" w:styleId="AnnextitleChar">
    <w:name w:val="Annex_title Char"/>
    <w:basedOn w:val="DefaultParagraphFont"/>
    <w:link w:val="Annextitle0"/>
    <w:rsid w:val="00450F2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Annextitle0">
    <w:name w:val="Annex_title"/>
    <w:basedOn w:val="Normal"/>
    <w:next w:val="Normal"/>
    <w:link w:val="AnnextitleChar"/>
    <w:rsid w:val="00450F2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link w:val="TableheadChar"/>
    <w:qFormat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customStyle="1" w:styleId="TableheadChar">
    <w:name w:val="Table_head Char"/>
    <w:basedOn w:val="DefaultParagraphFont"/>
    <w:link w:val="Tablehead0"/>
    <w:rsid w:val="00450F29"/>
    <w:rPr>
      <w:rFonts w:ascii="Dubai" w:eastAsia="Times New Roman" w:hAnsi="Dubai" w:cs="Duba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0F29"/>
    <w:rPr>
      <w:color w:val="605E5C"/>
      <w:shd w:val="clear" w:color="auto" w:fill="E1DFDD"/>
    </w:rPr>
  </w:style>
  <w:style w:type="paragraph" w:customStyle="1" w:styleId="Sectiontitle0">
    <w:name w:val="Section_title"/>
    <w:basedOn w:val="Annextitle0"/>
    <w:next w:val="Normalaftertitle"/>
    <w:rsid w:val="00450F29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paragraph" w:customStyle="1" w:styleId="Appendixtitle0">
    <w:name w:val="Appendix_title"/>
    <w:basedOn w:val="Annextitle0"/>
    <w:next w:val="Normal"/>
    <w:rsid w:val="00450F29"/>
  </w:style>
  <w:style w:type="paragraph" w:customStyle="1" w:styleId="enumlev20">
    <w:name w:val="enumlev2"/>
    <w:basedOn w:val="enumlev10"/>
    <w:next w:val="Normal"/>
    <w:link w:val="enumlev2Char"/>
    <w:qFormat/>
    <w:rsid w:val="00450F29"/>
    <w:pPr>
      <w:ind w:left="1814" w:hanging="680"/>
    </w:pPr>
  </w:style>
  <w:style w:type="paragraph" w:customStyle="1" w:styleId="enumlev10">
    <w:name w:val="enumlev1"/>
    <w:basedOn w:val="Normal"/>
    <w:next w:val="Normal"/>
    <w:link w:val="enumlev1Char"/>
    <w:qFormat/>
    <w:rsid w:val="00450F29"/>
    <w:pPr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450F29"/>
    <w:rPr>
      <w:rFonts w:ascii="Calibri" w:eastAsia="Times New Roman" w:hAnsi="Calibri" w:cs="Traditional Arabic"/>
      <w:szCs w:val="30"/>
      <w:lang w:eastAsia="en-US"/>
    </w:rPr>
  </w:style>
  <w:style w:type="character" w:customStyle="1" w:styleId="enumlev2Char">
    <w:name w:val="enumlev2 Char"/>
    <w:basedOn w:val="enumlev1Char"/>
    <w:link w:val="enumlev20"/>
    <w:rsid w:val="00450F29"/>
    <w:rPr>
      <w:rFonts w:ascii="Calibri" w:eastAsia="Times New Roman" w:hAnsi="Calibri" w:cs="Traditional Arabic"/>
      <w:szCs w:val="30"/>
      <w:lang w:eastAsia="en-US"/>
    </w:rPr>
  </w:style>
  <w:style w:type="paragraph" w:customStyle="1" w:styleId="TableNo0">
    <w:name w:val="Table_No"/>
    <w:basedOn w:val="Normal"/>
    <w:next w:val="Normal"/>
    <w:link w:val="TableNoChar"/>
    <w:qFormat/>
    <w:rsid w:val="00450F29"/>
    <w:pPr>
      <w:keepNext/>
      <w:keepLines/>
      <w:spacing w:before="240" w:after="120"/>
      <w:jc w:val="center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TableNoChar">
    <w:name w:val="Table_No Char"/>
    <w:basedOn w:val="DefaultParagraphFont"/>
    <w:link w:val="TableNo0"/>
    <w:locked/>
    <w:rsid w:val="00450F29"/>
    <w:rPr>
      <w:rFonts w:ascii="Calibri" w:eastAsia="Times New Roman" w:hAnsi="Calibri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450F29"/>
    <w:pPr>
      <w:spacing w:before="60" w:after="60" w:line="260" w:lineRule="exact"/>
      <w:jc w:val="center"/>
    </w:pPr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450F29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paragraph" w:customStyle="1" w:styleId="enumlev30">
    <w:name w:val="enumlev3"/>
    <w:basedOn w:val="enumlev20"/>
    <w:next w:val="Normal"/>
    <w:link w:val="enumlev3Char"/>
    <w:qFormat/>
    <w:rsid w:val="00450F29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0"/>
    <w:rsid w:val="00450F29"/>
    <w:rPr>
      <w:rFonts w:ascii="Calibri" w:eastAsia="Times New Roman" w:hAnsi="Calibri" w:cs="Traditional Arabic"/>
      <w:szCs w:val="30"/>
      <w:lang w:eastAsia="en-US"/>
    </w:rPr>
  </w:style>
  <w:style w:type="paragraph" w:customStyle="1" w:styleId="Section10">
    <w:name w:val="Section_1"/>
    <w:basedOn w:val="Normal"/>
    <w:link w:val="Section1Char"/>
    <w:qFormat/>
    <w:rsid w:val="00450F29"/>
    <w:pPr>
      <w:keepNext/>
      <w:keepLines/>
      <w:spacing w:before="240" w:after="120"/>
      <w:jc w:val="center"/>
    </w:pPr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character" w:customStyle="1" w:styleId="Section1Char">
    <w:name w:val="Section_1 Char"/>
    <w:link w:val="Section10"/>
    <w:rsid w:val="00450F29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0">
    <w:name w:val="Section_2"/>
    <w:basedOn w:val="Section10"/>
    <w:rsid w:val="00450F29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Tablelegend0">
    <w:name w:val="Table_legend"/>
    <w:basedOn w:val="Normal"/>
    <w:link w:val="TablelegendChar"/>
    <w:rsid w:val="00450F29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Calibri" w:eastAsia="Times New Roman" w:hAnsi="Calibri" w:cs="Traditional Arabic"/>
      <w:i/>
      <w:iCs/>
      <w:szCs w:val="30"/>
      <w:lang w:bidi="ar-EG"/>
    </w:rPr>
  </w:style>
  <w:style w:type="character" w:customStyle="1" w:styleId="TablelegendChar">
    <w:name w:val="Table_legend Char"/>
    <w:link w:val="Tablelegend0"/>
    <w:rsid w:val="00450F29"/>
    <w:rPr>
      <w:rFonts w:ascii="Calibri" w:eastAsia="Times New Roman" w:hAnsi="Calibri" w:cs="Traditional Arabic"/>
      <w:i/>
      <w:iCs/>
      <w:szCs w:val="30"/>
      <w:lang w:bidi="ar-E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29"/>
    <w:rPr>
      <w:rFonts w:ascii="Segoe UI" w:eastAsia="Times New Roman" w:hAnsi="Segoe UI" w:cs="Segoe U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29"/>
    <w:pPr>
      <w:spacing w:before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AnnexNo0">
    <w:name w:val="Annex_No"/>
    <w:basedOn w:val="Normal"/>
    <w:qFormat/>
    <w:rsid w:val="00450F2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council/Documents/basic-texts/DEC-005-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Constitution-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council/Documents/basic-texts/Constitution-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Constitution-E.pdf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993</Words>
  <Characters>5664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amount of the contributory unit</dc:title>
  <dc:subject>Council 2021, Virtual consultation of councillors</dc:subject>
  <dc:creator>Elbahnassawy, Ganat</dc:creator>
  <cp:keywords>C2021, C21, VCC, C21-VCC-1</cp:keywords>
  <dc:description/>
  <cp:lastModifiedBy>Xue, Kun</cp:lastModifiedBy>
  <cp:revision>2</cp:revision>
  <dcterms:created xsi:type="dcterms:W3CDTF">2021-06-01T18:30:00Z</dcterms:created>
  <dcterms:modified xsi:type="dcterms:W3CDTF">2021-06-01T18:30:00Z</dcterms:modified>
</cp:coreProperties>
</file>