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CD425C" w14:paraId="5C0F274E" w14:textId="77777777">
        <w:trPr>
          <w:cantSplit/>
        </w:trPr>
        <w:tc>
          <w:tcPr>
            <w:tcW w:w="6912" w:type="dxa"/>
          </w:tcPr>
          <w:p w14:paraId="196625B6" w14:textId="77777777" w:rsidR="00520F36" w:rsidRPr="00CD425C" w:rsidRDefault="00520F36" w:rsidP="005042BC">
            <w:pPr>
              <w:spacing w:before="360"/>
            </w:pPr>
            <w:bookmarkStart w:id="0" w:name="dc06"/>
            <w:bookmarkEnd w:id="0"/>
            <w:r w:rsidRPr="00CD425C">
              <w:rPr>
                <w:b/>
                <w:bCs/>
                <w:sz w:val="30"/>
                <w:szCs w:val="30"/>
              </w:rPr>
              <w:t>Conseil 20</w:t>
            </w:r>
            <w:r w:rsidR="009C353C" w:rsidRPr="00CD425C">
              <w:rPr>
                <w:b/>
                <w:bCs/>
                <w:sz w:val="30"/>
                <w:szCs w:val="30"/>
              </w:rPr>
              <w:t>2</w:t>
            </w:r>
            <w:r w:rsidR="004D1D50" w:rsidRPr="00CD425C">
              <w:rPr>
                <w:b/>
                <w:bCs/>
                <w:sz w:val="30"/>
                <w:szCs w:val="30"/>
              </w:rPr>
              <w:t>1</w:t>
            </w:r>
            <w:r w:rsidRPr="00CD425C">
              <w:rPr>
                <w:rFonts w:ascii="Verdana" w:hAnsi="Verdana"/>
                <w:b/>
                <w:bCs/>
                <w:sz w:val="26"/>
                <w:szCs w:val="26"/>
              </w:rPr>
              <w:br/>
            </w:r>
            <w:r w:rsidR="004D1D50" w:rsidRPr="00CD425C">
              <w:rPr>
                <w:b/>
                <w:bCs/>
                <w:sz w:val="28"/>
                <w:szCs w:val="28"/>
              </w:rPr>
              <w:t>Consultation virtuelle des Conseillers</w:t>
            </w:r>
            <w:r w:rsidRPr="00CD425C">
              <w:rPr>
                <w:b/>
                <w:bCs/>
                <w:sz w:val="28"/>
                <w:szCs w:val="28"/>
              </w:rPr>
              <w:t xml:space="preserve">, </w:t>
            </w:r>
            <w:r w:rsidR="004D1D50" w:rsidRPr="00CD425C">
              <w:rPr>
                <w:b/>
                <w:bCs/>
                <w:sz w:val="28"/>
                <w:szCs w:val="28"/>
              </w:rPr>
              <w:t>8</w:t>
            </w:r>
            <w:r w:rsidRPr="00CD425C">
              <w:rPr>
                <w:b/>
                <w:bCs/>
                <w:sz w:val="28"/>
                <w:szCs w:val="28"/>
              </w:rPr>
              <w:t>-</w:t>
            </w:r>
            <w:r w:rsidR="009C353C" w:rsidRPr="00CD425C">
              <w:rPr>
                <w:b/>
                <w:bCs/>
                <w:sz w:val="28"/>
                <w:szCs w:val="28"/>
              </w:rPr>
              <w:t>1</w:t>
            </w:r>
            <w:r w:rsidR="004D1D50" w:rsidRPr="00CD425C">
              <w:rPr>
                <w:b/>
                <w:bCs/>
                <w:sz w:val="28"/>
                <w:szCs w:val="28"/>
              </w:rPr>
              <w:t>8</w:t>
            </w:r>
            <w:r w:rsidR="00106B19" w:rsidRPr="00CD425C">
              <w:rPr>
                <w:b/>
                <w:bCs/>
                <w:sz w:val="28"/>
                <w:szCs w:val="28"/>
              </w:rPr>
              <w:t xml:space="preserve"> juin</w:t>
            </w:r>
            <w:r w:rsidRPr="00CD425C">
              <w:rPr>
                <w:b/>
                <w:bCs/>
                <w:sz w:val="28"/>
                <w:szCs w:val="28"/>
              </w:rPr>
              <w:t xml:space="preserve"> 20</w:t>
            </w:r>
            <w:r w:rsidR="009C353C" w:rsidRPr="00CD425C">
              <w:rPr>
                <w:b/>
                <w:bCs/>
                <w:sz w:val="28"/>
                <w:szCs w:val="28"/>
              </w:rPr>
              <w:t>2</w:t>
            </w:r>
            <w:r w:rsidR="004D1D50" w:rsidRPr="00CD425C">
              <w:rPr>
                <w:b/>
                <w:bCs/>
                <w:sz w:val="28"/>
                <w:szCs w:val="28"/>
              </w:rPr>
              <w:t>1</w:t>
            </w:r>
          </w:p>
        </w:tc>
        <w:tc>
          <w:tcPr>
            <w:tcW w:w="3261" w:type="dxa"/>
          </w:tcPr>
          <w:p w14:paraId="7EC16365" w14:textId="77777777" w:rsidR="00520F36" w:rsidRPr="00CD425C" w:rsidRDefault="009C353C" w:rsidP="005042BC">
            <w:pPr>
              <w:spacing w:before="0"/>
            </w:pPr>
            <w:bookmarkStart w:id="1" w:name="ditulogo"/>
            <w:bookmarkEnd w:id="1"/>
            <w:r w:rsidRPr="00CD425C">
              <w:rPr>
                <w:noProof/>
                <w:lang w:val="en-US"/>
              </w:rPr>
              <w:drawing>
                <wp:inline distT="0" distB="0" distL="0" distR="0" wp14:anchorId="57AD8EDC" wp14:editId="384E69C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CD425C" w14:paraId="2D5B8D27" w14:textId="77777777" w:rsidTr="00EF41DD">
        <w:trPr>
          <w:cantSplit/>
          <w:trHeight w:val="20"/>
        </w:trPr>
        <w:tc>
          <w:tcPr>
            <w:tcW w:w="6912" w:type="dxa"/>
            <w:tcBorders>
              <w:bottom w:val="single" w:sz="12" w:space="0" w:color="auto"/>
            </w:tcBorders>
            <w:vAlign w:val="center"/>
          </w:tcPr>
          <w:p w14:paraId="4C63C0DD" w14:textId="77777777" w:rsidR="00520F36" w:rsidRPr="00CD425C" w:rsidRDefault="00520F36" w:rsidP="005042BC">
            <w:pPr>
              <w:spacing w:before="0"/>
              <w:rPr>
                <w:b/>
                <w:bCs/>
                <w:sz w:val="26"/>
                <w:szCs w:val="26"/>
              </w:rPr>
            </w:pPr>
          </w:p>
        </w:tc>
        <w:tc>
          <w:tcPr>
            <w:tcW w:w="3261" w:type="dxa"/>
            <w:tcBorders>
              <w:bottom w:val="single" w:sz="12" w:space="0" w:color="auto"/>
            </w:tcBorders>
          </w:tcPr>
          <w:p w14:paraId="29EABCD9" w14:textId="77777777" w:rsidR="00520F36" w:rsidRPr="00CD425C" w:rsidRDefault="00520F36" w:rsidP="005042BC">
            <w:pPr>
              <w:spacing w:before="0"/>
              <w:rPr>
                <w:b/>
                <w:bCs/>
              </w:rPr>
            </w:pPr>
          </w:p>
        </w:tc>
      </w:tr>
      <w:tr w:rsidR="00520F36" w:rsidRPr="00CD425C" w14:paraId="7E9E8111" w14:textId="77777777">
        <w:trPr>
          <w:cantSplit/>
          <w:trHeight w:val="20"/>
        </w:trPr>
        <w:tc>
          <w:tcPr>
            <w:tcW w:w="6912" w:type="dxa"/>
            <w:tcBorders>
              <w:top w:val="single" w:sz="12" w:space="0" w:color="auto"/>
            </w:tcBorders>
          </w:tcPr>
          <w:p w14:paraId="2C42CD1D" w14:textId="77777777" w:rsidR="00520F36" w:rsidRPr="00CD425C" w:rsidRDefault="00520F36" w:rsidP="005042BC">
            <w:pPr>
              <w:spacing w:before="0"/>
              <w:rPr>
                <w:smallCaps/>
                <w:sz w:val="22"/>
              </w:rPr>
            </w:pPr>
          </w:p>
        </w:tc>
        <w:tc>
          <w:tcPr>
            <w:tcW w:w="3261" w:type="dxa"/>
            <w:tcBorders>
              <w:top w:val="single" w:sz="12" w:space="0" w:color="auto"/>
            </w:tcBorders>
          </w:tcPr>
          <w:p w14:paraId="19C39101" w14:textId="77777777" w:rsidR="00520F36" w:rsidRPr="00CD425C" w:rsidRDefault="00520F36" w:rsidP="005042BC">
            <w:pPr>
              <w:spacing w:before="0"/>
              <w:rPr>
                <w:b/>
                <w:bCs/>
              </w:rPr>
            </w:pPr>
          </w:p>
        </w:tc>
      </w:tr>
      <w:tr w:rsidR="00520F36" w:rsidRPr="00CD425C" w14:paraId="61E1960E" w14:textId="77777777">
        <w:trPr>
          <w:cantSplit/>
          <w:trHeight w:val="20"/>
        </w:trPr>
        <w:tc>
          <w:tcPr>
            <w:tcW w:w="6912" w:type="dxa"/>
            <w:vMerge w:val="restart"/>
          </w:tcPr>
          <w:p w14:paraId="21CA61BD" w14:textId="7E50119F" w:rsidR="00520F36" w:rsidRPr="00CD425C" w:rsidRDefault="00520F36" w:rsidP="005042BC">
            <w:pPr>
              <w:spacing w:before="0"/>
              <w:rPr>
                <w:rFonts w:cs="Times"/>
                <w:b/>
                <w:bCs/>
                <w:szCs w:val="24"/>
              </w:rPr>
            </w:pPr>
            <w:bookmarkStart w:id="2" w:name="dnum" w:colFirst="1" w:colLast="1"/>
            <w:bookmarkStart w:id="3" w:name="dmeeting" w:colFirst="0" w:colLast="0"/>
          </w:p>
        </w:tc>
        <w:tc>
          <w:tcPr>
            <w:tcW w:w="3261" w:type="dxa"/>
          </w:tcPr>
          <w:p w14:paraId="6C144D2D" w14:textId="1FFEE1A8" w:rsidR="00520F36" w:rsidRPr="00CD425C" w:rsidRDefault="0029334D" w:rsidP="005042BC">
            <w:pPr>
              <w:spacing w:before="0"/>
              <w:rPr>
                <w:b/>
                <w:bCs/>
              </w:rPr>
            </w:pPr>
            <w:r w:rsidRPr="00CD425C">
              <w:rPr>
                <w:b/>
                <w:bCs/>
              </w:rPr>
              <w:t>Addendum 1 au</w:t>
            </w:r>
            <w:r w:rsidR="00CC36CD" w:rsidRPr="00CD425C">
              <w:rPr>
                <w:b/>
                <w:bCs/>
              </w:rPr>
              <w:br/>
            </w:r>
            <w:r w:rsidR="00520F36" w:rsidRPr="00CD425C">
              <w:rPr>
                <w:b/>
                <w:bCs/>
              </w:rPr>
              <w:t>Document C</w:t>
            </w:r>
            <w:r w:rsidR="009C353C" w:rsidRPr="00CD425C">
              <w:rPr>
                <w:b/>
                <w:bCs/>
              </w:rPr>
              <w:t>2</w:t>
            </w:r>
            <w:r w:rsidR="004D1D50" w:rsidRPr="00CD425C">
              <w:rPr>
                <w:b/>
                <w:bCs/>
              </w:rPr>
              <w:t>1</w:t>
            </w:r>
            <w:r w:rsidR="00520F36" w:rsidRPr="00CD425C">
              <w:rPr>
                <w:b/>
                <w:bCs/>
              </w:rPr>
              <w:t>/</w:t>
            </w:r>
            <w:r w:rsidRPr="00CD425C">
              <w:rPr>
                <w:b/>
                <w:bCs/>
              </w:rPr>
              <w:t>65</w:t>
            </w:r>
            <w:r w:rsidR="00520F36" w:rsidRPr="00CD425C">
              <w:rPr>
                <w:b/>
                <w:bCs/>
              </w:rPr>
              <w:t>-F</w:t>
            </w:r>
          </w:p>
        </w:tc>
      </w:tr>
      <w:tr w:rsidR="00520F36" w:rsidRPr="00CD425C" w14:paraId="39F2EEB8" w14:textId="77777777">
        <w:trPr>
          <w:cantSplit/>
          <w:trHeight w:val="20"/>
        </w:trPr>
        <w:tc>
          <w:tcPr>
            <w:tcW w:w="6912" w:type="dxa"/>
            <w:vMerge/>
          </w:tcPr>
          <w:p w14:paraId="264687B4" w14:textId="77777777" w:rsidR="00520F36" w:rsidRPr="00CD425C" w:rsidRDefault="00520F36" w:rsidP="005042BC">
            <w:pPr>
              <w:shd w:val="solid" w:color="FFFFFF" w:fill="FFFFFF"/>
              <w:spacing w:before="180"/>
              <w:rPr>
                <w:smallCaps/>
              </w:rPr>
            </w:pPr>
            <w:bookmarkStart w:id="4" w:name="ddate" w:colFirst="1" w:colLast="1"/>
            <w:bookmarkEnd w:id="2"/>
            <w:bookmarkEnd w:id="3"/>
          </w:p>
        </w:tc>
        <w:tc>
          <w:tcPr>
            <w:tcW w:w="3261" w:type="dxa"/>
          </w:tcPr>
          <w:p w14:paraId="7AD0DE73" w14:textId="3BFC467B" w:rsidR="00520F36" w:rsidRPr="00CD425C" w:rsidRDefault="0029334D" w:rsidP="005042BC">
            <w:pPr>
              <w:spacing w:before="0"/>
              <w:rPr>
                <w:b/>
                <w:bCs/>
              </w:rPr>
            </w:pPr>
            <w:r w:rsidRPr="00CD425C">
              <w:rPr>
                <w:b/>
                <w:bCs/>
              </w:rPr>
              <w:t>1</w:t>
            </w:r>
            <w:r w:rsidR="001C238E" w:rsidRPr="00CD425C">
              <w:rPr>
                <w:b/>
                <w:bCs/>
              </w:rPr>
              <w:t>9 mars</w:t>
            </w:r>
            <w:r w:rsidR="00520F36" w:rsidRPr="00CD425C">
              <w:rPr>
                <w:b/>
                <w:bCs/>
              </w:rPr>
              <w:t xml:space="preserve"> 20</w:t>
            </w:r>
            <w:r w:rsidR="009C353C" w:rsidRPr="00CD425C">
              <w:rPr>
                <w:b/>
                <w:bCs/>
              </w:rPr>
              <w:t>2</w:t>
            </w:r>
            <w:r w:rsidR="0097363B" w:rsidRPr="00CD425C">
              <w:rPr>
                <w:b/>
                <w:bCs/>
              </w:rPr>
              <w:t>1</w:t>
            </w:r>
          </w:p>
        </w:tc>
      </w:tr>
      <w:tr w:rsidR="00520F36" w:rsidRPr="00CD425C" w14:paraId="5D4C69DD" w14:textId="77777777">
        <w:trPr>
          <w:cantSplit/>
          <w:trHeight w:val="20"/>
        </w:trPr>
        <w:tc>
          <w:tcPr>
            <w:tcW w:w="6912" w:type="dxa"/>
            <w:vMerge/>
          </w:tcPr>
          <w:p w14:paraId="37BCD5F2" w14:textId="77777777" w:rsidR="00520F36" w:rsidRPr="00CD425C" w:rsidRDefault="00520F36" w:rsidP="005042BC">
            <w:pPr>
              <w:shd w:val="solid" w:color="FFFFFF" w:fill="FFFFFF"/>
              <w:spacing w:before="180"/>
              <w:rPr>
                <w:smallCaps/>
              </w:rPr>
            </w:pPr>
            <w:bookmarkStart w:id="5" w:name="dorlang" w:colFirst="1" w:colLast="1"/>
            <w:bookmarkEnd w:id="4"/>
          </w:p>
        </w:tc>
        <w:tc>
          <w:tcPr>
            <w:tcW w:w="3261" w:type="dxa"/>
          </w:tcPr>
          <w:p w14:paraId="62687B3B" w14:textId="77777777" w:rsidR="00520F36" w:rsidRPr="00CD425C" w:rsidRDefault="00520F36" w:rsidP="005042BC">
            <w:pPr>
              <w:spacing w:before="0"/>
              <w:rPr>
                <w:b/>
                <w:bCs/>
              </w:rPr>
            </w:pPr>
            <w:r w:rsidRPr="00CD425C">
              <w:rPr>
                <w:b/>
                <w:bCs/>
              </w:rPr>
              <w:t>Original: anglais</w:t>
            </w:r>
          </w:p>
        </w:tc>
      </w:tr>
      <w:tr w:rsidR="00520F36" w:rsidRPr="00CD425C" w14:paraId="4F4EC3D7" w14:textId="77777777">
        <w:trPr>
          <w:cantSplit/>
        </w:trPr>
        <w:tc>
          <w:tcPr>
            <w:tcW w:w="10173" w:type="dxa"/>
            <w:gridSpan w:val="2"/>
          </w:tcPr>
          <w:p w14:paraId="57861E8C" w14:textId="77777777" w:rsidR="00520F36" w:rsidRPr="00CD425C" w:rsidRDefault="001C238E" w:rsidP="005042BC">
            <w:pPr>
              <w:pStyle w:val="Source"/>
            </w:pPr>
            <w:bookmarkStart w:id="6" w:name="dsource" w:colFirst="0" w:colLast="0"/>
            <w:bookmarkEnd w:id="5"/>
            <w:r w:rsidRPr="00CD425C">
              <w:t>Rapport du Secrétaire général</w:t>
            </w:r>
          </w:p>
        </w:tc>
      </w:tr>
      <w:tr w:rsidR="00520F36" w:rsidRPr="00CD425C" w14:paraId="1296C115" w14:textId="77777777">
        <w:trPr>
          <w:cantSplit/>
        </w:trPr>
        <w:tc>
          <w:tcPr>
            <w:tcW w:w="10173" w:type="dxa"/>
            <w:gridSpan w:val="2"/>
          </w:tcPr>
          <w:p w14:paraId="1BBBE6ED" w14:textId="234CE8E0" w:rsidR="00520F36" w:rsidRPr="00CD425C" w:rsidRDefault="0029334D" w:rsidP="005042BC">
            <w:pPr>
              <w:pStyle w:val="Title1"/>
            </w:pPr>
            <w:bookmarkStart w:id="7" w:name="dtitle1" w:colFirst="0" w:colLast="0"/>
            <w:bookmarkEnd w:id="6"/>
            <w:r w:rsidRPr="00CD425C">
              <w:t>PROJET DE BUDGET POUR 2022-2023</w:t>
            </w:r>
          </w:p>
        </w:tc>
      </w:tr>
      <w:bookmarkEnd w:id="7"/>
    </w:tbl>
    <w:p w14:paraId="3C79F1D6" w14:textId="77777777" w:rsidR="00520F36" w:rsidRPr="00CD425C" w:rsidRDefault="00520F36" w:rsidP="005042B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CD425C" w14:paraId="2949B3F4"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D3F62DA" w14:textId="77777777" w:rsidR="00520F36" w:rsidRPr="00CD425C" w:rsidRDefault="00520F36" w:rsidP="005042BC">
            <w:pPr>
              <w:pStyle w:val="Headingb"/>
            </w:pPr>
            <w:bookmarkStart w:id="8" w:name="_Toc68079848"/>
            <w:bookmarkStart w:id="9" w:name="_Toc68080048"/>
            <w:r w:rsidRPr="00CD425C">
              <w:t>Résumé</w:t>
            </w:r>
            <w:bookmarkEnd w:id="8"/>
            <w:bookmarkEnd w:id="9"/>
          </w:p>
          <w:p w14:paraId="13EF4A1D" w14:textId="6C3D085D" w:rsidR="0029334D" w:rsidRPr="00CD425C" w:rsidRDefault="0029334D" w:rsidP="005042BC">
            <w:r w:rsidRPr="00CD425C">
              <w:t>Le rapport ci-après est présenté pour information générale dans l</w:t>
            </w:r>
            <w:r w:rsidR="005042BC">
              <w:t>'</w:t>
            </w:r>
            <w:r w:rsidRPr="00CD425C">
              <w:t>Addendum 1 au Document C21/</w:t>
            </w:r>
            <w:r w:rsidR="0085199E" w:rsidRPr="00CD425C">
              <w:t>65</w:t>
            </w:r>
            <w:r w:rsidRPr="00CD425C">
              <w:t>:</w:t>
            </w:r>
          </w:p>
          <w:p w14:paraId="5DFAF7E6" w14:textId="3437127B" w:rsidR="0029334D" w:rsidRPr="00CD425C" w:rsidRDefault="0029334D" w:rsidP="005042BC">
            <w:r w:rsidRPr="00CD425C">
              <w:tab/>
              <w:t>Budget du secrétariat d</w:t>
            </w:r>
            <w:r w:rsidR="005042BC">
              <w:t>'</w:t>
            </w:r>
            <w:r w:rsidRPr="00CD425C">
              <w:t>ITU Telecom pour l</w:t>
            </w:r>
            <w:r w:rsidR="005042BC">
              <w:t>'</w:t>
            </w:r>
            <w:r w:rsidRPr="00CD425C">
              <w:t>exercice 2022-2023</w:t>
            </w:r>
            <w:r w:rsidR="00122872">
              <w:t>.</w:t>
            </w:r>
          </w:p>
          <w:p w14:paraId="2D174692" w14:textId="77777777" w:rsidR="00520F36" w:rsidRPr="00CD425C" w:rsidRDefault="00520F36" w:rsidP="005042BC">
            <w:pPr>
              <w:pStyle w:val="Headingb"/>
            </w:pPr>
            <w:bookmarkStart w:id="10" w:name="_Toc68079849"/>
            <w:bookmarkStart w:id="11" w:name="_Toc68080049"/>
            <w:r w:rsidRPr="00CD425C">
              <w:t>Suite à donner</w:t>
            </w:r>
            <w:bookmarkEnd w:id="10"/>
            <w:bookmarkEnd w:id="11"/>
          </w:p>
          <w:p w14:paraId="20384206" w14:textId="4336B6AA" w:rsidR="00520F36" w:rsidRPr="00CD425C" w:rsidRDefault="001F498C" w:rsidP="005042BC">
            <w:r w:rsidRPr="00CD425C">
              <w:t xml:space="preserve">Le Conseil est prié de </w:t>
            </w:r>
            <w:r w:rsidRPr="00CD425C">
              <w:rPr>
                <w:b/>
              </w:rPr>
              <w:t>prendre note</w:t>
            </w:r>
            <w:r w:rsidRPr="00CD425C">
              <w:t xml:space="preserve"> du présent </w:t>
            </w:r>
            <w:r w:rsidR="003855B4">
              <w:t>document</w:t>
            </w:r>
            <w:r w:rsidRPr="00CD425C">
              <w:t>.</w:t>
            </w:r>
          </w:p>
        </w:tc>
      </w:tr>
    </w:tbl>
    <w:p w14:paraId="72F3299B" w14:textId="77777777" w:rsidR="0029334D" w:rsidRPr="00CD425C" w:rsidRDefault="0029334D" w:rsidP="005042BC">
      <w:pPr>
        <w:sectPr w:rsidR="0029334D" w:rsidRPr="00CD425C" w:rsidSect="00703A86">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docGrid w:linePitch="326"/>
        </w:sectPr>
      </w:pPr>
    </w:p>
    <w:p w14:paraId="55371B7B" w14:textId="77777777" w:rsidR="0029334D" w:rsidRPr="00122872" w:rsidRDefault="0029334D" w:rsidP="002F07E2">
      <w:pPr>
        <w:jc w:val="center"/>
        <w:rPr>
          <w:rFonts w:ascii="Arial" w:hAnsi="Arial" w:cs="Arial"/>
          <w:sz w:val="2"/>
          <w:szCs w:val="2"/>
        </w:rPr>
      </w:pPr>
    </w:p>
    <w:p w14:paraId="3E262B14" w14:textId="4C93767C" w:rsidR="0029334D" w:rsidRPr="002F07E2" w:rsidRDefault="0029334D" w:rsidP="00122872">
      <w:pPr>
        <w:spacing w:before="720"/>
        <w:jc w:val="center"/>
        <w:rPr>
          <w:rFonts w:ascii="Arial" w:hAnsi="Arial" w:cs="Arial"/>
          <w:sz w:val="32"/>
          <w:szCs w:val="32"/>
        </w:rPr>
      </w:pPr>
      <w:r w:rsidRPr="002F07E2">
        <w:rPr>
          <w:rFonts w:ascii="Arial" w:hAnsi="Arial" w:cs="Arial"/>
          <w:sz w:val="32"/>
          <w:szCs w:val="32"/>
        </w:rPr>
        <w:t>Union</w:t>
      </w:r>
      <w:r w:rsidR="0085199E" w:rsidRPr="002F07E2">
        <w:rPr>
          <w:rFonts w:ascii="Arial" w:hAnsi="Arial" w:cs="Arial"/>
          <w:sz w:val="32"/>
          <w:szCs w:val="32"/>
        </w:rPr>
        <w:t xml:space="preserve"> internationale des télécommunications</w:t>
      </w:r>
    </w:p>
    <w:p w14:paraId="59DEE88C" w14:textId="640D2DBD" w:rsidR="0029334D" w:rsidRPr="002F07E2" w:rsidRDefault="0085199E" w:rsidP="00122872">
      <w:pPr>
        <w:spacing w:before="480" w:after="2400"/>
        <w:jc w:val="center"/>
        <w:rPr>
          <w:rFonts w:ascii="Arial" w:hAnsi="Arial" w:cs="Arial"/>
          <w:sz w:val="32"/>
          <w:szCs w:val="32"/>
        </w:rPr>
      </w:pPr>
      <w:r w:rsidRPr="002F07E2">
        <w:rPr>
          <w:rFonts w:ascii="Arial" w:hAnsi="Arial" w:cs="Arial"/>
          <w:sz w:val="32"/>
          <w:szCs w:val="32"/>
        </w:rPr>
        <w:t xml:space="preserve">Département de la gestion des ressources </w:t>
      </w:r>
      <w:r w:rsidR="00D1047B" w:rsidRPr="002F07E2">
        <w:rPr>
          <w:rFonts w:ascii="Arial" w:hAnsi="Arial" w:cs="Arial"/>
          <w:sz w:val="32"/>
          <w:szCs w:val="32"/>
        </w:rPr>
        <w:t>financières</w:t>
      </w:r>
    </w:p>
    <w:tbl>
      <w:tblPr>
        <w:tblW w:w="4942" w:type="pct"/>
        <w:tblInd w:w="10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shd w:val="clear" w:color="auto" w:fill="DBE5F1"/>
        <w:tblLook w:val="0000" w:firstRow="0" w:lastRow="0" w:firstColumn="0" w:lastColumn="0" w:noHBand="0" w:noVBand="0"/>
      </w:tblPr>
      <w:tblGrid>
        <w:gridCol w:w="9679"/>
      </w:tblGrid>
      <w:tr w:rsidR="0029334D" w:rsidRPr="00CD425C" w14:paraId="69239E13" w14:textId="77777777" w:rsidTr="008A5C99">
        <w:trPr>
          <w:trHeight w:val="517"/>
          <w:tblHeader/>
        </w:trPr>
        <w:tc>
          <w:tcPr>
            <w:tcW w:w="5000" w:type="pct"/>
            <w:shd w:val="clear" w:color="auto" w:fill="DBE5F1"/>
            <w:vAlign w:val="center"/>
          </w:tcPr>
          <w:p w14:paraId="61B243FA" w14:textId="5B0C85D4" w:rsidR="0029334D" w:rsidRPr="00CD425C" w:rsidRDefault="0029334D" w:rsidP="00122872">
            <w:pPr>
              <w:tabs>
                <w:tab w:val="left" w:pos="1418"/>
              </w:tabs>
              <w:spacing w:before="360" w:after="40"/>
              <w:jc w:val="center"/>
              <w:rPr>
                <w:rFonts w:ascii="Arial" w:hAnsi="Arial" w:cs="Arial"/>
                <w:b/>
                <w:sz w:val="32"/>
                <w:szCs w:val="32"/>
                <w:lang w:eastAsia="ko-KR"/>
              </w:rPr>
            </w:pPr>
            <w:r w:rsidRPr="00CD425C">
              <w:rPr>
                <w:rFonts w:ascii="Arial" w:hAnsi="Arial" w:cs="Arial"/>
                <w:b/>
                <w:sz w:val="32"/>
                <w:szCs w:val="32"/>
                <w:lang w:eastAsia="ko-KR"/>
              </w:rPr>
              <w:t>BUDGET</w:t>
            </w:r>
            <w:r w:rsidR="00D1047B" w:rsidRPr="00CD425C">
              <w:rPr>
                <w:rFonts w:ascii="Arial" w:hAnsi="Arial" w:cs="Arial"/>
                <w:b/>
                <w:sz w:val="32"/>
                <w:szCs w:val="32"/>
                <w:lang w:eastAsia="ko-KR"/>
              </w:rPr>
              <w:t xml:space="preserve"> DU</w:t>
            </w:r>
          </w:p>
          <w:p w14:paraId="46949833" w14:textId="4996D15F" w:rsidR="0029334D" w:rsidRDefault="0029334D" w:rsidP="00122872">
            <w:pPr>
              <w:tabs>
                <w:tab w:val="left" w:pos="1418"/>
              </w:tabs>
              <w:spacing w:before="360" w:after="40"/>
              <w:jc w:val="center"/>
              <w:rPr>
                <w:rFonts w:ascii="Arial" w:hAnsi="Arial" w:cs="Arial"/>
                <w:b/>
                <w:sz w:val="32"/>
                <w:szCs w:val="32"/>
                <w:lang w:eastAsia="ko-KR"/>
              </w:rPr>
            </w:pPr>
            <w:r w:rsidRPr="00CD425C">
              <w:rPr>
                <w:rFonts w:ascii="Arial" w:hAnsi="Arial" w:cs="Arial"/>
                <w:b/>
                <w:sz w:val="32"/>
                <w:szCs w:val="32"/>
                <w:lang w:eastAsia="ko-KR"/>
              </w:rPr>
              <w:t>SECR</w:t>
            </w:r>
            <w:r w:rsidR="005042BC">
              <w:rPr>
                <w:rFonts w:ascii="Arial" w:hAnsi="Arial" w:cs="Arial"/>
                <w:b/>
                <w:sz w:val="32"/>
                <w:szCs w:val="32"/>
                <w:lang w:eastAsia="ko-KR"/>
              </w:rPr>
              <w:t>É</w:t>
            </w:r>
            <w:r w:rsidRPr="00CD425C">
              <w:rPr>
                <w:rFonts w:ascii="Arial" w:hAnsi="Arial" w:cs="Arial"/>
                <w:b/>
                <w:sz w:val="32"/>
                <w:szCs w:val="32"/>
                <w:lang w:eastAsia="ko-KR"/>
              </w:rPr>
              <w:t>TARIAT</w:t>
            </w:r>
            <w:r w:rsidR="0085199E" w:rsidRPr="00CD425C">
              <w:rPr>
                <w:rFonts w:ascii="Arial" w:hAnsi="Arial" w:cs="Arial"/>
                <w:b/>
                <w:sz w:val="32"/>
                <w:szCs w:val="32"/>
                <w:lang w:eastAsia="ko-KR"/>
              </w:rPr>
              <w:t xml:space="preserve"> D</w:t>
            </w:r>
            <w:r w:rsidR="005042BC">
              <w:rPr>
                <w:rFonts w:ascii="Arial" w:hAnsi="Arial" w:cs="Arial"/>
                <w:b/>
                <w:sz w:val="32"/>
                <w:szCs w:val="32"/>
                <w:lang w:eastAsia="ko-KR"/>
              </w:rPr>
              <w:t>'</w:t>
            </w:r>
            <w:r w:rsidR="0085199E" w:rsidRPr="00CD425C">
              <w:rPr>
                <w:rFonts w:ascii="Arial" w:hAnsi="Arial" w:cs="Arial"/>
                <w:b/>
                <w:sz w:val="32"/>
                <w:szCs w:val="32"/>
                <w:lang w:eastAsia="ko-KR"/>
              </w:rPr>
              <w:t>ITU TELECOM</w:t>
            </w:r>
          </w:p>
          <w:p w14:paraId="00BCE180" w14:textId="7781B109" w:rsidR="0029334D" w:rsidRPr="00CD425C" w:rsidRDefault="0085199E" w:rsidP="00122872">
            <w:pPr>
              <w:tabs>
                <w:tab w:val="left" w:pos="1418"/>
              </w:tabs>
              <w:spacing w:before="360" w:after="240"/>
              <w:jc w:val="center"/>
              <w:rPr>
                <w:rFonts w:ascii="Arial" w:hAnsi="Arial" w:cs="Arial"/>
                <w:b/>
                <w:sz w:val="32"/>
                <w:szCs w:val="32"/>
                <w:lang w:eastAsia="ko-KR"/>
              </w:rPr>
            </w:pPr>
            <w:r w:rsidRPr="00CD425C">
              <w:rPr>
                <w:rFonts w:ascii="Arial" w:hAnsi="Arial" w:cs="Arial"/>
                <w:b/>
                <w:sz w:val="32"/>
                <w:szCs w:val="32"/>
                <w:lang w:eastAsia="ko-KR"/>
              </w:rPr>
              <w:t xml:space="preserve">POUR </w:t>
            </w:r>
            <w:r w:rsidR="0029334D" w:rsidRPr="00CD425C">
              <w:rPr>
                <w:rFonts w:ascii="Arial" w:hAnsi="Arial" w:cs="Arial"/>
                <w:b/>
                <w:sz w:val="32"/>
                <w:szCs w:val="32"/>
                <w:lang w:eastAsia="ko-KR"/>
              </w:rPr>
              <w:t>2022-2023</w:t>
            </w:r>
          </w:p>
        </w:tc>
      </w:tr>
    </w:tbl>
    <w:p w14:paraId="76CF6759" w14:textId="75A80504" w:rsidR="0029334D" w:rsidRPr="00CD425C" w:rsidRDefault="0085199E" w:rsidP="00122872">
      <w:pPr>
        <w:pStyle w:val="Header"/>
        <w:spacing w:before="2280" w:after="600"/>
        <w:ind w:left="-180"/>
        <w:rPr>
          <w:rFonts w:ascii="Arial" w:hAnsi="Arial" w:cs="Arial"/>
          <w:sz w:val="28"/>
          <w:szCs w:val="28"/>
        </w:rPr>
      </w:pPr>
      <w:r w:rsidRPr="00CD425C">
        <w:rPr>
          <w:rFonts w:ascii="Arial" w:hAnsi="Arial" w:cs="Arial"/>
          <w:sz w:val="28"/>
          <w:szCs w:val="28"/>
        </w:rPr>
        <w:t xml:space="preserve">Au </w:t>
      </w:r>
      <w:r w:rsidR="0029334D" w:rsidRPr="00CD425C">
        <w:rPr>
          <w:rFonts w:ascii="Arial" w:hAnsi="Arial" w:cs="Arial"/>
          <w:sz w:val="28"/>
          <w:szCs w:val="28"/>
        </w:rPr>
        <w:t>18 mars 2021</w:t>
      </w:r>
    </w:p>
    <w:p w14:paraId="7DDE0B9D" w14:textId="3342B09F" w:rsidR="0029334D" w:rsidRDefault="0029334D" w:rsidP="005042BC">
      <w:pPr>
        <w:pStyle w:val="Header"/>
        <w:ind w:left="-180"/>
        <w:rPr>
          <w:rFonts w:ascii="Arial" w:hAnsi="Arial" w:cs="Arial"/>
          <w:i/>
          <w:iCs/>
          <w:sz w:val="24"/>
          <w:szCs w:val="24"/>
        </w:rPr>
      </w:pPr>
    </w:p>
    <w:p w14:paraId="207E89D2" w14:textId="77777777" w:rsidR="00122872" w:rsidRPr="00CD425C" w:rsidRDefault="00122872" w:rsidP="005042BC">
      <w:pPr>
        <w:pStyle w:val="Header"/>
        <w:ind w:left="-180"/>
        <w:rPr>
          <w:rFonts w:ascii="Arial" w:hAnsi="Arial" w:cs="Arial"/>
          <w:i/>
          <w:iCs/>
          <w:sz w:val="24"/>
          <w:szCs w:val="24"/>
        </w:rPr>
        <w:sectPr w:rsidR="00122872" w:rsidRPr="00CD425C" w:rsidSect="001E3D5B">
          <w:footerReference w:type="default" r:id="rId14"/>
          <w:headerReference w:type="first" r:id="rId15"/>
          <w:footerReference w:type="first" r:id="rId16"/>
          <w:pgSz w:w="11901" w:h="16840" w:code="9"/>
          <w:pgMar w:top="1021" w:right="964" w:bottom="737" w:left="1134" w:header="561" w:footer="561" w:gutter="0"/>
          <w:paperSrc w:first="7" w:other="7"/>
          <w:pgNumType w:start="2"/>
          <w:cols w:space="720"/>
          <w:titlePg/>
          <w:docGrid w:linePitch="360"/>
        </w:sectPr>
      </w:pPr>
    </w:p>
    <w:p w14:paraId="592B4BDF" w14:textId="77777777" w:rsidR="0029334D" w:rsidRPr="00122872" w:rsidRDefault="0029334D" w:rsidP="00122872">
      <w:pPr>
        <w:spacing w:before="480"/>
        <w:jc w:val="center"/>
        <w:rPr>
          <w:rFonts w:ascii="Arial" w:hAnsi="Arial" w:cs="Arial"/>
          <w:sz w:val="2"/>
          <w:szCs w:val="2"/>
        </w:rPr>
      </w:pPr>
    </w:p>
    <w:tbl>
      <w:tblPr>
        <w:tblW w:w="4942" w:type="pct"/>
        <w:tblInd w:w="10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shd w:val="clear" w:color="auto" w:fill="DBE5F1"/>
        <w:tblLook w:val="0000" w:firstRow="0" w:lastRow="0" w:firstColumn="0" w:lastColumn="0" w:noHBand="0" w:noVBand="0"/>
      </w:tblPr>
      <w:tblGrid>
        <w:gridCol w:w="9517"/>
      </w:tblGrid>
      <w:tr w:rsidR="0029334D" w:rsidRPr="00CD425C" w14:paraId="3C99C079" w14:textId="77777777" w:rsidTr="008A5C99">
        <w:trPr>
          <w:trHeight w:val="517"/>
          <w:tblHeader/>
        </w:trPr>
        <w:tc>
          <w:tcPr>
            <w:tcW w:w="5000" w:type="pct"/>
            <w:shd w:val="clear" w:color="auto" w:fill="DBE5F1"/>
            <w:vAlign w:val="center"/>
          </w:tcPr>
          <w:p w14:paraId="6D0A802D" w14:textId="1D942249" w:rsidR="0029334D" w:rsidRPr="00CD425C" w:rsidRDefault="0085199E" w:rsidP="005042BC">
            <w:pPr>
              <w:tabs>
                <w:tab w:val="left" w:pos="1418"/>
              </w:tabs>
              <w:spacing w:before="40" w:after="40"/>
              <w:jc w:val="center"/>
              <w:rPr>
                <w:rFonts w:ascii="Arial" w:hAnsi="Arial" w:cs="Arial"/>
                <w:b/>
                <w:sz w:val="32"/>
                <w:szCs w:val="32"/>
                <w:lang w:eastAsia="ko-KR"/>
              </w:rPr>
            </w:pPr>
            <w:r w:rsidRPr="00CD425C">
              <w:rPr>
                <w:rFonts w:ascii="Arial" w:hAnsi="Arial" w:cs="Arial"/>
                <w:b/>
                <w:sz w:val="32"/>
                <w:szCs w:val="32"/>
                <w:lang w:eastAsia="ko-KR"/>
              </w:rPr>
              <w:t>Budget du Secrétariat d</w:t>
            </w:r>
            <w:r w:rsidR="005042BC">
              <w:rPr>
                <w:rFonts w:ascii="Arial" w:hAnsi="Arial" w:cs="Arial"/>
                <w:b/>
                <w:sz w:val="32"/>
                <w:szCs w:val="32"/>
                <w:lang w:eastAsia="ko-KR"/>
              </w:rPr>
              <w:t>'</w:t>
            </w:r>
            <w:r w:rsidR="0029334D" w:rsidRPr="00CD425C">
              <w:rPr>
                <w:rFonts w:ascii="Arial" w:hAnsi="Arial" w:cs="Arial"/>
                <w:b/>
                <w:sz w:val="32"/>
                <w:szCs w:val="32"/>
                <w:lang w:eastAsia="ko-KR"/>
              </w:rPr>
              <w:t xml:space="preserve">ITU TELECOM </w:t>
            </w:r>
          </w:p>
          <w:p w14:paraId="46E43A34" w14:textId="3D4230A2" w:rsidR="0029334D" w:rsidRPr="00CD425C" w:rsidRDefault="0085199E" w:rsidP="005042BC">
            <w:pPr>
              <w:tabs>
                <w:tab w:val="left" w:pos="1418"/>
              </w:tabs>
              <w:spacing w:before="40" w:after="40"/>
              <w:jc w:val="center"/>
              <w:rPr>
                <w:rFonts w:ascii="Arial" w:hAnsi="Arial" w:cs="Arial"/>
                <w:b/>
                <w:sz w:val="32"/>
                <w:szCs w:val="32"/>
                <w:lang w:eastAsia="ko-KR"/>
              </w:rPr>
            </w:pPr>
            <w:r w:rsidRPr="00CD425C">
              <w:rPr>
                <w:rFonts w:ascii="Arial" w:hAnsi="Arial" w:cs="Arial"/>
                <w:b/>
                <w:sz w:val="32"/>
                <w:szCs w:val="32"/>
                <w:lang w:eastAsia="ko-KR"/>
              </w:rPr>
              <w:t xml:space="preserve">pour </w:t>
            </w:r>
            <w:r w:rsidR="0029334D" w:rsidRPr="00CD425C">
              <w:rPr>
                <w:rFonts w:ascii="Arial" w:hAnsi="Arial" w:cs="Arial"/>
                <w:b/>
                <w:sz w:val="32"/>
                <w:szCs w:val="32"/>
                <w:lang w:eastAsia="ko-KR"/>
              </w:rPr>
              <w:t>2022-2023</w:t>
            </w:r>
          </w:p>
        </w:tc>
      </w:tr>
    </w:tbl>
    <w:p w14:paraId="06F6976D" w14:textId="23E6BBF0" w:rsidR="00CE46A6" w:rsidRDefault="00CE46A6" w:rsidP="00122872">
      <w:pPr>
        <w:spacing w:before="960"/>
        <w:jc w:val="center"/>
        <w:rPr>
          <w:rFonts w:ascii="Arial" w:hAnsi="Arial" w:cs="Arial"/>
          <w:b/>
          <w:bCs/>
          <w:u w:val="single"/>
        </w:rPr>
      </w:pPr>
      <w:r w:rsidRPr="00CE46A6">
        <w:rPr>
          <w:rFonts w:ascii="Arial" w:hAnsi="Arial" w:cs="Arial"/>
          <w:b/>
          <w:bCs/>
          <w:u w:val="single"/>
        </w:rPr>
        <w:t>TABLE DES MATIÈRES</w:t>
      </w:r>
    </w:p>
    <w:p w14:paraId="65C4A307" w14:textId="0672519D" w:rsidR="00F8296B" w:rsidRPr="001319AA" w:rsidRDefault="00F8296B" w:rsidP="00F8296B">
      <w:pPr>
        <w:jc w:val="right"/>
      </w:pPr>
      <w:r w:rsidRPr="001319AA">
        <w:rPr>
          <w:rFonts w:ascii="Arial" w:hAnsi="Arial" w:cs="Arial"/>
          <w:b/>
          <w:bCs/>
        </w:rPr>
        <w:t>Page</w:t>
      </w:r>
    </w:p>
    <w:sdt>
      <w:sdtPr>
        <w:rPr>
          <w:rFonts w:asciiTheme="minorHAnsi" w:eastAsiaTheme="majorEastAsia" w:hAnsiTheme="minorHAnsi" w:cstheme="minorHAnsi"/>
          <w:color w:val="365F91" w:themeColor="accent1" w:themeShade="BF"/>
          <w:sz w:val="32"/>
          <w:szCs w:val="24"/>
          <w:lang w:val="en-US"/>
        </w:rPr>
        <w:id w:val="1508942455"/>
        <w:docPartObj>
          <w:docPartGallery w:val="Table of Contents"/>
          <w:docPartUnique/>
        </w:docPartObj>
      </w:sdtPr>
      <w:sdtEndPr>
        <w:rPr>
          <w:rFonts w:asciiTheme="majorHAnsi" w:hAnsiTheme="majorHAnsi" w:cstheme="majorBidi"/>
          <w:b/>
          <w:bCs/>
          <w:noProof/>
          <w:szCs w:val="32"/>
        </w:rPr>
      </w:sdtEndPr>
      <w:sdtContent>
        <w:p w14:paraId="31453FE4" w14:textId="65FB1717" w:rsidR="00F8296B" w:rsidRDefault="00F8296B">
          <w:pPr>
            <w:pStyle w:val="TOC1"/>
            <w:rPr>
              <w:rFonts w:asciiTheme="minorHAnsi" w:eastAsiaTheme="minorEastAsia" w:hAnsiTheme="minorHAnsi" w:cstheme="minorBidi"/>
              <w:noProof/>
              <w:sz w:val="22"/>
              <w:szCs w:val="22"/>
              <w:lang w:eastAsia="fr-FR"/>
            </w:rPr>
          </w:pPr>
          <w:r>
            <w:rPr>
              <w:rFonts w:asciiTheme="minorHAnsi" w:hAnsiTheme="minorHAnsi" w:cstheme="minorHAnsi"/>
              <w:szCs w:val="24"/>
            </w:rPr>
            <w:fldChar w:fldCharType="begin"/>
          </w:r>
          <w:r>
            <w:rPr>
              <w:rFonts w:asciiTheme="minorHAnsi" w:hAnsiTheme="minorHAnsi" w:cstheme="minorHAnsi"/>
              <w:szCs w:val="24"/>
            </w:rPr>
            <w:instrText xml:space="preserve"> TOC \o "1-3" \h \z \u </w:instrText>
          </w:r>
          <w:r>
            <w:rPr>
              <w:rFonts w:asciiTheme="minorHAnsi" w:hAnsiTheme="minorHAnsi" w:cstheme="minorHAnsi"/>
              <w:szCs w:val="24"/>
            </w:rPr>
            <w:fldChar w:fldCharType="separate"/>
          </w:r>
          <w:hyperlink w:anchor="_Toc68080050" w:history="1">
            <w:r w:rsidRPr="0054509A">
              <w:rPr>
                <w:rStyle w:val="Hyperlink"/>
                <w:noProof/>
              </w:rPr>
              <w:t>CHARGES DU SECRÉTARIAT D'ITU TELECOM</w:t>
            </w:r>
            <w:r>
              <w:rPr>
                <w:noProof/>
                <w:webHidden/>
              </w:rPr>
              <w:tab/>
            </w:r>
            <w:r>
              <w:rPr>
                <w:noProof/>
                <w:webHidden/>
              </w:rPr>
              <w:tab/>
            </w:r>
            <w:r>
              <w:rPr>
                <w:noProof/>
                <w:webHidden/>
              </w:rPr>
              <w:fldChar w:fldCharType="begin"/>
            </w:r>
            <w:r>
              <w:rPr>
                <w:noProof/>
                <w:webHidden/>
              </w:rPr>
              <w:instrText xml:space="preserve"> PAGEREF _Toc68080050 \h </w:instrText>
            </w:r>
            <w:r>
              <w:rPr>
                <w:noProof/>
                <w:webHidden/>
              </w:rPr>
            </w:r>
            <w:r>
              <w:rPr>
                <w:noProof/>
                <w:webHidden/>
              </w:rPr>
              <w:fldChar w:fldCharType="separate"/>
            </w:r>
            <w:r w:rsidR="009F7E3B">
              <w:rPr>
                <w:noProof/>
                <w:webHidden/>
              </w:rPr>
              <w:t>4</w:t>
            </w:r>
            <w:r>
              <w:rPr>
                <w:noProof/>
                <w:webHidden/>
              </w:rPr>
              <w:fldChar w:fldCharType="end"/>
            </w:r>
          </w:hyperlink>
        </w:p>
        <w:p w14:paraId="48B0E246" w14:textId="014F24A7" w:rsidR="00F8296B" w:rsidRDefault="00173F01">
          <w:pPr>
            <w:pStyle w:val="TOC1"/>
            <w:rPr>
              <w:rFonts w:asciiTheme="minorHAnsi" w:eastAsiaTheme="minorEastAsia" w:hAnsiTheme="minorHAnsi" w:cstheme="minorBidi"/>
              <w:noProof/>
              <w:sz w:val="22"/>
              <w:szCs w:val="22"/>
              <w:lang w:eastAsia="fr-FR"/>
            </w:rPr>
          </w:pPr>
          <w:hyperlink w:anchor="_Toc68080051" w:history="1">
            <w:r w:rsidR="00F8296B" w:rsidRPr="0054509A">
              <w:rPr>
                <w:rStyle w:val="Hyperlink"/>
                <w:noProof/>
              </w:rPr>
              <w:t>RESSOURCES DU SECRÉTARIAT D'ITU TELECOM</w:t>
            </w:r>
            <w:r w:rsidR="00F8296B">
              <w:rPr>
                <w:noProof/>
                <w:webHidden/>
              </w:rPr>
              <w:tab/>
            </w:r>
            <w:r w:rsidR="00F8296B">
              <w:rPr>
                <w:noProof/>
                <w:webHidden/>
              </w:rPr>
              <w:tab/>
            </w:r>
            <w:r w:rsidR="00F8296B">
              <w:rPr>
                <w:noProof/>
                <w:webHidden/>
              </w:rPr>
              <w:fldChar w:fldCharType="begin"/>
            </w:r>
            <w:r w:rsidR="00F8296B">
              <w:rPr>
                <w:noProof/>
                <w:webHidden/>
              </w:rPr>
              <w:instrText xml:space="preserve"> PAGEREF _Toc68080051 \h </w:instrText>
            </w:r>
            <w:r w:rsidR="00F8296B">
              <w:rPr>
                <w:noProof/>
                <w:webHidden/>
              </w:rPr>
            </w:r>
            <w:r w:rsidR="00F8296B">
              <w:rPr>
                <w:noProof/>
                <w:webHidden/>
              </w:rPr>
              <w:fldChar w:fldCharType="separate"/>
            </w:r>
            <w:r w:rsidR="009F7E3B">
              <w:rPr>
                <w:noProof/>
                <w:webHidden/>
              </w:rPr>
              <w:t>5</w:t>
            </w:r>
            <w:r w:rsidR="00F8296B">
              <w:rPr>
                <w:noProof/>
                <w:webHidden/>
              </w:rPr>
              <w:fldChar w:fldCharType="end"/>
            </w:r>
          </w:hyperlink>
        </w:p>
        <w:p w14:paraId="44E5661B" w14:textId="5B7FA62A" w:rsidR="00F8296B" w:rsidRDefault="00173F01">
          <w:pPr>
            <w:pStyle w:val="TOC1"/>
            <w:rPr>
              <w:rFonts w:asciiTheme="minorHAnsi" w:eastAsiaTheme="minorEastAsia" w:hAnsiTheme="minorHAnsi" w:cstheme="minorBidi"/>
              <w:noProof/>
              <w:sz w:val="22"/>
              <w:szCs w:val="22"/>
              <w:lang w:eastAsia="fr-FR"/>
            </w:rPr>
          </w:pPr>
          <w:hyperlink w:anchor="_Toc68080052" w:history="1">
            <w:r w:rsidR="00F8296B" w:rsidRPr="0054509A">
              <w:rPr>
                <w:rStyle w:val="Hyperlink"/>
                <w:noProof/>
              </w:rPr>
              <w:t>RECOUVREMENT DES COÛTS AUPRÈS D'ITU TELECOM</w:t>
            </w:r>
            <w:r w:rsidR="00F8296B">
              <w:rPr>
                <w:noProof/>
                <w:webHidden/>
              </w:rPr>
              <w:tab/>
            </w:r>
            <w:r w:rsidR="00F8296B">
              <w:rPr>
                <w:noProof/>
                <w:webHidden/>
              </w:rPr>
              <w:tab/>
            </w:r>
            <w:r w:rsidR="00F8296B">
              <w:rPr>
                <w:noProof/>
                <w:webHidden/>
              </w:rPr>
              <w:fldChar w:fldCharType="begin"/>
            </w:r>
            <w:r w:rsidR="00F8296B">
              <w:rPr>
                <w:noProof/>
                <w:webHidden/>
              </w:rPr>
              <w:instrText xml:space="preserve"> PAGEREF _Toc68080052 \h </w:instrText>
            </w:r>
            <w:r w:rsidR="00F8296B">
              <w:rPr>
                <w:noProof/>
                <w:webHidden/>
              </w:rPr>
            </w:r>
            <w:r w:rsidR="00F8296B">
              <w:rPr>
                <w:noProof/>
                <w:webHidden/>
              </w:rPr>
              <w:fldChar w:fldCharType="separate"/>
            </w:r>
            <w:r w:rsidR="009F7E3B">
              <w:rPr>
                <w:noProof/>
                <w:webHidden/>
              </w:rPr>
              <w:t>6</w:t>
            </w:r>
            <w:r w:rsidR="00F8296B">
              <w:rPr>
                <w:noProof/>
                <w:webHidden/>
              </w:rPr>
              <w:fldChar w:fldCharType="end"/>
            </w:r>
          </w:hyperlink>
        </w:p>
        <w:p w14:paraId="2F8AE902" w14:textId="1663FA13" w:rsidR="00F8296B" w:rsidRDefault="00173F01">
          <w:pPr>
            <w:pStyle w:val="TOC1"/>
            <w:rPr>
              <w:rFonts w:asciiTheme="minorHAnsi" w:eastAsiaTheme="minorEastAsia" w:hAnsiTheme="minorHAnsi" w:cstheme="minorBidi"/>
              <w:noProof/>
              <w:sz w:val="22"/>
              <w:szCs w:val="22"/>
              <w:lang w:eastAsia="fr-FR"/>
            </w:rPr>
          </w:pPr>
          <w:hyperlink w:anchor="_Toc68080053" w:history="1">
            <w:r w:rsidR="00F8296B" w:rsidRPr="0054509A">
              <w:rPr>
                <w:rStyle w:val="Hyperlink"/>
                <w:noProof/>
              </w:rPr>
              <w:t>UTILISATION DES RESSOURCES</w:t>
            </w:r>
            <w:r w:rsidR="00F8296B">
              <w:rPr>
                <w:noProof/>
                <w:webHidden/>
              </w:rPr>
              <w:tab/>
            </w:r>
            <w:r w:rsidR="00F8296B">
              <w:rPr>
                <w:noProof/>
                <w:webHidden/>
              </w:rPr>
              <w:tab/>
            </w:r>
            <w:r w:rsidR="00F8296B">
              <w:rPr>
                <w:noProof/>
                <w:webHidden/>
              </w:rPr>
              <w:fldChar w:fldCharType="begin"/>
            </w:r>
            <w:r w:rsidR="00F8296B">
              <w:rPr>
                <w:noProof/>
                <w:webHidden/>
              </w:rPr>
              <w:instrText xml:space="preserve"> PAGEREF _Toc68080053 \h </w:instrText>
            </w:r>
            <w:r w:rsidR="00F8296B">
              <w:rPr>
                <w:noProof/>
                <w:webHidden/>
              </w:rPr>
            </w:r>
            <w:r w:rsidR="00F8296B">
              <w:rPr>
                <w:noProof/>
                <w:webHidden/>
              </w:rPr>
              <w:fldChar w:fldCharType="separate"/>
            </w:r>
            <w:r w:rsidR="009F7E3B">
              <w:rPr>
                <w:noProof/>
                <w:webHidden/>
              </w:rPr>
              <w:t>6</w:t>
            </w:r>
            <w:r w:rsidR="00F8296B">
              <w:rPr>
                <w:noProof/>
                <w:webHidden/>
              </w:rPr>
              <w:fldChar w:fldCharType="end"/>
            </w:r>
          </w:hyperlink>
        </w:p>
        <w:p w14:paraId="7F19CB56" w14:textId="46635ECD" w:rsidR="00F8296B" w:rsidRDefault="00173F01">
          <w:pPr>
            <w:pStyle w:val="TOC1"/>
            <w:rPr>
              <w:rFonts w:asciiTheme="minorHAnsi" w:eastAsiaTheme="minorEastAsia" w:hAnsiTheme="minorHAnsi" w:cstheme="minorBidi"/>
              <w:noProof/>
              <w:sz w:val="22"/>
              <w:szCs w:val="22"/>
              <w:lang w:eastAsia="fr-FR"/>
            </w:rPr>
          </w:pPr>
          <w:hyperlink w:anchor="_Toc68080054" w:history="1">
            <w:r w:rsidR="00F8296B" w:rsidRPr="0054509A">
              <w:rPr>
                <w:rStyle w:val="Hyperlink"/>
                <w:noProof/>
              </w:rPr>
              <w:t>FINANCEMENT DES RESSOURCES</w:t>
            </w:r>
            <w:r w:rsidR="00F8296B">
              <w:rPr>
                <w:noProof/>
                <w:webHidden/>
              </w:rPr>
              <w:tab/>
            </w:r>
            <w:r w:rsidR="00F8296B">
              <w:rPr>
                <w:noProof/>
                <w:webHidden/>
              </w:rPr>
              <w:tab/>
            </w:r>
            <w:r w:rsidR="00F8296B">
              <w:rPr>
                <w:noProof/>
                <w:webHidden/>
              </w:rPr>
              <w:fldChar w:fldCharType="begin"/>
            </w:r>
            <w:r w:rsidR="00F8296B">
              <w:rPr>
                <w:noProof/>
                <w:webHidden/>
              </w:rPr>
              <w:instrText xml:space="preserve"> PAGEREF _Toc68080054 \h </w:instrText>
            </w:r>
            <w:r w:rsidR="00F8296B">
              <w:rPr>
                <w:noProof/>
                <w:webHidden/>
              </w:rPr>
            </w:r>
            <w:r w:rsidR="00F8296B">
              <w:rPr>
                <w:noProof/>
                <w:webHidden/>
              </w:rPr>
              <w:fldChar w:fldCharType="separate"/>
            </w:r>
            <w:r w:rsidR="009F7E3B">
              <w:rPr>
                <w:noProof/>
                <w:webHidden/>
              </w:rPr>
              <w:t>7</w:t>
            </w:r>
            <w:r w:rsidR="00F8296B">
              <w:rPr>
                <w:noProof/>
                <w:webHidden/>
              </w:rPr>
              <w:fldChar w:fldCharType="end"/>
            </w:r>
          </w:hyperlink>
        </w:p>
        <w:p w14:paraId="1B9AABBD" w14:textId="32DDBC76" w:rsidR="00F8296B" w:rsidRDefault="00173F01">
          <w:pPr>
            <w:pStyle w:val="TOC1"/>
            <w:rPr>
              <w:rFonts w:asciiTheme="minorHAnsi" w:eastAsiaTheme="minorEastAsia" w:hAnsiTheme="minorHAnsi" w:cstheme="minorBidi"/>
              <w:noProof/>
              <w:sz w:val="22"/>
              <w:szCs w:val="22"/>
              <w:lang w:eastAsia="fr-FR"/>
            </w:rPr>
          </w:pPr>
          <w:hyperlink w:anchor="_Toc68080055" w:history="1">
            <w:r w:rsidR="00F8296B" w:rsidRPr="0054509A">
              <w:rPr>
                <w:rStyle w:val="Hyperlink"/>
                <w:noProof/>
              </w:rPr>
              <w:t>FONDS DE ROULEMENT DES EXPOSITIONS (EWCF)</w:t>
            </w:r>
            <w:r w:rsidR="00F8296B">
              <w:rPr>
                <w:noProof/>
                <w:webHidden/>
              </w:rPr>
              <w:tab/>
            </w:r>
            <w:r w:rsidR="00F8296B">
              <w:rPr>
                <w:noProof/>
                <w:webHidden/>
              </w:rPr>
              <w:tab/>
            </w:r>
            <w:r w:rsidR="00F8296B">
              <w:rPr>
                <w:noProof/>
                <w:webHidden/>
              </w:rPr>
              <w:fldChar w:fldCharType="begin"/>
            </w:r>
            <w:r w:rsidR="00F8296B">
              <w:rPr>
                <w:noProof/>
                <w:webHidden/>
              </w:rPr>
              <w:instrText xml:space="preserve"> PAGEREF _Toc68080055 \h </w:instrText>
            </w:r>
            <w:r w:rsidR="00F8296B">
              <w:rPr>
                <w:noProof/>
                <w:webHidden/>
              </w:rPr>
            </w:r>
            <w:r w:rsidR="00F8296B">
              <w:rPr>
                <w:noProof/>
                <w:webHidden/>
              </w:rPr>
              <w:fldChar w:fldCharType="separate"/>
            </w:r>
            <w:r w:rsidR="009F7E3B">
              <w:rPr>
                <w:noProof/>
                <w:webHidden/>
              </w:rPr>
              <w:t>9</w:t>
            </w:r>
            <w:r w:rsidR="00F8296B">
              <w:rPr>
                <w:noProof/>
                <w:webHidden/>
              </w:rPr>
              <w:fldChar w:fldCharType="end"/>
            </w:r>
          </w:hyperlink>
        </w:p>
        <w:p w14:paraId="542F080E" w14:textId="34225369" w:rsidR="0029334D" w:rsidRPr="00A7034F" w:rsidRDefault="00F8296B" w:rsidP="00F8296B">
          <w:pPr>
            <w:pStyle w:val="TOCHeading"/>
            <w:sectPr w:rsidR="0029334D" w:rsidRPr="00A7034F" w:rsidSect="005C3890">
              <w:pgSz w:w="11907" w:h="16840" w:code="9"/>
              <w:pgMar w:top="1418" w:right="1134" w:bottom="1418" w:left="1134" w:header="720" w:footer="720" w:gutter="0"/>
              <w:paperSrc w:first="261" w:other="261"/>
              <w:cols w:space="720"/>
              <w:titlePg/>
            </w:sectPr>
          </w:pPr>
          <w:r>
            <w:rPr>
              <w:rFonts w:asciiTheme="minorHAnsi" w:hAnsiTheme="minorHAnsi" w:cstheme="minorHAnsi"/>
              <w:color w:val="auto"/>
              <w:sz w:val="24"/>
              <w:szCs w:val="24"/>
            </w:rPr>
            <w:fldChar w:fldCharType="end"/>
          </w:r>
        </w:p>
      </w:sdtContent>
    </w:sdt>
    <w:tbl>
      <w:tblPr>
        <w:tblW w:w="4942" w:type="pct"/>
        <w:tblInd w:w="10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shd w:val="clear" w:color="auto" w:fill="DBE5F1"/>
        <w:tblLook w:val="0000" w:firstRow="0" w:lastRow="0" w:firstColumn="0" w:lastColumn="0" w:noHBand="0" w:noVBand="0"/>
      </w:tblPr>
      <w:tblGrid>
        <w:gridCol w:w="9517"/>
      </w:tblGrid>
      <w:tr w:rsidR="0029334D" w:rsidRPr="00CD425C" w14:paraId="74024323" w14:textId="77777777" w:rsidTr="008A5C99">
        <w:trPr>
          <w:trHeight w:val="517"/>
          <w:tblHeader/>
        </w:trPr>
        <w:tc>
          <w:tcPr>
            <w:tcW w:w="5000" w:type="pct"/>
            <w:shd w:val="clear" w:color="auto" w:fill="DBE5F1"/>
            <w:vAlign w:val="center"/>
          </w:tcPr>
          <w:p w14:paraId="11B3BEEB" w14:textId="6C664EA6" w:rsidR="0029334D" w:rsidRPr="00CD425C" w:rsidRDefault="0029334D" w:rsidP="005042BC">
            <w:pPr>
              <w:spacing w:before="40" w:after="40"/>
              <w:jc w:val="center"/>
              <w:rPr>
                <w:rFonts w:ascii="Arial" w:hAnsi="Arial" w:cs="Arial"/>
                <w:b/>
                <w:sz w:val="32"/>
                <w:szCs w:val="32"/>
                <w:lang w:eastAsia="ko-KR"/>
              </w:rPr>
            </w:pPr>
            <w:r w:rsidRPr="009648A0">
              <w:rPr>
                <w:rFonts w:ascii="Arial" w:hAnsi="Arial" w:cs="Arial"/>
                <w:szCs w:val="24"/>
              </w:rPr>
              <w:lastRenderedPageBreak/>
              <w:br w:type="page"/>
            </w:r>
            <w:bookmarkStart w:id="12" w:name="executive"/>
            <w:bookmarkEnd w:id="12"/>
            <w:r w:rsidRPr="00CD425C">
              <w:rPr>
                <w:rFonts w:ascii="Arial" w:hAnsi="Arial" w:cs="Arial"/>
                <w:b/>
                <w:sz w:val="32"/>
                <w:szCs w:val="32"/>
                <w:lang w:eastAsia="ko-KR"/>
              </w:rPr>
              <w:t>Budget</w:t>
            </w:r>
            <w:r w:rsidR="0085199E" w:rsidRPr="00CD425C">
              <w:rPr>
                <w:rFonts w:ascii="Arial" w:hAnsi="Arial" w:cs="Arial"/>
                <w:b/>
                <w:sz w:val="32"/>
                <w:szCs w:val="32"/>
                <w:lang w:eastAsia="ko-KR"/>
              </w:rPr>
              <w:t xml:space="preserve"> du Secrétariat d</w:t>
            </w:r>
            <w:r w:rsidR="005042BC">
              <w:rPr>
                <w:rFonts w:ascii="Arial" w:hAnsi="Arial" w:cs="Arial"/>
                <w:b/>
                <w:sz w:val="32"/>
                <w:szCs w:val="32"/>
                <w:lang w:eastAsia="ko-KR"/>
              </w:rPr>
              <w:t>'</w:t>
            </w:r>
            <w:r w:rsidR="0085199E" w:rsidRPr="00CD425C">
              <w:rPr>
                <w:rFonts w:ascii="Arial" w:hAnsi="Arial" w:cs="Arial"/>
                <w:b/>
                <w:sz w:val="32"/>
                <w:szCs w:val="32"/>
                <w:lang w:eastAsia="ko-KR"/>
              </w:rPr>
              <w:t>ITU TELECOM</w:t>
            </w:r>
          </w:p>
          <w:p w14:paraId="37AFF2CC" w14:textId="7C3F8A22" w:rsidR="0029334D" w:rsidRPr="00CD425C" w:rsidRDefault="0085199E" w:rsidP="005042BC">
            <w:pPr>
              <w:spacing w:before="40" w:after="40"/>
              <w:jc w:val="center"/>
              <w:rPr>
                <w:rFonts w:ascii="Arial" w:hAnsi="Arial" w:cs="Arial"/>
                <w:b/>
                <w:sz w:val="32"/>
                <w:szCs w:val="32"/>
                <w:lang w:eastAsia="ko-KR"/>
              </w:rPr>
            </w:pPr>
            <w:r w:rsidRPr="00CD425C">
              <w:rPr>
                <w:rFonts w:ascii="Arial" w:hAnsi="Arial" w:cs="Arial"/>
                <w:b/>
                <w:sz w:val="32"/>
                <w:szCs w:val="32"/>
                <w:lang w:eastAsia="ko-KR"/>
              </w:rPr>
              <w:t xml:space="preserve">pour </w:t>
            </w:r>
            <w:r w:rsidR="0029334D" w:rsidRPr="00CD425C">
              <w:rPr>
                <w:rFonts w:ascii="Arial" w:hAnsi="Arial" w:cs="Arial"/>
                <w:b/>
                <w:sz w:val="32"/>
                <w:szCs w:val="32"/>
                <w:lang w:eastAsia="ko-KR"/>
              </w:rPr>
              <w:t>2022-2023</w:t>
            </w:r>
          </w:p>
        </w:tc>
      </w:tr>
    </w:tbl>
    <w:p w14:paraId="19755871" w14:textId="1375DF30" w:rsidR="0029334D" w:rsidRPr="00CD425C" w:rsidRDefault="0029334D" w:rsidP="005042BC">
      <w:pPr>
        <w:spacing w:before="600"/>
        <w:rPr>
          <w:rFonts w:eastAsia="MS Mincho"/>
          <w:szCs w:val="24"/>
          <w:lang w:eastAsia="ja-JP"/>
        </w:rPr>
      </w:pPr>
      <w:r w:rsidRPr="00CD425C">
        <w:rPr>
          <w:szCs w:val="24"/>
        </w:rPr>
        <w:t>1</w:t>
      </w:r>
      <w:r w:rsidRPr="00CD425C">
        <w:rPr>
          <w:szCs w:val="24"/>
        </w:rPr>
        <w:tab/>
      </w:r>
      <w:r w:rsidRPr="00CD425C">
        <w:rPr>
          <w:rFonts w:eastAsia="MS Mincho"/>
          <w:szCs w:val="24"/>
          <w:lang w:eastAsia="ja-JP"/>
        </w:rPr>
        <w:t>Le budget du secrétariat d</w:t>
      </w:r>
      <w:r w:rsidR="005042BC">
        <w:rPr>
          <w:rFonts w:eastAsia="MS Mincho"/>
          <w:szCs w:val="24"/>
          <w:lang w:eastAsia="ja-JP"/>
        </w:rPr>
        <w:t>'</w:t>
      </w:r>
      <w:r w:rsidRPr="00CD425C">
        <w:rPr>
          <w:rFonts w:eastAsia="MS Mincho"/>
          <w:szCs w:val="24"/>
          <w:lang w:eastAsia="ja-JP"/>
        </w:rPr>
        <w:t>ITU Telecom est établi de façon à affecter des crédits pour couvrir les charges estimées du secrétariat d</w:t>
      </w:r>
      <w:r w:rsidR="005042BC">
        <w:rPr>
          <w:rFonts w:eastAsia="MS Mincho"/>
          <w:szCs w:val="24"/>
          <w:lang w:eastAsia="ja-JP"/>
        </w:rPr>
        <w:t>'</w:t>
      </w:r>
      <w:r w:rsidRPr="00CD425C">
        <w:rPr>
          <w:rFonts w:eastAsia="MS Mincho"/>
          <w:szCs w:val="24"/>
          <w:lang w:eastAsia="ja-JP"/>
        </w:rPr>
        <w:t>ITU Telecom qui ne sont pas directement liées à une manifestation ou à un produit particulier d</w:t>
      </w:r>
      <w:r w:rsidR="005042BC">
        <w:rPr>
          <w:rFonts w:eastAsia="MS Mincho"/>
          <w:szCs w:val="24"/>
          <w:lang w:eastAsia="ja-JP"/>
        </w:rPr>
        <w:t>'</w:t>
      </w:r>
      <w:r w:rsidRPr="00CD425C">
        <w:rPr>
          <w:rFonts w:eastAsia="MS Mincho"/>
          <w:szCs w:val="24"/>
          <w:lang w:eastAsia="ja-JP"/>
        </w:rPr>
        <w:t>ITU Telecom. Il inclut les droits perçus au titre du recouvrement des coûts auprès des autres services du secrétariat général de l</w:t>
      </w:r>
      <w:r w:rsidR="005042BC">
        <w:rPr>
          <w:rFonts w:eastAsia="MS Mincho"/>
          <w:szCs w:val="24"/>
          <w:lang w:eastAsia="ja-JP"/>
        </w:rPr>
        <w:t>'</w:t>
      </w:r>
      <w:r w:rsidRPr="00CD425C">
        <w:rPr>
          <w:rFonts w:eastAsia="MS Mincho"/>
          <w:szCs w:val="24"/>
          <w:lang w:eastAsia="ja-JP"/>
        </w:rPr>
        <w:t>UIT et des Bureaux. Ce budget est essentiel pour la planification et le suivi des charges qui sont ensuite imputées aux différentes manifestations ITU Telecom pendant l</w:t>
      </w:r>
      <w:r w:rsidR="005042BC">
        <w:rPr>
          <w:rFonts w:eastAsia="MS Mincho"/>
          <w:szCs w:val="24"/>
          <w:lang w:eastAsia="ja-JP"/>
        </w:rPr>
        <w:t>'</w:t>
      </w:r>
      <w:r w:rsidRPr="00CD425C">
        <w:rPr>
          <w:rFonts w:eastAsia="MS Mincho"/>
          <w:szCs w:val="24"/>
          <w:lang w:eastAsia="ja-JP"/>
        </w:rPr>
        <w:t>exercice correspondant. Le budget du secrétariat d</w:t>
      </w:r>
      <w:r w:rsidR="005042BC">
        <w:rPr>
          <w:rFonts w:eastAsia="MS Mincho"/>
          <w:szCs w:val="24"/>
          <w:lang w:eastAsia="ja-JP"/>
        </w:rPr>
        <w:t>'</w:t>
      </w:r>
      <w:r w:rsidRPr="00CD425C">
        <w:rPr>
          <w:rFonts w:eastAsia="MS Mincho"/>
          <w:szCs w:val="24"/>
          <w:lang w:eastAsia="ja-JP"/>
        </w:rPr>
        <w:t>ITU Telecom est un budget annuel qui s</w:t>
      </w:r>
      <w:r w:rsidR="005042BC">
        <w:rPr>
          <w:rFonts w:eastAsia="MS Mincho"/>
          <w:szCs w:val="24"/>
          <w:lang w:eastAsia="ja-JP"/>
        </w:rPr>
        <w:t>'</w:t>
      </w:r>
      <w:r w:rsidRPr="00CD425C">
        <w:rPr>
          <w:rFonts w:eastAsia="MS Mincho"/>
          <w:szCs w:val="24"/>
          <w:lang w:eastAsia="ja-JP"/>
        </w:rPr>
        <w:t>inscrit dans le cycle budgétaire biennal de l</w:t>
      </w:r>
      <w:r w:rsidR="005042BC">
        <w:rPr>
          <w:rFonts w:eastAsia="MS Mincho"/>
          <w:szCs w:val="24"/>
          <w:lang w:eastAsia="ja-JP"/>
        </w:rPr>
        <w:t>'</w:t>
      </w:r>
      <w:r w:rsidRPr="00CD425C">
        <w:rPr>
          <w:rFonts w:eastAsia="MS Mincho"/>
          <w:szCs w:val="24"/>
          <w:lang w:eastAsia="ja-JP"/>
        </w:rPr>
        <w:t>UIT (202</w:t>
      </w:r>
      <w:r w:rsidR="00E3306B" w:rsidRPr="00CD425C">
        <w:rPr>
          <w:rFonts w:eastAsia="MS Mincho"/>
          <w:szCs w:val="24"/>
          <w:lang w:eastAsia="ja-JP"/>
        </w:rPr>
        <w:t>2</w:t>
      </w:r>
      <w:r w:rsidRPr="00CD425C">
        <w:rPr>
          <w:rFonts w:eastAsia="MS Mincho"/>
          <w:szCs w:val="24"/>
          <w:lang w:eastAsia="ja-JP"/>
        </w:rPr>
        <w:t>-202</w:t>
      </w:r>
      <w:r w:rsidR="00E3306B" w:rsidRPr="00CD425C">
        <w:rPr>
          <w:rFonts w:eastAsia="MS Mincho"/>
          <w:szCs w:val="24"/>
          <w:lang w:eastAsia="ja-JP"/>
        </w:rPr>
        <w:t>3</w:t>
      </w:r>
      <w:r w:rsidRPr="00CD425C">
        <w:rPr>
          <w:rFonts w:eastAsia="MS Mincho"/>
          <w:szCs w:val="24"/>
          <w:lang w:eastAsia="ja-JP"/>
        </w:rPr>
        <w:t>).</w:t>
      </w:r>
    </w:p>
    <w:p w14:paraId="4D605E77" w14:textId="1661EBCD" w:rsidR="00E3306B" w:rsidRPr="00CD425C" w:rsidRDefault="00DC513F" w:rsidP="005042BC">
      <w:pPr>
        <w:pStyle w:val="Headingb"/>
      </w:pPr>
      <w:bookmarkStart w:id="13" w:name="_Toc418778845"/>
      <w:bookmarkStart w:id="14" w:name="_Toc68080050"/>
      <w:r w:rsidRPr="00CD425C">
        <w:t>CHARGES DU</w:t>
      </w:r>
      <w:r w:rsidR="00E3306B" w:rsidRPr="00CD425C">
        <w:t xml:space="preserve"> </w:t>
      </w:r>
      <w:r w:rsidRPr="00CD425C">
        <w:t>SECRÉTARIAT D</w:t>
      </w:r>
      <w:r w:rsidR="005042BC">
        <w:t>'</w:t>
      </w:r>
      <w:r w:rsidR="00E3306B" w:rsidRPr="00CD425C">
        <w:t>ITU TELECOM</w:t>
      </w:r>
      <w:bookmarkEnd w:id="13"/>
      <w:bookmarkEnd w:id="14"/>
    </w:p>
    <w:p w14:paraId="0514DF30" w14:textId="57EED896" w:rsidR="00E3306B" w:rsidRPr="00CD425C" w:rsidRDefault="00E3306B" w:rsidP="005042BC">
      <w:pPr>
        <w:rPr>
          <w:szCs w:val="24"/>
        </w:rPr>
      </w:pPr>
      <w:r w:rsidRPr="00CD425C">
        <w:rPr>
          <w:szCs w:val="24"/>
        </w:rPr>
        <w:t>2</w:t>
      </w:r>
      <w:r w:rsidRPr="00CD425C">
        <w:rPr>
          <w:szCs w:val="24"/>
        </w:rPr>
        <w:tab/>
        <w:t>Le budget du secrétariat d</w:t>
      </w:r>
      <w:r w:rsidR="005042BC">
        <w:rPr>
          <w:szCs w:val="24"/>
        </w:rPr>
        <w:t>'</w:t>
      </w:r>
      <w:r w:rsidRPr="00CD425C">
        <w:rPr>
          <w:szCs w:val="24"/>
        </w:rPr>
        <w:t>ITU TELECOM pour 20</w:t>
      </w:r>
      <w:r w:rsidR="00DC513F" w:rsidRPr="00CD425C">
        <w:rPr>
          <w:szCs w:val="24"/>
        </w:rPr>
        <w:t>22</w:t>
      </w:r>
      <w:r w:rsidRPr="00CD425C">
        <w:rPr>
          <w:szCs w:val="24"/>
        </w:rPr>
        <w:t>-202</w:t>
      </w:r>
      <w:r w:rsidR="00DC513F" w:rsidRPr="00CD425C">
        <w:rPr>
          <w:szCs w:val="24"/>
        </w:rPr>
        <w:t>3</w:t>
      </w:r>
      <w:r w:rsidRPr="00CD425C">
        <w:rPr>
          <w:szCs w:val="24"/>
        </w:rPr>
        <w:t xml:space="preserve"> se chiffre, au total, à </w:t>
      </w:r>
      <w:r w:rsidR="00DC513F" w:rsidRPr="00CD425C">
        <w:rPr>
          <w:szCs w:val="24"/>
        </w:rPr>
        <w:t>8</w:t>
      </w:r>
      <w:r w:rsidRPr="00CD425C">
        <w:rPr>
          <w:szCs w:val="24"/>
        </w:rPr>
        <w:t>,</w:t>
      </w:r>
      <w:r w:rsidR="00DC513F" w:rsidRPr="00CD425C">
        <w:rPr>
          <w:szCs w:val="24"/>
        </w:rPr>
        <w:t>6</w:t>
      </w:r>
      <w:r w:rsidR="00856405">
        <w:rPr>
          <w:szCs w:val="24"/>
        </w:rPr>
        <w:t> millions </w:t>
      </w:r>
      <w:r w:rsidRPr="00CD425C">
        <w:rPr>
          <w:szCs w:val="24"/>
        </w:rPr>
        <w:t xml:space="preserve">CHF, soit une baisse de </w:t>
      </w:r>
      <w:r w:rsidR="00DC513F" w:rsidRPr="00CD425C">
        <w:rPr>
          <w:szCs w:val="24"/>
        </w:rPr>
        <w:t>14</w:t>
      </w:r>
      <w:r w:rsidRPr="00CD425C">
        <w:rPr>
          <w:szCs w:val="24"/>
        </w:rPr>
        <w:t>% par rapport au budget</w:t>
      </w:r>
      <w:r w:rsidR="00D1047B" w:rsidRPr="00CD425C">
        <w:rPr>
          <w:szCs w:val="24"/>
        </w:rPr>
        <w:t xml:space="preserve"> pour</w:t>
      </w:r>
      <w:r w:rsidRPr="00CD425C">
        <w:rPr>
          <w:szCs w:val="24"/>
        </w:rPr>
        <w:t xml:space="preserve"> 20</w:t>
      </w:r>
      <w:r w:rsidR="00DC513F" w:rsidRPr="00CD425C">
        <w:rPr>
          <w:szCs w:val="24"/>
        </w:rPr>
        <w:t>20</w:t>
      </w:r>
      <w:r w:rsidRPr="00CD425C">
        <w:rPr>
          <w:szCs w:val="24"/>
        </w:rPr>
        <w:t>-20</w:t>
      </w:r>
      <w:r w:rsidR="00DC513F" w:rsidRPr="00CD425C">
        <w:rPr>
          <w:szCs w:val="24"/>
        </w:rPr>
        <w:t>21</w:t>
      </w:r>
      <w:r w:rsidRPr="00CD425C">
        <w:rPr>
          <w:szCs w:val="24"/>
        </w:rPr>
        <w:t xml:space="preserve"> </w:t>
      </w:r>
      <w:r w:rsidR="001D17CC" w:rsidRPr="00CD425C">
        <w:rPr>
          <w:szCs w:val="24"/>
        </w:rPr>
        <w:t xml:space="preserve">due à la baisse du nombre de postes, </w:t>
      </w:r>
      <w:r w:rsidRPr="00CD425C">
        <w:rPr>
          <w:szCs w:val="24"/>
        </w:rPr>
        <w:t>comme indiqué dans le Tableau 1 ci-après. Les plus gros objets de charges dans le budget sont les charges de personnel et les autres charges de personnel, ainsi que le recouvrement des coûts, qui est maintenu au même niveau dans le budget (1,5 million CHF par an) depuis 2014.</w:t>
      </w:r>
    </w:p>
    <w:p w14:paraId="2E0DF93F" w14:textId="160E087E" w:rsidR="00E3306B" w:rsidRPr="00CD425C" w:rsidRDefault="00E3306B" w:rsidP="004C610F">
      <w:pPr>
        <w:rPr>
          <w:szCs w:val="24"/>
        </w:rPr>
      </w:pPr>
      <w:r w:rsidRPr="00CD425C">
        <w:rPr>
          <w:szCs w:val="24"/>
        </w:rPr>
        <w:t>3</w:t>
      </w:r>
      <w:r w:rsidRPr="00CD425C">
        <w:rPr>
          <w:szCs w:val="24"/>
        </w:rPr>
        <w:tab/>
      </w:r>
      <w:r w:rsidRPr="00CD425C">
        <w:rPr>
          <w:spacing w:val="-2"/>
          <w:szCs w:val="24"/>
        </w:rPr>
        <w:t>Le budget est présenté par catégorie de charges conformément à la Règle 6.1 de l</w:t>
      </w:r>
      <w:r w:rsidR="005042BC">
        <w:rPr>
          <w:spacing w:val="-2"/>
          <w:szCs w:val="24"/>
        </w:rPr>
        <w:t>'</w:t>
      </w:r>
      <w:r w:rsidRPr="00CD425C">
        <w:rPr>
          <w:spacing w:val="-2"/>
          <w:szCs w:val="24"/>
        </w:rPr>
        <w:t>Article 6 du Règlement financier et des Règles financières de l</w:t>
      </w:r>
      <w:r w:rsidR="005042BC">
        <w:rPr>
          <w:spacing w:val="-2"/>
          <w:szCs w:val="24"/>
        </w:rPr>
        <w:t>'</w:t>
      </w:r>
      <w:r w:rsidRPr="00CD425C">
        <w:rPr>
          <w:spacing w:val="-2"/>
          <w:szCs w:val="24"/>
        </w:rPr>
        <w:t>UIT. Le Tableau 1 ci-après donne les estimations relatives aux charges, par catégorie. Les catégories "C</w:t>
      </w:r>
      <w:r w:rsidR="00856405">
        <w:rPr>
          <w:spacing w:val="-2"/>
          <w:szCs w:val="24"/>
        </w:rPr>
        <w:t>harges de personnel" et "Autres </w:t>
      </w:r>
      <w:r w:rsidRPr="00CD425C">
        <w:rPr>
          <w:spacing w:val="-2"/>
          <w:szCs w:val="24"/>
        </w:rPr>
        <w:t>charges de personnel" représentent à elles deux 6</w:t>
      </w:r>
      <w:r w:rsidR="00DC513F" w:rsidRPr="00CD425C">
        <w:rPr>
          <w:spacing w:val="-2"/>
          <w:szCs w:val="24"/>
        </w:rPr>
        <w:t>2</w:t>
      </w:r>
      <w:r w:rsidRPr="00CD425C">
        <w:rPr>
          <w:spacing w:val="-2"/>
          <w:szCs w:val="24"/>
        </w:rPr>
        <w:t>% du budget biennal total. Le recouvrement des coûts, d</w:t>
      </w:r>
      <w:r w:rsidR="005042BC">
        <w:rPr>
          <w:spacing w:val="-2"/>
          <w:szCs w:val="24"/>
        </w:rPr>
        <w:t>'</w:t>
      </w:r>
      <w:r w:rsidRPr="00CD425C">
        <w:rPr>
          <w:spacing w:val="-2"/>
          <w:szCs w:val="24"/>
        </w:rPr>
        <w:t xml:space="preserve">un montant de 3 millions CHF, équivaut à </w:t>
      </w:r>
      <w:r w:rsidR="00DC513F" w:rsidRPr="00CD425C">
        <w:rPr>
          <w:spacing w:val="-2"/>
          <w:szCs w:val="24"/>
        </w:rPr>
        <w:t>35</w:t>
      </w:r>
      <w:r w:rsidRPr="00CD425C">
        <w:rPr>
          <w:spacing w:val="-2"/>
          <w:szCs w:val="24"/>
        </w:rPr>
        <w:t>% du budget total pour l</w:t>
      </w:r>
      <w:r w:rsidR="005042BC">
        <w:rPr>
          <w:spacing w:val="-2"/>
          <w:szCs w:val="24"/>
        </w:rPr>
        <w:t>'</w:t>
      </w:r>
      <w:r w:rsidRPr="00CD425C">
        <w:rPr>
          <w:spacing w:val="-2"/>
          <w:szCs w:val="24"/>
        </w:rPr>
        <w:t>exercice biennal 202</w:t>
      </w:r>
      <w:r w:rsidR="00DC513F" w:rsidRPr="00CD425C">
        <w:rPr>
          <w:spacing w:val="-2"/>
          <w:szCs w:val="24"/>
        </w:rPr>
        <w:t>2</w:t>
      </w:r>
      <w:r w:rsidR="005042BC">
        <w:rPr>
          <w:spacing w:val="-2"/>
          <w:szCs w:val="24"/>
        </w:rPr>
        <w:noBreakHyphen/>
      </w:r>
      <w:r w:rsidRPr="00CD425C">
        <w:rPr>
          <w:spacing w:val="-2"/>
          <w:szCs w:val="24"/>
        </w:rPr>
        <w:t>202</w:t>
      </w:r>
      <w:r w:rsidR="00DC513F" w:rsidRPr="00CD425C">
        <w:rPr>
          <w:spacing w:val="-2"/>
          <w:szCs w:val="24"/>
        </w:rPr>
        <w:t>3</w:t>
      </w:r>
      <w:r w:rsidRPr="00CD425C">
        <w:rPr>
          <w:spacing w:val="-2"/>
          <w:szCs w:val="24"/>
        </w:rPr>
        <w:t>.</w:t>
      </w:r>
      <w:r w:rsidRPr="00CD425C">
        <w:rPr>
          <w:szCs w:val="24"/>
        </w:rPr>
        <w:t xml:space="preserve"> </w:t>
      </w:r>
    </w:p>
    <w:p w14:paraId="691FC053" w14:textId="77777777" w:rsidR="00E3306B" w:rsidRPr="00CD425C" w:rsidRDefault="00E3306B" w:rsidP="005042BC">
      <w:pPr>
        <w:pStyle w:val="TableNo"/>
      </w:pPr>
      <w:r w:rsidRPr="00CD425C">
        <w:t>Tableau 1</w:t>
      </w:r>
    </w:p>
    <w:p w14:paraId="02221336" w14:textId="300B3F74" w:rsidR="00E3306B" w:rsidRDefault="00E3306B" w:rsidP="005042BC">
      <w:pPr>
        <w:pStyle w:val="TableTitle0"/>
        <w:rPr>
          <w:rFonts w:asciiTheme="minorHAnsi" w:hAnsiTheme="minorHAnsi" w:cstheme="minorHAnsi"/>
          <w:lang w:val="fr-FR"/>
        </w:rPr>
      </w:pPr>
      <w:r w:rsidRPr="00CD425C">
        <w:rPr>
          <w:rFonts w:asciiTheme="minorHAnsi" w:hAnsiTheme="minorHAnsi" w:cstheme="minorHAnsi"/>
          <w:lang w:val="fr-FR"/>
        </w:rPr>
        <w:t>Budget par catégorie de charges</w:t>
      </w:r>
    </w:p>
    <w:p w14:paraId="3A8E1ED5" w14:textId="44922AA0" w:rsidR="00856405" w:rsidRDefault="00173F01" w:rsidP="00856405">
      <w:pPr>
        <w:pStyle w:val="Tabletext"/>
        <w:jc w:val="center"/>
      </w:pPr>
      <w:r w:rsidRPr="00173F01">
        <w:drawing>
          <wp:inline distT="0" distB="0" distL="0" distR="0" wp14:anchorId="2773AE91" wp14:editId="60133834">
            <wp:extent cx="6120765" cy="20923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2092325"/>
                    </a:xfrm>
                    <a:prstGeom prst="rect">
                      <a:avLst/>
                    </a:prstGeom>
                    <a:noFill/>
                    <a:ln>
                      <a:noFill/>
                    </a:ln>
                  </pic:spPr>
                </pic:pic>
              </a:graphicData>
            </a:graphic>
          </wp:inline>
        </w:drawing>
      </w:r>
    </w:p>
    <w:p w14:paraId="7047B709" w14:textId="3663A54B" w:rsidR="00E3306B" w:rsidRPr="00CD425C" w:rsidRDefault="00E3306B" w:rsidP="005042BC">
      <w:pPr>
        <w:pStyle w:val="Tabletext"/>
        <w:jc w:val="center"/>
        <w:rPr>
          <w:b/>
          <w:bCs/>
          <w:sz w:val="2"/>
          <w:szCs w:val="2"/>
        </w:rPr>
      </w:pPr>
    </w:p>
    <w:p w14:paraId="6D0C9AF0" w14:textId="77777777" w:rsidR="00856405" w:rsidRDefault="00856405" w:rsidP="002F07E2">
      <w:pPr>
        <w:pStyle w:val="Headingb"/>
      </w:pPr>
      <w:bookmarkStart w:id="15" w:name="_Toc68080051"/>
      <w:r>
        <w:br w:type="page"/>
      </w:r>
    </w:p>
    <w:p w14:paraId="0A45CBDC" w14:textId="702F98FA" w:rsidR="00E3306B" w:rsidRPr="002F07E2" w:rsidRDefault="002F07E2" w:rsidP="002F07E2">
      <w:pPr>
        <w:pStyle w:val="Headingb"/>
      </w:pPr>
      <w:r>
        <w:lastRenderedPageBreak/>
        <w:t>RESSOURCES DU SECRÉTARIAT</w:t>
      </w:r>
      <w:r w:rsidR="00E3306B" w:rsidRPr="002F07E2">
        <w:t xml:space="preserve"> </w:t>
      </w:r>
      <w:r w:rsidR="00981EEA" w:rsidRPr="002F07E2">
        <w:t>D</w:t>
      </w:r>
      <w:r w:rsidR="005042BC" w:rsidRPr="002F07E2">
        <w:t>'</w:t>
      </w:r>
      <w:r w:rsidR="00E3306B" w:rsidRPr="002F07E2">
        <w:t>ITU TELECOM</w:t>
      </w:r>
      <w:bookmarkEnd w:id="15"/>
    </w:p>
    <w:p w14:paraId="32AA7D95" w14:textId="4DD145F0" w:rsidR="00E3306B" w:rsidRPr="00CD425C" w:rsidRDefault="00E3306B" w:rsidP="005042BC">
      <w:pPr>
        <w:rPr>
          <w:rFonts w:eastAsia="MS Mincho"/>
          <w:szCs w:val="24"/>
          <w:lang w:eastAsia="ja-JP"/>
        </w:rPr>
      </w:pPr>
      <w:r w:rsidRPr="00CD425C">
        <w:rPr>
          <w:szCs w:val="24"/>
        </w:rPr>
        <w:t>4</w:t>
      </w:r>
      <w:r w:rsidRPr="00CD425C">
        <w:rPr>
          <w:szCs w:val="24"/>
        </w:rPr>
        <w:tab/>
      </w:r>
      <w:r w:rsidRPr="00CD425C">
        <w:rPr>
          <w:rFonts w:eastAsia="MS Mincho"/>
          <w:szCs w:val="24"/>
          <w:lang w:eastAsia="ja-JP"/>
        </w:rPr>
        <w:t>La catégorie "charges de personnel" englobe les traitements de base et d</w:t>
      </w:r>
      <w:r w:rsidR="005042BC">
        <w:rPr>
          <w:rFonts w:eastAsia="MS Mincho"/>
          <w:szCs w:val="24"/>
          <w:lang w:eastAsia="ja-JP"/>
        </w:rPr>
        <w:t>'</w:t>
      </w:r>
      <w:r w:rsidRPr="00CD425C">
        <w:rPr>
          <w:rFonts w:eastAsia="MS Mincho"/>
          <w:szCs w:val="24"/>
          <w:lang w:eastAsia="ja-JP"/>
        </w:rPr>
        <w:t>autres rémunérations, comme les indemnités de poste, les allocations pour charges de famille et les allocations-logement (réservées aux catégories professionnelle et supérieure). La catégorie "Autres charges de personnel" comprend les contributions de l</w:t>
      </w:r>
      <w:r w:rsidR="005042BC">
        <w:rPr>
          <w:rFonts w:eastAsia="MS Mincho"/>
          <w:szCs w:val="24"/>
          <w:lang w:eastAsia="ja-JP"/>
        </w:rPr>
        <w:t>'</w:t>
      </w:r>
      <w:r w:rsidRPr="00CD425C">
        <w:rPr>
          <w:rFonts w:eastAsia="MS Mincho"/>
          <w:szCs w:val="24"/>
          <w:lang w:eastAsia="ja-JP"/>
        </w:rPr>
        <w:t>Union à la Caisse des pensions et à la Caisse d</w:t>
      </w:r>
      <w:r w:rsidR="005042BC">
        <w:rPr>
          <w:rFonts w:eastAsia="MS Mincho"/>
          <w:szCs w:val="24"/>
          <w:lang w:eastAsia="ja-JP"/>
        </w:rPr>
        <w:t>'</w:t>
      </w:r>
      <w:r w:rsidRPr="00CD425C">
        <w:rPr>
          <w:rFonts w:eastAsia="MS Mincho"/>
          <w:szCs w:val="24"/>
          <w:lang w:eastAsia="ja-JP"/>
        </w:rPr>
        <w:t>assurance maladie et accident, les indemnités pour frais d</w:t>
      </w:r>
      <w:r w:rsidR="005042BC">
        <w:rPr>
          <w:rFonts w:eastAsia="MS Mincho"/>
          <w:szCs w:val="24"/>
          <w:lang w:eastAsia="ja-JP"/>
        </w:rPr>
        <w:t>'</w:t>
      </w:r>
      <w:r w:rsidRPr="00CD425C">
        <w:rPr>
          <w:rFonts w:eastAsia="MS Mincho"/>
          <w:szCs w:val="24"/>
          <w:lang w:eastAsia="ja-JP"/>
        </w:rPr>
        <w:t>études et les frais de voyage au titre des études, les frais de voyage à l</w:t>
      </w:r>
      <w:r w:rsidR="005042BC">
        <w:rPr>
          <w:rFonts w:eastAsia="MS Mincho"/>
          <w:szCs w:val="24"/>
          <w:lang w:eastAsia="ja-JP"/>
        </w:rPr>
        <w:t>'</w:t>
      </w:r>
      <w:r w:rsidRPr="00CD425C">
        <w:rPr>
          <w:rFonts w:eastAsia="MS Mincho"/>
          <w:szCs w:val="24"/>
          <w:lang w:eastAsia="ja-JP"/>
        </w:rPr>
        <w:t>entrée en fonction et lors de la cessation de service, les frais d</w:t>
      </w:r>
      <w:r w:rsidR="005042BC">
        <w:rPr>
          <w:rFonts w:eastAsia="MS Mincho"/>
          <w:szCs w:val="24"/>
          <w:lang w:eastAsia="ja-JP"/>
        </w:rPr>
        <w:t>'</w:t>
      </w:r>
      <w:r w:rsidRPr="00CD425C">
        <w:rPr>
          <w:rFonts w:eastAsia="MS Mincho"/>
          <w:szCs w:val="24"/>
          <w:lang w:eastAsia="ja-JP"/>
        </w:rPr>
        <w:t xml:space="preserve">installation et de rapatriement, les déplacements lors des congés dans les foyers, les jours de congé accumulés, les primes de rapatriement et les frais de déménagement. </w:t>
      </w:r>
      <w:r w:rsidR="00485DA5" w:rsidRPr="00CD425C">
        <w:rPr>
          <w:rFonts w:eastAsia="MS Mincho"/>
          <w:szCs w:val="24"/>
          <w:lang w:eastAsia="ja-JP"/>
        </w:rPr>
        <w:t xml:space="preserve">Le </w:t>
      </w:r>
      <w:r w:rsidR="00420D52">
        <w:rPr>
          <w:rFonts w:eastAsia="MS Mincho"/>
          <w:szCs w:val="24"/>
          <w:lang w:eastAsia="ja-JP"/>
        </w:rPr>
        <w:t xml:space="preserve">nombre de postes inscrits au </w:t>
      </w:r>
      <w:r w:rsidR="00485DA5" w:rsidRPr="00CD425C">
        <w:rPr>
          <w:rFonts w:eastAsia="MS Mincho"/>
          <w:szCs w:val="24"/>
          <w:lang w:eastAsia="ja-JP"/>
        </w:rPr>
        <w:t>budget du Secrétariat d</w:t>
      </w:r>
      <w:r w:rsidR="005042BC">
        <w:rPr>
          <w:rFonts w:eastAsia="MS Mincho"/>
          <w:szCs w:val="24"/>
          <w:lang w:eastAsia="ja-JP"/>
        </w:rPr>
        <w:t>'</w:t>
      </w:r>
      <w:r w:rsidR="00981EEA" w:rsidRPr="00CD425C">
        <w:rPr>
          <w:rFonts w:eastAsia="MS Mincho"/>
          <w:szCs w:val="24"/>
          <w:lang w:eastAsia="ja-JP"/>
        </w:rPr>
        <w:t xml:space="preserve">ITU Telecom </w:t>
      </w:r>
      <w:r w:rsidR="00420D52">
        <w:rPr>
          <w:rFonts w:eastAsia="MS Mincho"/>
          <w:szCs w:val="24"/>
          <w:lang w:eastAsia="ja-JP"/>
        </w:rPr>
        <w:t xml:space="preserve">est de 18 </w:t>
      </w:r>
      <w:r w:rsidR="00C7715C" w:rsidRPr="00CD425C">
        <w:rPr>
          <w:rFonts w:eastAsia="MS Mincho"/>
          <w:szCs w:val="24"/>
          <w:lang w:eastAsia="ja-JP"/>
        </w:rPr>
        <w:t xml:space="preserve">pour </w:t>
      </w:r>
      <w:r w:rsidR="00981EEA" w:rsidRPr="00CD425C">
        <w:rPr>
          <w:rFonts w:eastAsia="MS Mincho"/>
          <w:szCs w:val="24"/>
          <w:lang w:eastAsia="ja-JP"/>
        </w:rPr>
        <w:t>2022-2023</w:t>
      </w:r>
      <w:r w:rsidR="00485DA5" w:rsidRPr="00CD425C">
        <w:rPr>
          <w:rFonts w:eastAsia="MS Mincho"/>
          <w:szCs w:val="24"/>
          <w:lang w:eastAsia="ja-JP"/>
        </w:rPr>
        <w:t>, contre</w:t>
      </w:r>
      <w:r w:rsidR="00981EEA" w:rsidRPr="00CD425C">
        <w:rPr>
          <w:rFonts w:eastAsia="MS Mincho"/>
          <w:szCs w:val="24"/>
          <w:lang w:eastAsia="ja-JP"/>
        </w:rPr>
        <w:t xml:space="preserve"> 23 </w:t>
      </w:r>
      <w:r w:rsidR="00190231">
        <w:rPr>
          <w:rFonts w:eastAsia="MS Mincho"/>
          <w:szCs w:val="24"/>
          <w:lang w:eastAsia="ja-JP"/>
        </w:rPr>
        <w:t>pour </w:t>
      </w:r>
      <w:r w:rsidR="00981EEA" w:rsidRPr="00CD425C">
        <w:rPr>
          <w:rFonts w:eastAsia="MS Mincho"/>
          <w:szCs w:val="24"/>
          <w:lang w:eastAsia="ja-JP"/>
        </w:rPr>
        <w:t xml:space="preserve">2020-2021. </w:t>
      </w:r>
      <w:r w:rsidR="00C7715C" w:rsidRPr="00CD425C">
        <w:rPr>
          <w:rFonts w:eastAsia="MS Mincho"/>
          <w:szCs w:val="24"/>
          <w:lang w:eastAsia="ja-JP"/>
        </w:rPr>
        <w:t>Des</w:t>
      </w:r>
      <w:r w:rsidR="00485DA5" w:rsidRPr="00CD425C">
        <w:rPr>
          <w:rFonts w:eastAsia="MS Mincho"/>
          <w:szCs w:val="24"/>
          <w:lang w:eastAsia="ja-JP"/>
        </w:rPr>
        <w:t xml:space="preserve"> fonctionnaires </w:t>
      </w:r>
      <w:r w:rsidR="00C7715C" w:rsidRPr="00CD425C">
        <w:rPr>
          <w:rFonts w:eastAsia="MS Mincho"/>
          <w:szCs w:val="24"/>
          <w:lang w:eastAsia="ja-JP"/>
        </w:rPr>
        <w:t xml:space="preserve">ayant été transférés </w:t>
      </w:r>
      <w:r w:rsidR="00485DA5" w:rsidRPr="00CD425C">
        <w:rPr>
          <w:rFonts w:eastAsia="MS Mincho"/>
          <w:szCs w:val="24"/>
          <w:lang w:eastAsia="ja-JP"/>
        </w:rPr>
        <w:t>dans d</w:t>
      </w:r>
      <w:r w:rsidR="005042BC">
        <w:rPr>
          <w:rFonts w:eastAsia="MS Mincho"/>
          <w:szCs w:val="24"/>
          <w:lang w:eastAsia="ja-JP"/>
        </w:rPr>
        <w:t>'</w:t>
      </w:r>
      <w:r w:rsidR="00485DA5" w:rsidRPr="00CD425C">
        <w:rPr>
          <w:rFonts w:eastAsia="MS Mincho"/>
          <w:szCs w:val="24"/>
          <w:lang w:eastAsia="ja-JP"/>
        </w:rPr>
        <w:t>autres départements</w:t>
      </w:r>
      <w:r w:rsidR="009F04EA" w:rsidRPr="00CD425C">
        <w:rPr>
          <w:rFonts w:eastAsia="MS Mincho"/>
          <w:szCs w:val="24"/>
          <w:lang w:eastAsia="ja-JP"/>
        </w:rPr>
        <w:t>,</w:t>
      </w:r>
      <w:r w:rsidR="00981EEA" w:rsidRPr="00CD425C">
        <w:rPr>
          <w:rFonts w:eastAsia="MS Mincho"/>
          <w:szCs w:val="24"/>
          <w:lang w:eastAsia="ja-JP"/>
        </w:rPr>
        <w:t xml:space="preserve"> </w:t>
      </w:r>
      <w:r w:rsidR="009F04EA" w:rsidRPr="00CD425C">
        <w:rPr>
          <w:rFonts w:eastAsia="MS Mincho"/>
          <w:szCs w:val="24"/>
          <w:lang w:eastAsia="ja-JP"/>
        </w:rPr>
        <w:t>5 postes de moins sont inscrits au budget, comme indiqué ci-dessous</w:t>
      </w:r>
      <w:r w:rsidR="00981EEA" w:rsidRPr="00CD425C">
        <w:rPr>
          <w:rFonts w:eastAsia="MS Mincho"/>
          <w:szCs w:val="24"/>
          <w:lang w:eastAsia="ja-JP"/>
        </w:rPr>
        <w:t>.</w:t>
      </w:r>
    </w:p>
    <w:p w14:paraId="51A07B9E" w14:textId="77777777" w:rsidR="00E3306B" w:rsidRPr="00CD425C" w:rsidRDefault="00E3306B" w:rsidP="005042BC">
      <w:pPr>
        <w:pStyle w:val="TableNo"/>
        <w:keepLines/>
        <w:rPr>
          <w:rFonts w:asciiTheme="minorHAnsi" w:hAnsiTheme="minorHAnsi" w:cstheme="minorHAnsi"/>
        </w:rPr>
      </w:pPr>
      <w:bookmarkStart w:id="16" w:name="_Hlk132960343"/>
      <w:r w:rsidRPr="00CD425C">
        <w:rPr>
          <w:rFonts w:asciiTheme="minorHAnsi" w:hAnsiTheme="minorHAnsi" w:cstheme="minorHAnsi"/>
        </w:rPr>
        <w:t>Tableau 2</w:t>
      </w:r>
    </w:p>
    <w:p w14:paraId="14B348F9" w14:textId="77777777" w:rsidR="00E3306B" w:rsidRPr="00CD425C" w:rsidRDefault="00E3306B" w:rsidP="005042BC">
      <w:pPr>
        <w:pStyle w:val="TableTitle0"/>
        <w:spacing w:after="240"/>
        <w:rPr>
          <w:rFonts w:asciiTheme="minorHAnsi" w:hAnsiTheme="minorHAnsi" w:cstheme="minorHAnsi"/>
          <w:lang w:val="fr-FR"/>
        </w:rPr>
      </w:pPr>
      <w:r w:rsidRPr="00CD425C">
        <w:rPr>
          <w:rFonts w:asciiTheme="minorHAnsi" w:hAnsiTheme="minorHAnsi" w:cstheme="minorHAnsi"/>
          <w:lang w:val="fr-FR"/>
        </w:rPr>
        <w:t>Postes inscrits au budget</w:t>
      </w:r>
    </w:p>
    <w:bookmarkEnd w:id="16"/>
    <w:p w14:paraId="3D033380" w14:textId="7B56A860" w:rsidR="00E3306B" w:rsidRPr="00CD425C" w:rsidRDefault="00173F01" w:rsidP="005042BC">
      <w:pPr>
        <w:pStyle w:val="Tabletext"/>
        <w:jc w:val="center"/>
        <w:rPr>
          <w:sz w:val="2"/>
          <w:szCs w:val="2"/>
        </w:rPr>
      </w:pPr>
      <w:r w:rsidRPr="00173F01">
        <w:drawing>
          <wp:inline distT="0" distB="0" distL="0" distR="0" wp14:anchorId="73FC9BB3" wp14:editId="28C0CA72">
            <wp:extent cx="6120765" cy="893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893445"/>
                    </a:xfrm>
                    <a:prstGeom prst="rect">
                      <a:avLst/>
                    </a:prstGeom>
                    <a:noFill/>
                    <a:ln>
                      <a:noFill/>
                    </a:ln>
                  </pic:spPr>
                </pic:pic>
              </a:graphicData>
            </a:graphic>
          </wp:inline>
        </w:drawing>
      </w:r>
    </w:p>
    <w:p w14:paraId="3EDB946F" w14:textId="77777777" w:rsidR="00E3306B" w:rsidRPr="00CD425C" w:rsidRDefault="00E3306B" w:rsidP="004C610F">
      <w:pPr>
        <w:spacing w:before="240"/>
        <w:rPr>
          <w:rFonts w:eastAsia="MS Mincho"/>
          <w:szCs w:val="24"/>
          <w:lang w:eastAsia="ja-JP"/>
        </w:rPr>
      </w:pPr>
      <w:r w:rsidRPr="00CD425C">
        <w:rPr>
          <w:rFonts w:eastAsia="MS Mincho"/>
          <w:szCs w:val="24"/>
          <w:lang w:eastAsia="ja-JP"/>
        </w:rPr>
        <w:t>5</w:t>
      </w:r>
      <w:r w:rsidRPr="00CD425C">
        <w:rPr>
          <w:rFonts w:eastAsia="MS Mincho"/>
          <w:szCs w:val="24"/>
          <w:lang w:eastAsia="ja-JP"/>
        </w:rPr>
        <w:tab/>
        <w:t>Les catégories 3 à 9 du budget sont les suivantes: frais de mission, services contractuels, location et entretien, matériels et fournitures, acquisition, services publics et services intérieurs, divers.</w:t>
      </w:r>
    </w:p>
    <w:p w14:paraId="08DA457D" w14:textId="639C5A07" w:rsidR="00E3306B" w:rsidRPr="00CD425C" w:rsidRDefault="00E3306B" w:rsidP="005042BC">
      <w:pPr>
        <w:pStyle w:val="enumlev1"/>
        <w:rPr>
          <w:rFonts w:eastAsia="MS Mincho"/>
          <w:lang w:eastAsia="ja-JP"/>
        </w:rPr>
      </w:pPr>
      <w:r w:rsidRPr="00CD425C">
        <w:rPr>
          <w:rFonts w:eastAsia="MS Mincho"/>
          <w:lang w:eastAsia="ja-JP"/>
        </w:rPr>
        <w:t>a)</w:t>
      </w:r>
      <w:r w:rsidRPr="00CD425C">
        <w:rPr>
          <w:rFonts w:eastAsia="MS Mincho"/>
          <w:lang w:eastAsia="ja-JP"/>
        </w:rPr>
        <w:tab/>
        <w:t>La catégorie 3 (frais de mission) comprend des frais tels que le per diem (indemnité journalière de subsistance de l</w:t>
      </w:r>
      <w:r w:rsidR="005042BC">
        <w:rPr>
          <w:rFonts w:eastAsia="MS Mincho"/>
          <w:lang w:eastAsia="ja-JP"/>
        </w:rPr>
        <w:t>'</w:t>
      </w:r>
      <w:r w:rsidRPr="00CD425C">
        <w:rPr>
          <w:rFonts w:eastAsia="MS Mincho"/>
          <w:lang w:eastAsia="ja-JP"/>
        </w:rPr>
        <w:t>Organisation des Nations Unies), les faux frais au départ et à l</w:t>
      </w:r>
      <w:r w:rsidR="005042BC">
        <w:rPr>
          <w:rFonts w:eastAsia="MS Mincho"/>
          <w:lang w:eastAsia="ja-JP"/>
        </w:rPr>
        <w:t>'</w:t>
      </w:r>
      <w:r w:rsidRPr="00CD425C">
        <w:rPr>
          <w:rFonts w:eastAsia="MS Mincho"/>
          <w:lang w:eastAsia="ja-JP"/>
        </w:rPr>
        <w:t xml:space="preserve">arrivée et les assurances. Tout est mis en </w:t>
      </w:r>
      <w:proofErr w:type="spellStart"/>
      <w:r w:rsidRPr="00CD425C">
        <w:rPr>
          <w:rFonts w:eastAsia="MS Mincho"/>
          <w:lang w:eastAsia="ja-JP"/>
        </w:rPr>
        <w:t>oeuvre</w:t>
      </w:r>
      <w:proofErr w:type="spellEnd"/>
      <w:r w:rsidRPr="00CD425C">
        <w:rPr>
          <w:rFonts w:eastAsia="MS Mincho"/>
          <w:lang w:eastAsia="ja-JP"/>
        </w:rPr>
        <w:t xml:space="preserve"> pour que les missions pour ITU Telecom soient menées de façon efficace et économique. On a recours autant que faire se peut à la correspondance électronique et aux téléconférences pour éviter des frais de mission inutiles. Certains fonctionnaires partent en mission avec des mandats multiples et la durée des missions est limitée au minimum nécessaire. </w:t>
      </w:r>
      <w:r w:rsidR="009F04EA" w:rsidRPr="00CD425C">
        <w:rPr>
          <w:rFonts w:eastAsia="MS Mincho"/>
          <w:lang w:eastAsia="ja-JP"/>
        </w:rPr>
        <w:t>L</w:t>
      </w:r>
      <w:r w:rsidRPr="00CD425C">
        <w:rPr>
          <w:rFonts w:eastAsia="MS Mincho"/>
          <w:lang w:eastAsia="ja-JP"/>
        </w:rPr>
        <w:t>e</w:t>
      </w:r>
      <w:r w:rsidR="009F04EA" w:rsidRPr="00CD425C">
        <w:rPr>
          <w:rFonts w:eastAsia="MS Mincho"/>
          <w:lang w:eastAsia="ja-JP"/>
        </w:rPr>
        <w:t xml:space="preserve"> montant des</w:t>
      </w:r>
      <w:r w:rsidRPr="00CD425C">
        <w:rPr>
          <w:rFonts w:eastAsia="MS Mincho"/>
          <w:lang w:eastAsia="ja-JP"/>
        </w:rPr>
        <w:t xml:space="preserve"> frais de mission estimés pour 202</w:t>
      </w:r>
      <w:r w:rsidR="009F04EA" w:rsidRPr="00CD425C">
        <w:rPr>
          <w:rFonts w:eastAsia="MS Mincho"/>
          <w:lang w:eastAsia="ja-JP"/>
        </w:rPr>
        <w:t>2</w:t>
      </w:r>
      <w:r w:rsidRPr="00CD425C">
        <w:rPr>
          <w:rFonts w:eastAsia="MS Mincho"/>
          <w:lang w:eastAsia="ja-JP"/>
        </w:rPr>
        <w:t>-202</w:t>
      </w:r>
      <w:r w:rsidR="009F04EA" w:rsidRPr="00CD425C">
        <w:rPr>
          <w:rFonts w:eastAsia="MS Mincho"/>
          <w:lang w:eastAsia="ja-JP"/>
        </w:rPr>
        <w:t>3</w:t>
      </w:r>
      <w:r w:rsidRPr="00CD425C">
        <w:rPr>
          <w:rFonts w:eastAsia="MS Mincho"/>
          <w:lang w:eastAsia="ja-JP"/>
        </w:rPr>
        <w:t xml:space="preserve"> </w:t>
      </w:r>
      <w:r w:rsidR="009F04EA" w:rsidRPr="00CD425C">
        <w:rPr>
          <w:rFonts w:eastAsia="MS Mincho"/>
          <w:lang w:eastAsia="ja-JP"/>
        </w:rPr>
        <w:t xml:space="preserve">est le même que pour </w:t>
      </w:r>
      <w:r w:rsidRPr="00CD425C">
        <w:rPr>
          <w:rFonts w:eastAsia="MS Mincho"/>
          <w:lang w:eastAsia="ja-JP"/>
        </w:rPr>
        <w:t>20</w:t>
      </w:r>
      <w:r w:rsidR="009F04EA" w:rsidRPr="00CD425C">
        <w:rPr>
          <w:rFonts w:eastAsia="MS Mincho"/>
          <w:lang w:eastAsia="ja-JP"/>
        </w:rPr>
        <w:t>20</w:t>
      </w:r>
      <w:r w:rsidRPr="00CD425C">
        <w:rPr>
          <w:rFonts w:eastAsia="MS Mincho"/>
          <w:lang w:eastAsia="ja-JP"/>
        </w:rPr>
        <w:t>-20</w:t>
      </w:r>
      <w:r w:rsidR="009F04EA" w:rsidRPr="00CD425C">
        <w:rPr>
          <w:rFonts w:eastAsia="MS Mincho"/>
          <w:lang w:eastAsia="ja-JP"/>
        </w:rPr>
        <w:t>21</w:t>
      </w:r>
      <w:r w:rsidRPr="00CD425C">
        <w:rPr>
          <w:rFonts w:eastAsia="MS Mincho"/>
          <w:lang w:eastAsia="ja-JP"/>
        </w:rPr>
        <w:t>. Les frais des missions pour des manifestations particulières sont imputés sur le budget de la manifestation correspondante.</w:t>
      </w:r>
    </w:p>
    <w:p w14:paraId="38A873C0" w14:textId="4BA28067" w:rsidR="00E3306B" w:rsidRPr="00CD425C" w:rsidRDefault="00E3306B" w:rsidP="005042BC">
      <w:pPr>
        <w:pStyle w:val="enumlev1"/>
        <w:rPr>
          <w:rFonts w:eastAsia="MS Mincho"/>
        </w:rPr>
      </w:pPr>
      <w:r w:rsidRPr="00CD425C">
        <w:rPr>
          <w:rFonts w:eastAsia="MS Mincho"/>
        </w:rPr>
        <w:t>b)</w:t>
      </w:r>
      <w:r w:rsidRPr="00CD425C">
        <w:rPr>
          <w:rFonts w:eastAsia="MS Mincho"/>
        </w:rPr>
        <w:tab/>
        <w:t>La catégorie 4 couvre les services contractuels.</w:t>
      </w:r>
      <w:r w:rsidRPr="00CD425C">
        <w:t xml:space="preserve"> Les activités et campagnes de marketing, qui comprennent la promotion des manifestations, sont imputées aux budgets des manifestations correspondantes.</w:t>
      </w:r>
      <w:r w:rsidR="00EC0353" w:rsidRPr="00CD425C">
        <w:t xml:space="preserve"> </w:t>
      </w:r>
      <w:r w:rsidR="00EC0353" w:rsidRPr="00CD425C">
        <w:rPr>
          <w:rFonts w:eastAsia="MS Mincho"/>
        </w:rPr>
        <w:t>Le montant du budget global des services contractuels pour</w:t>
      </w:r>
      <w:r w:rsidR="00C7715C" w:rsidRPr="00CD425C">
        <w:rPr>
          <w:rFonts w:eastAsia="MS Mincho"/>
        </w:rPr>
        <w:t xml:space="preserve"> 2022-2023 est </w:t>
      </w:r>
      <w:r w:rsidR="00EC0353" w:rsidRPr="00CD425C">
        <w:rPr>
          <w:rFonts w:eastAsia="MS Mincho"/>
        </w:rPr>
        <w:t xml:space="preserve">le même </w:t>
      </w:r>
      <w:r w:rsidR="00403493">
        <w:rPr>
          <w:rFonts w:eastAsia="MS Mincho"/>
        </w:rPr>
        <w:t xml:space="preserve">que </w:t>
      </w:r>
      <w:r w:rsidR="00EC0353" w:rsidRPr="00CD425C">
        <w:rPr>
          <w:rFonts w:eastAsia="MS Mincho"/>
        </w:rPr>
        <w:t>pour</w:t>
      </w:r>
      <w:r w:rsidR="00C7715C" w:rsidRPr="00CD425C">
        <w:rPr>
          <w:rFonts w:eastAsia="MS Mincho"/>
        </w:rPr>
        <w:t xml:space="preserve"> 2020-2021</w:t>
      </w:r>
      <w:r w:rsidR="00EC0353" w:rsidRPr="00CD425C">
        <w:rPr>
          <w:rFonts w:eastAsia="MS Mincho"/>
        </w:rPr>
        <w:t>.</w:t>
      </w:r>
    </w:p>
    <w:p w14:paraId="316D4E17" w14:textId="4E7A1FFB" w:rsidR="00E3306B" w:rsidRPr="00CD425C" w:rsidRDefault="00E3306B" w:rsidP="005042BC">
      <w:pPr>
        <w:pStyle w:val="enumlev1"/>
        <w:rPr>
          <w:rFonts w:eastAsia="MS Mincho"/>
        </w:rPr>
      </w:pPr>
      <w:r w:rsidRPr="00CD425C">
        <w:rPr>
          <w:rFonts w:eastAsia="MS Mincho"/>
        </w:rPr>
        <w:t>c)</w:t>
      </w:r>
      <w:r w:rsidRPr="00CD425C">
        <w:rPr>
          <w:rFonts w:eastAsia="MS Mincho"/>
        </w:rPr>
        <w:tab/>
        <w:t>La catégorie 5 couvre la location et l</w:t>
      </w:r>
      <w:r w:rsidR="005042BC">
        <w:rPr>
          <w:rFonts w:eastAsia="MS Mincho"/>
        </w:rPr>
        <w:t>'</w:t>
      </w:r>
      <w:r w:rsidRPr="00CD425C">
        <w:rPr>
          <w:rFonts w:eastAsia="MS Mincho"/>
        </w:rPr>
        <w:t xml:space="preserve">entretien des locaux et des équipements </w:t>
      </w:r>
      <w:r w:rsidR="00E82DC4" w:rsidRPr="00CD425C">
        <w:rPr>
          <w:rFonts w:eastAsia="MS Mincho"/>
        </w:rPr>
        <w:t>nécessaires</w:t>
      </w:r>
      <w:r w:rsidRPr="00CD425C">
        <w:rPr>
          <w:rFonts w:eastAsia="MS Mincho"/>
        </w:rPr>
        <w:t xml:space="preserve"> pour les réunions et activités de promotion des manifestations ITU Telecom en général. </w:t>
      </w:r>
      <w:r w:rsidR="00E82DC4" w:rsidRPr="00CD425C">
        <w:rPr>
          <w:rFonts w:eastAsia="MS Mincho"/>
        </w:rPr>
        <w:t>Les coûts estimatifs de cette catégorie sont les mêmes que pour 2020-2021.</w:t>
      </w:r>
    </w:p>
    <w:p w14:paraId="49598AD1" w14:textId="0960A620" w:rsidR="00E3306B" w:rsidRPr="00CD425C" w:rsidRDefault="00E3306B" w:rsidP="005042BC">
      <w:pPr>
        <w:pStyle w:val="enumlev1"/>
        <w:rPr>
          <w:rFonts w:eastAsia="MS Mincho"/>
        </w:rPr>
      </w:pPr>
      <w:r w:rsidRPr="00CD425C">
        <w:rPr>
          <w:rFonts w:eastAsia="MS Mincho"/>
        </w:rPr>
        <w:t>d)</w:t>
      </w:r>
      <w:r w:rsidRPr="00CD425C">
        <w:rPr>
          <w:rFonts w:eastAsia="MS Mincho"/>
        </w:rPr>
        <w:tab/>
        <w:t>La catégorie 6 concerne les matériels et les fournitures (fournitures de bureau, fournitures pour imprimantes, fournitures informatiques), les documents de référence ainsi que l</w:t>
      </w:r>
      <w:r w:rsidR="005042BC">
        <w:rPr>
          <w:rFonts w:eastAsia="MS Mincho"/>
        </w:rPr>
        <w:t>'</w:t>
      </w:r>
      <w:r w:rsidRPr="00CD425C">
        <w:rPr>
          <w:rFonts w:eastAsia="MS Mincho"/>
        </w:rPr>
        <w:t xml:space="preserve">impression et la production des brochures. </w:t>
      </w:r>
      <w:r w:rsidR="00E82DC4" w:rsidRPr="00CD425C">
        <w:rPr>
          <w:rFonts w:eastAsia="MS Mincho"/>
        </w:rPr>
        <w:t>Il n</w:t>
      </w:r>
      <w:r w:rsidR="005042BC">
        <w:rPr>
          <w:rFonts w:eastAsia="MS Mincho"/>
        </w:rPr>
        <w:t>'</w:t>
      </w:r>
      <w:r w:rsidR="00E82DC4" w:rsidRPr="00CD425C">
        <w:rPr>
          <w:rFonts w:eastAsia="MS Mincho"/>
        </w:rPr>
        <w:t>est pas nécessaire d</w:t>
      </w:r>
      <w:r w:rsidR="005042BC">
        <w:rPr>
          <w:rFonts w:eastAsia="MS Mincho"/>
        </w:rPr>
        <w:t>'</w:t>
      </w:r>
      <w:r w:rsidR="00E82DC4" w:rsidRPr="00CD425C">
        <w:rPr>
          <w:rFonts w:eastAsia="MS Mincho"/>
        </w:rPr>
        <w:t>augmenter le montant budgétisé pour 2020-2021 étant donné qu</w:t>
      </w:r>
      <w:r w:rsidR="005042BC">
        <w:rPr>
          <w:rFonts w:eastAsia="MS Mincho"/>
        </w:rPr>
        <w:t>'</w:t>
      </w:r>
      <w:r w:rsidR="00320C51" w:rsidRPr="00CD425C">
        <w:rPr>
          <w:rFonts w:eastAsia="MS Mincho"/>
        </w:rPr>
        <w:t>une fois encore,</w:t>
      </w:r>
      <w:r w:rsidR="00E82DC4" w:rsidRPr="00CD425C">
        <w:rPr>
          <w:rFonts w:eastAsia="MS Mincho"/>
        </w:rPr>
        <w:t xml:space="preserve"> </w:t>
      </w:r>
      <w:r w:rsidR="00320C51" w:rsidRPr="00CD425C">
        <w:rPr>
          <w:rFonts w:eastAsia="MS Mincho"/>
        </w:rPr>
        <w:t xml:space="preserve">seul un petit </w:t>
      </w:r>
      <w:r w:rsidR="00E82DC4" w:rsidRPr="00CD425C">
        <w:rPr>
          <w:rFonts w:eastAsia="MS Mincho"/>
        </w:rPr>
        <w:t xml:space="preserve">nombre de </w:t>
      </w:r>
      <w:r w:rsidRPr="00CD425C">
        <w:rPr>
          <w:rFonts w:eastAsia="MS Mincho"/>
        </w:rPr>
        <w:lastRenderedPageBreak/>
        <w:t xml:space="preserve">documents </w:t>
      </w:r>
      <w:r w:rsidR="00320C51" w:rsidRPr="00CD425C">
        <w:rPr>
          <w:rFonts w:eastAsia="MS Mincho"/>
        </w:rPr>
        <w:t xml:space="preserve">devraient être </w:t>
      </w:r>
      <w:r w:rsidRPr="00CD425C">
        <w:rPr>
          <w:rFonts w:eastAsia="MS Mincho"/>
        </w:rPr>
        <w:t>imprimés</w:t>
      </w:r>
      <w:r w:rsidR="00E82DC4" w:rsidRPr="00CD425C">
        <w:rPr>
          <w:rFonts w:eastAsia="MS Mincho"/>
        </w:rPr>
        <w:t xml:space="preserve">, </w:t>
      </w:r>
      <w:r w:rsidR="00320C51" w:rsidRPr="00CD425C">
        <w:rPr>
          <w:rFonts w:eastAsia="MS Mincho"/>
        </w:rPr>
        <w:t xml:space="preserve">les </w:t>
      </w:r>
      <w:r w:rsidRPr="00CD425C">
        <w:rPr>
          <w:rFonts w:eastAsia="MS Mincho"/>
        </w:rPr>
        <w:t>supports numériques</w:t>
      </w:r>
      <w:r w:rsidR="00320C51" w:rsidRPr="00CD425C">
        <w:rPr>
          <w:rFonts w:eastAsia="MS Mincho"/>
        </w:rPr>
        <w:t xml:space="preserve"> étant privilégiés</w:t>
      </w:r>
      <w:r w:rsidRPr="00CD425C">
        <w:rPr>
          <w:rFonts w:eastAsia="MS Mincho"/>
        </w:rPr>
        <w:t xml:space="preserve"> </w:t>
      </w:r>
      <w:r w:rsidR="00320C51" w:rsidRPr="00CD425C">
        <w:rPr>
          <w:rFonts w:eastAsia="MS Mincho"/>
        </w:rPr>
        <w:t xml:space="preserve">conformément à </w:t>
      </w:r>
      <w:r w:rsidRPr="00CD425C">
        <w:rPr>
          <w:rFonts w:eastAsia="MS Mincho"/>
        </w:rPr>
        <w:t>la politique de l</w:t>
      </w:r>
      <w:r w:rsidR="005042BC">
        <w:rPr>
          <w:rFonts w:eastAsia="MS Mincho"/>
        </w:rPr>
        <w:t>'</w:t>
      </w:r>
      <w:r w:rsidRPr="00CD425C">
        <w:rPr>
          <w:rFonts w:eastAsia="MS Mincho"/>
        </w:rPr>
        <w:t xml:space="preserve">UIT </w:t>
      </w:r>
      <w:r w:rsidR="00320C51" w:rsidRPr="00CD425C">
        <w:rPr>
          <w:rFonts w:eastAsia="MS Mincho"/>
        </w:rPr>
        <w:t>en la matière</w:t>
      </w:r>
      <w:r w:rsidRPr="00CD425C">
        <w:rPr>
          <w:rFonts w:eastAsia="MS Mincho"/>
        </w:rPr>
        <w:t xml:space="preserve">, et </w:t>
      </w:r>
      <w:r w:rsidR="00320C51" w:rsidRPr="00CD425C">
        <w:rPr>
          <w:rFonts w:eastAsia="MS Mincho"/>
        </w:rPr>
        <w:t xml:space="preserve">que </w:t>
      </w:r>
      <w:r w:rsidRPr="00CD425C">
        <w:rPr>
          <w:rFonts w:eastAsia="MS Mincho"/>
        </w:rPr>
        <w:t xml:space="preserve">certaines brochures </w:t>
      </w:r>
      <w:r w:rsidR="00320C51" w:rsidRPr="00CD425C">
        <w:rPr>
          <w:rFonts w:eastAsia="MS Mincho"/>
        </w:rPr>
        <w:t xml:space="preserve">seront imprimées </w:t>
      </w:r>
      <w:r w:rsidRPr="00CD425C">
        <w:rPr>
          <w:rFonts w:eastAsia="MS Mincho"/>
        </w:rPr>
        <w:t>en interne. Des crédits sont aussi mis à disposition pour l</w:t>
      </w:r>
      <w:r w:rsidR="005042BC">
        <w:rPr>
          <w:rFonts w:eastAsia="MS Mincho"/>
        </w:rPr>
        <w:t>'</w:t>
      </w:r>
      <w:r w:rsidRPr="00CD425C">
        <w:rPr>
          <w:rFonts w:eastAsia="MS Mincho"/>
        </w:rPr>
        <w:t>impression et la publication de brochures pour une manifestation précise, dans le budget correspondant de cette manifestation.</w:t>
      </w:r>
    </w:p>
    <w:p w14:paraId="0B2F5230" w14:textId="78D35808" w:rsidR="00F527A4" w:rsidRDefault="00E3306B" w:rsidP="005042BC">
      <w:pPr>
        <w:pStyle w:val="enumlev1"/>
        <w:rPr>
          <w:rFonts w:eastAsia="MS Mincho"/>
          <w:spacing w:val="-4"/>
        </w:rPr>
      </w:pPr>
      <w:r w:rsidRPr="00CD425C">
        <w:rPr>
          <w:rFonts w:eastAsia="MS Mincho"/>
        </w:rPr>
        <w:t>e)</w:t>
      </w:r>
      <w:r w:rsidRPr="00CD425C">
        <w:rPr>
          <w:rFonts w:eastAsia="MS Mincho"/>
        </w:rPr>
        <w:tab/>
      </w:r>
      <w:r w:rsidRPr="00CD425C">
        <w:rPr>
          <w:rFonts w:eastAsia="MS Mincho"/>
          <w:spacing w:val="-4"/>
        </w:rPr>
        <w:t>La catégorie 7 concerne les dépenses liées à l</w:t>
      </w:r>
      <w:r w:rsidR="005042BC">
        <w:rPr>
          <w:rFonts w:eastAsia="MS Mincho"/>
          <w:spacing w:val="-4"/>
        </w:rPr>
        <w:t>'</w:t>
      </w:r>
      <w:r w:rsidRPr="00CD425C">
        <w:rPr>
          <w:rFonts w:eastAsia="MS Mincho"/>
          <w:spacing w:val="-4"/>
        </w:rPr>
        <w:t>acquisition de mobilier, d</w:t>
      </w:r>
      <w:r w:rsidR="005042BC">
        <w:rPr>
          <w:rFonts w:eastAsia="MS Mincho"/>
          <w:spacing w:val="-4"/>
        </w:rPr>
        <w:t>'</w:t>
      </w:r>
      <w:r w:rsidRPr="00CD425C">
        <w:rPr>
          <w:rFonts w:eastAsia="MS Mincho"/>
          <w:spacing w:val="-4"/>
        </w:rPr>
        <w:t>équipements informatiques ainsi que d</w:t>
      </w:r>
      <w:r w:rsidR="005042BC">
        <w:rPr>
          <w:rFonts w:eastAsia="MS Mincho"/>
          <w:spacing w:val="-4"/>
        </w:rPr>
        <w:t>'</w:t>
      </w:r>
      <w:r w:rsidRPr="00CD425C">
        <w:rPr>
          <w:rFonts w:eastAsia="MS Mincho"/>
          <w:spacing w:val="-4"/>
        </w:rPr>
        <w:t>autres équipements et installations techniques. Aucune augmentation des crédits de cette rubrique budgétaire n</w:t>
      </w:r>
      <w:r w:rsidR="005042BC">
        <w:rPr>
          <w:rFonts w:eastAsia="MS Mincho"/>
          <w:spacing w:val="-4"/>
        </w:rPr>
        <w:t>'</w:t>
      </w:r>
      <w:r w:rsidRPr="00CD425C">
        <w:rPr>
          <w:rFonts w:eastAsia="MS Mincho"/>
          <w:spacing w:val="-4"/>
        </w:rPr>
        <w:t>est prévue pour 202</w:t>
      </w:r>
      <w:r w:rsidR="00981EEA" w:rsidRPr="00CD425C">
        <w:rPr>
          <w:rFonts w:eastAsia="MS Mincho"/>
          <w:spacing w:val="-4"/>
        </w:rPr>
        <w:t>2</w:t>
      </w:r>
      <w:r w:rsidRPr="00CD425C">
        <w:rPr>
          <w:rFonts w:eastAsia="MS Mincho"/>
          <w:spacing w:val="-4"/>
        </w:rPr>
        <w:t>-20</w:t>
      </w:r>
      <w:r w:rsidR="00981EEA" w:rsidRPr="00CD425C">
        <w:rPr>
          <w:rFonts w:eastAsia="MS Mincho"/>
          <w:spacing w:val="-4"/>
        </w:rPr>
        <w:t>23</w:t>
      </w:r>
      <w:r w:rsidRPr="00CD425C">
        <w:rPr>
          <w:rFonts w:eastAsia="MS Mincho"/>
          <w:spacing w:val="-4"/>
        </w:rPr>
        <w:t>.</w:t>
      </w:r>
    </w:p>
    <w:p w14:paraId="4DD8B750" w14:textId="6C1F1F36" w:rsidR="00E3306B" w:rsidRPr="00E87EFA" w:rsidRDefault="00E3306B" w:rsidP="00E87EFA">
      <w:pPr>
        <w:pStyle w:val="enumlev1"/>
        <w:rPr>
          <w:rFonts w:eastAsia="MS Mincho"/>
        </w:rPr>
      </w:pPr>
      <w:r w:rsidRPr="00CD425C">
        <w:rPr>
          <w:rFonts w:eastAsia="MS Mincho"/>
        </w:rPr>
        <w:t>f)</w:t>
      </w:r>
      <w:r w:rsidRPr="00CD425C">
        <w:rPr>
          <w:rFonts w:eastAsia="MS Mincho"/>
        </w:rPr>
        <w:tab/>
        <w:t>La catégorie 8 couvre les dépenses pour les services publics et les services intérieurs ainsi que pour les services collectifs –</w:t>
      </w:r>
      <w:r w:rsidR="007D3EAC" w:rsidRPr="00CD425C">
        <w:rPr>
          <w:rFonts w:eastAsia="MS Mincho"/>
        </w:rPr>
        <w:t xml:space="preserve"> </w:t>
      </w:r>
      <w:r w:rsidRPr="00CD425C">
        <w:rPr>
          <w:rFonts w:eastAsia="MS Mincho"/>
        </w:rPr>
        <w:t xml:space="preserve">poste et téléphone – fournis par les prestataires de services locaux et nationaux. </w:t>
      </w:r>
      <w:r w:rsidR="007D3EAC" w:rsidRPr="00CD425C">
        <w:rPr>
          <w:rFonts w:eastAsia="MS Mincho"/>
        </w:rPr>
        <w:t xml:space="preserve">Depuis 2020, </w:t>
      </w:r>
      <w:r w:rsidRPr="00CD425C">
        <w:rPr>
          <w:rFonts w:eastAsia="MS Mincho"/>
        </w:rPr>
        <w:t xml:space="preserve">les charges se rapportant </w:t>
      </w:r>
      <w:r w:rsidR="007D3EAC" w:rsidRPr="00CD425C">
        <w:rPr>
          <w:rFonts w:eastAsia="MS Mincho"/>
        </w:rPr>
        <w:t xml:space="preserve">aux services postaux et </w:t>
      </w:r>
      <w:r w:rsidR="007D3EAC" w:rsidRPr="00E87EFA">
        <w:rPr>
          <w:rFonts w:eastAsia="MS Mincho"/>
        </w:rPr>
        <w:t xml:space="preserve">téléphoniques du siège sont imputées </w:t>
      </w:r>
      <w:r w:rsidR="00420332" w:rsidRPr="00E87EFA">
        <w:rPr>
          <w:rFonts w:eastAsia="MS Mincho"/>
        </w:rPr>
        <w:t xml:space="preserve">à un </w:t>
      </w:r>
      <w:r w:rsidR="007D3EAC" w:rsidRPr="00E87EFA">
        <w:rPr>
          <w:rFonts w:eastAsia="MS Mincho"/>
        </w:rPr>
        <w:t>centre de coût commun de l</w:t>
      </w:r>
      <w:r w:rsidR="005042BC" w:rsidRPr="00E87EFA">
        <w:rPr>
          <w:rFonts w:eastAsia="MS Mincho"/>
        </w:rPr>
        <w:t>'</w:t>
      </w:r>
      <w:r w:rsidR="007D3EAC" w:rsidRPr="00E87EFA">
        <w:rPr>
          <w:rFonts w:eastAsia="MS Mincho"/>
        </w:rPr>
        <w:t xml:space="preserve">UIT. Par conséquent, aucun </w:t>
      </w:r>
      <w:r w:rsidR="00271E48" w:rsidRPr="00E87EFA">
        <w:rPr>
          <w:rFonts w:eastAsia="MS Mincho"/>
        </w:rPr>
        <w:t>montant n</w:t>
      </w:r>
      <w:r w:rsidR="005042BC" w:rsidRPr="00E87EFA">
        <w:rPr>
          <w:rFonts w:eastAsia="MS Mincho"/>
        </w:rPr>
        <w:t>'</w:t>
      </w:r>
      <w:r w:rsidR="00271E48" w:rsidRPr="00E87EFA">
        <w:rPr>
          <w:rFonts w:eastAsia="MS Mincho"/>
        </w:rPr>
        <w:t>est inscrit au budget du Secrétariat d</w:t>
      </w:r>
      <w:r w:rsidR="005042BC" w:rsidRPr="00E87EFA">
        <w:rPr>
          <w:rFonts w:eastAsia="MS Mincho"/>
        </w:rPr>
        <w:t>'</w:t>
      </w:r>
      <w:r w:rsidR="00271E48" w:rsidRPr="00E87EFA">
        <w:rPr>
          <w:rFonts w:eastAsia="MS Mincho"/>
        </w:rPr>
        <w:t xml:space="preserve">ITU Telecom au titre de cette </w:t>
      </w:r>
      <w:r w:rsidRPr="00E87EFA">
        <w:rPr>
          <w:rFonts w:eastAsia="MS Mincho"/>
        </w:rPr>
        <w:t>catégorie </w:t>
      </w:r>
      <w:r w:rsidR="00271E48" w:rsidRPr="00E87EFA">
        <w:rPr>
          <w:rFonts w:eastAsia="MS Mincho"/>
        </w:rPr>
        <w:t xml:space="preserve">pour 2022-2023. Ces objets de dépense sont néanmoins pris en compte dans le budget </w:t>
      </w:r>
      <w:r w:rsidR="00E20DDE" w:rsidRPr="00E87EFA">
        <w:rPr>
          <w:rFonts w:eastAsia="MS Mincho"/>
        </w:rPr>
        <w:t>de</w:t>
      </w:r>
      <w:r w:rsidR="00271E48" w:rsidRPr="00E87EFA">
        <w:rPr>
          <w:rFonts w:eastAsia="MS Mincho"/>
        </w:rPr>
        <w:t xml:space="preserve"> la </w:t>
      </w:r>
      <w:r w:rsidRPr="00E87EFA">
        <w:rPr>
          <w:rFonts w:eastAsia="MS Mincho"/>
        </w:rPr>
        <w:t xml:space="preserve">manifestation </w:t>
      </w:r>
      <w:r w:rsidR="00271E48" w:rsidRPr="00E87EFA">
        <w:rPr>
          <w:rFonts w:eastAsia="MS Mincho"/>
        </w:rPr>
        <w:t xml:space="preserve">à laquelle ils se rapportent lorsque celle-ci a lieu en dehors de Genève. </w:t>
      </w:r>
    </w:p>
    <w:p w14:paraId="0DFD5C65" w14:textId="77777777" w:rsidR="00E3306B" w:rsidRPr="00CD425C" w:rsidRDefault="00E3306B" w:rsidP="005042BC">
      <w:pPr>
        <w:pStyle w:val="enumlev1"/>
        <w:spacing w:before="0" w:after="30"/>
        <w:rPr>
          <w:sz w:val="2"/>
          <w:szCs w:val="2"/>
        </w:rPr>
      </w:pPr>
    </w:p>
    <w:p w14:paraId="4BCE4A7C" w14:textId="24A42B13" w:rsidR="00E3306B" w:rsidRPr="002F07E2" w:rsidRDefault="00E3306B" w:rsidP="005042BC">
      <w:pPr>
        <w:pStyle w:val="Headingb"/>
      </w:pPr>
      <w:bookmarkStart w:id="17" w:name="_Toc418778846"/>
      <w:bookmarkStart w:id="18" w:name="_Toc68080052"/>
      <w:r w:rsidRPr="002F07E2">
        <w:t>R</w:t>
      </w:r>
      <w:r w:rsidR="002F07E2">
        <w:t>ECOUVREMENT DES COÛTS AUPRÈS</w:t>
      </w:r>
      <w:r w:rsidRPr="002F07E2">
        <w:t xml:space="preserve"> </w:t>
      </w:r>
      <w:r w:rsidR="002F07E2">
        <w:t>D</w:t>
      </w:r>
      <w:r w:rsidR="005042BC" w:rsidRPr="002F07E2">
        <w:t>'</w:t>
      </w:r>
      <w:r w:rsidRPr="002F07E2">
        <w:t>ITU TELECOM</w:t>
      </w:r>
      <w:bookmarkEnd w:id="17"/>
      <w:bookmarkEnd w:id="18"/>
    </w:p>
    <w:p w14:paraId="440C4EF0" w14:textId="3C328BE1" w:rsidR="00E3306B" w:rsidRPr="00CD425C" w:rsidRDefault="00E3306B" w:rsidP="004C610F">
      <w:pPr>
        <w:rPr>
          <w:rFonts w:eastAsia="MS Mincho"/>
          <w:szCs w:val="24"/>
          <w:lang w:eastAsia="ja-JP"/>
        </w:rPr>
      </w:pPr>
      <w:r w:rsidRPr="00CD425C">
        <w:rPr>
          <w:szCs w:val="24"/>
        </w:rPr>
        <w:t>6</w:t>
      </w:r>
      <w:r w:rsidRPr="00CD425C">
        <w:rPr>
          <w:szCs w:val="24"/>
        </w:rPr>
        <w:tab/>
      </w:r>
      <w:r w:rsidRPr="00CD425C">
        <w:rPr>
          <w:rFonts w:eastAsia="MS Mincho"/>
          <w:szCs w:val="24"/>
          <w:lang w:eastAsia="ja-JP"/>
        </w:rPr>
        <w:t>Le recouvrement des coûts est un montant fixe que perçoit l</w:t>
      </w:r>
      <w:r w:rsidR="005042BC">
        <w:rPr>
          <w:rFonts w:eastAsia="MS Mincho"/>
          <w:szCs w:val="24"/>
          <w:lang w:eastAsia="ja-JP"/>
        </w:rPr>
        <w:t>'</w:t>
      </w:r>
      <w:r w:rsidRPr="00CD425C">
        <w:rPr>
          <w:rFonts w:eastAsia="MS Mincho"/>
          <w:szCs w:val="24"/>
          <w:lang w:eastAsia="ja-JP"/>
        </w:rPr>
        <w:t>UIT pour les services rendus par les fonctionnaires d</w:t>
      </w:r>
      <w:r w:rsidR="005042BC">
        <w:rPr>
          <w:rFonts w:eastAsia="MS Mincho"/>
          <w:szCs w:val="24"/>
          <w:lang w:eastAsia="ja-JP"/>
        </w:rPr>
        <w:t>'</w:t>
      </w:r>
      <w:r w:rsidRPr="00CD425C">
        <w:rPr>
          <w:rFonts w:eastAsia="MS Mincho"/>
          <w:szCs w:val="24"/>
          <w:lang w:eastAsia="ja-JP"/>
        </w:rPr>
        <w:t>autres départements, unités ou Secteurs de l</w:t>
      </w:r>
      <w:r w:rsidR="005042BC">
        <w:rPr>
          <w:rFonts w:eastAsia="MS Mincho"/>
          <w:szCs w:val="24"/>
          <w:lang w:eastAsia="ja-JP"/>
        </w:rPr>
        <w:t>'</w:t>
      </w:r>
      <w:r w:rsidRPr="00CD425C">
        <w:rPr>
          <w:rFonts w:eastAsia="MS Mincho"/>
          <w:szCs w:val="24"/>
          <w:lang w:eastAsia="ja-JP"/>
        </w:rPr>
        <w:t>UIT à ITU Telecom. Ce montant est calculé à partir des charges estimées pour les traitements des fonctionnaires et autres rémunérations ainsi que pour tous les éléments dont d</w:t>
      </w:r>
      <w:r w:rsidR="005042BC">
        <w:rPr>
          <w:rFonts w:eastAsia="MS Mincho"/>
          <w:szCs w:val="24"/>
          <w:lang w:eastAsia="ja-JP"/>
        </w:rPr>
        <w:t>'</w:t>
      </w:r>
      <w:r w:rsidRPr="00CD425C">
        <w:rPr>
          <w:rFonts w:eastAsia="MS Mincho"/>
          <w:szCs w:val="24"/>
          <w:lang w:eastAsia="ja-JP"/>
        </w:rPr>
        <w:t>autres fonctionnaires de l</w:t>
      </w:r>
      <w:r w:rsidR="005042BC">
        <w:rPr>
          <w:rFonts w:eastAsia="MS Mincho"/>
          <w:szCs w:val="24"/>
          <w:lang w:eastAsia="ja-JP"/>
        </w:rPr>
        <w:t>'</w:t>
      </w:r>
      <w:r w:rsidRPr="00CD425C">
        <w:rPr>
          <w:rFonts w:eastAsia="MS Mincho"/>
          <w:szCs w:val="24"/>
          <w:lang w:eastAsia="ja-JP"/>
        </w:rPr>
        <w:t>UIT ont besoin pour s</w:t>
      </w:r>
      <w:r w:rsidR="005042BC">
        <w:rPr>
          <w:rFonts w:eastAsia="MS Mincho"/>
          <w:szCs w:val="24"/>
          <w:lang w:eastAsia="ja-JP"/>
        </w:rPr>
        <w:t>'</w:t>
      </w:r>
      <w:r w:rsidRPr="00CD425C">
        <w:rPr>
          <w:rFonts w:eastAsia="MS Mincho"/>
          <w:szCs w:val="24"/>
          <w:lang w:eastAsia="ja-JP"/>
        </w:rPr>
        <w:t>acquitter de leurs fonctions liées aux activités d</w:t>
      </w:r>
      <w:r w:rsidR="005042BC">
        <w:rPr>
          <w:rFonts w:eastAsia="MS Mincho"/>
          <w:szCs w:val="24"/>
          <w:lang w:eastAsia="ja-JP"/>
        </w:rPr>
        <w:t>'</w:t>
      </w:r>
      <w:r w:rsidRPr="00CD425C">
        <w:rPr>
          <w:rFonts w:eastAsia="MS Mincho"/>
          <w:szCs w:val="24"/>
          <w:lang w:eastAsia="ja-JP"/>
        </w:rPr>
        <w:t>ITU Telecom, par exemple les équipements et matériels informatiques et autres équipements TIC, l</w:t>
      </w:r>
      <w:r w:rsidR="005042BC">
        <w:rPr>
          <w:rFonts w:eastAsia="MS Mincho"/>
          <w:szCs w:val="24"/>
          <w:lang w:eastAsia="ja-JP"/>
        </w:rPr>
        <w:t>'</w:t>
      </w:r>
      <w:r w:rsidRPr="00CD425C">
        <w:rPr>
          <w:rFonts w:eastAsia="MS Mincho"/>
          <w:szCs w:val="24"/>
          <w:lang w:eastAsia="ja-JP"/>
        </w:rPr>
        <w:t>espace à usage de bureau, les meubles et fournitures de bureau. Pour le dernier exercice biennal 2018-2019, le montant du recouvrement des coûts dans le budget du secrétariat d</w:t>
      </w:r>
      <w:r w:rsidR="005042BC">
        <w:rPr>
          <w:rFonts w:eastAsia="MS Mincho"/>
          <w:szCs w:val="24"/>
          <w:lang w:eastAsia="ja-JP"/>
        </w:rPr>
        <w:t>'</w:t>
      </w:r>
      <w:r w:rsidRPr="00CD425C">
        <w:rPr>
          <w:rFonts w:eastAsia="MS Mincho"/>
          <w:szCs w:val="24"/>
          <w:lang w:eastAsia="ja-JP"/>
        </w:rPr>
        <w:t>ITU Telecom se chiffrait à 1,5 million CHF par an. Depuis 2014, le même montant budgété a été perçu chaque année. Toutefois, pour 2018, le Secrétaire général a décidé de ramener le montant effectif du recouvrement des coûts à 1 million CHF, afin d</w:t>
      </w:r>
      <w:r w:rsidR="005042BC">
        <w:rPr>
          <w:rFonts w:eastAsia="MS Mincho"/>
          <w:szCs w:val="24"/>
          <w:lang w:eastAsia="ja-JP"/>
        </w:rPr>
        <w:t>'</w:t>
      </w:r>
      <w:r w:rsidRPr="00CD425C">
        <w:rPr>
          <w:rFonts w:eastAsia="MS Mincho"/>
          <w:szCs w:val="24"/>
          <w:lang w:eastAsia="ja-JP"/>
        </w:rPr>
        <w:t>aider le secrétariat d</w:t>
      </w:r>
      <w:r w:rsidR="005042BC">
        <w:rPr>
          <w:rFonts w:eastAsia="MS Mincho"/>
          <w:szCs w:val="24"/>
          <w:lang w:eastAsia="ja-JP"/>
        </w:rPr>
        <w:t>'</w:t>
      </w:r>
      <w:r w:rsidRPr="00CD425C">
        <w:rPr>
          <w:rFonts w:eastAsia="MS Mincho"/>
          <w:szCs w:val="24"/>
          <w:lang w:eastAsia="ja-JP"/>
        </w:rPr>
        <w:t xml:space="preserve">ITU Telecom et de remédier aux problèmes rencontrés dans le cadre de la manifestation de 2018. Pour 2020-2021, </w:t>
      </w:r>
      <w:r w:rsidR="00271E48" w:rsidRPr="00CD425C">
        <w:rPr>
          <w:rFonts w:eastAsia="MS Mincho"/>
          <w:szCs w:val="24"/>
          <w:lang w:eastAsia="ja-JP"/>
        </w:rPr>
        <w:t>le</w:t>
      </w:r>
      <w:r w:rsidRPr="00CD425C">
        <w:rPr>
          <w:rFonts w:eastAsia="MS Mincho"/>
          <w:szCs w:val="24"/>
          <w:lang w:eastAsia="ja-JP"/>
        </w:rPr>
        <w:t xml:space="preserve"> montant budgété </w:t>
      </w:r>
      <w:r w:rsidR="00271E48" w:rsidRPr="00CD425C">
        <w:rPr>
          <w:rFonts w:eastAsia="MS Mincho"/>
          <w:szCs w:val="24"/>
          <w:lang w:eastAsia="ja-JP"/>
        </w:rPr>
        <w:t>au titre du</w:t>
      </w:r>
      <w:r w:rsidRPr="00CD425C">
        <w:rPr>
          <w:rFonts w:eastAsia="MS Mincho"/>
          <w:szCs w:val="24"/>
          <w:lang w:eastAsia="ja-JP"/>
        </w:rPr>
        <w:t xml:space="preserve"> recouvrement des coûts </w:t>
      </w:r>
      <w:r w:rsidR="00271E48" w:rsidRPr="00CD425C">
        <w:rPr>
          <w:rFonts w:eastAsia="MS Mincho"/>
          <w:szCs w:val="24"/>
          <w:lang w:eastAsia="ja-JP"/>
        </w:rPr>
        <w:t>est resté inchangé (1,5 million CHF</w:t>
      </w:r>
      <w:r w:rsidR="009B07DF">
        <w:rPr>
          <w:rFonts w:eastAsia="MS Mincho"/>
          <w:szCs w:val="24"/>
          <w:lang w:eastAsia="ja-JP"/>
        </w:rPr>
        <w:t xml:space="preserve"> par an</w:t>
      </w:r>
      <w:r w:rsidR="00271E48" w:rsidRPr="00CD425C">
        <w:rPr>
          <w:rFonts w:eastAsia="MS Mincho"/>
          <w:szCs w:val="24"/>
          <w:lang w:eastAsia="ja-JP"/>
        </w:rPr>
        <w:t>)</w:t>
      </w:r>
      <w:r w:rsidRPr="00CD425C">
        <w:rPr>
          <w:rFonts w:eastAsia="MS Mincho"/>
          <w:szCs w:val="24"/>
          <w:lang w:eastAsia="ja-JP"/>
        </w:rPr>
        <w:t>.</w:t>
      </w:r>
      <w:r w:rsidR="00271E48" w:rsidRPr="00CD425C">
        <w:rPr>
          <w:rFonts w:eastAsia="MS Mincho"/>
          <w:szCs w:val="24"/>
          <w:lang w:eastAsia="ja-JP"/>
        </w:rPr>
        <w:t xml:space="preserve"> Toutefois, la manifestation ITU Digital World 2020 ayant été reportée en raison de la pandémie de COVID-19</w:t>
      </w:r>
      <w:r w:rsidR="00C741B9" w:rsidRPr="00CD425C">
        <w:rPr>
          <w:rFonts w:eastAsia="MS Mincho"/>
          <w:szCs w:val="24"/>
          <w:lang w:eastAsia="ja-JP"/>
        </w:rPr>
        <w:t>, le Secrétaire général a décidé de ne pas procéder au recouvrement des coûts pour ITU Telecom en 2020.</w:t>
      </w:r>
    </w:p>
    <w:p w14:paraId="273D2980" w14:textId="5A5E2835" w:rsidR="00E3306B" w:rsidRPr="002F07E2" w:rsidRDefault="00E3306B" w:rsidP="002F07E2">
      <w:pPr>
        <w:pStyle w:val="Headingb"/>
      </w:pPr>
      <w:bookmarkStart w:id="19" w:name="_Toc68080053"/>
      <w:r w:rsidRPr="002F07E2">
        <w:t>U</w:t>
      </w:r>
      <w:r w:rsidR="002F07E2">
        <w:t>TILISATION DES RESSOURCES</w:t>
      </w:r>
      <w:bookmarkEnd w:id="19"/>
    </w:p>
    <w:p w14:paraId="706DE4F2" w14:textId="77777777" w:rsidR="00E3306B" w:rsidRPr="00CD425C" w:rsidRDefault="00E3306B" w:rsidP="005042BC">
      <w:pPr>
        <w:spacing w:before="6" w:after="6"/>
        <w:rPr>
          <w:sz w:val="2"/>
          <w:szCs w:val="2"/>
        </w:rPr>
      </w:pPr>
    </w:p>
    <w:p w14:paraId="42F502C3" w14:textId="4E6DC1EA" w:rsidR="00E3306B" w:rsidRPr="00CD425C" w:rsidRDefault="00E3306B" w:rsidP="004C610F">
      <w:pPr>
        <w:rPr>
          <w:szCs w:val="24"/>
        </w:rPr>
      </w:pPr>
      <w:r w:rsidRPr="00CD425C">
        <w:rPr>
          <w:szCs w:val="24"/>
        </w:rPr>
        <w:t>7</w:t>
      </w:r>
      <w:r w:rsidRPr="00CD425C">
        <w:rPr>
          <w:szCs w:val="24"/>
        </w:rPr>
        <w:tab/>
        <w:t>Le principal poste de dépenses d</w:t>
      </w:r>
      <w:r w:rsidRPr="00CD425C">
        <w:rPr>
          <w:rFonts w:eastAsia="MS Mincho"/>
          <w:szCs w:val="24"/>
          <w:lang w:eastAsia="ja-JP"/>
        </w:rPr>
        <w:t>ans les budgets des manifestations ITU Telecom se compose des dépenses du secrétariat et du recouvrement des coûts. Ces dépenses sont imputées sur le budget de chaque manifestation ITU Telecom, au prorata du pourcentage de temps estimé que les fonctionnaires d</w:t>
      </w:r>
      <w:r w:rsidR="005042BC">
        <w:rPr>
          <w:rFonts w:eastAsia="MS Mincho"/>
          <w:szCs w:val="24"/>
          <w:lang w:eastAsia="ja-JP"/>
        </w:rPr>
        <w:t>'</w:t>
      </w:r>
      <w:r w:rsidRPr="00CD425C">
        <w:rPr>
          <w:rFonts w:eastAsia="MS Mincho"/>
          <w:szCs w:val="24"/>
          <w:lang w:eastAsia="ja-JP"/>
        </w:rPr>
        <w:t>ITU Telecom consacrent pour fournir les services liés à chaque manifestation particulière.</w:t>
      </w:r>
    </w:p>
    <w:p w14:paraId="4C77CD94" w14:textId="6356D19A" w:rsidR="00E3306B" w:rsidRPr="00CD425C" w:rsidRDefault="00981EEA" w:rsidP="004C610F">
      <w:r w:rsidRPr="00CD425C">
        <w:t>L</w:t>
      </w:r>
      <w:r w:rsidR="00E3306B" w:rsidRPr="00CD425C">
        <w:t>e Tableau 3 ci-après donne une estimation des pourcentages de temps que le personnel consacre à chaque manifestation, lesquels servent de base pour l</w:t>
      </w:r>
      <w:r w:rsidR="005042BC">
        <w:t>'</w:t>
      </w:r>
      <w:r w:rsidR="00E3306B" w:rsidRPr="00CD425C">
        <w:t>imputation des coûts aux produits correspondants, conformément à la budgétisation axée sur les résultats (BAR). Le Tableau indique aussi les coûts correspondants pour chaque produit, sous forme d</w:t>
      </w:r>
      <w:r w:rsidR="005042BC">
        <w:t>'</w:t>
      </w:r>
      <w:r w:rsidR="00E3306B" w:rsidRPr="00CD425C">
        <w:t>un pourcentage du budget total du secrétariat d</w:t>
      </w:r>
      <w:r w:rsidR="005042BC">
        <w:t>'</w:t>
      </w:r>
      <w:r w:rsidR="00E3306B" w:rsidRPr="00CD425C">
        <w:t>ITU Telecom pour 202</w:t>
      </w:r>
      <w:r w:rsidRPr="00CD425C">
        <w:t>2</w:t>
      </w:r>
      <w:r w:rsidR="00E3306B" w:rsidRPr="00CD425C">
        <w:t>-202</w:t>
      </w:r>
      <w:r w:rsidRPr="00CD425C">
        <w:t>3</w:t>
      </w:r>
      <w:r w:rsidR="00E3306B" w:rsidRPr="00CD425C">
        <w:t>. Conformément aux normes IPSAS, tous les comptes relatifs aux manifestations sont clos au 31 décembre de l</w:t>
      </w:r>
      <w:r w:rsidR="005042BC">
        <w:t>'</w:t>
      </w:r>
      <w:r w:rsidR="00E3306B" w:rsidRPr="00CD425C">
        <w:t>année où s</w:t>
      </w:r>
      <w:r w:rsidR="005042BC">
        <w:t>'</w:t>
      </w:r>
      <w:r w:rsidR="00E3306B" w:rsidRPr="00CD425C">
        <w:t>est tenue la manifestation.</w:t>
      </w:r>
    </w:p>
    <w:p w14:paraId="191FAE2F" w14:textId="77777777" w:rsidR="00E3306B" w:rsidRPr="00CD425C" w:rsidRDefault="00E3306B" w:rsidP="005042BC">
      <w:pPr>
        <w:pStyle w:val="TableNo"/>
        <w:keepLines/>
        <w:spacing w:before="200" w:after="80"/>
        <w:rPr>
          <w:lang w:eastAsia="ja-JP"/>
        </w:rPr>
      </w:pPr>
      <w:bookmarkStart w:id="20" w:name="_Hlk132960382"/>
      <w:r w:rsidRPr="00CD425C">
        <w:rPr>
          <w:rFonts w:eastAsia="MS Mincho"/>
          <w:lang w:eastAsia="ja-JP"/>
        </w:rPr>
        <w:lastRenderedPageBreak/>
        <w:t>Tableau 3</w:t>
      </w:r>
    </w:p>
    <w:p w14:paraId="6F69ED6E" w14:textId="77777777" w:rsidR="00E3306B" w:rsidRPr="00CD425C" w:rsidRDefault="00E3306B" w:rsidP="003E29EB">
      <w:pPr>
        <w:pStyle w:val="TableTitle0"/>
        <w:spacing w:after="240"/>
        <w:rPr>
          <w:rFonts w:asciiTheme="minorHAnsi" w:eastAsia="MS Mincho" w:hAnsiTheme="minorHAnsi" w:cstheme="minorHAnsi"/>
          <w:lang w:val="fr-FR" w:eastAsia="ja-JP"/>
        </w:rPr>
      </w:pPr>
      <w:r w:rsidRPr="00CD425C">
        <w:rPr>
          <w:rFonts w:asciiTheme="minorHAnsi" w:eastAsia="MS Mincho" w:hAnsiTheme="minorHAnsi" w:cstheme="minorHAnsi"/>
          <w:lang w:val="fr-FR" w:eastAsia="ja-JP"/>
        </w:rPr>
        <w:t>Imputation aux produits en fonction du temps</w:t>
      </w:r>
    </w:p>
    <w:bookmarkEnd w:id="20"/>
    <w:p w14:paraId="4DC6832E" w14:textId="3C8A1D3F" w:rsidR="00E3306B" w:rsidRPr="00CD425C" w:rsidRDefault="00173F01" w:rsidP="005042BC">
      <w:pPr>
        <w:pStyle w:val="Tabletext"/>
        <w:rPr>
          <w:rFonts w:eastAsia="MS Mincho"/>
          <w:sz w:val="2"/>
          <w:szCs w:val="2"/>
          <w:lang w:eastAsia="ja-JP"/>
        </w:rPr>
      </w:pPr>
      <w:r w:rsidRPr="00173F01">
        <w:rPr>
          <w:rFonts w:eastAsia="MS Mincho"/>
        </w:rPr>
        <w:drawing>
          <wp:inline distT="0" distB="0" distL="0" distR="0" wp14:anchorId="4E428CED" wp14:editId="11D60DEC">
            <wp:extent cx="6120765" cy="2004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2004060"/>
                    </a:xfrm>
                    <a:prstGeom prst="rect">
                      <a:avLst/>
                    </a:prstGeom>
                    <a:noFill/>
                    <a:ln>
                      <a:noFill/>
                    </a:ln>
                  </pic:spPr>
                </pic:pic>
              </a:graphicData>
            </a:graphic>
          </wp:inline>
        </w:drawing>
      </w:r>
    </w:p>
    <w:p w14:paraId="53A35D0B" w14:textId="77777777" w:rsidR="00E3306B" w:rsidRPr="00CD425C" w:rsidRDefault="00E3306B" w:rsidP="005042BC">
      <w:pPr>
        <w:pStyle w:val="Tabletext"/>
        <w:rPr>
          <w:rFonts w:eastAsia="MS Mincho"/>
          <w:sz w:val="2"/>
          <w:szCs w:val="2"/>
          <w:lang w:eastAsia="ja-JP"/>
        </w:rPr>
      </w:pPr>
    </w:p>
    <w:p w14:paraId="3D3546F6" w14:textId="0CED52B9" w:rsidR="00E3306B" w:rsidRPr="002F07E2" w:rsidRDefault="00E3306B" w:rsidP="002F07E2">
      <w:pPr>
        <w:pStyle w:val="Headingb"/>
      </w:pPr>
      <w:bookmarkStart w:id="21" w:name="_Toc68080054"/>
      <w:r w:rsidRPr="002F07E2">
        <w:t>F</w:t>
      </w:r>
      <w:r w:rsidR="002F07E2">
        <w:t>INANCEMENT DES RESSOURCES</w:t>
      </w:r>
      <w:bookmarkEnd w:id="21"/>
    </w:p>
    <w:p w14:paraId="3FF02EA6" w14:textId="579AB973" w:rsidR="00E3306B" w:rsidRPr="00CD425C" w:rsidRDefault="000B1E0A" w:rsidP="004C610F">
      <w:pPr>
        <w:rPr>
          <w:rFonts w:eastAsia="MS Mincho"/>
          <w:szCs w:val="24"/>
          <w:lang w:eastAsia="ja-JP"/>
        </w:rPr>
      </w:pPr>
      <w:r w:rsidRPr="00CD425C">
        <w:rPr>
          <w:szCs w:val="24"/>
        </w:rPr>
        <w:t>8</w:t>
      </w:r>
      <w:r w:rsidR="00E3306B" w:rsidRPr="00CD425C">
        <w:rPr>
          <w:szCs w:val="24"/>
        </w:rPr>
        <w:tab/>
      </w:r>
      <w:r w:rsidR="00E3306B" w:rsidRPr="00CD425C">
        <w:rPr>
          <w:rFonts w:eastAsia="MS Mincho"/>
          <w:szCs w:val="24"/>
          <w:lang w:eastAsia="ja-JP"/>
        </w:rPr>
        <w:t>Les recettes brutes générées par les manifestations ITU Telecom constituent la source de financement du budget du secrétariat d</w:t>
      </w:r>
      <w:r w:rsidR="005042BC">
        <w:rPr>
          <w:rFonts w:eastAsia="MS Mincho"/>
          <w:szCs w:val="24"/>
          <w:lang w:eastAsia="ja-JP"/>
        </w:rPr>
        <w:t>'</w:t>
      </w:r>
      <w:r w:rsidR="00E3306B" w:rsidRPr="00CD425C">
        <w:rPr>
          <w:rFonts w:eastAsia="MS Mincho"/>
          <w:szCs w:val="24"/>
          <w:lang w:eastAsia="ja-JP"/>
        </w:rPr>
        <w:t>ITU Telecom. Le Tableau 4 ci-après indique le montant estimé des produits et des charges pour 202</w:t>
      </w:r>
      <w:r w:rsidRPr="00CD425C">
        <w:rPr>
          <w:rFonts w:eastAsia="MS Mincho"/>
          <w:szCs w:val="24"/>
          <w:lang w:eastAsia="ja-JP"/>
        </w:rPr>
        <w:t>2</w:t>
      </w:r>
      <w:r w:rsidR="00E3306B" w:rsidRPr="00CD425C">
        <w:rPr>
          <w:rFonts w:eastAsia="MS Mincho"/>
          <w:szCs w:val="24"/>
          <w:lang w:eastAsia="ja-JP"/>
        </w:rPr>
        <w:t>-202</w:t>
      </w:r>
      <w:r w:rsidRPr="00CD425C">
        <w:rPr>
          <w:rFonts w:eastAsia="MS Mincho"/>
          <w:szCs w:val="24"/>
          <w:lang w:eastAsia="ja-JP"/>
        </w:rPr>
        <w:t>3</w:t>
      </w:r>
      <w:r w:rsidR="00E3306B" w:rsidRPr="00CD425C">
        <w:rPr>
          <w:rFonts w:eastAsia="MS Mincho"/>
          <w:szCs w:val="24"/>
          <w:lang w:eastAsia="ja-JP"/>
        </w:rPr>
        <w:t>. Avec un montant total estimé prévu de 1</w:t>
      </w:r>
      <w:r w:rsidRPr="00CD425C">
        <w:rPr>
          <w:rFonts w:eastAsia="MS Mincho"/>
          <w:szCs w:val="24"/>
          <w:lang w:eastAsia="ja-JP"/>
        </w:rPr>
        <w:t>4</w:t>
      </w:r>
      <w:r w:rsidR="00E3306B" w:rsidRPr="00CD425C">
        <w:rPr>
          <w:rFonts w:eastAsia="MS Mincho"/>
          <w:szCs w:val="24"/>
          <w:lang w:eastAsia="ja-JP"/>
        </w:rPr>
        <w:t> </w:t>
      </w:r>
      <w:r w:rsidRPr="00CD425C">
        <w:rPr>
          <w:rFonts w:eastAsia="MS Mincho"/>
          <w:szCs w:val="24"/>
          <w:lang w:eastAsia="ja-JP"/>
        </w:rPr>
        <w:t>985</w:t>
      </w:r>
      <w:r w:rsidR="00E3306B" w:rsidRPr="00CD425C">
        <w:rPr>
          <w:rFonts w:eastAsia="MS Mincho"/>
          <w:szCs w:val="24"/>
          <w:lang w:eastAsia="ja-JP"/>
        </w:rPr>
        <w:t> 000 CHF pour les produits et de 1</w:t>
      </w:r>
      <w:r w:rsidRPr="00CD425C">
        <w:rPr>
          <w:rFonts w:eastAsia="MS Mincho"/>
          <w:szCs w:val="24"/>
          <w:lang w:eastAsia="ja-JP"/>
        </w:rPr>
        <w:t>3</w:t>
      </w:r>
      <w:r w:rsidR="00E3306B" w:rsidRPr="00CD425C">
        <w:rPr>
          <w:rFonts w:eastAsia="MS Mincho"/>
          <w:szCs w:val="24"/>
          <w:lang w:eastAsia="ja-JP"/>
        </w:rPr>
        <w:t> 45</w:t>
      </w:r>
      <w:r w:rsidRPr="00CD425C">
        <w:rPr>
          <w:rFonts w:eastAsia="MS Mincho"/>
          <w:szCs w:val="24"/>
          <w:lang w:eastAsia="ja-JP"/>
        </w:rPr>
        <w:t>5</w:t>
      </w:r>
      <w:r w:rsidR="00E3306B" w:rsidRPr="00CD425C">
        <w:rPr>
          <w:rFonts w:eastAsia="MS Mincho"/>
          <w:szCs w:val="24"/>
          <w:lang w:eastAsia="ja-JP"/>
        </w:rPr>
        <w:t> 000 CHF pour les charges pour l</w:t>
      </w:r>
      <w:r w:rsidR="005042BC">
        <w:rPr>
          <w:rFonts w:eastAsia="MS Mincho"/>
          <w:szCs w:val="24"/>
          <w:lang w:eastAsia="ja-JP"/>
        </w:rPr>
        <w:t>'</w:t>
      </w:r>
      <w:r w:rsidR="00E3306B" w:rsidRPr="00CD425C">
        <w:rPr>
          <w:rFonts w:eastAsia="MS Mincho"/>
          <w:szCs w:val="24"/>
          <w:lang w:eastAsia="ja-JP"/>
        </w:rPr>
        <w:t>exercice biennal, le solde positif net devrait s</w:t>
      </w:r>
      <w:r w:rsidR="005042BC">
        <w:rPr>
          <w:rFonts w:eastAsia="MS Mincho"/>
          <w:szCs w:val="24"/>
          <w:lang w:eastAsia="ja-JP"/>
        </w:rPr>
        <w:t>'</w:t>
      </w:r>
      <w:r w:rsidR="00E3306B" w:rsidRPr="00CD425C">
        <w:rPr>
          <w:rFonts w:eastAsia="MS Mincho"/>
          <w:szCs w:val="24"/>
          <w:lang w:eastAsia="ja-JP"/>
        </w:rPr>
        <w:t xml:space="preserve">établir à </w:t>
      </w:r>
      <w:r w:rsidRPr="00CD425C">
        <w:rPr>
          <w:rFonts w:eastAsia="MS Mincho"/>
          <w:szCs w:val="24"/>
          <w:lang w:eastAsia="ja-JP"/>
        </w:rPr>
        <w:t>1 531</w:t>
      </w:r>
      <w:r w:rsidR="00E3306B" w:rsidRPr="00CD425C">
        <w:rPr>
          <w:rFonts w:eastAsia="MS Mincho"/>
          <w:szCs w:val="24"/>
          <w:lang w:eastAsia="ja-JP"/>
        </w:rPr>
        <w:t> 000 CHF pour 202</w:t>
      </w:r>
      <w:r w:rsidRPr="00CD425C">
        <w:rPr>
          <w:rFonts w:eastAsia="MS Mincho"/>
          <w:szCs w:val="24"/>
          <w:lang w:eastAsia="ja-JP"/>
        </w:rPr>
        <w:t>2</w:t>
      </w:r>
      <w:r w:rsidR="00E3306B" w:rsidRPr="00CD425C">
        <w:rPr>
          <w:rFonts w:eastAsia="MS Mincho"/>
          <w:szCs w:val="24"/>
          <w:lang w:eastAsia="ja-JP"/>
        </w:rPr>
        <w:t>-202</w:t>
      </w:r>
      <w:r w:rsidRPr="00CD425C">
        <w:rPr>
          <w:rFonts w:eastAsia="MS Mincho"/>
          <w:szCs w:val="24"/>
          <w:lang w:eastAsia="ja-JP"/>
        </w:rPr>
        <w:t>3</w:t>
      </w:r>
      <w:r w:rsidR="00E3306B" w:rsidRPr="00CD425C">
        <w:rPr>
          <w:rFonts w:eastAsia="MS Mincho"/>
          <w:szCs w:val="24"/>
          <w:lang w:eastAsia="ja-JP"/>
        </w:rPr>
        <w:t>.</w:t>
      </w:r>
    </w:p>
    <w:p w14:paraId="7C3A63A1" w14:textId="78EED75B" w:rsidR="00E3306B" w:rsidRPr="00CD425C" w:rsidRDefault="000B1E0A" w:rsidP="004C610F">
      <w:pPr>
        <w:rPr>
          <w:rFonts w:eastAsia="MS Mincho"/>
          <w:lang w:eastAsia="ja-JP"/>
        </w:rPr>
      </w:pPr>
      <w:r w:rsidRPr="00CD425C">
        <w:rPr>
          <w:rFonts w:eastAsia="MS Mincho"/>
          <w:lang w:eastAsia="ja-JP"/>
        </w:rPr>
        <w:t>9</w:t>
      </w:r>
      <w:r w:rsidR="00E3306B" w:rsidRPr="00CD425C">
        <w:rPr>
          <w:rFonts w:eastAsia="MS Mincho"/>
          <w:lang w:eastAsia="ja-JP"/>
        </w:rPr>
        <w:tab/>
        <w:t>Les sources de recettes sont l</w:t>
      </w:r>
      <w:r w:rsidR="005042BC">
        <w:rPr>
          <w:rFonts w:eastAsia="MS Mincho"/>
          <w:lang w:eastAsia="ja-JP"/>
        </w:rPr>
        <w:t>'</w:t>
      </w:r>
      <w:r w:rsidR="00E3306B" w:rsidRPr="00CD425C">
        <w:rPr>
          <w:rFonts w:eastAsia="MS Mincho"/>
          <w:lang w:eastAsia="ja-JP"/>
        </w:rPr>
        <w:t>espace loué, le soutien financier des sponsors, les contributions du pays hôte, les droits d</w:t>
      </w:r>
      <w:r w:rsidR="005042BC">
        <w:rPr>
          <w:rFonts w:eastAsia="MS Mincho"/>
          <w:lang w:eastAsia="ja-JP"/>
        </w:rPr>
        <w:t>'</w:t>
      </w:r>
      <w:r w:rsidR="00E3306B" w:rsidRPr="00CD425C">
        <w:rPr>
          <w:rFonts w:eastAsia="MS Mincho"/>
          <w:lang w:eastAsia="ja-JP"/>
        </w:rPr>
        <w:t>admission et d</w:t>
      </w:r>
      <w:r w:rsidR="005042BC">
        <w:rPr>
          <w:rFonts w:eastAsia="MS Mincho"/>
          <w:lang w:eastAsia="ja-JP"/>
        </w:rPr>
        <w:t>'</w:t>
      </w:r>
      <w:r w:rsidR="00E3306B" w:rsidRPr="00CD425C">
        <w:rPr>
          <w:rFonts w:eastAsia="MS Mincho"/>
          <w:lang w:eastAsia="ja-JP"/>
        </w:rPr>
        <w:t xml:space="preserve">autres recettes afférentes aux manifestations. ITU Telecom met tout en </w:t>
      </w:r>
      <w:proofErr w:type="spellStart"/>
      <w:r w:rsidR="00E3306B" w:rsidRPr="00CD425C">
        <w:rPr>
          <w:rFonts w:eastAsia="MS Mincho"/>
          <w:lang w:eastAsia="ja-JP"/>
        </w:rPr>
        <w:t>oeuvre</w:t>
      </w:r>
      <w:proofErr w:type="spellEnd"/>
      <w:r w:rsidR="00E3306B" w:rsidRPr="00CD425C">
        <w:rPr>
          <w:rFonts w:eastAsia="MS Mincho"/>
          <w:lang w:eastAsia="ja-JP"/>
        </w:rPr>
        <w:t xml:space="preserve"> pour fournir de nouveaux services afin de satisfaire les besoins en constante évolution de ses clients, tout en s</w:t>
      </w:r>
      <w:r w:rsidR="005042BC">
        <w:rPr>
          <w:rFonts w:eastAsia="MS Mincho"/>
          <w:lang w:eastAsia="ja-JP"/>
        </w:rPr>
        <w:t>'</w:t>
      </w:r>
      <w:r w:rsidR="00E3306B" w:rsidRPr="00CD425C">
        <w:rPr>
          <w:rFonts w:eastAsia="MS Mincho"/>
          <w:lang w:eastAsia="ja-JP"/>
        </w:rPr>
        <w:t>efforçant de dégager des recettes pour l</w:t>
      </w:r>
      <w:r w:rsidR="005042BC">
        <w:rPr>
          <w:rFonts w:eastAsia="MS Mincho"/>
          <w:lang w:eastAsia="ja-JP"/>
        </w:rPr>
        <w:t>'</w:t>
      </w:r>
      <w:r w:rsidR="00E3306B" w:rsidRPr="00CD425C">
        <w:rPr>
          <w:rFonts w:eastAsia="MS Mincho"/>
          <w:lang w:eastAsia="ja-JP"/>
        </w:rPr>
        <w:t>UIT. Les charges totales se composent des charges de base du secrétariat d</w:t>
      </w:r>
      <w:r w:rsidR="005042BC">
        <w:rPr>
          <w:rFonts w:eastAsia="MS Mincho"/>
          <w:lang w:eastAsia="ja-JP"/>
        </w:rPr>
        <w:t>'</w:t>
      </w:r>
      <w:r w:rsidR="00E3306B" w:rsidRPr="00CD425C">
        <w:rPr>
          <w:rFonts w:eastAsia="MS Mincho"/>
          <w:lang w:eastAsia="ja-JP"/>
        </w:rPr>
        <w:t>ITU Telecom (</w:t>
      </w:r>
      <w:r w:rsidRPr="00CD425C">
        <w:rPr>
          <w:rFonts w:eastAsia="MS Mincho"/>
          <w:lang w:eastAsia="ja-JP"/>
        </w:rPr>
        <w:t>8,6</w:t>
      </w:r>
      <w:r w:rsidR="00E3306B" w:rsidRPr="00CD425C">
        <w:rPr>
          <w:rFonts w:eastAsia="MS Mincho"/>
          <w:lang w:eastAsia="ja-JP"/>
        </w:rPr>
        <w:t> millions CHF) qui comprennent le recouvrement des coûts (3 millions CHF) et les charges liées aux manifestations proprement dites (charges de personnel, frais de mission, services contractuels, services de location et de maintenance, matériels et fournitures, services publics et divers).</w:t>
      </w:r>
    </w:p>
    <w:p w14:paraId="670D02B5" w14:textId="77777777" w:rsidR="00E3306B" w:rsidRPr="005042BC" w:rsidRDefault="00E3306B" w:rsidP="005042BC">
      <w:pPr>
        <w:pStyle w:val="TableNo"/>
      </w:pPr>
      <w:bookmarkStart w:id="22" w:name="_Hlk132960417"/>
      <w:r w:rsidRPr="005042BC">
        <w:rPr>
          <w:rFonts w:eastAsia="MS Mincho"/>
        </w:rPr>
        <w:lastRenderedPageBreak/>
        <w:t>Tableau 4</w:t>
      </w:r>
    </w:p>
    <w:p w14:paraId="792DD741" w14:textId="0D9C048F" w:rsidR="00E3306B" w:rsidRPr="00CD425C" w:rsidRDefault="009A0BB2" w:rsidP="00AB7551">
      <w:pPr>
        <w:pStyle w:val="TableTitle0"/>
        <w:spacing w:after="240"/>
        <w:rPr>
          <w:rFonts w:asciiTheme="minorHAnsi" w:hAnsiTheme="minorHAnsi" w:cstheme="minorHAnsi"/>
          <w:lang w:val="fr-FR"/>
        </w:rPr>
      </w:pPr>
      <w:r w:rsidRPr="00CD425C">
        <w:rPr>
          <w:rFonts w:asciiTheme="minorHAnsi" w:eastAsia="MS Mincho" w:hAnsiTheme="minorHAnsi" w:cstheme="minorHAnsi"/>
          <w:lang w:val="fr-FR" w:eastAsia="ja-JP"/>
        </w:rPr>
        <w:t>Financement pour 2022-2023</w:t>
      </w:r>
    </w:p>
    <w:bookmarkEnd w:id="22"/>
    <w:p w14:paraId="2F53BA19" w14:textId="0E90DB1D" w:rsidR="000B1E0A" w:rsidRPr="00CD425C" w:rsidRDefault="00173F01" w:rsidP="005042BC">
      <w:pPr>
        <w:pStyle w:val="Tabletext"/>
        <w:jc w:val="center"/>
        <w:rPr>
          <w:rFonts w:eastAsia="MS Mincho"/>
          <w:lang w:eastAsia="ja-JP"/>
        </w:rPr>
        <w:sectPr w:rsidR="000B1E0A" w:rsidRPr="00CD425C" w:rsidSect="005C3890">
          <w:pgSz w:w="11907" w:h="16840" w:code="9"/>
          <w:pgMar w:top="1418" w:right="1134" w:bottom="1418" w:left="1134" w:header="720" w:footer="720" w:gutter="0"/>
          <w:paperSrc w:first="261" w:other="261"/>
          <w:cols w:space="720"/>
          <w:titlePg/>
        </w:sectPr>
      </w:pPr>
      <w:r w:rsidRPr="00173F01">
        <w:rPr>
          <w:rFonts w:eastAsia="MS Mincho"/>
        </w:rPr>
        <w:drawing>
          <wp:inline distT="0" distB="0" distL="0" distR="0" wp14:anchorId="6EE631E8" wp14:editId="2B95CE1A">
            <wp:extent cx="6120765" cy="5742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5742305"/>
                    </a:xfrm>
                    <a:prstGeom prst="rect">
                      <a:avLst/>
                    </a:prstGeom>
                    <a:noFill/>
                    <a:ln>
                      <a:noFill/>
                    </a:ln>
                  </pic:spPr>
                </pic:pic>
              </a:graphicData>
            </a:graphic>
          </wp:inline>
        </w:drawing>
      </w:r>
    </w:p>
    <w:p w14:paraId="6EA7E254" w14:textId="60D6E673" w:rsidR="00E3306B" w:rsidRPr="00CD425C" w:rsidRDefault="00E3306B" w:rsidP="005042BC">
      <w:pPr>
        <w:pStyle w:val="Tabletext"/>
        <w:jc w:val="center"/>
        <w:rPr>
          <w:rFonts w:eastAsia="MS Mincho"/>
          <w:sz w:val="2"/>
          <w:szCs w:val="2"/>
          <w:lang w:eastAsia="ja-JP"/>
        </w:rPr>
      </w:pPr>
    </w:p>
    <w:p w14:paraId="39A2AB53" w14:textId="6746808A" w:rsidR="00E3306B" w:rsidRPr="002F07E2" w:rsidRDefault="00E3306B" w:rsidP="002F07E2">
      <w:pPr>
        <w:pStyle w:val="Headingb"/>
      </w:pPr>
      <w:bookmarkStart w:id="23" w:name="_Toc68080055"/>
      <w:r w:rsidRPr="002F07E2">
        <w:t>F</w:t>
      </w:r>
      <w:r w:rsidR="002F07E2">
        <w:t xml:space="preserve">ONDS DE ROULEMENT DES EXPOSITIONS </w:t>
      </w:r>
      <w:r w:rsidRPr="002F07E2">
        <w:t>(EWCF)</w:t>
      </w:r>
      <w:bookmarkEnd w:id="23"/>
    </w:p>
    <w:p w14:paraId="30935DE7" w14:textId="45E72C17" w:rsidR="00E3306B" w:rsidRPr="00CD425C" w:rsidRDefault="00E3306B" w:rsidP="008A010F">
      <w:pPr>
        <w:rPr>
          <w:rFonts w:eastAsia="MS Mincho"/>
          <w:szCs w:val="24"/>
          <w:lang w:eastAsia="ja-JP"/>
        </w:rPr>
      </w:pPr>
      <w:r w:rsidRPr="00CD425C">
        <w:rPr>
          <w:szCs w:val="24"/>
        </w:rPr>
        <w:t>1</w:t>
      </w:r>
      <w:r w:rsidR="000B1E0A" w:rsidRPr="00CD425C">
        <w:rPr>
          <w:szCs w:val="24"/>
        </w:rPr>
        <w:t>0</w:t>
      </w:r>
      <w:r w:rsidRPr="00CD425C">
        <w:rPr>
          <w:szCs w:val="24"/>
        </w:rPr>
        <w:tab/>
      </w:r>
      <w:r w:rsidRPr="00CD425C">
        <w:rPr>
          <w:rFonts w:eastAsia="MS Mincho"/>
          <w:szCs w:val="24"/>
          <w:lang w:eastAsia="ja-JP"/>
        </w:rPr>
        <w:t>Après la clôture des comptes pour chaque manifestation ITU Telecom, le résultat net est transféré dans le Fonds de roulement des expositions, conformément à la Règle 4 de l</w:t>
      </w:r>
      <w:r w:rsidR="005042BC">
        <w:rPr>
          <w:rFonts w:eastAsia="MS Mincho"/>
          <w:szCs w:val="24"/>
          <w:lang w:eastAsia="ja-JP"/>
        </w:rPr>
        <w:t>'</w:t>
      </w:r>
      <w:r w:rsidRPr="00CD425C">
        <w:rPr>
          <w:rFonts w:eastAsia="MS Mincho"/>
          <w:szCs w:val="24"/>
          <w:lang w:eastAsia="ja-JP"/>
        </w:rPr>
        <w:t>Article 19 du Règlement financier et des Règles financières de l</w:t>
      </w:r>
      <w:r w:rsidR="005042BC">
        <w:rPr>
          <w:rFonts w:eastAsia="MS Mincho"/>
          <w:szCs w:val="24"/>
          <w:lang w:eastAsia="ja-JP"/>
        </w:rPr>
        <w:t>'</w:t>
      </w:r>
      <w:r w:rsidRPr="00CD425C">
        <w:rPr>
          <w:rFonts w:eastAsia="MS Mincho"/>
          <w:szCs w:val="24"/>
          <w:lang w:eastAsia="ja-JP"/>
        </w:rPr>
        <w:t>UIT. Un résultat positif fait augmenter le solde du Fonds de roulement des expositions tandis qu</w:t>
      </w:r>
      <w:r w:rsidR="005042BC">
        <w:rPr>
          <w:rFonts w:eastAsia="MS Mincho"/>
          <w:szCs w:val="24"/>
          <w:lang w:eastAsia="ja-JP"/>
        </w:rPr>
        <w:t>'</w:t>
      </w:r>
      <w:r w:rsidRPr="00CD425C">
        <w:rPr>
          <w:rFonts w:eastAsia="MS Mincho"/>
          <w:szCs w:val="24"/>
          <w:lang w:eastAsia="ja-JP"/>
        </w:rPr>
        <w:t>un résultat négatif se traduit par une baisse du montant de ce Fonds utilisé pour absorber le déficit.</w:t>
      </w:r>
    </w:p>
    <w:p w14:paraId="20863D16" w14:textId="40353725" w:rsidR="00E3306B" w:rsidRPr="00CD425C" w:rsidRDefault="00E3306B" w:rsidP="008A010F">
      <w:r w:rsidRPr="00CD425C">
        <w:t>1</w:t>
      </w:r>
      <w:r w:rsidR="000B1E0A" w:rsidRPr="00CD425C">
        <w:t>1</w:t>
      </w:r>
      <w:r w:rsidRPr="00CD425C">
        <w:tab/>
        <w:t>Le Conseil de l</w:t>
      </w:r>
      <w:r w:rsidR="005042BC">
        <w:t>'</w:t>
      </w:r>
      <w:r w:rsidRPr="00CD425C">
        <w:t>UIT a fixé à 5 millions CHF le niveau minimum du Fonds de roulement des expositions afin qu</w:t>
      </w:r>
      <w:r w:rsidR="005042BC">
        <w:t>'</w:t>
      </w:r>
      <w:r w:rsidRPr="00CD425C">
        <w:t>ITU Telecom puisse fonctionner et s</w:t>
      </w:r>
      <w:r w:rsidR="005042BC">
        <w:t>'</w:t>
      </w:r>
      <w:r w:rsidRPr="00CD425C">
        <w:t>acquitter de ses obligations financières. Le tableau ci-après indique les montants disponibles dans le Fonds de roulement des expositions à la fin de chaque année entre 20</w:t>
      </w:r>
      <w:r w:rsidR="000B1E0A" w:rsidRPr="00CD425C">
        <w:t>15</w:t>
      </w:r>
      <w:r w:rsidRPr="00CD425C">
        <w:t xml:space="preserve"> et 20</w:t>
      </w:r>
      <w:r w:rsidR="000B1E0A" w:rsidRPr="00CD425C">
        <w:t>20</w:t>
      </w:r>
      <w:r w:rsidRPr="00CD425C">
        <w:t>.</w:t>
      </w:r>
    </w:p>
    <w:p w14:paraId="58E24A7C" w14:textId="77777777" w:rsidR="00E3306B" w:rsidRPr="00CD425C" w:rsidRDefault="00E3306B" w:rsidP="005042BC">
      <w:pPr>
        <w:pStyle w:val="TableNo"/>
        <w:rPr>
          <w:rFonts w:asciiTheme="minorHAnsi" w:hAnsiTheme="minorHAnsi" w:cstheme="minorHAnsi"/>
        </w:rPr>
      </w:pPr>
      <w:bookmarkStart w:id="24" w:name="_Hlk132960460"/>
      <w:r w:rsidRPr="00CD425C">
        <w:rPr>
          <w:rFonts w:asciiTheme="minorHAnsi" w:hAnsiTheme="minorHAnsi" w:cstheme="minorHAnsi"/>
        </w:rPr>
        <w:t>Tableau 5</w:t>
      </w:r>
    </w:p>
    <w:p w14:paraId="7C505A8C" w14:textId="48C00B53" w:rsidR="00E3306B" w:rsidRPr="00CD425C" w:rsidRDefault="009A0BB2" w:rsidP="005042BC">
      <w:pPr>
        <w:pStyle w:val="TableTitle0"/>
        <w:rPr>
          <w:rFonts w:asciiTheme="minorHAnsi" w:hAnsiTheme="minorHAnsi" w:cstheme="minorHAnsi"/>
          <w:lang w:val="fr-FR"/>
        </w:rPr>
      </w:pPr>
      <w:r w:rsidRPr="00CD425C">
        <w:rPr>
          <w:rFonts w:asciiTheme="minorHAnsi" w:hAnsiTheme="minorHAnsi" w:cstheme="minorHAnsi"/>
          <w:lang w:val="fr-FR"/>
        </w:rPr>
        <w:t>Situation du Fonds de roulement des expositions</w:t>
      </w:r>
    </w:p>
    <w:bookmarkEnd w:id="24"/>
    <w:p w14:paraId="31AEB574" w14:textId="2F47CD5F" w:rsidR="00E3306B" w:rsidRPr="00CD425C" w:rsidRDefault="00173F01" w:rsidP="005042BC">
      <w:pPr>
        <w:pStyle w:val="Tabletext"/>
        <w:jc w:val="center"/>
        <w:rPr>
          <w:sz w:val="2"/>
          <w:szCs w:val="2"/>
        </w:rPr>
      </w:pPr>
      <w:r w:rsidRPr="00173F01">
        <w:drawing>
          <wp:inline distT="0" distB="0" distL="0" distR="0" wp14:anchorId="1502CCFE" wp14:editId="31B49F50">
            <wp:extent cx="6120765" cy="8553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855345"/>
                    </a:xfrm>
                    <a:prstGeom prst="rect">
                      <a:avLst/>
                    </a:prstGeom>
                    <a:noFill/>
                    <a:ln>
                      <a:noFill/>
                    </a:ln>
                  </pic:spPr>
                </pic:pic>
              </a:graphicData>
            </a:graphic>
          </wp:inline>
        </w:drawing>
      </w:r>
    </w:p>
    <w:p w14:paraId="2A0BCA26" w14:textId="7A2D0316" w:rsidR="008A010F" w:rsidRDefault="00E3306B" w:rsidP="00AB7551">
      <w:pPr>
        <w:pStyle w:val="Reasons"/>
        <w:spacing w:before="360"/>
      </w:pPr>
      <w:r w:rsidRPr="00CD425C">
        <w:t>1</w:t>
      </w:r>
      <w:r w:rsidR="00703A86" w:rsidRPr="00CD425C">
        <w:t>2</w:t>
      </w:r>
      <w:r w:rsidRPr="00CD425C">
        <w:tab/>
        <w:t>Le résultat positif de la manifestation ITU Telecom World 20</w:t>
      </w:r>
      <w:r w:rsidR="00703A86" w:rsidRPr="00CD425C">
        <w:t>15</w:t>
      </w:r>
      <w:r w:rsidRPr="00CD425C">
        <w:t xml:space="preserve"> est reflété dans le solde pour 201</w:t>
      </w:r>
      <w:r w:rsidR="00703A86" w:rsidRPr="00CD425C">
        <w:t>5</w:t>
      </w:r>
      <w:r w:rsidRPr="00CD425C">
        <w:t>. L</w:t>
      </w:r>
      <w:r w:rsidR="005042BC">
        <w:t>'</w:t>
      </w:r>
      <w:r w:rsidRPr="00CD425C">
        <w:t>excédent dégagé en 2016 a été nettement plus élevé que celui prévu dans le budget, ce qui explique l</w:t>
      </w:r>
      <w:r w:rsidR="005042BC">
        <w:t>'</w:t>
      </w:r>
      <w:r w:rsidRPr="00CD425C">
        <w:t xml:space="preserve">augmentation de plus de 9% du solde pour 2016 par rapport à 2015. Bien que la manifestation ITU Telecom World 2017 ait été excédentaire, le solde pour 2017 est inférieur de </w:t>
      </w:r>
      <w:r w:rsidR="003C79E6" w:rsidRPr="00CD425C">
        <w:t xml:space="preserve">presque </w:t>
      </w:r>
      <w:r w:rsidRPr="00CD425C">
        <w:t>20% par rapport au solde pour 2016, en raison du transfert d</w:t>
      </w:r>
      <w:r w:rsidR="005042BC">
        <w:t>'</w:t>
      </w:r>
      <w:r w:rsidRPr="00CD425C">
        <w:t>un montant de 2 millions CHF dans le Fonds pour le développement des TIC. Le solde pour 2018 traduit le résultat négatif de la manifestation ITU Telecom World 2018, qui tient compte des dettes non encore réglées au moment de la clôture des compte</w:t>
      </w:r>
      <w:r w:rsidR="00703A86" w:rsidRPr="00CD425C">
        <w:t xml:space="preserve">s. </w:t>
      </w:r>
      <w:r w:rsidR="003C79E6" w:rsidRPr="00CD425C">
        <w:t>En revanche</w:t>
      </w:r>
      <w:r w:rsidR="00703A86" w:rsidRPr="00CD425C">
        <w:t xml:space="preserve">, </w:t>
      </w:r>
      <w:r w:rsidR="00A03A5D" w:rsidRPr="00CD425C">
        <w:t xml:space="preserve">le résultat positif de </w:t>
      </w:r>
      <w:r w:rsidR="003C79E6" w:rsidRPr="00CD425C">
        <w:t xml:space="preserve">la manifestation </w:t>
      </w:r>
      <w:r w:rsidR="00703A86" w:rsidRPr="00CD425C">
        <w:t>ITU Telecom World 2019</w:t>
      </w:r>
      <w:r w:rsidR="00EC6445">
        <w:t xml:space="preserve"> est reflété dans le solde </w:t>
      </w:r>
      <w:r w:rsidR="00EC6445" w:rsidRPr="00CD425C">
        <w:t>à la fin de l</w:t>
      </w:r>
      <w:r w:rsidR="005042BC">
        <w:t>'</w:t>
      </w:r>
      <w:r w:rsidR="00EC6445" w:rsidRPr="00CD425C">
        <w:t>année 2019</w:t>
      </w:r>
      <w:r w:rsidR="00703A86" w:rsidRPr="00CD425C">
        <w:t xml:space="preserve">. </w:t>
      </w:r>
      <w:r w:rsidR="003C79E6" w:rsidRPr="00CD425C">
        <w:t xml:space="preserve">Le solde </w:t>
      </w:r>
      <w:r w:rsidR="00A03A5D" w:rsidRPr="00CD425C">
        <w:t xml:space="preserve">pour </w:t>
      </w:r>
      <w:r w:rsidR="00703A86" w:rsidRPr="00CD425C">
        <w:t xml:space="preserve">2020 </w:t>
      </w:r>
      <w:r w:rsidR="003C79E6" w:rsidRPr="00CD425C">
        <w:t xml:space="preserve">est inférieur de </w:t>
      </w:r>
      <w:r w:rsidR="00703A86" w:rsidRPr="00CD425C">
        <w:t xml:space="preserve">24% </w:t>
      </w:r>
      <w:r w:rsidR="00EC6445">
        <w:t xml:space="preserve">à celui-ci </w:t>
      </w:r>
      <w:r w:rsidR="003C79E6" w:rsidRPr="00CD425C">
        <w:t xml:space="preserve">pour </w:t>
      </w:r>
      <w:r w:rsidR="00703A86" w:rsidRPr="00CD425C">
        <w:t>2019</w:t>
      </w:r>
      <w:r w:rsidR="003C79E6" w:rsidRPr="00CD425C">
        <w:t>, ce qui s</w:t>
      </w:r>
      <w:r w:rsidR="005042BC">
        <w:t>'</w:t>
      </w:r>
      <w:r w:rsidR="003C79E6" w:rsidRPr="00CD425C">
        <w:t xml:space="preserve">explique par </w:t>
      </w:r>
      <w:r w:rsidR="00D867B5">
        <w:t xml:space="preserve">un montant nettement inférieur </w:t>
      </w:r>
      <w:r w:rsidR="000B1F18" w:rsidRPr="00CD425C">
        <w:t xml:space="preserve">des produits (provenant uniquement de </w:t>
      </w:r>
      <w:r w:rsidR="00EC6445">
        <w:t xml:space="preserve">la </w:t>
      </w:r>
      <w:r w:rsidR="000B1F18" w:rsidRPr="00CD425C">
        <w:t xml:space="preserve">manifestation virtuelle </w:t>
      </w:r>
      <w:r w:rsidR="00EC6445">
        <w:t xml:space="preserve">tenue </w:t>
      </w:r>
      <w:r w:rsidR="000B1F18" w:rsidRPr="00CD425C">
        <w:t xml:space="preserve">en 2020) </w:t>
      </w:r>
      <w:r w:rsidR="00D867B5">
        <w:t xml:space="preserve">dû </w:t>
      </w:r>
      <w:r w:rsidR="000B1F18" w:rsidRPr="00CD425C">
        <w:t xml:space="preserve">au </w:t>
      </w:r>
      <w:r w:rsidR="003C79E6" w:rsidRPr="00CD425C">
        <w:t xml:space="preserve">report de la manifestation </w:t>
      </w:r>
      <w:r w:rsidR="00703A86" w:rsidRPr="00CD425C">
        <w:t>ITU Digital World 2020</w:t>
      </w:r>
      <w:r w:rsidR="000B1F18" w:rsidRPr="00CD425C">
        <w:t>, tandis que</w:t>
      </w:r>
      <w:r w:rsidR="00703A86" w:rsidRPr="00CD425C">
        <w:t xml:space="preserve"> </w:t>
      </w:r>
      <w:r w:rsidR="000B1F18" w:rsidRPr="00CD425C">
        <w:t>les salaires du personnel du Secrétariat d</w:t>
      </w:r>
      <w:r w:rsidR="005042BC">
        <w:t>'</w:t>
      </w:r>
      <w:r w:rsidR="000B1F18" w:rsidRPr="00CD425C">
        <w:t xml:space="preserve">ITU </w:t>
      </w:r>
      <w:r w:rsidR="00703A86" w:rsidRPr="00CD425C">
        <w:t xml:space="preserve">Telecom </w:t>
      </w:r>
      <w:r w:rsidR="000B1F18" w:rsidRPr="00CD425C">
        <w:t>ont continué d</w:t>
      </w:r>
      <w:r w:rsidR="005042BC">
        <w:t>'</w:t>
      </w:r>
      <w:r w:rsidR="000B1F18" w:rsidRPr="00CD425C">
        <w:t>être payés</w:t>
      </w:r>
      <w:r w:rsidR="00703A86" w:rsidRPr="00CD425C">
        <w:t xml:space="preserve">. </w:t>
      </w:r>
      <w:r w:rsidR="000B1F18" w:rsidRPr="00CD425C">
        <w:t xml:space="preserve">Les montants versés au cabinet de conseil </w:t>
      </w:r>
      <w:r w:rsidR="00703A86" w:rsidRPr="00CD425C">
        <w:t xml:space="preserve">Dalberg </w:t>
      </w:r>
      <w:r w:rsidR="00CD425C" w:rsidRPr="00CD425C">
        <w:t xml:space="preserve">pour </w:t>
      </w:r>
      <w:r w:rsidR="00703A86" w:rsidRPr="00CD425C">
        <w:t xml:space="preserve">2019-2020 </w:t>
      </w:r>
      <w:r w:rsidR="000B1F18" w:rsidRPr="00CD425C">
        <w:t>ont été prélevés sur le Fonds de roulement des expositions</w:t>
      </w:r>
      <w:r w:rsidR="00703A86" w:rsidRPr="00CD425C">
        <w:t>.</w:t>
      </w:r>
    </w:p>
    <w:p w14:paraId="30AAD3E6" w14:textId="77777777" w:rsidR="008A010F" w:rsidRDefault="008A010F" w:rsidP="0032202E">
      <w:pPr>
        <w:pStyle w:val="Reasons"/>
      </w:pPr>
    </w:p>
    <w:p w14:paraId="2156D48C" w14:textId="77777777" w:rsidR="008A010F" w:rsidRDefault="008A010F">
      <w:pPr>
        <w:jc w:val="center"/>
      </w:pPr>
      <w:r>
        <w:t>______________</w:t>
      </w:r>
    </w:p>
    <w:sectPr w:rsidR="008A010F" w:rsidSect="005C389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BD09" w14:textId="77777777" w:rsidR="00702D6B" w:rsidRDefault="00702D6B">
      <w:r>
        <w:separator/>
      </w:r>
    </w:p>
  </w:endnote>
  <w:endnote w:type="continuationSeparator" w:id="0">
    <w:p w14:paraId="2AE0CB85" w14:textId="77777777" w:rsidR="00702D6B" w:rsidRDefault="0070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EA80" w14:textId="23DDAF55" w:rsidR="00732045" w:rsidRDefault="00403493">
    <w:pPr>
      <w:pStyle w:val="Footer"/>
    </w:pPr>
    <w:fldSimple w:instr=" FILENAME \p \* MERGEFORMAT ">
      <w:r w:rsidR="00E33F7F">
        <w:t>P:\FRA\SG\CONSEIL\C21\000\065ADD01F.docx</w:t>
      </w:r>
    </w:fldSimple>
    <w:r w:rsidR="00732045">
      <w:tab/>
    </w:r>
    <w:r w:rsidR="002F1B76">
      <w:fldChar w:fldCharType="begin"/>
    </w:r>
    <w:r w:rsidR="00732045">
      <w:instrText xml:space="preserve"> savedate \@ dd.MM.yy </w:instrText>
    </w:r>
    <w:r w:rsidR="002F1B76">
      <w:fldChar w:fldCharType="separate"/>
    </w:r>
    <w:r w:rsidR="00173F01">
      <w:t>31.03.21</w:t>
    </w:r>
    <w:r w:rsidR="002F1B76">
      <w:fldChar w:fldCharType="end"/>
    </w:r>
    <w:r w:rsidR="00732045">
      <w:tab/>
    </w:r>
    <w:r w:rsidR="002F1B76">
      <w:fldChar w:fldCharType="begin"/>
    </w:r>
    <w:r w:rsidR="00732045">
      <w:instrText xml:space="preserve"> printdate \@ dd.MM.yy </w:instrText>
    </w:r>
    <w:r w:rsidR="002F1B76">
      <w:fldChar w:fldCharType="separate"/>
    </w:r>
    <w:r w:rsidR="00E33F7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34BE" w14:textId="40531FBF" w:rsidR="00732045" w:rsidRDefault="00403493" w:rsidP="001F498C">
    <w:pPr>
      <w:pStyle w:val="Footer"/>
    </w:pPr>
    <w:fldSimple w:instr=" FILENAME \p  \* MERGEFORMAT ">
      <w:r w:rsidR="00E33F7F">
        <w:t>P:\FRA\SG\CONSEIL\C21\000\065ADD01F.docx</w:t>
      </w:r>
    </w:fldSimple>
    <w:r w:rsidR="001F498C">
      <w:t xml:space="preserve"> (483264)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C6EB" w14:textId="77777777" w:rsidR="00F23A72" w:rsidRDefault="00F23A72" w:rsidP="00F23A72">
    <w:pPr>
      <w:spacing w:after="120"/>
      <w:jc w:val="center"/>
    </w:pPr>
    <w:r>
      <w:t xml:space="preserve">• </w:t>
    </w:r>
    <w:hyperlink r:id="rId1" w:history="1">
      <w:r w:rsidRPr="00BB2534">
        <w:rPr>
          <w:rStyle w:val="Hyperlink"/>
          <w:rFonts w:asciiTheme="minorHAnsi" w:hAnsiTheme="minorHAnsi" w:cstheme="minorHAnsi"/>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A4CA" w14:textId="1FAD80FB" w:rsidR="0029334D" w:rsidRDefault="00173F01" w:rsidP="005F33E1">
    <w:pPr>
      <w:pStyle w:val="Footer"/>
    </w:pPr>
    <w:r>
      <w:fldChar w:fldCharType="begin"/>
    </w:r>
    <w:r>
      <w:instrText xml:space="preserve"> FILENAME \p  \* MERGEFORMAT </w:instrText>
    </w:r>
    <w:r>
      <w:fldChar w:fldCharType="separate"/>
    </w:r>
    <w:r w:rsidR="00E33F7F">
      <w:t>P:\FRA\SG\CONSEIL\C21\000\065ADD01F.docx</w:t>
    </w:r>
    <w:r>
      <w:fldChar w:fldCharType="end"/>
    </w:r>
    <w:r w:rsidR="005F33E1">
      <w:t xml:space="preserve"> (485503)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DE4D" w14:textId="6BCD0C24" w:rsidR="00703A86" w:rsidRPr="00703A86" w:rsidRDefault="00173F01" w:rsidP="005042BC">
    <w:pPr>
      <w:pStyle w:val="Footer"/>
    </w:pPr>
    <w:r>
      <w:fldChar w:fldCharType="begin"/>
    </w:r>
    <w:r>
      <w:instrText xml:space="preserve"> FILENAME \p  \* MERGEFORMAT </w:instrText>
    </w:r>
    <w:r>
      <w:fldChar w:fldCharType="separate"/>
    </w:r>
    <w:r w:rsidR="00E33F7F">
      <w:t>P:\FRA\SG\CONSEIL\C21\000\065ADD01F.docx</w:t>
    </w:r>
    <w:r>
      <w:fldChar w:fldCharType="end"/>
    </w:r>
    <w:r w:rsidR="005042BC">
      <w:t xml:space="preserve"> (485503)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8971" w14:textId="77777777" w:rsidR="00702D6B" w:rsidRDefault="00702D6B">
      <w:r>
        <w:t>____________________</w:t>
      </w:r>
    </w:p>
  </w:footnote>
  <w:footnote w:type="continuationSeparator" w:id="0">
    <w:p w14:paraId="13AFF522" w14:textId="77777777" w:rsidR="00702D6B" w:rsidRDefault="00702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5CC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EDE3C9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43C4" w14:textId="798475E9" w:rsidR="00703A86" w:rsidRDefault="00703A86" w:rsidP="00703A86">
    <w:pPr>
      <w:pStyle w:val="Header"/>
    </w:pPr>
    <w:r>
      <w:fldChar w:fldCharType="begin"/>
    </w:r>
    <w:r>
      <w:instrText>PAGE</w:instrText>
    </w:r>
    <w:r>
      <w:fldChar w:fldCharType="separate"/>
    </w:r>
    <w:r w:rsidR="00403493">
      <w:rPr>
        <w:noProof/>
      </w:rPr>
      <w:t>6</w:t>
    </w:r>
    <w:r>
      <w:rPr>
        <w:noProof/>
      </w:rPr>
      <w:fldChar w:fldCharType="end"/>
    </w:r>
  </w:p>
  <w:p w14:paraId="43DFAFF6" w14:textId="133971E5" w:rsidR="00703A86" w:rsidRDefault="00703A86" w:rsidP="00703A86">
    <w:pPr>
      <w:pStyle w:val="Header"/>
    </w:pPr>
    <w:r>
      <w:t>C</w:t>
    </w:r>
    <w:r w:rsidR="001E3D5B">
      <w:t>21</w:t>
    </w:r>
    <w:r>
      <w:t>/</w:t>
    </w:r>
    <w:r w:rsidR="001E3D5B">
      <w:t>6</w:t>
    </w:r>
    <w:r>
      <w:t>5(Add.1)-F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1B10" w14:textId="5BDF1B52" w:rsidR="00703A86" w:rsidRDefault="00703A86" w:rsidP="00703A86">
    <w:pPr>
      <w:pStyle w:val="Header"/>
    </w:pPr>
    <w:r>
      <w:fldChar w:fldCharType="begin"/>
    </w:r>
    <w:r>
      <w:instrText>PAGE</w:instrText>
    </w:r>
    <w:r>
      <w:fldChar w:fldCharType="separate"/>
    </w:r>
    <w:r w:rsidR="00403493">
      <w:rPr>
        <w:noProof/>
      </w:rPr>
      <w:t>4</w:t>
    </w:r>
    <w:r>
      <w:rPr>
        <w:noProof/>
      </w:rPr>
      <w:fldChar w:fldCharType="end"/>
    </w:r>
  </w:p>
  <w:p w14:paraId="59FFF912" w14:textId="125115E9" w:rsidR="00703A86" w:rsidRDefault="00703A86" w:rsidP="00703A86">
    <w:pPr>
      <w:pStyle w:val="Header"/>
    </w:pPr>
    <w:r>
      <w:t>C</w:t>
    </w:r>
    <w:r w:rsidR="001E3D5B">
      <w:t>21</w:t>
    </w:r>
    <w:r>
      <w:t>/</w:t>
    </w:r>
    <w:r w:rsidR="001E3D5B">
      <w:t>6</w:t>
    </w:r>
    <w:r>
      <w:t>5(Add.1)-F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08F9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CA18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E4D7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B84C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4CB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E1F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02E9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29A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94F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52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AA1223"/>
    <w:multiLevelType w:val="hybridMultilevel"/>
    <w:tmpl w:val="02060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48544493">
    <w:abstractNumId w:val="10"/>
  </w:num>
  <w:num w:numId="2" w16cid:durableId="1648166145">
    <w:abstractNumId w:val="9"/>
  </w:num>
  <w:num w:numId="3" w16cid:durableId="475492181">
    <w:abstractNumId w:val="7"/>
  </w:num>
  <w:num w:numId="4" w16cid:durableId="1480686633">
    <w:abstractNumId w:val="6"/>
  </w:num>
  <w:num w:numId="5" w16cid:durableId="45296276">
    <w:abstractNumId w:val="5"/>
  </w:num>
  <w:num w:numId="6" w16cid:durableId="912664043">
    <w:abstractNumId w:val="4"/>
  </w:num>
  <w:num w:numId="7" w16cid:durableId="777876414">
    <w:abstractNumId w:val="8"/>
  </w:num>
  <w:num w:numId="8" w16cid:durableId="228270364">
    <w:abstractNumId w:val="3"/>
  </w:num>
  <w:num w:numId="9" w16cid:durableId="1683313768">
    <w:abstractNumId w:val="2"/>
  </w:num>
  <w:num w:numId="10" w16cid:durableId="374741644">
    <w:abstractNumId w:val="1"/>
  </w:num>
  <w:num w:numId="11" w16cid:durableId="689456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D6B"/>
    <w:rsid w:val="000B1E0A"/>
    <w:rsid w:val="000B1F18"/>
    <w:rsid w:val="000B5C14"/>
    <w:rsid w:val="000D0D0A"/>
    <w:rsid w:val="000D6A23"/>
    <w:rsid w:val="00103163"/>
    <w:rsid w:val="00106B19"/>
    <w:rsid w:val="00115D93"/>
    <w:rsid w:val="00122872"/>
    <w:rsid w:val="001247A8"/>
    <w:rsid w:val="001319AA"/>
    <w:rsid w:val="001378C0"/>
    <w:rsid w:val="00173F01"/>
    <w:rsid w:val="0018694A"/>
    <w:rsid w:val="00190231"/>
    <w:rsid w:val="001956E3"/>
    <w:rsid w:val="001A3287"/>
    <w:rsid w:val="001A6508"/>
    <w:rsid w:val="001C238E"/>
    <w:rsid w:val="001D17CC"/>
    <w:rsid w:val="001D4C31"/>
    <w:rsid w:val="001E3D5B"/>
    <w:rsid w:val="001E4D21"/>
    <w:rsid w:val="001F498C"/>
    <w:rsid w:val="00207CD1"/>
    <w:rsid w:val="002477A2"/>
    <w:rsid w:val="00263A51"/>
    <w:rsid w:val="00265302"/>
    <w:rsid w:val="00267E02"/>
    <w:rsid w:val="00271E48"/>
    <w:rsid w:val="0029334D"/>
    <w:rsid w:val="002A5D44"/>
    <w:rsid w:val="002E0BC4"/>
    <w:rsid w:val="002F07E2"/>
    <w:rsid w:val="002F1B76"/>
    <w:rsid w:val="00315BF7"/>
    <w:rsid w:val="00320C51"/>
    <w:rsid w:val="0033568E"/>
    <w:rsid w:val="00355FF5"/>
    <w:rsid w:val="00361350"/>
    <w:rsid w:val="003855B4"/>
    <w:rsid w:val="003C3FAE"/>
    <w:rsid w:val="003C6610"/>
    <w:rsid w:val="003C79E6"/>
    <w:rsid w:val="003E29EB"/>
    <w:rsid w:val="00400305"/>
    <w:rsid w:val="00403493"/>
    <w:rsid w:val="004038CB"/>
    <w:rsid w:val="0040546F"/>
    <w:rsid w:val="00420332"/>
    <w:rsid w:val="00420D52"/>
    <w:rsid w:val="0042404A"/>
    <w:rsid w:val="00444A24"/>
    <w:rsid w:val="0044618F"/>
    <w:rsid w:val="0046769A"/>
    <w:rsid w:val="00475FB3"/>
    <w:rsid w:val="00485DA5"/>
    <w:rsid w:val="004C37A9"/>
    <w:rsid w:val="004C610F"/>
    <w:rsid w:val="004D1D50"/>
    <w:rsid w:val="004F259E"/>
    <w:rsid w:val="005042BC"/>
    <w:rsid w:val="00511F1D"/>
    <w:rsid w:val="005151F4"/>
    <w:rsid w:val="00520F36"/>
    <w:rsid w:val="00540615"/>
    <w:rsid w:val="00540A6D"/>
    <w:rsid w:val="00571EEA"/>
    <w:rsid w:val="00575417"/>
    <w:rsid w:val="005768E1"/>
    <w:rsid w:val="00594EBD"/>
    <w:rsid w:val="005B1938"/>
    <w:rsid w:val="005C3890"/>
    <w:rsid w:val="005F33E1"/>
    <w:rsid w:val="005F7BFE"/>
    <w:rsid w:val="00600017"/>
    <w:rsid w:val="006235CA"/>
    <w:rsid w:val="006575D2"/>
    <w:rsid w:val="006643AB"/>
    <w:rsid w:val="006F5C3E"/>
    <w:rsid w:val="00702D6B"/>
    <w:rsid w:val="00703A86"/>
    <w:rsid w:val="007210CD"/>
    <w:rsid w:val="00732045"/>
    <w:rsid w:val="007369DB"/>
    <w:rsid w:val="00773BFA"/>
    <w:rsid w:val="007956C2"/>
    <w:rsid w:val="007A187E"/>
    <w:rsid w:val="007C72C2"/>
    <w:rsid w:val="007D3EAC"/>
    <w:rsid w:val="007D4436"/>
    <w:rsid w:val="007F257A"/>
    <w:rsid w:val="007F3665"/>
    <w:rsid w:val="00800037"/>
    <w:rsid w:val="008051D3"/>
    <w:rsid w:val="0085199E"/>
    <w:rsid w:val="00856405"/>
    <w:rsid w:val="00861D73"/>
    <w:rsid w:val="00897553"/>
    <w:rsid w:val="008A010F"/>
    <w:rsid w:val="008A4E87"/>
    <w:rsid w:val="008D76E6"/>
    <w:rsid w:val="0092392D"/>
    <w:rsid w:val="0093234A"/>
    <w:rsid w:val="009648A0"/>
    <w:rsid w:val="0097363B"/>
    <w:rsid w:val="00981EEA"/>
    <w:rsid w:val="009A0BB2"/>
    <w:rsid w:val="009B07DF"/>
    <w:rsid w:val="009C307F"/>
    <w:rsid w:val="009C353C"/>
    <w:rsid w:val="009F04EA"/>
    <w:rsid w:val="009F7E3B"/>
    <w:rsid w:val="00A03A5D"/>
    <w:rsid w:val="00A16E7B"/>
    <w:rsid w:val="00A2113E"/>
    <w:rsid w:val="00A23A51"/>
    <w:rsid w:val="00A24607"/>
    <w:rsid w:val="00A25CD3"/>
    <w:rsid w:val="00A7034F"/>
    <w:rsid w:val="00A709FE"/>
    <w:rsid w:val="00A74C49"/>
    <w:rsid w:val="00A82767"/>
    <w:rsid w:val="00AA332F"/>
    <w:rsid w:val="00AA7BBB"/>
    <w:rsid w:val="00AB64A8"/>
    <w:rsid w:val="00AB7551"/>
    <w:rsid w:val="00AC0266"/>
    <w:rsid w:val="00AD24EC"/>
    <w:rsid w:val="00B309F9"/>
    <w:rsid w:val="00B32B60"/>
    <w:rsid w:val="00B52369"/>
    <w:rsid w:val="00B61619"/>
    <w:rsid w:val="00B82832"/>
    <w:rsid w:val="00BB4545"/>
    <w:rsid w:val="00BD5873"/>
    <w:rsid w:val="00BF365B"/>
    <w:rsid w:val="00BF77B8"/>
    <w:rsid w:val="00C04BE3"/>
    <w:rsid w:val="00C25D29"/>
    <w:rsid w:val="00C27A7C"/>
    <w:rsid w:val="00C741B9"/>
    <w:rsid w:val="00C7715C"/>
    <w:rsid w:val="00CA08ED"/>
    <w:rsid w:val="00CC36CD"/>
    <w:rsid w:val="00CD425C"/>
    <w:rsid w:val="00CE46A6"/>
    <w:rsid w:val="00CE4A15"/>
    <w:rsid w:val="00CF183B"/>
    <w:rsid w:val="00D1047B"/>
    <w:rsid w:val="00D32007"/>
    <w:rsid w:val="00D375CD"/>
    <w:rsid w:val="00D553A2"/>
    <w:rsid w:val="00D774D3"/>
    <w:rsid w:val="00D867B5"/>
    <w:rsid w:val="00D904E8"/>
    <w:rsid w:val="00DA08C3"/>
    <w:rsid w:val="00DB5A3E"/>
    <w:rsid w:val="00DC22AA"/>
    <w:rsid w:val="00DC513F"/>
    <w:rsid w:val="00DF74DD"/>
    <w:rsid w:val="00E20DDE"/>
    <w:rsid w:val="00E25AD0"/>
    <w:rsid w:val="00E3306B"/>
    <w:rsid w:val="00E33F7F"/>
    <w:rsid w:val="00E506C1"/>
    <w:rsid w:val="00E82DC4"/>
    <w:rsid w:val="00E87EFA"/>
    <w:rsid w:val="00EA78DC"/>
    <w:rsid w:val="00EB6350"/>
    <w:rsid w:val="00EC0353"/>
    <w:rsid w:val="00EC6445"/>
    <w:rsid w:val="00F15B57"/>
    <w:rsid w:val="00F23A72"/>
    <w:rsid w:val="00F427DB"/>
    <w:rsid w:val="00F527A4"/>
    <w:rsid w:val="00F66F63"/>
    <w:rsid w:val="00F8296B"/>
    <w:rsid w:val="00FA5EB1"/>
    <w:rsid w:val="00FA7439"/>
    <w:rsid w:val="00FA7B6A"/>
    <w:rsid w:val="00FB4A03"/>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0718128"/>
  <w15:docId w15:val="{E21FBDDC-D1AE-409D-AD0D-6B604F1B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encabezad,he"/>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basedOn w:val="DefaultParagraphFont"/>
    <w:link w:val="FootnoteText"/>
    <w:rsid w:val="001F498C"/>
    <w:rPr>
      <w:rFonts w:ascii="Calibri" w:hAnsi="Calibri"/>
      <w:sz w:val="24"/>
      <w:lang w:val="fr-FR" w:eastAsia="en-US"/>
    </w:rPr>
  </w:style>
  <w:style w:type="paragraph" w:styleId="CommentText">
    <w:name w:val="annotation text"/>
    <w:basedOn w:val="Normal"/>
    <w:link w:val="CommentTextChar"/>
    <w:semiHidden/>
    <w:unhideWhenUsed/>
    <w:rsid w:val="001F498C"/>
    <w:pPr>
      <w:textAlignment w:val="auto"/>
    </w:pPr>
    <w:rPr>
      <w:sz w:val="20"/>
    </w:rPr>
  </w:style>
  <w:style w:type="character" w:customStyle="1" w:styleId="CommentTextChar">
    <w:name w:val="Comment Text Char"/>
    <w:basedOn w:val="DefaultParagraphFont"/>
    <w:link w:val="CommentText"/>
    <w:semiHidden/>
    <w:rsid w:val="001F498C"/>
    <w:rPr>
      <w:rFonts w:ascii="Calibri" w:hAnsi="Calibri"/>
      <w:lang w:val="fr-FR" w:eastAsia="en-US"/>
    </w:rPr>
  </w:style>
  <w:style w:type="character" w:styleId="CommentReference">
    <w:name w:val="annotation reference"/>
    <w:basedOn w:val="DefaultParagraphFont"/>
    <w:semiHidden/>
    <w:unhideWhenUsed/>
    <w:rsid w:val="001F498C"/>
    <w:rPr>
      <w:sz w:val="16"/>
      <w:szCs w:val="16"/>
    </w:rPr>
  </w:style>
  <w:style w:type="table" w:styleId="TableGrid">
    <w:name w:val="Table Grid"/>
    <w:basedOn w:val="TableNormal"/>
    <w:rsid w:val="001F49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locked/>
    <w:rsid w:val="00E3306B"/>
    <w:rPr>
      <w:rFonts w:ascii="Calibri" w:hAnsi="Calibri"/>
      <w:sz w:val="24"/>
      <w:lang w:val="fr-FR" w:eastAsia="en-US"/>
    </w:rPr>
  </w:style>
  <w:style w:type="character" w:customStyle="1" w:styleId="NormalaftertitleChar">
    <w:name w:val="Normal after title Char"/>
    <w:basedOn w:val="DefaultParagraphFont"/>
    <w:link w:val="Normalaftertitle"/>
    <w:rsid w:val="00E3306B"/>
    <w:rPr>
      <w:rFonts w:ascii="Calibri" w:hAnsi="Calibri"/>
      <w:sz w:val="24"/>
      <w:lang w:val="fr-FR" w:eastAsia="en-US"/>
    </w:rPr>
  </w:style>
  <w:style w:type="paragraph" w:customStyle="1" w:styleId="headingb0">
    <w:name w:val="heading_b"/>
    <w:basedOn w:val="Heading3"/>
    <w:next w:val="Normal"/>
    <w:rsid w:val="00E3306B"/>
    <w:pPr>
      <w:tabs>
        <w:tab w:val="clear" w:pos="567"/>
        <w:tab w:val="clear" w:pos="1134"/>
        <w:tab w:val="clear" w:pos="1701"/>
        <w:tab w:val="clear" w:pos="2268"/>
        <w:tab w:val="clear" w:pos="2835"/>
        <w:tab w:val="left" w:pos="794"/>
        <w:tab w:val="left" w:pos="1191"/>
        <w:tab w:val="left" w:pos="1588"/>
        <w:tab w:val="left" w:pos="1985"/>
      </w:tabs>
      <w:spacing w:before="160"/>
      <w:ind w:left="0" w:firstLine="0"/>
      <w:jc w:val="both"/>
      <w:outlineLvl w:val="9"/>
    </w:pPr>
    <w:rPr>
      <w:rFonts w:asciiTheme="minorHAnsi" w:hAnsiTheme="minorHAnsi"/>
      <w:iCs/>
      <w:lang w:val="en-GB"/>
    </w:rPr>
  </w:style>
  <w:style w:type="paragraph" w:customStyle="1" w:styleId="TableTitle0">
    <w:name w:val="Table_Title"/>
    <w:basedOn w:val="Table"/>
    <w:next w:val="Tabletext"/>
    <w:rsid w:val="00E3306B"/>
    <w:pPr>
      <w:keepLines/>
      <w:spacing w:before="0"/>
    </w:pPr>
    <w:rPr>
      <w:b/>
      <w:bCs/>
      <w:caps w:val="0"/>
    </w:rPr>
  </w:style>
  <w:style w:type="character" w:customStyle="1" w:styleId="HeaderChar">
    <w:name w:val="Header Char"/>
    <w:aliases w:val="encabezado Char,encabezad Char,he Char"/>
    <w:basedOn w:val="DefaultParagraphFont"/>
    <w:link w:val="Header"/>
    <w:rsid w:val="00703A86"/>
    <w:rPr>
      <w:rFonts w:ascii="Calibri" w:hAnsi="Calibri"/>
      <w:sz w:val="18"/>
      <w:lang w:val="fr-FR" w:eastAsia="en-US"/>
    </w:rPr>
  </w:style>
  <w:style w:type="paragraph" w:styleId="CommentSubject">
    <w:name w:val="annotation subject"/>
    <w:basedOn w:val="CommentText"/>
    <w:next w:val="CommentText"/>
    <w:link w:val="CommentSubjectChar"/>
    <w:semiHidden/>
    <w:unhideWhenUsed/>
    <w:rsid w:val="00FB4A03"/>
    <w:pPr>
      <w:textAlignment w:val="baseline"/>
    </w:pPr>
    <w:rPr>
      <w:b/>
      <w:bCs/>
    </w:rPr>
  </w:style>
  <w:style w:type="character" w:customStyle="1" w:styleId="CommentSubjectChar">
    <w:name w:val="Comment Subject Char"/>
    <w:basedOn w:val="CommentTextChar"/>
    <w:link w:val="CommentSubject"/>
    <w:semiHidden/>
    <w:rsid w:val="00FB4A03"/>
    <w:rPr>
      <w:rFonts w:ascii="Calibri" w:hAnsi="Calibri"/>
      <w:b/>
      <w:bCs/>
      <w:lang w:val="fr-FR" w:eastAsia="en-US"/>
    </w:rPr>
  </w:style>
  <w:style w:type="paragraph" w:customStyle="1" w:styleId="std">
    <w:name w:val="std"/>
    <w:basedOn w:val="Normal"/>
    <w:rsid w:val="005151F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styleId="TOCHeading">
    <w:name w:val="TOC Heading"/>
    <w:basedOn w:val="Heading1"/>
    <w:next w:val="Normal"/>
    <w:uiPriority w:val="39"/>
    <w:unhideWhenUsed/>
    <w:qFormat/>
    <w:rsid w:val="00F8296B"/>
    <w:pPr>
      <w:tabs>
        <w:tab w:val="clear" w:pos="567"/>
        <w:tab w:val="clear" w:pos="1134"/>
        <w:tab w:val="clear" w:pos="1701"/>
        <w:tab w:val="clear" w:pos="2268"/>
        <w:tab w:val="clear" w:pos="283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34584">
      <w:bodyDiv w:val="1"/>
      <w:marLeft w:val="0"/>
      <w:marRight w:val="0"/>
      <w:marTop w:val="0"/>
      <w:marBottom w:val="0"/>
      <w:divBdr>
        <w:top w:val="none" w:sz="0" w:space="0" w:color="auto"/>
        <w:left w:val="none" w:sz="0" w:space="0" w:color="auto"/>
        <w:bottom w:val="none" w:sz="0" w:space="0" w:color="auto"/>
        <w:right w:val="none" w:sz="0" w:space="0" w:color="auto"/>
      </w:divBdr>
    </w:div>
    <w:div w:id="165938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0AA80-7F01-4813-BE6B-9906A3E4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PF_C21.dotx</Template>
  <TotalTime>1</TotalTime>
  <Pages>9</Pages>
  <Words>2002</Words>
  <Characters>11287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13263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Royer, Veronique</dc:creator>
  <cp:keywords>C21</cp:keywords>
  <dc:description/>
  <cp:lastModifiedBy>French</cp:lastModifiedBy>
  <cp:revision>2</cp:revision>
  <cp:lastPrinted>2000-07-18T08:55:00Z</cp:lastPrinted>
  <dcterms:created xsi:type="dcterms:W3CDTF">2023-04-21T07:12:00Z</dcterms:created>
  <dcterms:modified xsi:type="dcterms:W3CDTF">2023-04-21T07:12:00Z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