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541C6DE" w14:textId="77777777">
        <w:trPr>
          <w:cantSplit/>
        </w:trPr>
        <w:tc>
          <w:tcPr>
            <w:tcW w:w="6912" w:type="dxa"/>
          </w:tcPr>
          <w:p w14:paraId="4A1B83D1"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1C9CC517"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140105AA" wp14:editId="06430C1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B2FDFB6" w14:textId="77777777">
        <w:trPr>
          <w:cantSplit/>
          <w:trHeight w:val="20"/>
        </w:trPr>
        <w:tc>
          <w:tcPr>
            <w:tcW w:w="10173" w:type="dxa"/>
            <w:gridSpan w:val="2"/>
            <w:tcBorders>
              <w:bottom w:val="single" w:sz="12" w:space="0" w:color="auto"/>
            </w:tcBorders>
          </w:tcPr>
          <w:p w14:paraId="0776FF61" w14:textId="77777777" w:rsidR="00093EEB" w:rsidRPr="00EB1212" w:rsidRDefault="00093EEB">
            <w:pPr>
              <w:spacing w:before="0"/>
              <w:rPr>
                <w:b/>
                <w:bCs/>
                <w:szCs w:val="24"/>
              </w:rPr>
            </w:pPr>
          </w:p>
        </w:tc>
      </w:tr>
      <w:tr w:rsidR="00093EEB" w:rsidRPr="000B0D00" w14:paraId="1CBE51FE" w14:textId="77777777">
        <w:trPr>
          <w:cantSplit/>
          <w:trHeight w:val="20"/>
        </w:trPr>
        <w:tc>
          <w:tcPr>
            <w:tcW w:w="6912" w:type="dxa"/>
            <w:tcBorders>
              <w:top w:val="single" w:sz="12" w:space="0" w:color="auto"/>
            </w:tcBorders>
          </w:tcPr>
          <w:p w14:paraId="76A64126"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31E4EB5" w14:textId="77777777" w:rsidR="00093EEB" w:rsidRPr="000B0D00" w:rsidRDefault="00093EEB">
            <w:pPr>
              <w:spacing w:before="0"/>
              <w:rPr>
                <w:b/>
                <w:bCs/>
                <w:szCs w:val="24"/>
              </w:rPr>
            </w:pPr>
          </w:p>
        </w:tc>
      </w:tr>
      <w:tr w:rsidR="00093EEB" w:rsidRPr="000B0D00" w14:paraId="37E5900F" w14:textId="77777777">
        <w:trPr>
          <w:cantSplit/>
          <w:trHeight w:val="20"/>
        </w:trPr>
        <w:tc>
          <w:tcPr>
            <w:tcW w:w="6912" w:type="dxa"/>
            <w:shd w:val="clear" w:color="auto" w:fill="auto"/>
          </w:tcPr>
          <w:p w14:paraId="4C5C47C0"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0B397FB9" w14:textId="7F89EA8A" w:rsidR="00093EEB" w:rsidRPr="00093EEB" w:rsidRDefault="00745712" w:rsidP="00C2727F">
            <w:pPr>
              <w:spacing w:before="0"/>
              <w:rPr>
                <w:b/>
                <w:bCs/>
                <w:szCs w:val="24"/>
              </w:rPr>
            </w:pPr>
            <w:proofErr w:type="spellStart"/>
            <w:r w:rsidRPr="00AA3BAA">
              <w:rPr>
                <w:b/>
                <w:bCs/>
                <w:szCs w:val="24"/>
                <w:lang w:val="en-GB"/>
              </w:rPr>
              <w:t>Addéndum</w:t>
            </w:r>
            <w:proofErr w:type="spellEnd"/>
            <w:r w:rsidRPr="00AA3BAA">
              <w:rPr>
                <w:b/>
                <w:bCs/>
                <w:szCs w:val="24"/>
                <w:lang w:val="en-GB"/>
              </w:rPr>
              <w:t xml:space="preserve"> 1 al</w:t>
            </w:r>
            <w:r w:rsidRPr="00AA3BAA">
              <w:rPr>
                <w:b/>
                <w:bCs/>
                <w:szCs w:val="24"/>
                <w:lang w:val="en-GB"/>
              </w:rPr>
              <w:br/>
            </w:r>
            <w:r w:rsidR="00093EEB">
              <w:rPr>
                <w:b/>
                <w:bCs/>
                <w:szCs w:val="24"/>
              </w:rPr>
              <w:t>Documento C</w:t>
            </w:r>
            <w:r w:rsidR="007955DA">
              <w:rPr>
                <w:b/>
                <w:bCs/>
                <w:szCs w:val="24"/>
              </w:rPr>
              <w:t>2</w:t>
            </w:r>
            <w:r w:rsidR="000007D1">
              <w:rPr>
                <w:b/>
                <w:bCs/>
                <w:szCs w:val="24"/>
              </w:rPr>
              <w:t>1</w:t>
            </w:r>
            <w:r w:rsidR="00093EEB">
              <w:rPr>
                <w:b/>
                <w:bCs/>
                <w:szCs w:val="24"/>
              </w:rPr>
              <w:t>/</w:t>
            </w:r>
            <w:r>
              <w:rPr>
                <w:b/>
                <w:bCs/>
                <w:szCs w:val="24"/>
              </w:rPr>
              <w:t>65</w:t>
            </w:r>
            <w:r w:rsidR="00093EEB">
              <w:rPr>
                <w:b/>
                <w:bCs/>
                <w:szCs w:val="24"/>
              </w:rPr>
              <w:t>-S</w:t>
            </w:r>
          </w:p>
        </w:tc>
      </w:tr>
      <w:tr w:rsidR="00093EEB" w:rsidRPr="000B0D00" w14:paraId="77A4532E" w14:textId="77777777">
        <w:trPr>
          <w:cantSplit/>
          <w:trHeight w:val="20"/>
        </w:trPr>
        <w:tc>
          <w:tcPr>
            <w:tcW w:w="6912" w:type="dxa"/>
            <w:shd w:val="clear" w:color="auto" w:fill="auto"/>
          </w:tcPr>
          <w:p w14:paraId="7CD45D99" w14:textId="77777777" w:rsidR="00093EEB" w:rsidRPr="000B0D00" w:rsidRDefault="00093EEB">
            <w:pPr>
              <w:shd w:val="solid" w:color="FFFFFF" w:fill="FFFFFF"/>
              <w:spacing w:before="0"/>
              <w:rPr>
                <w:smallCaps/>
                <w:szCs w:val="24"/>
              </w:rPr>
            </w:pPr>
            <w:bookmarkStart w:id="6" w:name="ddate" w:colFirst="1" w:colLast="1"/>
            <w:bookmarkEnd w:id="4"/>
            <w:bookmarkEnd w:id="5"/>
          </w:p>
        </w:tc>
        <w:tc>
          <w:tcPr>
            <w:tcW w:w="3261" w:type="dxa"/>
          </w:tcPr>
          <w:p w14:paraId="7A17A1BA" w14:textId="12E1CF85" w:rsidR="00093EEB" w:rsidRPr="00093EEB" w:rsidRDefault="00745712" w:rsidP="00C2727F">
            <w:pPr>
              <w:spacing w:before="0"/>
              <w:rPr>
                <w:b/>
                <w:bCs/>
                <w:szCs w:val="24"/>
              </w:rPr>
            </w:pPr>
            <w:r>
              <w:rPr>
                <w:b/>
                <w:bCs/>
                <w:szCs w:val="24"/>
              </w:rPr>
              <w:t>19 de marzo</w:t>
            </w:r>
            <w:r w:rsidR="00093EEB">
              <w:rPr>
                <w:b/>
                <w:bCs/>
                <w:szCs w:val="24"/>
              </w:rPr>
              <w:t xml:space="preserve"> de 20</w:t>
            </w:r>
            <w:r w:rsidR="007955DA">
              <w:rPr>
                <w:b/>
                <w:bCs/>
                <w:szCs w:val="24"/>
              </w:rPr>
              <w:t>2</w:t>
            </w:r>
            <w:r w:rsidR="000007D1">
              <w:rPr>
                <w:b/>
                <w:bCs/>
                <w:szCs w:val="24"/>
              </w:rPr>
              <w:t>1</w:t>
            </w:r>
          </w:p>
        </w:tc>
      </w:tr>
      <w:tr w:rsidR="00093EEB" w:rsidRPr="000B0D00" w14:paraId="1C30EB5A" w14:textId="77777777">
        <w:trPr>
          <w:cantSplit/>
          <w:trHeight w:val="20"/>
        </w:trPr>
        <w:tc>
          <w:tcPr>
            <w:tcW w:w="6912" w:type="dxa"/>
            <w:shd w:val="clear" w:color="auto" w:fill="auto"/>
          </w:tcPr>
          <w:p w14:paraId="7617FA3A"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10E78047" w14:textId="77777777" w:rsidR="00093EEB" w:rsidRPr="00093EEB" w:rsidRDefault="00093EEB" w:rsidP="00093EEB">
            <w:pPr>
              <w:spacing w:before="0"/>
              <w:rPr>
                <w:b/>
                <w:bCs/>
                <w:szCs w:val="24"/>
              </w:rPr>
            </w:pPr>
            <w:r>
              <w:rPr>
                <w:b/>
                <w:bCs/>
                <w:szCs w:val="24"/>
              </w:rPr>
              <w:t>Original: inglés</w:t>
            </w:r>
          </w:p>
        </w:tc>
      </w:tr>
      <w:tr w:rsidR="00093EEB" w:rsidRPr="000B0D00" w14:paraId="6E4D5DBF" w14:textId="77777777">
        <w:trPr>
          <w:cantSplit/>
        </w:trPr>
        <w:tc>
          <w:tcPr>
            <w:tcW w:w="10173" w:type="dxa"/>
            <w:gridSpan w:val="2"/>
          </w:tcPr>
          <w:p w14:paraId="1BC1A115" w14:textId="4E3D85F6" w:rsidR="00093EEB" w:rsidRPr="000B0D00" w:rsidRDefault="00745712">
            <w:pPr>
              <w:pStyle w:val="Source"/>
            </w:pPr>
            <w:bookmarkStart w:id="8" w:name="dsource" w:colFirst="0" w:colLast="0"/>
            <w:bookmarkEnd w:id="1"/>
            <w:bookmarkEnd w:id="7"/>
            <w:r w:rsidRPr="00B72B69">
              <w:rPr>
                <w:rFonts w:cs="Arial"/>
                <w:bCs/>
                <w:color w:val="000000"/>
                <w:szCs w:val="28"/>
                <w:lang w:val="es-ES"/>
              </w:rPr>
              <w:t>Informe del Secretario General</w:t>
            </w:r>
          </w:p>
        </w:tc>
      </w:tr>
      <w:tr w:rsidR="00093EEB" w:rsidRPr="000B0D00" w14:paraId="3E5247EC" w14:textId="77777777">
        <w:trPr>
          <w:cantSplit/>
        </w:trPr>
        <w:tc>
          <w:tcPr>
            <w:tcW w:w="10173" w:type="dxa"/>
            <w:gridSpan w:val="2"/>
          </w:tcPr>
          <w:p w14:paraId="29124E4A" w14:textId="02B55C71" w:rsidR="00093EEB" w:rsidRPr="000B0D00" w:rsidRDefault="00745712">
            <w:pPr>
              <w:pStyle w:val="Title1"/>
            </w:pPr>
            <w:bookmarkStart w:id="9" w:name="dtitle1" w:colFirst="0" w:colLast="0"/>
            <w:bookmarkEnd w:id="8"/>
            <w:r w:rsidRPr="00B72B69">
              <w:rPr>
                <w:rFonts w:cs="Arial"/>
                <w:color w:val="000000"/>
                <w:szCs w:val="28"/>
                <w:lang w:val="es-ES"/>
              </w:rPr>
              <w:t>PROYECTO DE PRESUPUESTO PARA 2022-2023</w:t>
            </w:r>
          </w:p>
        </w:tc>
      </w:tr>
      <w:bookmarkEnd w:id="9"/>
    </w:tbl>
    <w:p w14:paraId="759DF6CF"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A00440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8124761" w14:textId="77777777" w:rsidR="00093EEB" w:rsidRPr="000B0D00" w:rsidRDefault="00093EEB">
            <w:pPr>
              <w:pStyle w:val="Headingb"/>
              <w:rPr>
                <w:lang w:val="es-ES"/>
              </w:rPr>
            </w:pPr>
            <w:bookmarkStart w:id="10" w:name="_Toc69223567"/>
            <w:r w:rsidRPr="000B0D00">
              <w:rPr>
                <w:lang w:val="es-ES"/>
              </w:rPr>
              <w:t>Resumen</w:t>
            </w:r>
            <w:bookmarkEnd w:id="10"/>
          </w:p>
          <w:p w14:paraId="6E0BBBE4" w14:textId="77777777" w:rsidR="00745712" w:rsidRPr="00B72B69" w:rsidRDefault="00745712" w:rsidP="00745712">
            <w:pPr>
              <w:rPr>
                <w:szCs w:val="24"/>
                <w:lang w:val="es-ES"/>
              </w:rPr>
            </w:pPr>
            <w:r w:rsidRPr="00B72B69">
              <w:rPr>
                <w:szCs w:val="24"/>
                <w:lang w:val="es-ES"/>
              </w:rPr>
              <w:t xml:space="preserve">El siguiente informe se presenta para información general como </w:t>
            </w:r>
            <w:proofErr w:type="spellStart"/>
            <w:r w:rsidRPr="00B72B69">
              <w:rPr>
                <w:szCs w:val="24"/>
                <w:lang w:val="es-ES"/>
              </w:rPr>
              <w:t>Addéndum</w:t>
            </w:r>
            <w:proofErr w:type="spellEnd"/>
            <w:r w:rsidRPr="00B72B69">
              <w:rPr>
                <w:szCs w:val="24"/>
                <w:lang w:val="es-ES"/>
              </w:rPr>
              <w:t xml:space="preserve"> 1 al Documento </w:t>
            </w:r>
            <w:r w:rsidRPr="00B72B69">
              <w:rPr>
                <w:rFonts w:asciiTheme="minorHAnsi" w:hAnsiTheme="minorHAnsi" w:cstheme="minorHAnsi"/>
                <w:szCs w:val="24"/>
                <w:lang w:val="es-ES"/>
              </w:rPr>
              <w:t>C21/65</w:t>
            </w:r>
            <w:r w:rsidRPr="00B72B69">
              <w:rPr>
                <w:szCs w:val="24"/>
                <w:lang w:val="es-ES"/>
              </w:rPr>
              <w:t>:</w:t>
            </w:r>
          </w:p>
          <w:p w14:paraId="00492889" w14:textId="23C03E1E" w:rsidR="00093EEB" w:rsidRPr="00745712" w:rsidRDefault="00745712" w:rsidP="00AA3BAA">
            <w:pPr>
              <w:jc w:val="both"/>
              <w:rPr>
                <w:szCs w:val="24"/>
                <w:lang w:val="es-ES"/>
              </w:rPr>
            </w:pPr>
            <w:r w:rsidRPr="00B72B69">
              <w:rPr>
                <w:szCs w:val="24"/>
                <w:lang w:val="es-ES"/>
              </w:rPr>
              <w:t>Presupuesto de la Secretaría de ITU TELECOM para 2022-2023.</w:t>
            </w:r>
          </w:p>
          <w:p w14:paraId="11A4D083" w14:textId="77777777" w:rsidR="00093EEB" w:rsidRPr="000B0D00" w:rsidRDefault="00093EEB">
            <w:pPr>
              <w:pStyle w:val="Headingb"/>
              <w:rPr>
                <w:lang w:val="es-ES"/>
              </w:rPr>
            </w:pPr>
            <w:bookmarkStart w:id="11" w:name="_Toc69223568"/>
            <w:r w:rsidRPr="000B0D00">
              <w:rPr>
                <w:lang w:val="es-ES"/>
              </w:rPr>
              <w:t>Acción solicitada</w:t>
            </w:r>
            <w:bookmarkEnd w:id="11"/>
          </w:p>
          <w:p w14:paraId="571133E2" w14:textId="6425BE36" w:rsidR="00093EEB" w:rsidRPr="009D3A87" w:rsidRDefault="009D3A87" w:rsidP="009D3A87">
            <w:pPr>
              <w:rPr>
                <w:lang w:val="es-ES"/>
              </w:rPr>
            </w:pPr>
            <w:r w:rsidRPr="00B72B69">
              <w:rPr>
                <w:szCs w:val="24"/>
                <w:lang w:val="es-ES"/>
              </w:rPr>
              <w:t xml:space="preserve">Se pide al Consejo que </w:t>
            </w:r>
            <w:r w:rsidRPr="00B72B69">
              <w:rPr>
                <w:b/>
                <w:bCs/>
                <w:szCs w:val="24"/>
                <w:lang w:val="es-ES"/>
              </w:rPr>
              <w:t>tome nota</w:t>
            </w:r>
            <w:r w:rsidRPr="00B72B69">
              <w:rPr>
                <w:szCs w:val="24"/>
                <w:lang w:val="es-ES"/>
              </w:rPr>
              <w:t xml:space="preserve"> del presente documento.</w:t>
            </w:r>
          </w:p>
        </w:tc>
      </w:tr>
    </w:tbl>
    <w:p w14:paraId="0EF32B8E" w14:textId="77777777" w:rsidR="009D3A87" w:rsidRPr="00D03A98" w:rsidRDefault="009D3A87" w:rsidP="009D3A87">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fr-FR"/>
        </w:rPr>
      </w:pPr>
    </w:p>
    <w:p w14:paraId="598632CB" w14:textId="77777777" w:rsidR="00D03A98" w:rsidRPr="00D03A98" w:rsidRDefault="00D03A98" w:rsidP="009D3A87">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fr-FR"/>
        </w:rPr>
      </w:pPr>
    </w:p>
    <w:p w14:paraId="6E589E5B" w14:textId="21DA94AB" w:rsidR="00D03A98" w:rsidRPr="009D3A87" w:rsidRDefault="00D03A98" w:rsidP="009D3A87">
      <w:pPr>
        <w:tabs>
          <w:tab w:val="clear" w:pos="567"/>
          <w:tab w:val="clear" w:pos="1134"/>
          <w:tab w:val="clear" w:pos="1701"/>
          <w:tab w:val="clear" w:pos="2268"/>
          <w:tab w:val="clear" w:pos="2835"/>
        </w:tabs>
        <w:overflowPunct/>
        <w:autoSpaceDE/>
        <w:autoSpaceDN/>
        <w:adjustRightInd/>
        <w:spacing w:before="0"/>
        <w:textAlignment w:val="auto"/>
        <w:rPr>
          <w:rFonts w:cs="Arial"/>
          <w:sz w:val="32"/>
          <w:szCs w:val="32"/>
          <w:lang w:val="fr-FR"/>
        </w:rPr>
        <w:sectPr w:rsidR="00D03A98" w:rsidRPr="009D3A87" w:rsidSect="00703A86">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docGrid w:linePitch="326"/>
        </w:sectPr>
      </w:pPr>
    </w:p>
    <w:p w14:paraId="357BD39F" w14:textId="3266D361" w:rsidR="00745712" w:rsidRPr="009D3A87" w:rsidRDefault="00745712" w:rsidP="009D3A87">
      <w:pPr>
        <w:spacing w:before="720"/>
        <w:jc w:val="center"/>
        <w:rPr>
          <w:rFonts w:ascii="Arial" w:hAnsi="Arial" w:cs="Arial"/>
          <w:sz w:val="32"/>
          <w:szCs w:val="32"/>
        </w:rPr>
      </w:pPr>
      <w:r w:rsidRPr="009D3A87">
        <w:rPr>
          <w:rFonts w:ascii="Arial" w:hAnsi="Arial" w:cs="Arial"/>
          <w:sz w:val="32"/>
          <w:szCs w:val="32"/>
        </w:rPr>
        <w:lastRenderedPageBreak/>
        <w:t>Unión Internacional de Telecomunicaciones</w:t>
      </w:r>
    </w:p>
    <w:p w14:paraId="317933A7" w14:textId="6BF2F707" w:rsidR="00745712" w:rsidRPr="00AA3BAA" w:rsidRDefault="00745712" w:rsidP="009D3A87">
      <w:pPr>
        <w:spacing w:before="480" w:after="2400"/>
        <w:jc w:val="center"/>
        <w:rPr>
          <w:rFonts w:ascii="Arial" w:hAnsi="Arial" w:cs="Arial"/>
          <w:sz w:val="32"/>
          <w:szCs w:val="32"/>
        </w:rPr>
      </w:pPr>
      <w:r w:rsidRPr="009D3A87">
        <w:rPr>
          <w:rFonts w:ascii="Arial" w:hAnsi="Arial" w:cs="Arial"/>
          <w:sz w:val="32"/>
          <w:szCs w:val="32"/>
        </w:rPr>
        <w:t>Departamento de Gestión de Recursos Financieros</w:t>
      </w: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79"/>
      </w:tblGrid>
      <w:tr w:rsidR="00745712" w:rsidRPr="00115D0F" w14:paraId="60CE877A" w14:textId="77777777" w:rsidTr="00497310">
        <w:trPr>
          <w:trHeight w:val="517"/>
          <w:tblHeader/>
        </w:trPr>
        <w:tc>
          <w:tcPr>
            <w:tcW w:w="5000" w:type="pct"/>
            <w:shd w:val="clear" w:color="auto" w:fill="DBE5F1"/>
            <w:vAlign w:val="center"/>
          </w:tcPr>
          <w:p w14:paraId="76070280" w14:textId="77777777" w:rsidR="00745712" w:rsidRPr="00AA3BAA" w:rsidRDefault="00745712" w:rsidP="009D3A87">
            <w:pPr>
              <w:tabs>
                <w:tab w:val="left" w:pos="1418"/>
              </w:tabs>
              <w:spacing w:before="360" w:after="40"/>
              <w:jc w:val="center"/>
              <w:rPr>
                <w:rFonts w:ascii="Arial" w:hAnsi="Arial" w:cs="Arial"/>
                <w:b/>
                <w:sz w:val="32"/>
                <w:szCs w:val="32"/>
                <w:lang w:val="es-ES" w:eastAsia="ko-KR"/>
              </w:rPr>
            </w:pPr>
            <w:r w:rsidRPr="00AA3BAA">
              <w:rPr>
                <w:rFonts w:ascii="Arial" w:hAnsi="Arial" w:cs="Arial"/>
                <w:b/>
                <w:sz w:val="32"/>
                <w:szCs w:val="32"/>
                <w:lang w:val="es-ES" w:eastAsia="ko-KR"/>
              </w:rPr>
              <w:t>PRESUPUESTO</w:t>
            </w:r>
          </w:p>
          <w:p w14:paraId="117C2097" w14:textId="0F328F70" w:rsidR="00745712" w:rsidRDefault="00745712" w:rsidP="009D3A87">
            <w:pPr>
              <w:tabs>
                <w:tab w:val="left" w:pos="1418"/>
              </w:tabs>
              <w:spacing w:before="360" w:after="40"/>
              <w:jc w:val="center"/>
              <w:rPr>
                <w:rFonts w:ascii="Arial" w:hAnsi="Arial" w:cs="Arial"/>
                <w:b/>
                <w:sz w:val="32"/>
                <w:szCs w:val="32"/>
                <w:lang w:val="es-ES" w:eastAsia="ko-KR"/>
              </w:rPr>
            </w:pPr>
            <w:r w:rsidRPr="00AA3BAA">
              <w:rPr>
                <w:rFonts w:ascii="Arial" w:hAnsi="Arial" w:cs="Arial"/>
                <w:b/>
                <w:sz w:val="32"/>
                <w:szCs w:val="32"/>
                <w:lang w:val="es-ES" w:eastAsia="ko-KR"/>
              </w:rPr>
              <w:t>DE LA SECRETARÍA DE ITU TELECOM</w:t>
            </w:r>
          </w:p>
          <w:p w14:paraId="75733BEA" w14:textId="4898E5DB" w:rsidR="00745712" w:rsidRPr="00AA3BAA" w:rsidRDefault="00745712" w:rsidP="009D3A87">
            <w:pPr>
              <w:tabs>
                <w:tab w:val="left" w:pos="1418"/>
              </w:tabs>
              <w:spacing w:before="360" w:after="240"/>
              <w:jc w:val="center"/>
              <w:rPr>
                <w:rFonts w:ascii="Arial" w:hAnsi="Arial" w:cs="Arial"/>
                <w:b/>
                <w:sz w:val="32"/>
                <w:szCs w:val="32"/>
                <w:lang w:val="es-ES" w:eastAsia="ko-KR"/>
              </w:rPr>
            </w:pPr>
            <w:r w:rsidRPr="00AA3BAA">
              <w:rPr>
                <w:rFonts w:ascii="Arial" w:hAnsi="Arial" w:cs="Arial"/>
                <w:b/>
                <w:sz w:val="32"/>
                <w:szCs w:val="32"/>
                <w:lang w:val="es-ES" w:eastAsia="ko-KR"/>
              </w:rPr>
              <w:t>PARA 2022-2023</w:t>
            </w:r>
          </w:p>
        </w:tc>
      </w:tr>
    </w:tbl>
    <w:p w14:paraId="45B014CE" w14:textId="77777777" w:rsidR="00745712" w:rsidRPr="009D3A87" w:rsidRDefault="00745712" w:rsidP="009D3A87">
      <w:pPr>
        <w:pStyle w:val="Header"/>
        <w:spacing w:before="2280" w:after="600"/>
        <w:ind w:left="-181"/>
        <w:rPr>
          <w:rFonts w:ascii="Arial" w:hAnsi="Arial" w:cs="Arial"/>
          <w:sz w:val="28"/>
          <w:szCs w:val="28"/>
          <w:lang w:val="es-ES"/>
        </w:rPr>
      </w:pPr>
      <w:r w:rsidRPr="009D3A87">
        <w:rPr>
          <w:rFonts w:ascii="Arial" w:hAnsi="Arial" w:cs="Arial"/>
          <w:sz w:val="28"/>
          <w:szCs w:val="28"/>
          <w:lang w:val="es-ES"/>
        </w:rPr>
        <w:t>a 18 de marzo de 2021</w:t>
      </w:r>
    </w:p>
    <w:p w14:paraId="171C7281" w14:textId="77777777" w:rsidR="00745712" w:rsidRPr="009D3A87" w:rsidRDefault="00745712" w:rsidP="00F21C0B">
      <w:pPr>
        <w:pStyle w:val="Header"/>
        <w:ind w:left="-180"/>
        <w:rPr>
          <w:rFonts w:ascii="Arial" w:hAnsi="Arial" w:cs="Arial"/>
          <w:i/>
          <w:iCs/>
          <w:sz w:val="24"/>
          <w:szCs w:val="24"/>
          <w:lang w:val="es-ES"/>
        </w:rPr>
      </w:pPr>
    </w:p>
    <w:p w14:paraId="396185AC" w14:textId="77777777" w:rsidR="00745712" w:rsidRPr="00AA3BAA" w:rsidRDefault="00745712" w:rsidP="00F21C0B">
      <w:pPr>
        <w:pStyle w:val="Header"/>
        <w:ind w:left="-180"/>
        <w:rPr>
          <w:rFonts w:cs="Arial"/>
          <w:sz w:val="32"/>
          <w:szCs w:val="32"/>
          <w:lang w:val="es-ES"/>
        </w:rPr>
        <w:sectPr w:rsidR="00745712" w:rsidRPr="00AA3BAA" w:rsidSect="003B6228">
          <w:headerReference w:type="default" r:id="rId13"/>
          <w:footerReference w:type="default" r:id="rId14"/>
          <w:pgSz w:w="11901" w:h="16840" w:code="9"/>
          <w:pgMar w:top="1021" w:right="964" w:bottom="737" w:left="1134" w:header="561" w:footer="561" w:gutter="0"/>
          <w:paperSrc w:first="7" w:other="7"/>
          <w:cols w:space="720"/>
          <w:docGrid w:linePitch="360"/>
        </w:sectPr>
      </w:pPr>
    </w:p>
    <w:p w14:paraId="1909F6C9" w14:textId="77777777" w:rsidR="009D3A87" w:rsidRPr="009D3A87" w:rsidRDefault="009D3A87" w:rsidP="009D3A87">
      <w:pPr>
        <w:spacing w:before="480"/>
        <w:jc w:val="center"/>
        <w:rPr>
          <w:rFonts w:ascii="Arial" w:hAnsi="Arial" w:cs="Arial"/>
          <w:sz w:val="2"/>
          <w:szCs w:val="2"/>
          <w:lang w:val="fr-FR"/>
        </w:rPr>
      </w:pP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679"/>
      </w:tblGrid>
      <w:tr w:rsidR="009D3A87" w:rsidRPr="009D3A87" w14:paraId="590464C2" w14:textId="77777777" w:rsidTr="00B72B69">
        <w:trPr>
          <w:trHeight w:val="517"/>
          <w:tblHeader/>
        </w:trPr>
        <w:tc>
          <w:tcPr>
            <w:tcW w:w="5000" w:type="pct"/>
            <w:shd w:val="clear" w:color="auto" w:fill="DBE5F1"/>
            <w:vAlign w:val="center"/>
          </w:tcPr>
          <w:p w14:paraId="3BFBFAFF" w14:textId="77777777" w:rsidR="009D3A87" w:rsidRPr="00AA3BAA" w:rsidRDefault="009D3A87" w:rsidP="009D3A87">
            <w:pPr>
              <w:tabs>
                <w:tab w:val="left" w:pos="1418"/>
              </w:tabs>
              <w:spacing w:before="40" w:after="40"/>
              <w:jc w:val="center"/>
              <w:rPr>
                <w:rFonts w:ascii="Arial" w:hAnsi="Arial" w:cs="Arial"/>
                <w:b/>
                <w:sz w:val="32"/>
                <w:szCs w:val="32"/>
                <w:lang w:val="es-ES" w:eastAsia="ko-KR"/>
              </w:rPr>
            </w:pPr>
            <w:bookmarkStart w:id="12" w:name="_Hlk69216667"/>
            <w:r w:rsidRPr="00AA3BAA">
              <w:rPr>
                <w:rFonts w:ascii="Arial" w:hAnsi="Arial" w:cs="Arial"/>
                <w:b/>
                <w:sz w:val="32"/>
                <w:szCs w:val="32"/>
                <w:lang w:val="es-ES" w:eastAsia="ko-KR"/>
              </w:rPr>
              <w:t>Presupuesto de la Secretaría de ITU TELECOM</w:t>
            </w:r>
          </w:p>
          <w:p w14:paraId="61F6ED8F" w14:textId="578957B4" w:rsidR="009D3A87" w:rsidRPr="009D3A87" w:rsidRDefault="009D3A87" w:rsidP="009D3A87">
            <w:pPr>
              <w:tabs>
                <w:tab w:val="left" w:pos="1418"/>
              </w:tabs>
              <w:spacing w:before="40" w:after="40"/>
              <w:jc w:val="center"/>
              <w:rPr>
                <w:rFonts w:ascii="Arial" w:hAnsi="Arial" w:cs="Arial"/>
                <w:b/>
                <w:sz w:val="32"/>
                <w:szCs w:val="32"/>
                <w:lang w:val="fr-FR" w:eastAsia="ko-KR"/>
              </w:rPr>
            </w:pPr>
            <w:r w:rsidRPr="00AA3BAA">
              <w:rPr>
                <w:rFonts w:ascii="Arial" w:hAnsi="Arial" w:cs="Arial"/>
                <w:b/>
                <w:sz w:val="32"/>
                <w:szCs w:val="32"/>
                <w:lang w:val="es-ES" w:eastAsia="ko-KR"/>
              </w:rPr>
              <w:t>para 2022-2023</w:t>
            </w:r>
          </w:p>
        </w:tc>
      </w:tr>
    </w:tbl>
    <w:bookmarkEnd w:id="12"/>
    <w:p w14:paraId="13315535" w14:textId="77777777" w:rsidR="00745712" w:rsidRPr="009D3A87" w:rsidRDefault="00745712" w:rsidP="009D3A87">
      <w:pPr>
        <w:pStyle w:val="Header"/>
        <w:tabs>
          <w:tab w:val="left" w:pos="1418"/>
        </w:tabs>
        <w:spacing w:before="960"/>
        <w:ind w:left="-181"/>
        <w:rPr>
          <w:rFonts w:ascii="Arial" w:hAnsi="Arial" w:cs="Arial"/>
          <w:b/>
          <w:bCs/>
          <w:sz w:val="24"/>
          <w:szCs w:val="24"/>
          <w:u w:val="single"/>
          <w:lang w:val="es-ES"/>
        </w:rPr>
      </w:pPr>
      <w:r w:rsidRPr="009D3A87">
        <w:rPr>
          <w:rFonts w:ascii="Arial" w:hAnsi="Arial" w:cs="Arial"/>
          <w:b/>
          <w:bCs/>
          <w:sz w:val="24"/>
          <w:szCs w:val="24"/>
          <w:u w:val="single"/>
          <w:lang w:val="es-ES"/>
        </w:rPr>
        <w:t>ÍNDICE</w:t>
      </w:r>
    </w:p>
    <w:p w14:paraId="57C5FEF5" w14:textId="3B7B7F47" w:rsidR="00D03A98" w:rsidRPr="00D03A98" w:rsidRDefault="00745712" w:rsidP="00D03A98">
      <w:pPr>
        <w:pStyle w:val="Header"/>
        <w:tabs>
          <w:tab w:val="left" w:pos="1418"/>
          <w:tab w:val="left" w:pos="8364"/>
          <w:tab w:val="left" w:pos="8505"/>
        </w:tabs>
        <w:spacing w:before="120"/>
        <w:ind w:left="720"/>
        <w:jc w:val="right"/>
        <w:rPr>
          <w:rFonts w:ascii="Arial" w:hAnsi="Arial" w:cs="Arial"/>
          <w:b/>
          <w:bCs/>
          <w:sz w:val="24"/>
          <w:szCs w:val="24"/>
          <w:lang w:val="es-ES"/>
        </w:rPr>
      </w:pPr>
      <w:r w:rsidRPr="00AA3BAA">
        <w:rPr>
          <w:rFonts w:ascii="Arial" w:hAnsi="Arial" w:cs="Arial"/>
          <w:b/>
          <w:bCs/>
          <w:sz w:val="24"/>
          <w:szCs w:val="24"/>
          <w:lang w:val="es-ES"/>
        </w:rPr>
        <w:t>Página</w:t>
      </w:r>
      <w:r w:rsidR="00D03A98">
        <w:rPr>
          <w:rFonts w:ascii="Arial" w:hAnsi="Arial" w:cs="Arial"/>
          <w:b/>
          <w:bCs/>
          <w:sz w:val="24"/>
          <w:szCs w:val="24"/>
          <w:lang w:val="es-ES"/>
        </w:rPr>
        <w:fldChar w:fldCharType="begin"/>
      </w:r>
      <w:r w:rsidR="00D03A98">
        <w:rPr>
          <w:rFonts w:ascii="Arial" w:hAnsi="Arial" w:cs="Arial"/>
          <w:b/>
          <w:bCs/>
          <w:sz w:val="24"/>
          <w:szCs w:val="24"/>
          <w:lang w:val="es-ES"/>
        </w:rPr>
        <w:instrText xml:space="preserve"> TOC \h \z \t "Heading_b;1" </w:instrText>
      </w:r>
      <w:r w:rsidR="00D03A98">
        <w:rPr>
          <w:rFonts w:ascii="Arial" w:hAnsi="Arial" w:cs="Arial"/>
          <w:b/>
          <w:bCs/>
          <w:sz w:val="24"/>
          <w:szCs w:val="24"/>
          <w:lang w:val="es-ES"/>
        </w:rPr>
        <w:fldChar w:fldCharType="separate"/>
      </w:r>
    </w:p>
    <w:p w14:paraId="61D2E84D" w14:textId="495414D5" w:rsidR="00D03A98" w:rsidRDefault="00AA3BAA">
      <w:pPr>
        <w:pStyle w:val="TOC1"/>
        <w:rPr>
          <w:rFonts w:asciiTheme="minorHAnsi" w:eastAsiaTheme="minorEastAsia" w:hAnsiTheme="minorHAnsi" w:cstheme="minorBidi"/>
          <w:noProof/>
          <w:sz w:val="22"/>
          <w:szCs w:val="22"/>
          <w:lang w:val="en-GB" w:eastAsia="en-GB"/>
        </w:rPr>
      </w:pPr>
      <w:hyperlink w:anchor="_Toc69223569" w:history="1">
        <w:r w:rsidR="00D03A98" w:rsidRPr="00423A43">
          <w:rPr>
            <w:rStyle w:val="Hyperlink"/>
            <w:noProof/>
            <w:lang w:val="es-ES"/>
          </w:rPr>
          <w:t>GASTOS DE LA SECRETARÍA DE ITU TELECOM</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_Toc69223569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7326B001" w14:textId="39B00EC3" w:rsidR="00D03A98" w:rsidRDefault="00AA3BAA">
      <w:pPr>
        <w:pStyle w:val="TOC1"/>
        <w:rPr>
          <w:rFonts w:asciiTheme="minorHAnsi" w:eastAsiaTheme="minorEastAsia" w:hAnsiTheme="minorHAnsi" w:cstheme="minorBidi"/>
          <w:noProof/>
          <w:sz w:val="22"/>
          <w:szCs w:val="22"/>
          <w:lang w:val="en-GB" w:eastAsia="en-GB"/>
        </w:rPr>
      </w:pPr>
      <w:hyperlink w:anchor="_Toc69223570" w:history="1">
        <w:r w:rsidR="00D03A98" w:rsidRPr="00423A43">
          <w:rPr>
            <w:rStyle w:val="Hyperlink"/>
            <w:noProof/>
            <w:lang w:val="es-ES"/>
          </w:rPr>
          <w:t>RECURSOS DE LA SECRETARÍA DE ITU TELECOM</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_Toc69223570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2E3B14FE" w14:textId="32333172" w:rsidR="00D03A98" w:rsidRDefault="00AA3BAA">
      <w:pPr>
        <w:pStyle w:val="TOC1"/>
        <w:rPr>
          <w:rFonts w:asciiTheme="minorHAnsi" w:eastAsiaTheme="minorEastAsia" w:hAnsiTheme="minorHAnsi" w:cstheme="minorBidi"/>
          <w:noProof/>
          <w:sz w:val="22"/>
          <w:szCs w:val="22"/>
          <w:lang w:val="en-GB" w:eastAsia="en-GB"/>
        </w:rPr>
      </w:pPr>
      <w:hyperlink w:anchor="_Toc69223571" w:history="1">
        <w:r w:rsidR="00D03A98" w:rsidRPr="00423A43">
          <w:rPr>
            <w:rStyle w:val="Hyperlink"/>
            <w:noProof/>
            <w:lang w:val="es-ES"/>
          </w:rPr>
          <w:t>RECUPERACIÓN DE COSTES DE ITU TELECOM</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_Toc69223571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2BA12D37" w14:textId="70FCBDC0" w:rsidR="00D03A98" w:rsidRDefault="00AA3BAA">
      <w:pPr>
        <w:pStyle w:val="TOC1"/>
        <w:rPr>
          <w:rFonts w:asciiTheme="minorHAnsi" w:eastAsiaTheme="minorEastAsia" w:hAnsiTheme="minorHAnsi" w:cstheme="minorBidi"/>
          <w:noProof/>
          <w:sz w:val="22"/>
          <w:szCs w:val="22"/>
          <w:lang w:val="en-GB" w:eastAsia="en-GB"/>
        </w:rPr>
      </w:pPr>
      <w:hyperlink w:anchor="_Toc69223572" w:history="1">
        <w:r w:rsidR="00D03A98" w:rsidRPr="00423A43">
          <w:rPr>
            <w:rStyle w:val="Hyperlink"/>
            <w:noProof/>
            <w:lang w:val="es-ES"/>
          </w:rPr>
          <w:t>UTILIZACIÓN DE RECURSOS</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_Toc69223572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615061C2" w14:textId="2B0858B3" w:rsidR="00D03A98" w:rsidRDefault="00AA3BAA">
      <w:pPr>
        <w:pStyle w:val="TOC1"/>
        <w:rPr>
          <w:rFonts w:asciiTheme="minorHAnsi" w:eastAsiaTheme="minorEastAsia" w:hAnsiTheme="minorHAnsi" w:cstheme="minorBidi"/>
          <w:noProof/>
          <w:sz w:val="22"/>
          <w:szCs w:val="22"/>
          <w:lang w:val="en-GB" w:eastAsia="en-GB"/>
        </w:rPr>
      </w:pPr>
      <w:hyperlink w:anchor="_Toc69223573" w:history="1">
        <w:r w:rsidR="00D03A98" w:rsidRPr="00423A43">
          <w:rPr>
            <w:rStyle w:val="Hyperlink"/>
            <w:noProof/>
            <w:lang w:val="es-ES"/>
          </w:rPr>
          <w:t>FINANCIACIÓN DE RECURSOS</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_Toc69223573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63C333F4" w14:textId="7A3F9EDE" w:rsidR="00D03A98" w:rsidRDefault="00AA3BAA">
      <w:pPr>
        <w:pStyle w:val="TOC1"/>
        <w:rPr>
          <w:rFonts w:asciiTheme="minorHAnsi" w:eastAsiaTheme="minorEastAsia" w:hAnsiTheme="minorHAnsi" w:cstheme="minorBidi"/>
          <w:noProof/>
          <w:sz w:val="22"/>
          <w:szCs w:val="22"/>
          <w:lang w:val="en-GB" w:eastAsia="en-GB"/>
        </w:rPr>
      </w:pPr>
      <w:hyperlink w:anchor="_Toc69223574" w:history="1">
        <w:r w:rsidR="00D03A98" w:rsidRPr="00423A43">
          <w:rPr>
            <w:rStyle w:val="Hyperlink"/>
            <w:noProof/>
            <w:lang w:val="es-ES"/>
          </w:rPr>
          <w:t>FONDO DE OPERACIONES DE LAS EXPOSICIONES</w:t>
        </w:r>
        <w:r w:rsidR="00D03A98">
          <w:rPr>
            <w:noProof/>
            <w:webHidden/>
          </w:rPr>
          <w:tab/>
        </w:r>
        <w:r w:rsidR="009E68BA">
          <w:rPr>
            <w:noProof/>
            <w:webHidden/>
          </w:rPr>
          <w:tab/>
        </w:r>
        <w:r w:rsidR="00D03A98">
          <w:rPr>
            <w:noProof/>
            <w:webHidden/>
          </w:rPr>
          <w:fldChar w:fldCharType="begin"/>
        </w:r>
        <w:r w:rsidR="00D03A98">
          <w:rPr>
            <w:noProof/>
            <w:webHidden/>
          </w:rPr>
          <w:instrText xml:space="preserve"> PAGEREF _Toc69223574 \h </w:instrText>
        </w:r>
        <w:r w:rsidR="00D03A98">
          <w:rPr>
            <w:noProof/>
            <w:webHidden/>
          </w:rPr>
        </w:r>
        <w:r w:rsidR="00D03A98">
          <w:rPr>
            <w:noProof/>
            <w:webHidden/>
          </w:rPr>
          <w:fldChar w:fldCharType="separate"/>
        </w:r>
        <w:r w:rsidR="009E68BA">
          <w:rPr>
            <w:noProof/>
            <w:webHidden/>
          </w:rPr>
          <w:t>2</w:t>
        </w:r>
        <w:r w:rsidR="00D03A98">
          <w:rPr>
            <w:noProof/>
            <w:webHidden/>
          </w:rPr>
          <w:fldChar w:fldCharType="end"/>
        </w:r>
      </w:hyperlink>
    </w:p>
    <w:p w14:paraId="5752DBA8" w14:textId="6FDEDBFE" w:rsidR="00745712" w:rsidRDefault="00D03A98" w:rsidP="00D03A98">
      <w:pPr>
        <w:rPr>
          <w:lang w:val="es-ES"/>
        </w:rPr>
      </w:pPr>
      <w:r>
        <w:rPr>
          <w:lang w:val="es-ES"/>
        </w:rPr>
        <w:fldChar w:fldCharType="end"/>
      </w:r>
    </w:p>
    <w:p w14:paraId="53AAA445" w14:textId="77777777" w:rsidR="00D03A98" w:rsidRPr="00AA3BAA" w:rsidRDefault="00D03A98" w:rsidP="00D03A98">
      <w:pPr>
        <w:rPr>
          <w:rFonts w:ascii="Arial" w:hAnsi="Arial" w:cs="Arial"/>
          <w:i/>
          <w:iCs/>
          <w:szCs w:val="24"/>
          <w:lang w:val="es-ES"/>
        </w:rPr>
      </w:pPr>
    </w:p>
    <w:p w14:paraId="20C1B185" w14:textId="77777777" w:rsidR="00745712" w:rsidRPr="00AA3BAA" w:rsidRDefault="00745712" w:rsidP="00F21C0B">
      <w:pPr>
        <w:pStyle w:val="Header"/>
        <w:tabs>
          <w:tab w:val="left" w:pos="1418"/>
          <w:tab w:val="left" w:pos="7230"/>
          <w:tab w:val="left" w:pos="7797"/>
          <w:tab w:val="left" w:pos="8505"/>
          <w:tab w:val="left" w:pos="8647"/>
        </w:tabs>
        <w:ind w:left="-180"/>
        <w:rPr>
          <w:rFonts w:ascii="Arial" w:hAnsi="Arial" w:cs="Arial"/>
          <w:i/>
          <w:iCs/>
          <w:sz w:val="24"/>
          <w:szCs w:val="24"/>
          <w:lang w:val="es-ES"/>
        </w:rPr>
        <w:sectPr w:rsidR="00745712" w:rsidRPr="00AA3BAA" w:rsidSect="003B6228">
          <w:pgSz w:w="11901" w:h="16840" w:code="9"/>
          <w:pgMar w:top="1021" w:right="964" w:bottom="737" w:left="1134" w:header="561" w:footer="561" w:gutter="0"/>
          <w:paperSrc w:first="7" w:other="7"/>
          <w:cols w:space="720"/>
          <w:docGrid w:linePitch="360"/>
        </w:sectPr>
      </w:pPr>
    </w:p>
    <w:tbl>
      <w:tblPr>
        <w:tblW w:w="4942" w:type="pct"/>
        <w:tblInd w:w="10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shd w:val="clear" w:color="auto" w:fill="DBE5F1"/>
        <w:tblLook w:val="0000" w:firstRow="0" w:lastRow="0" w:firstColumn="0" w:lastColumn="0" w:noHBand="0" w:noVBand="0"/>
      </w:tblPr>
      <w:tblGrid>
        <w:gridCol w:w="9517"/>
      </w:tblGrid>
      <w:tr w:rsidR="00385FFC" w:rsidRPr="009D3A87" w14:paraId="3EB348A9" w14:textId="77777777" w:rsidTr="00B72B69">
        <w:trPr>
          <w:trHeight w:val="517"/>
          <w:tblHeader/>
        </w:trPr>
        <w:tc>
          <w:tcPr>
            <w:tcW w:w="5000" w:type="pct"/>
            <w:shd w:val="clear" w:color="auto" w:fill="DBE5F1"/>
            <w:vAlign w:val="center"/>
          </w:tcPr>
          <w:p w14:paraId="374E3DE8" w14:textId="77777777" w:rsidR="00385FFC" w:rsidRPr="00AA3BAA" w:rsidRDefault="00385FFC" w:rsidP="00B72B69">
            <w:pPr>
              <w:tabs>
                <w:tab w:val="left" w:pos="1418"/>
              </w:tabs>
              <w:spacing w:before="40" w:after="40"/>
              <w:jc w:val="center"/>
              <w:rPr>
                <w:rFonts w:ascii="Arial" w:hAnsi="Arial" w:cs="Arial"/>
                <w:b/>
                <w:sz w:val="32"/>
                <w:szCs w:val="32"/>
                <w:lang w:val="es-ES" w:eastAsia="ko-KR"/>
              </w:rPr>
            </w:pPr>
            <w:r w:rsidRPr="00AA3BAA">
              <w:rPr>
                <w:rFonts w:ascii="Arial" w:hAnsi="Arial" w:cs="Arial"/>
                <w:b/>
                <w:sz w:val="32"/>
                <w:szCs w:val="32"/>
                <w:lang w:val="es-ES" w:eastAsia="ko-KR"/>
              </w:rPr>
              <w:lastRenderedPageBreak/>
              <w:t>Presupuesto de la Secretaría de ITU TELECOM</w:t>
            </w:r>
          </w:p>
          <w:p w14:paraId="4FA9C339" w14:textId="77777777" w:rsidR="00385FFC" w:rsidRPr="009D3A87" w:rsidRDefault="00385FFC" w:rsidP="00B72B69">
            <w:pPr>
              <w:tabs>
                <w:tab w:val="left" w:pos="1418"/>
              </w:tabs>
              <w:spacing w:before="40" w:after="40"/>
              <w:jc w:val="center"/>
              <w:rPr>
                <w:rFonts w:ascii="Arial" w:hAnsi="Arial" w:cs="Arial"/>
                <w:b/>
                <w:sz w:val="32"/>
                <w:szCs w:val="32"/>
                <w:lang w:val="fr-FR" w:eastAsia="ko-KR"/>
              </w:rPr>
            </w:pPr>
            <w:r w:rsidRPr="00AA3BAA">
              <w:rPr>
                <w:rFonts w:ascii="Arial" w:hAnsi="Arial" w:cs="Arial"/>
                <w:b/>
                <w:sz w:val="32"/>
                <w:szCs w:val="32"/>
                <w:lang w:val="es-ES" w:eastAsia="ko-KR"/>
              </w:rPr>
              <w:t>para 2022-2023</w:t>
            </w:r>
          </w:p>
        </w:tc>
      </w:tr>
    </w:tbl>
    <w:p w14:paraId="2243D405" w14:textId="207FBD6F" w:rsidR="00745712" w:rsidRPr="00AA3BAA" w:rsidRDefault="00745712" w:rsidP="00D03A98">
      <w:pPr>
        <w:spacing w:before="360"/>
        <w:rPr>
          <w:lang w:val="es-ES"/>
        </w:rPr>
      </w:pPr>
      <w:r w:rsidRPr="00AA3BAA">
        <w:rPr>
          <w:lang w:val="es-ES"/>
        </w:rPr>
        <w:t>1</w:t>
      </w:r>
      <w:r w:rsidRPr="00AA3BAA">
        <w:rPr>
          <w:lang w:val="es-ES"/>
        </w:rPr>
        <w:tab/>
      </w:r>
      <w:proofErr w:type="gramStart"/>
      <w:r w:rsidRPr="00AA3BAA">
        <w:rPr>
          <w:lang w:val="es-ES"/>
        </w:rPr>
        <w:t>El</w:t>
      </w:r>
      <w:proofErr w:type="gramEnd"/>
      <w:r w:rsidRPr="00AA3BAA">
        <w:rPr>
          <w:lang w:val="es-ES"/>
        </w:rPr>
        <w:t xml:space="preserve"> presupuesto de la Secretaría de ITU Telecom se establece para tener en cuenta todos los gastos correspondientes a la Secretaría de ITU Telecom que no están directamente relacionados con un evento ITU Telecom o un resultado específico. Incluye las tasas de recuperación de costes de otros Departamentos de la Secretaría General de la UIT y las Oficinas. El presupuesto de la Secretaría de ITU Telecom es imprescindible para planificar y supervisar los gastos que a continuación se van a imputar a los distintos eventos ITU Telecom durante el año del ejercicio. La periodicidad del presupuesto de la Secretaría de ITU Telecom es anual y corresponde al ciclo presupuestario bienal de la UIT </w:t>
      </w:r>
      <w:r w:rsidRPr="00F614B5">
        <w:rPr>
          <w:lang w:val="es-ES"/>
        </w:rPr>
        <w:t>(2022-2023</w:t>
      </w:r>
      <w:r w:rsidRPr="00AA3BAA">
        <w:rPr>
          <w:lang w:val="es-ES"/>
        </w:rPr>
        <w:t>).</w:t>
      </w:r>
    </w:p>
    <w:p w14:paraId="1F298A54" w14:textId="77777777" w:rsidR="00745712" w:rsidRPr="00AA3BAA" w:rsidRDefault="00745712" w:rsidP="00125D7A">
      <w:pPr>
        <w:pStyle w:val="Headingb"/>
        <w:rPr>
          <w:lang w:val="es-ES"/>
        </w:rPr>
      </w:pPr>
      <w:bookmarkStart w:id="13" w:name="_Toc419108794"/>
      <w:bookmarkStart w:id="14" w:name="_Toc69223569"/>
      <w:r w:rsidRPr="00AA3BAA">
        <w:rPr>
          <w:lang w:val="es-ES"/>
        </w:rPr>
        <w:t>GASTOS DE LA SECRETARÍA DE ITU TELECOM</w:t>
      </w:r>
      <w:bookmarkEnd w:id="13"/>
      <w:bookmarkEnd w:id="14"/>
    </w:p>
    <w:p w14:paraId="17AC6912" w14:textId="075792F1" w:rsidR="00745712" w:rsidRPr="00F614B5" w:rsidRDefault="00745712" w:rsidP="00385FFC">
      <w:pPr>
        <w:rPr>
          <w:lang w:val="es-ES"/>
        </w:rPr>
      </w:pPr>
      <w:r w:rsidRPr="00AA3BAA">
        <w:rPr>
          <w:lang w:val="es-ES"/>
        </w:rPr>
        <w:t>2</w:t>
      </w:r>
      <w:r w:rsidRPr="00AA3BAA">
        <w:rPr>
          <w:lang w:val="es-ES"/>
        </w:rPr>
        <w:tab/>
      </w:r>
      <w:proofErr w:type="gramStart"/>
      <w:r w:rsidRPr="00F614B5">
        <w:rPr>
          <w:lang w:val="es-ES"/>
        </w:rPr>
        <w:t>El</w:t>
      </w:r>
      <w:proofErr w:type="gramEnd"/>
      <w:r w:rsidRPr="00F614B5">
        <w:rPr>
          <w:lang w:val="es-ES"/>
        </w:rPr>
        <w:t xml:space="preserve"> presupuesto de la Secretaría de ITU Telecom para 2022-2023 totaliza casi</w:t>
      </w:r>
      <w:r w:rsidR="00385FFC" w:rsidRPr="00F614B5">
        <w:rPr>
          <w:lang w:val="es-ES"/>
        </w:rPr>
        <w:t> </w:t>
      </w:r>
      <w:r w:rsidRPr="00F614B5">
        <w:rPr>
          <w:lang w:val="es-ES"/>
        </w:rPr>
        <w:t>8,6</w:t>
      </w:r>
      <w:r w:rsidR="00385FFC" w:rsidRPr="00F614B5">
        <w:rPr>
          <w:lang w:val="es-ES"/>
        </w:rPr>
        <w:t> </w:t>
      </w:r>
      <w:r w:rsidRPr="00F614B5">
        <w:rPr>
          <w:lang w:val="es-ES"/>
        </w:rPr>
        <w:t>millones</w:t>
      </w:r>
      <w:r w:rsidR="00385FFC" w:rsidRPr="00F614B5">
        <w:rPr>
          <w:lang w:val="es-ES"/>
        </w:rPr>
        <w:t> </w:t>
      </w:r>
      <w:r w:rsidRPr="00F614B5">
        <w:rPr>
          <w:lang w:val="es-ES"/>
        </w:rPr>
        <w:t xml:space="preserve">CHF, lo que supone un </w:t>
      </w:r>
      <w:r w:rsidRPr="00F614B5">
        <w:rPr>
          <w:rFonts w:asciiTheme="minorHAnsi" w:hAnsiTheme="minorHAnsi"/>
          <w:lang w:val="es-ES"/>
        </w:rPr>
        <w:t>14% menos que el presupuesto para 2020-2021</w:t>
      </w:r>
      <w:r w:rsidRPr="00F614B5">
        <w:rPr>
          <w:lang w:val="es-ES"/>
        </w:rPr>
        <w:t>. Esto se debe al menor número de puestos</w:t>
      </w:r>
      <w:r w:rsidRPr="00F614B5">
        <w:rPr>
          <w:rFonts w:asciiTheme="minorHAnsi" w:hAnsiTheme="minorHAnsi"/>
          <w:lang w:val="es-ES"/>
        </w:rPr>
        <w:t xml:space="preserve">, </w:t>
      </w:r>
      <w:r w:rsidRPr="00AA3BAA">
        <w:rPr>
          <w:rFonts w:asciiTheme="minorHAnsi" w:hAnsiTheme="minorHAnsi"/>
          <w:lang w:val="es-ES"/>
        </w:rPr>
        <w:t>como</w:t>
      </w:r>
      <w:r w:rsidRPr="00AA3BAA">
        <w:rPr>
          <w:lang w:val="es-ES"/>
        </w:rPr>
        <w:t xml:space="preserve"> se indica en el Cuadro 1 </w:t>
      </w:r>
      <w:r w:rsidRPr="00AA3BAA">
        <w:rPr>
          <w:i/>
          <w:iCs/>
          <w:lang w:val="es-ES"/>
        </w:rPr>
        <w:t>infra</w:t>
      </w:r>
      <w:r w:rsidRPr="00AA3BAA">
        <w:rPr>
          <w:lang w:val="es-ES"/>
        </w:rPr>
        <w:t xml:space="preserve">. Las partidas que representan el mayor coste en el presupuesto corresponden </w:t>
      </w:r>
      <w:r w:rsidRPr="00F614B5">
        <w:rPr>
          <w:lang w:val="es-ES"/>
        </w:rPr>
        <w:t xml:space="preserve">al gasto de </w:t>
      </w:r>
      <w:r w:rsidRPr="00AA3BAA">
        <w:rPr>
          <w:lang w:val="es-ES"/>
        </w:rPr>
        <w:t xml:space="preserve">personal </w:t>
      </w:r>
      <w:r w:rsidRPr="00F614B5">
        <w:rPr>
          <w:lang w:val="es-ES"/>
        </w:rPr>
        <w:t xml:space="preserve">y otros </w:t>
      </w:r>
      <w:r w:rsidRPr="00AA3BAA">
        <w:rPr>
          <w:lang w:val="es-ES"/>
        </w:rPr>
        <w:t xml:space="preserve">gastos de personal, así como a la recuperación de costes, que se ha mantenido en el mismo nivel </w:t>
      </w:r>
      <w:r w:rsidRPr="00F614B5">
        <w:rPr>
          <w:lang w:val="es-ES"/>
        </w:rPr>
        <w:t>presupuestario desde 2014 (1,5 millones CHF al año).</w:t>
      </w:r>
    </w:p>
    <w:p w14:paraId="4C47A5FD" w14:textId="605B701A" w:rsidR="00745712" w:rsidRPr="00385FFC" w:rsidRDefault="00745712" w:rsidP="002631BF">
      <w:pPr>
        <w:keepLines/>
        <w:rPr>
          <w:rFonts w:cs="Arial"/>
          <w:szCs w:val="24"/>
          <w:lang w:val="es-ES"/>
        </w:rPr>
      </w:pPr>
      <w:r w:rsidRPr="00F614B5">
        <w:rPr>
          <w:lang w:val="es-ES"/>
        </w:rPr>
        <w:t>3</w:t>
      </w:r>
      <w:r w:rsidRPr="00F614B5">
        <w:rPr>
          <w:lang w:val="es-ES"/>
        </w:rPr>
        <w:tab/>
      </w:r>
      <w:proofErr w:type="gramStart"/>
      <w:r w:rsidRPr="00AA3BAA">
        <w:rPr>
          <w:rFonts w:cs="Arial"/>
          <w:szCs w:val="24"/>
          <w:lang w:val="es-ES"/>
        </w:rPr>
        <w:t>El</w:t>
      </w:r>
      <w:proofErr w:type="gramEnd"/>
      <w:r w:rsidRPr="00AA3BAA">
        <w:rPr>
          <w:rFonts w:cs="Arial"/>
          <w:szCs w:val="24"/>
          <w:lang w:val="es-ES"/>
        </w:rPr>
        <w:t xml:space="preserve"> presupuesto se presenta en categorías de gastos de acuerdo con el Artículo 6, Regla 6.1 del Reglamento Financiero y las Reglas Financieras de la UIT. En el Cuadro 1 se muestran los gastos estimados por categorías. Los gastos de personal y otros gastos de personal representan casi el </w:t>
      </w:r>
      <w:r w:rsidRPr="00F614B5">
        <w:rPr>
          <w:rFonts w:asciiTheme="minorHAnsi" w:hAnsiTheme="minorHAnsi"/>
          <w:szCs w:val="24"/>
          <w:lang w:val="es-ES"/>
        </w:rPr>
        <w:t>62</w:t>
      </w:r>
      <w:r w:rsidRPr="00F614B5">
        <w:rPr>
          <w:rFonts w:cs="Arial"/>
          <w:szCs w:val="24"/>
          <w:lang w:val="es-ES"/>
        </w:rPr>
        <w:t>% del presupuesto bienal total. La recuperación de costes de 3 millones CHF es equivalente al 35% del presupuesto bienal total para 2022-2023.</w:t>
      </w:r>
    </w:p>
    <w:p w14:paraId="6F61C884" w14:textId="2391D1B9" w:rsidR="00443C4D" w:rsidRPr="00AA3BAA" w:rsidRDefault="00443C4D" w:rsidP="00443C4D">
      <w:pPr>
        <w:pStyle w:val="TableNo"/>
        <w:rPr>
          <w:lang w:val="en-GB"/>
        </w:rPr>
      </w:pPr>
      <w:r w:rsidRPr="00AA3BAA">
        <w:rPr>
          <w:rFonts w:eastAsia="MS Mincho"/>
          <w:lang w:val="en-GB"/>
        </w:rPr>
        <w:t>Cuadro 1</w:t>
      </w:r>
    </w:p>
    <w:p w14:paraId="1EF31B0F" w14:textId="5E3FAEB0" w:rsidR="00443C4D" w:rsidRPr="00443C4D" w:rsidRDefault="00443C4D" w:rsidP="00443C4D">
      <w:pPr>
        <w:pStyle w:val="Tabletitle"/>
        <w:rPr>
          <w:szCs w:val="24"/>
          <w:lang w:val="es-ES"/>
        </w:rPr>
      </w:pPr>
      <w:r>
        <w:rPr>
          <w:rFonts w:eastAsia="MS Mincho"/>
          <w:lang w:eastAsia="ja-JP"/>
        </w:rPr>
        <w:t>Presupuesto por categoría de gastos</w:t>
      </w:r>
    </w:p>
    <w:bookmarkStart w:id="15" w:name="_MON_1679839391"/>
    <w:bookmarkEnd w:id="15"/>
    <w:p w14:paraId="4F59595E" w14:textId="3CCD5217" w:rsidR="00184ED2" w:rsidRDefault="00443C4D" w:rsidP="00184ED2">
      <w:pPr>
        <w:rPr>
          <w:lang w:val="es-ES"/>
        </w:rPr>
      </w:pPr>
      <w:r>
        <w:rPr>
          <w:lang w:val="es-ES"/>
        </w:rPr>
        <w:object w:dxaOrig="10104" w:dyaOrig="5276" w14:anchorId="12A5B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212.5pt" o:ole="">
            <v:imagedata r:id="rId15" o:title="" croptop="12767f"/>
          </v:shape>
          <o:OLEObject Type="Embed" ProgID="Excel.Sheet.12" ShapeID="_x0000_i1025" DrawAspect="Content" ObjectID="_1681149856" r:id="rId16"/>
        </w:object>
      </w:r>
    </w:p>
    <w:p w14:paraId="639C6099" w14:textId="0132C506" w:rsidR="00184ED2" w:rsidRDefault="00443C4D" w:rsidP="00443C4D">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445D25AC" w14:textId="77777777" w:rsidR="00745712" w:rsidRPr="00AA3BAA" w:rsidRDefault="00745712" w:rsidP="00125D7A">
      <w:pPr>
        <w:pStyle w:val="Headingb"/>
        <w:rPr>
          <w:lang w:val="es-ES"/>
        </w:rPr>
      </w:pPr>
      <w:bookmarkStart w:id="16" w:name="_Toc419108795"/>
      <w:bookmarkStart w:id="17" w:name="_Toc69223570"/>
      <w:r w:rsidRPr="00AA3BAA">
        <w:rPr>
          <w:lang w:val="es-ES"/>
        </w:rPr>
        <w:lastRenderedPageBreak/>
        <w:t>RECURSOS DE LA SECRETARÍA DE ITU TELECOM</w:t>
      </w:r>
      <w:bookmarkEnd w:id="16"/>
      <w:bookmarkEnd w:id="17"/>
    </w:p>
    <w:p w14:paraId="47E949D3" w14:textId="2A269071" w:rsidR="00C24299" w:rsidRPr="00443C4D" w:rsidRDefault="00745712" w:rsidP="00443C4D">
      <w:pPr>
        <w:rPr>
          <w:rFonts w:cs="Arial"/>
          <w:szCs w:val="24"/>
          <w:lang w:val="es-ES"/>
        </w:rPr>
      </w:pPr>
      <w:r w:rsidRPr="00AA3BAA">
        <w:rPr>
          <w:lang w:val="es-ES"/>
        </w:rPr>
        <w:t>4</w:t>
      </w:r>
      <w:r w:rsidRPr="00AA3BAA">
        <w:rPr>
          <w:lang w:val="es-ES"/>
        </w:rPr>
        <w:tab/>
      </w:r>
      <w:r w:rsidRPr="00AA3BAA">
        <w:rPr>
          <w:rFonts w:cs="Arial"/>
          <w:szCs w:val="24"/>
          <w:lang w:val="es-ES"/>
        </w:rPr>
        <w:t>Los "gastos de personal" comprenden salarios de base, ajuste por lugar de destino y prestaciones para alojamiento (para las categorías profesional o superiores), al tiempo que "otros gastos de personal" corresponden a la contribución de la Unión al Fondo de Pensiones, el seguro de enfermedad y accidentes, las asignaciones escolares y los gastos de viaje, los viajes con motivo de nombramientos o ceses en el servicio, los subsidios de instalación y repatriación, los viajes al hogar, las vacaciones acumuladas pagadas, los subsidios de repatriación y los gastos de mudanza</w:t>
      </w:r>
      <w:r w:rsidRPr="00F614B5">
        <w:rPr>
          <w:rFonts w:cs="Arial"/>
          <w:szCs w:val="24"/>
          <w:lang w:val="es-ES"/>
        </w:rPr>
        <w:t>. La Secretaría de ITU Telecom cuenta con 18 puestos presupuestados en 2022-2023, frente a 23 en 2020-2021. Se eliminaron 5 puestos del presupuesto a consecuencia de la transferencia de personal a otros departamentos, como se muestra más abajo.</w:t>
      </w:r>
      <w:bookmarkStart w:id="18" w:name="_Hlk69218357"/>
    </w:p>
    <w:p w14:paraId="0739E9E3" w14:textId="5CB74106" w:rsidR="00443C4D" w:rsidRPr="00AF383E" w:rsidRDefault="00443C4D" w:rsidP="00443C4D">
      <w:pPr>
        <w:pStyle w:val="TableNo"/>
        <w:rPr>
          <w:lang w:val="fr-FR"/>
        </w:rPr>
      </w:pPr>
      <w:r>
        <w:rPr>
          <w:rFonts w:eastAsia="MS Mincho"/>
          <w:lang w:val="fr-FR"/>
        </w:rPr>
        <w:t>Cuadro</w:t>
      </w:r>
      <w:r w:rsidRPr="00AF383E">
        <w:rPr>
          <w:rFonts w:eastAsia="MS Mincho"/>
          <w:lang w:val="fr-FR"/>
        </w:rPr>
        <w:t xml:space="preserve"> </w:t>
      </w:r>
      <w:r>
        <w:rPr>
          <w:rFonts w:eastAsia="MS Mincho"/>
          <w:lang w:val="fr-FR"/>
        </w:rPr>
        <w:t>2</w:t>
      </w:r>
    </w:p>
    <w:p w14:paraId="677BB7EB" w14:textId="5D6FEEBC" w:rsidR="00443C4D" w:rsidRPr="00443C4D" w:rsidRDefault="00443C4D" w:rsidP="00443C4D">
      <w:pPr>
        <w:pStyle w:val="Tabletitle"/>
      </w:pPr>
      <w:r>
        <w:rPr>
          <w:rFonts w:eastAsia="MS Mincho"/>
          <w:lang w:eastAsia="ja-JP"/>
        </w:rPr>
        <w:t>Puestos presupuestados</w:t>
      </w:r>
    </w:p>
    <w:bookmarkStart w:id="19" w:name="_MON_1679831648"/>
    <w:bookmarkEnd w:id="19"/>
    <w:p w14:paraId="3A7A4FB7" w14:textId="1BB60A06" w:rsidR="00C24299" w:rsidRDefault="00443C4D" w:rsidP="00C24299">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40"/>
        <w:jc w:val="center"/>
        <w:textAlignment w:val="auto"/>
        <w:rPr>
          <w:rFonts w:asciiTheme="minorHAnsi" w:hAnsiTheme="minorHAnsi" w:cstheme="minorHAnsi"/>
          <w:b/>
          <w:bCs/>
          <w:lang w:val="fr-FR"/>
        </w:rPr>
      </w:pPr>
      <w:r>
        <w:rPr>
          <w:rFonts w:asciiTheme="minorHAnsi" w:hAnsiTheme="minorHAnsi" w:cstheme="minorHAnsi"/>
          <w:b/>
          <w:bCs/>
          <w:lang w:val="fr-FR"/>
        </w:rPr>
        <w:object w:dxaOrig="10515" w:dyaOrig="2835" w14:anchorId="0400C297">
          <v:shape id="_x0000_i1026" type="#_x0000_t75" style="width:500pt;height:74.5pt" o:ole="">
            <v:imagedata r:id="rId17" o:title="" croptop="29475f"/>
          </v:shape>
          <o:OLEObject Type="Embed" ProgID="Excel.Sheet.12" ShapeID="_x0000_i1026" DrawAspect="Content" ObjectID="_1681149857" r:id="rId18"/>
        </w:object>
      </w:r>
    </w:p>
    <w:bookmarkEnd w:id="18"/>
    <w:p w14:paraId="2DC29D26" w14:textId="114A56A2" w:rsidR="00745712" w:rsidRPr="00AA3BAA" w:rsidRDefault="00745712" w:rsidP="00F614B5">
      <w:pPr>
        <w:spacing w:before="360"/>
        <w:rPr>
          <w:lang w:val="es-ES"/>
        </w:rPr>
      </w:pPr>
      <w:r w:rsidRPr="00AA3BAA">
        <w:rPr>
          <w:lang w:val="es-ES"/>
        </w:rPr>
        <w:t>5</w:t>
      </w:r>
      <w:r w:rsidRPr="00AA3BAA">
        <w:rPr>
          <w:lang w:val="es-ES"/>
        </w:rPr>
        <w:tab/>
      </w:r>
      <w:proofErr w:type="gramStart"/>
      <w:r w:rsidRPr="00AA3BAA">
        <w:rPr>
          <w:lang w:val="es-ES"/>
        </w:rPr>
        <w:t>Las</w:t>
      </w:r>
      <w:proofErr w:type="gramEnd"/>
      <w:r w:rsidRPr="00AA3BAA">
        <w:rPr>
          <w:lang w:val="es-ES"/>
        </w:rPr>
        <w:t xml:space="preserve"> categorías 3 a 9 del presupuesto corresponden a gastos de misión, servicios por contrata, alquiler y la conservación, equipos y suministros, adquisiciones, servicios públicos e internos, instalaciones y gastos varios.</w:t>
      </w:r>
    </w:p>
    <w:p w14:paraId="1E138E5A" w14:textId="178B20DF" w:rsidR="00745712" w:rsidRPr="00F614B5" w:rsidRDefault="00745712" w:rsidP="009B4B8D">
      <w:pPr>
        <w:pStyle w:val="enumlev1"/>
        <w:rPr>
          <w:lang w:val="es-ES"/>
        </w:rPr>
      </w:pPr>
      <w:r w:rsidRPr="00AA3BAA">
        <w:rPr>
          <w:lang w:val="es-ES"/>
        </w:rPr>
        <w:t>a)</w:t>
      </w:r>
      <w:r w:rsidRPr="00AA3BAA">
        <w:rPr>
          <w:lang w:val="es-ES"/>
        </w:rPr>
        <w:tab/>
      </w:r>
      <w:r w:rsidRPr="00E67B56">
        <w:rPr>
          <w:rFonts w:cs="Arial"/>
          <w:szCs w:val="24"/>
          <w:lang w:val="es-ES"/>
        </w:rPr>
        <w:t xml:space="preserve">La Categoría 3 corresponde a los gastos de misión que comprenden costes tales como dietas diarias (dieta diaria de las Naciones Unidas o DSA), gastos terminales y gastos de seguro. En las misiones para ITU Telecom se hace lo posible por evitar gastos innecesarios. Para evitar gastos de viaje innecesarios se hace lo posible por recurrir a la correspondencia electrónica y a la teleconferencia. Algunas misiones tienen varios mandatos </w:t>
      </w:r>
      <w:r w:rsidRPr="00F614B5">
        <w:rPr>
          <w:rFonts w:cs="Arial"/>
          <w:szCs w:val="24"/>
          <w:lang w:val="es-ES"/>
        </w:rPr>
        <w:t xml:space="preserve">y la duración de los viajes se limita lo más posible. La estimación de los gastos de misión para 2022-2023 es la misma que la del presupuesto para </w:t>
      </w:r>
      <w:r w:rsidRPr="00F614B5">
        <w:rPr>
          <w:rFonts w:asciiTheme="minorHAnsi" w:hAnsiTheme="minorHAnsi"/>
          <w:szCs w:val="24"/>
          <w:lang w:val="es-ES"/>
        </w:rPr>
        <w:t>2020-2021</w:t>
      </w:r>
      <w:r w:rsidRPr="00F614B5">
        <w:rPr>
          <w:rFonts w:cs="Arial"/>
          <w:szCs w:val="24"/>
          <w:lang w:val="es-ES"/>
        </w:rPr>
        <w:t>. Las misiones específicas de ciertos eventos se imputan a los presupuestos correspondientes a los mismos.</w:t>
      </w:r>
    </w:p>
    <w:p w14:paraId="6F48DA79" w14:textId="7DD86DB9" w:rsidR="00745712" w:rsidRPr="00F614B5" w:rsidRDefault="00745712" w:rsidP="009B4B8D">
      <w:pPr>
        <w:pStyle w:val="enumlev1"/>
        <w:rPr>
          <w:lang w:val="es-ES"/>
        </w:rPr>
      </w:pPr>
      <w:r w:rsidRPr="00AA3BAA">
        <w:rPr>
          <w:lang w:val="es-ES"/>
        </w:rPr>
        <w:t>b)</w:t>
      </w:r>
      <w:r w:rsidRPr="00AA3BAA">
        <w:rPr>
          <w:lang w:val="es-ES"/>
        </w:rPr>
        <w:tab/>
      </w:r>
      <w:r w:rsidRPr="00F614B5">
        <w:rPr>
          <w:rFonts w:cs="Arial"/>
          <w:szCs w:val="24"/>
          <w:lang w:val="es-ES"/>
        </w:rPr>
        <w:t>La Categoría 4 corresponde a servicios por contrata. Las actividades de comercialización y publicidad, que incluyen la promoción de los eventos, se consignan en el presupuesto correspondiente a cada evento. E</w:t>
      </w:r>
      <w:r w:rsidRPr="00F614B5">
        <w:rPr>
          <w:rFonts w:asciiTheme="minorHAnsi" w:hAnsiTheme="minorHAnsi"/>
          <w:szCs w:val="24"/>
          <w:lang w:val="es-ES"/>
        </w:rPr>
        <w:t>n 2022-2023 s</w:t>
      </w:r>
      <w:r w:rsidRPr="00F614B5">
        <w:rPr>
          <w:rFonts w:cs="Arial"/>
          <w:szCs w:val="24"/>
          <w:lang w:val="es-ES"/>
        </w:rPr>
        <w:t>e ha mantenido el presupuesto global de los servicios por contrata de 2020-2021.</w:t>
      </w:r>
    </w:p>
    <w:p w14:paraId="58F2549C" w14:textId="70601D58" w:rsidR="00745712" w:rsidRPr="00F614B5" w:rsidRDefault="00745712" w:rsidP="009B4B8D">
      <w:pPr>
        <w:pStyle w:val="enumlev1"/>
        <w:rPr>
          <w:lang w:val="es-ES"/>
        </w:rPr>
      </w:pPr>
      <w:r w:rsidRPr="00AA3BAA">
        <w:rPr>
          <w:lang w:val="es-ES"/>
        </w:rPr>
        <w:t>c)</w:t>
      </w:r>
      <w:r w:rsidRPr="00AA3BAA">
        <w:rPr>
          <w:lang w:val="es-ES"/>
        </w:rPr>
        <w:tab/>
      </w:r>
      <w:r w:rsidRPr="00F614B5">
        <w:rPr>
          <w:rFonts w:cs="Arial"/>
          <w:szCs w:val="24"/>
          <w:lang w:val="es-ES"/>
        </w:rPr>
        <w:t xml:space="preserve">La Categoría 5 abarca el alquiler y el mantenimiento de instalaciones y equipos </w:t>
      </w:r>
      <w:r w:rsidRPr="00F614B5">
        <w:rPr>
          <w:rFonts w:asciiTheme="minorHAnsi" w:hAnsiTheme="minorHAnsi"/>
          <w:szCs w:val="24"/>
          <w:lang w:val="es-ES"/>
        </w:rPr>
        <w:t>y</w:t>
      </w:r>
      <w:r w:rsidRPr="00F614B5">
        <w:rPr>
          <w:rFonts w:cs="Arial"/>
          <w:szCs w:val="24"/>
          <w:lang w:val="es-ES"/>
        </w:rPr>
        <w:t xml:space="preserve"> se refiere a las necesidades de las reuniones y actividades destinadas a promover eventos de ITU Telecom en general</w:t>
      </w:r>
      <w:r w:rsidRPr="00F614B5">
        <w:rPr>
          <w:rFonts w:cs="Arial"/>
          <w:smallCaps/>
          <w:szCs w:val="24"/>
          <w:lang w:val="es-ES"/>
        </w:rPr>
        <w:t xml:space="preserve">. </w:t>
      </w:r>
      <w:r w:rsidRPr="00F614B5">
        <w:rPr>
          <w:rFonts w:cs="Arial"/>
          <w:szCs w:val="24"/>
          <w:lang w:val="es-ES"/>
        </w:rPr>
        <w:t>Se ha mantenido el costo estimado del alquiler y el mantenimiento del presupuesto de 2020-2021</w:t>
      </w:r>
      <w:r w:rsidRPr="00F614B5">
        <w:rPr>
          <w:rFonts w:cs="Arial"/>
          <w:smallCaps/>
          <w:szCs w:val="24"/>
          <w:lang w:val="es-ES"/>
        </w:rPr>
        <w:t>.</w:t>
      </w:r>
    </w:p>
    <w:p w14:paraId="63A4B9DD" w14:textId="217917DF" w:rsidR="00745712" w:rsidRPr="00AA3BAA" w:rsidRDefault="00745712" w:rsidP="009B4B8D">
      <w:pPr>
        <w:pStyle w:val="enumlev1"/>
        <w:rPr>
          <w:lang w:val="es-ES"/>
        </w:rPr>
      </w:pPr>
      <w:r w:rsidRPr="00AA3BAA">
        <w:rPr>
          <w:lang w:val="es-ES"/>
        </w:rPr>
        <w:t>d)</w:t>
      </w:r>
      <w:r w:rsidRPr="00AA3BAA">
        <w:rPr>
          <w:lang w:val="es-ES"/>
        </w:rPr>
        <w:tab/>
      </w:r>
      <w:r w:rsidRPr="00F614B5">
        <w:rPr>
          <w:rFonts w:cs="Arial"/>
          <w:szCs w:val="24"/>
          <w:lang w:val="es-ES"/>
        </w:rPr>
        <w:t xml:space="preserve">La Categoría 6 abarca los costes correspondientes a equipos y suministros tales como material de oficina, suministros para la imprenta y equipos de TI, materiales de referencia, así como impresión y producción de folletos. Dado que se mantiene la baja cantidad de material impreso prevista en beneficio del formato digital, en consonancia con la política de la UIT y con la impresión de algunos folletos de manera interna, no es preciso aumentar el </w:t>
      </w:r>
      <w:r w:rsidRPr="00F614B5">
        <w:rPr>
          <w:rFonts w:cs="Arial"/>
          <w:szCs w:val="24"/>
          <w:lang w:val="es-ES"/>
        </w:rPr>
        <w:lastRenderedPageBreak/>
        <w:t>presupuesto de 2020-2021</w:t>
      </w:r>
      <w:r w:rsidRPr="00F614B5">
        <w:rPr>
          <w:rFonts w:asciiTheme="minorHAnsi" w:hAnsiTheme="minorHAnsi"/>
          <w:szCs w:val="24"/>
          <w:lang w:val="es-ES"/>
        </w:rPr>
        <w:t>.</w:t>
      </w:r>
      <w:r w:rsidRPr="00F614B5">
        <w:rPr>
          <w:rFonts w:asciiTheme="minorHAnsi" w:hAnsiTheme="minorHAnsi"/>
          <w:lang w:val="es-ES"/>
        </w:rPr>
        <w:t xml:space="preserve"> </w:t>
      </w:r>
      <w:r w:rsidRPr="00AA3BAA">
        <w:rPr>
          <w:rFonts w:cs="Arial"/>
          <w:szCs w:val="24"/>
          <w:lang w:val="es-ES"/>
        </w:rPr>
        <w:t>Se habilitarán asimismo créditos para impresión y producción de folletos para eventos específicos, en los presupuestos correspondientes a éstos.</w:t>
      </w:r>
    </w:p>
    <w:p w14:paraId="417B4148" w14:textId="2D22D0C9" w:rsidR="00745712" w:rsidRPr="00AA3BAA" w:rsidRDefault="00745712">
      <w:pPr>
        <w:pStyle w:val="enumlev1"/>
        <w:rPr>
          <w:lang w:val="es-ES"/>
        </w:rPr>
      </w:pPr>
      <w:r w:rsidRPr="00AA3BAA">
        <w:rPr>
          <w:lang w:val="es-ES"/>
        </w:rPr>
        <w:t>e)</w:t>
      </w:r>
      <w:r w:rsidRPr="00AA3BAA">
        <w:rPr>
          <w:lang w:val="es-ES"/>
        </w:rPr>
        <w:tab/>
      </w:r>
      <w:r w:rsidRPr="00AA3BAA">
        <w:rPr>
          <w:rFonts w:cs="Arial"/>
          <w:szCs w:val="24"/>
          <w:lang w:val="es-ES"/>
        </w:rPr>
        <w:t xml:space="preserve">La Categoría 7 corresponde a los costes de adquisición de mobiliario y equipos e instalaciones TI y técnicos. No se prevé incremento alguno en esta partida presupuestaria </w:t>
      </w:r>
      <w:r w:rsidRPr="00F614B5">
        <w:rPr>
          <w:rFonts w:cs="Arial"/>
          <w:szCs w:val="24"/>
          <w:lang w:val="es-ES"/>
        </w:rPr>
        <w:t>para 2022-2023.</w:t>
      </w:r>
    </w:p>
    <w:p w14:paraId="30843382" w14:textId="773CB916" w:rsidR="00745712" w:rsidRPr="007E179A" w:rsidRDefault="00745712" w:rsidP="009B4B8D">
      <w:pPr>
        <w:pStyle w:val="enumlev1"/>
        <w:rPr>
          <w:lang w:val="es-ES"/>
        </w:rPr>
      </w:pPr>
      <w:r w:rsidRPr="00AA3BAA">
        <w:rPr>
          <w:lang w:val="es-ES"/>
        </w:rPr>
        <w:t>f)</w:t>
      </w:r>
      <w:r w:rsidRPr="00AA3BAA">
        <w:rPr>
          <w:lang w:val="es-ES"/>
        </w:rPr>
        <w:tab/>
      </w:r>
      <w:r w:rsidRPr="00AA3BAA">
        <w:rPr>
          <w:rFonts w:cs="Arial"/>
          <w:szCs w:val="24"/>
          <w:lang w:val="es-ES"/>
        </w:rPr>
        <w:t xml:space="preserve">La Categoría 8 corresponde a los costes de servicios públicos e internos que abarcan los servicios oficiales proporcionados por los proveedores de servicios locales y nacionales tales como </w:t>
      </w:r>
      <w:r w:rsidRPr="00F614B5">
        <w:rPr>
          <w:rFonts w:cs="Arial"/>
          <w:szCs w:val="24"/>
          <w:lang w:val="es-ES"/>
        </w:rPr>
        <w:t>correos y teléfono. Desde 2020, los gastos de la Sede relacionados con correos y teléfono se cargan a un centro de costes común de la UIT. Por tanto, no se ha previsto esta categoría en el presupuesto de la Secretaría de ITU Telecom para 2022-2023</w:t>
      </w:r>
      <w:r w:rsidR="007E179A" w:rsidRPr="00F614B5">
        <w:rPr>
          <w:rFonts w:cs="Arial"/>
          <w:szCs w:val="24"/>
          <w:lang w:val="es-ES"/>
        </w:rPr>
        <w:t>.</w:t>
      </w:r>
      <w:r w:rsidRPr="00F614B5">
        <w:rPr>
          <w:rFonts w:cs="Arial"/>
          <w:szCs w:val="24"/>
          <w:lang w:val="es-ES"/>
        </w:rPr>
        <w:t xml:space="preserve"> No obstante, estas partidas se contemplan en presupuestos específicos de actos celebrados fuera de Ginebra.</w:t>
      </w:r>
    </w:p>
    <w:p w14:paraId="5AB8DF96" w14:textId="77777777" w:rsidR="00745712" w:rsidRPr="00AA3BAA" w:rsidRDefault="00745712" w:rsidP="00125D7A">
      <w:pPr>
        <w:pStyle w:val="Headingb"/>
        <w:rPr>
          <w:lang w:val="es-ES"/>
        </w:rPr>
      </w:pPr>
      <w:bookmarkStart w:id="20" w:name="_Toc419108796"/>
      <w:bookmarkStart w:id="21" w:name="_Toc69223571"/>
      <w:r w:rsidRPr="00AA3BAA">
        <w:rPr>
          <w:lang w:val="es-ES"/>
        </w:rPr>
        <w:t>RECUPERACIÓN DE COSTES DE ITU TELECOM</w:t>
      </w:r>
      <w:bookmarkEnd w:id="20"/>
      <w:bookmarkEnd w:id="21"/>
    </w:p>
    <w:p w14:paraId="016663C6" w14:textId="1414C4FB" w:rsidR="00745712" w:rsidRPr="007E179A" w:rsidRDefault="00745712" w:rsidP="00EA67A7">
      <w:pPr>
        <w:keepLines/>
        <w:rPr>
          <w:rFonts w:cs="Calibri"/>
          <w:lang w:val="es-ES"/>
        </w:rPr>
      </w:pPr>
      <w:r w:rsidRPr="00AA3BAA">
        <w:rPr>
          <w:rFonts w:asciiTheme="minorHAnsi" w:eastAsia="SimSun" w:hAnsiTheme="minorHAnsi" w:cstheme="minorHAnsi"/>
          <w:szCs w:val="24"/>
          <w:lang w:val="es-ES" w:eastAsia="zh-CN"/>
        </w:rPr>
        <w:t>6</w:t>
      </w:r>
      <w:r w:rsidRPr="00AA3BAA">
        <w:rPr>
          <w:rFonts w:asciiTheme="minorHAnsi" w:eastAsia="SimSun" w:hAnsiTheme="minorHAnsi" w:cstheme="minorHAnsi"/>
          <w:szCs w:val="24"/>
          <w:lang w:val="es-ES" w:eastAsia="zh-CN"/>
        </w:rPr>
        <w:tab/>
      </w:r>
      <w:proofErr w:type="gramStart"/>
      <w:r w:rsidRPr="00AA3BAA">
        <w:rPr>
          <w:rFonts w:cs="Arial"/>
          <w:szCs w:val="24"/>
          <w:lang w:val="es-ES"/>
        </w:rPr>
        <w:t>La</w:t>
      </w:r>
      <w:proofErr w:type="gramEnd"/>
      <w:r w:rsidRPr="00AA3BAA">
        <w:rPr>
          <w:rFonts w:cs="Arial"/>
          <w:szCs w:val="24"/>
          <w:lang w:val="es-ES"/>
        </w:rPr>
        <w:t xml:space="preserve"> recuperación de costes en la UIT es un importe fijo que representa los servicios prestados por el personal de otros Departamentos, Unidades o Sectores de la UIT a ITU Telecom. Se basa en los costes estimados de los sueldos del personal y otras remuneraciones, así como todos los elementos necesarios para que el resto del personal de la Unión lleve a cabo su cometido en relación con las actividades de ITU Telecom; por ejemplo, equipos y material informático de las TIC, espacio de oficinas, mobiliario, suministros de material de oficina etc. En el último bienio 2018-2019, la recuperación de costes en el presupuesto de la Secretaría de Telecom ascendió a 1,5 millones CHF anuales. Desde 2014, se ha consignado anualmente la misma cuantía presupuestada. No obstante, en 2018 el Secretario General decidió reducir la cuantía anual de recuperación de </w:t>
      </w:r>
      <w:r w:rsidRPr="00F614B5">
        <w:rPr>
          <w:rFonts w:cs="Arial"/>
          <w:szCs w:val="24"/>
          <w:lang w:val="es-ES"/>
        </w:rPr>
        <w:t xml:space="preserve">costos facturada a 1 millón de CHF, a fin de brindar apoyo a la Secretaría de ITU Telecom y paliar las dificultades a que ha estado haciendo frente durante el evento de 2018. Para 2020-2021, se ha mantenido el importe presupuestado correspondiente a la recuperación de costes, de 1,5 millones. </w:t>
      </w:r>
      <w:r w:rsidRPr="00F614B5">
        <w:rPr>
          <w:rFonts w:cs="Calibri"/>
          <w:szCs w:val="24"/>
          <w:lang w:val="es-ES"/>
        </w:rPr>
        <w:t xml:space="preserve">Sin embargo, debido al aplazamiento de </w:t>
      </w:r>
      <w:r w:rsidRPr="00F614B5">
        <w:rPr>
          <w:rFonts w:cs="Calibri"/>
          <w:szCs w:val="22"/>
          <w:lang w:val="es-ES"/>
        </w:rPr>
        <w:t>ITU Digital World 2020 a consecuencia de la pandemia de la COVID-19, el Secretario General decidió no facturar la recuperación de costes a ITU Telecom en 2020.</w:t>
      </w:r>
    </w:p>
    <w:p w14:paraId="500E5415" w14:textId="77777777" w:rsidR="00745712" w:rsidRPr="007E179A" w:rsidRDefault="00745712" w:rsidP="00125D7A">
      <w:pPr>
        <w:pStyle w:val="Headingb"/>
        <w:rPr>
          <w:rFonts w:ascii="Times New Roman" w:eastAsia="SimSun" w:hAnsi="Times New Roman"/>
          <w:lang w:val="es-ES" w:eastAsia="zh-CN"/>
        </w:rPr>
      </w:pPr>
      <w:bookmarkStart w:id="22" w:name="_Toc419108797"/>
      <w:bookmarkStart w:id="23" w:name="_Toc69223572"/>
      <w:r w:rsidRPr="007E179A">
        <w:rPr>
          <w:lang w:val="es-ES"/>
        </w:rPr>
        <w:t>UTILIZACIÓN DE RECURSOS</w:t>
      </w:r>
      <w:bookmarkEnd w:id="22"/>
      <w:bookmarkEnd w:id="23"/>
    </w:p>
    <w:p w14:paraId="50BC8976" w14:textId="4F78C12F" w:rsidR="00745712" w:rsidRPr="00AA3BAA" w:rsidRDefault="00745712" w:rsidP="00E67B56">
      <w:pPr>
        <w:rPr>
          <w:lang w:val="es-ES"/>
        </w:rPr>
      </w:pPr>
      <w:r w:rsidRPr="00AA3BAA">
        <w:rPr>
          <w:lang w:val="es-ES"/>
        </w:rPr>
        <w:t>7</w:t>
      </w:r>
      <w:r w:rsidRPr="00AA3BAA">
        <w:rPr>
          <w:lang w:val="es-ES"/>
        </w:rPr>
        <w:tab/>
      </w:r>
      <w:proofErr w:type="gramStart"/>
      <w:r w:rsidRPr="00AA3BAA">
        <w:rPr>
          <w:lang w:val="es-ES"/>
        </w:rPr>
        <w:t>Los</w:t>
      </w:r>
      <w:proofErr w:type="gramEnd"/>
      <w:r w:rsidRPr="00AA3BAA">
        <w:rPr>
          <w:lang w:val="es-ES"/>
        </w:rPr>
        <w:t xml:space="preserve"> gastos principales que figuran en los presupuestos de los eventos de ITU Telecom se componen de los costes de la Secretaría y la recuperación de costes de la UIT. Los gastos principales se atribuyen a eventos de ITU Telecom sobre la base de una estimación del tiempo dedicado por el personal de ITU Telecom para proporcionar servicios a cada evento específico.</w:t>
      </w:r>
    </w:p>
    <w:p w14:paraId="0C8221B2" w14:textId="2C9AF411" w:rsidR="006623A5" w:rsidRDefault="00745712">
      <w:pPr>
        <w:rPr>
          <w:rFonts w:cs="Arial"/>
          <w:szCs w:val="24"/>
          <w:lang w:val="es-ES"/>
        </w:rPr>
      </w:pPr>
      <w:r w:rsidRPr="007E179A">
        <w:rPr>
          <w:rFonts w:cs="Arial"/>
          <w:szCs w:val="24"/>
          <w:lang w:val="es-ES"/>
        </w:rPr>
        <w:t xml:space="preserve">El </w:t>
      </w:r>
      <w:r w:rsidRPr="00AA3BAA">
        <w:rPr>
          <w:rFonts w:cs="Arial"/>
          <w:szCs w:val="24"/>
          <w:lang w:val="es-ES"/>
        </w:rPr>
        <w:t>Cuadro 3 muestra el porcentaje estimado de tiempo que el personal que se utiliza como base para la atribución de los costes a los resultados pertinentes de conformidad con el presupuesto basado en los resultados (PBR). El cuadro también indica el correspondiente coste de cada resultado en relación con el porcentaje del presupuesto total de la Secretaría de ITU Telecom para</w:t>
      </w:r>
      <w:r w:rsidR="007E179A" w:rsidRPr="00F614B5">
        <w:rPr>
          <w:rFonts w:cs="Arial"/>
          <w:szCs w:val="24"/>
          <w:lang w:val="es-ES"/>
        </w:rPr>
        <w:t> </w:t>
      </w:r>
      <w:r w:rsidRPr="00F614B5">
        <w:rPr>
          <w:rFonts w:cs="Arial"/>
          <w:szCs w:val="24"/>
          <w:lang w:val="es-ES"/>
        </w:rPr>
        <w:t xml:space="preserve">2022-2023. </w:t>
      </w:r>
      <w:r w:rsidRPr="00AA3BAA">
        <w:rPr>
          <w:rFonts w:cs="Arial"/>
          <w:szCs w:val="24"/>
          <w:lang w:val="es-ES"/>
        </w:rPr>
        <w:t>De acuerdo con las Normas internacionales de contabilidad para el sector público (NICSP) todas las cuentas de los eventos se cierran al 31 de diciembre del mismo año en que tuvo lugar el evento.</w:t>
      </w:r>
    </w:p>
    <w:p w14:paraId="1AE8FEC1" w14:textId="2440D780" w:rsidR="007E179A" w:rsidRPr="007E179A" w:rsidRDefault="00443C4D" w:rsidP="007E179A">
      <w:pPr>
        <w:keepNext/>
        <w:keepLines/>
        <w:spacing w:before="200" w:after="80"/>
        <w:jc w:val="center"/>
        <w:rPr>
          <w:caps/>
          <w:lang w:val="fr-FR" w:eastAsia="ja-JP"/>
        </w:rPr>
      </w:pPr>
      <w:r>
        <w:rPr>
          <w:rFonts w:eastAsia="MS Mincho"/>
          <w:caps/>
          <w:lang w:val="fr-FR" w:eastAsia="ja-JP"/>
        </w:rPr>
        <w:lastRenderedPageBreak/>
        <w:t>Cuadro</w:t>
      </w:r>
      <w:r w:rsidR="007E179A" w:rsidRPr="007E179A">
        <w:rPr>
          <w:rFonts w:eastAsia="MS Mincho"/>
          <w:caps/>
          <w:lang w:val="fr-FR" w:eastAsia="ja-JP"/>
        </w:rPr>
        <w:t xml:space="preserve"> 3</w:t>
      </w:r>
    </w:p>
    <w:p w14:paraId="7781FAB7" w14:textId="37F1362F" w:rsidR="007E179A" w:rsidRPr="007E179A" w:rsidRDefault="006623A5" w:rsidP="007E179A">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40"/>
        <w:jc w:val="center"/>
        <w:textAlignment w:val="auto"/>
        <w:rPr>
          <w:rFonts w:asciiTheme="minorHAnsi" w:eastAsia="MS Mincho" w:hAnsiTheme="minorHAnsi" w:cstheme="minorHAnsi"/>
          <w:b/>
          <w:bCs/>
          <w:lang w:eastAsia="ja-JP"/>
        </w:rPr>
      </w:pPr>
      <w:r w:rsidRPr="006623A5">
        <w:rPr>
          <w:rFonts w:asciiTheme="minorHAnsi" w:eastAsia="MS Mincho" w:hAnsiTheme="minorHAnsi" w:cstheme="minorHAnsi"/>
          <w:b/>
          <w:bCs/>
          <w:lang w:eastAsia="ja-JP"/>
        </w:rPr>
        <w:t>Atribución de tiempo a resultados</w:t>
      </w:r>
    </w:p>
    <w:bookmarkStart w:id="24" w:name="_MON_1678105962"/>
    <w:bookmarkEnd w:id="24"/>
    <w:p w14:paraId="31AA4C88" w14:textId="58CDCBA4" w:rsidR="007E179A" w:rsidRDefault="00502A62" w:rsidP="007E179A">
      <w:pPr>
        <w:rPr>
          <w:rFonts w:eastAsia="MS Mincho"/>
          <w:lang w:val="fr-FR" w:eastAsia="ja-JP"/>
        </w:rPr>
      </w:pPr>
      <w:r w:rsidRPr="007E179A">
        <w:rPr>
          <w:rFonts w:eastAsia="MS Mincho"/>
          <w:lang w:val="fr-FR" w:eastAsia="ja-JP"/>
        </w:rPr>
        <w:object w:dxaOrig="11299" w:dyaOrig="3447" w14:anchorId="1A6474FE">
          <v:shape id="_x0000_i1027" type="#_x0000_t75" style="width:519pt;height:158.5pt" o:ole="">
            <v:imagedata r:id="rId19" o:title=""/>
          </v:shape>
          <o:OLEObject Type="Embed" ProgID="Excel.Sheet.12" ShapeID="_x0000_i1027" DrawAspect="Content" ObjectID="_1681149858" r:id="rId20"/>
        </w:object>
      </w:r>
    </w:p>
    <w:p w14:paraId="695B6FF4" w14:textId="77777777" w:rsidR="00745712" w:rsidRPr="00AA3BAA" w:rsidRDefault="00745712" w:rsidP="006623A5">
      <w:pPr>
        <w:pStyle w:val="Headingb"/>
        <w:spacing w:before="360"/>
        <w:rPr>
          <w:lang w:val="es-ES"/>
        </w:rPr>
      </w:pPr>
      <w:bookmarkStart w:id="25" w:name="_Toc419108798"/>
      <w:bookmarkStart w:id="26" w:name="_Toc69223573"/>
      <w:r w:rsidRPr="00AA3BAA">
        <w:rPr>
          <w:lang w:val="es-ES"/>
        </w:rPr>
        <w:t>FINANCIACIÓN DE RECURSOS</w:t>
      </w:r>
      <w:bookmarkEnd w:id="25"/>
      <w:bookmarkEnd w:id="26"/>
    </w:p>
    <w:p w14:paraId="73E2E052" w14:textId="0B253A91" w:rsidR="00745712" w:rsidRPr="00F614B5" w:rsidRDefault="00745712">
      <w:pPr>
        <w:keepNext/>
        <w:keepLines/>
        <w:rPr>
          <w:lang w:val="es-ES"/>
        </w:rPr>
      </w:pPr>
      <w:r w:rsidRPr="00F614B5">
        <w:rPr>
          <w:lang w:val="es-ES"/>
        </w:rPr>
        <w:t>8.</w:t>
      </w:r>
      <w:r w:rsidRPr="00F614B5">
        <w:rPr>
          <w:lang w:val="es-ES"/>
        </w:rPr>
        <w:tab/>
      </w:r>
      <w:r w:rsidRPr="00F614B5">
        <w:rPr>
          <w:rFonts w:cs="Arial"/>
          <w:szCs w:val="24"/>
          <w:lang w:val="es-ES"/>
        </w:rPr>
        <w:t>Los ingresos brutos generados por los eventos de ITU Telecom son la fuente de financiación del presupuesto de la Secretaría de ITU Telecom. El Cuadro 4 muestra los ingresos y gastos estimados para el periodo 2022-2023. Con unos ingresos totales de 14 985 000 CHF previstos para el bienio y unos gastos totales estimados en 13 455 000 CHF, se prevé un resultado positivo neto de 1 531 000 CHF para 2022-2023.</w:t>
      </w:r>
    </w:p>
    <w:p w14:paraId="61C48D38" w14:textId="224997AA" w:rsidR="00745712" w:rsidRPr="00AA3BAA" w:rsidRDefault="00745712">
      <w:pPr>
        <w:rPr>
          <w:rFonts w:cs="Arial"/>
          <w:szCs w:val="24"/>
          <w:lang w:val="es-ES"/>
        </w:rPr>
      </w:pPr>
      <w:r w:rsidRPr="00F614B5">
        <w:rPr>
          <w:lang w:val="es-ES"/>
        </w:rPr>
        <w:t>9.</w:t>
      </w:r>
      <w:r w:rsidRPr="00F614B5">
        <w:rPr>
          <w:lang w:val="es-ES"/>
        </w:rPr>
        <w:tab/>
      </w:r>
      <w:r w:rsidRPr="00AA3BAA">
        <w:rPr>
          <w:rFonts w:cs="Arial"/>
          <w:szCs w:val="24"/>
          <w:lang w:val="es-ES"/>
        </w:rPr>
        <w:t xml:space="preserve">Las fuentes de ingresos son la superficie alquilada, los patrocinios y contribuciones del país anfitrión, las tasas de inscripción y otros ingresos relacionados con el evento. ITU Telecom está buscando constantemente nuevas posibilidades para proporcionar servicios adicionales que satisfagan las necesidades de sus clientes en constante evolución, permitiendo a la vez la generación de ingresos para la UIT. Los gastos totales comprenden los gastos principales de la Secretaría de ITU Telecom que </w:t>
      </w:r>
      <w:r w:rsidRPr="00F614B5">
        <w:rPr>
          <w:rFonts w:cs="Arial"/>
          <w:szCs w:val="24"/>
          <w:lang w:val="es-ES"/>
        </w:rPr>
        <w:t xml:space="preserve">suponen 8,6 </w:t>
      </w:r>
      <w:r w:rsidRPr="00AA3BAA">
        <w:rPr>
          <w:rFonts w:cs="Arial"/>
          <w:szCs w:val="24"/>
          <w:lang w:val="es-ES"/>
        </w:rPr>
        <w:t>millones CHF e incluyen la recuperación de costes de</w:t>
      </w:r>
      <w:r w:rsidR="00710280">
        <w:rPr>
          <w:rFonts w:cs="Arial"/>
          <w:szCs w:val="24"/>
          <w:lang w:val="es-ES"/>
        </w:rPr>
        <w:t> </w:t>
      </w:r>
      <w:r w:rsidRPr="00AA3BAA">
        <w:rPr>
          <w:rFonts w:cs="Arial"/>
          <w:szCs w:val="24"/>
          <w:lang w:val="es-ES"/>
        </w:rPr>
        <w:t>3</w:t>
      </w:r>
      <w:r w:rsidR="00710280">
        <w:rPr>
          <w:rFonts w:cs="Arial"/>
          <w:szCs w:val="24"/>
          <w:lang w:val="es-ES"/>
        </w:rPr>
        <w:t> </w:t>
      </w:r>
      <w:r w:rsidRPr="00AA3BAA">
        <w:rPr>
          <w:rFonts w:cs="Arial"/>
          <w:szCs w:val="24"/>
          <w:lang w:val="es-ES"/>
        </w:rPr>
        <w:t>millones CHF, así como los gastos dedicados a los eventos; es decir, costes del personal, coste de los viajes, servicios por contrata, servicios de alquiler y mantenimiento, materiales y suministros, servicios públicos y gastos varios.</w:t>
      </w:r>
    </w:p>
    <w:p w14:paraId="4C6A78AE" w14:textId="07A93756" w:rsidR="00745712" w:rsidRDefault="00745712" w:rsidP="000A6759">
      <w:pPr>
        <w:rPr>
          <w:lang w:val="es-ES"/>
        </w:rPr>
      </w:pPr>
      <w:r w:rsidRPr="00AA3BAA">
        <w:rPr>
          <w:lang w:val="es-ES"/>
        </w:rPr>
        <w:br w:type="page"/>
      </w:r>
    </w:p>
    <w:p w14:paraId="4158F53F" w14:textId="3D9A5C52" w:rsidR="00AF383E" w:rsidRPr="00AF383E" w:rsidRDefault="00AF383E" w:rsidP="00AF383E">
      <w:pPr>
        <w:keepNext/>
        <w:spacing w:before="560" w:after="120"/>
        <w:jc w:val="center"/>
        <w:rPr>
          <w:caps/>
          <w:lang w:val="fr-FR"/>
        </w:rPr>
      </w:pPr>
      <w:bookmarkStart w:id="27" w:name="_Hlk69226018"/>
      <w:r>
        <w:rPr>
          <w:rFonts w:eastAsia="MS Mincho"/>
          <w:caps/>
          <w:lang w:val="fr-FR"/>
        </w:rPr>
        <w:lastRenderedPageBreak/>
        <w:t>Cuadro</w:t>
      </w:r>
      <w:r w:rsidRPr="00AF383E">
        <w:rPr>
          <w:rFonts w:eastAsia="MS Mincho"/>
          <w:caps/>
          <w:lang w:val="fr-FR"/>
        </w:rPr>
        <w:t xml:space="preserve"> 4</w:t>
      </w:r>
    </w:p>
    <w:p w14:paraId="0CC541EA" w14:textId="443FCB99" w:rsidR="00AF383E" w:rsidRPr="00AF383E" w:rsidRDefault="00AF383E" w:rsidP="00AF383E">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40"/>
        <w:jc w:val="center"/>
        <w:textAlignment w:val="auto"/>
        <w:rPr>
          <w:rFonts w:asciiTheme="minorHAnsi" w:hAnsiTheme="minorHAnsi" w:cstheme="minorHAnsi"/>
          <w:b/>
          <w:bCs/>
        </w:rPr>
      </w:pPr>
      <w:r w:rsidRPr="00AF383E">
        <w:rPr>
          <w:rFonts w:asciiTheme="minorHAnsi" w:eastAsia="MS Mincho" w:hAnsiTheme="minorHAnsi" w:cstheme="minorHAnsi"/>
          <w:b/>
          <w:bCs/>
          <w:lang w:eastAsia="ja-JP"/>
        </w:rPr>
        <w:t>Financiación 2022-2023</w:t>
      </w:r>
    </w:p>
    <w:bookmarkEnd w:id="27"/>
    <w:bookmarkStart w:id="28" w:name="_MON_1620714113"/>
    <w:bookmarkEnd w:id="28"/>
    <w:p w14:paraId="067E6130" w14:textId="77777777" w:rsidR="00AF383E" w:rsidRPr="00AF383E" w:rsidRDefault="00AF383E" w:rsidP="00AF383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AF383E">
        <w:rPr>
          <w:rFonts w:eastAsia="MS Mincho"/>
          <w:lang w:val="fr-FR" w:eastAsia="ja-JP"/>
        </w:rPr>
        <w:object w:dxaOrig="11565" w:dyaOrig="10121" w14:anchorId="1DC82BFD">
          <v:shape id="_x0000_i1028" type="#_x0000_t75" style="width:442pt;height:506pt" o:ole="">
            <v:imagedata r:id="rId21" o:title=""/>
          </v:shape>
          <o:OLEObject Type="Embed" ProgID="Excel.Sheet.12" ShapeID="_x0000_i1028" DrawAspect="Content" ObjectID="_1681149859" r:id="rId22"/>
        </w:object>
      </w:r>
    </w:p>
    <w:p w14:paraId="01BCA055" w14:textId="3C5F984C" w:rsidR="009327F0" w:rsidRDefault="009327F0" w:rsidP="000A6759">
      <w:pPr>
        <w:rPr>
          <w:lang w:val="es-ES"/>
        </w:rPr>
      </w:pPr>
    </w:p>
    <w:p w14:paraId="3A627706" w14:textId="6E7D02BC" w:rsidR="009327F0" w:rsidRDefault="009327F0" w:rsidP="000A6759">
      <w:pPr>
        <w:rPr>
          <w:lang w:val="es-ES"/>
        </w:rPr>
      </w:pPr>
    </w:p>
    <w:p w14:paraId="4CDED32B" w14:textId="1B57EF9E" w:rsidR="009327F0" w:rsidRDefault="009327F0">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3E7082DA" w14:textId="77777777" w:rsidR="00745712" w:rsidRPr="00AA3BAA" w:rsidRDefault="00745712" w:rsidP="00125D7A">
      <w:pPr>
        <w:pStyle w:val="Headingb"/>
        <w:rPr>
          <w:lang w:val="es-ES"/>
        </w:rPr>
      </w:pPr>
      <w:bookmarkStart w:id="29" w:name="_Toc419108799"/>
      <w:bookmarkStart w:id="30" w:name="_Toc69223574"/>
      <w:r w:rsidRPr="00AA3BAA">
        <w:rPr>
          <w:lang w:val="es-ES"/>
        </w:rPr>
        <w:lastRenderedPageBreak/>
        <w:t>FONDO DE OPERACIONES DE LAS EXPOSICIONES</w:t>
      </w:r>
      <w:bookmarkEnd w:id="29"/>
      <w:bookmarkEnd w:id="30"/>
    </w:p>
    <w:p w14:paraId="7D58AF5F" w14:textId="1358FDEB" w:rsidR="00745712" w:rsidRPr="00AA3BAA" w:rsidRDefault="00745712" w:rsidP="00125D7A">
      <w:pPr>
        <w:rPr>
          <w:rFonts w:eastAsia="SimSun"/>
          <w:lang w:val="es-ES" w:eastAsia="zh-CN"/>
        </w:rPr>
      </w:pPr>
      <w:r w:rsidRPr="00F614B5">
        <w:rPr>
          <w:rFonts w:eastAsia="SimSun"/>
          <w:lang w:val="es-ES" w:eastAsia="zh-CN"/>
        </w:rPr>
        <w:t>10</w:t>
      </w:r>
      <w:r w:rsidRPr="00F614B5">
        <w:rPr>
          <w:rFonts w:eastAsia="SimSun"/>
          <w:lang w:val="es-ES" w:eastAsia="zh-CN"/>
        </w:rPr>
        <w:tab/>
      </w:r>
      <w:proofErr w:type="gramStart"/>
      <w:r w:rsidRPr="00AA3BAA">
        <w:rPr>
          <w:rFonts w:cs="Arial"/>
          <w:szCs w:val="24"/>
          <w:lang w:val="es-ES"/>
        </w:rPr>
        <w:t>Tras</w:t>
      </w:r>
      <w:proofErr w:type="gramEnd"/>
      <w:r w:rsidRPr="00AA3BAA">
        <w:rPr>
          <w:rFonts w:cs="Arial"/>
          <w:szCs w:val="24"/>
          <w:lang w:val="es-ES"/>
        </w:rPr>
        <w:t xml:space="preserve"> el cierre de cuentas de cada evento ITU Telecom, el resultado neto se transfiere al Fondo de Operaciones de las Exposiciones, de conformidad con el Artículo 19, Regla 4, del Reglamento Financiero y las Reglas Financieras de la UIT. Un resultado positivo aumenta el balance del FOE, mientras que un resultado del evento negativo se traduce en una reducción de la cantidad del Fondo de Operaciones de las Exposiciones que se utiliza para compensar el déficit financiero.</w:t>
      </w:r>
    </w:p>
    <w:p w14:paraId="4E4CC8F8" w14:textId="3157BEF9" w:rsidR="00745712" w:rsidRDefault="00745712" w:rsidP="00C43B50">
      <w:pPr>
        <w:keepLines/>
        <w:rPr>
          <w:rFonts w:cs="Arial"/>
          <w:szCs w:val="24"/>
          <w:lang w:val="es-ES"/>
        </w:rPr>
      </w:pPr>
      <w:r w:rsidRPr="00F614B5">
        <w:rPr>
          <w:rFonts w:eastAsia="SimSun"/>
          <w:lang w:val="es-ES" w:eastAsia="zh-CN"/>
        </w:rPr>
        <w:t>11</w:t>
      </w:r>
      <w:r w:rsidRPr="00AA3BAA">
        <w:rPr>
          <w:rFonts w:eastAsia="SimSun"/>
          <w:lang w:val="es-ES" w:eastAsia="zh-CN"/>
        </w:rPr>
        <w:tab/>
      </w:r>
      <w:proofErr w:type="gramStart"/>
      <w:r w:rsidRPr="00AA3BAA">
        <w:rPr>
          <w:rFonts w:cs="Arial"/>
          <w:szCs w:val="24"/>
          <w:lang w:val="es-ES"/>
        </w:rPr>
        <w:t>El</w:t>
      </w:r>
      <w:proofErr w:type="gramEnd"/>
      <w:r w:rsidRPr="00AA3BAA">
        <w:rPr>
          <w:rFonts w:cs="Arial"/>
          <w:szCs w:val="24"/>
          <w:lang w:val="es-ES"/>
        </w:rPr>
        <w:t xml:space="preserve"> Consejo de la UIT decidió que el Fondo de Operaciones de las Exposiciones cuente con un nivel mínimo de 5 millones CHF para permitir que ITU Telecom pueda funcionar adecuadamente y satisfacer sus obligaciones financieras. El cuadro que aparece a continuación presenta las cantidades disponibles en el Fondo de Operaciones de las Exposiciones a final de cada año desde </w:t>
      </w:r>
      <w:r w:rsidRPr="00F614B5">
        <w:rPr>
          <w:rFonts w:cs="Arial"/>
          <w:szCs w:val="24"/>
          <w:lang w:val="es-ES"/>
        </w:rPr>
        <w:t>2015 hasta 2020.</w:t>
      </w:r>
    </w:p>
    <w:p w14:paraId="00F86F0C" w14:textId="77777777" w:rsidR="00BE7FDE" w:rsidRPr="00AF383E" w:rsidRDefault="00BE7FDE" w:rsidP="00BE7FDE">
      <w:pPr>
        <w:pStyle w:val="TableNo"/>
        <w:rPr>
          <w:lang w:val="fr-FR"/>
        </w:rPr>
      </w:pPr>
      <w:r>
        <w:rPr>
          <w:rFonts w:eastAsia="MS Mincho"/>
          <w:lang w:val="fr-FR"/>
        </w:rPr>
        <w:t>Cuadro</w:t>
      </w:r>
      <w:r w:rsidRPr="00AF383E">
        <w:rPr>
          <w:rFonts w:eastAsia="MS Mincho"/>
          <w:lang w:val="fr-FR"/>
        </w:rPr>
        <w:t xml:space="preserve"> </w:t>
      </w:r>
      <w:r>
        <w:rPr>
          <w:rFonts w:eastAsia="MS Mincho"/>
          <w:lang w:val="fr-FR"/>
        </w:rPr>
        <w:t>5</w:t>
      </w:r>
    </w:p>
    <w:p w14:paraId="27B0B2E8" w14:textId="6072153C" w:rsidR="00BE7FDE" w:rsidRPr="00BE7FDE" w:rsidRDefault="00BE7FDE" w:rsidP="00BE7FDE">
      <w:pPr>
        <w:pStyle w:val="Tabletitle"/>
      </w:pPr>
      <w:r w:rsidRPr="00AF383E">
        <w:rPr>
          <w:lang w:val="es-ES" w:eastAsia="fr-FR"/>
        </w:rPr>
        <w:t>Fondo de Operaciones de las Exposiciones</w:t>
      </w:r>
      <w:bookmarkStart w:id="31" w:name="_Hlk69222491"/>
    </w:p>
    <w:bookmarkStart w:id="32" w:name="_MON_1620715555"/>
    <w:bookmarkEnd w:id="32"/>
    <w:p w14:paraId="0E4624FC" w14:textId="539435EB" w:rsidR="00AF383E" w:rsidRDefault="00BE7FDE" w:rsidP="00BE7FDE">
      <w:pPr>
        <w:rPr>
          <w:lang w:val="es-ES"/>
        </w:rPr>
      </w:pPr>
      <w:r w:rsidRPr="00BE7FDE">
        <w:rPr>
          <w:lang w:val="fr-FR"/>
        </w:rPr>
        <w:object w:dxaOrig="10430" w:dyaOrig="1342" w14:anchorId="2418F886">
          <v:shape id="_x0000_i1029" type="#_x0000_t75" style="width:484.5pt;height:62pt" o:ole="">
            <v:imagedata r:id="rId23" o:title=""/>
          </v:shape>
          <o:OLEObject Type="Embed" ProgID="Excel.Sheet.12" ShapeID="_x0000_i1029" DrawAspect="Content" ObjectID="_1681149860" r:id="rId24"/>
        </w:object>
      </w:r>
      <w:bookmarkEnd w:id="31"/>
    </w:p>
    <w:p w14:paraId="09282FBE" w14:textId="45AA3EF8" w:rsidR="00745712" w:rsidRPr="00BE7FDE" w:rsidRDefault="00745712" w:rsidP="00BE7FDE">
      <w:pPr>
        <w:pStyle w:val="Normalaftertitle"/>
        <w:tabs>
          <w:tab w:val="left" w:pos="5245"/>
        </w:tabs>
        <w:spacing w:before="360"/>
        <w:rPr>
          <w:rFonts w:eastAsia="SimSun"/>
          <w:lang w:val="es-ES" w:eastAsia="zh-CN"/>
        </w:rPr>
      </w:pPr>
      <w:r w:rsidRPr="00F614B5">
        <w:rPr>
          <w:rFonts w:eastAsia="SimSun"/>
          <w:lang w:val="es-ES" w:eastAsia="zh-CN"/>
        </w:rPr>
        <w:t>12.</w:t>
      </w:r>
      <w:r w:rsidRPr="00F614B5">
        <w:rPr>
          <w:rFonts w:eastAsia="SimSun"/>
          <w:lang w:val="es-ES" w:eastAsia="zh-CN"/>
        </w:rPr>
        <w:tab/>
      </w:r>
      <w:r w:rsidRPr="00F614B5">
        <w:rPr>
          <w:rFonts w:cs="Arial"/>
          <w:szCs w:val="24"/>
          <w:lang w:val="es-ES"/>
        </w:rPr>
        <w:t xml:space="preserve">El resultado favorable de ITU Telecom </w:t>
      </w:r>
      <w:proofErr w:type="spellStart"/>
      <w:r w:rsidRPr="00F614B5">
        <w:rPr>
          <w:rFonts w:cs="Arial"/>
          <w:szCs w:val="24"/>
          <w:lang w:val="es-ES"/>
        </w:rPr>
        <w:t>World</w:t>
      </w:r>
      <w:proofErr w:type="spellEnd"/>
      <w:r w:rsidRPr="00F614B5">
        <w:rPr>
          <w:rFonts w:cs="Arial"/>
          <w:szCs w:val="24"/>
          <w:lang w:val="es-ES"/>
        </w:rPr>
        <w:t xml:space="preserve"> 2015 se pone de manifiesto en el saldo de 2015. </w:t>
      </w:r>
      <w:r w:rsidRPr="00AA3BAA">
        <w:rPr>
          <w:rFonts w:cs="Arial"/>
          <w:szCs w:val="24"/>
          <w:lang w:val="es-ES"/>
        </w:rPr>
        <w:t>El resultado considerablemente mejor del evento en 2016 en comparación con el presupuesto concuerda con el incremento de más del 9% del saldo correspondiente a 2016 en comparación con 2015</w:t>
      </w:r>
      <w:r w:rsidRPr="00AA3BAA">
        <w:rPr>
          <w:rFonts w:asciiTheme="minorHAnsi" w:hAnsiTheme="minorHAnsi"/>
          <w:szCs w:val="24"/>
          <w:lang w:val="es-ES"/>
        </w:rPr>
        <w:t xml:space="preserve">. Si bien el resultado del evento ITU Telecom World 2017 fue favorable, el saldo para 2017 fue casi un 20% inferior al registrado en 2016 debido a la transferencia de 2 millones de CHF (francos suizos) al Fondo de Desarrollo de las TIC. El saldo de 2018 pone de manifiesto el resultado negativo del evento ITU Telecom World 2018, para el que se tuvieron en cuenta las deudas por cobrar al cierre del </w:t>
      </w:r>
      <w:r w:rsidRPr="00BE7FDE">
        <w:rPr>
          <w:rFonts w:asciiTheme="minorHAnsi" w:hAnsiTheme="minorHAnsi"/>
          <w:szCs w:val="24"/>
          <w:lang w:val="es-ES"/>
        </w:rPr>
        <w:t>ejercicio</w:t>
      </w:r>
      <w:r w:rsidRPr="00BE7FDE">
        <w:rPr>
          <w:rFonts w:cs="Arial"/>
          <w:szCs w:val="24"/>
          <w:lang w:val="es-ES"/>
        </w:rPr>
        <w:t xml:space="preserve">. </w:t>
      </w:r>
      <w:r w:rsidRPr="00F614B5">
        <w:rPr>
          <w:rFonts w:cs="Arial"/>
          <w:szCs w:val="24"/>
          <w:lang w:val="es-ES"/>
        </w:rPr>
        <w:t>Por otra parte, el resultado positivo del evento ITU Telecom World 2019 se refleja en el saldo al cierre del ejercicio correspondiente a 2019. El saldo de 2020 es un 24% inferior al registrado en 2019 debido al aplazamiento de ITU Digital World, lo que ha reducido de manera significativa los ingresos (solo obtenidos a través del evento virtual de 2020), aunque se continúan pagando los salarios del personal de la Secretaría de ITU Telecom. Los honorarios de consultoría abonados a Dalberg en 2019-2020 se han obtenido del Fondo de Operaciones de las Exposiciones.</w:t>
      </w:r>
    </w:p>
    <w:p w14:paraId="0DE0BCE0" w14:textId="77777777" w:rsidR="003B6228" w:rsidRDefault="003B6228" w:rsidP="00411C49">
      <w:pPr>
        <w:pStyle w:val="Reasons"/>
      </w:pPr>
    </w:p>
    <w:p w14:paraId="01BA8AEF" w14:textId="77777777" w:rsidR="003B6228" w:rsidRDefault="003B6228">
      <w:pPr>
        <w:jc w:val="center"/>
      </w:pPr>
      <w:r>
        <w:t>______________</w:t>
      </w:r>
    </w:p>
    <w:sectPr w:rsidR="003B6228" w:rsidSect="006710F6">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78AF" w14:textId="77777777" w:rsidR="00745712" w:rsidRDefault="00745712">
      <w:r>
        <w:separator/>
      </w:r>
    </w:p>
  </w:endnote>
  <w:endnote w:type="continuationSeparator" w:id="0">
    <w:p w14:paraId="286524F9" w14:textId="77777777" w:rsidR="00745712" w:rsidRDefault="0074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7B9" w14:textId="65398618" w:rsidR="009D3A87" w:rsidRDefault="009D3A87">
    <w:pPr>
      <w:pStyle w:val="Footer"/>
    </w:pPr>
    <w:fldSimple w:instr=" FILENAME \p \* MERGEFORMAT ">
      <w:r w:rsidR="009E68BA">
        <w:t>P:\ESP\SG\CONSEIL\C21\000\065ADD01S.docx</w:t>
      </w:r>
    </w:fldSimple>
    <w:r>
      <w:tab/>
    </w:r>
    <w:r>
      <w:fldChar w:fldCharType="begin"/>
    </w:r>
    <w:r>
      <w:instrText xml:space="preserve"> savedate \@ dd.MM.yy </w:instrText>
    </w:r>
    <w:r>
      <w:fldChar w:fldCharType="separate"/>
    </w:r>
    <w:r w:rsidR="00AA3BAA">
      <w:t>13.04.21</w:t>
    </w:r>
    <w:r>
      <w:fldChar w:fldCharType="end"/>
    </w:r>
    <w:r>
      <w:tab/>
    </w:r>
    <w:r>
      <w:fldChar w:fldCharType="begin"/>
    </w:r>
    <w:r>
      <w:instrText xml:space="preserve"> printdate \@ dd.MM.yy </w:instrText>
    </w:r>
    <w:r>
      <w:fldChar w:fldCharType="separate"/>
    </w:r>
    <w:r w:rsidR="009E68BA">
      <w:t>24.03.06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46F4" w14:textId="5359A107" w:rsidR="009D3A87" w:rsidRDefault="009D3A87" w:rsidP="001F498C">
    <w:pPr>
      <w:pStyle w:val="Footer"/>
    </w:pPr>
    <w:fldSimple w:instr=" FILENAME \p  \* MERGEFORMAT ">
      <w:r w:rsidR="009E68BA">
        <w:t>P:\ESP\SG\CONSEIL\C21\000\065ADD01S.docx</w:t>
      </w:r>
    </w:fldSimple>
    <w:r>
      <w:t xml:space="preserve"> (483264)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F727" w14:textId="5173A442" w:rsidR="003B6228" w:rsidRPr="003B6228" w:rsidRDefault="003B6228" w:rsidP="003B6228">
    <w:pPr>
      <w:spacing w:after="120"/>
      <w:jc w:val="center"/>
    </w:pPr>
    <w:r>
      <w:t xml:space="preserve">• </w:t>
    </w:r>
    <w:hyperlink r:id="rId1" w:history="1">
      <w:r w:rsidRPr="00BB2534">
        <w:rPr>
          <w:rStyle w:val="Hyperlink"/>
          <w:rFonts w:asciiTheme="minorHAnsi" w:hAnsiTheme="minorHAnsi" w:cstheme="minorHAnsi"/>
        </w:rPr>
        <w:t>http://www.itu.int/council</w:t>
      </w:r>
    </w:hyperlink>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0732" w14:textId="3C9F4BBB" w:rsidR="00745712" w:rsidRPr="00AA3BAA" w:rsidRDefault="003B6228" w:rsidP="003B6228">
    <w:pPr>
      <w:pStyle w:val="Footer"/>
      <w:rPr>
        <w:color w:val="D9D9D9" w:themeColor="background1" w:themeShade="D9"/>
        <w:szCs w:val="16"/>
      </w:rPr>
    </w:pPr>
    <w:r w:rsidRPr="00AA3BAA">
      <w:rPr>
        <w:color w:val="D9D9D9" w:themeColor="background1" w:themeShade="D9"/>
        <w:szCs w:val="16"/>
      </w:rPr>
      <w:fldChar w:fldCharType="begin"/>
    </w:r>
    <w:r w:rsidRPr="00AA3BAA">
      <w:rPr>
        <w:color w:val="D9D9D9" w:themeColor="background1" w:themeShade="D9"/>
        <w:szCs w:val="16"/>
      </w:rPr>
      <w:instrText xml:space="preserve"> FILENAME \p  \* MERGEFORMAT </w:instrText>
    </w:r>
    <w:r w:rsidRPr="00AA3BAA">
      <w:rPr>
        <w:color w:val="D9D9D9" w:themeColor="background1" w:themeShade="D9"/>
        <w:szCs w:val="16"/>
      </w:rPr>
      <w:fldChar w:fldCharType="separate"/>
    </w:r>
    <w:r w:rsidR="009E68BA" w:rsidRPr="00AA3BAA">
      <w:rPr>
        <w:color w:val="D9D9D9" w:themeColor="background1" w:themeShade="D9"/>
        <w:szCs w:val="16"/>
      </w:rPr>
      <w:t>P:\ESP\SG\CONSEIL\C21\000\065ADD01S.docx</w:t>
    </w:r>
    <w:r w:rsidRPr="00AA3BAA">
      <w:rPr>
        <w:color w:val="D9D9D9" w:themeColor="background1" w:themeShade="D9"/>
        <w:szCs w:val="16"/>
      </w:rPr>
      <w:fldChar w:fldCharType="end"/>
    </w:r>
    <w:r w:rsidRPr="00AA3BAA">
      <w:rPr>
        <w:color w:val="D9D9D9" w:themeColor="background1" w:themeShade="D9"/>
        <w:szCs w:val="16"/>
      </w:rPr>
      <w:t xml:space="preserve"> (485503)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99B4" w14:textId="3013202F" w:rsidR="003B6228" w:rsidRPr="00AA3BAA" w:rsidRDefault="003B6228" w:rsidP="003B6228">
    <w:pPr>
      <w:pStyle w:val="Footer"/>
      <w:rPr>
        <w:color w:val="D9D9D9" w:themeColor="background1" w:themeShade="D9"/>
        <w:szCs w:val="16"/>
      </w:rPr>
    </w:pPr>
    <w:r w:rsidRPr="00AA3BAA">
      <w:rPr>
        <w:color w:val="D9D9D9" w:themeColor="background1" w:themeShade="D9"/>
        <w:szCs w:val="16"/>
      </w:rPr>
      <w:fldChar w:fldCharType="begin"/>
    </w:r>
    <w:r w:rsidRPr="00AA3BAA">
      <w:rPr>
        <w:color w:val="D9D9D9" w:themeColor="background1" w:themeShade="D9"/>
        <w:szCs w:val="16"/>
      </w:rPr>
      <w:instrText xml:space="preserve"> FILENAME \p  \* MERGEFORMAT </w:instrText>
    </w:r>
    <w:r w:rsidRPr="00AA3BAA">
      <w:rPr>
        <w:color w:val="D9D9D9" w:themeColor="background1" w:themeShade="D9"/>
        <w:szCs w:val="16"/>
      </w:rPr>
      <w:fldChar w:fldCharType="separate"/>
    </w:r>
    <w:r w:rsidR="009E68BA" w:rsidRPr="00AA3BAA">
      <w:rPr>
        <w:color w:val="D9D9D9" w:themeColor="background1" w:themeShade="D9"/>
        <w:szCs w:val="16"/>
      </w:rPr>
      <w:t>P:\ESP\SG\CONSEIL\C21\000\065ADD01S.docx</w:t>
    </w:r>
    <w:r w:rsidRPr="00AA3BAA">
      <w:rPr>
        <w:color w:val="D9D9D9" w:themeColor="background1" w:themeShade="D9"/>
        <w:szCs w:val="16"/>
      </w:rPr>
      <w:fldChar w:fldCharType="end"/>
    </w:r>
    <w:r w:rsidRPr="00AA3BAA">
      <w:rPr>
        <w:color w:val="D9D9D9" w:themeColor="background1" w:themeShade="D9"/>
        <w:szCs w:val="16"/>
      </w:rPr>
      <w:t xml:space="preserve"> (485503)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97FB" w14:textId="215648A8" w:rsidR="003B6228" w:rsidRPr="00AA3BAA" w:rsidRDefault="003B6228" w:rsidP="003B6228">
    <w:pPr>
      <w:pStyle w:val="Footer"/>
      <w:rPr>
        <w:color w:val="D9D9D9" w:themeColor="background1" w:themeShade="D9"/>
        <w:szCs w:val="16"/>
      </w:rPr>
    </w:pPr>
    <w:r w:rsidRPr="00AA3BAA">
      <w:rPr>
        <w:color w:val="D9D9D9" w:themeColor="background1" w:themeShade="D9"/>
        <w:szCs w:val="16"/>
      </w:rPr>
      <w:fldChar w:fldCharType="begin"/>
    </w:r>
    <w:r w:rsidRPr="00AA3BAA">
      <w:rPr>
        <w:color w:val="D9D9D9" w:themeColor="background1" w:themeShade="D9"/>
        <w:szCs w:val="16"/>
      </w:rPr>
      <w:instrText xml:space="preserve"> FILENAME \p  \* MERGEFORMAT </w:instrText>
    </w:r>
    <w:r w:rsidRPr="00AA3BAA">
      <w:rPr>
        <w:color w:val="D9D9D9" w:themeColor="background1" w:themeShade="D9"/>
        <w:szCs w:val="16"/>
      </w:rPr>
      <w:fldChar w:fldCharType="separate"/>
    </w:r>
    <w:r w:rsidR="009E68BA" w:rsidRPr="00AA3BAA">
      <w:rPr>
        <w:color w:val="D9D9D9" w:themeColor="background1" w:themeShade="D9"/>
        <w:szCs w:val="16"/>
      </w:rPr>
      <w:t>P:\ESP\SG\CONSEIL\C21\000\065ADD01S.docx</w:t>
    </w:r>
    <w:r w:rsidRPr="00AA3BAA">
      <w:rPr>
        <w:color w:val="D9D9D9" w:themeColor="background1" w:themeShade="D9"/>
        <w:szCs w:val="16"/>
      </w:rPr>
      <w:fldChar w:fldCharType="end"/>
    </w:r>
    <w:r w:rsidRPr="00AA3BAA">
      <w:rPr>
        <w:color w:val="D9D9D9" w:themeColor="background1" w:themeShade="D9"/>
        <w:szCs w:val="16"/>
      </w:rPr>
      <w:t xml:space="preserve"> (485503)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FBC2" w14:textId="77777777" w:rsidR="00745712" w:rsidRDefault="00745712">
      <w:r>
        <w:t>____________________</w:t>
      </w:r>
    </w:p>
  </w:footnote>
  <w:footnote w:type="continuationSeparator" w:id="0">
    <w:p w14:paraId="010BA4F3" w14:textId="77777777" w:rsidR="00745712" w:rsidRDefault="0074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EE10" w14:textId="77777777" w:rsidR="009D3A87" w:rsidRDefault="009D3A8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561CAFF5" w14:textId="77777777" w:rsidR="009D3A87" w:rsidRDefault="009D3A8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473290"/>
      <w:docPartObj>
        <w:docPartGallery w:val="Page Numbers (Top of Page)"/>
        <w:docPartUnique/>
      </w:docPartObj>
    </w:sdtPr>
    <w:sdtEndPr>
      <w:rPr>
        <w:noProof/>
      </w:rPr>
    </w:sdtEndPr>
    <w:sdtContent>
      <w:p w14:paraId="04A47075" w14:textId="2C0211C4" w:rsidR="009D3A87" w:rsidRDefault="003B6228" w:rsidP="00703A86">
        <w:pPr>
          <w:pStyle w:val="Header"/>
        </w:pPr>
        <w:r>
          <w:fldChar w:fldCharType="begin"/>
        </w:r>
        <w:r>
          <w:instrText xml:space="preserve"> PAGE   \* MERGEFORMAT </w:instrText>
        </w:r>
        <w:r>
          <w:fldChar w:fldCharType="separate"/>
        </w:r>
        <w:r>
          <w:rPr>
            <w:noProof/>
          </w:rPr>
          <w:t>2</w:t>
        </w:r>
        <w:r>
          <w:rPr>
            <w:noProof/>
          </w:rPr>
          <w:fldChar w:fldCharType="end"/>
        </w:r>
      </w:p>
    </w:sdtContent>
  </w:sdt>
  <w:p w14:paraId="5DEF78C9" w14:textId="48F496A4" w:rsidR="003B6228" w:rsidRDefault="003B6228" w:rsidP="00703A86">
    <w:pPr>
      <w:pStyle w:val="Header"/>
    </w:pPr>
    <w:r w:rsidRPr="003B6228">
      <w:rPr>
        <w:lang w:val="en-US"/>
      </w:rPr>
      <w:t>C</w:t>
    </w:r>
    <w:r>
      <w:rPr>
        <w:lang w:val="en-US"/>
      </w:rPr>
      <w:t>2</w:t>
    </w:r>
    <w:r w:rsidRPr="003B6228">
      <w:rPr>
        <w:lang w:val="en-US"/>
      </w:rPr>
      <w:t>1/</w:t>
    </w:r>
    <w:r>
      <w:rPr>
        <w:lang w:val="en-US"/>
      </w:rPr>
      <w:t>6</w:t>
    </w:r>
    <w:r w:rsidRPr="003B6228">
      <w:rPr>
        <w:lang w:val="en-US"/>
      </w:rPr>
      <w:t>5(Add.1)-</w:t>
    </w:r>
    <w:r>
      <w:rPr>
        <w:lang w:val="en-US"/>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86864"/>
      <w:docPartObj>
        <w:docPartGallery w:val="Page Numbers (Top of Page)"/>
        <w:docPartUnique/>
      </w:docPartObj>
    </w:sdtPr>
    <w:sdtEndPr>
      <w:rPr>
        <w:noProof/>
      </w:rPr>
    </w:sdtEndPr>
    <w:sdtContent>
      <w:p w14:paraId="65492BBF" w14:textId="77777777" w:rsidR="007E179A" w:rsidRDefault="007E179A" w:rsidP="00703A86">
        <w:pPr>
          <w:pStyle w:val="Header"/>
        </w:pPr>
        <w:r>
          <w:fldChar w:fldCharType="begin"/>
        </w:r>
        <w:r>
          <w:instrText xml:space="preserve"> PAGE   \* MERGEFORMAT </w:instrText>
        </w:r>
        <w:r>
          <w:fldChar w:fldCharType="separate"/>
        </w:r>
        <w:r>
          <w:rPr>
            <w:noProof/>
          </w:rPr>
          <w:t>2</w:t>
        </w:r>
        <w:r>
          <w:rPr>
            <w:noProof/>
          </w:rPr>
          <w:fldChar w:fldCharType="end"/>
        </w:r>
      </w:p>
    </w:sdtContent>
  </w:sdt>
  <w:p w14:paraId="43203C91" w14:textId="77777777" w:rsidR="007E179A" w:rsidRDefault="007E179A" w:rsidP="00703A86">
    <w:pPr>
      <w:pStyle w:val="Header"/>
    </w:pPr>
    <w:r w:rsidRPr="003B6228">
      <w:rPr>
        <w:lang w:val="en-US"/>
      </w:rPr>
      <w:t>C</w:t>
    </w:r>
    <w:r>
      <w:rPr>
        <w:lang w:val="en-US"/>
      </w:rPr>
      <w:t>2</w:t>
    </w:r>
    <w:r w:rsidRPr="003B6228">
      <w:rPr>
        <w:lang w:val="en-US"/>
      </w:rPr>
      <w:t>1/</w:t>
    </w:r>
    <w:r>
      <w:rPr>
        <w:lang w:val="en-US"/>
      </w:rPr>
      <w:t>6</w:t>
    </w:r>
    <w:r w:rsidRPr="003B6228">
      <w:rPr>
        <w:lang w:val="en-US"/>
      </w:rPr>
      <w:t>5(Add.1)-</w:t>
    </w:r>
    <w:r>
      <w:rPr>
        <w:lang w:val="en-US"/>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895"/>
      <w:docPartObj>
        <w:docPartGallery w:val="Page Numbers (Top of Page)"/>
        <w:docPartUnique/>
      </w:docPartObj>
    </w:sdtPr>
    <w:sdtEndPr>
      <w:rPr>
        <w:noProof/>
      </w:rPr>
    </w:sdtEndPr>
    <w:sdtContent>
      <w:p w14:paraId="3914910F" w14:textId="77777777" w:rsidR="003B6228" w:rsidRDefault="003B6228" w:rsidP="003B6228">
        <w:pPr>
          <w:pStyle w:val="Header"/>
        </w:pPr>
        <w:r>
          <w:fldChar w:fldCharType="begin"/>
        </w:r>
        <w:r>
          <w:instrText xml:space="preserve"> PAGE   \* MERGEFORMAT </w:instrText>
        </w:r>
        <w:r>
          <w:fldChar w:fldCharType="separate"/>
        </w:r>
        <w:r>
          <w:t>3</w:t>
        </w:r>
        <w:r>
          <w:rPr>
            <w:noProof/>
          </w:rPr>
          <w:fldChar w:fldCharType="end"/>
        </w:r>
      </w:p>
    </w:sdtContent>
  </w:sdt>
  <w:p w14:paraId="738D7978" w14:textId="594F5B27" w:rsidR="00760F1C" w:rsidRPr="003B6228" w:rsidRDefault="003B6228" w:rsidP="003B6228">
    <w:pPr>
      <w:pStyle w:val="Header"/>
    </w:pPr>
    <w:r w:rsidRPr="003B6228">
      <w:rPr>
        <w:lang w:val="en-US"/>
      </w:rPr>
      <w:t>C</w:t>
    </w:r>
    <w:r>
      <w:rPr>
        <w:lang w:val="en-US"/>
      </w:rPr>
      <w:t>2</w:t>
    </w:r>
    <w:r w:rsidRPr="003B6228">
      <w:rPr>
        <w:lang w:val="en-US"/>
      </w:rPr>
      <w:t>1/</w:t>
    </w:r>
    <w:r>
      <w:rPr>
        <w:lang w:val="en-US"/>
      </w:rPr>
      <w:t>6</w:t>
    </w:r>
    <w:r w:rsidRPr="003B6228">
      <w:rPr>
        <w:lang w:val="en-US"/>
      </w:rPr>
      <w:t>5(Add.1)-</w:t>
    </w:r>
    <w:r>
      <w:rPr>
        <w:lang w:val="en-US"/>
      </w:rPr>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9456"/>
      <w:docPartObj>
        <w:docPartGallery w:val="Page Numbers (Top of Page)"/>
        <w:docPartUnique/>
      </w:docPartObj>
    </w:sdtPr>
    <w:sdtEndPr>
      <w:rPr>
        <w:noProof/>
      </w:rPr>
    </w:sdtEndPr>
    <w:sdtContent>
      <w:p w14:paraId="735D0D06" w14:textId="77777777" w:rsidR="009E68BA" w:rsidRDefault="009E68BA" w:rsidP="007E179A">
        <w:pPr>
          <w:pStyle w:val="Header"/>
        </w:pPr>
        <w:r>
          <w:fldChar w:fldCharType="begin"/>
        </w:r>
        <w:r>
          <w:instrText xml:space="preserve"> PAGE   \* MERGEFORMAT </w:instrText>
        </w:r>
        <w:r>
          <w:fldChar w:fldCharType="separate"/>
        </w:r>
        <w:r>
          <w:t>3</w:t>
        </w:r>
        <w:r>
          <w:rPr>
            <w:noProof/>
          </w:rPr>
          <w:fldChar w:fldCharType="end"/>
        </w:r>
      </w:p>
    </w:sdtContent>
  </w:sdt>
  <w:p w14:paraId="53C99830" w14:textId="77777777" w:rsidR="009E68BA" w:rsidRDefault="009E68BA" w:rsidP="007E179A">
    <w:pPr>
      <w:pStyle w:val="Header"/>
    </w:pPr>
    <w:r w:rsidRPr="003B6228">
      <w:rPr>
        <w:lang w:val="en-US"/>
      </w:rPr>
      <w:t>C</w:t>
    </w:r>
    <w:r>
      <w:rPr>
        <w:lang w:val="en-US"/>
      </w:rPr>
      <w:t>2</w:t>
    </w:r>
    <w:r w:rsidRPr="003B6228">
      <w:rPr>
        <w:lang w:val="en-US"/>
      </w:rPr>
      <w:t>1/</w:t>
    </w:r>
    <w:r>
      <w:rPr>
        <w:lang w:val="en-US"/>
      </w:rPr>
      <w:t>6</w:t>
    </w:r>
    <w:r w:rsidRPr="003B6228">
      <w:rPr>
        <w:lang w:val="en-US"/>
      </w:rPr>
      <w:t>5(Add.1)-</w:t>
    </w:r>
    <w:r>
      <w:rPr>
        <w:lang w:val="en-U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12"/>
    <w:rsid w:val="000007D1"/>
    <w:rsid w:val="00093EEB"/>
    <w:rsid w:val="000B0D00"/>
    <w:rsid w:val="000B7C15"/>
    <w:rsid w:val="000D1D0F"/>
    <w:rsid w:val="000F5290"/>
    <w:rsid w:val="0010165C"/>
    <w:rsid w:val="00104F73"/>
    <w:rsid w:val="00146BFB"/>
    <w:rsid w:val="00184ED2"/>
    <w:rsid w:val="001F14A2"/>
    <w:rsid w:val="002801AA"/>
    <w:rsid w:val="002C4676"/>
    <w:rsid w:val="002C70B0"/>
    <w:rsid w:val="002F3CC4"/>
    <w:rsid w:val="00385FFC"/>
    <w:rsid w:val="003B6228"/>
    <w:rsid w:val="00443C4D"/>
    <w:rsid w:val="004E6771"/>
    <w:rsid w:val="00502A62"/>
    <w:rsid w:val="00513630"/>
    <w:rsid w:val="00560125"/>
    <w:rsid w:val="00585553"/>
    <w:rsid w:val="005B34D9"/>
    <w:rsid w:val="005D0CCF"/>
    <w:rsid w:val="005F3BCB"/>
    <w:rsid w:val="005F410F"/>
    <w:rsid w:val="0060149A"/>
    <w:rsid w:val="00601924"/>
    <w:rsid w:val="006447EA"/>
    <w:rsid w:val="0064731F"/>
    <w:rsid w:val="006623A5"/>
    <w:rsid w:val="00664572"/>
    <w:rsid w:val="006710F6"/>
    <w:rsid w:val="006C1B56"/>
    <w:rsid w:val="006D4761"/>
    <w:rsid w:val="00710280"/>
    <w:rsid w:val="00726872"/>
    <w:rsid w:val="00745712"/>
    <w:rsid w:val="00760F1C"/>
    <w:rsid w:val="007657F0"/>
    <w:rsid w:val="0077252D"/>
    <w:rsid w:val="007955DA"/>
    <w:rsid w:val="007E179A"/>
    <w:rsid w:val="007E5DD3"/>
    <w:rsid w:val="007F350B"/>
    <w:rsid w:val="00820BE4"/>
    <w:rsid w:val="008451E8"/>
    <w:rsid w:val="00913B9C"/>
    <w:rsid w:val="009327F0"/>
    <w:rsid w:val="00956E77"/>
    <w:rsid w:val="009D3A87"/>
    <w:rsid w:val="009E68BA"/>
    <w:rsid w:val="009F4811"/>
    <w:rsid w:val="00AA390C"/>
    <w:rsid w:val="00AA3BAA"/>
    <w:rsid w:val="00AF383E"/>
    <w:rsid w:val="00B0200A"/>
    <w:rsid w:val="00B574DB"/>
    <w:rsid w:val="00B826C2"/>
    <w:rsid w:val="00B8298E"/>
    <w:rsid w:val="00BD0723"/>
    <w:rsid w:val="00BD2518"/>
    <w:rsid w:val="00BE7FDE"/>
    <w:rsid w:val="00BF1D1C"/>
    <w:rsid w:val="00C20C59"/>
    <w:rsid w:val="00C24299"/>
    <w:rsid w:val="00C2727F"/>
    <w:rsid w:val="00C55B1F"/>
    <w:rsid w:val="00CF1A67"/>
    <w:rsid w:val="00D03A98"/>
    <w:rsid w:val="00D2750E"/>
    <w:rsid w:val="00D62446"/>
    <w:rsid w:val="00DA4EA2"/>
    <w:rsid w:val="00DC3D3E"/>
    <w:rsid w:val="00DE2C90"/>
    <w:rsid w:val="00DE3B24"/>
    <w:rsid w:val="00E06947"/>
    <w:rsid w:val="00E3592D"/>
    <w:rsid w:val="00E67B56"/>
    <w:rsid w:val="00E92DE8"/>
    <w:rsid w:val="00EB1212"/>
    <w:rsid w:val="00ED65AB"/>
    <w:rsid w:val="00F12850"/>
    <w:rsid w:val="00F33BF4"/>
    <w:rsid w:val="00F614B5"/>
    <w:rsid w:val="00F7105E"/>
    <w:rsid w:val="00F75F57"/>
    <w:rsid w:val="00F82FEE"/>
    <w:rsid w:val="00F96D1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79B7D7"/>
  <w15:docId w15:val="{FE917F23-0AA9-458B-9CE5-60E81E80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enumlev1Char">
    <w:name w:val="enumlev1 Char"/>
    <w:basedOn w:val="DefaultParagraphFont"/>
    <w:link w:val="enumlev1"/>
    <w:rsid w:val="00745712"/>
    <w:rPr>
      <w:rFonts w:ascii="Calibri" w:hAnsi="Calibri"/>
      <w:sz w:val="24"/>
      <w:lang w:val="es-ES_tradnl" w:eastAsia="en-US"/>
    </w:rPr>
  </w:style>
  <w:style w:type="character" w:customStyle="1" w:styleId="HeaderChar">
    <w:name w:val="Header Char"/>
    <w:basedOn w:val="DefaultParagraphFont"/>
    <w:link w:val="Header"/>
    <w:uiPriority w:val="99"/>
    <w:rsid w:val="003B6228"/>
    <w:rPr>
      <w:rFonts w:ascii="Calibri" w:hAnsi="Calibri"/>
      <w:sz w:val="18"/>
      <w:lang w:val="es-ES_tradnl" w:eastAsia="en-US"/>
    </w:rPr>
  </w:style>
  <w:style w:type="table" w:styleId="TableGrid">
    <w:name w:val="Table Grid"/>
    <w:basedOn w:val="TableNormal"/>
    <w:rsid w:val="0018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Microsoft_Excel_Worksheet1.xlsx"/><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package" Target="embeddings/Microsoft_Excel_Worksheet4.xlsx"/><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package" Target="embeddings/Microsoft_Excel_Worksheet3.xlsx"/><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49C9-8F73-43ED-A43C-8BAF08B3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TotalTime>
  <Pages>9</Pages>
  <Words>2009</Words>
  <Characters>10952</Characters>
  <Application>Microsoft Office Word</Application>
  <DocSecurity>4</DocSecurity>
  <Lines>91</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12936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presupuesto de la Unión para 2022-2023</dc:title>
  <dc:subject>Council 2021, Virtual consultation of councillors</dc:subject>
  <dc:creator>Spanish1</dc:creator>
  <cp:keywords>C2021, C21, VCC, C21-VCC-1</cp:keywords>
  <dc:description/>
  <cp:lastModifiedBy>Brouard, Ricarda</cp:lastModifiedBy>
  <cp:revision>2</cp:revision>
  <cp:lastPrinted>2006-03-24T09:51:00Z</cp:lastPrinted>
  <dcterms:created xsi:type="dcterms:W3CDTF">2021-04-28T19:18:00Z</dcterms:created>
  <dcterms:modified xsi:type="dcterms:W3CDTF">2021-04-28T19:18:00Z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