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10774" w:rsidRPr="00A504AE" w14:paraId="27596458" w14:textId="77777777" w:rsidTr="00E944FF">
        <w:trPr>
          <w:cantSplit/>
          <w:trHeight w:val="1134"/>
        </w:trPr>
        <w:tc>
          <w:tcPr>
            <w:tcW w:w="6911" w:type="dxa"/>
          </w:tcPr>
          <w:p w14:paraId="7246F033" w14:textId="77777777" w:rsidR="00A10774" w:rsidRPr="00A504AE" w:rsidRDefault="00A10774" w:rsidP="00D151D8">
            <w:pPr>
              <w:spacing w:before="360" w:after="48" w:line="240" w:lineRule="atLeast"/>
              <w:rPr>
                <w:position w:val="6"/>
              </w:rPr>
            </w:pPr>
            <w:bookmarkStart w:id="0" w:name="dc06"/>
            <w:bookmarkEnd w:id="0"/>
            <w:r w:rsidRPr="00A504AE">
              <w:rPr>
                <w:b/>
                <w:bCs/>
                <w:position w:val="6"/>
                <w:sz w:val="30"/>
                <w:szCs w:val="30"/>
              </w:rPr>
              <w:t>Consejo 2021</w:t>
            </w:r>
            <w:r w:rsidRPr="00A504AE">
              <w:rPr>
                <w:rFonts w:cs="Times"/>
                <w:b/>
                <w:position w:val="6"/>
                <w:sz w:val="26"/>
                <w:szCs w:val="26"/>
              </w:rPr>
              <w:br/>
            </w:r>
            <w:r w:rsidRPr="00A504AE">
              <w:rPr>
                <w:b/>
                <w:bCs/>
                <w:position w:val="6"/>
                <w:sz w:val="28"/>
                <w:szCs w:val="28"/>
              </w:rPr>
              <w:t>Consulta virtual de los consejeros, 8-18 de junio de 2021</w:t>
            </w:r>
          </w:p>
        </w:tc>
        <w:tc>
          <w:tcPr>
            <w:tcW w:w="3120" w:type="dxa"/>
            <w:vAlign w:val="center"/>
          </w:tcPr>
          <w:p w14:paraId="2679BD21" w14:textId="77777777" w:rsidR="00A10774" w:rsidRPr="00A504AE" w:rsidRDefault="00A10774" w:rsidP="009F66A3">
            <w:pPr>
              <w:spacing w:before="0" w:line="240" w:lineRule="atLeast"/>
            </w:pPr>
            <w:bookmarkStart w:id="1" w:name="ditulogo"/>
            <w:bookmarkEnd w:id="1"/>
            <w:r w:rsidRPr="00A504AE">
              <w:rPr>
                <w:noProof/>
              </w:rPr>
              <w:drawing>
                <wp:inline distT="0" distB="0" distL="0" distR="0" wp14:anchorId="075A53A3" wp14:editId="2F47526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A10774" w:rsidRPr="00A504AE" w14:paraId="63593721" w14:textId="77777777" w:rsidTr="00464B6C">
        <w:trPr>
          <w:cantSplit/>
        </w:trPr>
        <w:tc>
          <w:tcPr>
            <w:tcW w:w="6911" w:type="dxa"/>
            <w:tcBorders>
              <w:bottom w:val="single" w:sz="12" w:space="0" w:color="auto"/>
            </w:tcBorders>
          </w:tcPr>
          <w:p w14:paraId="2B6B5724" w14:textId="77777777" w:rsidR="00A10774" w:rsidRPr="00A504AE" w:rsidRDefault="00A10774" w:rsidP="00464B6C">
            <w:pPr>
              <w:spacing w:before="0" w:after="48" w:line="240" w:lineRule="atLeast"/>
              <w:rPr>
                <w:b/>
                <w:smallCaps/>
                <w:szCs w:val="24"/>
              </w:rPr>
            </w:pPr>
          </w:p>
        </w:tc>
        <w:tc>
          <w:tcPr>
            <w:tcW w:w="3120" w:type="dxa"/>
            <w:tcBorders>
              <w:bottom w:val="single" w:sz="12" w:space="0" w:color="auto"/>
            </w:tcBorders>
          </w:tcPr>
          <w:p w14:paraId="4FFACB61" w14:textId="77777777" w:rsidR="00A10774" w:rsidRPr="00A504AE" w:rsidRDefault="00A10774" w:rsidP="00464B6C">
            <w:pPr>
              <w:spacing w:before="0" w:line="240" w:lineRule="atLeast"/>
              <w:rPr>
                <w:szCs w:val="24"/>
              </w:rPr>
            </w:pPr>
          </w:p>
        </w:tc>
      </w:tr>
      <w:tr w:rsidR="00A10774" w:rsidRPr="00A504AE" w14:paraId="0ECA8F1F" w14:textId="77777777" w:rsidTr="00464B6C">
        <w:trPr>
          <w:cantSplit/>
        </w:trPr>
        <w:tc>
          <w:tcPr>
            <w:tcW w:w="6911" w:type="dxa"/>
            <w:tcBorders>
              <w:top w:val="single" w:sz="12" w:space="0" w:color="auto"/>
            </w:tcBorders>
          </w:tcPr>
          <w:p w14:paraId="70A4E698" w14:textId="77777777" w:rsidR="00A10774" w:rsidRPr="00A504AE" w:rsidRDefault="00A10774" w:rsidP="00464B6C">
            <w:pPr>
              <w:spacing w:before="0" w:after="48" w:line="240" w:lineRule="atLeast"/>
              <w:rPr>
                <w:b/>
                <w:smallCaps/>
                <w:szCs w:val="24"/>
              </w:rPr>
            </w:pPr>
          </w:p>
        </w:tc>
        <w:tc>
          <w:tcPr>
            <w:tcW w:w="3120" w:type="dxa"/>
            <w:tcBorders>
              <w:top w:val="single" w:sz="12" w:space="0" w:color="auto"/>
            </w:tcBorders>
          </w:tcPr>
          <w:p w14:paraId="012F4DDC" w14:textId="77777777" w:rsidR="00A10774" w:rsidRPr="00A504AE" w:rsidRDefault="00A10774" w:rsidP="00464B6C">
            <w:pPr>
              <w:spacing w:before="0" w:line="240" w:lineRule="atLeast"/>
              <w:rPr>
                <w:szCs w:val="24"/>
              </w:rPr>
            </w:pPr>
          </w:p>
        </w:tc>
      </w:tr>
      <w:tr w:rsidR="00A10774" w:rsidRPr="00A504AE" w14:paraId="11B46429" w14:textId="77777777" w:rsidTr="00464B6C">
        <w:trPr>
          <w:cantSplit/>
          <w:trHeight w:val="23"/>
        </w:trPr>
        <w:tc>
          <w:tcPr>
            <w:tcW w:w="6911" w:type="dxa"/>
            <w:vMerge w:val="restart"/>
          </w:tcPr>
          <w:p w14:paraId="0BE15376" w14:textId="77777777" w:rsidR="00A10774" w:rsidRPr="00A504AE" w:rsidRDefault="00A10774" w:rsidP="0021072D">
            <w:pPr>
              <w:tabs>
                <w:tab w:val="left" w:pos="851"/>
              </w:tabs>
              <w:spacing w:before="0" w:line="240" w:lineRule="atLeast"/>
              <w:rPr>
                <w:b/>
              </w:rPr>
            </w:pPr>
            <w:bookmarkStart w:id="2" w:name="dmeeting" w:colFirst="0" w:colLast="0"/>
            <w:bookmarkStart w:id="3" w:name="dnum" w:colFirst="1" w:colLast="1"/>
            <w:r w:rsidRPr="00A504AE">
              <w:rPr>
                <w:b/>
              </w:rPr>
              <w:t>Punto del orden del día: ADM 24</w:t>
            </w:r>
          </w:p>
        </w:tc>
        <w:tc>
          <w:tcPr>
            <w:tcW w:w="3120" w:type="dxa"/>
          </w:tcPr>
          <w:p w14:paraId="5E4B8183" w14:textId="77777777" w:rsidR="00A10774" w:rsidRPr="00A504AE" w:rsidRDefault="00A10774" w:rsidP="00E944FF">
            <w:pPr>
              <w:tabs>
                <w:tab w:val="left" w:pos="851"/>
              </w:tabs>
              <w:spacing w:before="0" w:line="240" w:lineRule="atLeast"/>
              <w:rPr>
                <w:b/>
              </w:rPr>
            </w:pPr>
            <w:r w:rsidRPr="00A504AE">
              <w:rPr>
                <w:b/>
              </w:rPr>
              <w:t>Documento C21/67-S</w:t>
            </w:r>
          </w:p>
        </w:tc>
      </w:tr>
      <w:tr w:rsidR="00A10774" w:rsidRPr="00A504AE" w14:paraId="2B76B88A" w14:textId="77777777" w:rsidTr="00464B6C">
        <w:trPr>
          <w:cantSplit/>
          <w:trHeight w:val="23"/>
        </w:trPr>
        <w:tc>
          <w:tcPr>
            <w:tcW w:w="6911" w:type="dxa"/>
            <w:vMerge/>
          </w:tcPr>
          <w:p w14:paraId="5073215B" w14:textId="77777777" w:rsidR="00A10774" w:rsidRPr="00A504AE" w:rsidRDefault="00A10774" w:rsidP="00464B6C">
            <w:pPr>
              <w:tabs>
                <w:tab w:val="left" w:pos="851"/>
              </w:tabs>
              <w:spacing w:line="240" w:lineRule="atLeast"/>
              <w:rPr>
                <w:b/>
              </w:rPr>
            </w:pPr>
            <w:bookmarkStart w:id="4" w:name="ddate" w:colFirst="1" w:colLast="1"/>
            <w:bookmarkEnd w:id="2"/>
            <w:bookmarkEnd w:id="3"/>
          </w:p>
        </w:tc>
        <w:tc>
          <w:tcPr>
            <w:tcW w:w="3120" w:type="dxa"/>
          </w:tcPr>
          <w:p w14:paraId="6BD37D31" w14:textId="77777777" w:rsidR="00A10774" w:rsidRPr="00A504AE" w:rsidRDefault="00A10774" w:rsidP="00E944FF">
            <w:pPr>
              <w:tabs>
                <w:tab w:val="left" w:pos="993"/>
              </w:tabs>
              <w:spacing w:before="0"/>
              <w:rPr>
                <w:b/>
              </w:rPr>
            </w:pPr>
            <w:r w:rsidRPr="00A504AE">
              <w:rPr>
                <w:b/>
              </w:rPr>
              <w:t>9 de marzo de 2021</w:t>
            </w:r>
          </w:p>
        </w:tc>
      </w:tr>
      <w:tr w:rsidR="00A10774" w:rsidRPr="00A504AE" w14:paraId="7DF8357C" w14:textId="77777777" w:rsidTr="00464B6C">
        <w:trPr>
          <w:cantSplit/>
          <w:trHeight w:val="23"/>
        </w:trPr>
        <w:tc>
          <w:tcPr>
            <w:tcW w:w="6911" w:type="dxa"/>
            <w:vMerge/>
          </w:tcPr>
          <w:p w14:paraId="049243CE" w14:textId="77777777" w:rsidR="00A10774" w:rsidRPr="00A504AE" w:rsidRDefault="00A10774" w:rsidP="00464B6C">
            <w:pPr>
              <w:tabs>
                <w:tab w:val="left" w:pos="851"/>
              </w:tabs>
              <w:spacing w:line="240" w:lineRule="atLeast"/>
              <w:rPr>
                <w:b/>
              </w:rPr>
            </w:pPr>
            <w:bookmarkStart w:id="5" w:name="dorlang" w:colFirst="1" w:colLast="1"/>
            <w:bookmarkEnd w:id="4"/>
          </w:p>
        </w:tc>
        <w:tc>
          <w:tcPr>
            <w:tcW w:w="3120" w:type="dxa"/>
          </w:tcPr>
          <w:p w14:paraId="7A3FD5C1" w14:textId="77777777" w:rsidR="00A10774" w:rsidRPr="00A504AE" w:rsidRDefault="00A10774" w:rsidP="00464B6C">
            <w:pPr>
              <w:tabs>
                <w:tab w:val="left" w:pos="993"/>
              </w:tabs>
              <w:spacing w:before="0"/>
              <w:rPr>
                <w:b/>
              </w:rPr>
            </w:pPr>
            <w:r w:rsidRPr="00A504AE">
              <w:rPr>
                <w:b/>
              </w:rPr>
              <w:t>Original: inglés</w:t>
            </w:r>
          </w:p>
        </w:tc>
      </w:tr>
      <w:tr w:rsidR="00A10774" w:rsidRPr="00A504AE" w14:paraId="57D8652F" w14:textId="77777777" w:rsidTr="00464B6C">
        <w:trPr>
          <w:cantSplit/>
        </w:trPr>
        <w:tc>
          <w:tcPr>
            <w:tcW w:w="10031" w:type="dxa"/>
            <w:gridSpan w:val="2"/>
          </w:tcPr>
          <w:p w14:paraId="3628D74D" w14:textId="5E314779" w:rsidR="00A10774" w:rsidRPr="00A504AE" w:rsidRDefault="00A10774" w:rsidP="0021072D">
            <w:pPr>
              <w:pStyle w:val="Source"/>
            </w:pPr>
            <w:bookmarkStart w:id="6" w:name="dsource" w:colFirst="0" w:colLast="0"/>
            <w:bookmarkEnd w:id="5"/>
            <w:r w:rsidRPr="00A504AE">
              <w:t>Informe del Secretario General</w:t>
            </w:r>
          </w:p>
        </w:tc>
      </w:tr>
      <w:tr w:rsidR="00A10774" w:rsidRPr="00A504AE" w14:paraId="7F8E3793" w14:textId="77777777" w:rsidTr="00464B6C">
        <w:trPr>
          <w:cantSplit/>
        </w:trPr>
        <w:tc>
          <w:tcPr>
            <w:tcW w:w="10031" w:type="dxa"/>
            <w:gridSpan w:val="2"/>
          </w:tcPr>
          <w:p w14:paraId="23AEAF77" w14:textId="238FC689" w:rsidR="00A10774" w:rsidRPr="00A504AE" w:rsidRDefault="00A10774" w:rsidP="0021072D">
            <w:pPr>
              <w:pStyle w:val="Title1"/>
              <w:spacing w:after="120"/>
            </w:pPr>
            <w:bookmarkStart w:id="7" w:name="dtitle1" w:colFirst="0" w:colLast="0"/>
            <w:bookmarkEnd w:id="6"/>
            <w:r w:rsidRPr="00A504AE">
              <w:t>resultados de la cmr-19 con implicaciones financieras</w:t>
            </w:r>
          </w:p>
        </w:tc>
      </w:tr>
    </w:tbl>
    <w:tbl>
      <w:tblPr>
        <w:tblW w:w="911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1"/>
      </w:tblGrid>
      <w:tr w:rsidR="00A10774" w:rsidRPr="00A504AE" w14:paraId="586EDBEF" w14:textId="77777777" w:rsidTr="0021072D">
        <w:trPr>
          <w:trHeight w:val="3555"/>
        </w:trPr>
        <w:tc>
          <w:tcPr>
            <w:tcW w:w="9111" w:type="dxa"/>
            <w:tcBorders>
              <w:top w:val="single" w:sz="12" w:space="0" w:color="auto"/>
              <w:left w:val="single" w:sz="12" w:space="0" w:color="auto"/>
              <w:bottom w:val="single" w:sz="12" w:space="0" w:color="auto"/>
              <w:right w:val="single" w:sz="12" w:space="0" w:color="auto"/>
            </w:tcBorders>
          </w:tcPr>
          <w:bookmarkEnd w:id="7"/>
          <w:p w14:paraId="0DF71052" w14:textId="77777777" w:rsidR="00A10774" w:rsidRPr="00A504AE" w:rsidRDefault="00A10774" w:rsidP="00464B6C">
            <w:pPr>
              <w:pStyle w:val="Headingb"/>
            </w:pPr>
            <w:r w:rsidRPr="00A504AE">
              <w:t>Resumen</w:t>
            </w:r>
          </w:p>
          <w:p w14:paraId="5A39CE76" w14:textId="77777777" w:rsidR="00A10774" w:rsidRPr="00A504AE" w:rsidRDefault="00A10774" w:rsidP="008E7DF1">
            <w:r w:rsidRPr="00A504AE">
              <w:t>La Conferencia Mundial de Radiocomunicaciones (CMR-19), celebrada en Sharm el</w:t>
            </w:r>
            <w:r w:rsidRPr="00A504AE">
              <w:noBreakHyphen/>
            </w:r>
            <w:proofErr w:type="spellStart"/>
            <w:r w:rsidRPr="00A504AE">
              <w:t>Sheikh</w:t>
            </w:r>
            <w:proofErr w:type="spellEnd"/>
            <w:r w:rsidRPr="00A504AE">
              <w:t xml:space="preserve"> (Egipto), del 28 de octubre al 22 de noviembre de 2019, adoptó diversas decisiones, incluidos planes de trabajo, y creó algunas cuestiones de estudio adicionales para el nuevo ciclo de estudios.</w:t>
            </w:r>
          </w:p>
          <w:p w14:paraId="76B2794E" w14:textId="361C406B" w:rsidR="00A10774" w:rsidRPr="00A504AE" w:rsidRDefault="00A10774" w:rsidP="00E944FF">
            <w:pPr>
              <w:keepNext/>
            </w:pPr>
            <w:r w:rsidRPr="00A504AE">
              <w:t>Según figura en el Informe de la Comisión de Presupuesto (</w:t>
            </w:r>
            <w:hyperlink r:id="rId7" w:history="1">
              <w:r w:rsidRPr="00A504AE">
                <w:rPr>
                  <w:rStyle w:val="Hyperlink"/>
                </w:rPr>
                <w:t>Doc. 337(Rev.2)</w:t>
              </w:r>
            </w:hyperlink>
            <w:r w:rsidRPr="00A504AE">
              <w:t>, COM 3) de la Conferencia Mundial de Radiocomunicaciones (CMR-19), los trabajos de la Conferencia identificaron algunas áreas de trabajo, de estudio y de desarrollo adicionales para la aplicación de las decisiones de la Conferencia. La estimación total de costes para completar estas nuevas tareas ascendía a 1,721 millones CHF.</w:t>
            </w:r>
          </w:p>
          <w:p w14:paraId="37E48984" w14:textId="36FD3F8A" w:rsidR="00A10774" w:rsidRPr="00A504AE" w:rsidRDefault="00A10774" w:rsidP="008E7DF1">
            <w:r w:rsidRPr="00A504AE">
              <w:t xml:space="preserve">La Consulta Virtual de Consejeros consideró el </w:t>
            </w:r>
            <w:r w:rsidR="00A504AE">
              <w:t>D</w:t>
            </w:r>
            <w:r w:rsidRPr="00A504AE">
              <w:t>ocumento C20/56, que contiene la solicitud del Secretario General de la financiación para implementar las decisiones de la</w:t>
            </w:r>
            <w:r w:rsidR="00A504AE">
              <w:t> </w:t>
            </w:r>
            <w:r w:rsidRPr="00A504AE">
              <w:t xml:space="preserve">CMR-19. En ese momento, el </w:t>
            </w:r>
            <w:proofErr w:type="gramStart"/>
            <w:r w:rsidRPr="00A504AE">
              <w:t>Jefe</w:t>
            </w:r>
            <w:proofErr w:type="gramEnd"/>
            <w:r w:rsidRPr="00A504AE">
              <w:t xml:space="preserve"> del Departamento de Gestión de Recursos Financieros, explicó que no era necesario una decisión urgente del Consejo para poder liberar los fondos ahorrados porque el Secretario General estaba autorizado, en virtud del Artículo 12 del Reglamento Financiero y Reglas Financieras, a adoptar, en interés de la Unión, determinadas decisiones financieras y con sujeción a los recursos disponibles. En consecuencia, se acordó proponer que la siguiente reunión del Consejo considerase autorizar al Secretario General a adoptar las medidas pertinentes con carácter prioritario para atribuir fondos a partir de ahorros anuales generados durante la implementación del presupuesto en 2021, o para </w:t>
            </w:r>
            <w:r w:rsidRPr="00A504AE">
              <w:rPr>
                <w:bCs/>
              </w:rPr>
              <w:t>solicitar</w:t>
            </w:r>
            <w:r w:rsidRPr="00A504AE">
              <w:t xml:space="preserve"> contribuciones voluntarias, pero no para hacer una detracción de la Cuenta de Provisión.</w:t>
            </w:r>
          </w:p>
          <w:p w14:paraId="557C613F" w14:textId="77777777" w:rsidR="00A10774" w:rsidRPr="00A504AE" w:rsidRDefault="00A10774" w:rsidP="00FF2B67">
            <w:pPr>
              <w:pStyle w:val="Headingb"/>
              <w:jc w:val="both"/>
            </w:pPr>
            <w:r w:rsidRPr="00A504AE">
              <w:t>Acción solicitada</w:t>
            </w:r>
          </w:p>
          <w:p w14:paraId="1FAB94FE" w14:textId="30F15A26" w:rsidR="00A10774" w:rsidRPr="00A504AE" w:rsidRDefault="00A10774" w:rsidP="008E7DF1">
            <w:r w:rsidRPr="00A504AE">
              <w:t xml:space="preserve">Se pide al Consejo que </w:t>
            </w:r>
            <w:r w:rsidRPr="00A504AE">
              <w:rPr>
                <w:b/>
              </w:rPr>
              <w:t>tome nota</w:t>
            </w:r>
            <w:r w:rsidRPr="00A504AE">
              <w:t xml:space="preserve"> del presente informe y de la posibilidad de que el Secretario General pueda presentar una solicitud revisada a la reunión de 2022 del Consejo.</w:t>
            </w:r>
          </w:p>
          <w:p w14:paraId="147F855B" w14:textId="77777777" w:rsidR="00A10774" w:rsidRPr="00A504AE" w:rsidRDefault="00A10774" w:rsidP="00464B6C">
            <w:pPr>
              <w:pStyle w:val="Table"/>
              <w:keepNext w:val="0"/>
              <w:spacing w:before="0" w:after="0"/>
              <w:rPr>
                <w:caps w:val="0"/>
                <w:sz w:val="22"/>
                <w:lang w:val="es-ES_tradnl"/>
              </w:rPr>
            </w:pPr>
            <w:r w:rsidRPr="00A504AE">
              <w:rPr>
                <w:caps w:val="0"/>
                <w:sz w:val="22"/>
                <w:lang w:val="es-ES_tradnl"/>
              </w:rPr>
              <w:t>____________</w:t>
            </w:r>
          </w:p>
          <w:p w14:paraId="7B2BA68F" w14:textId="77777777" w:rsidR="00A10774" w:rsidRPr="00A504AE" w:rsidRDefault="00A10774" w:rsidP="00464B6C">
            <w:pPr>
              <w:pStyle w:val="Headingb"/>
            </w:pPr>
            <w:r w:rsidRPr="00A504AE">
              <w:t>Referencias</w:t>
            </w:r>
          </w:p>
          <w:p w14:paraId="54A1A61F" w14:textId="77777777" w:rsidR="00A10774" w:rsidRPr="00A504AE" w:rsidRDefault="00E006FB" w:rsidP="00540F2D">
            <w:pPr>
              <w:spacing w:before="0" w:after="120"/>
              <w:rPr>
                <w:i/>
                <w:iCs/>
              </w:rPr>
            </w:pPr>
            <w:hyperlink r:id="rId8" w:history="1">
              <w:r w:rsidR="00A10774" w:rsidRPr="00A504AE">
                <w:rPr>
                  <w:rStyle w:val="Hyperlink"/>
                  <w:szCs w:val="24"/>
                </w:rPr>
                <w:t>Documento 337(Rev.2)</w:t>
              </w:r>
            </w:hyperlink>
            <w:r w:rsidR="00A10774" w:rsidRPr="00A504AE">
              <w:rPr>
                <w:rStyle w:val="Hyperlink"/>
                <w:szCs w:val="24"/>
              </w:rPr>
              <w:t xml:space="preserve"> de la CMR-19</w:t>
            </w:r>
            <w:r w:rsidR="00A10774" w:rsidRPr="00A504AE">
              <w:rPr>
                <w:szCs w:val="24"/>
              </w:rPr>
              <w:t xml:space="preserve">, </w:t>
            </w:r>
            <w:hyperlink r:id="rId9" w:history="1">
              <w:r w:rsidR="00A10774" w:rsidRPr="00A504AE">
                <w:rPr>
                  <w:rStyle w:val="Hyperlink"/>
                  <w:szCs w:val="24"/>
                </w:rPr>
                <w:t>CWG-FHR-11/5</w:t>
              </w:r>
            </w:hyperlink>
            <w:r w:rsidR="00A10774" w:rsidRPr="00A504AE">
              <w:rPr>
                <w:szCs w:val="24"/>
              </w:rPr>
              <w:t xml:space="preserve">, </w:t>
            </w:r>
            <w:hyperlink r:id="rId10" w:history="1">
              <w:r w:rsidR="00A10774" w:rsidRPr="00A504AE">
                <w:rPr>
                  <w:rStyle w:val="Hyperlink"/>
                  <w:szCs w:val="24"/>
                </w:rPr>
                <w:t>C20/56</w:t>
              </w:r>
            </w:hyperlink>
          </w:p>
        </w:tc>
      </w:tr>
    </w:tbl>
    <w:p w14:paraId="4AD356C4" w14:textId="77777777" w:rsidR="0021072D" w:rsidRPr="00A504AE" w:rsidRDefault="0021072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bookmarkStart w:id="8" w:name="dstart"/>
      <w:bookmarkStart w:id="9" w:name="dbreak"/>
      <w:bookmarkEnd w:id="8"/>
      <w:bookmarkEnd w:id="9"/>
      <w:r w:rsidRPr="00A504AE">
        <w:rPr>
          <w:rFonts w:asciiTheme="minorHAnsi" w:hAnsiTheme="minorHAnsi"/>
        </w:rPr>
        <w:br w:type="page"/>
      </w:r>
    </w:p>
    <w:p w14:paraId="651BAEA3" w14:textId="77777777" w:rsidR="00A10774" w:rsidRPr="00A504AE" w:rsidRDefault="00A10774" w:rsidP="0021072D">
      <w:pPr>
        <w:pStyle w:val="Heading1"/>
      </w:pPr>
      <w:r w:rsidRPr="00A504AE">
        <w:lastRenderedPageBreak/>
        <w:t>1</w:t>
      </w:r>
      <w:r w:rsidRPr="00A504AE">
        <w:tab/>
      </w:r>
      <w:proofErr w:type="gramStart"/>
      <w:r w:rsidRPr="00A504AE">
        <w:t>Introducción</w:t>
      </w:r>
      <w:proofErr w:type="gramEnd"/>
    </w:p>
    <w:p w14:paraId="72079541" w14:textId="77777777" w:rsidR="00A10774" w:rsidRPr="00A504AE" w:rsidRDefault="00A10774" w:rsidP="0021072D">
      <w:bookmarkStart w:id="10" w:name="lt_pId316"/>
      <w:r w:rsidRPr="00A504AE">
        <w:t>1.1</w:t>
      </w:r>
      <w:r w:rsidRPr="00A504AE">
        <w:tab/>
        <w:t xml:space="preserve">La Conferencia Mundial de Radiocomunicaciones (CMR-19) definió áreas de trabajo, estudio y </w:t>
      </w:r>
      <w:proofErr w:type="gramStart"/>
      <w:r w:rsidRPr="00A504AE">
        <w:t>desarrollo adicionales</w:t>
      </w:r>
      <w:proofErr w:type="gramEnd"/>
      <w:r w:rsidRPr="00A504AE">
        <w:t xml:space="preserve">, con miras a la aplicación de las decisiones de la Conferencia. La ejecución de estas nuevas actividades tiene un coste total estimado de 1 721 millones CHF. El </w:t>
      </w:r>
      <w:r w:rsidRPr="00A504AE">
        <w:rPr>
          <w:b/>
          <w:bCs/>
        </w:rPr>
        <w:t>Cuadro 1</w:t>
      </w:r>
      <w:r w:rsidRPr="00A504AE">
        <w:t xml:space="preserve"> </w:t>
      </w:r>
      <w:bookmarkEnd w:id="10"/>
      <w:r w:rsidRPr="00A504AE">
        <w:t>contiene una estimación de la distribución de costes.</w:t>
      </w:r>
    </w:p>
    <w:p w14:paraId="27F5C9FD" w14:textId="77777777" w:rsidR="00A10774" w:rsidRPr="00A504AE" w:rsidRDefault="00A10774" w:rsidP="00CF6511">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rPr>
      </w:pPr>
      <w:bookmarkStart w:id="11" w:name="lt_pId319"/>
      <w:r w:rsidRPr="00A504AE">
        <w:rPr>
          <w:rFonts w:asciiTheme="minorHAnsi" w:hAnsiTheme="minorHAnsi"/>
        </w:rPr>
        <w:t>1.2</w:t>
      </w:r>
      <w:r w:rsidRPr="00A504AE">
        <w:rPr>
          <w:rFonts w:asciiTheme="minorHAnsi" w:hAnsiTheme="minorHAnsi"/>
        </w:rPr>
        <w:tab/>
        <w:t>La CMR-19 solicitó al Secretario General que señalara este asunto a la atención del Consejo en su reunión de 2020, a fin de que examinase el método de financiación más eficaz para dichas actividades, que deberían concluirse antes de la próxima CMR en 2023.</w:t>
      </w:r>
      <w:bookmarkEnd w:id="11"/>
    </w:p>
    <w:p w14:paraId="1B52ADA1" w14:textId="25DF94DA" w:rsidR="00A10774" w:rsidRPr="00A504AE" w:rsidRDefault="00A10774" w:rsidP="0021072D">
      <w:pPr>
        <w:pStyle w:val="Heading1"/>
      </w:pPr>
      <w:r w:rsidRPr="00A504AE">
        <w:t>2</w:t>
      </w:r>
      <w:r w:rsidRPr="00A504AE">
        <w:tab/>
      </w:r>
      <w:proofErr w:type="gramStart"/>
      <w:r w:rsidRPr="00A504AE">
        <w:t>Consideraciones</w:t>
      </w:r>
      <w:proofErr w:type="gramEnd"/>
      <w:r w:rsidRPr="00A504AE">
        <w:t xml:space="preserve"> de la Consulta Virtual de Consejeros s</w:t>
      </w:r>
    </w:p>
    <w:p w14:paraId="4DDBAE3D" w14:textId="1D46BEC7" w:rsidR="00A10774" w:rsidRPr="00A504AE" w:rsidRDefault="00A10774" w:rsidP="0021072D">
      <w:r w:rsidRPr="00A504AE">
        <w:t>2.1</w:t>
      </w:r>
      <w:r w:rsidRPr="00A504AE">
        <w:tab/>
        <w:t xml:space="preserve">Debido a la pandemia de la COVID-19, el Consejo de la UIT no se reunió físicamente en 2020. En la primera Consulta Virtual de Consejeros (CVC-1), que se celebró del 9 al 12 de junio de 2020, se estudió la solicitud de financiación para ejecutar los resultados de la CMR-19, presentada en el Documento </w:t>
      </w:r>
      <w:hyperlink r:id="rId11" w:history="1">
        <w:r w:rsidRPr="00A504AE">
          <w:rPr>
            <w:rStyle w:val="Hyperlink"/>
          </w:rPr>
          <w:t>C20/56</w:t>
        </w:r>
      </w:hyperlink>
      <w:r w:rsidRPr="00A504AE">
        <w:t xml:space="preserve"> del Consejo. Como resultado de la CVC-1, los consejeros propusieron al Consejo que, en su siguiente reunión física, autorizara al Secretario General a adoptar las medidas pertinentes con carácter prioritario:</w:t>
      </w:r>
    </w:p>
    <w:p w14:paraId="7FB82F33" w14:textId="0D5E401F" w:rsidR="00A10774" w:rsidRPr="00A504AE" w:rsidRDefault="0021072D" w:rsidP="0021072D">
      <w:pPr>
        <w:pStyle w:val="enumlev1"/>
      </w:pPr>
      <w:r w:rsidRPr="00A504AE">
        <w:t>•</w:t>
      </w:r>
      <w:r w:rsidRPr="00A504AE">
        <w:tab/>
      </w:r>
      <w:r w:rsidR="00A10774" w:rsidRPr="00A504AE">
        <w:t>para asignar fondos de los ahorros anuales generados durante la ejecución del presupuesto en 2020, o</w:t>
      </w:r>
    </w:p>
    <w:p w14:paraId="57F7BDF3" w14:textId="73CE9F54" w:rsidR="00A10774" w:rsidRPr="00A504AE" w:rsidRDefault="0021072D" w:rsidP="0021072D">
      <w:pPr>
        <w:pStyle w:val="enumlev1"/>
      </w:pPr>
      <w:r w:rsidRPr="00A504AE">
        <w:t>•</w:t>
      </w:r>
      <w:r w:rsidRPr="00A504AE">
        <w:tab/>
      </w:r>
      <w:r w:rsidR="00A10774" w:rsidRPr="00A504AE">
        <w:t>para solicitar contribuciones voluntarias,</w:t>
      </w:r>
    </w:p>
    <w:p w14:paraId="563EE805" w14:textId="02FFC827" w:rsidR="00A10774" w:rsidRPr="00A504AE" w:rsidRDefault="00753A0C" w:rsidP="0021072D">
      <w:pPr>
        <w:pStyle w:val="enumlev1"/>
      </w:pPr>
      <w:r w:rsidRPr="00A504AE">
        <w:t>•</w:t>
      </w:r>
      <w:r w:rsidRPr="00A504AE">
        <w:tab/>
      </w:r>
      <w:r w:rsidR="00A10774" w:rsidRPr="00A504AE">
        <w:t>pero no para hacer una detracción de la Cuenta de Provisión.</w:t>
      </w:r>
    </w:p>
    <w:p w14:paraId="4657F25D" w14:textId="1802D51C" w:rsidR="00A10774" w:rsidRPr="00A504AE" w:rsidRDefault="00A10774" w:rsidP="0021072D">
      <w:pPr>
        <w:pStyle w:val="Heading1"/>
      </w:pPr>
      <w:r w:rsidRPr="00A504AE">
        <w:t>3</w:t>
      </w:r>
      <w:r w:rsidRPr="00A504AE">
        <w:tab/>
      </w:r>
      <w:proofErr w:type="gramStart"/>
      <w:r w:rsidRPr="00A504AE">
        <w:t>Acciones</w:t>
      </w:r>
      <w:proofErr w:type="gramEnd"/>
      <w:r w:rsidRPr="00A504AE">
        <w:t xml:space="preserve"> de seguimiento después de la CVC-1</w:t>
      </w:r>
    </w:p>
    <w:p w14:paraId="36F9BEDD" w14:textId="08E67076" w:rsidR="00A10774" w:rsidRPr="00A504AE" w:rsidRDefault="00A10774" w:rsidP="0021072D">
      <w:r w:rsidRPr="00A504AE">
        <w:t>3.1</w:t>
      </w:r>
      <w:r w:rsidRPr="00A504AE">
        <w:tab/>
        <w:t>Después de la CVC-1, las previsiones de ejecución de la UIT para 2020 anticiparon ahorros significativos en el presupuesto del UIT-R, de hasta 3 millones de CHF. Reconociendo que el Reglamento de Radiocomunicaciones entraría en vigor el 1 de enero de 2021, y que la ejecución de los desarrollos de TI posteriores a la CMR-19 eran necesarios de manera urgente, un total de 925 000 CHF fueron refrendados por los consejeros durante la CVC</w:t>
      </w:r>
      <w:r w:rsidR="00E21EE0">
        <w:t>-</w:t>
      </w:r>
      <w:r w:rsidRPr="00A504AE">
        <w:t>1 para este fin. En consecuencia, la BR solicitó que se utilizara una parte limitada del presupuesto para 2020 del UIT</w:t>
      </w:r>
      <w:r w:rsidR="00E21EE0">
        <w:noBreakHyphen/>
      </w:r>
      <w:r w:rsidRPr="00A504AE">
        <w:t xml:space="preserve">R para realizar los desarrollos de TI necesarios para aplicar las decisiones de la CMR-19, y el Secretario </w:t>
      </w:r>
      <w:r w:rsidR="00E21EE0">
        <w:t>G</w:t>
      </w:r>
      <w:r w:rsidRPr="00A504AE">
        <w:t>eneral aprobó dicha petición en el marco de sus competencias presupuestarias.</w:t>
      </w:r>
    </w:p>
    <w:p w14:paraId="261BFF66" w14:textId="558B36B3" w:rsidR="00A10774" w:rsidRPr="00A504AE" w:rsidRDefault="00A10774" w:rsidP="0021072D">
      <w:r w:rsidRPr="00A504AE">
        <w:t>3.2</w:t>
      </w:r>
      <w:r w:rsidRPr="00A504AE">
        <w:tab/>
        <w:t xml:space="preserve">No se ha financiado los 796 000 CHF restantes que, según los cálculos de la CMR-19, se necesitarían para completar los trabajos preparatorios para algunos puntos del orden del día específicos de la CMR-23. Dado que las </w:t>
      </w:r>
      <w:r w:rsidRPr="00A504AE">
        <w:rPr>
          <w:color w:val="000000"/>
        </w:rPr>
        <w:t>reuniones de las Comisiones de Estudio y los Grupos de Trabajo</w:t>
      </w:r>
      <w:r w:rsidRPr="00A504AE">
        <w:t xml:space="preserve"> </w:t>
      </w:r>
      <w:r w:rsidRPr="00A504AE">
        <w:rPr>
          <w:color w:val="000000"/>
        </w:rPr>
        <w:t xml:space="preserve">del UIT-R </w:t>
      </w:r>
      <w:r w:rsidRPr="00A504AE">
        <w:t xml:space="preserve">se realizan de forma virtual, se deberá </w:t>
      </w:r>
      <w:proofErr w:type="gramStart"/>
      <w:r w:rsidRPr="00A504AE">
        <w:t>proceder a analizar</w:t>
      </w:r>
      <w:proofErr w:type="gramEnd"/>
      <w:r w:rsidRPr="00A504AE">
        <w:t xml:space="preserve"> y revisar las estimaciones de la CMR-19 en el momento oportuno, cuando se pueda prever la reanudación de las reuniones físicas. En el Cuadro 1 se presenta un informe sobre la situación de la financiación requerida para ejecutar las decisiones de la CMR-19.</w:t>
      </w:r>
    </w:p>
    <w:p w14:paraId="1B21C11A" w14:textId="3FB6606C" w:rsidR="00A10774" w:rsidRPr="00A504AE" w:rsidRDefault="00A10774" w:rsidP="0021072D">
      <w:pPr>
        <w:pStyle w:val="Heading1"/>
      </w:pPr>
      <w:r w:rsidRPr="00A504AE">
        <w:lastRenderedPageBreak/>
        <w:t>4</w:t>
      </w:r>
      <w:r w:rsidRPr="00A504AE">
        <w:tab/>
      </w:r>
      <w:proofErr w:type="gramStart"/>
      <w:r w:rsidRPr="00A504AE">
        <w:t>Solicitudes</w:t>
      </w:r>
      <w:proofErr w:type="gramEnd"/>
      <w:r w:rsidRPr="00A504AE">
        <w:t xml:space="preserve"> al Consejo en su reunión de 2021</w:t>
      </w:r>
    </w:p>
    <w:p w14:paraId="78F9BC23" w14:textId="3C664CFD" w:rsidR="00A10774" w:rsidRPr="00A504AE" w:rsidRDefault="00A10774" w:rsidP="0021072D">
      <w:pPr>
        <w:keepNext/>
        <w:keepLines/>
      </w:pPr>
      <w:r w:rsidRPr="00A504AE">
        <w:t>4.1</w:t>
      </w:r>
      <w:r w:rsidRPr="00A504AE">
        <w:tab/>
        <w:t>La financiación adicional para la ejecución de los desarrollos de TI necesarios para aplicar las decisiones de la CMR-19 se llevó a cabo mediante la reasignación de fondos del presupuesto de</w:t>
      </w:r>
      <w:r w:rsidR="0021072D" w:rsidRPr="00A504AE">
        <w:t> </w:t>
      </w:r>
      <w:r w:rsidRPr="00A504AE">
        <w:t>2020 de la BR. Los requisitos previstos de financiación para el apoyo a la organización y las reuniones de los estudios preparatorias para la CMR-23 con arreglo a la Resolución 245 (CMR-19) y la Resolución 235 (CMR-15) deben revisarse en el momento oportuno después que se haya decidido volver a las reuniones físicas de las Comisiones de Estudio y los Grupos de Trabajo del</w:t>
      </w:r>
      <w:r w:rsidR="0021072D" w:rsidRPr="00A504AE">
        <w:t> </w:t>
      </w:r>
      <w:r w:rsidRPr="00A504AE">
        <w:t>UIT-R. Sin embargo, debido a la virtualización de las reuniones del UIT-R, la BR concluirá probablemente que puede asumir los costes dentro de su presupuesto anual de 2021.</w:t>
      </w:r>
    </w:p>
    <w:p w14:paraId="1FB385AD" w14:textId="6D4C1297" w:rsidR="00A10774" w:rsidRPr="00A504AE" w:rsidRDefault="00A10774" w:rsidP="0021072D">
      <w:r w:rsidRPr="00A504AE">
        <w:t>4.2</w:t>
      </w:r>
      <w:r w:rsidRPr="00A504AE">
        <w:tab/>
        <w:t>En consecuencia, se pide al Consejo que tome nota del presente informe y que aplace a la reunión de 2022 del Consejo el análisis de una solicitud revisada, en caso de necesidad, de una financiación adicional para el apoyo a la organización y las reuniones de las actividades preparatorias de la CMR-23 indicadas anteriormente.</w:t>
      </w:r>
    </w:p>
    <w:p w14:paraId="451BF42C" w14:textId="77777777" w:rsidR="00A10774" w:rsidRPr="00A504AE" w:rsidRDefault="00A10774" w:rsidP="00AD6887">
      <w:pPr>
        <w:tabs>
          <w:tab w:val="clear" w:pos="567"/>
          <w:tab w:val="clear" w:pos="1134"/>
          <w:tab w:val="clear" w:pos="1701"/>
          <w:tab w:val="clear" w:pos="2268"/>
          <w:tab w:val="clear" w:pos="2835"/>
        </w:tabs>
        <w:overflowPunct/>
        <w:autoSpaceDE/>
        <w:autoSpaceDN/>
        <w:adjustRightInd/>
        <w:spacing w:before="0"/>
        <w:textAlignment w:val="auto"/>
      </w:pPr>
      <w:r w:rsidRPr="00A504AE">
        <w:br w:type="page"/>
      </w:r>
    </w:p>
    <w:p w14:paraId="5C7309E9" w14:textId="77777777" w:rsidR="00A10774" w:rsidRPr="00A504AE" w:rsidRDefault="00A10774" w:rsidP="00CF6511">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rPr>
          <w:caps/>
        </w:rPr>
      </w:pPr>
      <w:r w:rsidRPr="00A504AE">
        <w:rPr>
          <w:caps/>
        </w:rPr>
        <w:lastRenderedPageBreak/>
        <w:t>Cuadro 1</w:t>
      </w:r>
    </w:p>
    <w:p w14:paraId="445005E3" w14:textId="77777777" w:rsidR="00A10774" w:rsidRPr="00A504AE" w:rsidRDefault="00A10774" w:rsidP="00CF6511">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rPr>
          <w:b/>
        </w:rPr>
      </w:pPr>
      <w:r w:rsidRPr="00A504AE">
        <w:rPr>
          <w:b/>
        </w:rPr>
        <w:t>Resumen de los costes estimados</w:t>
      </w:r>
    </w:p>
    <w:tbl>
      <w:tblPr>
        <w:tblW w:w="0" w:type="auto"/>
        <w:jc w:val="center"/>
        <w:tblLook w:val="04A0" w:firstRow="1" w:lastRow="0" w:firstColumn="1" w:lastColumn="0" w:noHBand="0" w:noVBand="1"/>
      </w:tblPr>
      <w:tblGrid>
        <w:gridCol w:w="1560"/>
        <w:gridCol w:w="2892"/>
        <w:gridCol w:w="3037"/>
        <w:gridCol w:w="1008"/>
        <w:gridCol w:w="1132"/>
      </w:tblGrid>
      <w:tr w:rsidR="00A10774" w:rsidRPr="00A504AE" w14:paraId="08E0ADF2" w14:textId="77777777" w:rsidTr="0021072D">
        <w:trPr>
          <w:tblHeader/>
          <w:jc w:val="center"/>
        </w:trPr>
        <w:tc>
          <w:tcPr>
            <w:tcW w:w="1560" w:type="dxa"/>
            <w:tcBorders>
              <w:bottom w:val="single" w:sz="8" w:space="0" w:color="auto"/>
              <w:right w:val="single" w:sz="8" w:space="0" w:color="auto"/>
            </w:tcBorders>
          </w:tcPr>
          <w:p w14:paraId="4CFEB1ED"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tc>
        <w:tc>
          <w:tcPr>
            <w:tcW w:w="2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FCB07B" w14:textId="77777777" w:rsidR="00A10774" w:rsidRPr="00A504AE" w:rsidRDefault="00A10774" w:rsidP="00CF6511">
            <w:pPr>
              <w:keepNext/>
              <w:tabs>
                <w:tab w:val="left" w:pos="284"/>
                <w:tab w:val="left" w:pos="851"/>
                <w:tab w:val="left" w:pos="1418"/>
                <w:tab w:val="left" w:pos="1985"/>
                <w:tab w:val="left" w:pos="2552"/>
                <w:tab w:val="left" w:pos="3119"/>
                <w:tab w:val="left" w:pos="3402"/>
                <w:tab w:val="left" w:pos="3686"/>
                <w:tab w:val="left" w:pos="3969"/>
              </w:tabs>
              <w:spacing w:before="80" w:after="80"/>
              <w:jc w:val="center"/>
              <w:rPr>
                <w:b/>
                <w:sz w:val="22"/>
              </w:rPr>
            </w:pPr>
            <w:bookmarkStart w:id="12" w:name="lt_pId324"/>
            <w:r w:rsidRPr="00A504AE">
              <w:rPr>
                <w:b/>
                <w:sz w:val="22"/>
              </w:rPr>
              <w:t xml:space="preserve">Decisiones de la CMR-19 </w:t>
            </w:r>
            <w:bookmarkEnd w:id="12"/>
            <w:r w:rsidRPr="00A504AE">
              <w:rPr>
                <w:b/>
                <w:sz w:val="22"/>
              </w:rPr>
              <w:t>conexas</w:t>
            </w:r>
          </w:p>
        </w:tc>
        <w:tc>
          <w:tcPr>
            <w:tcW w:w="3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B414A" w14:textId="77777777" w:rsidR="00A10774" w:rsidRPr="00A504AE" w:rsidRDefault="00A10774" w:rsidP="00CF6511">
            <w:pPr>
              <w:keepNext/>
              <w:tabs>
                <w:tab w:val="left" w:pos="284"/>
                <w:tab w:val="left" w:pos="851"/>
                <w:tab w:val="left" w:pos="1418"/>
                <w:tab w:val="left" w:pos="1985"/>
                <w:tab w:val="left" w:pos="2552"/>
                <w:tab w:val="left" w:pos="3119"/>
                <w:tab w:val="left" w:pos="3402"/>
                <w:tab w:val="left" w:pos="3686"/>
                <w:tab w:val="left" w:pos="3969"/>
              </w:tabs>
              <w:spacing w:before="80" w:after="80"/>
              <w:jc w:val="center"/>
              <w:rPr>
                <w:b/>
                <w:sz w:val="22"/>
              </w:rPr>
            </w:pPr>
            <w:bookmarkStart w:id="13" w:name="lt_pId325"/>
            <w:r w:rsidRPr="00A504AE">
              <w:rPr>
                <w:b/>
                <w:sz w:val="22"/>
              </w:rPr>
              <w:t>Apoyo requerido</w:t>
            </w:r>
            <w:bookmarkEnd w:id="13"/>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48F38" w14:textId="77777777" w:rsidR="00A10774" w:rsidRPr="00A504AE" w:rsidRDefault="00A10774" w:rsidP="00CF6511">
            <w:pPr>
              <w:keepNext/>
              <w:tabs>
                <w:tab w:val="left" w:pos="284"/>
                <w:tab w:val="left" w:pos="851"/>
                <w:tab w:val="left" w:pos="1418"/>
                <w:tab w:val="left" w:pos="1985"/>
                <w:tab w:val="left" w:pos="2552"/>
                <w:tab w:val="left" w:pos="3119"/>
                <w:tab w:val="left" w:pos="3402"/>
                <w:tab w:val="left" w:pos="3686"/>
                <w:tab w:val="left" w:pos="3969"/>
              </w:tabs>
              <w:spacing w:before="80" w:after="80"/>
              <w:jc w:val="center"/>
              <w:rPr>
                <w:b/>
                <w:sz w:val="22"/>
              </w:rPr>
            </w:pPr>
            <w:bookmarkStart w:id="14" w:name="lt_pId326"/>
            <w:r w:rsidRPr="00A504AE">
              <w:rPr>
                <w:b/>
                <w:sz w:val="22"/>
              </w:rPr>
              <w:t>Suma en CHF</w:t>
            </w:r>
            <w:bookmarkEnd w:id="14"/>
          </w:p>
        </w:tc>
        <w:tc>
          <w:tcPr>
            <w:tcW w:w="1132" w:type="dxa"/>
            <w:tcBorders>
              <w:top w:val="single" w:sz="8" w:space="0" w:color="auto"/>
              <w:left w:val="nil"/>
              <w:bottom w:val="single" w:sz="8" w:space="0" w:color="auto"/>
              <w:right w:val="single" w:sz="8" w:space="0" w:color="auto"/>
            </w:tcBorders>
          </w:tcPr>
          <w:p w14:paraId="3D87414B" w14:textId="77777777" w:rsidR="00A10774" w:rsidRPr="00A504AE" w:rsidRDefault="00A10774" w:rsidP="00CF6511">
            <w:pPr>
              <w:keepNext/>
              <w:tabs>
                <w:tab w:val="left" w:pos="284"/>
                <w:tab w:val="left" w:pos="851"/>
                <w:tab w:val="left" w:pos="1418"/>
                <w:tab w:val="left" w:pos="1985"/>
                <w:tab w:val="left" w:pos="2552"/>
                <w:tab w:val="left" w:pos="3119"/>
                <w:tab w:val="left" w:pos="3402"/>
                <w:tab w:val="left" w:pos="3686"/>
                <w:tab w:val="left" w:pos="3969"/>
              </w:tabs>
              <w:spacing w:before="80" w:after="80"/>
              <w:jc w:val="center"/>
              <w:rPr>
                <w:b/>
                <w:sz w:val="22"/>
              </w:rPr>
            </w:pPr>
            <w:r w:rsidRPr="00A504AE">
              <w:rPr>
                <w:b/>
                <w:sz w:val="22"/>
              </w:rPr>
              <w:t>Totales en CHF</w:t>
            </w:r>
          </w:p>
        </w:tc>
      </w:tr>
      <w:tr w:rsidR="00A10774" w:rsidRPr="00A504AE" w14:paraId="6032C368" w14:textId="77777777" w:rsidTr="009237F0">
        <w:trPr>
          <w:jc w:val="center"/>
        </w:trPr>
        <w:tc>
          <w:tcPr>
            <w:tcW w:w="1560" w:type="dxa"/>
            <w:vMerge w:val="restart"/>
            <w:tcBorders>
              <w:top w:val="nil"/>
              <w:left w:val="single" w:sz="8" w:space="0" w:color="auto"/>
              <w:right w:val="single" w:sz="8" w:space="0" w:color="auto"/>
            </w:tcBorders>
          </w:tcPr>
          <w:p w14:paraId="2B12451D" w14:textId="1B9BAE14" w:rsidR="00A10774" w:rsidRPr="00A504AE" w:rsidRDefault="00A10774" w:rsidP="009B4CED">
            <w:pPr>
              <w:tabs>
                <w:tab w:val="left" w:pos="284"/>
                <w:tab w:val="left" w:pos="851"/>
                <w:tab w:val="left" w:pos="1418"/>
                <w:tab w:val="left" w:pos="1985"/>
                <w:tab w:val="left" w:pos="2552"/>
                <w:tab w:val="left" w:pos="3119"/>
                <w:tab w:val="left" w:pos="3402"/>
                <w:tab w:val="left" w:pos="3686"/>
                <w:tab w:val="left" w:pos="3969"/>
              </w:tabs>
              <w:spacing w:before="40" w:after="40"/>
              <w:rPr>
                <w:sz w:val="22"/>
              </w:rPr>
            </w:pPr>
            <w:r w:rsidRPr="00A504AE">
              <w:rPr>
                <w:sz w:val="22"/>
              </w:rPr>
              <w:t>Financiados con cargo al presupuesto de la BR de la</w:t>
            </w:r>
            <w:r w:rsidR="0021072D" w:rsidRPr="00A504AE">
              <w:rPr>
                <w:sz w:val="22"/>
              </w:rPr>
              <w:t> </w:t>
            </w:r>
            <w:r w:rsidRPr="00A504AE">
              <w:rPr>
                <w:sz w:val="22"/>
              </w:rPr>
              <w:t>UIT para</w:t>
            </w:r>
            <w:r w:rsidR="009B4CED" w:rsidRPr="00A504AE">
              <w:rPr>
                <w:sz w:val="22"/>
              </w:rPr>
              <w:t> </w:t>
            </w:r>
            <w:r w:rsidRPr="00A504AE">
              <w:rPr>
                <w:sz w:val="22"/>
              </w:rPr>
              <w:t>2020</w:t>
            </w:r>
          </w:p>
        </w:tc>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23F66"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r w:rsidRPr="00A504AE">
              <w:rPr>
                <w:sz w:val="22"/>
              </w:rPr>
              <w:t>Resolución 35 (CMR-19)</w:t>
            </w:r>
          </w:p>
        </w:tc>
        <w:tc>
          <w:tcPr>
            <w:tcW w:w="3037" w:type="dxa"/>
            <w:tcBorders>
              <w:top w:val="nil"/>
              <w:left w:val="nil"/>
              <w:bottom w:val="single" w:sz="8" w:space="0" w:color="auto"/>
              <w:right w:val="single" w:sz="8" w:space="0" w:color="auto"/>
            </w:tcBorders>
            <w:tcMar>
              <w:top w:w="0" w:type="dxa"/>
              <w:left w:w="108" w:type="dxa"/>
              <w:bottom w:w="0" w:type="dxa"/>
              <w:right w:w="108" w:type="dxa"/>
            </w:tcMar>
            <w:hideMark/>
          </w:tcPr>
          <w:p w14:paraId="46773267"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bookmarkStart w:id="15" w:name="lt_pId328"/>
            <w:r w:rsidRPr="00A504AE">
              <w:rPr>
                <w:sz w:val="22"/>
              </w:rPr>
              <w:t>Costes inherentes al desarrollo de software, con ayuda de recursos externos (nueva base de datos de seguimiento del despliegue no OSG y software de actualización del Registro Internacional de Frecuencias en consecuencia)</w:t>
            </w:r>
            <w:bookmarkEnd w:id="15"/>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14:paraId="65D5671E"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r w:rsidRPr="00A504AE">
              <w:rPr>
                <w:sz w:val="22"/>
              </w:rPr>
              <w:t>340 000</w:t>
            </w:r>
          </w:p>
        </w:tc>
        <w:tc>
          <w:tcPr>
            <w:tcW w:w="1132" w:type="dxa"/>
            <w:tcBorders>
              <w:top w:val="nil"/>
              <w:left w:val="nil"/>
              <w:bottom w:val="single" w:sz="8" w:space="0" w:color="auto"/>
              <w:right w:val="single" w:sz="8" w:space="0" w:color="auto"/>
            </w:tcBorders>
          </w:tcPr>
          <w:p w14:paraId="46E1D199"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p>
        </w:tc>
      </w:tr>
      <w:tr w:rsidR="00A10774" w:rsidRPr="00A504AE" w14:paraId="37B085AF" w14:textId="77777777" w:rsidTr="009237F0">
        <w:trPr>
          <w:jc w:val="center"/>
        </w:trPr>
        <w:tc>
          <w:tcPr>
            <w:tcW w:w="1560" w:type="dxa"/>
            <w:vMerge/>
            <w:tcBorders>
              <w:left w:val="single" w:sz="8" w:space="0" w:color="auto"/>
              <w:right w:val="single" w:sz="8" w:space="0" w:color="auto"/>
            </w:tcBorders>
          </w:tcPr>
          <w:p w14:paraId="167F4B0B"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tc>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EABCE"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r w:rsidRPr="00A504AE">
              <w:rPr>
                <w:sz w:val="22"/>
              </w:rPr>
              <w:t>Resolución 169 (CMR-19)</w:t>
            </w:r>
          </w:p>
        </w:tc>
        <w:tc>
          <w:tcPr>
            <w:tcW w:w="3037" w:type="dxa"/>
            <w:tcBorders>
              <w:top w:val="nil"/>
              <w:left w:val="nil"/>
              <w:bottom w:val="single" w:sz="8" w:space="0" w:color="auto"/>
              <w:right w:val="single" w:sz="8" w:space="0" w:color="auto"/>
            </w:tcBorders>
            <w:tcMar>
              <w:top w:w="0" w:type="dxa"/>
              <w:left w:w="108" w:type="dxa"/>
              <w:bottom w:w="0" w:type="dxa"/>
              <w:right w:w="108" w:type="dxa"/>
            </w:tcMar>
            <w:hideMark/>
          </w:tcPr>
          <w:p w14:paraId="2CC1CA44"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r w:rsidRPr="00A504AE">
              <w:rPr>
                <w:sz w:val="22"/>
              </w:rPr>
              <w:t>Costes inherentes al desarrollo de software</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14:paraId="217950AC"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r w:rsidRPr="00A504AE">
              <w:rPr>
                <w:sz w:val="22"/>
              </w:rPr>
              <w:t>85 000</w:t>
            </w:r>
          </w:p>
        </w:tc>
        <w:tc>
          <w:tcPr>
            <w:tcW w:w="1132" w:type="dxa"/>
            <w:tcBorders>
              <w:top w:val="nil"/>
              <w:left w:val="nil"/>
              <w:bottom w:val="single" w:sz="8" w:space="0" w:color="auto"/>
              <w:right w:val="single" w:sz="8" w:space="0" w:color="auto"/>
            </w:tcBorders>
          </w:tcPr>
          <w:p w14:paraId="46189247"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p>
        </w:tc>
      </w:tr>
      <w:tr w:rsidR="00A10774" w:rsidRPr="00A504AE" w14:paraId="1952630D" w14:textId="77777777" w:rsidTr="009237F0">
        <w:trPr>
          <w:jc w:val="center"/>
        </w:trPr>
        <w:tc>
          <w:tcPr>
            <w:tcW w:w="1560" w:type="dxa"/>
            <w:vMerge/>
            <w:tcBorders>
              <w:left w:val="single" w:sz="8" w:space="0" w:color="auto"/>
              <w:right w:val="single" w:sz="8" w:space="0" w:color="auto"/>
            </w:tcBorders>
          </w:tcPr>
          <w:p w14:paraId="0A0566E4"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tc>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48E3EA" w14:textId="5E2F3FAE"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r w:rsidRPr="00A504AE">
              <w:rPr>
                <w:sz w:val="22"/>
              </w:rPr>
              <w:t>Enmiendas a los números 9.36 y 9.53A y a los Apéndices 30, 30A y 30B del</w:t>
            </w:r>
            <w:r w:rsidR="00154ACB">
              <w:rPr>
                <w:sz w:val="22"/>
              </w:rPr>
              <w:t> </w:t>
            </w:r>
            <w:r w:rsidRPr="00A504AE">
              <w:rPr>
                <w:sz w:val="22"/>
              </w:rPr>
              <w:t>RR</w:t>
            </w:r>
          </w:p>
        </w:tc>
        <w:tc>
          <w:tcPr>
            <w:tcW w:w="3037" w:type="dxa"/>
            <w:tcBorders>
              <w:top w:val="nil"/>
              <w:left w:val="nil"/>
              <w:bottom w:val="single" w:sz="8" w:space="0" w:color="auto"/>
              <w:right w:val="single" w:sz="8" w:space="0" w:color="auto"/>
            </w:tcBorders>
            <w:tcMar>
              <w:top w:w="0" w:type="dxa"/>
              <w:left w:w="108" w:type="dxa"/>
              <w:bottom w:w="0" w:type="dxa"/>
              <w:right w:w="108" w:type="dxa"/>
            </w:tcMar>
          </w:tcPr>
          <w:p w14:paraId="635C4C7E"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r w:rsidRPr="00A504AE">
              <w:rPr>
                <w:sz w:val="22"/>
              </w:rPr>
              <w:t>Costes inherentes al desarrollo de software</w:t>
            </w:r>
          </w:p>
        </w:tc>
        <w:tc>
          <w:tcPr>
            <w:tcW w:w="1008" w:type="dxa"/>
            <w:tcBorders>
              <w:top w:val="nil"/>
              <w:left w:val="nil"/>
              <w:bottom w:val="single" w:sz="8" w:space="0" w:color="auto"/>
              <w:right w:val="single" w:sz="8" w:space="0" w:color="auto"/>
            </w:tcBorders>
            <w:tcMar>
              <w:top w:w="0" w:type="dxa"/>
              <w:left w:w="108" w:type="dxa"/>
              <w:bottom w:w="0" w:type="dxa"/>
              <w:right w:w="108" w:type="dxa"/>
            </w:tcMar>
          </w:tcPr>
          <w:p w14:paraId="66EF585C"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r w:rsidRPr="00A504AE">
              <w:rPr>
                <w:sz w:val="22"/>
              </w:rPr>
              <w:t>200 000</w:t>
            </w:r>
          </w:p>
        </w:tc>
        <w:tc>
          <w:tcPr>
            <w:tcW w:w="1132" w:type="dxa"/>
            <w:tcBorders>
              <w:top w:val="nil"/>
              <w:left w:val="nil"/>
              <w:bottom w:val="single" w:sz="8" w:space="0" w:color="auto"/>
              <w:right w:val="single" w:sz="8" w:space="0" w:color="auto"/>
            </w:tcBorders>
          </w:tcPr>
          <w:p w14:paraId="071DB26B"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p>
        </w:tc>
      </w:tr>
      <w:tr w:rsidR="00A10774" w:rsidRPr="00A504AE" w14:paraId="0D31BB4C" w14:textId="77777777" w:rsidTr="009237F0">
        <w:trPr>
          <w:jc w:val="center"/>
        </w:trPr>
        <w:tc>
          <w:tcPr>
            <w:tcW w:w="1560" w:type="dxa"/>
            <w:vMerge/>
            <w:tcBorders>
              <w:left w:val="single" w:sz="8" w:space="0" w:color="auto"/>
              <w:right w:val="single" w:sz="8" w:space="0" w:color="auto"/>
            </w:tcBorders>
          </w:tcPr>
          <w:p w14:paraId="08AEBBB3"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tc>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636A91" w14:textId="0D8CB4DC" w:rsidR="00A10774" w:rsidRPr="00A504AE" w:rsidRDefault="00A10774" w:rsidP="00CF6511">
            <w:pPr>
              <w:tabs>
                <w:tab w:val="clear" w:pos="567"/>
                <w:tab w:val="clear" w:pos="1134"/>
                <w:tab w:val="clear" w:pos="1701"/>
                <w:tab w:val="clear" w:pos="2268"/>
                <w:tab w:val="clear" w:pos="2835"/>
                <w:tab w:val="left" w:pos="794"/>
                <w:tab w:val="left" w:pos="1191"/>
                <w:tab w:val="left" w:pos="1588"/>
                <w:tab w:val="left" w:pos="1985"/>
              </w:tabs>
              <w:rPr>
                <w:sz w:val="22"/>
              </w:rPr>
            </w:pPr>
            <w:r w:rsidRPr="00A504AE">
              <w:rPr>
                <w:color w:val="000000" w:themeColor="text1"/>
                <w:sz w:val="22"/>
              </w:rPr>
              <w:t>Diversas disposiciones y Resoluciones del RR relacionadas con el punto 1.6 del orden del día de la CMR</w:t>
            </w:r>
            <w:r w:rsidR="00154ACB">
              <w:rPr>
                <w:color w:val="000000" w:themeColor="text1"/>
                <w:sz w:val="22"/>
              </w:rPr>
              <w:noBreakHyphen/>
            </w:r>
            <w:r w:rsidRPr="00A504AE">
              <w:rPr>
                <w:color w:val="000000" w:themeColor="text1"/>
                <w:sz w:val="22"/>
              </w:rPr>
              <w:t>19 (SFS no OSG</w:t>
            </w:r>
            <w:r w:rsidRPr="00A504AE">
              <w:t>)</w:t>
            </w:r>
          </w:p>
          <w:p w14:paraId="2AFBFA6B"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r w:rsidRPr="00A504AE">
              <w:rPr>
                <w:sz w:val="22"/>
              </w:rPr>
              <w:t>Números 5.550C, 5.550E, 22.5L y 22.5M del RR y Resoluciones 769 (CMR-19) y 770 (CMR-19</w:t>
            </w:r>
            <w:r w:rsidRPr="00A504AE">
              <w:rPr>
                <w:color w:val="000000" w:themeColor="text1"/>
                <w:sz w:val="22"/>
              </w:rPr>
              <w:t>)</w:t>
            </w:r>
          </w:p>
        </w:tc>
        <w:tc>
          <w:tcPr>
            <w:tcW w:w="3037" w:type="dxa"/>
            <w:tcBorders>
              <w:top w:val="nil"/>
              <w:left w:val="nil"/>
              <w:bottom w:val="single" w:sz="8" w:space="0" w:color="auto"/>
              <w:right w:val="single" w:sz="8" w:space="0" w:color="auto"/>
            </w:tcBorders>
            <w:tcMar>
              <w:top w:w="0" w:type="dxa"/>
              <w:left w:w="108" w:type="dxa"/>
              <w:bottom w:w="0" w:type="dxa"/>
              <w:right w:w="108" w:type="dxa"/>
            </w:tcMar>
          </w:tcPr>
          <w:p w14:paraId="1FC2A820"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color w:val="000000" w:themeColor="text1"/>
                <w:sz w:val="22"/>
              </w:rPr>
            </w:pPr>
            <w:r w:rsidRPr="00A504AE">
              <w:rPr>
                <w:sz w:val="22"/>
              </w:rPr>
              <w:t>Costes inherentes al desarrollo de software (aplicación de la nueva metodología, aprovechando toda reutilización posible de los desarrollos existentes</w:t>
            </w:r>
            <w:r w:rsidRPr="00A504AE">
              <w:rPr>
                <w:color w:val="000000" w:themeColor="text1"/>
                <w:sz w:val="22"/>
              </w:rPr>
              <w:t>)</w:t>
            </w:r>
          </w:p>
          <w:p w14:paraId="09B89185"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r w:rsidRPr="00A504AE">
              <w:rPr>
                <w:color w:val="000000" w:themeColor="text1"/>
                <w:sz w:val="22"/>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tcPr>
          <w:p w14:paraId="08B35025"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r w:rsidRPr="00A504AE">
              <w:rPr>
                <w:color w:val="000000" w:themeColor="text1"/>
                <w:sz w:val="22"/>
              </w:rPr>
              <w:t>150 000</w:t>
            </w:r>
          </w:p>
        </w:tc>
        <w:tc>
          <w:tcPr>
            <w:tcW w:w="1132" w:type="dxa"/>
            <w:tcBorders>
              <w:top w:val="nil"/>
              <w:left w:val="nil"/>
              <w:bottom w:val="single" w:sz="8" w:space="0" w:color="auto"/>
              <w:right w:val="single" w:sz="8" w:space="0" w:color="auto"/>
            </w:tcBorders>
          </w:tcPr>
          <w:p w14:paraId="62165117"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p>
        </w:tc>
      </w:tr>
      <w:tr w:rsidR="00A10774" w:rsidRPr="00A504AE" w14:paraId="491D8F35" w14:textId="77777777" w:rsidTr="009237F0">
        <w:trPr>
          <w:jc w:val="center"/>
        </w:trPr>
        <w:tc>
          <w:tcPr>
            <w:tcW w:w="1560" w:type="dxa"/>
            <w:vMerge/>
            <w:tcBorders>
              <w:left w:val="single" w:sz="8" w:space="0" w:color="auto"/>
              <w:bottom w:val="single" w:sz="8" w:space="0" w:color="auto"/>
              <w:right w:val="single" w:sz="8" w:space="0" w:color="auto"/>
            </w:tcBorders>
          </w:tcPr>
          <w:p w14:paraId="47EB0137"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tc>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A7413"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bookmarkStart w:id="16" w:name="lt_pId346"/>
            <w:r w:rsidRPr="00A504AE">
              <w:rPr>
                <w:sz w:val="22"/>
              </w:rPr>
              <w:t xml:space="preserve">Diversas Resoluciones relacionadas con el punto 1.14 del orden del día </w:t>
            </w:r>
            <w:r w:rsidRPr="00A504AE">
              <w:rPr>
                <w:sz w:val="22"/>
              </w:rPr>
              <w:br/>
              <w:t>de la CMR-19 (HAPS)</w:t>
            </w:r>
            <w:bookmarkEnd w:id="16"/>
          </w:p>
          <w:p w14:paraId="4963AF41"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p w14:paraId="10472CDA"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bookmarkStart w:id="17" w:name="lt_pId347"/>
            <w:r w:rsidRPr="00A504AE">
              <w:rPr>
                <w:sz w:val="22"/>
              </w:rPr>
              <w:t>Resolución 122 (Rev.CMR</w:t>
            </w:r>
            <w:r w:rsidRPr="00A504AE">
              <w:rPr>
                <w:sz w:val="22"/>
              </w:rPr>
              <w:noBreakHyphen/>
              <w:t>19) y Resoluciones 165, 166, 167 y 168 de la CMR-19</w:t>
            </w:r>
            <w:bookmarkEnd w:id="17"/>
          </w:p>
        </w:tc>
        <w:tc>
          <w:tcPr>
            <w:tcW w:w="3037" w:type="dxa"/>
            <w:tcBorders>
              <w:top w:val="nil"/>
              <w:left w:val="nil"/>
              <w:bottom w:val="single" w:sz="8" w:space="0" w:color="auto"/>
              <w:right w:val="single" w:sz="8" w:space="0" w:color="auto"/>
            </w:tcBorders>
            <w:tcMar>
              <w:top w:w="0" w:type="dxa"/>
              <w:left w:w="108" w:type="dxa"/>
              <w:bottom w:w="0" w:type="dxa"/>
              <w:right w:w="108" w:type="dxa"/>
            </w:tcMar>
            <w:hideMark/>
          </w:tcPr>
          <w:p w14:paraId="159071AD"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bookmarkStart w:id="18" w:name="lt_pId348"/>
            <w:r w:rsidRPr="00A504AE">
              <w:rPr>
                <w:sz w:val="22"/>
              </w:rPr>
              <w:t>Costes inherentes al desarrollo de software, incluido el desarrollo de módulos de cálculo para más de 30 condiciones técnicas, cambios en la base de datos del Registro Internacional de Frecuencias y la estructura de las notificaciones, de acuerdo con la versión modificada del Apéndice 4 del RR, y diseño de la interfaz de notificación correspondiente.</w:t>
            </w:r>
            <w:bookmarkEnd w:id="18"/>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14:paraId="6165C274"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r w:rsidRPr="00A504AE">
              <w:rPr>
                <w:sz w:val="22"/>
              </w:rPr>
              <w:t>150 000</w:t>
            </w:r>
          </w:p>
        </w:tc>
        <w:tc>
          <w:tcPr>
            <w:tcW w:w="1132" w:type="dxa"/>
            <w:tcBorders>
              <w:top w:val="nil"/>
              <w:left w:val="nil"/>
              <w:bottom w:val="single" w:sz="8" w:space="0" w:color="auto"/>
              <w:right w:val="single" w:sz="8" w:space="0" w:color="auto"/>
            </w:tcBorders>
          </w:tcPr>
          <w:p w14:paraId="17E1B65B"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p>
        </w:tc>
      </w:tr>
      <w:tr w:rsidR="00A10774" w:rsidRPr="00A504AE" w14:paraId="1E6AF09D" w14:textId="77777777" w:rsidTr="009237F0">
        <w:trPr>
          <w:jc w:val="center"/>
        </w:trPr>
        <w:tc>
          <w:tcPr>
            <w:tcW w:w="1560" w:type="dxa"/>
            <w:tcBorders>
              <w:top w:val="nil"/>
              <w:left w:val="single" w:sz="8" w:space="0" w:color="auto"/>
              <w:bottom w:val="single" w:sz="8" w:space="0" w:color="auto"/>
              <w:right w:val="single" w:sz="8" w:space="0" w:color="auto"/>
            </w:tcBorders>
          </w:tcPr>
          <w:p w14:paraId="0E0BCF68"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tc>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207283"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b/>
                <w:bCs/>
                <w:sz w:val="22"/>
              </w:rPr>
            </w:pPr>
            <w:r w:rsidRPr="00A504AE">
              <w:rPr>
                <w:b/>
                <w:bCs/>
                <w:sz w:val="22"/>
              </w:rPr>
              <w:t>Subtotal</w:t>
            </w:r>
          </w:p>
        </w:tc>
        <w:tc>
          <w:tcPr>
            <w:tcW w:w="3037" w:type="dxa"/>
            <w:tcBorders>
              <w:top w:val="nil"/>
              <w:left w:val="nil"/>
              <w:bottom w:val="single" w:sz="8" w:space="0" w:color="auto"/>
              <w:right w:val="single" w:sz="8" w:space="0" w:color="auto"/>
            </w:tcBorders>
            <w:tcMar>
              <w:top w:w="0" w:type="dxa"/>
              <w:left w:w="108" w:type="dxa"/>
              <w:bottom w:w="0" w:type="dxa"/>
              <w:right w:w="108" w:type="dxa"/>
            </w:tcMar>
          </w:tcPr>
          <w:p w14:paraId="55D61276"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tc>
        <w:tc>
          <w:tcPr>
            <w:tcW w:w="1008" w:type="dxa"/>
            <w:tcBorders>
              <w:top w:val="nil"/>
              <w:left w:val="nil"/>
              <w:bottom w:val="single" w:sz="8" w:space="0" w:color="auto"/>
              <w:right w:val="single" w:sz="8" w:space="0" w:color="auto"/>
            </w:tcBorders>
            <w:tcMar>
              <w:top w:w="0" w:type="dxa"/>
              <w:left w:w="108" w:type="dxa"/>
              <w:bottom w:w="0" w:type="dxa"/>
              <w:right w:w="108" w:type="dxa"/>
            </w:tcMar>
          </w:tcPr>
          <w:p w14:paraId="108F10E9"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p>
        </w:tc>
        <w:tc>
          <w:tcPr>
            <w:tcW w:w="1132" w:type="dxa"/>
            <w:tcBorders>
              <w:top w:val="nil"/>
              <w:left w:val="nil"/>
              <w:bottom w:val="single" w:sz="8" w:space="0" w:color="auto"/>
              <w:right w:val="single" w:sz="8" w:space="0" w:color="auto"/>
            </w:tcBorders>
          </w:tcPr>
          <w:p w14:paraId="5B887E87"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b/>
                <w:bCs/>
                <w:sz w:val="22"/>
              </w:rPr>
            </w:pPr>
            <w:r w:rsidRPr="00A504AE">
              <w:rPr>
                <w:b/>
                <w:bCs/>
                <w:sz w:val="22"/>
              </w:rPr>
              <w:t>925 000</w:t>
            </w:r>
          </w:p>
        </w:tc>
      </w:tr>
      <w:tr w:rsidR="00A10774" w:rsidRPr="00A504AE" w14:paraId="3305B51C" w14:textId="77777777" w:rsidTr="009237F0">
        <w:trPr>
          <w:jc w:val="center"/>
        </w:trPr>
        <w:tc>
          <w:tcPr>
            <w:tcW w:w="1560" w:type="dxa"/>
            <w:vMerge w:val="restart"/>
            <w:tcBorders>
              <w:top w:val="nil"/>
              <w:left w:val="single" w:sz="8" w:space="0" w:color="auto"/>
              <w:right w:val="single" w:sz="8" w:space="0" w:color="auto"/>
            </w:tcBorders>
          </w:tcPr>
          <w:p w14:paraId="079D7C46"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r w:rsidRPr="00A504AE">
              <w:rPr>
                <w:sz w:val="22"/>
              </w:rPr>
              <w:t>Financiación pendiente, en caso necesario</w:t>
            </w:r>
          </w:p>
        </w:tc>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B5369D"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r w:rsidRPr="00A504AE">
              <w:rPr>
                <w:sz w:val="22"/>
              </w:rPr>
              <w:t>Resolución 245 (CMR-19) – estudios</w:t>
            </w:r>
          </w:p>
        </w:tc>
        <w:tc>
          <w:tcPr>
            <w:tcW w:w="3037" w:type="dxa"/>
            <w:tcBorders>
              <w:top w:val="nil"/>
              <w:left w:val="nil"/>
              <w:bottom w:val="single" w:sz="8" w:space="0" w:color="auto"/>
              <w:right w:val="single" w:sz="8" w:space="0" w:color="auto"/>
            </w:tcBorders>
            <w:tcMar>
              <w:top w:w="0" w:type="dxa"/>
              <w:left w:w="108" w:type="dxa"/>
              <w:bottom w:w="0" w:type="dxa"/>
              <w:right w:w="108" w:type="dxa"/>
            </w:tcMar>
          </w:tcPr>
          <w:p w14:paraId="25FCECD2"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r w:rsidRPr="00A504AE">
              <w:rPr>
                <w:sz w:val="22"/>
              </w:rPr>
              <w:t>Apoyo a la organización y a las reuniones</w:t>
            </w:r>
          </w:p>
        </w:tc>
        <w:tc>
          <w:tcPr>
            <w:tcW w:w="1008" w:type="dxa"/>
            <w:tcBorders>
              <w:top w:val="nil"/>
              <w:left w:val="nil"/>
              <w:bottom w:val="single" w:sz="8" w:space="0" w:color="auto"/>
              <w:right w:val="single" w:sz="8" w:space="0" w:color="auto"/>
            </w:tcBorders>
            <w:tcMar>
              <w:top w:w="0" w:type="dxa"/>
              <w:left w:w="108" w:type="dxa"/>
              <w:bottom w:w="0" w:type="dxa"/>
              <w:right w:w="108" w:type="dxa"/>
            </w:tcMar>
          </w:tcPr>
          <w:p w14:paraId="7315E836"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r w:rsidRPr="00A504AE">
              <w:rPr>
                <w:sz w:val="22"/>
              </w:rPr>
              <w:t>456 000</w:t>
            </w:r>
          </w:p>
        </w:tc>
        <w:tc>
          <w:tcPr>
            <w:tcW w:w="1132" w:type="dxa"/>
            <w:tcBorders>
              <w:top w:val="nil"/>
              <w:left w:val="nil"/>
              <w:bottom w:val="single" w:sz="8" w:space="0" w:color="auto"/>
              <w:right w:val="single" w:sz="8" w:space="0" w:color="auto"/>
            </w:tcBorders>
          </w:tcPr>
          <w:p w14:paraId="2A7A5B1A"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b/>
                <w:bCs/>
                <w:sz w:val="22"/>
              </w:rPr>
            </w:pPr>
          </w:p>
        </w:tc>
      </w:tr>
      <w:tr w:rsidR="00A10774" w:rsidRPr="00A504AE" w14:paraId="2EFC99AE" w14:textId="77777777" w:rsidTr="009237F0">
        <w:trPr>
          <w:jc w:val="center"/>
        </w:trPr>
        <w:tc>
          <w:tcPr>
            <w:tcW w:w="1560" w:type="dxa"/>
            <w:vMerge/>
            <w:tcBorders>
              <w:left w:val="single" w:sz="8" w:space="0" w:color="auto"/>
              <w:right w:val="single" w:sz="8" w:space="0" w:color="auto"/>
            </w:tcBorders>
          </w:tcPr>
          <w:p w14:paraId="7D01C3A4"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tc>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B6DED" w14:textId="77777777" w:rsidR="00A10774" w:rsidRPr="00A504AE" w:rsidRDefault="00A10774" w:rsidP="0021072D">
            <w:pPr>
              <w:keepNext/>
              <w:keepLines/>
              <w:tabs>
                <w:tab w:val="left" w:pos="284"/>
                <w:tab w:val="left" w:pos="851"/>
                <w:tab w:val="left" w:pos="1418"/>
                <w:tab w:val="left" w:pos="1985"/>
                <w:tab w:val="left" w:pos="2552"/>
                <w:tab w:val="left" w:pos="3119"/>
                <w:tab w:val="left" w:pos="3402"/>
                <w:tab w:val="left" w:pos="3686"/>
                <w:tab w:val="left" w:pos="3969"/>
              </w:tabs>
              <w:spacing w:before="40" w:after="40"/>
              <w:rPr>
                <w:sz w:val="22"/>
              </w:rPr>
            </w:pPr>
            <w:r w:rsidRPr="00A504AE">
              <w:rPr>
                <w:sz w:val="22"/>
              </w:rPr>
              <w:t>Resolución 235 (CMR-15) – estudios relacionados con el punto 1.5 del orden del día de la CMR-23</w:t>
            </w:r>
          </w:p>
        </w:tc>
        <w:tc>
          <w:tcPr>
            <w:tcW w:w="3037" w:type="dxa"/>
            <w:tcBorders>
              <w:top w:val="nil"/>
              <w:left w:val="nil"/>
              <w:bottom w:val="single" w:sz="8" w:space="0" w:color="auto"/>
              <w:right w:val="single" w:sz="8" w:space="0" w:color="auto"/>
            </w:tcBorders>
            <w:tcMar>
              <w:top w:w="0" w:type="dxa"/>
              <w:left w:w="108" w:type="dxa"/>
              <w:bottom w:w="0" w:type="dxa"/>
              <w:right w:w="108" w:type="dxa"/>
            </w:tcMar>
          </w:tcPr>
          <w:p w14:paraId="7C7506F8"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rFonts w:asciiTheme="minorHAnsi" w:hAnsiTheme="minorHAnsi"/>
                <w:sz w:val="22"/>
              </w:rPr>
            </w:pPr>
            <w:r w:rsidRPr="00A504AE">
              <w:rPr>
                <w:sz w:val="22"/>
              </w:rPr>
              <w:t>Apoyo a la organización y a las reuniones</w:t>
            </w:r>
          </w:p>
        </w:tc>
        <w:tc>
          <w:tcPr>
            <w:tcW w:w="1008" w:type="dxa"/>
            <w:tcBorders>
              <w:top w:val="nil"/>
              <w:left w:val="nil"/>
              <w:bottom w:val="single" w:sz="8" w:space="0" w:color="auto"/>
              <w:right w:val="single" w:sz="8" w:space="0" w:color="auto"/>
            </w:tcBorders>
            <w:tcMar>
              <w:top w:w="0" w:type="dxa"/>
              <w:left w:w="108" w:type="dxa"/>
              <w:bottom w:w="0" w:type="dxa"/>
              <w:right w:w="108" w:type="dxa"/>
            </w:tcMar>
          </w:tcPr>
          <w:p w14:paraId="30994B2F"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r w:rsidRPr="00A504AE">
              <w:rPr>
                <w:sz w:val="22"/>
              </w:rPr>
              <w:t>340 000</w:t>
            </w:r>
          </w:p>
        </w:tc>
        <w:tc>
          <w:tcPr>
            <w:tcW w:w="1132" w:type="dxa"/>
            <w:tcBorders>
              <w:top w:val="nil"/>
              <w:left w:val="nil"/>
              <w:bottom w:val="single" w:sz="8" w:space="0" w:color="auto"/>
              <w:right w:val="single" w:sz="8" w:space="0" w:color="auto"/>
            </w:tcBorders>
          </w:tcPr>
          <w:p w14:paraId="03E623EB"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b/>
                <w:bCs/>
                <w:sz w:val="22"/>
              </w:rPr>
            </w:pPr>
          </w:p>
        </w:tc>
      </w:tr>
      <w:tr w:rsidR="00A10774" w:rsidRPr="00A504AE" w14:paraId="1FE6559A" w14:textId="77777777" w:rsidTr="009237F0">
        <w:trPr>
          <w:jc w:val="center"/>
        </w:trPr>
        <w:tc>
          <w:tcPr>
            <w:tcW w:w="1560" w:type="dxa"/>
            <w:vMerge/>
            <w:tcBorders>
              <w:left w:val="single" w:sz="8" w:space="0" w:color="auto"/>
              <w:bottom w:val="single" w:sz="8" w:space="0" w:color="auto"/>
              <w:right w:val="single" w:sz="8" w:space="0" w:color="auto"/>
            </w:tcBorders>
          </w:tcPr>
          <w:p w14:paraId="2BA0819A"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tc>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98BF2C"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b/>
                <w:bCs/>
                <w:sz w:val="22"/>
              </w:rPr>
            </w:pPr>
            <w:r w:rsidRPr="00A504AE">
              <w:rPr>
                <w:b/>
                <w:bCs/>
                <w:sz w:val="22"/>
              </w:rPr>
              <w:t>Subtotal</w:t>
            </w:r>
          </w:p>
        </w:tc>
        <w:tc>
          <w:tcPr>
            <w:tcW w:w="3037" w:type="dxa"/>
            <w:tcBorders>
              <w:top w:val="nil"/>
              <w:left w:val="nil"/>
              <w:bottom w:val="single" w:sz="8" w:space="0" w:color="auto"/>
              <w:right w:val="single" w:sz="8" w:space="0" w:color="auto"/>
            </w:tcBorders>
            <w:tcMar>
              <w:top w:w="0" w:type="dxa"/>
              <w:left w:w="108" w:type="dxa"/>
              <w:bottom w:w="0" w:type="dxa"/>
              <w:right w:w="108" w:type="dxa"/>
            </w:tcMar>
          </w:tcPr>
          <w:p w14:paraId="49EAC6BD"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tc>
        <w:tc>
          <w:tcPr>
            <w:tcW w:w="1008" w:type="dxa"/>
            <w:tcBorders>
              <w:top w:val="nil"/>
              <w:left w:val="nil"/>
              <w:bottom w:val="single" w:sz="8" w:space="0" w:color="auto"/>
              <w:right w:val="single" w:sz="8" w:space="0" w:color="auto"/>
            </w:tcBorders>
            <w:tcMar>
              <w:top w:w="0" w:type="dxa"/>
              <w:left w:w="108" w:type="dxa"/>
              <w:bottom w:w="0" w:type="dxa"/>
              <w:right w:w="108" w:type="dxa"/>
            </w:tcMar>
          </w:tcPr>
          <w:p w14:paraId="4ED70CA3"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p>
        </w:tc>
        <w:tc>
          <w:tcPr>
            <w:tcW w:w="1132" w:type="dxa"/>
            <w:tcBorders>
              <w:top w:val="nil"/>
              <w:left w:val="nil"/>
              <w:bottom w:val="single" w:sz="8" w:space="0" w:color="auto"/>
              <w:right w:val="single" w:sz="8" w:space="0" w:color="auto"/>
            </w:tcBorders>
          </w:tcPr>
          <w:p w14:paraId="2B0CAA19"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b/>
                <w:bCs/>
                <w:sz w:val="22"/>
              </w:rPr>
            </w:pPr>
            <w:r w:rsidRPr="00A504AE">
              <w:rPr>
                <w:b/>
                <w:bCs/>
                <w:sz w:val="22"/>
              </w:rPr>
              <w:t>796 000</w:t>
            </w:r>
          </w:p>
        </w:tc>
      </w:tr>
      <w:tr w:rsidR="00A10774" w:rsidRPr="00A504AE" w14:paraId="1D0C7555" w14:textId="77777777" w:rsidTr="009237F0">
        <w:trPr>
          <w:jc w:val="center"/>
        </w:trPr>
        <w:tc>
          <w:tcPr>
            <w:tcW w:w="1560" w:type="dxa"/>
            <w:tcBorders>
              <w:top w:val="nil"/>
              <w:left w:val="single" w:sz="8" w:space="0" w:color="auto"/>
              <w:bottom w:val="single" w:sz="8" w:space="0" w:color="auto"/>
              <w:right w:val="single" w:sz="8" w:space="0" w:color="auto"/>
            </w:tcBorders>
          </w:tcPr>
          <w:p w14:paraId="626ECA96"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tc>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ECDEF"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b/>
                <w:bCs/>
                <w:sz w:val="22"/>
              </w:rPr>
            </w:pPr>
            <w:bookmarkStart w:id="19" w:name="lt_pId350"/>
            <w:r w:rsidRPr="00A504AE">
              <w:rPr>
                <w:b/>
                <w:bCs/>
                <w:sz w:val="22"/>
              </w:rPr>
              <w:t>Total</w:t>
            </w:r>
            <w:bookmarkEnd w:id="19"/>
          </w:p>
        </w:tc>
        <w:tc>
          <w:tcPr>
            <w:tcW w:w="3037" w:type="dxa"/>
            <w:tcBorders>
              <w:top w:val="nil"/>
              <w:left w:val="nil"/>
              <w:bottom w:val="single" w:sz="8" w:space="0" w:color="auto"/>
              <w:right w:val="single" w:sz="8" w:space="0" w:color="auto"/>
            </w:tcBorders>
            <w:tcMar>
              <w:top w:w="0" w:type="dxa"/>
              <w:left w:w="108" w:type="dxa"/>
              <w:bottom w:w="0" w:type="dxa"/>
              <w:right w:w="108" w:type="dxa"/>
            </w:tcMar>
            <w:hideMark/>
          </w:tcPr>
          <w:p w14:paraId="030F23D1"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rPr>
                <w:sz w:val="22"/>
              </w:rPr>
            </w:pP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14:paraId="76DDC22B"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sz w:val="22"/>
              </w:rPr>
            </w:pPr>
          </w:p>
        </w:tc>
        <w:tc>
          <w:tcPr>
            <w:tcW w:w="1132" w:type="dxa"/>
            <w:tcBorders>
              <w:top w:val="nil"/>
              <w:left w:val="nil"/>
              <w:bottom w:val="single" w:sz="8" w:space="0" w:color="auto"/>
              <w:right w:val="single" w:sz="8" w:space="0" w:color="auto"/>
            </w:tcBorders>
          </w:tcPr>
          <w:p w14:paraId="346EE323" w14:textId="77777777" w:rsidR="00A10774" w:rsidRPr="00A504AE" w:rsidRDefault="00A10774" w:rsidP="00CF6511">
            <w:pPr>
              <w:tabs>
                <w:tab w:val="left" w:pos="284"/>
                <w:tab w:val="left" w:pos="851"/>
                <w:tab w:val="left" w:pos="1418"/>
                <w:tab w:val="left" w:pos="1985"/>
                <w:tab w:val="left" w:pos="2552"/>
                <w:tab w:val="left" w:pos="3119"/>
                <w:tab w:val="left" w:pos="3402"/>
                <w:tab w:val="left" w:pos="3686"/>
                <w:tab w:val="left" w:pos="3969"/>
              </w:tabs>
              <w:spacing w:before="40" w:after="40"/>
              <w:jc w:val="right"/>
              <w:rPr>
                <w:b/>
                <w:bCs/>
                <w:sz w:val="22"/>
              </w:rPr>
            </w:pPr>
            <w:r w:rsidRPr="00A504AE">
              <w:rPr>
                <w:b/>
                <w:bCs/>
                <w:sz w:val="22"/>
              </w:rPr>
              <w:t>1 721 000</w:t>
            </w:r>
          </w:p>
        </w:tc>
      </w:tr>
    </w:tbl>
    <w:p w14:paraId="6826F2F4" w14:textId="77777777" w:rsidR="009B4CED" w:rsidRPr="00A504AE" w:rsidRDefault="009B4CED" w:rsidP="00411C49">
      <w:pPr>
        <w:pStyle w:val="Reasons"/>
      </w:pPr>
    </w:p>
    <w:p w14:paraId="39435767" w14:textId="77777777" w:rsidR="009B4CED" w:rsidRPr="00A504AE" w:rsidRDefault="009B4CED">
      <w:pPr>
        <w:jc w:val="center"/>
      </w:pPr>
      <w:r w:rsidRPr="00A504AE">
        <w:t>______________</w:t>
      </w:r>
    </w:p>
    <w:sectPr w:rsidR="009B4CED" w:rsidRPr="00A504AE"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3A7F4" w14:textId="77777777" w:rsidR="00A10774" w:rsidRDefault="00A10774">
      <w:r>
        <w:separator/>
      </w:r>
    </w:p>
  </w:endnote>
  <w:endnote w:type="continuationSeparator" w:id="0">
    <w:p w14:paraId="70DFF849" w14:textId="77777777" w:rsidR="00A10774" w:rsidRDefault="00A1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88AC" w14:textId="3FC7A33F" w:rsidR="00760F1C" w:rsidRPr="007E4EA9" w:rsidRDefault="007E4EA9" w:rsidP="007E4EA9">
    <w:pPr>
      <w:pStyle w:val="Footer"/>
      <w:rPr>
        <w:szCs w:val="16"/>
        <w:lang w:val="fr-FR"/>
      </w:rPr>
    </w:pPr>
    <w:r w:rsidRPr="007E4EA9">
      <w:rPr>
        <w:szCs w:val="16"/>
      </w:rPr>
      <w:fldChar w:fldCharType="begin"/>
    </w:r>
    <w:r w:rsidRPr="007E4EA9">
      <w:rPr>
        <w:szCs w:val="16"/>
        <w:lang w:val="fr-FR"/>
      </w:rPr>
      <w:instrText xml:space="preserve"> FILENAME \p  \* MERGEFORMAT </w:instrText>
    </w:r>
    <w:r w:rsidRPr="007E4EA9">
      <w:rPr>
        <w:szCs w:val="16"/>
      </w:rPr>
      <w:fldChar w:fldCharType="separate"/>
    </w:r>
    <w:r w:rsidR="00D05D54">
      <w:rPr>
        <w:szCs w:val="16"/>
        <w:lang w:val="fr-FR"/>
      </w:rPr>
      <w:t>P:\ESP\SG\CONSEIL\C21\000\067S.docx</w:t>
    </w:r>
    <w:r w:rsidRPr="007E4EA9">
      <w:rPr>
        <w:szCs w:val="16"/>
      </w:rPr>
      <w:fldChar w:fldCharType="end"/>
    </w:r>
    <w:r w:rsidRPr="007E4EA9">
      <w:rPr>
        <w:szCs w:val="16"/>
        <w:lang w:val="fr-FR"/>
      </w:rPr>
      <w:t xml:space="preserve"> (484275)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60C6"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C8260" w14:textId="77777777" w:rsidR="00A10774" w:rsidRDefault="00A10774">
      <w:r>
        <w:t>____________________</w:t>
      </w:r>
    </w:p>
  </w:footnote>
  <w:footnote w:type="continuationSeparator" w:id="0">
    <w:p w14:paraId="16D018FF" w14:textId="77777777" w:rsidR="00A10774" w:rsidRDefault="00A1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C1B6"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143A6858" w14:textId="044424B1" w:rsidR="00760F1C" w:rsidRDefault="00760F1C" w:rsidP="00C2727F">
    <w:pPr>
      <w:pStyle w:val="Header"/>
    </w:pPr>
    <w:r>
      <w:t>C</w:t>
    </w:r>
    <w:r w:rsidR="007955DA">
      <w:t>2</w:t>
    </w:r>
    <w:r w:rsidR="000007D1">
      <w:t>1</w:t>
    </w:r>
    <w:r>
      <w:t>/</w:t>
    </w:r>
    <w:r w:rsidR="007E4EA9">
      <w:t>67</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74"/>
    <w:rsid w:val="000007D1"/>
    <w:rsid w:val="00093EEB"/>
    <w:rsid w:val="000B0D00"/>
    <w:rsid w:val="000B3BED"/>
    <w:rsid w:val="000B7C15"/>
    <w:rsid w:val="000D1D0F"/>
    <w:rsid w:val="000F5290"/>
    <w:rsid w:val="0010165C"/>
    <w:rsid w:val="00146BFB"/>
    <w:rsid w:val="0015325B"/>
    <w:rsid w:val="00154ACB"/>
    <w:rsid w:val="001F14A2"/>
    <w:rsid w:val="0021072D"/>
    <w:rsid w:val="002801AA"/>
    <w:rsid w:val="002C4676"/>
    <w:rsid w:val="002C70B0"/>
    <w:rsid w:val="002F3CC4"/>
    <w:rsid w:val="00513630"/>
    <w:rsid w:val="00560125"/>
    <w:rsid w:val="00585553"/>
    <w:rsid w:val="005B34D9"/>
    <w:rsid w:val="005D0CCF"/>
    <w:rsid w:val="005F3BCB"/>
    <w:rsid w:val="005F410F"/>
    <w:rsid w:val="0060149A"/>
    <w:rsid w:val="00601924"/>
    <w:rsid w:val="006207E8"/>
    <w:rsid w:val="006447EA"/>
    <w:rsid w:val="0064731F"/>
    <w:rsid w:val="00664572"/>
    <w:rsid w:val="006710F6"/>
    <w:rsid w:val="006C1B56"/>
    <w:rsid w:val="006D4761"/>
    <w:rsid w:val="00726872"/>
    <w:rsid w:val="00753A0C"/>
    <w:rsid w:val="00760F1C"/>
    <w:rsid w:val="007657F0"/>
    <w:rsid w:val="0077252D"/>
    <w:rsid w:val="007955DA"/>
    <w:rsid w:val="007E4EA9"/>
    <w:rsid w:val="007E5DD3"/>
    <w:rsid w:val="007F350B"/>
    <w:rsid w:val="00820BE4"/>
    <w:rsid w:val="008451E8"/>
    <w:rsid w:val="00913B9C"/>
    <w:rsid w:val="00956E77"/>
    <w:rsid w:val="009B4CED"/>
    <w:rsid w:val="009F4811"/>
    <w:rsid w:val="00A10774"/>
    <w:rsid w:val="00A33543"/>
    <w:rsid w:val="00A504AE"/>
    <w:rsid w:val="00AA390C"/>
    <w:rsid w:val="00B0200A"/>
    <w:rsid w:val="00B574DB"/>
    <w:rsid w:val="00B826C2"/>
    <w:rsid w:val="00B8298E"/>
    <w:rsid w:val="00BD0723"/>
    <w:rsid w:val="00BD2518"/>
    <w:rsid w:val="00BF1D1C"/>
    <w:rsid w:val="00C20C59"/>
    <w:rsid w:val="00C2727F"/>
    <w:rsid w:val="00C55B1F"/>
    <w:rsid w:val="00CF1A67"/>
    <w:rsid w:val="00D05D54"/>
    <w:rsid w:val="00D2750E"/>
    <w:rsid w:val="00D62446"/>
    <w:rsid w:val="00DA4EA2"/>
    <w:rsid w:val="00DC3D3E"/>
    <w:rsid w:val="00DE2C90"/>
    <w:rsid w:val="00DE3B24"/>
    <w:rsid w:val="00E006FB"/>
    <w:rsid w:val="00E06947"/>
    <w:rsid w:val="00E21EE0"/>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81E94B"/>
  <w15:docId w15:val="{5F76AFEE-819E-4FC1-A2D9-1B9A3179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6-WRC19-C-0337/e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tu.int/md/R16-WRC19-C-0337/es"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20-CL-C-0056/e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tu.int/md/S20-CL-C-0056/en" TargetMode="External"/><Relationship Id="rId4" Type="http://schemas.openxmlformats.org/officeDocument/2006/relationships/footnotes" Target="footnotes.xml"/><Relationship Id="rId9" Type="http://schemas.openxmlformats.org/officeDocument/2006/relationships/hyperlink" Target="https://www.itu.int/md/S20-CWGFHR11-C-0005/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PS_C21.dotx</Template>
  <TotalTime>1</TotalTime>
  <Pages>5</Pages>
  <Words>1281</Words>
  <Characters>7068</Characters>
  <Application>Microsoft Office Word</Application>
  <DocSecurity>4</DocSecurity>
  <Lines>58</Lines>
  <Paragraphs>16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8333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de la CMR-19 con implicaciones financieras</dc:title>
  <dc:subject>Council 2021, Virtual consultation of councillors</dc:subject>
  <dc:creator>Spanish1</dc:creator>
  <cp:keywords>C2021, C21, VCC, C21-VCC-1</cp:keywords>
  <dc:description/>
  <cp:lastModifiedBy>Brouard, Ricarda</cp:lastModifiedBy>
  <cp:revision>2</cp:revision>
  <cp:lastPrinted>2006-03-24T09:51:00Z</cp:lastPrinted>
  <dcterms:created xsi:type="dcterms:W3CDTF">2021-04-09T14:55:00Z</dcterms:created>
  <dcterms:modified xsi:type="dcterms:W3CDTF">2021-04-09T14:55:00Z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