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405A4" w14:paraId="635137A9" w14:textId="77777777">
        <w:trPr>
          <w:cantSplit/>
        </w:trPr>
        <w:tc>
          <w:tcPr>
            <w:tcW w:w="6912" w:type="dxa"/>
          </w:tcPr>
          <w:p w14:paraId="7B47B191" w14:textId="77777777" w:rsidR="00520F36" w:rsidRPr="006405A4" w:rsidRDefault="00520F36" w:rsidP="00A74D6C">
            <w:pPr>
              <w:spacing w:before="360"/>
              <w:rPr>
                <w:lang w:val="fr-CH"/>
              </w:rPr>
            </w:pPr>
            <w:bookmarkStart w:id="0" w:name="dc06"/>
            <w:bookmarkEnd w:id="0"/>
            <w:r w:rsidRPr="006405A4">
              <w:rPr>
                <w:b/>
                <w:bCs/>
                <w:sz w:val="30"/>
                <w:szCs w:val="30"/>
                <w:lang w:val="fr-CH"/>
              </w:rPr>
              <w:t>Conseil 20</w:t>
            </w:r>
            <w:r w:rsidR="009C353C" w:rsidRPr="006405A4">
              <w:rPr>
                <w:b/>
                <w:bCs/>
                <w:sz w:val="30"/>
                <w:szCs w:val="30"/>
                <w:lang w:val="fr-CH"/>
              </w:rPr>
              <w:t>2</w:t>
            </w:r>
            <w:r w:rsidR="004D1D50" w:rsidRPr="006405A4">
              <w:rPr>
                <w:b/>
                <w:bCs/>
                <w:sz w:val="30"/>
                <w:szCs w:val="30"/>
                <w:lang w:val="fr-CH"/>
              </w:rPr>
              <w:t>1</w:t>
            </w:r>
            <w:r w:rsidRPr="006405A4">
              <w:rPr>
                <w:rFonts w:ascii="Verdana" w:hAnsi="Verdana"/>
                <w:b/>
                <w:bCs/>
                <w:sz w:val="26"/>
                <w:szCs w:val="26"/>
                <w:lang w:val="fr-CH"/>
              </w:rPr>
              <w:br/>
            </w:r>
            <w:r w:rsidR="004D1D50" w:rsidRPr="006405A4">
              <w:rPr>
                <w:b/>
                <w:bCs/>
                <w:sz w:val="28"/>
                <w:szCs w:val="28"/>
                <w:lang w:val="fr-CH"/>
              </w:rPr>
              <w:t>Consultation virtuelle des Conseillers</w:t>
            </w:r>
            <w:r w:rsidRPr="006405A4">
              <w:rPr>
                <w:b/>
                <w:bCs/>
                <w:sz w:val="28"/>
                <w:szCs w:val="28"/>
                <w:lang w:val="fr-CH"/>
              </w:rPr>
              <w:t xml:space="preserve">, </w:t>
            </w:r>
            <w:r w:rsidR="004D1D50" w:rsidRPr="006405A4">
              <w:rPr>
                <w:b/>
                <w:bCs/>
                <w:sz w:val="28"/>
                <w:szCs w:val="28"/>
                <w:lang w:val="fr-CH"/>
              </w:rPr>
              <w:t>8</w:t>
            </w:r>
            <w:r w:rsidRPr="006405A4">
              <w:rPr>
                <w:b/>
                <w:bCs/>
                <w:sz w:val="28"/>
                <w:szCs w:val="28"/>
                <w:lang w:val="fr-CH"/>
              </w:rPr>
              <w:t>-</w:t>
            </w:r>
            <w:r w:rsidR="009C353C" w:rsidRPr="006405A4">
              <w:rPr>
                <w:b/>
                <w:bCs/>
                <w:sz w:val="28"/>
                <w:szCs w:val="28"/>
                <w:lang w:val="fr-CH"/>
              </w:rPr>
              <w:t>1</w:t>
            </w:r>
            <w:r w:rsidR="004D1D50" w:rsidRPr="006405A4">
              <w:rPr>
                <w:b/>
                <w:bCs/>
                <w:sz w:val="28"/>
                <w:szCs w:val="28"/>
                <w:lang w:val="fr-CH"/>
              </w:rPr>
              <w:t>8</w:t>
            </w:r>
            <w:r w:rsidR="00106B19" w:rsidRPr="006405A4">
              <w:rPr>
                <w:b/>
                <w:bCs/>
                <w:sz w:val="28"/>
                <w:szCs w:val="28"/>
                <w:lang w:val="fr-CH"/>
              </w:rPr>
              <w:t xml:space="preserve"> juin</w:t>
            </w:r>
            <w:r w:rsidRPr="006405A4">
              <w:rPr>
                <w:b/>
                <w:bCs/>
                <w:sz w:val="28"/>
                <w:szCs w:val="28"/>
                <w:lang w:val="fr-CH"/>
              </w:rPr>
              <w:t xml:space="preserve"> 20</w:t>
            </w:r>
            <w:r w:rsidR="009C353C" w:rsidRPr="006405A4">
              <w:rPr>
                <w:b/>
                <w:bCs/>
                <w:sz w:val="28"/>
                <w:szCs w:val="28"/>
                <w:lang w:val="fr-CH"/>
              </w:rPr>
              <w:t>2</w:t>
            </w:r>
            <w:r w:rsidR="004D1D50" w:rsidRPr="006405A4">
              <w:rPr>
                <w:b/>
                <w:bCs/>
                <w:sz w:val="28"/>
                <w:szCs w:val="28"/>
                <w:lang w:val="fr-CH"/>
              </w:rPr>
              <w:t>1</w:t>
            </w:r>
          </w:p>
        </w:tc>
        <w:tc>
          <w:tcPr>
            <w:tcW w:w="3261" w:type="dxa"/>
          </w:tcPr>
          <w:p w14:paraId="0873F380" w14:textId="77777777" w:rsidR="00520F36" w:rsidRPr="006405A4" w:rsidRDefault="009C353C" w:rsidP="00A74D6C">
            <w:pPr>
              <w:spacing w:before="0"/>
              <w:rPr>
                <w:lang w:val="fr-CH"/>
              </w:rPr>
            </w:pPr>
            <w:bookmarkStart w:id="1" w:name="ditulogo"/>
            <w:bookmarkEnd w:id="1"/>
            <w:r w:rsidRPr="006405A4">
              <w:rPr>
                <w:noProof/>
                <w:lang w:val="en-US"/>
              </w:rPr>
              <w:drawing>
                <wp:inline distT="0" distB="0" distL="0" distR="0" wp14:anchorId="2E4358B7" wp14:editId="68AF26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405A4" w14:paraId="3341C03A" w14:textId="77777777" w:rsidTr="00EF41DD">
        <w:trPr>
          <w:cantSplit/>
          <w:trHeight w:val="20"/>
        </w:trPr>
        <w:tc>
          <w:tcPr>
            <w:tcW w:w="6912" w:type="dxa"/>
            <w:tcBorders>
              <w:bottom w:val="single" w:sz="12" w:space="0" w:color="auto"/>
            </w:tcBorders>
            <w:vAlign w:val="center"/>
          </w:tcPr>
          <w:p w14:paraId="3DD13725" w14:textId="77777777" w:rsidR="00520F36" w:rsidRPr="006405A4" w:rsidRDefault="00520F36" w:rsidP="00A74D6C">
            <w:pPr>
              <w:spacing w:before="0"/>
              <w:rPr>
                <w:b/>
                <w:bCs/>
                <w:sz w:val="26"/>
                <w:szCs w:val="26"/>
                <w:lang w:val="fr-CH"/>
              </w:rPr>
            </w:pPr>
          </w:p>
        </w:tc>
        <w:tc>
          <w:tcPr>
            <w:tcW w:w="3261" w:type="dxa"/>
            <w:tcBorders>
              <w:bottom w:val="single" w:sz="12" w:space="0" w:color="auto"/>
            </w:tcBorders>
          </w:tcPr>
          <w:p w14:paraId="1E3D5DBC" w14:textId="77777777" w:rsidR="00520F36" w:rsidRPr="006405A4" w:rsidRDefault="00520F36" w:rsidP="00A74D6C">
            <w:pPr>
              <w:spacing w:before="0"/>
              <w:rPr>
                <w:b/>
                <w:bCs/>
                <w:lang w:val="fr-CH"/>
              </w:rPr>
            </w:pPr>
          </w:p>
        </w:tc>
      </w:tr>
      <w:tr w:rsidR="00520F36" w:rsidRPr="006405A4" w14:paraId="0DD04716" w14:textId="77777777">
        <w:trPr>
          <w:cantSplit/>
          <w:trHeight w:val="20"/>
        </w:trPr>
        <w:tc>
          <w:tcPr>
            <w:tcW w:w="6912" w:type="dxa"/>
            <w:tcBorders>
              <w:top w:val="single" w:sz="12" w:space="0" w:color="auto"/>
            </w:tcBorders>
          </w:tcPr>
          <w:p w14:paraId="7C783D1F" w14:textId="77777777" w:rsidR="00520F36" w:rsidRPr="006405A4" w:rsidRDefault="00520F36" w:rsidP="00A74D6C">
            <w:pPr>
              <w:spacing w:before="0"/>
              <w:rPr>
                <w:smallCaps/>
                <w:sz w:val="22"/>
                <w:lang w:val="fr-CH"/>
              </w:rPr>
            </w:pPr>
          </w:p>
        </w:tc>
        <w:tc>
          <w:tcPr>
            <w:tcW w:w="3261" w:type="dxa"/>
            <w:tcBorders>
              <w:top w:val="single" w:sz="12" w:space="0" w:color="auto"/>
            </w:tcBorders>
          </w:tcPr>
          <w:p w14:paraId="2BCDB61D" w14:textId="77777777" w:rsidR="00520F36" w:rsidRPr="006405A4" w:rsidRDefault="00520F36" w:rsidP="00A74D6C">
            <w:pPr>
              <w:spacing w:before="0"/>
              <w:rPr>
                <w:b/>
                <w:bCs/>
                <w:lang w:val="fr-CH"/>
              </w:rPr>
            </w:pPr>
          </w:p>
        </w:tc>
      </w:tr>
      <w:tr w:rsidR="00520F36" w:rsidRPr="006405A4" w14:paraId="0032F456" w14:textId="77777777">
        <w:trPr>
          <w:cantSplit/>
          <w:trHeight w:val="20"/>
        </w:trPr>
        <w:tc>
          <w:tcPr>
            <w:tcW w:w="6912" w:type="dxa"/>
            <w:vMerge w:val="restart"/>
          </w:tcPr>
          <w:p w14:paraId="0A43D496" w14:textId="77777777" w:rsidR="00520F36" w:rsidRPr="006405A4" w:rsidRDefault="00520F36" w:rsidP="00A74D6C">
            <w:pPr>
              <w:spacing w:before="0"/>
              <w:rPr>
                <w:rFonts w:cs="Times"/>
                <w:b/>
                <w:bCs/>
                <w:szCs w:val="24"/>
                <w:lang w:val="fr-CH"/>
              </w:rPr>
            </w:pPr>
            <w:bookmarkStart w:id="2" w:name="dnum" w:colFirst="1" w:colLast="1"/>
            <w:bookmarkStart w:id="3" w:name="dmeeting" w:colFirst="0" w:colLast="0"/>
          </w:p>
        </w:tc>
        <w:tc>
          <w:tcPr>
            <w:tcW w:w="3261" w:type="dxa"/>
          </w:tcPr>
          <w:p w14:paraId="673F3DCE" w14:textId="4D9A856E" w:rsidR="00520F36" w:rsidRPr="006405A4" w:rsidRDefault="00520F36" w:rsidP="00A74D6C">
            <w:pPr>
              <w:spacing w:before="0"/>
              <w:rPr>
                <w:b/>
                <w:bCs/>
                <w:lang w:val="fr-CH"/>
              </w:rPr>
            </w:pPr>
            <w:r w:rsidRPr="006405A4">
              <w:rPr>
                <w:b/>
                <w:bCs/>
                <w:lang w:val="fr-CH"/>
              </w:rPr>
              <w:t>Document C</w:t>
            </w:r>
            <w:r w:rsidR="009C353C" w:rsidRPr="006405A4">
              <w:rPr>
                <w:b/>
                <w:bCs/>
                <w:lang w:val="fr-CH"/>
              </w:rPr>
              <w:t>2</w:t>
            </w:r>
            <w:r w:rsidR="004D1D50" w:rsidRPr="006405A4">
              <w:rPr>
                <w:b/>
                <w:bCs/>
                <w:lang w:val="fr-CH"/>
              </w:rPr>
              <w:t>1</w:t>
            </w:r>
            <w:r w:rsidRPr="006405A4">
              <w:rPr>
                <w:b/>
                <w:bCs/>
                <w:lang w:val="fr-CH"/>
              </w:rPr>
              <w:t>/</w:t>
            </w:r>
            <w:r w:rsidR="00C512E1" w:rsidRPr="006405A4">
              <w:rPr>
                <w:b/>
                <w:bCs/>
                <w:lang w:val="fr-CH"/>
              </w:rPr>
              <w:t>87</w:t>
            </w:r>
            <w:r w:rsidRPr="006405A4">
              <w:rPr>
                <w:b/>
                <w:bCs/>
                <w:lang w:val="fr-CH"/>
              </w:rPr>
              <w:t>-F</w:t>
            </w:r>
          </w:p>
        </w:tc>
      </w:tr>
      <w:tr w:rsidR="00520F36" w:rsidRPr="006405A4" w14:paraId="6A4BDCDA" w14:textId="77777777">
        <w:trPr>
          <w:cantSplit/>
          <w:trHeight w:val="20"/>
        </w:trPr>
        <w:tc>
          <w:tcPr>
            <w:tcW w:w="6912" w:type="dxa"/>
            <w:vMerge/>
          </w:tcPr>
          <w:p w14:paraId="3DD43B51" w14:textId="77777777" w:rsidR="00520F36" w:rsidRPr="006405A4" w:rsidRDefault="00520F36" w:rsidP="00A74D6C">
            <w:pPr>
              <w:shd w:val="solid" w:color="FFFFFF" w:fill="FFFFFF"/>
              <w:spacing w:before="180"/>
              <w:rPr>
                <w:smallCaps/>
                <w:lang w:val="fr-CH"/>
              </w:rPr>
            </w:pPr>
            <w:bookmarkStart w:id="4" w:name="ddate" w:colFirst="1" w:colLast="1"/>
            <w:bookmarkEnd w:id="2"/>
            <w:bookmarkEnd w:id="3"/>
          </w:p>
        </w:tc>
        <w:tc>
          <w:tcPr>
            <w:tcW w:w="3261" w:type="dxa"/>
          </w:tcPr>
          <w:p w14:paraId="11F4757C" w14:textId="3FCD2D9C" w:rsidR="00520F36" w:rsidRPr="006405A4" w:rsidRDefault="00C512E1" w:rsidP="00A74D6C">
            <w:pPr>
              <w:spacing w:before="0"/>
              <w:rPr>
                <w:b/>
                <w:bCs/>
                <w:lang w:val="fr-CH"/>
              </w:rPr>
            </w:pPr>
            <w:r w:rsidRPr="006405A4">
              <w:rPr>
                <w:b/>
                <w:bCs/>
                <w:lang w:val="fr-CH"/>
              </w:rPr>
              <w:t>16 juin</w:t>
            </w:r>
            <w:r w:rsidR="00520F36" w:rsidRPr="006405A4">
              <w:rPr>
                <w:b/>
                <w:bCs/>
                <w:lang w:val="fr-CH"/>
              </w:rPr>
              <w:t xml:space="preserve"> 20</w:t>
            </w:r>
            <w:r w:rsidR="009C353C" w:rsidRPr="006405A4">
              <w:rPr>
                <w:b/>
                <w:bCs/>
                <w:lang w:val="fr-CH"/>
              </w:rPr>
              <w:t>2</w:t>
            </w:r>
            <w:r w:rsidR="0097363B" w:rsidRPr="006405A4">
              <w:rPr>
                <w:b/>
                <w:bCs/>
                <w:lang w:val="fr-CH"/>
              </w:rPr>
              <w:t>1</w:t>
            </w:r>
          </w:p>
        </w:tc>
      </w:tr>
      <w:tr w:rsidR="00520F36" w:rsidRPr="006405A4" w14:paraId="5373AF9B" w14:textId="77777777">
        <w:trPr>
          <w:cantSplit/>
          <w:trHeight w:val="20"/>
        </w:trPr>
        <w:tc>
          <w:tcPr>
            <w:tcW w:w="6912" w:type="dxa"/>
            <w:vMerge/>
          </w:tcPr>
          <w:p w14:paraId="7B6489FB" w14:textId="77777777" w:rsidR="00520F36" w:rsidRPr="006405A4" w:rsidRDefault="00520F36" w:rsidP="00A74D6C">
            <w:pPr>
              <w:shd w:val="solid" w:color="FFFFFF" w:fill="FFFFFF"/>
              <w:spacing w:before="180"/>
              <w:rPr>
                <w:smallCaps/>
                <w:lang w:val="fr-CH"/>
              </w:rPr>
            </w:pPr>
            <w:bookmarkStart w:id="5" w:name="dorlang" w:colFirst="1" w:colLast="1"/>
            <w:bookmarkEnd w:id="4"/>
          </w:p>
        </w:tc>
        <w:tc>
          <w:tcPr>
            <w:tcW w:w="3261" w:type="dxa"/>
          </w:tcPr>
          <w:p w14:paraId="5B0E6CE0" w14:textId="77777777" w:rsidR="00520F36" w:rsidRPr="006405A4" w:rsidRDefault="00520F36" w:rsidP="00A74D6C">
            <w:pPr>
              <w:spacing w:before="0"/>
              <w:rPr>
                <w:b/>
                <w:bCs/>
                <w:lang w:val="fr-CH"/>
              </w:rPr>
            </w:pPr>
            <w:r w:rsidRPr="006405A4">
              <w:rPr>
                <w:b/>
                <w:bCs/>
                <w:lang w:val="fr-CH"/>
              </w:rPr>
              <w:t>Original: anglais</w:t>
            </w:r>
          </w:p>
        </w:tc>
      </w:tr>
      <w:tr w:rsidR="00520F36" w:rsidRPr="006405A4" w14:paraId="5AC52CED" w14:textId="77777777">
        <w:trPr>
          <w:cantSplit/>
        </w:trPr>
        <w:tc>
          <w:tcPr>
            <w:tcW w:w="10173" w:type="dxa"/>
            <w:gridSpan w:val="2"/>
          </w:tcPr>
          <w:p w14:paraId="21C1977A" w14:textId="25ABAA12" w:rsidR="00C512E1" w:rsidRPr="006405A4" w:rsidRDefault="00C512E1" w:rsidP="00D15298">
            <w:pPr>
              <w:spacing w:before="840"/>
              <w:jc w:val="center"/>
              <w:rPr>
                <w:sz w:val="28"/>
                <w:szCs w:val="28"/>
                <w:lang w:val="fr-CH"/>
              </w:rPr>
            </w:pPr>
            <w:bookmarkStart w:id="6" w:name="lt_pId009"/>
            <w:bookmarkStart w:id="7" w:name="dtitle1" w:colFirst="0" w:colLast="0"/>
            <w:bookmarkEnd w:id="5"/>
            <w:r w:rsidRPr="006405A4">
              <w:rPr>
                <w:sz w:val="28"/>
                <w:szCs w:val="28"/>
                <w:lang w:val="fr-CH"/>
              </w:rPr>
              <w:t>COMPTE RENDU</w:t>
            </w:r>
            <w:bookmarkEnd w:id="6"/>
          </w:p>
          <w:p w14:paraId="1ADCE170" w14:textId="45A83F78" w:rsidR="00C512E1" w:rsidRPr="006405A4" w:rsidRDefault="00C512E1" w:rsidP="00A74D6C">
            <w:pPr>
              <w:spacing w:before="160"/>
              <w:jc w:val="center"/>
              <w:rPr>
                <w:sz w:val="28"/>
                <w:szCs w:val="28"/>
                <w:lang w:val="fr-CH"/>
              </w:rPr>
            </w:pPr>
            <w:bookmarkStart w:id="8" w:name="lt_pId010"/>
            <w:r w:rsidRPr="006405A4">
              <w:rPr>
                <w:sz w:val="28"/>
                <w:szCs w:val="28"/>
                <w:lang w:val="fr-CH"/>
              </w:rPr>
              <w:t>DE LA</w:t>
            </w:r>
            <w:bookmarkEnd w:id="8"/>
          </w:p>
          <w:p w14:paraId="26C14F6B" w14:textId="77777777" w:rsidR="00C512E1" w:rsidRPr="006405A4" w:rsidRDefault="00C512E1" w:rsidP="00A74D6C">
            <w:pPr>
              <w:spacing w:before="160"/>
              <w:jc w:val="center"/>
              <w:rPr>
                <w:sz w:val="28"/>
                <w:szCs w:val="28"/>
                <w:lang w:val="fr-CH"/>
              </w:rPr>
            </w:pPr>
            <w:bookmarkStart w:id="9" w:name="lt_pId011"/>
            <w:r w:rsidRPr="006405A4">
              <w:rPr>
                <w:sz w:val="28"/>
                <w:szCs w:val="28"/>
                <w:lang w:val="fr-CH"/>
              </w:rPr>
              <w:t>TROISIÈME SÉANCE</w:t>
            </w:r>
            <w:bookmarkEnd w:id="9"/>
          </w:p>
          <w:p w14:paraId="61108B85" w14:textId="77777777" w:rsidR="00C512E1" w:rsidRPr="006405A4" w:rsidRDefault="00C512E1" w:rsidP="00A74D6C">
            <w:pPr>
              <w:jc w:val="center"/>
              <w:rPr>
                <w:szCs w:val="24"/>
                <w:lang w:val="fr-CH"/>
              </w:rPr>
            </w:pPr>
            <w:bookmarkStart w:id="10" w:name="lt_pId012"/>
            <w:r w:rsidRPr="006405A4">
              <w:rPr>
                <w:szCs w:val="24"/>
                <w:lang w:val="fr-CH"/>
              </w:rPr>
              <w:t>Jeudi 10 juin 2021, de 12 h 00 à 15 h 05</w:t>
            </w:r>
            <w:bookmarkEnd w:id="10"/>
          </w:p>
          <w:p w14:paraId="52C54A60" w14:textId="77777777" w:rsidR="00C512E1" w:rsidRPr="006405A4" w:rsidRDefault="00C512E1" w:rsidP="00A74D6C">
            <w:pPr>
              <w:jc w:val="center"/>
              <w:rPr>
                <w:szCs w:val="24"/>
                <w:lang w:val="fr-CH"/>
              </w:rPr>
            </w:pPr>
            <w:bookmarkStart w:id="11" w:name="lt_pId013"/>
            <w:r w:rsidRPr="006405A4">
              <w:rPr>
                <w:b/>
                <w:bCs/>
                <w:szCs w:val="24"/>
                <w:lang w:val="fr-CH"/>
              </w:rPr>
              <w:t>Président</w:t>
            </w:r>
            <w:r w:rsidRPr="006405A4">
              <w:rPr>
                <w:szCs w:val="24"/>
                <w:lang w:val="fr-CH"/>
              </w:rPr>
              <w:t>: M. S. BIN GHELAITA (Émirats arabes unis)</w:t>
            </w:r>
            <w:bookmarkEnd w:id="11"/>
          </w:p>
          <w:p w14:paraId="29CA8E63" w14:textId="77777777" w:rsidR="00520F36" w:rsidRPr="006405A4" w:rsidRDefault="00520F36" w:rsidP="00A74D6C">
            <w:pPr>
              <w:pStyle w:val="Title1"/>
              <w:rPr>
                <w:lang w:val="fr-CH"/>
              </w:rPr>
            </w:pPr>
          </w:p>
        </w:tc>
      </w:tr>
      <w:bookmarkEnd w:id="7"/>
    </w:tbl>
    <w:tbl>
      <w:tblPr>
        <w:tblW w:w="5221" w:type="pct"/>
        <w:tblLook w:val="0000" w:firstRow="0" w:lastRow="0" w:firstColumn="0" w:lastColumn="0" w:noHBand="0" w:noVBand="0"/>
      </w:tblPr>
      <w:tblGrid>
        <w:gridCol w:w="505"/>
        <w:gridCol w:w="7575"/>
        <w:gridCol w:w="1985"/>
      </w:tblGrid>
      <w:tr w:rsidR="00C512E1" w:rsidRPr="006405A4" w14:paraId="1E6B9B3D" w14:textId="77777777" w:rsidTr="005B7F35">
        <w:tc>
          <w:tcPr>
            <w:tcW w:w="251" w:type="pct"/>
          </w:tcPr>
          <w:p w14:paraId="13E082D0" w14:textId="77777777" w:rsidR="00C512E1" w:rsidRPr="006405A4" w:rsidRDefault="00C512E1" w:rsidP="00A74D6C">
            <w:pPr>
              <w:tabs>
                <w:tab w:val="clear" w:pos="567"/>
                <w:tab w:val="clear" w:pos="1134"/>
                <w:tab w:val="clear" w:pos="1701"/>
                <w:tab w:val="clear" w:pos="2268"/>
                <w:tab w:val="clear" w:pos="2835"/>
                <w:tab w:val="right" w:pos="9781"/>
              </w:tabs>
              <w:spacing w:after="120"/>
              <w:rPr>
                <w:b/>
                <w:sz w:val="22"/>
                <w:szCs w:val="22"/>
                <w:lang w:val="fr-CH"/>
              </w:rPr>
            </w:pPr>
            <w:r w:rsidRPr="006405A4">
              <w:rPr>
                <w:sz w:val="22"/>
                <w:szCs w:val="22"/>
                <w:lang w:val="fr-CH"/>
              </w:rPr>
              <w:br w:type="page"/>
            </w:r>
            <w:r w:rsidRPr="006405A4">
              <w:rPr>
                <w:sz w:val="22"/>
                <w:szCs w:val="22"/>
                <w:lang w:val="fr-CH"/>
              </w:rPr>
              <w:br w:type="page"/>
            </w:r>
          </w:p>
        </w:tc>
        <w:tc>
          <w:tcPr>
            <w:tcW w:w="3763" w:type="pct"/>
          </w:tcPr>
          <w:p w14:paraId="27071285" w14:textId="77777777" w:rsidR="00C512E1" w:rsidRPr="006405A4" w:rsidRDefault="00C512E1" w:rsidP="00A74D6C">
            <w:pPr>
              <w:pStyle w:val="Tablehead"/>
              <w:jc w:val="left"/>
              <w:rPr>
                <w:sz w:val="24"/>
                <w:szCs w:val="24"/>
                <w:lang w:val="fr-CH"/>
              </w:rPr>
            </w:pPr>
            <w:bookmarkStart w:id="12" w:name="lt_pId014"/>
            <w:r w:rsidRPr="006405A4">
              <w:rPr>
                <w:sz w:val="24"/>
                <w:szCs w:val="24"/>
                <w:lang w:val="fr-CH"/>
              </w:rPr>
              <w:t>Sujets traités</w:t>
            </w:r>
            <w:bookmarkEnd w:id="12"/>
          </w:p>
        </w:tc>
        <w:tc>
          <w:tcPr>
            <w:tcW w:w="986" w:type="pct"/>
          </w:tcPr>
          <w:p w14:paraId="555E518E" w14:textId="77777777" w:rsidR="00C512E1" w:rsidRPr="006405A4" w:rsidRDefault="00C512E1" w:rsidP="00A74D6C">
            <w:pPr>
              <w:pStyle w:val="Tablehead"/>
              <w:rPr>
                <w:sz w:val="24"/>
                <w:szCs w:val="24"/>
                <w:lang w:val="fr-CH"/>
              </w:rPr>
            </w:pPr>
            <w:bookmarkStart w:id="13" w:name="lt_pId015"/>
            <w:r w:rsidRPr="006405A4">
              <w:rPr>
                <w:sz w:val="24"/>
                <w:szCs w:val="24"/>
                <w:lang w:val="fr-CH"/>
              </w:rPr>
              <w:t>Documents</w:t>
            </w:r>
            <w:bookmarkEnd w:id="13"/>
          </w:p>
        </w:tc>
      </w:tr>
      <w:tr w:rsidR="00C512E1" w:rsidRPr="006405A4" w14:paraId="66014CC8" w14:textId="77777777" w:rsidTr="005B7F35">
        <w:tc>
          <w:tcPr>
            <w:tcW w:w="251" w:type="pct"/>
          </w:tcPr>
          <w:p w14:paraId="212F4728" w14:textId="77777777" w:rsidR="00C512E1" w:rsidRPr="006405A4" w:rsidRDefault="00C512E1" w:rsidP="00A74D6C">
            <w:pPr>
              <w:pStyle w:val="Tabletext"/>
              <w:rPr>
                <w:sz w:val="24"/>
                <w:szCs w:val="24"/>
                <w:lang w:val="fr-CH"/>
              </w:rPr>
            </w:pPr>
            <w:r w:rsidRPr="006405A4">
              <w:rPr>
                <w:sz w:val="24"/>
                <w:szCs w:val="24"/>
                <w:lang w:val="fr-CH"/>
              </w:rPr>
              <w:t>1</w:t>
            </w:r>
          </w:p>
        </w:tc>
        <w:tc>
          <w:tcPr>
            <w:tcW w:w="3763" w:type="pct"/>
          </w:tcPr>
          <w:p w14:paraId="2DC994C3" w14:textId="77777777" w:rsidR="00C512E1" w:rsidRPr="006405A4" w:rsidRDefault="00C512E1" w:rsidP="00A74D6C">
            <w:pPr>
              <w:pStyle w:val="Tabletext"/>
              <w:rPr>
                <w:sz w:val="24"/>
                <w:szCs w:val="24"/>
                <w:lang w:val="fr-CH"/>
              </w:rPr>
            </w:pPr>
            <w:bookmarkStart w:id="14" w:name="lt_pId017"/>
            <w:r w:rsidRPr="006405A4">
              <w:rPr>
                <w:sz w:val="24"/>
                <w:szCs w:val="24"/>
                <w:lang w:val="fr-CH"/>
              </w:rPr>
              <w:t>Résultats des discussions menées le 9 juin 2021</w:t>
            </w:r>
            <w:bookmarkEnd w:id="14"/>
          </w:p>
        </w:tc>
        <w:tc>
          <w:tcPr>
            <w:tcW w:w="986" w:type="pct"/>
          </w:tcPr>
          <w:p w14:paraId="295CBE67" w14:textId="77777777" w:rsidR="00C512E1" w:rsidRPr="006405A4" w:rsidRDefault="00D15298" w:rsidP="00A74D6C">
            <w:pPr>
              <w:pStyle w:val="Tabletext"/>
              <w:jc w:val="center"/>
              <w:rPr>
                <w:sz w:val="24"/>
                <w:szCs w:val="24"/>
                <w:lang w:val="fr-CH"/>
              </w:rPr>
            </w:pPr>
            <w:hyperlink r:id="rId8" w:history="1">
              <w:bookmarkStart w:id="15" w:name="lt_pId018"/>
              <w:r w:rsidR="00C512E1" w:rsidRPr="006405A4">
                <w:rPr>
                  <w:color w:val="0000FF"/>
                  <w:sz w:val="24"/>
                  <w:szCs w:val="24"/>
                  <w:u w:val="single"/>
                  <w:lang w:val="fr-CH"/>
                </w:rPr>
                <w:t>C21/DT/1(Rév.1)</w:t>
              </w:r>
              <w:bookmarkEnd w:id="15"/>
            </w:hyperlink>
          </w:p>
        </w:tc>
      </w:tr>
      <w:tr w:rsidR="00C512E1" w:rsidRPr="006405A4" w14:paraId="4CCDCE67" w14:textId="77777777" w:rsidTr="005B7F35">
        <w:tc>
          <w:tcPr>
            <w:tcW w:w="251" w:type="pct"/>
          </w:tcPr>
          <w:p w14:paraId="5AEB8CEA" w14:textId="77777777" w:rsidR="00C512E1" w:rsidRPr="006405A4" w:rsidRDefault="00C512E1" w:rsidP="00A74D6C">
            <w:pPr>
              <w:pStyle w:val="Tabletext"/>
              <w:rPr>
                <w:sz w:val="24"/>
                <w:szCs w:val="24"/>
                <w:lang w:val="fr-CH"/>
              </w:rPr>
            </w:pPr>
            <w:r w:rsidRPr="006405A4">
              <w:rPr>
                <w:sz w:val="24"/>
                <w:szCs w:val="24"/>
                <w:lang w:val="fr-CH"/>
              </w:rPr>
              <w:t>2</w:t>
            </w:r>
          </w:p>
        </w:tc>
        <w:tc>
          <w:tcPr>
            <w:tcW w:w="3763" w:type="pct"/>
          </w:tcPr>
          <w:p w14:paraId="1989DB4E" w14:textId="3FA351DB" w:rsidR="00C512E1" w:rsidRPr="006405A4" w:rsidRDefault="00C512E1" w:rsidP="00A74D6C">
            <w:pPr>
              <w:pStyle w:val="Tabletext"/>
              <w:rPr>
                <w:sz w:val="24"/>
                <w:szCs w:val="24"/>
                <w:lang w:val="fr-CH"/>
              </w:rPr>
            </w:pPr>
            <w:bookmarkStart w:id="16" w:name="lt_pId020"/>
            <w:r w:rsidRPr="006405A4">
              <w:rPr>
                <w:sz w:val="24"/>
                <w:szCs w:val="24"/>
                <w:lang w:val="fr-CH"/>
              </w:rPr>
              <w:t>Projet de budget de l</w:t>
            </w:r>
            <w:r w:rsidR="00CF2E72" w:rsidRPr="006405A4">
              <w:rPr>
                <w:sz w:val="24"/>
                <w:szCs w:val="24"/>
                <w:lang w:val="fr-CH"/>
              </w:rPr>
              <w:t>'</w:t>
            </w:r>
            <w:r w:rsidRPr="006405A4">
              <w:rPr>
                <w:sz w:val="24"/>
                <w:szCs w:val="24"/>
                <w:lang w:val="fr-CH"/>
              </w:rPr>
              <w:t>Union pour 2022-2023 (suite)</w:t>
            </w:r>
            <w:bookmarkEnd w:id="16"/>
            <w:r w:rsidRPr="006405A4">
              <w:rPr>
                <w:sz w:val="24"/>
                <w:szCs w:val="24"/>
                <w:lang w:val="fr-CH"/>
              </w:rPr>
              <w:tab/>
            </w:r>
          </w:p>
        </w:tc>
        <w:tc>
          <w:tcPr>
            <w:tcW w:w="986" w:type="pct"/>
          </w:tcPr>
          <w:p w14:paraId="58AF0132" w14:textId="77777777" w:rsidR="00C512E1" w:rsidRPr="006405A4" w:rsidRDefault="00D15298" w:rsidP="00A74D6C">
            <w:pPr>
              <w:pStyle w:val="Tabletext"/>
              <w:jc w:val="center"/>
              <w:rPr>
                <w:sz w:val="24"/>
                <w:szCs w:val="24"/>
                <w:lang w:val="fr-CH"/>
              </w:rPr>
            </w:pPr>
            <w:hyperlink r:id="rId9" w:history="1">
              <w:bookmarkStart w:id="17" w:name="lt_pId021"/>
              <w:r w:rsidR="00C512E1" w:rsidRPr="006405A4">
                <w:rPr>
                  <w:color w:val="0000FF"/>
                  <w:sz w:val="24"/>
                  <w:szCs w:val="24"/>
                  <w:u w:val="single"/>
                  <w:lang w:val="fr-CH"/>
                </w:rPr>
                <w:t>C21/65+Add.1</w:t>
              </w:r>
              <w:bookmarkEnd w:id="17"/>
            </w:hyperlink>
          </w:p>
        </w:tc>
      </w:tr>
      <w:tr w:rsidR="00C512E1" w:rsidRPr="006405A4" w14:paraId="17B5AD9B" w14:textId="77777777" w:rsidTr="005B7F35">
        <w:tc>
          <w:tcPr>
            <w:tcW w:w="251" w:type="pct"/>
          </w:tcPr>
          <w:p w14:paraId="0E742D32" w14:textId="77777777" w:rsidR="00C512E1" w:rsidRPr="006405A4" w:rsidRDefault="00C512E1" w:rsidP="00A74D6C">
            <w:pPr>
              <w:pStyle w:val="Tabletext"/>
              <w:rPr>
                <w:sz w:val="24"/>
                <w:szCs w:val="24"/>
                <w:lang w:val="fr-CH"/>
              </w:rPr>
            </w:pPr>
            <w:r w:rsidRPr="006405A4">
              <w:rPr>
                <w:sz w:val="24"/>
                <w:szCs w:val="24"/>
                <w:lang w:val="fr-CH"/>
              </w:rPr>
              <w:t>3</w:t>
            </w:r>
          </w:p>
        </w:tc>
        <w:tc>
          <w:tcPr>
            <w:tcW w:w="3763" w:type="pct"/>
          </w:tcPr>
          <w:p w14:paraId="19F6A099" w14:textId="423B0824" w:rsidR="00C512E1" w:rsidRPr="006405A4" w:rsidRDefault="00C512E1" w:rsidP="00A74D6C">
            <w:pPr>
              <w:pStyle w:val="Tabletext"/>
              <w:rPr>
                <w:b/>
                <w:sz w:val="24"/>
                <w:szCs w:val="24"/>
                <w:lang w:val="fr-CH"/>
              </w:rPr>
            </w:pPr>
            <w:bookmarkStart w:id="18" w:name="lt_pId023"/>
            <w:r w:rsidRPr="006405A4">
              <w:rPr>
                <w:sz w:val="24"/>
                <w:szCs w:val="24"/>
                <w:lang w:val="fr-CH"/>
              </w:rPr>
              <w:t>Montant préliminaire de l</w:t>
            </w:r>
            <w:r w:rsidR="00CF2E72" w:rsidRPr="006405A4">
              <w:rPr>
                <w:sz w:val="24"/>
                <w:szCs w:val="24"/>
                <w:lang w:val="fr-CH"/>
              </w:rPr>
              <w:t>'</w:t>
            </w:r>
            <w:r w:rsidRPr="006405A4">
              <w:rPr>
                <w:sz w:val="24"/>
                <w:szCs w:val="24"/>
                <w:lang w:val="fr-CH"/>
              </w:rPr>
              <w:t>unité contributive pour le plan financier 2024</w:t>
            </w:r>
            <w:r w:rsidR="00662FD2" w:rsidRPr="006405A4">
              <w:rPr>
                <w:sz w:val="24"/>
                <w:szCs w:val="24"/>
                <w:lang w:val="fr-CH"/>
              </w:rPr>
              <w:noBreakHyphen/>
            </w:r>
            <w:r w:rsidRPr="006405A4">
              <w:rPr>
                <w:sz w:val="24"/>
                <w:szCs w:val="24"/>
                <w:lang w:val="fr-CH"/>
              </w:rPr>
              <w:t>2027</w:t>
            </w:r>
            <w:bookmarkEnd w:id="18"/>
          </w:p>
        </w:tc>
        <w:tc>
          <w:tcPr>
            <w:tcW w:w="986" w:type="pct"/>
          </w:tcPr>
          <w:p w14:paraId="257BC15C" w14:textId="77777777" w:rsidR="00C512E1" w:rsidRPr="006405A4" w:rsidRDefault="00D15298" w:rsidP="00A74D6C">
            <w:pPr>
              <w:pStyle w:val="Tabletext"/>
              <w:jc w:val="center"/>
              <w:rPr>
                <w:sz w:val="24"/>
                <w:szCs w:val="24"/>
                <w:lang w:val="fr-CH"/>
              </w:rPr>
            </w:pPr>
            <w:hyperlink r:id="rId10" w:history="1">
              <w:bookmarkStart w:id="19" w:name="lt_pId024"/>
              <w:r w:rsidR="00C512E1" w:rsidRPr="006405A4">
                <w:rPr>
                  <w:color w:val="0000FF"/>
                  <w:sz w:val="24"/>
                  <w:szCs w:val="24"/>
                  <w:u w:val="single"/>
                  <w:lang w:val="fr-CH"/>
                </w:rPr>
                <w:t>C21/56</w:t>
              </w:r>
              <w:bookmarkEnd w:id="19"/>
            </w:hyperlink>
          </w:p>
        </w:tc>
      </w:tr>
      <w:tr w:rsidR="00C512E1" w:rsidRPr="006405A4" w14:paraId="1B7FBF85" w14:textId="77777777" w:rsidTr="005B7F35">
        <w:tc>
          <w:tcPr>
            <w:tcW w:w="251" w:type="pct"/>
          </w:tcPr>
          <w:p w14:paraId="2FD1DC37" w14:textId="77777777" w:rsidR="00C512E1" w:rsidRPr="006405A4" w:rsidRDefault="00C512E1" w:rsidP="00A74D6C">
            <w:pPr>
              <w:pStyle w:val="Tabletext"/>
              <w:rPr>
                <w:sz w:val="24"/>
                <w:szCs w:val="24"/>
                <w:lang w:val="fr-CH"/>
              </w:rPr>
            </w:pPr>
            <w:r w:rsidRPr="006405A4">
              <w:rPr>
                <w:sz w:val="24"/>
                <w:szCs w:val="24"/>
                <w:lang w:val="fr-CH"/>
              </w:rPr>
              <w:t>4</w:t>
            </w:r>
          </w:p>
        </w:tc>
        <w:tc>
          <w:tcPr>
            <w:tcW w:w="3763" w:type="pct"/>
          </w:tcPr>
          <w:p w14:paraId="20F9F9B5" w14:textId="77777777" w:rsidR="00C512E1" w:rsidRPr="006405A4" w:rsidRDefault="00C512E1" w:rsidP="00A74D6C">
            <w:pPr>
              <w:pStyle w:val="Tabletext"/>
              <w:rPr>
                <w:b/>
                <w:spacing w:val="-2"/>
                <w:sz w:val="24"/>
                <w:szCs w:val="24"/>
                <w:lang w:val="fr-CH"/>
              </w:rPr>
            </w:pPr>
            <w:bookmarkStart w:id="20" w:name="lt_pId026"/>
            <w:r w:rsidRPr="006405A4">
              <w:rPr>
                <w:spacing w:val="-2"/>
                <w:sz w:val="24"/>
                <w:szCs w:val="24"/>
                <w:lang w:val="fr-CH"/>
              </w:rPr>
              <w:t>Activités demandées mais non budgétées (UMAC) et initiative en faveur de la transformation numérique (DT-I)</w:t>
            </w:r>
            <w:bookmarkEnd w:id="20"/>
          </w:p>
        </w:tc>
        <w:bookmarkStart w:id="21" w:name="lt_pId027"/>
        <w:tc>
          <w:tcPr>
            <w:tcW w:w="986" w:type="pct"/>
          </w:tcPr>
          <w:p w14:paraId="30ED526C" w14:textId="77777777" w:rsidR="00C512E1" w:rsidRPr="006405A4" w:rsidRDefault="00C512E1" w:rsidP="00A74D6C">
            <w:pPr>
              <w:pStyle w:val="Tabletext"/>
              <w:jc w:val="center"/>
              <w:rPr>
                <w:sz w:val="24"/>
                <w:szCs w:val="24"/>
                <w:lang w:val="fr-CH"/>
              </w:rPr>
            </w:pPr>
            <w:r w:rsidRPr="006405A4">
              <w:rPr>
                <w:rFonts w:eastAsia="SimSun"/>
                <w:sz w:val="24"/>
                <w:szCs w:val="24"/>
                <w:lang w:val="fr-CH"/>
              </w:rPr>
              <w:fldChar w:fldCharType="begin"/>
            </w:r>
            <w:r w:rsidRPr="006405A4">
              <w:rPr>
                <w:sz w:val="24"/>
                <w:szCs w:val="24"/>
                <w:lang w:val="fr-CH"/>
              </w:rPr>
              <w:instrText xml:space="preserve"> HYPERLINK "http://www.itu.int/md/S21-CL-C-0049/en" </w:instrText>
            </w:r>
            <w:r w:rsidRPr="006405A4">
              <w:rPr>
                <w:rFonts w:eastAsia="SimSun"/>
                <w:sz w:val="24"/>
                <w:szCs w:val="24"/>
                <w:lang w:val="fr-CH"/>
              </w:rPr>
              <w:fldChar w:fldCharType="separate"/>
            </w:r>
            <w:r w:rsidRPr="006405A4">
              <w:rPr>
                <w:color w:val="0000FF"/>
                <w:sz w:val="24"/>
                <w:szCs w:val="24"/>
                <w:u w:val="single"/>
                <w:lang w:val="fr-CH"/>
              </w:rPr>
              <w:t>C21/49</w:t>
            </w:r>
            <w:r w:rsidRPr="006405A4">
              <w:rPr>
                <w:color w:val="0000FF"/>
                <w:sz w:val="24"/>
                <w:szCs w:val="24"/>
                <w:u w:val="single"/>
                <w:lang w:val="fr-CH"/>
              </w:rPr>
              <w:fldChar w:fldCharType="end"/>
            </w:r>
            <w:r w:rsidRPr="006405A4">
              <w:rPr>
                <w:sz w:val="24"/>
                <w:szCs w:val="24"/>
                <w:lang w:val="fr-CH"/>
              </w:rPr>
              <w:t xml:space="preserve">, </w:t>
            </w:r>
            <w:hyperlink r:id="rId11" w:history="1">
              <w:r w:rsidRPr="006405A4">
                <w:rPr>
                  <w:color w:val="0000FF"/>
                  <w:sz w:val="24"/>
                  <w:szCs w:val="24"/>
                  <w:u w:val="single"/>
                  <w:lang w:val="fr-CH"/>
                </w:rPr>
                <w:t>C21/70</w:t>
              </w:r>
            </w:hyperlink>
            <w:r w:rsidRPr="006405A4">
              <w:rPr>
                <w:sz w:val="24"/>
                <w:szCs w:val="24"/>
                <w:lang w:val="fr-CH"/>
              </w:rPr>
              <w:t xml:space="preserve">, </w:t>
            </w:r>
            <w:hyperlink r:id="rId12" w:history="1">
              <w:r w:rsidRPr="006405A4">
                <w:rPr>
                  <w:color w:val="0000FF"/>
                  <w:sz w:val="24"/>
                  <w:szCs w:val="24"/>
                  <w:u w:val="single"/>
                  <w:lang w:val="fr-CH"/>
                </w:rPr>
                <w:t>INF/9</w:t>
              </w:r>
            </w:hyperlink>
            <w:r w:rsidRPr="006405A4">
              <w:rPr>
                <w:sz w:val="24"/>
                <w:szCs w:val="24"/>
                <w:lang w:val="fr-CH"/>
              </w:rPr>
              <w:t xml:space="preserve">, </w:t>
            </w:r>
            <w:hyperlink r:id="rId13" w:history="1">
              <w:r w:rsidRPr="006405A4">
                <w:rPr>
                  <w:color w:val="0000FF"/>
                  <w:sz w:val="24"/>
                  <w:szCs w:val="24"/>
                  <w:u w:val="single"/>
                  <w:lang w:val="fr-CH"/>
                </w:rPr>
                <w:t>INF/12</w:t>
              </w:r>
            </w:hyperlink>
            <w:bookmarkEnd w:id="21"/>
          </w:p>
        </w:tc>
      </w:tr>
      <w:tr w:rsidR="00C512E1" w:rsidRPr="006405A4" w14:paraId="7380B2E6" w14:textId="77777777" w:rsidTr="005B7F35">
        <w:tc>
          <w:tcPr>
            <w:tcW w:w="251" w:type="pct"/>
          </w:tcPr>
          <w:p w14:paraId="0EE31355" w14:textId="77777777" w:rsidR="00C512E1" w:rsidRPr="006405A4" w:rsidRDefault="00C512E1" w:rsidP="00A74D6C">
            <w:pPr>
              <w:pStyle w:val="Tabletext"/>
              <w:rPr>
                <w:rFonts w:eastAsia="MS Mincho" w:cs="Calibri"/>
                <w:sz w:val="24"/>
                <w:szCs w:val="24"/>
                <w:lang w:val="fr-CH"/>
              </w:rPr>
            </w:pPr>
            <w:r w:rsidRPr="006405A4">
              <w:rPr>
                <w:rFonts w:eastAsia="MS Mincho" w:cs="Calibri"/>
                <w:sz w:val="24"/>
                <w:szCs w:val="24"/>
                <w:lang w:val="fr-CH"/>
              </w:rPr>
              <w:t>5</w:t>
            </w:r>
          </w:p>
        </w:tc>
        <w:tc>
          <w:tcPr>
            <w:tcW w:w="3763" w:type="pct"/>
          </w:tcPr>
          <w:p w14:paraId="38695854" w14:textId="77777777" w:rsidR="00C512E1" w:rsidRPr="006405A4" w:rsidRDefault="00C512E1" w:rsidP="00A74D6C">
            <w:pPr>
              <w:pStyle w:val="Tabletext"/>
              <w:rPr>
                <w:sz w:val="24"/>
                <w:szCs w:val="24"/>
                <w:lang w:val="fr-CH"/>
              </w:rPr>
            </w:pPr>
            <w:bookmarkStart w:id="22" w:name="lt_pId029"/>
            <w:r w:rsidRPr="006405A4">
              <w:rPr>
                <w:sz w:val="24"/>
                <w:szCs w:val="24"/>
                <w:lang w:val="fr-CH"/>
              </w:rPr>
              <w:t>Rapport de la Présidente du Groupe de travail du Conseil sur les ressources financières et les ressources humaines (GTC-FHR)</w:t>
            </w:r>
            <w:bookmarkEnd w:id="22"/>
          </w:p>
        </w:tc>
        <w:tc>
          <w:tcPr>
            <w:tcW w:w="986" w:type="pct"/>
          </w:tcPr>
          <w:p w14:paraId="3C6E6E0D" w14:textId="77777777" w:rsidR="00C512E1" w:rsidRPr="006405A4" w:rsidRDefault="00D15298" w:rsidP="00A74D6C">
            <w:pPr>
              <w:pStyle w:val="Tabletext"/>
              <w:jc w:val="center"/>
              <w:rPr>
                <w:sz w:val="24"/>
                <w:szCs w:val="24"/>
                <w:lang w:val="fr-CH"/>
              </w:rPr>
            </w:pPr>
            <w:hyperlink r:id="rId14" w:history="1">
              <w:bookmarkStart w:id="23" w:name="lt_pId030"/>
              <w:r w:rsidR="00C512E1" w:rsidRPr="006405A4">
                <w:rPr>
                  <w:color w:val="0000FF"/>
                  <w:sz w:val="24"/>
                  <w:szCs w:val="24"/>
                  <w:u w:val="single"/>
                  <w:lang w:val="fr-CH"/>
                </w:rPr>
                <w:t>C21/50+Add.1</w:t>
              </w:r>
              <w:bookmarkEnd w:id="23"/>
            </w:hyperlink>
          </w:p>
        </w:tc>
      </w:tr>
      <w:tr w:rsidR="00C512E1" w:rsidRPr="006405A4" w14:paraId="59B1AC08" w14:textId="77777777" w:rsidTr="005B7F35">
        <w:tc>
          <w:tcPr>
            <w:tcW w:w="251" w:type="pct"/>
          </w:tcPr>
          <w:p w14:paraId="2B5C1B04" w14:textId="77777777" w:rsidR="00C512E1" w:rsidRPr="006405A4" w:rsidRDefault="00C512E1" w:rsidP="00A74D6C">
            <w:pPr>
              <w:pStyle w:val="Tabletext"/>
              <w:rPr>
                <w:rFonts w:eastAsia="MS Mincho" w:cs="Calibri"/>
                <w:sz w:val="24"/>
                <w:szCs w:val="24"/>
                <w:lang w:val="fr-CH"/>
              </w:rPr>
            </w:pPr>
            <w:r w:rsidRPr="006405A4">
              <w:rPr>
                <w:rFonts w:eastAsia="MS Mincho" w:cs="Calibri"/>
                <w:sz w:val="24"/>
                <w:szCs w:val="24"/>
                <w:lang w:val="fr-CH"/>
              </w:rPr>
              <w:t>6</w:t>
            </w:r>
          </w:p>
        </w:tc>
        <w:tc>
          <w:tcPr>
            <w:tcW w:w="3763" w:type="pct"/>
          </w:tcPr>
          <w:p w14:paraId="07852CDE" w14:textId="7D851FE0" w:rsidR="00C512E1" w:rsidRPr="006405A4" w:rsidRDefault="00C512E1" w:rsidP="00A74D6C">
            <w:pPr>
              <w:pStyle w:val="Tabletext"/>
              <w:rPr>
                <w:sz w:val="24"/>
                <w:szCs w:val="24"/>
                <w:lang w:val="fr-CH"/>
              </w:rPr>
            </w:pPr>
            <w:bookmarkStart w:id="24" w:name="lt_pId032"/>
            <w:r w:rsidRPr="006405A4">
              <w:rPr>
                <w:sz w:val="24"/>
                <w:szCs w:val="24"/>
                <w:lang w:val="fr-CH"/>
              </w:rPr>
              <w:t>Arriérés et comptes spéciaux d</w:t>
            </w:r>
            <w:r w:rsidR="00CF2E72" w:rsidRPr="006405A4">
              <w:rPr>
                <w:sz w:val="24"/>
                <w:szCs w:val="24"/>
                <w:lang w:val="fr-CH"/>
              </w:rPr>
              <w:t>'</w:t>
            </w:r>
            <w:r w:rsidRPr="006405A4">
              <w:rPr>
                <w:sz w:val="24"/>
                <w:szCs w:val="24"/>
                <w:lang w:val="fr-CH"/>
              </w:rPr>
              <w:t>arriérés</w:t>
            </w:r>
            <w:bookmarkEnd w:id="24"/>
          </w:p>
        </w:tc>
        <w:bookmarkStart w:id="25" w:name="lt_pId033"/>
        <w:tc>
          <w:tcPr>
            <w:tcW w:w="986" w:type="pct"/>
          </w:tcPr>
          <w:p w14:paraId="1B16EDE8" w14:textId="77777777" w:rsidR="00C512E1" w:rsidRPr="006405A4" w:rsidRDefault="00C512E1" w:rsidP="00A74D6C">
            <w:pPr>
              <w:pStyle w:val="Tabletext"/>
              <w:jc w:val="center"/>
              <w:rPr>
                <w:sz w:val="24"/>
                <w:szCs w:val="24"/>
                <w:lang w:val="fr-CH"/>
              </w:rPr>
            </w:pPr>
            <w:r w:rsidRPr="006405A4">
              <w:rPr>
                <w:rFonts w:eastAsia="SimSun"/>
                <w:sz w:val="24"/>
                <w:szCs w:val="24"/>
                <w:lang w:val="fr-CH"/>
              </w:rPr>
              <w:fldChar w:fldCharType="begin"/>
            </w:r>
            <w:r w:rsidRPr="006405A4">
              <w:rPr>
                <w:sz w:val="24"/>
                <w:szCs w:val="24"/>
                <w:lang w:val="fr-CH"/>
              </w:rPr>
              <w:instrText xml:space="preserve"> HYPERLINK "https://www.itu.int/md/S21-CL-C-0011/en" </w:instrText>
            </w:r>
            <w:r w:rsidRPr="006405A4">
              <w:rPr>
                <w:rFonts w:eastAsia="SimSun"/>
                <w:sz w:val="24"/>
                <w:szCs w:val="24"/>
                <w:lang w:val="fr-CH"/>
              </w:rPr>
              <w:fldChar w:fldCharType="separate"/>
            </w:r>
            <w:r w:rsidRPr="006405A4">
              <w:rPr>
                <w:color w:val="0000FF"/>
                <w:sz w:val="24"/>
                <w:szCs w:val="24"/>
                <w:u w:val="single"/>
                <w:lang w:val="fr-CH"/>
              </w:rPr>
              <w:t>C21/11</w:t>
            </w:r>
            <w:r w:rsidRPr="006405A4">
              <w:rPr>
                <w:color w:val="0000FF"/>
                <w:sz w:val="24"/>
                <w:szCs w:val="24"/>
                <w:u w:val="single"/>
                <w:lang w:val="fr-CH"/>
              </w:rPr>
              <w:fldChar w:fldCharType="end"/>
            </w:r>
            <w:r w:rsidRPr="006405A4">
              <w:rPr>
                <w:sz w:val="24"/>
                <w:szCs w:val="24"/>
                <w:lang w:val="fr-CH"/>
              </w:rPr>
              <w:t xml:space="preserve">, </w:t>
            </w:r>
            <w:hyperlink r:id="rId15" w:history="1">
              <w:r w:rsidRPr="006405A4">
                <w:rPr>
                  <w:color w:val="0000FF"/>
                  <w:sz w:val="24"/>
                  <w:szCs w:val="24"/>
                  <w:u w:val="single"/>
                  <w:lang w:val="fr-CH"/>
                </w:rPr>
                <w:t>INF/10</w:t>
              </w:r>
            </w:hyperlink>
            <w:r w:rsidRPr="006405A4">
              <w:rPr>
                <w:sz w:val="24"/>
                <w:szCs w:val="24"/>
                <w:lang w:val="fr-CH"/>
              </w:rPr>
              <w:t xml:space="preserve">, </w:t>
            </w:r>
            <w:hyperlink r:id="rId16" w:history="1">
              <w:r w:rsidRPr="006405A4">
                <w:rPr>
                  <w:color w:val="0000FF"/>
                  <w:sz w:val="24"/>
                  <w:szCs w:val="24"/>
                  <w:u w:val="single"/>
                  <w:lang w:val="fr-CH"/>
                </w:rPr>
                <w:t>C21/DT/3</w:t>
              </w:r>
            </w:hyperlink>
            <w:bookmarkEnd w:id="25"/>
          </w:p>
        </w:tc>
      </w:tr>
      <w:tr w:rsidR="00C512E1" w:rsidRPr="006405A4" w14:paraId="617BC565" w14:textId="77777777" w:rsidTr="005B7F35">
        <w:tc>
          <w:tcPr>
            <w:tcW w:w="251" w:type="pct"/>
          </w:tcPr>
          <w:p w14:paraId="10218514" w14:textId="77777777" w:rsidR="00C512E1" w:rsidRPr="006405A4" w:rsidRDefault="00C512E1" w:rsidP="00A74D6C">
            <w:pPr>
              <w:pStyle w:val="Tabletext"/>
              <w:rPr>
                <w:rFonts w:eastAsia="MS Mincho" w:cs="Calibri"/>
                <w:sz w:val="24"/>
                <w:szCs w:val="24"/>
                <w:lang w:val="fr-CH"/>
              </w:rPr>
            </w:pPr>
            <w:r w:rsidRPr="006405A4">
              <w:rPr>
                <w:rFonts w:eastAsia="MS Mincho" w:cs="Calibri"/>
                <w:sz w:val="24"/>
                <w:szCs w:val="24"/>
                <w:lang w:val="fr-CH"/>
              </w:rPr>
              <w:t>7</w:t>
            </w:r>
          </w:p>
        </w:tc>
        <w:tc>
          <w:tcPr>
            <w:tcW w:w="3763" w:type="pct"/>
          </w:tcPr>
          <w:p w14:paraId="70FAFF65" w14:textId="15874DD7" w:rsidR="00C512E1" w:rsidRPr="006405A4" w:rsidRDefault="00C512E1" w:rsidP="00A74D6C">
            <w:pPr>
              <w:pStyle w:val="Tabletext"/>
              <w:rPr>
                <w:sz w:val="24"/>
                <w:szCs w:val="24"/>
                <w:lang w:val="fr-CH"/>
              </w:rPr>
            </w:pPr>
            <w:bookmarkStart w:id="26" w:name="lt_pId035"/>
            <w:r w:rsidRPr="006405A4">
              <w:rPr>
                <w:sz w:val="24"/>
                <w:szCs w:val="24"/>
                <w:lang w:val="fr-CH"/>
              </w:rPr>
              <w:t>Rapport de l</w:t>
            </w:r>
            <w:r w:rsidR="00CF2E72" w:rsidRPr="006405A4">
              <w:rPr>
                <w:sz w:val="24"/>
                <w:szCs w:val="24"/>
                <w:lang w:val="fr-CH"/>
              </w:rPr>
              <w:t>'</w:t>
            </w:r>
            <w:r w:rsidRPr="006405A4">
              <w:rPr>
                <w:sz w:val="24"/>
                <w:szCs w:val="24"/>
                <w:lang w:val="fr-CH"/>
              </w:rPr>
              <w:t>Auditeur interne sur les activités d</w:t>
            </w:r>
            <w:r w:rsidR="00CF2E72" w:rsidRPr="006405A4">
              <w:rPr>
                <w:sz w:val="24"/>
                <w:szCs w:val="24"/>
                <w:lang w:val="fr-CH"/>
              </w:rPr>
              <w:t>'</w:t>
            </w:r>
            <w:r w:rsidRPr="006405A4">
              <w:rPr>
                <w:sz w:val="24"/>
                <w:szCs w:val="24"/>
                <w:lang w:val="fr-CH"/>
              </w:rPr>
              <w:t>audit interne</w:t>
            </w:r>
            <w:bookmarkEnd w:id="26"/>
          </w:p>
        </w:tc>
        <w:tc>
          <w:tcPr>
            <w:tcW w:w="986" w:type="pct"/>
          </w:tcPr>
          <w:p w14:paraId="6824A932" w14:textId="4BCC1D92" w:rsidR="00C512E1" w:rsidRPr="006405A4" w:rsidRDefault="00D15298" w:rsidP="00A74D6C">
            <w:pPr>
              <w:pStyle w:val="Tabletext"/>
              <w:jc w:val="center"/>
              <w:rPr>
                <w:sz w:val="24"/>
                <w:szCs w:val="24"/>
                <w:lang w:val="fr-CH"/>
              </w:rPr>
            </w:pPr>
            <w:hyperlink r:id="rId17" w:history="1">
              <w:bookmarkStart w:id="27" w:name="lt_pId036"/>
              <w:r w:rsidR="00C512E1" w:rsidRPr="006405A4">
                <w:rPr>
                  <w:color w:val="0000FF"/>
                  <w:sz w:val="24"/>
                  <w:szCs w:val="24"/>
                  <w:u w:val="single"/>
                  <w:lang w:val="fr-CH"/>
                </w:rPr>
                <w:t>C21/44</w:t>
              </w:r>
              <w:bookmarkEnd w:id="27"/>
            </w:hyperlink>
            <w:r w:rsidR="005E2D56">
              <w:rPr>
                <w:color w:val="0000FF"/>
                <w:sz w:val="24"/>
                <w:szCs w:val="24"/>
                <w:u w:val="single"/>
                <w:lang w:val="fr-CH"/>
              </w:rPr>
              <w:t>+Cor.1</w:t>
            </w:r>
          </w:p>
        </w:tc>
      </w:tr>
      <w:tr w:rsidR="00C512E1" w:rsidRPr="006405A4" w14:paraId="1E633CD9" w14:textId="77777777" w:rsidTr="005B7F35">
        <w:tc>
          <w:tcPr>
            <w:tcW w:w="251" w:type="pct"/>
          </w:tcPr>
          <w:p w14:paraId="6450928C" w14:textId="77777777" w:rsidR="00C512E1" w:rsidRPr="006405A4" w:rsidRDefault="00C512E1" w:rsidP="00A74D6C">
            <w:pPr>
              <w:pStyle w:val="Tabletext"/>
              <w:rPr>
                <w:rFonts w:eastAsia="MS Mincho" w:cs="Calibri"/>
                <w:sz w:val="24"/>
                <w:szCs w:val="24"/>
                <w:lang w:val="fr-CH"/>
              </w:rPr>
            </w:pPr>
            <w:r w:rsidRPr="006405A4">
              <w:rPr>
                <w:rFonts w:eastAsia="MS Mincho" w:cs="Calibri"/>
                <w:sz w:val="24"/>
                <w:szCs w:val="24"/>
                <w:lang w:val="fr-CH"/>
              </w:rPr>
              <w:t>8</w:t>
            </w:r>
          </w:p>
        </w:tc>
        <w:tc>
          <w:tcPr>
            <w:tcW w:w="3763" w:type="pct"/>
          </w:tcPr>
          <w:p w14:paraId="0213036B" w14:textId="43DB1125" w:rsidR="00C512E1" w:rsidRPr="006405A4" w:rsidRDefault="00C512E1" w:rsidP="00A74D6C">
            <w:pPr>
              <w:pStyle w:val="Tabletext"/>
              <w:rPr>
                <w:sz w:val="24"/>
                <w:szCs w:val="24"/>
                <w:lang w:val="fr-CH"/>
              </w:rPr>
            </w:pPr>
            <w:bookmarkStart w:id="28" w:name="lt_pId038"/>
            <w:r w:rsidRPr="006405A4">
              <w:rPr>
                <w:sz w:val="24"/>
                <w:szCs w:val="24"/>
                <w:lang w:val="fr-CH"/>
              </w:rPr>
              <w:t>Nouvelle fonction d</w:t>
            </w:r>
            <w:r w:rsidR="00CF2E72" w:rsidRPr="006405A4">
              <w:rPr>
                <w:sz w:val="24"/>
                <w:szCs w:val="24"/>
                <w:lang w:val="fr-CH"/>
              </w:rPr>
              <w:t>'</w:t>
            </w:r>
            <w:r w:rsidRPr="006405A4">
              <w:rPr>
                <w:sz w:val="24"/>
                <w:szCs w:val="24"/>
                <w:lang w:val="fr-CH"/>
              </w:rPr>
              <w:t>investigation et nouveau processus en matière d</w:t>
            </w:r>
            <w:r w:rsidR="00CF2E72" w:rsidRPr="006405A4">
              <w:rPr>
                <w:sz w:val="24"/>
                <w:szCs w:val="24"/>
                <w:lang w:val="fr-CH"/>
              </w:rPr>
              <w:t>'</w:t>
            </w:r>
            <w:r w:rsidRPr="006405A4">
              <w:rPr>
                <w:sz w:val="24"/>
                <w:szCs w:val="24"/>
                <w:lang w:val="fr-CH"/>
              </w:rPr>
              <w:t>enquête</w:t>
            </w:r>
            <w:bookmarkEnd w:id="28"/>
          </w:p>
        </w:tc>
        <w:tc>
          <w:tcPr>
            <w:tcW w:w="986" w:type="pct"/>
          </w:tcPr>
          <w:p w14:paraId="2E76CB55" w14:textId="77777777" w:rsidR="00C512E1" w:rsidRPr="006405A4" w:rsidRDefault="00D15298" w:rsidP="00A74D6C">
            <w:pPr>
              <w:pStyle w:val="Tabletext"/>
              <w:jc w:val="center"/>
              <w:rPr>
                <w:sz w:val="24"/>
                <w:szCs w:val="24"/>
                <w:lang w:val="fr-CH"/>
              </w:rPr>
            </w:pPr>
            <w:hyperlink r:id="rId18" w:history="1">
              <w:bookmarkStart w:id="29" w:name="lt_pId039"/>
              <w:r w:rsidR="00C512E1" w:rsidRPr="006405A4">
                <w:rPr>
                  <w:color w:val="0000FF"/>
                  <w:sz w:val="24"/>
                  <w:szCs w:val="24"/>
                  <w:u w:val="single"/>
                  <w:lang w:val="fr-CH"/>
                </w:rPr>
                <w:t>C21/60</w:t>
              </w:r>
              <w:bookmarkEnd w:id="29"/>
            </w:hyperlink>
          </w:p>
        </w:tc>
      </w:tr>
    </w:tbl>
    <w:p w14:paraId="59596C71" w14:textId="196A69F1" w:rsidR="00C512E1" w:rsidRPr="006405A4" w:rsidRDefault="00C512E1" w:rsidP="00A74D6C">
      <w:pPr>
        <w:rPr>
          <w:lang w:val="fr-CH"/>
        </w:rPr>
      </w:pPr>
      <w:r w:rsidRPr="006405A4">
        <w:rPr>
          <w:lang w:val="fr-CH"/>
        </w:rPr>
        <w:br w:type="page"/>
      </w:r>
    </w:p>
    <w:p w14:paraId="649A75FE" w14:textId="6B78B638" w:rsidR="00C512E1" w:rsidRPr="006405A4" w:rsidRDefault="00C512E1" w:rsidP="00D15298">
      <w:pPr>
        <w:pStyle w:val="Heading1"/>
        <w:tabs>
          <w:tab w:val="clear" w:pos="567"/>
          <w:tab w:val="clear" w:pos="1134"/>
          <w:tab w:val="clear" w:pos="1701"/>
          <w:tab w:val="clear" w:pos="2268"/>
          <w:tab w:val="clear" w:pos="2835"/>
        </w:tabs>
        <w:ind w:left="709" w:hanging="709"/>
        <w:rPr>
          <w:bCs/>
          <w:lang w:val="fr-CH"/>
        </w:rPr>
      </w:pPr>
      <w:r w:rsidRPr="006405A4">
        <w:rPr>
          <w:bCs/>
          <w:lang w:val="fr-CH"/>
        </w:rPr>
        <w:lastRenderedPageBreak/>
        <w:t>1</w:t>
      </w:r>
      <w:r w:rsidRPr="006405A4">
        <w:rPr>
          <w:bCs/>
          <w:lang w:val="fr-CH"/>
        </w:rPr>
        <w:tab/>
      </w:r>
      <w:bookmarkStart w:id="30" w:name="lt_pId041"/>
      <w:r w:rsidRPr="006405A4">
        <w:rPr>
          <w:lang w:val="fr-CH"/>
        </w:rPr>
        <w:t xml:space="preserve">Résultats des discussions menées le 9 juin 2021 (Document </w:t>
      </w:r>
      <w:hyperlink r:id="rId19" w:history="1">
        <w:r w:rsidRPr="006405A4">
          <w:rPr>
            <w:rStyle w:val="Hyperlink"/>
            <w:lang w:val="fr-CH"/>
          </w:rPr>
          <w:t>C21/DT/1(Rév.1)</w:t>
        </w:r>
      </w:hyperlink>
      <w:r w:rsidRPr="006405A4">
        <w:rPr>
          <w:lang w:val="fr-CH"/>
        </w:rPr>
        <w:t>)</w:t>
      </w:r>
      <w:bookmarkEnd w:id="30"/>
    </w:p>
    <w:p w14:paraId="14AD80B2"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1.1</w:t>
      </w:r>
      <w:r w:rsidRPr="006405A4">
        <w:rPr>
          <w:lang w:val="fr-CH"/>
        </w:rPr>
        <w:tab/>
      </w:r>
      <w:bookmarkStart w:id="31" w:name="lt_pId043"/>
      <w:r w:rsidRPr="006405A4">
        <w:rPr>
          <w:lang w:val="fr-CH"/>
        </w:rPr>
        <w:t xml:space="preserve">Il est pris </w:t>
      </w:r>
      <w:r w:rsidRPr="006405A4">
        <w:rPr>
          <w:b/>
          <w:lang w:val="fr-CH"/>
        </w:rPr>
        <w:t xml:space="preserve">note </w:t>
      </w:r>
      <w:r w:rsidRPr="006405A4">
        <w:rPr>
          <w:lang w:val="fr-CH"/>
        </w:rPr>
        <w:t>du Document C21/DT/1(Rév.1).</w:t>
      </w:r>
      <w:bookmarkEnd w:id="31"/>
    </w:p>
    <w:p w14:paraId="5F2EE3F6" w14:textId="586C4DA8" w:rsidR="00C512E1" w:rsidRPr="006405A4" w:rsidRDefault="00C512E1" w:rsidP="00D15298">
      <w:pPr>
        <w:pStyle w:val="Heading1"/>
        <w:tabs>
          <w:tab w:val="clear" w:pos="567"/>
          <w:tab w:val="clear" w:pos="1134"/>
          <w:tab w:val="clear" w:pos="1701"/>
          <w:tab w:val="clear" w:pos="2268"/>
          <w:tab w:val="clear" w:pos="2835"/>
        </w:tabs>
        <w:ind w:left="709" w:hanging="709"/>
        <w:rPr>
          <w:bCs/>
          <w:lang w:val="fr-CH"/>
        </w:rPr>
      </w:pPr>
      <w:r w:rsidRPr="006405A4">
        <w:rPr>
          <w:bCs/>
          <w:lang w:val="fr-CH"/>
        </w:rPr>
        <w:t>2</w:t>
      </w:r>
      <w:r w:rsidRPr="006405A4">
        <w:rPr>
          <w:bCs/>
          <w:lang w:val="fr-CH"/>
        </w:rPr>
        <w:tab/>
      </w:r>
      <w:bookmarkStart w:id="32" w:name="lt_pId045"/>
      <w:r w:rsidRPr="006405A4">
        <w:rPr>
          <w:bCs/>
          <w:lang w:val="fr-CH"/>
        </w:rPr>
        <w:t>Projet de budget de l</w:t>
      </w:r>
      <w:r w:rsidR="00CF2E72" w:rsidRPr="006405A4">
        <w:rPr>
          <w:bCs/>
          <w:lang w:val="fr-CH"/>
        </w:rPr>
        <w:t>'</w:t>
      </w:r>
      <w:r w:rsidRPr="006405A4">
        <w:rPr>
          <w:bCs/>
          <w:lang w:val="fr-CH"/>
        </w:rPr>
        <w:t>Union pour 2022-2023 (suite) (</w:t>
      </w:r>
      <w:r w:rsidRPr="006405A4">
        <w:rPr>
          <w:rStyle w:val="Hyperlink"/>
          <w:rFonts w:eastAsia="MS Mincho"/>
          <w:lang w:val="fr-CH"/>
        </w:rPr>
        <w:t>Document </w:t>
      </w:r>
      <w:hyperlink r:id="rId20" w:history="1">
        <w:r w:rsidRPr="006405A4">
          <w:rPr>
            <w:rStyle w:val="Hyperlink"/>
            <w:lang w:val="fr-CH"/>
          </w:rPr>
          <w:t>C21/65+Addendum 1</w:t>
        </w:r>
      </w:hyperlink>
      <w:r w:rsidRPr="006405A4">
        <w:rPr>
          <w:bCs/>
          <w:lang w:val="fr-CH"/>
        </w:rPr>
        <w:t>)</w:t>
      </w:r>
      <w:bookmarkEnd w:id="32"/>
    </w:p>
    <w:p w14:paraId="24EC3028" w14:textId="63944744"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2.1</w:t>
      </w:r>
      <w:r w:rsidRPr="006405A4">
        <w:rPr>
          <w:lang w:val="fr-CH"/>
        </w:rPr>
        <w:tab/>
      </w:r>
      <w:bookmarkStart w:id="33" w:name="lt_pId047"/>
      <w:r w:rsidRPr="006405A4">
        <w:rPr>
          <w:lang w:val="fr-CH"/>
        </w:rPr>
        <w:t>Une Conseillère observe que les charges de personnel représentent 89 pour cent du budget, dont 7 pour cent pour les services contractuels, et demande si ce dernier chiffre est la norme et s</w:t>
      </w:r>
      <w:r w:rsidR="00CF2E72" w:rsidRPr="006405A4">
        <w:rPr>
          <w:lang w:val="fr-CH"/>
        </w:rPr>
        <w:t>'</w:t>
      </w:r>
      <w:r w:rsidRPr="006405A4">
        <w:rPr>
          <w:lang w:val="fr-CH"/>
        </w:rPr>
        <w:t>il restera stable à l</w:t>
      </w:r>
      <w:r w:rsidR="00CF2E72" w:rsidRPr="006405A4">
        <w:rPr>
          <w:lang w:val="fr-CH"/>
        </w:rPr>
        <w:t>'</w:t>
      </w:r>
      <w:r w:rsidRPr="006405A4">
        <w:rPr>
          <w:lang w:val="fr-CH"/>
        </w:rPr>
        <w:t>avenir.</w:t>
      </w:r>
      <w:bookmarkEnd w:id="33"/>
      <w:r w:rsidRPr="006405A4">
        <w:rPr>
          <w:lang w:val="fr-CH"/>
        </w:rPr>
        <w:t xml:space="preserve"> </w:t>
      </w:r>
      <w:bookmarkStart w:id="34" w:name="lt_pId048"/>
      <w:r w:rsidRPr="006405A4">
        <w:rPr>
          <w:lang w:val="fr-CH"/>
        </w:rPr>
        <w:t>Elle demande également combien de personnes sont actuellement employées par l</w:t>
      </w:r>
      <w:r w:rsidR="00CF2E72" w:rsidRPr="006405A4">
        <w:rPr>
          <w:lang w:val="fr-CH"/>
        </w:rPr>
        <w:t>'</w:t>
      </w:r>
      <w:r w:rsidRPr="006405A4">
        <w:rPr>
          <w:lang w:val="fr-CH"/>
        </w:rPr>
        <w:t>UIT (773 postes sont indiqués dans le budget) et si ce chiffre est conforme au taux des emplois vacants estimé à 5 pour cent.</w:t>
      </w:r>
      <w:bookmarkEnd w:id="34"/>
    </w:p>
    <w:p w14:paraId="14003591" w14:textId="5C775F5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2.2</w:t>
      </w:r>
      <w:r w:rsidRPr="006405A4">
        <w:rPr>
          <w:lang w:val="fr-CH"/>
        </w:rPr>
        <w:tab/>
      </w:r>
      <w:bookmarkStart w:id="35" w:name="lt_pId050"/>
      <w:r w:rsidRPr="006405A4">
        <w:rPr>
          <w:lang w:val="fr-CH"/>
        </w:rPr>
        <w:t>En réponse aux questions soulevées à la séance précédente et à la séance actuelle, le Chef du Département de la gestion des ressources financières (FRMD) explique que des fonds supplémentaires ont été alloués au Bureau régional de l</w:t>
      </w:r>
      <w:r w:rsidR="00CF2E72" w:rsidRPr="006405A4">
        <w:rPr>
          <w:lang w:val="fr-CH"/>
        </w:rPr>
        <w:t>'</w:t>
      </w:r>
      <w:r w:rsidRPr="006405A4">
        <w:rPr>
          <w:lang w:val="fr-CH"/>
        </w:rPr>
        <w:t xml:space="preserve">UIT pour les pays de la CEI, en application de la Résolution 1387, </w:t>
      </w:r>
      <w:r w:rsidR="007F6C84">
        <w:rPr>
          <w:lang w:val="fr-CH"/>
        </w:rPr>
        <w:t xml:space="preserve">notamment </w:t>
      </w:r>
      <w:r w:rsidRPr="006405A4">
        <w:rPr>
          <w:lang w:val="fr-CH"/>
        </w:rPr>
        <w:t>un poste de grade D1</w:t>
      </w:r>
      <w:r w:rsidR="007F6C84">
        <w:rPr>
          <w:lang w:val="fr-CH"/>
        </w:rPr>
        <w:t xml:space="preserve"> (transformation d'un poste P5)</w:t>
      </w:r>
      <w:r w:rsidRPr="006405A4">
        <w:rPr>
          <w:lang w:val="fr-CH"/>
        </w:rPr>
        <w:t>, un poste de grade P4 et un poste de grade G6.</w:t>
      </w:r>
      <w:bookmarkEnd w:id="35"/>
      <w:r w:rsidRPr="006405A4">
        <w:rPr>
          <w:lang w:val="fr-CH"/>
        </w:rPr>
        <w:t xml:space="preserve"> </w:t>
      </w:r>
      <w:bookmarkStart w:id="36" w:name="lt_pId051"/>
      <w:r w:rsidRPr="006405A4">
        <w:rPr>
          <w:lang w:val="fr-CH"/>
        </w:rPr>
        <w:t>Les chiffres concernant les effectifs</w:t>
      </w:r>
      <w:r w:rsidR="007F6C84">
        <w:rPr>
          <w:lang w:val="fr-CH"/>
        </w:rPr>
        <w:t xml:space="preserve"> représentent environ 78% du budget et</w:t>
      </w:r>
      <w:r w:rsidRPr="006405A4">
        <w:rPr>
          <w:lang w:val="fr-CH"/>
        </w:rPr>
        <w:t xml:space="preserve"> </w:t>
      </w:r>
      <w:r w:rsidR="007F6C84">
        <w:rPr>
          <w:lang w:val="fr-CH"/>
        </w:rPr>
        <w:t>restent</w:t>
      </w:r>
      <w:r w:rsidRPr="006405A4">
        <w:rPr>
          <w:lang w:val="fr-CH"/>
        </w:rPr>
        <w:t xml:space="preserve"> inchangés par rapport aux exercices précédents, le budget étant basé sur une croissance nominale zéro depuis 2006.</w:t>
      </w:r>
      <w:bookmarkEnd w:id="36"/>
      <w:r w:rsidRPr="006405A4">
        <w:rPr>
          <w:lang w:val="fr-CH"/>
        </w:rPr>
        <w:t xml:space="preserve"> </w:t>
      </w:r>
      <w:bookmarkStart w:id="37" w:name="lt_pId052"/>
      <w:r w:rsidRPr="006405A4">
        <w:rPr>
          <w:lang w:val="fr-CH"/>
        </w:rPr>
        <w:t>La part de</w:t>
      </w:r>
      <w:r w:rsidR="00AA7A20">
        <w:rPr>
          <w:lang w:val="fr-CH"/>
        </w:rPr>
        <w:t>s</w:t>
      </w:r>
      <w:r w:rsidRPr="006405A4">
        <w:rPr>
          <w:lang w:val="fr-CH"/>
        </w:rPr>
        <w:t xml:space="preserve"> services contractuels </w:t>
      </w:r>
      <w:r w:rsidR="00BB0CD3">
        <w:rPr>
          <w:lang w:val="fr-CH"/>
        </w:rPr>
        <w:t>reste</w:t>
      </w:r>
      <w:r w:rsidRPr="006405A4">
        <w:rPr>
          <w:lang w:val="fr-CH"/>
        </w:rPr>
        <w:t xml:space="preserve"> stable</w:t>
      </w:r>
      <w:r w:rsidR="00BB0CD3">
        <w:rPr>
          <w:lang w:val="fr-CH"/>
        </w:rPr>
        <w:t>, s'établissant à environ 7%</w:t>
      </w:r>
      <w:r w:rsidRPr="006405A4">
        <w:rPr>
          <w:lang w:val="fr-CH"/>
        </w:rPr>
        <w:t>.</w:t>
      </w:r>
      <w:bookmarkEnd w:id="37"/>
      <w:r w:rsidRPr="006405A4">
        <w:rPr>
          <w:lang w:val="fr-CH"/>
        </w:rPr>
        <w:t xml:space="preserve"> </w:t>
      </w:r>
      <w:bookmarkStart w:id="38" w:name="lt_pId053"/>
      <w:r w:rsidR="00BB0CD3">
        <w:rPr>
          <w:lang w:val="fr-CH"/>
        </w:rPr>
        <w:t xml:space="preserve">Les postes sont </w:t>
      </w:r>
      <w:r w:rsidR="00AA7A20">
        <w:rPr>
          <w:lang w:val="fr-CH"/>
        </w:rPr>
        <w:t>budgétés</w:t>
      </w:r>
      <w:r w:rsidR="00BB0CD3">
        <w:rPr>
          <w:lang w:val="fr-CH"/>
        </w:rPr>
        <w:t xml:space="preserve"> à 95%, avec un taux d'emplois vacants à 5% appliqué à tous les emplois, correspondant aux recrutement</w:t>
      </w:r>
      <w:r w:rsidR="00AA7A20">
        <w:rPr>
          <w:lang w:val="fr-CH"/>
        </w:rPr>
        <w:t>s différés</w:t>
      </w:r>
      <w:r w:rsidR="00BB0CD3">
        <w:rPr>
          <w:lang w:val="fr-CH"/>
        </w:rPr>
        <w:t>, au</w:t>
      </w:r>
      <w:r w:rsidRPr="006405A4">
        <w:rPr>
          <w:lang w:val="fr-CH"/>
        </w:rPr>
        <w:t xml:space="preserve"> travail à temps partiel et </w:t>
      </w:r>
      <w:r w:rsidR="00BB0CD3">
        <w:rPr>
          <w:lang w:val="fr-CH"/>
        </w:rPr>
        <w:t>aux</w:t>
      </w:r>
      <w:r w:rsidRPr="006405A4">
        <w:rPr>
          <w:lang w:val="fr-CH"/>
        </w:rPr>
        <w:t xml:space="preserve"> congés sans traitement.</w:t>
      </w:r>
      <w:bookmarkEnd w:id="38"/>
      <w:r w:rsidR="00BB0CD3">
        <w:rPr>
          <w:lang w:val="fr-CH"/>
        </w:rPr>
        <w:t xml:space="preserve"> Les statistiques pertinentes relatives au personnel seront présentées par le Département de la gestion des ressources humaines durant les sessions à venir.</w:t>
      </w:r>
    </w:p>
    <w:p w14:paraId="2F7FF879" w14:textId="0E3EFC96"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2.3</w:t>
      </w:r>
      <w:r w:rsidRPr="006405A4">
        <w:rPr>
          <w:lang w:val="fr-CH"/>
        </w:rPr>
        <w:tab/>
      </w:r>
      <w:bookmarkStart w:id="39" w:name="lt_pId055"/>
      <w:r w:rsidRPr="006405A4">
        <w:rPr>
          <w:lang w:val="fr-CH"/>
        </w:rPr>
        <w:t>Le Président considère que les Conseillers souhaitent conclure, compte tenu du caractère urgent de cette question, qu</w:t>
      </w:r>
      <w:r w:rsidR="00CF2E72" w:rsidRPr="006405A4">
        <w:rPr>
          <w:lang w:val="fr-CH"/>
        </w:rPr>
        <w:t>'</w:t>
      </w:r>
      <w:r w:rsidRPr="006405A4">
        <w:rPr>
          <w:lang w:val="fr-CH"/>
        </w:rPr>
        <w:t>une consultation par correspondance des États Membres du Conseil sera organisée afin d</w:t>
      </w:r>
      <w:r w:rsidR="00CF2E72" w:rsidRPr="006405A4">
        <w:rPr>
          <w:lang w:val="fr-CH"/>
        </w:rPr>
        <w:t>'</w:t>
      </w:r>
      <w:r w:rsidRPr="006405A4">
        <w:rPr>
          <w:lang w:val="fr-CH"/>
        </w:rPr>
        <w:t>approuver le projet de Résolution présenté dans le Document C21/65.</w:t>
      </w:r>
      <w:bookmarkStart w:id="40" w:name="lt_pId056"/>
      <w:bookmarkEnd w:id="39"/>
    </w:p>
    <w:p w14:paraId="7A52AFE7" w14:textId="4DA96CBE"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2.4</w:t>
      </w:r>
      <w:r w:rsidRPr="006405A4">
        <w:rPr>
          <w:lang w:val="fr-CH"/>
        </w:rPr>
        <w:tab/>
        <w:t xml:space="preserve">Il en est ainsi </w:t>
      </w:r>
      <w:r w:rsidRPr="006405A4">
        <w:rPr>
          <w:b/>
          <w:lang w:val="fr-CH"/>
        </w:rPr>
        <w:t>conclu</w:t>
      </w:r>
      <w:r w:rsidRPr="006405A4">
        <w:rPr>
          <w:lang w:val="fr-CH"/>
        </w:rPr>
        <w:t>.</w:t>
      </w:r>
      <w:bookmarkEnd w:id="40"/>
    </w:p>
    <w:p w14:paraId="51333A8F" w14:textId="10612179" w:rsidR="00C512E1" w:rsidRPr="006405A4" w:rsidRDefault="00C512E1" w:rsidP="00D15298">
      <w:pPr>
        <w:pStyle w:val="Heading1"/>
        <w:tabs>
          <w:tab w:val="clear" w:pos="567"/>
          <w:tab w:val="clear" w:pos="1134"/>
          <w:tab w:val="clear" w:pos="1701"/>
          <w:tab w:val="clear" w:pos="2268"/>
          <w:tab w:val="clear" w:pos="2835"/>
        </w:tabs>
        <w:ind w:left="709" w:hanging="709"/>
        <w:rPr>
          <w:bCs/>
          <w:lang w:val="fr-CH"/>
        </w:rPr>
      </w:pPr>
      <w:r w:rsidRPr="006405A4">
        <w:rPr>
          <w:bCs/>
          <w:lang w:val="fr-CH"/>
        </w:rPr>
        <w:t>3</w:t>
      </w:r>
      <w:r w:rsidRPr="006405A4">
        <w:rPr>
          <w:bCs/>
          <w:lang w:val="fr-CH"/>
        </w:rPr>
        <w:tab/>
      </w:r>
      <w:bookmarkStart w:id="41" w:name="lt_pId058"/>
      <w:r w:rsidRPr="006405A4">
        <w:rPr>
          <w:lang w:val="fr-CH"/>
        </w:rPr>
        <w:t>Montant préliminaire de l</w:t>
      </w:r>
      <w:r w:rsidR="00CF2E72" w:rsidRPr="006405A4">
        <w:rPr>
          <w:lang w:val="fr-CH"/>
        </w:rPr>
        <w:t>'</w:t>
      </w:r>
      <w:r w:rsidRPr="006405A4">
        <w:rPr>
          <w:lang w:val="fr-CH"/>
        </w:rPr>
        <w:t>unité contributive pour le plan financier 2024-2027 (Document </w:t>
      </w:r>
      <w:hyperlink r:id="rId21" w:history="1">
        <w:r w:rsidRPr="006405A4">
          <w:rPr>
            <w:rStyle w:val="Hyperlink"/>
            <w:lang w:val="fr-CH"/>
          </w:rPr>
          <w:t>C21/56</w:t>
        </w:r>
      </w:hyperlink>
      <w:r w:rsidRPr="006405A4">
        <w:rPr>
          <w:lang w:val="fr-CH"/>
        </w:rPr>
        <w:t>)</w:t>
      </w:r>
      <w:bookmarkEnd w:id="41"/>
    </w:p>
    <w:p w14:paraId="355A73B7" w14:textId="3047CD44"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3.1</w:t>
      </w:r>
      <w:r w:rsidRPr="006405A4">
        <w:rPr>
          <w:lang w:val="fr-CH"/>
        </w:rPr>
        <w:tab/>
      </w:r>
      <w:bookmarkStart w:id="42" w:name="lt_pId060"/>
      <w:r w:rsidRPr="006405A4">
        <w:rPr>
          <w:lang w:val="fr-CH"/>
        </w:rPr>
        <w:t xml:space="preserve">Le Chef du Département FRMD présente le Document C21/56 et </w:t>
      </w:r>
      <w:r w:rsidR="00BB0CD3">
        <w:rPr>
          <w:lang w:val="fr-CH"/>
        </w:rPr>
        <w:t>confirme</w:t>
      </w:r>
      <w:r w:rsidRPr="006405A4">
        <w:rPr>
          <w:lang w:val="fr-CH"/>
        </w:rPr>
        <w:t xml:space="preserve"> que le montant préliminaire de l</w:t>
      </w:r>
      <w:r w:rsidR="00CF2E72" w:rsidRPr="006405A4">
        <w:rPr>
          <w:lang w:val="fr-CH"/>
        </w:rPr>
        <w:t>'</w:t>
      </w:r>
      <w:r w:rsidRPr="006405A4">
        <w:rPr>
          <w:lang w:val="fr-CH"/>
        </w:rPr>
        <w:t xml:space="preserve">unité contributive </w:t>
      </w:r>
      <w:r w:rsidR="00BB0CD3">
        <w:rPr>
          <w:lang w:val="fr-CH"/>
        </w:rPr>
        <w:t>est</w:t>
      </w:r>
      <w:r w:rsidRPr="006405A4">
        <w:rPr>
          <w:lang w:val="fr-CH"/>
        </w:rPr>
        <w:t xml:space="preserve"> maintenu à 318</w:t>
      </w:r>
      <w:r w:rsidR="004F2FB2" w:rsidRPr="006405A4">
        <w:rPr>
          <w:lang w:val="fr-CH"/>
        </w:rPr>
        <w:t> </w:t>
      </w:r>
      <w:r w:rsidRPr="006405A4">
        <w:rPr>
          <w:lang w:val="fr-CH"/>
        </w:rPr>
        <w:t>000</w:t>
      </w:r>
      <w:r w:rsidR="004F2FB2" w:rsidRPr="006405A4">
        <w:rPr>
          <w:lang w:val="fr-CH"/>
        </w:rPr>
        <w:t> </w:t>
      </w:r>
      <w:r w:rsidRPr="006405A4">
        <w:rPr>
          <w:lang w:val="fr-CH"/>
        </w:rPr>
        <w:t>CHF.</w:t>
      </w:r>
      <w:bookmarkEnd w:id="42"/>
      <w:r w:rsidRPr="006405A4">
        <w:rPr>
          <w:lang w:val="fr-CH"/>
        </w:rPr>
        <w:t xml:space="preserve"> </w:t>
      </w:r>
      <w:bookmarkStart w:id="43" w:name="lt_pId061"/>
      <w:r w:rsidRPr="006405A4">
        <w:rPr>
          <w:lang w:val="fr-CH"/>
        </w:rPr>
        <w:t>Une fois que le Conseil aura approuvé ce montant, le Secrétaire général invitera les États Membres à annoncer la classe de contribution qu</w:t>
      </w:r>
      <w:r w:rsidR="00CF2E72" w:rsidRPr="006405A4">
        <w:rPr>
          <w:lang w:val="fr-CH"/>
        </w:rPr>
        <w:t>'</w:t>
      </w:r>
      <w:r w:rsidRPr="006405A4">
        <w:rPr>
          <w:lang w:val="fr-CH"/>
        </w:rPr>
        <w:t xml:space="preserve">ils choisissent provisoirement avant le 31 décembre 2021, afin que le Groupe de travail du Conseil sur les ressources financières et les ressources humaines (GTC-FHR) puisse entamer </w:t>
      </w:r>
      <w:r w:rsidR="00BB0CD3">
        <w:rPr>
          <w:lang w:val="fr-CH"/>
        </w:rPr>
        <w:t>l'examen</w:t>
      </w:r>
      <w:r w:rsidRPr="006405A4">
        <w:rPr>
          <w:lang w:val="fr-CH"/>
        </w:rPr>
        <w:t xml:space="preserve"> </w:t>
      </w:r>
      <w:r w:rsidR="00DC7C6D">
        <w:rPr>
          <w:lang w:val="fr-CH"/>
        </w:rPr>
        <w:t>du</w:t>
      </w:r>
      <w:r w:rsidRPr="006405A4">
        <w:rPr>
          <w:lang w:val="fr-CH"/>
        </w:rPr>
        <w:t xml:space="preserve"> plan financier pour 2024-2027.</w:t>
      </w:r>
      <w:bookmarkEnd w:id="43"/>
    </w:p>
    <w:p w14:paraId="6A15FF4E" w14:textId="0CAD9B5C"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3.2</w:t>
      </w:r>
      <w:r w:rsidRPr="006405A4">
        <w:rPr>
          <w:lang w:val="fr-CH"/>
        </w:rPr>
        <w:tab/>
      </w:r>
      <w:bookmarkStart w:id="44" w:name="lt_pId063"/>
      <w:r w:rsidRPr="006405A4">
        <w:rPr>
          <w:lang w:val="fr-CH"/>
        </w:rPr>
        <w:t xml:space="preserve">Un Conseiller se dit favorable au </w:t>
      </w:r>
      <w:r w:rsidR="00C22B5B">
        <w:rPr>
          <w:lang w:val="fr-CH"/>
        </w:rPr>
        <w:t xml:space="preserve">maintien du </w:t>
      </w:r>
      <w:r w:rsidRPr="006405A4">
        <w:rPr>
          <w:lang w:val="fr-CH"/>
        </w:rPr>
        <w:t>montant de l</w:t>
      </w:r>
      <w:r w:rsidR="00CF2E72" w:rsidRPr="006405A4">
        <w:rPr>
          <w:lang w:val="fr-CH"/>
        </w:rPr>
        <w:t>'</w:t>
      </w:r>
      <w:r w:rsidRPr="006405A4">
        <w:rPr>
          <w:lang w:val="fr-CH"/>
        </w:rPr>
        <w:t>unité contributive qui a été proposé ainsi qu</w:t>
      </w:r>
      <w:r w:rsidR="00CF2E72" w:rsidRPr="006405A4">
        <w:rPr>
          <w:lang w:val="fr-CH"/>
        </w:rPr>
        <w:t>'</w:t>
      </w:r>
      <w:r w:rsidRPr="006405A4">
        <w:rPr>
          <w:lang w:val="fr-CH"/>
        </w:rPr>
        <w:t>à la procédure relative à l</w:t>
      </w:r>
      <w:r w:rsidR="00CF2E72" w:rsidRPr="006405A4">
        <w:rPr>
          <w:lang w:val="fr-CH"/>
        </w:rPr>
        <w:t>'</w:t>
      </w:r>
      <w:r w:rsidRPr="006405A4">
        <w:rPr>
          <w:lang w:val="fr-CH"/>
        </w:rPr>
        <w:t>élaboration du plan financier pour 2024-2027.</w:t>
      </w:r>
      <w:bookmarkEnd w:id="44"/>
      <w:r w:rsidRPr="006405A4">
        <w:rPr>
          <w:lang w:val="fr-CH"/>
        </w:rPr>
        <w:t xml:space="preserve"> </w:t>
      </w:r>
      <w:bookmarkStart w:id="45" w:name="lt_pId064"/>
      <w:r w:rsidR="00C22B5B">
        <w:rPr>
          <w:lang w:val="fr-CH"/>
        </w:rPr>
        <w:t>Cependant, é</w:t>
      </w:r>
      <w:r w:rsidRPr="006405A4">
        <w:rPr>
          <w:lang w:val="fr-CH"/>
        </w:rPr>
        <w:t xml:space="preserve">tant donné que le budget est basé sur une croissance nominale zéro depuis 2006, le Conseil souhaitera peut-être envisager de </w:t>
      </w:r>
      <w:r w:rsidR="00C22B5B">
        <w:rPr>
          <w:lang w:val="fr-CH"/>
        </w:rPr>
        <w:t>revoir l</w:t>
      </w:r>
      <w:r w:rsidRPr="006405A4">
        <w:rPr>
          <w:lang w:val="fr-CH"/>
        </w:rPr>
        <w:t>e montant de l</w:t>
      </w:r>
      <w:r w:rsidR="00CF2E72" w:rsidRPr="006405A4">
        <w:rPr>
          <w:lang w:val="fr-CH"/>
        </w:rPr>
        <w:t>'</w:t>
      </w:r>
      <w:r w:rsidRPr="006405A4">
        <w:rPr>
          <w:lang w:val="fr-CH"/>
        </w:rPr>
        <w:t>unité contributive</w:t>
      </w:r>
      <w:r w:rsidR="00C22B5B">
        <w:rPr>
          <w:lang w:val="fr-CH"/>
        </w:rPr>
        <w:t xml:space="preserve"> en vue de </w:t>
      </w:r>
      <w:r w:rsidR="002228AD">
        <w:rPr>
          <w:lang w:val="fr-CH"/>
        </w:rPr>
        <w:t>la </w:t>
      </w:r>
      <w:r w:rsidRPr="006405A4">
        <w:rPr>
          <w:lang w:val="fr-CH"/>
        </w:rPr>
        <w:t>PP-26.</w:t>
      </w:r>
      <w:bookmarkEnd w:id="45"/>
    </w:p>
    <w:p w14:paraId="68F04CA5" w14:textId="2F7FE5C1" w:rsidR="00C512E1" w:rsidRPr="006405A4" w:rsidRDefault="00C512E1" w:rsidP="00D15298">
      <w:pPr>
        <w:keepNext/>
        <w:keepLines/>
        <w:tabs>
          <w:tab w:val="clear" w:pos="567"/>
          <w:tab w:val="clear" w:pos="1134"/>
          <w:tab w:val="clear" w:pos="1701"/>
          <w:tab w:val="clear" w:pos="2268"/>
          <w:tab w:val="clear" w:pos="2835"/>
        </w:tabs>
        <w:rPr>
          <w:lang w:val="fr-CH"/>
        </w:rPr>
      </w:pPr>
      <w:r w:rsidRPr="006405A4">
        <w:rPr>
          <w:lang w:val="fr-CH"/>
        </w:rPr>
        <w:lastRenderedPageBreak/>
        <w:t>3.3</w:t>
      </w:r>
      <w:r w:rsidRPr="006405A4">
        <w:rPr>
          <w:lang w:val="fr-CH"/>
        </w:rPr>
        <w:tab/>
      </w:r>
      <w:bookmarkStart w:id="46" w:name="lt_pId066"/>
      <w:r w:rsidRPr="006405A4">
        <w:rPr>
          <w:lang w:val="fr-CH"/>
        </w:rPr>
        <w:t>Le Chef du Département FRMD souligne que le montant de l</w:t>
      </w:r>
      <w:r w:rsidR="00CF2E72" w:rsidRPr="006405A4">
        <w:rPr>
          <w:lang w:val="fr-CH"/>
        </w:rPr>
        <w:t>'</w:t>
      </w:r>
      <w:r w:rsidRPr="006405A4">
        <w:rPr>
          <w:lang w:val="fr-CH"/>
        </w:rPr>
        <w:t xml:space="preserve">unité contributive a été établi à titre préliminaire afin de permettre aux États Membres </w:t>
      </w:r>
      <w:r w:rsidR="00DC7C6D">
        <w:rPr>
          <w:lang w:val="fr-CH"/>
        </w:rPr>
        <w:t>de planifier à l'avance</w:t>
      </w:r>
      <w:r w:rsidR="00C22B5B">
        <w:rPr>
          <w:lang w:val="fr-CH"/>
        </w:rPr>
        <w:t>. L'unité contributive sert de base au plan financier, et</w:t>
      </w:r>
      <w:r w:rsidRPr="006405A4">
        <w:rPr>
          <w:lang w:val="fr-CH"/>
        </w:rPr>
        <w:t xml:space="preserve"> </w:t>
      </w:r>
      <w:r w:rsidR="00AA7A20">
        <w:rPr>
          <w:lang w:val="fr-CH"/>
        </w:rPr>
        <w:t>son</w:t>
      </w:r>
      <w:r w:rsidR="00AA7A20" w:rsidRPr="006405A4">
        <w:rPr>
          <w:lang w:val="fr-CH"/>
        </w:rPr>
        <w:t xml:space="preserve"> </w:t>
      </w:r>
      <w:r w:rsidRPr="006405A4">
        <w:rPr>
          <w:lang w:val="fr-CH"/>
        </w:rPr>
        <w:t>montant définitif est fixé par la Conférence de plénipotentiaires.</w:t>
      </w:r>
      <w:bookmarkEnd w:id="46"/>
      <w:r w:rsidRPr="006405A4">
        <w:rPr>
          <w:lang w:val="fr-CH"/>
        </w:rPr>
        <w:t xml:space="preserve"> </w:t>
      </w:r>
      <w:bookmarkStart w:id="47" w:name="lt_pId067"/>
      <w:r w:rsidR="00DE543E">
        <w:rPr>
          <w:lang w:val="fr-CH"/>
        </w:rPr>
        <w:t>Néanmoins, l</w:t>
      </w:r>
      <w:r w:rsidRPr="006405A4">
        <w:rPr>
          <w:lang w:val="fr-CH"/>
        </w:rPr>
        <w:t xml:space="preserve">e secrétariat </w:t>
      </w:r>
      <w:r w:rsidR="00DE543E">
        <w:rPr>
          <w:lang w:val="fr-CH"/>
        </w:rPr>
        <w:t>espère recevoir des propositions des</w:t>
      </w:r>
      <w:r w:rsidRPr="006405A4">
        <w:rPr>
          <w:lang w:val="fr-CH"/>
        </w:rPr>
        <w:t xml:space="preserve"> États Membres sur </w:t>
      </w:r>
      <w:r w:rsidR="00DE543E">
        <w:rPr>
          <w:lang w:val="fr-CH"/>
        </w:rPr>
        <w:t xml:space="preserve">le montant de l'unité contributive, </w:t>
      </w:r>
      <w:r w:rsidR="00AA7A20">
        <w:rPr>
          <w:lang w:val="fr-CH"/>
        </w:rPr>
        <w:t>lesquelles seront</w:t>
      </w:r>
      <w:r w:rsidR="00DE543E">
        <w:rPr>
          <w:lang w:val="fr-CH"/>
        </w:rPr>
        <w:t xml:space="preserve"> présent</w:t>
      </w:r>
      <w:r w:rsidR="00AA7A20">
        <w:rPr>
          <w:lang w:val="fr-CH"/>
        </w:rPr>
        <w:t>ées</w:t>
      </w:r>
      <w:r w:rsidR="00DE543E">
        <w:rPr>
          <w:lang w:val="fr-CH"/>
        </w:rPr>
        <w:t xml:space="preserve"> à la Conférence de plénipotentiaires pour qu'elle prenne une décision</w:t>
      </w:r>
      <w:r w:rsidRPr="006405A4">
        <w:rPr>
          <w:lang w:val="fr-CH"/>
        </w:rPr>
        <w:t>.</w:t>
      </w:r>
      <w:bookmarkEnd w:id="47"/>
    </w:p>
    <w:p w14:paraId="65B932B3" w14:textId="0102FE0A"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3.4</w:t>
      </w:r>
      <w:r w:rsidRPr="006405A4">
        <w:rPr>
          <w:lang w:val="fr-CH"/>
        </w:rPr>
        <w:tab/>
      </w:r>
      <w:bookmarkStart w:id="48" w:name="lt_pId069"/>
      <w:r w:rsidRPr="006405A4">
        <w:rPr>
          <w:lang w:val="fr-CH"/>
        </w:rPr>
        <w:t>Le Président considère que les Conseillers souhaitent conclure, compte tenu du caractère urgent de cette question, qu</w:t>
      </w:r>
      <w:r w:rsidR="00CF2E72" w:rsidRPr="006405A4">
        <w:rPr>
          <w:lang w:val="fr-CH"/>
        </w:rPr>
        <w:t>'</w:t>
      </w:r>
      <w:r w:rsidRPr="006405A4">
        <w:rPr>
          <w:lang w:val="fr-CH"/>
        </w:rPr>
        <w:t>une consultation par correspondance des États Membres du Conseil sera organisée afin d</w:t>
      </w:r>
      <w:r w:rsidR="00CF2E72" w:rsidRPr="006405A4">
        <w:rPr>
          <w:lang w:val="fr-CH"/>
        </w:rPr>
        <w:t>'</w:t>
      </w:r>
      <w:r w:rsidRPr="006405A4">
        <w:rPr>
          <w:lang w:val="fr-CH"/>
        </w:rPr>
        <w:t>approuver la proposition visant à maintenir l</w:t>
      </w:r>
      <w:r w:rsidR="00CF2E72" w:rsidRPr="006405A4">
        <w:rPr>
          <w:lang w:val="fr-CH"/>
        </w:rPr>
        <w:t>'</w:t>
      </w:r>
      <w:r w:rsidRPr="006405A4">
        <w:rPr>
          <w:lang w:val="fr-CH"/>
        </w:rPr>
        <w:t>unité contributive à 318 00 CHF, soit son montant actuel.</w:t>
      </w:r>
      <w:bookmarkEnd w:id="48"/>
    </w:p>
    <w:p w14:paraId="0CDAF84A"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3.5</w:t>
      </w:r>
      <w:r w:rsidRPr="006405A4">
        <w:rPr>
          <w:lang w:val="fr-CH"/>
        </w:rPr>
        <w:tab/>
      </w:r>
      <w:bookmarkStart w:id="49" w:name="lt_pId071"/>
      <w:r w:rsidRPr="006405A4">
        <w:rPr>
          <w:lang w:val="fr-CH"/>
        </w:rPr>
        <w:t xml:space="preserve">Il en est ainsi </w:t>
      </w:r>
      <w:r w:rsidRPr="006405A4">
        <w:rPr>
          <w:b/>
          <w:lang w:val="fr-CH"/>
        </w:rPr>
        <w:t>conclu</w:t>
      </w:r>
      <w:r w:rsidRPr="006405A4">
        <w:rPr>
          <w:lang w:val="fr-CH"/>
        </w:rPr>
        <w:t>.</w:t>
      </w:r>
      <w:bookmarkEnd w:id="49"/>
    </w:p>
    <w:p w14:paraId="4773DAA4" w14:textId="70C4886A" w:rsidR="00C512E1" w:rsidRPr="006405A4" w:rsidRDefault="00C512E1" w:rsidP="00D15298">
      <w:pPr>
        <w:pStyle w:val="Heading1"/>
        <w:tabs>
          <w:tab w:val="clear" w:pos="567"/>
          <w:tab w:val="clear" w:pos="1134"/>
          <w:tab w:val="clear" w:pos="1701"/>
          <w:tab w:val="clear" w:pos="2268"/>
          <w:tab w:val="clear" w:pos="2835"/>
        </w:tabs>
        <w:ind w:left="709" w:hanging="709"/>
        <w:rPr>
          <w:lang w:val="fr-CH"/>
        </w:rPr>
      </w:pPr>
      <w:r w:rsidRPr="006405A4">
        <w:rPr>
          <w:bCs/>
          <w:lang w:val="fr-CH"/>
        </w:rPr>
        <w:t>4</w:t>
      </w:r>
      <w:r w:rsidRPr="006405A4">
        <w:rPr>
          <w:bCs/>
          <w:lang w:val="fr-CH"/>
        </w:rPr>
        <w:tab/>
      </w:r>
      <w:bookmarkStart w:id="50" w:name="lt_pId073"/>
      <w:r w:rsidRPr="006405A4">
        <w:rPr>
          <w:lang w:val="fr-CH"/>
        </w:rPr>
        <w:t xml:space="preserve">Activités demandées mais non budgétées (UMAC) et initiative en faveur de la </w:t>
      </w:r>
      <w:r w:rsidRPr="00D15298">
        <w:rPr>
          <w:spacing w:val="-2"/>
          <w:lang w:val="fr-CH"/>
        </w:rPr>
        <w:t xml:space="preserve">transformation numérique (DT-I) (Documents </w:t>
      </w:r>
      <w:hyperlink r:id="rId22" w:history="1">
        <w:r w:rsidRPr="00D15298">
          <w:rPr>
            <w:rStyle w:val="Hyperlink"/>
            <w:spacing w:val="-2"/>
            <w:lang w:val="fr-CH"/>
          </w:rPr>
          <w:t>C21/49</w:t>
        </w:r>
      </w:hyperlink>
      <w:r w:rsidRPr="00D15298">
        <w:rPr>
          <w:spacing w:val="-2"/>
          <w:lang w:val="fr-CH"/>
        </w:rPr>
        <w:t xml:space="preserve">, </w:t>
      </w:r>
      <w:hyperlink r:id="rId23" w:history="1">
        <w:r w:rsidRPr="00D15298">
          <w:rPr>
            <w:rStyle w:val="Hyperlink"/>
            <w:spacing w:val="-2"/>
            <w:lang w:val="fr-CH"/>
          </w:rPr>
          <w:t>C21/70</w:t>
        </w:r>
      </w:hyperlink>
      <w:r w:rsidRPr="00D15298">
        <w:rPr>
          <w:spacing w:val="-2"/>
          <w:lang w:val="fr-CH"/>
        </w:rPr>
        <w:t xml:space="preserve">, </w:t>
      </w:r>
      <w:hyperlink r:id="rId24" w:history="1">
        <w:r w:rsidRPr="00D15298">
          <w:rPr>
            <w:rStyle w:val="Hyperlink"/>
            <w:spacing w:val="-2"/>
            <w:lang w:val="fr-CH"/>
          </w:rPr>
          <w:t>INF/9</w:t>
        </w:r>
      </w:hyperlink>
      <w:r w:rsidRPr="00D15298">
        <w:rPr>
          <w:spacing w:val="-2"/>
          <w:lang w:val="fr-CH"/>
        </w:rPr>
        <w:t xml:space="preserve"> et</w:t>
      </w:r>
      <w:r w:rsidR="00CB60AB" w:rsidRPr="00D15298">
        <w:rPr>
          <w:spacing w:val="-2"/>
          <w:lang w:val="fr-CH"/>
        </w:rPr>
        <w:t> </w:t>
      </w:r>
      <w:hyperlink r:id="rId25" w:history="1">
        <w:r w:rsidRPr="00D15298">
          <w:rPr>
            <w:rStyle w:val="Hyperlink"/>
            <w:spacing w:val="-2"/>
            <w:lang w:val="fr-CH"/>
          </w:rPr>
          <w:t>INF/12</w:t>
        </w:r>
      </w:hyperlink>
      <w:r w:rsidRPr="00D15298">
        <w:rPr>
          <w:spacing w:val="-2"/>
          <w:lang w:val="fr-CH"/>
        </w:rPr>
        <w:t>)</w:t>
      </w:r>
      <w:bookmarkEnd w:id="50"/>
    </w:p>
    <w:p w14:paraId="4297A26A" w14:textId="308A66A1"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w:t>
      </w:r>
      <w:r w:rsidRPr="006405A4">
        <w:rPr>
          <w:lang w:val="fr-CH"/>
        </w:rPr>
        <w:tab/>
      </w:r>
      <w:bookmarkStart w:id="51" w:name="lt_pId075"/>
      <w:r w:rsidRPr="006405A4">
        <w:rPr>
          <w:lang w:val="fr-CH"/>
        </w:rPr>
        <w:t>Le Chef du Département FRMD présente le Document C21/49, qui contient la liste des activités demandées mais non budgétées (UMAC) pour 2021-2027 ainsi qu</w:t>
      </w:r>
      <w:r w:rsidR="00CF2E72" w:rsidRPr="006405A4">
        <w:rPr>
          <w:lang w:val="fr-CH"/>
        </w:rPr>
        <w:t>'</w:t>
      </w:r>
      <w:r w:rsidRPr="006405A4">
        <w:rPr>
          <w:lang w:val="fr-CH"/>
        </w:rPr>
        <w:t xml:space="preserve">une estimation des montants nécessaires pour leur mise en </w:t>
      </w:r>
      <w:r w:rsidR="00DC7C6D" w:rsidRPr="006405A4">
        <w:rPr>
          <w:lang w:val="fr-CH"/>
        </w:rPr>
        <w:t>œuvre</w:t>
      </w:r>
      <w:r w:rsidRPr="006405A4">
        <w:rPr>
          <w:lang w:val="fr-CH"/>
        </w:rPr>
        <w:t>.</w:t>
      </w:r>
      <w:bookmarkEnd w:id="51"/>
      <w:r w:rsidRPr="006405A4">
        <w:rPr>
          <w:lang w:val="fr-CH"/>
        </w:rPr>
        <w:t xml:space="preserve"> </w:t>
      </w:r>
      <w:bookmarkStart w:id="52" w:name="lt_pId076"/>
      <w:r w:rsidRPr="006405A4">
        <w:rPr>
          <w:lang w:val="fr-CH"/>
        </w:rPr>
        <w:t>Les sources de financement possibles pour les activités prévues de 2021 à 2023 sont les éventuels excédents du budget, les contributions volontaires ou les prélèvements sur le Fonds de réserve. Les besoi</w:t>
      </w:r>
      <w:r w:rsidR="002228AD">
        <w:rPr>
          <w:lang w:val="fr-CH"/>
        </w:rPr>
        <w:t>ns à plus long terme pourraient </w:t>
      </w:r>
      <w:r w:rsidRPr="006405A4">
        <w:rPr>
          <w:lang w:val="fr-CH"/>
        </w:rPr>
        <w:t>être pris en considération dans le plan financier pour 2024-2027.</w:t>
      </w:r>
      <w:bookmarkStart w:id="53" w:name="lt_pId077"/>
      <w:bookmarkEnd w:id="52"/>
      <w:r w:rsidRPr="006405A4">
        <w:rPr>
          <w:lang w:val="fr-CH"/>
        </w:rPr>
        <w:t xml:space="preserve"> On trouvera dans les Documents C21/INF/9 et C21/INF/12 des informations détaillées sur les activités concernées, lesquelles sont classées par ordre de priorité.</w:t>
      </w:r>
      <w:bookmarkEnd w:id="53"/>
      <w:r w:rsidRPr="006405A4">
        <w:rPr>
          <w:lang w:val="fr-CH"/>
        </w:rPr>
        <w:t xml:space="preserve"> </w:t>
      </w:r>
      <w:bookmarkStart w:id="54" w:name="lt_pId078"/>
      <w:r w:rsidRPr="006405A4">
        <w:rPr>
          <w:lang w:val="fr-CH"/>
        </w:rPr>
        <w:t>Pour 2021, le montant des activités demandées mais non budgétées s</w:t>
      </w:r>
      <w:r w:rsidR="00CF2E72" w:rsidRPr="006405A4">
        <w:rPr>
          <w:lang w:val="fr-CH"/>
        </w:rPr>
        <w:t>'</w:t>
      </w:r>
      <w:r w:rsidRPr="006405A4">
        <w:rPr>
          <w:lang w:val="fr-CH"/>
        </w:rPr>
        <w:t>élève à 2,2 millions CHF.</w:t>
      </w:r>
      <w:bookmarkEnd w:id="54"/>
    </w:p>
    <w:p w14:paraId="4E3E985F" w14:textId="3C56B1C0"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4.2</w:t>
      </w:r>
      <w:r w:rsidRPr="006405A4">
        <w:rPr>
          <w:lang w:val="fr-CH"/>
        </w:rPr>
        <w:tab/>
      </w:r>
      <w:bookmarkStart w:id="55" w:name="lt_pId080"/>
      <w:r w:rsidRPr="006405A4">
        <w:rPr>
          <w:lang w:val="fr-CH"/>
        </w:rPr>
        <w:t>Le Vice-Secrétaire général présente le Document C21/70 et déclare que, en tant qu</w:t>
      </w:r>
      <w:r w:rsidR="00CF2E72" w:rsidRPr="006405A4">
        <w:rPr>
          <w:lang w:val="fr-CH"/>
        </w:rPr>
        <w:t>'</w:t>
      </w:r>
      <w:r w:rsidRPr="006405A4">
        <w:rPr>
          <w:lang w:val="fr-CH"/>
        </w:rPr>
        <w:t>institution des Nations Unies spécialisée dans les TIC, et en vue de la construction du nouveau bâtiment, l</w:t>
      </w:r>
      <w:r w:rsidR="00CF2E72" w:rsidRPr="006405A4">
        <w:rPr>
          <w:lang w:val="fr-CH"/>
        </w:rPr>
        <w:t>'</w:t>
      </w:r>
      <w:r w:rsidRPr="006405A4">
        <w:rPr>
          <w:lang w:val="fr-CH"/>
        </w:rPr>
        <w:t>UIT devra opérer une transformation numérique complète de ses processus, de ses systèmes et de ses services, ainsi que de sa culture organisationnelle, afin de garantir la protection et la disponibilité des informations pour poursuivre les activités en toute responsabilité, et d</w:t>
      </w:r>
      <w:r w:rsidR="00CF2E72" w:rsidRPr="006405A4">
        <w:rPr>
          <w:lang w:val="fr-CH"/>
        </w:rPr>
        <w:t>'</w:t>
      </w:r>
      <w:r w:rsidRPr="006405A4">
        <w:rPr>
          <w:lang w:val="fr-CH"/>
        </w:rPr>
        <w:t>instaurer le meilleur environnement de travail possible pour les fonctionnaires de l</w:t>
      </w:r>
      <w:r w:rsidR="00CF2E72" w:rsidRPr="006405A4">
        <w:rPr>
          <w:lang w:val="fr-CH"/>
        </w:rPr>
        <w:t>'</w:t>
      </w:r>
      <w:r w:rsidRPr="006405A4">
        <w:rPr>
          <w:lang w:val="fr-CH"/>
        </w:rPr>
        <w:t>UIT et les délégués.</w:t>
      </w:r>
      <w:bookmarkEnd w:id="55"/>
      <w:r w:rsidRPr="006405A4">
        <w:rPr>
          <w:lang w:val="fr-CH"/>
        </w:rPr>
        <w:t xml:space="preserve"> </w:t>
      </w:r>
      <w:bookmarkStart w:id="56" w:name="lt_pId081"/>
      <w:r w:rsidRPr="006405A4">
        <w:rPr>
          <w:lang w:val="fr-CH"/>
        </w:rPr>
        <w:t>Il attire en outre l</w:t>
      </w:r>
      <w:r w:rsidR="00CF2E72" w:rsidRPr="006405A4">
        <w:rPr>
          <w:lang w:val="fr-CH"/>
        </w:rPr>
        <w:t>'</w:t>
      </w:r>
      <w:r w:rsidRPr="006405A4">
        <w:rPr>
          <w:lang w:val="fr-CH"/>
        </w:rPr>
        <w:t>attention sur le Document C21/22, dans lequel le Comité consultatif indépendant pour les questions de gestion (CCIG) a souligné combien la transformation numérique contribue à promouvoir le concept d</w:t>
      </w:r>
      <w:r w:rsidR="00CF2E72" w:rsidRPr="006405A4">
        <w:rPr>
          <w:lang w:val="fr-CH"/>
        </w:rPr>
        <w:t>'</w:t>
      </w:r>
      <w:r w:rsidRPr="006405A4">
        <w:rPr>
          <w:lang w:val="fr-CH"/>
        </w:rPr>
        <w:t>une UIT unie dans l</w:t>
      </w:r>
      <w:r w:rsidR="00CF2E72" w:rsidRPr="006405A4">
        <w:rPr>
          <w:lang w:val="fr-CH"/>
        </w:rPr>
        <w:t>'</w:t>
      </w:r>
      <w:r w:rsidRPr="006405A4">
        <w:rPr>
          <w:lang w:val="fr-CH"/>
        </w:rPr>
        <w:t>action et a recommandé que l</w:t>
      </w:r>
      <w:r w:rsidR="00CF2E72" w:rsidRPr="006405A4">
        <w:rPr>
          <w:lang w:val="fr-CH"/>
        </w:rPr>
        <w:t>'</w:t>
      </w:r>
      <w:r w:rsidRPr="006405A4">
        <w:rPr>
          <w:lang w:val="fr-CH"/>
        </w:rPr>
        <w:t>UIT concrétise cette initiative et alloue spécifiquement des ressources en sa faveur.</w:t>
      </w:r>
      <w:bookmarkEnd w:id="56"/>
      <w:r w:rsidRPr="006405A4">
        <w:rPr>
          <w:lang w:val="fr-CH"/>
        </w:rPr>
        <w:t xml:space="preserve"> </w:t>
      </w:r>
      <w:bookmarkStart w:id="57" w:name="lt_pId082"/>
      <w:r w:rsidR="00CB60AB">
        <w:rPr>
          <w:lang w:val="fr-CH"/>
        </w:rPr>
        <w:t>Le Document </w:t>
      </w:r>
      <w:r w:rsidRPr="006405A4">
        <w:rPr>
          <w:lang w:val="fr-CH"/>
        </w:rPr>
        <w:t>C21/49 contient une proposition de création d</w:t>
      </w:r>
      <w:r w:rsidR="00CF2E72" w:rsidRPr="006405A4">
        <w:rPr>
          <w:lang w:val="fr-CH"/>
        </w:rPr>
        <w:t>'</w:t>
      </w:r>
      <w:r w:rsidRPr="006405A4">
        <w:rPr>
          <w:lang w:val="fr-CH"/>
        </w:rPr>
        <w:t>un poste de grade P5 afin d</w:t>
      </w:r>
      <w:r w:rsidR="00CF2E72" w:rsidRPr="006405A4">
        <w:rPr>
          <w:lang w:val="fr-CH"/>
        </w:rPr>
        <w:t>'</w:t>
      </w:r>
      <w:r w:rsidRPr="006405A4">
        <w:rPr>
          <w:lang w:val="fr-CH"/>
        </w:rPr>
        <w:t>assurer une approche coordonnée dans le cadre de l</w:t>
      </w:r>
      <w:r w:rsidR="00CF2E72" w:rsidRPr="006405A4">
        <w:rPr>
          <w:lang w:val="fr-CH"/>
        </w:rPr>
        <w:t>'</w:t>
      </w:r>
      <w:r w:rsidRPr="006405A4">
        <w:rPr>
          <w:lang w:val="fr-CH"/>
        </w:rPr>
        <w:t>initiative</w:t>
      </w:r>
      <w:r w:rsidR="00DE543E">
        <w:rPr>
          <w:lang w:val="fr-CH"/>
        </w:rPr>
        <w:t xml:space="preserve"> à l'échelle de l'Union</w:t>
      </w:r>
      <w:r w:rsidRPr="006405A4">
        <w:rPr>
          <w:lang w:val="fr-CH"/>
        </w:rPr>
        <w:t>.</w:t>
      </w:r>
      <w:bookmarkEnd w:id="57"/>
    </w:p>
    <w:p w14:paraId="52684283" w14:textId="6884693D"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4.3</w:t>
      </w:r>
      <w:r w:rsidRPr="006405A4">
        <w:rPr>
          <w:lang w:val="fr-CH"/>
        </w:rPr>
        <w:tab/>
      </w:r>
      <w:bookmarkStart w:id="58" w:name="lt_pId084"/>
      <w:r w:rsidRPr="006405A4">
        <w:rPr>
          <w:lang w:val="fr-CH"/>
        </w:rPr>
        <w:t>Deux Conseillers se disent favorables à l</w:t>
      </w:r>
      <w:r w:rsidR="00CF2E72" w:rsidRPr="006405A4">
        <w:rPr>
          <w:lang w:val="fr-CH"/>
        </w:rPr>
        <w:t>'</w:t>
      </w:r>
      <w:r w:rsidRPr="006405A4">
        <w:rPr>
          <w:lang w:val="fr-CH"/>
        </w:rPr>
        <w:t>initiative sur la transformation numérique, grâce à laquelle l</w:t>
      </w:r>
      <w:r w:rsidR="00CF2E72" w:rsidRPr="006405A4">
        <w:rPr>
          <w:lang w:val="fr-CH"/>
        </w:rPr>
        <w:t>'</w:t>
      </w:r>
      <w:r w:rsidRPr="006405A4">
        <w:rPr>
          <w:lang w:val="fr-CH"/>
        </w:rPr>
        <w:t>UIT pourra renforcer l</w:t>
      </w:r>
      <w:r w:rsidR="00CF2E72" w:rsidRPr="006405A4">
        <w:rPr>
          <w:lang w:val="fr-CH"/>
        </w:rPr>
        <w:t>'</w:t>
      </w:r>
      <w:r w:rsidRPr="006405A4">
        <w:rPr>
          <w:lang w:val="fr-CH"/>
        </w:rPr>
        <w:t>efficacité de la gestion interne et harmoniser ses activités, ainsi qu</w:t>
      </w:r>
      <w:r w:rsidR="00CF2E72" w:rsidRPr="006405A4">
        <w:rPr>
          <w:lang w:val="fr-CH"/>
        </w:rPr>
        <w:t>'</w:t>
      </w:r>
      <w:r w:rsidRPr="006405A4">
        <w:rPr>
          <w:lang w:val="fr-CH"/>
        </w:rPr>
        <w:t>aux mesures destinées à fournir un appui au TSB et à promouvoir le travail à distance énoncées dans le Document C21/49.</w:t>
      </w:r>
      <w:bookmarkEnd w:id="58"/>
    </w:p>
    <w:p w14:paraId="04CC78CE" w14:textId="30059AA2"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4.4</w:t>
      </w:r>
      <w:r w:rsidRPr="006405A4">
        <w:rPr>
          <w:lang w:val="fr-CH"/>
        </w:rPr>
        <w:tab/>
      </w:r>
      <w:bookmarkStart w:id="59" w:name="lt_pId086"/>
      <w:r w:rsidRPr="006405A4">
        <w:rPr>
          <w:lang w:val="fr-CH"/>
        </w:rPr>
        <w:t>Plusieurs Conseillers se disent inquiets des mesures figurant dans le Document C21/49.</w:t>
      </w:r>
      <w:bookmarkEnd w:id="59"/>
      <w:r w:rsidRPr="006405A4">
        <w:rPr>
          <w:lang w:val="fr-CH"/>
        </w:rPr>
        <w:t xml:space="preserve"> </w:t>
      </w:r>
      <w:bookmarkStart w:id="60" w:name="lt_pId087"/>
      <w:r w:rsidRPr="006405A4">
        <w:rPr>
          <w:lang w:val="fr-CH"/>
        </w:rPr>
        <w:t>Le</w:t>
      </w:r>
      <w:r w:rsidR="004F2FB2" w:rsidRPr="006405A4">
        <w:rPr>
          <w:lang w:val="fr-CH"/>
        </w:rPr>
        <w:t> </w:t>
      </w:r>
      <w:r w:rsidRPr="006405A4">
        <w:rPr>
          <w:lang w:val="fr-CH"/>
        </w:rPr>
        <w:t>secrétariat devrait dresser une liste des activités demandées mais non budgétées (UMAC) prioritaires et fournir davantage d</w:t>
      </w:r>
      <w:r w:rsidR="00CF2E72" w:rsidRPr="006405A4">
        <w:rPr>
          <w:lang w:val="fr-CH"/>
        </w:rPr>
        <w:t>'</w:t>
      </w:r>
      <w:r w:rsidRPr="006405A4">
        <w:rPr>
          <w:lang w:val="fr-CH"/>
        </w:rPr>
        <w:t>informations afin de déterminer si la demande d</w:t>
      </w:r>
      <w:r w:rsidR="00CF2E72" w:rsidRPr="006405A4">
        <w:rPr>
          <w:lang w:val="fr-CH"/>
        </w:rPr>
        <w:t>'</w:t>
      </w:r>
      <w:r w:rsidRPr="006405A4">
        <w:rPr>
          <w:lang w:val="fr-CH"/>
        </w:rPr>
        <w:t xml:space="preserve">outils et </w:t>
      </w:r>
      <w:r w:rsidRPr="00D15298">
        <w:rPr>
          <w:spacing w:val="4"/>
          <w:lang w:val="fr-CH"/>
        </w:rPr>
        <w:t>d</w:t>
      </w:r>
      <w:r w:rsidR="00CF2E72" w:rsidRPr="00D15298">
        <w:rPr>
          <w:spacing w:val="4"/>
          <w:lang w:val="fr-CH"/>
        </w:rPr>
        <w:t>'</w:t>
      </w:r>
      <w:r w:rsidRPr="00D15298">
        <w:rPr>
          <w:spacing w:val="4"/>
          <w:lang w:val="fr-CH"/>
        </w:rPr>
        <w:t>applications formulée par le TSB est liée à l</w:t>
      </w:r>
      <w:r w:rsidR="00CF2E72" w:rsidRPr="00D15298">
        <w:rPr>
          <w:spacing w:val="4"/>
          <w:lang w:val="fr-CH"/>
        </w:rPr>
        <w:t>'</w:t>
      </w:r>
      <w:r w:rsidRPr="00D15298">
        <w:rPr>
          <w:spacing w:val="4"/>
          <w:lang w:val="fr-CH"/>
        </w:rPr>
        <w:t>augmentation du nombre de réunions virtuelles.</w:t>
      </w:r>
      <w:bookmarkStart w:id="61" w:name="lt_pId088"/>
      <w:bookmarkEnd w:id="60"/>
      <w:r w:rsidR="00D15298">
        <w:rPr>
          <w:lang w:val="fr-CH"/>
        </w:rPr>
        <w:t xml:space="preserve"> </w:t>
      </w:r>
      <w:r w:rsidRPr="006405A4">
        <w:rPr>
          <w:lang w:val="fr-CH"/>
        </w:rPr>
        <w:lastRenderedPageBreak/>
        <w:t>La principale source de financement proposée – à savoir les excédents du budget – semble particulièrement incertaine, compte tenu des incidences de la crise sanitaire sur l</w:t>
      </w:r>
      <w:r w:rsidR="00DE543E">
        <w:rPr>
          <w:lang w:val="fr-CH"/>
        </w:rPr>
        <w:t>e budget</w:t>
      </w:r>
      <w:r w:rsidRPr="006405A4">
        <w:rPr>
          <w:lang w:val="fr-CH"/>
        </w:rPr>
        <w:t xml:space="preserve"> en général.</w:t>
      </w:r>
      <w:bookmarkEnd w:id="61"/>
      <w:r w:rsidRPr="006405A4">
        <w:rPr>
          <w:lang w:val="fr-CH"/>
        </w:rPr>
        <w:t xml:space="preserve"> </w:t>
      </w:r>
      <w:bookmarkStart w:id="62" w:name="lt_pId089"/>
      <w:r w:rsidRPr="006405A4">
        <w:rPr>
          <w:lang w:val="fr-CH"/>
        </w:rPr>
        <w:t>De plus, il est particulièrement difficile pour les États Membres d</w:t>
      </w:r>
      <w:r w:rsidR="00CF2E72" w:rsidRPr="006405A4">
        <w:rPr>
          <w:lang w:val="fr-CH"/>
        </w:rPr>
        <w:t>'</w:t>
      </w:r>
      <w:r w:rsidRPr="006405A4">
        <w:rPr>
          <w:lang w:val="fr-CH"/>
        </w:rPr>
        <w:t>évaluer la situation étant donné que certains des éléments en question n</w:t>
      </w:r>
      <w:r w:rsidR="00CF2E72" w:rsidRPr="006405A4">
        <w:rPr>
          <w:lang w:val="fr-CH"/>
        </w:rPr>
        <w:t>'</w:t>
      </w:r>
      <w:r w:rsidRPr="006405A4">
        <w:rPr>
          <w:lang w:val="fr-CH"/>
        </w:rPr>
        <w:t>avaient pas été inclus dans le projet de budget pour 2022-2023 et ne figuraient donc pas dans le plan financier adopté à la PP</w:t>
      </w:r>
      <w:r w:rsidR="00CF2E72" w:rsidRPr="006405A4">
        <w:rPr>
          <w:lang w:val="fr-CH"/>
        </w:rPr>
        <w:noBreakHyphen/>
      </w:r>
      <w:r w:rsidRPr="006405A4">
        <w:rPr>
          <w:lang w:val="fr-CH"/>
        </w:rPr>
        <w:t>18.</w:t>
      </w:r>
      <w:bookmarkEnd w:id="62"/>
      <w:r w:rsidRPr="006405A4">
        <w:rPr>
          <w:lang w:val="fr-CH"/>
        </w:rPr>
        <w:t xml:space="preserve"> </w:t>
      </w:r>
      <w:bookmarkStart w:id="63" w:name="lt_pId090"/>
      <w:r w:rsidRPr="006405A4">
        <w:rPr>
          <w:lang w:val="fr-CH"/>
        </w:rPr>
        <w:t>En outre, la proposition consistant à ce que les États Membres financent les postes consacrés à la promotion de l</w:t>
      </w:r>
      <w:r w:rsidR="00CF2E72" w:rsidRPr="006405A4">
        <w:rPr>
          <w:lang w:val="fr-CH"/>
        </w:rPr>
        <w:t>'</w:t>
      </w:r>
      <w:r w:rsidRPr="006405A4">
        <w:rPr>
          <w:lang w:val="fr-CH"/>
        </w:rPr>
        <w:t>inclusion numérique, qui étaient financés auparavant par un organisme du secteur privé (la Fondation Bill and Melinda Gates), pourrait avoir des incidences sur le niveau global d</w:t>
      </w:r>
      <w:r w:rsidR="00CF2E72" w:rsidRPr="006405A4">
        <w:rPr>
          <w:lang w:val="fr-CH"/>
        </w:rPr>
        <w:t>'</w:t>
      </w:r>
      <w:r w:rsidRPr="006405A4">
        <w:rPr>
          <w:lang w:val="fr-CH"/>
        </w:rPr>
        <w:t>engagement financier au titre du budget. Il serait en conséquence plus judicieux de solliciter de nouvelles contributions volontaires, éventuellement auprès d</w:t>
      </w:r>
      <w:r w:rsidR="00CF2E72" w:rsidRPr="006405A4">
        <w:rPr>
          <w:lang w:val="fr-CH"/>
        </w:rPr>
        <w:t>'</w:t>
      </w:r>
      <w:r w:rsidRPr="006405A4">
        <w:rPr>
          <w:lang w:val="fr-CH"/>
        </w:rPr>
        <w:t>autres organismes du secteur privé.</w:t>
      </w:r>
      <w:bookmarkEnd w:id="63"/>
    </w:p>
    <w:p w14:paraId="334328D0" w14:textId="432B30FA"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4.5</w:t>
      </w:r>
      <w:r w:rsidRPr="006405A4">
        <w:rPr>
          <w:lang w:val="fr-CH"/>
        </w:rPr>
        <w:tab/>
      </w:r>
      <w:bookmarkStart w:id="64" w:name="lt_pId092"/>
      <w:r w:rsidRPr="006405A4">
        <w:rPr>
          <w:lang w:val="fr-CH"/>
        </w:rPr>
        <w:t>Un Conseiller souligne combien il est important de ne pas effectuer de prélèvement sur le Fonds de réserve et demande des précisions sur les sources de financement nécessaires pour financer les activités demandées mais non budgétées (UMAC), outre toutes les autres activités et obligations de l</w:t>
      </w:r>
      <w:r w:rsidR="00CF2E72" w:rsidRPr="006405A4">
        <w:rPr>
          <w:lang w:val="fr-CH"/>
        </w:rPr>
        <w:t>'</w:t>
      </w:r>
      <w:r w:rsidRPr="006405A4">
        <w:rPr>
          <w:lang w:val="fr-CH"/>
        </w:rPr>
        <w:t>UIT, ainsi que les dettes à passer par pertes et profits.</w:t>
      </w:r>
      <w:bookmarkEnd w:id="64"/>
    </w:p>
    <w:p w14:paraId="32819352" w14:textId="3B77E0CD"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4.6</w:t>
      </w:r>
      <w:r w:rsidRPr="006405A4">
        <w:rPr>
          <w:lang w:val="fr-CH"/>
        </w:rPr>
        <w:tab/>
      </w:r>
      <w:bookmarkStart w:id="65" w:name="lt_pId094"/>
      <w:r w:rsidRPr="006405A4">
        <w:rPr>
          <w:lang w:val="fr-CH"/>
        </w:rPr>
        <w:t>Un autre Conseiller demande quelles seront les conséquences pour les États Membres si aucun financement n</w:t>
      </w:r>
      <w:r w:rsidR="00CF2E72" w:rsidRPr="006405A4">
        <w:rPr>
          <w:lang w:val="fr-CH"/>
        </w:rPr>
        <w:t>'</w:t>
      </w:r>
      <w:r w:rsidRPr="006405A4">
        <w:rPr>
          <w:lang w:val="fr-CH"/>
        </w:rPr>
        <w:t>est obtenu pour les activités énumérées dans le Document C21/49.</w:t>
      </w:r>
      <w:bookmarkEnd w:id="65"/>
    </w:p>
    <w:p w14:paraId="17A55C36" w14:textId="77777777" w:rsidR="00DE543E" w:rsidRDefault="00C512E1" w:rsidP="00D15298">
      <w:pPr>
        <w:tabs>
          <w:tab w:val="clear" w:pos="567"/>
          <w:tab w:val="clear" w:pos="1134"/>
          <w:tab w:val="clear" w:pos="1701"/>
          <w:tab w:val="clear" w:pos="2268"/>
          <w:tab w:val="clear" w:pos="2835"/>
        </w:tabs>
        <w:rPr>
          <w:lang w:val="fr-CH"/>
        </w:rPr>
      </w:pPr>
      <w:r w:rsidRPr="006405A4">
        <w:rPr>
          <w:lang w:val="fr-CH"/>
        </w:rPr>
        <w:t>4.7</w:t>
      </w:r>
      <w:r w:rsidRPr="006405A4">
        <w:rPr>
          <w:lang w:val="fr-CH"/>
        </w:rPr>
        <w:tab/>
      </w:r>
      <w:bookmarkStart w:id="66" w:name="lt_pId096"/>
      <w:r w:rsidRPr="006405A4">
        <w:rPr>
          <w:lang w:val="fr-CH"/>
        </w:rPr>
        <w:t>En ce qui concerne l</w:t>
      </w:r>
      <w:r w:rsidR="00CF2E72" w:rsidRPr="006405A4">
        <w:rPr>
          <w:lang w:val="fr-CH"/>
        </w:rPr>
        <w:t>'</w:t>
      </w:r>
      <w:r w:rsidRPr="006405A4">
        <w:rPr>
          <w:lang w:val="fr-CH"/>
        </w:rPr>
        <w:t>initiative en faveur de la transformation numérique, des Conseillers se déclarent préoccupés par la coordination des activités à l</w:t>
      </w:r>
      <w:r w:rsidR="00CF2E72" w:rsidRPr="006405A4">
        <w:rPr>
          <w:lang w:val="fr-CH"/>
        </w:rPr>
        <w:t>'</w:t>
      </w:r>
      <w:r w:rsidRPr="006405A4">
        <w:rPr>
          <w:lang w:val="fr-CH"/>
        </w:rPr>
        <w:t>échelle des Secteurs et par la difficulté de déterminer la corrélation entre les conditions ayant conduit à l</w:t>
      </w:r>
      <w:r w:rsidR="00CF2E72" w:rsidRPr="006405A4">
        <w:rPr>
          <w:lang w:val="fr-CH"/>
        </w:rPr>
        <w:t>'</w:t>
      </w:r>
      <w:r w:rsidRPr="006405A4">
        <w:rPr>
          <w:lang w:val="fr-CH"/>
        </w:rPr>
        <w:t>élaboration de l</w:t>
      </w:r>
      <w:r w:rsidR="00CF2E72" w:rsidRPr="006405A4">
        <w:rPr>
          <w:lang w:val="fr-CH"/>
        </w:rPr>
        <w:t>'</w:t>
      </w:r>
      <w:r w:rsidRPr="006405A4">
        <w:rPr>
          <w:lang w:val="fr-CH"/>
        </w:rPr>
        <w:t>initiative et les résultats attendus de l</w:t>
      </w:r>
      <w:r w:rsidR="00CF2E72" w:rsidRPr="006405A4">
        <w:rPr>
          <w:lang w:val="fr-CH"/>
        </w:rPr>
        <w:t>'</w:t>
      </w:r>
      <w:r w:rsidRPr="006405A4">
        <w:rPr>
          <w:lang w:val="fr-CH"/>
        </w:rPr>
        <w:t>initiative, et entre l</w:t>
      </w:r>
      <w:r w:rsidR="00CF2E72" w:rsidRPr="006405A4">
        <w:rPr>
          <w:lang w:val="fr-CH"/>
        </w:rPr>
        <w:t>'</w:t>
      </w:r>
      <w:r w:rsidRPr="006405A4">
        <w:rPr>
          <w:lang w:val="fr-CH"/>
        </w:rPr>
        <w:t>initiative et la continuité des activités/les activités de gestion de l</w:t>
      </w:r>
      <w:r w:rsidR="00CF2E72" w:rsidRPr="006405A4">
        <w:rPr>
          <w:lang w:val="fr-CH"/>
        </w:rPr>
        <w:t>'</w:t>
      </w:r>
      <w:r w:rsidRPr="006405A4">
        <w:rPr>
          <w:lang w:val="fr-CH"/>
        </w:rPr>
        <w:t>information.</w:t>
      </w:r>
      <w:bookmarkEnd w:id="66"/>
      <w:r w:rsidRPr="006405A4">
        <w:rPr>
          <w:lang w:val="fr-CH"/>
        </w:rPr>
        <w:t xml:space="preserve"> </w:t>
      </w:r>
      <w:bookmarkStart w:id="67" w:name="lt_pId097"/>
    </w:p>
    <w:p w14:paraId="2D854B1C" w14:textId="5E4A5274" w:rsidR="00C512E1" w:rsidRPr="006405A4" w:rsidRDefault="00DE543E" w:rsidP="00D15298">
      <w:pPr>
        <w:tabs>
          <w:tab w:val="clear" w:pos="567"/>
          <w:tab w:val="clear" w:pos="1134"/>
          <w:tab w:val="clear" w:pos="1701"/>
          <w:tab w:val="clear" w:pos="2268"/>
          <w:tab w:val="clear" w:pos="2835"/>
        </w:tabs>
        <w:rPr>
          <w:lang w:val="fr-CH"/>
        </w:rPr>
      </w:pPr>
      <w:r>
        <w:rPr>
          <w:lang w:val="fr-CH"/>
        </w:rPr>
        <w:t>4.8</w:t>
      </w:r>
      <w:r>
        <w:rPr>
          <w:lang w:val="fr-CH"/>
        </w:rPr>
        <w:tab/>
        <w:t xml:space="preserve">Une Conseillère est d'avis que la création d'un nouveau poste de grade P5 </w:t>
      </w:r>
      <w:r w:rsidR="008D4573">
        <w:rPr>
          <w:lang w:val="fr-CH"/>
        </w:rPr>
        <w:t>pour</w:t>
      </w:r>
      <w:r>
        <w:rPr>
          <w:lang w:val="fr-CH"/>
        </w:rPr>
        <w:t xml:space="preserve"> coordonner la transformation numérique au sein de l'Union n'est pas conforme à l'approche fondée sur le principe d'une UIT unie dans l'action et</w:t>
      </w:r>
      <w:r w:rsidR="00DC7C6D">
        <w:rPr>
          <w:lang w:val="fr-CH"/>
        </w:rPr>
        <w:t xml:space="preserve"> indique</w:t>
      </w:r>
      <w:r>
        <w:rPr>
          <w:lang w:val="fr-CH"/>
        </w:rPr>
        <w:t xml:space="preserve"> </w:t>
      </w:r>
      <w:r w:rsidR="00DC7C6D">
        <w:rPr>
          <w:lang w:val="fr-CH"/>
        </w:rPr>
        <w:t>qu'</w:t>
      </w:r>
      <w:r>
        <w:rPr>
          <w:lang w:val="fr-CH"/>
        </w:rPr>
        <w:t xml:space="preserve">elle n'est </w:t>
      </w:r>
      <w:r w:rsidR="008D4573">
        <w:rPr>
          <w:lang w:val="fr-CH"/>
        </w:rPr>
        <w:t xml:space="preserve">par conséquent </w:t>
      </w:r>
      <w:r>
        <w:rPr>
          <w:lang w:val="fr-CH"/>
        </w:rPr>
        <w:t xml:space="preserve">pas favorable à l'affectation de ressources à cette fin. </w:t>
      </w:r>
      <w:r w:rsidR="00C512E1" w:rsidRPr="006405A4">
        <w:rPr>
          <w:lang w:val="fr-CH"/>
        </w:rPr>
        <w:t xml:space="preserve">En outre, </w:t>
      </w:r>
      <w:r>
        <w:rPr>
          <w:lang w:val="fr-CH"/>
        </w:rPr>
        <w:t xml:space="preserve">la question se pose de savoir si la </w:t>
      </w:r>
      <w:r w:rsidR="00C512E1" w:rsidRPr="006405A4">
        <w:rPr>
          <w:lang w:val="fr-CH"/>
        </w:rPr>
        <w:t>création d</w:t>
      </w:r>
      <w:r w:rsidR="00CF2E72" w:rsidRPr="006405A4">
        <w:rPr>
          <w:lang w:val="fr-CH"/>
        </w:rPr>
        <w:t>'</w:t>
      </w:r>
      <w:r w:rsidR="00C512E1" w:rsidRPr="006405A4">
        <w:rPr>
          <w:lang w:val="fr-CH"/>
        </w:rPr>
        <w:t xml:space="preserve">un groupe de gestion </w:t>
      </w:r>
      <w:r w:rsidR="00DC7C6D">
        <w:rPr>
          <w:lang w:val="fr-CH"/>
        </w:rPr>
        <w:t xml:space="preserve">interne </w:t>
      </w:r>
      <w:r w:rsidR="00C512E1" w:rsidRPr="006405A4">
        <w:rPr>
          <w:lang w:val="fr-CH"/>
        </w:rPr>
        <w:t>chargé de la coordination intersectorielle</w:t>
      </w:r>
      <w:r w:rsidR="00DC7C6D">
        <w:rPr>
          <w:lang w:val="fr-CH"/>
        </w:rPr>
        <w:t xml:space="preserve"> de la transformation numérique</w:t>
      </w:r>
      <w:r w:rsidR="00C512E1" w:rsidRPr="006405A4">
        <w:rPr>
          <w:lang w:val="fr-CH"/>
        </w:rPr>
        <w:t xml:space="preserve"> s</w:t>
      </w:r>
      <w:r w:rsidR="00CF2E72" w:rsidRPr="006405A4">
        <w:rPr>
          <w:lang w:val="fr-CH"/>
        </w:rPr>
        <w:t>'</w:t>
      </w:r>
      <w:r w:rsidR="00C512E1" w:rsidRPr="006405A4">
        <w:rPr>
          <w:lang w:val="fr-CH"/>
        </w:rPr>
        <w:t>accompagnera de coûts supplémentaires. Il faut déterminer les montants et les sources de financement pertinents, et planifier</w:t>
      </w:r>
      <w:r>
        <w:rPr>
          <w:lang w:val="fr-CH"/>
        </w:rPr>
        <w:t xml:space="preserve"> et mettre en œuvre</w:t>
      </w:r>
      <w:r w:rsidR="00C512E1" w:rsidRPr="006405A4">
        <w:rPr>
          <w:lang w:val="fr-CH"/>
        </w:rPr>
        <w:t xml:space="preserve"> l</w:t>
      </w:r>
      <w:r w:rsidR="00CF2E72" w:rsidRPr="006405A4">
        <w:rPr>
          <w:lang w:val="fr-CH"/>
        </w:rPr>
        <w:t>'</w:t>
      </w:r>
      <w:r w:rsidR="00C512E1" w:rsidRPr="006405A4">
        <w:rPr>
          <w:lang w:val="fr-CH"/>
        </w:rPr>
        <w:t>initiative</w:t>
      </w:r>
      <w:r w:rsidRPr="00DE543E">
        <w:t xml:space="preserve"> </w:t>
      </w:r>
      <w:r w:rsidRPr="00DE543E">
        <w:rPr>
          <w:lang w:val="fr-CH"/>
        </w:rPr>
        <w:t>de manière minutieuse</w:t>
      </w:r>
      <w:r w:rsidR="00C512E1" w:rsidRPr="006405A4">
        <w:rPr>
          <w:lang w:val="fr-CH"/>
        </w:rPr>
        <w:t>.</w:t>
      </w:r>
      <w:bookmarkEnd w:id="67"/>
    </w:p>
    <w:p w14:paraId="6D9F36A1" w14:textId="6098083E"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4.9</w:t>
      </w:r>
      <w:r w:rsidRPr="006405A4">
        <w:rPr>
          <w:lang w:val="fr-CH"/>
        </w:rPr>
        <w:tab/>
      </w:r>
      <w:bookmarkStart w:id="68" w:name="lt_pId101"/>
      <w:r w:rsidRPr="006405A4">
        <w:rPr>
          <w:lang w:val="fr-CH"/>
        </w:rPr>
        <w:t>Un autre Conseiller suggère que le Conseil examine les Documents C21/49 et C21/70 avec le Document C21/15, qui porte sur le système de gestion de la résilience de l</w:t>
      </w:r>
      <w:r w:rsidR="00CF2E72" w:rsidRPr="006405A4">
        <w:rPr>
          <w:lang w:val="fr-CH"/>
        </w:rPr>
        <w:t>'</w:t>
      </w:r>
      <w:r w:rsidRPr="006405A4">
        <w:rPr>
          <w:lang w:val="fr-CH"/>
        </w:rPr>
        <w:t>organisation (ORMS).</w:t>
      </w:r>
      <w:bookmarkEnd w:id="68"/>
      <w:r w:rsidRPr="006405A4">
        <w:rPr>
          <w:lang w:val="fr-CH"/>
        </w:rPr>
        <w:t xml:space="preserve"> </w:t>
      </w:r>
      <w:bookmarkStart w:id="69" w:name="lt_pId102"/>
      <w:r w:rsidRPr="006405A4">
        <w:rPr>
          <w:lang w:val="fr-CH"/>
        </w:rPr>
        <w:t>Les systèmes de gestion de l</w:t>
      </w:r>
      <w:r w:rsidR="00CF2E72" w:rsidRPr="006405A4">
        <w:rPr>
          <w:lang w:val="fr-CH"/>
        </w:rPr>
        <w:t>'</w:t>
      </w:r>
      <w:r w:rsidRPr="006405A4">
        <w:rPr>
          <w:lang w:val="fr-CH"/>
        </w:rPr>
        <w:t>information sont indispensables au fonctionnement de l</w:t>
      </w:r>
      <w:r w:rsidR="00CF2E72" w:rsidRPr="006405A4">
        <w:rPr>
          <w:lang w:val="fr-CH"/>
        </w:rPr>
        <w:t>'</w:t>
      </w:r>
      <w:r w:rsidRPr="006405A4">
        <w:rPr>
          <w:lang w:val="fr-CH"/>
        </w:rPr>
        <w:t>UIT et connaîtront une croissance exponentielle ces prochaines années.</w:t>
      </w:r>
      <w:bookmarkEnd w:id="69"/>
      <w:r w:rsidRPr="006405A4">
        <w:rPr>
          <w:lang w:val="fr-CH"/>
        </w:rPr>
        <w:t xml:space="preserve"> </w:t>
      </w:r>
      <w:bookmarkStart w:id="70" w:name="lt_pId103"/>
      <w:r w:rsidRPr="006405A4">
        <w:rPr>
          <w:lang w:val="fr-CH"/>
        </w:rPr>
        <w:t>Il est donc urgent d</w:t>
      </w:r>
      <w:r w:rsidR="00CF2E72" w:rsidRPr="006405A4">
        <w:rPr>
          <w:lang w:val="fr-CH"/>
        </w:rPr>
        <w:t>'</w:t>
      </w:r>
      <w:r w:rsidRPr="006405A4">
        <w:rPr>
          <w:lang w:val="fr-CH"/>
        </w:rPr>
        <w:t>examiner la gouvernance et le financement de ces systèmes dans le cadre du budget ordinaire de l</w:t>
      </w:r>
      <w:r w:rsidR="00CF2E72" w:rsidRPr="006405A4">
        <w:rPr>
          <w:lang w:val="fr-CH"/>
        </w:rPr>
        <w:t>'</w:t>
      </w:r>
      <w:r w:rsidRPr="006405A4">
        <w:rPr>
          <w:lang w:val="fr-CH"/>
        </w:rPr>
        <w:t>UIT.</w:t>
      </w:r>
      <w:bookmarkEnd w:id="70"/>
    </w:p>
    <w:p w14:paraId="0FFFA6F1" w14:textId="37E03DE5"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4.10</w:t>
      </w:r>
      <w:r w:rsidRPr="006405A4">
        <w:rPr>
          <w:lang w:val="fr-CH"/>
        </w:rPr>
        <w:tab/>
      </w:r>
      <w:bookmarkStart w:id="71" w:name="lt_pId105"/>
      <w:r w:rsidRPr="006405A4">
        <w:rPr>
          <w:lang w:val="fr-CH"/>
        </w:rPr>
        <w:t xml:space="preserve">Le Chef du Département FRMD confirme que certaines des activités demandées mais non budgétées (UMAC) répondent à des besoins </w:t>
      </w:r>
      <w:r w:rsidR="00DE543E">
        <w:rPr>
          <w:lang w:val="fr-CH"/>
        </w:rPr>
        <w:t>qui ont été identifiés après</w:t>
      </w:r>
      <w:r w:rsidRPr="006405A4">
        <w:rPr>
          <w:lang w:val="fr-CH"/>
        </w:rPr>
        <w:t xml:space="preserve"> que la PP-18 a approuvé le plan financier pour 2020-2023.</w:t>
      </w:r>
      <w:bookmarkEnd w:id="71"/>
      <w:r w:rsidRPr="006405A4">
        <w:rPr>
          <w:lang w:val="fr-CH"/>
        </w:rPr>
        <w:t xml:space="preserve"> </w:t>
      </w:r>
      <w:bookmarkStart w:id="72" w:name="lt_pId106"/>
      <w:r w:rsidR="00DE543E">
        <w:rPr>
          <w:lang w:val="fr-CH"/>
        </w:rPr>
        <w:t>Conformément à la Décision 5</w:t>
      </w:r>
      <w:r w:rsidR="00876DE7">
        <w:rPr>
          <w:lang w:val="fr-CH"/>
        </w:rPr>
        <w:t xml:space="preserve"> (Rév. Dubaï, 2018) de la Conférence de plénipotentiaires</w:t>
      </w:r>
      <w:r w:rsidR="00DE543E">
        <w:rPr>
          <w:lang w:val="fr-CH"/>
        </w:rPr>
        <w:t xml:space="preserve">, le Secrétaire général ne peut engager de fonds au-delà de ce qui a été approuvé par la PP-18. Les États Membres sont donc invités à accorder au Secrétaire général une certaine souplesse pour </w:t>
      </w:r>
      <w:r w:rsidR="00DC7C6D">
        <w:rPr>
          <w:lang w:val="fr-CH"/>
        </w:rPr>
        <w:t>lui permettre d'</w:t>
      </w:r>
      <w:r w:rsidR="00DE543E">
        <w:rPr>
          <w:lang w:val="fr-CH"/>
        </w:rPr>
        <w:t xml:space="preserve">utiliser les économies réalisées en 2021 et </w:t>
      </w:r>
      <w:r w:rsidR="00DC7C6D">
        <w:rPr>
          <w:lang w:val="fr-CH"/>
        </w:rPr>
        <w:t xml:space="preserve">de </w:t>
      </w:r>
      <w:r w:rsidR="00DE543E">
        <w:rPr>
          <w:lang w:val="fr-CH"/>
        </w:rPr>
        <w:t xml:space="preserve">prendre des décisions concernant l'ordre de priorité des activités demandées, mais non budgétées. En réponse à une </w:t>
      </w:r>
      <w:r w:rsidR="00876DE7">
        <w:rPr>
          <w:lang w:val="fr-CH"/>
        </w:rPr>
        <w:t>question</w:t>
      </w:r>
      <w:r w:rsidR="00DE543E">
        <w:rPr>
          <w:lang w:val="fr-CH"/>
        </w:rPr>
        <w:t xml:space="preserve"> </w:t>
      </w:r>
      <w:r w:rsidR="00876DE7">
        <w:rPr>
          <w:lang w:val="fr-CH"/>
        </w:rPr>
        <w:t>d'</w:t>
      </w:r>
      <w:r w:rsidR="00DE543E">
        <w:rPr>
          <w:lang w:val="fr-CH"/>
        </w:rPr>
        <w:t xml:space="preserve">un Conseiller, le Chef du Département FRMD précise que la passation par pertes et profits des créances n'entraîne pas d'incidences négatives sur le budget, dans la mesure où des provisions ont déjà été </w:t>
      </w:r>
      <w:r w:rsidR="00A34A60">
        <w:rPr>
          <w:lang w:val="fr-CH"/>
        </w:rPr>
        <w:t>constituées pour y faire face.</w:t>
      </w:r>
      <w:bookmarkEnd w:id="72"/>
    </w:p>
    <w:p w14:paraId="5DB4271E" w14:textId="43811474"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lastRenderedPageBreak/>
        <w:t>4.11</w:t>
      </w:r>
      <w:r w:rsidRPr="006405A4">
        <w:rPr>
          <w:lang w:val="fr-CH"/>
        </w:rPr>
        <w:tab/>
      </w:r>
      <w:bookmarkStart w:id="73" w:name="lt_pId108"/>
      <w:r w:rsidRPr="006405A4">
        <w:rPr>
          <w:lang w:val="fr-CH"/>
        </w:rPr>
        <w:t>En réponse aux préoccupations concernant la coordination intersectorielle, le Vice</w:t>
      </w:r>
      <w:r w:rsidR="00CF2E72" w:rsidRPr="006405A4">
        <w:rPr>
          <w:lang w:val="fr-CH"/>
        </w:rPr>
        <w:noBreakHyphen/>
      </w:r>
      <w:r w:rsidRPr="006405A4">
        <w:rPr>
          <w:lang w:val="fr-CH"/>
        </w:rPr>
        <w:t>Secrétaire général fait savoir qu</w:t>
      </w:r>
      <w:r w:rsidR="00CF2E72" w:rsidRPr="006405A4">
        <w:rPr>
          <w:lang w:val="fr-CH"/>
        </w:rPr>
        <w:t>'</w:t>
      </w:r>
      <w:r w:rsidRPr="006405A4">
        <w:rPr>
          <w:lang w:val="fr-CH"/>
        </w:rPr>
        <w:t>un comité de direction chargé de l</w:t>
      </w:r>
      <w:r w:rsidR="00CF2E72" w:rsidRPr="006405A4">
        <w:rPr>
          <w:lang w:val="fr-CH"/>
        </w:rPr>
        <w:t>'</w:t>
      </w:r>
      <w:r w:rsidRPr="006405A4">
        <w:rPr>
          <w:lang w:val="fr-CH"/>
        </w:rPr>
        <w:t>initiative sur la transformation numérique a été créé et placé sous sa présidence.</w:t>
      </w:r>
      <w:bookmarkEnd w:id="73"/>
      <w:r w:rsidRPr="006405A4">
        <w:rPr>
          <w:lang w:val="fr-CH"/>
        </w:rPr>
        <w:t xml:space="preserve"> </w:t>
      </w:r>
      <w:bookmarkStart w:id="74" w:name="lt_pId109"/>
      <w:r w:rsidRPr="006405A4">
        <w:rPr>
          <w:lang w:val="fr-CH"/>
        </w:rPr>
        <w:t>Il est composé des Adjoints aux Directeurs des trois Bureaux et des Chefs des Départements du Secrétariat général.</w:t>
      </w:r>
      <w:bookmarkEnd w:id="74"/>
    </w:p>
    <w:p w14:paraId="634D933F" w14:textId="49FA8F7D"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4.12</w:t>
      </w:r>
      <w:r w:rsidRPr="006405A4">
        <w:rPr>
          <w:lang w:val="fr-CH"/>
        </w:rPr>
        <w:tab/>
      </w:r>
      <w:bookmarkStart w:id="75" w:name="lt_pId111"/>
      <w:r w:rsidRPr="006405A4">
        <w:rPr>
          <w:lang w:val="fr-CH"/>
        </w:rPr>
        <w:t>L</w:t>
      </w:r>
      <w:r w:rsidR="00CF2E72" w:rsidRPr="006405A4">
        <w:rPr>
          <w:lang w:val="fr-CH"/>
        </w:rPr>
        <w:t>'</w:t>
      </w:r>
      <w:r w:rsidRPr="006405A4">
        <w:rPr>
          <w:lang w:val="fr-CH"/>
        </w:rPr>
        <w:t>Adjoint au Directeur du TSB, après avoir souligné que l</w:t>
      </w:r>
      <w:r w:rsidR="00CF2E72" w:rsidRPr="006405A4">
        <w:rPr>
          <w:lang w:val="fr-CH"/>
        </w:rPr>
        <w:t>'</w:t>
      </w:r>
      <w:r w:rsidRPr="006405A4">
        <w:rPr>
          <w:lang w:val="fr-CH"/>
        </w:rPr>
        <w:t>UIT-T, dont le nombre de membres ne cesse de grandir, a organisé des milliers de réunions qui ont rassemblé des dizaines de milliers de participants chaque année, déclare qu</w:t>
      </w:r>
      <w:r w:rsidR="00CF2E72" w:rsidRPr="006405A4">
        <w:rPr>
          <w:lang w:val="fr-CH"/>
        </w:rPr>
        <w:t>'</w:t>
      </w:r>
      <w:r w:rsidRPr="006405A4">
        <w:rPr>
          <w:lang w:val="fr-CH"/>
        </w:rPr>
        <w:t>il est urgent de mettre à jour une bonne dizaine de bases de données ainsi que la variante de la procédure d</w:t>
      </w:r>
      <w:r w:rsidR="00CF2E72" w:rsidRPr="006405A4">
        <w:rPr>
          <w:lang w:val="fr-CH"/>
        </w:rPr>
        <w:t>'</w:t>
      </w:r>
      <w:r w:rsidRPr="006405A4">
        <w:rPr>
          <w:lang w:val="fr-CH"/>
        </w:rPr>
        <w:t>approbation en ligne des Recommandations UIT-T.</w:t>
      </w:r>
      <w:bookmarkEnd w:id="75"/>
      <w:r w:rsidRPr="006405A4">
        <w:rPr>
          <w:lang w:val="fr-CH"/>
        </w:rPr>
        <w:t xml:space="preserve"> </w:t>
      </w:r>
      <w:bookmarkStart w:id="76" w:name="lt_pId112"/>
      <w:r w:rsidRPr="006405A4">
        <w:rPr>
          <w:lang w:val="fr-CH"/>
        </w:rPr>
        <w:t>L</w:t>
      </w:r>
      <w:r w:rsidR="00CF2E72" w:rsidRPr="006405A4">
        <w:rPr>
          <w:lang w:val="fr-CH"/>
        </w:rPr>
        <w:t>'</w:t>
      </w:r>
      <w:r w:rsidRPr="006405A4">
        <w:rPr>
          <w:lang w:val="fr-CH"/>
        </w:rPr>
        <w:t>UIT-T fournit également de nouveaux outils d</w:t>
      </w:r>
      <w:r w:rsidR="00CF2E72" w:rsidRPr="006405A4">
        <w:rPr>
          <w:lang w:val="fr-CH"/>
        </w:rPr>
        <w:t>'</w:t>
      </w:r>
      <w:r w:rsidRPr="006405A4">
        <w:rPr>
          <w:lang w:val="fr-CH"/>
        </w:rPr>
        <w:t>apprentissage automatique pour la traduction et l</w:t>
      </w:r>
      <w:r w:rsidR="00CF2E72" w:rsidRPr="006405A4">
        <w:rPr>
          <w:lang w:val="fr-CH"/>
        </w:rPr>
        <w:t>'</w:t>
      </w:r>
      <w:r w:rsidRPr="006405A4">
        <w:rPr>
          <w:lang w:val="fr-CH"/>
        </w:rPr>
        <w:t>interprétation automatiques, et a été invité par le Groupe consultatif de la normalisation des télécommunications (GCNT) à mettre en correspondance les travaux de l</w:t>
      </w:r>
      <w:r w:rsidR="00CF2E72" w:rsidRPr="006405A4">
        <w:rPr>
          <w:lang w:val="fr-CH"/>
        </w:rPr>
        <w:t>'</w:t>
      </w:r>
      <w:r w:rsidRPr="006405A4">
        <w:rPr>
          <w:lang w:val="fr-CH"/>
        </w:rPr>
        <w:t>UIT avec les Objectifs de développement durable.</w:t>
      </w:r>
      <w:bookmarkEnd w:id="76"/>
      <w:r w:rsidRPr="006405A4">
        <w:rPr>
          <w:lang w:val="fr-CH"/>
        </w:rPr>
        <w:t xml:space="preserve"> </w:t>
      </w:r>
      <w:bookmarkStart w:id="77" w:name="lt_pId113"/>
      <w:r w:rsidRPr="006405A4">
        <w:rPr>
          <w:lang w:val="fr-CH"/>
        </w:rPr>
        <w:t>Les travaux de l</w:t>
      </w:r>
      <w:r w:rsidR="00CF2E72" w:rsidRPr="006405A4">
        <w:rPr>
          <w:lang w:val="fr-CH"/>
        </w:rPr>
        <w:t>'</w:t>
      </w:r>
      <w:r w:rsidRPr="006405A4">
        <w:rPr>
          <w:lang w:val="fr-CH"/>
        </w:rPr>
        <w:t>UIT-T ont des effets considérables sur l</w:t>
      </w:r>
      <w:r w:rsidR="00CF2E72" w:rsidRPr="006405A4">
        <w:rPr>
          <w:lang w:val="fr-CH"/>
        </w:rPr>
        <w:t>'</w:t>
      </w:r>
      <w:r w:rsidRPr="006405A4">
        <w:rPr>
          <w:lang w:val="fr-CH"/>
        </w:rPr>
        <w:t>inclusion numérique et l</w:t>
      </w:r>
      <w:r w:rsidR="00CF2E72" w:rsidRPr="006405A4">
        <w:rPr>
          <w:lang w:val="fr-CH"/>
        </w:rPr>
        <w:t>'</w:t>
      </w:r>
      <w:r w:rsidRPr="006405A4">
        <w:rPr>
          <w:lang w:val="fr-CH"/>
        </w:rPr>
        <w:t>inclusion financière et sont utiles pour la plupart des États Membres.</w:t>
      </w:r>
      <w:bookmarkEnd w:id="77"/>
    </w:p>
    <w:p w14:paraId="3216C090" w14:textId="52CCF152"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4.13</w:t>
      </w:r>
      <w:r w:rsidRPr="006405A4">
        <w:rPr>
          <w:lang w:val="fr-CH"/>
        </w:rPr>
        <w:tab/>
      </w:r>
      <w:bookmarkStart w:id="78" w:name="lt_pId115"/>
      <w:r w:rsidRPr="006405A4">
        <w:rPr>
          <w:lang w:val="fr-CH"/>
        </w:rPr>
        <w:t>Le Chef du Département des services informatiques fait observer que la continuité des activités est une composante du cadre ORMS approuvé par le Conseil à sa session de 2017 et indique que le Document C21/15 portant sur le système ORMS expose la corrélation entre les éléments non financés et la résilience de l</w:t>
      </w:r>
      <w:r w:rsidR="00CF2E72" w:rsidRPr="006405A4">
        <w:rPr>
          <w:lang w:val="fr-CH"/>
        </w:rPr>
        <w:t>'</w:t>
      </w:r>
      <w:r w:rsidRPr="006405A4">
        <w:rPr>
          <w:lang w:val="fr-CH"/>
        </w:rPr>
        <w:t>organisation.</w:t>
      </w:r>
      <w:bookmarkEnd w:id="78"/>
      <w:r w:rsidRPr="006405A4">
        <w:rPr>
          <w:lang w:val="fr-CH"/>
        </w:rPr>
        <w:t xml:space="preserve"> </w:t>
      </w:r>
      <w:bookmarkStart w:id="79" w:name="lt_pId116"/>
      <w:r w:rsidRPr="006405A4">
        <w:rPr>
          <w:lang w:val="fr-CH"/>
        </w:rPr>
        <w:t>Les processus, les systèmes et les services informatiques sont essentiels pour garantir la protection et la disponibilité des informations en vue de poursuivre les activités en toute responsabilité dans un environnement de travail en évolution.</w:t>
      </w:r>
      <w:bookmarkEnd w:id="79"/>
      <w:r w:rsidRPr="006405A4">
        <w:rPr>
          <w:lang w:val="fr-CH"/>
        </w:rPr>
        <w:t xml:space="preserve"> </w:t>
      </w:r>
      <w:bookmarkStart w:id="80" w:name="lt_pId117"/>
      <w:r w:rsidRPr="006405A4">
        <w:rPr>
          <w:lang w:val="fr-CH"/>
        </w:rPr>
        <w:t>Il attire l</w:t>
      </w:r>
      <w:r w:rsidR="00CF2E72" w:rsidRPr="006405A4">
        <w:rPr>
          <w:lang w:val="fr-CH"/>
        </w:rPr>
        <w:t>'</w:t>
      </w:r>
      <w:r w:rsidRPr="006405A4">
        <w:rPr>
          <w:lang w:val="fr-CH"/>
        </w:rPr>
        <w:t>attention sur le Document C20/53, qui fournit des prévisions sur les investissements attendus en ce qui concerne la gestion de l</w:t>
      </w:r>
      <w:r w:rsidR="00CF2E72" w:rsidRPr="006405A4">
        <w:rPr>
          <w:lang w:val="fr-CH"/>
        </w:rPr>
        <w:t>'</w:t>
      </w:r>
      <w:r w:rsidRPr="006405A4">
        <w:rPr>
          <w:lang w:val="fr-CH"/>
        </w:rPr>
        <w:t>information et des dossiers, les outils de travail informatiques et le site web de l</w:t>
      </w:r>
      <w:r w:rsidR="00CF2E72" w:rsidRPr="006405A4">
        <w:rPr>
          <w:lang w:val="fr-CH"/>
        </w:rPr>
        <w:t>'</w:t>
      </w:r>
      <w:r w:rsidRPr="006405A4">
        <w:rPr>
          <w:lang w:val="fr-CH"/>
        </w:rPr>
        <w:t>UIT.</w:t>
      </w:r>
      <w:bookmarkEnd w:id="80"/>
      <w:r w:rsidRPr="006405A4">
        <w:rPr>
          <w:lang w:val="fr-CH"/>
        </w:rPr>
        <w:t xml:space="preserve"> </w:t>
      </w:r>
      <w:bookmarkStart w:id="81" w:name="lt_pId118"/>
      <w:r w:rsidRPr="006405A4">
        <w:rPr>
          <w:lang w:val="fr-CH"/>
        </w:rPr>
        <w:t>Si les investissements nécessaires ne sont pas réalisés, l</w:t>
      </w:r>
      <w:r w:rsidR="00CF2E72" w:rsidRPr="006405A4">
        <w:rPr>
          <w:lang w:val="fr-CH"/>
        </w:rPr>
        <w:t>'</w:t>
      </w:r>
      <w:r w:rsidRPr="006405A4">
        <w:rPr>
          <w:lang w:val="fr-CH"/>
        </w:rPr>
        <w:t>UIT ne sera pas en mesure de bénéficier de l</w:t>
      </w:r>
      <w:r w:rsidR="00CF2E72" w:rsidRPr="006405A4">
        <w:rPr>
          <w:lang w:val="fr-CH"/>
        </w:rPr>
        <w:t>'</w:t>
      </w:r>
      <w:r w:rsidRPr="006405A4">
        <w:rPr>
          <w:lang w:val="fr-CH"/>
        </w:rPr>
        <w:t>assistance des fournisseurs et de tirer parti de nouveaux outils.</w:t>
      </w:r>
      <w:bookmarkEnd w:id="81"/>
      <w:r w:rsidRPr="006405A4">
        <w:rPr>
          <w:lang w:val="fr-CH"/>
        </w:rPr>
        <w:t xml:space="preserve"> </w:t>
      </w:r>
      <w:bookmarkStart w:id="82" w:name="lt_pId119"/>
      <w:r w:rsidRPr="006405A4">
        <w:rPr>
          <w:lang w:val="fr-CH"/>
        </w:rPr>
        <w:t>On pourrait aussi rencontrer des difficultés à sauvegarder les informations lors de la période de transition dans le cadre de la construction du nouveau bâtiment.</w:t>
      </w:r>
      <w:bookmarkEnd w:id="82"/>
    </w:p>
    <w:p w14:paraId="2DE624A3" w14:textId="4376BB15"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4.14</w:t>
      </w:r>
      <w:r w:rsidRPr="006405A4">
        <w:rPr>
          <w:lang w:val="fr-CH"/>
        </w:rPr>
        <w:tab/>
      </w:r>
      <w:bookmarkStart w:id="83" w:name="lt_pId121"/>
      <w:r w:rsidRPr="006405A4">
        <w:rPr>
          <w:lang w:val="fr-CH"/>
        </w:rPr>
        <w:t xml:space="preserve">Le Président prend note du large soutien exprimé par les Conseillers et déclare que les participants à la consultation virtuelle des Conseillers souhaitent peut-être, en conclusion, autoriser le Secrétaire général à utiliser les économies réalisées dans la mise en </w:t>
      </w:r>
      <w:r w:rsidR="008C5251" w:rsidRPr="006405A4">
        <w:rPr>
          <w:lang w:val="fr-CH"/>
        </w:rPr>
        <w:t>œuvre</w:t>
      </w:r>
      <w:r w:rsidRPr="006405A4">
        <w:rPr>
          <w:lang w:val="fr-CH"/>
        </w:rPr>
        <w:t xml:space="preserve"> du budget pour satisfaire les demandes pour 2021, et charger le secrétariat de présenter des informations sur la mise en </w:t>
      </w:r>
      <w:r w:rsidR="008C5251" w:rsidRPr="006405A4">
        <w:rPr>
          <w:lang w:val="fr-CH"/>
        </w:rPr>
        <w:t>œuvre</w:t>
      </w:r>
      <w:r w:rsidRPr="006405A4">
        <w:rPr>
          <w:lang w:val="fr-CH"/>
        </w:rPr>
        <w:t xml:space="preserve"> des demandes et d</w:t>
      </w:r>
      <w:r w:rsidR="00CF2E72" w:rsidRPr="006405A4">
        <w:rPr>
          <w:lang w:val="fr-CH"/>
        </w:rPr>
        <w:t>'</w:t>
      </w:r>
      <w:r w:rsidRPr="006405A4">
        <w:rPr>
          <w:lang w:val="fr-CH"/>
        </w:rPr>
        <w:t xml:space="preserve">apporter des précisions quant aux activités demandées mais non </w:t>
      </w:r>
      <w:r w:rsidR="008C5251" w:rsidRPr="006405A4">
        <w:rPr>
          <w:lang w:val="fr-CH"/>
        </w:rPr>
        <w:t>budgétées</w:t>
      </w:r>
      <w:r w:rsidRPr="006405A4">
        <w:rPr>
          <w:lang w:val="fr-CH"/>
        </w:rPr>
        <w:t xml:space="preserve"> (UMAC) pour 2022 et après, à la réunion de septembre 2021 du GTC-FHR et aux sessions futures du Conseil.</w:t>
      </w:r>
      <w:bookmarkEnd w:id="83"/>
    </w:p>
    <w:p w14:paraId="71185043" w14:textId="6F9B0E3F"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4.15</w:t>
      </w:r>
      <w:r w:rsidRPr="006405A4">
        <w:rPr>
          <w:lang w:val="fr-CH"/>
        </w:rPr>
        <w:tab/>
      </w:r>
      <w:bookmarkStart w:id="84" w:name="lt_pId123"/>
      <w:r w:rsidRPr="006405A4">
        <w:rPr>
          <w:lang w:val="fr-CH"/>
        </w:rPr>
        <w:t xml:space="preserve">Le Chef du Département FRMD </w:t>
      </w:r>
      <w:r w:rsidR="00A34A60">
        <w:rPr>
          <w:lang w:val="fr-CH"/>
        </w:rPr>
        <w:t xml:space="preserve">souligne la nécessité, pour </w:t>
      </w:r>
      <w:r w:rsidRPr="006405A4">
        <w:rPr>
          <w:lang w:val="fr-CH"/>
        </w:rPr>
        <w:t>les Conseillers</w:t>
      </w:r>
      <w:r w:rsidR="00A34A60">
        <w:rPr>
          <w:lang w:val="fr-CH"/>
        </w:rPr>
        <w:t>, d'</w:t>
      </w:r>
      <w:r w:rsidRPr="006405A4">
        <w:rPr>
          <w:lang w:val="fr-CH"/>
        </w:rPr>
        <w:t xml:space="preserve">accorder leur confiance au Secrétaire général </w:t>
      </w:r>
      <w:r w:rsidR="00A34A60">
        <w:rPr>
          <w:lang w:val="fr-CH"/>
        </w:rPr>
        <w:t>en lui donnant</w:t>
      </w:r>
      <w:r w:rsidRPr="006405A4">
        <w:rPr>
          <w:lang w:val="fr-CH"/>
        </w:rPr>
        <w:t xml:space="preserve"> la latitude nécessaire pour utiliser </w:t>
      </w:r>
      <w:r w:rsidR="00A34A60">
        <w:rPr>
          <w:lang w:val="fr-CH"/>
        </w:rPr>
        <w:t>l'</w:t>
      </w:r>
      <w:r w:rsidRPr="006405A4">
        <w:rPr>
          <w:lang w:val="fr-CH"/>
        </w:rPr>
        <w:t xml:space="preserve">excédent découlant de la mise en </w:t>
      </w:r>
      <w:r w:rsidR="00A34A60" w:rsidRPr="006405A4">
        <w:rPr>
          <w:lang w:val="fr-CH"/>
        </w:rPr>
        <w:t>œuvre</w:t>
      </w:r>
      <w:r w:rsidRPr="006405A4">
        <w:rPr>
          <w:lang w:val="fr-CH"/>
        </w:rPr>
        <w:t xml:space="preserve"> du budget pour 2021, conformément au Règlement financier, afin de financer les activités demandées mais non </w:t>
      </w:r>
      <w:r w:rsidR="008C5251" w:rsidRPr="006405A4">
        <w:rPr>
          <w:lang w:val="fr-CH"/>
        </w:rPr>
        <w:t>budgétées</w:t>
      </w:r>
      <w:r w:rsidRPr="006405A4">
        <w:rPr>
          <w:lang w:val="fr-CH"/>
        </w:rPr>
        <w:t xml:space="preserve"> (UMAC) pour 2021 figurant dans la première colonne du Tableau 1 du Document C21/49</w:t>
      </w:r>
      <w:r w:rsidR="00A34A60">
        <w:rPr>
          <w:lang w:val="fr-CH"/>
        </w:rPr>
        <w:t xml:space="preserve"> qui sont considérées comme étant </w:t>
      </w:r>
      <w:r w:rsidRPr="006405A4">
        <w:rPr>
          <w:lang w:val="fr-CH"/>
        </w:rPr>
        <w:t>prioritaires.</w:t>
      </w:r>
      <w:bookmarkEnd w:id="84"/>
      <w:r w:rsidR="00A34A60">
        <w:rPr>
          <w:lang w:val="fr-CH"/>
        </w:rPr>
        <w:t xml:space="preserve"> Si des besoins supplémentaires se font jour, ils seront présentés au Conseil à sa session de 2022.</w:t>
      </w:r>
      <w:r w:rsidRPr="006405A4">
        <w:rPr>
          <w:lang w:val="fr-CH"/>
        </w:rPr>
        <w:t xml:space="preserve"> </w:t>
      </w:r>
      <w:bookmarkStart w:id="85" w:name="lt_pId124"/>
      <w:r w:rsidRPr="006405A4">
        <w:rPr>
          <w:lang w:val="fr-CH"/>
        </w:rPr>
        <w:t xml:space="preserve">Les postes financés à partir </w:t>
      </w:r>
      <w:r w:rsidR="00A34A60">
        <w:rPr>
          <w:lang w:val="fr-CH"/>
        </w:rPr>
        <w:t>des</w:t>
      </w:r>
      <w:r w:rsidRPr="006405A4">
        <w:rPr>
          <w:lang w:val="fr-CH"/>
        </w:rPr>
        <w:t xml:space="preserve"> économies ne seront pas considérés comme des postes permanents et seront</w:t>
      </w:r>
      <w:r w:rsidR="00A34A60">
        <w:rPr>
          <w:lang w:val="fr-CH"/>
        </w:rPr>
        <w:t xml:space="preserve"> uniquement</w:t>
      </w:r>
      <w:r w:rsidRPr="006405A4">
        <w:rPr>
          <w:lang w:val="fr-CH"/>
        </w:rPr>
        <w:t xml:space="preserve"> pourvus dans une perspective à court terme.</w:t>
      </w:r>
      <w:bookmarkEnd w:id="85"/>
    </w:p>
    <w:p w14:paraId="4CCC0C61" w14:textId="14257AAA"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4.16</w:t>
      </w:r>
      <w:r w:rsidRPr="006405A4">
        <w:rPr>
          <w:lang w:val="fr-CH"/>
        </w:rPr>
        <w:tab/>
      </w:r>
      <w:bookmarkStart w:id="86" w:name="lt_pId126"/>
      <w:r w:rsidRPr="006405A4">
        <w:rPr>
          <w:lang w:val="fr-CH"/>
        </w:rPr>
        <w:t>Tout en reconnaissant l</w:t>
      </w:r>
      <w:r w:rsidR="00CF2E72" w:rsidRPr="006405A4">
        <w:rPr>
          <w:lang w:val="fr-CH"/>
        </w:rPr>
        <w:t>'</w:t>
      </w:r>
      <w:r w:rsidRPr="006405A4">
        <w:rPr>
          <w:lang w:val="fr-CH"/>
        </w:rPr>
        <w:t>importance de cette question, les Conseillers soulignent qu</w:t>
      </w:r>
      <w:r w:rsidR="00CF2E72" w:rsidRPr="006405A4">
        <w:rPr>
          <w:lang w:val="fr-CH"/>
        </w:rPr>
        <w:t>'</w:t>
      </w:r>
      <w:r w:rsidRPr="006405A4">
        <w:rPr>
          <w:lang w:val="fr-CH"/>
        </w:rPr>
        <w:t xml:space="preserve">il est nécessaire de comprendre clairement quelles sont les activités demandées mais non </w:t>
      </w:r>
      <w:r w:rsidR="008C5251" w:rsidRPr="006405A4">
        <w:rPr>
          <w:lang w:val="fr-CH"/>
        </w:rPr>
        <w:t>budgétées</w:t>
      </w:r>
      <w:r w:rsidRPr="006405A4">
        <w:rPr>
          <w:lang w:val="fr-CH"/>
        </w:rPr>
        <w:t xml:space="preserve"> (UMAC) pour 2021 qui seront considérées comme prioritaires et d</w:t>
      </w:r>
      <w:r w:rsidR="00CF2E72" w:rsidRPr="006405A4">
        <w:rPr>
          <w:lang w:val="fr-CH"/>
        </w:rPr>
        <w:t>'</w:t>
      </w:r>
      <w:r w:rsidRPr="006405A4">
        <w:rPr>
          <w:lang w:val="fr-CH"/>
        </w:rPr>
        <w:t>avoir une estimation des montants requis, avant d</w:t>
      </w:r>
      <w:r w:rsidR="00CF2E72" w:rsidRPr="006405A4">
        <w:rPr>
          <w:lang w:val="fr-CH"/>
        </w:rPr>
        <w:t>'</w:t>
      </w:r>
      <w:r w:rsidRPr="006405A4">
        <w:rPr>
          <w:lang w:val="fr-CH"/>
        </w:rPr>
        <w:t>autoriser le Secrétaire général à prendre des mesures à cet égard.</w:t>
      </w:r>
      <w:bookmarkEnd w:id="86"/>
      <w:r w:rsidRPr="006405A4">
        <w:rPr>
          <w:lang w:val="fr-CH"/>
        </w:rPr>
        <w:t xml:space="preserve"> </w:t>
      </w:r>
      <w:bookmarkStart w:id="87" w:name="lt_pId127"/>
      <w:r w:rsidRPr="006405A4">
        <w:rPr>
          <w:lang w:val="fr-CH"/>
        </w:rPr>
        <w:lastRenderedPageBreak/>
        <w:t>Deux</w:t>
      </w:r>
      <w:r w:rsidR="00CF2E72" w:rsidRPr="006405A4">
        <w:rPr>
          <w:lang w:val="fr-CH"/>
        </w:rPr>
        <w:t> </w:t>
      </w:r>
      <w:r w:rsidRPr="006405A4">
        <w:rPr>
          <w:lang w:val="fr-CH"/>
        </w:rPr>
        <w:t>Conseillères déclarent qu</w:t>
      </w:r>
      <w:r w:rsidR="00CF2E72" w:rsidRPr="006405A4">
        <w:rPr>
          <w:lang w:val="fr-CH"/>
        </w:rPr>
        <w:t>'</w:t>
      </w:r>
      <w:r w:rsidRPr="006405A4">
        <w:rPr>
          <w:lang w:val="fr-CH"/>
        </w:rPr>
        <w:t>il convient de soumettre d</w:t>
      </w:r>
      <w:r w:rsidR="00CF2E72" w:rsidRPr="006405A4">
        <w:rPr>
          <w:lang w:val="fr-CH"/>
        </w:rPr>
        <w:t>'</w:t>
      </w:r>
      <w:r w:rsidRPr="006405A4">
        <w:rPr>
          <w:lang w:val="fr-CH"/>
        </w:rPr>
        <w:t xml:space="preserve">autres informations concernant les activités demandées mais non </w:t>
      </w:r>
      <w:r w:rsidR="008C5251" w:rsidRPr="006405A4">
        <w:rPr>
          <w:lang w:val="fr-CH"/>
        </w:rPr>
        <w:t>budgétées</w:t>
      </w:r>
      <w:r w:rsidRPr="006405A4">
        <w:rPr>
          <w:lang w:val="fr-CH"/>
        </w:rPr>
        <w:t xml:space="preserve"> (UMAC) prioritaires qui seront financées sur l</w:t>
      </w:r>
      <w:r w:rsidR="00CF2E72" w:rsidRPr="006405A4">
        <w:rPr>
          <w:lang w:val="fr-CH"/>
        </w:rPr>
        <w:t>'</w:t>
      </w:r>
      <w:r w:rsidRPr="006405A4">
        <w:rPr>
          <w:lang w:val="fr-CH"/>
        </w:rPr>
        <w:t>excédent du budget pour 2021 et les économies réalisées, à la réunion de septembre 2021 du GTC-FHR à des fins d</w:t>
      </w:r>
      <w:r w:rsidR="00CF2E72" w:rsidRPr="006405A4">
        <w:rPr>
          <w:lang w:val="fr-CH"/>
        </w:rPr>
        <w:t>'</w:t>
      </w:r>
      <w:r w:rsidRPr="006405A4">
        <w:rPr>
          <w:lang w:val="fr-CH"/>
        </w:rPr>
        <w:t>examen, avant qu</w:t>
      </w:r>
      <w:r w:rsidR="00CF2E72" w:rsidRPr="006405A4">
        <w:rPr>
          <w:lang w:val="fr-CH"/>
        </w:rPr>
        <w:t>'</w:t>
      </w:r>
      <w:r w:rsidRPr="006405A4">
        <w:rPr>
          <w:lang w:val="fr-CH"/>
        </w:rPr>
        <w:t>une décision ne soit prise.</w:t>
      </w:r>
      <w:bookmarkEnd w:id="87"/>
    </w:p>
    <w:p w14:paraId="4B03D0C3" w14:textId="194B9C03"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4.17</w:t>
      </w:r>
      <w:r w:rsidRPr="006405A4">
        <w:rPr>
          <w:lang w:val="fr-CH"/>
        </w:rPr>
        <w:tab/>
      </w:r>
      <w:bookmarkStart w:id="88" w:name="lt_pId129"/>
      <w:r w:rsidRPr="006405A4">
        <w:rPr>
          <w:lang w:val="fr-CH"/>
        </w:rPr>
        <w:t>Un Conseiller fait remarquer que les conclusions formulées à la consultation virtuelle des Conseillers font l</w:t>
      </w:r>
      <w:r w:rsidR="00CF2E72" w:rsidRPr="006405A4">
        <w:rPr>
          <w:lang w:val="fr-CH"/>
        </w:rPr>
        <w:t>'</w:t>
      </w:r>
      <w:r w:rsidRPr="006405A4">
        <w:rPr>
          <w:lang w:val="fr-CH"/>
        </w:rPr>
        <w:t>objet d</w:t>
      </w:r>
      <w:r w:rsidR="00CF2E72" w:rsidRPr="006405A4">
        <w:rPr>
          <w:lang w:val="fr-CH"/>
        </w:rPr>
        <w:t>'</w:t>
      </w:r>
      <w:r w:rsidRPr="006405A4">
        <w:rPr>
          <w:lang w:val="fr-CH"/>
        </w:rPr>
        <w:t>une consultation par correspondance des États Membres du Conseil.</w:t>
      </w:r>
      <w:bookmarkEnd w:id="88"/>
    </w:p>
    <w:p w14:paraId="6C6C956A" w14:textId="3CFE8034" w:rsidR="00C512E1" w:rsidRPr="006405A4" w:rsidRDefault="00C512E1" w:rsidP="00D15298">
      <w:pPr>
        <w:tabs>
          <w:tab w:val="clear" w:pos="567"/>
          <w:tab w:val="clear" w:pos="1134"/>
          <w:tab w:val="clear" w:pos="1701"/>
          <w:tab w:val="clear" w:pos="2268"/>
          <w:tab w:val="clear" w:pos="2835"/>
        </w:tabs>
        <w:rPr>
          <w:lang w:val="fr-CH"/>
        </w:rPr>
      </w:pPr>
      <w:r w:rsidRPr="00CB60AB">
        <w:rPr>
          <w:lang w:val="fr-CH"/>
        </w:rPr>
        <w:t>4.18</w:t>
      </w:r>
      <w:r w:rsidRPr="00CB60AB">
        <w:rPr>
          <w:lang w:val="fr-CH"/>
        </w:rPr>
        <w:tab/>
      </w:r>
      <w:bookmarkStart w:id="89" w:name="lt_pId131"/>
      <w:r w:rsidRPr="00CB60AB">
        <w:rPr>
          <w:lang w:val="fr-CH"/>
        </w:rPr>
        <w:t>Le Secrétaire général fait savoir qu</w:t>
      </w:r>
      <w:r w:rsidR="00CF2E72" w:rsidRPr="00CB60AB">
        <w:rPr>
          <w:lang w:val="fr-CH"/>
        </w:rPr>
        <w:t>'</w:t>
      </w:r>
      <w:r w:rsidRPr="00CB60AB">
        <w:rPr>
          <w:lang w:val="fr-CH"/>
        </w:rPr>
        <w:t>un petit nombre d</w:t>
      </w:r>
      <w:r w:rsidR="00CF2E72" w:rsidRPr="00CB60AB">
        <w:rPr>
          <w:lang w:val="fr-CH"/>
        </w:rPr>
        <w:t>'</w:t>
      </w:r>
      <w:r w:rsidRPr="00CB60AB">
        <w:rPr>
          <w:lang w:val="fr-CH"/>
        </w:rPr>
        <w:t>activités demandées mais non</w:t>
      </w:r>
      <w:r w:rsidRPr="006405A4">
        <w:rPr>
          <w:lang w:val="fr-CH"/>
        </w:rPr>
        <w:t xml:space="preserve"> budgétées pour 2021 doivent être mises en œuvre de toute urgence</w:t>
      </w:r>
      <w:r w:rsidR="00A34A60">
        <w:rPr>
          <w:lang w:val="fr-CH"/>
        </w:rPr>
        <w:t xml:space="preserve"> au sein des Secteurs</w:t>
      </w:r>
      <w:r w:rsidRPr="006405A4">
        <w:rPr>
          <w:lang w:val="fr-CH"/>
        </w:rPr>
        <w:t xml:space="preserve"> avant la réunion de septembre du GTC-FHR.</w:t>
      </w:r>
      <w:bookmarkEnd w:id="89"/>
      <w:r w:rsidRPr="006405A4">
        <w:rPr>
          <w:lang w:val="fr-CH"/>
        </w:rPr>
        <w:t xml:space="preserve"> </w:t>
      </w:r>
      <w:bookmarkStart w:id="90" w:name="lt_pId132"/>
      <w:r w:rsidRPr="006405A4">
        <w:rPr>
          <w:lang w:val="fr-CH"/>
        </w:rPr>
        <w:t>Ces tâches urgentes peuvent être financées moyennant des économies qui ont déjà été réalisées</w:t>
      </w:r>
      <w:r w:rsidR="00A34A60">
        <w:rPr>
          <w:lang w:val="fr-CH"/>
        </w:rPr>
        <w:t xml:space="preserve"> par les Secteurs</w:t>
      </w:r>
      <w:r w:rsidRPr="006405A4">
        <w:rPr>
          <w:lang w:val="fr-CH"/>
        </w:rPr>
        <w:t>.</w:t>
      </w:r>
      <w:bookmarkEnd w:id="90"/>
      <w:r w:rsidRPr="006405A4">
        <w:rPr>
          <w:lang w:val="fr-CH"/>
        </w:rPr>
        <w:t xml:space="preserve"> </w:t>
      </w:r>
      <w:bookmarkStart w:id="91" w:name="lt_pId133"/>
      <w:r w:rsidRPr="006405A4">
        <w:rPr>
          <w:lang w:val="fr-CH"/>
        </w:rPr>
        <w:t xml:space="preserve">Comme suite aux commentaires formulés par les Conseillers, le secrétariat fournira volontiers une liste des activités identifiées comme étant urgentes parmi les activités demandées mais non </w:t>
      </w:r>
      <w:r w:rsidR="008C5251" w:rsidRPr="006405A4">
        <w:rPr>
          <w:lang w:val="fr-CH"/>
        </w:rPr>
        <w:t>budgétées</w:t>
      </w:r>
      <w:r w:rsidRPr="006405A4">
        <w:rPr>
          <w:lang w:val="fr-CH"/>
        </w:rPr>
        <w:t xml:space="preserve"> pour 2021, ainsi que les montants correspondants nécessaires, en vue d</w:t>
      </w:r>
      <w:r w:rsidR="00CF2E72" w:rsidRPr="006405A4">
        <w:rPr>
          <w:lang w:val="fr-CH"/>
        </w:rPr>
        <w:t>'</w:t>
      </w:r>
      <w:r w:rsidRPr="006405A4">
        <w:rPr>
          <w:lang w:val="fr-CH"/>
        </w:rPr>
        <w:t>un examen par les participants à la consultation virtuelle des Conseillers.</w:t>
      </w:r>
      <w:bookmarkEnd w:id="91"/>
      <w:r w:rsidRPr="006405A4">
        <w:rPr>
          <w:lang w:val="fr-CH"/>
        </w:rPr>
        <w:t xml:space="preserve"> </w:t>
      </w:r>
      <w:bookmarkStart w:id="92" w:name="lt_pId134"/>
      <w:r w:rsidRPr="006405A4">
        <w:rPr>
          <w:lang w:val="fr-CH"/>
        </w:rPr>
        <w:t>Il sera en outre en mesure de soumettre d</w:t>
      </w:r>
      <w:r w:rsidR="00CF2E72" w:rsidRPr="006405A4">
        <w:rPr>
          <w:lang w:val="fr-CH"/>
        </w:rPr>
        <w:t>'</w:t>
      </w:r>
      <w:r w:rsidRPr="006405A4">
        <w:rPr>
          <w:lang w:val="fr-CH"/>
        </w:rPr>
        <w:t xml:space="preserve">autres informations concernant les activités demandées mais non </w:t>
      </w:r>
      <w:r w:rsidR="008C5251" w:rsidRPr="006405A4">
        <w:rPr>
          <w:lang w:val="fr-CH"/>
        </w:rPr>
        <w:t>budgétées</w:t>
      </w:r>
      <w:r w:rsidRPr="006405A4">
        <w:rPr>
          <w:lang w:val="fr-CH"/>
        </w:rPr>
        <w:t xml:space="preserve"> et les éventuelles économies pour 2021 à la réunion de septembre du</w:t>
      </w:r>
      <w:r w:rsidR="004F2FB2" w:rsidRPr="006405A4">
        <w:rPr>
          <w:lang w:val="fr-CH"/>
        </w:rPr>
        <w:t> </w:t>
      </w:r>
      <w:r w:rsidRPr="006405A4">
        <w:rPr>
          <w:lang w:val="fr-CH"/>
        </w:rPr>
        <w:t>GTC</w:t>
      </w:r>
      <w:r w:rsidR="00CF2E72" w:rsidRPr="006405A4">
        <w:rPr>
          <w:lang w:val="fr-CH"/>
        </w:rPr>
        <w:noBreakHyphen/>
      </w:r>
      <w:r w:rsidRPr="006405A4">
        <w:rPr>
          <w:lang w:val="fr-CH"/>
        </w:rPr>
        <w:t>FHR.</w:t>
      </w:r>
      <w:bookmarkEnd w:id="92"/>
    </w:p>
    <w:p w14:paraId="1CACF5C7" w14:textId="25F5D1FA"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4.19</w:t>
      </w:r>
      <w:r w:rsidRPr="006405A4">
        <w:rPr>
          <w:lang w:val="fr-CH"/>
        </w:rPr>
        <w:tab/>
      </w:r>
      <w:bookmarkStart w:id="93" w:name="lt_pId136"/>
      <w:r w:rsidRPr="006405A4">
        <w:rPr>
          <w:lang w:val="fr-CH"/>
        </w:rPr>
        <w:t>Le Président considère que les Conseillers souhaitent reporter l</w:t>
      </w:r>
      <w:r w:rsidR="00CF2E72" w:rsidRPr="006405A4">
        <w:rPr>
          <w:lang w:val="fr-CH"/>
        </w:rPr>
        <w:t>'</w:t>
      </w:r>
      <w:r w:rsidRPr="006405A4">
        <w:rPr>
          <w:lang w:val="fr-CH"/>
        </w:rPr>
        <w:t xml:space="preserve">examen de ce point afin de permettre au secrétariat de fournir, dans les jours à venir, une liste des activités demandées mais non </w:t>
      </w:r>
      <w:r w:rsidR="008C5251" w:rsidRPr="006405A4">
        <w:rPr>
          <w:lang w:val="fr-CH"/>
        </w:rPr>
        <w:t>budgétées</w:t>
      </w:r>
      <w:r w:rsidRPr="006405A4">
        <w:rPr>
          <w:lang w:val="fr-CH"/>
        </w:rPr>
        <w:t xml:space="preserve"> devant être mises en œuvre de toute urgence d</w:t>
      </w:r>
      <w:r w:rsidR="00CF2E72" w:rsidRPr="006405A4">
        <w:rPr>
          <w:lang w:val="fr-CH"/>
        </w:rPr>
        <w:t>'</w:t>
      </w:r>
      <w:r w:rsidRPr="006405A4">
        <w:rPr>
          <w:lang w:val="fr-CH"/>
        </w:rPr>
        <w:t>ici à septembre 2021, de façon à pouvoir mener à bien la discussion sur cette question.</w:t>
      </w:r>
      <w:bookmarkEnd w:id="93"/>
    </w:p>
    <w:p w14:paraId="325D86EB"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4.20</w:t>
      </w:r>
      <w:r w:rsidRPr="006405A4">
        <w:rPr>
          <w:lang w:val="fr-CH"/>
        </w:rPr>
        <w:tab/>
      </w:r>
      <w:bookmarkStart w:id="94" w:name="lt_pId138"/>
      <w:r w:rsidRPr="006405A4">
        <w:rPr>
          <w:lang w:val="fr-CH"/>
        </w:rPr>
        <w:t xml:space="preserve">Il en est ainsi </w:t>
      </w:r>
      <w:r w:rsidRPr="006405A4">
        <w:rPr>
          <w:b/>
          <w:lang w:val="fr-CH"/>
        </w:rPr>
        <w:t>décidé</w:t>
      </w:r>
      <w:r w:rsidRPr="006405A4">
        <w:rPr>
          <w:lang w:val="fr-CH"/>
        </w:rPr>
        <w:t>.</w:t>
      </w:r>
      <w:bookmarkEnd w:id="94"/>
    </w:p>
    <w:p w14:paraId="490DC4FB" w14:textId="392A1482" w:rsidR="00C512E1" w:rsidRPr="006405A4" w:rsidRDefault="00C512E1" w:rsidP="00D15298">
      <w:pPr>
        <w:pStyle w:val="Heading1"/>
        <w:tabs>
          <w:tab w:val="clear" w:pos="567"/>
          <w:tab w:val="clear" w:pos="1134"/>
          <w:tab w:val="clear" w:pos="1701"/>
          <w:tab w:val="clear" w:pos="2268"/>
          <w:tab w:val="clear" w:pos="2835"/>
        </w:tabs>
        <w:ind w:left="709" w:hanging="709"/>
        <w:rPr>
          <w:lang w:val="fr-CH"/>
        </w:rPr>
      </w:pPr>
      <w:r w:rsidRPr="006405A4">
        <w:rPr>
          <w:bCs/>
          <w:lang w:val="fr-CH"/>
        </w:rPr>
        <w:t>5</w:t>
      </w:r>
      <w:r w:rsidRPr="006405A4">
        <w:rPr>
          <w:bCs/>
          <w:lang w:val="fr-CH"/>
        </w:rPr>
        <w:tab/>
      </w:r>
      <w:bookmarkStart w:id="95" w:name="lt_pId140"/>
      <w:r w:rsidRPr="006405A4">
        <w:rPr>
          <w:lang w:val="fr-CH"/>
        </w:rPr>
        <w:t>Rapport de la Présidente du Groupe de travail du Conseil sur les ressources financières et les ressources humaines (GTC-FHR) (Document</w:t>
      </w:r>
      <w:r w:rsidR="00CF2E72" w:rsidRPr="006405A4">
        <w:rPr>
          <w:lang w:val="fr-CH"/>
        </w:rPr>
        <w:t> </w:t>
      </w:r>
      <w:hyperlink r:id="rId26" w:history="1">
        <w:r w:rsidRPr="006405A4">
          <w:rPr>
            <w:rStyle w:val="Hyperlink"/>
            <w:lang w:val="fr-CH"/>
          </w:rPr>
          <w:t>C21/50+Addendum 1</w:t>
        </w:r>
      </w:hyperlink>
      <w:r w:rsidRPr="006405A4">
        <w:rPr>
          <w:lang w:val="fr-CH"/>
        </w:rPr>
        <w:t>)</w:t>
      </w:r>
      <w:bookmarkEnd w:id="95"/>
    </w:p>
    <w:p w14:paraId="304AA255" w14:textId="6504E0DE"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5.1</w:t>
      </w:r>
      <w:r w:rsidRPr="006405A4">
        <w:rPr>
          <w:lang w:val="fr-CH"/>
        </w:rPr>
        <w:tab/>
      </w:r>
      <w:bookmarkStart w:id="96" w:name="lt_pId142"/>
      <w:r w:rsidRPr="006405A4">
        <w:rPr>
          <w:lang w:val="fr-CH"/>
        </w:rPr>
        <w:t>La Présidente du GTC-FHR présente le Document C21/50 et indique que les résultats des réunions du Groupe ad hoc sur le rapport externe de PwC relatif à la présence régionale, créé en janvier 2021, figurent dans l</w:t>
      </w:r>
      <w:r w:rsidR="00CF2E72" w:rsidRPr="006405A4">
        <w:rPr>
          <w:lang w:val="fr-CH"/>
        </w:rPr>
        <w:t>'</w:t>
      </w:r>
      <w:r w:rsidRPr="006405A4">
        <w:rPr>
          <w:lang w:val="fr-CH"/>
        </w:rPr>
        <w:t>Addendum 1.</w:t>
      </w:r>
      <w:bookmarkEnd w:id="96"/>
      <w:r w:rsidRPr="006405A4">
        <w:rPr>
          <w:lang w:val="fr-CH"/>
        </w:rPr>
        <w:t xml:space="preserve"> </w:t>
      </w:r>
      <w:bookmarkStart w:id="97" w:name="lt_pId143"/>
      <w:r w:rsidRPr="006405A4">
        <w:rPr>
          <w:lang w:val="fr-CH"/>
        </w:rPr>
        <w:t>Le Groupe ad hoc est convenu que le Conseil formule des propositions concernant le rapport de PwC et a recommandé qu</w:t>
      </w:r>
      <w:r w:rsidR="00CF2E72" w:rsidRPr="006405A4">
        <w:rPr>
          <w:lang w:val="fr-CH"/>
        </w:rPr>
        <w:t>'</w:t>
      </w:r>
      <w:r w:rsidRPr="006405A4">
        <w:rPr>
          <w:lang w:val="fr-CH"/>
        </w:rPr>
        <w:t>il approuve la mise au point d</w:t>
      </w:r>
      <w:r w:rsidR="00CF2E72" w:rsidRPr="006405A4">
        <w:rPr>
          <w:lang w:val="fr-CH"/>
        </w:rPr>
        <w:t>'</w:t>
      </w:r>
      <w:r w:rsidRPr="006405A4">
        <w:rPr>
          <w:lang w:val="fr-CH"/>
        </w:rPr>
        <w:t xml:space="preserve">un tableau de bord permettant un suivi systématique de la mise en </w:t>
      </w:r>
      <w:r w:rsidR="008C5251" w:rsidRPr="006405A4">
        <w:rPr>
          <w:lang w:val="fr-CH"/>
        </w:rPr>
        <w:t>œuvre</w:t>
      </w:r>
      <w:r w:rsidRPr="006405A4">
        <w:rPr>
          <w:lang w:val="fr-CH"/>
        </w:rPr>
        <w:t xml:space="preserve"> des recommandations de PwC approuvées et un compte rendu de l</w:t>
      </w:r>
      <w:r w:rsidR="00CF2E72" w:rsidRPr="006405A4">
        <w:rPr>
          <w:lang w:val="fr-CH"/>
        </w:rPr>
        <w:t>'</w:t>
      </w:r>
      <w:r w:rsidRPr="006405A4">
        <w:rPr>
          <w:lang w:val="fr-CH"/>
        </w:rPr>
        <w:t>état d</w:t>
      </w:r>
      <w:r w:rsidR="00CF2E72" w:rsidRPr="006405A4">
        <w:rPr>
          <w:lang w:val="fr-CH"/>
        </w:rPr>
        <w:t>'</w:t>
      </w:r>
      <w:r w:rsidRPr="006405A4">
        <w:rPr>
          <w:lang w:val="fr-CH"/>
        </w:rPr>
        <w:t>avancement et du statut des recommandations au GTC-FHR et au Conseil.</w:t>
      </w:r>
      <w:bookmarkEnd w:id="97"/>
      <w:r w:rsidRPr="006405A4">
        <w:rPr>
          <w:lang w:val="fr-CH"/>
        </w:rPr>
        <w:t xml:space="preserve"> </w:t>
      </w:r>
      <w:bookmarkStart w:id="98" w:name="lt_pId144"/>
      <w:r w:rsidRPr="006405A4">
        <w:rPr>
          <w:lang w:val="fr-CH"/>
        </w:rPr>
        <w:t>De cette manière, tous les Conseillers et l</w:t>
      </w:r>
      <w:r w:rsidR="00CF2E72" w:rsidRPr="006405A4">
        <w:rPr>
          <w:lang w:val="fr-CH"/>
        </w:rPr>
        <w:t>'</w:t>
      </w:r>
      <w:r w:rsidRPr="006405A4">
        <w:rPr>
          <w:lang w:val="fr-CH"/>
        </w:rPr>
        <w:t xml:space="preserve">Union pourront suivre les progrès accomplis dans la mise en </w:t>
      </w:r>
      <w:r w:rsidR="008C5251" w:rsidRPr="006405A4">
        <w:rPr>
          <w:lang w:val="fr-CH"/>
        </w:rPr>
        <w:t>œuvre</w:t>
      </w:r>
      <w:r w:rsidRPr="006405A4">
        <w:rPr>
          <w:lang w:val="fr-CH"/>
        </w:rPr>
        <w:t xml:space="preserve"> des recommandations, et les États Membres pourront les examiner de manière approfondie et soumettre des propositions pour suite à donner par le Conseil et le GTC-FHR.</w:t>
      </w:r>
      <w:bookmarkEnd w:id="98"/>
      <w:r w:rsidRPr="006405A4">
        <w:rPr>
          <w:lang w:val="fr-CH"/>
        </w:rPr>
        <w:t xml:space="preserve"> </w:t>
      </w:r>
      <w:bookmarkStart w:id="99" w:name="lt_pId145"/>
      <w:r w:rsidRPr="006405A4">
        <w:rPr>
          <w:lang w:val="fr-CH"/>
        </w:rPr>
        <w:t>D</w:t>
      </w:r>
      <w:r w:rsidR="00CF2E72" w:rsidRPr="006405A4">
        <w:rPr>
          <w:lang w:val="fr-CH"/>
        </w:rPr>
        <w:t>'</w:t>
      </w:r>
      <w:r w:rsidRPr="006405A4">
        <w:rPr>
          <w:lang w:val="fr-CH"/>
        </w:rPr>
        <w:t>autres questions traitées dans le Document C21/50 sont inscrites à l</w:t>
      </w:r>
      <w:r w:rsidR="00CF2E72" w:rsidRPr="006405A4">
        <w:rPr>
          <w:lang w:val="fr-CH"/>
        </w:rPr>
        <w:t>'</w:t>
      </w:r>
      <w:r w:rsidRPr="006405A4">
        <w:rPr>
          <w:lang w:val="fr-CH"/>
        </w:rPr>
        <w:t>ordre du jour du Conseil et seront examinées au titre d</w:t>
      </w:r>
      <w:r w:rsidR="00CF2E72" w:rsidRPr="006405A4">
        <w:rPr>
          <w:lang w:val="fr-CH"/>
        </w:rPr>
        <w:t>'</w:t>
      </w:r>
      <w:r w:rsidRPr="006405A4">
        <w:rPr>
          <w:lang w:val="fr-CH"/>
        </w:rPr>
        <w:t>autres points de l</w:t>
      </w:r>
      <w:r w:rsidR="00CF2E72" w:rsidRPr="006405A4">
        <w:rPr>
          <w:lang w:val="fr-CH"/>
        </w:rPr>
        <w:t>'</w:t>
      </w:r>
      <w:r w:rsidRPr="006405A4">
        <w:rPr>
          <w:lang w:val="fr-CH"/>
        </w:rPr>
        <w:t>ordre du jour.</w:t>
      </w:r>
      <w:bookmarkEnd w:id="99"/>
    </w:p>
    <w:p w14:paraId="3A4265DB" w14:textId="63900BFE"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5.2</w:t>
      </w:r>
      <w:r w:rsidRPr="006405A4">
        <w:rPr>
          <w:lang w:val="fr-CH"/>
        </w:rPr>
        <w:tab/>
      </w:r>
      <w:bookmarkStart w:id="100" w:name="lt_pId147"/>
      <w:r w:rsidRPr="006405A4">
        <w:rPr>
          <w:lang w:val="fr-CH"/>
        </w:rPr>
        <w:t>En réponse à un Conseiller faisant observer que la structure organisationnelle au niveau régional est façonnée par divers aspects politiques, sociaux, culturels et historiques qui sont difficiles à mesurer, notamment sur le plan des statistiques, la Présidente du GTC-FHR précise qu</w:t>
      </w:r>
      <w:r w:rsidR="00CF2E72" w:rsidRPr="006405A4">
        <w:rPr>
          <w:lang w:val="fr-CH"/>
        </w:rPr>
        <w:t>'</w:t>
      </w:r>
      <w:r w:rsidRPr="006405A4">
        <w:rPr>
          <w:lang w:val="fr-CH"/>
        </w:rPr>
        <w:t>aucun changement de structure n</w:t>
      </w:r>
      <w:r w:rsidR="00CF2E72" w:rsidRPr="006405A4">
        <w:rPr>
          <w:lang w:val="fr-CH"/>
        </w:rPr>
        <w:t>'</w:t>
      </w:r>
      <w:r w:rsidRPr="006405A4">
        <w:rPr>
          <w:lang w:val="fr-CH"/>
        </w:rPr>
        <w:t>est prévu et que, de surcroît, tout changement proposé devra être approuvé par le Conseil.</w:t>
      </w:r>
      <w:bookmarkEnd w:id="100"/>
    </w:p>
    <w:p w14:paraId="204A4745" w14:textId="693DE457" w:rsidR="00C512E1" w:rsidRPr="006405A4" w:rsidRDefault="00C512E1" w:rsidP="00D15298">
      <w:pPr>
        <w:keepNext/>
        <w:keepLines/>
        <w:tabs>
          <w:tab w:val="clear" w:pos="567"/>
          <w:tab w:val="clear" w:pos="1134"/>
          <w:tab w:val="clear" w:pos="1701"/>
          <w:tab w:val="clear" w:pos="2268"/>
          <w:tab w:val="clear" w:pos="2835"/>
        </w:tabs>
        <w:rPr>
          <w:lang w:val="fr-CH"/>
        </w:rPr>
      </w:pPr>
      <w:r w:rsidRPr="006405A4">
        <w:rPr>
          <w:lang w:val="fr-CH"/>
        </w:rPr>
        <w:lastRenderedPageBreak/>
        <w:t>5.3</w:t>
      </w:r>
      <w:r w:rsidRPr="006405A4">
        <w:rPr>
          <w:lang w:val="fr-CH"/>
        </w:rPr>
        <w:tab/>
      </w:r>
      <w:bookmarkStart w:id="101" w:name="lt_pId149"/>
      <w:r w:rsidRPr="006405A4">
        <w:rPr>
          <w:lang w:val="fr-CH"/>
        </w:rPr>
        <w:t>Le Président considère que les Conseillers souhaitent conclure que, compte tenu du caractère urgent de ces questions, une consultation par correspondance des États Membres du Conseil sera organisée afin de charger le Secrétariat de l</w:t>
      </w:r>
      <w:r w:rsidR="00CF2E72" w:rsidRPr="006405A4">
        <w:rPr>
          <w:lang w:val="fr-CH"/>
        </w:rPr>
        <w:t>'</w:t>
      </w:r>
      <w:r w:rsidRPr="006405A4">
        <w:rPr>
          <w:lang w:val="fr-CH"/>
        </w:rPr>
        <w:t xml:space="preserve">UIT de mettre au point un tableau de bord permettant un suivi systématique de la mise en </w:t>
      </w:r>
      <w:r w:rsidR="008C5251" w:rsidRPr="006405A4">
        <w:rPr>
          <w:lang w:val="fr-CH"/>
        </w:rPr>
        <w:t>œuvre</w:t>
      </w:r>
      <w:r w:rsidRPr="006405A4">
        <w:rPr>
          <w:lang w:val="fr-CH"/>
        </w:rPr>
        <w:t xml:space="preserve"> des recommandations de PwC approuvées et de rendre compte au GTC-FHR et au Conseil des pr</w:t>
      </w:r>
      <w:r w:rsidR="002228AD">
        <w:rPr>
          <w:lang w:val="fr-CH"/>
        </w:rPr>
        <w:t>ogrès accomplis à cet égard (en </w:t>
      </w:r>
      <w:r w:rsidRPr="006405A4">
        <w:rPr>
          <w:lang w:val="fr-CH"/>
        </w:rPr>
        <w:t>indiquant le statut de toutes les recommandations de PwC),</w:t>
      </w:r>
      <w:r w:rsidR="002228AD">
        <w:rPr>
          <w:lang w:val="fr-CH"/>
        </w:rPr>
        <w:t xml:space="preserve"> et de prendre note du Document </w:t>
      </w:r>
      <w:r w:rsidRPr="006405A4">
        <w:rPr>
          <w:lang w:val="fr-CH"/>
        </w:rPr>
        <w:t>21/50+Add.1.</w:t>
      </w:r>
      <w:bookmarkEnd w:id="101"/>
    </w:p>
    <w:p w14:paraId="5C9CEB32"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5.4</w:t>
      </w:r>
      <w:r w:rsidRPr="006405A4">
        <w:rPr>
          <w:lang w:val="fr-CH"/>
        </w:rPr>
        <w:tab/>
      </w:r>
      <w:bookmarkStart w:id="102" w:name="lt_pId151"/>
      <w:r w:rsidRPr="006405A4">
        <w:rPr>
          <w:lang w:val="fr-CH"/>
        </w:rPr>
        <w:t xml:space="preserve">Il en est ainsi </w:t>
      </w:r>
      <w:r w:rsidRPr="006405A4">
        <w:rPr>
          <w:b/>
          <w:lang w:val="fr-CH"/>
        </w:rPr>
        <w:t>conclu</w:t>
      </w:r>
      <w:r w:rsidRPr="006405A4">
        <w:rPr>
          <w:lang w:val="fr-CH"/>
        </w:rPr>
        <w:t>.</w:t>
      </w:r>
      <w:bookmarkEnd w:id="102"/>
    </w:p>
    <w:p w14:paraId="0AF7C1CC" w14:textId="1235BC8D" w:rsidR="00C512E1" w:rsidRPr="006405A4" w:rsidRDefault="00C512E1" w:rsidP="00D15298">
      <w:pPr>
        <w:pStyle w:val="Heading1"/>
        <w:tabs>
          <w:tab w:val="clear" w:pos="567"/>
          <w:tab w:val="clear" w:pos="1134"/>
          <w:tab w:val="clear" w:pos="1701"/>
          <w:tab w:val="clear" w:pos="2268"/>
          <w:tab w:val="clear" w:pos="2835"/>
        </w:tabs>
        <w:ind w:left="709" w:hanging="709"/>
        <w:rPr>
          <w:bCs/>
          <w:lang w:val="fr-CH"/>
        </w:rPr>
      </w:pPr>
      <w:r w:rsidRPr="006405A4">
        <w:rPr>
          <w:bCs/>
          <w:lang w:val="fr-CH"/>
        </w:rPr>
        <w:t>6</w:t>
      </w:r>
      <w:r w:rsidRPr="006405A4">
        <w:rPr>
          <w:bCs/>
          <w:lang w:val="fr-CH"/>
        </w:rPr>
        <w:tab/>
      </w:r>
      <w:bookmarkStart w:id="103" w:name="lt_pId153"/>
      <w:r w:rsidRPr="006405A4">
        <w:rPr>
          <w:bCs/>
          <w:lang w:val="fr-CH"/>
        </w:rPr>
        <w:t>Arriérés et comptes spéciaux d</w:t>
      </w:r>
      <w:r w:rsidR="00CF2E72" w:rsidRPr="006405A4">
        <w:rPr>
          <w:bCs/>
          <w:lang w:val="fr-CH"/>
        </w:rPr>
        <w:t>'</w:t>
      </w:r>
      <w:r w:rsidRPr="006405A4">
        <w:rPr>
          <w:bCs/>
          <w:lang w:val="fr-CH"/>
        </w:rPr>
        <w:t xml:space="preserve">arriérés (Documents </w:t>
      </w:r>
      <w:hyperlink r:id="rId27" w:history="1">
        <w:r w:rsidRPr="006405A4">
          <w:rPr>
            <w:rStyle w:val="Hyperlink"/>
            <w:lang w:val="fr-CH"/>
          </w:rPr>
          <w:t>C21/11</w:t>
        </w:r>
      </w:hyperlink>
      <w:r w:rsidRPr="006405A4">
        <w:rPr>
          <w:lang w:val="fr-CH"/>
        </w:rPr>
        <w:t xml:space="preserve">, </w:t>
      </w:r>
      <w:hyperlink r:id="rId28" w:history="1">
        <w:r w:rsidRPr="006405A4">
          <w:rPr>
            <w:rStyle w:val="Hyperlink"/>
            <w:lang w:val="fr-CH"/>
          </w:rPr>
          <w:t>INF/10</w:t>
        </w:r>
      </w:hyperlink>
      <w:r w:rsidRPr="006405A4">
        <w:rPr>
          <w:lang w:val="fr-CH"/>
        </w:rPr>
        <w:t xml:space="preserve">, </w:t>
      </w:r>
      <w:hyperlink r:id="rId29" w:history="1">
        <w:r w:rsidRPr="006405A4">
          <w:rPr>
            <w:rStyle w:val="Hyperlink"/>
            <w:lang w:val="fr-CH"/>
          </w:rPr>
          <w:t>DT/3</w:t>
        </w:r>
      </w:hyperlink>
      <w:r w:rsidRPr="006405A4">
        <w:rPr>
          <w:lang w:val="fr-CH"/>
        </w:rPr>
        <w:t>)</w:t>
      </w:r>
      <w:bookmarkEnd w:id="103"/>
    </w:p>
    <w:p w14:paraId="5DD26069" w14:textId="6D227CAF"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6.1</w:t>
      </w:r>
      <w:r w:rsidRPr="006405A4">
        <w:rPr>
          <w:lang w:val="fr-CH"/>
        </w:rPr>
        <w:tab/>
      </w:r>
      <w:bookmarkStart w:id="104" w:name="lt_pId155"/>
      <w:r w:rsidRPr="006405A4">
        <w:rPr>
          <w:lang w:val="fr-CH"/>
        </w:rPr>
        <w:t xml:space="preserve">Le Chef du Département FRMD présente le Document C21/11 qui </w:t>
      </w:r>
      <w:r w:rsidR="00FB376F">
        <w:rPr>
          <w:lang w:val="fr-CH"/>
        </w:rPr>
        <w:t>décrit</w:t>
      </w:r>
      <w:r w:rsidRPr="006405A4">
        <w:rPr>
          <w:lang w:val="fr-CH"/>
        </w:rPr>
        <w:t xml:space="preserve"> les mesures prises concernant les arriérés et comptes spéciaux d</w:t>
      </w:r>
      <w:r w:rsidR="00CF2E72" w:rsidRPr="006405A4">
        <w:rPr>
          <w:lang w:val="fr-CH"/>
        </w:rPr>
        <w:t>'</w:t>
      </w:r>
      <w:r w:rsidRPr="006405A4">
        <w:rPr>
          <w:lang w:val="fr-CH"/>
        </w:rPr>
        <w:t>arriérés.</w:t>
      </w:r>
      <w:bookmarkEnd w:id="104"/>
      <w:r w:rsidRPr="006405A4">
        <w:rPr>
          <w:lang w:val="fr-CH"/>
        </w:rPr>
        <w:t xml:space="preserve"> </w:t>
      </w:r>
      <w:bookmarkStart w:id="105" w:name="lt_pId156"/>
      <w:r w:rsidR="00A34A60">
        <w:rPr>
          <w:lang w:val="fr-CH"/>
        </w:rPr>
        <w:t>Bien que les montants demeurent très élevés</w:t>
      </w:r>
      <w:r w:rsidRPr="006405A4">
        <w:rPr>
          <w:lang w:val="fr-CH"/>
        </w:rPr>
        <w:t>, le total des arriérés a été sensiblement réduit depuis 2013 grâce aux sanctions imposées conformément à la Résolution 152 (Rév. Busan, 2014) et aux efforts déployés en matière de recouvrement des sommes dues et de passation par pertes et profits de dettes.</w:t>
      </w:r>
      <w:bookmarkEnd w:id="105"/>
      <w:r w:rsidRPr="006405A4">
        <w:rPr>
          <w:lang w:val="fr-CH"/>
        </w:rPr>
        <w:t xml:space="preserve"> </w:t>
      </w:r>
      <w:bookmarkStart w:id="106" w:name="lt_pId157"/>
      <w:r w:rsidRPr="006405A4">
        <w:rPr>
          <w:lang w:val="fr-CH"/>
        </w:rPr>
        <w:t>Conformément aux lignes directrices fixées par le Conseil en 1999, les débiteurs qui ne respectent pas le plan d</w:t>
      </w:r>
      <w:r w:rsidR="00CF2E72" w:rsidRPr="006405A4">
        <w:rPr>
          <w:lang w:val="fr-CH"/>
        </w:rPr>
        <w:t>'</w:t>
      </w:r>
      <w:r w:rsidRPr="006405A4">
        <w:rPr>
          <w:lang w:val="fr-CH"/>
        </w:rPr>
        <w:t>amortissement convenu sont soumis à des sanctions.</w:t>
      </w:r>
      <w:bookmarkEnd w:id="106"/>
      <w:r w:rsidRPr="006405A4">
        <w:rPr>
          <w:lang w:val="fr-CH"/>
        </w:rPr>
        <w:t xml:space="preserve"> </w:t>
      </w:r>
      <w:bookmarkStart w:id="107" w:name="lt_pId158"/>
      <w:r w:rsidRPr="006405A4">
        <w:rPr>
          <w:lang w:val="fr-CH"/>
        </w:rPr>
        <w:t xml:space="preserve">En ce qui concerne le recouvrement des coûts pour le traitement des fiches de notification des réseaux à satellite, </w:t>
      </w:r>
      <w:r w:rsidR="00A34A60">
        <w:rPr>
          <w:lang w:val="fr-CH"/>
        </w:rPr>
        <w:t>27</w:t>
      </w:r>
      <w:r w:rsidRPr="006405A4">
        <w:rPr>
          <w:lang w:val="fr-CH"/>
        </w:rPr>
        <w:t xml:space="preserve"> entités sur 28 ont réglé les montants dus, et une seule dette a </w:t>
      </w:r>
      <w:r w:rsidR="00FB376F">
        <w:rPr>
          <w:lang w:val="fr-CH"/>
        </w:rPr>
        <w:t>dû être</w:t>
      </w:r>
      <w:r w:rsidR="00FB376F" w:rsidRPr="006405A4">
        <w:rPr>
          <w:lang w:val="fr-CH"/>
        </w:rPr>
        <w:t xml:space="preserve"> </w:t>
      </w:r>
      <w:r w:rsidRPr="006405A4">
        <w:rPr>
          <w:lang w:val="fr-CH"/>
        </w:rPr>
        <w:t>supprimée pour défaut de paiement, ce qui fait qu</w:t>
      </w:r>
      <w:r w:rsidR="00CF2E72" w:rsidRPr="006405A4">
        <w:rPr>
          <w:lang w:val="fr-CH"/>
        </w:rPr>
        <w:t>'</w:t>
      </w:r>
      <w:r w:rsidRPr="006405A4">
        <w:rPr>
          <w:lang w:val="fr-CH"/>
        </w:rPr>
        <w:t>il ne reste qu</w:t>
      </w:r>
      <w:r w:rsidR="00CF2E72" w:rsidRPr="006405A4">
        <w:rPr>
          <w:lang w:val="fr-CH"/>
        </w:rPr>
        <w:t>'</w:t>
      </w:r>
      <w:r w:rsidRPr="006405A4">
        <w:rPr>
          <w:lang w:val="fr-CH"/>
        </w:rPr>
        <w:t>une seule entité redevable d</w:t>
      </w:r>
      <w:r w:rsidR="00CF2E72" w:rsidRPr="006405A4">
        <w:rPr>
          <w:lang w:val="fr-CH"/>
        </w:rPr>
        <w:t>'</w:t>
      </w:r>
      <w:r w:rsidRPr="006405A4">
        <w:rPr>
          <w:lang w:val="fr-CH"/>
        </w:rPr>
        <w:t>une dette envers l</w:t>
      </w:r>
      <w:r w:rsidR="00CF2E72" w:rsidRPr="006405A4">
        <w:rPr>
          <w:lang w:val="fr-CH"/>
        </w:rPr>
        <w:t>'</w:t>
      </w:r>
      <w:r w:rsidRPr="006405A4">
        <w:rPr>
          <w:lang w:val="fr-CH"/>
        </w:rPr>
        <w:t>Union.</w:t>
      </w:r>
      <w:bookmarkEnd w:id="107"/>
      <w:r w:rsidRPr="006405A4">
        <w:rPr>
          <w:lang w:val="fr-CH"/>
        </w:rPr>
        <w:t xml:space="preserve"> </w:t>
      </w:r>
      <w:bookmarkStart w:id="108" w:name="lt_pId159"/>
      <w:r w:rsidRPr="006405A4">
        <w:rPr>
          <w:lang w:val="fr-CH"/>
        </w:rPr>
        <w:t>Depuis la publication du Document C21/11, d</w:t>
      </w:r>
      <w:r w:rsidR="00CF2E72" w:rsidRPr="006405A4">
        <w:rPr>
          <w:lang w:val="fr-CH"/>
        </w:rPr>
        <w:t>'</w:t>
      </w:r>
      <w:r w:rsidRPr="006405A4">
        <w:rPr>
          <w:lang w:val="fr-CH"/>
        </w:rPr>
        <w:t>autres demandes de passation par pertes et profits d</w:t>
      </w:r>
      <w:r w:rsidR="00CF2E72" w:rsidRPr="006405A4">
        <w:rPr>
          <w:lang w:val="fr-CH"/>
        </w:rPr>
        <w:t>'</w:t>
      </w:r>
      <w:r w:rsidRPr="006405A4">
        <w:rPr>
          <w:lang w:val="fr-CH"/>
        </w:rPr>
        <w:t>intérêts moratoires et de créances irrécupérables ont été soumises, portant à environ 3 millions CHF le montant total des intérêts moratoires et des créances irrécupérables que le Conseil est invité à passer par pertes et profits.</w:t>
      </w:r>
      <w:bookmarkEnd w:id="108"/>
      <w:r w:rsidRPr="006405A4">
        <w:rPr>
          <w:lang w:val="fr-CH"/>
        </w:rPr>
        <w:t xml:space="preserve"> </w:t>
      </w:r>
      <w:bookmarkStart w:id="109" w:name="lt_pId160"/>
      <w:r w:rsidRPr="006405A4">
        <w:rPr>
          <w:lang w:val="fr-CH"/>
        </w:rPr>
        <w:t>Il convient de modifier l</w:t>
      </w:r>
      <w:r w:rsidR="00CF2E72" w:rsidRPr="006405A4">
        <w:rPr>
          <w:lang w:val="fr-CH"/>
        </w:rPr>
        <w:t>'</w:t>
      </w:r>
      <w:r w:rsidRPr="006405A4">
        <w:rPr>
          <w:lang w:val="fr-CH"/>
        </w:rPr>
        <w:t>Annexe B afin d</w:t>
      </w:r>
      <w:r w:rsidR="00CF2E72" w:rsidRPr="006405A4">
        <w:rPr>
          <w:lang w:val="fr-CH"/>
        </w:rPr>
        <w:t>'</w:t>
      </w:r>
      <w:r w:rsidRPr="006405A4">
        <w:rPr>
          <w:lang w:val="fr-CH"/>
        </w:rPr>
        <w:t>inclure le montant supplémentaire.</w:t>
      </w:r>
      <w:bookmarkEnd w:id="109"/>
    </w:p>
    <w:p w14:paraId="6AC989EA" w14:textId="52EA30D5"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6.2</w:t>
      </w:r>
      <w:r w:rsidRPr="006405A4">
        <w:rPr>
          <w:lang w:val="fr-CH"/>
        </w:rPr>
        <w:tab/>
      </w:r>
      <w:bookmarkStart w:id="110" w:name="lt_pId162"/>
      <w:r w:rsidRPr="006405A4">
        <w:rPr>
          <w:lang w:val="fr-CH"/>
        </w:rPr>
        <w:t xml:space="preserve">Le Président </w:t>
      </w:r>
      <w:r w:rsidR="00A34A60">
        <w:rPr>
          <w:lang w:val="fr-CH"/>
        </w:rPr>
        <w:t>déclare en conclusion que</w:t>
      </w:r>
      <w:r w:rsidRPr="006405A4">
        <w:rPr>
          <w:lang w:val="fr-CH"/>
        </w:rPr>
        <w:t xml:space="preserve">, compte tenu du caractère urgent de cette question, </w:t>
      </w:r>
      <w:r w:rsidR="00A34A60">
        <w:rPr>
          <w:lang w:val="fr-CH"/>
        </w:rPr>
        <w:t>u</w:t>
      </w:r>
      <w:r w:rsidRPr="006405A4">
        <w:rPr>
          <w:lang w:val="fr-CH"/>
        </w:rPr>
        <w:t>ne consultation par correspondance des États Membres du Conseil sera organisée afin de prendre note du Document C21/11, d</w:t>
      </w:r>
      <w:r w:rsidR="00CF2E72" w:rsidRPr="006405A4">
        <w:rPr>
          <w:lang w:val="fr-CH"/>
        </w:rPr>
        <w:t>'</w:t>
      </w:r>
      <w:r w:rsidRPr="006405A4">
        <w:rPr>
          <w:lang w:val="fr-CH"/>
        </w:rPr>
        <w:t xml:space="preserve">autoriser le Secrétaire général à passer par pertes et profits la somme de 3 </w:t>
      </w:r>
      <w:r w:rsidR="00A34A60">
        <w:rPr>
          <w:lang w:val="fr-CH"/>
        </w:rPr>
        <w:t xml:space="preserve">001 808,34 </w:t>
      </w:r>
      <w:r w:rsidRPr="006405A4">
        <w:rPr>
          <w:lang w:val="fr-CH"/>
        </w:rPr>
        <w:t>CHF au titre d</w:t>
      </w:r>
      <w:r w:rsidR="00CF2E72" w:rsidRPr="006405A4">
        <w:rPr>
          <w:lang w:val="fr-CH"/>
        </w:rPr>
        <w:t>'</w:t>
      </w:r>
      <w:r w:rsidRPr="006405A4">
        <w:rPr>
          <w:lang w:val="fr-CH"/>
        </w:rPr>
        <w:t>intérêts moratoires et de créances irrécupérables, et d</w:t>
      </w:r>
      <w:r w:rsidR="00CF2E72" w:rsidRPr="006405A4">
        <w:rPr>
          <w:lang w:val="fr-CH"/>
        </w:rPr>
        <w:t>'</w:t>
      </w:r>
      <w:r w:rsidRPr="006405A4">
        <w:rPr>
          <w:lang w:val="fr-CH"/>
        </w:rPr>
        <w:t>adopter le projet de Décision révisée reproduit dans le Document</w:t>
      </w:r>
      <w:r w:rsidR="00077617" w:rsidRPr="006405A4">
        <w:rPr>
          <w:lang w:val="fr-CH"/>
        </w:rPr>
        <w:t> </w:t>
      </w:r>
      <w:r w:rsidRPr="006405A4">
        <w:rPr>
          <w:lang w:val="fr-CH"/>
        </w:rPr>
        <w:t>C21/DT/3.</w:t>
      </w:r>
      <w:bookmarkEnd w:id="110"/>
    </w:p>
    <w:p w14:paraId="50BCB3D1"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6.3</w:t>
      </w:r>
      <w:r w:rsidRPr="006405A4">
        <w:rPr>
          <w:lang w:val="fr-CH"/>
        </w:rPr>
        <w:tab/>
      </w:r>
      <w:bookmarkStart w:id="111" w:name="lt_pId164"/>
      <w:r w:rsidRPr="006405A4">
        <w:rPr>
          <w:lang w:val="fr-CH"/>
        </w:rPr>
        <w:t xml:space="preserve">Il en est ainsi </w:t>
      </w:r>
      <w:r w:rsidRPr="006405A4">
        <w:rPr>
          <w:b/>
          <w:lang w:val="fr-CH"/>
        </w:rPr>
        <w:t>conclu</w:t>
      </w:r>
      <w:r w:rsidRPr="006405A4">
        <w:rPr>
          <w:lang w:val="fr-CH"/>
        </w:rPr>
        <w:t>.</w:t>
      </w:r>
      <w:bookmarkEnd w:id="111"/>
    </w:p>
    <w:p w14:paraId="724B42A6" w14:textId="1DA81DEF" w:rsidR="00C512E1" w:rsidRPr="006405A4" w:rsidRDefault="00C512E1" w:rsidP="00D15298">
      <w:pPr>
        <w:pStyle w:val="Heading1"/>
        <w:tabs>
          <w:tab w:val="clear" w:pos="567"/>
          <w:tab w:val="clear" w:pos="1134"/>
          <w:tab w:val="clear" w:pos="1701"/>
          <w:tab w:val="clear" w:pos="2268"/>
          <w:tab w:val="clear" w:pos="2835"/>
        </w:tabs>
        <w:ind w:left="709" w:hanging="709"/>
        <w:rPr>
          <w:lang w:val="fr-CH"/>
        </w:rPr>
      </w:pPr>
      <w:r w:rsidRPr="006405A4">
        <w:rPr>
          <w:bCs/>
          <w:lang w:val="fr-CH"/>
        </w:rPr>
        <w:t>7</w:t>
      </w:r>
      <w:r w:rsidRPr="006405A4">
        <w:rPr>
          <w:bCs/>
          <w:lang w:val="fr-CH"/>
        </w:rPr>
        <w:tab/>
      </w:r>
      <w:bookmarkStart w:id="112" w:name="lt_pId166"/>
      <w:r w:rsidRPr="006405A4">
        <w:rPr>
          <w:lang w:val="fr-CH"/>
        </w:rPr>
        <w:t>Rapport de l</w:t>
      </w:r>
      <w:r w:rsidR="00CF2E72" w:rsidRPr="006405A4">
        <w:rPr>
          <w:lang w:val="fr-CH"/>
        </w:rPr>
        <w:t>'</w:t>
      </w:r>
      <w:r w:rsidRPr="006405A4">
        <w:rPr>
          <w:lang w:val="fr-CH"/>
        </w:rPr>
        <w:t>auditeur interne sur les activités d</w:t>
      </w:r>
      <w:r w:rsidR="00CF2E72" w:rsidRPr="006405A4">
        <w:rPr>
          <w:lang w:val="fr-CH"/>
        </w:rPr>
        <w:t>'</w:t>
      </w:r>
      <w:r w:rsidRPr="006405A4">
        <w:rPr>
          <w:lang w:val="fr-CH"/>
        </w:rPr>
        <w:t>audit interne (Document</w:t>
      </w:r>
      <w:r w:rsidR="00CF2E72" w:rsidRPr="006405A4">
        <w:rPr>
          <w:lang w:val="fr-CH"/>
        </w:rPr>
        <w:t> </w:t>
      </w:r>
      <w:hyperlink r:id="rId30" w:history="1">
        <w:r w:rsidRPr="006405A4">
          <w:rPr>
            <w:rStyle w:val="Hyperlink"/>
            <w:lang w:val="fr-CH"/>
          </w:rPr>
          <w:t>C21/44</w:t>
        </w:r>
      </w:hyperlink>
      <w:r w:rsidR="00A34A60">
        <w:rPr>
          <w:rStyle w:val="Hyperlink"/>
          <w:lang w:val="fr-CH"/>
        </w:rPr>
        <w:t>+Corrigendum 1</w:t>
      </w:r>
      <w:r w:rsidRPr="006405A4">
        <w:rPr>
          <w:lang w:val="fr-CH"/>
        </w:rPr>
        <w:t>)</w:t>
      </w:r>
      <w:bookmarkEnd w:id="112"/>
    </w:p>
    <w:p w14:paraId="4C48BF75" w14:textId="5A59EA38"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7.1</w:t>
      </w:r>
      <w:r w:rsidRPr="006405A4">
        <w:rPr>
          <w:lang w:val="fr-CH"/>
        </w:rPr>
        <w:tab/>
      </w:r>
      <w:bookmarkStart w:id="113" w:name="lt_pId168"/>
      <w:r w:rsidRPr="006405A4">
        <w:rPr>
          <w:lang w:val="fr-CH"/>
        </w:rPr>
        <w:t>L</w:t>
      </w:r>
      <w:r w:rsidR="00CF2E72" w:rsidRPr="006405A4">
        <w:rPr>
          <w:lang w:val="fr-CH"/>
        </w:rPr>
        <w:t>'</w:t>
      </w:r>
      <w:r w:rsidRPr="006405A4">
        <w:rPr>
          <w:lang w:val="fr-CH"/>
        </w:rPr>
        <w:t>auditeur interne présente le Document C21/44, qui contient une description de l</w:t>
      </w:r>
      <w:r w:rsidR="00CF2E72" w:rsidRPr="006405A4">
        <w:rPr>
          <w:lang w:val="fr-CH"/>
        </w:rPr>
        <w:t>'</w:t>
      </w:r>
      <w:r w:rsidRPr="006405A4">
        <w:rPr>
          <w:lang w:val="fr-CH"/>
        </w:rPr>
        <w:t>orientation et du champ des activités d</w:t>
      </w:r>
      <w:r w:rsidR="00CF2E72" w:rsidRPr="006405A4">
        <w:rPr>
          <w:lang w:val="fr-CH"/>
        </w:rPr>
        <w:t>'</w:t>
      </w:r>
      <w:r w:rsidRPr="006405A4">
        <w:rPr>
          <w:lang w:val="fr-CH"/>
        </w:rPr>
        <w:t>audit interne et offre un aperçu des missions d</w:t>
      </w:r>
      <w:r w:rsidR="00CF2E72" w:rsidRPr="006405A4">
        <w:rPr>
          <w:lang w:val="fr-CH"/>
        </w:rPr>
        <w:t>'</w:t>
      </w:r>
      <w:r w:rsidRPr="006405A4">
        <w:rPr>
          <w:lang w:val="fr-CH"/>
        </w:rPr>
        <w:t>assurance réalisées durant la période allant de mai 2020 à mars 2021.</w:t>
      </w:r>
      <w:bookmarkEnd w:id="113"/>
      <w:r w:rsidRPr="006405A4">
        <w:rPr>
          <w:lang w:val="fr-CH"/>
        </w:rPr>
        <w:t xml:space="preserve"> </w:t>
      </w:r>
      <w:bookmarkStart w:id="114" w:name="lt_pId169"/>
      <w:r w:rsidRPr="006405A4">
        <w:rPr>
          <w:lang w:val="fr-CH"/>
        </w:rPr>
        <w:t>Après une période consacrée essentiellement aux enquêtes, les travaux d</w:t>
      </w:r>
      <w:r w:rsidR="00CF2E72" w:rsidRPr="006405A4">
        <w:rPr>
          <w:lang w:val="fr-CH"/>
        </w:rPr>
        <w:t>'</w:t>
      </w:r>
      <w:r w:rsidRPr="006405A4">
        <w:rPr>
          <w:lang w:val="fr-CH"/>
        </w:rPr>
        <w:t>audit ont débuté plus tard en 2020, et les délais impartis pour les investigations au titre du plan d</w:t>
      </w:r>
      <w:r w:rsidR="00CF2E72" w:rsidRPr="006405A4">
        <w:rPr>
          <w:lang w:val="fr-CH"/>
        </w:rPr>
        <w:t>'</w:t>
      </w:r>
      <w:r w:rsidRPr="006405A4">
        <w:rPr>
          <w:lang w:val="fr-CH"/>
        </w:rPr>
        <w:t>audit interne pour 2021 ont été réduits autant que possible, de façon à permettre à l</w:t>
      </w:r>
      <w:r w:rsidR="00CF2E72" w:rsidRPr="006405A4">
        <w:rPr>
          <w:lang w:val="fr-CH"/>
        </w:rPr>
        <w:t>'</w:t>
      </w:r>
      <w:r w:rsidRPr="006405A4">
        <w:rPr>
          <w:lang w:val="fr-CH"/>
        </w:rPr>
        <w:t>Unité de l</w:t>
      </w:r>
      <w:r w:rsidR="00CF2E72" w:rsidRPr="006405A4">
        <w:rPr>
          <w:lang w:val="fr-CH"/>
        </w:rPr>
        <w:t>'</w:t>
      </w:r>
      <w:r w:rsidRPr="006405A4">
        <w:rPr>
          <w:lang w:val="fr-CH"/>
        </w:rPr>
        <w:t>audit interne de mener à bien son mandat principal, qui est axé sur les missions d</w:t>
      </w:r>
      <w:r w:rsidR="00CF2E72" w:rsidRPr="006405A4">
        <w:rPr>
          <w:lang w:val="fr-CH"/>
        </w:rPr>
        <w:t>'</w:t>
      </w:r>
      <w:r w:rsidRPr="006405A4">
        <w:rPr>
          <w:lang w:val="fr-CH"/>
        </w:rPr>
        <w:t>assurance.</w:t>
      </w:r>
      <w:bookmarkEnd w:id="114"/>
      <w:r w:rsidRPr="006405A4">
        <w:rPr>
          <w:lang w:val="fr-CH"/>
        </w:rPr>
        <w:t xml:space="preserve"> </w:t>
      </w:r>
      <w:bookmarkStart w:id="115" w:name="lt_pId170"/>
      <w:r w:rsidRPr="006405A4">
        <w:rPr>
          <w:lang w:val="fr-CH"/>
        </w:rPr>
        <w:t>En sa qualité d</w:t>
      </w:r>
      <w:r w:rsidR="00CF2E72" w:rsidRPr="006405A4">
        <w:rPr>
          <w:lang w:val="fr-CH"/>
        </w:rPr>
        <w:t>'</w:t>
      </w:r>
      <w:r w:rsidRPr="006405A4">
        <w:rPr>
          <w:lang w:val="fr-CH"/>
        </w:rPr>
        <w:t>instance habilitée à enquêter sur les cas de fraude et de mauvaise gestion, et conformément à son rôle consultatif interne, l</w:t>
      </w:r>
      <w:r w:rsidR="00CF2E72" w:rsidRPr="006405A4">
        <w:rPr>
          <w:lang w:val="fr-CH"/>
        </w:rPr>
        <w:t>'</w:t>
      </w:r>
      <w:r w:rsidRPr="006405A4">
        <w:rPr>
          <w:lang w:val="fr-CH"/>
        </w:rPr>
        <w:t>Unité de l</w:t>
      </w:r>
      <w:r w:rsidR="00CF2E72" w:rsidRPr="006405A4">
        <w:rPr>
          <w:lang w:val="fr-CH"/>
        </w:rPr>
        <w:t>'</w:t>
      </w:r>
      <w:r w:rsidRPr="006405A4">
        <w:rPr>
          <w:lang w:val="fr-CH"/>
        </w:rPr>
        <w:t>audit interne a mené six enquêtes, qui sont présentées en détail dans le rapport, et a également fourni un appui à un enquêteur extérieur dans le cadre d</w:t>
      </w:r>
      <w:r w:rsidR="00CF2E72" w:rsidRPr="006405A4">
        <w:rPr>
          <w:lang w:val="fr-CH"/>
        </w:rPr>
        <w:t>'</w:t>
      </w:r>
      <w:r w:rsidRPr="006405A4">
        <w:rPr>
          <w:lang w:val="fr-CH"/>
        </w:rPr>
        <w:t xml:space="preserve">un cas impliquant des </w:t>
      </w:r>
      <w:r w:rsidRPr="006405A4">
        <w:rPr>
          <w:lang w:val="fr-CH"/>
        </w:rPr>
        <w:lastRenderedPageBreak/>
        <w:t>fonctionnaires de l</w:t>
      </w:r>
      <w:r w:rsidR="00CF2E72" w:rsidRPr="006405A4">
        <w:rPr>
          <w:lang w:val="fr-CH"/>
        </w:rPr>
        <w:t>'</w:t>
      </w:r>
      <w:r w:rsidRPr="006405A4">
        <w:rPr>
          <w:lang w:val="fr-CH"/>
        </w:rPr>
        <w:t>UIT, ainsi qu</w:t>
      </w:r>
      <w:r w:rsidR="00CF2E72" w:rsidRPr="006405A4">
        <w:rPr>
          <w:lang w:val="fr-CH"/>
        </w:rPr>
        <w:t>'</w:t>
      </w:r>
      <w:r w:rsidRPr="006405A4">
        <w:rPr>
          <w:lang w:val="fr-CH"/>
        </w:rPr>
        <w:t>au secrétariat dans le cadre du processus de sélection d</w:t>
      </w:r>
      <w:r w:rsidR="00CF2E72" w:rsidRPr="006405A4">
        <w:rPr>
          <w:lang w:val="fr-CH"/>
        </w:rPr>
        <w:t>'</w:t>
      </w:r>
      <w:r w:rsidRPr="006405A4">
        <w:rPr>
          <w:lang w:val="fr-CH"/>
        </w:rPr>
        <w:t>un vérificateur juricomptable, en application de la Décision 613 du Conseil.</w:t>
      </w:r>
      <w:bookmarkEnd w:id="115"/>
    </w:p>
    <w:p w14:paraId="1DE5CDBD" w14:textId="7B998B1C" w:rsidR="00C512E1" w:rsidRPr="006405A4" w:rsidRDefault="00C512E1" w:rsidP="00D15298">
      <w:pPr>
        <w:keepNext/>
        <w:keepLines/>
        <w:tabs>
          <w:tab w:val="clear" w:pos="567"/>
          <w:tab w:val="clear" w:pos="1134"/>
          <w:tab w:val="clear" w:pos="1701"/>
          <w:tab w:val="clear" w:pos="2268"/>
          <w:tab w:val="clear" w:pos="2835"/>
        </w:tabs>
        <w:rPr>
          <w:lang w:val="fr-CH"/>
        </w:rPr>
      </w:pPr>
      <w:r w:rsidRPr="006405A4">
        <w:rPr>
          <w:lang w:val="fr-CH"/>
        </w:rPr>
        <w:t>7.2</w:t>
      </w:r>
      <w:r w:rsidRPr="006405A4">
        <w:rPr>
          <w:lang w:val="fr-CH"/>
        </w:rPr>
        <w:tab/>
      </w:r>
      <w:bookmarkStart w:id="116" w:name="lt_pId172"/>
      <w:r w:rsidRPr="006405A4">
        <w:rPr>
          <w:lang w:val="fr-CH"/>
        </w:rPr>
        <w:t>Le Président fait observer que les principes de responsabilisation, de responsabilité et de transparence, qui revêtent une importance particulière pour l</w:t>
      </w:r>
      <w:r w:rsidR="00CF2E72" w:rsidRPr="006405A4">
        <w:rPr>
          <w:lang w:val="fr-CH"/>
        </w:rPr>
        <w:t>'</w:t>
      </w:r>
      <w:r w:rsidRPr="006405A4">
        <w:rPr>
          <w:lang w:val="fr-CH"/>
        </w:rPr>
        <w:t>UIT, sont bien pris en compte dans le rapport.</w:t>
      </w:r>
      <w:bookmarkEnd w:id="116"/>
      <w:r w:rsidRPr="006405A4">
        <w:rPr>
          <w:lang w:val="fr-CH"/>
        </w:rPr>
        <w:t xml:space="preserve"> </w:t>
      </w:r>
      <w:bookmarkStart w:id="117" w:name="lt_pId173"/>
      <w:r w:rsidRPr="006405A4">
        <w:rPr>
          <w:lang w:val="fr-CH"/>
        </w:rPr>
        <w:t>Il considère que les Conseillers souhaitent conclure, compte tenu du caractère urgent de cette question, qu</w:t>
      </w:r>
      <w:r w:rsidR="00CF2E72" w:rsidRPr="006405A4">
        <w:rPr>
          <w:lang w:val="fr-CH"/>
        </w:rPr>
        <w:t>'</w:t>
      </w:r>
      <w:r w:rsidRPr="006405A4">
        <w:rPr>
          <w:lang w:val="fr-CH"/>
        </w:rPr>
        <w:t>une consultation par correspondance des États Membres du Conseil sera organisée afin de prendre note du Document C21/44.</w:t>
      </w:r>
      <w:bookmarkEnd w:id="117"/>
    </w:p>
    <w:p w14:paraId="14128429"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7.3</w:t>
      </w:r>
      <w:r w:rsidRPr="006405A4">
        <w:rPr>
          <w:lang w:val="fr-CH"/>
        </w:rPr>
        <w:tab/>
      </w:r>
      <w:bookmarkStart w:id="118" w:name="lt_pId175"/>
      <w:r w:rsidRPr="006405A4">
        <w:rPr>
          <w:lang w:val="fr-CH"/>
        </w:rPr>
        <w:t xml:space="preserve">Il en est ainsi </w:t>
      </w:r>
      <w:r w:rsidRPr="006405A4">
        <w:rPr>
          <w:b/>
          <w:lang w:val="fr-CH"/>
        </w:rPr>
        <w:t>conclu</w:t>
      </w:r>
      <w:r w:rsidRPr="006405A4">
        <w:rPr>
          <w:lang w:val="fr-CH"/>
        </w:rPr>
        <w:t>.</w:t>
      </w:r>
      <w:bookmarkEnd w:id="118"/>
    </w:p>
    <w:p w14:paraId="2564CAB9" w14:textId="3761C1E7" w:rsidR="00C512E1" w:rsidRPr="006405A4" w:rsidRDefault="00C512E1" w:rsidP="00D15298">
      <w:pPr>
        <w:pStyle w:val="Heading1"/>
        <w:tabs>
          <w:tab w:val="clear" w:pos="567"/>
          <w:tab w:val="clear" w:pos="1134"/>
          <w:tab w:val="clear" w:pos="1701"/>
          <w:tab w:val="clear" w:pos="2268"/>
          <w:tab w:val="clear" w:pos="2835"/>
        </w:tabs>
        <w:ind w:left="709" w:hanging="709"/>
        <w:rPr>
          <w:lang w:val="fr-CH"/>
        </w:rPr>
      </w:pPr>
      <w:r w:rsidRPr="006405A4">
        <w:rPr>
          <w:bCs/>
          <w:lang w:val="fr-CH"/>
        </w:rPr>
        <w:t>8</w:t>
      </w:r>
      <w:r w:rsidRPr="006405A4">
        <w:rPr>
          <w:bCs/>
          <w:lang w:val="fr-CH"/>
        </w:rPr>
        <w:tab/>
      </w:r>
      <w:bookmarkStart w:id="119" w:name="lt_pId177"/>
      <w:r w:rsidRPr="006405A4">
        <w:rPr>
          <w:lang w:val="fr-CH"/>
        </w:rPr>
        <w:t>Nouvelle fonction d</w:t>
      </w:r>
      <w:r w:rsidR="00CF2E72" w:rsidRPr="006405A4">
        <w:rPr>
          <w:lang w:val="fr-CH"/>
        </w:rPr>
        <w:t>'</w:t>
      </w:r>
      <w:r w:rsidRPr="006405A4">
        <w:rPr>
          <w:lang w:val="fr-CH"/>
        </w:rPr>
        <w:t>investigation et nouveau processus en matière d</w:t>
      </w:r>
      <w:r w:rsidR="00CF2E72" w:rsidRPr="006405A4">
        <w:rPr>
          <w:lang w:val="fr-CH"/>
        </w:rPr>
        <w:t>'</w:t>
      </w:r>
      <w:r w:rsidRPr="006405A4">
        <w:rPr>
          <w:lang w:val="fr-CH"/>
        </w:rPr>
        <w:t xml:space="preserve">enquête (Document </w:t>
      </w:r>
      <w:hyperlink r:id="rId31" w:history="1">
        <w:r w:rsidRPr="006405A4">
          <w:rPr>
            <w:rStyle w:val="Hyperlink"/>
            <w:lang w:val="fr-CH"/>
          </w:rPr>
          <w:t>C21/60</w:t>
        </w:r>
      </w:hyperlink>
      <w:r w:rsidRPr="006405A4">
        <w:rPr>
          <w:lang w:val="fr-CH"/>
        </w:rPr>
        <w:t>)</w:t>
      </w:r>
      <w:bookmarkEnd w:id="119"/>
    </w:p>
    <w:p w14:paraId="26C1ED08" w14:textId="3A3B9871"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8.1</w:t>
      </w:r>
      <w:r w:rsidRPr="006405A4">
        <w:rPr>
          <w:lang w:val="fr-CH"/>
        </w:rPr>
        <w:tab/>
      </w:r>
      <w:bookmarkStart w:id="120" w:name="lt_pId179"/>
      <w:r w:rsidRPr="006405A4">
        <w:rPr>
          <w:lang w:val="fr-CH"/>
        </w:rPr>
        <w:t>Le Chef du Département de la gestion des ressources humaines (HRMD) présente le Document C21/60 et rappelle qu</w:t>
      </w:r>
      <w:r w:rsidR="00CF2E72" w:rsidRPr="006405A4">
        <w:rPr>
          <w:lang w:val="fr-CH"/>
        </w:rPr>
        <w:t>'</w:t>
      </w:r>
      <w:r w:rsidRPr="006405A4">
        <w:rPr>
          <w:lang w:val="fr-CH"/>
        </w:rPr>
        <w:t>à l</w:t>
      </w:r>
      <w:r w:rsidR="00CF2E72" w:rsidRPr="006405A4">
        <w:rPr>
          <w:lang w:val="fr-CH"/>
        </w:rPr>
        <w:t>'</w:t>
      </w:r>
      <w:r w:rsidRPr="006405A4">
        <w:rPr>
          <w:lang w:val="fr-CH"/>
        </w:rPr>
        <w:t>issue de la seconde consultation virtuelle des Conseillers tenue en 2020, le Conseil a approuvé par correspondance le renforcement de la fonction d</w:t>
      </w:r>
      <w:r w:rsidR="00CF2E72" w:rsidRPr="006405A4">
        <w:rPr>
          <w:lang w:val="fr-CH"/>
        </w:rPr>
        <w:t>'</w:t>
      </w:r>
      <w:r w:rsidRPr="006405A4">
        <w:rPr>
          <w:lang w:val="fr-CH"/>
        </w:rPr>
        <w:t>investigation à l</w:t>
      </w:r>
      <w:r w:rsidR="00CF2E72" w:rsidRPr="006405A4">
        <w:rPr>
          <w:lang w:val="fr-CH"/>
        </w:rPr>
        <w:t>'</w:t>
      </w:r>
      <w:r w:rsidRPr="006405A4">
        <w:rPr>
          <w:lang w:val="fr-CH"/>
        </w:rPr>
        <w:t>UIT par voie de la création d</w:t>
      </w:r>
      <w:r w:rsidR="00CF2E72" w:rsidRPr="006405A4">
        <w:rPr>
          <w:lang w:val="fr-CH"/>
        </w:rPr>
        <w:t>'</w:t>
      </w:r>
      <w:r w:rsidRPr="006405A4">
        <w:rPr>
          <w:lang w:val="fr-CH"/>
        </w:rPr>
        <w:t>un poste spécifique et indépendant au niveau P5.</w:t>
      </w:r>
      <w:bookmarkEnd w:id="120"/>
      <w:r w:rsidRPr="006405A4">
        <w:rPr>
          <w:lang w:val="fr-CH"/>
        </w:rPr>
        <w:t xml:space="preserve"> </w:t>
      </w:r>
      <w:bookmarkStart w:id="121" w:name="lt_pId180"/>
      <w:r w:rsidRPr="006405A4">
        <w:rPr>
          <w:lang w:val="fr-CH"/>
        </w:rPr>
        <w:t>La nouvelle Unité d</w:t>
      </w:r>
      <w:r w:rsidR="00CF2E72" w:rsidRPr="006405A4">
        <w:rPr>
          <w:lang w:val="fr-CH"/>
        </w:rPr>
        <w:t>'</w:t>
      </w:r>
      <w:r w:rsidRPr="006405A4">
        <w:rPr>
          <w:lang w:val="fr-CH"/>
        </w:rPr>
        <w:t>investigation est chargée de procéder, en toute indépendance, à des investigations pour garantir que les ressources de l</w:t>
      </w:r>
      <w:r w:rsidR="00CF2E72" w:rsidRPr="006405A4">
        <w:rPr>
          <w:lang w:val="fr-CH"/>
        </w:rPr>
        <w:t>'</w:t>
      </w:r>
      <w:r w:rsidRPr="006405A4">
        <w:rPr>
          <w:lang w:val="fr-CH"/>
        </w:rPr>
        <w:t>UIT sont gérées et utilisées de manière efficace, efficiente et économique; de concevoir, d</w:t>
      </w:r>
      <w:r w:rsidR="00CF2E72" w:rsidRPr="006405A4">
        <w:rPr>
          <w:lang w:val="fr-CH"/>
        </w:rPr>
        <w:t>'</w:t>
      </w:r>
      <w:r w:rsidRPr="006405A4">
        <w:rPr>
          <w:lang w:val="fr-CH"/>
        </w:rPr>
        <w:t xml:space="preserve">organiser et de mettre en </w:t>
      </w:r>
      <w:r w:rsidR="008C5251" w:rsidRPr="006405A4">
        <w:rPr>
          <w:lang w:val="fr-CH"/>
        </w:rPr>
        <w:t>œuvre</w:t>
      </w:r>
      <w:r w:rsidRPr="006405A4">
        <w:rPr>
          <w:lang w:val="fr-CH"/>
        </w:rPr>
        <w:t xml:space="preserve"> un programme d</w:t>
      </w:r>
      <w:r w:rsidR="00CF2E72" w:rsidRPr="006405A4">
        <w:rPr>
          <w:lang w:val="fr-CH"/>
        </w:rPr>
        <w:t>'</w:t>
      </w:r>
      <w:r w:rsidRPr="006405A4">
        <w:rPr>
          <w:lang w:val="fr-CH"/>
        </w:rPr>
        <w:t>investigation général, dont la portée sera définie en consultation avec le Secrétaire général; et de procéder à des enquêtes en cas d</w:t>
      </w:r>
      <w:r w:rsidR="00CF2E72" w:rsidRPr="006405A4">
        <w:rPr>
          <w:lang w:val="fr-CH"/>
        </w:rPr>
        <w:t>'</w:t>
      </w:r>
      <w:r w:rsidRPr="006405A4">
        <w:rPr>
          <w:lang w:val="fr-CH"/>
        </w:rPr>
        <w:t>allégation ou de présomption de faute, conformément aux politiques et procédures de l</w:t>
      </w:r>
      <w:r w:rsidR="00CF2E72" w:rsidRPr="006405A4">
        <w:rPr>
          <w:lang w:val="fr-CH"/>
        </w:rPr>
        <w:t>'</w:t>
      </w:r>
      <w:r w:rsidRPr="006405A4">
        <w:rPr>
          <w:lang w:val="fr-CH"/>
        </w:rPr>
        <w:t>UIT.</w:t>
      </w:r>
      <w:bookmarkEnd w:id="121"/>
      <w:r w:rsidRPr="006405A4">
        <w:rPr>
          <w:lang w:val="fr-CH"/>
        </w:rPr>
        <w:t xml:space="preserve"> </w:t>
      </w:r>
      <w:bookmarkStart w:id="122" w:name="lt_pId181"/>
      <w:r w:rsidRPr="006405A4">
        <w:rPr>
          <w:lang w:val="fr-CH"/>
        </w:rPr>
        <w:t>Le processus de sélection arrive à son terme.</w:t>
      </w:r>
      <w:bookmarkEnd w:id="122"/>
      <w:r w:rsidRPr="006405A4">
        <w:rPr>
          <w:lang w:val="fr-CH"/>
        </w:rPr>
        <w:t xml:space="preserve"> </w:t>
      </w:r>
      <w:bookmarkStart w:id="123" w:name="lt_pId182"/>
      <w:r w:rsidRPr="006405A4">
        <w:rPr>
          <w:lang w:val="fr-CH"/>
        </w:rPr>
        <w:t>Une fois que le/la candidat(e) aura été nommé(e), les lignes directrices, politiques et procédures relatives aux investigations seront revues et mises à jour, et l</w:t>
      </w:r>
      <w:r w:rsidR="00CF2E72" w:rsidRPr="006405A4">
        <w:rPr>
          <w:lang w:val="fr-CH"/>
        </w:rPr>
        <w:t>'</w:t>
      </w:r>
      <w:r w:rsidRPr="006405A4">
        <w:rPr>
          <w:lang w:val="fr-CH"/>
        </w:rPr>
        <w:t>examen des procédures disciplinaires de l</w:t>
      </w:r>
      <w:r w:rsidR="00CF2E72" w:rsidRPr="006405A4">
        <w:rPr>
          <w:lang w:val="fr-CH"/>
        </w:rPr>
        <w:t>'</w:t>
      </w:r>
      <w:r w:rsidRPr="006405A4">
        <w:rPr>
          <w:lang w:val="fr-CH"/>
        </w:rPr>
        <w:t>UIT sera poursuivi et approfondi dans un souci d</w:t>
      </w:r>
      <w:r w:rsidR="00CF2E72" w:rsidRPr="006405A4">
        <w:rPr>
          <w:lang w:val="fr-CH"/>
        </w:rPr>
        <w:t>'</w:t>
      </w:r>
      <w:r w:rsidRPr="006405A4">
        <w:rPr>
          <w:lang w:val="fr-CH"/>
        </w:rPr>
        <w:t>harmonisation avec les bonnes pratiques appliquées à l</w:t>
      </w:r>
      <w:r w:rsidR="00CF2E72" w:rsidRPr="006405A4">
        <w:rPr>
          <w:lang w:val="fr-CH"/>
        </w:rPr>
        <w:t>'</w:t>
      </w:r>
      <w:r w:rsidRPr="006405A4">
        <w:rPr>
          <w:lang w:val="fr-CH"/>
        </w:rPr>
        <w:t>échelle des Nations Unies.</w:t>
      </w:r>
      <w:bookmarkEnd w:id="123"/>
    </w:p>
    <w:p w14:paraId="78AF0CDE" w14:textId="08E535FB"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8.2</w:t>
      </w:r>
      <w:r w:rsidRPr="006405A4">
        <w:rPr>
          <w:lang w:val="fr-CH"/>
        </w:rPr>
        <w:tab/>
      </w:r>
      <w:bookmarkStart w:id="124" w:name="lt_pId184"/>
      <w:r w:rsidRPr="006405A4">
        <w:rPr>
          <w:lang w:val="fr-CH"/>
        </w:rPr>
        <w:t>Un Conseiller déclare qu</w:t>
      </w:r>
      <w:r w:rsidR="00CF2E72" w:rsidRPr="006405A4">
        <w:rPr>
          <w:lang w:val="fr-CH"/>
        </w:rPr>
        <w:t>'</w:t>
      </w:r>
      <w:r w:rsidRPr="006405A4">
        <w:rPr>
          <w:lang w:val="fr-CH"/>
        </w:rPr>
        <w:t>il faut renforcer les contrôles et les processus tant externes qu</w:t>
      </w:r>
      <w:r w:rsidR="00CF2E72" w:rsidRPr="006405A4">
        <w:rPr>
          <w:lang w:val="fr-CH"/>
        </w:rPr>
        <w:t>'</w:t>
      </w:r>
      <w:r w:rsidRPr="006405A4">
        <w:rPr>
          <w:lang w:val="fr-CH"/>
        </w:rPr>
        <w:t>internes afin de prévenir des cas de fraude et de corruption, et de garantir la transparence.</w:t>
      </w:r>
      <w:bookmarkEnd w:id="124"/>
      <w:r w:rsidRPr="006405A4">
        <w:rPr>
          <w:lang w:val="fr-CH"/>
        </w:rPr>
        <w:t xml:space="preserve"> </w:t>
      </w:r>
      <w:bookmarkStart w:id="125" w:name="lt_pId185"/>
      <w:r w:rsidRPr="006405A4">
        <w:rPr>
          <w:lang w:val="fr-CH"/>
        </w:rPr>
        <w:t>Un autre Conseiller dit que la création de ce poste montre que l</w:t>
      </w:r>
      <w:r w:rsidR="00CF2E72" w:rsidRPr="006405A4">
        <w:rPr>
          <w:lang w:val="fr-CH"/>
        </w:rPr>
        <w:t>'</w:t>
      </w:r>
      <w:r w:rsidRPr="006405A4">
        <w:rPr>
          <w:lang w:val="fr-CH"/>
        </w:rPr>
        <w:t>Union est déterminée à lutter contre les fautes et qu</w:t>
      </w:r>
      <w:r w:rsidR="00CF2E72" w:rsidRPr="006405A4">
        <w:rPr>
          <w:lang w:val="fr-CH"/>
        </w:rPr>
        <w:t>'</w:t>
      </w:r>
      <w:r w:rsidRPr="006405A4">
        <w:rPr>
          <w:lang w:val="fr-CH"/>
        </w:rPr>
        <w:t>il sera rentable.</w:t>
      </w:r>
      <w:bookmarkEnd w:id="125"/>
      <w:r w:rsidRPr="006405A4">
        <w:rPr>
          <w:lang w:val="fr-CH"/>
        </w:rPr>
        <w:t xml:space="preserve"> </w:t>
      </w:r>
      <w:bookmarkStart w:id="126" w:name="lt_pId186"/>
      <w:r w:rsidRPr="006405A4">
        <w:rPr>
          <w:lang w:val="fr-CH"/>
        </w:rPr>
        <w:t>Deux Conseillers disent vouloir en savoir davantage sur le mandat de la nouvelle Unité d</w:t>
      </w:r>
      <w:r w:rsidR="00CF2E72" w:rsidRPr="006405A4">
        <w:rPr>
          <w:lang w:val="fr-CH"/>
        </w:rPr>
        <w:t>'</w:t>
      </w:r>
      <w:r w:rsidRPr="006405A4">
        <w:rPr>
          <w:lang w:val="fr-CH"/>
        </w:rPr>
        <w:t>investigation, en particulier concernant son caractère indépendant et sa responsabilité envers le Conseil, précisent qu</w:t>
      </w:r>
      <w:r w:rsidR="00CF2E72" w:rsidRPr="006405A4">
        <w:rPr>
          <w:lang w:val="fr-CH"/>
        </w:rPr>
        <w:t>'</w:t>
      </w:r>
      <w:r w:rsidRPr="006405A4">
        <w:rPr>
          <w:lang w:val="fr-CH"/>
        </w:rPr>
        <w:t>il convient de tenir compte des bonnes pratiques à appliquer à l</w:t>
      </w:r>
      <w:r w:rsidR="00CF2E72" w:rsidRPr="006405A4">
        <w:rPr>
          <w:lang w:val="fr-CH"/>
        </w:rPr>
        <w:t>'</w:t>
      </w:r>
      <w:r w:rsidRPr="006405A4">
        <w:rPr>
          <w:lang w:val="fr-CH"/>
        </w:rPr>
        <w:t>échelle des Nations Unies énoncées dans le rapport publié récemment par le Corps commun d</w:t>
      </w:r>
      <w:r w:rsidR="00CF2E72" w:rsidRPr="006405A4">
        <w:rPr>
          <w:lang w:val="fr-CH"/>
        </w:rPr>
        <w:t>'</w:t>
      </w:r>
      <w:r w:rsidRPr="006405A4">
        <w:rPr>
          <w:lang w:val="fr-CH"/>
        </w:rPr>
        <w:t>inspection (</w:t>
      </w:r>
      <w:hyperlink r:id="rId32" w:history="1">
        <w:r w:rsidRPr="006405A4">
          <w:rPr>
            <w:rStyle w:val="Hyperlink"/>
            <w:lang w:val="fr-CH"/>
          </w:rPr>
          <w:t>JIU/REP/2020/1</w:t>
        </w:r>
      </w:hyperlink>
      <w:r w:rsidRPr="006405A4">
        <w:rPr>
          <w:lang w:val="fr-CH"/>
        </w:rPr>
        <w:t>), et mettent en relief les recommandations 1, 4 et 5 dudit rapport</w:t>
      </w:r>
      <w:bookmarkEnd w:id="126"/>
      <w:r w:rsidR="00A34A60">
        <w:rPr>
          <w:lang w:val="fr-CH"/>
        </w:rPr>
        <w:t xml:space="preserve">. </w:t>
      </w:r>
      <w:r w:rsidR="00604427">
        <w:rPr>
          <w:lang w:val="fr-CH"/>
        </w:rPr>
        <w:t xml:space="preserve">Ces recommandations portent sur la mise en place </w:t>
      </w:r>
      <w:r w:rsidR="00A34A60">
        <w:rPr>
          <w:lang w:val="fr-CH"/>
        </w:rPr>
        <w:t>de chartes propres aux activités d'audit et à la fonction d'investigation avant la fin de 2021.</w:t>
      </w:r>
      <w:r w:rsidRPr="006405A4">
        <w:rPr>
          <w:lang w:val="fr-CH"/>
        </w:rPr>
        <w:t xml:space="preserve"> </w:t>
      </w:r>
      <w:bookmarkStart w:id="127" w:name="lt_pId187"/>
      <w:r w:rsidRPr="006405A4">
        <w:rPr>
          <w:lang w:val="fr-CH"/>
        </w:rPr>
        <w:t>Un Conseiller s</w:t>
      </w:r>
      <w:r w:rsidR="00CF2E72" w:rsidRPr="006405A4">
        <w:rPr>
          <w:lang w:val="fr-CH"/>
        </w:rPr>
        <w:t>'</w:t>
      </w:r>
      <w:r w:rsidRPr="006405A4">
        <w:rPr>
          <w:lang w:val="fr-CH"/>
        </w:rPr>
        <w:t>interroge sur le rôle du Bureau de l</w:t>
      </w:r>
      <w:r w:rsidR="00CF2E72" w:rsidRPr="006405A4">
        <w:rPr>
          <w:lang w:val="fr-CH"/>
        </w:rPr>
        <w:t>'</w:t>
      </w:r>
      <w:r w:rsidRPr="006405A4">
        <w:rPr>
          <w:lang w:val="fr-CH"/>
        </w:rPr>
        <w:t>éthique dans le cadre des activités de l</w:t>
      </w:r>
      <w:r w:rsidR="00CF2E72" w:rsidRPr="006405A4">
        <w:rPr>
          <w:lang w:val="fr-CH"/>
        </w:rPr>
        <w:t>'</w:t>
      </w:r>
      <w:r w:rsidRPr="006405A4">
        <w:rPr>
          <w:lang w:val="fr-CH"/>
        </w:rPr>
        <w:t>Unité d</w:t>
      </w:r>
      <w:r w:rsidR="00CF2E72" w:rsidRPr="006405A4">
        <w:rPr>
          <w:lang w:val="fr-CH"/>
        </w:rPr>
        <w:t>'</w:t>
      </w:r>
      <w:r w:rsidRPr="006405A4">
        <w:rPr>
          <w:lang w:val="fr-CH"/>
        </w:rPr>
        <w:t>investigation.</w:t>
      </w:r>
      <w:bookmarkEnd w:id="127"/>
      <w:r w:rsidRPr="006405A4">
        <w:rPr>
          <w:lang w:val="fr-CH"/>
        </w:rPr>
        <w:t xml:space="preserve"> </w:t>
      </w:r>
      <w:bookmarkStart w:id="128" w:name="lt_pId188"/>
      <w:r w:rsidRPr="006405A4">
        <w:rPr>
          <w:lang w:val="fr-CH"/>
        </w:rPr>
        <w:t>Un autre Conseiller s</w:t>
      </w:r>
      <w:r w:rsidR="00CF2E72" w:rsidRPr="006405A4">
        <w:rPr>
          <w:lang w:val="fr-CH"/>
        </w:rPr>
        <w:t>'</w:t>
      </w:r>
      <w:r w:rsidRPr="006405A4">
        <w:rPr>
          <w:lang w:val="fr-CH"/>
        </w:rPr>
        <w:t>enquiert des ressources, notamment des ressources humaines, allouées à l</w:t>
      </w:r>
      <w:r w:rsidR="00CF2E72" w:rsidRPr="006405A4">
        <w:rPr>
          <w:lang w:val="fr-CH"/>
        </w:rPr>
        <w:t>'</w:t>
      </w:r>
      <w:r w:rsidRPr="006405A4">
        <w:rPr>
          <w:lang w:val="fr-CH"/>
        </w:rPr>
        <w:t>unité.</w:t>
      </w:r>
      <w:bookmarkEnd w:id="128"/>
      <w:r w:rsidRPr="006405A4">
        <w:rPr>
          <w:lang w:val="fr-CH"/>
        </w:rPr>
        <w:t xml:space="preserve"> </w:t>
      </w:r>
      <w:bookmarkStart w:id="129" w:name="lt_pId189"/>
      <w:r w:rsidRPr="006405A4">
        <w:rPr>
          <w:lang w:val="fr-CH"/>
        </w:rPr>
        <w:t>Un Conseiller souscrit à la décision visant à créer un poste de niveau</w:t>
      </w:r>
      <w:r w:rsidR="008F7803" w:rsidRPr="006405A4">
        <w:rPr>
          <w:lang w:val="fr-CH"/>
        </w:rPr>
        <w:t> </w:t>
      </w:r>
      <w:r w:rsidRPr="006405A4">
        <w:rPr>
          <w:lang w:val="fr-CH"/>
        </w:rPr>
        <w:t>P5.</w:t>
      </w:r>
      <w:bookmarkEnd w:id="129"/>
    </w:p>
    <w:p w14:paraId="6E8D8CFE" w14:textId="2286301C"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8.3</w:t>
      </w:r>
      <w:r w:rsidRPr="006405A4">
        <w:rPr>
          <w:lang w:val="fr-CH"/>
        </w:rPr>
        <w:tab/>
      </w:r>
      <w:bookmarkStart w:id="130" w:name="lt_pId191"/>
      <w:r w:rsidRPr="006405A4">
        <w:rPr>
          <w:lang w:val="fr-CH"/>
        </w:rPr>
        <w:t>Le Chef du Département HRMD dit qu</w:t>
      </w:r>
      <w:r w:rsidR="00CF2E72" w:rsidRPr="006405A4">
        <w:rPr>
          <w:lang w:val="fr-CH"/>
        </w:rPr>
        <w:t>'</w:t>
      </w:r>
      <w:r w:rsidRPr="006405A4">
        <w:rPr>
          <w:lang w:val="fr-CH"/>
        </w:rPr>
        <w:t>il est pris note des commentaires et des suggestions, et que des informations sur les nouvelles lignes directrices et procédures, ainsi que sur le mandat de l</w:t>
      </w:r>
      <w:r w:rsidR="00CF2E72" w:rsidRPr="006405A4">
        <w:rPr>
          <w:lang w:val="fr-CH"/>
        </w:rPr>
        <w:t>'</w:t>
      </w:r>
      <w:r w:rsidRPr="006405A4">
        <w:rPr>
          <w:lang w:val="fr-CH"/>
        </w:rPr>
        <w:t>Unité d</w:t>
      </w:r>
      <w:r w:rsidR="00CF2E72" w:rsidRPr="006405A4">
        <w:rPr>
          <w:lang w:val="fr-CH"/>
        </w:rPr>
        <w:t>'</w:t>
      </w:r>
      <w:r w:rsidRPr="006405A4">
        <w:rPr>
          <w:lang w:val="fr-CH"/>
        </w:rPr>
        <w:t>investigation, seront transmises.</w:t>
      </w:r>
      <w:bookmarkEnd w:id="130"/>
      <w:r w:rsidRPr="006405A4">
        <w:rPr>
          <w:lang w:val="fr-CH"/>
        </w:rPr>
        <w:t xml:space="preserve"> </w:t>
      </w:r>
      <w:bookmarkStart w:id="131" w:name="lt_pId192"/>
      <w:r w:rsidRPr="006405A4">
        <w:rPr>
          <w:lang w:val="fr-CH"/>
        </w:rPr>
        <w:t>Les fonctions de l</w:t>
      </w:r>
      <w:r w:rsidR="00CF2E72" w:rsidRPr="006405A4">
        <w:rPr>
          <w:lang w:val="fr-CH"/>
        </w:rPr>
        <w:t>'</w:t>
      </w:r>
      <w:r w:rsidRPr="006405A4">
        <w:rPr>
          <w:lang w:val="fr-CH"/>
        </w:rPr>
        <w:t>Unité d</w:t>
      </w:r>
      <w:r w:rsidR="00CF2E72" w:rsidRPr="006405A4">
        <w:rPr>
          <w:lang w:val="fr-CH"/>
        </w:rPr>
        <w:t>'</w:t>
      </w:r>
      <w:r w:rsidRPr="006405A4">
        <w:rPr>
          <w:lang w:val="fr-CH"/>
        </w:rPr>
        <w:t>investigation seront clairement délimitées par rapport à celles des autres unités.</w:t>
      </w:r>
      <w:bookmarkEnd w:id="131"/>
      <w:r w:rsidRPr="006405A4">
        <w:rPr>
          <w:lang w:val="fr-CH"/>
        </w:rPr>
        <w:t xml:space="preserve"> </w:t>
      </w:r>
      <w:bookmarkStart w:id="132" w:name="lt_pId193"/>
      <w:r w:rsidRPr="006405A4">
        <w:rPr>
          <w:lang w:val="fr-CH"/>
        </w:rPr>
        <w:t>À l</w:t>
      </w:r>
      <w:r w:rsidR="00CF2E72" w:rsidRPr="006405A4">
        <w:rPr>
          <w:lang w:val="fr-CH"/>
        </w:rPr>
        <w:t>'</w:t>
      </w:r>
      <w:r w:rsidRPr="006405A4">
        <w:rPr>
          <w:lang w:val="fr-CH"/>
        </w:rPr>
        <w:t>heure actuelle, l</w:t>
      </w:r>
      <w:r w:rsidR="00CF2E72" w:rsidRPr="006405A4">
        <w:rPr>
          <w:lang w:val="fr-CH"/>
        </w:rPr>
        <w:t>'</w:t>
      </w:r>
      <w:r w:rsidRPr="006405A4">
        <w:rPr>
          <w:lang w:val="fr-CH"/>
        </w:rPr>
        <w:t>unité est composée d</w:t>
      </w:r>
      <w:r w:rsidR="00CF2E72" w:rsidRPr="006405A4">
        <w:rPr>
          <w:lang w:val="fr-CH"/>
        </w:rPr>
        <w:t>'</w:t>
      </w:r>
      <w:r w:rsidRPr="006405A4">
        <w:rPr>
          <w:lang w:val="fr-CH"/>
        </w:rPr>
        <w:t>un fonctionnaire de niveau P5 disposant d</w:t>
      </w:r>
      <w:r w:rsidR="00CF2E72" w:rsidRPr="006405A4">
        <w:rPr>
          <w:lang w:val="fr-CH"/>
        </w:rPr>
        <w:t>'</w:t>
      </w:r>
      <w:r w:rsidRPr="006405A4">
        <w:rPr>
          <w:lang w:val="fr-CH"/>
        </w:rPr>
        <w:t>un budget pour les activités, mais la situation pourra évoluer.</w:t>
      </w:r>
      <w:bookmarkEnd w:id="132"/>
    </w:p>
    <w:p w14:paraId="4766DF4A" w14:textId="6EE30939" w:rsidR="00C512E1" w:rsidRPr="006405A4" w:rsidRDefault="00C512E1" w:rsidP="00D15298">
      <w:pPr>
        <w:keepNext/>
        <w:keepLines/>
        <w:tabs>
          <w:tab w:val="clear" w:pos="567"/>
          <w:tab w:val="clear" w:pos="1134"/>
          <w:tab w:val="clear" w:pos="1701"/>
          <w:tab w:val="clear" w:pos="2268"/>
          <w:tab w:val="clear" w:pos="2835"/>
        </w:tabs>
        <w:rPr>
          <w:lang w:val="fr-CH"/>
        </w:rPr>
      </w:pPr>
      <w:r w:rsidRPr="006405A4">
        <w:rPr>
          <w:lang w:val="fr-CH"/>
        </w:rPr>
        <w:lastRenderedPageBreak/>
        <w:t>8.4</w:t>
      </w:r>
      <w:r w:rsidRPr="006405A4">
        <w:rPr>
          <w:lang w:val="fr-CH"/>
        </w:rPr>
        <w:tab/>
      </w:r>
      <w:bookmarkStart w:id="133" w:name="lt_pId195"/>
      <w:r w:rsidRPr="006405A4">
        <w:rPr>
          <w:lang w:val="fr-CH"/>
        </w:rPr>
        <w:t>Le Secrétaire général dit que le Conseil a décidé de créer un poste de niveau P5 afin d</w:t>
      </w:r>
      <w:r w:rsidR="00CF2E72" w:rsidRPr="006405A4">
        <w:rPr>
          <w:lang w:val="fr-CH"/>
        </w:rPr>
        <w:t>'</w:t>
      </w:r>
      <w:r w:rsidRPr="006405A4">
        <w:rPr>
          <w:lang w:val="fr-CH"/>
        </w:rPr>
        <w:t>attirer des candidats plus expérimentés aux compétences avérées.</w:t>
      </w:r>
      <w:bookmarkEnd w:id="133"/>
      <w:r w:rsidRPr="006405A4">
        <w:rPr>
          <w:lang w:val="fr-CH"/>
        </w:rPr>
        <w:t xml:space="preserve"> </w:t>
      </w:r>
      <w:bookmarkStart w:id="134" w:name="lt_pId196"/>
      <w:r w:rsidRPr="006405A4">
        <w:rPr>
          <w:lang w:val="fr-CH"/>
        </w:rPr>
        <w:t>Aucun budget ou personnel supplémentaire n</w:t>
      </w:r>
      <w:r w:rsidR="00CF2E72" w:rsidRPr="006405A4">
        <w:rPr>
          <w:lang w:val="fr-CH"/>
        </w:rPr>
        <w:t>'</w:t>
      </w:r>
      <w:r w:rsidRPr="006405A4">
        <w:rPr>
          <w:lang w:val="fr-CH"/>
        </w:rPr>
        <w:t>est actuellement disponible.</w:t>
      </w:r>
      <w:bookmarkEnd w:id="134"/>
      <w:r w:rsidRPr="006405A4">
        <w:rPr>
          <w:lang w:val="fr-CH"/>
        </w:rPr>
        <w:t xml:space="preserve"> </w:t>
      </w:r>
      <w:bookmarkStart w:id="135" w:name="lt_pId197"/>
      <w:r w:rsidRPr="006405A4">
        <w:rPr>
          <w:lang w:val="fr-CH"/>
        </w:rPr>
        <w:t>La fonction d</w:t>
      </w:r>
      <w:r w:rsidR="00CF2E72" w:rsidRPr="006405A4">
        <w:rPr>
          <w:lang w:val="fr-CH"/>
        </w:rPr>
        <w:t>'</w:t>
      </w:r>
      <w:r w:rsidRPr="006405A4">
        <w:rPr>
          <w:lang w:val="fr-CH"/>
        </w:rPr>
        <w:t>investigation revêt une importance particulière.</w:t>
      </w:r>
      <w:bookmarkEnd w:id="135"/>
      <w:r w:rsidRPr="006405A4">
        <w:rPr>
          <w:lang w:val="fr-CH"/>
        </w:rPr>
        <w:t xml:space="preserve"> </w:t>
      </w:r>
      <w:bookmarkStart w:id="136" w:name="lt_pId198"/>
      <w:r w:rsidRPr="006405A4">
        <w:rPr>
          <w:lang w:val="fr-CH"/>
        </w:rPr>
        <w:t>Lorsque le nouvel enquêteur prendra ses fonctions, le Bureau de l</w:t>
      </w:r>
      <w:r w:rsidR="00CF2E72" w:rsidRPr="006405A4">
        <w:rPr>
          <w:lang w:val="fr-CH"/>
        </w:rPr>
        <w:t>'</w:t>
      </w:r>
      <w:r w:rsidRPr="006405A4">
        <w:rPr>
          <w:lang w:val="fr-CH"/>
        </w:rPr>
        <w:t>éthique et d</w:t>
      </w:r>
      <w:r w:rsidR="00CF2E72" w:rsidRPr="006405A4">
        <w:rPr>
          <w:lang w:val="fr-CH"/>
        </w:rPr>
        <w:t>'</w:t>
      </w:r>
      <w:r w:rsidRPr="006405A4">
        <w:rPr>
          <w:lang w:val="fr-CH"/>
        </w:rPr>
        <w:t>autres entités travailleront en coopération pour garantir le renforcement des services.</w:t>
      </w:r>
      <w:bookmarkEnd w:id="136"/>
    </w:p>
    <w:p w14:paraId="5090ECD4" w14:textId="75C6614B"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8.5</w:t>
      </w:r>
      <w:r w:rsidRPr="006405A4">
        <w:rPr>
          <w:lang w:val="fr-CH"/>
        </w:rPr>
        <w:tab/>
      </w:r>
      <w:bookmarkStart w:id="137" w:name="lt_pId200"/>
      <w:r w:rsidRPr="006405A4">
        <w:rPr>
          <w:lang w:val="fr-CH"/>
        </w:rPr>
        <w:t>Le Président note que tous les États Membres souhaitent comprendre la mesure dans laquelle la fonction d</w:t>
      </w:r>
      <w:r w:rsidR="00CF2E72" w:rsidRPr="006405A4">
        <w:rPr>
          <w:lang w:val="fr-CH"/>
        </w:rPr>
        <w:t>'</w:t>
      </w:r>
      <w:r w:rsidRPr="006405A4">
        <w:rPr>
          <w:lang w:val="fr-CH"/>
        </w:rPr>
        <w:t>investigation aura des incidences sur les travaux de l</w:t>
      </w:r>
      <w:r w:rsidR="00CF2E72" w:rsidRPr="006405A4">
        <w:rPr>
          <w:lang w:val="fr-CH"/>
        </w:rPr>
        <w:t>'</w:t>
      </w:r>
      <w:r w:rsidRPr="006405A4">
        <w:rPr>
          <w:lang w:val="fr-CH"/>
        </w:rPr>
        <w:t>Union, sera liée aux autres unités et renforcera la gouvernance, la transparence et la responsabilisation au sein de l</w:t>
      </w:r>
      <w:r w:rsidR="00CF2E72" w:rsidRPr="006405A4">
        <w:rPr>
          <w:lang w:val="fr-CH"/>
        </w:rPr>
        <w:t>'</w:t>
      </w:r>
      <w:r w:rsidRPr="006405A4">
        <w:rPr>
          <w:lang w:val="fr-CH"/>
        </w:rPr>
        <w:t>Union.</w:t>
      </w:r>
      <w:bookmarkEnd w:id="137"/>
      <w:r w:rsidRPr="006405A4">
        <w:rPr>
          <w:lang w:val="fr-CH"/>
        </w:rPr>
        <w:t xml:space="preserve"> </w:t>
      </w:r>
      <w:bookmarkStart w:id="138" w:name="lt_pId201"/>
      <w:r w:rsidRPr="006405A4">
        <w:rPr>
          <w:lang w:val="fr-CH"/>
        </w:rPr>
        <w:t>Il considère que les Conseillers souhaitent conclure, compte tenu du caractère urgent de cette question, qu</w:t>
      </w:r>
      <w:r w:rsidR="00CF2E72" w:rsidRPr="006405A4">
        <w:rPr>
          <w:lang w:val="fr-CH"/>
        </w:rPr>
        <w:t>'</w:t>
      </w:r>
      <w:r w:rsidRPr="006405A4">
        <w:rPr>
          <w:lang w:val="fr-CH"/>
        </w:rPr>
        <w:t>une consultation par correspondance des États Membres du Conseil sera organisée afin de prendre note du Document C21/60.</w:t>
      </w:r>
      <w:bookmarkEnd w:id="138"/>
    </w:p>
    <w:p w14:paraId="62DA5DC6" w14:textId="77777777" w:rsidR="00C512E1" w:rsidRPr="006405A4" w:rsidRDefault="00C512E1" w:rsidP="00D15298">
      <w:pPr>
        <w:tabs>
          <w:tab w:val="clear" w:pos="567"/>
          <w:tab w:val="clear" w:pos="1134"/>
          <w:tab w:val="clear" w:pos="1701"/>
          <w:tab w:val="clear" w:pos="2268"/>
          <w:tab w:val="clear" w:pos="2835"/>
        </w:tabs>
        <w:rPr>
          <w:lang w:val="fr-CH"/>
        </w:rPr>
      </w:pPr>
      <w:r w:rsidRPr="006405A4">
        <w:rPr>
          <w:lang w:val="fr-CH"/>
        </w:rPr>
        <w:t>8.6</w:t>
      </w:r>
      <w:r w:rsidRPr="006405A4">
        <w:rPr>
          <w:lang w:val="fr-CH"/>
        </w:rPr>
        <w:tab/>
      </w:r>
      <w:bookmarkStart w:id="139" w:name="lt_pId203"/>
      <w:r w:rsidRPr="006405A4">
        <w:rPr>
          <w:lang w:val="fr-CH"/>
        </w:rPr>
        <w:t xml:space="preserve">Il en est ainsi </w:t>
      </w:r>
      <w:r w:rsidRPr="006405A4">
        <w:rPr>
          <w:b/>
          <w:lang w:val="fr-CH"/>
        </w:rPr>
        <w:t>conclu</w:t>
      </w:r>
      <w:r w:rsidRPr="006405A4">
        <w:rPr>
          <w:lang w:val="fr-CH"/>
        </w:rPr>
        <w:t>.</w:t>
      </w:r>
      <w:bookmarkEnd w:id="139"/>
    </w:p>
    <w:p w14:paraId="6E4C702F" w14:textId="152FF79C" w:rsidR="00C512E1" w:rsidRPr="006405A4" w:rsidRDefault="00C512E1" w:rsidP="00A74D6C">
      <w:pPr>
        <w:spacing w:before="1200"/>
        <w:rPr>
          <w:lang w:val="fr-CH"/>
        </w:rPr>
      </w:pPr>
      <w:bookmarkStart w:id="140" w:name="lt_pId204"/>
      <w:r w:rsidRPr="006405A4">
        <w:rPr>
          <w:lang w:val="fr-CH"/>
        </w:rPr>
        <w:t>Le Secrétaire général:</w:t>
      </w:r>
      <w:bookmarkStart w:id="141" w:name="lt_pId205"/>
      <w:bookmarkEnd w:id="140"/>
      <w:r w:rsidRPr="006405A4">
        <w:rPr>
          <w:lang w:val="fr-CH"/>
        </w:rPr>
        <w:tab/>
      </w:r>
      <w:r w:rsidRPr="006405A4">
        <w:rPr>
          <w:lang w:val="fr-CH"/>
        </w:rPr>
        <w:tab/>
      </w:r>
      <w:r w:rsidRPr="006405A4">
        <w:rPr>
          <w:lang w:val="fr-CH"/>
        </w:rPr>
        <w:tab/>
      </w:r>
      <w:r w:rsidRPr="006405A4">
        <w:rPr>
          <w:lang w:val="fr-CH"/>
        </w:rPr>
        <w:tab/>
      </w:r>
      <w:r w:rsidRPr="006405A4">
        <w:rPr>
          <w:lang w:val="fr-CH"/>
        </w:rPr>
        <w:tab/>
      </w:r>
      <w:r w:rsidRPr="006405A4">
        <w:rPr>
          <w:lang w:val="fr-CH"/>
        </w:rPr>
        <w:tab/>
      </w:r>
      <w:r w:rsidRPr="006405A4">
        <w:rPr>
          <w:lang w:val="fr-CH"/>
        </w:rPr>
        <w:tab/>
      </w:r>
      <w:r w:rsidRPr="006405A4">
        <w:rPr>
          <w:lang w:val="fr-CH"/>
        </w:rPr>
        <w:tab/>
      </w:r>
      <w:r w:rsidRPr="006405A4">
        <w:rPr>
          <w:lang w:val="fr-CH"/>
        </w:rPr>
        <w:tab/>
        <w:t>Le Président:</w:t>
      </w:r>
      <w:bookmarkEnd w:id="141"/>
    </w:p>
    <w:p w14:paraId="0578B390" w14:textId="1D80EC85" w:rsidR="00C512E1" w:rsidRDefault="00C512E1" w:rsidP="00CB60AB">
      <w:pPr>
        <w:spacing w:before="0"/>
        <w:rPr>
          <w:lang w:val="en-US"/>
        </w:rPr>
      </w:pPr>
      <w:bookmarkStart w:id="142" w:name="lt_pId206"/>
      <w:r w:rsidRPr="005E2D56">
        <w:rPr>
          <w:lang w:val="en-US"/>
        </w:rPr>
        <w:t>H.</w:t>
      </w:r>
      <w:bookmarkEnd w:id="142"/>
      <w:r w:rsidRPr="005E2D56">
        <w:rPr>
          <w:lang w:val="en-US"/>
        </w:rPr>
        <w:t xml:space="preserve"> </w:t>
      </w:r>
      <w:bookmarkStart w:id="143" w:name="lt_pId207"/>
      <w:r w:rsidRPr="005E2D56">
        <w:rPr>
          <w:lang w:val="en-US"/>
        </w:rPr>
        <w:t>ZHAO</w:t>
      </w:r>
      <w:bookmarkStart w:id="144" w:name="_Hlk74818766"/>
      <w:bookmarkEnd w:id="143"/>
      <w:r w:rsidRPr="005E2D56">
        <w:rPr>
          <w:lang w:val="en-US"/>
        </w:rPr>
        <w:tab/>
      </w:r>
      <w:bookmarkStart w:id="145" w:name="lt_pId208"/>
      <w:bookmarkEnd w:id="144"/>
      <w:r w:rsidRPr="005E2D56">
        <w:rPr>
          <w:lang w:val="en-US"/>
        </w:rPr>
        <w:tab/>
      </w:r>
      <w:r w:rsidRPr="005E2D56">
        <w:rPr>
          <w:lang w:val="en-US"/>
        </w:rPr>
        <w:tab/>
      </w:r>
      <w:r w:rsidRPr="005E2D56">
        <w:rPr>
          <w:lang w:val="en-US"/>
        </w:rPr>
        <w:tab/>
      </w:r>
      <w:r w:rsidRPr="005E2D56">
        <w:rPr>
          <w:lang w:val="en-US"/>
        </w:rPr>
        <w:tab/>
      </w:r>
      <w:r w:rsidRPr="005E2D56">
        <w:rPr>
          <w:lang w:val="en-US"/>
        </w:rPr>
        <w:tab/>
      </w:r>
      <w:r w:rsidRPr="005E2D56">
        <w:rPr>
          <w:lang w:val="en-US"/>
        </w:rPr>
        <w:tab/>
      </w:r>
      <w:r w:rsidRPr="005E2D56">
        <w:rPr>
          <w:lang w:val="en-US"/>
        </w:rPr>
        <w:tab/>
      </w:r>
      <w:r w:rsidRPr="005E2D56">
        <w:rPr>
          <w:lang w:val="en-US"/>
        </w:rPr>
        <w:tab/>
      </w:r>
      <w:r w:rsidRPr="005E2D56">
        <w:rPr>
          <w:lang w:val="en-US"/>
        </w:rPr>
        <w:tab/>
      </w:r>
      <w:r w:rsidRPr="005E2D56">
        <w:rPr>
          <w:lang w:val="en-US"/>
        </w:rPr>
        <w:tab/>
        <w:t>S. BIN GHELAITA</w:t>
      </w:r>
      <w:bookmarkEnd w:id="145"/>
    </w:p>
    <w:p w14:paraId="75FE6F06" w14:textId="4A83331D" w:rsidR="00816808" w:rsidRPr="005E2D56" w:rsidRDefault="00816808" w:rsidP="00816808">
      <w:pPr>
        <w:spacing w:before="840"/>
        <w:jc w:val="center"/>
        <w:rPr>
          <w:lang w:val="en-US"/>
        </w:rPr>
      </w:pPr>
      <w:r w:rsidRPr="009C50A5">
        <w:rPr>
          <w:rFonts w:asciiTheme="minorHAnsi" w:hAnsiTheme="minorHAnsi" w:cstheme="minorHAnsi"/>
          <w:bCs/>
          <w:lang w:val="en-US" w:eastAsia="zh-CN"/>
        </w:rPr>
        <w:t>__________________</w:t>
      </w:r>
    </w:p>
    <w:sectPr w:rsidR="00816808" w:rsidRPr="005E2D56" w:rsidSect="005C3890">
      <w:headerReference w:type="even" r:id="rId33"/>
      <w:headerReference w:type="default" r:id="rId34"/>
      <w:footerReference w:type="even" r:id="rId35"/>
      <w:footerReference w:type="defaul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F6A2" w14:textId="77777777" w:rsidR="009C14E3" w:rsidRDefault="009C14E3">
      <w:r>
        <w:separator/>
      </w:r>
    </w:p>
  </w:endnote>
  <w:endnote w:type="continuationSeparator" w:id="0">
    <w:p w14:paraId="76B56BAE" w14:textId="77777777" w:rsidR="009C14E3" w:rsidRDefault="009C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788" w14:textId="5F597867" w:rsidR="00732045" w:rsidRDefault="00816808">
    <w:pPr>
      <w:pStyle w:val="Footer"/>
    </w:pPr>
    <w:fldSimple w:instr=" FILENAME \p \* MERGEFORMAT ">
      <w:r w:rsidR="008C5251">
        <w:t>P:\FRA\SG\CONSEIL\C21\000\087V2F.docx</w:t>
      </w:r>
    </w:fldSimple>
    <w:r w:rsidR="00732045">
      <w:tab/>
    </w:r>
    <w:r w:rsidR="002F1B76">
      <w:fldChar w:fldCharType="begin"/>
    </w:r>
    <w:r w:rsidR="00732045">
      <w:instrText xml:space="preserve"> savedate \@ dd.MM.yy </w:instrText>
    </w:r>
    <w:r w:rsidR="002F1B76">
      <w:fldChar w:fldCharType="separate"/>
    </w:r>
    <w:r w:rsidR="00D15298">
      <w:t>19.07.21</w:t>
    </w:r>
    <w:r w:rsidR="002F1B76">
      <w:fldChar w:fldCharType="end"/>
    </w:r>
    <w:r w:rsidR="00732045">
      <w:tab/>
    </w:r>
    <w:r w:rsidR="002F1B76">
      <w:fldChar w:fldCharType="begin"/>
    </w:r>
    <w:r w:rsidR="00732045">
      <w:instrText xml:space="preserve"> printdate \@ dd.MM.yy </w:instrText>
    </w:r>
    <w:r w:rsidR="002F1B76">
      <w:fldChar w:fldCharType="separate"/>
    </w:r>
    <w:r w:rsidR="008C525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58C" w14:textId="37FA744F" w:rsidR="00732045" w:rsidRDefault="00816808" w:rsidP="00CF2E72">
    <w:pPr>
      <w:pStyle w:val="Footer"/>
    </w:pPr>
    <w:r w:rsidRPr="00816808">
      <w:rPr>
        <w:color w:val="F2F2F2" w:themeColor="background1" w:themeShade="F2"/>
      </w:rPr>
      <w:fldChar w:fldCharType="begin"/>
    </w:r>
    <w:r w:rsidRPr="00816808">
      <w:rPr>
        <w:color w:val="F2F2F2" w:themeColor="background1" w:themeShade="F2"/>
      </w:rPr>
      <w:instrText xml:space="preserve"> FILENAME \p  \* MERGEFORMAT </w:instrText>
    </w:r>
    <w:r w:rsidRPr="00816808">
      <w:rPr>
        <w:color w:val="F2F2F2" w:themeColor="background1" w:themeShade="F2"/>
      </w:rPr>
      <w:fldChar w:fldCharType="separate"/>
    </w:r>
    <w:r w:rsidR="008C5251" w:rsidRPr="00816808">
      <w:rPr>
        <w:color w:val="F2F2F2" w:themeColor="background1" w:themeShade="F2"/>
      </w:rPr>
      <w:t>P:\FRA\SG\CONSEIL\C21\000\087V2F.docx</w:t>
    </w:r>
    <w:r w:rsidRPr="00816808">
      <w:rPr>
        <w:color w:val="F2F2F2" w:themeColor="background1" w:themeShade="F2"/>
      </w:rPr>
      <w:fldChar w:fldCharType="end"/>
    </w:r>
    <w:r w:rsidR="00C73DBC" w:rsidRPr="00816808">
      <w:rPr>
        <w:color w:val="F2F2F2" w:themeColor="background1" w:themeShade="F2"/>
      </w:rPr>
      <w:t xml:space="preserve"> </w:t>
    </w:r>
    <w:r w:rsidR="00CF2E72" w:rsidRPr="00816808">
      <w:rPr>
        <w:color w:val="F2F2F2" w:themeColor="background1" w:themeShade="F2"/>
      </w:rPr>
      <w:t>(490979)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8D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21FC" w14:textId="77777777" w:rsidR="009C14E3" w:rsidRDefault="009C14E3">
      <w:r>
        <w:t>____________________</w:t>
      </w:r>
    </w:p>
  </w:footnote>
  <w:footnote w:type="continuationSeparator" w:id="0">
    <w:p w14:paraId="5DF1E853" w14:textId="77777777" w:rsidR="009C14E3" w:rsidRDefault="009C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38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02519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CE09" w14:textId="75503CC1" w:rsidR="00732045" w:rsidRDefault="00C27A7C" w:rsidP="00475FB3">
    <w:pPr>
      <w:pStyle w:val="Header"/>
    </w:pPr>
    <w:r>
      <w:fldChar w:fldCharType="begin"/>
    </w:r>
    <w:r>
      <w:instrText>PAGE</w:instrText>
    </w:r>
    <w:r>
      <w:fldChar w:fldCharType="separate"/>
    </w:r>
    <w:r w:rsidR="008C5251">
      <w:rPr>
        <w:noProof/>
      </w:rPr>
      <w:t>4</w:t>
    </w:r>
    <w:r>
      <w:rPr>
        <w:noProof/>
      </w:rPr>
      <w:fldChar w:fldCharType="end"/>
    </w:r>
  </w:p>
  <w:p w14:paraId="1F96E871" w14:textId="2AB285B9" w:rsidR="00732045" w:rsidRDefault="00732045" w:rsidP="00106B19">
    <w:pPr>
      <w:pStyle w:val="Header"/>
    </w:pPr>
    <w:r>
      <w:t>C</w:t>
    </w:r>
    <w:r w:rsidR="009C353C">
      <w:t>2</w:t>
    </w:r>
    <w:r w:rsidR="004D1D50">
      <w:t>1</w:t>
    </w:r>
    <w:r>
      <w:t>/</w:t>
    </w:r>
    <w:r w:rsidR="00CF2E72">
      <w:t>87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24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A0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7CB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068E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B01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25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62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7E02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84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DE1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D7F4B"/>
    <w:multiLevelType w:val="multilevel"/>
    <w:tmpl w:val="56542D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A5"/>
    <w:rsid w:val="00077617"/>
    <w:rsid w:val="000B2DAD"/>
    <w:rsid w:val="000D0D0A"/>
    <w:rsid w:val="000E3263"/>
    <w:rsid w:val="000F4203"/>
    <w:rsid w:val="00103163"/>
    <w:rsid w:val="00106B19"/>
    <w:rsid w:val="00115D93"/>
    <w:rsid w:val="001247A8"/>
    <w:rsid w:val="001378C0"/>
    <w:rsid w:val="0018694A"/>
    <w:rsid w:val="001A3287"/>
    <w:rsid w:val="001A6508"/>
    <w:rsid w:val="001B13C9"/>
    <w:rsid w:val="001D4C31"/>
    <w:rsid w:val="001E4D21"/>
    <w:rsid w:val="00207CD1"/>
    <w:rsid w:val="002228AD"/>
    <w:rsid w:val="002477A2"/>
    <w:rsid w:val="00263A51"/>
    <w:rsid w:val="00267E02"/>
    <w:rsid w:val="002A5D44"/>
    <w:rsid w:val="002E0BC4"/>
    <w:rsid w:val="002F1B76"/>
    <w:rsid w:val="0033568E"/>
    <w:rsid w:val="00355FF5"/>
    <w:rsid w:val="00361350"/>
    <w:rsid w:val="003C3FAE"/>
    <w:rsid w:val="004038CB"/>
    <w:rsid w:val="0040546F"/>
    <w:rsid w:val="0042404A"/>
    <w:rsid w:val="00425CA5"/>
    <w:rsid w:val="0044618F"/>
    <w:rsid w:val="0046769A"/>
    <w:rsid w:val="00475FB3"/>
    <w:rsid w:val="004C37A9"/>
    <w:rsid w:val="004D1D50"/>
    <w:rsid w:val="004F259E"/>
    <w:rsid w:val="004F27BD"/>
    <w:rsid w:val="004F2FB2"/>
    <w:rsid w:val="00511F1D"/>
    <w:rsid w:val="00520F36"/>
    <w:rsid w:val="00540615"/>
    <w:rsid w:val="00540A6D"/>
    <w:rsid w:val="00571EEA"/>
    <w:rsid w:val="00575417"/>
    <w:rsid w:val="005768E1"/>
    <w:rsid w:val="005B1938"/>
    <w:rsid w:val="005B3DBF"/>
    <w:rsid w:val="005C3890"/>
    <w:rsid w:val="005E2D56"/>
    <w:rsid w:val="005F149D"/>
    <w:rsid w:val="005F7BFE"/>
    <w:rsid w:val="00600017"/>
    <w:rsid w:val="00604427"/>
    <w:rsid w:val="006235CA"/>
    <w:rsid w:val="006405A4"/>
    <w:rsid w:val="00662FD2"/>
    <w:rsid w:val="006643AB"/>
    <w:rsid w:val="007210CD"/>
    <w:rsid w:val="00732045"/>
    <w:rsid w:val="007369DB"/>
    <w:rsid w:val="007956C2"/>
    <w:rsid w:val="007A187E"/>
    <w:rsid w:val="007C72C2"/>
    <w:rsid w:val="007D4436"/>
    <w:rsid w:val="007F257A"/>
    <w:rsid w:val="007F3665"/>
    <w:rsid w:val="007F6C84"/>
    <w:rsid w:val="00800037"/>
    <w:rsid w:val="00816808"/>
    <w:rsid w:val="00861D73"/>
    <w:rsid w:val="00876DE7"/>
    <w:rsid w:val="00897553"/>
    <w:rsid w:val="008A003E"/>
    <w:rsid w:val="008A4E87"/>
    <w:rsid w:val="008C5251"/>
    <w:rsid w:val="008D4573"/>
    <w:rsid w:val="008D76E6"/>
    <w:rsid w:val="008F7803"/>
    <w:rsid w:val="0092392D"/>
    <w:rsid w:val="0093234A"/>
    <w:rsid w:val="0097363B"/>
    <w:rsid w:val="00981789"/>
    <w:rsid w:val="009C14E3"/>
    <w:rsid w:val="009C307F"/>
    <w:rsid w:val="009C353C"/>
    <w:rsid w:val="00A12CC3"/>
    <w:rsid w:val="00A2113E"/>
    <w:rsid w:val="00A23A51"/>
    <w:rsid w:val="00A24607"/>
    <w:rsid w:val="00A25CD3"/>
    <w:rsid w:val="00A34A60"/>
    <w:rsid w:val="00A709FE"/>
    <w:rsid w:val="00A74D6C"/>
    <w:rsid w:val="00A82767"/>
    <w:rsid w:val="00A90618"/>
    <w:rsid w:val="00AA332F"/>
    <w:rsid w:val="00AA7A20"/>
    <w:rsid w:val="00AA7BBB"/>
    <w:rsid w:val="00AB64A8"/>
    <w:rsid w:val="00AC0266"/>
    <w:rsid w:val="00AD24EC"/>
    <w:rsid w:val="00B309F9"/>
    <w:rsid w:val="00B32B60"/>
    <w:rsid w:val="00B61619"/>
    <w:rsid w:val="00BB0CD3"/>
    <w:rsid w:val="00BB4545"/>
    <w:rsid w:val="00BD5873"/>
    <w:rsid w:val="00C04BE3"/>
    <w:rsid w:val="00C05762"/>
    <w:rsid w:val="00C22B5B"/>
    <w:rsid w:val="00C25D29"/>
    <w:rsid w:val="00C27A7C"/>
    <w:rsid w:val="00C512E1"/>
    <w:rsid w:val="00C73DBC"/>
    <w:rsid w:val="00CA08ED"/>
    <w:rsid w:val="00CB60AB"/>
    <w:rsid w:val="00CF183B"/>
    <w:rsid w:val="00CF2E72"/>
    <w:rsid w:val="00D15298"/>
    <w:rsid w:val="00D375CD"/>
    <w:rsid w:val="00D553A2"/>
    <w:rsid w:val="00D774D3"/>
    <w:rsid w:val="00D904E8"/>
    <w:rsid w:val="00DA08C3"/>
    <w:rsid w:val="00DB5A3E"/>
    <w:rsid w:val="00DC22AA"/>
    <w:rsid w:val="00DC7C6D"/>
    <w:rsid w:val="00DE543E"/>
    <w:rsid w:val="00DF74DD"/>
    <w:rsid w:val="00E14464"/>
    <w:rsid w:val="00E25AD0"/>
    <w:rsid w:val="00E42FD0"/>
    <w:rsid w:val="00EB6350"/>
    <w:rsid w:val="00F15B57"/>
    <w:rsid w:val="00F427DB"/>
    <w:rsid w:val="00FA5EB1"/>
    <w:rsid w:val="00FA7439"/>
    <w:rsid w:val="00FB376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1051F9"/>
  <w15:docId w15:val="{06A451BC-48A0-46F2-A72A-D714835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C512E1"/>
    <w:rPr>
      <w:sz w:val="16"/>
      <w:szCs w:val="16"/>
    </w:rPr>
  </w:style>
  <w:style w:type="paragraph" w:styleId="CommentText">
    <w:name w:val="annotation text"/>
    <w:basedOn w:val="Normal"/>
    <w:link w:val="CommentTextChar"/>
    <w:semiHidden/>
    <w:unhideWhenUsed/>
    <w:rsid w:val="00C512E1"/>
    <w:rPr>
      <w:rFonts w:eastAsia="SimSun"/>
      <w:sz w:val="20"/>
      <w:lang w:val="en-GB"/>
    </w:rPr>
  </w:style>
  <w:style w:type="character" w:customStyle="1" w:styleId="CommentTextChar">
    <w:name w:val="Comment Text Char"/>
    <w:basedOn w:val="DefaultParagraphFont"/>
    <w:link w:val="CommentText"/>
    <w:semiHidden/>
    <w:rsid w:val="00C512E1"/>
    <w:rPr>
      <w:rFonts w:ascii="Calibri" w:eastAsia="SimSun" w:hAnsi="Calibri"/>
      <w:lang w:val="en-GB" w:eastAsia="en-US"/>
    </w:rPr>
  </w:style>
  <w:style w:type="character" w:customStyle="1" w:styleId="UnresolvedMention1">
    <w:name w:val="Unresolved Mention1"/>
    <w:basedOn w:val="DefaultParagraphFont"/>
    <w:uiPriority w:val="99"/>
    <w:semiHidden/>
    <w:unhideWhenUsed/>
    <w:rsid w:val="00C512E1"/>
    <w:rPr>
      <w:color w:val="605E5C"/>
      <w:shd w:val="clear" w:color="auto" w:fill="E1DFDD"/>
    </w:rPr>
  </w:style>
  <w:style w:type="paragraph" w:styleId="Revision">
    <w:name w:val="Revision"/>
    <w:hidden/>
    <w:uiPriority w:val="99"/>
    <w:semiHidden/>
    <w:rsid w:val="00E42FD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12/en" TargetMode="External"/><Relationship Id="rId18" Type="http://schemas.openxmlformats.org/officeDocument/2006/relationships/hyperlink" Target="https://www.itu.int/md/S21-CL-C-0060/en" TargetMode="External"/><Relationship Id="rId26" Type="http://schemas.openxmlformats.org/officeDocument/2006/relationships/hyperlink" Target="https://www.itu.int/md/S21-CL-C-0050/fr" TargetMode="External"/><Relationship Id="rId39" Type="http://schemas.openxmlformats.org/officeDocument/2006/relationships/theme" Target="theme/theme1.xml"/><Relationship Id="rId21" Type="http://schemas.openxmlformats.org/officeDocument/2006/relationships/hyperlink" Target="http://www.itu.int/md/S21-CL-C-0056/fr"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21-CL-INF-0009/en" TargetMode="External"/><Relationship Id="rId17" Type="http://schemas.openxmlformats.org/officeDocument/2006/relationships/hyperlink" Target="https://www.itu.int/md/S21-CL-C-0044/en" TargetMode="External"/><Relationship Id="rId25" Type="http://schemas.openxmlformats.org/officeDocument/2006/relationships/hyperlink" Target="https://www.itu.int/md/S21-CL-INF-0012/fr"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1-CL-210608-TD-GEN-0003/en" TargetMode="External"/><Relationship Id="rId20" Type="http://schemas.openxmlformats.org/officeDocument/2006/relationships/hyperlink" Target="http://www.itu.int/md/S21-CL-C-0065/fr" TargetMode="External"/><Relationship Id="rId29" Type="http://schemas.openxmlformats.org/officeDocument/2006/relationships/hyperlink" Target="https://www.itu.int/md/S21-CL-210608-TD-GEN-0003/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21-CL-C-0070/en" TargetMode="External"/><Relationship Id="rId24" Type="http://schemas.openxmlformats.org/officeDocument/2006/relationships/hyperlink" Target="https://www.itu.int/md/S21-CL-INF-0009/fr" TargetMode="External"/><Relationship Id="rId32" Type="http://schemas.openxmlformats.org/officeDocument/2006/relationships/hyperlink" Target="https://www.unjiu.org/sites/www.unjiu.org/files/jiu_rep_2020_1_french_0.pdf"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1-CL-INF-0010/en" TargetMode="External"/><Relationship Id="rId23" Type="http://schemas.openxmlformats.org/officeDocument/2006/relationships/hyperlink" Target="http://www.itu.int/md/S21-CL-C-0070/fr" TargetMode="External"/><Relationship Id="rId28" Type="http://schemas.openxmlformats.org/officeDocument/2006/relationships/hyperlink" Target="https://www.itu.int/md/S21-CL-INF-0010/fr" TargetMode="External"/><Relationship Id="rId36" Type="http://schemas.openxmlformats.org/officeDocument/2006/relationships/footer" Target="footer2.xml"/><Relationship Id="rId10" Type="http://schemas.openxmlformats.org/officeDocument/2006/relationships/hyperlink" Target="http://www.itu.int/md/S21-CL-C-0056/en" TargetMode="External"/><Relationship Id="rId19" Type="http://schemas.openxmlformats.org/officeDocument/2006/relationships/hyperlink" Target="https://www.itu.int/md/S21-CL-210608-TD-GEN-0001/fr" TargetMode="External"/><Relationship Id="rId31" Type="http://schemas.openxmlformats.org/officeDocument/2006/relationships/hyperlink" Target="https://www.itu.int/md/S21-CL-C-0060/fr" TargetMode="External"/><Relationship Id="rId4" Type="http://schemas.openxmlformats.org/officeDocument/2006/relationships/webSettings" Target="webSettings.xml"/><Relationship Id="rId9" Type="http://schemas.openxmlformats.org/officeDocument/2006/relationships/hyperlink" Target="http://www.itu.int/md/S21-CL-C-0065/en" TargetMode="External"/><Relationship Id="rId14" Type="http://schemas.openxmlformats.org/officeDocument/2006/relationships/hyperlink" Target="https://www.itu.int/md/S21-CL-C-0050/en" TargetMode="External"/><Relationship Id="rId22" Type="http://schemas.openxmlformats.org/officeDocument/2006/relationships/hyperlink" Target="http://www.itu.int/md/S21-CL-C-0049/fr" TargetMode="External"/><Relationship Id="rId27" Type="http://schemas.openxmlformats.org/officeDocument/2006/relationships/hyperlink" Target="https://www.itu.int/md/S21-CL-C-0011/fr" TargetMode="External"/><Relationship Id="rId30" Type="http://schemas.openxmlformats.org/officeDocument/2006/relationships/hyperlink" Target="https://www.itu.int/md/S21-CL-C-0044/fr" TargetMode="External"/><Relationship Id="rId35" Type="http://schemas.openxmlformats.org/officeDocument/2006/relationships/footer" Target="footer1.xml"/><Relationship Id="rId8" Type="http://schemas.openxmlformats.org/officeDocument/2006/relationships/hyperlink" Target="https://www.itu.int/md/S21-CL-210608-TD-GEN-0001/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6</TotalTime>
  <Pages>9</Pages>
  <Words>4175</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28834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troisième séance</dc:title>
  <dc:subject>Council 2021, Virtual consultation of councillors</dc:subject>
  <dc:creator>Collonge, Marion</dc:creator>
  <cp:keywords>C2021, C21, VCC, C21-VCC-1</cp:keywords>
  <dc:description/>
  <cp:lastModifiedBy>Brouard, Ricarda</cp:lastModifiedBy>
  <cp:revision>3</cp:revision>
  <cp:lastPrinted>2000-07-18T08:55:00Z</cp:lastPrinted>
  <dcterms:created xsi:type="dcterms:W3CDTF">2021-07-19T08:20:00Z</dcterms:created>
  <dcterms:modified xsi:type="dcterms:W3CDTF">2021-08-06T08:45:00Z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