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06D44" w14:paraId="7231D897" w14:textId="77777777" w:rsidTr="009022B4">
        <w:trPr>
          <w:cantSplit/>
        </w:trPr>
        <w:tc>
          <w:tcPr>
            <w:tcW w:w="6912" w:type="dxa"/>
          </w:tcPr>
          <w:p w14:paraId="3AF9F76E" w14:textId="7D846DDE" w:rsidR="007B13A9" w:rsidRPr="007B13A9" w:rsidRDefault="00520F36" w:rsidP="009022B4">
            <w:pPr>
              <w:spacing w:before="360"/>
              <w:rPr>
                <w:b/>
                <w:bCs/>
                <w:sz w:val="30"/>
                <w:szCs w:val="30"/>
              </w:rPr>
            </w:pPr>
            <w:bookmarkStart w:id="0" w:name="dc06"/>
            <w:bookmarkEnd w:id="0"/>
            <w:r w:rsidRPr="00006D44">
              <w:rPr>
                <w:b/>
                <w:bCs/>
                <w:sz w:val="30"/>
                <w:szCs w:val="30"/>
              </w:rPr>
              <w:t>Conseil 20</w:t>
            </w:r>
            <w:r w:rsidR="009C353C" w:rsidRPr="00006D44">
              <w:rPr>
                <w:b/>
                <w:bCs/>
                <w:sz w:val="30"/>
                <w:szCs w:val="30"/>
              </w:rPr>
              <w:t>2</w:t>
            </w:r>
            <w:r w:rsidR="004D1D50" w:rsidRPr="00006D44">
              <w:rPr>
                <w:b/>
                <w:bCs/>
                <w:sz w:val="30"/>
                <w:szCs w:val="30"/>
              </w:rPr>
              <w:t>1</w:t>
            </w:r>
            <w:r w:rsidR="007B13A9">
              <w:rPr>
                <w:b/>
                <w:bCs/>
                <w:sz w:val="30"/>
                <w:szCs w:val="30"/>
              </w:rPr>
              <w:br/>
            </w:r>
            <w:r w:rsidR="007B13A9" w:rsidRPr="006B7D53">
              <w:rPr>
                <w:b/>
                <w:bCs/>
                <w:sz w:val="26"/>
                <w:szCs w:val="26"/>
              </w:rPr>
              <w:t>Consultation par correspondance (31 juillet 2021)</w:t>
            </w:r>
          </w:p>
        </w:tc>
        <w:tc>
          <w:tcPr>
            <w:tcW w:w="3261" w:type="dxa"/>
          </w:tcPr>
          <w:p w14:paraId="229611B4" w14:textId="77777777" w:rsidR="00520F36" w:rsidRPr="00006D44" w:rsidRDefault="009C353C" w:rsidP="009022B4">
            <w:pPr>
              <w:spacing w:before="0"/>
            </w:pPr>
            <w:bookmarkStart w:id="1" w:name="ditulogo"/>
            <w:bookmarkEnd w:id="1"/>
            <w:r w:rsidRPr="00006D44">
              <w:rPr>
                <w:noProof/>
                <w:lang w:val="en-US"/>
              </w:rPr>
              <w:drawing>
                <wp:inline distT="0" distB="0" distL="0" distR="0" wp14:anchorId="3EA3646E" wp14:editId="1D509B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06D44" w14:paraId="4547796F" w14:textId="77777777" w:rsidTr="009022B4">
        <w:trPr>
          <w:cantSplit/>
          <w:trHeight w:val="20"/>
        </w:trPr>
        <w:tc>
          <w:tcPr>
            <w:tcW w:w="6912" w:type="dxa"/>
            <w:tcBorders>
              <w:bottom w:val="single" w:sz="12" w:space="0" w:color="auto"/>
            </w:tcBorders>
            <w:vAlign w:val="center"/>
          </w:tcPr>
          <w:p w14:paraId="7D4F0D84" w14:textId="77777777" w:rsidR="00520F36" w:rsidRPr="009022B4" w:rsidRDefault="00520F36" w:rsidP="009022B4">
            <w:pPr>
              <w:spacing w:before="0"/>
              <w:rPr>
                <w:b/>
                <w:bCs/>
                <w:sz w:val="20"/>
              </w:rPr>
            </w:pPr>
          </w:p>
        </w:tc>
        <w:tc>
          <w:tcPr>
            <w:tcW w:w="3261" w:type="dxa"/>
            <w:tcBorders>
              <w:bottom w:val="single" w:sz="12" w:space="0" w:color="auto"/>
            </w:tcBorders>
          </w:tcPr>
          <w:p w14:paraId="5CC67A1C" w14:textId="77777777" w:rsidR="00520F36" w:rsidRPr="009022B4" w:rsidRDefault="00520F36" w:rsidP="009022B4">
            <w:pPr>
              <w:spacing w:before="0"/>
              <w:rPr>
                <w:b/>
                <w:bCs/>
                <w:sz w:val="20"/>
              </w:rPr>
            </w:pPr>
          </w:p>
        </w:tc>
      </w:tr>
      <w:tr w:rsidR="00520F36" w:rsidRPr="00006D44" w14:paraId="499813DF" w14:textId="77777777" w:rsidTr="009022B4">
        <w:trPr>
          <w:cantSplit/>
          <w:trHeight w:val="20"/>
        </w:trPr>
        <w:tc>
          <w:tcPr>
            <w:tcW w:w="6912" w:type="dxa"/>
            <w:tcBorders>
              <w:top w:val="single" w:sz="12" w:space="0" w:color="auto"/>
            </w:tcBorders>
          </w:tcPr>
          <w:p w14:paraId="620A7B6D" w14:textId="77777777" w:rsidR="00520F36" w:rsidRPr="009022B4" w:rsidRDefault="00520F36" w:rsidP="009022B4">
            <w:pPr>
              <w:spacing w:before="0"/>
              <w:rPr>
                <w:smallCaps/>
                <w:sz w:val="20"/>
              </w:rPr>
            </w:pPr>
          </w:p>
        </w:tc>
        <w:tc>
          <w:tcPr>
            <w:tcW w:w="3261" w:type="dxa"/>
            <w:tcBorders>
              <w:top w:val="single" w:sz="12" w:space="0" w:color="auto"/>
            </w:tcBorders>
          </w:tcPr>
          <w:p w14:paraId="472DF836" w14:textId="77777777" w:rsidR="00520F36" w:rsidRPr="009022B4" w:rsidRDefault="00520F36" w:rsidP="009022B4">
            <w:pPr>
              <w:spacing w:before="0"/>
              <w:rPr>
                <w:b/>
                <w:bCs/>
                <w:sz w:val="20"/>
              </w:rPr>
            </w:pPr>
          </w:p>
        </w:tc>
      </w:tr>
      <w:tr w:rsidR="00520F36" w:rsidRPr="00006D44" w14:paraId="1F675F12" w14:textId="77777777" w:rsidTr="009022B4">
        <w:trPr>
          <w:cantSplit/>
          <w:trHeight w:val="20"/>
        </w:trPr>
        <w:tc>
          <w:tcPr>
            <w:tcW w:w="6912" w:type="dxa"/>
            <w:vMerge w:val="restart"/>
          </w:tcPr>
          <w:p w14:paraId="6A3F2D32" w14:textId="2E4EA9B3" w:rsidR="00520F36" w:rsidRPr="00006D44" w:rsidRDefault="00520F36" w:rsidP="009022B4">
            <w:pPr>
              <w:spacing w:before="0"/>
              <w:rPr>
                <w:rFonts w:cs="Times"/>
                <w:b/>
                <w:bCs/>
                <w:szCs w:val="24"/>
              </w:rPr>
            </w:pPr>
            <w:bookmarkStart w:id="2" w:name="dnum" w:colFirst="1" w:colLast="1"/>
            <w:bookmarkStart w:id="3" w:name="dmeeting" w:colFirst="0" w:colLast="0"/>
          </w:p>
        </w:tc>
        <w:tc>
          <w:tcPr>
            <w:tcW w:w="3261" w:type="dxa"/>
          </w:tcPr>
          <w:p w14:paraId="14B5D98B" w14:textId="5D0CA491" w:rsidR="00520F36" w:rsidRPr="00006D44" w:rsidRDefault="00520F36" w:rsidP="009022B4">
            <w:pPr>
              <w:spacing w:before="0"/>
              <w:rPr>
                <w:b/>
                <w:bCs/>
              </w:rPr>
            </w:pPr>
            <w:r w:rsidRPr="00006D44">
              <w:rPr>
                <w:b/>
                <w:bCs/>
              </w:rPr>
              <w:t>Document C</w:t>
            </w:r>
            <w:r w:rsidR="009C353C" w:rsidRPr="00006D44">
              <w:rPr>
                <w:b/>
                <w:bCs/>
              </w:rPr>
              <w:t>2</w:t>
            </w:r>
            <w:r w:rsidR="004D1D50" w:rsidRPr="00006D44">
              <w:rPr>
                <w:b/>
                <w:bCs/>
              </w:rPr>
              <w:t>1</w:t>
            </w:r>
            <w:r w:rsidRPr="00006D44">
              <w:rPr>
                <w:b/>
                <w:bCs/>
              </w:rPr>
              <w:t>/</w:t>
            </w:r>
            <w:r w:rsidR="009022B4">
              <w:rPr>
                <w:b/>
                <w:bCs/>
              </w:rPr>
              <w:t>9</w:t>
            </w:r>
            <w:r w:rsidR="00E75C0C">
              <w:rPr>
                <w:b/>
                <w:bCs/>
              </w:rPr>
              <w:t>5</w:t>
            </w:r>
            <w:r w:rsidRPr="00006D44">
              <w:rPr>
                <w:b/>
                <w:bCs/>
              </w:rPr>
              <w:t>-F</w:t>
            </w:r>
          </w:p>
        </w:tc>
      </w:tr>
      <w:tr w:rsidR="00520F36" w:rsidRPr="00006D44" w14:paraId="5D685A24" w14:textId="77777777" w:rsidTr="009022B4">
        <w:trPr>
          <w:cantSplit/>
          <w:trHeight w:val="20"/>
        </w:trPr>
        <w:tc>
          <w:tcPr>
            <w:tcW w:w="6912" w:type="dxa"/>
            <w:vMerge/>
          </w:tcPr>
          <w:p w14:paraId="5BB70A82" w14:textId="77777777" w:rsidR="00520F36" w:rsidRPr="00006D44" w:rsidRDefault="00520F36" w:rsidP="009022B4">
            <w:pPr>
              <w:shd w:val="solid" w:color="FFFFFF" w:fill="FFFFFF"/>
              <w:spacing w:before="180"/>
              <w:rPr>
                <w:smallCaps/>
              </w:rPr>
            </w:pPr>
            <w:bookmarkStart w:id="4" w:name="ddate" w:colFirst="1" w:colLast="1"/>
            <w:bookmarkEnd w:id="2"/>
            <w:bookmarkEnd w:id="3"/>
          </w:p>
        </w:tc>
        <w:tc>
          <w:tcPr>
            <w:tcW w:w="3261" w:type="dxa"/>
          </w:tcPr>
          <w:p w14:paraId="181AF652" w14:textId="2AB8D2F7" w:rsidR="00520F36" w:rsidRPr="00006D44" w:rsidRDefault="009022B4" w:rsidP="009022B4">
            <w:pPr>
              <w:spacing w:before="0"/>
              <w:rPr>
                <w:b/>
                <w:bCs/>
              </w:rPr>
            </w:pPr>
            <w:r>
              <w:rPr>
                <w:b/>
                <w:bCs/>
              </w:rPr>
              <w:t>6 août</w:t>
            </w:r>
            <w:r w:rsidR="004A7B5A" w:rsidRPr="00006D44">
              <w:rPr>
                <w:b/>
                <w:bCs/>
              </w:rPr>
              <w:t xml:space="preserve"> 2021</w:t>
            </w:r>
          </w:p>
        </w:tc>
      </w:tr>
      <w:tr w:rsidR="00520F36" w:rsidRPr="00006D44" w14:paraId="681770E2" w14:textId="77777777" w:rsidTr="009022B4">
        <w:trPr>
          <w:cantSplit/>
          <w:trHeight w:val="20"/>
        </w:trPr>
        <w:tc>
          <w:tcPr>
            <w:tcW w:w="6912" w:type="dxa"/>
            <w:vMerge/>
          </w:tcPr>
          <w:p w14:paraId="0756F352" w14:textId="77777777" w:rsidR="00520F36" w:rsidRPr="00006D44" w:rsidRDefault="00520F36" w:rsidP="009022B4">
            <w:pPr>
              <w:shd w:val="solid" w:color="FFFFFF" w:fill="FFFFFF"/>
              <w:spacing w:before="180"/>
              <w:rPr>
                <w:smallCaps/>
              </w:rPr>
            </w:pPr>
            <w:bookmarkStart w:id="5" w:name="dorlang" w:colFirst="1" w:colLast="1"/>
            <w:bookmarkEnd w:id="4"/>
          </w:p>
        </w:tc>
        <w:tc>
          <w:tcPr>
            <w:tcW w:w="3261" w:type="dxa"/>
          </w:tcPr>
          <w:p w14:paraId="2DC134E8" w14:textId="77777777" w:rsidR="00520F36" w:rsidRPr="00006D44" w:rsidRDefault="00520F36" w:rsidP="009022B4">
            <w:pPr>
              <w:spacing w:before="0"/>
              <w:rPr>
                <w:b/>
                <w:bCs/>
              </w:rPr>
            </w:pPr>
            <w:proofErr w:type="gramStart"/>
            <w:r w:rsidRPr="00006D44">
              <w:rPr>
                <w:b/>
                <w:bCs/>
              </w:rPr>
              <w:t>Original:</w:t>
            </w:r>
            <w:proofErr w:type="gramEnd"/>
            <w:r w:rsidRPr="00006D44">
              <w:rPr>
                <w:b/>
                <w:bCs/>
              </w:rPr>
              <w:t xml:space="preserve"> anglais</w:t>
            </w:r>
          </w:p>
        </w:tc>
      </w:tr>
    </w:tbl>
    <w:p w14:paraId="08B581BE" w14:textId="580828DE" w:rsidR="009022B4" w:rsidRPr="008D1A49" w:rsidRDefault="009022B4" w:rsidP="00E75C0C">
      <w:pPr>
        <w:pStyle w:val="ResNo"/>
      </w:pPr>
      <w:bookmarkStart w:id="6" w:name="_Hlk79585717"/>
      <w:bookmarkStart w:id="7" w:name="_Hlk79586287"/>
      <w:bookmarkEnd w:id="5"/>
      <w:r w:rsidRPr="008D1A49">
        <w:t>RÉSOLUTION 140</w:t>
      </w:r>
      <w:r w:rsidR="00E75C0C">
        <w:t>4</w:t>
      </w:r>
    </w:p>
    <w:p w14:paraId="363F048E" w14:textId="77777777" w:rsidR="009022B4" w:rsidRPr="008D1A49" w:rsidRDefault="009022B4" w:rsidP="009022B4">
      <w:pPr>
        <w:jc w:val="center"/>
        <w:rPr>
          <w:rFonts w:asciiTheme="minorHAnsi" w:hAnsiTheme="minorHAnsi" w:cstheme="minorHAnsi"/>
          <w:sz w:val="28"/>
          <w:szCs w:val="28"/>
        </w:rPr>
      </w:pPr>
      <w:r w:rsidRPr="008D1A49">
        <w:rPr>
          <w:rFonts w:asciiTheme="minorHAnsi" w:hAnsiTheme="minorHAnsi" w:cstheme="minorHAnsi"/>
          <w:sz w:val="28"/>
          <w:szCs w:val="28"/>
        </w:rPr>
        <w:t>(</w:t>
      </w:r>
      <w:proofErr w:type="gramStart"/>
      <w:r w:rsidRPr="008D1A49">
        <w:rPr>
          <w:rFonts w:asciiTheme="minorHAnsi" w:hAnsiTheme="minorHAnsi" w:cstheme="minorHAnsi"/>
          <w:sz w:val="28"/>
          <w:szCs w:val="28"/>
        </w:rPr>
        <w:t>adoptée</w:t>
      </w:r>
      <w:proofErr w:type="gramEnd"/>
      <w:r w:rsidRPr="008D1A49">
        <w:rPr>
          <w:rFonts w:asciiTheme="minorHAnsi" w:hAnsiTheme="minorHAnsi" w:cstheme="minorHAnsi"/>
          <w:sz w:val="28"/>
          <w:szCs w:val="28"/>
        </w:rPr>
        <w:t xml:space="preserve"> par correspondance)</w:t>
      </w:r>
    </w:p>
    <w:bookmarkEnd w:id="6"/>
    <w:p w14:paraId="22181FCC" w14:textId="77777777" w:rsidR="00E75C0C" w:rsidRPr="008D1A49" w:rsidRDefault="00E75C0C" w:rsidP="00E75C0C">
      <w:pPr>
        <w:pStyle w:val="Restitle"/>
      </w:pPr>
      <w:r w:rsidRPr="008D1A49">
        <w:t>Établissement du Groupe de travail du Conseil chargé d'élaborer le Plan stratégique et le Plan financier pour la période 2024-2027</w:t>
      </w:r>
    </w:p>
    <w:bookmarkEnd w:id="7"/>
    <w:p w14:paraId="12889F11" w14:textId="77777777" w:rsidR="00E75C0C" w:rsidRPr="008D1A49" w:rsidRDefault="00E75C0C" w:rsidP="00E75C0C">
      <w:pPr>
        <w:spacing w:before="240"/>
      </w:pPr>
      <w:r w:rsidRPr="008D1A49">
        <w:t>Le Conseil de l'UIT,</w:t>
      </w:r>
    </w:p>
    <w:p w14:paraId="1E4B0D5E" w14:textId="77777777" w:rsidR="00E75C0C" w:rsidRPr="008D1A49" w:rsidRDefault="00E75C0C" w:rsidP="00E75C0C">
      <w:pPr>
        <w:pStyle w:val="Call"/>
        <w:keepNext w:val="0"/>
        <w:keepLines w:val="0"/>
      </w:pPr>
      <w:proofErr w:type="gramStart"/>
      <w:r w:rsidRPr="008D1A49">
        <w:t>considérant</w:t>
      </w:r>
      <w:proofErr w:type="gramEnd"/>
    </w:p>
    <w:p w14:paraId="404C9FD9" w14:textId="77777777" w:rsidR="00E75C0C" w:rsidRPr="008D1A49" w:rsidRDefault="00E75C0C" w:rsidP="00E75C0C">
      <w:proofErr w:type="gramStart"/>
      <w:r w:rsidRPr="008D1A49">
        <w:t>que</w:t>
      </w:r>
      <w:proofErr w:type="gramEnd"/>
      <w:r w:rsidRPr="008D1A49">
        <w:t>, en vertu du numéro 74A de la Constitution, le Secrétaire général est chargé de fournir les données nécessaires à l'élaboration d'un Plan stratégique,</w:t>
      </w:r>
    </w:p>
    <w:p w14:paraId="569D135C" w14:textId="77777777" w:rsidR="00E75C0C" w:rsidRPr="008D1A49" w:rsidRDefault="00E75C0C" w:rsidP="00E75C0C">
      <w:pPr>
        <w:pStyle w:val="Call"/>
        <w:keepNext w:val="0"/>
        <w:keepLines w:val="0"/>
      </w:pPr>
      <w:proofErr w:type="gramStart"/>
      <w:r w:rsidRPr="008D1A49">
        <w:t>considérant</w:t>
      </w:r>
      <w:proofErr w:type="gramEnd"/>
      <w:r w:rsidRPr="008D1A49">
        <w:t xml:space="preserve"> en outre</w:t>
      </w:r>
    </w:p>
    <w:p w14:paraId="62FC8DDB" w14:textId="77777777" w:rsidR="00E75C0C" w:rsidRPr="008D1A49" w:rsidRDefault="00E75C0C" w:rsidP="00E75C0C">
      <w:r w:rsidRPr="008D1A49">
        <w:rPr>
          <w:i/>
          <w:iCs/>
        </w:rPr>
        <w:t>a)</w:t>
      </w:r>
      <w:r w:rsidRPr="008D1A49">
        <w:tab/>
        <w:t>que, conformément au numéro 62A de la Convention, le Conseil est chargé de recevoir et d'examiner les données concrètes pour la planification stratégique qui sont fournies par le Secrétaire général comme indiqué au numéro 74A de la Constitution et, au cours de l'avant</w:t>
      </w:r>
      <w:r w:rsidRPr="008D1A49">
        <w:noBreakHyphen/>
        <w:t>dernière session ordinaire du Conseil avant la Conférence de plénipotentiaires suivante, de commencer l'élaboration d'un projet de nouveau plan stratégique pour l'Union, en s'appuyant sur les contributions des États Membres et des Membres des Secteurs, ainsi que celles des groupes consultatifs des Secteurs, et d'établir un projet de nouveau plan stratégique coordonné quatre mois au plus tard avant la Conférence de plénipotentiaires;</w:t>
      </w:r>
    </w:p>
    <w:p w14:paraId="0DDAF7CF" w14:textId="77777777" w:rsidR="00E75C0C" w:rsidRPr="008D1A49" w:rsidRDefault="00E75C0C" w:rsidP="00E75C0C">
      <w:r w:rsidRPr="008D1A49">
        <w:rPr>
          <w:i/>
          <w:iCs/>
        </w:rPr>
        <w:t>b)</w:t>
      </w:r>
      <w:r w:rsidRPr="008D1A49">
        <w:tab/>
        <w:t>les dispositions de la Décision 5 (Rév. Dubaï, 2018) de la Conférence de plénipotentiaires, relative aux recettes et dépenses de l'Union pour la période 2020-</w:t>
      </w:r>
      <w:proofErr w:type="gramStart"/>
      <w:r w:rsidRPr="008D1A49">
        <w:t>2023;</w:t>
      </w:r>
      <w:proofErr w:type="gramEnd"/>
    </w:p>
    <w:p w14:paraId="24616D3C" w14:textId="6424E154" w:rsidR="00E75C0C" w:rsidRPr="008D1A49" w:rsidRDefault="00E75C0C" w:rsidP="00E75C0C">
      <w:r w:rsidRPr="008D1A49">
        <w:rPr>
          <w:i/>
          <w:iCs/>
        </w:rPr>
        <w:t>c)</w:t>
      </w:r>
      <w:r w:rsidRPr="008D1A49">
        <w:tab/>
        <w:t>les principes directeurs régissant la création, la gestion et la cessation des activités des groupes de travail du Conseil énoncés dans la</w:t>
      </w:r>
      <w:hyperlink r:id="rId7" w:history="1">
        <w:r w:rsidRPr="00E75C0C">
          <w:rPr>
            <w:rStyle w:val="Hyperlink"/>
            <w:u w:val="none"/>
          </w:rPr>
          <w:t xml:space="preserve"> </w:t>
        </w:r>
        <w:r w:rsidRPr="00E75C0C">
          <w:rPr>
            <w:rStyle w:val="Hyperlink"/>
          </w:rPr>
          <w:t>Décision 11 (Rév. Dubaï, 2018)</w:t>
        </w:r>
      </w:hyperlink>
      <w:r w:rsidRPr="008D1A49">
        <w:t xml:space="preserve"> de la Conférence de plénipotentiaires,</w:t>
      </w:r>
    </w:p>
    <w:p w14:paraId="48A850A4" w14:textId="77777777" w:rsidR="00E75C0C" w:rsidRPr="008D1A49" w:rsidRDefault="00E75C0C" w:rsidP="00E75C0C">
      <w:pPr>
        <w:pStyle w:val="Call"/>
        <w:keepNext w:val="0"/>
        <w:keepLines w:val="0"/>
      </w:pPr>
      <w:proofErr w:type="gramStart"/>
      <w:r w:rsidRPr="008D1A49">
        <w:t>décide</w:t>
      </w:r>
      <w:proofErr w:type="gramEnd"/>
    </w:p>
    <w:p w14:paraId="7C2A861B" w14:textId="77777777" w:rsidR="00E75C0C" w:rsidRPr="008D1A49" w:rsidRDefault="00E75C0C" w:rsidP="00E75C0C">
      <w:proofErr w:type="gramStart"/>
      <w:r w:rsidRPr="008D1A49">
        <w:t>d'établir</w:t>
      </w:r>
      <w:proofErr w:type="gramEnd"/>
      <w:r w:rsidRPr="008D1A49">
        <w:t xml:space="preserve"> un Groupe de travail chargé d'élaborer le projet de Plan stratégique et le projet de Plan financier, qui seront examinés par le Conseil à sa session de 2022 et présentés par ce dernier à la PP-22. Ce Groupe de travail (GTC-SFP), ouvert à la participation des États Membres et, lorsqu'il sera question du projet de Plan stratégique, ouvert également à la participation des Membres des Secteurs, aura le mandat </w:t>
      </w:r>
      <w:proofErr w:type="gramStart"/>
      <w:r w:rsidRPr="008D1A49">
        <w:t>suivant:</w:t>
      </w:r>
      <w:proofErr w:type="gramEnd"/>
    </w:p>
    <w:p w14:paraId="0667B48C" w14:textId="77777777" w:rsidR="00E75C0C" w:rsidRPr="008D1A49" w:rsidRDefault="00E75C0C" w:rsidP="00E75C0C">
      <w:pPr>
        <w:pStyle w:val="enumlev1"/>
      </w:pPr>
      <w:r w:rsidRPr="008D1A49">
        <w:t>a)</w:t>
      </w:r>
      <w:r w:rsidRPr="008D1A49">
        <w:tab/>
        <w:t xml:space="preserve">identifier, avec l'aide du Secrétaire général et des Directeurs des Bureaux, les sources d'information à utiliser dans l'élaboration des projets de </w:t>
      </w:r>
      <w:proofErr w:type="gramStart"/>
      <w:r w:rsidRPr="008D1A49">
        <w:t>Plan;</w:t>
      </w:r>
      <w:proofErr w:type="gramEnd"/>
    </w:p>
    <w:p w14:paraId="5386005A" w14:textId="77777777" w:rsidR="00E75C0C" w:rsidRPr="008D1A49" w:rsidRDefault="00E75C0C" w:rsidP="00E75C0C">
      <w:pPr>
        <w:pStyle w:val="enumlev1"/>
      </w:pPr>
      <w:r w:rsidRPr="008D1A49">
        <w:t>b)</w:t>
      </w:r>
      <w:r w:rsidRPr="008D1A49">
        <w:tab/>
        <w:t xml:space="preserve">élaborer le projet de Plan stratégique et le projet de Plan financier, en vue de les présenter au Conseil à sa session de </w:t>
      </w:r>
      <w:proofErr w:type="gramStart"/>
      <w:r w:rsidRPr="008D1A49">
        <w:t>2022;</w:t>
      </w:r>
      <w:proofErr w:type="gramEnd"/>
    </w:p>
    <w:p w14:paraId="56C85DF3" w14:textId="77777777" w:rsidR="00E75C0C" w:rsidRPr="008D1A49" w:rsidRDefault="00E75C0C" w:rsidP="00E75C0C">
      <w:pPr>
        <w:pStyle w:val="enumlev1"/>
      </w:pPr>
      <w:r w:rsidRPr="008D1A49">
        <w:t>c)</w:t>
      </w:r>
      <w:r w:rsidRPr="008D1A49">
        <w:tab/>
        <w:t xml:space="preserve">poster sur le site web de la PP-22 un projet de nouveau Plan stratégique coordonné quatre mois avant la Conférence de </w:t>
      </w:r>
      <w:proofErr w:type="gramStart"/>
      <w:r w:rsidRPr="008D1A49">
        <w:t>plénipotentiaires;</w:t>
      </w:r>
      <w:proofErr w:type="gramEnd"/>
    </w:p>
    <w:p w14:paraId="5FC92AA3" w14:textId="77777777" w:rsidR="00E75C0C" w:rsidRPr="008D1A49" w:rsidRDefault="00E75C0C" w:rsidP="00E75C0C">
      <w:pPr>
        <w:pStyle w:val="enumlev1"/>
      </w:pPr>
      <w:r w:rsidRPr="008D1A49">
        <w:t>d)</w:t>
      </w:r>
      <w:r w:rsidRPr="008D1A49">
        <w:tab/>
        <w:t>poursuivre, si nécessaire, ses discussions sur le Plan financier jusqu'à la session extraordinaire du Conseil qui se tiendra avant la PP-</w:t>
      </w:r>
      <w:proofErr w:type="gramStart"/>
      <w:r w:rsidRPr="008D1A49">
        <w:t>22;</w:t>
      </w:r>
      <w:proofErr w:type="gramEnd"/>
    </w:p>
    <w:p w14:paraId="4375969E" w14:textId="77777777" w:rsidR="00E75C0C" w:rsidRPr="008D1A49" w:rsidRDefault="00E75C0C" w:rsidP="00E75C0C">
      <w:pPr>
        <w:pStyle w:val="enumlev1"/>
      </w:pPr>
      <w:r w:rsidRPr="008D1A49">
        <w:t>e)</w:t>
      </w:r>
      <w:r w:rsidRPr="008D1A49">
        <w:tab/>
        <w:t>travailler en coordination étroite avec les autres Groupes de travail du Conseil et les groupes consultatifs des Secteurs qui pourront examiner des questions relatives au projet de Plan stratégique et au projet de Plan financier,</w:t>
      </w:r>
    </w:p>
    <w:p w14:paraId="111FF85A" w14:textId="77777777" w:rsidR="00E75C0C" w:rsidRPr="008D1A49" w:rsidRDefault="00E75C0C" w:rsidP="00E75C0C">
      <w:pPr>
        <w:pStyle w:val="Call"/>
        <w:keepNext w:val="0"/>
        <w:keepLines w:val="0"/>
      </w:pPr>
      <w:proofErr w:type="gramStart"/>
      <w:r w:rsidRPr="008D1A49">
        <w:t>charge</w:t>
      </w:r>
      <w:proofErr w:type="gramEnd"/>
      <w:r w:rsidRPr="008D1A49">
        <w:t xml:space="preserve"> le Secrétaire général, avec l'appui des Directeurs des Bureaux</w:t>
      </w:r>
    </w:p>
    <w:p w14:paraId="12875D14" w14:textId="77777777" w:rsidR="00E75C0C" w:rsidRPr="008D1A49" w:rsidRDefault="00E75C0C" w:rsidP="00E75C0C">
      <w:proofErr w:type="gramStart"/>
      <w:r w:rsidRPr="008D1A49">
        <w:t>de</w:t>
      </w:r>
      <w:proofErr w:type="gramEnd"/>
      <w:r w:rsidRPr="008D1A49">
        <w:t xml:space="preserve"> fournir l'appui et la documentation nécessaires pour le fonctionnement du GTC-SFP,</w:t>
      </w:r>
    </w:p>
    <w:p w14:paraId="6E0A8D92" w14:textId="77777777" w:rsidR="00E75C0C" w:rsidRPr="008D1A49" w:rsidRDefault="00E75C0C" w:rsidP="00E75C0C">
      <w:pPr>
        <w:pStyle w:val="Call"/>
        <w:keepNext w:val="0"/>
        <w:keepLines w:val="0"/>
      </w:pPr>
      <w:proofErr w:type="gramStart"/>
      <w:r w:rsidRPr="008D1A49">
        <w:t>invite</w:t>
      </w:r>
      <w:proofErr w:type="gramEnd"/>
      <w:r w:rsidRPr="008D1A49">
        <w:t xml:space="preserve"> les membres, les Groupes de travail du Conseil, les fonctionnaires élus et les groupes consultatifs des Secteurs</w:t>
      </w:r>
    </w:p>
    <w:p w14:paraId="25E61AEB" w14:textId="77777777" w:rsidR="00E75C0C" w:rsidRPr="008D1A49" w:rsidRDefault="00E75C0C" w:rsidP="00E75C0C">
      <w:proofErr w:type="gramStart"/>
      <w:r w:rsidRPr="008D1A49">
        <w:t>à</w:t>
      </w:r>
      <w:proofErr w:type="gramEnd"/>
      <w:r w:rsidRPr="008D1A49">
        <w:t xml:space="preserve"> fournir toutes les contributions et toute l'assistance nécessaires à l'élaboration du projet de Plan stratégique et du projet de Plan financier et à utiliser pleinement les moyens électroniques.</w:t>
      </w:r>
    </w:p>
    <w:p w14:paraId="169EEAB2" w14:textId="25EE635E" w:rsidR="009022B4" w:rsidRPr="009022B4" w:rsidRDefault="009022B4" w:rsidP="00E75C0C">
      <w:pPr>
        <w:spacing w:before="720"/>
        <w:jc w:val="center"/>
        <w:rPr>
          <w:szCs w:val="24"/>
        </w:rPr>
      </w:pPr>
      <w:r>
        <w:rPr>
          <w:szCs w:val="24"/>
        </w:rPr>
        <w:t>_______________</w:t>
      </w:r>
    </w:p>
    <w:sectPr w:rsidR="009022B4" w:rsidRPr="009022B4" w:rsidSect="005C3890">
      <w:headerReference w:type="even" r:id="rId8"/>
      <w:headerReference w:type="default" r:id="rId9"/>
      <w:footerReference w:type="even"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890A" w14:textId="77777777" w:rsidR="000415DF" w:rsidRDefault="000415DF">
      <w:r>
        <w:separator/>
      </w:r>
    </w:p>
  </w:endnote>
  <w:endnote w:type="continuationSeparator" w:id="0">
    <w:p w14:paraId="7AF18BDC" w14:textId="77777777" w:rsidR="000415DF" w:rsidRDefault="0004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C36" w14:textId="69E15AC9" w:rsidR="00732045" w:rsidRDefault="006B7D53">
    <w:pPr>
      <w:pStyle w:val="Footer"/>
    </w:pPr>
    <w:fldSimple w:instr=" FILENAME \p \* MERGEFORMAT ">
      <w:r w:rsidR="00A1343A">
        <w:t>P:\FRA\SG\CONSEIL\C21\000\002F.docx</w:t>
      </w:r>
    </w:fldSimple>
    <w:r w:rsidR="00732045">
      <w:tab/>
    </w:r>
    <w:r w:rsidR="002F1B76">
      <w:fldChar w:fldCharType="begin"/>
    </w:r>
    <w:r w:rsidR="00732045">
      <w:instrText xml:space="preserve"> savedate \@ dd.MM.yy </w:instrText>
    </w:r>
    <w:r w:rsidR="002F1B76">
      <w:fldChar w:fldCharType="separate"/>
    </w:r>
    <w:r w:rsidR="001A2566">
      <w:t>11.08.21</w:t>
    </w:r>
    <w:r w:rsidR="002F1B76">
      <w:fldChar w:fldCharType="end"/>
    </w:r>
    <w:r w:rsidR="00732045">
      <w:tab/>
    </w:r>
    <w:r w:rsidR="002F1B76">
      <w:fldChar w:fldCharType="begin"/>
    </w:r>
    <w:r w:rsidR="00732045">
      <w:instrText xml:space="preserve"> printdate \@ dd.MM.yy </w:instrText>
    </w:r>
    <w:r w:rsidR="002F1B76">
      <w:fldChar w:fldCharType="separate"/>
    </w:r>
    <w:r w:rsidR="00A1343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AD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AA1" w14:textId="77777777" w:rsidR="000415DF" w:rsidRDefault="000415DF">
      <w:r>
        <w:t>____________________</w:t>
      </w:r>
    </w:p>
  </w:footnote>
  <w:footnote w:type="continuationSeparator" w:id="0">
    <w:p w14:paraId="2171A452" w14:textId="77777777" w:rsidR="000415DF" w:rsidRDefault="0004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C1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E89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BCF" w14:textId="51EADD13" w:rsidR="00732045" w:rsidRDefault="00C27A7C" w:rsidP="00475FB3">
    <w:pPr>
      <w:pStyle w:val="Header"/>
    </w:pPr>
    <w:r>
      <w:fldChar w:fldCharType="begin"/>
    </w:r>
    <w:r>
      <w:instrText>PAGE</w:instrText>
    </w:r>
    <w:r>
      <w:fldChar w:fldCharType="separate"/>
    </w:r>
    <w:r w:rsidR="00A1343A">
      <w:rPr>
        <w:noProof/>
      </w:rPr>
      <w:t>5</w:t>
    </w:r>
    <w:r>
      <w:rPr>
        <w:noProof/>
      </w:rPr>
      <w:fldChar w:fldCharType="end"/>
    </w:r>
  </w:p>
  <w:p w14:paraId="36CDF711" w14:textId="6C0BC7CF" w:rsidR="00732045" w:rsidRDefault="00732045" w:rsidP="00106B19">
    <w:pPr>
      <w:pStyle w:val="Header"/>
    </w:pPr>
    <w:r>
      <w:t>C</w:t>
    </w:r>
    <w:r w:rsidR="009C353C">
      <w:t>2</w:t>
    </w:r>
    <w:r w:rsidR="004D1D50">
      <w:t>1</w:t>
    </w:r>
    <w:r>
      <w:t>/</w:t>
    </w:r>
    <w:r w:rsidR="00E75C0C">
      <w:t>95</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5A"/>
    <w:rsid w:val="00006D44"/>
    <w:rsid w:val="000415DF"/>
    <w:rsid w:val="000D0D0A"/>
    <w:rsid w:val="000F51E1"/>
    <w:rsid w:val="00103163"/>
    <w:rsid w:val="00106B19"/>
    <w:rsid w:val="00115D93"/>
    <w:rsid w:val="001247A8"/>
    <w:rsid w:val="001378C0"/>
    <w:rsid w:val="00142B96"/>
    <w:rsid w:val="0018694A"/>
    <w:rsid w:val="001A2566"/>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A7B5A"/>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B7D53"/>
    <w:rsid w:val="007210CD"/>
    <w:rsid w:val="00732045"/>
    <w:rsid w:val="007369DB"/>
    <w:rsid w:val="007956C2"/>
    <w:rsid w:val="007A187E"/>
    <w:rsid w:val="007B13A9"/>
    <w:rsid w:val="007C72C2"/>
    <w:rsid w:val="007D4436"/>
    <w:rsid w:val="007F257A"/>
    <w:rsid w:val="007F3665"/>
    <w:rsid w:val="00800037"/>
    <w:rsid w:val="00861D73"/>
    <w:rsid w:val="00880FC8"/>
    <w:rsid w:val="00897553"/>
    <w:rsid w:val="008A4E87"/>
    <w:rsid w:val="008D76E6"/>
    <w:rsid w:val="009022B4"/>
    <w:rsid w:val="0092392D"/>
    <w:rsid w:val="0093234A"/>
    <w:rsid w:val="0097363B"/>
    <w:rsid w:val="009C307F"/>
    <w:rsid w:val="009C353C"/>
    <w:rsid w:val="00A1343A"/>
    <w:rsid w:val="00A2113E"/>
    <w:rsid w:val="00A23A51"/>
    <w:rsid w:val="00A24607"/>
    <w:rsid w:val="00A25CD3"/>
    <w:rsid w:val="00A709FE"/>
    <w:rsid w:val="00A82767"/>
    <w:rsid w:val="00A90579"/>
    <w:rsid w:val="00A97082"/>
    <w:rsid w:val="00AA332F"/>
    <w:rsid w:val="00AA7BBB"/>
    <w:rsid w:val="00AB64A8"/>
    <w:rsid w:val="00AC0266"/>
    <w:rsid w:val="00AD24EC"/>
    <w:rsid w:val="00B309F9"/>
    <w:rsid w:val="00B32B60"/>
    <w:rsid w:val="00B61619"/>
    <w:rsid w:val="00BB4545"/>
    <w:rsid w:val="00BD5873"/>
    <w:rsid w:val="00C04BE3"/>
    <w:rsid w:val="00C25D29"/>
    <w:rsid w:val="00C27A7C"/>
    <w:rsid w:val="00C516E8"/>
    <w:rsid w:val="00CA08ED"/>
    <w:rsid w:val="00CF183B"/>
    <w:rsid w:val="00D375CD"/>
    <w:rsid w:val="00D553A2"/>
    <w:rsid w:val="00D774D3"/>
    <w:rsid w:val="00D904E8"/>
    <w:rsid w:val="00DA08C3"/>
    <w:rsid w:val="00DB5A3E"/>
    <w:rsid w:val="00DC22AA"/>
    <w:rsid w:val="00DF74DD"/>
    <w:rsid w:val="00E25AD0"/>
    <w:rsid w:val="00E75C0C"/>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C7DADC"/>
  <w15:docId w15:val="{47921939-3033-4318-AEA6-4CD6401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A7B5A"/>
    <w:rPr>
      <w:color w:val="605E5C"/>
      <w:shd w:val="clear" w:color="auto" w:fill="E1DFDD"/>
    </w:rPr>
  </w:style>
  <w:style w:type="paragraph" w:customStyle="1" w:styleId="call0">
    <w:name w:val="call"/>
    <w:basedOn w:val="Normal"/>
    <w:next w:val="Normal"/>
    <w:rsid w:val="004A7B5A"/>
    <w:pPr>
      <w:keepNext/>
      <w:keepLines/>
      <w:spacing w:before="160"/>
      <w:ind w:left="794" w:hanging="357"/>
    </w:pPr>
    <w:rPr>
      <w:i/>
      <w:lang w:val="en-GB"/>
    </w:rPr>
  </w:style>
  <w:style w:type="character" w:customStyle="1" w:styleId="NormalaftertitleChar">
    <w:name w:val="Normal after title Char"/>
    <w:link w:val="Normalaftertitle"/>
    <w:locked/>
    <w:rsid w:val="009022B4"/>
    <w:rPr>
      <w:rFonts w:ascii="Calibri" w:hAnsi="Calibri"/>
      <w:sz w:val="24"/>
      <w:lang w:val="fr-FR" w:eastAsia="en-US"/>
    </w:rPr>
  </w:style>
  <w:style w:type="character" w:customStyle="1" w:styleId="RestitleChar">
    <w:name w:val="Res_title Char"/>
    <w:basedOn w:val="DefaultParagraphFont"/>
    <w:link w:val="Restitle"/>
    <w:rsid w:val="009022B4"/>
    <w:rPr>
      <w:rFonts w:ascii="Calibri" w:hAnsi="Calibri"/>
      <w:b/>
      <w:sz w:val="28"/>
      <w:lang w:val="fr-FR" w:eastAsia="en-US"/>
    </w:rPr>
  </w:style>
  <w:style w:type="character" w:customStyle="1" w:styleId="CallChar">
    <w:name w:val="Call Char"/>
    <w:basedOn w:val="DefaultParagraphFont"/>
    <w:link w:val="Call"/>
    <w:rsid w:val="009022B4"/>
    <w:rPr>
      <w:rFonts w:ascii="Calibri" w:hAnsi="Calibri"/>
      <w:i/>
      <w:sz w:val="24"/>
      <w:lang w:val="fr-FR" w:eastAsia="en-US"/>
    </w:rPr>
  </w:style>
  <w:style w:type="character" w:customStyle="1" w:styleId="ResNoChar">
    <w:name w:val="Res_No Char"/>
    <w:basedOn w:val="DefaultParagraphFont"/>
    <w:link w:val="ResNo"/>
    <w:locked/>
    <w:rsid w:val="009022B4"/>
    <w:rPr>
      <w:rFonts w:ascii="Calibri" w:hAnsi="Calibri"/>
      <w:caps/>
      <w:sz w:val="28"/>
      <w:lang w:val="fr-FR" w:eastAsia="en-US"/>
    </w:rPr>
  </w:style>
  <w:style w:type="character" w:customStyle="1" w:styleId="AnnexNoChar">
    <w:name w:val="Annex_No Char"/>
    <w:basedOn w:val="DefaultParagraphFont"/>
    <w:link w:val="AnnexNo"/>
    <w:rsid w:val="009022B4"/>
    <w:rPr>
      <w:rFonts w:ascii="Calibri" w:hAnsi="Calibri"/>
      <w:caps/>
      <w:sz w:val="28"/>
      <w:lang w:val="fr-FR" w:eastAsia="en-US"/>
    </w:rPr>
  </w:style>
  <w:style w:type="character" w:customStyle="1" w:styleId="enumlev1Char">
    <w:name w:val="enumlev1 Char"/>
    <w:basedOn w:val="DefaultParagraphFont"/>
    <w:link w:val="enumlev1"/>
    <w:locked/>
    <w:rsid w:val="00E75C0C"/>
    <w:rPr>
      <w:rFonts w:ascii="Calibri" w:hAnsi="Calibri"/>
      <w:sz w:val="24"/>
      <w:lang w:val="fr-FR" w:eastAsia="en-US"/>
    </w:rPr>
  </w:style>
  <w:style w:type="character" w:styleId="UnresolvedMention">
    <w:name w:val="Unresolved Mention"/>
    <w:basedOn w:val="DefaultParagraphFont"/>
    <w:uiPriority w:val="99"/>
    <w:semiHidden/>
    <w:unhideWhenUsed/>
    <w:rsid w:val="00E75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DEC-011-F.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93</TotalTime>
  <Pages>2</Pages>
  <Words>507</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RÉSOLUTION 1403 - Plan opérationnel quadriennal glissant de l'Union pour la période 2022-2025</vt:lpstr>
    </vt:vector>
  </TitlesOfParts>
  <Manager>Secrétariat général - Pool</Manager>
  <Company>Union internationale des télécommunications (UIT)</Company>
  <LinksUpToDate>false</LinksUpToDate>
  <CharactersWithSpaces>3406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1404 - Établissement du Groupe de travail du Conseil chargé d'élaborer le Plan stratégique et le Plan financier pour la période 2024-2027</dc:title>
  <dc:subject>Council 2021, Virtual consultation of councillors</dc:subject>
  <dc:creator>Chanavat, Emilie</dc:creator>
  <cp:keywords>C2021, C21, VCC, C21-VCC-1</cp:keywords>
  <dc:description/>
  <cp:lastModifiedBy>Brouard, Ricarda</cp:lastModifiedBy>
  <cp:revision>4</cp:revision>
  <cp:lastPrinted>2000-07-18T08:55:00Z</cp:lastPrinted>
  <dcterms:created xsi:type="dcterms:W3CDTF">2021-08-11T12:53:00Z</dcterms:created>
  <dcterms:modified xsi:type="dcterms:W3CDTF">2021-08-11T14:27:00Z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