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6692" w:rsidRPr="00C11F77" w14:paraId="0A16F888" w14:textId="77777777" w:rsidTr="009F66A3">
        <w:trPr>
          <w:cantSplit/>
          <w:trHeight w:val="1276"/>
        </w:trPr>
        <w:tc>
          <w:tcPr>
            <w:tcW w:w="6911" w:type="dxa"/>
          </w:tcPr>
          <w:p w14:paraId="48FBA3C9" w14:textId="13A4E36F" w:rsidR="007E6692" w:rsidRPr="00C11F77" w:rsidRDefault="007E6692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C11F77">
              <w:rPr>
                <w:b/>
                <w:bCs/>
                <w:position w:val="6"/>
                <w:sz w:val="30"/>
                <w:szCs w:val="30"/>
              </w:rPr>
              <w:t>Consejo 202</w:t>
            </w:r>
            <w:r w:rsidR="00287F72">
              <w:rPr>
                <w:b/>
                <w:bCs/>
                <w:position w:val="6"/>
                <w:sz w:val="30"/>
                <w:szCs w:val="30"/>
              </w:rPr>
              <w:t>1</w:t>
            </w:r>
            <w:r w:rsidRPr="00C11F77">
              <w:rPr>
                <w:b/>
                <w:bCs/>
                <w:position w:val="6"/>
                <w:sz w:val="30"/>
                <w:szCs w:val="30"/>
              </w:rPr>
              <w:br/>
            </w:r>
            <w:r w:rsidR="004708DF" w:rsidRPr="004708DF">
              <w:rPr>
                <w:b/>
                <w:bCs/>
                <w:sz w:val="26"/>
                <w:szCs w:val="26"/>
              </w:rPr>
              <w:t>Consulta por correspondencia (</w:t>
            </w:r>
            <w:r w:rsidR="004708DF">
              <w:rPr>
                <w:b/>
                <w:bCs/>
                <w:sz w:val="26"/>
                <w:szCs w:val="26"/>
              </w:rPr>
              <w:t>3</w:t>
            </w:r>
            <w:r w:rsidR="004708DF" w:rsidRPr="004708DF">
              <w:rPr>
                <w:b/>
                <w:bCs/>
                <w:sz w:val="26"/>
                <w:szCs w:val="26"/>
              </w:rPr>
              <w:t xml:space="preserve">1 de </w:t>
            </w:r>
            <w:r w:rsidR="004708DF">
              <w:rPr>
                <w:b/>
                <w:bCs/>
                <w:sz w:val="26"/>
                <w:szCs w:val="26"/>
              </w:rPr>
              <w:t>julio</w:t>
            </w:r>
            <w:r w:rsidR="004708DF" w:rsidRPr="004708DF">
              <w:rPr>
                <w:b/>
                <w:bCs/>
                <w:sz w:val="26"/>
                <w:szCs w:val="26"/>
              </w:rPr>
              <w:t xml:space="preserve"> de 202</w:t>
            </w:r>
            <w:r w:rsidR="004708DF">
              <w:rPr>
                <w:b/>
                <w:bCs/>
                <w:sz w:val="26"/>
                <w:szCs w:val="26"/>
              </w:rPr>
              <w:t>1</w:t>
            </w:r>
            <w:r w:rsidR="004708DF" w:rsidRPr="004708DF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120" w:type="dxa"/>
            <w:vAlign w:val="center"/>
          </w:tcPr>
          <w:p w14:paraId="78C71FAC" w14:textId="77777777" w:rsidR="007E6692" w:rsidRPr="00C11F77" w:rsidRDefault="007E6692" w:rsidP="009F66A3">
            <w:pPr>
              <w:spacing w:before="0" w:line="240" w:lineRule="atLeast"/>
            </w:pPr>
            <w:bookmarkStart w:id="1" w:name="ditulogo"/>
            <w:bookmarkEnd w:id="1"/>
            <w:r w:rsidRPr="00C11F77">
              <w:rPr>
                <w:noProof/>
                <w:lang w:eastAsia="zh-CN"/>
              </w:rPr>
              <w:drawing>
                <wp:inline distT="0" distB="0" distL="0" distR="0" wp14:anchorId="3AEB0C2F" wp14:editId="663F3B1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692" w:rsidRPr="00C11F77" w14:paraId="2D8B016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493460" w14:textId="77777777" w:rsidR="007E6692" w:rsidRPr="00101B0C" w:rsidRDefault="007E6692" w:rsidP="004708DF">
            <w:pPr>
              <w:spacing w:before="0" w:line="240" w:lineRule="atLeast"/>
              <w:rPr>
                <w:bCs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6B1ED7" w14:textId="77777777" w:rsidR="007E6692" w:rsidRPr="00101B0C" w:rsidRDefault="007E6692" w:rsidP="004708DF">
            <w:pPr>
              <w:spacing w:before="0" w:line="240" w:lineRule="atLeast"/>
              <w:rPr>
                <w:bCs/>
                <w:szCs w:val="24"/>
              </w:rPr>
            </w:pPr>
          </w:p>
        </w:tc>
      </w:tr>
      <w:tr w:rsidR="00815642" w:rsidRPr="00C11F77" w14:paraId="7323A6F7" w14:textId="77777777" w:rsidTr="00464B6C">
        <w:trPr>
          <w:cantSplit/>
          <w:trHeight w:val="23"/>
        </w:trPr>
        <w:tc>
          <w:tcPr>
            <w:tcW w:w="6911" w:type="dxa"/>
          </w:tcPr>
          <w:p w14:paraId="0A99A1A8" w14:textId="77777777" w:rsidR="00815642" w:rsidRPr="00101B0C" w:rsidRDefault="00815642" w:rsidP="004708DF">
            <w:pPr>
              <w:tabs>
                <w:tab w:val="left" w:pos="851"/>
              </w:tabs>
              <w:spacing w:before="0" w:line="240" w:lineRule="atLeast"/>
              <w:rPr>
                <w:bCs/>
              </w:rPr>
            </w:pPr>
          </w:p>
        </w:tc>
        <w:tc>
          <w:tcPr>
            <w:tcW w:w="3120" w:type="dxa"/>
          </w:tcPr>
          <w:p w14:paraId="42DB539E" w14:textId="77777777" w:rsidR="00815642" w:rsidRPr="00101B0C" w:rsidRDefault="00815642" w:rsidP="004708DF">
            <w:pPr>
              <w:tabs>
                <w:tab w:val="left" w:pos="851"/>
              </w:tabs>
              <w:spacing w:before="0" w:line="240" w:lineRule="atLeast"/>
              <w:rPr>
                <w:bCs/>
                <w:szCs w:val="24"/>
              </w:rPr>
            </w:pPr>
          </w:p>
        </w:tc>
      </w:tr>
      <w:tr w:rsidR="007E6692" w:rsidRPr="00C11F77" w14:paraId="44CA725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2F519C4" w14:textId="37B5C72E" w:rsidR="007E6692" w:rsidRPr="00C11F77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2FEA2642" w14:textId="5112FAF7" w:rsidR="007E6692" w:rsidRPr="00C11F77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Documento C2</w:t>
            </w:r>
            <w:r w:rsidR="00287F72">
              <w:rPr>
                <w:b/>
                <w:bCs/>
                <w:szCs w:val="24"/>
              </w:rPr>
              <w:t>1</w:t>
            </w:r>
            <w:r w:rsidRPr="00C11F77">
              <w:rPr>
                <w:b/>
                <w:bCs/>
                <w:szCs w:val="24"/>
              </w:rPr>
              <w:t>/</w:t>
            </w:r>
            <w:r w:rsidR="004708DF">
              <w:rPr>
                <w:b/>
                <w:bCs/>
                <w:szCs w:val="24"/>
              </w:rPr>
              <w:t>9</w:t>
            </w:r>
            <w:r w:rsidR="00D70AF4">
              <w:rPr>
                <w:b/>
                <w:bCs/>
                <w:szCs w:val="24"/>
              </w:rPr>
              <w:t>5</w:t>
            </w:r>
            <w:r w:rsidRPr="00C11F77">
              <w:rPr>
                <w:b/>
                <w:bCs/>
                <w:szCs w:val="24"/>
              </w:rPr>
              <w:t>-S</w:t>
            </w:r>
          </w:p>
        </w:tc>
      </w:tr>
      <w:tr w:rsidR="007E6692" w:rsidRPr="00C11F77" w14:paraId="1345B9B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5914E92" w14:textId="77777777" w:rsidR="007E6692" w:rsidRPr="00C11F77" w:rsidRDefault="007E6692" w:rsidP="0081564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27FFE25" w14:textId="67461044" w:rsidR="007E6692" w:rsidRPr="00C11F77" w:rsidRDefault="004708DF" w:rsidP="0081564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bCs/>
                <w:szCs w:val="24"/>
              </w:rPr>
              <w:t>6</w:t>
            </w:r>
            <w:r w:rsidR="007E6692" w:rsidRPr="00C11F77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agosto</w:t>
            </w:r>
            <w:r w:rsidR="00F55237">
              <w:rPr>
                <w:b/>
                <w:bCs/>
                <w:szCs w:val="24"/>
              </w:rPr>
              <w:t xml:space="preserve"> </w:t>
            </w:r>
            <w:r w:rsidR="007E6692" w:rsidRPr="00C11F77">
              <w:rPr>
                <w:b/>
                <w:bCs/>
                <w:szCs w:val="24"/>
              </w:rPr>
              <w:t>de 202</w:t>
            </w:r>
            <w:r w:rsidR="00F55237">
              <w:rPr>
                <w:b/>
                <w:bCs/>
                <w:szCs w:val="24"/>
              </w:rPr>
              <w:t>1</w:t>
            </w:r>
          </w:p>
        </w:tc>
      </w:tr>
      <w:tr w:rsidR="007E6692" w:rsidRPr="00C11F77" w14:paraId="2D3A4B4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4F381DE" w14:textId="77777777" w:rsidR="007E6692" w:rsidRPr="00C11F77" w:rsidRDefault="007E6692" w:rsidP="00606CB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CCA054E" w14:textId="77777777" w:rsidR="007E6692" w:rsidRPr="00C11F77" w:rsidRDefault="007E6692" w:rsidP="00606CB7">
            <w:pPr>
              <w:tabs>
                <w:tab w:val="left" w:pos="993"/>
              </w:tabs>
              <w:spacing w:before="0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Original: inglés</w:t>
            </w:r>
          </w:p>
        </w:tc>
      </w:tr>
    </w:tbl>
    <w:p w14:paraId="64CA2621" w14:textId="77777777" w:rsidR="00D70AF4" w:rsidRPr="00172653" w:rsidRDefault="00D70AF4" w:rsidP="00D70AF4">
      <w:pPr>
        <w:keepNext/>
        <w:keepLines/>
        <w:spacing w:before="720"/>
        <w:jc w:val="center"/>
        <w:rPr>
          <w:caps/>
          <w:sz w:val="28"/>
        </w:rPr>
      </w:pPr>
      <w:bookmarkStart w:id="6" w:name="_Hlk79595744"/>
      <w:bookmarkEnd w:id="5"/>
      <w:r w:rsidRPr="00172653">
        <w:rPr>
          <w:caps/>
          <w:sz w:val="28"/>
        </w:rPr>
        <w:t>resolución 1404</w:t>
      </w:r>
    </w:p>
    <w:p w14:paraId="3A25B75A" w14:textId="77777777" w:rsidR="00D70AF4" w:rsidRPr="00172653" w:rsidRDefault="00D70AF4" w:rsidP="00D70AF4">
      <w:pPr>
        <w:keepNext/>
        <w:keepLines/>
        <w:jc w:val="center"/>
        <w:rPr>
          <w:caps/>
          <w:sz w:val="28"/>
        </w:rPr>
      </w:pPr>
      <w:r w:rsidRPr="00172653">
        <w:rPr>
          <w:sz w:val="28"/>
        </w:rPr>
        <w:t>(adoptada por correspondencia)</w:t>
      </w:r>
    </w:p>
    <w:p w14:paraId="53F7B8BB" w14:textId="77777777" w:rsidR="00D70AF4" w:rsidRPr="00172653" w:rsidRDefault="00D70AF4" w:rsidP="00D70AF4">
      <w:pPr>
        <w:keepNext/>
        <w:keepLines/>
        <w:spacing w:before="240" w:after="240"/>
        <w:jc w:val="center"/>
        <w:rPr>
          <w:b/>
          <w:sz w:val="28"/>
        </w:rPr>
      </w:pPr>
      <w:r w:rsidRPr="00172653">
        <w:rPr>
          <w:b/>
          <w:sz w:val="28"/>
        </w:rPr>
        <w:t xml:space="preserve">Creación de un Grupo de Trabajo del Consejo sobre los </w:t>
      </w:r>
      <w:r w:rsidRPr="00172653">
        <w:rPr>
          <w:b/>
          <w:sz w:val="28"/>
        </w:rPr>
        <w:br/>
        <w:t>Planes Estratégico y Financiero de la Unión para 2024-2027</w:t>
      </w:r>
    </w:p>
    <w:bookmarkEnd w:id="6"/>
    <w:p w14:paraId="6176D13F" w14:textId="77777777" w:rsidR="00D70AF4" w:rsidRPr="00172653" w:rsidRDefault="00D70AF4" w:rsidP="00D70AF4">
      <w:pPr>
        <w:spacing w:before="240"/>
      </w:pPr>
      <w:r w:rsidRPr="00172653">
        <w:t>El Consejo,</w:t>
      </w:r>
    </w:p>
    <w:p w14:paraId="26464CA2" w14:textId="77777777" w:rsidR="00D70AF4" w:rsidRPr="00172653" w:rsidRDefault="00D70AF4" w:rsidP="00D70AF4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>considerando</w:t>
      </w:r>
    </w:p>
    <w:p w14:paraId="71F6A828" w14:textId="77777777" w:rsidR="00D70AF4" w:rsidRPr="00172653" w:rsidRDefault="00D70AF4" w:rsidP="00D70AF4">
      <w:r w:rsidRPr="00172653">
        <w:t xml:space="preserve">que el número 74A de la Constitución encarga al </w:t>
      </w:r>
      <w:proofErr w:type="gramStart"/>
      <w:r w:rsidRPr="00172653">
        <w:t>Secretario General</w:t>
      </w:r>
      <w:proofErr w:type="gramEnd"/>
      <w:r w:rsidRPr="00172653">
        <w:t xml:space="preserve"> que aporte la información necesaria para la preparación de un Plan Estratégico,</w:t>
      </w:r>
    </w:p>
    <w:p w14:paraId="1E9E0769" w14:textId="77777777" w:rsidR="00D70AF4" w:rsidRPr="00172653" w:rsidRDefault="00D70AF4" w:rsidP="00D70AF4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>considerando también</w:t>
      </w:r>
    </w:p>
    <w:p w14:paraId="2F8F0ACE" w14:textId="77777777" w:rsidR="00D70AF4" w:rsidRPr="00172653" w:rsidRDefault="00D70AF4" w:rsidP="00D70AF4">
      <w:r w:rsidRPr="00172653">
        <w:rPr>
          <w:i/>
          <w:iCs/>
        </w:rPr>
        <w:t>a)</w:t>
      </w:r>
      <w:r w:rsidRPr="00172653">
        <w:tab/>
        <w:t>que, de conformidad con el número 62A del Convenio, el Consejo tiene que recibir y examinar los datos concretos destinados a la planificación estratégica proporcionados por el Secretario General en cumplimiento del número 74A de la Constitución y, en la penúltima reunión ordinaria del Consejo que preceda a la Conferencia de Plenipotenciarios siguiente, iniciar la preparación de un nuevo proyecto de Plan Estratégico de la Unión, basándose en las contribuciones presentadas por los Estados Miembros y los Miembros de los Sectores, así como en las de los Grupos Asesores de los Sectores, y elaborar un proyecto de nuevo Plan Estratégico coordinado al menos cuatro meses antes del comienzo de esa Conferencia de Plenipotenciarios;</w:t>
      </w:r>
    </w:p>
    <w:p w14:paraId="1D9E5B80" w14:textId="77777777" w:rsidR="00D70AF4" w:rsidRPr="00172653" w:rsidRDefault="00D70AF4" w:rsidP="00D70AF4">
      <w:r w:rsidRPr="00172653">
        <w:rPr>
          <w:i/>
          <w:iCs/>
        </w:rPr>
        <w:t>b)</w:t>
      </w:r>
      <w:r w:rsidRPr="00172653">
        <w:tab/>
        <w:t>lo dispuesto en la Decisión 5 (Rev. Dubái, 2018) respecto de los niveles de ingresos y gastos de la Unión para el periodo 2020-2023;</w:t>
      </w:r>
    </w:p>
    <w:p w14:paraId="5F290F18" w14:textId="267E4071" w:rsidR="00D70AF4" w:rsidRPr="00172653" w:rsidRDefault="00D70AF4" w:rsidP="00D70AF4">
      <w:r w:rsidRPr="00172653">
        <w:rPr>
          <w:i/>
          <w:iCs/>
        </w:rPr>
        <w:t>c)</w:t>
      </w:r>
      <w:r w:rsidRPr="00172653">
        <w:tab/>
      </w:r>
      <w:bookmarkStart w:id="7" w:name="lt_pId058"/>
      <w:r w:rsidRPr="00172653">
        <w:rPr>
          <w:szCs w:val="24"/>
        </w:rPr>
        <w:t xml:space="preserve">los principios rectores para la creación, gestión y disolución de Grupos de Trabajo del Consejo establecidos en la </w:t>
      </w:r>
      <w:hyperlink r:id="rId8" w:history="1">
        <w:r w:rsidRPr="00172653">
          <w:rPr>
            <w:color w:val="0000FF"/>
            <w:szCs w:val="24"/>
            <w:u w:val="single"/>
          </w:rPr>
          <w:t>Decisión 11 (Rev. Dubái, 2018)</w:t>
        </w:r>
      </w:hyperlink>
      <w:r w:rsidRPr="00172653">
        <w:rPr>
          <w:szCs w:val="24"/>
        </w:rPr>
        <w:t>,</w:t>
      </w:r>
      <w:bookmarkEnd w:id="7"/>
    </w:p>
    <w:p w14:paraId="45350481" w14:textId="77777777" w:rsidR="00D70AF4" w:rsidRPr="00172653" w:rsidRDefault="00D70AF4" w:rsidP="00D70AF4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>resuelve</w:t>
      </w:r>
    </w:p>
    <w:p w14:paraId="1DFA9B36" w14:textId="77777777" w:rsidR="00D70AF4" w:rsidRPr="00172653" w:rsidRDefault="00D70AF4" w:rsidP="00D70AF4">
      <w:r w:rsidRPr="00172653">
        <w:t>crear un Grupo de Trabajo, encargado de desarrollar los proyectos de Plan Estratégico y de Plan Financiero para su consideración por el Consejo, en su reunión de 2022, y su presentación por el Consejo a la PP</w:t>
      </w:r>
      <w:r w:rsidRPr="00172653">
        <w:noBreakHyphen/>
        <w:t>22. El Grupo de Trabajo (GTC-PEF) abierto a todos los Estados Miembros y, en el caso del proyecto de Plan Estratégico, también a los Miembros de Sector, tiene el siguiente mandato:</w:t>
      </w:r>
    </w:p>
    <w:p w14:paraId="322131FF" w14:textId="77777777" w:rsidR="00D70AF4" w:rsidRPr="00172653" w:rsidRDefault="00D70AF4" w:rsidP="00D70AF4">
      <w:pPr>
        <w:spacing w:before="86"/>
        <w:ind w:left="567" w:hanging="567"/>
      </w:pPr>
      <w:r w:rsidRPr="00172653">
        <w:t>a)</w:t>
      </w:r>
      <w:r w:rsidRPr="00172653">
        <w:tab/>
        <w:t xml:space="preserve">identificar, con la ayuda del </w:t>
      </w:r>
      <w:proofErr w:type="gramStart"/>
      <w:r w:rsidRPr="00172653">
        <w:t>Secretario General</w:t>
      </w:r>
      <w:proofErr w:type="gramEnd"/>
      <w:r w:rsidRPr="00172653">
        <w:t xml:space="preserve"> y los Directores de las Oficinas, las fuentes de información que habrán de utilizarse en la elaboración de los proyectos de Planes;</w:t>
      </w:r>
    </w:p>
    <w:p w14:paraId="3E87D323" w14:textId="77777777" w:rsidR="00D70AF4" w:rsidRPr="00172653" w:rsidRDefault="00D70AF4" w:rsidP="00D70AF4">
      <w:pPr>
        <w:spacing w:before="86"/>
        <w:ind w:left="567" w:hanging="567"/>
      </w:pPr>
      <w:r w:rsidRPr="00172653">
        <w:t>b)</w:t>
      </w:r>
      <w:r w:rsidRPr="00172653">
        <w:tab/>
      </w:r>
      <w:bookmarkStart w:id="8" w:name="lt_pId069"/>
      <w:r w:rsidRPr="00172653">
        <w:t>elaborar los proyectos de Plan Estratégico y de Plan Financiero para su presentación a la reunión de 2022 del Consejo</w:t>
      </w:r>
      <w:r w:rsidRPr="00172653">
        <w:rPr>
          <w:szCs w:val="24"/>
        </w:rPr>
        <w:t>;</w:t>
      </w:r>
      <w:bookmarkEnd w:id="8"/>
    </w:p>
    <w:p w14:paraId="7BBBB4D6" w14:textId="77777777" w:rsidR="00D70AF4" w:rsidRPr="00172653" w:rsidRDefault="00D70AF4" w:rsidP="00D70AF4">
      <w:pPr>
        <w:spacing w:before="86"/>
        <w:ind w:left="567" w:hanging="567"/>
      </w:pPr>
      <w:r w:rsidRPr="00172653">
        <w:lastRenderedPageBreak/>
        <w:t>c)</w:t>
      </w:r>
      <w:r w:rsidRPr="00172653">
        <w:tab/>
        <w:t>publicar en el sitio web de la PP-22 un proyecto de nuevo Plan Estratégico coordinado cuatro meses antes del comienzo de la Conferencia de Plenipotenciarios;</w:t>
      </w:r>
    </w:p>
    <w:p w14:paraId="6B156EC0" w14:textId="77777777" w:rsidR="00D70AF4" w:rsidRPr="00172653" w:rsidRDefault="00D70AF4" w:rsidP="00D70AF4">
      <w:pPr>
        <w:spacing w:before="86"/>
        <w:ind w:left="567" w:hanging="567"/>
      </w:pPr>
      <w:r w:rsidRPr="00172653">
        <w:t>d)</w:t>
      </w:r>
      <w:r w:rsidRPr="00172653">
        <w:tab/>
        <w:t>proseguir, si procede, sus deliberaciones acerca del Plan Financiero hasta la reunión extraordinaria del Consejo previa a la PP-22;</w:t>
      </w:r>
    </w:p>
    <w:p w14:paraId="3046A314" w14:textId="77777777" w:rsidR="00D70AF4" w:rsidRPr="00172653" w:rsidRDefault="00D70AF4" w:rsidP="00D70AF4">
      <w:pPr>
        <w:spacing w:before="86"/>
        <w:ind w:left="567" w:hanging="567"/>
      </w:pPr>
      <w:r w:rsidRPr="00172653">
        <w:t>e)</w:t>
      </w:r>
      <w:r w:rsidRPr="00172653">
        <w:tab/>
        <w:t>mantener una estrecha coordinación con otros Grupos de Trabajo del Consejo y los Grupos Asesores de los Sectores que puedan tratar temas relacionados con los proyectos de Plan Estratégico y Financiero,</w:t>
      </w:r>
    </w:p>
    <w:p w14:paraId="20EAFC53" w14:textId="77777777" w:rsidR="00D70AF4" w:rsidRPr="00172653" w:rsidRDefault="00D70AF4" w:rsidP="00D70AF4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 xml:space="preserve">encarga al </w:t>
      </w:r>
      <w:proofErr w:type="gramStart"/>
      <w:r w:rsidRPr="00172653">
        <w:rPr>
          <w:i/>
        </w:rPr>
        <w:t>Secretario General</w:t>
      </w:r>
      <w:proofErr w:type="gramEnd"/>
      <w:r w:rsidRPr="00172653">
        <w:rPr>
          <w:i/>
        </w:rPr>
        <w:t>, con la colaboración de los Directores de las Oficinas</w:t>
      </w:r>
    </w:p>
    <w:p w14:paraId="71DECF9F" w14:textId="77777777" w:rsidR="00D70AF4" w:rsidRPr="00172653" w:rsidRDefault="00D70AF4" w:rsidP="00D70AF4">
      <w:r w:rsidRPr="00172653">
        <w:t xml:space="preserve">que proporcione al GTC-PEF toda la ayuda y documentación que éste requiera, </w:t>
      </w:r>
    </w:p>
    <w:p w14:paraId="0BCFEDF1" w14:textId="77777777" w:rsidR="00D70AF4" w:rsidRPr="00172653" w:rsidRDefault="00D70AF4" w:rsidP="00D70AF4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>invita a los miembros, a los Grupos de Trabajo del Consejo, a los funcionarios de elección y a los Grupos Asesores de los Sectores</w:t>
      </w:r>
    </w:p>
    <w:p w14:paraId="42E7EEAC" w14:textId="77777777" w:rsidR="00D70AF4" w:rsidRPr="00172653" w:rsidRDefault="00D70AF4" w:rsidP="00D70AF4">
      <w:r w:rsidRPr="00172653">
        <w:t>a proporcionar todas las contribuciones y la asistencia necesarias para la preparación de los proyectos de Planes Estratégico y Financiero, y a aprovechar plenamente los medios de trabajo electrónicos.</w:t>
      </w:r>
    </w:p>
    <w:p w14:paraId="67852A9D" w14:textId="73A84319" w:rsidR="00C2727F" w:rsidRPr="007E6692" w:rsidRDefault="00815642" w:rsidP="00D70AF4">
      <w:pPr>
        <w:spacing w:before="840"/>
        <w:jc w:val="center"/>
      </w:pPr>
      <w:r>
        <w:t>______________</w:t>
      </w:r>
    </w:p>
    <w:sectPr w:rsidR="00C2727F" w:rsidRPr="007E6692" w:rsidSect="006710F6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83B2" w14:textId="77777777" w:rsidR="00F77992" w:rsidRDefault="00F77992">
      <w:r>
        <w:separator/>
      </w:r>
    </w:p>
  </w:endnote>
  <w:endnote w:type="continuationSeparator" w:id="0">
    <w:p w14:paraId="3053C552" w14:textId="77777777" w:rsidR="00F77992" w:rsidRDefault="00F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A20" w14:textId="0308E719" w:rsidR="004708DF" w:rsidRDefault="004708DF" w:rsidP="004708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1A2C" w14:textId="77777777" w:rsidR="00F77992" w:rsidRDefault="00F77992">
      <w:r>
        <w:t>____________________</w:t>
      </w:r>
    </w:p>
  </w:footnote>
  <w:footnote w:type="continuationSeparator" w:id="0">
    <w:p w14:paraId="10DBA0C0" w14:textId="77777777" w:rsidR="00F77992" w:rsidRDefault="00F7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A73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7D8C5C9" w14:textId="53350F69" w:rsidR="00760F1C" w:rsidRDefault="00760F1C" w:rsidP="00C2727F">
    <w:pPr>
      <w:pStyle w:val="Header"/>
    </w:pPr>
    <w:r>
      <w:t>C</w:t>
    </w:r>
    <w:r w:rsidR="007955DA">
      <w:t>2</w:t>
    </w:r>
    <w:r w:rsidR="004708DF">
      <w:t>1</w:t>
    </w:r>
    <w:r>
      <w:t>/</w:t>
    </w:r>
    <w:r w:rsidR="004708DF">
      <w:t>9</w:t>
    </w:r>
    <w:r w:rsidR="00847E25">
      <w:t>5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2"/>
    <w:rsid w:val="00093EEB"/>
    <w:rsid w:val="000B0138"/>
    <w:rsid w:val="000B0D00"/>
    <w:rsid w:val="000B7C15"/>
    <w:rsid w:val="000D1D0F"/>
    <w:rsid w:val="000F5290"/>
    <w:rsid w:val="0010165C"/>
    <w:rsid w:val="00101B0C"/>
    <w:rsid w:val="001246D4"/>
    <w:rsid w:val="00146BFB"/>
    <w:rsid w:val="001F14A2"/>
    <w:rsid w:val="00237F5B"/>
    <w:rsid w:val="002801AA"/>
    <w:rsid w:val="00287F72"/>
    <w:rsid w:val="002C4676"/>
    <w:rsid w:val="002C70B0"/>
    <w:rsid w:val="002E6B4F"/>
    <w:rsid w:val="002F3CC4"/>
    <w:rsid w:val="00340199"/>
    <w:rsid w:val="003638C4"/>
    <w:rsid w:val="004708DF"/>
    <w:rsid w:val="004E0741"/>
    <w:rsid w:val="00513630"/>
    <w:rsid w:val="00560125"/>
    <w:rsid w:val="00585553"/>
    <w:rsid w:val="005B34D9"/>
    <w:rsid w:val="005D0CCF"/>
    <w:rsid w:val="005E0504"/>
    <w:rsid w:val="005F077B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767BB"/>
    <w:rsid w:val="00776AE7"/>
    <w:rsid w:val="007955DA"/>
    <w:rsid w:val="007C53C9"/>
    <w:rsid w:val="007E121D"/>
    <w:rsid w:val="007E5DD3"/>
    <w:rsid w:val="007E6692"/>
    <w:rsid w:val="007F350B"/>
    <w:rsid w:val="00815642"/>
    <w:rsid w:val="00820BE4"/>
    <w:rsid w:val="008451E8"/>
    <w:rsid w:val="00847E25"/>
    <w:rsid w:val="008C5DD2"/>
    <w:rsid w:val="00913B9C"/>
    <w:rsid w:val="00956E77"/>
    <w:rsid w:val="009E2315"/>
    <w:rsid w:val="009F4811"/>
    <w:rsid w:val="00A60405"/>
    <w:rsid w:val="00A849B0"/>
    <w:rsid w:val="00AA390C"/>
    <w:rsid w:val="00B0200A"/>
    <w:rsid w:val="00B4334A"/>
    <w:rsid w:val="00B574DB"/>
    <w:rsid w:val="00B826C2"/>
    <w:rsid w:val="00B8298E"/>
    <w:rsid w:val="00B9427C"/>
    <w:rsid w:val="00BD0723"/>
    <w:rsid w:val="00BD2518"/>
    <w:rsid w:val="00BF1D1C"/>
    <w:rsid w:val="00C20C59"/>
    <w:rsid w:val="00C2727F"/>
    <w:rsid w:val="00C55B1F"/>
    <w:rsid w:val="00C82DC0"/>
    <w:rsid w:val="00CC7949"/>
    <w:rsid w:val="00CF1A67"/>
    <w:rsid w:val="00D2750E"/>
    <w:rsid w:val="00D5032B"/>
    <w:rsid w:val="00D62446"/>
    <w:rsid w:val="00D70AF4"/>
    <w:rsid w:val="00DA4EA2"/>
    <w:rsid w:val="00DC3CA0"/>
    <w:rsid w:val="00DC3D3E"/>
    <w:rsid w:val="00DE2C90"/>
    <w:rsid w:val="00DE3B24"/>
    <w:rsid w:val="00E06947"/>
    <w:rsid w:val="00E3592D"/>
    <w:rsid w:val="00E92DE8"/>
    <w:rsid w:val="00EB1212"/>
    <w:rsid w:val="00ED5E09"/>
    <w:rsid w:val="00ED65AB"/>
    <w:rsid w:val="00F02D10"/>
    <w:rsid w:val="00F077DA"/>
    <w:rsid w:val="00F12850"/>
    <w:rsid w:val="00F16007"/>
    <w:rsid w:val="00F33BF4"/>
    <w:rsid w:val="00F55237"/>
    <w:rsid w:val="00F7105E"/>
    <w:rsid w:val="00F75F57"/>
    <w:rsid w:val="00F77992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825B08"/>
  <w15:docId w15:val="{FC2F6244-9371-434C-83BB-9EA869B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F779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paragraph" w:customStyle="1" w:styleId="TableText0">
    <w:name w:val="Table_Text"/>
    <w:basedOn w:val="Normal"/>
    <w:rsid w:val="00776AE7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character" w:styleId="Strong">
    <w:name w:val="Strong"/>
    <w:basedOn w:val="DefaultParagraphFont"/>
    <w:uiPriority w:val="22"/>
    <w:qFormat/>
    <w:rsid w:val="00776AE7"/>
    <w:rPr>
      <w:b/>
      <w:bCs/>
    </w:rPr>
  </w:style>
  <w:style w:type="character" w:customStyle="1" w:styleId="th-tx">
    <w:name w:val="th-tx"/>
    <w:basedOn w:val="DefaultParagraphFont"/>
    <w:rsid w:val="00776AE7"/>
  </w:style>
  <w:style w:type="paragraph" w:customStyle="1" w:styleId="TableHead0">
    <w:name w:val="Table_Head"/>
    <w:basedOn w:val="TableText0"/>
    <w:rsid w:val="00776AE7"/>
    <w:pPr>
      <w:keepNext/>
      <w:spacing w:before="80" w:after="8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49B0"/>
    <w:rPr>
      <w:rFonts w:ascii="Calibri" w:hAnsi="Calibri"/>
      <w:sz w:val="24"/>
      <w:lang w:val="es-ES_tradnl" w:eastAsia="en-US"/>
    </w:rPr>
  </w:style>
  <w:style w:type="table" w:customStyle="1" w:styleId="TableGrid">
    <w:name w:val="TableGrid"/>
    <w:rsid w:val="00A849B0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8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4</TotalTime>
  <Pages>2</Pages>
  <Words>510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1403 - Plan Operacional cuatrienal renovable de la Unión para el periodo 2022-2025</vt:lpstr>
    </vt:vector>
  </TitlesOfParts>
  <Manager>Secretaría General - Pool</Manager>
  <Company>Unión Internacional de Telecomunicaciones (UIT)</Company>
  <LinksUpToDate>false</LinksUpToDate>
  <CharactersWithSpaces>3301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1404 - Creación de un Grupo de Trabajo del Consejo sobre los Planes Estratégico y Financiero de la Unión para 2024-2027</dc:title>
  <dc:subject>Consejo 2021, Consulta virtual a los consejeros</dc:subject>
  <dc:creator>Spanish</dc:creator>
  <cp:keywords>C2021, C21, VCC, C21/VCC1</cp:keywords>
  <dc:description/>
  <cp:lastModifiedBy>Brouard, Ricarda</cp:lastModifiedBy>
  <cp:revision>3</cp:revision>
  <cp:lastPrinted>2020-03-13T11:42:00Z</cp:lastPrinted>
  <dcterms:created xsi:type="dcterms:W3CDTF">2021-08-11T15:30:00Z</dcterms:created>
  <dcterms:modified xsi:type="dcterms:W3CDTF">2021-08-11T15:35:00Z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