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594A99E1">
        <w:trPr>
          <w:cantSplit/>
          <w:trHeight w:val="1276"/>
        </w:trPr>
        <w:tc>
          <w:tcPr>
            <w:tcW w:w="6911" w:type="dxa"/>
          </w:tcPr>
          <w:p w14:paraId="7BC30B78" w14:textId="478926FF" w:rsidR="002A2188" w:rsidRPr="00833535" w:rsidRDefault="00BB5744" w:rsidP="00833535">
            <w:pPr>
              <w:spacing w:before="240" w:after="48"/>
              <w:rPr>
                <w:rFonts w:asciiTheme="minorHAnsi" w:hAnsiTheme="minorHAnsi"/>
                <w:b/>
                <w:position w:val="6"/>
                <w:sz w:val="30"/>
                <w:szCs w:val="30"/>
              </w:rPr>
            </w:pPr>
            <w:r w:rsidRPr="000F2E67">
              <w:rPr>
                <w:rFonts w:asciiTheme="minorHAnsi" w:hAnsiTheme="minorHAnsi"/>
                <w:b/>
                <w:position w:val="6"/>
                <w:sz w:val="30"/>
                <w:szCs w:val="30"/>
              </w:rPr>
              <w:t xml:space="preserve">Council Working Group on </w:t>
            </w:r>
            <w:r>
              <w:rPr>
                <w:rFonts w:asciiTheme="minorHAnsi" w:hAnsiTheme="minorHAnsi"/>
                <w:b/>
                <w:position w:val="6"/>
                <w:sz w:val="30"/>
                <w:szCs w:val="30"/>
              </w:rPr>
              <w:br/>
              <w:t>Financial and Human Resources</w:t>
            </w:r>
          </w:p>
        </w:tc>
        <w:tc>
          <w:tcPr>
            <w:tcW w:w="3120" w:type="dxa"/>
            <w:vAlign w:val="center"/>
          </w:tcPr>
          <w:p w14:paraId="049BF09C" w14:textId="77777777" w:rsidR="002A2188" w:rsidRPr="00813E5E" w:rsidRDefault="23391E50" w:rsidP="009F66A3">
            <w:pPr>
              <w:spacing w:before="0" w:line="240" w:lineRule="atLeast"/>
            </w:pPr>
            <w:bookmarkStart w:id="0" w:name="ditulogo"/>
            <w:bookmarkEnd w:id="0"/>
            <w:r>
              <w:rPr>
                <w:noProof/>
              </w:rPr>
              <w:drawing>
                <wp:inline distT="0" distB="0" distL="0" distR="0" wp14:anchorId="10F84D5C" wp14:editId="6E3C1C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594A99E1">
        <w:trPr>
          <w:cantSplit/>
        </w:trPr>
        <w:tc>
          <w:tcPr>
            <w:tcW w:w="6911" w:type="dxa"/>
            <w:tcBorders>
              <w:bottom w:val="single" w:sz="12" w:space="0" w:color="auto"/>
            </w:tcBorders>
          </w:tcPr>
          <w:p w14:paraId="2143B1CA" w14:textId="22D34F03" w:rsidR="002A2188" w:rsidRPr="00813E5E" w:rsidRDefault="00BB5744" w:rsidP="00833535">
            <w:pPr>
              <w:spacing w:before="0" w:after="48" w:line="240" w:lineRule="atLeast"/>
              <w:rPr>
                <w:b/>
                <w:smallCaps/>
                <w:szCs w:val="24"/>
              </w:rPr>
            </w:pPr>
            <w:r>
              <w:rPr>
                <w:rFonts w:cs="Times New Roman Bold"/>
                <w:b/>
              </w:rPr>
              <w:t>Twelfth</w:t>
            </w:r>
            <w:r w:rsidRPr="00A34275">
              <w:rPr>
                <w:rFonts w:cs="Times New Roman Bold"/>
                <w:b/>
              </w:rPr>
              <w:t xml:space="preserve"> meeting </w:t>
            </w:r>
            <w:r w:rsidRPr="00A34275">
              <w:rPr>
                <w:rFonts w:eastAsia="Calibri" w:cs="Calibri"/>
                <w:b/>
                <w:color w:val="000000"/>
              </w:rPr>
              <w:t>–</w:t>
            </w:r>
            <w:r w:rsidRPr="00A34275">
              <w:rPr>
                <w:rFonts w:cs="Times New Roman Bold"/>
                <w:b/>
              </w:rPr>
              <w:t xml:space="preserve"> </w:t>
            </w:r>
            <w:r>
              <w:rPr>
                <w:rFonts w:cs="Times New Roman Bold"/>
                <w:b/>
              </w:rPr>
              <w:t>Virtual</w:t>
            </w:r>
            <w:r w:rsidRPr="00A34275">
              <w:rPr>
                <w:rFonts w:cs="Times New Roman Bold"/>
                <w:b/>
              </w:rPr>
              <w:t xml:space="preserve">, </w:t>
            </w:r>
            <w:r>
              <w:rPr>
                <w:rFonts w:cs="Times New Roman Bold"/>
                <w:b/>
              </w:rPr>
              <w:t>25-26</w:t>
            </w:r>
            <w:r w:rsidRPr="00A34275">
              <w:rPr>
                <w:rFonts w:cs="Times New Roman Bold"/>
                <w:b/>
              </w:rPr>
              <w:t xml:space="preserve"> January 20</w:t>
            </w:r>
            <w:r>
              <w:rPr>
                <w:rFonts w:cs="Times New Roman Bold"/>
                <w:b/>
              </w:rPr>
              <w:t>21</w:t>
            </w:r>
          </w:p>
        </w:tc>
        <w:tc>
          <w:tcPr>
            <w:tcW w:w="3120" w:type="dxa"/>
            <w:tcBorders>
              <w:bottom w:val="single" w:sz="12" w:space="0" w:color="auto"/>
            </w:tcBorders>
          </w:tcPr>
          <w:p w14:paraId="3D08500D" w14:textId="77777777" w:rsidR="002A2188" w:rsidRPr="00813E5E" w:rsidRDefault="002A2188" w:rsidP="00951F71">
            <w:pPr>
              <w:spacing w:before="0" w:line="240" w:lineRule="atLeast"/>
              <w:rPr>
                <w:szCs w:val="24"/>
              </w:rPr>
            </w:pPr>
          </w:p>
        </w:tc>
      </w:tr>
      <w:tr w:rsidR="002A2188" w:rsidRPr="00813E5E" w14:paraId="17235C7F" w14:textId="77777777" w:rsidTr="594A99E1">
        <w:trPr>
          <w:cantSplit/>
        </w:trPr>
        <w:tc>
          <w:tcPr>
            <w:tcW w:w="6911" w:type="dxa"/>
            <w:tcBorders>
              <w:top w:val="single" w:sz="12" w:space="0" w:color="auto"/>
            </w:tcBorders>
          </w:tcPr>
          <w:p w14:paraId="5D7313BD" w14:textId="77777777" w:rsidR="002A2188" w:rsidRPr="00813E5E" w:rsidRDefault="002A2188" w:rsidP="00951F71">
            <w:pPr>
              <w:spacing w:before="0" w:after="48" w:line="240" w:lineRule="atLeast"/>
              <w:rPr>
                <w:b/>
                <w:smallCaps/>
                <w:szCs w:val="24"/>
              </w:rPr>
            </w:pPr>
          </w:p>
        </w:tc>
        <w:tc>
          <w:tcPr>
            <w:tcW w:w="3120" w:type="dxa"/>
            <w:tcBorders>
              <w:top w:val="single" w:sz="12" w:space="0" w:color="auto"/>
            </w:tcBorders>
          </w:tcPr>
          <w:p w14:paraId="22C9147A" w14:textId="77777777" w:rsidR="002A2188" w:rsidRPr="00813E5E" w:rsidRDefault="002A2188" w:rsidP="00951F71">
            <w:pPr>
              <w:spacing w:before="0" w:line="240" w:lineRule="atLeast"/>
              <w:rPr>
                <w:szCs w:val="24"/>
              </w:rPr>
            </w:pPr>
          </w:p>
        </w:tc>
      </w:tr>
      <w:tr w:rsidR="00BB5744" w:rsidRPr="00813E5E" w14:paraId="6804D83E" w14:textId="77777777" w:rsidTr="594A99E1">
        <w:trPr>
          <w:cantSplit/>
          <w:trHeight w:val="23"/>
        </w:trPr>
        <w:tc>
          <w:tcPr>
            <w:tcW w:w="6911" w:type="dxa"/>
            <w:vMerge w:val="restart"/>
          </w:tcPr>
          <w:p w14:paraId="42A03540" w14:textId="77777777" w:rsidR="00BB5744" w:rsidRPr="00E85629" w:rsidRDefault="00BB5744" w:rsidP="00BB5744">
            <w:pPr>
              <w:tabs>
                <w:tab w:val="left" w:pos="851"/>
              </w:tabs>
              <w:spacing w:line="240" w:lineRule="atLeast"/>
              <w:rPr>
                <w:b/>
              </w:rPr>
            </w:pPr>
            <w:bookmarkStart w:id="1" w:name="dmeeting" w:colFirst="0" w:colLast="0"/>
            <w:bookmarkStart w:id="2" w:name="dnum" w:colFirst="1" w:colLast="1"/>
          </w:p>
        </w:tc>
        <w:tc>
          <w:tcPr>
            <w:tcW w:w="3120" w:type="dxa"/>
          </w:tcPr>
          <w:p w14:paraId="1727AC2C" w14:textId="6D4CD7F3" w:rsidR="00BB5744" w:rsidRPr="00E85629" w:rsidRDefault="00BB5744" w:rsidP="00BB5744">
            <w:pPr>
              <w:tabs>
                <w:tab w:val="left" w:pos="851"/>
              </w:tabs>
              <w:spacing w:before="0" w:line="240" w:lineRule="atLeast"/>
              <w:rPr>
                <w:b/>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FHR-12</w:t>
            </w:r>
            <w:r w:rsidRPr="000F2E67">
              <w:rPr>
                <w:rFonts w:asciiTheme="minorHAnsi" w:hAnsiTheme="minorHAnsi" w:cs="Times New Roman Bold"/>
                <w:b/>
                <w:spacing w:val="-4"/>
                <w:lang w:val="de-CH"/>
              </w:rPr>
              <w:t>/</w:t>
            </w:r>
            <w:r w:rsidR="008D3205">
              <w:rPr>
                <w:rFonts w:asciiTheme="minorHAnsi" w:hAnsiTheme="minorHAnsi" w:cs="Times New Roman Bold"/>
                <w:b/>
                <w:spacing w:val="-4"/>
                <w:lang w:val="de-CH"/>
              </w:rPr>
              <w:t>9</w:t>
            </w:r>
          </w:p>
        </w:tc>
      </w:tr>
      <w:tr w:rsidR="00BB5744" w:rsidRPr="00813E5E" w14:paraId="6B217E52" w14:textId="77777777" w:rsidTr="594A99E1">
        <w:trPr>
          <w:cantSplit/>
          <w:trHeight w:val="23"/>
        </w:trPr>
        <w:tc>
          <w:tcPr>
            <w:tcW w:w="6911" w:type="dxa"/>
            <w:vMerge/>
          </w:tcPr>
          <w:p w14:paraId="1CE8AE93" w14:textId="77777777" w:rsidR="00BB5744" w:rsidRPr="00813E5E" w:rsidRDefault="00BB5744" w:rsidP="00BB5744">
            <w:pPr>
              <w:tabs>
                <w:tab w:val="left" w:pos="851"/>
              </w:tabs>
              <w:spacing w:line="240" w:lineRule="atLeast"/>
              <w:rPr>
                <w:b/>
              </w:rPr>
            </w:pPr>
            <w:bookmarkStart w:id="3" w:name="ddate" w:colFirst="1" w:colLast="1"/>
            <w:bookmarkEnd w:id="1"/>
            <w:bookmarkEnd w:id="2"/>
          </w:p>
        </w:tc>
        <w:tc>
          <w:tcPr>
            <w:tcW w:w="3120" w:type="dxa"/>
          </w:tcPr>
          <w:p w14:paraId="4D8D888A" w14:textId="478BB69B" w:rsidR="00BB5744" w:rsidRDefault="008D3205" w:rsidP="00BB5744">
            <w:pPr>
              <w:tabs>
                <w:tab w:val="left" w:pos="993"/>
              </w:tabs>
              <w:spacing w:before="0"/>
              <w:rPr>
                <w:rFonts w:asciiTheme="minorHAnsi" w:hAnsiTheme="minorHAnsi"/>
                <w:b/>
              </w:rPr>
            </w:pPr>
            <w:r>
              <w:rPr>
                <w:rFonts w:asciiTheme="minorHAnsi" w:hAnsiTheme="minorHAnsi"/>
                <w:b/>
              </w:rPr>
              <w:t>18 December 2020</w:t>
            </w:r>
          </w:p>
          <w:p w14:paraId="257DEE08" w14:textId="6416EE0E" w:rsidR="00BB5744" w:rsidRPr="00E85629" w:rsidRDefault="00BB5744" w:rsidP="00BB5744">
            <w:pPr>
              <w:tabs>
                <w:tab w:val="left" w:pos="993"/>
              </w:tabs>
              <w:spacing w:before="0"/>
              <w:rPr>
                <w:b/>
              </w:rPr>
            </w:pPr>
            <w:r>
              <w:rPr>
                <w:rFonts w:asciiTheme="minorHAnsi" w:hAnsiTheme="minorHAnsi"/>
                <w:b/>
              </w:rPr>
              <w:t>English only</w:t>
            </w:r>
          </w:p>
        </w:tc>
      </w:tr>
      <w:tr w:rsidR="002A2188" w:rsidRPr="00813E5E" w14:paraId="10D36551" w14:textId="77777777" w:rsidTr="594A99E1">
        <w:trPr>
          <w:cantSplit/>
          <w:trHeight w:val="23"/>
        </w:trPr>
        <w:tc>
          <w:tcPr>
            <w:tcW w:w="6911" w:type="dxa"/>
            <w:vMerge/>
          </w:tcPr>
          <w:p w14:paraId="7EF812AF" w14:textId="77777777" w:rsidR="002A2188" w:rsidRPr="00813E5E" w:rsidRDefault="002A2188" w:rsidP="00951F71">
            <w:pPr>
              <w:tabs>
                <w:tab w:val="left" w:pos="851"/>
              </w:tabs>
              <w:spacing w:line="240" w:lineRule="atLeast"/>
              <w:rPr>
                <w:b/>
              </w:rPr>
            </w:pPr>
            <w:bookmarkStart w:id="4" w:name="dorlang" w:colFirst="1" w:colLast="1"/>
            <w:bookmarkEnd w:id="3"/>
          </w:p>
        </w:tc>
        <w:tc>
          <w:tcPr>
            <w:tcW w:w="3120" w:type="dxa"/>
          </w:tcPr>
          <w:p w14:paraId="0DF1D05E" w14:textId="0E4C13CF" w:rsidR="002A2188" w:rsidRPr="00E85629" w:rsidRDefault="002A2188" w:rsidP="00951F71">
            <w:pPr>
              <w:tabs>
                <w:tab w:val="left" w:pos="993"/>
              </w:tabs>
              <w:spacing w:before="0"/>
              <w:rPr>
                <w:b/>
              </w:rPr>
            </w:pPr>
          </w:p>
        </w:tc>
      </w:tr>
      <w:tr w:rsidR="002A2188" w:rsidRPr="00813E5E" w14:paraId="46399271" w14:textId="77777777" w:rsidTr="594A99E1">
        <w:trPr>
          <w:cantSplit/>
        </w:trPr>
        <w:tc>
          <w:tcPr>
            <w:tcW w:w="10031" w:type="dxa"/>
            <w:gridSpan w:val="2"/>
          </w:tcPr>
          <w:p w14:paraId="18E28CA0" w14:textId="0CE17D69" w:rsidR="002A2188" w:rsidRPr="00813E5E" w:rsidRDefault="008D3205" w:rsidP="00951F71">
            <w:pPr>
              <w:pStyle w:val="Source"/>
            </w:pPr>
            <w:bookmarkStart w:id="5" w:name="dsource" w:colFirst="0" w:colLast="0"/>
            <w:bookmarkEnd w:id="4"/>
            <w:r>
              <w:t>Contribution by the Secretariat</w:t>
            </w:r>
          </w:p>
        </w:tc>
      </w:tr>
      <w:tr w:rsidR="002A2188" w:rsidRPr="00813E5E" w14:paraId="73F317E2" w14:textId="77777777" w:rsidTr="594A99E1">
        <w:trPr>
          <w:cantSplit/>
        </w:trPr>
        <w:tc>
          <w:tcPr>
            <w:tcW w:w="10031" w:type="dxa"/>
            <w:gridSpan w:val="2"/>
          </w:tcPr>
          <w:p w14:paraId="29B3DB5C" w14:textId="4194D240" w:rsidR="002A2188" w:rsidRPr="00813E5E" w:rsidRDefault="009677B4" w:rsidP="008D3205">
            <w:pPr>
              <w:pStyle w:val="Title1"/>
            </w:pPr>
            <w:bookmarkStart w:id="6" w:name="dtitle1" w:colFirst="0" w:colLast="0"/>
            <w:bookmarkEnd w:id="5"/>
            <w:r>
              <w:t>Review of itu regional presence</w:t>
            </w:r>
          </w:p>
        </w:tc>
      </w:tr>
    </w:tbl>
    <w:p w14:paraId="06374254" w14:textId="4E6F128A" w:rsidR="00D338E0" w:rsidRDefault="00E53477" w:rsidP="008E0788">
      <w:pPr>
        <w:pStyle w:val="Heading1"/>
        <w:numPr>
          <w:ilvl w:val="0"/>
          <w:numId w:val="7"/>
        </w:numPr>
        <w:rPr>
          <w:lang w:val="en-US"/>
        </w:rPr>
      </w:pPr>
      <w:bookmarkStart w:id="7" w:name="dstart"/>
      <w:bookmarkStart w:id="8" w:name="dbreak"/>
      <w:bookmarkEnd w:id="6"/>
      <w:bookmarkEnd w:id="7"/>
      <w:bookmarkEnd w:id="8"/>
      <w:r>
        <w:rPr>
          <w:lang w:val="en-US"/>
        </w:rPr>
        <w:t>I</w:t>
      </w:r>
      <w:r w:rsidR="008E0788">
        <w:rPr>
          <w:lang w:val="en-US"/>
        </w:rPr>
        <w:t>ntroduction</w:t>
      </w:r>
    </w:p>
    <w:p w14:paraId="712C2303" w14:textId="08886D24" w:rsidR="008E0788" w:rsidRPr="00C83CC6" w:rsidRDefault="008E0788" w:rsidP="00E53477">
      <w:pPr>
        <w:tabs>
          <w:tab w:val="clear" w:pos="567"/>
          <w:tab w:val="clear" w:pos="1134"/>
          <w:tab w:val="clear" w:pos="1701"/>
          <w:tab w:val="clear" w:pos="2268"/>
          <w:tab w:val="clear" w:pos="2835"/>
        </w:tabs>
        <w:snapToGrid w:val="0"/>
        <w:spacing w:before="240"/>
        <w:jc w:val="both"/>
        <w:rPr>
          <w:rFonts w:cs="Calibri"/>
          <w:sz w:val="22"/>
          <w:szCs w:val="22"/>
        </w:rPr>
      </w:pPr>
      <w:r w:rsidRPr="00C83CC6">
        <w:rPr>
          <w:sz w:val="22"/>
          <w:szCs w:val="18"/>
          <w:lang w:val="en-US"/>
        </w:rPr>
        <w:t xml:space="preserve">In </w:t>
      </w:r>
      <w:hyperlink r:id="rId12" w:history="1">
        <w:r w:rsidRPr="00E53477">
          <w:rPr>
            <w:rStyle w:val="Hyperlink"/>
            <w:sz w:val="22"/>
            <w:szCs w:val="18"/>
            <w:lang w:val="en-US"/>
          </w:rPr>
          <w:t xml:space="preserve">Council </w:t>
        </w:r>
        <w:r w:rsidR="00E53477" w:rsidRPr="00E53477">
          <w:rPr>
            <w:rStyle w:val="Hyperlink"/>
            <w:sz w:val="22"/>
            <w:szCs w:val="18"/>
            <w:lang w:val="en-US"/>
          </w:rPr>
          <w:t>D</w:t>
        </w:r>
        <w:r w:rsidRPr="00E53477">
          <w:rPr>
            <w:rStyle w:val="Hyperlink"/>
            <w:sz w:val="22"/>
            <w:szCs w:val="18"/>
            <w:lang w:val="en-US"/>
          </w:rPr>
          <w:t>ecision 616</w:t>
        </w:r>
      </w:hyperlink>
      <w:r w:rsidRPr="00C83CC6">
        <w:rPr>
          <w:sz w:val="22"/>
          <w:szCs w:val="18"/>
          <w:lang w:val="en-US"/>
        </w:rPr>
        <w:t xml:space="preserve">, adopted at the ninth Plenary Meeting of Council 2019, the Council instructed the Secretary General </w:t>
      </w:r>
      <w:r w:rsidRPr="00C83CC6">
        <w:rPr>
          <w:rFonts w:cs="Calibri"/>
          <w:sz w:val="22"/>
          <w:szCs w:val="22"/>
        </w:rPr>
        <w:t>to recruit and hire an independent external management consultancy to perform a comprehensive programmatic, strategic and financial assessment and review of ITU’s Regional Presence program in accordance with the terms of reference set forth in the Annex, taking into consideration contributions from the ITU membership, and submit a report with recommendations to the 2021 session of the Council for action. In its decision, the Council provided detailed Terms of Reference for guidance of the consultancy.</w:t>
      </w:r>
    </w:p>
    <w:p w14:paraId="42269E94" w14:textId="0CD58B0B" w:rsidR="008E0788" w:rsidRDefault="008E0788" w:rsidP="00E53477">
      <w:pPr>
        <w:spacing w:before="240"/>
        <w:jc w:val="both"/>
        <w:rPr>
          <w:sz w:val="22"/>
          <w:szCs w:val="18"/>
          <w:lang w:eastAsia="fr-CH"/>
        </w:rPr>
      </w:pPr>
      <w:r w:rsidRPr="00C83CC6">
        <w:rPr>
          <w:sz w:val="22"/>
          <w:szCs w:val="18"/>
          <w:lang w:eastAsia="fr-CH"/>
        </w:rPr>
        <w:t xml:space="preserve">Following a competitive bidding process, PwC was selected to perform this independent study, contractual arrangements were made, and PwC began its work </w:t>
      </w:r>
      <w:r w:rsidR="008B44B5" w:rsidRPr="00C83CC6">
        <w:rPr>
          <w:sz w:val="22"/>
          <w:szCs w:val="18"/>
          <w:lang w:eastAsia="fr-CH"/>
        </w:rPr>
        <w:t>in</w:t>
      </w:r>
      <w:r w:rsidR="007C53EA" w:rsidRPr="00C83CC6">
        <w:rPr>
          <w:sz w:val="22"/>
          <w:szCs w:val="18"/>
          <w:lang w:eastAsia="fr-CH"/>
        </w:rPr>
        <w:t xml:space="preserve"> November 2019, and the final report was delivered to the Secretariat in July 2020</w:t>
      </w:r>
      <w:r w:rsidRPr="00C83CC6">
        <w:rPr>
          <w:sz w:val="22"/>
          <w:szCs w:val="18"/>
          <w:lang w:eastAsia="fr-CH"/>
        </w:rPr>
        <w:t>.</w:t>
      </w:r>
    </w:p>
    <w:p w14:paraId="59476B4D" w14:textId="162707DC" w:rsidR="00E76375" w:rsidRDefault="00E76375" w:rsidP="00E53477">
      <w:pPr>
        <w:spacing w:before="240"/>
        <w:jc w:val="both"/>
        <w:rPr>
          <w:sz w:val="22"/>
          <w:szCs w:val="18"/>
          <w:lang w:val="en-US"/>
        </w:rPr>
      </w:pPr>
      <w:r>
        <w:rPr>
          <w:sz w:val="22"/>
          <w:szCs w:val="18"/>
          <w:lang w:val="en-US"/>
        </w:rPr>
        <w:t xml:space="preserve">PwC </w:t>
      </w:r>
      <w:r w:rsidR="0081405A">
        <w:rPr>
          <w:sz w:val="22"/>
          <w:szCs w:val="18"/>
          <w:lang w:val="en-US"/>
        </w:rPr>
        <w:t xml:space="preserve">presented its report to the Second Virtual Consultation of Councilors, </w:t>
      </w:r>
      <w:r w:rsidR="00957F19">
        <w:rPr>
          <w:sz w:val="22"/>
          <w:szCs w:val="18"/>
          <w:lang w:val="en-US"/>
        </w:rPr>
        <w:t xml:space="preserve">at which </w:t>
      </w:r>
      <w:r w:rsidR="00AB707C">
        <w:rPr>
          <w:sz w:val="22"/>
          <w:szCs w:val="18"/>
          <w:lang w:val="en-US"/>
        </w:rPr>
        <w:t>councilors noted the report and decided to refer it to the CWG-FHR or an ad-hoc group of CWG-</w:t>
      </w:r>
      <w:r w:rsidR="00E53477">
        <w:rPr>
          <w:sz w:val="22"/>
          <w:szCs w:val="18"/>
          <w:lang w:val="en-US"/>
        </w:rPr>
        <w:t>F</w:t>
      </w:r>
      <w:r w:rsidR="00AB707C">
        <w:rPr>
          <w:sz w:val="22"/>
          <w:szCs w:val="18"/>
          <w:lang w:val="en-US"/>
        </w:rPr>
        <w:t xml:space="preserve">HR for further review and recommendation. </w:t>
      </w:r>
    </w:p>
    <w:p w14:paraId="1D758611" w14:textId="16FD0B20" w:rsidR="002C3B4D" w:rsidRDefault="00957F19" w:rsidP="00E53477">
      <w:pPr>
        <w:tabs>
          <w:tab w:val="clear" w:pos="567"/>
          <w:tab w:val="clear" w:pos="1134"/>
          <w:tab w:val="clear" w:pos="1701"/>
          <w:tab w:val="clear" w:pos="2268"/>
          <w:tab w:val="clear" w:pos="2835"/>
        </w:tabs>
        <w:spacing w:before="240"/>
        <w:jc w:val="both"/>
        <w:rPr>
          <w:sz w:val="22"/>
          <w:szCs w:val="18"/>
          <w:lang w:val="en-US"/>
        </w:rPr>
      </w:pPr>
      <w:r>
        <w:rPr>
          <w:sz w:val="22"/>
          <w:szCs w:val="18"/>
          <w:lang w:val="en-US"/>
        </w:rPr>
        <w:t>In August 2020, t</w:t>
      </w:r>
      <w:r w:rsidR="00E76375" w:rsidRPr="006B169E">
        <w:rPr>
          <w:sz w:val="22"/>
          <w:szCs w:val="18"/>
          <w:lang w:val="en-US"/>
        </w:rPr>
        <w:t>he Secretariat convened a Task Group comprising staff from all relevant departments within the General Secretariat</w:t>
      </w:r>
      <w:r w:rsidR="00582110">
        <w:rPr>
          <w:sz w:val="22"/>
          <w:szCs w:val="18"/>
          <w:lang w:val="en-US"/>
        </w:rPr>
        <w:t xml:space="preserve"> and</w:t>
      </w:r>
      <w:r w:rsidR="0075142D">
        <w:rPr>
          <w:sz w:val="22"/>
          <w:szCs w:val="18"/>
          <w:lang w:val="en-US"/>
        </w:rPr>
        <w:t xml:space="preserve"> from</w:t>
      </w:r>
      <w:r w:rsidR="00E76375" w:rsidRPr="006B169E">
        <w:rPr>
          <w:sz w:val="22"/>
          <w:szCs w:val="18"/>
          <w:lang w:val="en-US"/>
        </w:rPr>
        <w:t xml:space="preserve"> all </w:t>
      </w:r>
      <w:proofErr w:type="spellStart"/>
      <w:r w:rsidR="00E76375" w:rsidRPr="006B169E">
        <w:rPr>
          <w:sz w:val="22"/>
          <w:szCs w:val="18"/>
          <w:lang w:val="en-US"/>
        </w:rPr>
        <w:t>Bureaux</w:t>
      </w:r>
      <w:proofErr w:type="spellEnd"/>
      <w:r w:rsidR="00E76375" w:rsidRPr="006B169E">
        <w:rPr>
          <w:sz w:val="22"/>
          <w:szCs w:val="18"/>
          <w:lang w:val="en-US"/>
        </w:rPr>
        <w:t xml:space="preserve"> </w:t>
      </w:r>
      <w:r>
        <w:rPr>
          <w:sz w:val="22"/>
          <w:szCs w:val="18"/>
          <w:lang w:val="en-US"/>
        </w:rPr>
        <w:t xml:space="preserve">(the RPR Task Group) </w:t>
      </w:r>
      <w:r w:rsidR="00E76375" w:rsidRPr="006B169E">
        <w:rPr>
          <w:sz w:val="22"/>
          <w:szCs w:val="18"/>
          <w:lang w:val="en-US"/>
        </w:rPr>
        <w:t xml:space="preserve">to review and provide a detailed report on the PwC Report, including recommendations for future implementation. </w:t>
      </w:r>
    </w:p>
    <w:p w14:paraId="794F1A24" w14:textId="575AFDBD" w:rsidR="00E76375" w:rsidRDefault="00E76375" w:rsidP="00E53477">
      <w:pPr>
        <w:tabs>
          <w:tab w:val="clear" w:pos="567"/>
          <w:tab w:val="clear" w:pos="1134"/>
          <w:tab w:val="clear" w:pos="1701"/>
          <w:tab w:val="clear" w:pos="2268"/>
          <w:tab w:val="clear" w:pos="2835"/>
        </w:tabs>
        <w:spacing w:before="240"/>
        <w:jc w:val="both"/>
        <w:rPr>
          <w:sz w:val="22"/>
          <w:szCs w:val="18"/>
          <w:lang w:val="en-US"/>
        </w:rPr>
      </w:pPr>
      <w:r w:rsidRPr="006B169E">
        <w:rPr>
          <w:sz w:val="22"/>
          <w:szCs w:val="18"/>
          <w:lang w:val="en-US"/>
        </w:rPr>
        <w:t xml:space="preserve">This note contains the initial report on the deliberations of the </w:t>
      </w:r>
      <w:r w:rsidR="00957F19">
        <w:rPr>
          <w:sz w:val="22"/>
          <w:szCs w:val="18"/>
          <w:lang w:val="en-US"/>
        </w:rPr>
        <w:t>RPR Task Group</w:t>
      </w:r>
      <w:r w:rsidRPr="006B169E">
        <w:rPr>
          <w:sz w:val="22"/>
          <w:szCs w:val="18"/>
          <w:lang w:val="en-US"/>
        </w:rPr>
        <w:t>.</w:t>
      </w:r>
    </w:p>
    <w:p w14:paraId="29E15975" w14:textId="77777777" w:rsidR="00127D8D" w:rsidRDefault="00127D8D" w:rsidP="00E53477">
      <w:pPr>
        <w:pStyle w:val="Heading1"/>
        <w:numPr>
          <w:ilvl w:val="0"/>
          <w:numId w:val="7"/>
        </w:numPr>
        <w:jc w:val="both"/>
        <w:rPr>
          <w:lang w:val="en-US"/>
        </w:rPr>
      </w:pPr>
      <w:r>
        <w:rPr>
          <w:lang w:val="en-US"/>
        </w:rPr>
        <w:t>PwC’s Recommended Action Plan</w:t>
      </w:r>
    </w:p>
    <w:p w14:paraId="4505DDA1" w14:textId="7C94F5B3" w:rsidR="00E54D3A" w:rsidRDefault="00DE408D" w:rsidP="00E53477">
      <w:pPr>
        <w:tabs>
          <w:tab w:val="clear" w:pos="567"/>
          <w:tab w:val="clear" w:pos="1134"/>
          <w:tab w:val="clear" w:pos="1701"/>
          <w:tab w:val="clear" w:pos="2268"/>
          <w:tab w:val="clear" w:pos="2835"/>
        </w:tabs>
        <w:spacing w:before="240"/>
        <w:jc w:val="both"/>
        <w:rPr>
          <w:sz w:val="22"/>
          <w:szCs w:val="18"/>
          <w:lang w:val="en-US"/>
        </w:rPr>
      </w:pPr>
      <w:r>
        <w:rPr>
          <w:sz w:val="22"/>
          <w:szCs w:val="18"/>
          <w:lang w:val="en-US"/>
        </w:rPr>
        <w:t xml:space="preserve">An overview of PwC’s findings, with comments by the secretariat, is set out in Annex 1 to this note. </w:t>
      </w:r>
      <w:r w:rsidR="0089142C">
        <w:rPr>
          <w:sz w:val="22"/>
          <w:szCs w:val="18"/>
          <w:lang w:val="en-US"/>
        </w:rPr>
        <w:t>T</w:t>
      </w:r>
      <w:r>
        <w:rPr>
          <w:sz w:val="22"/>
          <w:szCs w:val="18"/>
          <w:lang w:val="en-US"/>
        </w:rPr>
        <w:t>h</w:t>
      </w:r>
      <w:r w:rsidR="00CF7C32">
        <w:rPr>
          <w:sz w:val="22"/>
          <w:szCs w:val="18"/>
          <w:lang w:val="en-US"/>
        </w:rPr>
        <w:t>is document focusses on the specific recommendations</w:t>
      </w:r>
      <w:r>
        <w:rPr>
          <w:sz w:val="22"/>
          <w:szCs w:val="18"/>
          <w:lang w:val="en-US"/>
        </w:rPr>
        <w:t xml:space="preserve"> </w:t>
      </w:r>
      <w:r w:rsidR="0089142C">
        <w:rPr>
          <w:sz w:val="22"/>
          <w:szCs w:val="18"/>
          <w:lang w:val="en-US"/>
        </w:rPr>
        <w:t xml:space="preserve">for ITU actions </w:t>
      </w:r>
      <w:r w:rsidR="00CF7C32">
        <w:rPr>
          <w:sz w:val="22"/>
          <w:szCs w:val="18"/>
          <w:lang w:val="en-US"/>
        </w:rPr>
        <w:t>made by PwC</w:t>
      </w:r>
      <w:r w:rsidR="0089142C">
        <w:rPr>
          <w:sz w:val="22"/>
          <w:szCs w:val="18"/>
          <w:lang w:val="en-US"/>
        </w:rPr>
        <w:t>,</w:t>
      </w:r>
      <w:r w:rsidR="00CF7C32">
        <w:rPr>
          <w:sz w:val="22"/>
          <w:szCs w:val="18"/>
          <w:lang w:val="en-US"/>
        </w:rPr>
        <w:t xml:space="preserve"> which have been summarized by PwC in its recommended Action Plan</w:t>
      </w:r>
      <w:r w:rsidR="0015657F">
        <w:rPr>
          <w:sz w:val="22"/>
          <w:szCs w:val="18"/>
          <w:lang w:val="en-US"/>
        </w:rPr>
        <w:t xml:space="preserve"> (see Table 36 of the PwC report)</w:t>
      </w:r>
      <w:r w:rsidR="00CF7C32">
        <w:rPr>
          <w:sz w:val="22"/>
          <w:szCs w:val="18"/>
          <w:lang w:val="en-US"/>
        </w:rPr>
        <w:t xml:space="preserve">. </w:t>
      </w:r>
    </w:p>
    <w:p w14:paraId="5BF10574" w14:textId="79A2C431" w:rsidR="001901EC" w:rsidRDefault="001901EC" w:rsidP="00E53477">
      <w:pPr>
        <w:spacing w:before="240"/>
        <w:jc w:val="both"/>
        <w:rPr>
          <w:rFonts w:asciiTheme="minorHAnsi" w:hAnsiTheme="minorHAnsi" w:cstheme="minorHAnsi"/>
          <w:color w:val="000000"/>
          <w:sz w:val="22"/>
          <w:szCs w:val="22"/>
          <w:lang w:eastAsia="fr-CH"/>
        </w:rPr>
      </w:pPr>
      <w:r>
        <w:rPr>
          <w:rFonts w:asciiTheme="minorHAnsi" w:hAnsiTheme="minorHAnsi" w:cstheme="minorHAnsi"/>
          <w:color w:val="000000"/>
          <w:sz w:val="22"/>
          <w:szCs w:val="22"/>
          <w:lang w:eastAsia="fr-CH"/>
        </w:rPr>
        <w:t>PwC recommends an action plan with f</w:t>
      </w:r>
      <w:r w:rsidRPr="00AD3C26">
        <w:rPr>
          <w:rFonts w:asciiTheme="minorHAnsi" w:hAnsiTheme="minorHAnsi" w:cstheme="minorHAnsi"/>
          <w:color w:val="000000"/>
          <w:sz w:val="22"/>
          <w:szCs w:val="22"/>
          <w:lang w:eastAsia="fr-CH"/>
        </w:rPr>
        <w:t>our implementation streams, broken down into fifteen recommendations and 50 supporting actions</w:t>
      </w:r>
      <w:r>
        <w:rPr>
          <w:rFonts w:asciiTheme="minorHAnsi" w:hAnsiTheme="minorHAnsi" w:cstheme="minorHAnsi"/>
          <w:color w:val="000000"/>
          <w:sz w:val="22"/>
          <w:szCs w:val="22"/>
          <w:lang w:eastAsia="fr-CH"/>
        </w:rPr>
        <w:t>. PwC has detailed the plan in the report, including</w:t>
      </w:r>
      <w:r w:rsidRPr="00AD3C26">
        <w:rPr>
          <w:rFonts w:asciiTheme="minorHAnsi" w:hAnsiTheme="minorHAnsi" w:cstheme="minorHAnsi"/>
          <w:color w:val="000000"/>
          <w:sz w:val="22"/>
          <w:szCs w:val="22"/>
          <w:lang w:eastAsia="fr-CH"/>
        </w:rPr>
        <w:t xml:space="preserve"> proposed timelines </w:t>
      </w:r>
      <w:r>
        <w:rPr>
          <w:rFonts w:asciiTheme="minorHAnsi" w:hAnsiTheme="minorHAnsi" w:cstheme="minorHAnsi"/>
          <w:color w:val="000000"/>
          <w:sz w:val="22"/>
          <w:szCs w:val="22"/>
          <w:lang w:eastAsia="fr-CH"/>
        </w:rPr>
        <w:t xml:space="preserve">(an overall three-year period) </w:t>
      </w:r>
      <w:r w:rsidRPr="00AD3C26">
        <w:rPr>
          <w:rFonts w:asciiTheme="minorHAnsi" w:hAnsiTheme="minorHAnsi" w:cstheme="minorHAnsi"/>
          <w:color w:val="000000"/>
          <w:sz w:val="22"/>
          <w:szCs w:val="22"/>
          <w:lang w:eastAsia="fr-CH"/>
        </w:rPr>
        <w:t>and responsibilities for implementation</w:t>
      </w:r>
      <w:r>
        <w:rPr>
          <w:rFonts w:asciiTheme="minorHAnsi" w:hAnsiTheme="minorHAnsi" w:cstheme="minorHAnsi"/>
          <w:color w:val="000000"/>
          <w:sz w:val="22"/>
          <w:szCs w:val="22"/>
          <w:lang w:eastAsia="fr-CH"/>
        </w:rPr>
        <w:t xml:space="preserve">. </w:t>
      </w:r>
    </w:p>
    <w:p w14:paraId="36BD0BAE" w14:textId="0D35C662" w:rsidR="00BC060D" w:rsidRDefault="001901EC" w:rsidP="00E53477">
      <w:pPr>
        <w:spacing w:before="240"/>
        <w:jc w:val="both"/>
        <w:rPr>
          <w:rFonts w:asciiTheme="minorHAnsi" w:hAnsiTheme="minorHAnsi" w:cstheme="minorHAnsi"/>
          <w:color w:val="000000"/>
          <w:sz w:val="22"/>
          <w:szCs w:val="22"/>
          <w:lang w:eastAsia="fr-CH"/>
        </w:rPr>
      </w:pPr>
      <w:r>
        <w:rPr>
          <w:rFonts w:asciiTheme="minorHAnsi" w:hAnsiTheme="minorHAnsi" w:cstheme="minorHAnsi"/>
          <w:color w:val="000000"/>
          <w:sz w:val="22"/>
          <w:szCs w:val="22"/>
          <w:lang w:eastAsia="fr-CH"/>
        </w:rPr>
        <w:lastRenderedPageBreak/>
        <w:t>In</w:t>
      </w:r>
      <w:r w:rsidR="0015657F">
        <w:rPr>
          <w:rFonts w:asciiTheme="minorHAnsi" w:hAnsiTheme="minorHAnsi" w:cstheme="minorHAnsi"/>
          <w:color w:val="000000"/>
          <w:sz w:val="22"/>
          <w:szCs w:val="22"/>
          <w:lang w:eastAsia="fr-CH"/>
        </w:rPr>
        <w:t xml:space="preserve"> the</w:t>
      </w:r>
      <w:r>
        <w:rPr>
          <w:rFonts w:asciiTheme="minorHAnsi" w:hAnsiTheme="minorHAnsi" w:cstheme="minorHAnsi"/>
          <w:color w:val="000000"/>
          <w:sz w:val="22"/>
          <w:szCs w:val="22"/>
          <w:lang w:eastAsia="fr-CH"/>
        </w:rPr>
        <w:t xml:space="preserve"> review it was noted</w:t>
      </w:r>
      <w:r w:rsidR="00404B4D">
        <w:rPr>
          <w:rFonts w:asciiTheme="minorHAnsi" w:hAnsiTheme="minorHAnsi" w:cstheme="minorHAnsi"/>
          <w:color w:val="000000"/>
          <w:sz w:val="22"/>
          <w:szCs w:val="22"/>
          <w:lang w:eastAsia="fr-CH"/>
        </w:rPr>
        <w:t>:</w:t>
      </w:r>
    </w:p>
    <w:p w14:paraId="16976C51" w14:textId="4B38DCD1" w:rsidR="0030337D" w:rsidRPr="00BB5744" w:rsidRDefault="0030337D" w:rsidP="00E53477">
      <w:pPr>
        <w:pStyle w:val="ListParagraph"/>
        <w:numPr>
          <w:ilvl w:val="0"/>
          <w:numId w:val="22"/>
        </w:numPr>
        <w:tabs>
          <w:tab w:val="clear" w:pos="567"/>
          <w:tab w:val="clear" w:pos="1134"/>
          <w:tab w:val="clear" w:pos="1701"/>
          <w:tab w:val="clear" w:pos="2268"/>
          <w:tab w:val="clear" w:pos="2835"/>
        </w:tabs>
        <w:spacing w:before="240"/>
        <w:jc w:val="both"/>
        <w:rPr>
          <w:rFonts w:asciiTheme="minorHAnsi" w:hAnsiTheme="minorHAnsi" w:cstheme="minorHAnsi"/>
          <w:color w:val="000000"/>
          <w:sz w:val="22"/>
          <w:szCs w:val="22"/>
          <w:lang w:eastAsia="fr-CH"/>
        </w:rPr>
      </w:pPr>
      <w:r w:rsidRPr="00BB5744">
        <w:rPr>
          <w:rFonts w:asciiTheme="minorHAnsi" w:hAnsiTheme="minorHAnsi" w:cstheme="minorHAnsi"/>
          <w:color w:val="000000"/>
          <w:sz w:val="22"/>
          <w:szCs w:val="22"/>
          <w:lang w:eastAsia="fr-CH"/>
        </w:rPr>
        <w:t>Some of the</w:t>
      </w:r>
      <w:r w:rsidR="001901EC" w:rsidRPr="00BB5744">
        <w:rPr>
          <w:rFonts w:asciiTheme="minorHAnsi" w:hAnsiTheme="minorHAnsi" w:cstheme="minorHAnsi"/>
          <w:color w:val="000000"/>
          <w:sz w:val="22"/>
          <w:szCs w:val="22"/>
          <w:lang w:eastAsia="fr-CH"/>
        </w:rPr>
        <w:t xml:space="preserve"> recommendations </w:t>
      </w:r>
      <w:r w:rsidR="00576DD4" w:rsidRPr="00BB5744">
        <w:rPr>
          <w:rFonts w:asciiTheme="minorHAnsi" w:hAnsiTheme="minorHAnsi" w:cstheme="minorHAnsi"/>
          <w:color w:val="000000"/>
          <w:sz w:val="22"/>
          <w:szCs w:val="22"/>
          <w:lang w:eastAsia="fr-CH"/>
        </w:rPr>
        <w:t xml:space="preserve">which agreeable to the management are either </w:t>
      </w:r>
      <w:r w:rsidR="001901EC" w:rsidRPr="00BB5744">
        <w:rPr>
          <w:rFonts w:asciiTheme="minorHAnsi" w:hAnsiTheme="minorHAnsi" w:cstheme="minorHAnsi"/>
          <w:color w:val="000000"/>
          <w:sz w:val="22"/>
          <w:szCs w:val="22"/>
          <w:lang w:eastAsia="fr-CH"/>
        </w:rPr>
        <w:t>already being implemented by the Secretariat</w:t>
      </w:r>
      <w:r w:rsidR="006C1A96" w:rsidRPr="00BB5744">
        <w:rPr>
          <w:rFonts w:asciiTheme="minorHAnsi" w:hAnsiTheme="minorHAnsi" w:cstheme="minorHAnsi"/>
          <w:color w:val="000000"/>
          <w:sz w:val="22"/>
          <w:szCs w:val="22"/>
          <w:lang w:eastAsia="fr-CH"/>
        </w:rPr>
        <w:t xml:space="preserve"> or fall within the </w:t>
      </w:r>
      <w:r w:rsidRPr="00BB5744">
        <w:rPr>
          <w:rFonts w:asciiTheme="minorHAnsi" w:hAnsiTheme="minorHAnsi" w:cstheme="minorHAnsi"/>
          <w:color w:val="000000"/>
          <w:sz w:val="22"/>
          <w:szCs w:val="22"/>
          <w:lang w:eastAsia="fr-CH"/>
        </w:rPr>
        <w:t>purview of ITU’s management.</w:t>
      </w:r>
      <w:r w:rsidR="00576DD4" w:rsidRPr="00BB5744">
        <w:rPr>
          <w:rFonts w:asciiTheme="minorHAnsi" w:hAnsiTheme="minorHAnsi" w:cstheme="minorHAnsi"/>
          <w:color w:val="000000"/>
          <w:sz w:val="22"/>
          <w:szCs w:val="22"/>
          <w:lang w:eastAsia="fr-CH"/>
        </w:rPr>
        <w:t xml:space="preserve"> These do not require any decision of council and therefore would not benefit from detailed consideration by CWG-FHR.</w:t>
      </w:r>
    </w:p>
    <w:p w14:paraId="6929E25B" w14:textId="3C9B6F3F" w:rsidR="00A24FBA" w:rsidRPr="00833535" w:rsidRDefault="00AF5771" w:rsidP="00E53477">
      <w:pPr>
        <w:pStyle w:val="ListParagraph"/>
        <w:numPr>
          <w:ilvl w:val="0"/>
          <w:numId w:val="22"/>
        </w:numPr>
        <w:tabs>
          <w:tab w:val="clear" w:pos="567"/>
          <w:tab w:val="clear" w:pos="1134"/>
          <w:tab w:val="clear" w:pos="1701"/>
          <w:tab w:val="clear" w:pos="2268"/>
          <w:tab w:val="clear" w:pos="2835"/>
        </w:tabs>
        <w:spacing w:before="240"/>
        <w:jc w:val="both"/>
        <w:rPr>
          <w:rFonts w:asciiTheme="minorHAnsi" w:hAnsiTheme="minorHAnsi" w:cstheme="minorBidi"/>
          <w:color w:val="000000"/>
          <w:sz w:val="22"/>
          <w:szCs w:val="22"/>
          <w:lang w:eastAsia="fr-CH"/>
        </w:rPr>
      </w:pPr>
      <w:r w:rsidRPr="00BB5744">
        <w:rPr>
          <w:rFonts w:asciiTheme="minorHAnsi" w:hAnsiTheme="minorHAnsi" w:cstheme="minorBidi"/>
          <w:color w:val="000000" w:themeColor="text1"/>
          <w:sz w:val="22"/>
          <w:szCs w:val="22"/>
          <w:lang w:eastAsia="fr-CH"/>
        </w:rPr>
        <w:t>Imple</w:t>
      </w:r>
      <w:r w:rsidR="00FC1977" w:rsidRPr="00BB5744">
        <w:rPr>
          <w:rFonts w:asciiTheme="minorHAnsi" w:hAnsiTheme="minorHAnsi" w:cstheme="minorBidi"/>
          <w:color w:val="000000" w:themeColor="text1"/>
          <w:sz w:val="22"/>
          <w:szCs w:val="22"/>
          <w:lang w:eastAsia="fr-CH"/>
        </w:rPr>
        <w:t>menting s</w:t>
      </w:r>
      <w:r w:rsidR="2698B645" w:rsidRPr="00BB5744">
        <w:rPr>
          <w:rFonts w:asciiTheme="minorHAnsi" w:hAnsiTheme="minorHAnsi" w:cstheme="minorBidi"/>
          <w:color w:val="000000" w:themeColor="text1"/>
          <w:sz w:val="22"/>
          <w:szCs w:val="22"/>
          <w:lang w:eastAsia="fr-CH"/>
        </w:rPr>
        <w:t>ome</w:t>
      </w:r>
      <w:r w:rsidR="0030337D" w:rsidRPr="00BB5744">
        <w:rPr>
          <w:rFonts w:asciiTheme="minorHAnsi" w:hAnsiTheme="minorHAnsi" w:cstheme="minorBidi"/>
          <w:color w:val="000000" w:themeColor="text1"/>
          <w:sz w:val="22"/>
          <w:szCs w:val="22"/>
          <w:lang w:eastAsia="fr-CH"/>
        </w:rPr>
        <w:t xml:space="preserve"> recommendations </w:t>
      </w:r>
      <w:r w:rsidR="38C4152D" w:rsidRPr="00BB5744">
        <w:rPr>
          <w:rFonts w:asciiTheme="minorHAnsi" w:hAnsiTheme="minorHAnsi" w:cstheme="minorBidi"/>
          <w:color w:val="000000" w:themeColor="text1"/>
          <w:sz w:val="22"/>
          <w:szCs w:val="22"/>
          <w:lang w:eastAsia="fr-CH"/>
        </w:rPr>
        <w:t>may</w:t>
      </w:r>
      <w:r w:rsidR="0030337D" w:rsidRPr="00BB5744">
        <w:rPr>
          <w:rFonts w:asciiTheme="minorHAnsi" w:hAnsiTheme="minorHAnsi" w:cstheme="minorBidi"/>
          <w:color w:val="000000" w:themeColor="text1"/>
          <w:sz w:val="22"/>
          <w:szCs w:val="22"/>
          <w:lang w:eastAsia="fr-CH"/>
        </w:rPr>
        <w:t xml:space="preserve"> require a </w:t>
      </w:r>
      <w:r w:rsidR="00576DD4" w:rsidRPr="00BB5744">
        <w:rPr>
          <w:rFonts w:asciiTheme="minorHAnsi" w:hAnsiTheme="minorHAnsi" w:cstheme="minorBidi"/>
          <w:color w:val="000000" w:themeColor="text1"/>
          <w:sz w:val="22"/>
          <w:szCs w:val="22"/>
          <w:lang w:eastAsia="fr-CH"/>
        </w:rPr>
        <w:t>decision</w:t>
      </w:r>
      <w:r w:rsidR="00183D2F" w:rsidRPr="00BB5744">
        <w:rPr>
          <w:rFonts w:asciiTheme="minorHAnsi" w:hAnsiTheme="minorHAnsi" w:cstheme="minorBidi"/>
          <w:color w:val="000000" w:themeColor="text1"/>
          <w:sz w:val="22"/>
          <w:szCs w:val="22"/>
          <w:lang w:eastAsia="fr-CH"/>
        </w:rPr>
        <w:t xml:space="preserve"> of the ITU Plenipoten</w:t>
      </w:r>
      <w:r w:rsidR="0009108D" w:rsidRPr="00BB5744">
        <w:rPr>
          <w:rFonts w:asciiTheme="minorHAnsi" w:hAnsiTheme="minorHAnsi" w:cstheme="minorBidi"/>
          <w:color w:val="000000" w:themeColor="text1"/>
          <w:sz w:val="22"/>
          <w:szCs w:val="22"/>
          <w:lang w:eastAsia="fr-CH"/>
        </w:rPr>
        <w:t>tiary Conference</w:t>
      </w:r>
      <w:r w:rsidR="00576DD4" w:rsidRPr="00BB5744">
        <w:rPr>
          <w:rFonts w:asciiTheme="minorHAnsi" w:hAnsiTheme="minorHAnsi" w:cstheme="minorBidi"/>
          <w:color w:val="000000" w:themeColor="text1"/>
          <w:sz w:val="22"/>
          <w:szCs w:val="22"/>
          <w:lang w:eastAsia="fr-CH"/>
        </w:rPr>
        <w:t xml:space="preserve">. </w:t>
      </w:r>
      <w:r w:rsidR="00571F23" w:rsidRPr="00833535">
        <w:rPr>
          <w:rFonts w:asciiTheme="minorHAnsi" w:hAnsiTheme="minorHAnsi" w:cstheme="minorBidi"/>
          <w:color w:val="000000" w:themeColor="text1"/>
          <w:sz w:val="22"/>
          <w:szCs w:val="22"/>
          <w:lang w:eastAsia="fr-CH"/>
        </w:rPr>
        <w:t>D</w:t>
      </w:r>
      <w:r w:rsidR="00576DD4" w:rsidRPr="00833535">
        <w:rPr>
          <w:rFonts w:asciiTheme="minorHAnsi" w:hAnsiTheme="minorHAnsi" w:cstheme="minorBidi"/>
          <w:color w:val="000000" w:themeColor="text1"/>
          <w:sz w:val="22"/>
          <w:szCs w:val="22"/>
          <w:lang w:eastAsia="fr-CH"/>
        </w:rPr>
        <w:t xml:space="preserve">etailed consideration </w:t>
      </w:r>
      <w:r w:rsidR="00571F23" w:rsidRPr="00833535">
        <w:rPr>
          <w:rFonts w:asciiTheme="minorHAnsi" w:hAnsiTheme="minorHAnsi" w:cstheme="minorBidi"/>
          <w:color w:val="000000" w:themeColor="text1"/>
          <w:sz w:val="22"/>
          <w:szCs w:val="22"/>
          <w:lang w:eastAsia="fr-CH"/>
        </w:rPr>
        <w:t xml:space="preserve">of these recommendations </w:t>
      </w:r>
      <w:r w:rsidR="00576DD4" w:rsidRPr="00833535">
        <w:rPr>
          <w:rFonts w:asciiTheme="minorHAnsi" w:hAnsiTheme="minorHAnsi" w:cstheme="minorBidi"/>
          <w:color w:val="000000" w:themeColor="text1"/>
          <w:sz w:val="22"/>
          <w:szCs w:val="22"/>
          <w:lang w:eastAsia="fr-CH"/>
        </w:rPr>
        <w:t xml:space="preserve">by CWG-FHR </w:t>
      </w:r>
      <w:r w:rsidR="00EC710D" w:rsidRPr="00833535">
        <w:rPr>
          <w:rFonts w:asciiTheme="minorHAnsi" w:hAnsiTheme="minorHAnsi" w:cstheme="minorBidi"/>
          <w:color w:val="000000" w:themeColor="text1"/>
          <w:sz w:val="22"/>
          <w:szCs w:val="22"/>
          <w:lang w:eastAsia="fr-CH"/>
        </w:rPr>
        <w:t>would be beneficial</w:t>
      </w:r>
      <w:r w:rsidR="00576DD4" w:rsidRPr="00833535">
        <w:rPr>
          <w:rFonts w:asciiTheme="minorHAnsi" w:hAnsiTheme="minorHAnsi" w:cstheme="minorBidi"/>
          <w:color w:val="000000" w:themeColor="text1"/>
          <w:sz w:val="22"/>
          <w:szCs w:val="22"/>
          <w:lang w:eastAsia="fr-CH"/>
        </w:rPr>
        <w:t xml:space="preserve"> </w:t>
      </w:r>
      <w:r w:rsidR="005335B8" w:rsidRPr="00833535">
        <w:rPr>
          <w:rFonts w:asciiTheme="minorHAnsi" w:hAnsiTheme="minorHAnsi" w:cstheme="minorBidi"/>
          <w:color w:val="000000" w:themeColor="text1"/>
          <w:sz w:val="22"/>
          <w:szCs w:val="22"/>
          <w:lang w:eastAsia="fr-CH"/>
        </w:rPr>
        <w:t>to help inform</w:t>
      </w:r>
      <w:r w:rsidR="00732123" w:rsidRPr="00833535">
        <w:rPr>
          <w:rFonts w:asciiTheme="minorHAnsi" w:hAnsiTheme="minorHAnsi" w:cstheme="minorBidi"/>
          <w:color w:val="000000" w:themeColor="text1"/>
          <w:sz w:val="22"/>
          <w:szCs w:val="22"/>
          <w:lang w:eastAsia="fr-CH"/>
        </w:rPr>
        <w:t xml:space="preserve"> and </w:t>
      </w:r>
      <w:r w:rsidR="00F226C4" w:rsidRPr="00833535">
        <w:rPr>
          <w:rFonts w:asciiTheme="minorHAnsi" w:hAnsiTheme="minorHAnsi" w:cstheme="minorBidi"/>
          <w:color w:val="000000" w:themeColor="text1"/>
          <w:sz w:val="22"/>
          <w:szCs w:val="22"/>
          <w:lang w:eastAsia="fr-CH"/>
        </w:rPr>
        <w:t xml:space="preserve">support </w:t>
      </w:r>
      <w:r w:rsidR="00F963D0" w:rsidRPr="00833535">
        <w:rPr>
          <w:rFonts w:asciiTheme="minorHAnsi" w:hAnsiTheme="minorHAnsi" w:cstheme="minorBidi"/>
          <w:color w:val="000000" w:themeColor="text1"/>
          <w:sz w:val="22"/>
          <w:szCs w:val="22"/>
          <w:lang w:eastAsia="fr-CH"/>
        </w:rPr>
        <w:t>Council</w:t>
      </w:r>
      <w:r w:rsidR="002A7B68" w:rsidRPr="00833535">
        <w:rPr>
          <w:rFonts w:asciiTheme="minorHAnsi" w:hAnsiTheme="minorHAnsi" w:cstheme="minorBidi"/>
          <w:color w:val="000000" w:themeColor="text1"/>
          <w:sz w:val="22"/>
          <w:szCs w:val="22"/>
          <w:lang w:eastAsia="fr-CH"/>
        </w:rPr>
        <w:t xml:space="preserve"> in its </w:t>
      </w:r>
      <w:r w:rsidR="38CACE7A" w:rsidRPr="00833535">
        <w:rPr>
          <w:rFonts w:asciiTheme="minorHAnsi" w:hAnsiTheme="minorHAnsi" w:cstheme="minorBidi"/>
          <w:color w:val="000000" w:themeColor="text1"/>
          <w:sz w:val="22"/>
          <w:szCs w:val="22"/>
          <w:lang w:eastAsia="fr-CH"/>
        </w:rPr>
        <w:t xml:space="preserve">decision regarding </w:t>
      </w:r>
      <w:r w:rsidR="389B7C09" w:rsidRPr="00833535">
        <w:rPr>
          <w:rFonts w:asciiTheme="minorHAnsi" w:hAnsiTheme="minorHAnsi" w:cstheme="minorBidi"/>
          <w:color w:val="000000" w:themeColor="text1"/>
          <w:sz w:val="22"/>
          <w:szCs w:val="22"/>
          <w:lang w:eastAsia="fr-CH"/>
        </w:rPr>
        <w:t xml:space="preserve">whether </w:t>
      </w:r>
      <w:r w:rsidR="002A7B68" w:rsidRPr="00833535">
        <w:rPr>
          <w:rFonts w:asciiTheme="minorHAnsi" w:hAnsiTheme="minorHAnsi" w:cstheme="minorBidi"/>
          <w:color w:val="000000" w:themeColor="text1"/>
          <w:sz w:val="22"/>
          <w:szCs w:val="22"/>
          <w:lang w:eastAsia="fr-CH"/>
        </w:rPr>
        <w:t xml:space="preserve">deferral </w:t>
      </w:r>
      <w:r w:rsidR="004429FC" w:rsidRPr="00833535">
        <w:rPr>
          <w:rFonts w:asciiTheme="minorHAnsi" w:hAnsiTheme="minorHAnsi" w:cstheme="minorBidi"/>
          <w:color w:val="000000" w:themeColor="text1"/>
          <w:sz w:val="22"/>
          <w:szCs w:val="22"/>
          <w:lang w:eastAsia="fr-CH"/>
        </w:rPr>
        <w:t xml:space="preserve">of the matter </w:t>
      </w:r>
      <w:r w:rsidR="00A24FBA" w:rsidRPr="00833535">
        <w:rPr>
          <w:rFonts w:asciiTheme="minorHAnsi" w:hAnsiTheme="minorHAnsi" w:cstheme="minorBidi"/>
          <w:color w:val="000000" w:themeColor="text1"/>
          <w:sz w:val="22"/>
          <w:szCs w:val="22"/>
          <w:lang w:eastAsia="fr-CH"/>
        </w:rPr>
        <w:t>to the Plenipotentiary Conference</w:t>
      </w:r>
      <w:r w:rsidR="312A680B" w:rsidRPr="00833535">
        <w:rPr>
          <w:rFonts w:asciiTheme="minorHAnsi" w:hAnsiTheme="minorHAnsi" w:cstheme="minorBidi"/>
          <w:color w:val="000000" w:themeColor="text1"/>
          <w:sz w:val="22"/>
          <w:szCs w:val="22"/>
          <w:lang w:eastAsia="fr-CH"/>
        </w:rPr>
        <w:t xml:space="preserve"> </w:t>
      </w:r>
      <w:r w:rsidR="39F4BE4A" w:rsidRPr="00833535">
        <w:rPr>
          <w:rFonts w:asciiTheme="minorHAnsi" w:hAnsiTheme="minorHAnsi" w:cstheme="minorBidi"/>
          <w:color w:val="000000" w:themeColor="text1"/>
          <w:sz w:val="22"/>
          <w:szCs w:val="22"/>
          <w:lang w:eastAsia="fr-CH"/>
        </w:rPr>
        <w:t>would be</w:t>
      </w:r>
      <w:r w:rsidR="312A680B" w:rsidRPr="00833535">
        <w:rPr>
          <w:rFonts w:asciiTheme="minorHAnsi" w:hAnsiTheme="minorHAnsi" w:cstheme="minorBidi"/>
          <w:color w:val="000000" w:themeColor="text1"/>
          <w:sz w:val="22"/>
          <w:szCs w:val="22"/>
          <w:lang w:eastAsia="fr-CH"/>
        </w:rPr>
        <w:t xml:space="preserve"> appropriate</w:t>
      </w:r>
      <w:r w:rsidR="00576DD4" w:rsidRPr="00833535">
        <w:rPr>
          <w:rFonts w:asciiTheme="minorHAnsi" w:hAnsiTheme="minorHAnsi" w:cstheme="minorBidi"/>
          <w:color w:val="000000" w:themeColor="text1"/>
          <w:sz w:val="22"/>
          <w:szCs w:val="22"/>
          <w:lang w:eastAsia="fr-CH"/>
        </w:rPr>
        <w:t>.</w:t>
      </w:r>
    </w:p>
    <w:p w14:paraId="10549ECC" w14:textId="4F6385C2" w:rsidR="00DE408D" w:rsidRPr="0030337D" w:rsidRDefault="00A24FBA" w:rsidP="00E53477">
      <w:pPr>
        <w:tabs>
          <w:tab w:val="clear" w:pos="567"/>
          <w:tab w:val="clear" w:pos="1134"/>
          <w:tab w:val="clear" w:pos="1701"/>
          <w:tab w:val="clear" w:pos="2268"/>
          <w:tab w:val="clear" w:pos="2835"/>
        </w:tabs>
        <w:spacing w:before="240"/>
        <w:jc w:val="both"/>
        <w:rPr>
          <w:rFonts w:asciiTheme="minorHAnsi" w:hAnsiTheme="minorHAnsi" w:cstheme="minorHAnsi"/>
          <w:color w:val="000000"/>
          <w:sz w:val="22"/>
          <w:szCs w:val="22"/>
          <w:lang w:eastAsia="fr-CH"/>
        </w:rPr>
      </w:pPr>
      <w:r w:rsidRPr="00BB5744">
        <w:rPr>
          <w:rFonts w:asciiTheme="minorHAnsi" w:hAnsiTheme="minorHAnsi" w:cstheme="minorHAnsi"/>
          <w:color w:val="000000"/>
          <w:sz w:val="22"/>
          <w:szCs w:val="22"/>
          <w:lang w:eastAsia="fr-CH"/>
        </w:rPr>
        <w:t>I</w:t>
      </w:r>
      <w:r w:rsidR="00D90C4B" w:rsidRPr="00BB5744">
        <w:rPr>
          <w:rFonts w:asciiTheme="minorHAnsi" w:hAnsiTheme="minorHAnsi" w:cstheme="minorHAnsi"/>
          <w:color w:val="000000"/>
          <w:sz w:val="22"/>
          <w:szCs w:val="22"/>
          <w:lang w:eastAsia="fr-CH"/>
        </w:rPr>
        <w:t>n order to ensure that the CWG-FHR</w:t>
      </w:r>
      <w:r w:rsidR="00D90C4B" w:rsidRPr="0030337D">
        <w:rPr>
          <w:rFonts w:asciiTheme="minorHAnsi" w:hAnsiTheme="minorHAnsi" w:cstheme="minorHAnsi"/>
          <w:color w:val="000000"/>
          <w:sz w:val="22"/>
          <w:szCs w:val="22"/>
          <w:lang w:eastAsia="fr-CH"/>
        </w:rPr>
        <w:t xml:space="preserve"> </w:t>
      </w:r>
      <w:r w:rsidR="00571F23">
        <w:rPr>
          <w:rFonts w:asciiTheme="minorHAnsi" w:hAnsiTheme="minorHAnsi" w:cstheme="minorHAnsi"/>
          <w:color w:val="000000"/>
          <w:sz w:val="22"/>
          <w:szCs w:val="22"/>
          <w:lang w:eastAsia="fr-CH"/>
        </w:rPr>
        <w:t xml:space="preserve">is able to focus its </w:t>
      </w:r>
      <w:r w:rsidR="00D90C4B" w:rsidRPr="0030337D">
        <w:rPr>
          <w:rFonts w:asciiTheme="minorHAnsi" w:hAnsiTheme="minorHAnsi" w:cstheme="minorHAnsi"/>
          <w:color w:val="000000"/>
          <w:sz w:val="22"/>
          <w:szCs w:val="22"/>
          <w:lang w:eastAsia="fr-CH"/>
        </w:rPr>
        <w:t xml:space="preserve">consideration on the matters that would require and be appropriate for consideration </w:t>
      </w:r>
      <w:r w:rsidR="00571F23">
        <w:rPr>
          <w:rFonts w:asciiTheme="minorHAnsi" w:hAnsiTheme="minorHAnsi" w:cstheme="minorHAnsi"/>
          <w:color w:val="000000"/>
          <w:sz w:val="22"/>
          <w:szCs w:val="22"/>
          <w:lang w:eastAsia="fr-CH"/>
        </w:rPr>
        <w:t xml:space="preserve">and decision </w:t>
      </w:r>
      <w:r w:rsidR="00D90C4B" w:rsidRPr="0030337D">
        <w:rPr>
          <w:rFonts w:asciiTheme="minorHAnsi" w:hAnsiTheme="minorHAnsi" w:cstheme="minorHAnsi"/>
          <w:color w:val="000000"/>
          <w:sz w:val="22"/>
          <w:szCs w:val="22"/>
          <w:lang w:eastAsia="fr-CH"/>
        </w:rPr>
        <w:t>by Council, t</w:t>
      </w:r>
      <w:r w:rsidR="00DE408D" w:rsidRPr="0030337D">
        <w:rPr>
          <w:sz w:val="22"/>
          <w:szCs w:val="18"/>
          <w:lang w:val="en-US"/>
        </w:rPr>
        <w:t xml:space="preserve">he </w:t>
      </w:r>
      <w:r w:rsidR="00571F23">
        <w:rPr>
          <w:sz w:val="22"/>
          <w:szCs w:val="18"/>
          <w:lang w:val="en-US"/>
        </w:rPr>
        <w:t xml:space="preserve">Secretariat has </w:t>
      </w:r>
      <w:r w:rsidR="00DE408D" w:rsidRPr="0030337D">
        <w:rPr>
          <w:sz w:val="22"/>
          <w:szCs w:val="18"/>
          <w:lang w:val="en-US"/>
        </w:rPr>
        <w:t xml:space="preserve">assessed </w:t>
      </w:r>
      <w:r w:rsidR="00811749" w:rsidRPr="0030337D">
        <w:rPr>
          <w:sz w:val="22"/>
          <w:szCs w:val="18"/>
          <w:lang w:val="en-US"/>
        </w:rPr>
        <w:t xml:space="preserve">each of </w:t>
      </w:r>
      <w:r w:rsidR="00DE408D" w:rsidRPr="0030337D">
        <w:rPr>
          <w:sz w:val="22"/>
          <w:szCs w:val="18"/>
          <w:lang w:val="en-US"/>
        </w:rPr>
        <w:t xml:space="preserve">PwC’s recommendations </w:t>
      </w:r>
      <w:r w:rsidR="00995383">
        <w:rPr>
          <w:sz w:val="22"/>
          <w:szCs w:val="18"/>
          <w:lang w:val="en-US"/>
        </w:rPr>
        <w:t xml:space="preserve">and proposes that only matters </w:t>
      </w:r>
      <w:r w:rsidR="00555764">
        <w:rPr>
          <w:sz w:val="22"/>
          <w:szCs w:val="18"/>
          <w:lang w:val="en-US"/>
        </w:rPr>
        <w:t xml:space="preserve">that </w:t>
      </w:r>
      <w:r w:rsidR="00995383">
        <w:rPr>
          <w:sz w:val="22"/>
          <w:szCs w:val="18"/>
          <w:lang w:val="en-US"/>
        </w:rPr>
        <w:t>fall within the purview of Council should be addressed by CWG-FHR (</w:t>
      </w:r>
      <w:proofErr w:type="gramStart"/>
      <w:r w:rsidR="00995383">
        <w:rPr>
          <w:sz w:val="22"/>
          <w:szCs w:val="18"/>
          <w:lang w:val="en-US"/>
        </w:rPr>
        <w:t>i.e.</w:t>
      </w:r>
      <w:proofErr w:type="gramEnd"/>
      <w:r w:rsidR="00995383">
        <w:rPr>
          <w:sz w:val="22"/>
          <w:szCs w:val="18"/>
          <w:lang w:val="en-US"/>
        </w:rPr>
        <w:t xml:space="preserve"> excluding matters that </w:t>
      </w:r>
      <w:r w:rsidR="00D377EF">
        <w:rPr>
          <w:sz w:val="22"/>
          <w:szCs w:val="18"/>
          <w:lang w:val="en-US"/>
        </w:rPr>
        <w:t xml:space="preserve">have already been implemented or </w:t>
      </w:r>
      <w:r w:rsidR="00995383">
        <w:rPr>
          <w:sz w:val="22"/>
          <w:szCs w:val="18"/>
          <w:lang w:val="en-US"/>
        </w:rPr>
        <w:t>fall within the decision</w:t>
      </w:r>
      <w:r w:rsidR="00555764">
        <w:rPr>
          <w:sz w:val="22"/>
          <w:szCs w:val="18"/>
          <w:lang w:val="en-US"/>
        </w:rPr>
        <w:t>-</w:t>
      </w:r>
      <w:r w:rsidR="00995383">
        <w:rPr>
          <w:sz w:val="22"/>
          <w:szCs w:val="18"/>
          <w:lang w:val="en-US"/>
        </w:rPr>
        <w:t>making capacity of management).</w:t>
      </w:r>
      <w:r w:rsidR="007F65DA">
        <w:rPr>
          <w:sz w:val="22"/>
          <w:szCs w:val="18"/>
          <w:lang w:val="en-US"/>
        </w:rPr>
        <w:t xml:space="preserve"> Each of the recommendations is set out in Annex 2, identifying whether or not, in the view of the Secretariat, the matter requires the detailed consideration by CWG-FHR, or can be addressed by ITU management.</w:t>
      </w:r>
    </w:p>
    <w:p w14:paraId="1C094289" w14:textId="753BCBA9" w:rsidR="00127D8D" w:rsidRDefault="00995383" w:rsidP="00E53477">
      <w:pPr>
        <w:spacing w:before="240"/>
        <w:jc w:val="both"/>
        <w:rPr>
          <w:rFonts w:asciiTheme="minorHAnsi" w:hAnsiTheme="minorHAnsi" w:cstheme="minorHAnsi"/>
          <w:color w:val="000000"/>
          <w:sz w:val="22"/>
          <w:szCs w:val="22"/>
          <w:lang w:eastAsia="fr-CH"/>
        </w:rPr>
      </w:pPr>
      <w:r>
        <w:rPr>
          <w:rFonts w:asciiTheme="minorHAnsi" w:hAnsiTheme="minorHAnsi" w:cstheme="minorHAnsi"/>
          <w:color w:val="000000"/>
          <w:sz w:val="22"/>
          <w:szCs w:val="22"/>
          <w:lang w:eastAsia="fr-CH"/>
        </w:rPr>
        <w:t>To that end, t</w:t>
      </w:r>
      <w:r w:rsidR="00830E6E">
        <w:rPr>
          <w:rFonts w:asciiTheme="minorHAnsi" w:hAnsiTheme="minorHAnsi" w:cstheme="minorHAnsi"/>
          <w:color w:val="000000"/>
          <w:sz w:val="22"/>
          <w:szCs w:val="22"/>
          <w:lang w:eastAsia="fr-CH"/>
        </w:rPr>
        <w:t xml:space="preserve">he Secretariat proposes that CWG-FHR </w:t>
      </w:r>
      <w:r>
        <w:rPr>
          <w:rFonts w:asciiTheme="minorHAnsi" w:hAnsiTheme="minorHAnsi" w:cstheme="minorHAnsi"/>
          <w:color w:val="000000"/>
          <w:sz w:val="22"/>
          <w:szCs w:val="22"/>
          <w:lang w:eastAsia="fr-CH"/>
        </w:rPr>
        <w:t xml:space="preserve">consider the recommendations set out in the remainder of this section. For this </w:t>
      </w:r>
      <w:proofErr w:type="gramStart"/>
      <w:r>
        <w:rPr>
          <w:rFonts w:asciiTheme="minorHAnsi" w:hAnsiTheme="minorHAnsi" w:cstheme="minorHAnsi"/>
          <w:color w:val="000000"/>
          <w:sz w:val="22"/>
          <w:szCs w:val="22"/>
          <w:lang w:eastAsia="fr-CH"/>
        </w:rPr>
        <w:t>purpose</w:t>
      </w:r>
      <w:proofErr w:type="gramEnd"/>
      <w:r>
        <w:rPr>
          <w:rFonts w:asciiTheme="minorHAnsi" w:hAnsiTheme="minorHAnsi" w:cstheme="minorHAnsi"/>
          <w:color w:val="000000"/>
          <w:sz w:val="22"/>
          <w:szCs w:val="22"/>
          <w:lang w:eastAsia="fr-CH"/>
        </w:rPr>
        <w:t xml:space="preserve"> the secretariat has adopted the </w:t>
      </w:r>
      <w:r w:rsidR="000F503E">
        <w:rPr>
          <w:rFonts w:asciiTheme="minorHAnsi" w:hAnsiTheme="minorHAnsi" w:cstheme="minorHAnsi"/>
          <w:color w:val="000000"/>
          <w:sz w:val="22"/>
          <w:szCs w:val="22"/>
          <w:lang w:eastAsia="fr-CH"/>
        </w:rPr>
        <w:t xml:space="preserve">categories and numbering of actions used in PwC’s </w:t>
      </w:r>
      <w:r w:rsidR="00404B4D">
        <w:rPr>
          <w:rFonts w:asciiTheme="minorHAnsi" w:hAnsiTheme="minorHAnsi" w:cstheme="minorHAnsi"/>
          <w:color w:val="000000"/>
          <w:sz w:val="22"/>
          <w:szCs w:val="22"/>
          <w:lang w:eastAsia="fr-CH"/>
        </w:rPr>
        <w:t>Action Plan</w:t>
      </w:r>
      <w:r w:rsidR="000F503E">
        <w:rPr>
          <w:rFonts w:asciiTheme="minorHAnsi" w:hAnsiTheme="minorHAnsi" w:cstheme="minorHAnsi"/>
          <w:color w:val="000000"/>
          <w:sz w:val="22"/>
          <w:szCs w:val="22"/>
          <w:lang w:eastAsia="fr-CH"/>
        </w:rPr>
        <w:t>.</w:t>
      </w:r>
    </w:p>
    <w:p w14:paraId="7E92C4E8" w14:textId="0B9B3444" w:rsidR="00127D8D" w:rsidRPr="00DF0FD5" w:rsidRDefault="00127D8D" w:rsidP="00E53477">
      <w:pPr>
        <w:pStyle w:val="ListBullet"/>
        <w:numPr>
          <w:ilvl w:val="0"/>
          <w:numId w:val="24"/>
        </w:numPr>
        <w:spacing w:before="240" w:line="240" w:lineRule="auto"/>
        <w:jc w:val="both"/>
        <w:rPr>
          <w:rFonts w:cstheme="minorHAnsi"/>
          <w:b/>
          <w:bCs/>
          <w:sz w:val="22"/>
          <w:szCs w:val="22"/>
          <w:lang w:eastAsia="fr-CH"/>
        </w:rPr>
      </w:pPr>
      <w:r>
        <w:rPr>
          <w:rFonts w:cstheme="minorHAnsi"/>
          <w:b/>
          <w:bCs/>
          <w:sz w:val="22"/>
          <w:szCs w:val="22"/>
          <w:lang w:eastAsia="fr-CH"/>
        </w:rPr>
        <w:t>Strategic Positioning</w:t>
      </w:r>
    </w:p>
    <w:p w14:paraId="65B45DD5" w14:textId="7566F5E8" w:rsidR="002C3EB6" w:rsidRDefault="00127D8D" w:rsidP="00E53477">
      <w:pPr>
        <w:pStyle w:val="ListBullet"/>
        <w:numPr>
          <w:ilvl w:val="0"/>
          <w:numId w:val="0"/>
        </w:numPr>
        <w:spacing w:before="240" w:line="240" w:lineRule="auto"/>
        <w:jc w:val="both"/>
        <w:rPr>
          <w:rFonts w:cstheme="minorHAnsi"/>
          <w:sz w:val="22"/>
          <w:szCs w:val="22"/>
          <w:lang w:eastAsia="fr-CH"/>
        </w:rPr>
      </w:pPr>
      <w:r w:rsidRPr="00AD3C26">
        <w:rPr>
          <w:rFonts w:cstheme="minorHAnsi"/>
          <w:sz w:val="22"/>
          <w:szCs w:val="22"/>
          <w:lang w:eastAsia="fr-CH"/>
        </w:rPr>
        <w:t xml:space="preserve">The strategic positioning </w:t>
      </w:r>
      <w:r w:rsidR="002C3EB6">
        <w:rPr>
          <w:rFonts w:cstheme="minorHAnsi"/>
          <w:sz w:val="22"/>
          <w:szCs w:val="22"/>
          <w:lang w:eastAsia="fr-CH"/>
        </w:rPr>
        <w:t xml:space="preserve">category of recommendations </w:t>
      </w:r>
      <w:r w:rsidRPr="00AD3C26">
        <w:rPr>
          <w:rFonts w:cstheme="minorHAnsi"/>
          <w:sz w:val="22"/>
          <w:szCs w:val="22"/>
          <w:lang w:eastAsia="fr-CH"/>
        </w:rPr>
        <w:t xml:space="preserve">aims at clarifying the role, mandate and expected contribution of the regional presence in policy documents, consolidating the programmatic framework in line with the RBM initiative, prioritising engagement with UN Country Teams and consolidating field-level strategic planning. This stream focusses on coherence, </w:t>
      </w:r>
      <w:proofErr w:type="gramStart"/>
      <w:r w:rsidRPr="00AD3C26">
        <w:rPr>
          <w:rFonts w:cstheme="minorHAnsi"/>
          <w:sz w:val="22"/>
          <w:szCs w:val="22"/>
          <w:lang w:eastAsia="fr-CH"/>
        </w:rPr>
        <w:t>relevance</w:t>
      </w:r>
      <w:proofErr w:type="gramEnd"/>
      <w:r w:rsidRPr="00AD3C26">
        <w:rPr>
          <w:rFonts w:cstheme="minorHAnsi"/>
          <w:sz w:val="22"/>
          <w:szCs w:val="22"/>
          <w:lang w:eastAsia="fr-CH"/>
        </w:rPr>
        <w:t xml:space="preserve"> and impact.</w:t>
      </w:r>
      <w:r w:rsidR="002C3EB6">
        <w:rPr>
          <w:rFonts w:cstheme="minorHAnsi"/>
          <w:sz w:val="22"/>
          <w:szCs w:val="22"/>
          <w:lang w:eastAsia="fr-CH"/>
        </w:rPr>
        <w:t xml:space="preserve"> </w:t>
      </w:r>
      <w:r w:rsidR="006828AD">
        <w:rPr>
          <w:rFonts w:cstheme="minorHAnsi"/>
          <w:sz w:val="22"/>
          <w:szCs w:val="22"/>
          <w:lang w:eastAsia="fr-CH"/>
        </w:rPr>
        <w:t>Most of the recommendations under in this category are broadly agreed with by the Secretariat and their implementation would be within the mandate and purview of ITU management, save for the recommendations in section 1.1.2 and 1.2.1, as noted below.</w:t>
      </w:r>
    </w:p>
    <w:p w14:paraId="10E48E1F" w14:textId="6CBC3B2C" w:rsidR="006828AD" w:rsidRPr="00833535" w:rsidRDefault="00EF4AEC" w:rsidP="00E53477">
      <w:pPr>
        <w:pStyle w:val="ListBullet"/>
        <w:numPr>
          <w:ilvl w:val="0"/>
          <w:numId w:val="0"/>
        </w:numPr>
        <w:spacing w:before="240" w:line="240" w:lineRule="auto"/>
        <w:jc w:val="both"/>
        <w:rPr>
          <w:b/>
          <w:bCs/>
          <w:sz w:val="22"/>
          <w:szCs w:val="22"/>
          <w:lang w:eastAsia="fr-CH"/>
        </w:rPr>
      </w:pPr>
      <w:r w:rsidRPr="00833535">
        <w:rPr>
          <w:b/>
          <w:bCs/>
          <w:sz w:val="22"/>
          <w:szCs w:val="22"/>
          <w:lang w:eastAsia="fr-CH"/>
        </w:rPr>
        <w:t xml:space="preserve">PwC </w:t>
      </w:r>
      <w:r w:rsidR="00BB5744">
        <w:rPr>
          <w:b/>
          <w:bCs/>
          <w:sz w:val="22"/>
          <w:szCs w:val="22"/>
          <w:lang w:eastAsia="fr-CH"/>
        </w:rPr>
        <w:t xml:space="preserve">Recommendation </w:t>
      </w:r>
      <w:r w:rsidR="006828AD" w:rsidRPr="00833535">
        <w:rPr>
          <w:b/>
          <w:bCs/>
          <w:sz w:val="22"/>
          <w:szCs w:val="22"/>
          <w:lang w:eastAsia="fr-CH"/>
        </w:rPr>
        <w:t>1.1.2</w:t>
      </w:r>
      <w:r w:rsidR="00BB5744">
        <w:rPr>
          <w:b/>
          <w:bCs/>
          <w:sz w:val="22"/>
          <w:szCs w:val="22"/>
          <w:lang w:eastAsia="fr-CH"/>
        </w:rPr>
        <w:t>:</w:t>
      </w:r>
      <w:r w:rsidR="00BB5744">
        <w:rPr>
          <w:rFonts w:cstheme="minorHAnsi"/>
          <w:b/>
          <w:bCs/>
          <w:sz w:val="22"/>
          <w:szCs w:val="22"/>
          <w:lang w:eastAsia="fr-CH"/>
        </w:rPr>
        <w:tab/>
      </w:r>
      <w:r w:rsidR="00DC3787" w:rsidRPr="00BB5744">
        <w:rPr>
          <w:b/>
          <w:bCs/>
          <w:sz w:val="22"/>
          <w:szCs w:val="22"/>
          <w:lang w:eastAsia="fr-CH"/>
        </w:rPr>
        <w:t>“</w:t>
      </w:r>
      <w:r w:rsidR="006828AD" w:rsidRPr="00833535">
        <w:rPr>
          <w:b/>
          <w:bCs/>
          <w:sz w:val="22"/>
          <w:szCs w:val="22"/>
          <w:lang w:eastAsia="fr-CH"/>
        </w:rPr>
        <w:t>Confirm the Contribution from Other ITU Sectors</w:t>
      </w:r>
      <w:r w:rsidR="00DC3787" w:rsidRPr="00833535">
        <w:rPr>
          <w:b/>
          <w:bCs/>
          <w:sz w:val="22"/>
          <w:szCs w:val="22"/>
          <w:lang w:eastAsia="fr-CH"/>
        </w:rPr>
        <w:t>”</w:t>
      </w:r>
    </w:p>
    <w:p w14:paraId="435D8DDF" w14:textId="52158D0B" w:rsidR="000F503E" w:rsidRPr="00833535" w:rsidRDefault="00CC6CB0" w:rsidP="00E53477">
      <w:pPr>
        <w:pStyle w:val="ListBullet"/>
        <w:numPr>
          <w:ilvl w:val="0"/>
          <w:numId w:val="0"/>
        </w:numPr>
        <w:spacing w:before="240" w:line="240" w:lineRule="auto"/>
        <w:jc w:val="both"/>
        <w:rPr>
          <w:sz w:val="22"/>
          <w:szCs w:val="22"/>
          <w:lang w:eastAsia="fr-CH"/>
        </w:rPr>
      </w:pPr>
      <w:r w:rsidRPr="00833535">
        <w:rPr>
          <w:sz w:val="22"/>
          <w:szCs w:val="22"/>
          <w:lang w:eastAsia="fr-CH"/>
        </w:rPr>
        <w:t>However</w:t>
      </w:r>
      <w:r w:rsidR="00313D29" w:rsidRPr="00833535">
        <w:rPr>
          <w:sz w:val="22"/>
          <w:szCs w:val="22"/>
          <w:lang w:eastAsia="fr-CH"/>
        </w:rPr>
        <w:t>,</w:t>
      </w:r>
      <w:r w:rsidRPr="00833535">
        <w:rPr>
          <w:sz w:val="22"/>
          <w:szCs w:val="22"/>
          <w:lang w:eastAsia="fr-CH"/>
        </w:rPr>
        <w:t xml:space="preserve"> recommendations </w:t>
      </w:r>
      <w:r w:rsidR="006D5401" w:rsidRPr="00833535">
        <w:rPr>
          <w:sz w:val="22"/>
          <w:szCs w:val="22"/>
          <w:lang w:eastAsia="fr-CH"/>
        </w:rPr>
        <w:t xml:space="preserve">made under section </w:t>
      </w:r>
      <w:r w:rsidRPr="00833535">
        <w:rPr>
          <w:sz w:val="22"/>
          <w:szCs w:val="22"/>
          <w:lang w:eastAsia="fr-CH"/>
        </w:rPr>
        <w:t>1.1.2</w:t>
      </w:r>
      <w:r w:rsidR="00313D29" w:rsidRPr="00833535">
        <w:rPr>
          <w:sz w:val="22"/>
          <w:szCs w:val="22"/>
          <w:lang w:eastAsia="fr-CH"/>
        </w:rPr>
        <w:t>,</w:t>
      </w:r>
      <w:r w:rsidRPr="00833535">
        <w:rPr>
          <w:sz w:val="22"/>
          <w:szCs w:val="22"/>
          <w:lang w:eastAsia="fr-CH"/>
        </w:rPr>
        <w:t xml:space="preserve"> </w:t>
      </w:r>
      <w:r w:rsidR="00490D8E" w:rsidRPr="00833535">
        <w:rPr>
          <w:sz w:val="22"/>
          <w:szCs w:val="22"/>
          <w:lang w:eastAsia="fr-CH"/>
        </w:rPr>
        <w:t xml:space="preserve">relate to cross-sectoral coordination related to the </w:t>
      </w:r>
      <w:r w:rsidR="00DD12F7" w:rsidRPr="00833535">
        <w:rPr>
          <w:sz w:val="22"/>
          <w:szCs w:val="22"/>
          <w:lang w:eastAsia="fr-CH"/>
        </w:rPr>
        <w:t>r</w:t>
      </w:r>
      <w:r w:rsidR="00490D8E" w:rsidRPr="00833535">
        <w:rPr>
          <w:sz w:val="22"/>
          <w:szCs w:val="22"/>
          <w:lang w:eastAsia="fr-CH"/>
        </w:rPr>
        <w:t xml:space="preserve">egional </w:t>
      </w:r>
      <w:r w:rsidR="00DD12F7" w:rsidRPr="00833535">
        <w:rPr>
          <w:sz w:val="22"/>
          <w:szCs w:val="22"/>
          <w:lang w:eastAsia="fr-CH"/>
        </w:rPr>
        <w:t>p</w:t>
      </w:r>
      <w:r w:rsidR="00490D8E" w:rsidRPr="00833535">
        <w:rPr>
          <w:sz w:val="22"/>
          <w:szCs w:val="22"/>
          <w:lang w:eastAsia="fr-CH"/>
        </w:rPr>
        <w:t>resence</w:t>
      </w:r>
      <w:r w:rsidR="005E20A8" w:rsidRPr="00833535">
        <w:rPr>
          <w:sz w:val="22"/>
          <w:szCs w:val="22"/>
          <w:lang w:eastAsia="fr-CH"/>
        </w:rPr>
        <w:t xml:space="preserve">. In this </w:t>
      </w:r>
      <w:r w:rsidR="006828AD" w:rsidRPr="00833535">
        <w:rPr>
          <w:sz w:val="22"/>
          <w:szCs w:val="22"/>
          <w:lang w:eastAsia="fr-CH"/>
        </w:rPr>
        <w:t>section PwC makes recommendations to enhance</w:t>
      </w:r>
      <w:r w:rsidR="005E20A8" w:rsidRPr="00833535">
        <w:rPr>
          <w:sz w:val="22"/>
          <w:szCs w:val="22"/>
          <w:lang w:eastAsia="fr-CH"/>
        </w:rPr>
        <w:t xml:space="preserve"> the </w:t>
      </w:r>
      <w:r w:rsidR="00DD12F7" w:rsidRPr="00833535">
        <w:rPr>
          <w:sz w:val="22"/>
          <w:szCs w:val="22"/>
          <w:lang w:eastAsia="fr-CH"/>
        </w:rPr>
        <w:t>regional presence</w:t>
      </w:r>
      <w:r w:rsidR="005E20A8" w:rsidRPr="00833535">
        <w:rPr>
          <w:sz w:val="22"/>
          <w:szCs w:val="22"/>
          <w:lang w:eastAsia="fr-CH"/>
        </w:rPr>
        <w:t xml:space="preserve"> </w:t>
      </w:r>
      <w:r w:rsidR="006828AD" w:rsidRPr="00833535">
        <w:rPr>
          <w:sz w:val="22"/>
          <w:szCs w:val="22"/>
          <w:lang w:eastAsia="fr-CH"/>
        </w:rPr>
        <w:t>through greater</w:t>
      </w:r>
      <w:r w:rsidR="005E20A8" w:rsidRPr="00833535">
        <w:rPr>
          <w:sz w:val="22"/>
          <w:szCs w:val="22"/>
          <w:lang w:eastAsia="fr-CH"/>
        </w:rPr>
        <w:t xml:space="preserve"> </w:t>
      </w:r>
      <w:r w:rsidR="006828AD" w:rsidRPr="00833535">
        <w:rPr>
          <w:sz w:val="22"/>
          <w:szCs w:val="22"/>
          <w:lang w:eastAsia="fr-CH"/>
        </w:rPr>
        <w:t xml:space="preserve">involvement of the </w:t>
      </w:r>
      <w:r w:rsidR="005E20A8" w:rsidRPr="00833535">
        <w:rPr>
          <w:sz w:val="22"/>
          <w:szCs w:val="22"/>
          <w:lang w:eastAsia="fr-CH"/>
        </w:rPr>
        <w:t xml:space="preserve">Radiocommunications Bureau </w:t>
      </w:r>
      <w:r w:rsidR="006828AD" w:rsidRPr="00833535">
        <w:rPr>
          <w:sz w:val="22"/>
          <w:szCs w:val="22"/>
          <w:lang w:eastAsia="fr-CH"/>
        </w:rPr>
        <w:t xml:space="preserve">(BR) </w:t>
      </w:r>
      <w:r w:rsidR="005E20A8" w:rsidRPr="00833535">
        <w:rPr>
          <w:sz w:val="22"/>
          <w:szCs w:val="22"/>
          <w:lang w:eastAsia="fr-CH"/>
        </w:rPr>
        <w:t>and the Telecommunication Standardisation Bureau</w:t>
      </w:r>
      <w:r w:rsidR="006828AD" w:rsidRPr="00833535">
        <w:rPr>
          <w:sz w:val="22"/>
          <w:szCs w:val="22"/>
          <w:lang w:eastAsia="fr-CH"/>
        </w:rPr>
        <w:t xml:space="preserve"> (TSB)</w:t>
      </w:r>
      <w:r w:rsidR="005E20A8" w:rsidRPr="00833535">
        <w:rPr>
          <w:sz w:val="22"/>
          <w:szCs w:val="22"/>
          <w:lang w:eastAsia="fr-CH"/>
        </w:rPr>
        <w:t xml:space="preserve">, and </w:t>
      </w:r>
      <w:r w:rsidR="006828AD" w:rsidRPr="00833535">
        <w:rPr>
          <w:sz w:val="22"/>
          <w:szCs w:val="22"/>
          <w:lang w:eastAsia="fr-CH"/>
        </w:rPr>
        <w:t xml:space="preserve">by increasing </w:t>
      </w:r>
      <w:r w:rsidR="005E20A8" w:rsidRPr="00833535">
        <w:rPr>
          <w:sz w:val="22"/>
          <w:szCs w:val="22"/>
          <w:lang w:eastAsia="fr-CH"/>
        </w:rPr>
        <w:t>the Regional Offices’</w:t>
      </w:r>
      <w:r w:rsidR="00DD12F7" w:rsidRPr="00833535">
        <w:rPr>
          <w:sz w:val="22"/>
          <w:szCs w:val="22"/>
          <w:lang w:eastAsia="fr-CH"/>
        </w:rPr>
        <w:t xml:space="preserve"> (R</w:t>
      </w:r>
      <w:r w:rsidR="007F133A" w:rsidRPr="00833535">
        <w:rPr>
          <w:sz w:val="22"/>
          <w:szCs w:val="22"/>
          <w:lang w:eastAsia="fr-CH"/>
        </w:rPr>
        <w:t>O</w:t>
      </w:r>
      <w:r w:rsidR="00DD12F7" w:rsidRPr="00833535">
        <w:rPr>
          <w:sz w:val="22"/>
          <w:szCs w:val="22"/>
          <w:lang w:eastAsia="fr-CH"/>
        </w:rPr>
        <w:t>)</w:t>
      </w:r>
      <w:r w:rsidR="005E20A8" w:rsidRPr="00833535">
        <w:rPr>
          <w:sz w:val="22"/>
          <w:szCs w:val="22"/>
          <w:lang w:eastAsia="fr-CH"/>
        </w:rPr>
        <w:t xml:space="preserve"> support to ITU-R and ITU-T</w:t>
      </w:r>
      <w:r w:rsidR="00313D29" w:rsidRPr="00833535">
        <w:rPr>
          <w:sz w:val="22"/>
          <w:szCs w:val="22"/>
          <w:lang w:eastAsia="fr-CH"/>
        </w:rPr>
        <w:t xml:space="preserve">. </w:t>
      </w:r>
      <w:r w:rsidR="006828AD" w:rsidRPr="00833535">
        <w:rPr>
          <w:sz w:val="22"/>
          <w:szCs w:val="22"/>
          <w:lang w:eastAsia="fr-CH"/>
        </w:rPr>
        <w:t>These recommendations</w:t>
      </w:r>
      <w:r w:rsidR="00313D29" w:rsidRPr="00833535">
        <w:rPr>
          <w:sz w:val="22"/>
          <w:szCs w:val="22"/>
          <w:lang w:eastAsia="fr-CH"/>
        </w:rPr>
        <w:t xml:space="preserve"> are</w:t>
      </w:r>
      <w:r w:rsidR="00490D8E" w:rsidRPr="00833535">
        <w:rPr>
          <w:sz w:val="22"/>
          <w:szCs w:val="22"/>
          <w:lang w:eastAsia="fr-CH"/>
        </w:rPr>
        <w:t xml:space="preserve"> referred for consideration of CWG-FHR as </w:t>
      </w:r>
      <w:r w:rsidR="006828AD" w:rsidRPr="00833535">
        <w:rPr>
          <w:sz w:val="22"/>
          <w:szCs w:val="22"/>
          <w:lang w:eastAsia="fr-CH"/>
        </w:rPr>
        <w:t>the Secretariat has not reached full alignment on them,</w:t>
      </w:r>
      <w:r w:rsidR="00490D8E" w:rsidRPr="00833535">
        <w:rPr>
          <w:sz w:val="22"/>
          <w:szCs w:val="22"/>
          <w:lang w:eastAsia="fr-CH"/>
        </w:rPr>
        <w:t xml:space="preserve"> and </w:t>
      </w:r>
      <w:r w:rsidR="006828AD" w:rsidRPr="00833535">
        <w:rPr>
          <w:sz w:val="22"/>
          <w:szCs w:val="22"/>
          <w:lang w:eastAsia="fr-CH"/>
        </w:rPr>
        <w:t xml:space="preserve">they </w:t>
      </w:r>
      <w:r w:rsidR="00313D29" w:rsidRPr="00833535">
        <w:rPr>
          <w:sz w:val="22"/>
          <w:szCs w:val="22"/>
          <w:lang w:eastAsia="fr-CH"/>
        </w:rPr>
        <w:t>would benefit Council</w:t>
      </w:r>
      <w:r w:rsidR="006828AD" w:rsidRPr="00833535">
        <w:rPr>
          <w:sz w:val="22"/>
          <w:szCs w:val="22"/>
          <w:lang w:eastAsia="fr-CH"/>
        </w:rPr>
        <w:t>’s review and guidance/decision</w:t>
      </w:r>
      <w:r w:rsidR="00490D8E" w:rsidRPr="00833535">
        <w:rPr>
          <w:sz w:val="22"/>
          <w:szCs w:val="22"/>
          <w:lang w:eastAsia="fr-CH"/>
        </w:rPr>
        <w:t>.</w:t>
      </w:r>
      <w:r w:rsidR="003B0A76" w:rsidRPr="00BB5744">
        <w:rPr>
          <w:sz w:val="22"/>
          <w:szCs w:val="22"/>
          <w:lang w:eastAsia="fr-CH"/>
        </w:rPr>
        <w:t xml:space="preserve"> </w:t>
      </w:r>
    </w:p>
    <w:p w14:paraId="1F5567C1" w14:textId="1637EAAF" w:rsidR="006828AD" w:rsidRPr="00833535" w:rsidRDefault="003D50E1" w:rsidP="00E53477">
      <w:pPr>
        <w:pStyle w:val="ListBullet"/>
        <w:numPr>
          <w:ilvl w:val="0"/>
          <w:numId w:val="0"/>
        </w:numPr>
        <w:spacing w:before="240" w:line="240" w:lineRule="auto"/>
        <w:jc w:val="both"/>
        <w:rPr>
          <w:rFonts w:eastAsia="Calibri"/>
          <w:sz w:val="22"/>
          <w:szCs w:val="22"/>
        </w:rPr>
      </w:pPr>
      <w:r w:rsidRPr="00833535">
        <w:rPr>
          <w:rFonts w:eastAsia="Calibri"/>
          <w:sz w:val="22"/>
          <w:szCs w:val="22"/>
        </w:rPr>
        <w:t xml:space="preserve">In summary, </w:t>
      </w:r>
      <w:r w:rsidR="006828AD" w:rsidRPr="00833535">
        <w:rPr>
          <w:rFonts w:eastAsia="Calibri"/>
          <w:sz w:val="22"/>
          <w:szCs w:val="22"/>
        </w:rPr>
        <w:t>PWC Recommends the following</w:t>
      </w:r>
      <w:r w:rsidRPr="00833535">
        <w:rPr>
          <w:rFonts w:eastAsia="Calibri"/>
          <w:sz w:val="22"/>
          <w:szCs w:val="22"/>
        </w:rPr>
        <w:t xml:space="preserve"> actions by ITU:</w:t>
      </w:r>
    </w:p>
    <w:p w14:paraId="776A398C" w14:textId="3FE1247B" w:rsidR="003D50E1" w:rsidRPr="00BB5744" w:rsidRDefault="007F133A" w:rsidP="00E53477">
      <w:pPr>
        <w:pStyle w:val="ListParagraph"/>
        <w:numPr>
          <w:ilvl w:val="0"/>
          <w:numId w:val="25"/>
        </w:numPr>
        <w:spacing w:before="240"/>
        <w:rPr>
          <w:rFonts w:asciiTheme="minorHAnsi" w:hAnsiTheme="minorHAnsi" w:cstheme="minorBidi"/>
          <w:sz w:val="22"/>
          <w:szCs w:val="22"/>
        </w:rPr>
      </w:pPr>
      <w:r w:rsidRPr="00833535">
        <w:rPr>
          <w:rFonts w:asciiTheme="minorHAnsi" w:hAnsiTheme="minorHAnsi" w:cstheme="minorBidi"/>
          <w:sz w:val="22"/>
          <w:szCs w:val="22"/>
        </w:rPr>
        <w:t>L</w:t>
      </w:r>
      <w:r w:rsidR="003D50E1" w:rsidRPr="00833535">
        <w:rPr>
          <w:rFonts w:asciiTheme="minorHAnsi" w:hAnsiTheme="minorHAnsi" w:cstheme="minorBidi"/>
          <w:sz w:val="22"/>
          <w:szCs w:val="22"/>
        </w:rPr>
        <w:t xml:space="preserve">ist the expectations for the regional presence across the </w:t>
      </w:r>
      <w:proofErr w:type="gramStart"/>
      <w:r w:rsidR="003D50E1" w:rsidRPr="00833535">
        <w:rPr>
          <w:rFonts w:asciiTheme="minorHAnsi" w:hAnsiTheme="minorHAnsi" w:cstheme="minorBidi"/>
          <w:sz w:val="22"/>
          <w:szCs w:val="22"/>
        </w:rPr>
        <w:t>organisation;</w:t>
      </w:r>
      <w:proofErr w:type="gramEnd"/>
    </w:p>
    <w:p w14:paraId="5F135D3E" w14:textId="530C0EEF" w:rsidR="003D50E1" w:rsidRPr="00BB5744" w:rsidRDefault="007F133A" w:rsidP="00E53477">
      <w:pPr>
        <w:pStyle w:val="ListParagraph"/>
        <w:numPr>
          <w:ilvl w:val="0"/>
          <w:numId w:val="25"/>
        </w:numPr>
        <w:spacing w:before="240"/>
        <w:rPr>
          <w:rFonts w:asciiTheme="minorHAnsi" w:hAnsiTheme="minorHAnsi" w:cstheme="minorBidi"/>
          <w:sz w:val="22"/>
          <w:szCs w:val="22"/>
        </w:rPr>
      </w:pPr>
      <w:r w:rsidRPr="00833535">
        <w:rPr>
          <w:rFonts w:asciiTheme="minorHAnsi" w:hAnsiTheme="minorHAnsi" w:cstheme="minorBidi"/>
          <w:sz w:val="22"/>
          <w:szCs w:val="22"/>
        </w:rPr>
        <w:t>D</w:t>
      </w:r>
      <w:r w:rsidR="003D50E1" w:rsidRPr="00833535">
        <w:rPr>
          <w:rFonts w:asciiTheme="minorHAnsi" w:hAnsiTheme="minorHAnsi" w:cstheme="minorBidi"/>
          <w:sz w:val="22"/>
          <w:szCs w:val="22"/>
        </w:rPr>
        <w:t>efine the type and appropriate level of contribution from each sector; and,</w:t>
      </w:r>
    </w:p>
    <w:p w14:paraId="7A32FFC1" w14:textId="404D7D68" w:rsidR="003D50E1" w:rsidRPr="00BB5744" w:rsidRDefault="007F133A" w:rsidP="00E53477">
      <w:pPr>
        <w:pStyle w:val="ListParagraph"/>
        <w:numPr>
          <w:ilvl w:val="0"/>
          <w:numId w:val="25"/>
        </w:numPr>
        <w:spacing w:before="240"/>
        <w:rPr>
          <w:rFonts w:asciiTheme="minorHAnsi" w:eastAsia="Calibri" w:hAnsiTheme="minorHAnsi" w:cstheme="minorBidi"/>
          <w:sz w:val="22"/>
          <w:szCs w:val="22"/>
        </w:rPr>
      </w:pPr>
      <w:r w:rsidRPr="00833535">
        <w:rPr>
          <w:rFonts w:asciiTheme="minorHAnsi" w:hAnsiTheme="minorHAnsi" w:cstheme="minorBidi"/>
          <w:sz w:val="22"/>
          <w:szCs w:val="22"/>
        </w:rPr>
        <w:t>D</w:t>
      </w:r>
      <w:r w:rsidR="003D50E1" w:rsidRPr="00833535">
        <w:rPr>
          <w:rFonts w:asciiTheme="minorHAnsi" w:hAnsiTheme="minorHAnsi" w:cstheme="minorBidi"/>
          <w:sz w:val="22"/>
          <w:szCs w:val="22"/>
        </w:rPr>
        <w:t>efine and monitor an action plan involving the regional presence.</w:t>
      </w:r>
    </w:p>
    <w:p w14:paraId="1C17CA67" w14:textId="5949A364" w:rsidR="00DD12F7" w:rsidRPr="00833535" w:rsidRDefault="00DD12F7" w:rsidP="00E53477">
      <w:pPr>
        <w:pStyle w:val="ListBullet"/>
        <w:numPr>
          <w:ilvl w:val="0"/>
          <w:numId w:val="0"/>
        </w:numPr>
        <w:spacing w:before="240" w:line="240" w:lineRule="auto"/>
        <w:jc w:val="both"/>
        <w:rPr>
          <w:rFonts w:eastAsia="Calibri"/>
          <w:sz w:val="22"/>
          <w:szCs w:val="22"/>
        </w:rPr>
      </w:pPr>
      <w:r w:rsidRPr="00833535">
        <w:rPr>
          <w:rFonts w:eastAsia="Calibri"/>
          <w:sz w:val="22"/>
          <w:szCs w:val="22"/>
        </w:rPr>
        <w:t xml:space="preserve">The Secretariat agrees that </w:t>
      </w:r>
      <w:r w:rsidR="00824EE1" w:rsidRPr="00833535">
        <w:rPr>
          <w:rFonts w:eastAsia="Calibri"/>
          <w:sz w:val="22"/>
          <w:szCs w:val="22"/>
        </w:rPr>
        <w:t xml:space="preserve">ITU’s regional presence should play a catalytic role that creates a strong connection between the ITU and its membership, supporting </w:t>
      </w:r>
      <w:r w:rsidRPr="00833535">
        <w:rPr>
          <w:rFonts w:eastAsia="Calibri"/>
          <w:sz w:val="22"/>
          <w:szCs w:val="22"/>
        </w:rPr>
        <w:t xml:space="preserve">the </w:t>
      </w:r>
      <w:r w:rsidR="00824EE1" w:rsidRPr="00833535">
        <w:rPr>
          <w:rFonts w:eastAsia="Calibri"/>
          <w:sz w:val="22"/>
          <w:szCs w:val="22"/>
        </w:rPr>
        <w:t>various activities of ITU's international cooperation and coordination</w:t>
      </w:r>
      <w:r w:rsidR="00955172" w:rsidRPr="00833535">
        <w:rPr>
          <w:rFonts w:eastAsia="Calibri"/>
          <w:sz w:val="22"/>
          <w:szCs w:val="22"/>
        </w:rPr>
        <w:t xml:space="preserve">, however PwC’s recommendations suggest the increase of representation in ROs by BR and TSB staff through transfer of staff from Geneva to the ROs. </w:t>
      </w:r>
      <w:r w:rsidRPr="00833535">
        <w:rPr>
          <w:rFonts w:eastAsia="Calibri"/>
          <w:sz w:val="22"/>
          <w:szCs w:val="22"/>
        </w:rPr>
        <w:t xml:space="preserve">In relation to these recommendations, </w:t>
      </w:r>
      <w:r w:rsidR="00955172" w:rsidRPr="00833535">
        <w:rPr>
          <w:rFonts w:eastAsia="Calibri"/>
          <w:sz w:val="22"/>
          <w:szCs w:val="22"/>
        </w:rPr>
        <w:t>concerns</w:t>
      </w:r>
      <w:r w:rsidRPr="00833535">
        <w:rPr>
          <w:rFonts w:eastAsia="Calibri"/>
          <w:sz w:val="22"/>
          <w:szCs w:val="22"/>
        </w:rPr>
        <w:t xml:space="preserve"> raised at the Secretariat level include:</w:t>
      </w:r>
    </w:p>
    <w:p w14:paraId="346DC32F" w14:textId="77777777" w:rsidR="00DD12F7" w:rsidRPr="00BB5744" w:rsidRDefault="00DD12F7" w:rsidP="00E53477">
      <w:pPr>
        <w:pStyle w:val="ListBullet"/>
        <w:numPr>
          <w:ilvl w:val="0"/>
          <w:numId w:val="27"/>
        </w:numPr>
        <w:spacing w:before="240" w:line="240" w:lineRule="auto"/>
        <w:jc w:val="both"/>
        <w:rPr>
          <w:sz w:val="22"/>
          <w:szCs w:val="22"/>
          <w:lang w:eastAsia="fr-CH"/>
        </w:rPr>
      </w:pPr>
      <w:r w:rsidRPr="00833535">
        <w:rPr>
          <w:rFonts w:eastAsia="Calibri"/>
          <w:sz w:val="22"/>
          <w:szCs w:val="22"/>
        </w:rPr>
        <w:lastRenderedPageBreak/>
        <w:t>The</w:t>
      </w:r>
      <w:r w:rsidR="00824EE1" w:rsidRPr="00833535">
        <w:rPr>
          <w:rFonts w:ascii="Calibri" w:eastAsia="Calibri" w:hAnsi="Calibri" w:cs="Calibri"/>
          <w:sz w:val="22"/>
          <w:szCs w:val="22"/>
        </w:rPr>
        <w:t xml:space="preserve"> COVID-19 period has demonstrated</w:t>
      </w:r>
      <w:r w:rsidRPr="00833535">
        <w:rPr>
          <w:rFonts w:ascii="Calibri" w:eastAsia="Calibri" w:hAnsi="Calibri" w:cs="Calibri"/>
          <w:sz w:val="22"/>
          <w:szCs w:val="22"/>
        </w:rPr>
        <w:t xml:space="preserve"> that</w:t>
      </w:r>
      <w:r w:rsidR="00824EE1" w:rsidRPr="00833535">
        <w:rPr>
          <w:rFonts w:ascii="Calibri" w:eastAsia="Calibri" w:hAnsi="Calibri" w:cs="Calibri"/>
          <w:sz w:val="22"/>
          <w:szCs w:val="22"/>
        </w:rPr>
        <w:t xml:space="preserve"> the redeployment of staff from ITU headquarters to the regions is not the only option for increasing the RO's access to technical expertise.</w:t>
      </w:r>
    </w:p>
    <w:p w14:paraId="6B4778A1" w14:textId="77777777" w:rsidR="00DD12F7" w:rsidRPr="00BB5744" w:rsidRDefault="00DD12F7" w:rsidP="00E53477">
      <w:pPr>
        <w:pStyle w:val="ListBullet"/>
        <w:numPr>
          <w:ilvl w:val="0"/>
          <w:numId w:val="27"/>
        </w:numPr>
        <w:spacing w:before="240" w:line="240" w:lineRule="auto"/>
        <w:jc w:val="both"/>
        <w:rPr>
          <w:sz w:val="22"/>
          <w:szCs w:val="22"/>
          <w:lang w:eastAsia="fr-CH"/>
        </w:rPr>
      </w:pPr>
      <w:r w:rsidRPr="00833535">
        <w:rPr>
          <w:rFonts w:eastAsia="Calibri" w:cs="Calibri"/>
          <w:sz w:val="22"/>
          <w:szCs w:val="22"/>
        </w:rPr>
        <w:t>TSB and BR</w:t>
      </w:r>
      <w:r w:rsidR="00824EE1" w:rsidRPr="00833535">
        <w:rPr>
          <w:rFonts w:eastAsia="Calibri" w:cs="Calibri"/>
          <w:sz w:val="22"/>
          <w:szCs w:val="22"/>
        </w:rPr>
        <w:t xml:space="preserve"> are not staffed with generalists who would be sufficiently and broadly expert enough to independently address the wide variety of issues that could arise in the regions.  ITU’s technical staff in </w:t>
      </w:r>
      <w:r w:rsidRPr="00833535">
        <w:rPr>
          <w:rFonts w:eastAsia="Calibri" w:cs="Calibri"/>
          <w:sz w:val="22"/>
          <w:szCs w:val="22"/>
        </w:rPr>
        <w:t>TSB and BR</w:t>
      </w:r>
      <w:r w:rsidR="00824EE1" w:rsidRPr="00833535">
        <w:rPr>
          <w:rFonts w:eastAsia="Calibri" w:cs="Calibri"/>
          <w:sz w:val="22"/>
          <w:szCs w:val="22"/>
        </w:rPr>
        <w:t xml:space="preserve"> have specialized expertise in the different subjects within the mandates of their bureau.  Therefore, </w:t>
      </w:r>
      <w:r w:rsidRPr="00833535">
        <w:rPr>
          <w:rFonts w:eastAsia="Calibri" w:cs="Calibri"/>
          <w:sz w:val="22"/>
          <w:szCs w:val="22"/>
        </w:rPr>
        <w:t>TSB and BR</w:t>
      </w:r>
      <w:r w:rsidR="00824EE1" w:rsidRPr="00833535">
        <w:rPr>
          <w:rFonts w:eastAsia="Calibri" w:cs="Calibri"/>
          <w:sz w:val="22"/>
          <w:szCs w:val="22"/>
        </w:rPr>
        <w:t xml:space="preserve"> believe that it is neither cost effective nor viable to redeploy headquarter</w:t>
      </w:r>
      <w:r w:rsidRPr="00833535">
        <w:rPr>
          <w:rFonts w:eastAsia="Calibri" w:cs="Calibri"/>
          <w:sz w:val="22"/>
          <w:szCs w:val="22"/>
        </w:rPr>
        <w:t>s</w:t>
      </w:r>
      <w:r w:rsidR="00824EE1" w:rsidRPr="00833535">
        <w:rPr>
          <w:rFonts w:eastAsia="Calibri" w:cs="Calibri"/>
          <w:sz w:val="22"/>
          <w:szCs w:val="22"/>
        </w:rPr>
        <w:t xml:space="preserve"> staff to the regions for the purpose of serving in a coordinating or liaison capacity that could be handled by </w:t>
      </w:r>
      <w:r w:rsidRPr="00833535">
        <w:rPr>
          <w:rFonts w:eastAsia="Calibri" w:cs="Calibri"/>
          <w:sz w:val="22"/>
          <w:szCs w:val="22"/>
        </w:rPr>
        <w:t>the Regional Offices’</w:t>
      </w:r>
      <w:r w:rsidR="00824EE1" w:rsidRPr="00833535">
        <w:rPr>
          <w:rFonts w:eastAsia="Calibri" w:cs="Calibri"/>
          <w:sz w:val="22"/>
          <w:szCs w:val="22"/>
        </w:rPr>
        <w:t xml:space="preserve"> regular staff.</w:t>
      </w:r>
      <w:r w:rsidR="00824EE1" w:rsidRPr="00BB5744">
        <w:rPr>
          <w:sz w:val="22"/>
          <w:szCs w:val="22"/>
        </w:rPr>
        <w:t xml:space="preserve"> </w:t>
      </w:r>
    </w:p>
    <w:p w14:paraId="5BCA5D28" w14:textId="77777777" w:rsidR="00955172" w:rsidRPr="00BB5744" w:rsidRDefault="00DD12F7" w:rsidP="00E53477">
      <w:pPr>
        <w:pStyle w:val="ListBullet"/>
        <w:numPr>
          <w:ilvl w:val="0"/>
          <w:numId w:val="27"/>
        </w:numPr>
        <w:spacing w:before="240" w:line="240" w:lineRule="auto"/>
        <w:jc w:val="both"/>
        <w:rPr>
          <w:sz w:val="22"/>
          <w:szCs w:val="22"/>
          <w:lang w:eastAsia="fr-CH"/>
        </w:rPr>
      </w:pPr>
      <w:r w:rsidRPr="00833535">
        <w:rPr>
          <w:sz w:val="22"/>
          <w:szCs w:val="22"/>
        </w:rPr>
        <w:t>TSB and BR believe that their</w:t>
      </w:r>
      <w:r w:rsidR="00824EE1" w:rsidRPr="00833535">
        <w:rPr>
          <w:sz w:val="22"/>
          <w:szCs w:val="22"/>
        </w:rPr>
        <w:t xml:space="preserve"> contributions to enhanced regional presence could be better achieved by increasing their staffing of technical specialist in key areas in telecommunications and radiocommunications (</w:t>
      </w:r>
      <w:proofErr w:type="gramStart"/>
      <w:r w:rsidR="00824EE1" w:rsidRPr="00833535">
        <w:rPr>
          <w:sz w:val="22"/>
          <w:szCs w:val="22"/>
        </w:rPr>
        <w:t>e.g.</w:t>
      </w:r>
      <w:proofErr w:type="gramEnd"/>
      <w:r w:rsidR="00824EE1" w:rsidRPr="00833535">
        <w:rPr>
          <w:sz w:val="22"/>
          <w:szCs w:val="22"/>
        </w:rPr>
        <w:t xml:space="preserve"> spectrum monitoring, transition from Analog to Digital TV, mobile communications), respectively, and having them dedicated to providing the ROs with capacity-building and technical support.  To ensure that these experts are available to support activities in any of the ROs, they should be located in Geneva. Such staff could be called upon to provide technical advice and guidance for projects anywhere in the world within their areas of expertise.  Such staff would also attend and support the relevant ITU Study Groups within their area of expertise and facilitate knowledge transfer to the regions in the areas under study in the ITU-R and ITU-T.  This would significantly contribute to the capacity-building activities carried out by their </w:t>
      </w:r>
      <w:r w:rsidR="000448D9" w:rsidRPr="00833535">
        <w:rPr>
          <w:sz w:val="22"/>
          <w:szCs w:val="22"/>
        </w:rPr>
        <w:t>B</w:t>
      </w:r>
      <w:r w:rsidR="00824EE1" w:rsidRPr="00833535">
        <w:rPr>
          <w:sz w:val="22"/>
          <w:szCs w:val="22"/>
        </w:rPr>
        <w:t>ureaux at the regional and global levels.</w:t>
      </w:r>
      <w:r w:rsidR="00824EE1" w:rsidRPr="00BB5744">
        <w:rPr>
          <w:sz w:val="22"/>
          <w:szCs w:val="22"/>
        </w:rPr>
        <w:t xml:space="preserve">  </w:t>
      </w:r>
    </w:p>
    <w:p w14:paraId="66211622" w14:textId="77777777" w:rsidR="00955172" w:rsidRPr="00BB5744" w:rsidRDefault="00824EE1" w:rsidP="00E53477">
      <w:pPr>
        <w:pStyle w:val="ListBullet"/>
        <w:numPr>
          <w:ilvl w:val="0"/>
          <w:numId w:val="27"/>
        </w:numPr>
        <w:spacing w:before="240" w:line="240" w:lineRule="auto"/>
        <w:jc w:val="both"/>
        <w:rPr>
          <w:sz w:val="22"/>
          <w:szCs w:val="22"/>
          <w:lang w:eastAsia="fr-CH"/>
        </w:rPr>
      </w:pPr>
      <w:r w:rsidRPr="00833535">
        <w:rPr>
          <w:sz w:val="22"/>
          <w:szCs w:val="22"/>
        </w:rPr>
        <w:t xml:space="preserve">ITU could also explore a model of establishing joint teams (RO + HQ Bureau staff) on specific topics to bring awareness and expertise closer to the regions. </w:t>
      </w:r>
      <w:r w:rsidR="000448D9" w:rsidRPr="00833535">
        <w:rPr>
          <w:sz w:val="22"/>
          <w:szCs w:val="22"/>
        </w:rPr>
        <w:t xml:space="preserve">It is suggested that this could be achieved in a similar way to </w:t>
      </w:r>
      <w:r w:rsidRPr="00833535">
        <w:rPr>
          <w:sz w:val="22"/>
          <w:szCs w:val="22"/>
        </w:rPr>
        <w:t>BDT</w:t>
      </w:r>
      <w:r w:rsidR="000448D9" w:rsidRPr="00833535">
        <w:rPr>
          <w:sz w:val="22"/>
          <w:szCs w:val="22"/>
        </w:rPr>
        <w:t>’s establishment of</w:t>
      </w:r>
      <w:r w:rsidRPr="00833535">
        <w:rPr>
          <w:sz w:val="22"/>
          <w:szCs w:val="22"/>
        </w:rPr>
        <w:t xml:space="preserve"> thematic networks, composed of HQ-based and regional staff.  As these network assignments are expected to be stable over time, regional staff will build stronger technical expertise through this mechanism, as technical training will be provided to the networks,</w:t>
      </w:r>
      <w:r w:rsidRPr="00BB5744">
        <w:rPr>
          <w:sz w:val="22"/>
          <w:szCs w:val="22"/>
        </w:rPr>
        <w:t xml:space="preserve"> </w:t>
      </w:r>
    </w:p>
    <w:p w14:paraId="61453E2C" w14:textId="790E1BC6" w:rsidR="00824EE1" w:rsidRPr="00BB5744" w:rsidRDefault="00955172" w:rsidP="00E53477">
      <w:pPr>
        <w:pStyle w:val="ListBullet"/>
        <w:numPr>
          <w:ilvl w:val="0"/>
          <w:numId w:val="27"/>
        </w:numPr>
        <w:spacing w:before="240" w:line="240" w:lineRule="auto"/>
        <w:jc w:val="both"/>
        <w:rPr>
          <w:sz w:val="22"/>
          <w:szCs w:val="22"/>
          <w:lang w:eastAsia="fr-CH"/>
        </w:rPr>
      </w:pPr>
      <w:r w:rsidRPr="00833535">
        <w:rPr>
          <w:sz w:val="22"/>
          <w:szCs w:val="22"/>
        </w:rPr>
        <w:t>It is noted that</w:t>
      </w:r>
      <w:r w:rsidR="00824EE1" w:rsidRPr="00833535">
        <w:rPr>
          <w:sz w:val="22"/>
          <w:szCs w:val="22"/>
        </w:rPr>
        <w:t xml:space="preserve"> ITU has strengthen</w:t>
      </w:r>
      <w:r w:rsidRPr="00833535">
        <w:rPr>
          <w:sz w:val="22"/>
          <w:szCs w:val="22"/>
        </w:rPr>
        <w:t>ed</w:t>
      </w:r>
      <w:r w:rsidR="00824EE1" w:rsidRPr="00833535">
        <w:rPr>
          <w:sz w:val="22"/>
          <w:szCs w:val="22"/>
        </w:rPr>
        <w:t xml:space="preserve"> its connectivity with the field offices and physical distance is no longer a hindrance in terms of internal coordination, and information and expertise sharing.</w:t>
      </w:r>
    </w:p>
    <w:p w14:paraId="2D4C8313" w14:textId="7A35A8F3" w:rsidR="00955172" w:rsidRPr="00833535" w:rsidRDefault="00955172" w:rsidP="00E53477">
      <w:pPr>
        <w:pStyle w:val="ListBullet"/>
        <w:numPr>
          <w:ilvl w:val="0"/>
          <w:numId w:val="0"/>
        </w:numPr>
        <w:spacing w:before="240" w:line="240" w:lineRule="auto"/>
        <w:jc w:val="both"/>
        <w:rPr>
          <w:sz w:val="22"/>
          <w:szCs w:val="22"/>
          <w:lang w:eastAsia="fr-CH"/>
        </w:rPr>
      </w:pPr>
      <w:r w:rsidRPr="00833535">
        <w:rPr>
          <w:sz w:val="22"/>
          <w:szCs w:val="22"/>
        </w:rPr>
        <w:t>Based on the foregoing concerns and views, it is suggested that CWG-FHR should consider these recommendations in detail and report to Council.</w:t>
      </w:r>
    </w:p>
    <w:p w14:paraId="1C757E26" w14:textId="7C70225E" w:rsidR="00D434D6" w:rsidRPr="00862573" w:rsidRDefault="00201556" w:rsidP="00E53477">
      <w:pPr>
        <w:pStyle w:val="ListBullet"/>
        <w:numPr>
          <w:ilvl w:val="0"/>
          <w:numId w:val="0"/>
        </w:numPr>
        <w:spacing w:before="240" w:line="240" w:lineRule="auto"/>
        <w:jc w:val="both"/>
        <w:rPr>
          <w:rFonts w:cstheme="minorHAnsi"/>
          <w:b/>
          <w:bCs/>
          <w:sz w:val="22"/>
          <w:szCs w:val="22"/>
          <w:lang w:eastAsia="fr-CH"/>
        </w:rPr>
      </w:pPr>
      <w:r w:rsidRPr="008254DF">
        <w:rPr>
          <w:b/>
          <w:bCs/>
          <w:sz w:val="22"/>
          <w:szCs w:val="22"/>
          <w:lang w:eastAsia="fr-CH"/>
        </w:rPr>
        <w:t xml:space="preserve">PwC </w:t>
      </w:r>
      <w:r>
        <w:rPr>
          <w:b/>
          <w:bCs/>
          <w:sz w:val="22"/>
          <w:szCs w:val="22"/>
          <w:lang w:eastAsia="fr-CH"/>
        </w:rPr>
        <w:t xml:space="preserve">Recommendation </w:t>
      </w:r>
      <w:r w:rsidR="00DA59C8" w:rsidRPr="00BB5744">
        <w:rPr>
          <w:rFonts w:cstheme="minorHAnsi"/>
          <w:b/>
          <w:bCs/>
          <w:sz w:val="22"/>
          <w:szCs w:val="22"/>
          <w:lang w:eastAsia="fr-CH"/>
        </w:rPr>
        <w:t>1.2.1</w:t>
      </w:r>
      <w:r>
        <w:rPr>
          <w:rFonts w:cstheme="minorHAnsi"/>
          <w:b/>
          <w:bCs/>
          <w:sz w:val="22"/>
          <w:szCs w:val="22"/>
          <w:lang w:eastAsia="fr-CH"/>
        </w:rPr>
        <w:t>:</w:t>
      </w:r>
      <w:r w:rsidR="00862573" w:rsidRPr="00BB5744">
        <w:rPr>
          <w:rFonts w:cstheme="minorHAnsi"/>
          <w:b/>
          <w:bCs/>
          <w:sz w:val="22"/>
          <w:szCs w:val="22"/>
          <w:lang w:eastAsia="fr-CH"/>
        </w:rPr>
        <w:tab/>
      </w:r>
      <w:r w:rsidR="00DC3787" w:rsidRPr="00BB5744">
        <w:rPr>
          <w:rFonts w:cstheme="minorHAnsi"/>
          <w:b/>
          <w:bCs/>
          <w:sz w:val="22"/>
          <w:szCs w:val="22"/>
          <w:lang w:eastAsia="fr-CH"/>
        </w:rPr>
        <w:t>“</w:t>
      </w:r>
      <w:r w:rsidR="00862573" w:rsidRPr="00BB5744">
        <w:rPr>
          <w:rFonts w:ascii="Calibri" w:hAnsi="Calibri"/>
          <w:b/>
          <w:bCs/>
          <w:color w:val="000000"/>
          <w:sz w:val="22"/>
          <w:szCs w:val="22"/>
          <w:shd w:val="clear" w:color="auto" w:fill="FFFFFF"/>
        </w:rPr>
        <w:t>Develop</w:t>
      </w:r>
      <w:r w:rsidR="00862573" w:rsidRPr="00862573">
        <w:rPr>
          <w:rFonts w:ascii="Calibri" w:hAnsi="Calibri"/>
          <w:b/>
          <w:bCs/>
          <w:color w:val="000000"/>
          <w:sz w:val="22"/>
          <w:szCs w:val="22"/>
          <w:shd w:val="clear" w:color="auto" w:fill="FFFFFF"/>
        </w:rPr>
        <w:t xml:space="preserve"> a consistent strategic framework across the Organization</w:t>
      </w:r>
      <w:r w:rsidR="00DC3787">
        <w:rPr>
          <w:rFonts w:ascii="Calibri" w:hAnsi="Calibri"/>
          <w:b/>
          <w:bCs/>
          <w:color w:val="000000"/>
          <w:sz w:val="22"/>
          <w:szCs w:val="22"/>
          <w:shd w:val="clear" w:color="auto" w:fill="FFFFFF"/>
        </w:rPr>
        <w:t>”</w:t>
      </w:r>
    </w:p>
    <w:p w14:paraId="5740797D" w14:textId="60B3F1AA" w:rsidR="00462A36" w:rsidRPr="00B47220" w:rsidRDefault="00040D8D" w:rsidP="00E53477">
      <w:pPr>
        <w:pStyle w:val="Default"/>
        <w:jc w:val="both"/>
        <w:rPr>
          <w:rFonts w:asciiTheme="minorHAnsi" w:hAnsiTheme="minorHAnsi"/>
          <w:sz w:val="22"/>
          <w:szCs w:val="22"/>
        </w:rPr>
      </w:pPr>
      <w:r w:rsidRPr="00B47220">
        <w:rPr>
          <w:rFonts w:asciiTheme="minorHAnsi" w:hAnsiTheme="minorHAnsi"/>
          <w:sz w:val="22"/>
          <w:szCs w:val="22"/>
        </w:rPr>
        <w:t xml:space="preserve">This </w:t>
      </w:r>
      <w:r w:rsidR="00F21C47">
        <w:rPr>
          <w:rFonts w:asciiTheme="minorHAnsi" w:hAnsiTheme="minorHAnsi"/>
          <w:sz w:val="22"/>
          <w:szCs w:val="22"/>
        </w:rPr>
        <w:t>group of recommendations</w:t>
      </w:r>
      <w:r w:rsidRPr="00B47220">
        <w:rPr>
          <w:rFonts w:asciiTheme="minorHAnsi" w:hAnsiTheme="minorHAnsi"/>
          <w:sz w:val="22"/>
          <w:szCs w:val="22"/>
        </w:rPr>
        <w:t xml:space="preserve"> </w:t>
      </w:r>
      <w:r w:rsidR="00F21C47">
        <w:rPr>
          <w:rFonts w:asciiTheme="minorHAnsi" w:hAnsiTheme="minorHAnsi"/>
          <w:sz w:val="22"/>
          <w:szCs w:val="22"/>
        </w:rPr>
        <w:t>seek</w:t>
      </w:r>
      <w:r w:rsidR="00DC3787">
        <w:rPr>
          <w:rFonts w:asciiTheme="minorHAnsi" w:hAnsiTheme="minorHAnsi"/>
          <w:sz w:val="22"/>
          <w:szCs w:val="22"/>
        </w:rPr>
        <w:t>s</w:t>
      </w:r>
      <w:r w:rsidR="00F21C47">
        <w:rPr>
          <w:rFonts w:asciiTheme="minorHAnsi" w:hAnsiTheme="minorHAnsi"/>
          <w:sz w:val="22"/>
          <w:szCs w:val="22"/>
        </w:rPr>
        <w:t xml:space="preserve"> to address</w:t>
      </w:r>
      <w:r w:rsidRPr="00B47220">
        <w:rPr>
          <w:rFonts w:asciiTheme="minorHAnsi" w:hAnsiTheme="minorHAnsi"/>
          <w:sz w:val="22"/>
          <w:szCs w:val="22"/>
        </w:rPr>
        <w:t xml:space="preserve"> PwC’s </w:t>
      </w:r>
      <w:r w:rsidR="00F21C47">
        <w:rPr>
          <w:rFonts w:asciiTheme="minorHAnsi" w:hAnsiTheme="minorHAnsi"/>
          <w:sz w:val="22"/>
          <w:szCs w:val="22"/>
        </w:rPr>
        <w:t>findings</w:t>
      </w:r>
      <w:r w:rsidRPr="00B47220">
        <w:rPr>
          <w:rFonts w:asciiTheme="minorHAnsi" w:hAnsiTheme="minorHAnsi"/>
          <w:sz w:val="22"/>
          <w:szCs w:val="22"/>
        </w:rPr>
        <w:t xml:space="preserve"> that the regional </w:t>
      </w:r>
      <w:r w:rsidR="00185EA0" w:rsidRPr="00B47220">
        <w:rPr>
          <w:rFonts w:asciiTheme="minorHAnsi" w:hAnsiTheme="minorHAnsi"/>
          <w:sz w:val="22"/>
          <w:szCs w:val="22"/>
        </w:rPr>
        <w:t xml:space="preserve">presence should work based on </w:t>
      </w:r>
      <w:r w:rsidR="00462A36" w:rsidRPr="00B47220">
        <w:rPr>
          <w:rFonts w:asciiTheme="minorHAnsi" w:hAnsiTheme="minorHAnsi"/>
          <w:sz w:val="22"/>
          <w:szCs w:val="22"/>
        </w:rPr>
        <w:t>a consistent, time-bound strategy articulating core priorities that are validated by ITU Members at the regional level, based on the collection of data and intelligence, a thorough assessment of country-level needs in the region and an analysis of ITU's comparative advantage</w:t>
      </w:r>
      <w:r w:rsidR="00185EA0" w:rsidRPr="00B47220">
        <w:rPr>
          <w:rFonts w:asciiTheme="minorHAnsi" w:hAnsiTheme="minorHAnsi"/>
          <w:sz w:val="22"/>
          <w:szCs w:val="22"/>
        </w:rPr>
        <w:t>.</w:t>
      </w:r>
    </w:p>
    <w:p w14:paraId="2F97677F" w14:textId="3659F1BC" w:rsidR="00B1123A" w:rsidRPr="00B47220" w:rsidRDefault="00185EA0" w:rsidP="00E53477">
      <w:pPr>
        <w:pStyle w:val="Default"/>
        <w:spacing w:before="240"/>
        <w:jc w:val="both"/>
        <w:rPr>
          <w:rFonts w:asciiTheme="minorHAnsi" w:hAnsiTheme="minorHAnsi"/>
          <w:sz w:val="22"/>
          <w:szCs w:val="22"/>
        </w:rPr>
      </w:pPr>
      <w:r w:rsidRPr="00B47220">
        <w:rPr>
          <w:rFonts w:asciiTheme="minorHAnsi" w:hAnsiTheme="minorHAnsi"/>
          <w:sz w:val="22"/>
          <w:szCs w:val="22"/>
        </w:rPr>
        <w:t>PwC notes that this</w:t>
      </w:r>
      <w:r w:rsidR="00B1123A" w:rsidRPr="00B47220">
        <w:rPr>
          <w:rFonts w:asciiTheme="minorHAnsi" w:hAnsiTheme="minorHAnsi"/>
          <w:sz w:val="22"/>
          <w:szCs w:val="22"/>
        </w:rPr>
        <w:t xml:space="preserve"> requires a better structure </w:t>
      </w:r>
      <w:r w:rsidR="00937561">
        <w:rPr>
          <w:rFonts w:asciiTheme="minorHAnsi" w:hAnsiTheme="minorHAnsi"/>
          <w:sz w:val="22"/>
          <w:szCs w:val="22"/>
        </w:rPr>
        <w:t>for</w:t>
      </w:r>
      <w:r w:rsidR="00B1123A" w:rsidRPr="00B47220">
        <w:rPr>
          <w:rFonts w:asciiTheme="minorHAnsi" w:hAnsiTheme="minorHAnsi"/>
          <w:sz w:val="22"/>
          <w:szCs w:val="22"/>
        </w:rPr>
        <w:t xml:space="preserve"> the WTDC Action Plan and the Strategic Plan. </w:t>
      </w:r>
      <w:r w:rsidR="00B47220" w:rsidRPr="00B47220">
        <w:rPr>
          <w:rFonts w:asciiTheme="minorHAnsi" w:hAnsiTheme="minorHAnsi"/>
          <w:sz w:val="22"/>
          <w:szCs w:val="22"/>
        </w:rPr>
        <w:t>PwC notes that there</w:t>
      </w:r>
      <w:r w:rsidR="00B1123A" w:rsidRPr="00B47220">
        <w:rPr>
          <w:rFonts w:asciiTheme="minorHAnsi" w:hAnsiTheme="minorHAnsi"/>
          <w:sz w:val="22"/>
          <w:szCs w:val="22"/>
        </w:rPr>
        <w:t xml:space="preserve"> should be only one results framework applicable at a given time, based on one set of limited priorities that the WTDC can contribute to defining. </w:t>
      </w:r>
      <w:r w:rsidR="00B47220" w:rsidRPr="00B47220">
        <w:rPr>
          <w:rFonts w:asciiTheme="minorHAnsi" w:hAnsiTheme="minorHAnsi"/>
          <w:sz w:val="22"/>
          <w:szCs w:val="22"/>
        </w:rPr>
        <w:t>PwC has recommended a</w:t>
      </w:r>
      <w:r w:rsidR="00B1123A" w:rsidRPr="00B47220">
        <w:rPr>
          <w:rFonts w:asciiTheme="minorHAnsi" w:hAnsiTheme="minorHAnsi"/>
          <w:sz w:val="22"/>
          <w:szCs w:val="22"/>
        </w:rPr>
        <w:t xml:space="preserve"> review </w:t>
      </w:r>
      <w:r w:rsidR="00B47220" w:rsidRPr="00B47220">
        <w:rPr>
          <w:rFonts w:asciiTheme="minorHAnsi" w:hAnsiTheme="minorHAnsi"/>
          <w:sz w:val="22"/>
          <w:szCs w:val="22"/>
        </w:rPr>
        <w:t xml:space="preserve">of </w:t>
      </w:r>
      <w:r w:rsidR="00B1123A" w:rsidRPr="00B47220">
        <w:rPr>
          <w:rFonts w:asciiTheme="minorHAnsi" w:hAnsiTheme="minorHAnsi"/>
          <w:sz w:val="22"/>
          <w:szCs w:val="22"/>
        </w:rPr>
        <w:t xml:space="preserve">the format and/or the outputs of the WTDC </w:t>
      </w:r>
      <w:r w:rsidR="00937561" w:rsidRPr="00B47220">
        <w:rPr>
          <w:rFonts w:asciiTheme="minorHAnsi" w:hAnsiTheme="minorHAnsi"/>
          <w:sz w:val="22"/>
          <w:szCs w:val="22"/>
        </w:rPr>
        <w:t>regarding</w:t>
      </w:r>
      <w:r w:rsidR="00B1123A" w:rsidRPr="00B47220">
        <w:rPr>
          <w:rFonts w:asciiTheme="minorHAnsi" w:hAnsiTheme="minorHAnsi"/>
          <w:sz w:val="22"/>
          <w:szCs w:val="22"/>
        </w:rPr>
        <w:t xml:space="preserve"> the Plenipotentiary Conference. The WTDC should </w:t>
      </w:r>
      <w:r w:rsidR="00937561" w:rsidRPr="00B47220">
        <w:rPr>
          <w:rFonts w:asciiTheme="minorHAnsi" w:hAnsiTheme="minorHAnsi"/>
          <w:sz w:val="22"/>
          <w:szCs w:val="22"/>
        </w:rPr>
        <w:t>be</w:t>
      </w:r>
      <w:r w:rsidR="00B1123A" w:rsidRPr="00B47220">
        <w:rPr>
          <w:rFonts w:asciiTheme="minorHAnsi" w:hAnsiTheme="minorHAnsi"/>
          <w:sz w:val="22"/>
          <w:szCs w:val="22"/>
        </w:rPr>
        <w:t xml:space="preserve"> an opportunity for 1) a review of the implementation of the Strategic Plan, 2) the preparation of the next Strategic Plan and 3) the mobilisation of potential partners in discussions that cannot take place in the context of the Plenipotentiary Conference. It should not, however, set additional priorities or extend those defined through the Strategic Plan adopted in the Plenipotentiary. </w:t>
      </w:r>
    </w:p>
    <w:p w14:paraId="6EDEF068" w14:textId="7CA15650" w:rsidR="00127D8D" w:rsidRDefault="00B47220" w:rsidP="00E53477">
      <w:pPr>
        <w:jc w:val="both"/>
        <w:rPr>
          <w:rFonts w:asciiTheme="minorHAnsi" w:hAnsiTheme="minorHAnsi"/>
          <w:sz w:val="22"/>
          <w:szCs w:val="22"/>
        </w:rPr>
      </w:pPr>
      <w:r w:rsidRPr="00B47220">
        <w:rPr>
          <w:rFonts w:asciiTheme="minorHAnsi" w:hAnsiTheme="minorHAnsi"/>
          <w:sz w:val="22"/>
          <w:szCs w:val="22"/>
        </w:rPr>
        <w:lastRenderedPageBreak/>
        <w:t>PwC has recommended that t</w:t>
      </w:r>
      <w:r w:rsidR="00B1123A" w:rsidRPr="00B47220">
        <w:rPr>
          <w:rFonts w:asciiTheme="minorHAnsi" w:hAnsiTheme="minorHAnsi"/>
          <w:sz w:val="22"/>
          <w:szCs w:val="22"/>
        </w:rPr>
        <w:t>he next WTDC</w:t>
      </w:r>
      <w:r w:rsidRPr="00B47220">
        <w:rPr>
          <w:rFonts w:asciiTheme="minorHAnsi" w:hAnsiTheme="minorHAnsi"/>
          <w:sz w:val="22"/>
          <w:szCs w:val="22"/>
        </w:rPr>
        <w:t xml:space="preserve"> be used as</w:t>
      </w:r>
      <w:r w:rsidR="00B1123A" w:rsidRPr="00B47220">
        <w:rPr>
          <w:rFonts w:asciiTheme="minorHAnsi" w:hAnsiTheme="minorHAnsi"/>
          <w:sz w:val="22"/>
          <w:szCs w:val="22"/>
        </w:rPr>
        <w:t xml:space="preserve"> an opportunity for a paradigm shift in the current approach to strategic planning. A key objective should be to simplify the results framework and to reduce the number of priorities to the core results that ITU can deliver within its current level of resources. </w:t>
      </w:r>
    </w:p>
    <w:p w14:paraId="2D65638E" w14:textId="77777777" w:rsidR="00FB5F95" w:rsidRDefault="00241756" w:rsidP="00E53477">
      <w:pPr>
        <w:jc w:val="both"/>
        <w:rPr>
          <w:sz w:val="22"/>
          <w:szCs w:val="22"/>
        </w:rPr>
      </w:pPr>
      <w:r>
        <w:rPr>
          <w:sz w:val="22"/>
          <w:szCs w:val="22"/>
        </w:rPr>
        <w:t xml:space="preserve">The Secretariat agrees that a review of the Strategic and Planning Framework would result in better alignment with the RBM approach already being implemented by BDT, and would make for more effective, </w:t>
      </w:r>
      <w:proofErr w:type="gramStart"/>
      <w:r>
        <w:rPr>
          <w:sz w:val="22"/>
          <w:szCs w:val="22"/>
        </w:rPr>
        <w:t>focussed</w:t>
      </w:r>
      <w:proofErr w:type="gramEnd"/>
      <w:r>
        <w:rPr>
          <w:sz w:val="22"/>
          <w:szCs w:val="22"/>
        </w:rPr>
        <w:t xml:space="preserve"> </w:t>
      </w:r>
      <w:r w:rsidR="00BC61F4">
        <w:rPr>
          <w:sz w:val="22"/>
          <w:szCs w:val="22"/>
        </w:rPr>
        <w:t>and achievable targets for the ROs. The Secretariat notes the d</w:t>
      </w:r>
      <w:r w:rsidR="00F21C47" w:rsidRPr="00241756">
        <w:rPr>
          <w:sz w:val="22"/>
          <w:szCs w:val="22"/>
        </w:rPr>
        <w:t xml:space="preserve">iscussions </w:t>
      </w:r>
      <w:r w:rsidR="00BC61F4">
        <w:rPr>
          <w:sz w:val="22"/>
          <w:szCs w:val="22"/>
        </w:rPr>
        <w:t>underway by membership in the Working Groups established by TDAG</w:t>
      </w:r>
      <w:r w:rsidR="00F17477">
        <w:rPr>
          <w:sz w:val="22"/>
          <w:szCs w:val="22"/>
        </w:rPr>
        <w:t xml:space="preserve"> (TDAG-WG-Prep, TDAG-WG-RDTP and TDAG-WG-SOP) which could help in achieving these reforms. </w:t>
      </w:r>
    </w:p>
    <w:p w14:paraId="6F1B53F9" w14:textId="35BA8CCF" w:rsidR="00F21C47" w:rsidRPr="00241756" w:rsidRDefault="00F17477" w:rsidP="00E53477">
      <w:pPr>
        <w:jc w:val="both"/>
        <w:rPr>
          <w:rFonts w:eastAsia="Calibri"/>
          <w:sz w:val="22"/>
          <w:szCs w:val="22"/>
          <w:highlight w:val="cyan"/>
        </w:rPr>
      </w:pPr>
      <w:r>
        <w:rPr>
          <w:sz w:val="22"/>
          <w:szCs w:val="22"/>
        </w:rPr>
        <w:t xml:space="preserve">The Secretariat notes, however, that these matters would require significant </w:t>
      </w:r>
      <w:r w:rsidR="00FB5F95">
        <w:rPr>
          <w:sz w:val="22"/>
          <w:szCs w:val="22"/>
        </w:rPr>
        <w:t xml:space="preserve">revision of Council working methods related to the ITU Strategic and Operational </w:t>
      </w:r>
      <w:r w:rsidR="004811EA">
        <w:rPr>
          <w:sz w:val="22"/>
          <w:szCs w:val="22"/>
        </w:rPr>
        <w:t>Plans and</w:t>
      </w:r>
      <w:r w:rsidR="00FB5F95">
        <w:rPr>
          <w:sz w:val="22"/>
          <w:szCs w:val="22"/>
        </w:rPr>
        <w:t xml:space="preserve"> suggests that this matter could be a focus for the CWG-FHR.</w:t>
      </w:r>
    </w:p>
    <w:p w14:paraId="1AF7F8BE" w14:textId="622E3A3B" w:rsidR="00127D8D" w:rsidRPr="00DF0FD5" w:rsidRDefault="00127D8D" w:rsidP="00E53477">
      <w:pPr>
        <w:pStyle w:val="ListBullet"/>
        <w:numPr>
          <w:ilvl w:val="0"/>
          <w:numId w:val="24"/>
        </w:numPr>
        <w:spacing w:before="240" w:line="240" w:lineRule="auto"/>
        <w:jc w:val="both"/>
        <w:rPr>
          <w:rFonts w:cstheme="minorHAnsi"/>
          <w:b/>
          <w:bCs/>
          <w:sz w:val="22"/>
          <w:szCs w:val="22"/>
          <w:lang w:eastAsia="fr-CH"/>
        </w:rPr>
      </w:pPr>
      <w:r w:rsidRPr="00DF0FD5">
        <w:rPr>
          <w:rFonts w:cstheme="minorHAnsi"/>
          <w:b/>
          <w:bCs/>
          <w:sz w:val="22"/>
          <w:szCs w:val="22"/>
          <w:lang w:eastAsia="fr-CH"/>
        </w:rPr>
        <w:t>Internal Coordination</w:t>
      </w:r>
    </w:p>
    <w:p w14:paraId="360E5057" w14:textId="77777777" w:rsidR="00127D8D" w:rsidRDefault="00127D8D" w:rsidP="00E53477">
      <w:pPr>
        <w:pStyle w:val="ListBullet"/>
        <w:numPr>
          <w:ilvl w:val="0"/>
          <w:numId w:val="0"/>
        </w:numPr>
        <w:spacing w:before="240" w:line="240" w:lineRule="auto"/>
        <w:jc w:val="both"/>
        <w:rPr>
          <w:rFonts w:cstheme="minorHAnsi"/>
          <w:sz w:val="22"/>
          <w:szCs w:val="22"/>
          <w:lang w:eastAsia="fr-CH"/>
        </w:rPr>
      </w:pPr>
      <w:r w:rsidRPr="00AD3C26">
        <w:rPr>
          <w:rFonts w:cstheme="minorHAnsi"/>
          <w:sz w:val="22"/>
          <w:szCs w:val="22"/>
          <w:lang w:eastAsia="fr-CH"/>
        </w:rPr>
        <w:t>The internal coordination mechanisms stream focusses on the implementation of outstanding recommendations from the Internal Auditor, External Auditor and IMAC, the performance of institutional systems, enabling processes and the ability to reach out to the membership and potential partners. This stream focusses on controls and efficiency.</w:t>
      </w:r>
    </w:p>
    <w:p w14:paraId="7A903018" w14:textId="29450092" w:rsidR="00127D8D" w:rsidRPr="00AD3C26" w:rsidRDefault="004B67B1" w:rsidP="00E53477">
      <w:pPr>
        <w:pStyle w:val="ListBullet"/>
        <w:numPr>
          <w:ilvl w:val="0"/>
          <w:numId w:val="0"/>
        </w:numPr>
        <w:spacing w:before="240" w:line="240" w:lineRule="auto"/>
        <w:jc w:val="both"/>
        <w:rPr>
          <w:rFonts w:cstheme="minorHAnsi"/>
          <w:sz w:val="22"/>
          <w:szCs w:val="22"/>
          <w:lang w:eastAsia="fr-CH"/>
        </w:rPr>
      </w:pPr>
      <w:r>
        <w:rPr>
          <w:rFonts w:cstheme="minorHAnsi"/>
          <w:sz w:val="22"/>
          <w:szCs w:val="22"/>
          <w:lang w:eastAsia="fr-CH"/>
        </w:rPr>
        <w:t xml:space="preserve">The recommendations made in respect of Internal Coordination are all </w:t>
      </w:r>
      <w:r w:rsidR="00A736C9">
        <w:rPr>
          <w:rFonts w:cstheme="minorHAnsi"/>
          <w:sz w:val="22"/>
          <w:szCs w:val="22"/>
          <w:lang w:eastAsia="fr-CH"/>
        </w:rPr>
        <w:t>either</w:t>
      </w:r>
      <w:r w:rsidR="00490D8E">
        <w:rPr>
          <w:rFonts w:cstheme="minorHAnsi"/>
          <w:sz w:val="22"/>
          <w:szCs w:val="22"/>
          <w:lang w:eastAsia="fr-CH"/>
        </w:rPr>
        <w:t>,</w:t>
      </w:r>
      <w:r w:rsidR="00A736C9">
        <w:rPr>
          <w:rFonts w:cstheme="minorHAnsi"/>
          <w:sz w:val="22"/>
          <w:szCs w:val="22"/>
          <w:lang w:eastAsia="fr-CH"/>
        </w:rPr>
        <w:t xml:space="preserve"> </w:t>
      </w:r>
      <w:r w:rsidR="00263013">
        <w:rPr>
          <w:rFonts w:cstheme="minorHAnsi"/>
          <w:sz w:val="22"/>
          <w:szCs w:val="22"/>
          <w:lang w:eastAsia="fr-CH"/>
        </w:rPr>
        <w:t xml:space="preserve">already </w:t>
      </w:r>
      <w:r w:rsidR="00A736C9">
        <w:rPr>
          <w:rFonts w:cstheme="minorHAnsi"/>
          <w:sz w:val="22"/>
          <w:szCs w:val="22"/>
          <w:lang w:eastAsia="fr-CH"/>
        </w:rPr>
        <w:t>being addressed by ITU</w:t>
      </w:r>
      <w:r w:rsidR="00263013">
        <w:rPr>
          <w:rFonts w:cstheme="minorHAnsi"/>
          <w:sz w:val="22"/>
          <w:szCs w:val="22"/>
          <w:lang w:eastAsia="fr-CH"/>
        </w:rPr>
        <w:t>,</w:t>
      </w:r>
      <w:r w:rsidR="00A736C9">
        <w:rPr>
          <w:rFonts w:cstheme="minorHAnsi"/>
          <w:sz w:val="22"/>
          <w:szCs w:val="22"/>
          <w:lang w:eastAsia="fr-CH"/>
        </w:rPr>
        <w:t xml:space="preserve"> or are agreed by the ITU management and are within its decision</w:t>
      </w:r>
      <w:r w:rsidR="00490D8E">
        <w:rPr>
          <w:rFonts w:cstheme="minorHAnsi"/>
          <w:sz w:val="22"/>
          <w:szCs w:val="22"/>
          <w:lang w:eastAsia="fr-CH"/>
        </w:rPr>
        <w:t>-</w:t>
      </w:r>
      <w:r w:rsidR="00A736C9">
        <w:rPr>
          <w:rFonts w:cstheme="minorHAnsi"/>
          <w:sz w:val="22"/>
          <w:szCs w:val="22"/>
          <w:lang w:eastAsia="fr-CH"/>
        </w:rPr>
        <w:t xml:space="preserve">making purview. As such, ITU management </w:t>
      </w:r>
      <w:r w:rsidR="00263013">
        <w:rPr>
          <w:rFonts w:cstheme="minorHAnsi"/>
          <w:sz w:val="22"/>
          <w:szCs w:val="22"/>
          <w:lang w:eastAsia="fr-CH"/>
        </w:rPr>
        <w:t>intends</w:t>
      </w:r>
      <w:r w:rsidR="00A736C9">
        <w:rPr>
          <w:rFonts w:cstheme="minorHAnsi"/>
          <w:sz w:val="22"/>
          <w:szCs w:val="22"/>
          <w:lang w:eastAsia="fr-CH"/>
        </w:rPr>
        <w:t xml:space="preserve"> to </w:t>
      </w:r>
      <w:r w:rsidR="00263013">
        <w:rPr>
          <w:rFonts w:cstheme="minorHAnsi"/>
          <w:sz w:val="22"/>
          <w:szCs w:val="22"/>
          <w:lang w:eastAsia="fr-CH"/>
        </w:rPr>
        <w:t xml:space="preserve">develop an implementation plan for these recommendations which will be presented to and should be overseen by Council in accordance with the approach </w:t>
      </w:r>
      <w:r w:rsidR="00490D8E">
        <w:rPr>
          <w:rFonts w:cstheme="minorHAnsi"/>
          <w:sz w:val="22"/>
          <w:szCs w:val="22"/>
          <w:lang w:eastAsia="fr-CH"/>
        </w:rPr>
        <w:t xml:space="preserve">to implementation </w:t>
      </w:r>
      <w:r w:rsidR="00263013">
        <w:rPr>
          <w:rFonts w:cstheme="minorHAnsi"/>
          <w:sz w:val="22"/>
          <w:szCs w:val="22"/>
          <w:lang w:eastAsia="fr-CH"/>
        </w:rPr>
        <w:t xml:space="preserve">presented in relation to </w:t>
      </w:r>
      <w:r w:rsidR="009313DA">
        <w:rPr>
          <w:rFonts w:cstheme="minorHAnsi"/>
          <w:sz w:val="22"/>
          <w:szCs w:val="22"/>
          <w:lang w:eastAsia="fr-CH"/>
        </w:rPr>
        <w:t>category 4, below.</w:t>
      </w:r>
    </w:p>
    <w:p w14:paraId="08921224" w14:textId="7044B661" w:rsidR="00127D8D" w:rsidRPr="00DF0FD5" w:rsidRDefault="00127D8D" w:rsidP="00E53477">
      <w:pPr>
        <w:pStyle w:val="ListBullet"/>
        <w:numPr>
          <w:ilvl w:val="0"/>
          <w:numId w:val="24"/>
        </w:numPr>
        <w:spacing w:before="240" w:line="240" w:lineRule="auto"/>
        <w:jc w:val="both"/>
        <w:rPr>
          <w:rFonts w:cstheme="minorHAnsi"/>
          <w:b/>
          <w:bCs/>
          <w:sz w:val="22"/>
          <w:szCs w:val="22"/>
          <w:lang w:eastAsia="fr-CH"/>
        </w:rPr>
      </w:pPr>
      <w:r w:rsidRPr="00DF0FD5">
        <w:rPr>
          <w:rFonts w:cstheme="minorHAnsi"/>
          <w:b/>
          <w:bCs/>
          <w:sz w:val="22"/>
          <w:szCs w:val="22"/>
          <w:lang w:eastAsia="fr-CH"/>
        </w:rPr>
        <w:t>Roll-Out of Future Operating Model</w:t>
      </w:r>
    </w:p>
    <w:p w14:paraId="2C39CC89" w14:textId="717CBAB7" w:rsidR="00272006" w:rsidRDefault="00127D8D" w:rsidP="00E53477">
      <w:pPr>
        <w:pStyle w:val="ListBullet"/>
        <w:numPr>
          <w:ilvl w:val="0"/>
          <w:numId w:val="0"/>
        </w:numPr>
        <w:spacing w:before="240" w:line="240" w:lineRule="auto"/>
        <w:jc w:val="both"/>
        <w:rPr>
          <w:rFonts w:cstheme="minorHAnsi"/>
          <w:sz w:val="22"/>
          <w:szCs w:val="22"/>
          <w:lang w:eastAsia="fr-CH"/>
        </w:rPr>
      </w:pPr>
      <w:r w:rsidRPr="00AD3C26">
        <w:rPr>
          <w:rFonts w:cstheme="minorHAnsi"/>
          <w:sz w:val="22"/>
          <w:szCs w:val="22"/>
          <w:lang w:eastAsia="fr-CH"/>
        </w:rPr>
        <w:t>The roll-out of the future regional operating model refers to the incremental, two-step approach to structural change presented above to improve delivery and value for money. It also includes an effort to promote diversity in the workforce and to maintain technical excellence at the regional level. This stream focusses on efficiency and effectiveness.</w:t>
      </w:r>
      <w:r w:rsidR="00490D8E">
        <w:rPr>
          <w:rFonts w:cstheme="minorHAnsi"/>
          <w:sz w:val="22"/>
          <w:szCs w:val="22"/>
          <w:lang w:eastAsia="fr-CH"/>
        </w:rPr>
        <w:t xml:space="preserve"> </w:t>
      </w:r>
      <w:r w:rsidR="00CE68EC">
        <w:rPr>
          <w:rFonts w:cstheme="minorHAnsi"/>
          <w:sz w:val="22"/>
          <w:szCs w:val="22"/>
          <w:lang w:eastAsia="fr-CH"/>
        </w:rPr>
        <w:t xml:space="preserve">The Secretariat agrees with most of the recommendations set out in section 3, in particular </w:t>
      </w:r>
      <w:r w:rsidR="004811EA">
        <w:rPr>
          <w:rFonts w:cstheme="minorHAnsi"/>
          <w:sz w:val="22"/>
          <w:szCs w:val="22"/>
          <w:lang w:eastAsia="fr-CH"/>
        </w:rPr>
        <w:t xml:space="preserve">most of </w:t>
      </w:r>
      <w:r w:rsidR="00201556">
        <w:rPr>
          <w:rFonts w:cstheme="minorHAnsi"/>
          <w:sz w:val="22"/>
          <w:szCs w:val="22"/>
          <w:lang w:eastAsia="fr-CH"/>
        </w:rPr>
        <w:t>sub</w:t>
      </w:r>
      <w:r w:rsidR="00CE68EC">
        <w:rPr>
          <w:rFonts w:cstheme="minorHAnsi"/>
          <w:sz w:val="22"/>
          <w:szCs w:val="22"/>
          <w:lang w:eastAsia="fr-CH"/>
        </w:rPr>
        <w:t xml:space="preserve">section 3.1, </w:t>
      </w:r>
      <w:r w:rsidR="004811EA">
        <w:rPr>
          <w:rFonts w:cstheme="minorHAnsi"/>
          <w:sz w:val="22"/>
          <w:szCs w:val="22"/>
          <w:lang w:eastAsia="fr-CH"/>
        </w:rPr>
        <w:t>and subsection s</w:t>
      </w:r>
      <w:r w:rsidR="00CE68EC">
        <w:rPr>
          <w:rFonts w:cstheme="minorHAnsi"/>
          <w:sz w:val="22"/>
          <w:szCs w:val="22"/>
          <w:lang w:eastAsia="fr-CH"/>
        </w:rPr>
        <w:t>3.3 and 3.4</w:t>
      </w:r>
      <w:r w:rsidR="00201556">
        <w:rPr>
          <w:rFonts w:cstheme="minorHAnsi"/>
          <w:sz w:val="22"/>
          <w:szCs w:val="22"/>
          <w:lang w:eastAsia="fr-CH"/>
        </w:rPr>
        <w:t>,</w:t>
      </w:r>
      <w:r w:rsidR="00CE68EC">
        <w:rPr>
          <w:rFonts w:cstheme="minorHAnsi"/>
          <w:sz w:val="22"/>
          <w:szCs w:val="22"/>
          <w:lang w:eastAsia="fr-CH"/>
        </w:rPr>
        <w:t xml:space="preserve"> contain recommendations which are either already being implemented based on </w:t>
      </w:r>
      <w:r w:rsidR="00B11ACC">
        <w:rPr>
          <w:rFonts w:cstheme="minorHAnsi"/>
          <w:sz w:val="22"/>
          <w:szCs w:val="22"/>
          <w:lang w:eastAsia="fr-CH"/>
        </w:rPr>
        <w:t xml:space="preserve">BDT’s implementation of RBM methodologies, enhancements of resource mobilization efforts, or responses to previous IMAC, Internal and External Audit, and Council recommendations. </w:t>
      </w:r>
      <w:r w:rsidR="00272006">
        <w:rPr>
          <w:rFonts w:cstheme="minorHAnsi"/>
          <w:sz w:val="22"/>
          <w:szCs w:val="22"/>
          <w:lang w:eastAsia="fr-CH"/>
        </w:rPr>
        <w:t xml:space="preserve">These parts of the recommendations can be or are indeed already being addressed by ITU management. </w:t>
      </w:r>
    </w:p>
    <w:p w14:paraId="03128C3F" w14:textId="1B644E12" w:rsidR="00B11ACC" w:rsidRDefault="00B11ACC" w:rsidP="00E53477">
      <w:pPr>
        <w:pStyle w:val="ListBullet"/>
        <w:numPr>
          <w:ilvl w:val="0"/>
          <w:numId w:val="0"/>
        </w:numPr>
        <w:spacing w:before="240" w:line="240" w:lineRule="auto"/>
        <w:jc w:val="both"/>
        <w:rPr>
          <w:rFonts w:cstheme="minorHAnsi"/>
          <w:sz w:val="22"/>
          <w:szCs w:val="22"/>
          <w:lang w:eastAsia="fr-CH"/>
        </w:rPr>
      </w:pPr>
      <w:r>
        <w:rPr>
          <w:rFonts w:cstheme="minorHAnsi"/>
          <w:sz w:val="22"/>
          <w:szCs w:val="22"/>
          <w:lang w:eastAsia="fr-CH"/>
        </w:rPr>
        <w:t xml:space="preserve">The Secretariat </w:t>
      </w:r>
      <w:r w:rsidR="00272006">
        <w:rPr>
          <w:rFonts w:cstheme="minorHAnsi"/>
          <w:sz w:val="22"/>
          <w:szCs w:val="22"/>
          <w:lang w:eastAsia="fr-CH"/>
        </w:rPr>
        <w:t>proposes</w:t>
      </w:r>
      <w:r>
        <w:rPr>
          <w:rFonts w:cstheme="minorHAnsi"/>
          <w:sz w:val="22"/>
          <w:szCs w:val="22"/>
          <w:lang w:eastAsia="fr-CH"/>
        </w:rPr>
        <w:t xml:space="preserve">, however, that </w:t>
      </w:r>
      <w:r w:rsidR="004811EA">
        <w:rPr>
          <w:rFonts w:cstheme="minorHAnsi"/>
          <w:sz w:val="22"/>
          <w:szCs w:val="22"/>
          <w:lang w:eastAsia="fr-CH"/>
        </w:rPr>
        <w:t>sub</w:t>
      </w:r>
      <w:r>
        <w:rPr>
          <w:rFonts w:cstheme="minorHAnsi"/>
          <w:sz w:val="22"/>
          <w:szCs w:val="22"/>
          <w:lang w:eastAsia="fr-CH"/>
        </w:rPr>
        <w:t xml:space="preserve">section </w:t>
      </w:r>
      <w:r w:rsidR="004811EA">
        <w:rPr>
          <w:rFonts w:cstheme="minorHAnsi"/>
          <w:sz w:val="22"/>
          <w:szCs w:val="22"/>
          <w:lang w:eastAsia="fr-CH"/>
        </w:rPr>
        <w:t xml:space="preserve">3.1.3, and all of section </w:t>
      </w:r>
      <w:r>
        <w:rPr>
          <w:rFonts w:cstheme="minorHAnsi"/>
          <w:sz w:val="22"/>
          <w:szCs w:val="22"/>
          <w:lang w:eastAsia="fr-CH"/>
        </w:rPr>
        <w:t>3.2 should be carefully reviewed by Council</w:t>
      </w:r>
      <w:r w:rsidR="0032210E">
        <w:rPr>
          <w:rFonts w:cstheme="minorHAnsi"/>
          <w:sz w:val="22"/>
          <w:szCs w:val="22"/>
          <w:lang w:eastAsia="fr-CH"/>
        </w:rPr>
        <w:t>, through CWG-FHR.</w:t>
      </w:r>
      <w:r>
        <w:rPr>
          <w:rFonts w:cstheme="minorHAnsi"/>
          <w:sz w:val="22"/>
          <w:szCs w:val="22"/>
          <w:lang w:eastAsia="fr-CH"/>
        </w:rPr>
        <w:t xml:space="preserve"> </w:t>
      </w:r>
    </w:p>
    <w:p w14:paraId="776695F8" w14:textId="77777777" w:rsidR="007F65DA" w:rsidRDefault="00201556" w:rsidP="00E53477">
      <w:pPr>
        <w:pStyle w:val="ListBullet"/>
        <w:numPr>
          <w:ilvl w:val="0"/>
          <w:numId w:val="0"/>
        </w:numPr>
        <w:spacing w:before="240" w:line="240" w:lineRule="auto"/>
        <w:jc w:val="both"/>
        <w:rPr>
          <w:b/>
          <w:bCs/>
          <w:sz w:val="22"/>
          <w:szCs w:val="22"/>
          <w:lang w:eastAsia="fr-CH"/>
        </w:rPr>
      </w:pPr>
      <w:r w:rsidRPr="008254DF">
        <w:rPr>
          <w:b/>
          <w:bCs/>
          <w:sz w:val="22"/>
          <w:szCs w:val="22"/>
          <w:lang w:eastAsia="fr-CH"/>
        </w:rPr>
        <w:t xml:space="preserve">PwC </w:t>
      </w:r>
      <w:r>
        <w:rPr>
          <w:b/>
          <w:bCs/>
          <w:sz w:val="22"/>
          <w:szCs w:val="22"/>
          <w:lang w:eastAsia="fr-CH"/>
        </w:rPr>
        <w:t xml:space="preserve">Recommendation </w:t>
      </w:r>
      <w:r w:rsidR="004811EA">
        <w:rPr>
          <w:b/>
          <w:bCs/>
          <w:sz w:val="22"/>
          <w:szCs w:val="22"/>
          <w:lang w:eastAsia="fr-CH"/>
        </w:rPr>
        <w:t>3.1.3:</w:t>
      </w:r>
      <w:r w:rsidR="004811EA">
        <w:rPr>
          <w:b/>
          <w:bCs/>
          <w:sz w:val="22"/>
          <w:szCs w:val="22"/>
          <w:lang w:eastAsia="fr-CH"/>
        </w:rPr>
        <w:tab/>
        <w:t>Reallocate current RO/AO Capacity</w:t>
      </w:r>
      <w:r w:rsidR="007F65DA">
        <w:rPr>
          <w:b/>
          <w:bCs/>
          <w:sz w:val="22"/>
          <w:szCs w:val="22"/>
          <w:lang w:eastAsia="fr-CH"/>
        </w:rPr>
        <w:t>;</w:t>
      </w:r>
      <w:r w:rsidR="004811EA">
        <w:rPr>
          <w:b/>
          <w:bCs/>
          <w:sz w:val="22"/>
          <w:szCs w:val="22"/>
          <w:lang w:eastAsia="fr-CH"/>
        </w:rPr>
        <w:t xml:space="preserve"> and </w:t>
      </w:r>
    </w:p>
    <w:p w14:paraId="32178D7F" w14:textId="16579DB1" w:rsidR="0032210E" w:rsidRPr="004811EA" w:rsidRDefault="007F65DA" w:rsidP="00E53477">
      <w:pPr>
        <w:pStyle w:val="ListBullet"/>
        <w:numPr>
          <w:ilvl w:val="0"/>
          <w:numId w:val="0"/>
        </w:numPr>
        <w:spacing w:before="240" w:line="240" w:lineRule="auto"/>
        <w:jc w:val="both"/>
        <w:rPr>
          <w:b/>
          <w:bCs/>
          <w:sz w:val="22"/>
          <w:szCs w:val="22"/>
          <w:lang w:eastAsia="fr-CH"/>
        </w:rPr>
      </w:pPr>
      <w:r>
        <w:rPr>
          <w:b/>
          <w:bCs/>
          <w:sz w:val="22"/>
          <w:szCs w:val="22"/>
          <w:lang w:eastAsia="fr-CH"/>
        </w:rPr>
        <w:t xml:space="preserve">PwC Recommendation </w:t>
      </w:r>
      <w:r w:rsidR="0032210E" w:rsidRPr="00272006">
        <w:rPr>
          <w:rFonts w:cstheme="minorHAnsi"/>
          <w:b/>
          <w:bCs/>
          <w:sz w:val="22"/>
          <w:szCs w:val="22"/>
          <w:lang w:eastAsia="fr-CH"/>
        </w:rPr>
        <w:t>3.2</w:t>
      </w:r>
      <w:r w:rsidR="00201556">
        <w:rPr>
          <w:rFonts w:cstheme="minorHAnsi"/>
          <w:b/>
          <w:bCs/>
          <w:sz w:val="22"/>
          <w:szCs w:val="22"/>
          <w:lang w:eastAsia="fr-CH"/>
        </w:rPr>
        <w:t>:</w:t>
      </w:r>
      <w:r w:rsidR="004811EA">
        <w:rPr>
          <w:rFonts w:cstheme="minorHAnsi"/>
          <w:b/>
          <w:bCs/>
          <w:sz w:val="22"/>
          <w:szCs w:val="22"/>
          <w:lang w:eastAsia="fr-CH"/>
        </w:rPr>
        <w:t xml:space="preserve"> </w:t>
      </w:r>
      <w:r>
        <w:rPr>
          <w:rFonts w:cstheme="minorHAnsi"/>
          <w:b/>
          <w:bCs/>
          <w:sz w:val="22"/>
          <w:szCs w:val="22"/>
          <w:lang w:eastAsia="fr-CH"/>
        </w:rPr>
        <w:tab/>
      </w:r>
      <w:r w:rsidR="00272006" w:rsidRPr="00272006">
        <w:rPr>
          <w:rFonts w:cstheme="minorHAnsi"/>
          <w:b/>
          <w:bCs/>
          <w:sz w:val="22"/>
          <w:szCs w:val="22"/>
          <w:lang w:eastAsia="fr-CH"/>
        </w:rPr>
        <w:t>Set-up the Enhanced Delivery Model</w:t>
      </w:r>
    </w:p>
    <w:p w14:paraId="66CEA7A6" w14:textId="2A93F879" w:rsidR="00127D8D" w:rsidRDefault="007F65DA" w:rsidP="00E53477">
      <w:pPr>
        <w:pStyle w:val="ListBullet"/>
        <w:numPr>
          <w:ilvl w:val="0"/>
          <w:numId w:val="0"/>
        </w:numPr>
        <w:spacing w:before="240" w:line="240" w:lineRule="auto"/>
        <w:jc w:val="both"/>
        <w:rPr>
          <w:rFonts w:cstheme="minorHAnsi"/>
          <w:sz w:val="22"/>
          <w:szCs w:val="22"/>
          <w:lang w:eastAsia="fr-CH"/>
        </w:rPr>
      </w:pPr>
      <w:r>
        <w:rPr>
          <w:rFonts w:cstheme="minorHAnsi"/>
          <w:sz w:val="22"/>
          <w:szCs w:val="22"/>
          <w:lang w:eastAsia="fr-CH"/>
        </w:rPr>
        <w:t>Recommendation 3.1.3 proposes the consolidation (including some closures) of ITU’s existing regional and area offices, and movement and reclassification of several ITU staff. Further, t</w:t>
      </w:r>
      <w:r w:rsidR="00272006">
        <w:rPr>
          <w:rFonts w:cstheme="minorHAnsi"/>
          <w:sz w:val="22"/>
          <w:szCs w:val="22"/>
          <w:lang w:eastAsia="fr-CH"/>
        </w:rPr>
        <w:t xml:space="preserve">he Enhanced Delivery model proposed by PwC in </w:t>
      </w:r>
      <w:r w:rsidR="00C0421F">
        <w:rPr>
          <w:rFonts w:cstheme="minorHAnsi"/>
          <w:sz w:val="22"/>
          <w:szCs w:val="22"/>
          <w:lang w:eastAsia="fr-CH"/>
        </w:rPr>
        <w:t xml:space="preserve">section 3.2 </w:t>
      </w:r>
      <w:r w:rsidR="00272006">
        <w:rPr>
          <w:rFonts w:cstheme="minorHAnsi"/>
          <w:sz w:val="22"/>
          <w:szCs w:val="22"/>
          <w:lang w:eastAsia="fr-CH"/>
        </w:rPr>
        <w:t>of its recommendations (see Section 6 of the PwC report) comprises</w:t>
      </w:r>
      <w:r w:rsidR="00490D8E">
        <w:rPr>
          <w:rFonts w:cstheme="minorHAnsi"/>
          <w:sz w:val="22"/>
          <w:szCs w:val="22"/>
          <w:lang w:eastAsia="fr-CH"/>
        </w:rPr>
        <w:t xml:space="preserve"> a wide-ranging </w:t>
      </w:r>
      <w:r w:rsidR="00C0421F">
        <w:rPr>
          <w:rFonts w:cstheme="minorHAnsi"/>
          <w:sz w:val="22"/>
          <w:szCs w:val="22"/>
          <w:lang w:eastAsia="fr-CH"/>
        </w:rPr>
        <w:t>restructuring</w:t>
      </w:r>
      <w:r w:rsidR="00B51F0F">
        <w:rPr>
          <w:rFonts w:cstheme="minorHAnsi"/>
          <w:sz w:val="22"/>
          <w:szCs w:val="22"/>
          <w:lang w:eastAsia="fr-CH"/>
        </w:rPr>
        <w:t xml:space="preserve"> of ITU’s regional presence including the recategorization </w:t>
      </w:r>
      <w:r>
        <w:rPr>
          <w:rFonts w:cstheme="minorHAnsi"/>
          <w:sz w:val="22"/>
          <w:szCs w:val="22"/>
          <w:lang w:eastAsia="fr-CH"/>
        </w:rPr>
        <w:t>of offices and change of the management levels</w:t>
      </w:r>
      <w:r w:rsidR="00A71532">
        <w:rPr>
          <w:rFonts w:cstheme="minorHAnsi"/>
          <w:sz w:val="22"/>
          <w:szCs w:val="22"/>
          <w:lang w:eastAsia="fr-CH"/>
        </w:rPr>
        <w:t>.</w:t>
      </w:r>
      <w:r w:rsidR="00C0421F">
        <w:rPr>
          <w:rFonts w:cstheme="minorHAnsi"/>
          <w:sz w:val="22"/>
          <w:szCs w:val="22"/>
          <w:lang w:eastAsia="fr-CH"/>
        </w:rPr>
        <w:t xml:space="preserve"> </w:t>
      </w:r>
      <w:r w:rsidR="00927E0F">
        <w:rPr>
          <w:rFonts w:cstheme="minorHAnsi"/>
          <w:sz w:val="22"/>
          <w:szCs w:val="22"/>
          <w:lang w:eastAsia="fr-CH"/>
        </w:rPr>
        <w:t>Based on the wide-ranging impact, the Secretariat is of the view that overall</w:t>
      </w:r>
      <w:r w:rsidR="00A23DA3">
        <w:rPr>
          <w:rFonts w:cstheme="minorHAnsi"/>
          <w:sz w:val="22"/>
          <w:szCs w:val="22"/>
          <w:lang w:eastAsia="fr-CH"/>
        </w:rPr>
        <w:t>, this</w:t>
      </w:r>
      <w:r w:rsidR="00927E0F">
        <w:rPr>
          <w:rFonts w:cstheme="minorHAnsi"/>
          <w:sz w:val="22"/>
          <w:szCs w:val="22"/>
          <w:lang w:eastAsia="fr-CH"/>
        </w:rPr>
        <w:t xml:space="preserve"> plan would require a decision of the </w:t>
      </w:r>
      <w:r w:rsidR="00A23DA3">
        <w:rPr>
          <w:rFonts w:cstheme="minorHAnsi"/>
          <w:sz w:val="22"/>
          <w:szCs w:val="22"/>
          <w:lang w:eastAsia="fr-CH"/>
        </w:rPr>
        <w:t>plenipotentiary, and that the specific details would benefit from detailed review and consideration by CWG-FHR.</w:t>
      </w:r>
    </w:p>
    <w:p w14:paraId="34CF428E" w14:textId="4251035D" w:rsidR="0004585A" w:rsidRDefault="0004585A" w:rsidP="00E53477">
      <w:pPr>
        <w:pStyle w:val="ListBullet"/>
        <w:numPr>
          <w:ilvl w:val="0"/>
          <w:numId w:val="0"/>
        </w:numPr>
        <w:spacing w:before="240" w:line="240" w:lineRule="auto"/>
        <w:jc w:val="both"/>
        <w:rPr>
          <w:rFonts w:cstheme="minorHAnsi"/>
          <w:sz w:val="22"/>
          <w:szCs w:val="22"/>
          <w:lang w:eastAsia="fr-CH"/>
        </w:rPr>
      </w:pPr>
      <w:r>
        <w:rPr>
          <w:rFonts w:cstheme="minorHAnsi"/>
          <w:sz w:val="22"/>
          <w:szCs w:val="22"/>
          <w:lang w:eastAsia="fr-CH"/>
        </w:rPr>
        <w:lastRenderedPageBreak/>
        <w:t xml:space="preserve">The PwC model proposed would </w:t>
      </w:r>
      <w:r w:rsidR="00B75487">
        <w:rPr>
          <w:rFonts w:cstheme="minorHAnsi"/>
          <w:sz w:val="22"/>
          <w:szCs w:val="22"/>
          <w:lang w:eastAsia="fr-CH"/>
        </w:rPr>
        <w:t>overhaul</w:t>
      </w:r>
      <w:r>
        <w:rPr>
          <w:rFonts w:cstheme="minorHAnsi"/>
          <w:sz w:val="22"/>
          <w:szCs w:val="22"/>
          <w:lang w:eastAsia="fr-CH"/>
        </w:rPr>
        <w:t xml:space="preserve"> the regional presence from its current format of </w:t>
      </w:r>
      <w:r w:rsidR="00B75487">
        <w:rPr>
          <w:rFonts w:cstheme="minorHAnsi"/>
          <w:sz w:val="22"/>
          <w:szCs w:val="22"/>
          <w:lang w:eastAsia="fr-CH"/>
        </w:rPr>
        <w:t xml:space="preserve">each region being served by a </w:t>
      </w:r>
      <w:r w:rsidR="00A44F61">
        <w:rPr>
          <w:rFonts w:cstheme="minorHAnsi"/>
          <w:sz w:val="22"/>
          <w:szCs w:val="22"/>
          <w:lang w:eastAsia="fr-CH"/>
        </w:rPr>
        <w:t>RO</w:t>
      </w:r>
      <w:r w:rsidR="00B75487">
        <w:rPr>
          <w:rFonts w:cstheme="minorHAnsi"/>
          <w:sz w:val="22"/>
          <w:szCs w:val="22"/>
          <w:lang w:eastAsia="fr-CH"/>
        </w:rPr>
        <w:t>, headed by a D1 level colleague, with satellite Area Offices</w:t>
      </w:r>
      <w:r w:rsidR="00A44F61">
        <w:rPr>
          <w:rFonts w:cstheme="minorHAnsi"/>
          <w:sz w:val="22"/>
          <w:szCs w:val="22"/>
          <w:lang w:eastAsia="fr-CH"/>
        </w:rPr>
        <w:t xml:space="preserve"> (AO)</w:t>
      </w:r>
      <w:r w:rsidR="00B75487">
        <w:rPr>
          <w:rFonts w:cstheme="minorHAnsi"/>
          <w:sz w:val="22"/>
          <w:szCs w:val="22"/>
          <w:lang w:eastAsia="fr-CH"/>
        </w:rPr>
        <w:t xml:space="preserve"> (in most regions) serving the diverse geographic, and cultural sub-regions, each headed by a P5 level colleague</w:t>
      </w:r>
      <w:r w:rsidR="00A44F61">
        <w:rPr>
          <w:rFonts w:cstheme="minorHAnsi"/>
          <w:sz w:val="22"/>
          <w:szCs w:val="22"/>
          <w:lang w:eastAsia="fr-CH"/>
        </w:rPr>
        <w:t xml:space="preserve"> (</w:t>
      </w:r>
      <w:r w:rsidR="00A44F61">
        <w:rPr>
          <w:sz w:val="22"/>
          <w:szCs w:val="22"/>
        </w:rPr>
        <w:t>5 ROs and 9 AOs)</w:t>
      </w:r>
      <w:r w:rsidR="00B75487">
        <w:rPr>
          <w:rFonts w:cstheme="minorHAnsi"/>
          <w:sz w:val="22"/>
          <w:szCs w:val="22"/>
          <w:lang w:eastAsia="fr-CH"/>
        </w:rPr>
        <w:t xml:space="preserve">. PwC proposes a structure composed </w:t>
      </w:r>
      <w:r w:rsidR="00AB0ED7">
        <w:rPr>
          <w:rFonts w:cstheme="minorHAnsi"/>
          <w:sz w:val="22"/>
          <w:szCs w:val="22"/>
          <w:lang w:eastAsia="fr-CH"/>
        </w:rPr>
        <w:t>only</w:t>
      </w:r>
      <w:r w:rsidR="00B75487">
        <w:rPr>
          <w:rFonts w:cstheme="minorHAnsi"/>
          <w:sz w:val="22"/>
          <w:szCs w:val="22"/>
          <w:lang w:eastAsia="fr-CH"/>
        </w:rPr>
        <w:t xml:space="preserve"> of Area Offices, each headed by a P5 level colleague, all reporting directly to </w:t>
      </w:r>
      <w:r w:rsidR="00AB0ED7">
        <w:rPr>
          <w:rFonts w:cstheme="minorHAnsi"/>
          <w:sz w:val="22"/>
          <w:szCs w:val="22"/>
          <w:lang w:eastAsia="fr-CH"/>
        </w:rPr>
        <w:t>a Regional Desk</w:t>
      </w:r>
      <w:r w:rsidR="00B75487">
        <w:rPr>
          <w:rFonts w:cstheme="minorHAnsi"/>
          <w:sz w:val="22"/>
          <w:szCs w:val="22"/>
          <w:lang w:eastAsia="fr-CH"/>
        </w:rPr>
        <w:t xml:space="preserve"> situated in ITU Headquarters Geneva</w:t>
      </w:r>
      <w:r w:rsidR="00AB0ED7">
        <w:rPr>
          <w:rFonts w:cstheme="minorHAnsi"/>
          <w:sz w:val="22"/>
          <w:szCs w:val="22"/>
          <w:lang w:eastAsia="fr-CH"/>
        </w:rPr>
        <w:t xml:space="preserve"> under the Deputy to the Director</w:t>
      </w:r>
      <w:r w:rsidR="00B75487">
        <w:rPr>
          <w:rFonts w:cstheme="minorHAnsi"/>
          <w:sz w:val="22"/>
          <w:szCs w:val="22"/>
          <w:lang w:eastAsia="fr-CH"/>
        </w:rPr>
        <w:t>.</w:t>
      </w:r>
    </w:p>
    <w:p w14:paraId="0790C73E" w14:textId="438EFD2A" w:rsidR="00C948D7" w:rsidRPr="008E3219" w:rsidRDefault="00CB2009" w:rsidP="00E53477">
      <w:pPr>
        <w:jc w:val="both"/>
        <w:rPr>
          <w:sz w:val="22"/>
          <w:szCs w:val="22"/>
        </w:rPr>
      </w:pPr>
      <w:r w:rsidRPr="008E3219">
        <w:rPr>
          <w:sz w:val="22"/>
          <w:szCs w:val="22"/>
        </w:rPr>
        <w:t xml:space="preserve">PwC has </w:t>
      </w:r>
      <w:r w:rsidR="00AB0ED7">
        <w:rPr>
          <w:sz w:val="22"/>
          <w:szCs w:val="22"/>
        </w:rPr>
        <w:t xml:space="preserve">therefore </w:t>
      </w:r>
      <w:r w:rsidR="0004585A" w:rsidRPr="008E3219">
        <w:rPr>
          <w:sz w:val="22"/>
          <w:szCs w:val="22"/>
        </w:rPr>
        <w:t>proposed the following actions:</w:t>
      </w:r>
    </w:p>
    <w:p w14:paraId="1CD88A05" w14:textId="7AB36998" w:rsidR="00B10247" w:rsidRDefault="00B10247" w:rsidP="00E53477">
      <w:pPr>
        <w:pStyle w:val="ListParagraph"/>
        <w:numPr>
          <w:ilvl w:val="0"/>
          <w:numId w:val="29"/>
        </w:numPr>
        <w:tabs>
          <w:tab w:val="clear" w:pos="567"/>
          <w:tab w:val="clear" w:pos="1134"/>
          <w:tab w:val="clear" w:pos="1701"/>
          <w:tab w:val="clear" w:pos="2268"/>
          <w:tab w:val="clear" w:pos="2835"/>
        </w:tabs>
        <w:jc w:val="both"/>
        <w:rPr>
          <w:sz w:val="22"/>
          <w:szCs w:val="22"/>
        </w:rPr>
      </w:pPr>
      <w:r>
        <w:rPr>
          <w:sz w:val="22"/>
          <w:szCs w:val="22"/>
        </w:rPr>
        <w:t>Restructuring of the regional presence from</w:t>
      </w:r>
      <w:r w:rsidR="00B46E0D">
        <w:rPr>
          <w:sz w:val="22"/>
          <w:szCs w:val="22"/>
        </w:rPr>
        <w:t xml:space="preserve"> the current</w:t>
      </w:r>
      <w:r>
        <w:rPr>
          <w:sz w:val="22"/>
          <w:szCs w:val="22"/>
        </w:rPr>
        <w:t xml:space="preserve"> 5 Regional Offices and </w:t>
      </w:r>
      <w:r w:rsidR="00B46E0D">
        <w:rPr>
          <w:sz w:val="22"/>
          <w:szCs w:val="22"/>
        </w:rPr>
        <w:t>9</w:t>
      </w:r>
      <w:r>
        <w:rPr>
          <w:sz w:val="22"/>
          <w:szCs w:val="22"/>
        </w:rPr>
        <w:t xml:space="preserve"> Area Offices, to </w:t>
      </w:r>
      <w:r w:rsidR="00B46E0D">
        <w:rPr>
          <w:sz w:val="22"/>
          <w:szCs w:val="22"/>
        </w:rPr>
        <w:t xml:space="preserve">an AO Only model comprising a total of </w:t>
      </w:r>
      <w:r>
        <w:rPr>
          <w:sz w:val="22"/>
          <w:szCs w:val="22"/>
        </w:rPr>
        <w:t>10 Area Offices</w:t>
      </w:r>
      <w:r w:rsidR="00B46E0D">
        <w:rPr>
          <w:sz w:val="22"/>
          <w:szCs w:val="22"/>
        </w:rPr>
        <w:t>, plus a HQ based Regional Desk,</w:t>
      </w:r>
      <w:r>
        <w:rPr>
          <w:sz w:val="22"/>
          <w:szCs w:val="22"/>
        </w:rPr>
        <w:t xml:space="preserve"> as follows:</w:t>
      </w:r>
    </w:p>
    <w:p w14:paraId="43D98530" w14:textId="71B0898E" w:rsidR="00B10247" w:rsidRDefault="098E537E" w:rsidP="00E53477">
      <w:pPr>
        <w:pStyle w:val="ListParagraph"/>
        <w:tabs>
          <w:tab w:val="clear" w:pos="567"/>
          <w:tab w:val="clear" w:pos="1134"/>
          <w:tab w:val="clear" w:pos="1701"/>
          <w:tab w:val="clear" w:pos="2268"/>
          <w:tab w:val="clear" w:pos="2835"/>
        </w:tabs>
        <w:jc w:val="both"/>
        <w:rPr>
          <w:sz w:val="22"/>
          <w:szCs w:val="22"/>
        </w:rPr>
      </w:pPr>
      <w:r>
        <w:rPr>
          <w:noProof/>
        </w:rPr>
        <w:drawing>
          <wp:inline distT="0" distB="0" distL="0" distR="0" wp14:anchorId="1C99F2CA" wp14:editId="65CC46FD">
            <wp:extent cx="5115712" cy="1752600"/>
            <wp:effectExtent l="0" t="0" r="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3">
                      <a:extLst>
                        <a:ext uri="{28A0092B-C50C-407E-A947-70E740481C1C}">
                          <a14:useLocalDpi xmlns:a14="http://schemas.microsoft.com/office/drawing/2010/main" val="0"/>
                        </a:ext>
                      </a:extLst>
                    </a:blip>
                    <a:stretch>
                      <a:fillRect/>
                    </a:stretch>
                  </pic:blipFill>
                  <pic:spPr>
                    <a:xfrm>
                      <a:off x="0" y="0"/>
                      <a:ext cx="5115712" cy="1752600"/>
                    </a:xfrm>
                    <a:prstGeom prst="rect">
                      <a:avLst/>
                    </a:prstGeom>
                  </pic:spPr>
                </pic:pic>
              </a:graphicData>
            </a:graphic>
          </wp:inline>
        </w:drawing>
      </w:r>
      <w:r w:rsidR="3B616FE6" w:rsidRPr="594A99E1">
        <w:rPr>
          <w:sz w:val="22"/>
          <w:szCs w:val="22"/>
        </w:rPr>
        <w:t xml:space="preserve"> </w:t>
      </w:r>
    </w:p>
    <w:p w14:paraId="4761923C" w14:textId="7D947856" w:rsidR="00043569" w:rsidRDefault="008E3219" w:rsidP="00E53477">
      <w:pPr>
        <w:pStyle w:val="ListParagraph"/>
        <w:numPr>
          <w:ilvl w:val="0"/>
          <w:numId w:val="29"/>
        </w:numPr>
        <w:tabs>
          <w:tab w:val="clear" w:pos="567"/>
          <w:tab w:val="clear" w:pos="1134"/>
          <w:tab w:val="clear" w:pos="1701"/>
          <w:tab w:val="clear" w:pos="2268"/>
          <w:tab w:val="clear" w:pos="2835"/>
        </w:tabs>
        <w:jc w:val="both"/>
        <w:rPr>
          <w:sz w:val="22"/>
          <w:szCs w:val="22"/>
        </w:rPr>
      </w:pPr>
      <w:r w:rsidRPr="008E3219">
        <w:rPr>
          <w:sz w:val="22"/>
          <w:szCs w:val="22"/>
        </w:rPr>
        <w:t>Facilitate the transition of D-Staff at regional level</w:t>
      </w:r>
      <w:r>
        <w:rPr>
          <w:sz w:val="22"/>
          <w:szCs w:val="22"/>
        </w:rPr>
        <w:t>: This would involve the</w:t>
      </w:r>
      <w:r w:rsidR="0004585A" w:rsidRPr="008E3219">
        <w:rPr>
          <w:sz w:val="22"/>
          <w:szCs w:val="22"/>
        </w:rPr>
        <w:t xml:space="preserve"> conversion, over time, of D-level </w:t>
      </w:r>
      <w:r w:rsidR="00BE5B46">
        <w:rPr>
          <w:sz w:val="22"/>
          <w:szCs w:val="22"/>
        </w:rPr>
        <w:t xml:space="preserve">Regional Director </w:t>
      </w:r>
      <w:r w:rsidR="0004585A" w:rsidRPr="008E3219">
        <w:rPr>
          <w:sz w:val="22"/>
          <w:szCs w:val="22"/>
        </w:rPr>
        <w:t xml:space="preserve">positions to </w:t>
      </w:r>
      <w:r w:rsidR="00043569">
        <w:rPr>
          <w:sz w:val="22"/>
          <w:szCs w:val="22"/>
        </w:rPr>
        <w:t xml:space="preserve">P5 </w:t>
      </w:r>
      <w:r w:rsidR="00BE5B46">
        <w:rPr>
          <w:sz w:val="22"/>
          <w:szCs w:val="22"/>
        </w:rPr>
        <w:t xml:space="preserve">Area Office Coordinators which PwC considers would </w:t>
      </w:r>
      <w:r w:rsidR="0004585A" w:rsidRPr="008E3219">
        <w:rPr>
          <w:sz w:val="22"/>
          <w:szCs w:val="22"/>
        </w:rPr>
        <w:t>simplify the management structure</w:t>
      </w:r>
      <w:r w:rsidR="00BE5B46">
        <w:rPr>
          <w:sz w:val="22"/>
          <w:szCs w:val="22"/>
        </w:rPr>
        <w:t>,</w:t>
      </w:r>
      <w:r w:rsidR="0004585A" w:rsidRPr="008E3219">
        <w:rPr>
          <w:sz w:val="22"/>
          <w:szCs w:val="22"/>
        </w:rPr>
        <w:t xml:space="preserve"> and re- calibrat</w:t>
      </w:r>
      <w:r w:rsidR="00BE5B46">
        <w:rPr>
          <w:sz w:val="22"/>
          <w:szCs w:val="22"/>
        </w:rPr>
        <w:t>e</w:t>
      </w:r>
      <w:r w:rsidR="00043569">
        <w:rPr>
          <w:sz w:val="22"/>
          <w:szCs w:val="22"/>
        </w:rPr>
        <w:t xml:space="preserve"> </w:t>
      </w:r>
      <w:r w:rsidR="0004585A" w:rsidRPr="008E3219">
        <w:rPr>
          <w:sz w:val="22"/>
          <w:szCs w:val="22"/>
        </w:rPr>
        <w:t xml:space="preserve">the function of </w:t>
      </w:r>
      <w:r w:rsidR="00043569">
        <w:rPr>
          <w:sz w:val="22"/>
          <w:szCs w:val="22"/>
        </w:rPr>
        <w:t>each</w:t>
      </w:r>
      <w:r w:rsidR="0004585A" w:rsidRPr="008E3219">
        <w:rPr>
          <w:sz w:val="22"/>
          <w:szCs w:val="22"/>
        </w:rPr>
        <w:t xml:space="preserve"> Head of the Area Office to a delivery role. </w:t>
      </w:r>
      <w:r w:rsidR="00BE5B46">
        <w:rPr>
          <w:sz w:val="22"/>
          <w:szCs w:val="22"/>
        </w:rPr>
        <w:t>PwC proposed that t</w:t>
      </w:r>
      <w:r w:rsidR="0004585A" w:rsidRPr="008E3219">
        <w:rPr>
          <w:sz w:val="22"/>
          <w:szCs w:val="22"/>
        </w:rPr>
        <w:t>he transition could be organised over the course of two years, enabling the identification and facilitation of transitional arrangements for impacted staff and their families.</w:t>
      </w:r>
    </w:p>
    <w:p w14:paraId="3D15148F" w14:textId="77777777" w:rsidR="00043569" w:rsidRDefault="008E3219" w:rsidP="00E53477">
      <w:pPr>
        <w:pStyle w:val="ListParagraph"/>
        <w:numPr>
          <w:ilvl w:val="0"/>
          <w:numId w:val="29"/>
        </w:numPr>
        <w:tabs>
          <w:tab w:val="clear" w:pos="567"/>
          <w:tab w:val="clear" w:pos="1134"/>
          <w:tab w:val="clear" w:pos="1701"/>
          <w:tab w:val="clear" w:pos="2268"/>
          <w:tab w:val="clear" w:pos="2835"/>
        </w:tabs>
        <w:spacing w:before="240"/>
        <w:jc w:val="both"/>
        <w:rPr>
          <w:sz w:val="22"/>
          <w:szCs w:val="22"/>
        </w:rPr>
      </w:pPr>
      <w:r w:rsidRPr="00043569">
        <w:rPr>
          <w:sz w:val="22"/>
          <w:szCs w:val="22"/>
        </w:rPr>
        <w:t>Consolidate global coordination through Regional Desk</w:t>
      </w:r>
      <w:r w:rsidR="00043569">
        <w:rPr>
          <w:sz w:val="22"/>
          <w:szCs w:val="22"/>
        </w:rPr>
        <w:t>:</w:t>
      </w:r>
      <w:r w:rsidRPr="00043569">
        <w:rPr>
          <w:sz w:val="22"/>
          <w:szCs w:val="22"/>
        </w:rPr>
        <w:t xml:space="preserve"> </w:t>
      </w:r>
    </w:p>
    <w:p w14:paraId="2FF1FA05" w14:textId="47DF9AE1" w:rsidR="00816F6E" w:rsidRDefault="00BE5B46" w:rsidP="00E53477">
      <w:pPr>
        <w:pStyle w:val="ListParagraph"/>
        <w:numPr>
          <w:ilvl w:val="1"/>
          <w:numId w:val="29"/>
        </w:numPr>
        <w:tabs>
          <w:tab w:val="clear" w:pos="567"/>
          <w:tab w:val="clear" w:pos="1134"/>
          <w:tab w:val="clear" w:pos="1701"/>
          <w:tab w:val="clear" w:pos="2268"/>
          <w:tab w:val="clear" w:pos="2835"/>
        </w:tabs>
        <w:spacing w:before="240"/>
        <w:jc w:val="both"/>
        <w:rPr>
          <w:sz w:val="22"/>
          <w:szCs w:val="22"/>
        </w:rPr>
      </w:pPr>
      <w:r>
        <w:rPr>
          <w:sz w:val="22"/>
          <w:szCs w:val="22"/>
        </w:rPr>
        <w:t>PwC proposes t</w:t>
      </w:r>
      <w:r w:rsidR="00DE7F3B" w:rsidRPr="00043569">
        <w:rPr>
          <w:sz w:val="22"/>
          <w:szCs w:val="22"/>
        </w:rPr>
        <w:t xml:space="preserve">he creation of a global, HQ-based </w:t>
      </w:r>
      <w:r w:rsidR="001A28D3">
        <w:rPr>
          <w:sz w:val="22"/>
          <w:szCs w:val="22"/>
        </w:rPr>
        <w:t xml:space="preserve">Regional Desk, </w:t>
      </w:r>
      <w:r w:rsidR="00DE7F3B" w:rsidRPr="00043569">
        <w:rPr>
          <w:sz w:val="22"/>
          <w:szCs w:val="22"/>
        </w:rPr>
        <w:t>which will assist the Head of the Area Office</w:t>
      </w:r>
      <w:r w:rsidR="001A28D3">
        <w:rPr>
          <w:sz w:val="22"/>
          <w:szCs w:val="22"/>
        </w:rPr>
        <w:t>s</w:t>
      </w:r>
      <w:r w:rsidR="00DE7F3B" w:rsidRPr="00043569">
        <w:rPr>
          <w:sz w:val="22"/>
          <w:szCs w:val="22"/>
        </w:rPr>
        <w:t xml:space="preserve"> in getting access to and support from HQ resources</w:t>
      </w:r>
      <w:r w:rsidR="001A28D3">
        <w:rPr>
          <w:sz w:val="22"/>
          <w:szCs w:val="22"/>
        </w:rPr>
        <w:t>;</w:t>
      </w:r>
      <w:r w:rsidR="00DE7F3B" w:rsidRPr="00043569">
        <w:rPr>
          <w:sz w:val="22"/>
          <w:szCs w:val="22"/>
        </w:rPr>
        <w:t xml:space="preserve"> and </w:t>
      </w:r>
      <w:r w:rsidR="001A28D3">
        <w:rPr>
          <w:sz w:val="22"/>
          <w:szCs w:val="22"/>
        </w:rPr>
        <w:t>assist</w:t>
      </w:r>
      <w:r w:rsidR="00DE7F3B" w:rsidRPr="00043569">
        <w:rPr>
          <w:sz w:val="22"/>
          <w:szCs w:val="22"/>
        </w:rPr>
        <w:t xml:space="preserve"> the Deputy Director of BDT in the coordination of the regional presence. </w:t>
      </w:r>
    </w:p>
    <w:p w14:paraId="75AA35EC" w14:textId="77777777" w:rsidR="00AF0D3F" w:rsidRDefault="00DE7F3B" w:rsidP="00E53477">
      <w:pPr>
        <w:pStyle w:val="ListParagraph"/>
        <w:numPr>
          <w:ilvl w:val="1"/>
          <w:numId w:val="29"/>
        </w:numPr>
        <w:tabs>
          <w:tab w:val="clear" w:pos="567"/>
          <w:tab w:val="clear" w:pos="1134"/>
          <w:tab w:val="clear" w:pos="1701"/>
          <w:tab w:val="clear" w:pos="2268"/>
          <w:tab w:val="clear" w:pos="2835"/>
        </w:tabs>
        <w:spacing w:before="240"/>
        <w:jc w:val="both"/>
        <w:rPr>
          <w:sz w:val="22"/>
          <w:szCs w:val="22"/>
        </w:rPr>
      </w:pPr>
      <w:r w:rsidRPr="0077638D">
        <w:rPr>
          <w:sz w:val="22"/>
          <w:szCs w:val="22"/>
        </w:rPr>
        <w:t xml:space="preserve">The </w:t>
      </w:r>
      <w:r w:rsidR="001A28D3">
        <w:rPr>
          <w:sz w:val="22"/>
          <w:szCs w:val="22"/>
        </w:rPr>
        <w:t xml:space="preserve">proposed </w:t>
      </w:r>
      <w:r w:rsidRPr="0077638D">
        <w:rPr>
          <w:sz w:val="22"/>
          <w:szCs w:val="22"/>
        </w:rPr>
        <w:t xml:space="preserve">Regional Desk would ensure the integrated and well-managed execution of regional activities as well as their strategic alignment with the objectives of the Union. The team </w:t>
      </w:r>
      <w:r w:rsidR="0077638D" w:rsidRPr="0077638D">
        <w:rPr>
          <w:sz w:val="22"/>
          <w:szCs w:val="22"/>
        </w:rPr>
        <w:t>is proposed to</w:t>
      </w:r>
      <w:r w:rsidRPr="0077638D">
        <w:rPr>
          <w:sz w:val="22"/>
          <w:szCs w:val="22"/>
        </w:rPr>
        <w:t xml:space="preserve"> include 3 P5, 2 P3 and one G staff</w:t>
      </w:r>
      <w:r w:rsidR="00AF0D3F">
        <w:rPr>
          <w:sz w:val="22"/>
          <w:szCs w:val="22"/>
        </w:rPr>
        <w:t xml:space="preserve">. </w:t>
      </w:r>
    </w:p>
    <w:p w14:paraId="2B8CBF31" w14:textId="490DEC53" w:rsidR="00DE7F3B" w:rsidRDefault="00AF0D3F" w:rsidP="00E53477">
      <w:pPr>
        <w:pStyle w:val="ListParagraph"/>
        <w:numPr>
          <w:ilvl w:val="1"/>
          <w:numId w:val="29"/>
        </w:numPr>
        <w:tabs>
          <w:tab w:val="clear" w:pos="567"/>
          <w:tab w:val="clear" w:pos="1134"/>
          <w:tab w:val="clear" w:pos="1701"/>
          <w:tab w:val="clear" w:pos="2268"/>
          <w:tab w:val="clear" w:pos="2835"/>
        </w:tabs>
        <w:spacing w:before="240"/>
        <w:jc w:val="both"/>
        <w:rPr>
          <w:sz w:val="22"/>
          <w:szCs w:val="22"/>
        </w:rPr>
      </w:pPr>
      <w:r>
        <w:rPr>
          <w:sz w:val="22"/>
          <w:szCs w:val="22"/>
        </w:rPr>
        <w:t xml:space="preserve">This would be achieved by </w:t>
      </w:r>
      <w:r w:rsidR="0077638D" w:rsidRPr="0077638D">
        <w:rPr>
          <w:sz w:val="22"/>
          <w:szCs w:val="22"/>
        </w:rPr>
        <w:t xml:space="preserve">the </w:t>
      </w:r>
      <w:r w:rsidR="0077638D">
        <w:rPr>
          <w:sz w:val="22"/>
          <w:szCs w:val="22"/>
        </w:rPr>
        <w:t>r</w:t>
      </w:r>
      <w:r w:rsidR="00DE7F3B" w:rsidRPr="0077638D">
        <w:rPr>
          <w:sz w:val="22"/>
          <w:szCs w:val="22"/>
        </w:rPr>
        <w:t>elocation of 3 P5 positions from AOs to HQ</w:t>
      </w:r>
      <w:r w:rsidR="00BE5B46">
        <w:rPr>
          <w:sz w:val="22"/>
          <w:szCs w:val="22"/>
        </w:rPr>
        <w:t xml:space="preserve"> to</w:t>
      </w:r>
      <w:r w:rsidR="00DE7F3B" w:rsidRPr="0077638D">
        <w:rPr>
          <w:sz w:val="22"/>
          <w:szCs w:val="22"/>
        </w:rPr>
        <w:t xml:space="preserve"> address the duplication of P5 positions in AOs, ensuring that only one P5 remains in each AO </w:t>
      </w:r>
      <w:r>
        <w:rPr>
          <w:sz w:val="22"/>
          <w:szCs w:val="22"/>
        </w:rPr>
        <w:t>(</w:t>
      </w:r>
      <w:r w:rsidR="00DE7F3B" w:rsidRPr="0077638D">
        <w:rPr>
          <w:sz w:val="22"/>
          <w:szCs w:val="22"/>
        </w:rPr>
        <w:t>the Area Office Coordinator</w:t>
      </w:r>
      <w:r>
        <w:rPr>
          <w:sz w:val="22"/>
          <w:szCs w:val="22"/>
        </w:rPr>
        <w:t>), c</w:t>
      </w:r>
      <w:r w:rsidR="00DE7F3B" w:rsidRPr="0077638D">
        <w:rPr>
          <w:sz w:val="22"/>
          <w:szCs w:val="22"/>
        </w:rPr>
        <w:t>onsolidation of one P3 from the field to HQ to build critical mass in th</w:t>
      </w:r>
      <w:r>
        <w:rPr>
          <w:sz w:val="22"/>
          <w:szCs w:val="22"/>
        </w:rPr>
        <w:t>e</w:t>
      </w:r>
      <w:r w:rsidR="00DE7F3B" w:rsidRPr="0077638D">
        <w:rPr>
          <w:sz w:val="22"/>
          <w:szCs w:val="22"/>
        </w:rPr>
        <w:t xml:space="preserve"> centralised unit</w:t>
      </w:r>
      <w:r>
        <w:rPr>
          <w:sz w:val="22"/>
          <w:szCs w:val="22"/>
        </w:rPr>
        <w:t>, and r</w:t>
      </w:r>
      <w:r w:rsidR="00DE7F3B" w:rsidRPr="0077638D">
        <w:rPr>
          <w:sz w:val="22"/>
          <w:szCs w:val="22"/>
        </w:rPr>
        <w:t xml:space="preserve">ecruitment of </w:t>
      </w:r>
      <w:r>
        <w:rPr>
          <w:sz w:val="22"/>
          <w:szCs w:val="22"/>
        </w:rPr>
        <w:t xml:space="preserve">one </w:t>
      </w:r>
      <w:r w:rsidR="00DE7F3B" w:rsidRPr="0077638D">
        <w:rPr>
          <w:sz w:val="22"/>
          <w:szCs w:val="22"/>
        </w:rPr>
        <w:t xml:space="preserve">new P3 and </w:t>
      </w:r>
      <w:r>
        <w:rPr>
          <w:sz w:val="22"/>
          <w:szCs w:val="22"/>
        </w:rPr>
        <w:t xml:space="preserve">one </w:t>
      </w:r>
      <w:r w:rsidR="00DE7F3B" w:rsidRPr="0077638D">
        <w:rPr>
          <w:sz w:val="22"/>
          <w:szCs w:val="22"/>
        </w:rPr>
        <w:t>G5 staff in Geneva.</w:t>
      </w:r>
    </w:p>
    <w:p w14:paraId="362FF848" w14:textId="09E29443" w:rsidR="00AF0D3F" w:rsidRDefault="00AF0D3F" w:rsidP="00E53477">
      <w:pPr>
        <w:tabs>
          <w:tab w:val="clear" w:pos="567"/>
          <w:tab w:val="clear" w:pos="1134"/>
          <w:tab w:val="clear" w:pos="1701"/>
          <w:tab w:val="clear" w:pos="2268"/>
          <w:tab w:val="clear" w:pos="2835"/>
        </w:tabs>
        <w:spacing w:before="240"/>
        <w:jc w:val="both"/>
        <w:rPr>
          <w:sz w:val="22"/>
          <w:szCs w:val="22"/>
        </w:rPr>
      </w:pPr>
      <w:r>
        <w:rPr>
          <w:sz w:val="22"/>
          <w:szCs w:val="22"/>
        </w:rPr>
        <w:t xml:space="preserve">The Secretariat considers that this proposal is very </w:t>
      </w:r>
      <w:r w:rsidR="00AB0ED7">
        <w:rPr>
          <w:sz w:val="22"/>
          <w:szCs w:val="22"/>
        </w:rPr>
        <w:t>wide ranging and has identified various concerns with its implementation</w:t>
      </w:r>
      <w:r w:rsidR="00256EC4">
        <w:rPr>
          <w:sz w:val="22"/>
          <w:szCs w:val="22"/>
        </w:rPr>
        <w:t>, s</w:t>
      </w:r>
      <w:r w:rsidR="00461C98">
        <w:rPr>
          <w:sz w:val="22"/>
          <w:szCs w:val="22"/>
        </w:rPr>
        <w:t xml:space="preserve">ome of </w:t>
      </w:r>
      <w:r w:rsidR="00256EC4">
        <w:rPr>
          <w:sz w:val="22"/>
          <w:szCs w:val="22"/>
        </w:rPr>
        <w:t>which</w:t>
      </w:r>
      <w:r w:rsidR="00461C98">
        <w:rPr>
          <w:sz w:val="22"/>
          <w:szCs w:val="22"/>
        </w:rPr>
        <w:t xml:space="preserve"> are set out below</w:t>
      </w:r>
      <w:r w:rsidR="00D01ADB">
        <w:rPr>
          <w:sz w:val="22"/>
          <w:szCs w:val="22"/>
        </w:rPr>
        <w:t>.</w:t>
      </w:r>
    </w:p>
    <w:p w14:paraId="545E8ACE" w14:textId="301AC451" w:rsidR="0032210E" w:rsidRDefault="0032210E" w:rsidP="00E53477">
      <w:pPr>
        <w:tabs>
          <w:tab w:val="clear" w:pos="567"/>
          <w:tab w:val="clear" w:pos="1134"/>
          <w:tab w:val="clear" w:pos="1701"/>
          <w:tab w:val="clear" w:pos="2268"/>
          <w:tab w:val="clear" w:pos="2835"/>
        </w:tabs>
        <w:spacing w:before="240"/>
        <w:jc w:val="both"/>
        <w:rPr>
          <w:sz w:val="22"/>
          <w:szCs w:val="22"/>
        </w:rPr>
      </w:pPr>
      <w:r>
        <w:rPr>
          <w:sz w:val="22"/>
          <w:szCs w:val="22"/>
        </w:rPr>
        <w:t>In relation to the closure/consolidation of ITU Offices and reduction of the overall number of offices:</w:t>
      </w:r>
    </w:p>
    <w:p w14:paraId="68493F39" w14:textId="1B25DE5C" w:rsidR="0032210E" w:rsidRDefault="0032210E" w:rsidP="00E53477">
      <w:pPr>
        <w:pStyle w:val="ListParagraph"/>
        <w:numPr>
          <w:ilvl w:val="0"/>
          <w:numId w:val="30"/>
        </w:numPr>
        <w:tabs>
          <w:tab w:val="clear" w:pos="567"/>
          <w:tab w:val="clear" w:pos="1134"/>
          <w:tab w:val="clear" w:pos="1701"/>
          <w:tab w:val="clear" w:pos="2268"/>
          <w:tab w:val="clear" w:pos="2835"/>
        </w:tabs>
        <w:jc w:val="both"/>
        <w:rPr>
          <w:sz w:val="22"/>
          <w:szCs w:val="22"/>
        </w:rPr>
      </w:pPr>
      <w:r>
        <w:rPr>
          <w:sz w:val="22"/>
          <w:szCs w:val="22"/>
        </w:rPr>
        <w:t>The proposed closure or consolidation of existing offices may adversely impact ITU’s regional presence in some sub-regions, and may not have carefully considered the cultural and socioeconomic reasons for the existence of those offices. While the report seeks to strengthen the regional presence, this recommendation could have the effect of weakening ITU’s presence in particular regions or sub-regions.</w:t>
      </w:r>
    </w:p>
    <w:p w14:paraId="6EDF5C3D" w14:textId="1B805C58" w:rsidR="0032210E" w:rsidRDefault="0032210E" w:rsidP="00E53477">
      <w:pPr>
        <w:pStyle w:val="ListParagraph"/>
        <w:numPr>
          <w:ilvl w:val="0"/>
          <w:numId w:val="30"/>
        </w:numPr>
        <w:tabs>
          <w:tab w:val="clear" w:pos="567"/>
          <w:tab w:val="clear" w:pos="1134"/>
          <w:tab w:val="clear" w:pos="1701"/>
          <w:tab w:val="clear" w:pos="2268"/>
          <w:tab w:val="clear" w:pos="2835"/>
        </w:tabs>
        <w:jc w:val="both"/>
        <w:rPr>
          <w:sz w:val="22"/>
          <w:szCs w:val="22"/>
        </w:rPr>
      </w:pPr>
      <w:r>
        <w:rPr>
          <w:sz w:val="22"/>
          <w:szCs w:val="22"/>
        </w:rPr>
        <w:t>The proposal impacts existing member agreements with ITU, and based on its overall impact on ITU’s footprint globally may require decisions by ITU membership at Plenipotentiary level prior to implementation.</w:t>
      </w:r>
    </w:p>
    <w:p w14:paraId="56F32B5F" w14:textId="3F86EFF4" w:rsidR="00D01ADB" w:rsidRDefault="00D01ADB" w:rsidP="00603E0C">
      <w:pPr>
        <w:keepNext/>
        <w:keepLines/>
        <w:tabs>
          <w:tab w:val="clear" w:pos="567"/>
          <w:tab w:val="clear" w:pos="1134"/>
          <w:tab w:val="clear" w:pos="1701"/>
          <w:tab w:val="clear" w:pos="2268"/>
          <w:tab w:val="clear" w:pos="2835"/>
        </w:tabs>
        <w:spacing w:before="240"/>
        <w:jc w:val="both"/>
        <w:rPr>
          <w:sz w:val="22"/>
          <w:szCs w:val="22"/>
        </w:rPr>
      </w:pPr>
      <w:r>
        <w:rPr>
          <w:sz w:val="22"/>
          <w:szCs w:val="22"/>
        </w:rPr>
        <w:lastRenderedPageBreak/>
        <w:t xml:space="preserve">In relation to the proposed removal of the RO level and </w:t>
      </w:r>
      <w:r w:rsidR="00C70643">
        <w:rPr>
          <w:sz w:val="22"/>
          <w:szCs w:val="22"/>
        </w:rPr>
        <w:t>resulting downgrade of RDs to P5 level:</w:t>
      </w:r>
    </w:p>
    <w:p w14:paraId="3B3969FC" w14:textId="0D3ABE54" w:rsidR="004844F6" w:rsidRDefault="00256EC4" w:rsidP="00603E0C">
      <w:pPr>
        <w:pStyle w:val="ListParagraph"/>
        <w:keepNext/>
        <w:keepLines/>
        <w:numPr>
          <w:ilvl w:val="0"/>
          <w:numId w:val="30"/>
        </w:numPr>
        <w:tabs>
          <w:tab w:val="clear" w:pos="567"/>
          <w:tab w:val="clear" w:pos="1134"/>
          <w:tab w:val="clear" w:pos="1701"/>
          <w:tab w:val="clear" w:pos="2268"/>
          <w:tab w:val="clear" w:pos="2835"/>
        </w:tabs>
        <w:jc w:val="both"/>
        <w:rPr>
          <w:sz w:val="22"/>
          <w:szCs w:val="22"/>
        </w:rPr>
      </w:pPr>
      <w:r>
        <w:rPr>
          <w:sz w:val="22"/>
          <w:szCs w:val="22"/>
        </w:rPr>
        <w:t>T</w:t>
      </w:r>
      <w:r w:rsidRPr="00256EC4">
        <w:rPr>
          <w:sz w:val="22"/>
          <w:szCs w:val="22"/>
        </w:rPr>
        <w:t xml:space="preserve">he </w:t>
      </w:r>
      <w:r>
        <w:rPr>
          <w:sz w:val="22"/>
          <w:szCs w:val="22"/>
        </w:rPr>
        <w:t>approach would compromise many of the high</w:t>
      </w:r>
      <w:r w:rsidR="00465E3F">
        <w:rPr>
          <w:sz w:val="22"/>
          <w:szCs w:val="22"/>
        </w:rPr>
        <w:t>-</w:t>
      </w:r>
      <w:r>
        <w:rPr>
          <w:sz w:val="22"/>
          <w:szCs w:val="22"/>
        </w:rPr>
        <w:t>level representative functions currently carried out by the RDs, including</w:t>
      </w:r>
      <w:r w:rsidRPr="00256EC4">
        <w:rPr>
          <w:sz w:val="22"/>
          <w:szCs w:val="22"/>
        </w:rPr>
        <w:t xml:space="preserve"> meeting</w:t>
      </w:r>
      <w:r>
        <w:rPr>
          <w:sz w:val="22"/>
          <w:szCs w:val="22"/>
        </w:rPr>
        <w:t>s</w:t>
      </w:r>
      <w:r w:rsidRPr="00256EC4">
        <w:rPr>
          <w:sz w:val="22"/>
          <w:szCs w:val="22"/>
        </w:rPr>
        <w:t xml:space="preserve"> with Ministers, other UN Agencies, Embassies</w:t>
      </w:r>
      <w:r w:rsidR="004844F6">
        <w:rPr>
          <w:sz w:val="22"/>
          <w:szCs w:val="22"/>
        </w:rPr>
        <w:t xml:space="preserve"> etc</w:t>
      </w:r>
      <w:r w:rsidR="00465E3F">
        <w:rPr>
          <w:sz w:val="22"/>
          <w:szCs w:val="22"/>
        </w:rPr>
        <w:t xml:space="preserve">, potentially creating </w:t>
      </w:r>
      <w:r w:rsidR="00465E3F" w:rsidRPr="00EA1895">
        <w:rPr>
          <w:sz w:val="22"/>
          <w:szCs w:val="22"/>
        </w:rPr>
        <w:t>representation bottleneck at HQ</w:t>
      </w:r>
      <w:r w:rsidR="00465E3F">
        <w:rPr>
          <w:sz w:val="22"/>
          <w:szCs w:val="22"/>
        </w:rPr>
        <w:t>.</w:t>
      </w:r>
    </w:p>
    <w:p w14:paraId="47E11407" w14:textId="77777777" w:rsidR="00107570" w:rsidRDefault="00256EC4" w:rsidP="00603E0C">
      <w:pPr>
        <w:pStyle w:val="ListParagraph"/>
        <w:keepNext/>
        <w:keepLines/>
        <w:numPr>
          <w:ilvl w:val="0"/>
          <w:numId w:val="30"/>
        </w:numPr>
        <w:tabs>
          <w:tab w:val="clear" w:pos="567"/>
          <w:tab w:val="clear" w:pos="1134"/>
          <w:tab w:val="clear" w:pos="1701"/>
          <w:tab w:val="clear" w:pos="2268"/>
          <w:tab w:val="clear" w:pos="2835"/>
        </w:tabs>
        <w:jc w:val="both"/>
        <w:rPr>
          <w:sz w:val="22"/>
          <w:szCs w:val="22"/>
        </w:rPr>
      </w:pPr>
      <w:r w:rsidRPr="00256EC4">
        <w:rPr>
          <w:sz w:val="22"/>
          <w:szCs w:val="22"/>
        </w:rPr>
        <w:t>I</w:t>
      </w:r>
      <w:r w:rsidR="004844F6">
        <w:rPr>
          <w:sz w:val="22"/>
          <w:szCs w:val="22"/>
        </w:rPr>
        <w:t xml:space="preserve">n comparison with </w:t>
      </w:r>
      <w:r w:rsidRPr="00256EC4">
        <w:rPr>
          <w:sz w:val="22"/>
          <w:szCs w:val="22"/>
        </w:rPr>
        <w:t xml:space="preserve">other UN Agencies, the downgrade of </w:t>
      </w:r>
      <w:r w:rsidR="004844F6">
        <w:rPr>
          <w:sz w:val="22"/>
          <w:szCs w:val="22"/>
        </w:rPr>
        <w:t>RDs</w:t>
      </w:r>
      <w:r w:rsidRPr="00256EC4">
        <w:rPr>
          <w:sz w:val="22"/>
          <w:szCs w:val="22"/>
        </w:rPr>
        <w:t xml:space="preserve"> to P5 </w:t>
      </w:r>
      <w:r w:rsidR="004844F6">
        <w:rPr>
          <w:sz w:val="22"/>
          <w:szCs w:val="22"/>
        </w:rPr>
        <w:t xml:space="preserve">Area Office Coordinators </w:t>
      </w:r>
      <w:r w:rsidRPr="00256EC4">
        <w:rPr>
          <w:sz w:val="22"/>
          <w:szCs w:val="22"/>
        </w:rPr>
        <w:t>would diminish greatly the strategic position and visibility of the ITU</w:t>
      </w:r>
      <w:r w:rsidR="004844F6">
        <w:rPr>
          <w:sz w:val="22"/>
          <w:szCs w:val="22"/>
        </w:rPr>
        <w:t xml:space="preserve"> within the UN system</w:t>
      </w:r>
      <w:r w:rsidRPr="00256EC4">
        <w:rPr>
          <w:sz w:val="22"/>
          <w:szCs w:val="22"/>
        </w:rPr>
        <w:t xml:space="preserve">, in view of the facts that many UNRCs are </w:t>
      </w:r>
      <w:r w:rsidR="004844F6">
        <w:rPr>
          <w:sz w:val="22"/>
          <w:szCs w:val="22"/>
        </w:rPr>
        <w:t xml:space="preserve">at </w:t>
      </w:r>
      <w:r w:rsidRPr="00256EC4">
        <w:rPr>
          <w:sz w:val="22"/>
          <w:szCs w:val="22"/>
        </w:rPr>
        <w:t>D1</w:t>
      </w:r>
      <w:r w:rsidR="004844F6">
        <w:rPr>
          <w:sz w:val="22"/>
          <w:szCs w:val="22"/>
        </w:rPr>
        <w:t xml:space="preserve"> level, while</w:t>
      </w:r>
      <w:r w:rsidRPr="00256EC4">
        <w:rPr>
          <w:sz w:val="22"/>
          <w:szCs w:val="22"/>
        </w:rPr>
        <w:t xml:space="preserve"> DCO regional directors are </w:t>
      </w:r>
      <w:r w:rsidR="004844F6">
        <w:rPr>
          <w:sz w:val="22"/>
          <w:szCs w:val="22"/>
        </w:rPr>
        <w:t xml:space="preserve">at </w:t>
      </w:r>
      <w:r w:rsidRPr="00256EC4">
        <w:rPr>
          <w:sz w:val="22"/>
          <w:szCs w:val="22"/>
        </w:rPr>
        <w:t>D2</w:t>
      </w:r>
      <w:r w:rsidR="004844F6">
        <w:rPr>
          <w:sz w:val="22"/>
          <w:szCs w:val="22"/>
        </w:rPr>
        <w:t xml:space="preserve"> level</w:t>
      </w:r>
      <w:r w:rsidR="00107570">
        <w:rPr>
          <w:sz w:val="22"/>
          <w:szCs w:val="22"/>
        </w:rPr>
        <w:t xml:space="preserve">. Participation in many </w:t>
      </w:r>
      <w:r w:rsidRPr="00256EC4">
        <w:rPr>
          <w:sz w:val="22"/>
          <w:szCs w:val="22"/>
        </w:rPr>
        <w:t>UN coordination functions, inc</w:t>
      </w:r>
      <w:r w:rsidR="00107570">
        <w:rPr>
          <w:sz w:val="22"/>
          <w:szCs w:val="22"/>
        </w:rPr>
        <w:t>l</w:t>
      </w:r>
      <w:r w:rsidRPr="00256EC4">
        <w:rPr>
          <w:sz w:val="22"/>
          <w:szCs w:val="22"/>
        </w:rPr>
        <w:t>uding the performance appraisal</w:t>
      </w:r>
      <w:r w:rsidR="00107570">
        <w:rPr>
          <w:sz w:val="22"/>
          <w:szCs w:val="22"/>
        </w:rPr>
        <w:t>s</w:t>
      </w:r>
      <w:r w:rsidRPr="00256EC4">
        <w:rPr>
          <w:sz w:val="22"/>
          <w:szCs w:val="22"/>
        </w:rPr>
        <w:t xml:space="preserve"> of UNRCs requires D1 level representatives. </w:t>
      </w:r>
    </w:p>
    <w:p w14:paraId="0E1BED4E" w14:textId="77777777" w:rsidR="00AC3A20" w:rsidRDefault="00256EC4" w:rsidP="00E53477">
      <w:pPr>
        <w:pStyle w:val="ListParagraph"/>
        <w:numPr>
          <w:ilvl w:val="0"/>
          <w:numId w:val="30"/>
        </w:numPr>
        <w:tabs>
          <w:tab w:val="clear" w:pos="567"/>
          <w:tab w:val="clear" w:pos="1134"/>
          <w:tab w:val="clear" w:pos="1701"/>
          <w:tab w:val="clear" w:pos="2268"/>
          <w:tab w:val="clear" w:pos="2835"/>
        </w:tabs>
        <w:jc w:val="both"/>
        <w:rPr>
          <w:sz w:val="22"/>
          <w:szCs w:val="22"/>
        </w:rPr>
      </w:pPr>
      <w:r w:rsidRPr="00256EC4">
        <w:rPr>
          <w:sz w:val="22"/>
          <w:szCs w:val="22"/>
        </w:rPr>
        <w:t>Some R</w:t>
      </w:r>
      <w:r w:rsidR="00AC3A20">
        <w:rPr>
          <w:sz w:val="22"/>
          <w:szCs w:val="22"/>
        </w:rPr>
        <w:t xml:space="preserve">egional </w:t>
      </w:r>
      <w:r w:rsidRPr="00256EC4">
        <w:rPr>
          <w:sz w:val="22"/>
          <w:szCs w:val="22"/>
        </w:rPr>
        <w:t>T</w:t>
      </w:r>
      <w:r w:rsidR="00AC3A20">
        <w:rPr>
          <w:sz w:val="22"/>
          <w:szCs w:val="22"/>
        </w:rPr>
        <w:t xml:space="preserve">elecommunications </w:t>
      </w:r>
      <w:r w:rsidRPr="00256EC4">
        <w:rPr>
          <w:sz w:val="22"/>
          <w:szCs w:val="22"/>
        </w:rPr>
        <w:t>O</w:t>
      </w:r>
      <w:r w:rsidR="00AC3A20">
        <w:rPr>
          <w:sz w:val="22"/>
          <w:szCs w:val="22"/>
        </w:rPr>
        <w:t>rganisation (RTO)</w:t>
      </w:r>
      <w:r w:rsidRPr="00256EC4">
        <w:rPr>
          <w:sz w:val="22"/>
          <w:szCs w:val="22"/>
        </w:rPr>
        <w:t xml:space="preserve"> heads are at D2 level</w:t>
      </w:r>
      <w:r w:rsidR="00AC3A20">
        <w:rPr>
          <w:sz w:val="22"/>
          <w:szCs w:val="22"/>
        </w:rPr>
        <w:t>,</w:t>
      </w:r>
      <w:r w:rsidRPr="00256EC4">
        <w:rPr>
          <w:sz w:val="22"/>
          <w:szCs w:val="22"/>
        </w:rPr>
        <w:t xml:space="preserve"> and a P5 representative </w:t>
      </w:r>
      <w:r w:rsidR="00AC3A20">
        <w:rPr>
          <w:sz w:val="22"/>
          <w:szCs w:val="22"/>
        </w:rPr>
        <w:t xml:space="preserve">may be limited in ability to </w:t>
      </w:r>
      <w:r w:rsidRPr="00256EC4">
        <w:rPr>
          <w:sz w:val="22"/>
          <w:szCs w:val="22"/>
        </w:rPr>
        <w:t xml:space="preserve">negotiate and strategically position ITU's work in the discussion with RTOs. </w:t>
      </w:r>
    </w:p>
    <w:p w14:paraId="148ECDC6" w14:textId="4B8557C0" w:rsidR="00055384" w:rsidRDefault="00256EC4" w:rsidP="00E53477">
      <w:pPr>
        <w:pStyle w:val="ListParagraph"/>
        <w:numPr>
          <w:ilvl w:val="0"/>
          <w:numId w:val="30"/>
        </w:numPr>
        <w:tabs>
          <w:tab w:val="clear" w:pos="567"/>
          <w:tab w:val="clear" w:pos="1134"/>
          <w:tab w:val="clear" w:pos="1701"/>
          <w:tab w:val="clear" w:pos="2268"/>
          <w:tab w:val="clear" w:pos="2835"/>
        </w:tabs>
        <w:jc w:val="both"/>
        <w:rPr>
          <w:sz w:val="22"/>
          <w:szCs w:val="22"/>
        </w:rPr>
      </w:pPr>
      <w:r w:rsidRPr="00256EC4">
        <w:rPr>
          <w:sz w:val="22"/>
          <w:szCs w:val="22"/>
        </w:rPr>
        <w:t xml:space="preserve">Due to time differences, regional RTO and UN coordination meetings often take place outside CET working hours and it is not practical </w:t>
      </w:r>
      <w:r w:rsidR="00AC3A20">
        <w:rPr>
          <w:sz w:val="22"/>
          <w:szCs w:val="22"/>
        </w:rPr>
        <w:t xml:space="preserve">for the Regional Desk (or Deputy to the Director) </w:t>
      </w:r>
      <w:r w:rsidRPr="00256EC4">
        <w:rPr>
          <w:sz w:val="22"/>
          <w:szCs w:val="22"/>
        </w:rPr>
        <w:t xml:space="preserve">to cover all these meetings from </w:t>
      </w:r>
      <w:r w:rsidR="00AC3A20">
        <w:rPr>
          <w:sz w:val="22"/>
          <w:szCs w:val="22"/>
        </w:rPr>
        <w:t>ITU HQ</w:t>
      </w:r>
      <w:r w:rsidRPr="00256EC4">
        <w:rPr>
          <w:sz w:val="22"/>
          <w:szCs w:val="22"/>
        </w:rPr>
        <w:t>.</w:t>
      </w:r>
    </w:p>
    <w:p w14:paraId="4CD6E3E1" w14:textId="77777777" w:rsidR="00055384" w:rsidRDefault="00256EC4" w:rsidP="00E53477">
      <w:pPr>
        <w:pStyle w:val="ListParagraph"/>
        <w:numPr>
          <w:ilvl w:val="0"/>
          <w:numId w:val="30"/>
        </w:numPr>
        <w:tabs>
          <w:tab w:val="clear" w:pos="567"/>
          <w:tab w:val="clear" w:pos="1134"/>
          <w:tab w:val="clear" w:pos="1701"/>
          <w:tab w:val="clear" w:pos="2268"/>
          <w:tab w:val="clear" w:pos="2835"/>
        </w:tabs>
        <w:jc w:val="both"/>
        <w:rPr>
          <w:sz w:val="22"/>
          <w:szCs w:val="22"/>
        </w:rPr>
      </w:pPr>
      <w:r w:rsidRPr="00256EC4">
        <w:rPr>
          <w:sz w:val="22"/>
          <w:szCs w:val="22"/>
        </w:rPr>
        <w:t xml:space="preserve">The recently published CEB report (CEB/2020/HLCM/13) on the future of UN workforce emphasized the need for increasing field presence and accountability, as "This strong field capacity is one of the UN system's greatest strengths and added value in the international system and they are functions that cannot easily be performed remotely." </w:t>
      </w:r>
    </w:p>
    <w:p w14:paraId="3D266DAB" w14:textId="77777777" w:rsidR="00CA7657" w:rsidRDefault="00055384" w:rsidP="00E53477">
      <w:pPr>
        <w:pStyle w:val="ListParagraph"/>
        <w:numPr>
          <w:ilvl w:val="0"/>
          <w:numId w:val="30"/>
        </w:numPr>
        <w:tabs>
          <w:tab w:val="clear" w:pos="567"/>
          <w:tab w:val="clear" w:pos="1134"/>
          <w:tab w:val="clear" w:pos="1701"/>
          <w:tab w:val="clear" w:pos="2268"/>
          <w:tab w:val="clear" w:pos="2835"/>
        </w:tabs>
        <w:jc w:val="both"/>
        <w:rPr>
          <w:sz w:val="22"/>
          <w:szCs w:val="22"/>
        </w:rPr>
      </w:pPr>
      <w:r>
        <w:rPr>
          <w:sz w:val="22"/>
          <w:szCs w:val="22"/>
        </w:rPr>
        <w:t>I</w:t>
      </w:r>
      <w:r w:rsidR="00256EC4" w:rsidRPr="00256EC4">
        <w:rPr>
          <w:sz w:val="22"/>
          <w:szCs w:val="22"/>
        </w:rPr>
        <w:t xml:space="preserve">t would be impractical to manage an increasing number of staff and UN coordination work centrally outside the respective time zones. </w:t>
      </w:r>
      <w:r w:rsidR="00EA1895" w:rsidRPr="00EA1895">
        <w:rPr>
          <w:sz w:val="22"/>
          <w:szCs w:val="22"/>
        </w:rPr>
        <w:t>The recommendation appears to</w:t>
      </w:r>
      <w:r w:rsidR="00256EC4" w:rsidRPr="00EA1895">
        <w:rPr>
          <w:sz w:val="22"/>
          <w:szCs w:val="22"/>
        </w:rPr>
        <w:t xml:space="preserve"> contradict other recommendations of the PwC report </w:t>
      </w:r>
      <w:r w:rsidR="00EA1895">
        <w:rPr>
          <w:sz w:val="22"/>
          <w:szCs w:val="22"/>
        </w:rPr>
        <w:t xml:space="preserve">related to strengthening </w:t>
      </w:r>
      <w:r w:rsidR="00CA7657">
        <w:rPr>
          <w:sz w:val="22"/>
          <w:szCs w:val="22"/>
        </w:rPr>
        <w:t>the regional presence</w:t>
      </w:r>
      <w:r w:rsidR="00256EC4" w:rsidRPr="00EA1895">
        <w:rPr>
          <w:sz w:val="22"/>
          <w:szCs w:val="22"/>
        </w:rPr>
        <w:t xml:space="preserve">. </w:t>
      </w:r>
    </w:p>
    <w:p w14:paraId="3BCB339F" w14:textId="36B04AE5" w:rsidR="00465E3F" w:rsidRPr="00185653" w:rsidRDefault="00256EC4" w:rsidP="00E53477">
      <w:pPr>
        <w:pStyle w:val="ListParagraph"/>
        <w:numPr>
          <w:ilvl w:val="0"/>
          <w:numId w:val="30"/>
        </w:numPr>
        <w:tabs>
          <w:tab w:val="clear" w:pos="567"/>
          <w:tab w:val="clear" w:pos="1134"/>
          <w:tab w:val="clear" w:pos="1701"/>
          <w:tab w:val="clear" w:pos="2268"/>
          <w:tab w:val="clear" w:pos="2835"/>
        </w:tabs>
        <w:jc w:val="both"/>
        <w:rPr>
          <w:sz w:val="22"/>
          <w:szCs w:val="22"/>
        </w:rPr>
      </w:pPr>
      <w:r w:rsidRPr="00EA1895">
        <w:rPr>
          <w:sz w:val="22"/>
          <w:szCs w:val="22"/>
        </w:rPr>
        <w:t xml:space="preserve">The </w:t>
      </w:r>
      <w:r w:rsidRPr="00185653">
        <w:rPr>
          <w:sz w:val="22"/>
          <w:szCs w:val="22"/>
        </w:rPr>
        <w:t xml:space="preserve">recommendation would </w:t>
      </w:r>
      <w:r w:rsidR="00CA7657" w:rsidRPr="00185653">
        <w:rPr>
          <w:sz w:val="22"/>
          <w:szCs w:val="22"/>
        </w:rPr>
        <w:t>undermine many of the efforts regarding strengthening</w:t>
      </w:r>
      <w:r w:rsidRPr="00185653">
        <w:rPr>
          <w:sz w:val="22"/>
          <w:szCs w:val="22"/>
        </w:rPr>
        <w:t xml:space="preserve"> internal control</w:t>
      </w:r>
      <w:r w:rsidR="00CA7657" w:rsidRPr="00185653">
        <w:rPr>
          <w:sz w:val="22"/>
          <w:szCs w:val="22"/>
        </w:rPr>
        <w:t>s and accountability in the regional presence, removing</w:t>
      </w:r>
      <w:r w:rsidRPr="00185653">
        <w:rPr>
          <w:sz w:val="22"/>
          <w:szCs w:val="22"/>
        </w:rPr>
        <w:t xml:space="preserve"> onsite oversight and management. </w:t>
      </w:r>
    </w:p>
    <w:p w14:paraId="5902F931" w14:textId="12078A80" w:rsidR="00723504" w:rsidRPr="00185653" w:rsidRDefault="00C70643" w:rsidP="00E53477">
      <w:pPr>
        <w:jc w:val="both"/>
        <w:rPr>
          <w:sz w:val="22"/>
          <w:szCs w:val="22"/>
        </w:rPr>
      </w:pPr>
      <w:r w:rsidRPr="00185653">
        <w:rPr>
          <w:sz w:val="22"/>
          <w:szCs w:val="22"/>
        </w:rPr>
        <w:t xml:space="preserve">In relation to the creation of a Regional Desk, concerns were noted that the creation of </w:t>
      </w:r>
      <w:r w:rsidR="00D01ADB" w:rsidRPr="00185653">
        <w:rPr>
          <w:sz w:val="22"/>
          <w:szCs w:val="22"/>
        </w:rPr>
        <w:t>a Regional desk might</w:t>
      </w:r>
      <w:r w:rsidR="00E53F55" w:rsidRPr="00185653">
        <w:rPr>
          <w:sz w:val="22"/>
          <w:szCs w:val="22"/>
        </w:rPr>
        <w:t>,</w:t>
      </w:r>
      <w:r w:rsidR="00D01ADB" w:rsidRPr="00185653">
        <w:rPr>
          <w:sz w:val="22"/>
          <w:szCs w:val="22"/>
        </w:rPr>
        <w:t xml:space="preserve"> due to </w:t>
      </w:r>
      <w:r w:rsidR="00E53F55" w:rsidRPr="00185653">
        <w:rPr>
          <w:sz w:val="22"/>
          <w:szCs w:val="22"/>
        </w:rPr>
        <w:t xml:space="preserve">a </w:t>
      </w:r>
      <w:proofErr w:type="gramStart"/>
      <w:r w:rsidR="00D01ADB" w:rsidRPr="00185653">
        <w:rPr>
          <w:sz w:val="22"/>
          <w:szCs w:val="22"/>
        </w:rPr>
        <w:t>single entry</w:t>
      </w:r>
      <w:proofErr w:type="gramEnd"/>
      <w:r w:rsidR="00D01ADB" w:rsidRPr="00185653">
        <w:rPr>
          <w:sz w:val="22"/>
          <w:szCs w:val="22"/>
        </w:rPr>
        <w:t xml:space="preserve"> point between </w:t>
      </w:r>
      <w:r w:rsidR="00E53F55" w:rsidRPr="00185653">
        <w:rPr>
          <w:sz w:val="22"/>
          <w:szCs w:val="22"/>
        </w:rPr>
        <w:t xml:space="preserve">AOs and HW, </w:t>
      </w:r>
      <w:r w:rsidR="00D01ADB" w:rsidRPr="00185653">
        <w:rPr>
          <w:sz w:val="22"/>
          <w:szCs w:val="22"/>
        </w:rPr>
        <w:t>create bottleneck in coordination,</w:t>
      </w:r>
      <w:r w:rsidR="00E53F55" w:rsidRPr="00185653">
        <w:rPr>
          <w:sz w:val="22"/>
          <w:szCs w:val="22"/>
        </w:rPr>
        <w:t xml:space="preserve"> particularly considering </w:t>
      </w:r>
      <w:r w:rsidR="00D01ADB" w:rsidRPr="00185653">
        <w:rPr>
          <w:sz w:val="22"/>
          <w:szCs w:val="22"/>
        </w:rPr>
        <w:t xml:space="preserve">the different time zones the ROs operate in. </w:t>
      </w:r>
      <w:r w:rsidR="006619A1" w:rsidRPr="00185653">
        <w:rPr>
          <w:sz w:val="22"/>
          <w:szCs w:val="22"/>
        </w:rPr>
        <w:t xml:space="preserve">It is noted that although PwC notes the removal of a layer in their report, it would in fact simply remove a layer since the Regional Desk would create a centralised team to replace the </w:t>
      </w:r>
      <w:proofErr w:type="spellStart"/>
      <w:r w:rsidR="00D01ADB" w:rsidRPr="00185653">
        <w:rPr>
          <w:sz w:val="22"/>
          <w:szCs w:val="22"/>
        </w:rPr>
        <w:t>RD</w:t>
      </w:r>
      <w:r w:rsidR="006619A1" w:rsidRPr="00185653">
        <w:rPr>
          <w:sz w:val="22"/>
          <w:szCs w:val="22"/>
        </w:rPr>
        <w:t>s</w:t>
      </w:r>
      <w:r w:rsidR="00D01ADB" w:rsidRPr="00185653">
        <w:rPr>
          <w:sz w:val="22"/>
          <w:szCs w:val="22"/>
        </w:rPr>
        <w:t>.</w:t>
      </w:r>
      <w:proofErr w:type="spellEnd"/>
      <w:r w:rsidR="00D01ADB" w:rsidRPr="00185653">
        <w:rPr>
          <w:sz w:val="22"/>
          <w:szCs w:val="22"/>
        </w:rPr>
        <w:t xml:space="preserve"> </w:t>
      </w:r>
      <w:r w:rsidR="00185653" w:rsidRPr="00185653">
        <w:rPr>
          <w:sz w:val="22"/>
          <w:szCs w:val="22"/>
        </w:rPr>
        <w:t>Finally, questions were raised about the size of the office.</w:t>
      </w:r>
    </w:p>
    <w:p w14:paraId="527FC170" w14:textId="1406909A" w:rsidR="00423C3D" w:rsidRDefault="00723504" w:rsidP="00E53477">
      <w:pPr>
        <w:jc w:val="both"/>
        <w:rPr>
          <w:sz w:val="22"/>
          <w:szCs w:val="22"/>
        </w:rPr>
      </w:pPr>
      <w:r w:rsidRPr="00185653">
        <w:rPr>
          <w:sz w:val="22"/>
          <w:szCs w:val="22"/>
        </w:rPr>
        <w:t xml:space="preserve">Due to the reasons given in response to this recommendation, and considering the need to enhance regional presence, ITU Secretariat </w:t>
      </w:r>
      <w:r w:rsidR="00310602">
        <w:rPr>
          <w:sz w:val="22"/>
          <w:szCs w:val="22"/>
        </w:rPr>
        <w:t>is not aligned with</w:t>
      </w:r>
      <w:r w:rsidRPr="00185653">
        <w:rPr>
          <w:sz w:val="22"/>
          <w:szCs w:val="22"/>
        </w:rPr>
        <w:t xml:space="preserve"> the </w:t>
      </w:r>
      <w:r w:rsidR="00310602">
        <w:rPr>
          <w:sz w:val="22"/>
          <w:szCs w:val="22"/>
        </w:rPr>
        <w:t>proposed change to</w:t>
      </w:r>
      <w:r w:rsidRPr="00185653">
        <w:rPr>
          <w:sz w:val="22"/>
          <w:szCs w:val="22"/>
        </w:rPr>
        <w:t xml:space="preserve"> </w:t>
      </w:r>
      <w:r w:rsidR="00310602">
        <w:rPr>
          <w:sz w:val="22"/>
          <w:szCs w:val="22"/>
        </w:rPr>
        <w:t>an Area Only model, with consequent changes to</w:t>
      </w:r>
      <w:r w:rsidRPr="00185653">
        <w:rPr>
          <w:sz w:val="22"/>
          <w:szCs w:val="22"/>
        </w:rPr>
        <w:t xml:space="preserve"> leadership level</w:t>
      </w:r>
      <w:r w:rsidR="00310602">
        <w:rPr>
          <w:sz w:val="22"/>
          <w:szCs w:val="22"/>
        </w:rPr>
        <w:t>s</w:t>
      </w:r>
      <w:r w:rsidRPr="00185653">
        <w:rPr>
          <w:sz w:val="22"/>
          <w:szCs w:val="22"/>
        </w:rPr>
        <w:t xml:space="preserve">. </w:t>
      </w:r>
      <w:r w:rsidR="00423C3D">
        <w:rPr>
          <w:sz w:val="22"/>
          <w:szCs w:val="22"/>
        </w:rPr>
        <w:t>The Secretariat considers that this matter should be carefully considered by Council. T</w:t>
      </w:r>
      <w:r w:rsidR="00310602">
        <w:rPr>
          <w:sz w:val="22"/>
          <w:szCs w:val="22"/>
        </w:rPr>
        <w:t xml:space="preserve">he Secretariat considers that </w:t>
      </w:r>
      <w:r w:rsidR="00423C3D">
        <w:rPr>
          <w:sz w:val="22"/>
          <w:szCs w:val="22"/>
        </w:rPr>
        <w:t xml:space="preserve">some of the other changes recommended (such as </w:t>
      </w:r>
      <w:r w:rsidR="00310602">
        <w:rPr>
          <w:sz w:val="22"/>
          <w:szCs w:val="22"/>
        </w:rPr>
        <w:t xml:space="preserve">the improved coordination </w:t>
      </w:r>
      <w:r w:rsidR="00423C3D">
        <w:rPr>
          <w:sz w:val="22"/>
          <w:szCs w:val="22"/>
        </w:rPr>
        <w:t xml:space="preserve">through implementation of dedicated coordination staff at HQ) may improve efficiency, monitoring, </w:t>
      </w:r>
      <w:proofErr w:type="gramStart"/>
      <w:r w:rsidR="00423C3D">
        <w:rPr>
          <w:sz w:val="22"/>
          <w:szCs w:val="22"/>
        </w:rPr>
        <w:t>evaluation</w:t>
      </w:r>
      <w:proofErr w:type="gramEnd"/>
      <w:r w:rsidR="00423C3D">
        <w:rPr>
          <w:sz w:val="22"/>
          <w:szCs w:val="22"/>
        </w:rPr>
        <w:t xml:space="preserve"> and reporting, and would be appropriate for management consideration. </w:t>
      </w:r>
    </w:p>
    <w:p w14:paraId="3760EA2C" w14:textId="59FE348A" w:rsidR="00723504" w:rsidRPr="00185653" w:rsidRDefault="00423C3D" w:rsidP="00E53477">
      <w:pPr>
        <w:jc w:val="both"/>
        <w:rPr>
          <w:sz w:val="22"/>
          <w:szCs w:val="22"/>
        </w:rPr>
      </w:pPr>
      <w:r>
        <w:rPr>
          <w:sz w:val="22"/>
          <w:szCs w:val="22"/>
        </w:rPr>
        <w:t>Finally, on t</w:t>
      </w:r>
      <w:r w:rsidR="00310602">
        <w:rPr>
          <w:sz w:val="22"/>
          <w:szCs w:val="22"/>
        </w:rPr>
        <w:t>he issue of consolidation of offices</w:t>
      </w:r>
      <w:r>
        <w:rPr>
          <w:sz w:val="22"/>
          <w:szCs w:val="22"/>
        </w:rPr>
        <w:t>, the Secretariat considers that this</w:t>
      </w:r>
      <w:r w:rsidR="00310602">
        <w:rPr>
          <w:sz w:val="22"/>
          <w:szCs w:val="22"/>
        </w:rPr>
        <w:t xml:space="preserve"> should be carefully considered by membership, having regard to the efficiency and other metrics set out in PwC’s analysis.</w:t>
      </w:r>
    </w:p>
    <w:p w14:paraId="74BB24EE" w14:textId="7F7486B4" w:rsidR="00127D8D" w:rsidRPr="00C948D7" w:rsidRDefault="00127D8D" w:rsidP="00E53477">
      <w:pPr>
        <w:pStyle w:val="ListBullet"/>
        <w:numPr>
          <w:ilvl w:val="0"/>
          <w:numId w:val="24"/>
        </w:numPr>
        <w:spacing w:before="240" w:line="240" w:lineRule="auto"/>
        <w:jc w:val="both"/>
        <w:rPr>
          <w:rFonts w:cstheme="minorHAnsi"/>
          <w:b/>
          <w:bCs/>
          <w:sz w:val="22"/>
          <w:szCs w:val="22"/>
          <w:lang w:eastAsia="fr-CH"/>
        </w:rPr>
      </w:pPr>
      <w:r w:rsidRPr="00C948D7">
        <w:rPr>
          <w:rFonts w:cstheme="minorHAnsi"/>
          <w:b/>
          <w:bCs/>
          <w:sz w:val="22"/>
          <w:szCs w:val="22"/>
          <w:lang w:eastAsia="fr-CH"/>
        </w:rPr>
        <w:t>Change Management</w:t>
      </w:r>
    </w:p>
    <w:p w14:paraId="4A84A629" w14:textId="77777777" w:rsidR="00127D8D" w:rsidRPr="00C948D7" w:rsidRDefault="00127D8D" w:rsidP="00E53477">
      <w:pPr>
        <w:pStyle w:val="ListBullet"/>
        <w:numPr>
          <w:ilvl w:val="0"/>
          <w:numId w:val="0"/>
        </w:numPr>
        <w:spacing w:before="240" w:line="240" w:lineRule="auto"/>
        <w:jc w:val="both"/>
        <w:rPr>
          <w:rFonts w:cstheme="minorHAnsi"/>
          <w:sz w:val="22"/>
          <w:szCs w:val="22"/>
          <w:lang w:eastAsia="fr-CH"/>
        </w:rPr>
      </w:pPr>
      <w:r w:rsidRPr="00C948D7">
        <w:rPr>
          <w:rFonts w:cstheme="minorHAnsi"/>
          <w:sz w:val="22"/>
          <w:szCs w:val="22"/>
          <w:lang w:eastAsia="fr-CH"/>
        </w:rPr>
        <w:t>The change management stream covers efforts to secure political alignment among the membership on the way forward and introduce the appropriate governance and project management mechanisms. This stream focusses on the management of the transition and aims at sustaining the change.</w:t>
      </w:r>
    </w:p>
    <w:p w14:paraId="38F078B1" w14:textId="2B699634" w:rsidR="00127D8D" w:rsidRPr="00115180" w:rsidRDefault="00201556" w:rsidP="00E53477">
      <w:pPr>
        <w:jc w:val="both"/>
        <w:rPr>
          <w:rFonts w:cs="Calibri"/>
          <w:b/>
          <w:bCs/>
          <w:color w:val="000000"/>
          <w:sz w:val="22"/>
          <w:szCs w:val="22"/>
          <w:shd w:val="clear" w:color="auto" w:fill="FFFFFF"/>
        </w:rPr>
      </w:pPr>
      <w:r w:rsidRPr="008254DF">
        <w:rPr>
          <w:b/>
          <w:bCs/>
          <w:sz w:val="22"/>
          <w:szCs w:val="22"/>
          <w:lang w:eastAsia="fr-CH"/>
        </w:rPr>
        <w:t xml:space="preserve">PwC </w:t>
      </w:r>
      <w:r>
        <w:rPr>
          <w:b/>
          <w:bCs/>
          <w:sz w:val="22"/>
          <w:szCs w:val="22"/>
          <w:lang w:eastAsia="fr-CH"/>
        </w:rPr>
        <w:t xml:space="preserve">Recommendation </w:t>
      </w:r>
      <w:r w:rsidR="003272EA" w:rsidRPr="00115180">
        <w:rPr>
          <w:rFonts w:cs="Calibri"/>
          <w:b/>
          <w:bCs/>
          <w:color w:val="000000"/>
          <w:sz w:val="22"/>
          <w:szCs w:val="22"/>
          <w:shd w:val="clear" w:color="auto" w:fill="FFFFFF"/>
        </w:rPr>
        <w:t>4.2.1</w:t>
      </w:r>
      <w:r>
        <w:rPr>
          <w:rFonts w:cs="Calibri"/>
          <w:b/>
          <w:bCs/>
          <w:color w:val="000000"/>
          <w:sz w:val="22"/>
          <w:szCs w:val="22"/>
          <w:shd w:val="clear" w:color="auto" w:fill="FFFFFF"/>
        </w:rPr>
        <w:t>:</w:t>
      </w:r>
      <w:r w:rsidR="00F56F54" w:rsidRPr="00115180">
        <w:rPr>
          <w:rFonts w:cs="Calibri"/>
          <w:b/>
          <w:bCs/>
          <w:color w:val="000000"/>
          <w:sz w:val="22"/>
          <w:szCs w:val="22"/>
          <w:shd w:val="clear" w:color="auto" w:fill="FFFFFF"/>
        </w:rPr>
        <w:tab/>
      </w:r>
      <w:r w:rsidR="00127D8D" w:rsidRPr="00115180">
        <w:rPr>
          <w:rFonts w:cs="Calibri"/>
          <w:b/>
          <w:bCs/>
          <w:color w:val="000000"/>
          <w:sz w:val="22"/>
          <w:szCs w:val="22"/>
          <w:shd w:val="clear" w:color="auto" w:fill="FFFFFF"/>
        </w:rPr>
        <w:t>Steer and Manage the Transition</w:t>
      </w:r>
    </w:p>
    <w:p w14:paraId="75D4630D" w14:textId="093CE853" w:rsidR="00F56F54" w:rsidRPr="00C948D7" w:rsidRDefault="00F56F54" w:rsidP="00E53477">
      <w:pPr>
        <w:jc w:val="both"/>
        <w:rPr>
          <w:rFonts w:cs="Calibri"/>
          <w:color w:val="000000"/>
          <w:sz w:val="22"/>
          <w:szCs w:val="22"/>
          <w:shd w:val="clear" w:color="auto" w:fill="FFFFFF"/>
        </w:rPr>
      </w:pPr>
      <w:r>
        <w:rPr>
          <w:rFonts w:cs="Calibri"/>
          <w:color w:val="000000"/>
          <w:sz w:val="22"/>
          <w:szCs w:val="22"/>
          <w:shd w:val="clear" w:color="auto" w:fill="FFFFFF"/>
        </w:rPr>
        <w:t>In this section PWC has proposed a framework for oversight and management of the change process, and the Secretariat considers that a key modification of the process should be the involvement of ITU Council.</w:t>
      </w:r>
    </w:p>
    <w:p w14:paraId="12B0952A" w14:textId="74CFC4A8" w:rsidR="00127D8D" w:rsidRPr="00C948D7" w:rsidRDefault="7FEE1F47" w:rsidP="00E53477">
      <w:pPr>
        <w:jc w:val="both"/>
        <w:rPr>
          <w:rFonts w:cs="Calibri"/>
          <w:color w:val="000000"/>
          <w:sz w:val="22"/>
          <w:szCs w:val="22"/>
          <w:shd w:val="clear" w:color="auto" w:fill="FFFFFF"/>
        </w:rPr>
      </w:pPr>
      <w:r>
        <w:rPr>
          <w:rFonts w:cs="Calibri"/>
          <w:color w:val="000000"/>
          <w:sz w:val="22"/>
          <w:szCs w:val="22"/>
          <w:shd w:val="clear" w:color="auto" w:fill="FFFFFF"/>
        </w:rPr>
        <w:t xml:space="preserve">The Secretariat believes that </w:t>
      </w:r>
      <w:r w:rsidR="5200F9E4" w:rsidRPr="00C948D7">
        <w:rPr>
          <w:rFonts w:cs="Calibri"/>
          <w:color w:val="000000"/>
          <w:sz w:val="22"/>
          <w:szCs w:val="22"/>
          <w:shd w:val="clear" w:color="auto" w:fill="FFFFFF"/>
        </w:rPr>
        <w:t xml:space="preserve">oversight of the process at membership level should be through </w:t>
      </w:r>
      <w:proofErr w:type="gramStart"/>
      <w:r w:rsidR="5200F9E4" w:rsidRPr="00C948D7">
        <w:rPr>
          <w:rFonts w:cs="Calibri"/>
          <w:color w:val="000000"/>
          <w:sz w:val="22"/>
          <w:szCs w:val="22"/>
          <w:shd w:val="clear" w:color="auto" w:fill="FFFFFF"/>
        </w:rPr>
        <w:t xml:space="preserve">a </w:t>
      </w:r>
      <w:r w:rsidR="2DB9D871" w:rsidRPr="00C948D7">
        <w:rPr>
          <w:rFonts w:cs="Calibri"/>
          <w:color w:val="000000"/>
          <w:sz w:val="22"/>
          <w:szCs w:val="22"/>
          <w:shd w:val="clear" w:color="auto" w:fill="FFFFFF"/>
        </w:rPr>
        <w:t>the</w:t>
      </w:r>
      <w:proofErr w:type="gramEnd"/>
      <w:r w:rsidR="2DB9D871" w:rsidRPr="00C948D7">
        <w:rPr>
          <w:rFonts w:cs="Calibri"/>
          <w:color w:val="000000"/>
          <w:sz w:val="22"/>
          <w:szCs w:val="22"/>
          <w:shd w:val="clear" w:color="auto" w:fill="FFFFFF"/>
        </w:rPr>
        <w:t xml:space="preserve"> Elected Offic</w:t>
      </w:r>
      <w:r w:rsidR="00E53477">
        <w:rPr>
          <w:rFonts w:cs="Calibri"/>
          <w:color w:val="000000"/>
          <w:sz w:val="22"/>
          <w:szCs w:val="22"/>
          <w:shd w:val="clear" w:color="auto" w:fill="FFFFFF"/>
        </w:rPr>
        <w:t>i</w:t>
      </w:r>
      <w:r w:rsidR="2DB9D871" w:rsidRPr="00C948D7">
        <w:rPr>
          <w:rFonts w:cs="Calibri"/>
          <w:color w:val="000000"/>
          <w:sz w:val="22"/>
          <w:szCs w:val="22"/>
          <w:shd w:val="clear" w:color="auto" w:fill="FFFFFF"/>
        </w:rPr>
        <w:t>als</w:t>
      </w:r>
      <w:r w:rsidR="5200F9E4" w:rsidRPr="00C948D7">
        <w:rPr>
          <w:rFonts w:cs="Calibri"/>
          <w:color w:val="000000"/>
          <w:sz w:val="22"/>
          <w:szCs w:val="22"/>
          <w:shd w:val="clear" w:color="auto" w:fill="FFFFFF"/>
        </w:rPr>
        <w:t xml:space="preserve">, with upward reporting to Council. </w:t>
      </w:r>
    </w:p>
    <w:p w14:paraId="1B571BB1" w14:textId="61B86547" w:rsidR="00127D8D" w:rsidRPr="00C948D7" w:rsidRDefault="6A28EDCF" w:rsidP="00E53477">
      <w:pPr>
        <w:jc w:val="both"/>
        <w:rPr>
          <w:rFonts w:cs="Calibri"/>
          <w:color w:val="000000"/>
          <w:sz w:val="22"/>
          <w:szCs w:val="22"/>
          <w:shd w:val="clear" w:color="auto" w:fill="FFFFFF"/>
        </w:rPr>
      </w:pPr>
      <w:r>
        <w:rPr>
          <w:rFonts w:cs="Calibri"/>
          <w:color w:val="000000"/>
          <w:sz w:val="22"/>
          <w:szCs w:val="22"/>
          <w:shd w:val="clear" w:color="auto" w:fill="FFFFFF"/>
        </w:rPr>
        <w:lastRenderedPageBreak/>
        <w:t>The Secretariat agrees with the internal process proposed by PwC. A</w:t>
      </w:r>
      <w:r w:rsidR="5200F9E4" w:rsidRPr="00C948D7">
        <w:rPr>
          <w:rFonts w:cs="Calibri"/>
          <w:color w:val="000000"/>
          <w:sz w:val="22"/>
          <w:szCs w:val="22"/>
          <w:shd w:val="clear" w:color="auto" w:fill="FFFFFF"/>
        </w:rPr>
        <w:t xml:space="preserve"> dedicated Task Force </w:t>
      </w:r>
      <w:r>
        <w:rPr>
          <w:rFonts w:cs="Calibri"/>
          <w:color w:val="000000"/>
          <w:sz w:val="22"/>
          <w:szCs w:val="22"/>
          <w:shd w:val="clear" w:color="auto" w:fill="FFFFFF"/>
        </w:rPr>
        <w:t xml:space="preserve">will </w:t>
      </w:r>
      <w:r w:rsidR="5200F9E4" w:rsidRPr="00C948D7">
        <w:rPr>
          <w:rFonts w:cs="Calibri"/>
          <w:color w:val="000000"/>
          <w:sz w:val="22"/>
          <w:szCs w:val="22"/>
          <w:shd w:val="clear" w:color="auto" w:fill="FFFFFF"/>
        </w:rPr>
        <w:t xml:space="preserve">be appointed to guide the process. The Task Force should meet on a quarterly basis and engage </w:t>
      </w:r>
      <w:r>
        <w:rPr>
          <w:rFonts w:cs="Calibri"/>
          <w:color w:val="000000"/>
          <w:sz w:val="22"/>
          <w:szCs w:val="22"/>
          <w:shd w:val="clear" w:color="auto" w:fill="FFFFFF"/>
        </w:rPr>
        <w:t xml:space="preserve">otherwise as </w:t>
      </w:r>
      <w:r w:rsidR="5200F9E4" w:rsidRPr="00C948D7">
        <w:rPr>
          <w:rFonts w:cs="Calibri"/>
          <w:color w:val="000000"/>
          <w:sz w:val="22"/>
          <w:szCs w:val="22"/>
          <w:shd w:val="clear" w:color="auto" w:fill="FFFFFF"/>
        </w:rPr>
        <w:t xml:space="preserve">required. The Task Force would </w:t>
      </w:r>
      <w:r w:rsidR="06FDBF1F">
        <w:rPr>
          <w:rFonts w:cs="Calibri"/>
          <w:color w:val="000000"/>
          <w:sz w:val="22"/>
          <w:szCs w:val="22"/>
          <w:shd w:val="clear" w:color="auto" w:fill="FFFFFF"/>
        </w:rPr>
        <w:t>devise an</w:t>
      </w:r>
      <w:r w:rsidR="5200F9E4" w:rsidRPr="00C948D7">
        <w:rPr>
          <w:rFonts w:cs="Calibri"/>
          <w:color w:val="000000"/>
          <w:sz w:val="22"/>
          <w:szCs w:val="22"/>
          <w:shd w:val="clear" w:color="auto" w:fill="FFFFFF"/>
        </w:rPr>
        <w:t xml:space="preserve"> action plan on the basis of the roadmap described in the PwC report and membership decisions thereon</w:t>
      </w:r>
      <w:r w:rsidR="06FDBF1F">
        <w:rPr>
          <w:rFonts w:cs="Calibri"/>
          <w:color w:val="000000"/>
          <w:sz w:val="22"/>
          <w:szCs w:val="22"/>
          <w:shd w:val="clear" w:color="auto" w:fill="FFFFFF"/>
        </w:rPr>
        <w:t>,</w:t>
      </w:r>
      <w:r w:rsidR="5200F9E4" w:rsidRPr="00C948D7">
        <w:rPr>
          <w:rFonts w:cs="Calibri"/>
          <w:color w:val="000000"/>
          <w:sz w:val="22"/>
          <w:szCs w:val="22"/>
          <w:shd w:val="clear" w:color="auto" w:fill="FFFFFF"/>
        </w:rPr>
        <w:t xml:space="preserve"> and </w:t>
      </w:r>
      <w:r w:rsidR="06FDBF1F">
        <w:rPr>
          <w:rFonts w:cs="Calibri"/>
          <w:color w:val="000000"/>
          <w:sz w:val="22"/>
          <w:szCs w:val="22"/>
          <w:shd w:val="clear" w:color="auto" w:fill="FFFFFF"/>
        </w:rPr>
        <w:t xml:space="preserve">will drive and </w:t>
      </w:r>
      <w:r w:rsidR="5200F9E4" w:rsidRPr="00C948D7">
        <w:rPr>
          <w:rFonts w:cs="Calibri"/>
          <w:color w:val="000000"/>
          <w:sz w:val="22"/>
          <w:szCs w:val="22"/>
          <w:shd w:val="clear" w:color="auto" w:fill="FFFFFF"/>
        </w:rPr>
        <w:t>monitor its implementation. The Task Force would report to the Elected Officials</w:t>
      </w:r>
      <w:r w:rsidR="06FDBF1F">
        <w:rPr>
          <w:rFonts w:cs="Calibri"/>
          <w:color w:val="000000"/>
          <w:sz w:val="22"/>
          <w:szCs w:val="22"/>
          <w:shd w:val="clear" w:color="auto" w:fill="FFFFFF"/>
        </w:rPr>
        <w:t xml:space="preserve">, </w:t>
      </w:r>
      <w:r w:rsidR="5200F9E4" w:rsidRPr="00C948D7">
        <w:rPr>
          <w:rFonts w:cs="Calibri"/>
          <w:color w:val="000000"/>
          <w:sz w:val="22"/>
          <w:szCs w:val="22"/>
          <w:shd w:val="clear" w:color="auto" w:fill="FFFFFF"/>
        </w:rPr>
        <w:t>who would provide overall leadership for the transition</w:t>
      </w:r>
      <w:r w:rsidR="06FDBF1F">
        <w:rPr>
          <w:rFonts w:cs="Calibri"/>
          <w:color w:val="000000"/>
          <w:sz w:val="22"/>
          <w:szCs w:val="22"/>
          <w:shd w:val="clear" w:color="auto" w:fill="FFFFFF"/>
        </w:rPr>
        <w:t>, on a regular basis, and ultimately to Council</w:t>
      </w:r>
      <w:r w:rsidR="5200F9E4" w:rsidRPr="00C948D7">
        <w:rPr>
          <w:rFonts w:cs="Calibri"/>
          <w:color w:val="000000"/>
          <w:sz w:val="22"/>
          <w:szCs w:val="22"/>
          <w:shd w:val="clear" w:color="auto" w:fill="FFFFFF"/>
        </w:rPr>
        <w:t>.</w:t>
      </w:r>
    </w:p>
    <w:p w14:paraId="77CE07F3" w14:textId="25377D5D" w:rsidR="00127D8D" w:rsidRPr="00C948D7" w:rsidRDefault="00127D8D" w:rsidP="00E53477">
      <w:pPr>
        <w:jc w:val="both"/>
        <w:rPr>
          <w:rFonts w:cs="Calibri"/>
          <w:color w:val="000000"/>
          <w:sz w:val="22"/>
          <w:szCs w:val="22"/>
          <w:shd w:val="clear" w:color="auto" w:fill="FFFFFF"/>
        </w:rPr>
      </w:pPr>
      <w:r w:rsidRPr="00C948D7">
        <w:rPr>
          <w:rFonts w:cs="Calibri"/>
          <w:color w:val="000000"/>
          <w:sz w:val="22"/>
          <w:szCs w:val="22"/>
          <w:shd w:val="clear" w:color="auto" w:fill="FFFFFF"/>
        </w:rPr>
        <w:t xml:space="preserve">The Task Force </w:t>
      </w:r>
      <w:r w:rsidR="007042A5">
        <w:rPr>
          <w:rFonts w:cs="Calibri"/>
          <w:color w:val="000000"/>
          <w:sz w:val="22"/>
          <w:szCs w:val="22"/>
          <w:shd w:val="clear" w:color="auto" w:fill="FFFFFF"/>
        </w:rPr>
        <w:t>will</w:t>
      </w:r>
      <w:r w:rsidRPr="00C948D7">
        <w:rPr>
          <w:rFonts w:cs="Calibri"/>
          <w:color w:val="000000"/>
          <w:sz w:val="22"/>
          <w:szCs w:val="22"/>
          <w:shd w:val="clear" w:color="auto" w:fill="FFFFFF"/>
        </w:rPr>
        <w:t xml:space="preserve"> appoint a </w:t>
      </w:r>
      <w:r w:rsidR="007042A5">
        <w:rPr>
          <w:rFonts w:cs="Calibri"/>
          <w:color w:val="000000"/>
          <w:sz w:val="22"/>
          <w:szCs w:val="22"/>
          <w:shd w:val="clear" w:color="auto" w:fill="FFFFFF"/>
        </w:rPr>
        <w:t xml:space="preserve">dedicated </w:t>
      </w:r>
      <w:r w:rsidRPr="00C948D7">
        <w:rPr>
          <w:rFonts w:cs="Calibri"/>
          <w:color w:val="000000"/>
          <w:sz w:val="22"/>
          <w:szCs w:val="22"/>
          <w:shd w:val="clear" w:color="auto" w:fill="FFFFFF"/>
        </w:rPr>
        <w:t>Project Manager who will be responsible for:</w:t>
      </w:r>
    </w:p>
    <w:p w14:paraId="3613ED63" w14:textId="77777777" w:rsidR="00127D8D" w:rsidRPr="00C948D7" w:rsidRDefault="00127D8D" w:rsidP="00E53477">
      <w:pPr>
        <w:pStyle w:val="ListParagraph"/>
        <w:numPr>
          <w:ilvl w:val="0"/>
          <w:numId w:val="21"/>
        </w:numPr>
        <w:jc w:val="both"/>
        <w:rPr>
          <w:rFonts w:cs="Calibri"/>
          <w:color w:val="000000"/>
          <w:sz w:val="22"/>
          <w:szCs w:val="22"/>
          <w:shd w:val="clear" w:color="auto" w:fill="FFFFFF"/>
        </w:rPr>
      </w:pPr>
      <w:r w:rsidRPr="00C948D7">
        <w:rPr>
          <w:rFonts w:cs="Calibri"/>
          <w:color w:val="000000"/>
          <w:sz w:val="22"/>
          <w:szCs w:val="22"/>
          <w:shd w:val="clear" w:color="auto" w:fill="FFFFFF"/>
        </w:rPr>
        <w:t xml:space="preserve">Monitoring the implementation of the action </w:t>
      </w:r>
      <w:proofErr w:type="gramStart"/>
      <w:r w:rsidRPr="00C948D7">
        <w:rPr>
          <w:rFonts w:cs="Calibri"/>
          <w:color w:val="000000"/>
          <w:sz w:val="22"/>
          <w:szCs w:val="22"/>
          <w:shd w:val="clear" w:color="auto" w:fill="FFFFFF"/>
        </w:rPr>
        <w:t>plan;</w:t>
      </w:r>
      <w:proofErr w:type="gramEnd"/>
      <w:r w:rsidRPr="00C948D7">
        <w:rPr>
          <w:rFonts w:cs="Calibri"/>
          <w:color w:val="000000"/>
          <w:sz w:val="22"/>
          <w:szCs w:val="22"/>
          <w:shd w:val="clear" w:color="auto" w:fill="FFFFFF"/>
        </w:rPr>
        <w:t xml:space="preserve"> </w:t>
      </w:r>
    </w:p>
    <w:p w14:paraId="3586CF66" w14:textId="77777777" w:rsidR="00127D8D" w:rsidRPr="00C948D7" w:rsidRDefault="00127D8D" w:rsidP="00E53477">
      <w:pPr>
        <w:pStyle w:val="ListParagraph"/>
        <w:numPr>
          <w:ilvl w:val="0"/>
          <w:numId w:val="21"/>
        </w:numPr>
        <w:jc w:val="both"/>
        <w:rPr>
          <w:rFonts w:cs="Calibri"/>
          <w:color w:val="000000"/>
          <w:sz w:val="22"/>
          <w:szCs w:val="22"/>
          <w:shd w:val="clear" w:color="auto" w:fill="FFFFFF"/>
        </w:rPr>
      </w:pPr>
      <w:r w:rsidRPr="00C948D7">
        <w:rPr>
          <w:rFonts w:cs="Calibri"/>
          <w:color w:val="000000"/>
          <w:sz w:val="22"/>
          <w:szCs w:val="22"/>
          <w:shd w:val="clear" w:color="auto" w:fill="FFFFFF"/>
        </w:rPr>
        <w:t xml:space="preserve">Defining annual work plans and </w:t>
      </w:r>
      <w:proofErr w:type="gramStart"/>
      <w:r w:rsidRPr="00C948D7">
        <w:rPr>
          <w:rFonts w:cs="Calibri"/>
          <w:color w:val="000000"/>
          <w:sz w:val="22"/>
          <w:szCs w:val="22"/>
          <w:shd w:val="clear" w:color="auto" w:fill="FFFFFF"/>
        </w:rPr>
        <w:t>targets;</w:t>
      </w:r>
      <w:proofErr w:type="gramEnd"/>
      <w:r w:rsidRPr="00C948D7">
        <w:rPr>
          <w:rFonts w:cs="Calibri"/>
          <w:color w:val="000000"/>
          <w:sz w:val="22"/>
          <w:szCs w:val="22"/>
          <w:shd w:val="clear" w:color="auto" w:fill="FFFFFF"/>
        </w:rPr>
        <w:t xml:space="preserve"> </w:t>
      </w:r>
    </w:p>
    <w:p w14:paraId="0FCF4D21" w14:textId="77777777" w:rsidR="00127D8D" w:rsidRPr="00C948D7" w:rsidRDefault="00127D8D" w:rsidP="00E53477">
      <w:pPr>
        <w:pStyle w:val="ListParagraph"/>
        <w:numPr>
          <w:ilvl w:val="0"/>
          <w:numId w:val="21"/>
        </w:numPr>
        <w:jc w:val="both"/>
        <w:rPr>
          <w:rFonts w:cs="Calibri"/>
          <w:color w:val="000000"/>
          <w:sz w:val="22"/>
          <w:szCs w:val="22"/>
          <w:shd w:val="clear" w:color="auto" w:fill="FFFFFF"/>
        </w:rPr>
      </w:pPr>
      <w:r w:rsidRPr="00C948D7">
        <w:rPr>
          <w:rFonts w:cs="Calibri"/>
          <w:color w:val="000000"/>
          <w:sz w:val="22"/>
          <w:szCs w:val="22"/>
          <w:shd w:val="clear" w:color="auto" w:fill="FFFFFF"/>
        </w:rPr>
        <w:t>Communicating with internal and external stakeholders; and,</w:t>
      </w:r>
    </w:p>
    <w:p w14:paraId="1ECEB2FF" w14:textId="632AABC7" w:rsidR="00127D8D" w:rsidRDefault="00127D8D" w:rsidP="00E53477">
      <w:pPr>
        <w:pStyle w:val="ListParagraph"/>
        <w:numPr>
          <w:ilvl w:val="0"/>
          <w:numId w:val="21"/>
        </w:numPr>
        <w:jc w:val="both"/>
        <w:rPr>
          <w:rFonts w:cs="Calibri"/>
          <w:color w:val="000000"/>
          <w:sz w:val="22"/>
          <w:szCs w:val="22"/>
          <w:shd w:val="clear" w:color="auto" w:fill="FFFFFF"/>
        </w:rPr>
      </w:pPr>
      <w:r w:rsidRPr="00C948D7">
        <w:rPr>
          <w:rFonts w:cs="Calibri"/>
          <w:color w:val="000000"/>
          <w:sz w:val="22"/>
          <w:szCs w:val="22"/>
          <w:shd w:val="clear" w:color="auto" w:fill="FFFFFF"/>
        </w:rPr>
        <w:t>managing the financial resources dedicated to the transition.</w:t>
      </w:r>
    </w:p>
    <w:p w14:paraId="08376D47" w14:textId="77777777" w:rsidR="0024790F" w:rsidRDefault="0024790F" w:rsidP="00E53477">
      <w:pPr>
        <w:tabs>
          <w:tab w:val="clear" w:pos="567"/>
          <w:tab w:val="clear" w:pos="1134"/>
          <w:tab w:val="clear" w:pos="1701"/>
          <w:tab w:val="clear" w:pos="2268"/>
          <w:tab w:val="clear" w:pos="2835"/>
        </w:tabs>
        <w:overflowPunct/>
        <w:autoSpaceDE/>
        <w:autoSpaceDN/>
        <w:adjustRightInd/>
        <w:spacing w:before="0"/>
        <w:textAlignment w:val="auto"/>
        <w:rPr>
          <w:b/>
          <w:sz w:val="28"/>
          <w:lang w:val="en-US"/>
        </w:rPr>
      </w:pPr>
      <w:r>
        <w:rPr>
          <w:lang w:val="en-US"/>
        </w:rPr>
        <w:br w:type="page"/>
      </w:r>
    </w:p>
    <w:p w14:paraId="6938E129" w14:textId="00F039BC" w:rsidR="008366B2" w:rsidRDefault="00127D8D" w:rsidP="00E53477">
      <w:pPr>
        <w:pStyle w:val="Heading1"/>
        <w:jc w:val="center"/>
        <w:rPr>
          <w:lang w:val="en-US"/>
        </w:rPr>
      </w:pPr>
      <w:r>
        <w:rPr>
          <w:lang w:val="en-US"/>
        </w:rPr>
        <w:lastRenderedPageBreak/>
        <w:t>ANNEX</w:t>
      </w:r>
      <w:r w:rsidR="0024790F">
        <w:rPr>
          <w:lang w:val="en-US"/>
        </w:rPr>
        <w:t xml:space="preserve"> 1</w:t>
      </w:r>
    </w:p>
    <w:p w14:paraId="4385F859" w14:textId="1C429522" w:rsidR="00BD3FB7" w:rsidRPr="00AB51C7" w:rsidRDefault="00EA586F" w:rsidP="00E53477">
      <w:pPr>
        <w:jc w:val="both"/>
        <w:rPr>
          <w:rFonts w:asciiTheme="minorHAnsi" w:hAnsiTheme="minorHAnsi" w:cstheme="minorHAnsi"/>
          <w:sz w:val="22"/>
          <w:szCs w:val="18"/>
          <w:lang w:eastAsia="fr-CH"/>
        </w:rPr>
      </w:pPr>
      <w:r w:rsidRPr="00AB51C7">
        <w:rPr>
          <w:rFonts w:asciiTheme="minorHAnsi" w:hAnsiTheme="minorHAnsi" w:cstheme="minorHAnsi"/>
          <w:sz w:val="22"/>
          <w:szCs w:val="18"/>
          <w:lang w:eastAsia="fr-CH"/>
        </w:rPr>
        <w:t xml:space="preserve">This </w:t>
      </w:r>
      <w:r w:rsidR="00EB2847">
        <w:rPr>
          <w:rFonts w:asciiTheme="minorHAnsi" w:hAnsiTheme="minorHAnsi" w:cstheme="minorHAnsi"/>
          <w:sz w:val="22"/>
          <w:szCs w:val="18"/>
          <w:lang w:eastAsia="fr-CH"/>
        </w:rPr>
        <w:t>Annex</w:t>
      </w:r>
      <w:r w:rsidRPr="00AB51C7">
        <w:rPr>
          <w:rFonts w:asciiTheme="minorHAnsi" w:hAnsiTheme="minorHAnsi" w:cstheme="minorHAnsi"/>
          <w:sz w:val="22"/>
          <w:szCs w:val="18"/>
          <w:lang w:eastAsia="fr-CH"/>
        </w:rPr>
        <w:t xml:space="preserve"> summar</w:t>
      </w:r>
      <w:r w:rsidR="00EB2847">
        <w:rPr>
          <w:rFonts w:asciiTheme="minorHAnsi" w:hAnsiTheme="minorHAnsi" w:cstheme="minorHAnsi"/>
          <w:sz w:val="22"/>
          <w:szCs w:val="18"/>
          <w:lang w:eastAsia="fr-CH"/>
        </w:rPr>
        <w:t>ises</w:t>
      </w:r>
      <w:r w:rsidRPr="00AB51C7">
        <w:rPr>
          <w:rFonts w:asciiTheme="minorHAnsi" w:hAnsiTheme="minorHAnsi" w:cstheme="minorHAnsi"/>
          <w:sz w:val="22"/>
          <w:szCs w:val="18"/>
          <w:lang w:eastAsia="fr-CH"/>
        </w:rPr>
        <w:t xml:space="preserve"> the key </w:t>
      </w:r>
      <w:r w:rsidR="00E51B00" w:rsidRPr="00AB51C7">
        <w:rPr>
          <w:rFonts w:asciiTheme="minorHAnsi" w:hAnsiTheme="minorHAnsi" w:cstheme="minorHAnsi"/>
          <w:sz w:val="22"/>
          <w:szCs w:val="18"/>
          <w:lang w:eastAsia="fr-CH"/>
        </w:rPr>
        <w:t>findings</w:t>
      </w:r>
      <w:r w:rsidRPr="00AB51C7">
        <w:rPr>
          <w:rFonts w:asciiTheme="minorHAnsi" w:hAnsiTheme="minorHAnsi" w:cstheme="minorHAnsi"/>
          <w:sz w:val="22"/>
          <w:szCs w:val="18"/>
          <w:lang w:eastAsia="fr-CH"/>
        </w:rPr>
        <w:t xml:space="preserve"> of the PwC Report</w:t>
      </w:r>
      <w:r w:rsidR="00EB2847">
        <w:rPr>
          <w:rFonts w:asciiTheme="minorHAnsi" w:hAnsiTheme="minorHAnsi" w:cstheme="minorHAnsi"/>
          <w:sz w:val="22"/>
          <w:szCs w:val="18"/>
          <w:lang w:eastAsia="fr-CH"/>
        </w:rPr>
        <w:t>, and includes Secretariat comments</w:t>
      </w:r>
      <w:r w:rsidRPr="00AB51C7">
        <w:rPr>
          <w:rFonts w:asciiTheme="minorHAnsi" w:hAnsiTheme="minorHAnsi" w:cstheme="minorHAnsi"/>
          <w:sz w:val="22"/>
          <w:szCs w:val="18"/>
          <w:lang w:eastAsia="fr-CH"/>
        </w:rPr>
        <w:t xml:space="preserve">. </w:t>
      </w:r>
    </w:p>
    <w:p w14:paraId="6080AF69" w14:textId="5CFCA024" w:rsidR="009055AF" w:rsidRDefault="00EA586F" w:rsidP="00E53477">
      <w:pPr>
        <w:jc w:val="both"/>
        <w:rPr>
          <w:rFonts w:asciiTheme="minorHAnsi" w:hAnsiTheme="minorHAnsi" w:cstheme="minorHAnsi"/>
          <w:sz w:val="22"/>
          <w:szCs w:val="18"/>
          <w:lang w:eastAsia="fr-CH"/>
        </w:rPr>
      </w:pPr>
      <w:r w:rsidRPr="00AB51C7">
        <w:rPr>
          <w:rFonts w:asciiTheme="minorHAnsi" w:hAnsiTheme="minorHAnsi" w:cstheme="minorHAnsi"/>
          <w:sz w:val="22"/>
          <w:szCs w:val="18"/>
          <w:lang w:eastAsia="fr-CH"/>
        </w:rPr>
        <w:t>It should be noted that these are PwC’s independent findings</w:t>
      </w:r>
      <w:r w:rsidR="00E0748E">
        <w:rPr>
          <w:rFonts w:asciiTheme="minorHAnsi" w:hAnsiTheme="minorHAnsi" w:cstheme="minorHAnsi"/>
          <w:sz w:val="22"/>
          <w:szCs w:val="18"/>
          <w:lang w:eastAsia="fr-CH"/>
        </w:rPr>
        <w:t xml:space="preserve">. </w:t>
      </w:r>
      <w:r w:rsidR="00B21929">
        <w:rPr>
          <w:rFonts w:asciiTheme="minorHAnsi" w:hAnsiTheme="minorHAnsi" w:cstheme="minorHAnsi"/>
          <w:sz w:val="22"/>
          <w:szCs w:val="18"/>
          <w:lang w:eastAsia="fr-CH"/>
        </w:rPr>
        <w:t xml:space="preserve">Based on its initial </w:t>
      </w:r>
      <w:r w:rsidRPr="00AB51C7">
        <w:rPr>
          <w:rFonts w:asciiTheme="minorHAnsi" w:hAnsiTheme="minorHAnsi" w:cstheme="minorHAnsi"/>
          <w:sz w:val="22"/>
          <w:szCs w:val="18"/>
          <w:lang w:eastAsia="fr-CH"/>
        </w:rPr>
        <w:t xml:space="preserve">review </w:t>
      </w:r>
      <w:r w:rsidR="00B21929">
        <w:rPr>
          <w:rFonts w:asciiTheme="minorHAnsi" w:hAnsiTheme="minorHAnsi" w:cstheme="minorHAnsi"/>
          <w:sz w:val="22"/>
          <w:szCs w:val="18"/>
          <w:lang w:eastAsia="fr-CH"/>
        </w:rPr>
        <w:t>the Secretariat considers</w:t>
      </w:r>
      <w:r w:rsidRPr="00AB51C7">
        <w:rPr>
          <w:rFonts w:asciiTheme="minorHAnsi" w:hAnsiTheme="minorHAnsi" w:cstheme="minorHAnsi"/>
          <w:sz w:val="22"/>
          <w:szCs w:val="18"/>
          <w:lang w:eastAsia="fr-CH"/>
        </w:rPr>
        <w:t xml:space="preserve"> that the approach and findings </w:t>
      </w:r>
      <w:r w:rsidR="00BD3FB7" w:rsidRPr="00AB51C7">
        <w:rPr>
          <w:rFonts w:asciiTheme="minorHAnsi" w:hAnsiTheme="minorHAnsi" w:cstheme="minorHAnsi"/>
          <w:sz w:val="22"/>
          <w:szCs w:val="18"/>
          <w:lang w:eastAsia="fr-CH"/>
        </w:rPr>
        <w:t>were arrived at using sound methods and analysis</w:t>
      </w:r>
      <w:r w:rsidR="00B21929">
        <w:rPr>
          <w:rFonts w:asciiTheme="minorHAnsi" w:hAnsiTheme="minorHAnsi" w:cstheme="minorHAnsi"/>
          <w:sz w:val="22"/>
          <w:szCs w:val="18"/>
          <w:lang w:eastAsia="fr-CH"/>
        </w:rPr>
        <w:t xml:space="preserve">. It is however recommended that the document should be carefully reviewed internally </w:t>
      </w:r>
      <w:r w:rsidR="005B0BCB">
        <w:rPr>
          <w:rFonts w:asciiTheme="minorHAnsi" w:hAnsiTheme="minorHAnsi" w:cstheme="minorHAnsi"/>
          <w:sz w:val="22"/>
          <w:szCs w:val="18"/>
          <w:lang w:eastAsia="fr-CH"/>
        </w:rPr>
        <w:t xml:space="preserve">and by membership </w:t>
      </w:r>
      <w:r w:rsidR="00B21929">
        <w:rPr>
          <w:rFonts w:asciiTheme="minorHAnsi" w:hAnsiTheme="minorHAnsi" w:cstheme="minorHAnsi"/>
          <w:sz w:val="22"/>
          <w:szCs w:val="18"/>
          <w:lang w:eastAsia="fr-CH"/>
        </w:rPr>
        <w:t xml:space="preserve">as </w:t>
      </w:r>
      <w:r w:rsidRPr="00E0748E">
        <w:rPr>
          <w:rFonts w:asciiTheme="minorHAnsi" w:hAnsiTheme="minorHAnsi" w:cstheme="minorHAnsi"/>
          <w:sz w:val="22"/>
          <w:szCs w:val="18"/>
          <w:lang w:eastAsia="fr-CH"/>
        </w:rPr>
        <w:t xml:space="preserve">there are many areas where the findings </w:t>
      </w:r>
      <w:r w:rsidR="00B21929">
        <w:rPr>
          <w:rFonts w:asciiTheme="minorHAnsi" w:hAnsiTheme="minorHAnsi" w:cstheme="minorHAnsi"/>
          <w:sz w:val="22"/>
          <w:szCs w:val="18"/>
          <w:lang w:eastAsia="fr-CH"/>
        </w:rPr>
        <w:t xml:space="preserve">may be impacted by </w:t>
      </w:r>
      <w:r w:rsidRPr="00E0748E">
        <w:rPr>
          <w:rFonts w:asciiTheme="minorHAnsi" w:hAnsiTheme="minorHAnsi" w:cstheme="minorHAnsi"/>
          <w:sz w:val="22"/>
          <w:szCs w:val="18"/>
          <w:lang w:eastAsia="fr-CH"/>
        </w:rPr>
        <w:t>the significant change</w:t>
      </w:r>
      <w:r w:rsidR="00B21929">
        <w:rPr>
          <w:rFonts w:asciiTheme="minorHAnsi" w:hAnsiTheme="minorHAnsi" w:cstheme="minorHAnsi"/>
          <w:sz w:val="22"/>
          <w:szCs w:val="18"/>
          <w:lang w:eastAsia="fr-CH"/>
        </w:rPr>
        <w:t>s</w:t>
      </w:r>
      <w:r w:rsidRPr="00E0748E">
        <w:rPr>
          <w:rFonts w:asciiTheme="minorHAnsi" w:hAnsiTheme="minorHAnsi" w:cstheme="minorHAnsi"/>
          <w:sz w:val="22"/>
          <w:szCs w:val="18"/>
          <w:lang w:eastAsia="fr-CH"/>
        </w:rPr>
        <w:t xml:space="preserve"> that ha</w:t>
      </w:r>
      <w:r w:rsidR="00B21929">
        <w:rPr>
          <w:rFonts w:asciiTheme="minorHAnsi" w:hAnsiTheme="minorHAnsi" w:cstheme="minorHAnsi"/>
          <w:sz w:val="22"/>
          <w:szCs w:val="18"/>
          <w:lang w:eastAsia="fr-CH"/>
        </w:rPr>
        <w:t>ve</w:t>
      </w:r>
      <w:r w:rsidRPr="00E0748E">
        <w:rPr>
          <w:rFonts w:asciiTheme="minorHAnsi" w:hAnsiTheme="minorHAnsi" w:cstheme="minorHAnsi"/>
          <w:sz w:val="22"/>
          <w:szCs w:val="18"/>
          <w:lang w:eastAsia="fr-CH"/>
        </w:rPr>
        <w:t xml:space="preserve"> been implemented within the BDT and ITU since PwC began its work</w:t>
      </w:r>
      <w:r w:rsidR="005B0BCB">
        <w:rPr>
          <w:rFonts w:asciiTheme="minorHAnsi" w:hAnsiTheme="minorHAnsi" w:cstheme="minorHAnsi"/>
          <w:sz w:val="22"/>
          <w:szCs w:val="18"/>
          <w:lang w:eastAsia="fr-CH"/>
        </w:rPr>
        <w:t>,</w:t>
      </w:r>
      <w:r w:rsidRPr="00E0748E">
        <w:rPr>
          <w:rFonts w:asciiTheme="minorHAnsi" w:hAnsiTheme="minorHAnsi" w:cstheme="minorHAnsi"/>
          <w:sz w:val="22"/>
          <w:szCs w:val="18"/>
          <w:lang w:eastAsia="fr-CH"/>
        </w:rPr>
        <w:t xml:space="preserve"> or </w:t>
      </w:r>
      <w:r w:rsidR="00106E78" w:rsidRPr="00E0748E">
        <w:rPr>
          <w:rFonts w:asciiTheme="minorHAnsi" w:hAnsiTheme="minorHAnsi" w:cstheme="minorHAnsi"/>
          <w:sz w:val="22"/>
          <w:szCs w:val="18"/>
          <w:lang w:eastAsia="fr-CH"/>
        </w:rPr>
        <w:t xml:space="preserve">where </w:t>
      </w:r>
      <w:r w:rsidR="005B0BCB">
        <w:rPr>
          <w:rFonts w:asciiTheme="minorHAnsi" w:hAnsiTheme="minorHAnsi" w:cstheme="minorHAnsi"/>
          <w:sz w:val="22"/>
          <w:szCs w:val="18"/>
          <w:lang w:eastAsia="fr-CH"/>
        </w:rPr>
        <w:t>greater relevance might be given to ITU member concerns</w:t>
      </w:r>
      <w:r w:rsidR="009055AF" w:rsidRPr="00E0748E">
        <w:rPr>
          <w:rFonts w:asciiTheme="minorHAnsi" w:hAnsiTheme="minorHAnsi" w:cstheme="minorHAnsi"/>
          <w:sz w:val="22"/>
          <w:szCs w:val="18"/>
          <w:lang w:eastAsia="fr-CH"/>
        </w:rPr>
        <w:t>.</w:t>
      </w:r>
    </w:p>
    <w:p w14:paraId="2BCB43A5" w14:textId="6F581BE7" w:rsidR="00C41DC2" w:rsidRPr="00C41DC2" w:rsidRDefault="00C41DC2" w:rsidP="00E53477">
      <w:pPr>
        <w:jc w:val="both"/>
        <w:rPr>
          <w:rFonts w:asciiTheme="minorHAnsi" w:hAnsiTheme="minorHAnsi" w:cstheme="minorHAnsi"/>
          <w:i/>
          <w:iCs/>
          <w:sz w:val="22"/>
          <w:szCs w:val="18"/>
          <w:u w:val="single"/>
          <w:lang w:eastAsia="fr-CH"/>
        </w:rPr>
      </w:pPr>
      <w:r>
        <w:rPr>
          <w:rFonts w:asciiTheme="minorHAnsi" w:hAnsiTheme="minorHAnsi" w:cstheme="minorHAnsi"/>
          <w:i/>
          <w:iCs/>
          <w:sz w:val="22"/>
          <w:szCs w:val="18"/>
          <w:u w:val="single"/>
          <w:lang w:eastAsia="fr-CH"/>
        </w:rPr>
        <w:t>PwC’s Key Findings on the Current State of ITU’s regional presence</w:t>
      </w:r>
    </w:p>
    <w:p w14:paraId="7E8B771E" w14:textId="19068FE7" w:rsidR="009055AF" w:rsidRPr="00AB51C7" w:rsidRDefault="009055AF" w:rsidP="00E53477">
      <w:pPr>
        <w:jc w:val="both"/>
        <w:rPr>
          <w:rFonts w:asciiTheme="minorHAnsi" w:hAnsiTheme="minorHAnsi" w:cstheme="minorHAnsi"/>
          <w:sz w:val="22"/>
          <w:szCs w:val="18"/>
          <w:lang w:eastAsia="fr-CH"/>
        </w:rPr>
      </w:pPr>
      <w:r w:rsidRPr="00AB51C7">
        <w:rPr>
          <w:rFonts w:asciiTheme="minorHAnsi" w:hAnsiTheme="minorHAnsi" w:cstheme="minorHAnsi"/>
          <w:sz w:val="22"/>
          <w:szCs w:val="18"/>
          <w:lang w:eastAsia="fr-CH"/>
        </w:rPr>
        <w:t>The following are key points from PwC’s findings regarding the current state of ITU’s regional presence:</w:t>
      </w:r>
    </w:p>
    <w:p w14:paraId="7039CFB5" w14:textId="6B6946D4" w:rsidR="009055AF" w:rsidRPr="00AB51C7" w:rsidRDefault="007034BC" w:rsidP="00E53477">
      <w:pPr>
        <w:pStyle w:val="ListParagraph"/>
        <w:numPr>
          <w:ilvl w:val="0"/>
          <w:numId w:val="11"/>
        </w:numPr>
        <w:tabs>
          <w:tab w:val="clear" w:pos="567"/>
          <w:tab w:val="clear" w:pos="1134"/>
          <w:tab w:val="clear" w:pos="1701"/>
          <w:tab w:val="clear" w:pos="2268"/>
          <w:tab w:val="clear" w:pos="2835"/>
        </w:tabs>
        <w:spacing w:before="240"/>
        <w:ind w:hanging="357"/>
        <w:contextualSpacing w:val="0"/>
        <w:jc w:val="both"/>
        <w:rPr>
          <w:rFonts w:asciiTheme="minorHAnsi" w:hAnsiTheme="minorHAnsi" w:cstheme="minorHAnsi"/>
          <w:sz w:val="22"/>
          <w:szCs w:val="18"/>
          <w:lang w:eastAsia="fr-CH"/>
        </w:rPr>
      </w:pPr>
      <w:r w:rsidRPr="00AB51C7">
        <w:rPr>
          <w:rFonts w:asciiTheme="minorHAnsi" w:hAnsiTheme="minorHAnsi" w:cstheme="minorHAnsi"/>
          <w:b/>
          <w:bCs/>
          <w:sz w:val="22"/>
          <w:szCs w:val="18"/>
          <w:lang w:eastAsia="fr-CH"/>
        </w:rPr>
        <w:t xml:space="preserve">Mandate: </w:t>
      </w:r>
      <w:r w:rsidR="009055AF" w:rsidRPr="00AB51C7">
        <w:rPr>
          <w:rFonts w:asciiTheme="minorHAnsi" w:hAnsiTheme="minorHAnsi" w:cstheme="minorHAnsi"/>
          <w:sz w:val="22"/>
          <w:szCs w:val="18"/>
          <w:lang w:eastAsia="fr-CH"/>
        </w:rPr>
        <w:t>PwC notes that t</w:t>
      </w:r>
      <w:r w:rsidR="00522EBD" w:rsidRPr="00AB51C7">
        <w:rPr>
          <w:rFonts w:asciiTheme="minorHAnsi" w:hAnsiTheme="minorHAnsi" w:cstheme="minorHAnsi"/>
          <w:sz w:val="22"/>
          <w:szCs w:val="18"/>
          <w:lang w:eastAsia="fr-CH"/>
        </w:rPr>
        <w:t xml:space="preserve">he COVID-19 pandemic is further confirming the importance of technology and social media to keep people safe, </w:t>
      </w:r>
      <w:proofErr w:type="gramStart"/>
      <w:r w:rsidR="00522EBD" w:rsidRPr="00AB51C7">
        <w:rPr>
          <w:rFonts w:asciiTheme="minorHAnsi" w:hAnsiTheme="minorHAnsi" w:cstheme="minorHAnsi"/>
          <w:sz w:val="22"/>
          <w:szCs w:val="18"/>
          <w:lang w:eastAsia="fr-CH"/>
        </w:rPr>
        <w:t>productive</w:t>
      </w:r>
      <w:proofErr w:type="gramEnd"/>
      <w:r w:rsidR="00522EBD" w:rsidRPr="00AB51C7">
        <w:rPr>
          <w:rFonts w:asciiTheme="minorHAnsi" w:hAnsiTheme="minorHAnsi" w:cstheme="minorHAnsi"/>
          <w:sz w:val="22"/>
          <w:szCs w:val="18"/>
          <w:lang w:eastAsia="fr-CH"/>
        </w:rPr>
        <w:t xml:space="preserve"> and connected while being physically apart, and the need to support developing countries to access reliable, affordable and modern infrastructures</w:t>
      </w:r>
      <w:r w:rsidR="009055AF" w:rsidRPr="00AB51C7">
        <w:rPr>
          <w:rFonts w:asciiTheme="minorHAnsi" w:hAnsiTheme="minorHAnsi" w:cstheme="minorHAnsi"/>
          <w:sz w:val="22"/>
          <w:szCs w:val="18"/>
          <w:lang w:eastAsia="fr-CH"/>
        </w:rPr>
        <w:t>. On this basis, PwC notes that o</w:t>
      </w:r>
      <w:r w:rsidR="00522EBD" w:rsidRPr="00AB51C7">
        <w:rPr>
          <w:rFonts w:asciiTheme="minorHAnsi" w:hAnsiTheme="minorHAnsi" w:cstheme="minorHAnsi"/>
          <w:sz w:val="22"/>
          <w:szCs w:val="18"/>
          <w:lang w:eastAsia="fr-CH"/>
        </w:rPr>
        <w:t>verall, there is demand for the type of services that ITU provides at global and regional level.</w:t>
      </w:r>
    </w:p>
    <w:p w14:paraId="482FD734" w14:textId="28EEE507" w:rsidR="00A80E3A" w:rsidRPr="00AB51C7" w:rsidRDefault="006F5CA5" w:rsidP="00E53477">
      <w:pPr>
        <w:pStyle w:val="ListParagraph"/>
        <w:numPr>
          <w:ilvl w:val="0"/>
          <w:numId w:val="11"/>
        </w:numPr>
        <w:tabs>
          <w:tab w:val="clear" w:pos="567"/>
          <w:tab w:val="clear" w:pos="1134"/>
          <w:tab w:val="clear" w:pos="1701"/>
          <w:tab w:val="clear" w:pos="2268"/>
          <w:tab w:val="clear" w:pos="2835"/>
        </w:tabs>
        <w:spacing w:before="240"/>
        <w:ind w:hanging="357"/>
        <w:contextualSpacing w:val="0"/>
        <w:jc w:val="both"/>
        <w:rPr>
          <w:rFonts w:asciiTheme="minorHAnsi" w:hAnsiTheme="minorHAnsi" w:cstheme="minorHAnsi"/>
          <w:sz w:val="22"/>
          <w:szCs w:val="18"/>
          <w:lang w:eastAsia="fr-CH"/>
        </w:rPr>
      </w:pPr>
      <w:r w:rsidRPr="00AB51C7">
        <w:rPr>
          <w:rFonts w:asciiTheme="minorHAnsi" w:hAnsiTheme="minorHAnsi" w:cstheme="minorHAnsi"/>
          <w:b/>
          <w:bCs/>
          <w:color w:val="000000"/>
          <w:sz w:val="22"/>
          <w:szCs w:val="18"/>
          <w:lang w:eastAsia="fr-CH"/>
        </w:rPr>
        <w:t>Coherence:</w:t>
      </w:r>
      <w:r w:rsidRPr="00AB51C7">
        <w:rPr>
          <w:rFonts w:asciiTheme="minorHAnsi" w:hAnsiTheme="minorHAnsi" w:cstheme="minorHAnsi"/>
          <w:color w:val="000000"/>
          <w:sz w:val="22"/>
          <w:szCs w:val="18"/>
          <w:lang w:eastAsia="fr-CH"/>
        </w:rPr>
        <w:t xml:space="preserve"> </w:t>
      </w:r>
      <w:r w:rsidR="009055AF" w:rsidRPr="00AB51C7">
        <w:rPr>
          <w:rFonts w:asciiTheme="minorHAnsi" w:hAnsiTheme="minorHAnsi" w:cstheme="minorHAnsi"/>
          <w:color w:val="000000"/>
          <w:sz w:val="22"/>
          <w:szCs w:val="18"/>
          <w:lang w:eastAsia="fr-CH"/>
        </w:rPr>
        <w:t>I</w:t>
      </w:r>
      <w:r w:rsidR="00522EBD" w:rsidRPr="00AB51C7">
        <w:rPr>
          <w:rFonts w:asciiTheme="minorHAnsi" w:hAnsiTheme="minorHAnsi" w:cstheme="minorHAnsi"/>
          <w:color w:val="000000"/>
          <w:sz w:val="22"/>
          <w:szCs w:val="18"/>
          <w:lang w:eastAsia="fr-CH"/>
        </w:rPr>
        <w:t xml:space="preserve">n terms of </w:t>
      </w:r>
      <w:bookmarkStart w:id="9" w:name="_Hlk39179266"/>
      <w:r w:rsidR="00522EBD" w:rsidRPr="00AB51C7">
        <w:rPr>
          <w:rFonts w:asciiTheme="minorHAnsi" w:hAnsiTheme="minorHAnsi" w:cstheme="minorHAnsi"/>
          <w:color w:val="000000"/>
          <w:sz w:val="22"/>
          <w:szCs w:val="18"/>
          <w:lang w:eastAsia="fr-CH"/>
        </w:rPr>
        <w:t xml:space="preserve">coherence, </w:t>
      </w:r>
      <w:r w:rsidR="009055AF" w:rsidRPr="00AB51C7">
        <w:rPr>
          <w:rFonts w:asciiTheme="minorHAnsi" w:hAnsiTheme="minorHAnsi" w:cstheme="minorHAnsi"/>
          <w:color w:val="000000"/>
          <w:sz w:val="22"/>
          <w:szCs w:val="18"/>
          <w:lang w:eastAsia="fr-CH"/>
        </w:rPr>
        <w:t>PwC considers that</w:t>
      </w:r>
      <w:r w:rsidR="00522EBD" w:rsidRPr="00AB51C7">
        <w:rPr>
          <w:rFonts w:asciiTheme="minorHAnsi" w:hAnsiTheme="minorHAnsi" w:cstheme="minorHAnsi"/>
          <w:color w:val="000000"/>
          <w:sz w:val="22"/>
          <w:szCs w:val="18"/>
          <w:lang w:eastAsia="fr-CH"/>
        </w:rPr>
        <w:t xml:space="preserve"> </w:t>
      </w:r>
      <w:bookmarkEnd w:id="9"/>
      <w:r w:rsidR="00522EBD" w:rsidRPr="00AB51C7">
        <w:rPr>
          <w:rFonts w:asciiTheme="minorHAnsi" w:hAnsiTheme="minorHAnsi" w:cstheme="minorHAnsi"/>
          <w:color w:val="000000"/>
          <w:sz w:val="22"/>
          <w:szCs w:val="18"/>
          <w:lang w:eastAsia="fr-CH"/>
        </w:rPr>
        <w:t xml:space="preserve">ITU's existing planning instruments are not sufficiently integrated to ensure regional delivery is strategically aligned and focussed. </w:t>
      </w:r>
      <w:r w:rsidR="009055AF" w:rsidRPr="00AB51C7">
        <w:rPr>
          <w:rFonts w:asciiTheme="minorHAnsi" w:hAnsiTheme="minorHAnsi" w:cstheme="minorHAnsi"/>
          <w:color w:val="000000"/>
          <w:sz w:val="22"/>
          <w:szCs w:val="18"/>
          <w:lang w:eastAsia="fr-CH"/>
        </w:rPr>
        <w:t>PwC notes</w:t>
      </w:r>
      <w:r w:rsidR="00A80E3A" w:rsidRPr="00AB51C7">
        <w:rPr>
          <w:rFonts w:asciiTheme="minorHAnsi" w:hAnsiTheme="minorHAnsi" w:cstheme="minorHAnsi"/>
          <w:color w:val="000000"/>
          <w:sz w:val="22"/>
          <w:szCs w:val="18"/>
          <w:lang w:eastAsia="fr-CH"/>
        </w:rPr>
        <w:t>, among other points,</w:t>
      </w:r>
      <w:r w:rsidR="009055AF" w:rsidRPr="00AB51C7">
        <w:rPr>
          <w:rFonts w:asciiTheme="minorHAnsi" w:hAnsiTheme="minorHAnsi" w:cstheme="minorHAnsi"/>
          <w:color w:val="000000"/>
          <w:sz w:val="22"/>
          <w:szCs w:val="18"/>
          <w:lang w:eastAsia="fr-CH"/>
        </w:rPr>
        <w:t xml:space="preserve"> that</w:t>
      </w:r>
      <w:r w:rsidR="00A80E3A" w:rsidRPr="00AB51C7">
        <w:rPr>
          <w:rFonts w:asciiTheme="minorHAnsi" w:hAnsiTheme="minorHAnsi" w:cstheme="minorHAnsi"/>
          <w:color w:val="000000"/>
          <w:sz w:val="22"/>
          <w:szCs w:val="18"/>
          <w:lang w:eastAsia="fr-CH"/>
        </w:rPr>
        <w:t>:</w:t>
      </w:r>
    </w:p>
    <w:p w14:paraId="306AC8B5" w14:textId="77777777" w:rsidR="00A80E3A" w:rsidRPr="00AB51C7" w:rsidRDefault="009055AF" w:rsidP="00E53477">
      <w:pPr>
        <w:pStyle w:val="ListParagraph"/>
        <w:numPr>
          <w:ilvl w:val="1"/>
          <w:numId w:val="11"/>
        </w:numPr>
        <w:tabs>
          <w:tab w:val="clear" w:pos="567"/>
          <w:tab w:val="clear" w:pos="1134"/>
          <w:tab w:val="clear" w:pos="1701"/>
          <w:tab w:val="clear" w:pos="2268"/>
          <w:tab w:val="clear" w:pos="2835"/>
        </w:tabs>
        <w:spacing w:before="240"/>
        <w:ind w:hanging="357"/>
        <w:contextualSpacing w:val="0"/>
        <w:jc w:val="both"/>
        <w:rPr>
          <w:rFonts w:asciiTheme="minorHAnsi" w:hAnsiTheme="minorHAnsi" w:cstheme="minorHAnsi"/>
          <w:sz w:val="22"/>
          <w:szCs w:val="18"/>
          <w:lang w:eastAsia="fr-CH"/>
        </w:rPr>
      </w:pPr>
      <w:r w:rsidRPr="00AB51C7">
        <w:rPr>
          <w:rFonts w:asciiTheme="minorHAnsi" w:hAnsiTheme="minorHAnsi" w:cstheme="minorHAnsi"/>
          <w:color w:val="000000"/>
          <w:sz w:val="22"/>
          <w:szCs w:val="18"/>
          <w:lang w:eastAsia="fr-CH"/>
        </w:rPr>
        <w:t>t</w:t>
      </w:r>
      <w:r w:rsidR="00522EBD" w:rsidRPr="00AB51C7">
        <w:rPr>
          <w:rFonts w:asciiTheme="minorHAnsi" w:hAnsiTheme="minorHAnsi" w:cstheme="minorHAnsi"/>
          <w:color w:val="000000"/>
          <w:sz w:val="22"/>
          <w:szCs w:val="18"/>
          <w:lang w:eastAsia="fr-CH"/>
        </w:rPr>
        <w:t xml:space="preserve">he timeframes of the WTDC Action Plan (2018–2021) and ITU Strategic Plan (2020–23) are not in line with </w:t>
      </w:r>
      <w:proofErr w:type="gramStart"/>
      <w:r w:rsidR="00522EBD" w:rsidRPr="00AB51C7">
        <w:rPr>
          <w:rFonts w:asciiTheme="minorHAnsi" w:hAnsiTheme="minorHAnsi" w:cstheme="minorHAnsi"/>
          <w:color w:val="000000"/>
          <w:sz w:val="22"/>
          <w:szCs w:val="18"/>
          <w:lang w:eastAsia="fr-CH"/>
        </w:rPr>
        <w:t>each other</w:t>
      </w:r>
      <w:r w:rsidR="00A80E3A" w:rsidRPr="00AB51C7">
        <w:rPr>
          <w:rFonts w:asciiTheme="minorHAnsi" w:hAnsiTheme="minorHAnsi" w:cstheme="minorHAnsi"/>
          <w:color w:val="000000"/>
          <w:sz w:val="22"/>
          <w:szCs w:val="18"/>
          <w:lang w:eastAsia="fr-CH"/>
        </w:rPr>
        <w:t>;</w:t>
      </w:r>
      <w:proofErr w:type="gramEnd"/>
    </w:p>
    <w:p w14:paraId="7ECEC83E" w14:textId="361A41C5" w:rsidR="00A80E3A" w:rsidRPr="00AB51C7" w:rsidRDefault="009055AF" w:rsidP="00E53477">
      <w:pPr>
        <w:pStyle w:val="ListParagraph"/>
        <w:numPr>
          <w:ilvl w:val="1"/>
          <w:numId w:val="11"/>
        </w:numPr>
        <w:tabs>
          <w:tab w:val="clear" w:pos="567"/>
          <w:tab w:val="clear" w:pos="1134"/>
          <w:tab w:val="clear" w:pos="1701"/>
          <w:tab w:val="clear" w:pos="2268"/>
          <w:tab w:val="clear" w:pos="2835"/>
        </w:tabs>
        <w:spacing w:before="240"/>
        <w:ind w:hanging="357"/>
        <w:contextualSpacing w:val="0"/>
        <w:jc w:val="both"/>
        <w:rPr>
          <w:rFonts w:asciiTheme="minorHAnsi" w:hAnsiTheme="minorHAnsi" w:cstheme="minorHAnsi"/>
          <w:sz w:val="22"/>
          <w:szCs w:val="18"/>
          <w:lang w:eastAsia="fr-CH"/>
        </w:rPr>
      </w:pPr>
      <w:r w:rsidRPr="00AB51C7">
        <w:rPr>
          <w:rFonts w:asciiTheme="minorHAnsi" w:hAnsiTheme="minorHAnsi" w:cstheme="minorHAnsi"/>
          <w:color w:val="000000"/>
          <w:sz w:val="22"/>
          <w:szCs w:val="18"/>
          <w:lang w:eastAsia="fr-CH"/>
        </w:rPr>
        <w:t>t</w:t>
      </w:r>
      <w:r w:rsidR="00522EBD" w:rsidRPr="00AB51C7">
        <w:rPr>
          <w:rFonts w:asciiTheme="minorHAnsi" w:hAnsiTheme="minorHAnsi" w:cstheme="minorHAnsi"/>
          <w:color w:val="000000"/>
          <w:sz w:val="22"/>
          <w:szCs w:val="18"/>
          <w:lang w:eastAsia="fr-CH"/>
        </w:rPr>
        <w:t xml:space="preserve">he ITU Strategic Plan does not </w:t>
      </w:r>
      <w:proofErr w:type="gramStart"/>
      <w:r w:rsidR="00522EBD" w:rsidRPr="00AB51C7">
        <w:rPr>
          <w:rFonts w:asciiTheme="minorHAnsi" w:hAnsiTheme="minorHAnsi" w:cstheme="minorHAnsi"/>
          <w:color w:val="000000"/>
          <w:sz w:val="22"/>
          <w:szCs w:val="18"/>
          <w:lang w:eastAsia="fr-CH"/>
        </w:rPr>
        <w:t>make reference</w:t>
      </w:r>
      <w:proofErr w:type="gramEnd"/>
      <w:r w:rsidR="00522EBD" w:rsidRPr="00AB51C7">
        <w:rPr>
          <w:rFonts w:asciiTheme="minorHAnsi" w:hAnsiTheme="minorHAnsi" w:cstheme="minorHAnsi"/>
          <w:color w:val="000000"/>
          <w:sz w:val="22"/>
          <w:szCs w:val="18"/>
          <w:lang w:eastAsia="fr-CH"/>
        </w:rPr>
        <w:t xml:space="preserve"> to the role of the regional presence</w:t>
      </w:r>
      <w:r w:rsidR="00A80E3A" w:rsidRPr="00AB51C7">
        <w:rPr>
          <w:rFonts w:asciiTheme="minorHAnsi" w:hAnsiTheme="minorHAnsi" w:cstheme="minorHAnsi"/>
          <w:color w:val="000000"/>
          <w:sz w:val="22"/>
          <w:szCs w:val="18"/>
          <w:lang w:eastAsia="fr-CH"/>
        </w:rPr>
        <w:t>; and,</w:t>
      </w:r>
    </w:p>
    <w:p w14:paraId="34FCC77D" w14:textId="77777777" w:rsidR="00A80E3A" w:rsidRPr="00AB51C7" w:rsidRDefault="00A80E3A" w:rsidP="00E53477">
      <w:pPr>
        <w:pStyle w:val="ListParagraph"/>
        <w:numPr>
          <w:ilvl w:val="1"/>
          <w:numId w:val="11"/>
        </w:numPr>
        <w:tabs>
          <w:tab w:val="clear" w:pos="567"/>
          <w:tab w:val="clear" w:pos="1134"/>
          <w:tab w:val="clear" w:pos="1701"/>
          <w:tab w:val="clear" w:pos="2268"/>
          <w:tab w:val="clear" w:pos="2835"/>
        </w:tabs>
        <w:spacing w:before="240"/>
        <w:ind w:hanging="357"/>
        <w:contextualSpacing w:val="0"/>
        <w:jc w:val="both"/>
        <w:rPr>
          <w:rFonts w:asciiTheme="minorHAnsi" w:hAnsiTheme="minorHAnsi" w:cstheme="minorHAnsi"/>
          <w:sz w:val="22"/>
          <w:szCs w:val="18"/>
          <w:lang w:eastAsia="fr-CH"/>
        </w:rPr>
      </w:pPr>
      <w:r w:rsidRPr="00AB51C7">
        <w:rPr>
          <w:rFonts w:asciiTheme="minorHAnsi" w:hAnsiTheme="minorHAnsi" w:cstheme="minorHAnsi"/>
          <w:color w:val="000000"/>
          <w:sz w:val="22"/>
          <w:szCs w:val="18"/>
          <w:lang w:eastAsia="fr-CH"/>
        </w:rPr>
        <w:t>t</w:t>
      </w:r>
      <w:r w:rsidR="00522EBD" w:rsidRPr="00AB51C7">
        <w:rPr>
          <w:rFonts w:asciiTheme="minorHAnsi" w:hAnsiTheme="minorHAnsi" w:cstheme="minorHAnsi"/>
          <w:color w:val="000000"/>
          <w:sz w:val="22"/>
          <w:szCs w:val="18"/>
          <w:lang w:eastAsia="fr-CH"/>
        </w:rPr>
        <w:t xml:space="preserve">he global targets </w:t>
      </w:r>
      <w:r w:rsidRPr="00AB51C7">
        <w:rPr>
          <w:rFonts w:asciiTheme="minorHAnsi" w:hAnsiTheme="minorHAnsi" w:cstheme="minorHAnsi"/>
          <w:color w:val="000000"/>
          <w:sz w:val="22"/>
          <w:szCs w:val="18"/>
          <w:lang w:eastAsia="fr-CH"/>
        </w:rPr>
        <w:t xml:space="preserve">in the ITU Strategic Plan </w:t>
      </w:r>
      <w:r w:rsidR="00522EBD" w:rsidRPr="00AB51C7">
        <w:rPr>
          <w:rFonts w:asciiTheme="minorHAnsi" w:hAnsiTheme="minorHAnsi" w:cstheme="minorHAnsi"/>
          <w:color w:val="000000"/>
          <w:sz w:val="22"/>
          <w:szCs w:val="18"/>
          <w:lang w:eastAsia="fr-CH"/>
        </w:rPr>
        <w:t xml:space="preserve">are not explicitly broken down nor do they relate to performance indicators in the Operational Plan and Regional Initiatives. </w:t>
      </w:r>
    </w:p>
    <w:p w14:paraId="459A60A9" w14:textId="5973BBA3" w:rsidR="00BE733A" w:rsidRPr="00AB51C7" w:rsidRDefault="006F5CA5" w:rsidP="00E53477">
      <w:pPr>
        <w:pStyle w:val="ListParagraph"/>
        <w:numPr>
          <w:ilvl w:val="0"/>
          <w:numId w:val="11"/>
        </w:numPr>
        <w:tabs>
          <w:tab w:val="clear" w:pos="567"/>
          <w:tab w:val="clear" w:pos="1134"/>
          <w:tab w:val="clear" w:pos="1701"/>
          <w:tab w:val="clear" w:pos="2268"/>
          <w:tab w:val="clear" w:pos="2835"/>
        </w:tabs>
        <w:spacing w:before="240"/>
        <w:ind w:hanging="357"/>
        <w:contextualSpacing w:val="0"/>
        <w:jc w:val="both"/>
        <w:rPr>
          <w:rFonts w:asciiTheme="minorHAnsi" w:hAnsiTheme="minorHAnsi" w:cstheme="minorHAnsi"/>
          <w:sz w:val="22"/>
          <w:szCs w:val="22"/>
          <w:lang w:eastAsia="fr-CH"/>
        </w:rPr>
      </w:pPr>
      <w:r w:rsidRPr="00AB51C7">
        <w:rPr>
          <w:rFonts w:asciiTheme="minorHAnsi" w:hAnsiTheme="minorHAnsi" w:cstheme="minorHAnsi"/>
          <w:b/>
          <w:bCs/>
          <w:color w:val="000000"/>
          <w:sz w:val="22"/>
          <w:szCs w:val="18"/>
          <w:lang w:eastAsia="fr-CH"/>
        </w:rPr>
        <w:t>Relevance:</w:t>
      </w:r>
      <w:r w:rsidRPr="00AB51C7">
        <w:rPr>
          <w:rFonts w:asciiTheme="minorHAnsi" w:hAnsiTheme="minorHAnsi" w:cstheme="minorHAnsi"/>
          <w:color w:val="000000"/>
          <w:sz w:val="22"/>
          <w:szCs w:val="18"/>
          <w:lang w:eastAsia="fr-CH"/>
        </w:rPr>
        <w:t xml:space="preserve"> </w:t>
      </w:r>
      <w:r w:rsidR="00A80E3A" w:rsidRPr="00AB51C7">
        <w:rPr>
          <w:rFonts w:asciiTheme="minorHAnsi" w:hAnsiTheme="minorHAnsi" w:cstheme="minorHAnsi"/>
          <w:color w:val="000000"/>
          <w:sz w:val="22"/>
          <w:szCs w:val="18"/>
          <w:lang w:eastAsia="fr-CH"/>
        </w:rPr>
        <w:t xml:space="preserve">PwC </w:t>
      </w:r>
      <w:r w:rsidRPr="00AB51C7">
        <w:rPr>
          <w:rFonts w:asciiTheme="minorHAnsi" w:hAnsiTheme="minorHAnsi" w:cstheme="minorHAnsi"/>
          <w:color w:val="000000"/>
          <w:sz w:val="22"/>
          <w:szCs w:val="18"/>
          <w:lang w:eastAsia="fr-CH"/>
        </w:rPr>
        <w:t>found</w:t>
      </w:r>
      <w:r w:rsidR="00A80E3A" w:rsidRPr="00AB51C7">
        <w:rPr>
          <w:rFonts w:asciiTheme="minorHAnsi" w:hAnsiTheme="minorHAnsi" w:cstheme="minorHAnsi"/>
          <w:color w:val="000000"/>
          <w:sz w:val="22"/>
          <w:szCs w:val="18"/>
          <w:lang w:eastAsia="fr-CH"/>
        </w:rPr>
        <w:t xml:space="preserve"> that </w:t>
      </w:r>
      <w:r w:rsidR="00522EBD" w:rsidRPr="00AB51C7">
        <w:rPr>
          <w:rFonts w:asciiTheme="minorHAnsi" w:hAnsiTheme="minorHAnsi" w:cstheme="minorHAnsi"/>
          <w:color w:val="000000"/>
          <w:sz w:val="22"/>
          <w:szCs w:val="18"/>
          <w:lang w:eastAsia="fr-CH"/>
        </w:rPr>
        <w:t xml:space="preserve">Members and external stakeholders value the neutrality, technical </w:t>
      </w:r>
      <w:proofErr w:type="gramStart"/>
      <w:r w:rsidR="00522EBD" w:rsidRPr="00AB51C7">
        <w:rPr>
          <w:rFonts w:asciiTheme="minorHAnsi" w:hAnsiTheme="minorHAnsi" w:cstheme="minorHAnsi"/>
          <w:color w:val="000000"/>
          <w:sz w:val="22"/>
          <w:szCs w:val="18"/>
          <w:lang w:eastAsia="fr-CH"/>
        </w:rPr>
        <w:t>credibility</w:t>
      </w:r>
      <w:proofErr w:type="gramEnd"/>
      <w:r w:rsidR="00522EBD" w:rsidRPr="00AB51C7">
        <w:rPr>
          <w:rFonts w:asciiTheme="minorHAnsi" w:hAnsiTheme="minorHAnsi" w:cstheme="minorHAnsi"/>
          <w:color w:val="000000"/>
          <w:sz w:val="22"/>
          <w:szCs w:val="18"/>
          <w:lang w:eastAsia="fr-CH"/>
        </w:rPr>
        <w:t xml:space="preserve"> and proximity of the regional presence, which they consider a trusted partner. However, </w:t>
      </w:r>
      <w:r w:rsidR="00BE733A" w:rsidRPr="00AB51C7">
        <w:rPr>
          <w:rFonts w:asciiTheme="minorHAnsi" w:hAnsiTheme="minorHAnsi" w:cstheme="minorHAnsi"/>
          <w:color w:val="000000"/>
          <w:sz w:val="22"/>
          <w:szCs w:val="18"/>
          <w:lang w:eastAsia="fr-CH"/>
        </w:rPr>
        <w:t xml:space="preserve">PwC’s analysis found that </w:t>
      </w:r>
      <w:r w:rsidR="00522EBD" w:rsidRPr="00AB51C7">
        <w:rPr>
          <w:rFonts w:asciiTheme="minorHAnsi" w:hAnsiTheme="minorHAnsi" w:cstheme="minorHAnsi"/>
          <w:color w:val="000000"/>
          <w:sz w:val="22"/>
          <w:szCs w:val="18"/>
          <w:lang w:eastAsia="fr-CH"/>
        </w:rPr>
        <w:t xml:space="preserve">the breadth of activities taking place at field level does not result in a sufficient functional and thematic focus. </w:t>
      </w:r>
    </w:p>
    <w:p w14:paraId="11FB505D" w14:textId="2C1EB7D5" w:rsidR="00886FDB" w:rsidRPr="00AB51C7" w:rsidRDefault="007034BC" w:rsidP="00E53477">
      <w:pPr>
        <w:pStyle w:val="ListParagraph"/>
        <w:numPr>
          <w:ilvl w:val="0"/>
          <w:numId w:val="11"/>
        </w:numPr>
        <w:tabs>
          <w:tab w:val="clear" w:pos="567"/>
          <w:tab w:val="clear" w:pos="1134"/>
          <w:tab w:val="clear" w:pos="1701"/>
          <w:tab w:val="clear" w:pos="2268"/>
          <w:tab w:val="clear" w:pos="2835"/>
        </w:tabs>
        <w:spacing w:before="240"/>
        <w:ind w:hanging="357"/>
        <w:contextualSpacing w:val="0"/>
        <w:jc w:val="both"/>
        <w:rPr>
          <w:rFonts w:asciiTheme="minorHAnsi" w:hAnsiTheme="minorHAnsi" w:cstheme="minorHAnsi"/>
          <w:sz w:val="22"/>
          <w:szCs w:val="22"/>
          <w:lang w:eastAsia="fr-CH"/>
        </w:rPr>
      </w:pPr>
      <w:r w:rsidRPr="00AB51C7">
        <w:rPr>
          <w:rFonts w:asciiTheme="minorHAnsi" w:hAnsiTheme="minorHAnsi" w:cstheme="minorHAnsi"/>
          <w:b/>
          <w:bCs/>
          <w:color w:val="000000"/>
          <w:sz w:val="22"/>
          <w:szCs w:val="18"/>
          <w:lang w:eastAsia="fr-CH"/>
        </w:rPr>
        <w:t>Control:</w:t>
      </w:r>
      <w:r w:rsidRPr="00AB51C7">
        <w:rPr>
          <w:rFonts w:asciiTheme="minorHAnsi" w:hAnsiTheme="minorHAnsi" w:cstheme="minorHAnsi"/>
          <w:color w:val="000000"/>
          <w:sz w:val="22"/>
          <w:szCs w:val="18"/>
          <w:lang w:eastAsia="fr-CH"/>
        </w:rPr>
        <w:t xml:space="preserve"> </w:t>
      </w:r>
      <w:r w:rsidR="00BE733A" w:rsidRPr="00AB51C7">
        <w:rPr>
          <w:rFonts w:asciiTheme="minorHAnsi" w:hAnsiTheme="minorHAnsi" w:cstheme="minorHAnsi"/>
          <w:color w:val="000000"/>
          <w:sz w:val="22"/>
          <w:szCs w:val="18"/>
          <w:lang w:eastAsia="fr-CH"/>
        </w:rPr>
        <w:t xml:space="preserve">PwC notes that </w:t>
      </w:r>
      <w:r w:rsidR="00522EBD" w:rsidRPr="00AB51C7">
        <w:rPr>
          <w:rFonts w:asciiTheme="minorHAnsi" w:hAnsiTheme="minorHAnsi" w:cstheme="minorHAnsi"/>
          <w:color w:val="000000"/>
          <w:sz w:val="22"/>
          <w:szCs w:val="18"/>
          <w:lang w:eastAsia="fr-CH"/>
        </w:rPr>
        <w:t>fraud has occurred as a result of internal control deficiencies.</w:t>
      </w:r>
      <w:r w:rsidR="00BE733A" w:rsidRPr="00AB51C7">
        <w:rPr>
          <w:rFonts w:asciiTheme="minorHAnsi" w:hAnsiTheme="minorHAnsi" w:cstheme="minorHAnsi"/>
          <w:color w:val="000000"/>
          <w:sz w:val="22"/>
          <w:szCs w:val="18"/>
          <w:lang w:eastAsia="fr-CH"/>
        </w:rPr>
        <w:t xml:space="preserve"> PwC lauded the ef</w:t>
      </w:r>
      <w:r w:rsidR="00522EBD" w:rsidRPr="00AB51C7">
        <w:rPr>
          <w:rFonts w:asciiTheme="minorHAnsi" w:hAnsiTheme="minorHAnsi" w:cstheme="minorHAnsi"/>
          <w:color w:val="000000"/>
          <w:sz w:val="22"/>
          <w:szCs w:val="18"/>
          <w:lang w:eastAsia="fr-CH"/>
        </w:rPr>
        <w:t>forts underway to strengthen the risk framework, improve key processes and define clearer accountabilities</w:t>
      </w:r>
      <w:r w:rsidR="00886FDB" w:rsidRPr="00AB51C7">
        <w:rPr>
          <w:rFonts w:asciiTheme="minorHAnsi" w:hAnsiTheme="minorHAnsi" w:cstheme="minorHAnsi"/>
          <w:color w:val="000000"/>
          <w:sz w:val="22"/>
          <w:szCs w:val="18"/>
          <w:lang w:eastAsia="fr-CH"/>
        </w:rPr>
        <w:t xml:space="preserve">, but noted the need for further strengthening in this area, specifically to ensure that all </w:t>
      </w:r>
      <w:r w:rsidR="00522EBD" w:rsidRPr="00AB51C7">
        <w:rPr>
          <w:rFonts w:asciiTheme="minorHAnsi" w:hAnsiTheme="minorHAnsi" w:cstheme="minorHAnsi"/>
          <w:color w:val="000000"/>
          <w:sz w:val="22"/>
          <w:szCs w:val="18"/>
          <w:lang w:eastAsia="fr-CH"/>
        </w:rPr>
        <w:t xml:space="preserve">remediation measures </w:t>
      </w:r>
      <w:r w:rsidR="00886FDB" w:rsidRPr="00AB51C7">
        <w:rPr>
          <w:rFonts w:asciiTheme="minorHAnsi" w:hAnsiTheme="minorHAnsi" w:cstheme="minorHAnsi"/>
          <w:color w:val="000000"/>
          <w:sz w:val="22"/>
          <w:szCs w:val="18"/>
          <w:lang w:eastAsia="fr-CH"/>
        </w:rPr>
        <w:t xml:space="preserve">and recommendations </w:t>
      </w:r>
      <w:r w:rsidR="00522EBD" w:rsidRPr="00AB51C7">
        <w:rPr>
          <w:rFonts w:asciiTheme="minorHAnsi" w:hAnsiTheme="minorHAnsi" w:cstheme="minorHAnsi"/>
          <w:color w:val="000000"/>
          <w:sz w:val="22"/>
          <w:szCs w:val="18"/>
          <w:lang w:eastAsia="fr-CH"/>
        </w:rPr>
        <w:t xml:space="preserve">identified by </w:t>
      </w:r>
      <w:r w:rsidR="00886FDB" w:rsidRPr="00AB51C7">
        <w:rPr>
          <w:rFonts w:asciiTheme="minorHAnsi" w:hAnsiTheme="minorHAnsi" w:cstheme="minorHAnsi"/>
          <w:color w:val="000000"/>
          <w:sz w:val="22"/>
          <w:szCs w:val="18"/>
          <w:lang w:eastAsia="fr-CH"/>
        </w:rPr>
        <w:t>internal and external</w:t>
      </w:r>
      <w:r w:rsidR="00522EBD" w:rsidRPr="00AB51C7">
        <w:rPr>
          <w:rFonts w:asciiTheme="minorHAnsi" w:hAnsiTheme="minorHAnsi" w:cstheme="minorHAnsi"/>
          <w:color w:val="000000"/>
          <w:sz w:val="22"/>
          <w:szCs w:val="18"/>
          <w:lang w:eastAsia="fr-CH"/>
        </w:rPr>
        <w:t xml:space="preserve"> </w:t>
      </w:r>
      <w:r w:rsidR="00886FDB" w:rsidRPr="00AB51C7">
        <w:rPr>
          <w:rFonts w:asciiTheme="minorHAnsi" w:hAnsiTheme="minorHAnsi" w:cstheme="minorHAnsi"/>
          <w:color w:val="000000"/>
          <w:sz w:val="22"/>
          <w:szCs w:val="18"/>
          <w:lang w:eastAsia="fr-CH"/>
        </w:rPr>
        <w:t>audit and the IMAC are</w:t>
      </w:r>
      <w:r w:rsidR="00522EBD" w:rsidRPr="00AB51C7">
        <w:rPr>
          <w:rFonts w:asciiTheme="minorHAnsi" w:hAnsiTheme="minorHAnsi" w:cstheme="minorHAnsi"/>
          <w:color w:val="000000"/>
          <w:sz w:val="22"/>
          <w:szCs w:val="18"/>
          <w:lang w:eastAsia="fr-CH"/>
        </w:rPr>
        <w:t xml:space="preserve"> fully implemented. </w:t>
      </w:r>
      <w:r w:rsidR="00886FDB" w:rsidRPr="00AB51C7">
        <w:rPr>
          <w:rFonts w:asciiTheme="minorHAnsi" w:hAnsiTheme="minorHAnsi" w:cstheme="minorHAnsi"/>
          <w:color w:val="000000"/>
          <w:sz w:val="22"/>
          <w:szCs w:val="18"/>
          <w:lang w:eastAsia="fr-CH"/>
        </w:rPr>
        <w:t xml:space="preserve">PwC noted that recently </w:t>
      </w:r>
      <w:r w:rsidR="00522EBD" w:rsidRPr="00AB51C7">
        <w:rPr>
          <w:rFonts w:asciiTheme="minorHAnsi" w:hAnsiTheme="minorHAnsi" w:cstheme="minorHAnsi"/>
          <w:color w:val="000000"/>
          <w:sz w:val="22"/>
          <w:szCs w:val="18"/>
          <w:lang w:eastAsia="fr-CH"/>
        </w:rPr>
        <w:t>an improved 'tone at the top' has been observed</w:t>
      </w:r>
      <w:r w:rsidR="00886FDB" w:rsidRPr="00AB51C7">
        <w:rPr>
          <w:rFonts w:asciiTheme="minorHAnsi" w:hAnsiTheme="minorHAnsi" w:cstheme="minorHAnsi"/>
          <w:color w:val="000000"/>
          <w:sz w:val="22"/>
          <w:szCs w:val="18"/>
          <w:lang w:eastAsia="fr-CH"/>
        </w:rPr>
        <w:t xml:space="preserve"> in these areas</w:t>
      </w:r>
      <w:r w:rsidR="00522EBD" w:rsidRPr="00AB51C7">
        <w:rPr>
          <w:rFonts w:asciiTheme="minorHAnsi" w:hAnsiTheme="minorHAnsi" w:cstheme="minorHAnsi"/>
          <w:color w:val="000000"/>
          <w:sz w:val="22"/>
          <w:szCs w:val="18"/>
          <w:lang w:eastAsia="fr-CH"/>
        </w:rPr>
        <w:t xml:space="preserve">. </w:t>
      </w:r>
    </w:p>
    <w:p w14:paraId="32020824" w14:textId="0A7C6EE4" w:rsidR="0023439A" w:rsidRPr="00AB51C7" w:rsidRDefault="007034BC" w:rsidP="00E53477">
      <w:pPr>
        <w:pStyle w:val="ListParagraph"/>
        <w:numPr>
          <w:ilvl w:val="0"/>
          <w:numId w:val="11"/>
        </w:numPr>
        <w:tabs>
          <w:tab w:val="clear" w:pos="567"/>
          <w:tab w:val="clear" w:pos="1134"/>
          <w:tab w:val="clear" w:pos="1701"/>
          <w:tab w:val="clear" w:pos="2268"/>
          <w:tab w:val="clear" w:pos="2835"/>
        </w:tabs>
        <w:spacing w:before="240"/>
        <w:ind w:hanging="357"/>
        <w:contextualSpacing w:val="0"/>
        <w:jc w:val="both"/>
        <w:rPr>
          <w:rFonts w:asciiTheme="minorHAnsi" w:hAnsiTheme="minorHAnsi" w:cstheme="minorHAnsi"/>
          <w:sz w:val="22"/>
          <w:szCs w:val="22"/>
          <w:lang w:eastAsia="fr-CH"/>
        </w:rPr>
      </w:pPr>
      <w:r w:rsidRPr="00AB51C7">
        <w:rPr>
          <w:rFonts w:asciiTheme="minorHAnsi" w:hAnsiTheme="minorHAnsi" w:cstheme="minorHAnsi"/>
          <w:b/>
          <w:bCs/>
          <w:color w:val="000000"/>
          <w:sz w:val="22"/>
          <w:szCs w:val="18"/>
          <w:lang w:eastAsia="fr-CH"/>
        </w:rPr>
        <w:t>Efficiency</w:t>
      </w:r>
      <w:r w:rsidRPr="00AB51C7">
        <w:rPr>
          <w:rFonts w:asciiTheme="minorHAnsi" w:hAnsiTheme="minorHAnsi" w:cstheme="minorHAnsi"/>
          <w:color w:val="000000"/>
          <w:sz w:val="22"/>
          <w:szCs w:val="18"/>
          <w:lang w:eastAsia="fr-CH"/>
        </w:rPr>
        <w:t xml:space="preserve">: </w:t>
      </w:r>
      <w:r w:rsidR="00004080" w:rsidRPr="00AB51C7">
        <w:rPr>
          <w:rFonts w:asciiTheme="minorHAnsi" w:hAnsiTheme="minorHAnsi" w:cstheme="minorHAnsi"/>
          <w:color w:val="000000"/>
          <w:sz w:val="22"/>
          <w:szCs w:val="18"/>
          <w:lang w:eastAsia="fr-CH"/>
        </w:rPr>
        <w:t>PwC found that t</w:t>
      </w:r>
      <w:r w:rsidR="00522EBD" w:rsidRPr="00AB51C7">
        <w:rPr>
          <w:rFonts w:asciiTheme="minorHAnsi" w:hAnsiTheme="minorHAnsi" w:cstheme="minorHAnsi"/>
          <w:color w:val="000000"/>
          <w:sz w:val="22"/>
          <w:szCs w:val="18"/>
          <w:lang w:eastAsia="fr-CH"/>
        </w:rPr>
        <w:t xml:space="preserve">he model of Regional Offices and Area Offices is valuable in that it allows ITU to balance a global footprint with a level of proximity to relevant economic and cultural areas. However, as implemented, </w:t>
      </w:r>
      <w:r w:rsidR="00004080" w:rsidRPr="00AB51C7">
        <w:rPr>
          <w:rFonts w:asciiTheme="minorHAnsi" w:hAnsiTheme="minorHAnsi" w:cstheme="minorHAnsi"/>
          <w:color w:val="000000"/>
          <w:sz w:val="22"/>
          <w:szCs w:val="18"/>
          <w:lang w:eastAsia="fr-CH"/>
        </w:rPr>
        <w:t xml:space="preserve">PwC’s opinion is that </w:t>
      </w:r>
      <w:r w:rsidR="00522EBD" w:rsidRPr="00AB51C7">
        <w:rPr>
          <w:rFonts w:asciiTheme="minorHAnsi" w:hAnsiTheme="minorHAnsi" w:cstheme="minorHAnsi"/>
          <w:color w:val="000000"/>
          <w:sz w:val="22"/>
          <w:szCs w:val="18"/>
          <w:lang w:eastAsia="fr-CH"/>
        </w:rPr>
        <w:t xml:space="preserve">it results in a top-heavy, hierarchical, </w:t>
      </w:r>
      <w:proofErr w:type="gramStart"/>
      <w:r w:rsidR="00522EBD" w:rsidRPr="00AB51C7">
        <w:rPr>
          <w:rFonts w:asciiTheme="minorHAnsi" w:hAnsiTheme="minorHAnsi" w:cstheme="minorHAnsi"/>
          <w:color w:val="000000"/>
          <w:sz w:val="22"/>
          <w:szCs w:val="18"/>
          <w:lang w:eastAsia="fr-CH"/>
        </w:rPr>
        <w:t>siloed</w:t>
      </w:r>
      <w:proofErr w:type="gramEnd"/>
      <w:r w:rsidR="00522EBD" w:rsidRPr="00AB51C7">
        <w:rPr>
          <w:rFonts w:asciiTheme="minorHAnsi" w:hAnsiTheme="minorHAnsi" w:cstheme="minorHAnsi"/>
          <w:color w:val="000000"/>
          <w:sz w:val="22"/>
          <w:szCs w:val="18"/>
          <w:lang w:eastAsia="fr-CH"/>
        </w:rPr>
        <w:t xml:space="preserve"> and costly structure. </w:t>
      </w:r>
    </w:p>
    <w:p w14:paraId="442C9902" w14:textId="54471155" w:rsidR="0080377E" w:rsidRPr="00AB51C7" w:rsidRDefault="007034BC" w:rsidP="00E53477">
      <w:pPr>
        <w:pStyle w:val="ListParagraph"/>
        <w:numPr>
          <w:ilvl w:val="0"/>
          <w:numId w:val="11"/>
        </w:numPr>
        <w:tabs>
          <w:tab w:val="clear" w:pos="567"/>
          <w:tab w:val="clear" w:pos="1134"/>
          <w:tab w:val="clear" w:pos="1701"/>
          <w:tab w:val="clear" w:pos="2268"/>
          <w:tab w:val="clear" w:pos="2835"/>
        </w:tabs>
        <w:spacing w:before="240"/>
        <w:ind w:hanging="357"/>
        <w:contextualSpacing w:val="0"/>
        <w:jc w:val="both"/>
        <w:rPr>
          <w:rFonts w:asciiTheme="minorHAnsi" w:hAnsiTheme="minorHAnsi" w:cstheme="minorHAnsi"/>
          <w:sz w:val="22"/>
          <w:szCs w:val="22"/>
          <w:lang w:eastAsia="fr-CH"/>
        </w:rPr>
      </w:pPr>
      <w:bookmarkStart w:id="10" w:name="_Hlk39182795"/>
      <w:r w:rsidRPr="00AB51C7">
        <w:rPr>
          <w:rFonts w:asciiTheme="minorHAnsi" w:hAnsiTheme="minorHAnsi" w:cstheme="minorHAnsi"/>
          <w:b/>
          <w:bCs/>
          <w:color w:val="000000"/>
          <w:sz w:val="22"/>
          <w:szCs w:val="18"/>
          <w:lang w:eastAsia="fr-CH"/>
        </w:rPr>
        <w:t>E</w:t>
      </w:r>
      <w:r w:rsidR="00522EBD" w:rsidRPr="00AB51C7">
        <w:rPr>
          <w:rFonts w:asciiTheme="minorHAnsi" w:hAnsiTheme="minorHAnsi" w:cstheme="minorHAnsi"/>
          <w:b/>
          <w:bCs/>
          <w:color w:val="000000"/>
          <w:sz w:val="22"/>
          <w:szCs w:val="18"/>
          <w:lang w:eastAsia="fr-CH"/>
        </w:rPr>
        <w:t>ffectiveness</w:t>
      </w:r>
      <w:bookmarkStart w:id="11" w:name="_Hlk39182814"/>
      <w:bookmarkEnd w:id="10"/>
      <w:r w:rsidRPr="00AB51C7">
        <w:rPr>
          <w:rFonts w:asciiTheme="minorHAnsi" w:hAnsiTheme="minorHAnsi" w:cstheme="minorHAnsi"/>
          <w:b/>
          <w:bCs/>
          <w:color w:val="000000"/>
          <w:sz w:val="22"/>
          <w:szCs w:val="18"/>
          <w:lang w:eastAsia="fr-CH"/>
        </w:rPr>
        <w:t>:</w:t>
      </w:r>
      <w:r w:rsidRPr="00AB51C7">
        <w:rPr>
          <w:rFonts w:asciiTheme="minorHAnsi" w:hAnsiTheme="minorHAnsi" w:cstheme="minorHAnsi"/>
          <w:color w:val="000000"/>
          <w:sz w:val="22"/>
          <w:szCs w:val="18"/>
          <w:lang w:eastAsia="fr-CH"/>
        </w:rPr>
        <w:t xml:space="preserve"> </w:t>
      </w:r>
      <w:bookmarkEnd w:id="11"/>
      <w:r w:rsidR="0023439A" w:rsidRPr="00AB51C7">
        <w:rPr>
          <w:rFonts w:asciiTheme="minorHAnsi" w:hAnsiTheme="minorHAnsi" w:cstheme="minorHAnsi"/>
          <w:color w:val="000000"/>
          <w:sz w:val="22"/>
          <w:szCs w:val="18"/>
          <w:lang w:eastAsia="fr-CH"/>
        </w:rPr>
        <w:t xml:space="preserve">PwC found that </w:t>
      </w:r>
      <w:r w:rsidR="00522EBD" w:rsidRPr="00AB51C7">
        <w:rPr>
          <w:rFonts w:asciiTheme="minorHAnsi" w:hAnsiTheme="minorHAnsi" w:cstheme="minorHAnsi"/>
          <w:color w:val="000000"/>
          <w:sz w:val="22"/>
          <w:szCs w:val="18"/>
          <w:lang w:eastAsia="fr-CH"/>
        </w:rPr>
        <w:t xml:space="preserve">until now performance indicators have essentially been based on the completion of activities, rather than the achievement of outcomes. </w:t>
      </w:r>
      <w:r w:rsidR="00365BA0" w:rsidRPr="00AB51C7">
        <w:rPr>
          <w:rFonts w:asciiTheme="minorHAnsi" w:hAnsiTheme="minorHAnsi" w:cstheme="minorHAnsi"/>
          <w:color w:val="000000"/>
          <w:sz w:val="22"/>
          <w:szCs w:val="18"/>
          <w:lang w:eastAsia="fr-CH"/>
        </w:rPr>
        <w:t xml:space="preserve">PwC </w:t>
      </w:r>
      <w:r w:rsidR="00A770F8" w:rsidRPr="00AB51C7">
        <w:rPr>
          <w:rFonts w:asciiTheme="minorHAnsi" w:hAnsiTheme="minorHAnsi" w:cstheme="minorHAnsi"/>
          <w:color w:val="000000"/>
          <w:sz w:val="22"/>
          <w:szCs w:val="18"/>
          <w:lang w:eastAsia="fr-CH"/>
        </w:rPr>
        <w:t>remarked on the lack of a</w:t>
      </w:r>
      <w:r w:rsidR="00522EBD" w:rsidRPr="00AB51C7">
        <w:rPr>
          <w:rFonts w:asciiTheme="minorHAnsi" w:hAnsiTheme="minorHAnsi" w:cstheme="minorHAnsi"/>
          <w:color w:val="000000"/>
          <w:sz w:val="22"/>
          <w:szCs w:val="18"/>
          <w:lang w:eastAsia="fr-CH"/>
        </w:rPr>
        <w:t xml:space="preserve"> dashboard allowing real-time monitoring of activities and projects across budgets, thematic </w:t>
      </w:r>
      <w:proofErr w:type="gramStart"/>
      <w:r w:rsidR="00522EBD" w:rsidRPr="00AB51C7">
        <w:rPr>
          <w:rFonts w:asciiTheme="minorHAnsi" w:hAnsiTheme="minorHAnsi" w:cstheme="minorHAnsi"/>
          <w:color w:val="000000"/>
          <w:sz w:val="22"/>
          <w:szCs w:val="18"/>
          <w:lang w:eastAsia="fr-CH"/>
        </w:rPr>
        <w:t>clusters</w:t>
      </w:r>
      <w:proofErr w:type="gramEnd"/>
      <w:r w:rsidR="00522EBD" w:rsidRPr="00AB51C7">
        <w:rPr>
          <w:rFonts w:asciiTheme="minorHAnsi" w:hAnsiTheme="minorHAnsi" w:cstheme="minorHAnsi"/>
          <w:color w:val="000000"/>
          <w:sz w:val="22"/>
          <w:szCs w:val="18"/>
          <w:lang w:eastAsia="fr-CH"/>
        </w:rPr>
        <w:t xml:space="preserve"> or regions. In </w:t>
      </w:r>
      <w:r w:rsidR="0080377E" w:rsidRPr="00AB51C7">
        <w:rPr>
          <w:rFonts w:asciiTheme="minorHAnsi" w:hAnsiTheme="minorHAnsi" w:cstheme="minorHAnsi"/>
          <w:color w:val="000000"/>
          <w:sz w:val="22"/>
          <w:szCs w:val="18"/>
          <w:lang w:eastAsia="fr-CH"/>
        </w:rPr>
        <w:t xml:space="preserve">relation to this area PwC acknowledged that in </w:t>
      </w:r>
      <w:r w:rsidR="00522EBD" w:rsidRPr="00AB51C7">
        <w:rPr>
          <w:rFonts w:asciiTheme="minorHAnsi" w:hAnsiTheme="minorHAnsi" w:cstheme="minorHAnsi"/>
          <w:color w:val="000000"/>
          <w:sz w:val="22"/>
          <w:szCs w:val="18"/>
          <w:lang w:eastAsia="fr-CH"/>
        </w:rPr>
        <w:t xml:space="preserve">an effort to develop a more consistent </w:t>
      </w:r>
      <w:r w:rsidR="00522EBD" w:rsidRPr="00AB51C7">
        <w:rPr>
          <w:rFonts w:asciiTheme="minorHAnsi" w:hAnsiTheme="minorHAnsi" w:cstheme="minorHAnsi"/>
          <w:color w:val="000000"/>
          <w:sz w:val="22"/>
          <w:szCs w:val="18"/>
          <w:lang w:eastAsia="fr-CH"/>
        </w:rPr>
        <w:lastRenderedPageBreak/>
        <w:t xml:space="preserve">set of targeted results, in early 2019 BDT management introduced coordination mechanisms based on thematic clusters and, from September 2019, an RBM model. In addition, it rolled out project management training for staff based on a revised project manual. </w:t>
      </w:r>
      <w:r w:rsidR="0080377E" w:rsidRPr="00AB51C7">
        <w:rPr>
          <w:rFonts w:asciiTheme="minorHAnsi" w:hAnsiTheme="minorHAnsi" w:cstheme="minorHAnsi"/>
          <w:color w:val="000000"/>
          <w:sz w:val="22"/>
          <w:szCs w:val="18"/>
          <w:lang w:eastAsia="fr-CH"/>
        </w:rPr>
        <w:t>PwC acknowledged that t</w:t>
      </w:r>
      <w:r w:rsidR="00522EBD" w:rsidRPr="00AB51C7">
        <w:rPr>
          <w:rFonts w:asciiTheme="minorHAnsi" w:hAnsiTheme="minorHAnsi" w:cstheme="minorHAnsi"/>
          <w:color w:val="000000"/>
          <w:sz w:val="22"/>
          <w:szCs w:val="18"/>
          <w:lang w:eastAsia="fr-CH"/>
        </w:rPr>
        <w:t xml:space="preserve">he direction taken is sound, although given the recentness of these changes, </w:t>
      </w:r>
      <w:r w:rsidR="0080377E" w:rsidRPr="00AB51C7">
        <w:rPr>
          <w:rFonts w:asciiTheme="minorHAnsi" w:hAnsiTheme="minorHAnsi" w:cstheme="minorHAnsi"/>
          <w:color w:val="000000"/>
          <w:sz w:val="22"/>
          <w:szCs w:val="18"/>
          <w:lang w:eastAsia="fr-CH"/>
        </w:rPr>
        <w:t xml:space="preserve">there were </w:t>
      </w:r>
      <w:r w:rsidR="00522EBD" w:rsidRPr="00AB51C7">
        <w:rPr>
          <w:rFonts w:asciiTheme="minorHAnsi" w:hAnsiTheme="minorHAnsi" w:cstheme="minorHAnsi"/>
          <w:color w:val="000000"/>
          <w:sz w:val="22"/>
          <w:szCs w:val="18"/>
          <w:lang w:eastAsia="fr-CH"/>
        </w:rPr>
        <w:t xml:space="preserve">not in a position to assess whether they result in improved performance orientation and the delivery of results at field level. </w:t>
      </w:r>
    </w:p>
    <w:p w14:paraId="46048845" w14:textId="774E25E2" w:rsidR="004C6B7F" w:rsidRPr="00AB51C7" w:rsidRDefault="007034BC" w:rsidP="00E53477">
      <w:pPr>
        <w:pStyle w:val="ListParagraph"/>
        <w:numPr>
          <w:ilvl w:val="0"/>
          <w:numId w:val="11"/>
        </w:numPr>
        <w:tabs>
          <w:tab w:val="clear" w:pos="567"/>
          <w:tab w:val="clear" w:pos="1134"/>
          <w:tab w:val="clear" w:pos="1701"/>
          <w:tab w:val="clear" w:pos="2268"/>
          <w:tab w:val="clear" w:pos="2835"/>
        </w:tabs>
        <w:spacing w:before="240"/>
        <w:ind w:hanging="357"/>
        <w:contextualSpacing w:val="0"/>
        <w:jc w:val="both"/>
        <w:rPr>
          <w:rFonts w:asciiTheme="minorHAnsi" w:hAnsiTheme="minorHAnsi" w:cstheme="minorHAnsi"/>
          <w:sz w:val="22"/>
          <w:szCs w:val="22"/>
          <w:lang w:eastAsia="fr-CH"/>
        </w:rPr>
      </w:pPr>
      <w:bookmarkStart w:id="12" w:name="_Hlk39183145"/>
      <w:r w:rsidRPr="00AB51C7">
        <w:rPr>
          <w:rFonts w:asciiTheme="minorHAnsi" w:hAnsiTheme="minorHAnsi" w:cstheme="minorHAnsi"/>
          <w:b/>
          <w:bCs/>
          <w:color w:val="000000"/>
          <w:sz w:val="22"/>
          <w:szCs w:val="18"/>
          <w:lang w:eastAsia="fr-CH"/>
        </w:rPr>
        <w:t>I</w:t>
      </w:r>
      <w:r w:rsidR="00522EBD" w:rsidRPr="00AB51C7">
        <w:rPr>
          <w:rFonts w:asciiTheme="minorHAnsi" w:hAnsiTheme="minorHAnsi" w:cstheme="minorHAnsi"/>
          <w:b/>
          <w:bCs/>
          <w:color w:val="000000"/>
          <w:sz w:val="22"/>
          <w:szCs w:val="18"/>
          <w:lang w:eastAsia="fr-CH"/>
        </w:rPr>
        <w:t>mpact</w:t>
      </w:r>
      <w:bookmarkEnd w:id="12"/>
      <w:r w:rsidRPr="00AB51C7">
        <w:rPr>
          <w:rFonts w:asciiTheme="minorHAnsi" w:hAnsiTheme="minorHAnsi" w:cstheme="minorHAnsi"/>
          <w:b/>
          <w:bCs/>
          <w:color w:val="000000"/>
          <w:sz w:val="22"/>
          <w:szCs w:val="18"/>
          <w:lang w:eastAsia="fr-CH"/>
        </w:rPr>
        <w:t>:</w:t>
      </w:r>
      <w:r w:rsidRPr="00AB51C7">
        <w:rPr>
          <w:rFonts w:asciiTheme="minorHAnsi" w:hAnsiTheme="minorHAnsi" w:cstheme="minorHAnsi"/>
          <w:color w:val="000000"/>
          <w:sz w:val="22"/>
          <w:szCs w:val="18"/>
          <w:lang w:eastAsia="fr-CH"/>
        </w:rPr>
        <w:t xml:space="preserve"> In relation to</w:t>
      </w:r>
      <w:r w:rsidR="00522EBD" w:rsidRPr="00AB51C7">
        <w:rPr>
          <w:rFonts w:asciiTheme="minorHAnsi" w:hAnsiTheme="minorHAnsi" w:cstheme="minorHAnsi"/>
          <w:color w:val="000000"/>
          <w:sz w:val="22"/>
          <w:szCs w:val="18"/>
          <w:lang w:eastAsia="fr-CH"/>
        </w:rPr>
        <w:t xml:space="preserve"> </w:t>
      </w:r>
      <w:bookmarkStart w:id="13" w:name="_Hlk39183691"/>
      <w:r w:rsidRPr="00AB51C7">
        <w:rPr>
          <w:rFonts w:asciiTheme="minorHAnsi" w:hAnsiTheme="minorHAnsi" w:cstheme="minorHAnsi"/>
          <w:color w:val="000000"/>
          <w:sz w:val="22"/>
          <w:szCs w:val="18"/>
          <w:lang w:eastAsia="fr-CH"/>
        </w:rPr>
        <w:t xml:space="preserve">whether ITU is making a </w:t>
      </w:r>
      <w:r w:rsidR="00522EBD" w:rsidRPr="00AB51C7">
        <w:rPr>
          <w:rFonts w:asciiTheme="minorHAnsi" w:hAnsiTheme="minorHAnsi" w:cstheme="minorHAnsi"/>
          <w:color w:val="000000"/>
          <w:sz w:val="22"/>
          <w:szCs w:val="18"/>
          <w:lang w:eastAsia="fr-CH"/>
        </w:rPr>
        <w:t>difference ITU through its regional presence</w:t>
      </w:r>
      <w:bookmarkEnd w:id="13"/>
      <w:r w:rsidR="00522EBD" w:rsidRPr="00AB51C7">
        <w:rPr>
          <w:rFonts w:asciiTheme="minorHAnsi" w:hAnsiTheme="minorHAnsi" w:cstheme="minorHAnsi"/>
          <w:color w:val="000000"/>
          <w:sz w:val="22"/>
          <w:szCs w:val="18"/>
          <w:lang w:eastAsia="fr-CH"/>
        </w:rPr>
        <w:t xml:space="preserve">, </w:t>
      </w:r>
      <w:r w:rsidR="0080377E" w:rsidRPr="00AB51C7">
        <w:rPr>
          <w:rFonts w:asciiTheme="minorHAnsi" w:hAnsiTheme="minorHAnsi" w:cstheme="minorHAnsi"/>
          <w:color w:val="000000"/>
          <w:sz w:val="22"/>
          <w:szCs w:val="18"/>
          <w:lang w:eastAsia="fr-CH"/>
        </w:rPr>
        <w:t xml:space="preserve">in its consultation with ITU Member States PwC noted that </w:t>
      </w:r>
      <w:r w:rsidR="00522EBD" w:rsidRPr="00AB51C7">
        <w:rPr>
          <w:rFonts w:asciiTheme="minorHAnsi" w:hAnsiTheme="minorHAnsi" w:cstheme="minorHAnsi"/>
          <w:color w:val="000000"/>
          <w:sz w:val="22"/>
          <w:szCs w:val="18"/>
          <w:lang w:eastAsia="fr-CH"/>
        </w:rPr>
        <w:t xml:space="preserve">the Members consulted recognise that a key strength of the ITU is the convening role it plays at the regional level and they acknowledge the ITU's ability to 'work from the bottom up' on key telecom/ICT priorities. </w:t>
      </w:r>
      <w:r w:rsidR="0090589C" w:rsidRPr="00AB51C7">
        <w:rPr>
          <w:rFonts w:asciiTheme="minorHAnsi" w:hAnsiTheme="minorHAnsi" w:cstheme="minorHAnsi"/>
          <w:color w:val="000000"/>
          <w:sz w:val="22"/>
          <w:szCs w:val="18"/>
          <w:lang w:eastAsia="fr-CH"/>
        </w:rPr>
        <w:t xml:space="preserve">PwC noted that ITU’s Regional Presence </w:t>
      </w:r>
      <w:r w:rsidR="001B7EC3" w:rsidRPr="00AB51C7">
        <w:rPr>
          <w:rFonts w:asciiTheme="minorHAnsi" w:hAnsiTheme="minorHAnsi" w:cstheme="minorHAnsi"/>
          <w:color w:val="000000"/>
          <w:sz w:val="22"/>
          <w:szCs w:val="18"/>
          <w:lang w:eastAsia="fr-CH"/>
        </w:rPr>
        <w:t>is perceived</w:t>
      </w:r>
      <w:r w:rsidR="0090589C" w:rsidRPr="00AB51C7">
        <w:rPr>
          <w:rFonts w:asciiTheme="minorHAnsi" w:hAnsiTheme="minorHAnsi" w:cstheme="minorHAnsi"/>
          <w:color w:val="000000"/>
          <w:sz w:val="22"/>
          <w:szCs w:val="18"/>
          <w:lang w:eastAsia="fr-CH"/>
        </w:rPr>
        <w:t xml:space="preserve"> as important to </w:t>
      </w:r>
      <w:r w:rsidR="001B7EC3" w:rsidRPr="00AB51C7">
        <w:rPr>
          <w:rFonts w:asciiTheme="minorHAnsi" w:hAnsiTheme="minorHAnsi" w:cstheme="minorHAnsi"/>
          <w:color w:val="000000"/>
          <w:sz w:val="22"/>
          <w:szCs w:val="18"/>
          <w:lang w:eastAsia="fr-CH"/>
        </w:rPr>
        <w:t xml:space="preserve">all </w:t>
      </w:r>
      <w:r w:rsidR="0090589C" w:rsidRPr="00AB51C7">
        <w:rPr>
          <w:rFonts w:asciiTheme="minorHAnsi" w:hAnsiTheme="minorHAnsi" w:cstheme="minorHAnsi"/>
          <w:color w:val="000000"/>
          <w:sz w:val="22"/>
          <w:szCs w:val="18"/>
          <w:lang w:eastAsia="fr-CH"/>
        </w:rPr>
        <w:t>different income groups of countries</w:t>
      </w:r>
      <w:r w:rsidR="001B7EC3" w:rsidRPr="00AB51C7">
        <w:rPr>
          <w:rFonts w:asciiTheme="minorHAnsi" w:hAnsiTheme="minorHAnsi" w:cstheme="minorHAnsi"/>
          <w:color w:val="000000"/>
          <w:sz w:val="22"/>
          <w:szCs w:val="18"/>
          <w:lang w:eastAsia="fr-CH"/>
        </w:rPr>
        <w:t>, albeit</w:t>
      </w:r>
      <w:r w:rsidR="0090589C" w:rsidRPr="00AB51C7">
        <w:rPr>
          <w:rFonts w:asciiTheme="minorHAnsi" w:hAnsiTheme="minorHAnsi" w:cstheme="minorHAnsi"/>
          <w:color w:val="000000"/>
          <w:sz w:val="22"/>
          <w:szCs w:val="18"/>
          <w:lang w:eastAsia="fr-CH"/>
        </w:rPr>
        <w:t xml:space="preserve"> for different </w:t>
      </w:r>
      <w:r w:rsidR="001B7EC3" w:rsidRPr="00AB51C7">
        <w:rPr>
          <w:rFonts w:asciiTheme="minorHAnsi" w:hAnsiTheme="minorHAnsi" w:cstheme="minorHAnsi"/>
          <w:color w:val="000000"/>
          <w:sz w:val="22"/>
          <w:szCs w:val="18"/>
          <w:lang w:eastAsia="fr-CH"/>
        </w:rPr>
        <w:t>purposes. However,</w:t>
      </w:r>
      <w:r w:rsidR="00522EBD" w:rsidRPr="00AB51C7">
        <w:rPr>
          <w:rFonts w:asciiTheme="minorHAnsi" w:hAnsiTheme="minorHAnsi" w:cstheme="minorHAnsi"/>
          <w:color w:val="000000"/>
          <w:sz w:val="22"/>
          <w:szCs w:val="18"/>
          <w:lang w:eastAsia="fr-CH"/>
        </w:rPr>
        <w:t xml:space="preserve"> </w:t>
      </w:r>
      <w:r w:rsidR="003222BC" w:rsidRPr="00AB51C7">
        <w:rPr>
          <w:rFonts w:asciiTheme="minorHAnsi" w:hAnsiTheme="minorHAnsi" w:cstheme="minorHAnsi"/>
          <w:color w:val="000000"/>
          <w:sz w:val="22"/>
          <w:szCs w:val="18"/>
          <w:lang w:eastAsia="fr-CH"/>
        </w:rPr>
        <w:t xml:space="preserve">PwC’s analysis found that </w:t>
      </w:r>
      <w:r w:rsidR="00522EBD" w:rsidRPr="00AB51C7">
        <w:rPr>
          <w:rFonts w:asciiTheme="minorHAnsi" w:hAnsiTheme="minorHAnsi" w:cstheme="minorHAnsi"/>
          <w:color w:val="000000"/>
          <w:sz w:val="22"/>
          <w:szCs w:val="18"/>
          <w:lang w:eastAsia="fr-CH"/>
        </w:rPr>
        <w:t xml:space="preserve">with less than 10% of ITU's overall corporate resources to represent the 'whole of ITU' at field level, a total capacity of 56 field staff and an average annual expenditure for OP actions below USD 15,000, the ability of field offices to contribute meaningfully to bridging the digital divide is constrained. </w:t>
      </w:r>
      <w:r w:rsidR="004C6B7F" w:rsidRPr="00AB51C7">
        <w:rPr>
          <w:rFonts w:asciiTheme="minorHAnsi" w:hAnsiTheme="minorHAnsi" w:cstheme="minorHAnsi"/>
          <w:color w:val="000000"/>
          <w:sz w:val="22"/>
          <w:szCs w:val="18"/>
          <w:lang w:eastAsia="fr-CH"/>
        </w:rPr>
        <w:t>PwC noted that u</w:t>
      </w:r>
      <w:r w:rsidR="00522EBD" w:rsidRPr="00AB51C7">
        <w:rPr>
          <w:rFonts w:asciiTheme="minorHAnsi" w:hAnsiTheme="minorHAnsi" w:cstheme="minorHAnsi"/>
          <w:color w:val="000000"/>
          <w:sz w:val="22"/>
          <w:szCs w:val="18"/>
          <w:lang w:eastAsia="fr-CH"/>
        </w:rPr>
        <w:t xml:space="preserve">ntil now, the impact of OP Actions has not been monitored, post-project impact assessments have remained dependent on the availability of funding and a dedicated evaluation function </w:t>
      </w:r>
      <w:r w:rsidR="004C6B7F" w:rsidRPr="00AB51C7">
        <w:rPr>
          <w:rFonts w:asciiTheme="minorHAnsi" w:hAnsiTheme="minorHAnsi" w:cstheme="minorHAnsi"/>
          <w:color w:val="000000"/>
          <w:sz w:val="22"/>
          <w:szCs w:val="18"/>
          <w:lang w:eastAsia="fr-CH"/>
        </w:rPr>
        <w:t>does</w:t>
      </w:r>
      <w:r w:rsidR="00522EBD" w:rsidRPr="00AB51C7">
        <w:rPr>
          <w:rFonts w:asciiTheme="minorHAnsi" w:hAnsiTheme="minorHAnsi" w:cstheme="minorHAnsi"/>
          <w:color w:val="000000"/>
          <w:sz w:val="22"/>
          <w:szCs w:val="18"/>
          <w:lang w:eastAsia="fr-CH"/>
        </w:rPr>
        <w:t xml:space="preserve"> not exist</w:t>
      </w:r>
      <w:r w:rsidR="004C6B7F" w:rsidRPr="00AB51C7">
        <w:rPr>
          <w:rFonts w:asciiTheme="minorHAnsi" w:hAnsiTheme="minorHAnsi" w:cstheme="minorHAnsi"/>
          <w:color w:val="000000"/>
          <w:sz w:val="22"/>
          <w:szCs w:val="18"/>
          <w:lang w:eastAsia="fr-CH"/>
        </w:rPr>
        <w:t>, but acknowledged that t</w:t>
      </w:r>
      <w:r w:rsidR="00522EBD" w:rsidRPr="00AB51C7">
        <w:rPr>
          <w:rFonts w:asciiTheme="minorHAnsi" w:hAnsiTheme="minorHAnsi" w:cstheme="minorHAnsi"/>
          <w:color w:val="000000"/>
          <w:sz w:val="22"/>
          <w:szCs w:val="18"/>
          <w:lang w:eastAsia="fr-CH"/>
        </w:rPr>
        <w:t xml:space="preserve">he recent recruitment of an Evaluation Specialist and the integration of project and OP portfolios with the development of common monitoring tools are critical steps </w:t>
      </w:r>
      <w:r w:rsidR="004C6B7F" w:rsidRPr="00AB51C7">
        <w:rPr>
          <w:rFonts w:asciiTheme="minorHAnsi" w:hAnsiTheme="minorHAnsi" w:cstheme="minorHAnsi"/>
          <w:color w:val="000000"/>
          <w:sz w:val="22"/>
          <w:szCs w:val="18"/>
          <w:lang w:eastAsia="fr-CH"/>
        </w:rPr>
        <w:t xml:space="preserve">taken by BDT </w:t>
      </w:r>
      <w:r w:rsidR="00522EBD" w:rsidRPr="00AB51C7">
        <w:rPr>
          <w:rFonts w:asciiTheme="minorHAnsi" w:hAnsiTheme="minorHAnsi" w:cstheme="minorHAnsi"/>
          <w:color w:val="000000"/>
          <w:sz w:val="22"/>
          <w:szCs w:val="18"/>
          <w:lang w:eastAsia="fr-CH"/>
        </w:rPr>
        <w:t xml:space="preserve">to ensure </w:t>
      </w:r>
      <w:r w:rsidR="004C6B7F" w:rsidRPr="00AB51C7">
        <w:rPr>
          <w:rFonts w:asciiTheme="minorHAnsi" w:hAnsiTheme="minorHAnsi" w:cstheme="minorHAnsi"/>
          <w:color w:val="000000"/>
          <w:sz w:val="22"/>
          <w:szCs w:val="18"/>
          <w:lang w:eastAsia="fr-CH"/>
        </w:rPr>
        <w:t xml:space="preserve">that </w:t>
      </w:r>
      <w:r w:rsidR="00522EBD" w:rsidRPr="00AB51C7">
        <w:rPr>
          <w:rFonts w:asciiTheme="minorHAnsi" w:hAnsiTheme="minorHAnsi" w:cstheme="minorHAnsi"/>
          <w:color w:val="000000"/>
          <w:sz w:val="22"/>
          <w:szCs w:val="18"/>
          <w:lang w:eastAsia="fr-CH"/>
        </w:rPr>
        <w:t>field offices can drive impact.</w:t>
      </w:r>
    </w:p>
    <w:p w14:paraId="6121712E" w14:textId="22335C7D" w:rsidR="00C41DC2" w:rsidRPr="00C41DC2" w:rsidRDefault="007D768B" w:rsidP="00E53477">
      <w:pPr>
        <w:pStyle w:val="ListParagraph"/>
        <w:numPr>
          <w:ilvl w:val="0"/>
          <w:numId w:val="11"/>
        </w:numPr>
        <w:tabs>
          <w:tab w:val="clear" w:pos="567"/>
          <w:tab w:val="clear" w:pos="1134"/>
          <w:tab w:val="clear" w:pos="1701"/>
          <w:tab w:val="clear" w:pos="2268"/>
          <w:tab w:val="clear" w:pos="2835"/>
        </w:tabs>
        <w:spacing w:before="240"/>
        <w:ind w:hanging="357"/>
        <w:contextualSpacing w:val="0"/>
        <w:jc w:val="both"/>
        <w:rPr>
          <w:rFonts w:asciiTheme="minorHAnsi" w:hAnsiTheme="minorHAnsi" w:cstheme="minorHAnsi"/>
          <w:sz w:val="22"/>
          <w:szCs w:val="22"/>
          <w:lang w:eastAsia="fr-CH"/>
        </w:rPr>
      </w:pPr>
      <w:r w:rsidRPr="00AB51C7">
        <w:rPr>
          <w:rFonts w:asciiTheme="minorHAnsi" w:hAnsiTheme="minorHAnsi" w:cstheme="minorHAnsi"/>
          <w:b/>
          <w:bCs/>
          <w:color w:val="000000"/>
          <w:sz w:val="22"/>
          <w:szCs w:val="18"/>
          <w:lang w:eastAsia="fr-CH"/>
        </w:rPr>
        <w:t>S</w:t>
      </w:r>
      <w:r w:rsidR="00522EBD" w:rsidRPr="00AB51C7">
        <w:rPr>
          <w:rFonts w:asciiTheme="minorHAnsi" w:hAnsiTheme="minorHAnsi" w:cstheme="minorHAnsi"/>
          <w:b/>
          <w:bCs/>
          <w:color w:val="000000"/>
          <w:sz w:val="22"/>
          <w:szCs w:val="18"/>
          <w:lang w:eastAsia="fr-CH"/>
        </w:rPr>
        <w:t>ustainability</w:t>
      </w:r>
      <w:r w:rsidRPr="00AB51C7">
        <w:rPr>
          <w:rFonts w:asciiTheme="minorHAnsi" w:hAnsiTheme="minorHAnsi" w:cstheme="minorHAnsi"/>
          <w:color w:val="000000"/>
          <w:sz w:val="22"/>
          <w:szCs w:val="18"/>
          <w:lang w:eastAsia="fr-CH"/>
        </w:rPr>
        <w:t>: W</w:t>
      </w:r>
      <w:r w:rsidR="00522EBD" w:rsidRPr="00AB51C7">
        <w:rPr>
          <w:rFonts w:asciiTheme="minorHAnsi" w:hAnsiTheme="minorHAnsi" w:cstheme="minorHAnsi"/>
          <w:color w:val="000000"/>
          <w:sz w:val="22"/>
          <w:szCs w:val="18"/>
          <w:lang w:eastAsia="fr-CH"/>
        </w:rPr>
        <w:t xml:space="preserve">hile demand from Members is strong and donors are raising their investments in digital transformation, </w:t>
      </w:r>
      <w:r w:rsidRPr="00AB51C7">
        <w:rPr>
          <w:rFonts w:asciiTheme="minorHAnsi" w:hAnsiTheme="minorHAnsi" w:cstheme="minorHAnsi"/>
          <w:color w:val="000000"/>
          <w:sz w:val="22"/>
          <w:szCs w:val="18"/>
          <w:lang w:eastAsia="fr-CH"/>
        </w:rPr>
        <w:t>PwC</w:t>
      </w:r>
      <w:r w:rsidR="00C83CC6" w:rsidRPr="00AB51C7">
        <w:rPr>
          <w:rFonts w:asciiTheme="minorHAnsi" w:hAnsiTheme="minorHAnsi" w:cstheme="minorHAnsi"/>
          <w:color w:val="000000"/>
          <w:sz w:val="22"/>
          <w:szCs w:val="18"/>
          <w:lang w:eastAsia="fr-CH"/>
        </w:rPr>
        <w:t xml:space="preserve"> considered </w:t>
      </w:r>
      <w:r w:rsidRPr="00AB51C7">
        <w:rPr>
          <w:rFonts w:asciiTheme="minorHAnsi" w:hAnsiTheme="minorHAnsi" w:cstheme="minorHAnsi"/>
          <w:color w:val="000000"/>
          <w:sz w:val="22"/>
          <w:szCs w:val="18"/>
          <w:lang w:eastAsia="fr-CH"/>
        </w:rPr>
        <w:t xml:space="preserve">that </w:t>
      </w:r>
      <w:r w:rsidR="00522EBD" w:rsidRPr="00AB51C7">
        <w:rPr>
          <w:rFonts w:asciiTheme="minorHAnsi" w:hAnsiTheme="minorHAnsi" w:cstheme="minorHAnsi"/>
          <w:color w:val="000000"/>
          <w:sz w:val="22"/>
          <w:szCs w:val="18"/>
          <w:lang w:eastAsia="fr-CH"/>
        </w:rPr>
        <w:t>the funding model for field offices and its evolution raise</w:t>
      </w:r>
      <w:r w:rsidR="00C83CC6" w:rsidRPr="00AB51C7">
        <w:rPr>
          <w:rFonts w:asciiTheme="minorHAnsi" w:hAnsiTheme="minorHAnsi" w:cstheme="minorHAnsi"/>
          <w:color w:val="000000"/>
          <w:sz w:val="22"/>
          <w:szCs w:val="18"/>
          <w:lang w:eastAsia="fr-CH"/>
        </w:rPr>
        <w:t>d</w:t>
      </w:r>
      <w:r w:rsidR="00522EBD" w:rsidRPr="00AB51C7">
        <w:rPr>
          <w:rFonts w:asciiTheme="minorHAnsi" w:hAnsiTheme="minorHAnsi" w:cstheme="minorHAnsi"/>
          <w:color w:val="000000"/>
          <w:sz w:val="22"/>
          <w:szCs w:val="18"/>
          <w:lang w:eastAsia="fr-CH"/>
        </w:rPr>
        <w:t xml:space="preserve"> fundamental questions regarding the sustainability of current 'ways of working'. Financial data aggregated at the level of the Sector (covering expenditures incurred by BDT as a whole) indicate that between the 2000–2001 and the 2018–2019 biennium, the level of </w:t>
      </w:r>
      <w:bookmarkStart w:id="14" w:name="_Hlk39183811"/>
      <w:r w:rsidR="00522EBD" w:rsidRPr="00AB51C7">
        <w:rPr>
          <w:rFonts w:asciiTheme="minorHAnsi" w:hAnsiTheme="minorHAnsi" w:cstheme="minorHAnsi"/>
          <w:color w:val="000000"/>
          <w:sz w:val="22"/>
          <w:szCs w:val="18"/>
          <w:lang w:eastAsia="fr-CH"/>
        </w:rPr>
        <w:t xml:space="preserve">project expenditure decreased by 88% and the volume of OP expenditure by 47%. </w:t>
      </w:r>
      <w:bookmarkEnd w:id="14"/>
      <w:r w:rsidR="00522EBD" w:rsidRPr="00AB51C7">
        <w:rPr>
          <w:rFonts w:asciiTheme="minorHAnsi" w:hAnsiTheme="minorHAnsi" w:cstheme="minorHAnsi"/>
          <w:color w:val="000000"/>
          <w:sz w:val="22"/>
          <w:szCs w:val="18"/>
          <w:lang w:eastAsia="fr-CH"/>
        </w:rPr>
        <w:t xml:space="preserve">At field level, between 2015 and 2019, </w:t>
      </w:r>
      <w:bookmarkStart w:id="15" w:name="_Hlk39183838"/>
      <w:r w:rsidR="00522EBD" w:rsidRPr="00AB51C7">
        <w:rPr>
          <w:rFonts w:asciiTheme="minorHAnsi" w:hAnsiTheme="minorHAnsi" w:cstheme="minorHAnsi"/>
          <w:color w:val="000000"/>
          <w:sz w:val="22"/>
          <w:szCs w:val="18"/>
          <w:lang w:eastAsia="fr-CH"/>
        </w:rPr>
        <w:t xml:space="preserve">project expenditures decreased by 28% and activities and programmes by 7%. </w:t>
      </w:r>
      <w:bookmarkEnd w:id="15"/>
      <w:r w:rsidR="00522EBD" w:rsidRPr="00AB51C7">
        <w:rPr>
          <w:rFonts w:asciiTheme="minorHAnsi" w:hAnsiTheme="minorHAnsi" w:cstheme="minorHAnsi"/>
          <w:color w:val="000000"/>
          <w:sz w:val="22"/>
          <w:szCs w:val="18"/>
          <w:lang w:eastAsia="fr-CH"/>
        </w:rPr>
        <w:t xml:space="preserve">ITU has demonstrated an ability to establish partnerships with organisations in other sectors, notably at global level. However, </w:t>
      </w:r>
      <w:r w:rsidR="00C83CC6" w:rsidRPr="00AB51C7">
        <w:rPr>
          <w:rFonts w:asciiTheme="minorHAnsi" w:hAnsiTheme="minorHAnsi" w:cstheme="minorHAnsi"/>
          <w:color w:val="000000"/>
          <w:sz w:val="22"/>
          <w:szCs w:val="18"/>
          <w:lang w:eastAsia="fr-CH"/>
        </w:rPr>
        <w:t xml:space="preserve">PwC remarked that </w:t>
      </w:r>
      <w:r w:rsidR="00522EBD" w:rsidRPr="00AB51C7">
        <w:rPr>
          <w:rFonts w:asciiTheme="minorHAnsi" w:hAnsiTheme="minorHAnsi" w:cstheme="minorHAnsi"/>
          <w:color w:val="000000"/>
          <w:sz w:val="22"/>
          <w:szCs w:val="18"/>
          <w:lang w:eastAsia="fr-CH"/>
        </w:rPr>
        <w:t xml:space="preserve">external funding has been highly volatile, relying on a limited pool of donors, with limited ability so far to engage in joint programming with other UN Agencies. In this context, </w:t>
      </w:r>
      <w:r w:rsidR="00CF721F" w:rsidRPr="00AB51C7">
        <w:rPr>
          <w:rFonts w:asciiTheme="minorHAnsi" w:hAnsiTheme="minorHAnsi" w:cstheme="minorHAnsi"/>
          <w:color w:val="000000"/>
          <w:sz w:val="22"/>
          <w:szCs w:val="18"/>
          <w:lang w:eastAsia="fr-CH"/>
        </w:rPr>
        <w:t xml:space="preserve">PwC acknowledged that </w:t>
      </w:r>
      <w:r w:rsidR="00522EBD" w:rsidRPr="00AB51C7">
        <w:rPr>
          <w:rFonts w:asciiTheme="minorHAnsi" w:hAnsiTheme="minorHAnsi" w:cstheme="minorHAnsi"/>
          <w:color w:val="000000"/>
          <w:sz w:val="22"/>
          <w:szCs w:val="18"/>
          <w:lang w:eastAsia="fr-CH"/>
        </w:rPr>
        <w:t>the development of a resource mobilisation strategy, initiated early in 2020, is a strategic initiative and could prove pivotal to future-proofing the financing of field offices.</w:t>
      </w:r>
    </w:p>
    <w:p w14:paraId="276FECB8" w14:textId="069CD395" w:rsidR="00C41DC2" w:rsidRDefault="00C41DC2" w:rsidP="00E53477">
      <w:pPr>
        <w:tabs>
          <w:tab w:val="clear" w:pos="567"/>
          <w:tab w:val="clear" w:pos="1134"/>
          <w:tab w:val="clear" w:pos="1701"/>
          <w:tab w:val="clear" w:pos="2268"/>
          <w:tab w:val="clear" w:pos="2835"/>
        </w:tabs>
        <w:spacing w:before="240"/>
        <w:jc w:val="both"/>
        <w:rPr>
          <w:rFonts w:asciiTheme="minorHAnsi" w:hAnsiTheme="minorHAnsi" w:cstheme="minorHAnsi"/>
          <w:b/>
          <w:bCs/>
          <w:sz w:val="22"/>
          <w:szCs w:val="22"/>
          <w:lang w:eastAsia="fr-CH"/>
        </w:rPr>
      </w:pPr>
      <w:r>
        <w:rPr>
          <w:rFonts w:asciiTheme="minorHAnsi" w:hAnsiTheme="minorHAnsi" w:cstheme="minorHAnsi"/>
          <w:b/>
          <w:bCs/>
          <w:sz w:val="22"/>
          <w:szCs w:val="22"/>
          <w:lang w:eastAsia="fr-CH"/>
        </w:rPr>
        <w:t>Secretariat Comments</w:t>
      </w:r>
    </w:p>
    <w:p w14:paraId="32ED92AA" w14:textId="08782718" w:rsidR="007A4AB6" w:rsidRPr="007A4AB6" w:rsidRDefault="007A4AB6" w:rsidP="00E53477">
      <w:pPr>
        <w:tabs>
          <w:tab w:val="clear" w:pos="567"/>
          <w:tab w:val="clear" w:pos="1134"/>
          <w:tab w:val="clear" w:pos="1701"/>
          <w:tab w:val="clear" w:pos="2268"/>
          <w:tab w:val="clear" w:pos="2835"/>
        </w:tabs>
        <w:spacing w:before="240"/>
        <w:jc w:val="both"/>
        <w:rPr>
          <w:sz w:val="22"/>
          <w:szCs w:val="18"/>
          <w:lang w:val="en-US"/>
        </w:rPr>
      </w:pPr>
      <w:r w:rsidRPr="007A4AB6">
        <w:rPr>
          <w:sz w:val="22"/>
          <w:szCs w:val="18"/>
          <w:lang w:val="en-US"/>
        </w:rPr>
        <w:t xml:space="preserve">The findings in the PwC report present a reasonable, </w:t>
      </w:r>
      <w:proofErr w:type="gramStart"/>
      <w:r w:rsidRPr="007A4AB6">
        <w:rPr>
          <w:sz w:val="22"/>
          <w:szCs w:val="18"/>
          <w:lang w:val="en-US"/>
        </w:rPr>
        <w:t>robust</w:t>
      </w:r>
      <w:proofErr w:type="gramEnd"/>
      <w:r w:rsidRPr="007A4AB6">
        <w:rPr>
          <w:sz w:val="22"/>
          <w:szCs w:val="18"/>
          <w:lang w:val="en-US"/>
        </w:rPr>
        <w:t xml:space="preserve"> and well supported overview of the state of ITU’s regional presence at the time that PwC’s information gathering work was undertaken. It should be noted, however, that this was in late 2019, so, as is acknowledged at various points in PwC’s report, significant corrective measures for many of the matters outlined in the report had already been initiated though PwC was not able to assess the effectiveness of many of those changes. It is possible that many of the recommendations made by PwC would have been different had the impact of those changes been realized. The changes made within ITU since the report have continued and many have already borne results. Accordingly, it is necessary to </w:t>
      </w:r>
      <w:r>
        <w:rPr>
          <w:sz w:val="22"/>
          <w:szCs w:val="18"/>
          <w:lang w:val="en-US"/>
        </w:rPr>
        <w:t xml:space="preserve">consider </w:t>
      </w:r>
      <w:r w:rsidRPr="007A4AB6">
        <w:rPr>
          <w:sz w:val="22"/>
          <w:szCs w:val="18"/>
          <w:lang w:val="en-US"/>
        </w:rPr>
        <w:t xml:space="preserve">the </w:t>
      </w:r>
      <w:r>
        <w:rPr>
          <w:sz w:val="22"/>
          <w:szCs w:val="18"/>
          <w:lang w:val="en-US"/>
        </w:rPr>
        <w:t>findings</w:t>
      </w:r>
      <w:r w:rsidRPr="007A4AB6">
        <w:rPr>
          <w:sz w:val="22"/>
          <w:szCs w:val="18"/>
          <w:lang w:val="en-US"/>
        </w:rPr>
        <w:t xml:space="preserve"> </w:t>
      </w:r>
      <w:r>
        <w:rPr>
          <w:sz w:val="22"/>
          <w:szCs w:val="18"/>
          <w:lang w:val="en-US"/>
        </w:rPr>
        <w:t xml:space="preserve">in this context </w:t>
      </w:r>
      <w:r w:rsidRPr="007A4AB6">
        <w:rPr>
          <w:sz w:val="22"/>
          <w:szCs w:val="18"/>
          <w:lang w:val="en-US"/>
        </w:rPr>
        <w:t>to ensure that they remain valid.</w:t>
      </w:r>
    </w:p>
    <w:p w14:paraId="6E8C12A3" w14:textId="1A4F347D" w:rsidR="00A04189" w:rsidRPr="00AB51C7" w:rsidRDefault="00A04189" w:rsidP="00E53477">
      <w:pPr>
        <w:spacing w:before="240"/>
        <w:ind w:right="40"/>
        <w:jc w:val="both"/>
        <w:rPr>
          <w:rFonts w:asciiTheme="minorHAnsi" w:hAnsiTheme="minorHAnsi" w:cstheme="minorHAnsi"/>
          <w:i/>
          <w:iCs/>
          <w:color w:val="000000"/>
          <w:sz w:val="22"/>
          <w:szCs w:val="22"/>
          <w:u w:val="single"/>
          <w:lang w:eastAsia="fr-CH"/>
        </w:rPr>
      </w:pPr>
      <w:r>
        <w:rPr>
          <w:rFonts w:asciiTheme="minorHAnsi" w:hAnsiTheme="minorHAnsi" w:cstheme="minorHAnsi"/>
          <w:i/>
          <w:iCs/>
          <w:color w:val="000000"/>
          <w:sz w:val="22"/>
          <w:szCs w:val="22"/>
          <w:u w:val="single"/>
          <w:lang w:eastAsia="fr-CH"/>
        </w:rPr>
        <w:t xml:space="preserve">PwC’s Proposed </w:t>
      </w:r>
      <w:r w:rsidRPr="00AB51C7">
        <w:rPr>
          <w:rFonts w:asciiTheme="minorHAnsi" w:hAnsiTheme="minorHAnsi" w:cstheme="minorHAnsi"/>
          <w:i/>
          <w:iCs/>
          <w:color w:val="000000"/>
          <w:sz w:val="22"/>
          <w:szCs w:val="22"/>
          <w:u w:val="single"/>
          <w:lang w:eastAsia="fr-CH"/>
        </w:rPr>
        <w:t>Guiding Principles for ITU’s Regional Presence</w:t>
      </w:r>
    </w:p>
    <w:p w14:paraId="10BA52AF" w14:textId="77777777" w:rsidR="00C41DC2" w:rsidRPr="00C41DC2" w:rsidRDefault="00C41DC2" w:rsidP="00E53477">
      <w:pPr>
        <w:pStyle w:val="ListBullet"/>
        <w:numPr>
          <w:ilvl w:val="0"/>
          <w:numId w:val="0"/>
        </w:numPr>
        <w:spacing w:before="240" w:line="240" w:lineRule="auto"/>
        <w:rPr>
          <w:sz w:val="22"/>
          <w:szCs w:val="22"/>
          <w:lang w:eastAsia="fr-CH"/>
        </w:rPr>
      </w:pPr>
      <w:r w:rsidRPr="00C41DC2">
        <w:rPr>
          <w:sz w:val="22"/>
          <w:szCs w:val="22"/>
          <w:lang w:eastAsia="fr-CH"/>
        </w:rPr>
        <w:t>Based on its findings, PwC formulated six guiding principles to frame and steer its proposals for a coherent future regional presence.</w:t>
      </w:r>
    </w:p>
    <w:p w14:paraId="6A9FE60B" w14:textId="77777777" w:rsidR="00696781" w:rsidRPr="00AB51C7" w:rsidRDefault="00696781" w:rsidP="00E53477">
      <w:pPr>
        <w:pStyle w:val="ListBullet"/>
        <w:spacing w:before="240" w:line="240" w:lineRule="auto"/>
        <w:jc w:val="both"/>
        <w:rPr>
          <w:rFonts w:cstheme="minorHAnsi"/>
          <w:sz w:val="22"/>
          <w:szCs w:val="22"/>
          <w:lang w:eastAsia="fr-CH"/>
        </w:rPr>
      </w:pPr>
      <w:r w:rsidRPr="00AB51C7">
        <w:rPr>
          <w:rFonts w:cstheme="minorHAnsi"/>
          <w:b/>
          <w:bCs/>
          <w:sz w:val="22"/>
          <w:szCs w:val="22"/>
          <w:lang w:eastAsia="fr-CH"/>
        </w:rPr>
        <w:lastRenderedPageBreak/>
        <w:t>Clarity of purpose</w:t>
      </w:r>
      <w:r w:rsidRPr="00AB51C7">
        <w:rPr>
          <w:rFonts w:cstheme="minorHAnsi"/>
          <w:bCs/>
          <w:sz w:val="22"/>
          <w:szCs w:val="22"/>
          <w:lang w:eastAsia="fr-CH"/>
        </w:rPr>
        <w:t>:</w:t>
      </w:r>
      <w:r w:rsidRPr="00AB51C7">
        <w:rPr>
          <w:rFonts w:cstheme="minorHAnsi"/>
          <w:b/>
          <w:bCs/>
          <w:sz w:val="22"/>
          <w:szCs w:val="22"/>
          <w:lang w:eastAsia="fr-CH"/>
        </w:rPr>
        <w:t xml:space="preserve"> </w:t>
      </w:r>
      <w:proofErr w:type="gramStart"/>
      <w:r w:rsidRPr="00AB51C7">
        <w:rPr>
          <w:rFonts w:cstheme="minorHAnsi"/>
          <w:sz w:val="22"/>
          <w:szCs w:val="22"/>
          <w:lang w:eastAsia="fr-CH"/>
        </w:rPr>
        <w:t>i.e.</w:t>
      </w:r>
      <w:proofErr w:type="gramEnd"/>
      <w:r w:rsidRPr="00AB51C7">
        <w:rPr>
          <w:rFonts w:cstheme="minorHAnsi"/>
          <w:sz w:val="22"/>
          <w:szCs w:val="22"/>
          <w:lang w:eastAsia="fr-CH"/>
        </w:rPr>
        <w:t xml:space="preserve"> the alignment of the regional mandate and responsibilities with the vision and mission defined in the ITU and BDT strategic agenda, providing a limited set of specific, measurable, attainable, relevant and timely objectives for the regional presence.</w:t>
      </w:r>
    </w:p>
    <w:p w14:paraId="134921EB" w14:textId="77777777" w:rsidR="00696781" w:rsidRPr="00AB51C7" w:rsidRDefault="00696781" w:rsidP="00E53477">
      <w:pPr>
        <w:pStyle w:val="ListBullet"/>
        <w:spacing w:line="240" w:lineRule="auto"/>
        <w:jc w:val="both"/>
        <w:rPr>
          <w:rFonts w:cstheme="minorHAnsi"/>
          <w:sz w:val="22"/>
          <w:szCs w:val="22"/>
          <w:lang w:eastAsia="fr-CH"/>
        </w:rPr>
      </w:pPr>
      <w:r w:rsidRPr="00AB51C7">
        <w:rPr>
          <w:rFonts w:cstheme="minorHAnsi"/>
          <w:b/>
          <w:sz w:val="22"/>
          <w:szCs w:val="22"/>
          <w:lang w:eastAsia="fr-CH"/>
        </w:rPr>
        <w:t>Drive for impact</w:t>
      </w:r>
      <w:r w:rsidRPr="00AB51C7">
        <w:rPr>
          <w:rFonts w:cstheme="minorHAnsi"/>
          <w:sz w:val="22"/>
          <w:szCs w:val="22"/>
          <w:lang w:eastAsia="fr-CH"/>
        </w:rPr>
        <w:t>: efficient and effective use of resources to ensure the delivery of tangible results and address the challenges targeted by the organisation in developing countries.</w:t>
      </w:r>
    </w:p>
    <w:p w14:paraId="77A6F9C0" w14:textId="77777777" w:rsidR="00696781" w:rsidRPr="00AB51C7" w:rsidRDefault="00696781" w:rsidP="00E53477">
      <w:pPr>
        <w:pStyle w:val="ListBullet"/>
        <w:spacing w:line="240" w:lineRule="auto"/>
        <w:jc w:val="both"/>
        <w:rPr>
          <w:rFonts w:cstheme="minorHAnsi"/>
          <w:sz w:val="22"/>
          <w:szCs w:val="22"/>
          <w:lang w:eastAsia="fr-CH"/>
        </w:rPr>
      </w:pPr>
      <w:r w:rsidRPr="00AB51C7">
        <w:rPr>
          <w:rFonts w:cstheme="minorHAnsi"/>
          <w:b/>
          <w:sz w:val="22"/>
          <w:szCs w:val="22"/>
          <w:lang w:eastAsia="fr-CH"/>
        </w:rPr>
        <w:t>Accountability</w:t>
      </w:r>
      <w:r w:rsidRPr="00AB51C7">
        <w:rPr>
          <w:rFonts w:cstheme="minorHAnsi"/>
          <w:sz w:val="22"/>
          <w:szCs w:val="22"/>
          <w:lang w:eastAsia="fr-CH"/>
        </w:rPr>
        <w:t>: balance empowerment with control, ensuring a level of autonomy for the Heads of ITU offices at regional and area levels to assess and react to opportunities, based on a comprehensive and regular assessment of their added value in the local environment.</w:t>
      </w:r>
    </w:p>
    <w:p w14:paraId="5BC84298" w14:textId="77777777" w:rsidR="00696781" w:rsidRPr="00AB51C7" w:rsidRDefault="00696781" w:rsidP="00E53477">
      <w:pPr>
        <w:pStyle w:val="ListBullet"/>
        <w:spacing w:line="240" w:lineRule="auto"/>
        <w:jc w:val="both"/>
        <w:rPr>
          <w:rFonts w:cstheme="minorHAnsi"/>
          <w:sz w:val="22"/>
          <w:szCs w:val="22"/>
          <w:lang w:eastAsia="fr-CH"/>
        </w:rPr>
      </w:pPr>
      <w:r w:rsidRPr="00AB51C7">
        <w:rPr>
          <w:rFonts w:cstheme="minorHAnsi"/>
          <w:b/>
          <w:sz w:val="22"/>
          <w:szCs w:val="22"/>
          <w:lang w:eastAsia="fr-CH"/>
        </w:rPr>
        <w:t>'One ITU'</w:t>
      </w:r>
      <w:r w:rsidRPr="00AB51C7">
        <w:rPr>
          <w:rFonts w:cstheme="minorHAnsi"/>
          <w:sz w:val="22"/>
          <w:szCs w:val="22"/>
          <w:lang w:eastAsia="fr-CH"/>
        </w:rPr>
        <w:t>: ability of the regional presence to reflect the ITU as a whole and take a leading role in the preparation and coordination of activities in an area.</w:t>
      </w:r>
    </w:p>
    <w:p w14:paraId="2CAFA733" w14:textId="77777777" w:rsidR="00696781" w:rsidRPr="00AB51C7" w:rsidRDefault="00696781" w:rsidP="00E53477">
      <w:pPr>
        <w:pStyle w:val="ListBullet"/>
        <w:spacing w:line="240" w:lineRule="auto"/>
        <w:jc w:val="both"/>
        <w:rPr>
          <w:rFonts w:cstheme="minorHAnsi"/>
          <w:sz w:val="22"/>
          <w:szCs w:val="22"/>
          <w:lang w:eastAsia="fr-CH"/>
        </w:rPr>
      </w:pPr>
      <w:r w:rsidRPr="00AB51C7">
        <w:rPr>
          <w:rFonts w:cstheme="minorHAnsi"/>
          <w:b/>
          <w:sz w:val="22"/>
          <w:szCs w:val="22"/>
          <w:lang w:eastAsia="fr-CH"/>
        </w:rPr>
        <w:t>'Part and parcel' of the UN family</w:t>
      </w:r>
      <w:r w:rsidRPr="00AB51C7">
        <w:rPr>
          <w:rFonts w:cstheme="minorHAnsi"/>
          <w:sz w:val="22"/>
          <w:szCs w:val="22"/>
          <w:lang w:eastAsia="fr-CH"/>
        </w:rPr>
        <w:t>: proactive alignment and coordination with like-minded UN Agencies to promote collaboration and deliver meaningful change in selected countries.</w:t>
      </w:r>
    </w:p>
    <w:p w14:paraId="69AE0B2B" w14:textId="0DCD3D20" w:rsidR="00696781" w:rsidRDefault="00696781" w:rsidP="00E53477">
      <w:pPr>
        <w:pStyle w:val="ListBullet"/>
        <w:spacing w:line="240" w:lineRule="auto"/>
        <w:jc w:val="both"/>
        <w:rPr>
          <w:rFonts w:cstheme="minorHAnsi"/>
          <w:sz w:val="22"/>
          <w:szCs w:val="22"/>
          <w:lang w:eastAsia="fr-CH"/>
        </w:rPr>
      </w:pPr>
      <w:r w:rsidRPr="00AB51C7">
        <w:rPr>
          <w:rFonts w:cstheme="minorHAnsi"/>
          <w:b/>
          <w:bCs/>
          <w:sz w:val="22"/>
          <w:szCs w:val="22"/>
          <w:lang w:eastAsia="fr-CH"/>
        </w:rPr>
        <w:t>Managed transition</w:t>
      </w:r>
      <w:r w:rsidRPr="00AB51C7">
        <w:rPr>
          <w:rFonts w:cstheme="minorHAnsi"/>
          <w:sz w:val="22"/>
          <w:szCs w:val="22"/>
          <w:lang w:eastAsia="fr-CH"/>
        </w:rPr>
        <w:t>: proactive approach to minimise the impact of the envisaged solution on staff and to ensure business continuity.</w:t>
      </w:r>
    </w:p>
    <w:p w14:paraId="15AEAC86" w14:textId="7C6EE71B" w:rsidR="002F15A2" w:rsidRPr="007A4AB6" w:rsidRDefault="002F15A2" w:rsidP="00E53477">
      <w:pPr>
        <w:pStyle w:val="ListBullet"/>
        <w:numPr>
          <w:ilvl w:val="0"/>
          <w:numId w:val="0"/>
        </w:numPr>
        <w:spacing w:before="240" w:line="240" w:lineRule="auto"/>
        <w:ind w:left="198" w:hanging="198"/>
        <w:jc w:val="both"/>
        <w:rPr>
          <w:b/>
          <w:bCs/>
          <w:sz w:val="22"/>
          <w:szCs w:val="22"/>
          <w:lang w:eastAsia="fr-CH"/>
        </w:rPr>
      </w:pPr>
      <w:r w:rsidRPr="007A4AB6">
        <w:rPr>
          <w:b/>
          <w:bCs/>
          <w:sz w:val="22"/>
          <w:szCs w:val="22"/>
          <w:lang w:eastAsia="fr-CH"/>
        </w:rPr>
        <w:t>Secretariat Comments</w:t>
      </w:r>
    </w:p>
    <w:p w14:paraId="1FCC7C7C" w14:textId="0ED2845C" w:rsidR="00AD0C44" w:rsidRPr="007A4AB6" w:rsidRDefault="00AD0C44" w:rsidP="00E53477">
      <w:pPr>
        <w:pStyle w:val="ListBullet"/>
        <w:numPr>
          <w:ilvl w:val="0"/>
          <w:numId w:val="0"/>
        </w:numPr>
        <w:spacing w:line="240" w:lineRule="auto"/>
        <w:jc w:val="both"/>
        <w:rPr>
          <w:rFonts w:cstheme="minorHAnsi"/>
          <w:sz w:val="22"/>
          <w:szCs w:val="22"/>
          <w:lang w:eastAsia="fr-CH"/>
        </w:rPr>
      </w:pPr>
      <w:r w:rsidRPr="007A4AB6">
        <w:rPr>
          <w:rFonts w:cstheme="minorHAnsi"/>
          <w:sz w:val="22"/>
          <w:szCs w:val="22"/>
          <w:lang w:eastAsia="fr-CH"/>
        </w:rPr>
        <w:t xml:space="preserve">PWC’s recommended guiding principles for a coherent future regional presence broadly encapsulate member expectations for ITU’s work in the regions while promoting a framework which ensures effective and accountable use of resources. </w:t>
      </w:r>
    </w:p>
    <w:p w14:paraId="504D4530" w14:textId="79471549" w:rsidR="00AD0C44" w:rsidRPr="007A4AB6" w:rsidRDefault="00AD0C44" w:rsidP="00E53477">
      <w:pPr>
        <w:pStyle w:val="ListBullet"/>
        <w:numPr>
          <w:ilvl w:val="0"/>
          <w:numId w:val="19"/>
        </w:numPr>
        <w:spacing w:before="240" w:line="240" w:lineRule="auto"/>
        <w:jc w:val="both"/>
        <w:rPr>
          <w:rFonts w:cstheme="minorHAnsi"/>
          <w:sz w:val="22"/>
          <w:szCs w:val="22"/>
          <w:lang w:eastAsia="fr-CH"/>
        </w:rPr>
      </w:pPr>
      <w:r w:rsidRPr="007A4AB6">
        <w:rPr>
          <w:rFonts w:cstheme="minorHAnsi"/>
          <w:sz w:val="22"/>
          <w:szCs w:val="22"/>
          <w:lang w:eastAsia="fr-CH"/>
        </w:rPr>
        <w:t>Regions are not homogenous</w:t>
      </w:r>
      <w:r w:rsidR="00E03F1F" w:rsidRPr="007A4AB6">
        <w:rPr>
          <w:rFonts w:cstheme="minorHAnsi"/>
          <w:sz w:val="22"/>
          <w:szCs w:val="22"/>
          <w:lang w:eastAsia="fr-CH"/>
        </w:rPr>
        <w:t xml:space="preserve">, and within regions, member states also have significant differences in social, cultural, </w:t>
      </w:r>
      <w:proofErr w:type="gramStart"/>
      <w:r w:rsidR="00E03F1F" w:rsidRPr="007A4AB6">
        <w:rPr>
          <w:rFonts w:cstheme="minorHAnsi"/>
          <w:sz w:val="22"/>
          <w:szCs w:val="22"/>
          <w:lang w:eastAsia="fr-CH"/>
        </w:rPr>
        <w:t>economic</w:t>
      </w:r>
      <w:proofErr w:type="gramEnd"/>
      <w:r w:rsidR="00E03F1F" w:rsidRPr="007A4AB6">
        <w:rPr>
          <w:rFonts w:cstheme="minorHAnsi"/>
          <w:sz w:val="22"/>
          <w:szCs w:val="22"/>
          <w:lang w:eastAsia="fr-CH"/>
        </w:rPr>
        <w:t xml:space="preserve"> and developmental needs. </w:t>
      </w:r>
      <w:proofErr w:type="gramStart"/>
      <w:r w:rsidR="00E03F1F" w:rsidRPr="007A4AB6">
        <w:rPr>
          <w:rFonts w:cstheme="minorHAnsi"/>
          <w:sz w:val="22"/>
          <w:szCs w:val="22"/>
          <w:lang w:eastAsia="fr-CH"/>
        </w:rPr>
        <w:t>T</w:t>
      </w:r>
      <w:r w:rsidRPr="007A4AB6">
        <w:rPr>
          <w:rFonts w:cstheme="minorHAnsi"/>
          <w:sz w:val="22"/>
          <w:szCs w:val="22"/>
          <w:lang w:eastAsia="fr-CH"/>
        </w:rPr>
        <w:t>herefore</w:t>
      </w:r>
      <w:proofErr w:type="gramEnd"/>
      <w:r w:rsidRPr="007A4AB6">
        <w:rPr>
          <w:rFonts w:cstheme="minorHAnsi"/>
          <w:sz w:val="22"/>
          <w:szCs w:val="22"/>
          <w:lang w:eastAsia="fr-CH"/>
        </w:rPr>
        <w:t xml:space="preserve"> application of </w:t>
      </w:r>
      <w:r w:rsidR="00E03F1F" w:rsidRPr="007A4AB6">
        <w:rPr>
          <w:rFonts w:cstheme="minorHAnsi"/>
          <w:sz w:val="22"/>
          <w:szCs w:val="22"/>
          <w:lang w:eastAsia="fr-CH"/>
        </w:rPr>
        <w:t>the principles may, in different regions, require different approaches</w:t>
      </w:r>
      <w:r w:rsidR="003B506E" w:rsidRPr="007A4AB6">
        <w:rPr>
          <w:rFonts w:cstheme="minorHAnsi"/>
          <w:sz w:val="22"/>
          <w:szCs w:val="22"/>
          <w:lang w:eastAsia="fr-CH"/>
        </w:rPr>
        <w:t xml:space="preserve"> in order to ensure that the approach indeed reflects an effective drive for impact</w:t>
      </w:r>
      <w:r w:rsidR="00E03F1F" w:rsidRPr="007A4AB6">
        <w:rPr>
          <w:rFonts w:cstheme="minorHAnsi"/>
          <w:sz w:val="22"/>
          <w:szCs w:val="22"/>
          <w:lang w:eastAsia="fr-CH"/>
        </w:rPr>
        <w:t xml:space="preserve">. </w:t>
      </w:r>
      <w:r w:rsidR="003B506E" w:rsidRPr="007A4AB6">
        <w:rPr>
          <w:rFonts w:cstheme="minorHAnsi"/>
          <w:sz w:val="22"/>
          <w:szCs w:val="22"/>
          <w:lang w:eastAsia="fr-CH"/>
        </w:rPr>
        <w:t xml:space="preserve">While recognising the need to </w:t>
      </w:r>
      <w:r w:rsidR="00311E8B" w:rsidRPr="007A4AB6">
        <w:rPr>
          <w:rFonts w:cstheme="minorHAnsi"/>
          <w:sz w:val="22"/>
          <w:szCs w:val="22"/>
          <w:lang w:eastAsia="fr-CH"/>
        </w:rPr>
        <w:t xml:space="preserve">be consistent and to seek economies of scale and scope, </w:t>
      </w:r>
      <w:r w:rsidR="00E03F1F" w:rsidRPr="007A4AB6">
        <w:rPr>
          <w:rFonts w:cstheme="minorHAnsi"/>
          <w:sz w:val="22"/>
          <w:szCs w:val="22"/>
          <w:lang w:eastAsia="fr-CH"/>
        </w:rPr>
        <w:t xml:space="preserve">ITU’s approach to regional presence should be tailored to the cultural and developmental needs of </w:t>
      </w:r>
      <w:r w:rsidR="003B506E" w:rsidRPr="007A4AB6">
        <w:rPr>
          <w:rFonts w:cstheme="minorHAnsi"/>
          <w:sz w:val="22"/>
          <w:szCs w:val="22"/>
          <w:lang w:eastAsia="fr-CH"/>
        </w:rPr>
        <w:t>its member states where possible.</w:t>
      </w:r>
    </w:p>
    <w:p w14:paraId="37087BFE" w14:textId="02F9B24F" w:rsidR="00311E8B" w:rsidRPr="007A4AB6" w:rsidRDefault="003C1552" w:rsidP="00E53477">
      <w:pPr>
        <w:pStyle w:val="ListBullet"/>
        <w:numPr>
          <w:ilvl w:val="0"/>
          <w:numId w:val="19"/>
        </w:numPr>
        <w:spacing w:before="240" w:line="240" w:lineRule="auto"/>
        <w:jc w:val="both"/>
        <w:rPr>
          <w:rFonts w:cstheme="minorHAnsi"/>
          <w:sz w:val="22"/>
          <w:szCs w:val="22"/>
          <w:lang w:eastAsia="fr-CH"/>
        </w:rPr>
      </w:pPr>
      <w:r w:rsidRPr="007A4AB6">
        <w:rPr>
          <w:rFonts w:cstheme="minorHAnsi"/>
          <w:sz w:val="22"/>
          <w:szCs w:val="22"/>
          <w:lang w:eastAsia="fr-CH"/>
        </w:rPr>
        <w:t>“One ITU” is critical for overall success, particularly in regional offices, which represent the whole of ITU despite being managed within the BDT and most frequently engaged in BDT outputs. Regional leadership must therefore be adaptable to the different needs of the Bureaux, and to do so must recognise and understand the different mandates and expectations of the Bureaux</w:t>
      </w:r>
      <w:r w:rsidR="00143C4D" w:rsidRPr="007A4AB6">
        <w:rPr>
          <w:rFonts w:cstheme="minorHAnsi"/>
          <w:sz w:val="22"/>
          <w:szCs w:val="22"/>
          <w:lang w:eastAsia="fr-CH"/>
        </w:rPr>
        <w:t xml:space="preserve"> and GS.</w:t>
      </w:r>
    </w:p>
    <w:p w14:paraId="403A42B6" w14:textId="3AC67A94" w:rsidR="00143C4D" w:rsidRPr="007A4AB6" w:rsidRDefault="00143C4D" w:rsidP="00E53477">
      <w:pPr>
        <w:pStyle w:val="ListBullet"/>
        <w:numPr>
          <w:ilvl w:val="0"/>
          <w:numId w:val="19"/>
        </w:numPr>
        <w:spacing w:before="240" w:line="240" w:lineRule="auto"/>
        <w:jc w:val="both"/>
        <w:rPr>
          <w:rFonts w:cstheme="minorHAnsi"/>
          <w:sz w:val="22"/>
          <w:szCs w:val="22"/>
          <w:lang w:eastAsia="fr-CH"/>
        </w:rPr>
      </w:pPr>
      <w:r w:rsidRPr="007A4AB6">
        <w:rPr>
          <w:rFonts w:cstheme="minorHAnsi"/>
          <w:sz w:val="22"/>
          <w:szCs w:val="22"/>
          <w:lang w:eastAsia="fr-CH"/>
        </w:rPr>
        <w:t>One ITU should be expanded to reflect the role of bring</w:t>
      </w:r>
      <w:r w:rsidR="00B92471" w:rsidRPr="007A4AB6">
        <w:rPr>
          <w:rFonts w:cstheme="minorHAnsi"/>
          <w:sz w:val="22"/>
          <w:szCs w:val="22"/>
          <w:lang w:eastAsia="fr-CH"/>
        </w:rPr>
        <w:t>ing</w:t>
      </w:r>
      <w:r w:rsidRPr="007A4AB6">
        <w:rPr>
          <w:rFonts w:cstheme="minorHAnsi"/>
          <w:sz w:val="22"/>
          <w:szCs w:val="22"/>
          <w:lang w:eastAsia="fr-CH"/>
        </w:rPr>
        <w:t xml:space="preserve"> the ITU closer to the membership and their populations in the guiding principles. </w:t>
      </w:r>
    </w:p>
    <w:p w14:paraId="6AAF659F" w14:textId="2ED67FC0" w:rsidR="00F80644" w:rsidRPr="00AB51C7" w:rsidRDefault="003F025D" w:rsidP="00E53477">
      <w:pPr>
        <w:spacing w:before="240" w:after="240"/>
        <w:jc w:val="both"/>
        <w:rPr>
          <w:rFonts w:asciiTheme="minorHAnsi" w:hAnsiTheme="minorHAnsi" w:cstheme="minorHAnsi"/>
          <w:i/>
          <w:iCs/>
          <w:color w:val="000000"/>
          <w:sz w:val="22"/>
          <w:szCs w:val="22"/>
          <w:u w:val="single"/>
          <w:lang w:eastAsia="fr-CH"/>
        </w:rPr>
      </w:pPr>
      <w:r>
        <w:rPr>
          <w:rFonts w:asciiTheme="minorHAnsi" w:hAnsiTheme="minorHAnsi" w:cstheme="minorHAnsi"/>
          <w:i/>
          <w:iCs/>
          <w:color w:val="000000"/>
          <w:sz w:val="22"/>
          <w:szCs w:val="22"/>
          <w:u w:val="single"/>
          <w:lang w:eastAsia="fr-CH"/>
        </w:rPr>
        <w:t xml:space="preserve">Proposed </w:t>
      </w:r>
      <w:r w:rsidR="00F80644" w:rsidRPr="00AB51C7">
        <w:rPr>
          <w:rFonts w:asciiTheme="minorHAnsi" w:hAnsiTheme="minorHAnsi" w:cstheme="minorHAnsi"/>
          <w:i/>
          <w:iCs/>
          <w:color w:val="000000"/>
          <w:sz w:val="22"/>
          <w:szCs w:val="22"/>
          <w:u w:val="single"/>
          <w:lang w:eastAsia="fr-CH"/>
        </w:rPr>
        <w:t>Strategic Positioning of ITU’s Regional Presence</w:t>
      </w:r>
    </w:p>
    <w:p w14:paraId="463D38B9" w14:textId="2C022E1A" w:rsidR="00696781" w:rsidRPr="00AB51C7" w:rsidRDefault="0027559F" w:rsidP="00E53477">
      <w:pPr>
        <w:spacing w:before="240" w:after="240"/>
        <w:jc w:val="both"/>
        <w:rPr>
          <w:rFonts w:asciiTheme="minorHAnsi" w:hAnsiTheme="minorHAnsi" w:cstheme="minorHAnsi"/>
          <w:sz w:val="22"/>
          <w:szCs w:val="22"/>
          <w:lang w:eastAsia="fr-CH"/>
        </w:rPr>
      </w:pPr>
      <w:r w:rsidRPr="00AB51C7">
        <w:rPr>
          <w:rFonts w:asciiTheme="minorHAnsi" w:hAnsiTheme="minorHAnsi" w:cstheme="minorHAnsi"/>
          <w:color w:val="000000"/>
          <w:sz w:val="22"/>
          <w:szCs w:val="22"/>
          <w:lang w:eastAsia="fr-CH"/>
        </w:rPr>
        <w:t>Based on t</w:t>
      </w:r>
      <w:r w:rsidR="00696781" w:rsidRPr="00AB51C7">
        <w:rPr>
          <w:rFonts w:asciiTheme="minorHAnsi" w:hAnsiTheme="minorHAnsi" w:cstheme="minorHAnsi"/>
          <w:color w:val="000000"/>
          <w:sz w:val="22"/>
          <w:szCs w:val="22"/>
          <w:lang w:eastAsia="fr-CH"/>
        </w:rPr>
        <w:t>hese guiding principles</w:t>
      </w:r>
      <w:r w:rsidRPr="00AB51C7">
        <w:rPr>
          <w:rFonts w:asciiTheme="minorHAnsi" w:hAnsiTheme="minorHAnsi" w:cstheme="minorHAnsi"/>
          <w:color w:val="000000"/>
          <w:sz w:val="22"/>
          <w:szCs w:val="22"/>
          <w:lang w:eastAsia="fr-CH"/>
        </w:rPr>
        <w:t xml:space="preserve">, PwC </w:t>
      </w:r>
      <w:r w:rsidR="00696781" w:rsidRPr="00AB51C7">
        <w:rPr>
          <w:rFonts w:asciiTheme="minorHAnsi" w:hAnsiTheme="minorHAnsi" w:cstheme="minorHAnsi"/>
          <w:color w:val="000000"/>
          <w:sz w:val="22"/>
          <w:szCs w:val="22"/>
          <w:lang w:eastAsia="fr-CH"/>
        </w:rPr>
        <w:t>consider</w:t>
      </w:r>
      <w:r w:rsidR="003E4297" w:rsidRPr="00AB51C7">
        <w:rPr>
          <w:rFonts w:asciiTheme="minorHAnsi" w:hAnsiTheme="minorHAnsi" w:cstheme="minorHAnsi"/>
          <w:color w:val="000000"/>
          <w:sz w:val="22"/>
          <w:szCs w:val="22"/>
          <w:lang w:eastAsia="fr-CH"/>
        </w:rPr>
        <w:t xml:space="preserve">ed that ITU should </w:t>
      </w:r>
      <w:r w:rsidR="00696781" w:rsidRPr="00AB51C7">
        <w:rPr>
          <w:rFonts w:asciiTheme="minorHAnsi" w:hAnsiTheme="minorHAnsi" w:cstheme="minorHAnsi"/>
          <w:color w:val="000000"/>
          <w:sz w:val="22"/>
          <w:szCs w:val="22"/>
          <w:lang w:eastAsia="fr-CH"/>
        </w:rPr>
        <w:t>organis</w:t>
      </w:r>
      <w:r w:rsidR="003E4297" w:rsidRPr="00AB51C7">
        <w:rPr>
          <w:rFonts w:asciiTheme="minorHAnsi" w:hAnsiTheme="minorHAnsi" w:cstheme="minorHAnsi"/>
          <w:color w:val="000000"/>
          <w:sz w:val="22"/>
          <w:szCs w:val="22"/>
          <w:lang w:eastAsia="fr-CH"/>
        </w:rPr>
        <w:t>e</w:t>
      </w:r>
      <w:r w:rsidR="00696781" w:rsidRPr="00AB51C7">
        <w:rPr>
          <w:rFonts w:asciiTheme="minorHAnsi" w:hAnsiTheme="minorHAnsi" w:cstheme="minorHAnsi"/>
          <w:color w:val="000000"/>
          <w:sz w:val="22"/>
          <w:szCs w:val="22"/>
          <w:lang w:eastAsia="fr-CH"/>
        </w:rPr>
        <w:t xml:space="preserve"> its regional presence </w:t>
      </w:r>
      <w:r w:rsidR="00696781" w:rsidRPr="00AB51C7">
        <w:rPr>
          <w:rFonts w:asciiTheme="minorHAnsi" w:hAnsiTheme="minorHAnsi" w:cstheme="minorHAnsi"/>
          <w:sz w:val="22"/>
          <w:szCs w:val="22"/>
          <w:lang w:eastAsia="fr-CH"/>
        </w:rPr>
        <w:t>towards:</w:t>
      </w:r>
    </w:p>
    <w:p w14:paraId="35B5DCD0" w14:textId="77777777" w:rsidR="00696781" w:rsidRPr="00AB51C7" w:rsidRDefault="00696781" w:rsidP="00E53477">
      <w:pPr>
        <w:pStyle w:val="Listnum"/>
        <w:numPr>
          <w:ilvl w:val="0"/>
          <w:numId w:val="17"/>
        </w:numPr>
        <w:spacing w:line="240" w:lineRule="auto"/>
        <w:jc w:val="both"/>
        <w:rPr>
          <w:sz w:val="22"/>
          <w:szCs w:val="22"/>
        </w:rPr>
      </w:pPr>
      <w:r w:rsidRPr="00AB51C7">
        <w:rPr>
          <w:b/>
          <w:sz w:val="22"/>
          <w:szCs w:val="22"/>
        </w:rPr>
        <w:t>Bringing the technical expertise of ITU as a whole closer to its membership</w:t>
      </w:r>
      <w:r w:rsidRPr="00AB51C7">
        <w:rPr>
          <w:sz w:val="22"/>
          <w:szCs w:val="22"/>
        </w:rPr>
        <w:t>, thus helping to enhance the relevance and effectiveness of the activities of the three Sectors through joint planning and collaboration.</w:t>
      </w:r>
    </w:p>
    <w:p w14:paraId="1CE4D59B" w14:textId="77777777" w:rsidR="00696781" w:rsidRPr="00AB51C7" w:rsidRDefault="00696781" w:rsidP="00E53477">
      <w:pPr>
        <w:pStyle w:val="Listnum"/>
        <w:numPr>
          <w:ilvl w:val="0"/>
          <w:numId w:val="17"/>
        </w:numPr>
        <w:spacing w:line="240" w:lineRule="auto"/>
        <w:jc w:val="both"/>
        <w:rPr>
          <w:sz w:val="22"/>
          <w:szCs w:val="22"/>
        </w:rPr>
      </w:pPr>
      <w:r w:rsidRPr="00AB51C7">
        <w:rPr>
          <w:b/>
          <w:sz w:val="22"/>
          <w:szCs w:val="22"/>
        </w:rPr>
        <w:t>Supporting the preparation and participation of representatives from different regions</w:t>
      </w:r>
      <w:r w:rsidRPr="00AB51C7">
        <w:rPr>
          <w:sz w:val="22"/>
          <w:szCs w:val="22"/>
        </w:rPr>
        <w:t xml:space="preserve"> in the regional and global ICT forums to ensure 1) a diversity of views and 2) the </w:t>
      </w:r>
      <w:r w:rsidRPr="00AB51C7">
        <w:rPr>
          <w:i/>
          <w:iCs/>
          <w:sz w:val="22"/>
          <w:szCs w:val="22"/>
        </w:rPr>
        <w:t xml:space="preserve">effective </w:t>
      </w:r>
      <w:r w:rsidRPr="00AB51C7">
        <w:rPr>
          <w:sz w:val="22"/>
          <w:szCs w:val="22"/>
        </w:rPr>
        <w:t>contribution of all Members to advance the ITU agenda.</w:t>
      </w:r>
    </w:p>
    <w:p w14:paraId="11E35E13" w14:textId="77777777" w:rsidR="00696781" w:rsidRPr="00AB51C7" w:rsidRDefault="00696781" w:rsidP="00E53477">
      <w:pPr>
        <w:pStyle w:val="Listnum"/>
        <w:numPr>
          <w:ilvl w:val="0"/>
          <w:numId w:val="17"/>
        </w:numPr>
        <w:spacing w:line="240" w:lineRule="auto"/>
        <w:jc w:val="both"/>
        <w:rPr>
          <w:sz w:val="22"/>
          <w:szCs w:val="22"/>
        </w:rPr>
      </w:pPr>
      <w:r w:rsidRPr="00AB51C7">
        <w:rPr>
          <w:b/>
          <w:sz w:val="22"/>
          <w:szCs w:val="22"/>
        </w:rPr>
        <w:t>Facilitating and organising transfers of technical knowledge</w:t>
      </w:r>
      <w:r w:rsidRPr="00AB51C7">
        <w:rPr>
          <w:sz w:val="22"/>
          <w:szCs w:val="22"/>
        </w:rPr>
        <w:t xml:space="preserve"> across countries and regions, beyond geopolitical and cultural barriers.</w:t>
      </w:r>
    </w:p>
    <w:p w14:paraId="5A9CAC4F" w14:textId="77777777" w:rsidR="00696781" w:rsidRPr="00AB51C7" w:rsidRDefault="00696781" w:rsidP="00E53477">
      <w:pPr>
        <w:pStyle w:val="Listnum"/>
        <w:numPr>
          <w:ilvl w:val="0"/>
          <w:numId w:val="17"/>
        </w:numPr>
        <w:spacing w:line="240" w:lineRule="auto"/>
        <w:jc w:val="both"/>
        <w:rPr>
          <w:sz w:val="22"/>
          <w:szCs w:val="22"/>
        </w:rPr>
      </w:pPr>
      <w:r w:rsidRPr="00AB51C7">
        <w:rPr>
          <w:b/>
          <w:sz w:val="22"/>
          <w:szCs w:val="22"/>
        </w:rPr>
        <w:t>Actively fostering cross-country and cross-regional collaboration and dialogue,</w:t>
      </w:r>
      <w:r w:rsidRPr="00AB51C7">
        <w:rPr>
          <w:sz w:val="22"/>
          <w:szCs w:val="22"/>
        </w:rPr>
        <w:t xml:space="preserve"> engaging with key stakeholders such as Regional Telecom Organisations and the regional offices or hubs of other UN Agencies on the basis of common assessments, joint strategic planning and coordinated support for the countries in the region.</w:t>
      </w:r>
    </w:p>
    <w:p w14:paraId="478B2F63" w14:textId="77777777" w:rsidR="00696781" w:rsidRPr="00833535" w:rsidRDefault="00696781" w:rsidP="00E53477">
      <w:pPr>
        <w:pStyle w:val="Listnum"/>
        <w:numPr>
          <w:ilvl w:val="0"/>
          <w:numId w:val="17"/>
        </w:numPr>
        <w:spacing w:line="240" w:lineRule="auto"/>
        <w:jc w:val="both"/>
        <w:rPr>
          <w:sz w:val="22"/>
          <w:szCs w:val="22"/>
        </w:rPr>
      </w:pPr>
      <w:r w:rsidRPr="00AB51C7">
        <w:rPr>
          <w:b/>
          <w:sz w:val="22"/>
          <w:szCs w:val="22"/>
        </w:rPr>
        <w:lastRenderedPageBreak/>
        <w:t xml:space="preserve">Designing and delivering </w:t>
      </w:r>
      <w:r w:rsidRPr="00AB51C7">
        <w:rPr>
          <w:b/>
          <w:bCs w:val="0"/>
          <w:sz w:val="22"/>
          <w:szCs w:val="22"/>
        </w:rPr>
        <w:t>technical assistance</w:t>
      </w:r>
      <w:r w:rsidRPr="00AB51C7">
        <w:rPr>
          <w:sz w:val="22"/>
          <w:szCs w:val="22"/>
        </w:rPr>
        <w:t xml:space="preserve"> for developing countries in close collaboration with other UN Agencies and other relevant partners. This assistance should be in line with the mission of the Union, which is to “promote, facilitate and foster affordable and universal access to telecommunication/</w:t>
      </w:r>
      <w:r w:rsidRPr="00833535">
        <w:rPr>
          <w:sz w:val="22"/>
          <w:szCs w:val="22"/>
        </w:rPr>
        <w:t>information and communication technology networks, services and applications and their use for social, economic and environmentally sustainable growth and development”.</w:t>
      </w:r>
    </w:p>
    <w:p w14:paraId="41A5B6E4" w14:textId="7FD561FC" w:rsidR="00696781" w:rsidRPr="00833535" w:rsidRDefault="00696781" w:rsidP="00E53477">
      <w:pPr>
        <w:pStyle w:val="Listnum"/>
        <w:numPr>
          <w:ilvl w:val="0"/>
          <w:numId w:val="17"/>
        </w:numPr>
        <w:spacing w:after="120" w:line="240" w:lineRule="auto"/>
        <w:jc w:val="both"/>
        <w:rPr>
          <w:sz w:val="22"/>
          <w:szCs w:val="22"/>
        </w:rPr>
      </w:pPr>
      <w:r w:rsidRPr="00833535">
        <w:rPr>
          <w:b/>
          <w:sz w:val="22"/>
          <w:szCs w:val="22"/>
        </w:rPr>
        <w:t>Leveraging additional resources and mobilising the membership</w:t>
      </w:r>
      <w:r w:rsidRPr="00833535">
        <w:rPr>
          <w:sz w:val="22"/>
          <w:szCs w:val="22"/>
        </w:rPr>
        <w:t xml:space="preserve"> in line with the strategic goals and global targets listed in the Strategic Plan.</w:t>
      </w:r>
    </w:p>
    <w:p w14:paraId="381D0B04" w14:textId="22108260" w:rsidR="002F5725" w:rsidRPr="00833535" w:rsidRDefault="002F5725" w:rsidP="00E53477">
      <w:pPr>
        <w:pStyle w:val="Listnum"/>
        <w:numPr>
          <w:ilvl w:val="0"/>
          <w:numId w:val="0"/>
        </w:numPr>
        <w:spacing w:before="240" w:after="120" w:line="240" w:lineRule="auto"/>
        <w:jc w:val="both"/>
        <w:rPr>
          <w:b/>
          <w:sz w:val="22"/>
          <w:szCs w:val="22"/>
        </w:rPr>
      </w:pPr>
      <w:r w:rsidRPr="00833535">
        <w:rPr>
          <w:b/>
          <w:sz w:val="22"/>
          <w:szCs w:val="22"/>
        </w:rPr>
        <w:t>Secretariat Comments</w:t>
      </w:r>
    </w:p>
    <w:p w14:paraId="76FF3D82" w14:textId="273A3EC7" w:rsidR="5149F9E2" w:rsidRPr="00833535" w:rsidRDefault="5149F9E2" w:rsidP="00E53477">
      <w:pPr>
        <w:pStyle w:val="Listnum"/>
        <w:numPr>
          <w:ilvl w:val="0"/>
          <w:numId w:val="0"/>
        </w:numPr>
        <w:spacing w:after="120" w:line="240" w:lineRule="auto"/>
        <w:jc w:val="both"/>
        <w:rPr>
          <w:sz w:val="22"/>
          <w:szCs w:val="22"/>
        </w:rPr>
      </w:pPr>
      <w:r w:rsidRPr="00833535">
        <w:rPr>
          <w:rFonts w:ascii="Calibri" w:eastAsia="Calibri" w:hAnsi="Calibri" w:cs="Calibri"/>
          <w:sz w:val="22"/>
          <w:szCs w:val="22"/>
        </w:rPr>
        <w:t xml:space="preserve">ITU agrees with the PWC’s proposed strategic positioning of ITU’s Regional Presence.   Our Regional Offices (ROs) have and continue to play a catalytic role that facilitates the achievement of these strategic objectives and ensures a strong connection between ITU HQ (Geneva) and ITU membership (including member states, sector members, academia) on various activities of ITU's international cooperation and coordination.  Additionally, they support initiatives with ITU partners, such as Regional Telecom Organizations (RTOs), other UN agencies, bilateral donor agencies, and other relevant partners and is essential for the fulfilment of the purposes of the Union as stated in Article 1 of ITU Constitution.  </w:t>
      </w:r>
    </w:p>
    <w:p w14:paraId="7AF3C6F7" w14:textId="38C6EBB0" w:rsidR="5149F9E2" w:rsidRPr="00833535" w:rsidRDefault="5149F9E2" w:rsidP="00E53477">
      <w:pPr>
        <w:jc w:val="both"/>
        <w:rPr>
          <w:sz w:val="22"/>
          <w:szCs w:val="22"/>
        </w:rPr>
      </w:pPr>
      <w:r w:rsidRPr="00833535">
        <w:rPr>
          <w:sz w:val="22"/>
          <w:szCs w:val="22"/>
        </w:rPr>
        <w:t>There has been a permanent focus from all ITU Sectors on bringing the ITU expertise closer to its membership and facilitating and organizing transfers of technical knowledge.  The following are a few examples of current activities in this regard:</w:t>
      </w:r>
    </w:p>
    <w:p w14:paraId="37FCC8A2" w14:textId="3B91F4B5" w:rsidR="5149F9E2" w:rsidRPr="00833535" w:rsidRDefault="5149F9E2" w:rsidP="00E53477">
      <w:pPr>
        <w:pStyle w:val="ListParagraph"/>
        <w:numPr>
          <w:ilvl w:val="0"/>
          <w:numId w:val="33"/>
        </w:numPr>
        <w:tabs>
          <w:tab w:val="clear" w:pos="567"/>
          <w:tab w:val="clear" w:pos="1134"/>
          <w:tab w:val="clear" w:pos="1701"/>
          <w:tab w:val="clear" w:pos="2268"/>
          <w:tab w:val="clear" w:pos="2835"/>
        </w:tabs>
        <w:jc w:val="both"/>
        <w:rPr>
          <w:rFonts w:eastAsia="Calibri" w:cs="Calibri"/>
          <w:sz w:val="22"/>
          <w:szCs w:val="22"/>
        </w:rPr>
      </w:pPr>
      <w:r w:rsidRPr="00833535">
        <w:rPr>
          <w:sz w:val="22"/>
          <w:szCs w:val="22"/>
        </w:rPr>
        <w:t xml:space="preserve">TSB meets with each RO monthly to discuss plans and priorities. TSB Shares ITU-T SG Reports including the list of participants per region/country. </w:t>
      </w:r>
    </w:p>
    <w:p w14:paraId="730138EA" w14:textId="6DEE4EFA" w:rsidR="5149F9E2" w:rsidRPr="00833535" w:rsidRDefault="5149F9E2" w:rsidP="00E53477">
      <w:pPr>
        <w:pStyle w:val="ListParagraph"/>
        <w:numPr>
          <w:ilvl w:val="0"/>
          <w:numId w:val="33"/>
        </w:numPr>
        <w:tabs>
          <w:tab w:val="clear" w:pos="567"/>
          <w:tab w:val="clear" w:pos="1134"/>
          <w:tab w:val="clear" w:pos="1701"/>
          <w:tab w:val="clear" w:pos="2268"/>
          <w:tab w:val="clear" w:pos="2835"/>
        </w:tabs>
        <w:jc w:val="both"/>
        <w:rPr>
          <w:rFonts w:eastAsia="Calibri" w:cs="Calibri"/>
          <w:sz w:val="22"/>
          <w:szCs w:val="22"/>
        </w:rPr>
      </w:pPr>
      <w:r w:rsidRPr="00833535">
        <w:rPr>
          <w:sz w:val="22"/>
          <w:szCs w:val="22"/>
        </w:rPr>
        <w:t>BR coordinates with ROs in the organization of Regional Radiocommunication Seminars (RRS) and other capacity-building seminars and workshops at the subregional level.</w:t>
      </w:r>
    </w:p>
    <w:p w14:paraId="7BEFF0A0" w14:textId="1F03ABA5" w:rsidR="5149F9E2" w:rsidRPr="00833535" w:rsidRDefault="5149F9E2" w:rsidP="00E53477">
      <w:pPr>
        <w:pStyle w:val="ListParagraph"/>
        <w:numPr>
          <w:ilvl w:val="0"/>
          <w:numId w:val="33"/>
        </w:numPr>
        <w:tabs>
          <w:tab w:val="clear" w:pos="567"/>
          <w:tab w:val="clear" w:pos="1134"/>
          <w:tab w:val="clear" w:pos="1701"/>
          <w:tab w:val="clear" w:pos="2268"/>
          <w:tab w:val="clear" w:pos="2835"/>
        </w:tabs>
        <w:jc w:val="both"/>
        <w:rPr>
          <w:rFonts w:eastAsia="Calibri" w:cs="Calibri"/>
          <w:sz w:val="22"/>
          <w:szCs w:val="22"/>
        </w:rPr>
      </w:pPr>
      <w:r w:rsidRPr="00833535">
        <w:rPr>
          <w:sz w:val="22"/>
          <w:szCs w:val="22"/>
        </w:rPr>
        <w:t xml:space="preserve">BR staff participate in all of RTO meetings to support their preparations for ITU-R conferences, </w:t>
      </w:r>
      <w:proofErr w:type="gramStart"/>
      <w:r w:rsidRPr="00833535">
        <w:rPr>
          <w:sz w:val="22"/>
          <w:szCs w:val="22"/>
        </w:rPr>
        <w:t>assemblies</w:t>
      </w:r>
      <w:proofErr w:type="gramEnd"/>
      <w:r w:rsidRPr="00833535">
        <w:rPr>
          <w:sz w:val="22"/>
          <w:szCs w:val="22"/>
        </w:rPr>
        <w:t xml:space="preserve"> and meetings.  This has been an effective model over many years.</w:t>
      </w:r>
    </w:p>
    <w:p w14:paraId="5CBC06E0" w14:textId="7A8625F6" w:rsidR="5149F9E2" w:rsidRPr="00833535" w:rsidRDefault="5149F9E2" w:rsidP="00E53477">
      <w:pPr>
        <w:pStyle w:val="ListParagraph"/>
        <w:numPr>
          <w:ilvl w:val="0"/>
          <w:numId w:val="33"/>
        </w:numPr>
        <w:tabs>
          <w:tab w:val="clear" w:pos="567"/>
          <w:tab w:val="clear" w:pos="1134"/>
          <w:tab w:val="clear" w:pos="1701"/>
          <w:tab w:val="clear" w:pos="2268"/>
          <w:tab w:val="clear" w:pos="2835"/>
        </w:tabs>
        <w:jc w:val="both"/>
        <w:rPr>
          <w:rFonts w:eastAsia="Calibri" w:cs="Calibri"/>
          <w:sz w:val="22"/>
          <w:szCs w:val="22"/>
        </w:rPr>
      </w:pPr>
      <w:r w:rsidRPr="00833535">
        <w:rPr>
          <w:sz w:val="22"/>
          <w:szCs w:val="22"/>
        </w:rPr>
        <w:t>SPM work with ROs to coordinate regional views on preparations for Council sessions and Plenipotentiary Conferences.</w:t>
      </w:r>
    </w:p>
    <w:p w14:paraId="2768D9D8" w14:textId="17FFC288" w:rsidR="5149F9E2" w:rsidRPr="00833535" w:rsidRDefault="5149F9E2" w:rsidP="00E53477">
      <w:pPr>
        <w:pStyle w:val="ListParagraph"/>
        <w:numPr>
          <w:ilvl w:val="0"/>
          <w:numId w:val="33"/>
        </w:numPr>
        <w:tabs>
          <w:tab w:val="clear" w:pos="567"/>
          <w:tab w:val="clear" w:pos="1134"/>
          <w:tab w:val="clear" w:pos="1701"/>
          <w:tab w:val="clear" w:pos="2268"/>
          <w:tab w:val="clear" w:pos="2835"/>
        </w:tabs>
        <w:jc w:val="both"/>
        <w:rPr>
          <w:rFonts w:eastAsia="Calibri" w:cs="Calibri"/>
          <w:sz w:val="22"/>
          <w:szCs w:val="22"/>
        </w:rPr>
      </w:pPr>
      <w:r w:rsidRPr="00833535">
        <w:rPr>
          <w:sz w:val="22"/>
          <w:szCs w:val="22"/>
        </w:rPr>
        <w:t xml:space="preserve">BDT has embarked as part of its RBM change program on a holistic and integrated planning and programming approach, through which the regional and HQ-based thematic priority units plan concurrently for results. </w:t>
      </w:r>
    </w:p>
    <w:p w14:paraId="6D303E54" w14:textId="0463B43C" w:rsidR="007A4AB6" w:rsidRPr="00833535" w:rsidRDefault="5149F9E2" w:rsidP="00E53477">
      <w:pPr>
        <w:jc w:val="both"/>
        <w:rPr>
          <w:sz w:val="22"/>
          <w:szCs w:val="22"/>
        </w:rPr>
      </w:pPr>
      <w:r w:rsidRPr="00833535">
        <w:rPr>
          <w:sz w:val="22"/>
          <w:szCs w:val="22"/>
        </w:rPr>
        <w:t xml:space="preserve">With respect to bringing ITU’s expertise </w:t>
      </w:r>
      <w:r w:rsidR="007A4AB6" w:rsidRPr="00833535">
        <w:rPr>
          <w:sz w:val="22"/>
          <w:szCs w:val="22"/>
        </w:rPr>
        <w:t>closer</w:t>
      </w:r>
      <w:r w:rsidRPr="00833535">
        <w:rPr>
          <w:sz w:val="22"/>
          <w:szCs w:val="22"/>
        </w:rPr>
        <w:t xml:space="preserve"> to its Membership, the current practice is already achieving this as there is close collaboration between the Regional Offices and the three Bureaus </w:t>
      </w:r>
      <w:r w:rsidR="005F52F2" w:rsidRPr="00833535">
        <w:rPr>
          <w:sz w:val="22"/>
          <w:szCs w:val="22"/>
        </w:rPr>
        <w:t xml:space="preserve">that is </w:t>
      </w:r>
      <w:r w:rsidRPr="00833535">
        <w:rPr>
          <w:sz w:val="22"/>
          <w:szCs w:val="22"/>
        </w:rPr>
        <w:t xml:space="preserve">enhanced and reinforced through an Inter-Sectoral coordination mechanism. This is also reflected by a composite document to Council on the Operational Plans of the three Sectors and the General Secretariat. Further, </w:t>
      </w:r>
      <w:r w:rsidR="00A3656D" w:rsidRPr="00833535">
        <w:rPr>
          <w:sz w:val="22"/>
          <w:szCs w:val="22"/>
        </w:rPr>
        <w:t>multi-national</w:t>
      </w:r>
      <w:r w:rsidR="007A4AB6" w:rsidRPr="00833535">
        <w:rPr>
          <w:sz w:val="22"/>
          <w:szCs w:val="22"/>
        </w:rPr>
        <w:t>,</w:t>
      </w:r>
      <w:r w:rsidRPr="00833535">
        <w:rPr>
          <w:sz w:val="22"/>
          <w:szCs w:val="22"/>
        </w:rPr>
        <w:t xml:space="preserve"> and </w:t>
      </w:r>
      <w:r w:rsidR="00D1066E" w:rsidRPr="00833535">
        <w:rPr>
          <w:sz w:val="22"/>
          <w:szCs w:val="22"/>
        </w:rPr>
        <w:t>pan</w:t>
      </w:r>
      <w:r w:rsidRPr="00833535">
        <w:rPr>
          <w:sz w:val="22"/>
          <w:szCs w:val="22"/>
        </w:rPr>
        <w:t>-regional dialogues are in place as workshops, and other events are open for the participation</w:t>
      </w:r>
      <w:r w:rsidR="00286239" w:rsidRPr="00833535">
        <w:rPr>
          <w:sz w:val="22"/>
          <w:szCs w:val="22"/>
        </w:rPr>
        <w:t xml:space="preserve"> of</w:t>
      </w:r>
      <w:r w:rsidRPr="00833535">
        <w:rPr>
          <w:sz w:val="22"/>
          <w:szCs w:val="22"/>
        </w:rPr>
        <w:t xml:space="preserve"> all</w:t>
      </w:r>
      <w:r w:rsidR="00286239" w:rsidRPr="00833535">
        <w:rPr>
          <w:sz w:val="22"/>
          <w:szCs w:val="22"/>
        </w:rPr>
        <w:t>,</w:t>
      </w:r>
      <w:r w:rsidRPr="00833535">
        <w:rPr>
          <w:sz w:val="22"/>
          <w:szCs w:val="22"/>
        </w:rPr>
        <w:t xml:space="preserve"> more so in the era of th</w:t>
      </w:r>
      <w:r w:rsidR="00E376CB" w:rsidRPr="00833535">
        <w:rPr>
          <w:sz w:val="22"/>
          <w:szCs w:val="22"/>
        </w:rPr>
        <w:t>is</w:t>
      </w:r>
      <w:r w:rsidRPr="00833535">
        <w:rPr>
          <w:sz w:val="22"/>
          <w:szCs w:val="22"/>
        </w:rPr>
        <w:t xml:space="preserve"> COVID-19 pandemic where webinars are virtual with no cost hindrance to participation. ITU</w:t>
      </w:r>
      <w:r w:rsidR="00C77FB8" w:rsidRPr="00833535">
        <w:rPr>
          <w:sz w:val="22"/>
          <w:szCs w:val="22"/>
        </w:rPr>
        <w:t>,</w:t>
      </w:r>
      <w:r w:rsidRPr="00833535">
        <w:rPr>
          <w:sz w:val="22"/>
          <w:szCs w:val="22"/>
        </w:rPr>
        <w:t xml:space="preserve"> like other UN Agencies</w:t>
      </w:r>
      <w:r w:rsidR="00C77FB8" w:rsidRPr="00833535">
        <w:rPr>
          <w:sz w:val="22"/>
          <w:szCs w:val="22"/>
        </w:rPr>
        <w:t>,</w:t>
      </w:r>
      <w:r w:rsidRPr="00833535">
        <w:rPr>
          <w:sz w:val="22"/>
          <w:szCs w:val="22"/>
        </w:rPr>
        <w:t xml:space="preserve"> is part of the UN Coordination mechanisms and work</w:t>
      </w:r>
      <w:r w:rsidR="00EF6203" w:rsidRPr="00833535">
        <w:rPr>
          <w:sz w:val="22"/>
          <w:szCs w:val="22"/>
        </w:rPr>
        <w:t>s</w:t>
      </w:r>
      <w:r w:rsidRPr="00833535">
        <w:rPr>
          <w:sz w:val="22"/>
          <w:szCs w:val="22"/>
        </w:rPr>
        <w:t xml:space="preserve"> closely with UN Country teams to ensure coherence across the UN system. </w:t>
      </w:r>
    </w:p>
    <w:p w14:paraId="76DA7F4C" w14:textId="00061AAC" w:rsidR="5149F9E2" w:rsidRPr="00833535" w:rsidRDefault="5149F9E2" w:rsidP="00E53477">
      <w:pPr>
        <w:jc w:val="both"/>
        <w:rPr>
          <w:sz w:val="22"/>
          <w:szCs w:val="22"/>
        </w:rPr>
      </w:pPr>
      <w:r w:rsidRPr="00833535">
        <w:rPr>
          <w:sz w:val="22"/>
          <w:szCs w:val="22"/>
        </w:rPr>
        <w:t>ITU continues to embark on resource mobilization efforts to augment available resources for the benefit of the Membership and implements projects that help to promote and achieve the 5 ITU Goals and global targets in the strategic plan. Recently, the Telecommunication Development Bureau developed a Resource Mobilization Strategy and training on the implementation of that strategy will commence in the 4</w:t>
      </w:r>
      <w:r w:rsidRPr="00833535">
        <w:rPr>
          <w:sz w:val="22"/>
          <w:szCs w:val="22"/>
          <w:vertAlign w:val="superscript"/>
        </w:rPr>
        <w:t>th</w:t>
      </w:r>
      <w:r w:rsidRPr="00833535">
        <w:rPr>
          <w:sz w:val="22"/>
          <w:szCs w:val="22"/>
        </w:rPr>
        <w:t xml:space="preserve"> quarter of 2020.</w:t>
      </w:r>
    </w:p>
    <w:p w14:paraId="49FF2962" w14:textId="7747BB37" w:rsidR="00696781" w:rsidRPr="00AB51C7" w:rsidRDefault="003F025D" w:rsidP="00E53477">
      <w:pPr>
        <w:keepNext/>
        <w:spacing w:before="240"/>
        <w:ind w:right="40"/>
        <w:jc w:val="both"/>
        <w:rPr>
          <w:rFonts w:asciiTheme="minorHAnsi" w:hAnsiTheme="minorHAnsi" w:cstheme="minorHAnsi"/>
          <w:sz w:val="22"/>
          <w:szCs w:val="22"/>
          <w:u w:val="single"/>
          <w:lang w:eastAsia="fr-CH"/>
        </w:rPr>
      </w:pPr>
      <w:r>
        <w:rPr>
          <w:rFonts w:asciiTheme="minorHAnsi" w:hAnsiTheme="minorHAnsi" w:cstheme="minorHAnsi"/>
          <w:i/>
          <w:iCs/>
          <w:color w:val="000000"/>
          <w:sz w:val="22"/>
          <w:szCs w:val="22"/>
          <w:u w:val="single"/>
          <w:lang w:eastAsia="fr-CH"/>
        </w:rPr>
        <w:t xml:space="preserve">PwC’s </w:t>
      </w:r>
      <w:r w:rsidR="00696781" w:rsidRPr="00AB51C7">
        <w:rPr>
          <w:rFonts w:asciiTheme="minorHAnsi" w:hAnsiTheme="minorHAnsi" w:cstheme="minorHAnsi"/>
          <w:i/>
          <w:iCs/>
          <w:color w:val="000000"/>
          <w:sz w:val="22"/>
          <w:szCs w:val="22"/>
          <w:u w:val="single"/>
          <w:lang w:eastAsia="fr-CH"/>
        </w:rPr>
        <w:t>Proposed criteria guiding the opening or phasing out of field offices</w:t>
      </w:r>
    </w:p>
    <w:p w14:paraId="5CE37735" w14:textId="3321CAF9" w:rsidR="00696781" w:rsidRPr="00AB51C7" w:rsidRDefault="00F80644" w:rsidP="00E53477">
      <w:pPr>
        <w:spacing w:before="240"/>
        <w:jc w:val="both"/>
        <w:rPr>
          <w:rFonts w:asciiTheme="minorHAnsi" w:hAnsiTheme="minorHAnsi" w:cstheme="minorHAnsi"/>
          <w:sz w:val="22"/>
          <w:szCs w:val="22"/>
          <w:lang w:eastAsia="fr-CH"/>
        </w:rPr>
      </w:pPr>
      <w:r w:rsidRPr="00AB51C7">
        <w:rPr>
          <w:rFonts w:asciiTheme="minorHAnsi" w:hAnsiTheme="minorHAnsi" w:cstheme="minorHAnsi"/>
          <w:sz w:val="22"/>
          <w:szCs w:val="22"/>
          <w:lang w:eastAsia="fr-CH"/>
        </w:rPr>
        <w:t>PwC recommend</w:t>
      </w:r>
      <w:r w:rsidR="00A04189">
        <w:rPr>
          <w:rFonts w:asciiTheme="minorHAnsi" w:hAnsiTheme="minorHAnsi" w:cstheme="minorHAnsi"/>
          <w:sz w:val="22"/>
          <w:szCs w:val="22"/>
          <w:lang w:eastAsia="fr-CH"/>
        </w:rPr>
        <w:t>ed</w:t>
      </w:r>
      <w:r w:rsidRPr="00AB51C7">
        <w:rPr>
          <w:rFonts w:asciiTheme="minorHAnsi" w:hAnsiTheme="minorHAnsi" w:cstheme="minorHAnsi"/>
          <w:sz w:val="22"/>
          <w:szCs w:val="22"/>
          <w:lang w:eastAsia="fr-CH"/>
        </w:rPr>
        <w:t xml:space="preserve"> clear criteria for ITU decisions around the </w:t>
      </w:r>
      <w:r w:rsidR="00696781" w:rsidRPr="00AB51C7">
        <w:rPr>
          <w:rFonts w:asciiTheme="minorHAnsi" w:hAnsiTheme="minorHAnsi" w:cstheme="minorHAnsi"/>
          <w:sz w:val="22"/>
          <w:szCs w:val="22"/>
          <w:lang w:eastAsia="fr-CH"/>
        </w:rPr>
        <w:t>localisation of field offices</w:t>
      </w:r>
      <w:r w:rsidRPr="00AB51C7">
        <w:rPr>
          <w:rFonts w:asciiTheme="minorHAnsi" w:hAnsiTheme="minorHAnsi" w:cstheme="minorHAnsi"/>
          <w:sz w:val="22"/>
          <w:szCs w:val="22"/>
          <w:lang w:eastAsia="fr-CH"/>
        </w:rPr>
        <w:t>. PwC recommends that</w:t>
      </w:r>
      <w:r w:rsidR="00696781" w:rsidRPr="00AB51C7">
        <w:rPr>
          <w:rFonts w:asciiTheme="minorHAnsi" w:hAnsiTheme="minorHAnsi" w:cstheme="minorHAnsi"/>
          <w:sz w:val="22"/>
          <w:szCs w:val="22"/>
          <w:lang w:eastAsia="fr-CH"/>
        </w:rPr>
        <w:t xml:space="preserve"> </w:t>
      </w:r>
      <w:r w:rsidRPr="00AB51C7">
        <w:rPr>
          <w:rFonts w:asciiTheme="minorHAnsi" w:hAnsiTheme="minorHAnsi" w:cstheme="minorHAnsi"/>
          <w:sz w:val="22"/>
          <w:szCs w:val="22"/>
          <w:lang w:eastAsia="fr-CH"/>
        </w:rPr>
        <w:t xml:space="preserve">field offices </w:t>
      </w:r>
      <w:r w:rsidR="00696781" w:rsidRPr="00AB51C7">
        <w:rPr>
          <w:rFonts w:asciiTheme="minorHAnsi" w:hAnsiTheme="minorHAnsi" w:cstheme="minorHAnsi"/>
          <w:sz w:val="22"/>
          <w:szCs w:val="22"/>
          <w:lang w:eastAsia="fr-CH"/>
        </w:rPr>
        <w:t xml:space="preserve">should be defined </w:t>
      </w:r>
      <w:r w:rsidR="00A04189" w:rsidRPr="00AB51C7">
        <w:rPr>
          <w:rFonts w:asciiTheme="minorHAnsi" w:hAnsiTheme="minorHAnsi" w:cstheme="minorHAnsi"/>
          <w:sz w:val="22"/>
          <w:szCs w:val="22"/>
          <w:lang w:eastAsia="fr-CH"/>
        </w:rPr>
        <w:t>considering</w:t>
      </w:r>
      <w:r w:rsidR="00696781" w:rsidRPr="00AB51C7">
        <w:rPr>
          <w:rFonts w:asciiTheme="minorHAnsi" w:hAnsiTheme="minorHAnsi" w:cstheme="minorHAnsi"/>
          <w:sz w:val="22"/>
          <w:szCs w:val="22"/>
          <w:lang w:eastAsia="fr-CH"/>
        </w:rPr>
        <w:t xml:space="preserve"> their ability to deliver on the above positioning. </w:t>
      </w:r>
      <w:r w:rsidR="00A04189">
        <w:rPr>
          <w:rFonts w:asciiTheme="minorHAnsi" w:hAnsiTheme="minorHAnsi" w:cstheme="minorHAnsi"/>
          <w:sz w:val="22"/>
          <w:szCs w:val="22"/>
          <w:lang w:eastAsia="fr-CH"/>
        </w:rPr>
        <w:t xml:space="preserve">PwC </w:t>
      </w:r>
      <w:r w:rsidR="00D36A86">
        <w:rPr>
          <w:rFonts w:asciiTheme="minorHAnsi" w:hAnsiTheme="minorHAnsi" w:cstheme="minorHAnsi"/>
          <w:sz w:val="22"/>
          <w:szCs w:val="22"/>
          <w:lang w:eastAsia="fr-CH"/>
        </w:rPr>
        <w:t>recommended that f</w:t>
      </w:r>
      <w:r w:rsidR="00696781" w:rsidRPr="00AB51C7">
        <w:rPr>
          <w:rFonts w:asciiTheme="minorHAnsi" w:hAnsiTheme="minorHAnsi" w:cstheme="minorHAnsi"/>
          <w:sz w:val="22"/>
          <w:szCs w:val="22"/>
          <w:lang w:eastAsia="fr-CH"/>
        </w:rPr>
        <w:t xml:space="preserve">uture decisions regarding the opening or phasing out of a particular field office should </w:t>
      </w:r>
      <w:r w:rsidR="00696781" w:rsidRPr="00AB51C7">
        <w:rPr>
          <w:rFonts w:asciiTheme="minorHAnsi" w:hAnsiTheme="minorHAnsi" w:cstheme="minorHAnsi"/>
          <w:sz w:val="22"/>
          <w:szCs w:val="22"/>
          <w:lang w:eastAsia="fr-CH"/>
        </w:rPr>
        <w:lastRenderedPageBreak/>
        <w:t xml:space="preserve">be carefully considered </w:t>
      </w:r>
      <w:proofErr w:type="gramStart"/>
      <w:r w:rsidR="00696781" w:rsidRPr="00AB51C7">
        <w:rPr>
          <w:rFonts w:asciiTheme="minorHAnsi" w:hAnsiTheme="minorHAnsi" w:cstheme="minorHAnsi"/>
          <w:sz w:val="22"/>
          <w:szCs w:val="22"/>
          <w:lang w:eastAsia="fr-CH"/>
        </w:rPr>
        <w:t>taking into account</w:t>
      </w:r>
      <w:proofErr w:type="gramEnd"/>
      <w:r w:rsidR="00696781" w:rsidRPr="00AB51C7">
        <w:rPr>
          <w:rFonts w:asciiTheme="minorHAnsi" w:hAnsiTheme="minorHAnsi" w:cstheme="minorHAnsi"/>
          <w:sz w:val="22"/>
          <w:szCs w:val="22"/>
          <w:lang w:eastAsia="fr-CH"/>
        </w:rPr>
        <w:t xml:space="preserve"> resource limitations and a limited set of explicit criteria</w:t>
      </w:r>
      <w:r w:rsidR="00D36A86">
        <w:rPr>
          <w:rFonts w:asciiTheme="minorHAnsi" w:hAnsiTheme="minorHAnsi" w:cstheme="minorHAnsi"/>
          <w:sz w:val="22"/>
          <w:szCs w:val="22"/>
          <w:lang w:eastAsia="fr-CH"/>
        </w:rPr>
        <w:t xml:space="preserve">. PwC proposed the </w:t>
      </w:r>
      <w:r w:rsidR="00696781" w:rsidRPr="00AB51C7">
        <w:rPr>
          <w:rFonts w:asciiTheme="minorHAnsi" w:hAnsiTheme="minorHAnsi" w:cstheme="minorHAnsi"/>
          <w:sz w:val="22"/>
          <w:szCs w:val="22"/>
          <w:lang w:eastAsia="fr-CH"/>
        </w:rPr>
        <w:t xml:space="preserve">five </w:t>
      </w:r>
      <w:r w:rsidR="00D36A86">
        <w:rPr>
          <w:rFonts w:asciiTheme="minorHAnsi" w:hAnsiTheme="minorHAnsi" w:cstheme="minorHAnsi"/>
          <w:sz w:val="22"/>
          <w:szCs w:val="22"/>
          <w:lang w:eastAsia="fr-CH"/>
        </w:rPr>
        <w:t xml:space="preserve">criteria </w:t>
      </w:r>
      <w:r w:rsidR="00696781" w:rsidRPr="00AB51C7">
        <w:rPr>
          <w:rFonts w:asciiTheme="minorHAnsi" w:hAnsiTheme="minorHAnsi" w:cstheme="minorHAnsi"/>
          <w:sz w:val="22"/>
          <w:szCs w:val="22"/>
          <w:lang w:eastAsia="fr-CH"/>
        </w:rPr>
        <w:t>outlined below as a basis for the Council's consideration:</w:t>
      </w:r>
    </w:p>
    <w:p w14:paraId="1D610798" w14:textId="6C8D097E" w:rsidR="00696781" w:rsidRPr="00AB51C7" w:rsidRDefault="00696781" w:rsidP="00E53477">
      <w:pPr>
        <w:pStyle w:val="ListBullet"/>
        <w:spacing w:before="240" w:line="240" w:lineRule="auto"/>
        <w:jc w:val="both"/>
        <w:rPr>
          <w:rFonts w:cstheme="minorHAnsi"/>
          <w:sz w:val="22"/>
          <w:szCs w:val="22"/>
          <w:lang w:eastAsia="fr-CH"/>
        </w:rPr>
      </w:pPr>
      <w:r w:rsidRPr="00AB51C7">
        <w:rPr>
          <w:rFonts w:cstheme="minorHAnsi"/>
          <w:b/>
          <w:bCs/>
          <w:sz w:val="22"/>
          <w:szCs w:val="22"/>
          <w:lang w:eastAsia="fr-CH"/>
        </w:rPr>
        <w:t>Feasibility</w:t>
      </w:r>
      <w:r w:rsidRPr="00AB51C7">
        <w:rPr>
          <w:rFonts w:cstheme="minorHAnsi"/>
          <w:bCs/>
          <w:sz w:val="22"/>
          <w:szCs w:val="22"/>
          <w:lang w:eastAsia="fr-CH"/>
        </w:rPr>
        <w:t>:</w:t>
      </w:r>
      <w:r w:rsidRPr="00AB51C7">
        <w:rPr>
          <w:rFonts w:cstheme="minorHAnsi"/>
          <w:sz w:val="22"/>
          <w:szCs w:val="22"/>
          <w:lang w:eastAsia="fr-CH"/>
        </w:rPr>
        <w:t xml:space="preserve"> sufficient resources have to be secured to establish the office and support a minimum critical mass of technical skills (</w:t>
      </w:r>
      <w:proofErr w:type="gramStart"/>
      <w:r w:rsidRPr="00AB51C7">
        <w:rPr>
          <w:rFonts w:cstheme="minorHAnsi"/>
          <w:sz w:val="22"/>
          <w:szCs w:val="22"/>
          <w:lang w:eastAsia="fr-CH"/>
        </w:rPr>
        <w:t>e.g.</w:t>
      </w:r>
      <w:proofErr w:type="gramEnd"/>
      <w:r w:rsidRPr="00AB51C7">
        <w:rPr>
          <w:rFonts w:cstheme="minorHAnsi"/>
          <w:sz w:val="22"/>
          <w:szCs w:val="22"/>
          <w:lang w:eastAsia="fr-CH"/>
        </w:rPr>
        <w:t xml:space="preserve"> at least 4 P staff) for an extended period of time (e.g. 10 years). The location should be assessed by UNDSS as having a low security level.</w:t>
      </w:r>
    </w:p>
    <w:p w14:paraId="2E6D15CE" w14:textId="77777777" w:rsidR="00696781" w:rsidRPr="00AB51C7" w:rsidRDefault="00696781" w:rsidP="00E53477">
      <w:pPr>
        <w:pStyle w:val="ListBullet"/>
        <w:spacing w:before="240" w:line="240" w:lineRule="auto"/>
        <w:jc w:val="both"/>
        <w:rPr>
          <w:rFonts w:cstheme="minorHAnsi"/>
          <w:sz w:val="22"/>
          <w:szCs w:val="22"/>
          <w:lang w:eastAsia="fr-CH"/>
        </w:rPr>
      </w:pPr>
      <w:r w:rsidRPr="00AB51C7">
        <w:rPr>
          <w:rFonts w:cstheme="minorHAnsi"/>
          <w:b/>
          <w:bCs/>
          <w:sz w:val="22"/>
          <w:szCs w:val="22"/>
          <w:lang w:eastAsia="fr-CH"/>
        </w:rPr>
        <w:t>Exclusivity</w:t>
      </w:r>
      <w:r w:rsidRPr="00AB51C7">
        <w:rPr>
          <w:rFonts w:cstheme="minorHAnsi"/>
          <w:bCs/>
          <w:sz w:val="22"/>
          <w:szCs w:val="22"/>
          <w:lang w:eastAsia="fr-CH"/>
        </w:rPr>
        <w:t>:</w:t>
      </w:r>
      <w:r w:rsidRPr="00AB51C7">
        <w:rPr>
          <w:rFonts w:cstheme="minorHAnsi"/>
          <w:b/>
          <w:bCs/>
          <w:sz w:val="22"/>
          <w:szCs w:val="22"/>
          <w:lang w:eastAsia="fr-CH"/>
        </w:rPr>
        <w:t xml:space="preserve"> </w:t>
      </w:r>
      <w:r w:rsidRPr="00AB51C7">
        <w:rPr>
          <w:rFonts w:cstheme="minorHAnsi"/>
          <w:sz w:val="22"/>
          <w:szCs w:val="22"/>
          <w:lang w:eastAsia="fr-CH"/>
        </w:rPr>
        <w:t xml:space="preserve">the suggested location does not duplicate any existing presence at sub-regional level in an area that represents a community of culture, </w:t>
      </w:r>
      <w:proofErr w:type="gramStart"/>
      <w:r w:rsidRPr="00AB51C7">
        <w:rPr>
          <w:rFonts w:cstheme="minorHAnsi"/>
          <w:sz w:val="22"/>
          <w:szCs w:val="22"/>
          <w:lang w:eastAsia="fr-CH"/>
        </w:rPr>
        <w:t>history</w:t>
      </w:r>
      <w:proofErr w:type="gramEnd"/>
      <w:r w:rsidRPr="00AB51C7">
        <w:rPr>
          <w:rFonts w:cstheme="minorHAnsi"/>
          <w:sz w:val="22"/>
          <w:szCs w:val="22"/>
          <w:lang w:eastAsia="fr-CH"/>
        </w:rPr>
        <w:t xml:space="preserve"> and language, if not already defined as a region by the UN Statistics Division.</w:t>
      </w:r>
    </w:p>
    <w:p w14:paraId="29EA5388" w14:textId="7E005E3E" w:rsidR="00696781" w:rsidRPr="00AB51C7" w:rsidRDefault="00696781" w:rsidP="00E53477">
      <w:pPr>
        <w:pStyle w:val="ListBullet"/>
        <w:spacing w:before="240" w:line="240" w:lineRule="auto"/>
        <w:jc w:val="both"/>
        <w:rPr>
          <w:rFonts w:cstheme="minorHAnsi"/>
          <w:sz w:val="22"/>
          <w:szCs w:val="22"/>
          <w:lang w:eastAsia="fr-CH"/>
        </w:rPr>
      </w:pPr>
      <w:r w:rsidRPr="00AB51C7">
        <w:rPr>
          <w:rFonts w:cstheme="minorHAnsi"/>
          <w:b/>
          <w:bCs/>
          <w:sz w:val="22"/>
          <w:szCs w:val="22"/>
          <w:lang w:eastAsia="fr-CH"/>
        </w:rPr>
        <w:t>Relevance</w:t>
      </w:r>
      <w:r w:rsidRPr="00AB51C7">
        <w:rPr>
          <w:rFonts w:cstheme="minorHAnsi"/>
          <w:bCs/>
          <w:sz w:val="22"/>
          <w:szCs w:val="22"/>
          <w:lang w:eastAsia="fr-CH"/>
        </w:rPr>
        <w:t>:</w:t>
      </w:r>
      <w:r w:rsidRPr="00AB51C7">
        <w:rPr>
          <w:rFonts w:cstheme="minorHAnsi"/>
          <w:sz w:val="22"/>
          <w:szCs w:val="22"/>
          <w:lang w:eastAsia="fr-CH"/>
        </w:rPr>
        <w:t xml:space="preserve"> the new location improves ITU's ability to generate impact where its support is most needed, </w:t>
      </w:r>
      <w:proofErr w:type="gramStart"/>
      <w:r w:rsidRPr="00AB51C7">
        <w:rPr>
          <w:rFonts w:cstheme="minorHAnsi"/>
          <w:sz w:val="22"/>
          <w:szCs w:val="22"/>
          <w:lang w:eastAsia="fr-CH"/>
        </w:rPr>
        <w:t>Besides</w:t>
      </w:r>
      <w:proofErr w:type="gramEnd"/>
      <w:r w:rsidRPr="00AB51C7">
        <w:rPr>
          <w:rFonts w:cstheme="minorHAnsi"/>
          <w:sz w:val="22"/>
          <w:szCs w:val="22"/>
          <w:lang w:eastAsia="fr-CH"/>
        </w:rPr>
        <w:t xml:space="preserve"> this, the office should continuously provide value for money to ITU Members, i.e. financial delivery should be considered in light of the broader contribution of the office to the realisation of the strategic goals of the organisation.</w:t>
      </w:r>
    </w:p>
    <w:p w14:paraId="1D935E20" w14:textId="77777777" w:rsidR="00696781" w:rsidRPr="00AB51C7" w:rsidRDefault="00696781" w:rsidP="00E53477">
      <w:pPr>
        <w:pStyle w:val="ListBullet"/>
        <w:spacing w:before="240" w:line="240" w:lineRule="auto"/>
        <w:jc w:val="both"/>
        <w:rPr>
          <w:rFonts w:cstheme="minorHAnsi"/>
          <w:sz w:val="22"/>
          <w:szCs w:val="22"/>
          <w:lang w:eastAsia="fr-CH"/>
        </w:rPr>
      </w:pPr>
      <w:r w:rsidRPr="00AB51C7">
        <w:rPr>
          <w:rFonts w:cstheme="minorHAnsi"/>
          <w:b/>
          <w:bCs/>
          <w:sz w:val="22"/>
          <w:szCs w:val="22"/>
          <w:lang w:eastAsia="fr-CH"/>
        </w:rPr>
        <w:t>Proximity</w:t>
      </w:r>
      <w:r w:rsidRPr="00AB51C7">
        <w:rPr>
          <w:rFonts w:cstheme="minorHAnsi"/>
          <w:bCs/>
          <w:sz w:val="22"/>
          <w:szCs w:val="22"/>
          <w:lang w:eastAsia="fr-CH"/>
        </w:rPr>
        <w:t>:</w:t>
      </w:r>
      <w:r w:rsidRPr="00AB51C7">
        <w:rPr>
          <w:rFonts w:cstheme="minorHAnsi"/>
          <w:sz w:val="22"/>
          <w:szCs w:val="22"/>
          <w:lang w:eastAsia="fr-CH"/>
        </w:rPr>
        <w:t xml:space="preserve"> the location should facilitate access to regional or sub-regional hubs of other UN Agencies and/or a Regional Telecom Organisation.</w:t>
      </w:r>
    </w:p>
    <w:p w14:paraId="398EC3AC" w14:textId="77777777" w:rsidR="00696781" w:rsidRPr="00AB51C7" w:rsidRDefault="00696781" w:rsidP="00E53477">
      <w:pPr>
        <w:pStyle w:val="ListBullet"/>
        <w:spacing w:before="240" w:after="120" w:line="240" w:lineRule="auto"/>
        <w:jc w:val="both"/>
        <w:rPr>
          <w:rFonts w:cstheme="minorHAnsi"/>
          <w:sz w:val="22"/>
          <w:szCs w:val="22"/>
          <w:lang w:eastAsia="fr-CH"/>
        </w:rPr>
      </w:pPr>
      <w:r w:rsidRPr="00AB51C7">
        <w:rPr>
          <w:rFonts w:cstheme="minorHAnsi"/>
          <w:b/>
          <w:bCs/>
          <w:sz w:val="22"/>
          <w:szCs w:val="22"/>
          <w:lang w:eastAsia="fr-CH"/>
        </w:rPr>
        <w:t>Accessibility</w:t>
      </w:r>
      <w:r w:rsidRPr="00AB51C7">
        <w:rPr>
          <w:rFonts w:cstheme="minorHAnsi"/>
          <w:bCs/>
          <w:sz w:val="22"/>
          <w:szCs w:val="22"/>
          <w:lang w:eastAsia="fr-CH"/>
        </w:rPr>
        <w:t>:</w:t>
      </w:r>
      <w:r w:rsidRPr="00AB51C7">
        <w:rPr>
          <w:rFonts w:cstheme="minorHAnsi"/>
          <w:sz w:val="22"/>
          <w:szCs w:val="22"/>
          <w:lang w:eastAsia="fr-CH"/>
        </w:rPr>
        <w:t xml:space="preserve"> the suggested location provides access to an airline hub with extensive international connections (facilitating external access) and direct connections with the other countries in the sub-region.</w:t>
      </w:r>
    </w:p>
    <w:p w14:paraId="34F5735A" w14:textId="095D21F5" w:rsidR="00696781" w:rsidRDefault="00696781" w:rsidP="00E53477">
      <w:pPr>
        <w:spacing w:before="240"/>
        <w:jc w:val="both"/>
        <w:rPr>
          <w:rFonts w:asciiTheme="minorHAnsi" w:hAnsiTheme="minorHAnsi" w:cstheme="minorHAnsi"/>
          <w:color w:val="000000"/>
          <w:sz w:val="22"/>
          <w:szCs w:val="22"/>
          <w:lang w:eastAsia="fr-CH"/>
        </w:rPr>
      </w:pPr>
      <w:r w:rsidRPr="00AB51C7">
        <w:rPr>
          <w:rFonts w:asciiTheme="minorHAnsi" w:hAnsiTheme="minorHAnsi" w:cstheme="minorHAnsi"/>
          <w:color w:val="000000"/>
          <w:sz w:val="22"/>
          <w:szCs w:val="22"/>
          <w:lang w:eastAsia="fr-CH"/>
        </w:rPr>
        <w:t>The relevance of an existing office in a particular location should be reassessed when the above criteria are no longer met.</w:t>
      </w:r>
    </w:p>
    <w:p w14:paraId="54EC56D8" w14:textId="42A98E25" w:rsidR="00F6240F" w:rsidRDefault="00F6240F" w:rsidP="00E53477">
      <w:pPr>
        <w:spacing w:before="240"/>
        <w:jc w:val="both"/>
        <w:rPr>
          <w:rFonts w:asciiTheme="minorHAnsi" w:hAnsiTheme="minorHAnsi" w:cstheme="minorBidi"/>
          <w:b/>
          <w:bCs/>
          <w:color w:val="000000"/>
          <w:sz w:val="22"/>
          <w:szCs w:val="22"/>
          <w:lang w:eastAsia="fr-CH"/>
        </w:rPr>
      </w:pPr>
      <w:r w:rsidRPr="007F65DA">
        <w:rPr>
          <w:rFonts w:asciiTheme="minorHAnsi" w:hAnsiTheme="minorHAnsi" w:cstheme="minorBidi"/>
          <w:b/>
          <w:bCs/>
          <w:color w:val="000000" w:themeColor="text1"/>
          <w:sz w:val="22"/>
          <w:szCs w:val="22"/>
          <w:lang w:eastAsia="fr-CH"/>
        </w:rPr>
        <w:t>Secretariat Comments</w:t>
      </w:r>
    </w:p>
    <w:p w14:paraId="156689DF" w14:textId="77777777" w:rsidR="006D3803" w:rsidRDefault="007A4AB6" w:rsidP="00E53477">
      <w:pPr>
        <w:pStyle w:val="ListParagraph"/>
        <w:numPr>
          <w:ilvl w:val="0"/>
          <w:numId w:val="34"/>
        </w:numPr>
        <w:tabs>
          <w:tab w:val="clear" w:pos="567"/>
          <w:tab w:val="clear" w:pos="1134"/>
          <w:tab w:val="clear" w:pos="1701"/>
          <w:tab w:val="clear" w:pos="2268"/>
          <w:tab w:val="clear" w:pos="2835"/>
        </w:tabs>
        <w:spacing w:before="240"/>
        <w:jc w:val="both"/>
        <w:rPr>
          <w:rFonts w:asciiTheme="minorHAnsi" w:hAnsiTheme="minorHAnsi" w:cstheme="minorHAnsi"/>
          <w:sz w:val="22"/>
          <w:szCs w:val="22"/>
          <w:lang w:eastAsia="fr-CH"/>
        </w:rPr>
      </w:pPr>
      <w:r w:rsidRPr="006D3803">
        <w:rPr>
          <w:rFonts w:asciiTheme="minorHAnsi" w:hAnsiTheme="minorHAnsi" w:cstheme="minorHAnsi"/>
          <w:sz w:val="22"/>
          <w:szCs w:val="22"/>
          <w:lang w:eastAsia="fr-CH"/>
        </w:rPr>
        <w:t xml:space="preserve">While the criteria set out are a valid means for </w:t>
      </w:r>
      <w:r w:rsidR="006D3803" w:rsidRPr="006D3803">
        <w:rPr>
          <w:rFonts w:asciiTheme="minorHAnsi" w:hAnsiTheme="minorHAnsi" w:cstheme="minorHAnsi"/>
          <w:sz w:val="22"/>
          <w:szCs w:val="22"/>
          <w:lang w:eastAsia="fr-CH"/>
        </w:rPr>
        <w:t xml:space="preserve">cost-benefit </w:t>
      </w:r>
      <w:r w:rsidRPr="006D3803">
        <w:rPr>
          <w:rFonts w:asciiTheme="minorHAnsi" w:hAnsiTheme="minorHAnsi" w:cstheme="minorHAnsi"/>
          <w:sz w:val="22"/>
          <w:szCs w:val="22"/>
          <w:lang w:eastAsia="fr-CH"/>
        </w:rPr>
        <w:t xml:space="preserve">assessment of </w:t>
      </w:r>
      <w:r w:rsidR="006D3803" w:rsidRPr="006D3803">
        <w:rPr>
          <w:rFonts w:asciiTheme="minorHAnsi" w:hAnsiTheme="minorHAnsi" w:cstheme="minorHAnsi"/>
          <w:sz w:val="22"/>
          <w:szCs w:val="22"/>
          <w:lang w:eastAsia="fr-CH"/>
        </w:rPr>
        <w:t xml:space="preserve">whether ITU should open a new office in a particular country, it should be noted that there is an overall purpose of bring ITU closer to a particular region, and it is therefore necessary for ITU membership to </w:t>
      </w:r>
      <w:proofErr w:type="spellStart"/>
      <w:r w:rsidR="006D3803" w:rsidRPr="006D3803">
        <w:rPr>
          <w:rFonts w:asciiTheme="minorHAnsi" w:hAnsiTheme="minorHAnsi" w:cstheme="minorHAnsi"/>
          <w:sz w:val="22"/>
          <w:szCs w:val="22"/>
          <w:lang w:eastAsia="fr-CH"/>
        </w:rPr>
        <w:t>carefull</w:t>
      </w:r>
      <w:proofErr w:type="spellEnd"/>
      <w:r w:rsidR="006D3803" w:rsidRPr="006D3803">
        <w:rPr>
          <w:rFonts w:asciiTheme="minorHAnsi" w:hAnsiTheme="minorHAnsi" w:cstheme="minorHAnsi"/>
          <w:sz w:val="22"/>
          <w:szCs w:val="22"/>
          <w:lang w:eastAsia="fr-CH"/>
        </w:rPr>
        <w:t xml:space="preserve"> consider all factors. In any event, the Secretariat notes that these decisions are made by membership and it is suggested that the role of the secretariat should be to prepare information on the above criteria, and any other relevant information (</w:t>
      </w:r>
      <w:proofErr w:type="gramStart"/>
      <w:r w:rsidR="006D3803" w:rsidRPr="006D3803">
        <w:rPr>
          <w:rFonts w:asciiTheme="minorHAnsi" w:hAnsiTheme="minorHAnsi" w:cstheme="minorHAnsi"/>
          <w:sz w:val="22"/>
          <w:szCs w:val="22"/>
          <w:lang w:eastAsia="fr-CH"/>
        </w:rPr>
        <w:t>e.g.</w:t>
      </w:r>
      <w:proofErr w:type="gramEnd"/>
      <w:r w:rsidR="006D3803" w:rsidRPr="006D3803">
        <w:rPr>
          <w:rFonts w:asciiTheme="minorHAnsi" w:hAnsiTheme="minorHAnsi" w:cstheme="minorHAnsi"/>
          <w:sz w:val="22"/>
          <w:szCs w:val="22"/>
          <w:lang w:eastAsia="fr-CH"/>
        </w:rPr>
        <w:t xml:space="preserve"> culture, language, accessibility to the region etc) for consideration by membership at the appropriate time.</w:t>
      </w:r>
    </w:p>
    <w:p w14:paraId="3CE0A9A7" w14:textId="5021D915" w:rsidR="00D36A86" w:rsidRPr="006D3803" w:rsidRDefault="007A4AB6" w:rsidP="00E53477">
      <w:pPr>
        <w:pStyle w:val="ListParagraph"/>
        <w:numPr>
          <w:ilvl w:val="0"/>
          <w:numId w:val="34"/>
        </w:numPr>
        <w:tabs>
          <w:tab w:val="clear" w:pos="567"/>
          <w:tab w:val="clear" w:pos="1134"/>
          <w:tab w:val="clear" w:pos="1701"/>
          <w:tab w:val="clear" w:pos="2268"/>
          <w:tab w:val="clear" w:pos="2835"/>
        </w:tabs>
        <w:spacing w:before="0"/>
        <w:jc w:val="both"/>
        <w:rPr>
          <w:rFonts w:asciiTheme="minorHAnsi" w:hAnsiTheme="minorHAnsi" w:cstheme="minorHAnsi"/>
          <w:sz w:val="22"/>
          <w:szCs w:val="22"/>
          <w:lang w:eastAsia="fr-CH"/>
        </w:rPr>
      </w:pPr>
      <w:r w:rsidRPr="006D3803">
        <w:rPr>
          <w:rFonts w:asciiTheme="minorHAnsi" w:hAnsiTheme="minorHAnsi" w:cstheme="minorHAnsi"/>
          <w:sz w:val="22"/>
          <w:szCs w:val="22"/>
          <w:lang w:eastAsia="fr-CH"/>
        </w:rPr>
        <w:t>The secretariat notes that the clos</w:t>
      </w:r>
      <w:r w:rsidR="00D226D6">
        <w:rPr>
          <w:rFonts w:asciiTheme="minorHAnsi" w:hAnsiTheme="minorHAnsi" w:cstheme="minorHAnsi"/>
          <w:sz w:val="22"/>
          <w:szCs w:val="22"/>
          <w:lang w:eastAsia="fr-CH"/>
        </w:rPr>
        <w:t>ure</w:t>
      </w:r>
      <w:r w:rsidRPr="006D3803">
        <w:rPr>
          <w:rFonts w:asciiTheme="minorHAnsi" w:hAnsiTheme="minorHAnsi" w:cstheme="minorHAnsi"/>
          <w:sz w:val="22"/>
          <w:szCs w:val="22"/>
          <w:lang w:eastAsia="fr-CH"/>
        </w:rPr>
        <w:t xml:space="preserve"> of an existing </w:t>
      </w:r>
      <w:r w:rsidR="006D3803">
        <w:rPr>
          <w:rFonts w:asciiTheme="minorHAnsi" w:hAnsiTheme="minorHAnsi" w:cstheme="minorHAnsi"/>
          <w:sz w:val="22"/>
          <w:szCs w:val="22"/>
          <w:lang w:eastAsia="fr-CH"/>
        </w:rPr>
        <w:t xml:space="preserve">office may be more complicated and may have international and regional implications which go beyond the </w:t>
      </w:r>
      <w:r w:rsidR="00D226D6">
        <w:rPr>
          <w:rFonts w:asciiTheme="minorHAnsi" w:hAnsiTheme="minorHAnsi" w:cstheme="minorHAnsi"/>
          <w:sz w:val="22"/>
          <w:szCs w:val="22"/>
          <w:lang w:eastAsia="fr-CH"/>
        </w:rPr>
        <w:t>considerations set out.</w:t>
      </w:r>
    </w:p>
    <w:p w14:paraId="475723AE" w14:textId="77777777" w:rsidR="00696781" w:rsidRPr="00AB51C7" w:rsidRDefault="00696781" w:rsidP="00E53477">
      <w:pPr>
        <w:spacing w:before="240"/>
        <w:ind w:right="40"/>
        <w:jc w:val="both"/>
        <w:rPr>
          <w:rFonts w:asciiTheme="minorHAnsi" w:hAnsiTheme="minorHAnsi" w:cstheme="minorHAnsi"/>
          <w:sz w:val="22"/>
          <w:szCs w:val="22"/>
          <w:u w:val="single"/>
          <w:lang w:eastAsia="fr-CH"/>
        </w:rPr>
      </w:pPr>
      <w:r w:rsidRPr="00AB51C7">
        <w:rPr>
          <w:rFonts w:asciiTheme="minorHAnsi" w:hAnsiTheme="minorHAnsi" w:cstheme="minorHAnsi"/>
          <w:i/>
          <w:iCs/>
          <w:color w:val="000000"/>
          <w:sz w:val="22"/>
          <w:szCs w:val="22"/>
          <w:u w:val="single"/>
          <w:lang w:eastAsia="fr-CH"/>
        </w:rPr>
        <w:t>Integrated planning and performance management</w:t>
      </w:r>
    </w:p>
    <w:p w14:paraId="750097D5" w14:textId="65C89A03" w:rsidR="00696781" w:rsidRPr="00AB51C7" w:rsidRDefault="00F74BB0" w:rsidP="00E53477">
      <w:pPr>
        <w:spacing w:before="240"/>
        <w:jc w:val="both"/>
        <w:rPr>
          <w:rFonts w:asciiTheme="minorHAnsi" w:hAnsiTheme="minorHAnsi" w:cstheme="minorHAnsi"/>
          <w:sz w:val="22"/>
          <w:szCs w:val="22"/>
          <w:lang w:eastAsia="fr-CH"/>
        </w:rPr>
      </w:pPr>
      <w:r w:rsidRPr="00AB51C7">
        <w:rPr>
          <w:rFonts w:asciiTheme="minorHAnsi" w:hAnsiTheme="minorHAnsi" w:cstheme="minorHAnsi"/>
          <w:sz w:val="22"/>
          <w:szCs w:val="22"/>
          <w:lang w:eastAsia="fr-CH"/>
        </w:rPr>
        <w:t xml:space="preserve">PwC made recommendations for how </w:t>
      </w:r>
      <w:r w:rsidR="00696781" w:rsidRPr="00AB51C7">
        <w:rPr>
          <w:rFonts w:asciiTheme="minorHAnsi" w:hAnsiTheme="minorHAnsi" w:cstheme="minorHAnsi"/>
          <w:sz w:val="22"/>
          <w:szCs w:val="22"/>
          <w:lang w:eastAsia="fr-CH"/>
        </w:rPr>
        <w:t>ITU</w:t>
      </w:r>
      <w:r w:rsidRPr="00AB51C7">
        <w:rPr>
          <w:rFonts w:asciiTheme="minorHAnsi" w:hAnsiTheme="minorHAnsi" w:cstheme="minorHAnsi"/>
          <w:sz w:val="22"/>
          <w:szCs w:val="22"/>
          <w:lang w:eastAsia="fr-CH"/>
        </w:rPr>
        <w:t>’</w:t>
      </w:r>
      <w:r w:rsidR="00696781" w:rsidRPr="00AB51C7">
        <w:rPr>
          <w:rFonts w:asciiTheme="minorHAnsi" w:hAnsiTheme="minorHAnsi" w:cstheme="minorHAnsi"/>
          <w:sz w:val="22"/>
          <w:szCs w:val="22"/>
          <w:lang w:eastAsia="fr-CH"/>
        </w:rPr>
        <w:t xml:space="preserve">s regional presence </w:t>
      </w:r>
      <w:r w:rsidRPr="00AB51C7">
        <w:rPr>
          <w:rFonts w:asciiTheme="minorHAnsi" w:hAnsiTheme="minorHAnsi" w:cstheme="minorHAnsi"/>
          <w:sz w:val="22"/>
          <w:szCs w:val="22"/>
          <w:lang w:eastAsia="fr-CH"/>
        </w:rPr>
        <w:t>should be</w:t>
      </w:r>
      <w:r w:rsidR="00696781" w:rsidRPr="00AB51C7">
        <w:rPr>
          <w:rFonts w:asciiTheme="minorHAnsi" w:hAnsiTheme="minorHAnsi" w:cstheme="minorHAnsi"/>
          <w:sz w:val="22"/>
          <w:szCs w:val="22"/>
          <w:lang w:eastAsia="fr-CH"/>
        </w:rPr>
        <w:t xml:space="preserve"> define</w:t>
      </w:r>
      <w:r w:rsidRPr="00AB51C7">
        <w:rPr>
          <w:rFonts w:asciiTheme="minorHAnsi" w:hAnsiTheme="minorHAnsi" w:cstheme="minorHAnsi"/>
          <w:sz w:val="22"/>
          <w:szCs w:val="22"/>
          <w:lang w:eastAsia="fr-CH"/>
        </w:rPr>
        <w:t>d</w:t>
      </w:r>
      <w:r w:rsidR="00696781" w:rsidRPr="00AB51C7">
        <w:rPr>
          <w:rFonts w:asciiTheme="minorHAnsi" w:hAnsiTheme="minorHAnsi" w:cstheme="minorHAnsi"/>
          <w:sz w:val="22"/>
          <w:szCs w:val="22"/>
          <w:lang w:eastAsia="fr-CH"/>
        </w:rPr>
        <w:t xml:space="preserve"> and monitor</w:t>
      </w:r>
      <w:r w:rsidRPr="00AB51C7">
        <w:rPr>
          <w:rFonts w:asciiTheme="minorHAnsi" w:hAnsiTheme="minorHAnsi" w:cstheme="minorHAnsi"/>
          <w:sz w:val="22"/>
          <w:szCs w:val="22"/>
          <w:lang w:eastAsia="fr-CH"/>
        </w:rPr>
        <w:t>ed</w:t>
      </w:r>
      <w:r w:rsidR="00696781" w:rsidRPr="00AB51C7">
        <w:rPr>
          <w:rFonts w:asciiTheme="minorHAnsi" w:hAnsiTheme="minorHAnsi" w:cstheme="minorHAnsi"/>
          <w:sz w:val="22"/>
          <w:szCs w:val="22"/>
          <w:lang w:eastAsia="fr-CH"/>
        </w:rPr>
        <w:t xml:space="preserve"> in order to achieve impact and be effective, how </w:t>
      </w:r>
      <w:r w:rsidRPr="00AB51C7">
        <w:rPr>
          <w:rFonts w:asciiTheme="minorHAnsi" w:hAnsiTheme="minorHAnsi" w:cstheme="minorHAnsi"/>
          <w:sz w:val="22"/>
          <w:szCs w:val="22"/>
          <w:lang w:eastAsia="fr-CH"/>
        </w:rPr>
        <w:t>ITU</w:t>
      </w:r>
      <w:r w:rsidR="00696781" w:rsidRPr="00AB51C7">
        <w:rPr>
          <w:rFonts w:asciiTheme="minorHAnsi" w:hAnsiTheme="minorHAnsi" w:cstheme="minorHAnsi"/>
          <w:sz w:val="22"/>
          <w:szCs w:val="22"/>
          <w:lang w:eastAsia="fr-CH"/>
        </w:rPr>
        <w:t xml:space="preserve"> allocates resources and organises for delivery at regional level in order to ensure it delivers in the most efficient and controlled manner.</w:t>
      </w:r>
    </w:p>
    <w:p w14:paraId="5FF126CC" w14:textId="7CFA2580" w:rsidR="00F74BB0" w:rsidRPr="00AB51C7" w:rsidRDefault="00F74BB0" w:rsidP="00E53477">
      <w:pPr>
        <w:jc w:val="both"/>
        <w:rPr>
          <w:rFonts w:asciiTheme="minorHAnsi" w:hAnsiTheme="minorHAnsi" w:cstheme="minorHAnsi"/>
          <w:sz w:val="22"/>
          <w:szCs w:val="22"/>
          <w:lang w:eastAsia="fr-CH"/>
        </w:rPr>
      </w:pPr>
      <w:r w:rsidRPr="00AB51C7">
        <w:rPr>
          <w:rFonts w:asciiTheme="minorHAnsi" w:hAnsiTheme="minorHAnsi" w:cstheme="minorHAnsi"/>
          <w:sz w:val="22"/>
          <w:szCs w:val="22"/>
          <w:lang w:eastAsia="fr-CH"/>
        </w:rPr>
        <w:t>PwC recommended t</w:t>
      </w:r>
      <w:r w:rsidR="00696781" w:rsidRPr="00AB51C7">
        <w:rPr>
          <w:rFonts w:asciiTheme="minorHAnsi" w:hAnsiTheme="minorHAnsi" w:cstheme="minorHAnsi"/>
          <w:sz w:val="22"/>
          <w:szCs w:val="22"/>
          <w:lang w:eastAsia="fr-CH"/>
        </w:rPr>
        <w:t>wo sets of objectives at the regional level</w:t>
      </w:r>
      <w:r w:rsidRPr="00AB51C7">
        <w:rPr>
          <w:rFonts w:asciiTheme="minorHAnsi" w:hAnsiTheme="minorHAnsi" w:cstheme="minorHAnsi"/>
          <w:sz w:val="22"/>
          <w:szCs w:val="22"/>
          <w:lang w:eastAsia="fr-CH"/>
        </w:rPr>
        <w:t>:</w:t>
      </w:r>
    </w:p>
    <w:p w14:paraId="110E9500" w14:textId="77777777" w:rsidR="00F74BB0" w:rsidRPr="00AB51C7" w:rsidRDefault="00696781" w:rsidP="00E53477">
      <w:pPr>
        <w:pStyle w:val="ListParagraph"/>
        <w:numPr>
          <w:ilvl w:val="0"/>
          <w:numId w:val="12"/>
        </w:numPr>
        <w:tabs>
          <w:tab w:val="clear" w:pos="567"/>
          <w:tab w:val="clear" w:pos="1134"/>
          <w:tab w:val="clear" w:pos="1701"/>
          <w:tab w:val="clear" w:pos="2268"/>
          <w:tab w:val="clear" w:pos="2835"/>
        </w:tabs>
        <w:jc w:val="both"/>
        <w:rPr>
          <w:rFonts w:asciiTheme="minorHAnsi" w:hAnsiTheme="minorHAnsi" w:cstheme="minorHAnsi"/>
          <w:sz w:val="22"/>
          <w:szCs w:val="22"/>
          <w:lang w:eastAsia="fr-CH"/>
        </w:rPr>
      </w:pPr>
      <w:r w:rsidRPr="00AB51C7">
        <w:rPr>
          <w:rFonts w:asciiTheme="minorHAnsi" w:hAnsiTheme="minorHAnsi" w:cstheme="minorHAnsi"/>
          <w:sz w:val="22"/>
          <w:szCs w:val="22"/>
          <w:lang w:eastAsia="fr-CH"/>
        </w:rPr>
        <w:t xml:space="preserve">Firstly, a set of functional objectives, common to all offices, to measure the extent to which offices are delivering on the intended positioning of ITU's regional presence. </w:t>
      </w:r>
    </w:p>
    <w:p w14:paraId="1C5087FB" w14:textId="1CB2C3CF" w:rsidR="00696781" w:rsidRPr="00AB51C7" w:rsidRDefault="00696781" w:rsidP="00E53477">
      <w:pPr>
        <w:pStyle w:val="ListParagraph"/>
        <w:numPr>
          <w:ilvl w:val="0"/>
          <w:numId w:val="12"/>
        </w:numPr>
        <w:tabs>
          <w:tab w:val="clear" w:pos="567"/>
          <w:tab w:val="clear" w:pos="1134"/>
          <w:tab w:val="clear" w:pos="1701"/>
          <w:tab w:val="clear" w:pos="2268"/>
          <w:tab w:val="clear" w:pos="2835"/>
        </w:tabs>
        <w:jc w:val="both"/>
        <w:rPr>
          <w:rFonts w:asciiTheme="minorHAnsi" w:hAnsiTheme="minorHAnsi" w:cstheme="minorHAnsi"/>
          <w:sz w:val="22"/>
          <w:szCs w:val="22"/>
          <w:lang w:eastAsia="fr-CH"/>
        </w:rPr>
      </w:pPr>
      <w:r w:rsidRPr="00AB51C7">
        <w:rPr>
          <w:rFonts w:asciiTheme="minorHAnsi" w:hAnsiTheme="minorHAnsi" w:cstheme="minorHAnsi"/>
          <w:sz w:val="22"/>
          <w:szCs w:val="22"/>
          <w:lang w:eastAsia="fr-CH"/>
        </w:rPr>
        <w:t>Secondly, programmatic results, which need to be designed and validated with the membership through ITU's regular planning and budgeting process, should be defined over the period of the Strategic Plan for each office. They should reflect the specific needs, opportunities and challenges faced by the region, using the RBM approach currently being rolled out.</w:t>
      </w:r>
    </w:p>
    <w:p w14:paraId="587D66AC" w14:textId="174D117A" w:rsidR="00696781" w:rsidRPr="00AB51C7" w:rsidRDefault="00F74BB0" w:rsidP="00E53477">
      <w:pPr>
        <w:jc w:val="both"/>
        <w:rPr>
          <w:rFonts w:asciiTheme="minorHAnsi" w:hAnsiTheme="minorHAnsi" w:cstheme="minorHAnsi"/>
          <w:sz w:val="22"/>
          <w:szCs w:val="22"/>
          <w:lang w:eastAsia="fr-CH"/>
        </w:rPr>
      </w:pPr>
      <w:r w:rsidRPr="00AB51C7">
        <w:rPr>
          <w:rFonts w:asciiTheme="minorHAnsi" w:hAnsiTheme="minorHAnsi" w:cstheme="minorHAnsi"/>
          <w:sz w:val="22"/>
          <w:szCs w:val="22"/>
          <w:lang w:eastAsia="fr-CH"/>
        </w:rPr>
        <w:t>PwC acknowledged that i</w:t>
      </w:r>
      <w:r w:rsidR="00696781" w:rsidRPr="00AB51C7">
        <w:rPr>
          <w:rFonts w:asciiTheme="minorHAnsi" w:hAnsiTheme="minorHAnsi" w:cstheme="minorHAnsi"/>
          <w:sz w:val="22"/>
          <w:szCs w:val="22"/>
          <w:lang w:eastAsia="fr-CH"/>
        </w:rPr>
        <w:t>n the short term the introduction of the RBM approach should lead to an overhaul of the Operational Plan (</w:t>
      </w:r>
      <w:proofErr w:type="gramStart"/>
      <w:r w:rsidR="00696781" w:rsidRPr="00AB51C7">
        <w:rPr>
          <w:rFonts w:asciiTheme="minorHAnsi" w:hAnsiTheme="minorHAnsi" w:cstheme="minorHAnsi"/>
          <w:sz w:val="22"/>
          <w:szCs w:val="22"/>
          <w:lang w:eastAsia="fr-CH"/>
        </w:rPr>
        <w:t>i.e.</w:t>
      </w:r>
      <w:proofErr w:type="gramEnd"/>
      <w:r w:rsidR="00696781" w:rsidRPr="00AB51C7">
        <w:rPr>
          <w:rFonts w:asciiTheme="minorHAnsi" w:hAnsiTheme="minorHAnsi" w:cstheme="minorHAnsi"/>
          <w:sz w:val="22"/>
          <w:szCs w:val="22"/>
          <w:lang w:eastAsia="fr-CH"/>
        </w:rPr>
        <w:t xml:space="preserve"> by 2021). Over a longer timeframe, </w:t>
      </w:r>
      <w:proofErr w:type="gramStart"/>
      <w:r w:rsidR="00696781" w:rsidRPr="00AB51C7">
        <w:rPr>
          <w:rFonts w:asciiTheme="minorHAnsi" w:hAnsiTheme="minorHAnsi" w:cstheme="minorHAnsi"/>
          <w:sz w:val="22"/>
          <w:szCs w:val="22"/>
          <w:lang w:eastAsia="fr-CH"/>
        </w:rPr>
        <w:t>i.e.</w:t>
      </w:r>
      <w:proofErr w:type="gramEnd"/>
      <w:r w:rsidR="00696781" w:rsidRPr="00AB51C7">
        <w:rPr>
          <w:rFonts w:asciiTheme="minorHAnsi" w:hAnsiTheme="minorHAnsi" w:cstheme="minorHAnsi"/>
          <w:sz w:val="22"/>
          <w:szCs w:val="22"/>
          <w:lang w:eastAsia="fr-CH"/>
        </w:rPr>
        <w:t xml:space="preserve"> by the time of the adoption of the next </w:t>
      </w:r>
      <w:r w:rsidR="00696781" w:rsidRPr="00AB51C7">
        <w:rPr>
          <w:rFonts w:asciiTheme="minorHAnsi" w:hAnsiTheme="minorHAnsi" w:cstheme="minorHAnsi"/>
          <w:sz w:val="22"/>
          <w:szCs w:val="22"/>
          <w:lang w:eastAsia="fr-CH"/>
        </w:rPr>
        <w:lastRenderedPageBreak/>
        <w:t xml:space="preserve">Strategic Plan, an integrated programmatic framework should be considered so that all activities at the regional level are then organised within a common results framework. </w:t>
      </w:r>
      <w:r w:rsidRPr="00AB51C7">
        <w:rPr>
          <w:rFonts w:asciiTheme="minorHAnsi" w:hAnsiTheme="minorHAnsi" w:cstheme="minorHAnsi"/>
          <w:sz w:val="22"/>
          <w:szCs w:val="22"/>
          <w:lang w:eastAsia="fr-CH"/>
        </w:rPr>
        <w:t xml:space="preserve">PwC recommended </w:t>
      </w:r>
      <w:r w:rsidR="00696781" w:rsidRPr="00AB51C7">
        <w:rPr>
          <w:rFonts w:asciiTheme="minorHAnsi" w:hAnsiTheme="minorHAnsi" w:cstheme="minorHAnsi"/>
          <w:sz w:val="22"/>
          <w:szCs w:val="22"/>
          <w:lang w:eastAsia="fr-CH"/>
        </w:rPr>
        <w:t xml:space="preserve">a better structure with regard to the WTDC Action Plan and the Strategic Plan. </w:t>
      </w:r>
    </w:p>
    <w:p w14:paraId="5DD8C10E" w14:textId="573C07ED" w:rsidR="00696781" w:rsidRPr="00D226D6" w:rsidRDefault="00F74BB0" w:rsidP="00E53477">
      <w:pPr>
        <w:spacing w:before="240"/>
        <w:jc w:val="both"/>
        <w:rPr>
          <w:rFonts w:asciiTheme="minorHAnsi" w:hAnsiTheme="minorHAnsi" w:cstheme="minorHAnsi"/>
          <w:sz w:val="22"/>
          <w:szCs w:val="22"/>
          <w:lang w:eastAsia="fr-CH"/>
        </w:rPr>
      </w:pPr>
      <w:r w:rsidRPr="00AB51C7">
        <w:rPr>
          <w:rFonts w:asciiTheme="minorHAnsi" w:hAnsiTheme="minorHAnsi" w:cstheme="minorHAnsi"/>
          <w:sz w:val="22"/>
          <w:szCs w:val="22"/>
          <w:lang w:eastAsia="fr-CH"/>
        </w:rPr>
        <w:t>PwC recommended</w:t>
      </w:r>
      <w:r w:rsidR="00BD0D4B" w:rsidRPr="00AB51C7">
        <w:rPr>
          <w:rFonts w:asciiTheme="minorHAnsi" w:hAnsiTheme="minorHAnsi" w:cstheme="minorHAnsi"/>
          <w:sz w:val="22"/>
          <w:szCs w:val="22"/>
          <w:lang w:eastAsia="fr-CH"/>
        </w:rPr>
        <w:t>,</w:t>
      </w:r>
      <w:r w:rsidRPr="00AB51C7">
        <w:rPr>
          <w:rFonts w:asciiTheme="minorHAnsi" w:hAnsiTheme="minorHAnsi" w:cstheme="minorHAnsi"/>
          <w:sz w:val="22"/>
          <w:szCs w:val="22"/>
          <w:lang w:eastAsia="fr-CH"/>
        </w:rPr>
        <w:t xml:space="preserve"> </w:t>
      </w:r>
      <w:r w:rsidR="00BD0D4B" w:rsidRPr="00AB51C7">
        <w:rPr>
          <w:rFonts w:asciiTheme="minorHAnsi" w:hAnsiTheme="minorHAnsi" w:cstheme="minorHAnsi"/>
          <w:sz w:val="22"/>
          <w:szCs w:val="22"/>
          <w:lang w:eastAsia="fr-CH"/>
        </w:rPr>
        <w:t>i</w:t>
      </w:r>
      <w:r w:rsidR="00696781" w:rsidRPr="00AB51C7">
        <w:rPr>
          <w:rFonts w:asciiTheme="minorHAnsi" w:hAnsiTheme="minorHAnsi" w:cstheme="minorHAnsi"/>
          <w:sz w:val="22"/>
          <w:szCs w:val="22"/>
          <w:lang w:eastAsia="fr-CH"/>
        </w:rPr>
        <w:t xml:space="preserve">n order to monitor progress against targeted results and overall office efficiency, a </w:t>
      </w:r>
      <w:r w:rsidR="00BD0D4B" w:rsidRPr="00AB51C7">
        <w:rPr>
          <w:rFonts w:asciiTheme="minorHAnsi" w:hAnsiTheme="minorHAnsi" w:cstheme="minorHAnsi"/>
          <w:sz w:val="22"/>
          <w:szCs w:val="22"/>
          <w:lang w:eastAsia="fr-CH"/>
        </w:rPr>
        <w:t>‘</w:t>
      </w:r>
      <w:r w:rsidR="00696781" w:rsidRPr="00AB51C7">
        <w:rPr>
          <w:rFonts w:asciiTheme="minorHAnsi" w:hAnsiTheme="minorHAnsi" w:cstheme="minorHAnsi"/>
          <w:sz w:val="22"/>
          <w:szCs w:val="22"/>
          <w:lang w:eastAsia="fr-CH"/>
        </w:rPr>
        <w:t>compact</w:t>
      </w:r>
      <w:r w:rsidR="00BD0D4B" w:rsidRPr="00AB51C7">
        <w:rPr>
          <w:rFonts w:asciiTheme="minorHAnsi" w:hAnsiTheme="minorHAnsi" w:cstheme="minorHAnsi"/>
          <w:sz w:val="22"/>
          <w:szCs w:val="22"/>
          <w:lang w:eastAsia="fr-CH"/>
        </w:rPr>
        <w:t>’</w:t>
      </w:r>
      <w:r w:rsidR="00696781" w:rsidRPr="00AB51C7">
        <w:rPr>
          <w:rFonts w:asciiTheme="minorHAnsi" w:hAnsiTheme="minorHAnsi" w:cstheme="minorHAnsi"/>
          <w:sz w:val="22"/>
          <w:szCs w:val="22"/>
          <w:lang w:eastAsia="fr-CH"/>
        </w:rPr>
        <w:t xml:space="preserve"> between each field office and the Office of the Deputy Director of BDT, based on a limited set of </w:t>
      </w:r>
      <w:r w:rsidR="00696781" w:rsidRPr="00D226D6">
        <w:rPr>
          <w:rFonts w:asciiTheme="minorHAnsi" w:hAnsiTheme="minorHAnsi" w:cstheme="minorHAnsi"/>
          <w:sz w:val="22"/>
          <w:szCs w:val="22"/>
          <w:lang w:eastAsia="fr-CH"/>
        </w:rPr>
        <w:t>KPIs that can be monitored effectively without generating unnecessary overhead for the office.</w:t>
      </w:r>
    </w:p>
    <w:p w14:paraId="3508FB25" w14:textId="65EBE0F4" w:rsidR="00F6240F" w:rsidRPr="00D226D6" w:rsidRDefault="00F6240F" w:rsidP="00E53477">
      <w:pPr>
        <w:spacing w:before="240"/>
        <w:jc w:val="both"/>
        <w:rPr>
          <w:rFonts w:asciiTheme="minorHAnsi" w:hAnsiTheme="minorHAnsi" w:cstheme="minorBidi"/>
          <w:b/>
          <w:bCs/>
          <w:sz w:val="22"/>
          <w:szCs w:val="22"/>
          <w:lang w:eastAsia="fr-CH"/>
        </w:rPr>
      </w:pPr>
      <w:r w:rsidRPr="00D226D6">
        <w:rPr>
          <w:rFonts w:asciiTheme="minorHAnsi" w:hAnsiTheme="minorHAnsi" w:cstheme="minorBidi"/>
          <w:b/>
          <w:bCs/>
          <w:sz w:val="22"/>
          <w:szCs w:val="22"/>
          <w:lang w:eastAsia="fr-CH"/>
        </w:rPr>
        <w:t>Secretariat Comments</w:t>
      </w:r>
    </w:p>
    <w:p w14:paraId="17FF0699" w14:textId="594DF18B" w:rsidR="00D36A86" w:rsidRPr="00D226D6" w:rsidRDefault="00480CBC" w:rsidP="00E53477">
      <w:pPr>
        <w:pStyle w:val="ListParagraph"/>
        <w:numPr>
          <w:ilvl w:val="0"/>
          <w:numId w:val="20"/>
        </w:numPr>
        <w:spacing w:before="240"/>
        <w:ind w:left="567" w:hanging="207"/>
        <w:jc w:val="both"/>
        <w:rPr>
          <w:rFonts w:asciiTheme="minorHAnsi" w:hAnsiTheme="minorHAnsi" w:cstheme="minorHAnsi"/>
          <w:sz w:val="22"/>
          <w:szCs w:val="22"/>
          <w:lang w:eastAsia="fr-CH"/>
        </w:rPr>
      </w:pPr>
      <w:r w:rsidRPr="00D226D6">
        <w:rPr>
          <w:rFonts w:asciiTheme="minorHAnsi" w:hAnsiTheme="minorHAnsi" w:cstheme="minorHAnsi"/>
          <w:sz w:val="22"/>
          <w:szCs w:val="22"/>
          <w:lang w:eastAsia="fr-CH"/>
        </w:rPr>
        <w:t xml:space="preserve">Commonality of functional objectives needs to reflect and respect the differences between regions. Should the same metrics be applied to all offices when they represent ITU’s work in widely different areas </w:t>
      </w:r>
      <w:r w:rsidR="00E43ACF" w:rsidRPr="00D226D6">
        <w:rPr>
          <w:rFonts w:asciiTheme="minorHAnsi" w:hAnsiTheme="minorHAnsi" w:cstheme="minorHAnsi"/>
          <w:sz w:val="22"/>
          <w:szCs w:val="22"/>
          <w:lang w:eastAsia="fr-CH"/>
        </w:rPr>
        <w:t xml:space="preserve">with widely different countries. Metrics should be adapted to cultural, </w:t>
      </w:r>
      <w:proofErr w:type="gramStart"/>
      <w:r w:rsidR="00E43ACF" w:rsidRPr="00D226D6">
        <w:rPr>
          <w:rFonts w:asciiTheme="minorHAnsi" w:hAnsiTheme="minorHAnsi" w:cstheme="minorHAnsi"/>
          <w:sz w:val="22"/>
          <w:szCs w:val="22"/>
          <w:lang w:eastAsia="fr-CH"/>
        </w:rPr>
        <w:t>social</w:t>
      </w:r>
      <w:proofErr w:type="gramEnd"/>
      <w:r w:rsidR="00E43ACF" w:rsidRPr="00D226D6">
        <w:rPr>
          <w:rFonts w:asciiTheme="minorHAnsi" w:hAnsiTheme="minorHAnsi" w:cstheme="minorHAnsi"/>
          <w:sz w:val="22"/>
          <w:szCs w:val="22"/>
          <w:lang w:eastAsia="fr-CH"/>
        </w:rPr>
        <w:t xml:space="preserve"> and economic differences between the regions the offices serve.</w:t>
      </w:r>
    </w:p>
    <w:p w14:paraId="1E383771" w14:textId="3FB57DDF" w:rsidR="00E43ACF" w:rsidRPr="00D226D6" w:rsidRDefault="00E43ACF" w:rsidP="00E53477">
      <w:pPr>
        <w:pStyle w:val="ListParagraph"/>
        <w:numPr>
          <w:ilvl w:val="0"/>
          <w:numId w:val="20"/>
        </w:numPr>
        <w:spacing w:before="240"/>
        <w:ind w:left="567" w:hanging="207"/>
        <w:jc w:val="both"/>
        <w:rPr>
          <w:rFonts w:asciiTheme="minorHAnsi" w:hAnsiTheme="minorHAnsi" w:cstheme="minorHAnsi"/>
          <w:sz w:val="22"/>
          <w:szCs w:val="22"/>
          <w:lang w:eastAsia="fr-CH"/>
        </w:rPr>
      </w:pPr>
      <w:r w:rsidRPr="00D226D6">
        <w:rPr>
          <w:rFonts w:asciiTheme="minorHAnsi" w:hAnsiTheme="minorHAnsi" w:cstheme="minorHAnsi"/>
          <w:sz w:val="22"/>
          <w:szCs w:val="22"/>
          <w:lang w:eastAsia="fr-CH"/>
        </w:rPr>
        <w:t xml:space="preserve">Programmatic results represent only part of the regional work, and therefore KPIs and RBM based </w:t>
      </w:r>
      <w:r w:rsidR="00D86908" w:rsidRPr="00D226D6">
        <w:rPr>
          <w:rFonts w:asciiTheme="minorHAnsi" w:hAnsiTheme="minorHAnsi" w:cstheme="minorHAnsi"/>
          <w:sz w:val="22"/>
          <w:szCs w:val="22"/>
          <w:lang w:eastAsia="fr-CH"/>
        </w:rPr>
        <w:t>assessment</w:t>
      </w:r>
      <w:r w:rsidRPr="00D226D6">
        <w:rPr>
          <w:rFonts w:asciiTheme="minorHAnsi" w:hAnsiTheme="minorHAnsi" w:cstheme="minorHAnsi"/>
          <w:sz w:val="22"/>
          <w:szCs w:val="22"/>
          <w:lang w:eastAsia="fr-CH"/>
        </w:rPr>
        <w:t xml:space="preserve"> need</w:t>
      </w:r>
      <w:r w:rsidR="00D86908" w:rsidRPr="00D226D6">
        <w:rPr>
          <w:rFonts w:asciiTheme="minorHAnsi" w:hAnsiTheme="minorHAnsi" w:cstheme="minorHAnsi"/>
          <w:sz w:val="22"/>
          <w:szCs w:val="22"/>
          <w:lang w:eastAsia="fr-CH"/>
        </w:rPr>
        <w:t>s</w:t>
      </w:r>
      <w:r w:rsidRPr="00D226D6">
        <w:rPr>
          <w:rFonts w:asciiTheme="minorHAnsi" w:hAnsiTheme="minorHAnsi" w:cstheme="minorHAnsi"/>
          <w:sz w:val="22"/>
          <w:szCs w:val="22"/>
          <w:lang w:eastAsia="fr-CH"/>
        </w:rPr>
        <w:t xml:space="preserve"> also to </w:t>
      </w:r>
      <w:r w:rsidR="00D86908" w:rsidRPr="00D226D6">
        <w:rPr>
          <w:rFonts w:asciiTheme="minorHAnsi" w:hAnsiTheme="minorHAnsi" w:cstheme="minorHAnsi"/>
          <w:sz w:val="22"/>
          <w:szCs w:val="22"/>
          <w:lang w:eastAsia="fr-CH"/>
        </w:rPr>
        <w:t>consider representation role, and work related to BR and TSB. Each regional office needs to understand and respond to the needs of the member states in the region.</w:t>
      </w:r>
    </w:p>
    <w:p w14:paraId="30AAB14A" w14:textId="5B86DBD3" w:rsidR="00D86908" w:rsidRPr="00D226D6" w:rsidRDefault="00D86908" w:rsidP="00E53477">
      <w:pPr>
        <w:pStyle w:val="ListParagraph"/>
        <w:numPr>
          <w:ilvl w:val="0"/>
          <w:numId w:val="20"/>
        </w:numPr>
        <w:spacing w:before="240"/>
        <w:ind w:left="567" w:hanging="207"/>
        <w:jc w:val="both"/>
        <w:rPr>
          <w:rFonts w:asciiTheme="minorHAnsi" w:hAnsiTheme="minorHAnsi" w:cstheme="minorHAnsi"/>
          <w:sz w:val="22"/>
          <w:szCs w:val="22"/>
          <w:lang w:eastAsia="fr-CH"/>
        </w:rPr>
      </w:pPr>
      <w:r w:rsidRPr="00D226D6">
        <w:rPr>
          <w:rFonts w:asciiTheme="minorHAnsi" w:hAnsiTheme="minorHAnsi" w:cstheme="minorHAnsi"/>
          <w:sz w:val="22"/>
          <w:szCs w:val="22"/>
          <w:lang w:eastAsia="fr-CH"/>
        </w:rPr>
        <w:t>Ongoing actions within BDT include:</w:t>
      </w:r>
    </w:p>
    <w:p w14:paraId="5FAC09BD" w14:textId="6190F48A" w:rsidR="00D86908" w:rsidRPr="00D226D6" w:rsidRDefault="00D86908" w:rsidP="00E53477">
      <w:pPr>
        <w:pStyle w:val="ListParagraph"/>
        <w:numPr>
          <w:ilvl w:val="1"/>
          <w:numId w:val="20"/>
        </w:numPr>
        <w:spacing w:before="240"/>
        <w:jc w:val="both"/>
        <w:rPr>
          <w:rFonts w:asciiTheme="minorHAnsi" w:hAnsiTheme="minorHAnsi" w:cstheme="minorHAnsi"/>
          <w:sz w:val="22"/>
          <w:szCs w:val="22"/>
          <w:lang w:eastAsia="fr-CH"/>
        </w:rPr>
      </w:pPr>
      <w:r w:rsidRPr="00D226D6">
        <w:rPr>
          <w:rFonts w:asciiTheme="minorHAnsi" w:hAnsiTheme="minorHAnsi" w:cstheme="minorHAnsi"/>
          <w:sz w:val="22"/>
          <w:szCs w:val="22"/>
          <w:lang w:eastAsia="fr-CH"/>
        </w:rPr>
        <w:t>RBM changes currently finalising KPIs for all thematic priorities. Partial implementation of impact driven KPIs in OP2021, to be expanded to full implementation in 2022.</w:t>
      </w:r>
    </w:p>
    <w:p w14:paraId="00FEA43F" w14:textId="49FCEB33" w:rsidR="00D86908" w:rsidRPr="00D226D6" w:rsidRDefault="00D86908" w:rsidP="00E53477">
      <w:pPr>
        <w:pStyle w:val="ListParagraph"/>
        <w:numPr>
          <w:ilvl w:val="1"/>
          <w:numId w:val="20"/>
        </w:numPr>
        <w:spacing w:before="240"/>
        <w:jc w:val="both"/>
        <w:rPr>
          <w:rFonts w:asciiTheme="minorHAnsi" w:hAnsiTheme="minorHAnsi" w:cstheme="minorHAnsi"/>
          <w:sz w:val="22"/>
          <w:szCs w:val="22"/>
          <w:lang w:eastAsia="fr-CH"/>
        </w:rPr>
      </w:pPr>
      <w:r w:rsidRPr="00D226D6">
        <w:rPr>
          <w:rFonts w:asciiTheme="minorHAnsi" w:hAnsiTheme="minorHAnsi" w:cstheme="minorHAnsi"/>
          <w:sz w:val="22"/>
          <w:szCs w:val="22"/>
          <w:lang w:eastAsia="fr-CH"/>
        </w:rPr>
        <w:t>Strengthening of the project management and execution functions has been implemented with implementation of the new Project Management Manual, widespread training of colleagues with project management responsib</w:t>
      </w:r>
      <w:r w:rsidR="00F65CF6" w:rsidRPr="00D226D6">
        <w:rPr>
          <w:rFonts w:asciiTheme="minorHAnsi" w:hAnsiTheme="minorHAnsi" w:cstheme="minorHAnsi"/>
          <w:sz w:val="22"/>
          <w:szCs w:val="22"/>
          <w:lang w:eastAsia="fr-CH"/>
        </w:rPr>
        <w:t>i</w:t>
      </w:r>
      <w:r w:rsidRPr="00D226D6">
        <w:rPr>
          <w:rFonts w:asciiTheme="minorHAnsi" w:hAnsiTheme="minorHAnsi" w:cstheme="minorHAnsi"/>
          <w:sz w:val="22"/>
          <w:szCs w:val="22"/>
          <w:lang w:eastAsia="fr-CH"/>
        </w:rPr>
        <w:t xml:space="preserve">lities [XX BDT staff trained and certified in project management to date], and </w:t>
      </w:r>
      <w:r w:rsidR="004705D8" w:rsidRPr="00D226D6">
        <w:rPr>
          <w:rFonts w:asciiTheme="minorHAnsi" w:hAnsiTheme="minorHAnsi" w:cstheme="minorHAnsi"/>
          <w:sz w:val="22"/>
          <w:szCs w:val="22"/>
          <w:lang w:eastAsia="fr-CH"/>
        </w:rPr>
        <w:t>improved reporting, monitoring and evaluation.</w:t>
      </w:r>
    </w:p>
    <w:p w14:paraId="78F9151A" w14:textId="20CDF9F1" w:rsidR="00D86908" w:rsidRPr="00D226D6" w:rsidRDefault="004705D8" w:rsidP="00E53477">
      <w:pPr>
        <w:pStyle w:val="ListParagraph"/>
        <w:numPr>
          <w:ilvl w:val="1"/>
          <w:numId w:val="20"/>
        </w:numPr>
        <w:spacing w:before="240"/>
        <w:jc w:val="both"/>
        <w:rPr>
          <w:rFonts w:asciiTheme="minorHAnsi" w:hAnsiTheme="minorHAnsi" w:cstheme="minorHAnsi"/>
          <w:sz w:val="22"/>
          <w:szCs w:val="22"/>
          <w:lang w:eastAsia="fr-CH"/>
        </w:rPr>
      </w:pPr>
      <w:r w:rsidRPr="00D226D6">
        <w:rPr>
          <w:rFonts w:asciiTheme="minorHAnsi" w:hAnsiTheme="minorHAnsi" w:cstheme="minorHAnsi"/>
          <w:sz w:val="22"/>
          <w:szCs w:val="22"/>
          <w:lang w:eastAsia="fr-CH"/>
        </w:rPr>
        <w:t>I</w:t>
      </w:r>
      <w:r w:rsidR="00D86908" w:rsidRPr="00D226D6">
        <w:rPr>
          <w:rFonts w:asciiTheme="minorHAnsi" w:hAnsiTheme="minorHAnsi" w:cstheme="minorHAnsi"/>
          <w:sz w:val="22"/>
          <w:szCs w:val="22"/>
          <w:lang w:eastAsia="fr-CH"/>
        </w:rPr>
        <w:t>mplementation of the reporting, planning, monitoring and evaluation function/team</w:t>
      </w:r>
      <w:r w:rsidRPr="00D226D6">
        <w:rPr>
          <w:rFonts w:asciiTheme="minorHAnsi" w:hAnsiTheme="minorHAnsi" w:cstheme="minorHAnsi"/>
          <w:sz w:val="22"/>
          <w:szCs w:val="22"/>
          <w:lang w:eastAsia="fr-CH"/>
        </w:rPr>
        <w:t xml:space="preserve"> ongoing with full implementation to be completed through 2021.</w:t>
      </w:r>
    </w:p>
    <w:p w14:paraId="18FA5829" w14:textId="51EC8EC3" w:rsidR="00714203" w:rsidRPr="00D226D6" w:rsidRDefault="00714203" w:rsidP="00E53477">
      <w:pPr>
        <w:pStyle w:val="ListParagraph"/>
        <w:numPr>
          <w:ilvl w:val="1"/>
          <w:numId w:val="20"/>
        </w:numPr>
        <w:spacing w:before="240"/>
        <w:jc w:val="both"/>
        <w:rPr>
          <w:rFonts w:asciiTheme="minorHAnsi" w:hAnsiTheme="minorHAnsi" w:cstheme="minorHAnsi"/>
          <w:sz w:val="22"/>
          <w:szCs w:val="22"/>
          <w:lang w:eastAsia="fr-CH"/>
        </w:rPr>
      </w:pPr>
      <w:r w:rsidRPr="00D226D6">
        <w:rPr>
          <w:rFonts w:asciiTheme="minorHAnsi" w:hAnsiTheme="minorHAnsi" w:cstheme="minorHAnsi"/>
          <w:sz w:val="22"/>
          <w:szCs w:val="22"/>
          <w:lang w:eastAsia="fr-CH"/>
        </w:rPr>
        <w:t xml:space="preserve">Member efforts through TDAG working groups (particularly RDTP and SOP) are working to improve the WTDC outputs as recommended. WTDC 21 outputs should represent a more </w:t>
      </w:r>
      <w:r w:rsidR="000B2C5B" w:rsidRPr="00D226D6">
        <w:rPr>
          <w:rFonts w:asciiTheme="minorHAnsi" w:hAnsiTheme="minorHAnsi" w:cstheme="minorHAnsi"/>
          <w:sz w:val="22"/>
          <w:szCs w:val="22"/>
          <w:lang w:eastAsia="fr-CH"/>
        </w:rPr>
        <w:t>well integrated strategic and operational planning framework, properly coordinated with BDT work methods and RBM.</w:t>
      </w:r>
    </w:p>
    <w:p w14:paraId="5F73177E" w14:textId="4515B217" w:rsidR="00696781" w:rsidRPr="00AB51C7" w:rsidRDefault="003F025D" w:rsidP="00E53477">
      <w:pPr>
        <w:keepNext/>
        <w:spacing w:before="240"/>
        <w:jc w:val="both"/>
        <w:rPr>
          <w:rFonts w:asciiTheme="minorHAnsi" w:hAnsiTheme="minorHAnsi" w:cstheme="minorHAnsi"/>
          <w:i/>
          <w:sz w:val="22"/>
          <w:szCs w:val="22"/>
          <w:u w:val="single"/>
          <w:lang w:eastAsia="fr-CH"/>
        </w:rPr>
      </w:pPr>
      <w:r>
        <w:rPr>
          <w:rFonts w:asciiTheme="minorHAnsi" w:hAnsiTheme="minorHAnsi" w:cstheme="minorHAnsi"/>
          <w:i/>
          <w:sz w:val="22"/>
          <w:szCs w:val="22"/>
          <w:u w:val="single"/>
          <w:lang w:eastAsia="fr-CH"/>
        </w:rPr>
        <w:t xml:space="preserve">PwC’s Recommended </w:t>
      </w:r>
      <w:r w:rsidR="00696781" w:rsidRPr="00AB51C7">
        <w:rPr>
          <w:rFonts w:asciiTheme="minorHAnsi" w:hAnsiTheme="minorHAnsi" w:cstheme="minorHAnsi"/>
          <w:i/>
          <w:sz w:val="22"/>
          <w:szCs w:val="22"/>
          <w:u w:val="single"/>
          <w:lang w:eastAsia="fr-CH"/>
        </w:rPr>
        <w:t>Enabling processes</w:t>
      </w:r>
    </w:p>
    <w:p w14:paraId="19EB0F22" w14:textId="77777777" w:rsidR="007A48A2" w:rsidRPr="00AB51C7" w:rsidRDefault="007A48A2" w:rsidP="00E53477">
      <w:pPr>
        <w:spacing w:before="240"/>
        <w:jc w:val="both"/>
        <w:rPr>
          <w:rFonts w:asciiTheme="minorHAnsi" w:hAnsiTheme="minorHAnsi" w:cstheme="minorHAnsi"/>
          <w:sz w:val="22"/>
          <w:szCs w:val="22"/>
          <w:lang w:eastAsia="fr-CH"/>
        </w:rPr>
      </w:pPr>
      <w:r w:rsidRPr="00AB51C7">
        <w:rPr>
          <w:rFonts w:asciiTheme="minorHAnsi" w:hAnsiTheme="minorHAnsi" w:cstheme="minorHAnsi"/>
          <w:sz w:val="22"/>
          <w:szCs w:val="22"/>
          <w:lang w:eastAsia="fr-CH"/>
        </w:rPr>
        <w:t>PwC noted and acknowledged that a</w:t>
      </w:r>
      <w:r w:rsidR="00696781" w:rsidRPr="00AB51C7">
        <w:rPr>
          <w:rFonts w:asciiTheme="minorHAnsi" w:hAnsiTheme="minorHAnsi" w:cstheme="minorHAnsi"/>
          <w:sz w:val="22"/>
          <w:szCs w:val="22"/>
          <w:lang w:eastAsia="fr-CH"/>
        </w:rPr>
        <w:t xml:space="preserve"> wide range of process-related reforms </w:t>
      </w:r>
      <w:r w:rsidRPr="00AB51C7">
        <w:rPr>
          <w:rFonts w:asciiTheme="minorHAnsi" w:hAnsiTheme="minorHAnsi" w:cstheme="minorHAnsi"/>
          <w:sz w:val="22"/>
          <w:szCs w:val="22"/>
          <w:lang w:eastAsia="fr-CH"/>
        </w:rPr>
        <w:t>were</w:t>
      </w:r>
      <w:r w:rsidR="00696781" w:rsidRPr="00AB51C7">
        <w:rPr>
          <w:rFonts w:asciiTheme="minorHAnsi" w:hAnsiTheme="minorHAnsi" w:cstheme="minorHAnsi"/>
          <w:sz w:val="22"/>
          <w:szCs w:val="22"/>
          <w:lang w:eastAsia="fr-CH"/>
        </w:rPr>
        <w:t xml:space="preserve"> initiated </w:t>
      </w:r>
      <w:r w:rsidRPr="00AB51C7">
        <w:rPr>
          <w:rFonts w:asciiTheme="minorHAnsi" w:hAnsiTheme="minorHAnsi" w:cstheme="minorHAnsi"/>
          <w:sz w:val="22"/>
          <w:szCs w:val="22"/>
          <w:lang w:eastAsia="fr-CH"/>
        </w:rPr>
        <w:t xml:space="preserve">by BDT </w:t>
      </w:r>
      <w:r w:rsidR="00696781" w:rsidRPr="00AB51C7">
        <w:rPr>
          <w:rFonts w:asciiTheme="minorHAnsi" w:hAnsiTheme="minorHAnsi" w:cstheme="minorHAnsi"/>
          <w:sz w:val="22"/>
          <w:szCs w:val="22"/>
          <w:lang w:eastAsia="fr-CH"/>
        </w:rPr>
        <w:t>in 2019</w:t>
      </w:r>
      <w:r w:rsidRPr="00AB51C7">
        <w:rPr>
          <w:rFonts w:asciiTheme="minorHAnsi" w:hAnsiTheme="minorHAnsi" w:cstheme="minorHAnsi"/>
          <w:sz w:val="22"/>
          <w:szCs w:val="22"/>
          <w:lang w:eastAsia="fr-CH"/>
        </w:rPr>
        <w:t xml:space="preserve">, and recommended that these should </w:t>
      </w:r>
      <w:r w:rsidR="00696781" w:rsidRPr="00AB51C7">
        <w:rPr>
          <w:rFonts w:asciiTheme="minorHAnsi" w:hAnsiTheme="minorHAnsi" w:cstheme="minorHAnsi"/>
          <w:sz w:val="22"/>
          <w:szCs w:val="22"/>
          <w:lang w:eastAsia="fr-CH"/>
        </w:rPr>
        <w:t>be pursued and complemented</w:t>
      </w:r>
      <w:r w:rsidRPr="00AB51C7">
        <w:rPr>
          <w:rFonts w:asciiTheme="minorHAnsi" w:hAnsiTheme="minorHAnsi" w:cstheme="minorHAnsi"/>
          <w:sz w:val="22"/>
          <w:szCs w:val="22"/>
          <w:lang w:eastAsia="fr-CH"/>
        </w:rPr>
        <w:t>:</w:t>
      </w:r>
    </w:p>
    <w:p w14:paraId="75E9214F" w14:textId="77777777" w:rsidR="00D70724" w:rsidRPr="00F6240F" w:rsidRDefault="00696781" w:rsidP="00E53477">
      <w:pPr>
        <w:pStyle w:val="ListParagraph"/>
        <w:numPr>
          <w:ilvl w:val="0"/>
          <w:numId w:val="18"/>
        </w:numPr>
        <w:tabs>
          <w:tab w:val="clear" w:pos="567"/>
          <w:tab w:val="clear" w:pos="1134"/>
          <w:tab w:val="clear" w:pos="1701"/>
          <w:tab w:val="clear" w:pos="2268"/>
          <w:tab w:val="clear" w:pos="2835"/>
        </w:tabs>
        <w:spacing w:before="240"/>
        <w:ind w:left="426"/>
        <w:jc w:val="both"/>
        <w:rPr>
          <w:rFonts w:asciiTheme="minorHAnsi" w:hAnsiTheme="minorHAnsi" w:cstheme="minorHAnsi"/>
          <w:sz w:val="22"/>
          <w:szCs w:val="22"/>
          <w:lang w:eastAsia="fr-CH"/>
        </w:rPr>
      </w:pPr>
      <w:r w:rsidRPr="00F6240F">
        <w:rPr>
          <w:rFonts w:asciiTheme="minorHAnsi" w:hAnsiTheme="minorHAnsi" w:cstheme="minorHAnsi"/>
          <w:sz w:val="22"/>
          <w:szCs w:val="22"/>
          <w:lang w:eastAsia="fr-CH"/>
        </w:rPr>
        <w:t xml:space="preserve">ITU Representatives on the ground need to be empowered to make more decisions based on their unique appreciation of local context. </w:t>
      </w:r>
    </w:p>
    <w:p w14:paraId="61CD53B2" w14:textId="77777777" w:rsidR="00D70724" w:rsidRPr="00F6240F" w:rsidRDefault="00696781" w:rsidP="00E53477">
      <w:pPr>
        <w:pStyle w:val="ListParagraph"/>
        <w:numPr>
          <w:ilvl w:val="0"/>
          <w:numId w:val="18"/>
        </w:numPr>
        <w:tabs>
          <w:tab w:val="clear" w:pos="567"/>
          <w:tab w:val="clear" w:pos="1134"/>
          <w:tab w:val="clear" w:pos="1701"/>
          <w:tab w:val="clear" w:pos="2268"/>
          <w:tab w:val="clear" w:pos="2835"/>
        </w:tabs>
        <w:spacing w:before="240"/>
        <w:ind w:left="426"/>
        <w:jc w:val="both"/>
        <w:rPr>
          <w:rFonts w:asciiTheme="minorHAnsi" w:hAnsiTheme="minorHAnsi" w:cstheme="minorHAnsi"/>
          <w:sz w:val="22"/>
          <w:szCs w:val="22"/>
          <w:lang w:eastAsia="fr-CH"/>
        </w:rPr>
      </w:pPr>
      <w:r w:rsidRPr="00F6240F">
        <w:rPr>
          <w:rFonts w:asciiTheme="minorHAnsi" w:hAnsiTheme="minorHAnsi" w:cstheme="minorHAnsi"/>
          <w:sz w:val="22"/>
          <w:szCs w:val="22"/>
          <w:lang w:eastAsia="fr-CH"/>
        </w:rPr>
        <w:t xml:space="preserve">Improving risk management and internal controls at regional level can only be achieved as part of an ITU-wide initiative. </w:t>
      </w:r>
    </w:p>
    <w:p w14:paraId="191D780F" w14:textId="77777777" w:rsidR="00D70724" w:rsidRPr="00F6240F" w:rsidRDefault="00696781" w:rsidP="00E53477">
      <w:pPr>
        <w:pStyle w:val="ListParagraph"/>
        <w:numPr>
          <w:ilvl w:val="0"/>
          <w:numId w:val="18"/>
        </w:numPr>
        <w:tabs>
          <w:tab w:val="clear" w:pos="567"/>
          <w:tab w:val="clear" w:pos="1134"/>
          <w:tab w:val="clear" w:pos="1701"/>
          <w:tab w:val="clear" w:pos="2268"/>
          <w:tab w:val="clear" w:pos="2835"/>
        </w:tabs>
        <w:spacing w:before="240"/>
        <w:ind w:left="426"/>
        <w:jc w:val="both"/>
        <w:rPr>
          <w:rFonts w:asciiTheme="minorHAnsi" w:hAnsiTheme="minorHAnsi" w:cstheme="minorHAnsi"/>
          <w:sz w:val="22"/>
          <w:szCs w:val="22"/>
          <w:lang w:eastAsia="fr-CH"/>
        </w:rPr>
      </w:pPr>
      <w:r w:rsidRPr="00F6240F">
        <w:rPr>
          <w:rFonts w:asciiTheme="minorHAnsi" w:hAnsiTheme="minorHAnsi" w:cstheme="minorHAnsi"/>
          <w:sz w:val="22"/>
          <w:szCs w:val="22"/>
          <w:lang w:eastAsia="fr-CH"/>
        </w:rPr>
        <w:t>The performance of field offices depends on the effective, timely and efficient realisation of key administrative processes that are mostly managed by HQ.</w:t>
      </w:r>
    </w:p>
    <w:p w14:paraId="52C064B0" w14:textId="77777777" w:rsidR="00D70724" w:rsidRPr="00F6240F" w:rsidRDefault="00D70724" w:rsidP="00E53477">
      <w:pPr>
        <w:pStyle w:val="ListParagraph"/>
        <w:numPr>
          <w:ilvl w:val="0"/>
          <w:numId w:val="18"/>
        </w:numPr>
        <w:tabs>
          <w:tab w:val="clear" w:pos="567"/>
          <w:tab w:val="clear" w:pos="1134"/>
          <w:tab w:val="clear" w:pos="1701"/>
          <w:tab w:val="clear" w:pos="2268"/>
          <w:tab w:val="clear" w:pos="2835"/>
        </w:tabs>
        <w:spacing w:before="240"/>
        <w:ind w:left="426"/>
        <w:jc w:val="both"/>
        <w:rPr>
          <w:rFonts w:asciiTheme="minorHAnsi" w:hAnsiTheme="minorHAnsi" w:cstheme="minorHAnsi"/>
          <w:sz w:val="22"/>
          <w:szCs w:val="22"/>
          <w:lang w:eastAsia="fr-CH"/>
        </w:rPr>
      </w:pPr>
      <w:r w:rsidRPr="00F6240F">
        <w:rPr>
          <w:rFonts w:asciiTheme="minorHAnsi" w:hAnsiTheme="minorHAnsi" w:cstheme="minorHAnsi"/>
          <w:sz w:val="22"/>
          <w:szCs w:val="22"/>
          <w:lang w:eastAsia="fr-CH"/>
        </w:rPr>
        <w:t>T</w:t>
      </w:r>
      <w:r w:rsidR="00696781" w:rsidRPr="00F6240F">
        <w:rPr>
          <w:rFonts w:asciiTheme="minorHAnsi" w:hAnsiTheme="minorHAnsi" w:cstheme="minorHAnsi"/>
          <w:sz w:val="22"/>
          <w:szCs w:val="22"/>
          <w:lang w:eastAsia="fr-CH"/>
        </w:rPr>
        <w:t xml:space="preserve">alent management is a critical enabler of the organisation's ability to adapt as regional priorities evolve. A diverse, agile workforce is a key asset in this context. As 25% of the workforce in the field is expected to retire in the next 10 years, </w:t>
      </w:r>
      <w:r w:rsidRPr="00F6240F">
        <w:rPr>
          <w:rFonts w:asciiTheme="minorHAnsi" w:hAnsiTheme="minorHAnsi" w:cstheme="minorHAnsi"/>
          <w:sz w:val="22"/>
          <w:szCs w:val="22"/>
          <w:lang w:eastAsia="fr-CH"/>
        </w:rPr>
        <w:t>PwC</w:t>
      </w:r>
      <w:r w:rsidR="00696781" w:rsidRPr="00F6240F">
        <w:rPr>
          <w:rFonts w:asciiTheme="minorHAnsi" w:hAnsiTheme="minorHAnsi" w:cstheme="minorHAnsi"/>
          <w:sz w:val="22"/>
          <w:szCs w:val="22"/>
          <w:lang w:eastAsia="fr-CH"/>
        </w:rPr>
        <w:t xml:space="preserve"> recommend</w:t>
      </w:r>
      <w:r w:rsidRPr="00F6240F">
        <w:rPr>
          <w:rFonts w:asciiTheme="minorHAnsi" w:hAnsiTheme="minorHAnsi" w:cstheme="minorHAnsi"/>
          <w:sz w:val="22"/>
          <w:szCs w:val="22"/>
          <w:lang w:eastAsia="fr-CH"/>
        </w:rPr>
        <w:t>ed</w:t>
      </w:r>
      <w:r w:rsidR="00696781" w:rsidRPr="00F6240F">
        <w:rPr>
          <w:rFonts w:asciiTheme="minorHAnsi" w:hAnsiTheme="minorHAnsi" w:cstheme="minorHAnsi"/>
          <w:sz w:val="22"/>
          <w:szCs w:val="22"/>
          <w:lang w:eastAsia="fr-CH"/>
        </w:rPr>
        <w:t xml:space="preserve"> paying particular attention to the transfer of expertise through a regular review of staff profiles and internal training plans led by cluster leads. </w:t>
      </w:r>
      <w:r w:rsidRPr="00F6240F">
        <w:rPr>
          <w:rFonts w:asciiTheme="minorHAnsi" w:hAnsiTheme="minorHAnsi" w:cstheme="minorHAnsi"/>
          <w:sz w:val="22"/>
          <w:szCs w:val="22"/>
          <w:lang w:eastAsia="fr-CH"/>
        </w:rPr>
        <w:t xml:space="preserve">PwC highlighted the importance of </w:t>
      </w:r>
      <w:r w:rsidR="00696781" w:rsidRPr="00F6240F">
        <w:rPr>
          <w:rFonts w:asciiTheme="minorHAnsi" w:hAnsiTheme="minorHAnsi" w:cstheme="minorHAnsi"/>
          <w:sz w:val="22"/>
          <w:szCs w:val="22"/>
          <w:lang w:eastAsia="fr-CH"/>
        </w:rPr>
        <w:t xml:space="preserve">workforce diversity in terms of gender balance (particularly at the P level) and the distribution of nationalities across the organisation. </w:t>
      </w:r>
      <w:r w:rsidRPr="00F6240F">
        <w:rPr>
          <w:rFonts w:asciiTheme="minorHAnsi" w:hAnsiTheme="minorHAnsi" w:cstheme="minorHAnsi"/>
          <w:sz w:val="22"/>
          <w:szCs w:val="22"/>
          <w:lang w:eastAsia="fr-CH"/>
        </w:rPr>
        <w:t>PwC recommended that i</w:t>
      </w:r>
      <w:r w:rsidR="00696781" w:rsidRPr="00F6240F">
        <w:rPr>
          <w:rFonts w:asciiTheme="minorHAnsi" w:hAnsiTheme="minorHAnsi" w:cstheme="minorHAnsi"/>
          <w:sz w:val="22"/>
          <w:szCs w:val="22"/>
          <w:lang w:eastAsia="fr-CH"/>
        </w:rPr>
        <w:t xml:space="preserve">nternal mobility should be enhanced through the scaling up of short-term assignments and the adoption of a policy enabling the rotation of positions between HQ and the field. </w:t>
      </w:r>
    </w:p>
    <w:p w14:paraId="5C522350" w14:textId="77777777" w:rsidR="00B75C0B" w:rsidRPr="00F6240F" w:rsidRDefault="00E60424" w:rsidP="00E53477">
      <w:pPr>
        <w:pStyle w:val="ListParagraph"/>
        <w:numPr>
          <w:ilvl w:val="0"/>
          <w:numId w:val="18"/>
        </w:numPr>
        <w:tabs>
          <w:tab w:val="clear" w:pos="567"/>
          <w:tab w:val="clear" w:pos="1134"/>
          <w:tab w:val="clear" w:pos="1701"/>
          <w:tab w:val="clear" w:pos="2268"/>
          <w:tab w:val="clear" w:pos="2835"/>
        </w:tabs>
        <w:spacing w:before="240"/>
        <w:ind w:left="426"/>
        <w:jc w:val="both"/>
        <w:rPr>
          <w:rFonts w:asciiTheme="minorHAnsi" w:hAnsiTheme="minorHAnsi" w:cstheme="minorHAnsi"/>
          <w:sz w:val="22"/>
          <w:szCs w:val="22"/>
          <w:lang w:eastAsia="fr-CH"/>
        </w:rPr>
      </w:pPr>
      <w:r w:rsidRPr="00F6240F">
        <w:rPr>
          <w:rFonts w:asciiTheme="minorHAnsi" w:hAnsiTheme="minorHAnsi" w:cstheme="minorHAnsi"/>
          <w:color w:val="000000"/>
          <w:sz w:val="22"/>
          <w:szCs w:val="22"/>
          <w:lang w:eastAsia="fr-CH"/>
        </w:rPr>
        <w:t>PwC noted that t</w:t>
      </w:r>
      <w:r w:rsidR="00696781" w:rsidRPr="00F6240F">
        <w:rPr>
          <w:rFonts w:asciiTheme="minorHAnsi" w:hAnsiTheme="minorHAnsi" w:cstheme="minorHAnsi"/>
          <w:color w:val="000000"/>
          <w:sz w:val="22"/>
          <w:szCs w:val="22"/>
          <w:lang w:eastAsia="fr-CH"/>
        </w:rPr>
        <w:t xml:space="preserve">he level of communication and outreach to the membership will condition perceptions of its added value and the ability of the membership to engage and support solutions promoted locally. </w:t>
      </w:r>
      <w:r w:rsidR="00696781" w:rsidRPr="00F6240F">
        <w:rPr>
          <w:rFonts w:asciiTheme="minorHAnsi" w:hAnsiTheme="minorHAnsi" w:cstheme="minorHAnsi"/>
          <w:color w:val="000000"/>
          <w:sz w:val="22"/>
          <w:szCs w:val="22"/>
          <w:lang w:eastAsia="fr-CH"/>
        </w:rPr>
        <w:lastRenderedPageBreak/>
        <w:t>While this goes beyond the scope of this study, the lack of a consistent governance mechanism for communication across the organisation clearly hampers the capacity of field offices to increase their visibility. Heads of field offices should be empowered to lead communication initiatives and knowledge exchanges in their area. These efforts should be supported by the development of common systems and tools. Communication products should focus on technical excellence and aim at facilitating the exchange of best practices, knowledge assets and accelerators among the ITU membership.</w:t>
      </w:r>
    </w:p>
    <w:p w14:paraId="2C50F5FE" w14:textId="38996FBD" w:rsidR="00696781" w:rsidRPr="00F6240F" w:rsidRDefault="00B75C0B" w:rsidP="00E53477">
      <w:pPr>
        <w:pStyle w:val="ListParagraph"/>
        <w:numPr>
          <w:ilvl w:val="0"/>
          <w:numId w:val="18"/>
        </w:numPr>
        <w:tabs>
          <w:tab w:val="clear" w:pos="567"/>
          <w:tab w:val="clear" w:pos="1134"/>
          <w:tab w:val="clear" w:pos="1701"/>
          <w:tab w:val="clear" w:pos="2268"/>
          <w:tab w:val="clear" w:pos="2835"/>
        </w:tabs>
        <w:spacing w:before="240"/>
        <w:ind w:left="426"/>
        <w:jc w:val="both"/>
        <w:rPr>
          <w:rFonts w:asciiTheme="minorHAnsi" w:hAnsiTheme="minorHAnsi" w:cstheme="minorHAnsi"/>
          <w:sz w:val="22"/>
          <w:szCs w:val="22"/>
          <w:lang w:eastAsia="fr-CH"/>
        </w:rPr>
      </w:pPr>
      <w:r w:rsidRPr="00F6240F">
        <w:rPr>
          <w:rFonts w:asciiTheme="minorHAnsi" w:hAnsiTheme="minorHAnsi" w:cstheme="minorHAnsi"/>
          <w:color w:val="000000"/>
          <w:sz w:val="22"/>
          <w:szCs w:val="22"/>
          <w:lang w:eastAsia="fr-CH"/>
        </w:rPr>
        <w:t>PwC acknowledged work toward t</w:t>
      </w:r>
      <w:r w:rsidR="00696781" w:rsidRPr="00F6240F">
        <w:rPr>
          <w:rFonts w:asciiTheme="minorHAnsi" w:hAnsiTheme="minorHAnsi" w:cstheme="minorHAnsi"/>
          <w:color w:val="000000"/>
          <w:sz w:val="22"/>
          <w:szCs w:val="22"/>
          <w:lang w:eastAsia="fr-CH"/>
        </w:rPr>
        <w:t xml:space="preserve">he development of a new resource mobilisation strategy </w:t>
      </w:r>
      <w:r w:rsidRPr="00F6240F">
        <w:rPr>
          <w:rFonts w:asciiTheme="minorHAnsi" w:hAnsiTheme="minorHAnsi" w:cstheme="minorHAnsi"/>
          <w:color w:val="000000"/>
          <w:sz w:val="22"/>
          <w:szCs w:val="22"/>
          <w:lang w:eastAsia="fr-CH"/>
        </w:rPr>
        <w:t xml:space="preserve">which </w:t>
      </w:r>
      <w:r w:rsidR="00696781" w:rsidRPr="00F6240F">
        <w:rPr>
          <w:rFonts w:asciiTheme="minorHAnsi" w:hAnsiTheme="minorHAnsi" w:cstheme="minorHAnsi"/>
          <w:color w:val="000000"/>
          <w:sz w:val="22"/>
          <w:szCs w:val="22"/>
          <w:lang w:eastAsia="fr-CH"/>
        </w:rPr>
        <w:t>should capture the strengths, opportunities and threats identified in the field. It should result in the identification of targets in terms of resources to be mobilised in the field, regional action plans to support resource mobilisation and coordination mechanisms ensuring a common approach towards potential donors. The use of the CRM system should be extended to field staff and resource mobilisation training should be organised for field staff. This should lead to the development of programme documents that can be declined per thematic area in order to approach key donors. Regional Development Forums should be repositioned to promote partners</w:t>
      </w:r>
      <w:r w:rsidR="00997082" w:rsidRPr="00F6240F">
        <w:rPr>
          <w:rFonts w:asciiTheme="minorHAnsi" w:hAnsiTheme="minorHAnsi" w:cstheme="minorHAnsi"/>
          <w:color w:val="000000"/>
          <w:sz w:val="22"/>
          <w:szCs w:val="22"/>
          <w:lang w:eastAsia="fr-CH"/>
        </w:rPr>
        <w:t>’</w:t>
      </w:r>
      <w:r w:rsidR="00696781" w:rsidRPr="00F6240F">
        <w:rPr>
          <w:rFonts w:asciiTheme="minorHAnsi" w:hAnsiTheme="minorHAnsi" w:cstheme="minorHAnsi"/>
          <w:color w:val="000000"/>
          <w:sz w:val="22"/>
          <w:szCs w:val="22"/>
          <w:lang w:eastAsia="fr-CH"/>
        </w:rPr>
        <w:t xml:space="preserve"> engagement, coalition building across different types of stakeholders and cross-regional learning.</w:t>
      </w:r>
    </w:p>
    <w:p w14:paraId="716088F0" w14:textId="1E6B72F3" w:rsidR="00F6240F" w:rsidRPr="00D226D6" w:rsidRDefault="00F6240F" w:rsidP="00E53477">
      <w:pPr>
        <w:tabs>
          <w:tab w:val="clear" w:pos="567"/>
          <w:tab w:val="clear" w:pos="1134"/>
          <w:tab w:val="clear" w:pos="1701"/>
          <w:tab w:val="clear" w:pos="2268"/>
          <w:tab w:val="clear" w:pos="2835"/>
        </w:tabs>
        <w:spacing w:before="240"/>
        <w:jc w:val="both"/>
        <w:rPr>
          <w:rFonts w:asciiTheme="minorHAnsi" w:hAnsiTheme="minorHAnsi" w:cstheme="minorBidi"/>
          <w:b/>
          <w:bCs/>
          <w:sz w:val="22"/>
          <w:szCs w:val="22"/>
          <w:lang w:eastAsia="fr-CH"/>
        </w:rPr>
      </w:pPr>
      <w:r w:rsidRPr="00D226D6">
        <w:rPr>
          <w:rFonts w:asciiTheme="minorHAnsi" w:hAnsiTheme="minorHAnsi" w:cstheme="minorBidi"/>
          <w:b/>
          <w:bCs/>
          <w:sz w:val="22"/>
          <w:szCs w:val="22"/>
          <w:lang w:eastAsia="fr-CH"/>
        </w:rPr>
        <w:t>Secretariat Comments</w:t>
      </w:r>
    </w:p>
    <w:p w14:paraId="567B2951" w14:textId="1957B6F7" w:rsidR="00320598" w:rsidRPr="00F6240F" w:rsidRDefault="016D41BE" w:rsidP="00E53477">
      <w:pPr>
        <w:tabs>
          <w:tab w:val="clear" w:pos="567"/>
          <w:tab w:val="clear" w:pos="1134"/>
          <w:tab w:val="clear" w:pos="1701"/>
          <w:tab w:val="clear" w:pos="2268"/>
          <w:tab w:val="clear" w:pos="2835"/>
        </w:tabs>
        <w:spacing w:before="240"/>
        <w:jc w:val="both"/>
        <w:rPr>
          <w:rFonts w:asciiTheme="minorHAnsi" w:eastAsiaTheme="minorEastAsia" w:hAnsiTheme="minorHAnsi" w:cstheme="minorBidi"/>
          <w:sz w:val="22"/>
          <w:szCs w:val="22"/>
        </w:rPr>
      </w:pPr>
      <w:r w:rsidRPr="594A99E1">
        <w:rPr>
          <w:rFonts w:asciiTheme="minorHAnsi" w:eastAsiaTheme="minorEastAsia" w:hAnsiTheme="minorHAnsi" w:cstheme="minorBidi"/>
          <w:sz w:val="22"/>
          <w:szCs w:val="22"/>
        </w:rPr>
        <w:t xml:space="preserve">Process reviews have been initiated to ensure improved efficiency and consistency in operational activities. The review is ongoing with consideration of prioritization of the procurement and financial management to enable smoother functioning of the regional offices in the future.  </w:t>
      </w:r>
      <w:r w:rsidR="60BFB456" w:rsidRPr="594A99E1">
        <w:rPr>
          <w:rFonts w:eastAsia="Calibri" w:cs="Calibri"/>
          <w:sz w:val="22"/>
          <w:szCs w:val="22"/>
          <w:lang w:val="en-US"/>
        </w:rPr>
        <w:t>Information sessions were held with staff from regional and area offices on the updated procurement procedures as well as the revised cash management procedures.</w:t>
      </w:r>
      <w:r w:rsidR="7B4A6A77" w:rsidRPr="0663AB57">
        <w:rPr>
          <w:rFonts w:asciiTheme="minorHAnsi" w:eastAsiaTheme="minorEastAsia" w:hAnsiTheme="minorHAnsi" w:cstheme="minorBidi"/>
          <w:sz w:val="22"/>
          <w:szCs w:val="22"/>
        </w:rPr>
        <w:t>BDT is undertaking a bureau-wide effort (IT4BDT) to align the current IT solutions to the underpinning processes.  This involves the redesign of the IT solutions related to critical administrative processes, which include operational planning, travel management and expert recruitment. Business blueprints are expected for delivery in December 2020 with full deployment in 2021.  It is envisaged that these systems and tools deployed will be scaled, coupled with the establishment of a robust knowledge management framework.  Some of the expected outcomes of this improvement include translation of the reports and analysis in six official languages of the UN and the availability of summary reports to ITU membership.</w:t>
      </w:r>
    </w:p>
    <w:p w14:paraId="2A0BD9AC" w14:textId="651534F4" w:rsidR="00320598" w:rsidRPr="00F6240F" w:rsidRDefault="7B4A6A77" w:rsidP="00E53477">
      <w:pPr>
        <w:tabs>
          <w:tab w:val="clear" w:pos="567"/>
          <w:tab w:val="clear" w:pos="1134"/>
          <w:tab w:val="clear" w:pos="1701"/>
          <w:tab w:val="clear" w:pos="2268"/>
          <w:tab w:val="clear" w:pos="2835"/>
        </w:tabs>
        <w:spacing w:before="240"/>
        <w:jc w:val="both"/>
        <w:rPr>
          <w:rFonts w:asciiTheme="minorHAnsi" w:eastAsiaTheme="minorEastAsia" w:hAnsiTheme="minorHAnsi" w:cstheme="minorBidi"/>
          <w:sz w:val="22"/>
          <w:szCs w:val="22"/>
        </w:rPr>
      </w:pPr>
      <w:r w:rsidRPr="0663AB57">
        <w:rPr>
          <w:rFonts w:asciiTheme="minorHAnsi" w:eastAsiaTheme="minorEastAsia" w:hAnsiTheme="minorHAnsi" w:cstheme="minorBidi"/>
          <w:sz w:val="22"/>
          <w:szCs w:val="22"/>
        </w:rPr>
        <w:t>The risk management governance and structure are being reviewed as part of the implementation of the Risk Management Action Plan and ITU-wide Risk Management workshops are underway, while an ITU-wide Risk Register and Dashboard are on track to be fully operational by the end of the year. Additionally, BDT has assigned a Risk Management focal point, developed a Risk Register and Dashboard, and has a live Risk Register where managers at HQ and regional level routinely update and assess risks as part of their quarterly management review process.</w:t>
      </w:r>
    </w:p>
    <w:p w14:paraId="5F59D10E" w14:textId="53121549" w:rsidR="00320598" w:rsidRPr="00F6240F" w:rsidRDefault="7B4A6A77" w:rsidP="00E53477">
      <w:pPr>
        <w:tabs>
          <w:tab w:val="clear" w:pos="567"/>
          <w:tab w:val="clear" w:pos="1134"/>
          <w:tab w:val="clear" w:pos="1701"/>
          <w:tab w:val="clear" w:pos="2268"/>
          <w:tab w:val="clear" w:pos="2835"/>
        </w:tabs>
        <w:spacing w:before="240"/>
        <w:jc w:val="both"/>
        <w:rPr>
          <w:rFonts w:asciiTheme="minorHAnsi" w:eastAsiaTheme="minorEastAsia" w:hAnsiTheme="minorHAnsi" w:cstheme="minorBidi"/>
          <w:sz w:val="22"/>
          <w:szCs w:val="22"/>
          <w:lang w:val="en-US"/>
        </w:rPr>
      </w:pPr>
      <w:r w:rsidRPr="0663AB57">
        <w:rPr>
          <w:rFonts w:asciiTheme="minorHAnsi" w:eastAsiaTheme="minorEastAsia" w:hAnsiTheme="minorHAnsi" w:cstheme="minorBidi"/>
          <w:sz w:val="22"/>
          <w:szCs w:val="22"/>
          <w:lang w:val="en-US"/>
        </w:rPr>
        <w:t>ITU welcomes the recommendations to strengthen resource mobilization in the field, streamlining outreach to donors, and deploying training for staff.</w:t>
      </w:r>
    </w:p>
    <w:p w14:paraId="59F299A4" w14:textId="52E349D8" w:rsidR="00320598" w:rsidRPr="00F6240F" w:rsidRDefault="00320598" w:rsidP="00E53477">
      <w:pPr>
        <w:tabs>
          <w:tab w:val="clear" w:pos="567"/>
          <w:tab w:val="clear" w:pos="1134"/>
          <w:tab w:val="clear" w:pos="1701"/>
          <w:tab w:val="clear" w:pos="2268"/>
          <w:tab w:val="clear" w:pos="2835"/>
        </w:tabs>
        <w:spacing w:before="240"/>
        <w:jc w:val="both"/>
        <w:rPr>
          <w:rFonts w:asciiTheme="minorHAnsi" w:hAnsiTheme="minorHAnsi" w:cstheme="minorBidi"/>
          <w:i/>
          <w:iCs/>
          <w:sz w:val="22"/>
          <w:szCs w:val="22"/>
          <w:lang w:eastAsia="fr-CH"/>
        </w:rPr>
      </w:pPr>
    </w:p>
    <w:p w14:paraId="5C4D8FD1" w14:textId="133A655C" w:rsidR="59913CBA" w:rsidRPr="00833535" w:rsidRDefault="27E86B19" w:rsidP="00E53477">
      <w:pPr>
        <w:tabs>
          <w:tab w:val="clear" w:pos="567"/>
          <w:tab w:val="clear" w:pos="1134"/>
          <w:tab w:val="clear" w:pos="1701"/>
          <w:tab w:val="clear" w:pos="2268"/>
          <w:tab w:val="clear" w:pos="2835"/>
        </w:tabs>
        <w:spacing w:before="240"/>
        <w:jc w:val="both"/>
        <w:rPr>
          <w:rFonts w:asciiTheme="minorHAnsi" w:hAnsiTheme="minorHAnsi" w:cstheme="minorBidi"/>
          <w:i/>
          <w:iCs/>
          <w:color w:val="000000" w:themeColor="text1"/>
          <w:sz w:val="22"/>
          <w:szCs w:val="22"/>
          <w:u w:val="single"/>
          <w:lang w:eastAsia="fr-CH"/>
        </w:rPr>
      </w:pPr>
      <w:r w:rsidRPr="00833535">
        <w:rPr>
          <w:rFonts w:asciiTheme="minorHAnsi" w:hAnsiTheme="minorHAnsi" w:cstheme="minorBidi"/>
          <w:i/>
          <w:iCs/>
          <w:color w:val="000000" w:themeColor="text1"/>
          <w:sz w:val="22"/>
          <w:szCs w:val="22"/>
          <w:u w:val="single"/>
          <w:lang w:eastAsia="fr-CH"/>
        </w:rPr>
        <w:t>Communication and outreach to the membership</w:t>
      </w:r>
    </w:p>
    <w:p w14:paraId="68D97CA6" w14:textId="1B982B63" w:rsidR="59913CBA" w:rsidRPr="00E53477" w:rsidRDefault="27E86B19" w:rsidP="00E53477">
      <w:pPr>
        <w:jc w:val="both"/>
        <w:rPr>
          <w:rFonts w:eastAsia="Calibri" w:cs="Calibri"/>
          <w:sz w:val="22"/>
          <w:szCs w:val="22"/>
        </w:rPr>
      </w:pPr>
      <w:r w:rsidRPr="00E53477">
        <w:rPr>
          <w:rFonts w:eastAsia="Calibri" w:cs="Calibri"/>
          <w:sz w:val="22"/>
          <w:szCs w:val="22"/>
        </w:rPr>
        <w:t xml:space="preserve">The comparative advantage of regional offices is their expertise of the regional context, the official language/s spoken and the local contacts. Hence, communication outreach and accountability should rest with the regional offices unless the communication outreach is of global relevance. Headquarters </w:t>
      </w:r>
      <w:r w:rsidR="43ABDE28" w:rsidRPr="00E53477">
        <w:rPr>
          <w:rFonts w:eastAsia="Calibri" w:cs="Calibri"/>
          <w:sz w:val="22"/>
          <w:szCs w:val="22"/>
        </w:rPr>
        <w:t>is to</w:t>
      </w:r>
      <w:r w:rsidRPr="00E53477">
        <w:rPr>
          <w:rFonts w:eastAsia="Calibri" w:cs="Calibri"/>
          <w:sz w:val="22"/>
          <w:szCs w:val="22"/>
        </w:rPr>
        <w:t xml:space="preserve"> provide access to the various existing </w:t>
      </w:r>
      <w:hyperlink r:id="rId14" w:history="1">
        <w:r w:rsidRPr="00E53477">
          <w:rPr>
            <w:rStyle w:val="Hyperlink"/>
            <w:rFonts w:eastAsia="Calibri" w:cs="Calibri"/>
            <w:color w:val="auto"/>
            <w:sz w:val="22"/>
            <w:szCs w:val="22"/>
          </w:rPr>
          <w:t>digital and physical fora for editorial coordination</w:t>
        </w:r>
      </w:hyperlink>
      <w:r w:rsidRPr="00E53477">
        <w:rPr>
          <w:rFonts w:eastAsia="Calibri" w:cs="Calibri"/>
          <w:sz w:val="22"/>
          <w:szCs w:val="22"/>
        </w:rPr>
        <w:t xml:space="preserve"> and the best practice guidelines, SOPs, checklists and templates for various communication channels</w:t>
      </w:r>
      <w:r w:rsidR="249A1267" w:rsidRPr="00E53477">
        <w:rPr>
          <w:rFonts w:eastAsia="Calibri" w:cs="Calibri"/>
          <w:sz w:val="22"/>
          <w:szCs w:val="22"/>
        </w:rPr>
        <w:t xml:space="preserve"> and products which </w:t>
      </w:r>
      <w:r w:rsidR="3D556D39" w:rsidRPr="00E53477">
        <w:rPr>
          <w:rFonts w:eastAsia="Calibri" w:cs="Calibri"/>
          <w:sz w:val="22"/>
          <w:szCs w:val="22"/>
        </w:rPr>
        <w:t>are</w:t>
      </w:r>
      <w:r w:rsidRPr="00E53477">
        <w:rPr>
          <w:rFonts w:eastAsia="Calibri" w:cs="Calibri"/>
          <w:sz w:val="22"/>
          <w:szCs w:val="22"/>
        </w:rPr>
        <w:t xml:space="preserve"> available on the corporate </w:t>
      </w:r>
      <w:hyperlink r:id="rId15" w:history="1">
        <w:r w:rsidRPr="00E53477">
          <w:rPr>
            <w:rFonts w:eastAsia="Calibri" w:cs="Calibri"/>
            <w:sz w:val="22"/>
            <w:szCs w:val="22"/>
          </w:rPr>
          <w:t>Com</w:t>
        </w:r>
        <w:r w:rsidR="35B41CF9" w:rsidRPr="00E53477">
          <w:rPr>
            <w:rStyle w:val="Hyperlink"/>
            <w:rFonts w:eastAsia="Calibri" w:cs="Calibri"/>
            <w:color w:val="auto"/>
            <w:sz w:val="22"/>
            <w:szCs w:val="22"/>
          </w:rPr>
          <w:t>munication Hub</w:t>
        </w:r>
      </w:hyperlink>
      <w:r w:rsidR="4FB8D884" w:rsidRPr="00E53477">
        <w:rPr>
          <w:rStyle w:val="Hyperlink"/>
          <w:rFonts w:eastAsia="Calibri" w:cs="Calibri"/>
          <w:color w:val="auto"/>
          <w:sz w:val="22"/>
          <w:szCs w:val="22"/>
        </w:rPr>
        <w:t xml:space="preserve">. </w:t>
      </w:r>
      <w:r w:rsidR="41D5CD2B" w:rsidRPr="00E53477">
        <w:rPr>
          <w:rStyle w:val="Hyperlink"/>
          <w:rFonts w:eastAsia="Calibri" w:cs="Calibri"/>
          <w:color w:val="auto"/>
          <w:sz w:val="22"/>
          <w:szCs w:val="22"/>
        </w:rPr>
        <w:t xml:space="preserve">An editorial calendar is available </w:t>
      </w:r>
      <w:hyperlink r:id="rId16" w:history="1">
        <w:r w:rsidR="41D5CD2B" w:rsidRPr="00E53477">
          <w:rPr>
            <w:rStyle w:val="Hyperlink"/>
            <w:rFonts w:eastAsia="Calibri" w:cs="Calibri"/>
            <w:color w:val="auto"/>
            <w:sz w:val="22"/>
            <w:szCs w:val="22"/>
          </w:rPr>
          <w:t>here</w:t>
        </w:r>
      </w:hyperlink>
      <w:r w:rsidR="41D5CD2B" w:rsidRPr="00E53477">
        <w:rPr>
          <w:rStyle w:val="Hyperlink"/>
          <w:rFonts w:eastAsia="Calibri" w:cs="Calibri"/>
          <w:color w:val="auto"/>
          <w:sz w:val="22"/>
          <w:szCs w:val="22"/>
        </w:rPr>
        <w:t xml:space="preserve">. </w:t>
      </w:r>
      <w:r w:rsidR="4FB8D884" w:rsidRPr="00E53477">
        <w:rPr>
          <w:rStyle w:val="Hyperlink"/>
          <w:rFonts w:eastAsia="Calibri" w:cs="Calibri"/>
          <w:color w:val="auto"/>
          <w:sz w:val="22"/>
          <w:szCs w:val="22"/>
        </w:rPr>
        <w:t xml:space="preserve">Headquarters </w:t>
      </w:r>
      <w:r w:rsidRPr="00E53477">
        <w:rPr>
          <w:rFonts w:eastAsia="Calibri" w:cs="Calibri"/>
          <w:sz w:val="22"/>
          <w:szCs w:val="22"/>
        </w:rPr>
        <w:t xml:space="preserve">has started to build regional </w:t>
      </w:r>
      <w:hyperlink r:id="rId17" w:history="1">
        <w:r w:rsidRPr="00E53477">
          <w:rPr>
            <w:rStyle w:val="Hyperlink"/>
            <w:rFonts w:eastAsia="Calibri" w:cs="Calibri"/>
            <w:color w:val="auto"/>
            <w:sz w:val="22"/>
            <w:szCs w:val="22"/>
          </w:rPr>
          <w:t>communication capacity</w:t>
        </w:r>
      </w:hyperlink>
      <w:r w:rsidRPr="00E53477">
        <w:rPr>
          <w:rFonts w:eastAsia="Calibri" w:cs="Calibri"/>
          <w:sz w:val="22"/>
          <w:szCs w:val="22"/>
        </w:rPr>
        <w:t xml:space="preserve"> </w:t>
      </w:r>
      <w:r w:rsidR="28141608" w:rsidRPr="00E53477">
        <w:rPr>
          <w:rFonts w:eastAsia="Calibri" w:cs="Calibri"/>
          <w:sz w:val="22"/>
          <w:szCs w:val="22"/>
        </w:rPr>
        <w:t>in line with this corporate governance.</w:t>
      </w:r>
      <w:r w:rsidR="061176B6" w:rsidRPr="00E53477">
        <w:rPr>
          <w:rFonts w:eastAsia="Calibri" w:cs="Calibri"/>
          <w:sz w:val="22"/>
          <w:szCs w:val="22"/>
        </w:rPr>
        <w:t xml:space="preserve"> The new </w:t>
      </w:r>
      <w:proofErr w:type="spellStart"/>
      <w:r w:rsidR="061176B6" w:rsidRPr="00E53477">
        <w:rPr>
          <w:rFonts w:eastAsia="Calibri" w:cs="Calibri"/>
          <w:sz w:val="22"/>
          <w:szCs w:val="22"/>
        </w:rPr>
        <w:t>OneITU</w:t>
      </w:r>
      <w:proofErr w:type="spellEnd"/>
      <w:r w:rsidR="061176B6" w:rsidRPr="00E53477">
        <w:rPr>
          <w:rFonts w:eastAsia="Calibri" w:cs="Calibri"/>
          <w:sz w:val="22"/>
          <w:szCs w:val="22"/>
        </w:rPr>
        <w:t xml:space="preserve"> website prototype focuses on expertise, impact and engagement with various members and stakeholders</w:t>
      </w:r>
      <w:r w:rsidR="66FB617C" w:rsidRPr="00E53477">
        <w:rPr>
          <w:rFonts w:eastAsia="Calibri" w:cs="Calibri"/>
          <w:sz w:val="22"/>
          <w:szCs w:val="22"/>
        </w:rPr>
        <w:t xml:space="preserve">, </w:t>
      </w:r>
      <w:r w:rsidR="66FB617C" w:rsidRPr="00E53477">
        <w:rPr>
          <w:rFonts w:eastAsia="Calibri" w:cs="Calibri"/>
          <w:sz w:val="22"/>
          <w:szCs w:val="22"/>
        </w:rPr>
        <w:lastRenderedPageBreak/>
        <w:t>some of them had been interviewed on their perception of ITU in Q1/2020,</w:t>
      </w:r>
      <w:r w:rsidR="061176B6" w:rsidRPr="00E53477">
        <w:rPr>
          <w:rFonts w:eastAsia="Calibri" w:cs="Calibri"/>
          <w:sz w:val="22"/>
          <w:szCs w:val="22"/>
        </w:rPr>
        <w:t xml:space="preserve"> and includes a section on ITU’s regional presence.</w:t>
      </w:r>
    </w:p>
    <w:p w14:paraId="38F9D815" w14:textId="05EEF4AB" w:rsidR="00696781" w:rsidRPr="00AB51C7" w:rsidRDefault="003F025D" w:rsidP="00E53477">
      <w:pPr>
        <w:keepNext/>
        <w:ind w:right="40"/>
        <w:jc w:val="both"/>
        <w:rPr>
          <w:rFonts w:asciiTheme="minorHAnsi" w:hAnsiTheme="minorHAnsi" w:cstheme="minorHAnsi"/>
          <w:sz w:val="22"/>
          <w:szCs w:val="22"/>
          <w:u w:val="single"/>
          <w:lang w:eastAsia="fr-CH"/>
        </w:rPr>
      </w:pPr>
      <w:r>
        <w:rPr>
          <w:rFonts w:asciiTheme="minorHAnsi" w:hAnsiTheme="minorHAnsi" w:cstheme="minorHAnsi"/>
          <w:i/>
          <w:iCs/>
          <w:color w:val="000000"/>
          <w:sz w:val="22"/>
          <w:szCs w:val="22"/>
          <w:u w:val="single"/>
          <w:lang w:eastAsia="fr-CH"/>
        </w:rPr>
        <w:t xml:space="preserve">PwC’s </w:t>
      </w:r>
      <w:r w:rsidR="00696781" w:rsidRPr="00AB51C7">
        <w:rPr>
          <w:rFonts w:asciiTheme="minorHAnsi" w:hAnsiTheme="minorHAnsi" w:cstheme="minorHAnsi"/>
          <w:i/>
          <w:iCs/>
          <w:color w:val="000000"/>
          <w:sz w:val="22"/>
          <w:szCs w:val="22"/>
          <w:u w:val="single"/>
          <w:lang w:eastAsia="fr-CH"/>
        </w:rPr>
        <w:t>Propos</w:t>
      </w:r>
      <w:r>
        <w:rPr>
          <w:rFonts w:asciiTheme="minorHAnsi" w:hAnsiTheme="minorHAnsi" w:cstheme="minorHAnsi"/>
          <w:i/>
          <w:iCs/>
          <w:color w:val="000000"/>
          <w:sz w:val="22"/>
          <w:szCs w:val="22"/>
          <w:u w:val="single"/>
          <w:lang w:eastAsia="fr-CH"/>
        </w:rPr>
        <w:t>als for ITU’s</w:t>
      </w:r>
      <w:r w:rsidR="00696781" w:rsidRPr="00AB51C7">
        <w:rPr>
          <w:rFonts w:asciiTheme="minorHAnsi" w:hAnsiTheme="minorHAnsi" w:cstheme="minorHAnsi"/>
          <w:i/>
          <w:iCs/>
          <w:color w:val="000000"/>
          <w:sz w:val="22"/>
          <w:szCs w:val="22"/>
          <w:u w:val="single"/>
          <w:lang w:eastAsia="fr-CH"/>
        </w:rPr>
        <w:t xml:space="preserve"> future </w:t>
      </w:r>
      <w:r>
        <w:rPr>
          <w:rFonts w:asciiTheme="minorHAnsi" w:hAnsiTheme="minorHAnsi" w:cstheme="minorHAnsi"/>
          <w:i/>
          <w:iCs/>
          <w:color w:val="000000"/>
          <w:sz w:val="22"/>
          <w:szCs w:val="22"/>
          <w:u w:val="single"/>
          <w:lang w:eastAsia="fr-CH"/>
        </w:rPr>
        <w:t xml:space="preserve">regional presence </w:t>
      </w:r>
      <w:r w:rsidR="00696781" w:rsidRPr="00AB51C7">
        <w:rPr>
          <w:rFonts w:asciiTheme="minorHAnsi" w:hAnsiTheme="minorHAnsi" w:cstheme="minorHAnsi"/>
          <w:i/>
          <w:iCs/>
          <w:color w:val="000000"/>
          <w:sz w:val="22"/>
          <w:szCs w:val="22"/>
          <w:u w:val="single"/>
          <w:lang w:eastAsia="fr-CH"/>
        </w:rPr>
        <w:t>delivery model</w:t>
      </w:r>
    </w:p>
    <w:p w14:paraId="63E36A0E" w14:textId="216F6DA9" w:rsidR="00696781" w:rsidRPr="00AB51C7" w:rsidRDefault="00997082" w:rsidP="00E53477">
      <w:pPr>
        <w:spacing w:before="240"/>
        <w:jc w:val="both"/>
        <w:rPr>
          <w:rFonts w:asciiTheme="minorHAnsi" w:hAnsiTheme="minorHAnsi" w:cstheme="minorHAnsi"/>
          <w:sz w:val="22"/>
          <w:szCs w:val="22"/>
          <w:lang w:eastAsia="fr-CH"/>
        </w:rPr>
      </w:pPr>
      <w:r w:rsidRPr="00AB51C7">
        <w:rPr>
          <w:rFonts w:asciiTheme="minorHAnsi" w:hAnsiTheme="minorHAnsi" w:cstheme="minorHAnsi"/>
          <w:sz w:val="22"/>
          <w:szCs w:val="22"/>
          <w:lang w:eastAsia="fr-CH"/>
        </w:rPr>
        <w:t>P</w:t>
      </w:r>
      <w:r w:rsidRPr="00AB51C7">
        <w:rPr>
          <w:rFonts w:asciiTheme="minorHAnsi" w:hAnsiTheme="minorHAnsi" w:cstheme="minorHAnsi"/>
          <w:color w:val="000000"/>
          <w:sz w:val="22"/>
          <w:szCs w:val="22"/>
          <w:lang w:eastAsia="fr-CH"/>
        </w:rPr>
        <w:t>wC recommend</w:t>
      </w:r>
      <w:r w:rsidR="003F025D">
        <w:rPr>
          <w:rFonts w:asciiTheme="minorHAnsi" w:hAnsiTheme="minorHAnsi" w:cstheme="minorHAnsi"/>
          <w:color w:val="000000"/>
          <w:sz w:val="22"/>
          <w:szCs w:val="22"/>
          <w:lang w:eastAsia="fr-CH"/>
        </w:rPr>
        <w:t>s</w:t>
      </w:r>
      <w:r w:rsidRPr="00AB51C7">
        <w:rPr>
          <w:rFonts w:asciiTheme="minorHAnsi" w:hAnsiTheme="minorHAnsi" w:cstheme="minorHAnsi"/>
          <w:color w:val="000000"/>
          <w:sz w:val="22"/>
          <w:szCs w:val="22"/>
          <w:lang w:eastAsia="fr-CH"/>
        </w:rPr>
        <w:t xml:space="preserve"> that i</w:t>
      </w:r>
      <w:r w:rsidR="00696781" w:rsidRPr="00AB51C7">
        <w:rPr>
          <w:rFonts w:asciiTheme="minorHAnsi" w:hAnsiTheme="minorHAnsi" w:cstheme="minorHAnsi"/>
          <w:sz w:val="22"/>
          <w:szCs w:val="22"/>
          <w:lang w:eastAsia="fr-CH"/>
        </w:rPr>
        <w:t xml:space="preserve">t is essential for ITU to build critical mass at the regional level to enhance the relevance, </w:t>
      </w:r>
      <w:proofErr w:type="gramStart"/>
      <w:r w:rsidR="00696781" w:rsidRPr="00AB51C7">
        <w:rPr>
          <w:rFonts w:asciiTheme="minorHAnsi" w:hAnsiTheme="minorHAnsi" w:cstheme="minorHAnsi"/>
          <w:sz w:val="22"/>
          <w:szCs w:val="22"/>
          <w:lang w:eastAsia="fr-CH"/>
        </w:rPr>
        <w:t>efficiency</w:t>
      </w:r>
      <w:proofErr w:type="gramEnd"/>
      <w:r w:rsidR="00696781" w:rsidRPr="00AB51C7">
        <w:rPr>
          <w:rFonts w:asciiTheme="minorHAnsi" w:hAnsiTheme="minorHAnsi" w:cstheme="minorHAnsi"/>
          <w:sz w:val="22"/>
          <w:szCs w:val="22"/>
          <w:lang w:eastAsia="fr-CH"/>
        </w:rPr>
        <w:t xml:space="preserve"> and effectiveness of its regional presence in order to have a realistic chance of delivering on the proposed positioning. </w:t>
      </w:r>
      <w:r w:rsidRPr="00AB51C7">
        <w:rPr>
          <w:rFonts w:asciiTheme="minorHAnsi" w:hAnsiTheme="minorHAnsi" w:cstheme="minorHAnsi"/>
          <w:sz w:val="22"/>
          <w:szCs w:val="22"/>
          <w:lang w:eastAsia="fr-CH"/>
        </w:rPr>
        <w:t>PwC’s report proposes</w:t>
      </w:r>
      <w:r w:rsidR="00696781" w:rsidRPr="00AB51C7">
        <w:rPr>
          <w:rFonts w:asciiTheme="minorHAnsi" w:hAnsiTheme="minorHAnsi" w:cstheme="minorHAnsi"/>
          <w:sz w:val="22"/>
          <w:szCs w:val="22"/>
          <w:lang w:eastAsia="fr-CH"/>
        </w:rPr>
        <w:t xml:space="preserve"> a future regional delivery model based on the existing level of resources available at BDT and regional level, </w:t>
      </w:r>
      <w:r w:rsidR="00B40472" w:rsidRPr="00AB51C7">
        <w:rPr>
          <w:rFonts w:asciiTheme="minorHAnsi" w:hAnsiTheme="minorHAnsi" w:cstheme="minorHAnsi"/>
          <w:sz w:val="22"/>
          <w:szCs w:val="22"/>
          <w:lang w:eastAsia="fr-CH"/>
        </w:rPr>
        <w:t>that would be</w:t>
      </w:r>
      <w:r w:rsidR="00696781" w:rsidRPr="00AB51C7">
        <w:rPr>
          <w:rFonts w:asciiTheme="minorHAnsi" w:hAnsiTheme="minorHAnsi" w:cstheme="minorHAnsi"/>
          <w:sz w:val="22"/>
          <w:szCs w:val="22"/>
          <w:lang w:eastAsia="fr-CH"/>
        </w:rPr>
        <w:t xml:space="preserve"> scalable to grow if additional funding is secured through additional resource mobilisation from the membership and projects.</w:t>
      </w:r>
    </w:p>
    <w:p w14:paraId="11ECE7AB" w14:textId="3ED0802C" w:rsidR="00696781" w:rsidRPr="00AB51C7" w:rsidRDefault="00B40472" w:rsidP="00E53477">
      <w:pPr>
        <w:spacing w:before="240"/>
        <w:jc w:val="both"/>
        <w:rPr>
          <w:rFonts w:asciiTheme="minorHAnsi" w:hAnsiTheme="minorHAnsi" w:cstheme="minorHAnsi"/>
          <w:sz w:val="22"/>
          <w:szCs w:val="22"/>
          <w:lang w:eastAsia="fr-CH"/>
        </w:rPr>
      </w:pPr>
      <w:r w:rsidRPr="00AB51C7">
        <w:rPr>
          <w:rFonts w:asciiTheme="minorHAnsi" w:hAnsiTheme="minorHAnsi" w:cstheme="minorHAnsi"/>
          <w:sz w:val="22"/>
          <w:szCs w:val="22"/>
          <w:lang w:eastAsia="fr-CH"/>
        </w:rPr>
        <w:t>PwC</w:t>
      </w:r>
      <w:r w:rsidR="00696781" w:rsidRPr="00AB51C7">
        <w:rPr>
          <w:rFonts w:asciiTheme="minorHAnsi" w:hAnsiTheme="minorHAnsi" w:cstheme="minorHAnsi"/>
          <w:sz w:val="22"/>
          <w:szCs w:val="22"/>
          <w:lang w:eastAsia="fr-CH"/>
        </w:rPr>
        <w:t xml:space="preserve"> assessed a </w:t>
      </w:r>
      <w:r w:rsidR="00671065" w:rsidRPr="00AB51C7">
        <w:rPr>
          <w:rFonts w:asciiTheme="minorHAnsi" w:hAnsiTheme="minorHAnsi" w:cstheme="minorHAnsi"/>
          <w:sz w:val="22"/>
          <w:szCs w:val="22"/>
          <w:lang w:eastAsia="fr-CH"/>
        </w:rPr>
        <w:t>shortlist of four (4)</w:t>
      </w:r>
      <w:r w:rsidR="00696781" w:rsidRPr="00AB51C7">
        <w:rPr>
          <w:rFonts w:asciiTheme="minorHAnsi" w:hAnsiTheme="minorHAnsi" w:cstheme="minorHAnsi"/>
          <w:sz w:val="22"/>
          <w:szCs w:val="22"/>
          <w:lang w:eastAsia="fr-CH"/>
        </w:rPr>
        <w:t xml:space="preserve"> options for the future delivery model at regional level, from the most centralised to more devolved options</w:t>
      </w:r>
      <w:r w:rsidR="00671065" w:rsidRPr="00AB51C7">
        <w:rPr>
          <w:rFonts w:asciiTheme="minorHAnsi" w:hAnsiTheme="minorHAnsi" w:cstheme="minorHAnsi"/>
          <w:sz w:val="22"/>
          <w:szCs w:val="22"/>
          <w:lang w:eastAsia="fr-CH"/>
        </w:rPr>
        <w:t>. The models assessed</w:t>
      </w:r>
      <w:r w:rsidR="00696781" w:rsidRPr="00AB51C7">
        <w:rPr>
          <w:rFonts w:asciiTheme="minorHAnsi" w:hAnsiTheme="minorHAnsi" w:cstheme="minorHAnsi"/>
          <w:sz w:val="22"/>
          <w:szCs w:val="22"/>
          <w:lang w:eastAsia="fr-CH"/>
        </w:rPr>
        <w:t xml:space="preserve"> represent 'greenfield' approaches, which are more disruptive compared with the incremental approach suggested above.</w:t>
      </w:r>
    </w:p>
    <w:p w14:paraId="2D4A3A0D" w14:textId="77C50C39" w:rsidR="00C45C49" w:rsidRPr="00AB51C7" w:rsidRDefault="00C45C49" w:rsidP="00E53477">
      <w:pPr>
        <w:spacing w:before="240"/>
        <w:jc w:val="both"/>
        <w:rPr>
          <w:rFonts w:asciiTheme="minorHAnsi" w:hAnsiTheme="minorHAnsi" w:cstheme="minorHAnsi"/>
          <w:sz w:val="22"/>
          <w:szCs w:val="22"/>
          <w:lang w:eastAsia="fr-CH"/>
        </w:rPr>
      </w:pPr>
      <w:r w:rsidRPr="00AB51C7">
        <w:rPr>
          <w:rFonts w:asciiTheme="minorHAnsi" w:hAnsiTheme="minorHAnsi" w:cstheme="minorHAnsi"/>
          <w:sz w:val="22"/>
          <w:szCs w:val="22"/>
          <w:lang w:eastAsia="fr-CH"/>
        </w:rPr>
        <w:t>The table below outlines each of the four options.</w:t>
      </w:r>
      <w:r w:rsidR="00AC297D">
        <w:rPr>
          <w:rFonts w:asciiTheme="minorHAnsi" w:hAnsiTheme="minorHAnsi" w:cstheme="minorHAnsi"/>
          <w:sz w:val="22"/>
          <w:szCs w:val="22"/>
          <w:lang w:eastAsia="fr-CH"/>
        </w:rPr>
        <w:t xml:space="preserve"> Further details are set out in Section 6 of the </w:t>
      </w:r>
      <w:r w:rsidR="005E7953">
        <w:rPr>
          <w:rFonts w:asciiTheme="minorHAnsi" w:hAnsiTheme="minorHAnsi" w:cstheme="minorHAnsi"/>
          <w:sz w:val="22"/>
          <w:szCs w:val="22"/>
          <w:lang w:eastAsia="fr-CH"/>
        </w:rPr>
        <w:t>R</w:t>
      </w:r>
      <w:r w:rsidR="00AC297D">
        <w:rPr>
          <w:rFonts w:asciiTheme="minorHAnsi" w:hAnsiTheme="minorHAnsi" w:cstheme="minorHAnsi"/>
          <w:sz w:val="22"/>
          <w:szCs w:val="22"/>
          <w:lang w:eastAsia="fr-CH"/>
        </w:rPr>
        <w:t>eport.</w:t>
      </w:r>
    </w:p>
    <w:p w14:paraId="13A1D234" w14:textId="16BDBA25" w:rsidR="00C45C49" w:rsidRPr="00B00AFE" w:rsidRDefault="00C45C49" w:rsidP="00E53477">
      <w:pPr>
        <w:keepNext/>
        <w:spacing w:before="240"/>
        <w:jc w:val="both"/>
        <w:rPr>
          <w:rFonts w:ascii="Times New Roman" w:hAnsi="Times New Roman"/>
          <w:sz w:val="22"/>
          <w:szCs w:val="22"/>
          <w:lang w:eastAsia="fr-CH"/>
        </w:rPr>
      </w:pPr>
      <w:r w:rsidRPr="00B00AFE">
        <w:rPr>
          <w:sz w:val="22"/>
          <w:szCs w:val="22"/>
          <w:lang w:eastAsia="fr-CH"/>
        </w:rPr>
        <w:t>Table</w:t>
      </w:r>
      <w:r w:rsidR="00AC297D">
        <w:rPr>
          <w:sz w:val="22"/>
          <w:szCs w:val="22"/>
          <w:lang w:eastAsia="fr-CH"/>
        </w:rPr>
        <w:t>.</w:t>
      </w:r>
      <w:r w:rsidRPr="00B00AFE">
        <w:rPr>
          <w:sz w:val="22"/>
          <w:szCs w:val="22"/>
          <w:lang w:eastAsia="fr-CH"/>
        </w:rPr>
        <w:t xml:space="preserve"> Summary of the four delivery model options shortlisted for detailed analysis</w:t>
      </w:r>
    </w:p>
    <w:tbl>
      <w:tblPr>
        <w:tblStyle w:val="ListTable3-Accent1"/>
        <w:tblW w:w="9030" w:type="dxa"/>
        <w:tblLook w:val="04A0" w:firstRow="1" w:lastRow="0" w:firstColumn="1" w:lastColumn="0" w:noHBand="0" w:noVBand="1"/>
      </w:tblPr>
      <w:tblGrid>
        <w:gridCol w:w="990"/>
        <w:gridCol w:w="3943"/>
        <w:gridCol w:w="4097"/>
      </w:tblGrid>
      <w:tr w:rsidR="00C45C49" w:rsidRPr="003476A5" w14:paraId="1C5C2261" w14:textId="77777777" w:rsidTr="00951F71">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0" w:type="dxa"/>
            <w:hideMark/>
          </w:tcPr>
          <w:p w14:paraId="4209C153" w14:textId="77777777" w:rsidR="00C45C49" w:rsidRPr="003476A5" w:rsidRDefault="00C45C49" w:rsidP="00E53477">
            <w:pPr>
              <w:spacing w:line="240" w:lineRule="auto"/>
              <w:ind w:right="40"/>
              <w:jc w:val="center"/>
              <w:rPr>
                <w:rFonts w:ascii="Times New Roman" w:eastAsia="Times New Roman" w:hAnsi="Times New Roman" w:cs="Times New Roman"/>
                <w:sz w:val="16"/>
                <w:szCs w:val="16"/>
                <w:lang w:eastAsia="fr-CH"/>
              </w:rPr>
            </w:pPr>
            <w:r w:rsidRPr="003476A5">
              <w:rPr>
                <w:rFonts w:ascii="Arial" w:eastAsia="Times New Roman" w:hAnsi="Arial" w:cs="Arial"/>
                <w:color w:val="FFFFFF"/>
                <w:sz w:val="16"/>
                <w:szCs w:val="16"/>
                <w:lang w:eastAsia="fr-CH"/>
              </w:rPr>
              <w:t>Option name</w:t>
            </w:r>
          </w:p>
        </w:tc>
        <w:tc>
          <w:tcPr>
            <w:tcW w:w="3643" w:type="dxa"/>
            <w:hideMark/>
          </w:tcPr>
          <w:p w14:paraId="0B4A5BFB" w14:textId="77777777" w:rsidR="00C45C49" w:rsidRPr="003476A5" w:rsidRDefault="00C45C49" w:rsidP="00E53477">
            <w:pPr>
              <w:spacing w:line="240" w:lineRule="auto"/>
              <w:ind w:right="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fr-CH"/>
              </w:rPr>
            </w:pPr>
            <w:r w:rsidRPr="003476A5">
              <w:rPr>
                <w:rFonts w:ascii="Arial" w:eastAsia="Times New Roman" w:hAnsi="Arial" w:cs="Arial"/>
                <w:color w:val="FFFFFF"/>
                <w:sz w:val="16"/>
                <w:szCs w:val="16"/>
                <w:lang w:eastAsia="fr-CH"/>
              </w:rPr>
              <w:t>Characteristics</w:t>
            </w:r>
          </w:p>
        </w:tc>
        <w:tc>
          <w:tcPr>
            <w:tcW w:w="3785" w:type="dxa"/>
            <w:hideMark/>
          </w:tcPr>
          <w:p w14:paraId="3EB762F5" w14:textId="77777777" w:rsidR="00C45C49" w:rsidRPr="003476A5" w:rsidRDefault="00C45C49" w:rsidP="00E53477">
            <w:pPr>
              <w:spacing w:line="240" w:lineRule="auto"/>
              <w:ind w:right="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fr-CH"/>
              </w:rPr>
            </w:pPr>
            <w:r w:rsidRPr="003476A5">
              <w:rPr>
                <w:rFonts w:ascii="Arial" w:eastAsia="Times New Roman" w:hAnsi="Arial" w:cs="Arial"/>
                <w:color w:val="FFFFFF"/>
                <w:sz w:val="16"/>
                <w:szCs w:val="16"/>
                <w:lang w:eastAsia="fr-CH"/>
              </w:rPr>
              <w:t>Key rationale and assumptions</w:t>
            </w:r>
          </w:p>
        </w:tc>
      </w:tr>
      <w:tr w:rsidR="00C45C49" w:rsidRPr="003476A5" w14:paraId="4FD2B68C" w14:textId="77777777" w:rsidTr="00951F71">
        <w:trPr>
          <w:cnfStyle w:val="000000100000" w:firstRow="0" w:lastRow="0" w:firstColumn="0" w:lastColumn="0" w:oddVBand="0" w:evenVBand="0" w:oddHBand="1"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0" w:type="dxa"/>
            <w:hideMark/>
          </w:tcPr>
          <w:p w14:paraId="159FA0C2" w14:textId="77777777" w:rsidR="00C45C49" w:rsidRPr="003476A5" w:rsidRDefault="00C45C49" w:rsidP="00E53477">
            <w:pPr>
              <w:spacing w:before="40" w:after="40"/>
              <w:ind w:right="40"/>
              <w:rPr>
                <w:rFonts w:ascii="Times New Roman" w:eastAsia="Times New Roman" w:hAnsi="Times New Roman" w:cs="Times New Roman"/>
                <w:sz w:val="16"/>
                <w:szCs w:val="16"/>
                <w:lang w:eastAsia="fr-CH"/>
              </w:rPr>
            </w:pPr>
            <w:r w:rsidRPr="003476A5">
              <w:rPr>
                <w:rFonts w:ascii="Arial" w:eastAsia="Times New Roman" w:hAnsi="Arial" w:cs="Arial"/>
                <w:b w:val="0"/>
                <w:bCs w:val="0"/>
                <w:color w:val="000000"/>
                <w:sz w:val="16"/>
                <w:szCs w:val="16"/>
                <w:lang w:eastAsia="fr-CH"/>
              </w:rPr>
              <w:t>Regional Offices and Area Offices</w:t>
            </w:r>
          </w:p>
        </w:tc>
        <w:tc>
          <w:tcPr>
            <w:tcW w:w="3643" w:type="dxa"/>
            <w:hideMark/>
          </w:tcPr>
          <w:p w14:paraId="27E6EAD3" w14:textId="77777777" w:rsidR="00C45C49" w:rsidRPr="003476A5" w:rsidRDefault="00C45C49" w:rsidP="00E53477">
            <w:pPr>
              <w:spacing w:before="40" w:after="40"/>
              <w:ind w:right="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fr-CH"/>
              </w:rPr>
            </w:pPr>
            <w:r w:rsidRPr="003476A5">
              <w:rPr>
                <w:rFonts w:ascii="Arial" w:eastAsia="Times New Roman" w:hAnsi="Arial" w:cs="Arial"/>
                <w:color w:val="000000"/>
                <w:sz w:val="16"/>
                <w:szCs w:val="16"/>
                <w:lang w:eastAsia="fr-CH"/>
              </w:rPr>
              <w:t>This option maintains three levels (HQ, ROs and AOs) but seeks to achieve critical mass through a significant reorganisation of the current footprint</w:t>
            </w:r>
            <w:r>
              <w:rPr>
                <w:rFonts w:ascii="Arial" w:eastAsia="Times New Roman" w:hAnsi="Arial" w:cs="Arial"/>
                <w:color w:val="000000"/>
                <w:sz w:val="16"/>
                <w:szCs w:val="16"/>
                <w:lang w:eastAsia="fr-CH"/>
              </w:rPr>
              <w:t>.</w:t>
            </w:r>
          </w:p>
        </w:tc>
        <w:tc>
          <w:tcPr>
            <w:tcW w:w="3785" w:type="dxa"/>
            <w:hideMark/>
          </w:tcPr>
          <w:p w14:paraId="60CB6AE8" w14:textId="77777777" w:rsidR="00C45C49" w:rsidRPr="003476A5" w:rsidRDefault="00C45C49" w:rsidP="00E53477">
            <w:pPr>
              <w:pStyle w:val="ListBullet"/>
              <w:spacing w:before="40" w:after="40" w:line="240" w:lineRule="auto"/>
              <w:cnfStyle w:val="000000100000" w:firstRow="0" w:lastRow="0" w:firstColumn="0" w:lastColumn="0" w:oddVBand="0" w:evenVBand="0" w:oddHBand="1" w:evenHBand="0" w:firstRowFirstColumn="0" w:firstRowLastColumn="0" w:lastRowFirstColumn="0" w:lastRowLastColumn="0"/>
              <w:rPr>
                <w:sz w:val="16"/>
                <w:szCs w:val="16"/>
                <w:lang w:eastAsia="fr-CH"/>
              </w:rPr>
            </w:pPr>
            <w:r w:rsidRPr="003476A5">
              <w:rPr>
                <w:sz w:val="16"/>
                <w:szCs w:val="16"/>
                <w:lang w:eastAsia="fr-CH"/>
              </w:rPr>
              <w:t>ITU</w:t>
            </w:r>
            <w:r>
              <w:rPr>
                <w:sz w:val="16"/>
                <w:szCs w:val="16"/>
                <w:lang w:eastAsia="fr-CH"/>
              </w:rPr>
              <w:t>'</w:t>
            </w:r>
            <w:r w:rsidRPr="003476A5">
              <w:rPr>
                <w:sz w:val="16"/>
                <w:szCs w:val="16"/>
                <w:lang w:eastAsia="fr-CH"/>
              </w:rPr>
              <w:t>s relevance can best be achieved by an organisational structure including both ROs and AOs</w:t>
            </w:r>
            <w:r>
              <w:rPr>
                <w:sz w:val="16"/>
                <w:szCs w:val="16"/>
                <w:lang w:eastAsia="fr-CH"/>
              </w:rPr>
              <w:t>.</w:t>
            </w:r>
          </w:p>
          <w:p w14:paraId="76D12058" w14:textId="77777777" w:rsidR="00C45C49" w:rsidRPr="003476A5" w:rsidRDefault="00C45C49" w:rsidP="00E53477">
            <w:pPr>
              <w:pStyle w:val="ListBullet"/>
              <w:spacing w:before="40" w:after="40" w:line="240" w:lineRule="auto"/>
              <w:cnfStyle w:val="000000100000" w:firstRow="0" w:lastRow="0" w:firstColumn="0" w:lastColumn="0" w:oddVBand="0" w:evenVBand="0" w:oddHBand="1" w:evenHBand="0" w:firstRowFirstColumn="0" w:firstRowLastColumn="0" w:lastRowFirstColumn="0" w:lastRowLastColumn="0"/>
              <w:rPr>
                <w:sz w:val="16"/>
                <w:szCs w:val="16"/>
                <w:lang w:eastAsia="fr-CH"/>
              </w:rPr>
            </w:pPr>
            <w:r w:rsidRPr="003476A5">
              <w:rPr>
                <w:sz w:val="16"/>
                <w:szCs w:val="16"/>
                <w:lang w:eastAsia="fr-CH"/>
              </w:rPr>
              <w:t>Impact and relevance are best achieved by improving the footprint, balancing the need for proximity to Members with the need for efficiency and effectiveness</w:t>
            </w:r>
            <w:r>
              <w:rPr>
                <w:sz w:val="16"/>
                <w:szCs w:val="16"/>
                <w:lang w:eastAsia="fr-CH"/>
              </w:rPr>
              <w:t>.</w:t>
            </w:r>
          </w:p>
        </w:tc>
      </w:tr>
      <w:tr w:rsidR="00C45C49" w:rsidRPr="003476A5" w14:paraId="53CE76D7" w14:textId="77777777" w:rsidTr="00951F71">
        <w:trPr>
          <w:trHeight w:val="1072"/>
        </w:trPr>
        <w:tc>
          <w:tcPr>
            <w:cnfStyle w:val="001000000000" w:firstRow="0" w:lastRow="0" w:firstColumn="1" w:lastColumn="0" w:oddVBand="0" w:evenVBand="0" w:oddHBand="0" w:evenHBand="0" w:firstRowFirstColumn="0" w:firstRowLastColumn="0" w:lastRowFirstColumn="0" w:lastRowLastColumn="0"/>
            <w:tcW w:w="0" w:type="dxa"/>
            <w:hideMark/>
          </w:tcPr>
          <w:p w14:paraId="61B1E5F5" w14:textId="77777777" w:rsidR="00C45C49" w:rsidRPr="003476A5" w:rsidRDefault="00C45C49" w:rsidP="00E53477">
            <w:pPr>
              <w:spacing w:before="40" w:after="40"/>
              <w:ind w:right="40"/>
              <w:rPr>
                <w:rFonts w:ascii="Times New Roman" w:eastAsia="Times New Roman" w:hAnsi="Times New Roman" w:cs="Times New Roman"/>
                <w:sz w:val="16"/>
                <w:szCs w:val="16"/>
                <w:lang w:eastAsia="fr-CH"/>
              </w:rPr>
            </w:pPr>
            <w:r w:rsidRPr="003476A5">
              <w:rPr>
                <w:rFonts w:ascii="Arial" w:eastAsia="Times New Roman" w:hAnsi="Arial" w:cs="Arial"/>
                <w:b w:val="0"/>
                <w:bCs w:val="0"/>
                <w:color w:val="000000"/>
                <w:sz w:val="16"/>
                <w:szCs w:val="16"/>
                <w:lang w:eastAsia="fr-CH"/>
              </w:rPr>
              <w:t>Area Offices only</w:t>
            </w:r>
          </w:p>
        </w:tc>
        <w:tc>
          <w:tcPr>
            <w:tcW w:w="3643" w:type="dxa"/>
            <w:hideMark/>
          </w:tcPr>
          <w:p w14:paraId="00CFE4B0" w14:textId="77777777" w:rsidR="00C45C49" w:rsidRPr="003476A5" w:rsidRDefault="00C45C49" w:rsidP="00E53477">
            <w:pPr>
              <w:spacing w:before="40" w:after="40"/>
              <w:ind w:right="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fr-CH"/>
              </w:rPr>
            </w:pPr>
            <w:r w:rsidRPr="003476A5">
              <w:rPr>
                <w:rFonts w:ascii="Arial" w:eastAsia="Times New Roman" w:hAnsi="Arial" w:cs="Arial"/>
                <w:color w:val="000000"/>
                <w:sz w:val="16"/>
                <w:szCs w:val="16"/>
                <w:lang w:eastAsia="fr-CH"/>
              </w:rPr>
              <w:t>This option maintains only two levels (HQ and AOs)</w:t>
            </w:r>
            <w:r>
              <w:rPr>
                <w:rFonts w:ascii="Arial" w:eastAsia="Times New Roman" w:hAnsi="Arial" w:cs="Arial"/>
                <w:color w:val="000000"/>
                <w:sz w:val="16"/>
                <w:szCs w:val="16"/>
                <w:lang w:eastAsia="fr-CH"/>
              </w:rPr>
              <w:t>.</w:t>
            </w:r>
            <w:r w:rsidRPr="003476A5">
              <w:rPr>
                <w:rFonts w:ascii="Arial" w:eastAsia="Times New Roman" w:hAnsi="Arial" w:cs="Arial"/>
                <w:color w:val="000000"/>
                <w:sz w:val="16"/>
                <w:szCs w:val="16"/>
                <w:lang w:eastAsia="fr-CH"/>
              </w:rPr>
              <w:t xml:space="preserve"> It converts ROs into AOs and involves the creation of a Regional Desk at HQ to improve the cross-geographical coordination of priorities</w:t>
            </w:r>
            <w:r>
              <w:rPr>
                <w:rFonts w:ascii="Arial" w:eastAsia="Times New Roman" w:hAnsi="Arial" w:cs="Arial"/>
                <w:color w:val="000000"/>
                <w:sz w:val="16"/>
                <w:szCs w:val="16"/>
                <w:lang w:eastAsia="fr-CH"/>
              </w:rPr>
              <w:t>.</w:t>
            </w:r>
          </w:p>
        </w:tc>
        <w:tc>
          <w:tcPr>
            <w:tcW w:w="3785" w:type="dxa"/>
            <w:hideMark/>
          </w:tcPr>
          <w:p w14:paraId="4284F101" w14:textId="77777777" w:rsidR="00C45C49" w:rsidRPr="003476A5" w:rsidRDefault="00C45C49" w:rsidP="00E53477">
            <w:pPr>
              <w:pStyle w:val="ListBullet"/>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6"/>
                <w:lang w:eastAsia="fr-CH"/>
              </w:rPr>
            </w:pPr>
            <w:r w:rsidRPr="003476A5">
              <w:rPr>
                <w:sz w:val="16"/>
                <w:szCs w:val="16"/>
                <w:lang w:eastAsia="fr-CH"/>
              </w:rPr>
              <w:t>Decision making, collaboration and control can be improved by reducing the managerial layers</w:t>
            </w:r>
            <w:r>
              <w:rPr>
                <w:sz w:val="16"/>
                <w:szCs w:val="16"/>
                <w:lang w:eastAsia="fr-CH"/>
              </w:rPr>
              <w:t>.</w:t>
            </w:r>
          </w:p>
          <w:p w14:paraId="011E8EA2" w14:textId="77777777" w:rsidR="00C45C49" w:rsidRPr="003476A5" w:rsidRDefault="00C45C49" w:rsidP="00E53477">
            <w:pPr>
              <w:pStyle w:val="ListBullet"/>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6"/>
                <w:lang w:eastAsia="fr-CH"/>
              </w:rPr>
            </w:pPr>
            <w:r w:rsidRPr="003476A5">
              <w:rPr>
                <w:sz w:val="16"/>
                <w:szCs w:val="16"/>
                <w:lang w:eastAsia="fr-CH"/>
              </w:rPr>
              <w:t>AOs are best placed to enable ITU to maintain its relevance in a local context</w:t>
            </w:r>
            <w:r>
              <w:rPr>
                <w:sz w:val="16"/>
                <w:szCs w:val="16"/>
                <w:lang w:eastAsia="fr-CH"/>
              </w:rPr>
              <w:t>.</w:t>
            </w:r>
          </w:p>
          <w:p w14:paraId="0C527E93" w14:textId="77777777" w:rsidR="00C45C49" w:rsidRPr="003476A5" w:rsidRDefault="00C45C49" w:rsidP="00E53477">
            <w:pPr>
              <w:pStyle w:val="ListBullet"/>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6"/>
                <w:lang w:eastAsia="fr-CH"/>
              </w:rPr>
            </w:pPr>
            <w:r w:rsidRPr="003476A5">
              <w:rPr>
                <w:sz w:val="16"/>
                <w:szCs w:val="16"/>
                <w:lang w:eastAsia="fr-CH"/>
              </w:rPr>
              <w:t>Cross-geographical coordination of activities is best achieved through a central office</w:t>
            </w:r>
            <w:r>
              <w:rPr>
                <w:sz w:val="16"/>
                <w:szCs w:val="16"/>
                <w:lang w:eastAsia="fr-CH"/>
              </w:rPr>
              <w:t>.</w:t>
            </w:r>
          </w:p>
        </w:tc>
      </w:tr>
      <w:tr w:rsidR="00C45C49" w:rsidRPr="003476A5" w14:paraId="266356D4" w14:textId="77777777" w:rsidTr="00951F71">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0" w:type="dxa"/>
            <w:hideMark/>
          </w:tcPr>
          <w:p w14:paraId="32B1E63E" w14:textId="77777777" w:rsidR="00C45C49" w:rsidRPr="003476A5" w:rsidRDefault="00C45C49" w:rsidP="00E53477">
            <w:pPr>
              <w:spacing w:before="40" w:after="40"/>
              <w:ind w:right="40"/>
              <w:rPr>
                <w:rFonts w:ascii="Times New Roman" w:eastAsia="Times New Roman" w:hAnsi="Times New Roman" w:cs="Times New Roman"/>
                <w:sz w:val="16"/>
                <w:szCs w:val="16"/>
                <w:lang w:eastAsia="fr-CH"/>
              </w:rPr>
            </w:pPr>
            <w:r w:rsidRPr="003476A5">
              <w:rPr>
                <w:rFonts w:ascii="Arial" w:eastAsia="Times New Roman" w:hAnsi="Arial" w:cs="Arial"/>
                <w:b w:val="0"/>
                <w:bCs w:val="0"/>
                <w:color w:val="000000"/>
                <w:sz w:val="16"/>
                <w:szCs w:val="16"/>
                <w:lang w:eastAsia="fr-CH"/>
              </w:rPr>
              <w:t>Regional Hubs only</w:t>
            </w:r>
          </w:p>
        </w:tc>
        <w:tc>
          <w:tcPr>
            <w:tcW w:w="3643" w:type="dxa"/>
            <w:hideMark/>
          </w:tcPr>
          <w:p w14:paraId="6DDAA94B" w14:textId="77777777" w:rsidR="00C45C49" w:rsidRPr="003476A5" w:rsidRDefault="00C45C49" w:rsidP="00E53477">
            <w:pPr>
              <w:spacing w:before="40" w:after="40"/>
              <w:ind w:right="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fr-CH"/>
              </w:rPr>
            </w:pPr>
            <w:r w:rsidRPr="003476A5">
              <w:rPr>
                <w:rFonts w:ascii="Arial" w:eastAsia="Times New Roman" w:hAnsi="Arial" w:cs="Arial"/>
                <w:color w:val="000000"/>
                <w:sz w:val="16"/>
                <w:szCs w:val="16"/>
                <w:lang w:eastAsia="fr-CH"/>
              </w:rPr>
              <w:t>This option maintains only two levels (HQ and ROs)</w:t>
            </w:r>
            <w:r>
              <w:rPr>
                <w:rFonts w:ascii="Arial" w:eastAsia="Times New Roman" w:hAnsi="Arial" w:cs="Arial"/>
                <w:color w:val="000000"/>
                <w:sz w:val="16"/>
                <w:szCs w:val="16"/>
                <w:lang w:eastAsia="fr-CH"/>
              </w:rPr>
              <w:t>.</w:t>
            </w:r>
            <w:r w:rsidRPr="003476A5">
              <w:rPr>
                <w:rFonts w:ascii="Arial" w:eastAsia="Times New Roman" w:hAnsi="Arial" w:cs="Arial"/>
                <w:color w:val="000000"/>
                <w:sz w:val="16"/>
                <w:szCs w:val="16"/>
                <w:lang w:eastAsia="fr-CH"/>
              </w:rPr>
              <w:t xml:space="preserve"> It consolidates the AOs into six ROs and involves the optimisation of RO locations</w:t>
            </w:r>
            <w:r>
              <w:rPr>
                <w:rFonts w:ascii="Arial" w:eastAsia="Times New Roman" w:hAnsi="Arial" w:cs="Arial"/>
                <w:color w:val="000000"/>
                <w:sz w:val="16"/>
                <w:szCs w:val="16"/>
                <w:lang w:eastAsia="fr-CH"/>
              </w:rPr>
              <w:t>.</w:t>
            </w:r>
          </w:p>
        </w:tc>
        <w:tc>
          <w:tcPr>
            <w:tcW w:w="3785" w:type="dxa"/>
            <w:hideMark/>
          </w:tcPr>
          <w:p w14:paraId="789D9B1A" w14:textId="77777777" w:rsidR="00C45C49" w:rsidRPr="003476A5" w:rsidRDefault="00C45C49" w:rsidP="00E53477">
            <w:pPr>
              <w:pStyle w:val="ListBullet"/>
              <w:spacing w:before="40" w:after="40" w:line="240" w:lineRule="auto"/>
              <w:cnfStyle w:val="000000100000" w:firstRow="0" w:lastRow="0" w:firstColumn="0" w:lastColumn="0" w:oddVBand="0" w:evenVBand="0" w:oddHBand="1" w:evenHBand="0" w:firstRowFirstColumn="0" w:firstRowLastColumn="0" w:lastRowFirstColumn="0" w:lastRowLastColumn="0"/>
              <w:rPr>
                <w:sz w:val="16"/>
                <w:szCs w:val="16"/>
                <w:lang w:eastAsia="fr-CH"/>
              </w:rPr>
            </w:pPr>
            <w:r w:rsidRPr="003476A5">
              <w:rPr>
                <w:sz w:val="16"/>
                <w:szCs w:val="16"/>
                <w:lang w:eastAsia="fr-CH"/>
              </w:rPr>
              <w:t>Decision making, collaboration and control can be improved by reducing the managerial layers</w:t>
            </w:r>
            <w:r>
              <w:rPr>
                <w:sz w:val="16"/>
                <w:szCs w:val="16"/>
                <w:lang w:eastAsia="fr-CH"/>
              </w:rPr>
              <w:t>.</w:t>
            </w:r>
          </w:p>
          <w:p w14:paraId="51543433" w14:textId="77777777" w:rsidR="00C45C49" w:rsidRPr="003476A5" w:rsidRDefault="00C45C49" w:rsidP="00E53477">
            <w:pPr>
              <w:pStyle w:val="ListBullet"/>
              <w:spacing w:before="40" w:after="40" w:line="240" w:lineRule="auto"/>
              <w:cnfStyle w:val="000000100000" w:firstRow="0" w:lastRow="0" w:firstColumn="0" w:lastColumn="0" w:oddVBand="0" w:evenVBand="0" w:oddHBand="1" w:evenHBand="0" w:firstRowFirstColumn="0" w:firstRowLastColumn="0" w:lastRowFirstColumn="0" w:lastRowLastColumn="0"/>
              <w:rPr>
                <w:sz w:val="16"/>
                <w:szCs w:val="16"/>
                <w:lang w:eastAsia="fr-CH"/>
              </w:rPr>
            </w:pPr>
            <w:r w:rsidRPr="003476A5">
              <w:rPr>
                <w:sz w:val="16"/>
                <w:szCs w:val="16"/>
                <w:lang w:eastAsia="fr-CH"/>
              </w:rPr>
              <w:t>ROs are best placed to balance the need for proximity to Members and context with the need to gain critical mass in offices</w:t>
            </w:r>
            <w:r>
              <w:rPr>
                <w:sz w:val="16"/>
                <w:szCs w:val="16"/>
                <w:lang w:eastAsia="fr-CH"/>
              </w:rPr>
              <w:t>.</w:t>
            </w:r>
          </w:p>
        </w:tc>
      </w:tr>
      <w:tr w:rsidR="00C45C49" w:rsidRPr="003476A5" w14:paraId="0FFACE71" w14:textId="77777777" w:rsidTr="00951F71">
        <w:trPr>
          <w:trHeight w:val="1234"/>
        </w:trPr>
        <w:tc>
          <w:tcPr>
            <w:cnfStyle w:val="001000000000" w:firstRow="0" w:lastRow="0" w:firstColumn="1" w:lastColumn="0" w:oddVBand="0" w:evenVBand="0" w:oddHBand="0" w:evenHBand="0" w:firstRowFirstColumn="0" w:firstRowLastColumn="0" w:lastRowFirstColumn="0" w:lastRowLastColumn="0"/>
            <w:tcW w:w="0" w:type="dxa"/>
            <w:hideMark/>
          </w:tcPr>
          <w:p w14:paraId="4C06D5BC" w14:textId="77777777" w:rsidR="00C45C49" w:rsidRPr="003476A5" w:rsidRDefault="00C45C49" w:rsidP="00E53477">
            <w:pPr>
              <w:spacing w:before="40" w:after="40"/>
              <w:ind w:right="40"/>
              <w:rPr>
                <w:rFonts w:ascii="Times New Roman" w:eastAsia="Times New Roman" w:hAnsi="Times New Roman" w:cs="Times New Roman"/>
                <w:sz w:val="16"/>
                <w:szCs w:val="16"/>
                <w:lang w:eastAsia="fr-CH"/>
              </w:rPr>
            </w:pPr>
            <w:r w:rsidRPr="003476A5">
              <w:rPr>
                <w:rFonts w:ascii="Arial" w:eastAsia="Times New Roman" w:hAnsi="Arial" w:cs="Arial"/>
                <w:b w:val="0"/>
                <w:bCs w:val="0"/>
                <w:color w:val="000000"/>
                <w:sz w:val="16"/>
                <w:szCs w:val="16"/>
                <w:lang w:eastAsia="fr-CH"/>
              </w:rPr>
              <w:t>Global Thematic Hubs</w:t>
            </w:r>
          </w:p>
        </w:tc>
        <w:tc>
          <w:tcPr>
            <w:tcW w:w="3643" w:type="dxa"/>
            <w:hideMark/>
          </w:tcPr>
          <w:p w14:paraId="3D427B84" w14:textId="77777777" w:rsidR="00C45C49" w:rsidRPr="003476A5" w:rsidRDefault="00C45C49" w:rsidP="00E53477">
            <w:pPr>
              <w:spacing w:before="40" w:after="40"/>
              <w:ind w:right="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fr-CH"/>
              </w:rPr>
            </w:pPr>
            <w:r w:rsidRPr="003476A5">
              <w:rPr>
                <w:rFonts w:ascii="Arial" w:eastAsia="Times New Roman" w:hAnsi="Arial" w:cs="Arial"/>
                <w:color w:val="000000"/>
                <w:sz w:val="16"/>
                <w:szCs w:val="16"/>
                <w:lang w:eastAsia="fr-CH"/>
              </w:rPr>
              <w:t>This option replaces the regional structure by a thematic one</w:t>
            </w:r>
            <w:r>
              <w:rPr>
                <w:rFonts w:ascii="Arial" w:eastAsia="Times New Roman" w:hAnsi="Arial" w:cs="Arial"/>
                <w:color w:val="000000"/>
                <w:sz w:val="16"/>
                <w:szCs w:val="16"/>
                <w:lang w:eastAsia="fr-CH"/>
              </w:rPr>
              <w:t>.</w:t>
            </w:r>
            <w:r w:rsidRPr="003476A5">
              <w:rPr>
                <w:rFonts w:ascii="Arial" w:eastAsia="Times New Roman" w:hAnsi="Arial" w:cs="Arial"/>
                <w:color w:val="000000"/>
                <w:sz w:val="16"/>
                <w:szCs w:val="16"/>
                <w:lang w:eastAsia="fr-CH"/>
              </w:rPr>
              <w:t xml:space="preserve"> It involves the creation of three Thematic Hubs in charge of delivering specific expertise at a global level, and a centralised Regional Desk in charge of coordinating and responding to Members</w:t>
            </w:r>
            <w:r>
              <w:rPr>
                <w:rFonts w:ascii="Arial" w:eastAsia="Times New Roman" w:hAnsi="Arial" w:cs="Arial"/>
                <w:color w:val="000000"/>
                <w:sz w:val="16"/>
                <w:szCs w:val="16"/>
                <w:lang w:eastAsia="fr-CH"/>
              </w:rPr>
              <w:t>'</w:t>
            </w:r>
            <w:r w:rsidRPr="003476A5">
              <w:rPr>
                <w:rFonts w:ascii="Arial" w:eastAsia="Times New Roman" w:hAnsi="Arial" w:cs="Arial"/>
                <w:color w:val="000000"/>
                <w:sz w:val="16"/>
                <w:szCs w:val="16"/>
                <w:lang w:eastAsia="fr-CH"/>
              </w:rPr>
              <w:t xml:space="preserve"> needs and requests</w:t>
            </w:r>
            <w:r>
              <w:rPr>
                <w:rFonts w:ascii="Arial" w:eastAsia="Times New Roman" w:hAnsi="Arial" w:cs="Arial"/>
                <w:color w:val="000000"/>
                <w:sz w:val="16"/>
                <w:szCs w:val="16"/>
                <w:lang w:eastAsia="fr-CH"/>
              </w:rPr>
              <w:t>.</w:t>
            </w:r>
          </w:p>
        </w:tc>
        <w:tc>
          <w:tcPr>
            <w:tcW w:w="3785" w:type="dxa"/>
            <w:hideMark/>
          </w:tcPr>
          <w:p w14:paraId="3A895836" w14:textId="77777777" w:rsidR="00C45C49" w:rsidRPr="003476A5" w:rsidRDefault="00C45C49" w:rsidP="00E53477">
            <w:pPr>
              <w:pStyle w:val="ListBullet"/>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6"/>
                <w:lang w:eastAsia="fr-CH"/>
              </w:rPr>
            </w:pPr>
            <w:r w:rsidRPr="003476A5">
              <w:rPr>
                <w:sz w:val="16"/>
                <w:szCs w:val="16"/>
                <w:lang w:eastAsia="fr-CH"/>
              </w:rPr>
              <w:t>The provision of specific technical expertise requires a much higher degree of specialisation and pooling of expertise to gain critical mass</w:t>
            </w:r>
            <w:r>
              <w:rPr>
                <w:sz w:val="16"/>
                <w:szCs w:val="16"/>
                <w:lang w:eastAsia="fr-CH"/>
              </w:rPr>
              <w:t>.</w:t>
            </w:r>
          </w:p>
          <w:p w14:paraId="4209E09D" w14:textId="77777777" w:rsidR="00C45C49" w:rsidRPr="003476A5" w:rsidRDefault="00C45C49" w:rsidP="00E53477">
            <w:pPr>
              <w:pStyle w:val="ListBullet"/>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3476A5">
              <w:rPr>
                <w:sz w:val="16"/>
                <w:szCs w:val="16"/>
              </w:rPr>
              <w:t>Coordination and representation roles can be done from any location</w:t>
            </w:r>
            <w:r>
              <w:rPr>
                <w:sz w:val="16"/>
                <w:szCs w:val="16"/>
              </w:rPr>
              <w:t>.</w:t>
            </w:r>
          </w:p>
        </w:tc>
      </w:tr>
    </w:tbl>
    <w:p w14:paraId="4810CBD7" w14:textId="6099CA8B" w:rsidR="003275A9" w:rsidRPr="00B00AFE" w:rsidRDefault="00C45C49" w:rsidP="00E53477">
      <w:pPr>
        <w:spacing w:before="240"/>
        <w:jc w:val="both"/>
        <w:rPr>
          <w:rFonts w:asciiTheme="minorHAnsi" w:hAnsiTheme="minorHAnsi" w:cstheme="minorHAnsi"/>
          <w:color w:val="000000"/>
          <w:sz w:val="22"/>
          <w:szCs w:val="22"/>
          <w:lang w:eastAsia="fr-CH"/>
        </w:rPr>
      </w:pPr>
      <w:r w:rsidRPr="00B00AFE">
        <w:rPr>
          <w:rFonts w:asciiTheme="minorHAnsi" w:hAnsiTheme="minorHAnsi" w:cstheme="minorHAnsi"/>
          <w:color w:val="000000"/>
          <w:sz w:val="22"/>
          <w:szCs w:val="22"/>
          <w:lang w:eastAsia="fr-CH"/>
        </w:rPr>
        <w:t>PwC</w:t>
      </w:r>
      <w:r w:rsidR="00EA586F" w:rsidRPr="00B00AFE">
        <w:rPr>
          <w:rFonts w:asciiTheme="minorHAnsi" w:hAnsiTheme="minorHAnsi" w:cstheme="minorHAnsi"/>
          <w:color w:val="000000"/>
          <w:sz w:val="22"/>
          <w:szCs w:val="22"/>
          <w:lang w:eastAsia="fr-CH"/>
        </w:rPr>
        <w:t xml:space="preserve"> </w:t>
      </w:r>
      <w:r w:rsidRPr="00B00AFE">
        <w:rPr>
          <w:rFonts w:asciiTheme="minorHAnsi" w:hAnsiTheme="minorHAnsi" w:cstheme="minorHAnsi"/>
          <w:color w:val="000000"/>
          <w:sz w:val="22"/>
          <w:szCs w:val="22"/>
          <w:lang w:eastAsia="fr-CH"/>
        </w:rPr>
        <w:t>has recommended</w:t>
      </w:r>
      <w:r w:rsidR="00EA586F" w:rsidRPr="00B00AFE">
        <w:rPr>
          <w:rFonts w:asciiTheme="minorHAnsi" w:hAnsiTheme="minorHAnsi" w:cstheme="minorHAnsi"/>
          <w:color w:val="000000"/>
          <w:sz w:val="22"/>
          <w:szCs w:val="22"/>
          <w:lang w:eastAsia="fr-CH"/>
        </w:rPr>
        <w:t xml:space="preserve"> that ITU considers the deployment of the 'Area Office only' model. </w:t>
      </w:r>
      <w:r w:rsidRPr="00B00AFE">
        <w:rPr>
          <w:rFonts w:asciiTheme="minorHAnsi" w:hAnsiTheme="minorHAnsi" w:cstheme="minorHAnsi"/>
          <w:color w:val="000000"/>
          <w:sz w:val="22"/>
          <w:szCs w:val="22"/>
          <w:lang w:eastAsia="fr-CH"/>
        </w:rPr>
        <w:t>In PwC’s opinion t</w:t>
      </w:r>
      <w:r w:rsidR="00EA586F" w:rsidRPr="00B00AFE">
        <w:rPr>
          <w:rFonts w:asciiTheme="minorHAnsi" w:hAnsiTheme="minorHAnsi" w:cstheme="minorHAnsi"/>
          <w:color w:val="000000"/>
          <w:sz w:val="22"/>
          <w:szCs w:val="22"/>
          <w:lang w:eastAsia="fr-CH"/>
        </w:rPr>
        <w:t xml:space="preserve">his option </w:t>
      </w:r>
      <w:r w:rsidRPr="00B00AFE">
        <w:rPr>
          <w:rFonts w:asciiTheme="minorHAnsi" w:hAnsiTheme="minorHAnsi" w:cstheme="minorHAnsi"/>
          <w:color w:val="000000"/>
          <w:sz w:val="22"/>
          <w:szCs w:val="22"/>
          <w:lang w:eastAsia="fr-CH"/>
        </w:rPr>
        <w:t>would</w:t>
      </w:r>
      <w:r w:rsidR="00EA586F" w:rsidRPr="00B00AFE">
        <w:rPr>
          <w:rFonts w:asciiTheme="minorHAnsi" w:hAnsiTheme="minorHAnsi" w:cstheme="minorHAnsi"/>
          <w:color w:val="000000"/>
          <w:sz w:val="22"/>
          <w:szCs w:val="22"/>
          <w:lang w:eastAsia="fr-CH"/>
        </w:rPr>
        <w:t xml:space="preserve"> result in a leaner organisational structure with a stronger focus on delivery, improved central oversight of field activities and fewer hierarchical layers, whilst the proximity and a footprint of 10 offices </w:t>
      </w:r>
      <w:r w:rsidR="00A06C6C" w:rsidRPr="00B00AFE">
        <w:rPr>
          <w:rFonts w:asciiTheme="minorHAnsi" w:hAnsiTheme="minorHAnsi" w:cstheme="minorHAnsi"/>
          <w:color w:val="000000"/>
          <w:sz w:val="22"/>
          <w:szCs w:val="22"/>
          <w:lang w:eastAsia="fr-CH"/>
        </w:rPr>
        <w:t xml:space="preserve">(reduced from the current 14) </w:t>
      </w:r>
      <w:r w:rsidR="00EA586F" w:rsidRPr="00B00AFE">
        <w:rPr>
          <w:rFonts w:asciiTheme="minorHAnsi" w:hAnsiTheme="minorHAnsi" w:cstheme="minorHAnsi"/>
          <w:color w:val="000000"/>
          <w:sz w:val="22"/>
          <w:szCs w:val="22"/>
          <w:lang w:eastAsia="fr-CH"/>
        </w:rPr>
        <w:t xml:space="preserve">would improve the agility and flexibility to meet Members' needs. </w:t>
      </w:r>
    </w:p>
    <w:p w14:paraId="7624F4ED" w14:textId="53FF8C30" w:rsidR="00EA586F" w:rsidRDefault="009C5B7E" w:rsidP="00E53477">
      <w:pPr>
        <w:spacing w:before="240"/>
        <w:jc w:val="both"/>
        <w:rPr>
          <w:rFonts w:asciiTheme="minorHAnsi" w:hAnsiTheme="minorHAnsi" w:cstheme="minorHAnsi"/>
          <w:color w:val="000000"/>
          <w:sz w:val="22"/>
          <w:szCs w:val="22"/>
          <w:lang w:eastAsia="fr-CH"/>
        </w:rPr>
      </w:pPr>
      <w:r w:rsidRPr="00B00AFE">
        <w:rPr>
          <w:rFonts w:asciiTheme="minorHAnsi" w:hAnsiTheme="minorHAnsi" w:cstheme="minorHAnsi"/>
          <w:color w:val="000000"/>
          <w:sz w:val="22"/>
          <w:szCs w:val="22"/>
          <w:lang w:eastAsia="fr-CH"/>
        </w:rPr>
        <w:t>PwC</w:t>
      </w:r>
      <w:r w:rsidR="00EA586F" w:rsidRPr="00B00AFE">
        <w:rPr>
          <w:rFonts w:asciiTheme="minorHAnsi" w:hAnsiTheme="minorHAnsi" w:cstheme="minorHAnsi"/>
          <w:color w:val="000000"/>
          <w:sz w:val="22"/>
          <w:szCs w:val="22"/>
          <w:lang w:eastAsia="fr-CH"/>
        </w:rPr>
        <w:t xml:space="preserve"> modelled the potential structure resulting from the application of the guiding principles, their organisational </w:t>
      </w:r>
      <w:proofErr w:type="gramStart"/>
      <w:r w:rsidR="00EA586F" w:rsidRPr="00B00AFE">
        <w:rPr>
          <w:rFonts w:asciiTheme="minorHAnsi" w:hAnsiTheme="minorHAnsi" w:cstheme="minorHAnsi"/>
          <w:color w:val="000000"/>
          <w:sz w:val="22"/>
          <w:szCs w:val="22"/>
          <w:lang w:eastAsia="fr-CH"/>
        </w:rPr>
        <w:t>implications</w:t>
      </w:r>
      <w:proofErr w:type="gramEnd"/>
      <w:r w:rsidR="00EA586F" w:rsidRPr="00B00AFE">
        <w:rPr>
          <w:rFonts w:asciiTheme="minorHAnsi" w:hAnsiTheme="minorHAnsi" w:cstheme="minorHAnsi"/>
          <w:color w:val="000000"/>
          <w:sz w:val="22"/>
          <w:szCs w:val="22"/>
          <w:lang w:eastAsia="fr-CH"/>
        </w:rPr>
        <w:t xml:space="preserve"> and the key features of an 'Area Office only' model. </w:t>
      </w:r>
      <w:r w:rsidRPr="00B00AFE">
        <w:rPr>
          <w:rFonts w:asciiTheme="minorHAnsi" w:hAnsiTheme="minorHAnsi" w:cstheme="minorHAnsi"/>
          <w:color w:val="000000"/>
          <w:sz w:val="22"/>
          <w:szCs w:val="22"/>
          <w:lang w:eastAsia="fr-CH"/>
        </w:rPr>
        <w:t>PwC’s findings are that s</w:t>
      </w:r>
      <w:r w:rsidR="00EA586F" w:rsidRPr="00B00AFE">
        <w:rPr>
          <w:rFonts w:asciiTheme="minorHAnsi" w:hAnsiTheme="minorHAnsi" w:cstheme="minorHAnsi"/>
          <w:color w:val="000000"/>
          <w:sz w:val="22"/>
          <w:szCs w:val="22"/>
          <w:lang w:eastAsia="fr-CH"/>
        </w:rPr>
        <w:t xml:space="preserve">uch a structure could be sustained at the existing resourcing levels after an initial one-off investment, which </w:t>
      </w:r>
      <w:r w:rsidRPr="00B00AFE">
        <w:rPr>
          <w:rFonts w:asciiTheme="minorHAnsi" w:hAnsiTheme="minorHAnsi" w:cstheme="minorHAnsi"/>
          <w:color w:val="000000"/>
          <w:sz w:val="22"/>
          <w:szCs w:val="22"/>
          <w:lang w:eastAsia="fr-CH"/>
        </w:rPr>
        <w:t>PwC</w:t>
      </w:r>
      <w:r w:rsidR="00EA586F" w:rsidRPr="00B00AFE">
        <w:rPr>
          <w:rFonts w:asciiTheme="minorHAnsi" w:hAnsiTheme="minorHAnsi" w:cstheme="minorHAnsi"/>
          <w:color w:val="000000"/>
          <w:sz w:val="22"/>
          <w:szCs w:val="22"/>
          <w:lang w:eastAsia="fr-CH"/>
        </w:rPr>
        <w:t xml:space="preserve"> detail</w:t>
      </w:r>
      <w:r w:rsidRPr="00B00AFE">
        <w:rPr>
          <w:rFonts w:asciiTheme="minorHAnsi" w:hAnsiTheme="minorHAnsi" w:cstheme="minorHAnsi"/>
          <w:color w:val="000000"/>
          <w:sz w:val="22"/>
          <w:szCs w:val="22"/>
          <w:lang w:eastAsia="fr-CH"/>
        </w:rPr>
        <w:t>s</w:t>
      </w:r>
      <w:r w:rsidR="00EA586F" w:rsidRPr="00B00AFE">
        <w:rPr>
          <w:rFonts w:asciiTheme="minorHAnsi" w:hAnsiTheme="minorHAnsi" w:cstheme="minorHAnsi"/>
          <w:color w:val="000000"/>
          <w:sz w:val="22"/>
          <w:szCs w:val="22"/>
          <w:lang w:eastAsia="fr-CH"/>
        </w:rPr>
        <w:t xml:space="preserve"> in the report, provided that the required organisational changes identified are applied. </w:t>
      </w:r>
    </w:p>
    <w:p w14:paraId="0DB1FF68" w14:textId="7B683BFD" w:rsidR="00320598" w:rsidRDefault="00320598" w:rsidP="00E53477">
      <w:pPr>
        <w:keepNext/>
        <w:spacing w:before="240"/>
        <w:jc w:val="both"/>
        <w:rPr>
          <w:rFonts w:asciiTheme="minorHAnsi" w:hAnsiTheme="minorHAnsi" w:cstheme="minorBidi"/>
          <w:color w:val="000000" w:themeColor="text1"/>
          <w:sz w:val="22"/>
          <w:szCs w:val="22"/>
          <w:lang w:eastAsia="fr-CH"/>
        </w:rPr>
      </w:pPr>
      <w:r w:rsidRPr="00310602">
        <w:rPr>
          <w:rFonts w:asciiTheme="minorHAnsi" w:hAnsiTheme="minorHAnsi" w:cstheme="minorBidi"/>
          <w:b/>
          <w:bCs/>
          <w:color w:val="000000" w:themeColor="text1"/>
          <w:sz w:val="22"/>
          <w:szCs w:val="22"/>
          <w:lang w:eastAsia="fr-CH"/>
        </w:rPr>
        <w:lastRenderedPageBreak/>
        <w:t>Secretariat Comments</w:t>
      </w:r>
    </w:p>
    <w:p w14:paraId="58855D1B" w14:textId="77777777" w:rsidR="00310602" w:rsidRDefault="00310602" w:rsidP="00E53477">
      <w:pPr>
        <w:keepNext/>
        <w:tabs>
          <w:tab w:val="clear" w:pos="567"/>
          <w:tab w:val="clear" w:pos="1134"/>
          <w:tab w:val="clear" w:pos="1701"/>
          <w:tab w:val="clear" w:pos="2268"/>
          <w:tab w:val="clear" w:pos="2835"/>
        </w:tabs>
        <w:spacing w:before="240"/>
        <w:jc w:val="both"/>
        <w:rPr>
          <w:sz w:val="22"/>
          <w:szCs w:val="22"/>
        </w:rPr>
      </w:pPr>
      <w:r>
        <w:rPr>
          <w:sz w:val="22"/>
          <w:szCs w:val="22"/>
        </w:rPr>
        <w:t>The Secretariat considers that this proposal is very wide ranging and has identified various concerns with its implementation, some of which are set out below.</w:t>
      </w:r>
    </w:p>
    <w:p w14:paraId="0F51BB9D" w14:textId="77777777" w:rsidR="00310602" w:rsidRDefault="00310602" w:rsidP="00E53477">
      <w:pPr>
        <w:tabs>
          <w:tab w:val="clear" w:pos="567"/>
          <w:tab w:val="clear" w:pos="1134"/>
          <w:tab w:val="clear" w:pos="1701"/>
          <w:tab w:val="clear" w:pos="2268"/>
          <w:tab w:val="clear" w:pos="2835"/>
        </w:tabs>
        <w:spacing w:before="240"/>
        <w:jc w:val="both"/>
        <w:rPr>
          <w:sz w:val="22"/>
          <w:szCs w:val="22"/>
        </w:rPr>
      </w:pPr>
      <w:r>
        <w:rPr>
          <w:sz w:val="22"/>
          <w:szCs w:val="22"/>
        </w:rPr>
        <w:t>In relation to the closure/consolidation of ITU Offices and reduction of the overall number of offices:</w:t>
      </w:r>
    </w:p>
    <w:p w14:paraId="4D97319A" w14:textId="77777777" w:rsidR="00310602" w:rsidRDefault="00310602" w:rsidP="00E53477">
      <w:pPr>
        <w:pStyle w:val="ListParagraph"/>
        <w:numPr>
          <w:ilvl w:val="0"/>
          <w:numId w:val="30"/>
        </w:numPr>
        <w:tabs>
          <w:tab w:val="clear" w:pos="567"/>
          <w:tab w:val="clear" w:pos="1134"/>
          <w:tab w:val="clear" w:pos="1701"/>
          <w:tab w:val="clear" w:pos="2268"/>
          <w:tab w:val="clear" w:pos="2835"/>
        </w:tabs>
        <w:jc w:val="both"/>
        <w:rPr>
          <w:sz w:val="22"/>
          <w:szCs w:val="22"/>
        </w:rPr>
      </w:pPr>
      <w:r>
        <w:rPr>
          <w:sz w:val="22"/>
          <w:szCs w:val="22"/>
        </w:rPr>
        <w:t>The proposed closure or consolidation of existing offices may adversely impact ITU’s regional presence in some sub-regions, and may not have carefully considered the cultural and socioeconomic reasons for the existence of those offices. While the report seeks to strengthen the regional presence, this recommendation could have the effect of weakening ITU’s presence in particular regions or sub-regions.</w:t>
      </w:r>
    </w:p>
    <w:p w14:paraId="3C56CA4C" w14:textId="77777777" w:rsidR="00310602" w:rsidRDefault="00310602" w:rsidP="00E53477">
      <w:pPr>
        <w:pStyle w:val="ListParagraph"/>
        <w:numPr>
          <w:ilvl w:val="0"/>
          <w:numId w:val="30"/>
        </w:numPr>
        <w:tabs>
          <w:tab w:val="clear" w:pos="567"/>
          <w:tab w:val="clear" w:pos="1134"/>
          <w:tab w:val="clear" w:pos="1701"/>
          <w:tab w:val="clear" w:pos="2268"/>
          <w:tab w:val="clear" w:pos="2835"/>
        </w:tabs>
        <w:jc w:val="both"/>
        <w:rPr>
          <w:sz w:val="22"/>
          <w:szCs w:val="22"/>
        </w:rPr>
      </w:pPr>
      <w:r>
        <w:rPr>
          <w:sz w:val="22"/>
          <w:szCs w:val="22"/>
        </w:rPr>
        <w:t>The proposal impacts existing member agreements with ITU, and based on its overall impact on ITU’s footprint globally may require decisions by ITU membership at Plenipotentiary level prior to implementation.</w:t>
      </w:r>
    </w:p>
    <w:p w14:paraId="689B87EB" w14:textId="77777777" w:rsidR="00310602" w:rsidRDefault="00310602" w:rsidP="00E53477">
      <w:pPr>
        <w:tabs>
          <w:tab w:val="clear" w:pos="567"/>
          <w:tab w:val="clear" w:pos="1134"/>
          <w:tab w:val="clear" w:pos="1701"/>
          <w:tab w:val="clear" w:pos="2268"/>
          <w:tab w:val="clear" w:pos="2835"/>
        </w:tabs>
        <w:spacing w:before="240"/>
        <w:jc w:val="both"/>
        <w:rPr>
          <w:sz w:val="22"/>
          <w:szCs w:val="22"/>
        </w:rPr>
      </w:pPr>
      <w:r>
        <w:rPr>
          <w:sz w:val="22"/>
          <w:szCs w:val="22"/>
        </w:rPr>
        <w:t>In relation to the proposed removal of the RO level and resulting downgrade of RDs to P5 level:</w:t>
      </w:r>
    </w:p>
    <w:p w14:paraId="31BA390F" w14:textId="77777777" w:rsidR="00310602" w:rsidRDefault="00310602" w:rsidP="00E53477">
      <w:pPr>
        <w:pStyle w:val="ListParagraph"/>
        <w:numPr>
          <w:ilvl w:val="0"/>
          <w:numId w:val="30"/>
        </w:numPr>
        <w:tabs>
          <w:tab w:val="clear" w:pos="567"/>
          <w:tab w:val="clear" w:pos="1134"/>
          <w:tab w:val="clear" w:pos="1701"/>
          <w:tab w:val="clear" w:pos="2268"/>
          <w:tab w:val="clear" w:pos="2835"/>
        </w:tabs>
        <w:jc w:val="both"/>
        <w:rPr>
          <w:sz w:val="22"/>
          <w:szCs w:val="22"/>
        </w:rPr>
      </w:pPr>
      <w:r>
        <w:rPr>
          <w:sz w:val="22"/>
          <w:szCs w:val="22"/>
        </w:rPr>
        <w:t>T</w:t>
      </w:r>
      <w:r w:rsidRPr="00256EC4">
        <w:rPr>
          <w:sz w:val="22"/>
          <w:szCs w:val="22"/>
        </w:rPr>
        <w:t xml:space="preserve">he </w:t>
      </w:r>
      <w:r>
        <w:rPr>
          <w:sz w:val="22"/>
          <w:szCs w:val="22"/>
        </w:rPr>
        <w:t>approach would compromise many of the high-level representative functions currently carried out by the RDs, including</w:t>
      </w:r>
      <w:r w:rsidRPr="00256EC4">
        <w:rPr>
          <w:sz w:val="22"/>
          <w:szCs w:val="22"/>
        </w:rPr>
        <w:t xml:space="preserve"> meeting</w:t>
      </w:r>
      <w:r>
        <w:rPr>
          <w:sz w:val="22"/>
          <w:szCs w:val="22"/>
        </w:rPr>
        <w:t>s</w:t>
      </w:r>
      <w:r w:rsidRPr="00256EC4">
        <w:rPr>
          <w:sz w:val="22"/>
          <w:szCs w:val="22"/>
        </w:rPr>
        <w:t xml:space="preserve"> with Ministers, other UN Agencies, Embassies</w:t>
      </w:r>
      <w:r>
        <w:rPr>
          <w:sz w:val="22"/>
          <w:szCs w:val="22"/>
        </w:rPr>
        <w:t xml:space="preserve"> etc, potentially creating </w:t>
      </w:r>
      <w:r w:rsidRPr="00EA1895">
        <w:rPr>
          <w:sz w:val="22"/>
          <w:szCs w:val="22"/>
        </w:rPr>
        <w:t>representation bottleneck at HQ</w:t>
      </w:r>
      <w:r>
        <w:rPr>
          <w:sz w:val="22"/>
          <w:szCs w:val="22"/>
        </w:rPr>
        <w:t>.</w:t>
      </w:r>
    </w:p>
    <w:p w14:paraId="502BC37F" w14:textId="77777777" w:rsidR="00310602" w:rsidRDefault="00310602" w:rsidP="00E53477">
      <w:pPr>
        <w:pStyle w:val="ListParagraph"/>
        <w:numPr>
          <w:ilvl w:val="0"/>
          <w:numId w:val="30"/>
        </w:numPr>
        <w:tabs>
          <w:tab w:val="clear" w:pos="567"/>
          <w:tab w:val="clear" w:pos="1134"/>
          <w:tab w:val="clear" w:pos="1701"/>
          <w:tab w:val="clear" w:pos="2268"/>
          <w:tab w:val="clear" w:pos="2835"/>
        </w:tabs>
        <w:jc w:val="both"/>
        <w:rPr>
          <w:sz w:val="22"/>
          <w:szCs w:val="22"/>
        </w:rPr>
      </w:pPr>
      <w:r w:rsidRPr="00256EC4">
        <w:rPr>
          <w:sz w:val="22"/>
          <w:szCs w:val="22"/>
        </w:rPr>
        <w:t>I</w:t>
      </w:r>
      <w:r>
        <w:rPr>
          <w:sz w:val="22"/>
          <w:szCs w:val="22"/>
        </w:rPr>
        <w:t xml:space="preserve">n comparison with </w:t>
      </w:r>
      <w:r w:rsidRPr="00256EC4">
        <w:rPr>
          <w:sz w:val="22"/>
          <w:szCs w:val="22"/>
        </w:rPr>
        <w:t xml:space="preserve">other UN Agencies, the downgrade of </w:t>
      </w:r>
      <w:r>
        <w:rPr>
          <w:sz w:val="22"/>
          <w:szCs w:val="22"/>
        </w:rPr>
        <w:t>RDs</w:t>
      </w:r>
      <w:r w:rsidRPr="00256EC4">
        <w:rPr>
          <w:sz w:val="22"/>
          <w:szCs w:val="22"/>
        </w:rPr>
        <w:t xml:space="preserve"> to P5 </w:t>
      </w:r>
      <w:r>
        <w:rPr>
          <w:sz w:val="22"/>
          <w:szCs w:val="22"/>
        </w:rPr>
        <w:t xml:space="preserve">Area Office Coordinators </w:t>
      </w:r>
      <w:r w:rsidRPr="00256EC4">
        <w:rPr>
          <w:sz w:val="22"/>
          <w:szCs w:val="22"/>
        </w:rPr>
        <w:t>would diminish greatly the strategic position and visibility of the ITU</w:t>
      </w:r>
      <w:r>
        <w:rPr>
          <w:sz w:val="22"/>
          <w:szCs w:val="22"/>
        </w:rPr>
        <w:t xml:space="preserve"> within the UN system</w:t>
      </w:r>
      <w:r w:rsidRPr="00256EC4">
        <w:rPr>
          <w:sz w:val="22"/>
          <w:szCs w:val="22"/>
        </w:rPr>
        <w:t xml:space="preserve">, in view of the facts that many UNRCs are </w:t>
      </w:r>
      <w:r>
        <w:rPr>
          <w:sz w:val="22"/>
          <w:szCs w:val="22"/>
        </w:rPr>
        <w:t xml:space="preserve">at </w:t>
      </w:r>
      <w:r w:rsidRPr="00256EC4">
        <w:rPr>
          <w:sz w:val="22"/>
          <w:szCs w:val="22"/>
        </w:rPr>
        <w:t>D1</w:t>
      </w:r>
      <w:r>
        <w:rPr>
          <w:sz w:val="22"/>
          <w:szCs w:val="22"/>
        </w:rPr>
        <w:t xml:space="preserve"> level, while</w:t>
      </w:r>
      <w:r w:rsidRPr="00256EC4">
        <w:rPr>
          <w:sz w:val="22"/>
          <w:szCs w:val="22"/>
        </w:rPr>
        <w:t xml:space="preserve"> DCO regional directors are </w:t>
      </w:r>
      <w:r>
        <w:rPr>
          <w:sz w:val="22"/>
          <w:szCs w:val="22"/>
        </w:rPr>
        <w:t xml:space="preserve">at </w:t>
      </w:r>
      <w:r w:rsidRPr="00256EC4">
        <w:rPr>
          <w:sz w:val="22"/>
          <w:szCs w:val="22"/>
        </w:rPr>
        <w:t>D2</w:t>
      </w:r>
      <w:r>
        <w:rPr>
          <w:sz w:val="22"/>
          <w:szCs w:val="22"/>
        </w:rPr>
        <w:t xml:space="preserve"> level. Participation in many </w:t>
      </w:r>
      <w:r w:rsidRPr="00256EC4">
        <w:rPr>
          <w:sz w:val="22"/>
          <w:szCs w:val="22"/>
        </w:rPr>
        <w:t>UN coordination functions, inc</w:t>
      </w:r>
      <w:r>
        <w:rPr>
          <w:sz w:val="22"/>
          <w:szCs w:val="22"/>
        </w:rPr>
        <w:t>l</w:t>
      </w:r>
      <w:r w:rsidRPr="00256EC4">
        <w:rPr>
          <w:sz w:val="22"/>
          <w:szCs w:val="22"/>
        </w:rPr>
        <w:t>uding the performance appraisal</w:t>
      </w:r>
      <w:r>
        <w:rPr>
          <w:sz w:val="22"/>
          <w:szCs w:val="22"/>
        </w:rPr>
        <w:t>s</w:t>
      </w:r>
      <w:r w:rsidRPr="00256EC4">
        <w:rPr>
          <w:sz w:val="22"/>
          <w:szCs w:val="22"/>
        </w:rPr>
        <w:t xml:space="preserve"> of UNRCs requires D1 level representatives. </w:t>
      </w:r>
    </w:p>
    <w:p w14:paraId="39F7D12E" w14:textId="77777777" w:rsidR="00310602" w:rsidRDefault="00310602" w:rsidP="00E53477">
      <w:pPr>
        <w:pStyle w:val="ListParagraph"/>
        <w:numPr>
          <w:ilvl w:val="0"/>
          <w:numId w:val="30"/>
        </w:numPr>
        <w:tabs>
          <w:tab w:val="clear" w:pos="567"/>
          <w:tab w:val="clear" w:pos="1134"/>
          <w:tab w:val="clear" w:pos="1701"/>
          <w:tab w:val="clear" w:pos="2268"/>
          <w:tab w:val="clear" w:pos="2835"/>
        </w:tabs>
        <w:jc w:val="both"/>
        <w:rPr>
          <w:sz w:val="22"/>
          <w:szCs w:val="22"/>
        </w:rPr>
      </w:pPr>
      <w:r w:rsidRPr="00256EC4">
        <w:rPr>
          <w:sz w:val="22"/>
          <w:szCs w:val="22"/>
        </w:rPr>
        <w:t>Some R</w:t>
      </w:r>
      <w:r>
        <w:rPr>
          <w:sz w:val="22"/>
          <w:szCs w:val="22"/>
        </w:rPr>
        <w:t xml:space="preserve">egional </w:t>
      </w:r>
      <w:r w:rsidRPr="00256EC4">
        <w:rPr>
          <w:sz w:val="22"/>
          <w:szCs w:val="22"/>
        </w:rPr>
        <w:t>T</w:t>
      </w:r>
      <w:r>
        <w:rPr>
          <w:sz w:val="22"/>
          <w:szCs w:val="22"/>
        </w:rPr>
        <w:t xml:space="preserve">elecommunications </w:t>
      </w:r>
      <w:r w:rsidRPr="00256EC4">
        <w:rPr>
          <w:sz w:val="22"/>
          <w:szCs w:val="22"/>
        </w:rPr>
        <w:t>O</w:t>
      </w:r>
      <w:r>
        <w:rPr>
          <w:sz w:val="22"/>
          <w:szCs w:val="22"/>
        </w:rPr>
        <w:t>rganisation (RTO)</w:t>
      </w:r>
      <w:r w:rsidRPr="00256EC4">
        <w:rPr>
          <w:sz w:val="22"/>
          <w:szCs w:val="22"/>
        </w:rPr>
        <w:t xml:space="preserve"> heads are at D2 level</w:t>
      </w:r>
      <w:r>
        <w:rPr>
          <w:sz w:val="22"/>
          <w:szCs w:val="22"/>
        </w:rPr>
        <w:t>,</w:t>
      </w:r>
      <w:r w:rsidRPr="00256EC4">
        <w:rPr>
          <w:sz w:val="22"/>
          <w:szCs w:val="22"/>
        </w:rPr>
        <w:t xml:space="preserve"> and a P5 representative </w:t>
      </w:r>
      <w:r>
        <w:rPr>
          <w:sz w:val="22"/>
          <w:szCs w:val="22"/>
        </w:rPr>
        <w:t xml:space="preserve">may be limited in ability to </w:t>
      </w:r>
      <w:r w:rsidRPr="00256EC4">
        <w:rPr>
          <w:sz w:val="22"/>
          <w:szCs w:val="22"/>
        </w:rPr>
        <w:t xml:space="preserve">negotiate and strategically position ITU's work in the discussion with RTOs. </w:t>
      </w:r>
    </w:p>
    <w:p w14:paraId="732096B8" w14:textId="77777777" w:rsidR="00310602" w:rsidRDefault="00310602" w:rsidP="00E53477">
      <w:pPr>
        <w:pStyle w:val="ListParagraph"/>
        <w:numPr>
          <w:ilvl w:val="0"/>
          <w:numId w:val="30"/>
        </w:numPr>
        <w:tabs>
          <w:tab w:val="clear" w:pos="567"/>
          <w:tab w:val="clear" w:pos="1134"/>
          <w:tab w:val="clear" w:pos="1701"/>
          <w:tab w:val="clear" w:pos="2268"/>
          <w:tab w:val="clear" w:pos="2835"/>
        </w:tabs>
        <w:jc w:val="both"/>
        <w:rPr>
          <w:sz w:val="22"/>
          <w:szCs w:val="22"/>
        </w:rPr>
      </w:pPr>
      <w:r w:rsidRPr="00256EC4">
        <w:rPr>
          <w:sz w:val="22"/>
          <w:szCs w:val="22"/>
        </w:rPr>
        <w:t xml:space="preserve">Due to time differences, regional RTO and UN coordination meetings often take place outside CET working hours and it is not practical </w:t>
      </w:r>
      <w:r>
        <w:rPr>
          <w:sz w:val="22"/>
          <w:szCs w:val="22"/>
        </w:rPr>
        <w:t xml:space="preserve">for the Regional Desk (or Deputy to the Director) </w:t>
      </w:r>
      <w:r w:rsidRPr="00256EC4">
        <w:rPr>
          <w:sz w:val="22"/>
          <w:szCs w:val="22"/>
        </w:rPr>
        <w:t xml:space="preserve">to cover all these meetings from </w:t>
      </w:r>
      <w:r>
        <w:rPr>
          <w:sz w:val="22"/>
          <w:szCs w:val="22"/>
        </w:rPr>
        <w:t>ITU HQ</w:t>
      </w:r>
      <w:r w:rsidRPr="00256EC4">
        <w:rPr>
          <w:sz w:val="22"/>
          <w:szCs w:val="22"/>
        </w:rPr>
        <w:t>.</w:t>
      </w:r>
    </w:p>
    <w:p w14:paraId="4442F5D9" w14:textId="77777777" w:rsidR="00310602" w:rsidRDefault="00310602" w:rsidP="00E53477">
      <w:pPr>
        <w:pStyle w:val="ListParagraph"/>
        <w:numPr>
          <w:ilvl w:val="0"/>
          <w:numId w:val="30"/>
        </w:numPr>
        <w:tabs>
          <w:tab w:val="clear" w:pos="567"/>
          <w:tab w:val="clear" w:pos="1134"/>
          <w:tab w:val="clear" w:pos="1701"/>
          <w:tab w:val="clear" w:pos="2268"/>
          <w:tab w:val="clear" w:pos="2835"/>
        </w:tabs>
        <w:jc w:val="both"/>
        <w:rPr>
          <w:sz w:val="22"/>
          <w:szCs w:val="22"/>
        </w:rPr>
      </w:pPr>
      <w:r w:rsidRPr="00256EC4">
        <w:rPr>
          <w:sz w:val="22"/>
          <w:szCs w:val="22"/>
        </w:rPr>
        <w:t xml:space="preserve">The recently published CEB report (CEB/2020/HLCM/13) on the future of UN workforce emphasized the need for increasing field presence and accountability, as "This strong field capacity is one of the UN system's greatest strengths and added value in the international system and they are functions that cannot easily be performed remotely." </w:t>
      </w:r>
    </w:p>
    <w:p w14:paraId="57DE59FA" w14:textId="77777777" w:rsidR="00310602" w:rsidRDefault="00310602" w:rsidP="00E53477">
      <w:pPr>
        <w:pStyle w:val="ListParagraph"/>
        <w:numPr>
          <w:ilvl w:val="0"/>
          <w:numId w:val="30"/>
        </w:numPr>
        <w:tabs>
          <w:tab w:val="clear" w:pos="567"/>
          <w:tab w:val="clear" w:pos="1134"/>
          <w:tab w:val="clear" w:pos="1701"/>
          <w:tab w:val="clear" w:pos="2268"/>
          <w:tab w:val="clear" w:pos="2835"/>
        </w:tabs>
        <w:jc w:val="both"/>
        <w:rPr>
          <w:sz w:val="22"/>
          <w:szCs w:val="22"/>
        </w:rPr>
      </w:pPr>
      <w:r>
        <w:rPr>
          <w:sz w:val="22"/>
          <w:szCs w:val="22"/>
        </w:rPr>
        <w:t>I</w:t>
      </w:r>
      <w:r w:rsidRPr="00256EC4">
        <w:rPr>
          <w:sz w:val="22"/>
          <w:szCs w:val="22"/>
        </w:rPr>
        <w:t xml:space="preserve">t would be impractical to manage an increasing number of staff and UN coordination work centrally outside the respective time zones. </w:t>
      </w:r>
      <w:r w:rsidRPr="00EA1895">
        <w:rPr>
          <w:sz w:val="22"/>
          <w:szCs w:val="22"/>
        </w:rPr>
        <w:t xml:space="preserve">The recommendation appears to contradict other recommendations of the PwC report </w:t>
      </w:r>
      <w:r>
        <w:rPr>
          <w:sz w:val="22"/>
          <w:szCs w:val="22"/>
        </w:rPr>
        <w:t>related to strengthening the regional presence</w:t>
      </w:r>
      <w:r w:rsidRPr="00EA1895">
        <w:rPr>
          <w:sz w:val="22"/>
          <w:szCs w:val="22"/>
        </w:rPr>
        <w:t xml:space="preserve">. </w:t>
      </w:r>
    </w:p>
    <w:p w14:paraId="082EA4FD" w14:textId="77777777" w:rsidR="00310602" w:rsidRPr="00185653" w:rsidRDefault="00310602" w:rsidP="00E53477">
      <w:pPr>
        <w:pStyle w:val="ListParagraph"/>
        <w:numPr>
          <w:ilvl w:val="0"/>
          <w:numId w:val="30"/>
        </w:numPr>
        <w:tabs>
          <w:tab w:val="clear" w:pos="567"/>
          <w:tab w:val="clear" w:pos="1134"/>
          <w:tab w:val="clear" w:pos="1701"/>
          <w:tab w:val="clear" w:pos="2268"/>
          <w:tab w:val="clear" w:pos="2835"/>
        </w:tabs>
        <w:jc w:val="both"/>
        <w:rPr>
          <w:sz w:val="22"/>
          <w:szCs w:val="22"/>
        </w:rPr>
      </w:pPr>
      <w:r w:rsidRPr="00EA1895">
        <w:rPr>
          <w:sz w:val="22"/>
          <w:szCs w:val="22"/>
        </w:rPr>
        <w:t xml:space="preserve">The </w:t>
      </w:r>
      <w:r w:rsidRPr="00185653">
        <w:rPr>
          <w:sz w:val="22"/>
          <w:szCs w:val="22"/>
        </w:rPr>
        <w:t xml:space="preserve">recommendation would undermine many of the efforts regarding strengthening internal controls and accountability in the regional presence, removing onsite oversight and management. </w:t>
      </w:r>
    </w:p>
    <w:p w14:paraId="007C373C" w14:textId="7494C2A0" w:rsidR="00310602" w:rsidRPr="00185653" w:rsidRDefault="00310602" w:rsidP="00E53477">
      <w:pPr>
        <w:jc w:val="both"/>
        <w:rPr>
          <w:sz w:val="22"/>
          <w:szCs w:val="22"/>
        </w:rPr>
      </w:pPr>
      <w:r w:rsidRPr="00185653">
        <w:rPr>
          <w:sz w:val="22"/>
          <w:szCs w:val="22"/>
        </w:rPr>
        <w:t>In relation to the creation of a Regional Desk, concerns were noted that the creation of a Regional desk might, due to a single</w:t>
      </w:r>
      <w:r w:rsidR="004A75C3">
        <w:rPr>
          <w:sz w:val="22"/>
          <w:szCs w:val="22"/>
        </w:rPr>
        <w:t>-</w:t>
      </w:r>
      <w:r w:rsidRPr="00185653">
        <w:rPr>
          <w:sz w:val="22"/>
          <w:szCs w:val="22"/>
        </w:rPr>
        <w:t xml:space="preserve">entry point between AOs and HW, create bottleneck in coordination, particularly considering the different time zones the ROs operate in. It is noted that although PwC notes the removal of a layer in their report, it would in fact simply remove a layer since the Regional Desk would create a centralised team to replace the </w:t>
      </w:r>
      <w:proofErr w:type="spellStart"/>
      <w:r w:rsidRPr="00185653">
        <w:rPr>
          <w:sz w:val="22"/>
          <w:szCs w:val="22"/>
        </w:rPr>
        <w:t>RDs.</w:t>
      </w:r>
      <w:proofErr w:type="spellEnd"/>
      <w:r w:rsidRPr="00185653">
        <w:rPr>
          <w:sz w:val="22"/>
          <w:szCs w:val="22"/>
        </w:rPr>
        <w:t xml:space="preserve"> Finally, questions were raised about the size of the office.</w:t>
      </w:r>
    </w:p>
    <w:p w14:paraId="385FAA8D" w14:textId="0CD8E137" w:rsidR="00310602" w:rsidRPr="00185653" w:rsidRDefault="00310602" w:rsidP="00E53477">
      <w:pPr>
        <w:jc w:val="both"/>
        <w:rPr>
          <w:sz w:val="22"/>
          <w:szCs w:val="22"/>
        </w:rPr>
      </w:pPr>
      <w:r w:rsidRPr="00185653">
        <w:rPr>
          <w:sz w:val="22"/>
          <w:szCs w:val="22"/>
        </w:rPr>
        <w:t xml:space="preserve">Due to the reasons given in response to this recommendation, and considering the </w:t>
      </w:r>
      <w:r>
        <w:rPr>
          <w:sz w:val="22"/>
          <w:szCs w:val="22"/>
        </w:rPr>
        <w:t>aim of enhancing</w:t>
      </w:r>
      <w:r w:rsidRPr="00185653">
        <w:rPr>
          <w:sz w:val="22"/>
          <w:szCs w:val="22"/>
        </w:rPr>
        <w:t xml:space="preserve"> </w:t>
      </w:r>
      <w:r>
        <w:rPr>
          <w:sz w:val="22"/>
          <w:szCs w:val="22"/>
        </w:rPr>
        <w:t xml:space="preserve">ITU’s </w:t>
      </w:r>
      <w:r w:rsidRPr="00185653">
        <w:rPr>
          <w:sz w:val="22"/>
          <w:szCs w:val="22"/>
        </w:rPr>
        <w:t xml:space="preserve">regional presence, </w:t>
      </w:r>
      <w:r>
        <w:rPr>
          <w:sz w:val="22"/>
          <w:szCs w:val="22"/>
        </w:rPr>
        <w:t>the</w:t>
      </w:r>
      <w:r w:rsidRPr="00185653">
        <w:rPr>
          <w:sz w:val="22"/>
          <w:szCs w:val="22"/>
        </w:rPr>
        <w:t xml:space="preserve"> Secretariat does not recommend chang</w:t>
      </w:r>
      <w:r w:rsidR="004A75C3">
        <w:rPr>
          <w:sz w:val="22"/>
          <w:szCs w:val="22"/>
        </w:rPr>
        <w:t>ing</w:t>
      </w:r>
      <w:r w:rsidRPr="00185653">
        <w:rPr>
          <w:sz w:val="22"/>
          <w:szCs w:val="22"/>
        </w:rPr>
        <w:t xml:space="preserve"> the current RO leadership level and structure. </w:t>
      </w:r>
      <w:r>
        <w:rPr>
          <w:sz w:val="22"/>
          <w:szCs w:val="22"/>
        </w:rPr>
        <w:t>The issue of consolidation of offices should be carefully considered by membership, having regard to the efficiency and other metrics set out in PwC’s analysis.</w:t>
      </w:r>
    </w:p>
    <w:p w14:paraId="68D262C7" w14:textId="559EE979" w:rsidR="00E53477" w:rsidRDefault="00E5347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sz w:val="22"/>
          <w:szCs w:val="22"/>
          <w:lang w:eastAsia="fr-CH"/>
        </w:rPr>
      </w:pPr>
      <w:r>
        <w:rPr>
          <w:rFonts w:asciiTheme="minorHAnsi" w:hAnsiTheme="minorHAnsi" w:cstheme="minorBidi"/>
          <w:sz w:val="22"/>
          <w:szCs w:val="22"/>
          <w:lang w:eastAsia="fr-CH"/>
        </w:rPr>
        <w:br w:type="page"/>
      </w:r>
    </w:p>
    <w:p w14:paraId="03F68F4D" w14:textId="6020C916" w:rsidR="00E53477" w:rsidRDefault="00E53477" w:rsidP="00E53477">
      <w:pPr>
        <w:pStyle w:val="Heading1"/>
        <w:jc w:val="center"/>
        <w:rPr>
          <w:lang w:val="en-US"/>
        </w:rPr>
      </w:pPr>
      <w:r>
        <w:rPr>
          <w:lang w:val="en-US"/>
        </w:rPr>
        <w:lastRenderedPageBreak/>
        <w:t>ANNEX 2</w:t>
      </w:r>
    </w:p>
    <w:p w14:paraId="396B3579" w14:textId="3BCE27F3" w:rsidR="00E53477" w:rsidRPr="00E53477" w:rsidRDefault="00E53477" w:rsidP="00E53477">
      <w:pPr>
        <w:spacing w:before="240"/>
        <w:jc w:val="center"/>
        <w:rPr>
          <w:sz w:val="28"/>
          <w:szCs w:val="22"/>
          <w:lang w:val="en-US"/>
        </w:rPr>
      </w:pPr>
      <w:r w:rsidRPr="00E53477">
        <w:rPr>
          <w:sz w:val="28"/>
          <w:szCs w:val="22"/>
          <w:lang w:val="en-US"/>
        </w:rPr>
        <w:t>PwC’s recommendations</w:t>
      </w:r>
    </w:p>
    <w:p w14:paraId="561BA2D9" w14:textId="77777777" w:rsidR="00E53477" w:rsidRDefault="00E53477" w:rsidP="00E53477">
      <w:pPr>
        <w:spacing w:before="240"/>
        <w:jc w:val="both"/>
        <w:rPr>
          <w:sz w:val="22"/>
          <w:szCs w:val="18"/>
          <w:lang w:val="en-US"/>
        </w:rPr>
      </w:pPr>
    </w:p>
    <w:p w14:paraId="4C6FAC2F" w14:textId="4C51217F" w:rsidR="00310602" w:rsidRDefault="00E53477" w:rsidP="00E53477">
      <w:pPr>
        <w:spacing w:before="240"/>
        <w:jc w:val="both"/>
        <w:rPr>
          <w:sz w:val="22"/>
          <w:szCs w:val="18"/>
          <w:lang w:val="en-US"/>
        </w:rPr>
      </w:pPr>
      <w:r>
        <w:rPr>
          <w:sz w:val="22"/>
          <w:szCs w:val="18"/>
          <w:lang w:val="en-US"/>
        </w:rPr>
        <w:t>Each of the recommendations is set out in Annex 2 (</w:t>
      </w:r>
      <w:hyperlink r:id="rId18" w:history="1">
        <w:r w:rsidRPr="00912FE6">
          <w:rPr>
            <w:rStyle w:val="Hyperlink"/>
            <w:sz w:val="22"/>
            <w:szCs w:val="18"/>
            <w:lang w:val="en-US"/>
          </w:rPr>
          <w:t xml:space="preserve">see </w:t>
        </w:r>
        <w:r w:rsidR="00912FE6" w:rsidRPr="00912FE6">
          <w:rPr>
            <w:rStyle w:val="Hyperlink"/>
            <w:sz w:val="22"/>
            <w:szCs w:val="18"/>
            <w:lang w:val="en-US"/>
          </w:rPr>
          <w:t>Excel file</w:t>
        </w:r>
      </w:hyperlink>
      <w:r w:rsidR="00912FE6">
        <w:rPr>
          <w:sz w:val="22"/>
          <w:szCs w:val="18"/>
          <w:lang w:val="en-US"/>
        </w:rPr>
        <w:t>)</w:t>
      </w:r>
      <w:r>
        <w:rPr>
          <w:sz w:val="22"/>
          <w:szCs w:val="18"/>
          <w:lang w:val="en-US"/>
        </w:rPr>
        <w:t>, identifying whether or not, in the view of the Secretariat, the matter requires the detailed consideration by CWG-FHR, or can be addressed by ITU management.</w:t>
      </w:r>
    </w:p>
    <w:p w14:paraId="5F7EF5FA" w14:textId="24AF66CB" w:rsidR="003030E1" w:rsidRDefault="003030E1" w:rsidP="00E53477">
      <w:pPr>
        <w:spacing w:before="240"/>
        <w:jc w:val="both"/>
        <w:rPr>
          <w:sz w:val="22"/>
          <w:szCs w:val="18"/>
          <w:lang w:val="en-US"/>
        </w:rPr>
      </w:pPr>
    </w:p>
    <w:p w14:paraId="78072D98" w14:textId="466D14BB" w:rsidR="003030E1" w:rsidRDefault="003030E1" w:rsidP="00E53477">
      <w:pPr>
        <w:spacing w:before="240"/>
        <w:jc w:val="both"/>
        <w:rPr>
          <w:sz w:val="22"/>
          <w:szCs w:val="18"/>
          <w:lang w:val="en-US"/>
        </w:rPr>
      </w:pPr>
    </w:p>
    <w:p w14:paraId="61C13527" w14:textId="4C211699" w:rsidR="003030E1" w:rsidRDefault="003030E1" w:rsidP="00E53477">
      <w:pPr>
        <w:spacing w:before="240"/>
        <w:jc w:val="both"/>
        <w:rPr>
          <w:sz w:val="22"/>
          <w:szCs w:val="18"/>
          <w:lang w:val="en-US"/>
        </w:rPr>
      </w:pPr>
    </w:p>
    <w:p w14:paraId="2C6CC7F8" w14:textId="7482E712" w:rsidR="003030E1" w:rsidRPr="00310602" w:rsidRDefault="003030E1" w:rsidP="003030E1">
      <w:pPr>
        <w:spacing w:before="240"/>
        <w:jc w:val="center"/>
        <w:rPr>
          <w:rFonts w:asciiTheme="minorHAnsi" w:hAnsiTheme="minorHAnsi" w:cstheme="minorBidi"/>
          <w:sz w:val="22"/>
          <w:szCs w:val="22"/>
          <w:lang w:eastAsia="fr-CH"/>
        </w:rPr>
      </w:pPr>
      <w:r>
        <w:rPr>
          <w:sz w:val="22"/>
          <w:szCs w:val="18"/>
          <w:lang w:val="en-US"/>
        </w:rPr>
        <w:t>________________________</w:t>
      </w:r>
    </w:p>
    <w:sectPr w:rsidR="003030E1" w:rsidRPr="00310602" w:rsidSect="004D1851">
      <w:headerReference w:type="defaul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620E5" w14:textId="77777777" w:rsidR="00ED5296" w:rsidRDefault="00ED5296">
      <w:r>
        <w:separator/>
      </w:r>
    </w:p>
  </w:endnote>
  <w:endnote w:type="continuationSeparator" w:id="0">
    <w:p w14:paraId="3CDC9505" w14:textId="77777777" w:rsidR="00ED5296" w:rsidRDefault="00ED5296">
      <w:r>
        <w:continuationSeparator/>
      </w:r>
    </w:p>
  </w:endnote>
  <w:endnote w:type="continuationNotice" w:id="1">
    <w:p w14:paraId="43D03BC1" w14:textId="77777777" w:rsidR="00ED5296" w:rsidRDefault="00ED52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B511D" w14:textId="77777777" w:rsidR="00ED5296" w:rsidRDefault="00ED5296">
      <w:r>
        <w:t>____________________</w:t>
      </w:r>
    </w:p>
  </w:footnote>
  <w:footnote w:type="continuationSeparator" w:id="0">
    <w:p w14:paraId="3E05157F" w14:textId="77777777" w:rsidR="00ED5296" w:rsidRDefault="00ED5296">
      <w:r>
        <w:continuationSeparator/>
      </w:r>
    </w:p>
  </w:footnote>
  <w:footnote w:type="continuationNotice" w:id="1">
    <w:p w14:paraId="4B7B2738" w14:textId="77777777" w:rsidR="00ED5296" w:rsidRDefault="00ED529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rPr>
        <w:color w:val="2B579A"/>
        <w:shd w:val="clear" w:color="auto" w:fill="E6E6E6"/>
      </w:rPr>
      <w:fldChar w:fldCharType="begin"/>
    </w:r>
    <w:r>
      <w:instrText>PAGE</w:instrText>
    </w:r>
    <w:r>
      <w:rPr>
        <w:color w:val="2B579A"/>
        <w:shd w:val="clear" w:color="auto" w:fill="E6E6E6"/>
      </w:rPr>
      <w:fldChar w:fldCharType="separate"/>
    </w:r>
    <w:r w:rsidR="00D338E0">
      <w:rPr>
        <w:noProof/>
      </w:rPr>
      <w:t>2</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C502F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66297"/>
    <w:multiLevelType w:val="hybridMultilevel"/>
    <w:tmpl w:val="040A57E0"/>
    <w:lvl w:ilvl="0" w:tplc="2E12B988">
      <w:start w:val="1"/>
      <w:numFmt w:val="bullet"/>
      <w:pStyle w:val="ListBullet"/>
      <w:lvlText w:val=""/>
      <w:lvlJc w:val="left"/>
      <w:pPr>
        <w:ind w:left="198" w:hanging="198"/>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0C23CA"/>
    <w:multiLevelType w:val="hybridMultilevel"/>
    <w:tmpl w:val="6E1E0C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BD4A7494">
      <w:start w:val="1"/>
      <w:numFmt w:val="lowerRoman"/>
      <w:lvlText w:val="%3."/>
      <w:lvlJc w:val="right"/>
      <w:pPr>
        <w:ind w:left="2160" w:hanging="180"/>
      </w:pPr>
    </w:lvl>
    <w:lvl w:ilvl="3" w:tplc="AB4AB202">
      <w:start w:val="1"/>
      <w:numFmt w:val="decimal"/>
      <w:lvlText w:val="%4."/>
      <w:lvlJc w:val="left"/>
      <w:pPr>
        <w:ind w:left="2880" w:hanging="360"/>
      </w:pPr>
    </w:lvl>
    <w:lvl w:ilvl="4" w:tplc="A9781084">
      <w:start w:val="1"/>
      <w:numFmt w:val="lowerLetter"/>
      <w:lvlText w:val="%5."/>
      <w:lvlJc w:val="left"/>
      <w:pPr>
        <w:ind w:left="3600" w:hanging="360"/>
      </w:pPr>
    </w:lvl>
    <w:lvl w:ilvl="5" w:tplc="E8603D18">
      <w:start w:val="1"/>
      <w:numFmt w:val="lowerRoman"/>
      <w:lvlText w:val="%6."/>
      <w:lvlJc w:val="right"/>
      <w:pPr>
        <w:ind w:left="4320" w:hanging="180"/>
      </w:pPr>
    </w:lvl>
    <w:lvl w:ilvl="6" w:tplc="177444FA">
      <w:start w:val="1"/>
      <w:numFmt w:val="decimal"/>
      <w:lvlText w:val="%7."/>
      <w:lvlJc w:val="left"/>
      <w:pPr>
        <w:ind w:left="5040" w:hanging="360"/>
      </w:pPr>
    </w:lvl>
    <w:lvl w:ilvl="7" w:tplc="98161114">
      <w:start w:val="1"/>
      <w:numFmt w:val="lowerLetter"/>
      <w:lvlText w:val="%8."/>
      <w:lvlJc w:val="left"/>
      <w:pPr>
        <w:ind w:left="5760" w:hanging="360"/>
      </w:pPr>
    </w:lvl>
    <w:lvl w:ilvl="8" w:tplc="94784C4C">
      <w:start w:val="1"/>
      <w:numFmt w:val="lowerRoman"/>
      <w:lvlText w:val="%9."/>
      <w:lvlJc w:val="right"/>
      <w:pPr>
        <w:ind w:left="6480" w:hanging="180"/>
      </w:pPr>
    </w:lvl>
  </w:abstractNum>
  <w:abstractNum w:abstractNumId="3" w15:restartNumberingAfterBreak="0">
    <w:nsid w:val="0C5C5C2D"/>
    <w:multiLevelType w:val="hybridMultilevel"/>
    <w:tmpl w:val="D57479B4"/>
    <w:lvl w:ilvl="0" w:tplc="835E3E5A">
      <w:start w:val="1"/>
      <w:numFmt w:val="bullet"/>
      <w:lvlText w:val="·"/>
      <w:lvlJc w:val="left"/>
      <w:pPr>
        <w:ind w:left="720" w:hanging="360"/>
      </w:pPr>
      <w:rPr>
        <w:rFonts w:ascii="Symbol" w:hAnsi="Symbol" w:hint="default"/>
      </w:rPr>
    </w:lvl>
    <w:lvl w:ilvl="1" w:tplc="81C61678">
      <w:start w:val="1"/>
      <w:numFmt w:val="bullet"/>
      <w:lvlText w:val="o"/>
      <w:lvlJc w:val="left"/>
      <w:pPr>
        <w:ind w:left="1440" w:hanging="360"/>
      </w:pPr>
      <w:rPr>
        <w:rFonts w:ascii="Courier New" w:hAnsi="Courier New" w:hint="default"/>
      </w:rPr>
    </w:lvl>
    <w:lvl w:ilvl="2" w:tplc="69205ED4">
      <w:start w:val="1"/>
      <w:numFmt w:val="bullet"/>
      <w:lvlText w:val=""/>
      <w:lvlJc w:val="left"/>
      <w:pPr>
        <w:ind w:left="2160" w:hanging="360"/>
      </w:pPr>
      <w:rPr>
        <w:rFonts w:ascii="Wingdings" w:hAnsi="Wingdings" w:hint="default"/>
      </w:rPr>
    </w:lvl>
    <w:lvl w:ilvl="3" w:tplc="68C84D50">
      <w:start w:val="1"/>
      <w:numFmt w:val="bullet"/>
      <w:lvlText w:val=""/>
      <w:lvlJc w:val="left"/>
      <w:pPr>
        <w:ind w:left="2880" w:hanging="360"/>
      </w:pPr>
      <w:rPr>
        <w:rFonts w:ascii="Symbol" w:hAnsi="Symbol" w:hint="default"/>
      </w:rPr>
    </w:lvl>
    <w:lvl w:ilvl="4" w:tplc="8AF45652">
      <w:start w:val="1"/>
      <w:numFmt w:val="bullet"/>
      <w:lvlText w:val="o"/>
      <w:lvlJc w:val="left"/>
      <w:pPr>
        <w:ind w:left="3600" w:hanging="360"/>
      </w:pPr>
      <w:rPr>
        <w:rFonts w:ascii="Courier New" w:hAnsi="Courier New" w:hint="default"/>
      </w:rPr>
    </w:lvl>
    <w:lvl w:ilvl="5" w:tplc="E5E8709A">
      <w:start w:val="1"/>
      <w:numFmt w:val="bullet"/>
      <w:lvlText w:val=""/>
      <w:lvlJc w:val="left"/>
      <w:pPr>
        <w:ind w:left="4320" w:hanging="360"/>
      </w:pPr>
      <w:rPr>
        <w:rFonts w:ascii="Wingdings" w:hAnsi="Wingdings" w:hint="default"/>
      </w:rPr>
    </w:lvl>
    <w:lvl w:ilvl="6" w:tplc="50F090E6">
      <w:start w:val="1"/>
      <w:numFmt w:val="bullet"/>
      <w:lvlText w:val=""/>
      <w:lvlJc w:val="left"/>
      <w:pPr>
        <w:ind w:left="5040" w:hanging="360"/>
      </w:pPr>
      <w:rPr>
        <w:rFonts w:ascii="Symbol" w:hAnsi="Symbol" w:hint="default"/>
      </w:rPr>
    </w:lvl>
    <w:lvl w:ilvl="7" w:tplc="6DD06338">
      <w:start w:val="1"/>
      <w:numFmt w:val="bullet"/>
      <w:lvlText w:val="o"/>
      <w:lvlJc w:val="left"/>
      <w:pPr>
        <w:ind w:left="5760" w:hanging="360"/>
      </w:pPr>
      <w:rPr>
        <w:rFonts w:ascii="Courier New" w:hAnsi="Courier New" w:hint="default"/>
      </w:rPr>
    </w:lvl>
    <w:lvl w:ilvl="8" w:tplc="D456A2A6">
      <w:start w:val="1"/>
      <w:numFmt w:val="bullet"/>
      <w:lvlText w:val=""/>
      <w:lvlJc w:val="left"/>
      <w:pPr>
        <w:ind w:left="6480" w:hanging="360"/>
      </w:pPr>
      <w:rPr>
        <w:rFonts w:ascii="Wingdings" w:hAnsi="Wingdings" w:hint="default"/>
      </w:rPr>
    </w:lvl>
  </w:abstractNum>
  <w:abstractNum w:abstractNumId="4" w15:restartNumberingAfterBreak="0">
    <w:nsid w:val="10C16093"/>
    <w:multiLevelType w:val="hybridMultilevel"/>
    <w:tmpl w:val="3FC0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175AD"/>
    <w:multiLevelType w:val="hybridMultilevel"/>
    <w:tmpl w:val="0809001D"/>
    <w:lvl w:ilvl="0" w:tplc="6526D14A">
      <w:start w:val="1"/>
      <w:numFmt w:val="decimal"/>
      <w:lvlText w:val="%1)"/>
      <w:lvlJc w:val="left"/>
      <w:pPr>
        <w:ind w:left="360" w:hanging="360"/>
      </w:pPr>
    </w:lvl>
    <w:lvl w:ilvl="1" w:tplc="AB9039F0">
      <w:start w:val="1"/>
      <w:numFmt w:val="lowerLetter"/>
      <w:lvlText w:val="%2)"/>
      <w:lvlJc w:val="left"/>
      <w:pPr>
        <w:ind w:left="720" w:hanging="360"/>
      </w:pPr>
    </w:lvl>
    <w:lvl w:ilvl="2" w:tplc="017AF48A">
      <w:start w:val="1"/>
      <w:numFmt w:val="lowerRoman"/>
      <w:lvlText w:val="%3)"/>
      <w:lvlJc w:val="left"/>
      <w:pPr>
        <w:ind w:left="1080" w:hanging="360"/>
      </w:pPr>
    </w:lvl>
    <w:lvl w:ilvl="3" w:tplc="0E72894E">
      <w:start w:val="1"/>
      <w:numFmt w:val="decimal"/>
      <w:lvlText w:val="(%4)"/>
      <w:lvlJc w:val="left"/>
      <w:pPr>
        <w:ind w:left="1440" w:hanging="360"/>
      </w:pPr>
    </w:lvl>
    <w:lvl w:ilvl="4" w:tplc="1F9ADA2E">
      <w:start w:val="1"/>
      <w:numFmt w:val="lowerLetter"/>
      <w:lvlText w:val="(%5)"/>
      <w:lvlJc w:val="left"/>
      <w:pPr>
        <w:ind w:left="1800" w:hanging="360"/>
      </w:pPr>
    </w:lvl>
    <w:lvl w:ilvl="5" w:tplc="A734FEA8">
      <w:start w:val="1"/>
      <w:numFmt w:val="lowerRoman"/>
      <w:lvlText w:val="(%6)"/>
      <w:lvlJc w:val="left"/>
      <w:pPr>
        <w:ind w:left="2160" w:hanging="360"/>
      </w:pPr>
    </w:lvl>
    <w:lvl w:ilvl="6" w:tplc="38020C1C">
      <w:start w:val="1"/>
      <w:numFmt w:val="decimal"/>
      <w:lvlText w:val="%7."/>
      <w:lvlJc w:val="left"/>
      <w:pPr>
        <w:ind w:left="2520" w:hanging="360"/>
      </w:pPr>
    </w:lvl>
    <w:lvl w:ilvl="7" w:tplc="CE0C3D4E">
      <w:start w:val="1"/>
      <w:numFmt w:val="lowerLetter"/>
      <w:lvlText w:val="%8."/>
      <w:lvlJc w:val="left"/>
      <w:pPr>
        <w:ind w:left="2880" w:hanging="360"/>
      </w:pPr>
    </w:lvl>
    <w:lvl w:ilvl="8" w:tplc="228EED90">
      <w:start w:val="1"/>
      <w:numFmt w:val="lowerRoman"/>
      <w:lvlText w:val="%9."/>
      <w:lvlJc w:val="left"/>
      <w:pPr>
        <w:ind w:left="3240" w:hanging="360"/>
      </w:pPr>
    </w:lvl>
  </w:abstractNum>
  <w:abstractNum w:abstractNumId="6" w15:restartNumberingAfterBreak="0">
    <w:nsid w:val="1BFB24B7"/>
    <w:multiLevelType w:val="hybridMultilevel"/>
    <w:tmpl w:val="6D4EE3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006396"/>
    <w:multiLevelType w:val="hybridMultilevel"/>
    <w:tmpl w:val="54D01E80"/>
    <w:lvl w:ilvl="0" w:tplc="08090001">
      <w:start w:val="1"/>
      <w:numFmt w:val="bullet"/>
      <w:lvlText w:val=""/>
      <w:lvlJc w:val="left"/>
      <w:pPr>
        <w:ind w:left="284" w:hanging="284"/>
      </w:pPr>
      <w:rPr>
        <w:rFonts w:ascii="Symbol" w:hAnsi="Symbol"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20F34659"/>
    <w:multiLevelType w:val="hybridMultilevel"/>
    <w:tmpl w:val="0BFE5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D23EB"/>
    <w:multiLevelType w:val="hybridMultilevel"/>
    <w:tmpl w:val="2AB6D782"/>
    <w:lvl w:ilvl="0" w:tplc="9BD6FF4A">
      <w:start w:val="3"/>
      <w:numFmt w:val="bullet"/>
      <w:lvlText w:val="-"/>
      <w:lvlJc w:val="left"/>
      <w:pPr>
        <w:ind w:left="720" w:hanging="360"/>
      </w:pPr>
      <w:rPr>
        <w:rFonts w:ascii="Calibri" w:eastAsia="Times New Roman"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56195"/>
    <w:multiLevelType w:val="hybridMultilevel"/>
    <w:tmpl w:val="A4E2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A2B90"/>
    <w:multiLevelType w:val="hybridMultilevel"/>
    <w:tmpl w:val="F574107E"/>
    <w:lvl w:ilvl="0" w:tplc="3888426E">
      <w:start w:val="1"/>
      <w:numFmt w:val="decimal"/>
      <w:lvlText w:val="%1."/>
      <w:lvlJc w:val="left"/>
      <w:pPr>
        <w:ind w:left="720" w:hanging="360"/>
      </w:pPr>
    </w:lvl>
    <w:lvl w:ilvl="1" w:tplc="D7EC24BC">
      <w:start w:val="1"/>
      <w:numFmt w:val="lowerLetter"/>
      <w:lvlText w:val="%2."/>
      <w:lvlJc w:val="left"/>
      <w:pPr>
        <w:ind w:left="1440" w:hanging="360"/>
      </w:pPr>
    </w:lvl>
    <w:lvl w:ilvl="2" w:tplc="C108EAC6">
      <w:start w:val="1"/>
      <w:numFmt w:val="lowerRoman"/>
      <w:lvlText w:val="%3."/>
      <w:lvlJc w:val="right"/>
      <w:pPr>
        <w:ind w:left="2160" w:hanging="180"/>
      </w:pPr>
    </w:lvl>
    <w:lvl w:ilvl="3" w:tplc="506A483A">
      <w:start w:val="1"/>
      <w:numFmt w:val="decimal"/>
      <w:lvlText w:val="%4."/>
      <w:lvlJc w:val="left"/>
      <w:pPr>
        <w:ind w:left="2880" w:hanging="360"/>
      </w:pPr>
    </w:lvl>
    <w:lvl w:ilvl="4" w:tplc="2F4E22A0">
      <w:start w:val="1"/>
      <w:numFmt w:val="lowerLetter"/>
      <w:lvlText w:val="%5."/>
      <w:lvlJc w:val="left"/>
      <w:pPr>
        <w:ind w:left="3600" w:hanging="360"/>
      </w:pPr>
    </w:lvl>
    <w:lvl w:ilvl="5" w:tplc="DA347574">
      <w:start w:val="1"/>
      <w:numFmt w:val="lowerRoman"/>
      <w:lvlText w:val="%6."/>
      <w:lvlJc w:val="right"/>
      <w:pPr>
        <w:ind w:left="4320" w:hanging="180"/>
      </w:pPr>
    </w:lvl>
    <w:lvl w:ilvl="6" w:tplc="7780D558">
      <w:start w:val="1"/>
      <w:numFmt w:val="decimal"/>
      <w:lvlText w:val="%7."/>
      <w:lvlJc w:val="left"/>
      <w:pPr>
        <w:ind w:left="5040" w:hanging="360"/>
      </w:pPr>
    </w:lvl>
    <w:lvl w:ilvl="7" w:tplc="155A5BDC">
      <w:start w:val="1"/>
      <w:numFmt w:val="lowerLetter"/>
      <w:lvlText w:val="%8."/>
      <w:lvlJc w:val="left"/>
      <w:pPr>
        <w:ind w:left="5760" w:hanging="360"/>
      </w:pPr>
    </w:lvl>
    <w:lvl w:ilvl="8" w:tplc="60307EBE">
      <w:start w:val="1"/>
      <w:numFmt w:val="lowerRoman"/>
      <w:lvlText w:val="%9."/>
      <w:lvlJc w:val="right"/>
      <w:pPr>
        <w:ind w:left="6480" w:hanging="180"/>
      </w:pPr>
    </w:lvl>
  </w:abstractNum>
  <w:abstractNum w:abstractNumId="12" w15:restartNumberingAfterBreak="0">
    <w:nsid w:val="2E7621C6"/>
    <w:multiLevelType w:val="hybridMultilevel"/>
    <w:tmpl w:val="63EA635C"/>
    <w:lvl w:ilvl="0" w:tplc="FFFFFFFF">
      <w:start w:val="1"/>
      <w:numFmt w:val="decimal"/>
      <w:pStyle w:val="Listnum"/>
      <w:lvlText w:val="%1."/>
      <w:lvlJc w:val="left"/>
      <w:pPr>
        <w:ind w:left="284" w:hanging="284"/>
      </w:pPr>
      <w:rPr>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3BB720C7"/>
    <w:multiLevelType w:val="hybridMultilevel"/>
    <w:tmpl w:val="3892A304"/>
    <w:lvl w:ilvl="0" w:tplc="54546DB8">
      <w:start w:val="1"/>
      <w:numFmt w:val="bullet"/>
      <w:lvlText w:val=""/>
      <w:lvlJc w:val="left"/>
      <w:pPr>
        <w:ind w:left="720" w:hanging="360"/>
      </w:pPr>
      <w:rPr>
        <w:rFonts w:ascii="Symbol" w:hAnsi="Symbol" w:hint="default"/>
      </w:rPr>
    </w:lvl>
    <w:lvl w:ilvl="1" w:tplc="A8E293D6">
      <w:start w:val="1"/>
      <w:numFmt w:val="bullet"/>
      <w:lvlText w:val=""/>
      <w:lvlJc w:val="left"/>
      <w:pPr>
        <w:ind w:left="1440" w:hanging="360"/>
      </w:pPr>
      <w:rPr>
        <w:rFonts w:ascii="Symbol" w:hAnsi="Symbol" w:hint="default"/>
      </w:rPr>
    </w:lvl>
    <w:lvl w:ilvl="2" w:tplc="F2AA1074">
      <w:start w:val="1"/>
      <w:numFmt w:val="bullet"/>
      <w:lvlText w:val=""/>
      <w:lvlJc w:val="left"/>
      <w:pPr>
        <w:ind w:left="2160" w:hanging="360"/>
      </w:pPr>
      <w:rPr>
        <w:rFonts w:ascii="Wingdings" w:hAnsi="Wingdings" w:hint="default"/>
      </w:rPr>
    </w:lvl>
    <w:lvl w:ilvl="3" w:tplc="8188B2A4">
      <w:start w:val="1"/>
      <w:numFmt w:val="bullet"/>
      <w:lvlText w:val=""/>
      <w:lvlJc w:val="left"/>
      <w:pPr>
        <w:ind w:left="2880" w:hanging="360"/>
      </w:pPr>
      <w:rPr>
        <w:rFonts w:ascii="Symbol" w:hAnsi="Symbol" w:hint="default"/>
      </w:rPr>
    </w:lvl>
    <w:lvl w:ilvl="4" w:tplc="F3A8F83C">
      <w:start w:val="1"/>
      <w:numFmt w:val="bullet"/>
      <w:lvlText w:val="o"/>
      <w:lvlJc w:val="left"/>
      <w:pPr>
        <w:ind w:left="3600" w:hanging="360"/>
      </w:pPr>
      <w:rPr>
        <w:rFonts w:ascii="Courier New" w:hAnsi="Courier New" w:hint="default"/>
      </w:rPr>
    </w:lvl>
    <w:lvl w:ilvl="5" w:tplc="C4D814AA">
      <w:start w:val="1"/>
      <w:numFmt w:val="bullet"/>
      <w:lvlText w:val=""/>
      <w:lvlJc w:val="left"/>
      <w:pPr>
        <w:ind w:left="4320" w:hanging="360"/>
      </w:pPr>
      <w:rPr>
        <w:rFonts w:ascii="Wingdings" w:hAnsi="Wingdings" w:hint="default"/>
      </w:rPr>
    </w:lvl>
    <w:lvl w:ilvl="6" w:tplc="2EC478D2">
      <w:start w:val="1"/>
      <w:numFmt w:val="bullet"/>
      <w:lvlText w:val=""/>
      <w:lvlJc w:val="left"/>
      <w:pPr>
        <w:ind w:left="5040" w:hanging="360"/>
      </w:pPr>
      <w:rPr>
        <w:rFonts w:ascii="Symbol" w:hAnsi="Symbol" w:hint="default"/>
      </w:rPr>
    </w:lvl>
    <w:lvl w:ilvl="7" w:tplc="7CCC202C">
      <w:start w:val="1"/>
      <w:numFmt w:val="bullet"/>
      <w:lvlText w:val="o"/>
      <w:lvlJc w:val="left"/>
      <w:pPr>
        <w:ind w:left="5760" w:hanging="360"/>
      </w:pPr>
      <w:rPr>
        <w:rFonts w:ascii="Courier New" w:hAnsi="Courier New" w:hint="default"/>
      </w:rPr>
    </w:lvl>
    <w:lvl w:ilvl="8" w:tplc="B6C8A310">
      <w:start w:val="1"/>
      <w:numFmt w:val="bullet"/>
      <w:lvlText w:val=""/>
      <w:lvlJc w:val="left"/>
      <w:pPr>
        <w:ind w:left="6480" w:hanging="360"/>
      </w:pPr>
      <w:rPr>
        <w:rFonts w:ascii="Wingdings" w:hAnsi="Wingdings" w:hint="default"/>
      </w:rPr>
    </w:lvl>
  </w:abstractNum>
  <w:abstractNum w:abstractNumId="14" w15:restartNumberingAfterBreak="0">
    <w:nsid w:val="3DD5635F"/>
    <w:multiLevelType w:val="hybridMultilevel"/>
    <w:tmpl w:val="0BE0F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37DD3"/>
    <w:multiLevelType w:val="hybridMultilevel"/>
    <w:tmpl w:val="B20C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12462"/>
    <w:multiLevelType w:val="hybridMultilevel"/>
    <w:tmpl w:val="02082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B907C3"/>
    <w:multiLevelType w:val="hybridMultilevel"/>
    <w:tmpl w:val="027E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47ABD"/>
    <w:multiLevelType w:val="hybridMultilevel"/>
    <w:tmpl w:val="EAC4F3F8"/>
    <w:lvl w:ilvl="0" w:tplc="0809001B">
      <w:start w:val="1"/>
      <w:numFmt w:val="lowerRoman"/>
      <w:lvlText w:val="%1."/>
      <w:lvlJc w:val="righ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9" w15:restartNumberingAfterBreak="0">
    <w:nsid w:val="4AE15824"/>
    <w:multiLevelType w:val="hybridMultilevel"/>
    <w:tmpl w:val="5F8A9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A3A18"/>
    <w:multiLevelType w:val="hybridMultilevel"/>
    <w:tmpl w:val="B6B6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B770B"/>
    <w:multiLevelType w:val="hybridMultilevel"/>
    <w:tmpl w:val="5C2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05875"/>
    <w:multiLevelType w:val="hybridMultilevel"/>
    <w:tmpl w:val="000C1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7C1E03"/>
    <w:multiLevelType w:val="hybridMultilevel"/>
    <w:tmpl w:val="FA809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35E5B"/>
    <w:multiLevelType w:val="hybridMultilevel"/>
    <w:tmpl w:val="3CA86790"/>
    <w:lvl w:ilvl="0" w:tplc="775438C8">
      <w:start w:val="1"/>
      <w:numFmt w:val="decimal"/>
      <w:lvlText w:val="%1."/>
      <w:lvlJc w:val="left"/>
      <w:pPr>
        <w:ind w:left="720" w:hanging="360"/>
      </w:pPr>
    </w:lvl>
    <w:lvl w:ilvl="1" w:tplc="C2EC8FEE">
      <w:start w:val="1"/>
      <w:numFmt w:val="lowerLetter"/>
      <w:lvlText w:val="%2."/>
      <w:lvlJc w:val="left"/>
      <w:pPr>
        <w:ind w:left="1440" w:hanging="360"/>
      </w:pPr>
    </w:lvl>
    <w:lvl w:ilvl="2" w:tplc="23D61E26">
      <w:start w:val="1"/>
      <w:numFmt w:val="lowerRoman"/>
      <w:lvlText w:val="%3."/>
      <w:lvlJc w:val="right"/>
      <w:pPr>
        <w:ind w:left="2160" w:hanging="180"/>
      </w:pPr>
    </w:lvl>
    <w:lvl w:ilvl="3" w:tplc="E56E614A">
      <w:start w:val="1"/>
      <w:numFmt w:val="decimal"/>
      <w:lvlText w:val="%4."/>
      <w:lvlJc w:val="left"/>
      <w:pPr>
        <w:ind w:left="2880" w:hanging="360"/>
      </w:pPr>
    </w:lvl>
    <w:lvl w:ilvl="4" w:tplc="B448BAF0">
      <w:start w:val="1"/>
      <w:numFmt w:val="lowerLetter"/>
      <w:lvlText w:val="%5."/>
      <w:lvlJc w:val="left"/>
      <w:pPr>
        <w:ind w:left="3600" w:hanging="360"/>
      </w:pPr>
    </w:lvl>
    <w:lvl w:ilvl="5" w:tplc="3BE41DF0">
      <w:start w:val="1"/>
      <w:numFmt w:val="lowerRoman"/>
      <w:lvlText w:val="%6."/>
      <w:lvlJc w:val="right"/>
      <w:pPr>
        <w:ind w:left="4320" w:hanging="180"/>
      </w:pPr>
    </w:lvl>
    <w:lvl w:ilvl="6" w:tplc="C64CD95E">
      <w:start w:val="1"/>
      <w:numFmt w:val="decimal"/>
      <w:lvlText w:val="%7."/>
      <w:lvlJc w:val="left"/>
      <w:pPr>
        <w:ind w:left="5040" w:hanging="360"/>
      </w:pPr>
    </w:lvl>
    <w:lvl w:ilvl="7" w:tplc="7E307DA2">
      <w:start w:val="1"/>
      <w:numFmt w:val="lowerLetter"/>
      <w:lvlText w:val="%8."/>
      <w:lvlJc w:val="left"/>
      <w:pPr>
        <w:ind w:left="5760" w:hanging="360"/>
      </w:pPr>
    </w:lvl>
    <w:lvl w:ilvl="8" w:tplc="3BF48450">
      <w:start w:val="1"/>
      <w:numFmt w:val="lowerRoman"/>
      <w:lvlText w:val="%9."/>
      <w:lvlJc w:val="right"/>
      <w:pPr>
        <w:ind w:left="6480" w:hanging="180"/>
      </w:pPr>
    </w:lvl>
  </w:abstractNum>
  <w:abstractNum w:abstractNumId="25" w15:restartNumberingAfterBreak="0">
    <w:nsid w:val="5DF84E37"/>
    <w:multiLevelType w:val="hybridMultilevel"/>
    <w:tmpl w:val="CBE82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16E761E"/>
    <w:multiLevelType w:val="hybridMultilevel"/>
    <w:tmpl w:val="51942732"/>
    <w:lvl w:ilvl="0" w:tplc="6C38296A">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BD4A7494">
      <w:start w:val="1"/>
      <w:numFmt w:val="lowerRoman"/>
      <w:lvlText w:val="%3."/>
      <w:lvlJc w:val="right"/>
      <w:pPr>
        <w:ind w:left="2160" w:hanging="180"/>
      </w:pPr>
    </w:lvl>
    <w:lvl w:ilvl="3" w:tplc="AB4AB202">
      <w:start w:val="1"/>
      <w:numFmt w:val="decimal"/>
      <w:lvlText w:val="%4."/>
      <w:lvlJc w:val="left"/>
      <w:pPr>
        <w:ind w:left="2880" w:hanging="360"/>
      </w:pPr>
    </w:lvl>
    <w:lvl w:ilvl="4" w:tplc="A9781084">
      <w:start w:val="1"/>
      <w:numFmt w:val="lowerLetter"/>
      <w:lvlText w:val="%5."/>
      <w:lvlJc w:val="left"/>
      <w:pPr>
        <w:ind w:left="3600" w:hanging="360"/>
      </w:pPr>
    </w:lvl>
    <w:lvl w:ilvl="5" w:tplc="E8603D18">
      <w:start w:val="1"/>
      <w:numFmt w:val="lowerRoman"/>
      <w:lvlText w:val="%6."/>
      <w:lvlJc w:val="right"/>
      <w:pPr>
        <w:ind w:left="4320" w:hanging="180"/>
      </w:pPr>
    </w:lvl>
    <w:lvl w:ilvl="6" w:tplc="177444FA">
      <w:start w:val="1"/>
      <w:numFmt w:val="decimal"/>
      <w:lvlText w:val="%7."/>
      <w:lvlJc w:val="left"/>
      <w:pPr>
        <w:ind w:left="5040" w:hanging="360"/>
      </w:pPr>
    </w:lvl>
    <w:lvl w:ilvl="7" w:tplc="98161114">
      <w:start w:val="1"/>
      <w:numFmt w:val="lowerLetter"/>
      <w:lvlText w:val="%8."/>
      <w:lvlJc w:val="left"/>
      <w:pPr>
        <w:ind w:left="5760" w:hanging="360"/>
      </w:pPr>
    </w:lvl>
    <w:lvl w:ilvl="8" w:tplc="94784C4C">
      <w:start w:val="1"/>
      <w:numFmt w:val="lowerRoman"/>
      <w:lvlText w:val="%9."/>
      <w:lvlJc w:val="right"/>
      <w:pPr>
        <w:ind w:left="6480" w:hanging="180"/>
      </w:pPr>
    </w:lvl>
  </w:abstractNum>
  <w:abstractNum w:abstractNumId="27" w15:restartNumberingAfterBreak="0">
    <w:nsid w:val="61D8635F"/>
    <w:multiLevelType w:val="hybridMultilevel"/>
    <w:tmpl w:val="05B690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3F4584"/>
    <w:multiLevelType w:val="hybridMultilevel"/>
    <w:tmpl w:val="23247BDE"/>
    <w:lvl w:ilvl="0" w:tplc="6C38296A">
      <w:start w:val="1"/>
      <w:numFmt w:val="decimal"/>
      <w:lvlText w:val="%1."/>
      <w:lvlJc w:val="left"/>
      <w:pPr>
        <w:ind w:left="720" w:hanging="360"/>
      </w:pPr>
    </w:lvl>
    <w:lvl w:ilvl="1" w:tplc="48A8AFE6">
      <w:start w:val="1"/>
      <w:numFmt w:val="decimal"/>
      <w:lvlText w:val="%2."/>
      <w:lvlJc w:val="left"/>
      <w:pPr>
        <w:ind w:left="1440" w:hanging="360"/>
      </w:pPr>
    </w:lvl>
    <w:lvl w:ilvl="2" w:tplc="BD4A7494">
      <w:start w:val="1"/>
      <w:numFmt w:val="lowerRoman"/>
      <w:lvlText w:val="%3."/>
      <w:lvlJc w:val="right"/>
      <w:pPr>
        <w:ind w:left="2160" w:hanging="180"/>
      </w:pPr>
    </w:lvl>
    <w:lvl w:ilvl="3" w:tplc="AB4AB202">
      <w:start w:val="1"/>
      <w:numFmt w:val="decimal"/>
      <w:lvlText w:val="%4."/>
      <w:lvlJc w:val="left"/>
      <w:pPr>
        <w:ind w:left="2880" w:hanging="360"/>
      </w:pPr>
    </w:lvl>
    <w:lvl w:ilvl="4" w:tplc="A9781084">
      <w:start w:val="1"/>
      <w:numFmt w:val="lowerLetter"/>
      <w:lvlText w:val="%5."/>
      <w:lvlJc w:val="left"/>
      <w:pPr>
        <w:ind w:left="3600" w:hanging="360"/>
      </w:pPr>
    </w:lvl>
    <w:lvl w:ilvl="5" w:tplc="E8603D18">
      <w:start w:val="1"/>
      <w:numFmt w:val="lowerRoman"/>
      <w:lvlText w:val="%6."/>
      <w:lvlJc w:val="right"/>
      <w:pPr>
        <w:ind w:left="4320" w:hanging="180"/>
      </w:pPr>
    </w:lvl>
    <w:lvl w:ilvl="6" w:tplc="177444FA">
      <w:start w:val="1"/>
      <w:numFmt w:val="decimal"/>
      <w:lvlText w:val="%7."/>
      <w:lvlJc w:val="left"/>
      <w:pPr>
        <w:ind w:left="5040" w:hanging="360"/>
      </w:pPr>
    </w:lvl>
    <w:lvl w:ilvl="7" w:tplc="98161114">
      <w:start w:val="1"/>
      <w:numFmt w:val="lowerLetter"/>
      <w:lvlText w:val="%8."/>
      <w:lvlJc w:val="left"/>
      <w:pPr>
        <w:ind w:left="5760" w:hanging="360"/>
      </w:pPr>
    </w:lvl>
    <w:lvl w:ilvl="8" w:tplc="94784C4C">
      <w:start w:val="1"/>
      <w:numFmt w:val="lowerRoman"/>
      <w:lvlText w:val="%9."/>
      <w:lvlJc w:val="right"/>
      <w:pPr>
        <w:ind w:left="6480" w:hanging="180"/>
      </w:pPr>
    </w:lvl>
  </w:abstractNum>
  <w:abstractNum w:abstractNumId="29" w15:restartNumberingAfterBreak="0">
    <w:nsid w:val="64183EBB"/>
    <w:multiLevelType w:val="hybridMultilevel"/>
    <w:tmpl w:val="B9580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30568B"/>
    <w:multiLevelType w:val="hybridMultilevel"/>
    <w:tmpl w:val="652A93D4"/>
    <w:lvl w:ilvl="0" w:tplc="0910F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8E77B1"/>
    <w:multiLevelType w:val="hybridMultilevel"/>
    <w:tmpl w:val="3EF0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F5A88"/>
    <w:multiLevelType w:val="hybridMultilevel"/>
    <w:tmpl w:val="D29070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3B3BA4"/>
    <w:multiLevelType w:val="hybridMultilevel"/>
    <w:tmpl w:val="678C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
  </w:num>
  <w:num w:numId="4">
    <w:abstractNumId w:val="11"/>
  </w:num>
  <w:num w:numId="5">
    <w:abstractNumId w:val="24"/>
  </w:num>
  <w:num w:numId="6">
    <w:abstractNumId w:val="0"/>
  </w:num>
  <w:num w:numId="7">
    <w:abstractNumId w:val="29"/>
  </w:num>
  <w:num w:numId="8">
    <w:abstractNumId w:val="18"/>
  </w:num>
  <w:num w:numId="9">
    <w:abstractNumId w:val="12"/>
  </w:num>
  <w:num w:numId="10">
    <w:abstractNumId w:val="1"/>
  </w:num>
  <w:num w:numId="11">
    <w:abstractNumId w:val="14"/>
  </w:num>
  <w:num w:numId="12">
    <w:abstractNumId w:val="9"/>
  </w:num>
  <w:num w:numId="13">
    <w:abstractNumId w:val="32"/>
  </w:num>
  <w:num w:numId="14">
    <w:abstractNumId w:val="6"/>
  </w:num>
  <w:num w:numId="15">
    <w:abstractNumId w:val="27"/>
  </w:num>
  <w:num w:numId="16">
    <w:abstractNumId w:val="8"/>
  </w:num>
  <w:num w:numId="17">
    <w:abstractNumId w:val="7"/>
  </w:num>
  <w:num w:numId="18">
    <w:abstractNumId w:val="25"/>
  </w:num>
  <w:num w:numId="19">
    <w:abstractNumId w:val="15"/>
  </w:num>
  <w:num w:numId="20">
    <w:abstractNumId w:val="10"/>
  </w:num>
  <w:num w:numId="21">
    <w:abstractNumId w:val="17"/>
  </w:num>
  <w:num w:numId="22">
    <w:abstractNumId w:val="23"/>
  </w:num>
  <w:num w:numId="23">
    <w:abstractNumId w:val="5"/>
  </w:num>
  <w:num w:numId="24">
    <w:abstractNumId w:val="22"/>
  </w:num>
  <w:num w:numId="25">
    <w:abstractNumId w:val="16"/>
  </w:num>
  <w:num w:numId="26">
    <w:abstractNumId w:val="30"/>
  </w:num>
  <w:num w:numId="27">
    <w:abstractNumId w:val="21"/>
  </w:num>
  <w:num w:numId="28">
    <w:abstractNumId w:val="31"/>
  </w:num>
  <w:num w:numId="29">
    <w:abstractNumId w:val="19"/>
  </w:num>
  <w:num w:numId="30">
    <w:abstractNumId w:val="4"/>
  </w:num>
  <w:num w:numId="31">
    <w:abstractNumId w:val="20"/>
  </w:num>
  <w:num w:numId="32">
    <w:abstractNumId w:val="26"/>
  </w:num>
  <w:num w:numId="33">
    <w:abstractNumId w:val="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MyMrU0tzQ3NTFS0lEKTi0uzszPAykwrAUACJEWRSwAAAA="/>
  </w:docVars>
  <w:rsids>
    <w:rsidRoot w:val="005F3269"/>
    <w:rsid w:val="00004080"/>
    <w:rsid w:val="000129E7"/>
    <w:rsid w:val="000210D4"/>
    <w:rsid w:val="00040D8D"/>
    <w:rsid w:val="00043569"/>
    <w:rsid w:val="000448D9"/>
    <w:rsid w:val="0004585A"/>
    <w:rsid w:val="00055384"/>
    <w:rsid w:val="00063016"/>
    <w:rsid w:val="00063C5B"/>
    <w:rsid w:val="00066795"/>
    <w:rsid w:val="00076AF6"/>
    <w:rsid w:val="00085CF2"/>
    <w:rsid w:val="0009086A"/>
    <w:rsid w:val="0009108D"/>
    <w:rsid w:val="000A940E"/>
    <w:rsid w:val="000B1705"/>
    <w:rsid w:val="000B2C5B"/>
    <w:rsid w:val="000D75B2"/>
    <w:rsid w:val="000E2E8B"/>
    <w:rsid w:val="000E322E"/>
    <w:rsid w:val="000E34BE"/>
    <w:rsid w:val="000F503E"/>
    <w:rsid w:val="00105234"/>
    <w:rsid w:val="00106E78"/>
    <w:rsid w:val="00107570"/>
    <w:rsid w:val="001121F5"/>
    <w:rsid w:val="00115180"/>
    <w:rsid w:val="00127D8D"/>
    <w:rsid w:val="001343F6"/>
    <w:rsid w:val="001400DC"/>
    <w:rsid w:val="00140CE1"/>
    <w:rsid w:val="00143C4D"/>
    <w:rsid w:val="0015657F"/>
    <w:rsid w:val="0016240C"/>
    <w:rsid w:val="0017539C"/>
    <w:rsid w:val="00175AC2"/>
    <w:rsid w:val="0017609F"/>
    <w:rsid w:val="00183D2F"/>
    <w:rsid w:val="00185653"/>
    <w:rsid w:val="00185EA0"/>
    <w:rsid w:val="0018631B"/>
    <w:rsid w:val="00187291"/>
    <w:rsid w:val="001901EC"/>
    <w:rsid w:val="0019343C"/>
    <w:rsid w:val="001A28D3"/>
    <w:rsid w:val="001B31DB"/>
    <w:rsid w:val="001B475B"/>
    <w:rsid w:val="001B7EC3"/>
    <w:rsid w:val="001C628E"/>
    <w:rsid w:val="001E0F7B"/>
    <w:rsid w:val="001F47C9"/>
    <w:rsid w:val="00201556"/>
    <w:rsid w:val="002119FD"/>
    <w:rsid w:val="002130E0"/>
    <w:rsid w:val="00220884"/>
    <w:rsid w:val="00221384"/>
    <w:rsid w:val="00224D39"/>
    <w:rsid w:val="002324C8"/>
    <w:rsid w:val="0023439A"/>
    <w:rsid w:val="00236BD2"/>
    <w:rsid w:val="00241756"/>
    <w:rsid w:val="0024790F"/>
    <w:rsid w:val="00256EC4"/>
    <w:rsid w:val="00263013"/>
    <w:rsid w:val="00264425"/>
    <w:rsid w:val="00265875"/>
    <w:rsid w:val="00272006"/>
    <w:rsid w:val="0027303B"/>
    <w:rsid w:val="0027559F"/>
    <w:rsid w:val="0028109B"/>
    <w:rsid w:val="00286239"/>
    <w:rsid w:val="002A2188"/>
    <w:rsid w:val="002A7B68"/>
    <w:rsid w:val="002B1F58"/>
    <w:rsid w:val="002B2A99"/>
    <w:rsid w:val="002B581A"/>
    <w:rsid w:val="002C1C7A"/>
    <w:rsid w:val="002C3B4D"/>
    <w:rsid w:val="002C3EB6"/>
    <w:rsid w:val="002F15A2"/>
    <w:rsid w:val="002F246F"/>
    <w:rsid w:val="002F256E"/>
    <w:rsid w:val="002F5725"/>
    <w:rsid w:val="002F5E0B"/>
    <w:rsid w:val="0030160F"/>
    <w:rsid w:val="003030E1"/>
    <w:rsid w:val="0030337D"/>
    <w:rsid w:val="00310602"/>
    <w:rsid w:val="00311E8B"/>
    <w:rsid w:val="00313D29"/>
    <w:rsid w:val="00320598"/>
    <w:rsid w:val="0032210E"/>
    <w:rsid w:val="003222BC"/>
    <w:rsid w:val="00322D0D"/>
    <w:rsid w:val="00323128"/>
    <w:rsid w:val="003235E9"/>
    <w:rsid w:val="003272EA"/>
    <w:rsid w:val="003275A9"/>
    <w:rsid w:val="003529C0"/>
    <w:rsid w:val="003532DC"/>
    <w:rsid w:val="003638ED"/>
    <w:rsid w:val="00365BA0"/>
    <w:rsid w:val="00380B46"/>
    <w:rsid w:val="00384402"/>
    <w:rsid w:val="003942D4"/>
    <w:rsid w:val="003958A8"/>
    <w:rsid w:val="003A2A22"/>
    <w:rsid w:val="003B0A76"/>
    <w:rsid w:val="003B506E"/>
    <w:rsid w:val="003C1552"/>
    <w:rsid w:val="003C2533"/>
    <w:rsid w:val="003D50E1"/>
    <w:rsid w:val="003D58E3"/>
    <w:rsid w:val="003E4297"/>
    <w:rsid w:val="003E6369"/>
    <w:rsid w:val="003E7BC9"/>
    <w:rsid w:val="003F025D"/>
    <w:rsid w:val="003F2546"/>
    <w:rsid w:val="003F6024"/>
    <w:rsid w:val="003F71F2"/>
    <w:rsid w:val="00401006"/>
    <w:rsid w:val="00401C4C"/>
    <w:rsid w:val="0040435A"/>
    <w:rsid w:val="00404B4D"/>
    <w:rsid w:val="00411DE7"/>
    <w:rsid w:val="00416A24"/>
    <w:rsid w:val="00423C3D"/>
    <w:rsid w:val="00425F9F"/>
    <w:rsid w:val="0043125F"/>
    <w:rsid w:val="00431D9E"/>
    <w:rsid w:val="00433CE8"/>
    <w:rsid w:val="00434A5C"/>
    <w:rsid w:val="0044026D"/>
    <w:rsid w:val="004429FC"/>
    <w:rsid w:val="00444BD5"/>
    <w:rsid w:val="004544D9"/>
    <w:rsid w:val="004557C5"/>
    <w:rsid w:val="00455865"/>
    <w:rsid w:val="00460C62"/>
    <w:rsid w:val="00461C98"/>
    <w:rsid w:val="00462A36"/>
    <w:rsid w:val="00463EEC"/>
    <w:rsid w:val="0046535C"/>
    <w:rsid w:val="00465E3F"/>
    <w:rsid w:val="00467BFC"/>
    <w:rsid w:val="004701BA"/>
    <w:rsid w:val="004705D8"/>
    <w:rsid w:val="00480CBC"/>
    <w:rsid w:val="004811EA"/>
    <w:rsid w:val="004844F6"/>
    <w:rsid w:val="00485B5C"/>
    <w:rsid w:val="00490D8E"/>
    <w:rsid w:val="00490E72"/>
    <w:rsid w:val="00491157"/>
    <w:rsid w:val="004921C8"/>
    <w:rsid w:val="00493D65"/>
    <w:rsid w:val="00493DB3"/>
    <w:rsid w:val="004A0CE7"/>
    <w:rsid w:val="004A75C3"/>
    <w:rsid w:val="004A7A5B"/>
    <w:rsid w:val="004B5162"/>
    <w:rsid w:val="004B67B1"/>
    <w:rsid w:val="004C6B7F"/>
    <w:rsid w:val="004D1851"/>
    <w:rsid w:val="004D599D"/>
    <w:rsid w:val="004E2EA5"/>
    <w:rsid w:val="004E3AEB"/>
    <w:rsid w:val="004E54AD"/>
    <w:rsid w:val="0050223C"/>
    <w:rsid w:val="00503628"/>
    <w:rsid w:val="00510C40"/>
    <w:rsid w:val="00517858"/>
    <w:rsid w:val="00522EBD"/>
    <w:rsid w:val="005243FF"/>
    <w:rsid w:val="005335B8"/>
    <w:rsid w:val="00534FE7"/>
    <w:rsid w:val="005403A2"/>
    <w:rsid w:val="005443CD"/>
    <w:rsid w:val="00550448"/>
    <w:rsid w:val="00555764"/>
    <w:rsid w:val="00564FBC"/>
    <w:rsid w:val="00571F23"/>
    <w:rsid w:val="00576DD4"/>
    <w:rsid w:val="00582110"/>
    <w:rsid w:val="00582442"/>
    <w:rsid w:val="005A0C61"/>
    <w:rsid w:val="005B0BCB"/>
    <w:rsid w:val="005C6D08"/>
    <w:rsid w:val="005E20A8"/>
    <w:rsid w:val="005E7953"/>
    <w:rsid w:val="005F3269"/>
    <w:rsid w:val="005F39EF"/>
    <w:rsid w:val="005F52F2"/>
    <w:rsid w:val="0060392C"/>
    <w:rsid w:val="00603E0C"/>
    <w:rsid w:val="00615A40"/>
    <w:rsid w:val="00623AE3"/>
    <w:rsid w:val="006241D5"/>
    <w:rsid w:val="0064737F"/>
    <w:rsid w:val="006535F1"/>
    <w:rsid w:val="0065557D"/>
    <w:rsid w:val="00660E65"/>
    <w:rsid w:val="006619A1"/>
    <w:rsid w:val="00662984"/>
    <w:rsid w:val="00665CA7"/>
    <w:rsid w:val="00671065"/>
    <w:rsid w:val="006716BB"/>
    <w:rsid w:val="006828AD"/>
    <w:rsid w:val="00691EA9"/>
    <w:rsid w:val="00696781"/>
    <w:rsid w:val="006B0CCE"/>
    <w:rsid w:val="006B169E"/>
    <w:rsid w:val="006B595A"/>
    <w:rsid w:val="006B6680"/>
    <w:rsid w:val="006B6DCC"/>
    <w:rsid w:val="006C00DC"/>
    <w:rsid w:val="006C1A96"/>
    <w:rsid w:val="006D3803"/>
    <w:rsid w:val="006D5401"/>
    <w:rsid w:val="006E07C3"/>
    <w:rsid w:val="006E166E"/>
    <w:rsid w:val="006F5CA5"/>
    <w:rsid w:val="00702DEF"/>
    <w:rsid w:val="007034BC"/>
    <w:rsid w:val="007042A5"/>
    <w:rsid w:val="00706861"/>
    <w:rsid w:val="00714203"/>
    <w:rsid w:val="00723504"/>
    <w:rsid w:val="00732123"/>
    <w:rsid w:val="00732DA4"/>
    <w:rsid w:val="00740FE3"/>
    <w:rsid w:val="0075051B"/>
    <w:rsid w:val="0075142D"/>
    <w:rsid w:val="0077638D"/>
    <w:rsid w:val="00784D2D"/>
    <w:rsid w:val="00787AEA"/>
    <w:rsid w:val="007919DF"/>
    <w:rsid w:val="00793188"/>
    <w:rsid w:val="00794D34"/>
    <w:rsid w:val="007A48A2"/>
    <w:rsid w:val="007A4AB6"/>
    <w:rsid w:val="007A6217"/>
    <w:rsid w:val="007C53EA"/>
    <w:rsid w:val="007D768B"/>
    <w:rsid w:val="007F133A"/>
    <w:rsid w:val="007F65DA"/>
    <w:rsid w:val="0080377E"/>
    <w:rsid w:val="00810A6F"/>
    <w:rsid w:val="00811749"/>
    <w:rsid w:val="00813E5E"/>
    <w:rsid w:val="0081405A"/>
    <w:rsid w:val="00816F6E"/>
    <w:rsid w:val="00824EE1"/>
    <w:rsid w:val="00830E6E"/>
    <w:rsid w:val="0083101D"/>
    <w:rsid w:val="00833535"/>
    <w:rsid w:val="0083581B"/>
    <w:rsid w:val="008366B2"/>
    <w:rsid w:val="00845BC9"/>
    <w:rsid w:val="00845D86"/>
    <w:rsid w:val="008464CB"/>
    <w:rsid w:val="00851204"/>
    <w:rsid w:val="00862573"/>
    <w:rsid w:val="00864AFF"/>
    <w:rsid w:val="00886FDB"/>
    <w:rsid w:val="0089142C"/>
    <w:rsid w:val="00894A07"/>
    <w:rsid w:val="008A0FAA"/>
    <w:rsid w:val="008A3AF1"/>
    <w:rsid w:val="008A65FD"/>
    <w:rsid w:val="008B44B5"/>
    <w:rsid w:val="008B4A6A"/>
    <w:rsid w:val="008C341D"/>
    <w:rsid w:val="008C6286"/>
    <w:rsid w:val="008C7E27"/>
    <w:rsid w:val="008D3205"/>
    <w:rsid w:val="008D6B89"/>
    <w:rsid w:val="008E0788"/>
    <w:rsid w:val="008E3219"/>
    <w:rsid w:val="008F3F63"/>
    <w:rsid w:val="009055AF"/>
    <w:rsid w:val="0090589C"/>
    <w:rsid w:val="00912FE6"/>
    <w:rsid w:val="009173EF"/>
    <w:rsid w:val="00927E0F"/>
    <w:rsid w:val="009313DA"/>
    <w:rsid w:val="00932906"/>
    <w:rsid w:val="00932FA5"/>
    <w:rsid w:val="00937561"/>
    <w:rsid w:val="009461BE"/>
    <w:rsid w:val="00951F71"/>
    <w:rsid w:val="00955172"/>
    <w:rsid w:val="00957F19"/>
    <w:rsid w:val="00961B0B"/>
    <w:rsid w:val="009677B4"/>
    <w:rsid w:val="00967DEA"/>
    <w:rsid w:val="009739F2"/>
    <w:rsid w:val="00995383"/>
    <w:rsid w:val="00997082"/>
    <w:rsid w:val="009A19CF"/>
    <w:rsid w:val="009B38C3"/>
    <w:rsid w:val="009C5B7E"/>
    <w:rsid w:val="009E0D54"/>
    <w:rsid w:val="009E17BD"/>
    <w:rsid w:val="009E485A"/>
    <w:rsid w:val="009F66A3"/>
    <w:rsid w:val="00A04189"/>
    <w:rsid w:val="00A04CEC"/>
    <w:rsid w:val="00A05E80"/>
    <w:rsid w:val="00A06C6C"/>
    <w:rsid w:val="00A06DD9"/>
    <w:rsid w:val="00A20930"/>
    <w:rsid w:val="00A222DC"/>
    <w:rsid w:val="00A23DA3"/>
    <w:rsid w:val="00A24FBA"/>
    <w:rsid w:val="00A27D2A"/>
    <w:rsid w:val="00A27F92"/>
    <w:rsid w:val="00A32257"/>
    <w:rsid w:val="00A34210"/>
    <w:rsid w:val="00A34E2B"/>
    <w:rsid w:val="00A3656D"/>
    <w:rsid w:val="00A36D20"/>
    <w:rsid w:val="00A37BB4"/>
    <w:rsid w:val="00A44F61"/>
    <w:rsid w:val="00A55622"/>
    <w:rsid w:val="00A64BF6"/>
    <w:rsid w:val="00A71532"/>
    <w:rsid w:val="00A736C9"/>
    <w:rsid w:val="00A76AB3"/>
    <w:rsid w:val="00A770F8"/>
    <w:rsid w:val="00A80E3A"/>
    <w:rsid w:val="00A83502"/>
    <w:rsid w:val="00A8382F"/>
    <w:rsid w:val="00A85C8E"/>
    <w:rsid w:val="00A93619"/>
    <w:rsid w:val="00AA166C"/>
    <w:rsid w:val="00AA63A9"/>
    <w:rsid w:val="00AB0ED7"/>
    <w:rsid w:val="00AB51C7"/>
    <w:rsid w:val="00AB707C"/>
    <w:rsid w:val="00AC297D"/>
    <w:rsid w:val="00AC3A20"/>
    <w:rsid w:val="00AC47C8"/>
    <w:rsid w:val="00AC7662"/>
    <w:rsid w:val="00AD0C44"/>
    <w:rsid w:val="00AD15B3"/>
    <w:rsid w:val="00AD3C26"/>
    <w:rsid w:val="00AE5A2F"/>
    <w:rsid w:val="00AF0D3F"/>
    <w:rsid w:val="00AF5771"/>
    <w:rsid w:val="00AF5F10"/>
    <w:rsid w:val="00AF66D4"/>
    <w:rsid w:val="00AF670F"/>
    <w:rsid w:val="00AF6E49"/>
    <w:rsid w:val="00B00AFE"/>
    <w:rsid w:val="00B04A67"/>
    <w:rsid w:val="00B0583C"/>
    <w:rsid w:val="00B10247"/>
    <w:rsid w:val="00B108FD"/>
    <w:rsid w:val="00B1123A"/>
    <w:rsid w:val="00B11ACC"/>
    <w:rsid w:val="00B21929"/>
    <w:rsid w:val="00B21EE8"/>
    <w:rsid w:val="00B33C35"/>
    <w:rsid w:val="00B40472"/>
    <w:rsid w:val="00B40A81"/>
    <w:rsid w:val="00B44910"/>
    <w:rsid w:val="00B46E0D"/>
    <w:rsid w:val="00B47220"/>
    <w:rsid w:val="00B51F0F"/>
    <w:rsid w:val="00B52FE5"/>
    <w:rsid w:val="00B64E75"/>
    <w:rsid w:val="00B72267"/>
    <w:rsid w:val="00B729BD"/>
    <w:rsid w:val="00B73F1D"/>
    <w:rsid w:val="00B75487"/>
    <w:rsid w:val="00B75C0B"/>
    <w:rsid w:val="00B76EB6"/>
    <w:rsid w:val="00B77123"/>
    <w:rsid w:val="00B7737B"/>
    <w:rsid w:val="00B824C8"/>
    <w:rsid w:val="00B91163"/>
    <w:rsid w:val="00B92471"/>
    <w:rsid w:val="00B9771E"/>
    <w:rsid w:val="00BA58FD"/>
    <w:rsid w:val="00BA61C0"/>
    <w:rsid w:val="00BA7049"/>
    <w:rsid w:val="00BB5744"/>
    <w:rsid w:val="00BB6FAD"/>
    <w:rsid w:val="00BC060D"/>
    <w:rsid w:val="00BC251A"/>
    <w:rsid w:val="00BC61F4"/>
    <w:rsid w:val="00BC6DA2"/>
    <w:rsid w:val="00BD032B"/>
    <w:rsid w:val="00BD0D4B"/>
    <w:rsid w:val="00BD3FB7"/>
    <w:rsid w:val="00BD661E"/>
    <w:rsid w:val="00BD75C1"/>
    <w:rsid w:val="00BE2640"/>
    <w:rsid w:val="00BE5B46"/>
    <w:rsid w:val="00BE733A"/>
    <w:rsid w:val="00BF3FAD"/>
    <w:rsid w:val="00C003D5"/>
    <w:rsid w:val="00C01189"/>
    <w:rsid w:val="00C0421F"/>
    <w:rsid w:val="00C37339"/>
    <w:rsid w:val="00C374DE"/>
    <w:rsid w:val="00C41DC2"/>
    <w:rsid w:val="00C45C49"/>
    <w:rsid w:val="00C47AD4"/>
    <w:rsid w:val="00C52D81"/>
    <w:rsid w:val="00C55198"/>
    <w:rsid w:val="00C70643"/>
    <w:rsid w:val="00C733C6"/>
    <w:rsid w:val="00C77FB8"/>
    <w:rsid w:val="00C82908"/>
    <w:rsid w:val="00C83CC6"/>
    <w:rsid w:val="00C948D7"/>
    <w:rsid w:val="00CA6393"/>
    <w:rsid w:val="00CA7657"/>
    <w:rsid w:val="00CB18FF"/>
    <w:rsid w:val="00CB2009"/>
    <w:rsid w:val="00CC650C"/>
    <w:rsid w:val="00CC6CB0"/>
    <w:rsid w:val="00CD0C08"/>
    <w:rsid w:val="00CD6656"/>
    <w:rsid w:val="00CE03FB"/>
    <w:rsid w:val="00CE433C"/>
    <w:rsid w:val="00CE68EC"/>
    <w:rsid w:val="00CF204F"/>
    <w:rsid w:val="00CF33F3"/>
    <w:rsid w:val="00CF721F"/>
    <w:rsid w:val="00CF7C32"/>
    <w:rsid w:val="00D01ADB"/>
    <w:rsid w:val="00D06183"/>
    <w:rsid w:val="00D07ED6"/>
    <w:rsid w:val="00D1066E"/>
    <w:rsid w:val="00D20652"/>
    <w:rsid w:val="00D226D6"/>
    <w:rsid w:val="00D22C42"/>
    <w:rsid w:val="00D23427"/>
    <w:rsid w:val="00D316FE"/>
    <w:rsid w:val="00D338E0"/>
    <w:rsid w:val="00D34C36"/>
    <w:rsid w:val="00D36A86"/>
    <w:rsid w:val="00D377EF"/>
    <w:rsid w:val="00D434D6"/>
    <w:rsid w:val="00D65041"/>
    <w:rsid w:val="00D70724"/>
    <w:rsid w:val="00D75E58"/>
    <w:rsid w:val="00D86908"/>
    <w:rsid w:val="00D90C4B"/>
    <w:rsid w:val="00DA1523"/>
    <w:rsid w:val="00DA59C8"/>
    <w:rsid w:val="00DB384B"/>
    <w:rsid w:val="00DC2848"/>
    <w:rsid w:val="00DC3787"/>
    <w:rsid w:val="00DC4B17"/>
    <w:rsid w:val="00DC65AF"/>
    <w:rsid w:val="00DD12F7"/>
    <w:rsid w:val="00DE408D"/>
    <w:rsid w:val="00DE7F3B"/>
    <w:rsid w:val="00DF0FD5"/>
    <w:rsid w:val="00E03F1F"/>
    <w:rsid w:val="00E0748E"/>
    <w:rsid w:val="00E10E80"/>
    <w:rsid w:val="00E124F0"/>
    <w:rsid w:val="00E162EE"/>
    <w:rsid w:val="00E376CB"/>
    <w:rsid w:val="00E43ACF"/>
    <w:rsid w:val="00E51B00"/>
    <w:rsid w:val="00E53477"/>
    <w:rsid w:val="00E53F55"/>
    <w:rsid w:val="00E54D3A"/>
    <w:rsid w:val="00E60424"/>
    <w:rsid w:val="00E60F04"/>
    <w:rsid w:val="00E67658"/>
    <w:rsid w:val="00E76375"/>
    <w:rsid w:val="00E854E4"/>
    <w:rsid w:val="00E8557B"/>
    <w:rsid w:val="00EA1895"/>
    <w:rsid w:val="00EA586F"/>
    <w:rsid w:val="00EB0D6F"/>
    <w:rsid w:val="00EB2232"/>
    <w:rsid w:val="00EB2847"/>
    <w:rsid w:val="00EB429A"/>
    <w:rsid w:val="00EB5438"/>
    <w:rsid w:val="00EC5337"/>
    <w:rsid w:val="00EC710D"/>
    <w:rsid w:val="00ED5296"/>
    <w:rsid w:val="00ED52CB"/>
    <w:rsid w:val="00ED5DED"/>
    <w:rsid w:val="00ED6175"/>
    <w:rsid w:val="00EE2955"/>
    <w:rsid w:val="00EE3D15"/>
    <w:rsid w:val="00EE6CD6"/>
    <w:rsid w:val="00EF197A"/>
    <w:rsid w:val="00EF4AEC"/>
    <w:rsid w:val="00EF6203"/>
    <w:rsid w:val="00F05DD1"/>
    <w:rsid w:val="00F17477"/>
    <w:rsid w:val="00F2150A"/>
    <w:rsid w:val="00F21C47"/>
    <w:rsid w:val="00F226C4"/>
    <w:rsid w:val="00F231D8"/>
    <w:rsid w:val="00F37F23"/>
    <w:rsid w:val="00F424F1"/>
    <w:rsid w:val="00F46C5F"/>
    <w:rsid w:val="00F557F2"/>
    <w:rsid w:val="00F56F54"/>
    <w:rsid w:val="00F6240F"/>
    <w:rsid w:val="00F65CF6"/>
    <w:rsid w:val="00F74BB0"/>
    <w:rsid w:val="00F76191"/>
    <w:rsid w:val="00F80644"/>
    <w:rsid w:val="00F94A63"/>
    <w:rsid w:val="00F963D0"/>
    <w:rsid w:val="00FA1858"/>
    <w:rsid w:val="00FA1C28"/>
    <w:rsid w:val="00FB1279"/>
    <w:rsid w:val="00FB5F95"/>
    <w:rsid w:val="00FB68FA"/>
    <w:rsid w:val="00FB7596"/>
    <w:rsid w:val="00FC1977"/>
    <w:rsid w:val="00FC5DC2"/>
    <w:rsid w:val="00FC628C"/>
    <w:rsid w:val="00FE4077"/>
    <w:rsid w:val="00FE77D2"/>
    <w:rsid w:val="013DE38E"/>
    <w:rsid w:val="016D41BE"/>
    <w:rsid w:val="061176B6"/>
    <w:rsid w:val="0663AB57"/>
    <w:rsid w:val="06FDBF1F"/>
    <w:rsid w:val="075B1CAC"/>
    <w:rsid w:val="08CB46F1"/>
    <w:rsid w:val="098E537E"/>
    <w:rsid w:val="0C0D5575"/>
    <w:rsid w:val="0CBD7AF2"/>
    <w:rsid w:val="0EF3276C"/>
    <w:rsid w:val="0FA672E7"/>
    <w:rsid w:val="12BFB89D"/>
    <w:rsid w:val="142C0AA9"/>
    <w:rsid w:val="1AA5CDFF"/>
    <w:rsid w:val="1BDF1220"/>
    <w:rsid w:val="21D1A479"/>
    <w:rsid w:val="23391E50"/>
    <w:rsid w:val="23E7E730"/>
    <w:rsid w:val="249A1267"/>
    <w:rsid w:val="256706C7"/>
    <w:rsid w:val="2698B645"/>
    <w:rsid w:val="26A2E48F"/>
    <w:rsid w:val="26B8506B"/>
    <w:rsid w:val="27112910"/>
    <w:rsid w:val="27E86B19"/>
    <w:rsid w:val="28141608"/>
    <w:rsid w:val="298820E7"/>
    <w:rsid w:val="2BE49A33"/>
    <w:rsid w:val="2D84CB4A"/>
    <w:rsid w:val="2DB9D871"/>
    <w:rsid w:val="312A680B"/>
    <w:rsid w:val="321CF252"/>
    <w:rsid w:val="33F36489"/>
    <w:rsid w:val="34039B18"/>
    <w:rsid w:val="35B41CF9"/>
    <w:rsid w:val="377EB828"/>
    <w:rsid w:val="3888F868"/>
    <w:rsid w:val="389B7C09"/>
    <w:rsid w:val="38C4152D"/>
    <w:rsid w:val="38CACE7A"/>
    <w:rsid w:val="39F4BE4A"/>
    <w:rsid w:val="3AB658EA"/>
    <w:rsid w:val="3B616FE6"/>
    <w:rsid w:val="3C09E585"/>
    <w:rsid w:val="3D556D39"/>
    <w:rsid w:val="41D5CD2B"/>
    <w:rsid w:val="42FF8C4F"/>
    <w:rsid w:val="43722CAC"/>
    <w:rsid w:val="43ABDE28"/>
    <w:rsid w:val="43B52DC2"/>
    <w:rsid w:val="46D732F7"/>
    <w:rsid w:val="47DEFDCA"/>
    <w:rsid w:val="48F34D24"/>
    <w:rsid w:val="4A5C96E8"/>
    <w:rsid w:val="4B3EFE05"/>
    <w:rsid w:val="4B8935A9"/>
    <w:rsid w:val="4C134A3F"/>
    <w:rsid w:val="4C8B2135"/>
    <w:rsid w:val="4FB8D884"/>
    <w:rsid w:val="502A3CF3"/>
    <w:rsid w:val="5056A047"/>
    <w:rsid w:val="5149F9E2"/>
    <w:rsid w:val="5200F9E4"/>
    <w:rsid w:val="538EFEFF"/>
    <w:rsid w:val="546215C5"/>
    <w:rsid w:val="57AEC980"/>
    <w:rsid w:val="594A99E1"/>
    <w:rsid w:val="59913CBA"/>
    <w:rsid w:val="5DCDB7D5"/>
    <w:rsid w:val="60BFB456"/>
    <w:rsid w:val="610D1CAB"/>
    <w:rsid w:val="618E02B2"/>
    <w:rsid w:val="61F5F939"/>
    <w:rsid w:val="64ACCE38"/>
    <w:rsid w:val="655D359C"/>
    <w:rsid w:val="66FB617C"/>
    <w:rsid w:val="682E8FED"/>
    <w:rsid w:val="6960BD25"/>
    <w:rsid w:val="6A12B057"/>
    <w:rsid w:val="6A28EDCF"/>
    <w:rsid w:val="6AB60141"/>
    <w:rsid w:val="6B1F9BA7"/>
    <w:rsid w:val="7054330C"/>
    <w:rsid w:val="746A41AF"/>
    <w:rsid w:val="75423A3E"/>
    <w:rsid w:val="7559DFA7"/>
    <w:rsid w:val="7B4A6A77"/>
    <w:rsid w:val="7BCC348B"/>
    <w:rsid w:val="7C2D7D3D"/>
    <w:rsid w:val="7FEE1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04E449"/>
  <w15:docId w15:val="{6E6C1917-5ADE-4B52-ABD0-3E83CAC8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0E322E"/>
    <w:pPr>
      <w:ind w:left="720"/>
      <w:contextualSpacing/>
    </w:pPr>
  </w:style>
  <w:style w:type="paragraph" w:styleId="ListBullet">
    <w:name w:val="List Bullet"/>
    <w:basedOn w:val="Normal"/>
    <w:uiPriority w:val="99"/>
    <w:unhideWhenUsed/>
    <w:rsid w:val="00696781"/>
    <w:pPr>
      <w:numPr>
        <w:numId w:val="10"/>
      </w:numPr>
      <w:tabs>
        <w:tab w:val="clear" w:pos="567"/>
        <w:tab w:val="clear" w:pos="1134"/>
        <w:tab w:val="clear" w:pos="1701"/>
        <w:tab w:val="clear" w:pos="2268"/>
        <w:tab w:val="clear" w:pos="2835"/>
      </w:tabs>
      <w:overflowPunct/>
      <w:autoSpaceDE/>
      <w:autoSpaceDN/>
      <w:adjustRightInd/>
      <w:spacing w:before="0" w:after="60" w:line="281" w:lineRule="auto"/>
      <w:textAlignment w:val="auto"/>
    </w:pPr>
    <w:rPr>
      <w:rFonts w:asciiTheme="minorHAnsi" w:eastAsiaTheme="minorHAnsi" w:hAnsiTheme="minorHAnsi" w:cstheme="minorBidi"/>
      <w:sz w:val="17"/>
      <w:szCs w:val="17"/>
    </w:rPr>
  </w:style>
  <w:style w:type="paragraph" w:customStyle="1" w:styleId="Listnum">
    <w:name w:val="List num"/>
    <w:basedOn w:val="ListBullet"/>
    <w:qFormat/>
    <w:rsid w:val="00696781"/>
    <w:pPr>
      <w:numPr>
        <w:numId w:val="9"/>
      </w:numPr>
    </w:pPr>
    <w:rPr>
      <w:rFonts w:cstheme="minorHAnsi"/>
      <w:bCs/>
      <w:lang w:eastAsia="fr-CH"/>
    </w:rPr>
  </w:style>
  <w:style w:type="paragraph" w:styleId="BalloonText">
    <w:name w:val="Balloon Text"/>
    <w:basedOn w:val="Normal"/>
    <w:link w:val="BalloonTextChar"/>
    <w:semiHidden/>
    <w:unhideWhenUsed/>
    <w:rsid w:val="00460C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60C62"/>
    <w:rPr>
      <w:rFonts w:ascii="Segoe UI" w:hAnsi="Segoe UI" w:cs="Segoe UI"/>
      <w:sz w:val="18"/>
      <w:szCs w:val="18"/>
      <w:lang w:val="en-GB" w:eastAsia="en-US"/>
    </w:rPr>
  </w:style>
  <w:style w:type="table" w:styleId="ListTable3-Accent1">
    <w:name w:val="List Table 3 Accent 1"/>
    <w:basedOn w:val="TableNormal"/>
    <w:uiPriority w:val="48"/>
    <w:rsid w:val="00C45C49"/>
    <w:rPr>
      <w:rFonts w:ascii="Georgia" w:eastAsiaTheme="minorHAnsi" w:hAnsi="Georgia" w:cstheme="minorBidi"/>
      <w:szCs w:val="22"/>
      <w:lang w:eastAsia="en-US"/>
    </w:rPr>
    <w:tblPr>
      <w:tblStyleRowBandSize w:val="1"/>
      <w:tblStyleColBandSize w:val="1"/>
      <w:tblBorders>
        <w:top w:val="single" w:sz="4" w:space="0" w:color="4F81BD" w:themeColor="accent1"/>
        <w:bottom w:val="single" w:sz="4" w:space="0" w:color="4F81BD" w:themeColor="accent1"/>
      </w:tblBorders>
      <w:tblCellMar>
        <w:top w:w="28" w:type="dxa"/>
        <w:bottom w:w="28" w:type="dxa"/>
      </w:tblCellMar>
    </w:tblPr>
    <w:tblStylePr w:type="firstRow">
      <w:pPr>
        <w:wordWrap/>
        <w:spacing w:beforeLines="0" w:before="60" w:beforeAutospacing="0" w:afterLines="0" w:after="60" w:afterAutospacing="0" w:line="281" w:lineRule="auto"/>
        <w:contextualSpacing w:val="0"/>
      </w:pPr>
      <w:rPr>
        <w:b/>
        <w:bCs/>
        <w:color w:val="FFFFFF" w:themeColor="background1"/>
      </w:rPr>
      <w:tblPr/>
      <w:tcPr>
        <w:shd w:val="clear" w:color="auto" w:fill="4F81BD" w:themeFill="accent1"/>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mmentReference">
    <w:name w:val="annotation reference"/>
    <w:basedOn w:val="DefaultParagraphFont"/>
    <w:semiHidden/>
    <w:unhideWhenUsed/>
    <w:rsid w:val="00845BC9"/>
    <w:rPr>
      <w:sz w:val="16"/>
      <w:szCs w:val="16"/>
    </w:rPr>
  </w:style>
  <w:style w:type="paragraph" w:styleId="CommentText">
    <w:name w:val="annotation text"/>
    <w:basedOn w:val="Normal"/>
    <w:link w:val="CommentTextChar"/>
    <w:semiHidden/>
    <w:unhideWhenUsed/>
    <w:rsid w:val="00845BC9"/>
    <w:rPr>
      <w:sz w:val="20"/>
    </w:rPr>
  </w:style>
  <w:style w:type="character" w:customStyle="1" w:styleId="CommentTextChar">
    <w:name w:val="Comment Text Char"/>
    <w:basedOn w:val="DefaultParagraphFont"/>
    <w:link w:val="CommentText"/>
    <w:semiHidden/>
    <w:rsid w:val="00845BC9"/>
    <w:rPr>
      <w:rFonts w:ascii="Calibri" w:hAnsi="Calibri"/>
      <w:lang w:val="en-GB" w:eastAsia="en-US"/>
    </w:rPr>
  </w:style>
  <w:style w:type="paragraph" w:styleId="CommentSubject">
    <w:name w:val="annotation subject"/>
    <w:basedOn w:val="CommentText"/>
    <w:next w:val="CommentText"/>
    <w:link w:val="CommentSubjectChar"/>
    <w:semiHidden/>
    <w:unhideWhenUsed/>
    <w:rsid w:val="00845BC9"/>
    <w:rPr>
      <w:b/>
      <w:bCs/>
    </w:rPr>
  </w:style>
  <w:style w:type="character" w:customStyle="1" w:styleId="CommentSubjectChar">
    <w:name w:val="Comment Subject Char"/>
    <w:basedOn w:val="CommentTextChar"/>
    <w:link w:val="CommentSubject"/>
    <w:semiHidden/>
    <w:rsid w:val="00845BC9"/>
    <w:rPr>
      <w:rFonts w:ascii="Calibri" w:hAnsi="Calibri"/>
      <w:b/>
      <w:bCs/>
      <w:lang w:val="en-GB" w:eastAsia="en-US"/>
    </w:rPr>
  </w:style>
  <w:style w:type="paragraph" w:customStyle="1" w:styleId="Default">
    <w:name w:val="Default"/>
    <w:rsid w:val="00B1123A"/>
    <w:pPr>
      <w:autoSpaceDE w:val="0"/>
      <w:autoSpaceDN w:val="0"/>
      <w:adjustRightInd w:val="0"/>
    </w:pPr>
    <w:rPr>
      <w:rFonts w:ascii="Arial" w:hAnsi="Arial" w:cs="Arial"/>
      <w:color w:val="000000"/>
      <w:sz w:val="24"/>
      <w:szCs w:val="24"/>
      <w:lang w:val="en-GB"/>
    </w:rPr>
  </w:style>
  <w:style w:type="character" w:styleId="Mention">
    <w:name w:val="Mention"/>
    <w:basedOn w:val="DefaultParagraphFont"/>
    <w:uiPriority w:val="99"/>
    <w:unhideWhenUsed/>
    <w:rsid w:val="00493DB3"/>
    <w:rPr>
      <w:color w:val="2B579A"/>
      <w:shd w:val="clear" w:color="auto" w:fill="E6E6E6"/>
    </w:rPr>
  </w:style>
  <w:style w:type="character" w:styleId="UnresolvedMention">
    <w:name w:val="Unresolved Mention"/>
    <w:basedOn w:val="DefaultParagraphFont"/>
    <w:uiPriority w:val="99"/>
    <w:semiHidden/>
    <w:unhideWhenUsed/>
    <w:rsid w:val="00E53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itu.int/md/S21-CWGFHR12-C-0009/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19-CL-C-0133/en" TargetMode="External"/><Relationship Id="rId17" Type="http://schemas.openxmlformats.org/officeDocument/2006/relationships/hyperlink" Target="https://intranet.itu.int/gs/spmd/Communications/Pages/learning.aspx" TargetMode="External"/><Relationship Id="rId2" Type="http://schemas.openxmlformats.org/officeDocument/2006/relationships/customXml" Target="../customXml/item2.xml"/><Relationship Id="rId16" Type="http://schemas.openxmlformats.org/officeDocument/2006/relationships/hyperlink" Target="https://intranet.itu.int/gs/spmd/Communications/Lists/Editorial%20Calendar/calendar.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intranet.itu.int/gs/spmd/Communications/Pages/default.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itu.int/gs/spmd/Communication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4" ma:contentTypeDescription="Create a new document." ma:contentTypeScope="" ma:versionID="0e35f48e31541ab9e4638d617a46a522">
  <xsd:schema xmlns:xsd="http://www.w3.org/2001/XMLSchema" xmlns:xs="http://www.w3.org/2001/XMLSchema" xmlns:p="http://schemas.microsoft.com/office/2006/metadata/properties" xmlns:ns2="860e8ac1-669d-4302-b3e5-2b14f66222e6" targetNamespace="http://schemas.microsoft.com/office/2006/metadata/properties" ma:root="true" ma:fieldsID="762396a41828e76fdc7b7a6bc71ab16f" ns2:_="">
    <xsd:import namespace="860e8ac1-669d-4302-b3e5-2b14f6622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5B686-24C2-48AB-8116-D7645918D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customXml/itemProps3.xml><?xml version="1.0" encoding="utf-8"?>
<ds:datastoreItem xmlns:ds="http://schemas.openxmlformats.org/officeDocument/2006/customXml" ds:itemID="{7A72CC32-17FD-4AEF-9B82-9B1BA7AA6F2B}">
  <ds:schemaRefs>
    <ds:schemaRef ds:uri="http://schemas.microsoft.com/sharepoint/v3/contenttype/forms"/>
  </ds:schemaRefs>
</ds:datastoreItem>
</file>

<file path=customXml/itemProps4.xml><?xml version="1.0" encoding="utf-8"?>
<ds:datastoreItem xmlns:ds="http://schemas.openxmlformats.org/officeDocument/2006/customXml" ds:itemID="{6AE6FBB1-DCBA-45EA-AF52-CD708FC84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8513</Words>
  <Characters>47802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56203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 template</dc:title>
  <dc:subject>Council 2018</dc:subject>
  <dc:creator>Brouard, Ricarda</dc:creator>
  <cp:keywords>C2020, C20</cp:keywords>
  <dc:description/>
  <cp:lastModifiedBy>Brouard, Ricarda</cp:lastModifiedBy>
  <cp:revision>3</cp:revision>
  <cp:lastPrinted>2000-07-18T22:30:00Z</cp:lastPrinted>
  <dcterms:created xsi:type="dcterms:W3CDTF">2020-12-18T17:08:00Z</dcterms:created>
  <dcterms:modified xsi:type="dcterms:W3CDTF">2020-12-23T08:12:00Z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0x0101003026ABB250795C4C864ECEAF98686E60</vt:lpwstr>
  </property>
</Properties>
</file>