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4C03EB" w:rsidRPr="008120C2" w14:paraId="42F4F8C7" w14:textId="77777777" w:rsidTr="00CC450E">
        <w:trPr>
          <w:cantSplit/>
        </w:trPr>
        <w:tc>
          <w:tcPr>
            <w:tcW w:w="6521" w:type="dxa"/>
          </w:tcPr>
          <w:p w14:paraId="397FE413" w14:textId="77777777" w:rsidR="004C03EB" w:rsidRPr="008120C2" w:rsidRDefault="004C03EB" w:rsidP="00CC450E">
            <w:pPr>
              <w:tabs>
                <w:tab w:val="clear" w:pos="567"/>
                <w:tab w:val="clear" w:pos="1134"/>
                <w:tab w:val="clear" w:pos="1701"/>
                <w:tab w:val="clear" w:pos="2268"/>
                <w:tab w:val="clear" w:pos="2835"/>
              </w:tabs>
              <w:overflowPunct/>
              <w:autoSpaceDE/>
              <w:autoSpaceDN/>
              <w:adjustRightInd/>
              <w:spacing w:before="240" w:after="48"/>
              <w:textAlignment w:val="auto"/>
              <w:rPr>
                <w:rFonts w:eastAsia="SimSun"/>
                <w:b/>
                <w:position w:val="6"/>
                <w:sz w:val="30"/>
                <w:szCs w:val="30"/>
                <w:lang w:val="en-US" w:eastAsia="zh-CN"/>
              </w:rPr>
            </w:pPr>
            <w:bookmarkStart w:id="0" w:name="dsource" w:colFirst="0" w:colLast="0"/>
            <w:r w:rsidRPr="008120C2">
              <w:rPr>
                <w:rFonts w:eastAsia="SimSun"/>
                <w:b/>
                <w:position w:val="6"/>
                <w:sz w:val="30"/>
                <w:szCs w:val="30"/>
                <w:lang w:val="en-US" w:eastAsia="zh-CN"/>
              </w:rPr>
              <w:t xml:space="preserve">Council Working Group on </w:t>
            </w:r>
            <w:r w:rsidRPr="008120C2">
              <w:rPr>
                <w:rFonts w:eastAsia="SimSun"/>
                <w:b/>
                <w:position w:val="6"/>
                <w:sz w:val="30"/>
                <w:szCs w:val="30"/>
                <w:lang w:val="en-US" w:eastAsia="zh-CN"/>
              </w:rPr>
              <w:br/>
              <w:t>Financial and Human Resources</w:t>
            </w:r>
          </w:p>
          <w:p w14:paraId="7A5D9294" w14:textId="77777777" w:rsidR="004C03EB" w:rsidRPr="008120C2" w:rsidRDefault="004C03EB" w:rsidP="00CC450E">
            <w:pPr>
              <w:tabs>
                <w:tab w:val="clear" w:pos="567"/>
                <w:tab w:val="clear" w:pos="1134"/>
                <w:tab w:val="clear" w:pos="1701"/>
                <w:tab w:val="clear" w:pos="2268"/>
                <w:tab w:val="clear" w:pos="2835"/>
              </w:tabs>
              <w:overflowPunct/>
              <w:autoSpaceDE/>
              <w:autoSpaceDN/>
              <w:adjustRightInd/>
              <w:spacing w:before="0" w:after="120"/>
              <w:textAlignment w:val="auto"/>
              <w:rPr>
                <w:rFonts w:eastAsia="SimSun"/>
                <w:b/>
                <w:position w:val="6"/>
                <w:sz w:val="22"/>
                <w:szCs w:val="22"/>
                <w:lang w:val="en-US" w:eastAsia="zh-CN"/>
              </w:rPr>
            </w:pPr>
            <w:r w:rsidRPr="008120C2">
              <w:rPr>
                <w:rFonts w:eastAsia="SimSun" w:cs="Times New Roman Bold"/>
                <w:b/>
                <w:sz w:val="22"/>
                <w:szCs w:val="24"/>
                <w:lang w:val="en-US" w:eastAsia="zh-CN"/>
              </w:rPr>
              <w:t xml:space="preserve">Twelfth meeting </w:t>
            </w:r>
            <w:r w:rsidRPr="008120C2">
              <w:rPr>
                <w:rFonts w:eastAsia="Calibri" w:cs="Calibri"/>
                <w:b/>
                <w:color w:val="000000"/>
                <w:sz w:val="22"/>
                <w:szCs w:val="24"/>
                <w:lang w:val="en-US" w:eastAsia="zh-CN"/>
              </w:rPr>
              <w:t>–</w:t>
            </w:r>
            <w:r w:rsidRPr="008120C2">
              <w:rPr>
                <w:rFonts w:eastAsia="SimSun" w:cs="Times New Roman Bold"/>
                <w:b/>
                <w:sz w:val="22"/>
                <w:szCs w:val="24"/>
                <w:lang w:val="en-US" w:eastAsia="zh-CN"/>
              </w:rPr>
              <w:t xml:space="preserve"> Virtual, 25-26 January 2021</w:t>
            </w:r>
          </w:p>
        </w:tc>
        <w:tc>
          <w:tcPr>
            <w:tcW w:w="3793" w:type="dxa"/>
          </w:tcPr>
          <w:p w14:paraId="72CD2442" w14:textId="77777777" w:rsidR="004C03EB" w:rsidRPr="008120C2" w:rsidRDefault="004C03EB" w:rsidP="00CC450E">
            <w:pPr>
              <w:tabs>
                <w:tab w:val="clear" w:pos="567"/>
                <w:tab w:val="clear" w:pos="1134"/>
                <w:tab w:val="clear" w:pos="1701"/>
                <w:tab w:val="clear" w:pos="2268"/>
                <w:tab w:val="clear" w:pos="2835"/>
              </w:tabs>
              <w:overflowPunct/>
              <w:autoSpaceDE/>
              <w:autoSpaceDN/>
              <w:adjustRightInd/>
              <w:spacing w:line="240" w:lineRule="atLeast"/>
              <w:textAlignment w:val="auto"/>
              <w:rPr>
                <w:rFonts w:ascii="Arial" w:eastAsia="SimSun" w:hAnsi="Arial"/>
                <w:sz w:val="22"/>
                <w:szCs w:val="24"/>
                <w:lang w:val="en-US" w:eastAsia="zh-CN"/>
              </w:rPr>
            </w:pPr>
            <w:bookmarkStart w:id="1" w:name="ditulogo"/>
            <w:bookmarkEnd w:id="1"/>
            <w:r w:rsidRPr="008120C2">
              <w:rPr>
                <w:rFonts w:ascii="Arial" w:eastAsia="SimSun" w:hAnsi="Arial"/>
                <w:noProof/>
                <w:sz w:val="22"/>
                <w:szCs w:val="24"/>
                <w:lang w:eastAsia="zh-CN"/>
              </w:rPr>
              <w:drawing>
                <wp:inline distT="0" distB="0" distL="0" distR="0" wp14:anchorId="70044D47" wp14:editId="70158145">
                  <wp:extent cx="6156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4C03EB" w:rsidRPr="008120C2" w14:paraId="456CF003" w14:textId="77777777" w:rsidTr="00CC450E">
        <w:trPr>
          <w:cantSplit/>
        </w:trPr>
        <w:tc>
          <w:tcPr>
            <w:tcW w:w="6521" w:type="dxa"/>
            <w:tcBorders>
              <w:top w:val="single" w:sz="12" w:space="0" w:color="auto"/>
            </w:tcBorders>
          </w:tcPr>
          <w:p w14:paraId="4AF8CD6C" w14:textId="77777777" w:rsidR="004C03EB" w:rsidRPr="008120C2" w:rsidRDefault="004C03EB" w:rsidP="00CC450E">
            <w:pPr>
              <w:tabs>
                <w:tab w:val="clear" w:pos="567"/>
                <w:tab w:val="clear" w:pos="1134"/>
                <w:tab w:val="clear" w:pos="1701"/>
                <w:tab w:val="clear" w:pos="2268"/>
                <w:tab w:val="clear" w:pos="2835"/>
              </w:tabs>
              <w:overflowPunct/>
              <w:autoSpaceDE/>
              <w:autoSpaceDN/>
              <w:adjustRightInd/>
              <w:snapToGrid w:val="0"/>
              <w:spacing w:before="0"/>
              <w:textAlignment w:val="auto"/>
              <w:rPr>
                <w:rFonts w:ascii="Arial" w:eastAsia="SimSun" w:hAnsi="Arial"/>
                <w:b/>
                <w:smallCaps/>
                <w:sz w:val="22"/>
                <w:szCs w:val="24"/>
                <w:lang w:val="en-US" w:eastAsia="zh-CN"/>
              </w:rPr>
            </w:pPr>
          </w:p>
        </w:tc>
        <w:tc>
          <w:tcPr>
            <w:tcW w:w="3793" w:type="dxa"/>
            <w:tcBorders>
              <w:top w:val="single" w:sz="12" w:space="0" w:color="auto"/>
            </w:tcBorders>
          </w:tcPr>
          <w:p w14:paraId="45ED8DFD" w14:textId="77777777" w:rsidR="004C03EB" w:rsidRPr="008120C2" w:rsidRDefault="004C03EB" w:rsidP="00CC450E">
            <w:pPr>
              <w:tabs>
                <w:tab w:val="clear" w:pos="567"/>
                <w:tab w:val="clear" w:pos="1134"/>
                <w:tab w:val="clear" w:pos="1701"/>
                <w:tab w:val="clear" w:pos="2268"/>
                <w:tab w:val="clear" w:pos="2835"/>
              </w:tabs>
              <w:overflowPunct/>
              <w:autoSpaceDE/>
              <w:autoSpaceDN/>
              <w:adjustRightInd/>
              <w:snapToGrid w:val="0"/>
              <w:spacing w:before="0"/>
              <w:ind w:left="209"/>
              <w:textAlignment w:val="auto"/>
              <w:rPr>
                <w:rFonts w:ascii="Verdana" w:eastAsia="SimSun" w:hAnsi="Verdana"/>
                <w:sz w:val="22"/>
                <w:szCs w:val="24"/>
                <w:lang w:val="en-US" w:eastAsia="zh-CN"/>
              </w:rPr>
            </w:pPr>
          </w:p>
        </w:tc>
      </w:tr>
      <w:tr w:rsidR="004C03EB" w:rsidRPr="008120C2" w14:paraId="7856E8F4" w14:textId="77777777" w:rsidTr="00CC450E">
        <w:trPr>
          <w:cantSplit/>
          <w:trHeight w:val="23"/>
        </w:trPr>
        <w:tc>
          <w:tcPr>
            <w:tcW w:w="6521" w:type="dxa"/>
            <w:vMerge w:val="restart"/>
          </w:tcPr>
          <w:p w14:paraId="7F407967" w14:textId="77777777" w:rsidR="004C03EB" w:rsidRPr="008120C2" w:rsidRDefault="004C03EB" w:rsidP="00CC450E">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bookmarkStart w:id="2" w:name="dmeeting" w:colFirst="0" w:colLast="0"/>
            <w:bookmarkStart w:id="3" w:name="dnum" w:colFirst="1" w:colLast="1"/>
          </w:p>
        </w:tc>
        <w:tc>
          <w:tcPr>
            <w:tcW w:w="3793" w:type="dxa"/>
          </w:tcPr>
          <w:p w14:paraId="677E6E36" w14:textId="5B1C0557" w:rsidR="004C03EB" w:rsidRPr="008120C2" w:rsidRDefault="004C03EB" w:rsidP="00CC450E">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cs="Times New Roman Bold"/>
                <w:b/>
                <w:spacing w:val="-4"/>
                <w:szCs w:val="24"/>
                <w:lang w:val="de-CH" w:eastAsia="zh-CN"/>
              </w:rPr>
            </w:pPr>
            <w:r w:rsidRPr="008120C2">
              <w:rPr>
                <w:rFonts w:eastAsia="SimSun" w:cs="Times New Roman Bold"/>
                <w:b/>
                <w:spacing w:val="-4"/>
                <w:szCs w:val="24"/>
                <w:lang w:val="de-CH" w:eastAsia="zh-CN"/>
              </w:rPr>
              <w:t>Document CWG-FHR-12/</w:t>
            </w:r>
            <w:r>
              <w:rPr>
                <w:rFonts w:eastAsia="SimSun" w:cs="Times New Roman Bold"/>
                <w:b/>
                <w:spacing w:val="-4"/>
                <w:szCs w:val="24"/>
                <w:lang w:val="de-CH" w:eastAsia="zh-CN"/>
              </w:rPr>
              <w:t>12</w:t>
            </w:r>
          </w:p>
        </w:tc>
      </w:tr>
      <w:tr w:rsidR="004C03EB" w:rsidRPr="008120C2" w14:paraId="181E2CAF" w14:textId="77777777" w:rsidTr="00CC450E">
        <w:trPr>
          <w:cantSplit/>
          <w:trHeight w:val="23"/>
        </w:trPr>
        <w:tc>
          <w:tcPr>
            <w:tcW w:w="6521" w:type="dxa"/>
            <w:vMerge/>
          </w:tcPr>
          <w:p w14:paraId="3933C297" w14:textId="77777777" w:rsidR="004C03EB" w:rsidRPr="008120C2" w:rsidRDefault="004C03EB" w:rsidP="00CC450E">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de-CH" w:eastAsia="zh-CN"/>
              </w:rPr>
            </w:pPr>
            <w:bookmarkStart w:id="4" w:name="ddate" w:colFirst="1" w:colLast="1"/>
            <w:bookmarkEnd w:id="2"/>
            <w:bookmarkEnd w:id="3"/>
          </w:p>
        </w:tc>
        <w:tc>
          <w:tcPr>
            <w:tcW w:w="3793" w:type="dxa"/>
          </w:tcPr>
          <w:p w14:paraId="11BCEEB4" w14:textId="77777777" w:rsidR="004C03EB" w:rsidRPr="008120C2" w:rsidRDefault="004C03EB" w:rsidP="00CC450E">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b/>
                <w:szCs w:val="24"/>
                <w:lang w:val="en-US" w:eastAsia="zh-CN"/>
              </w:rPr>
            </w:pPr>
            <w:r w:rsidRPr="008120C2">
              <w:rPr>
                <w:rFonts w:eastAsia="SimSun"/>
                <w:b/>
                <w:szCs w:val="24"/>
                <w:lang w:val="en-US" w:eastAsia="zh-CN"/>
              </w:rPr>
              <w:t>1</w:t>
            </w:r>
            <w:r>
              <w:rPr>
                <w:rFonts w:eastAsia="SimSun"/>
                <w:b/>
                <w:szCs w:val="24"/>
                <w:lang w:val="en-US" w:eastAsia="zh-CN"/>
              </w:rPr>
              <w:t>8</w:t>
            </w:r>
            <w:r w:rsidRPr="008120C2">
              <w:rPr>
                <w:rFonts w:eastAsia="SimSun"/>
                <w:b/>
                <w:szCs w:val="24"/>
                <w:lang w:val="en-US" w:eastAsia="zh-CN"/>
              </w:rPr>
              <w:t xml:space="preserve"> December 2020</w:t>
            </w:r>
          </w:p>
        </w:tc>
      </w:tr>
      <w:tr w:rsidR="004C03EB" w:rsidRPr="008120C2" w14:paraId="2F086480" w14:textId="77777777" w:rsidTr="00CC450E">
        <w:trPr>
          <w:cantSplit/>
          <w:trHeight w:val="80"/>
        </w:trPr>
        <w:tc>
          <w:tcPr>
            <w:tcW w:w="6521" w:type="dxa"/>
            <w:vMerge/>
          </w:tcPr>
          <w:p w14:paraId="58A4FF61" w14:textId="77777777" w:rsidR="004C03EB" w:rsidRPr="008120C2" w:rsidRDefault="004C03EB" w:rsidP="00CC450E">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bookmarkStart w:id="5" w:name="dorlang" w:colFirst="1" w:colLast="1"/>
            <w:bookmarkEnd w:id="4"/>
          </w:p>
        </w:tc>
        <w:tc>
          <w:tcPr>
            <w:tcW w:w="3793" w:type="dxa"/>
          </w:tcPr>
          <w:p w14:paraId="4CE602DB" w14:textId="77777777" w:rsidR="004C03EB" w:rsidRPr="008120C2" w:rsidRDefault="004C03EB" w:rsidP="00CC450E">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b/>
                <w:szCs w:val="24"/>
                <w:lang w:val="en-US" w:eastAsia="zh-CN"/>
              </w:rPr>
            </w:pPr>
            <w:r w:rsidRPr="008120C2">
              <w:rPr>
                <w:rFonts w:eastAsia="SimSun"/>
                <w:b/>
                <w:szCs w:val="24"/>
                <w:lang w:val="en-US" w:eastAsia="zh-CN"/>
              </w:rPr>
              <w:t>English only</w:t>
            </w:r>
          </w:p>
        </w:tc>
      </w:tr>
      <w:bookmarkEnd w:id="5"/>
    </w:tbl>
    <w:p w14:paraId="35526BFB" w14:textId="1451D189" w:rsidR="004C03EB" w:rsidRDefault="004C03EB">
      <w:pPr>
        <w:rPr>
          <w:b/>
        </w:rPr>
      </w:pPr>
    </w:p>
    <w:p w14:paraId="53E9EA4D" w14:textId="77777777" w:rsidR="004C03EB" w:rsidRDefault="004C03EB" w:rsidP="004C03EB">
      <w:pPr>
        <w:jc w:val="center"/>
        <w:rPr>
          <w:b/>
          <w:bCs/>
          <w:sz w:val="28"/>
          <w:szCs w:val="28"/>
          <w:lang w:val="en-US"/>
        </w:rPr>
      </w:pPr>
    </w:p>
    <w:p w14:paraId="21E027B9" w14:textId="3628BD10" w:rsidR="004C03EB" w:rsidRPr="004C03EB" w:rsidRDefault="004C03EB" w:rsidP="004C03EB">
      <w:pPr>
        <w:jc w:val="center"/>
        <w:rPr>
          <w:b/>
          <w:bCs/>
          <w:sz w:val="28"/>
          <w:szCs w:val="28"/>
        </w:rPr>
      </w:pPr>
      <w:r w:rsidRPr="004C03EB">
        <w:rPr>
          <w:b/>
          <w:bCs/>
          <w:sz w:val="28"/>
          <w:szCs w:val="28"/>
          <w:lang w:val="en-US"/>
        </w:rPr>
        <w:t>Contribution by the Secretariat</w:t>
      </w:r>
    </w:p>
    <w:p w14:paraId="2A9EC41B" w14:textId="27D60B6A" w:rsidR="004C03EB" w:rsidRDefault="004C03EB">
      <w:pPr>
        <w:rPr>
          <w:b/>
        </w:rPr>
      </w:pPr>
    </w:p>
    <w:p w14:paraId="59809F8C" w14:textId="15B52353" w:rsidR="004C03EB" w:rsidRPr="004C03EB" w:rsidRDefault="004C03EB" w:rsidP="004C03EB">
      <w:pPr>
        <w:rPr>
          <w:b/>
          <w:sz w:val="28"/>
          <w:szCs w:val="28"/>
        </w:rPr>
      </w:pPr>
      <w:r w:rsidRPr="004C03EB">
        <w:rPr>
          <w:sz w:val="28"/>
          <w:szCs w:val="28"/>
          <w:lang w:val="en-US"/>
        </w:rPr>
        <w:t>IMPACT OF THE COVID-19 PANDEMIC ON THE FUNCTIONING AND ACTIVITIES OF ITU</w:t>
      </w:r>
    </w:p>
    <w:bookmarkEnd w:id="0"/>
    <w:p w14:paraId="30FDF5F4" w14:textId="77777777" w:rsidR="002A2188" w:rsidRPr="00DA050C" w:rsidRDefault="002A2188" w:rsidP="002A2188">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5D148E" w14:paraId="05B87E97" w14:textId="77777777" w:rsidTr="00704E26">
        <w:trPr>
          <w:trHeight w:val="3372"/>
        </w:trPr>
        <w:tc>
          <w:tcPr>
            <w:tcW w:w="8080" w:type="dxa"/>
            <w:tcBorders>
              <w:top w:val="single" w:sz="12" w:space="0" w:color="auto"/>
              <w:left w:val="single" w:sz="12" w:space="0" w:color="auto"/>
              <w:bottom w:val="single" w:sz="12" w:space="0" w:color="auto"/>
              <w:right w:val="single" w:sz="12" w:space="0" w:color="auto"/>
            </w:tcBorders>
          </w:tcPr>
          <w:p w14:paraId="19D162F1" w14:textId="77777777" w:rsidR="00B468C4" w:rsidRPr="00D31EFB" w:rsidRDefault="00B468C4" w:rsidP="004B2483">
            <w:pPr>
              <w:pStyle w:val="Headingb"/>
              <w:spacing w:before="120" w:after="120"/>
              <w:rPr>
                <w:rFonts w:asciiTheme="minorHAnsi" w:hAnsiTheme="minorHAnsi" w:cstheme="minorHAnsi"/>
                <w:szCs w:val="24"/>
                <w:lang w:val="en-US"/>
              </w:rPr>
            </w:pPr>
            <w:r w:rsidRPr="00D31EFB">
              <w:rPr>
                <w:rFonts w:asciiTheme="minorHAnsi" w:hAnsiTheme="minorHAnsi" w:cstheme="minorHAnsi"/>
                <w:szCs w:val="24"/>
                <w:lang w:val="en-US"/>
              </w:rPr>
              <w:t>Summary</w:t>
            </w:r>
          </w:p>
          <w:p w14:paraId="50ED3799" w14:textId="77777777" w:rsidR="0038389E" w:rsidRPr="00D31EFB" w:rsidRDefault="0038389E" w:rsidP="004B32CE">
            <w:pPr>
              <w:pStyle w:val="Headingb"/>
              <w:tabs>
                <w:tab w:val="clear" w:pos="567"/>
                <w:tab w:val="clear" w:pos="1134"/>
                <w:tab w:val="clear" w:pos="1701"/>
                <w:tab w:val="clear" w:pos="2268"/>
                <w:tab w:val="clear" w:pos="2835"/>
              </w:tabs>
              <w:spacing w:before="120" w:after="120"/>
              <w:ind w:left="0" w:firstLine="0"/>
              <w:jc w:val="both"/>
              <w:rPr>
                <w:rFonts w:asciiTheme="minorHAnsi" w:hAnsiTheme="minorHAnsi" w:cstheme="minorHAnsi"/>
                <w:b w:val="0"/>
                <w:szCs w:val="24"/>
                <w:lang w:val="en-US"/>
              </w:rPr>
            </w:pPr>
            <w:r w:rsidRPr="00D31EFB">
              <w:rPr>
                <w:rFonts w:asciiTheme="minorHAnsi" w:hAnsiTheme="minorHAnsi" w:cstheme="minorHAnsi"/>
                <w:b w:val="0"/>
                <w:szCs w:val="24"/>
                <w:lang w:val="en-US"/>
              </w:rPr>
              <w:t>This document summarizes the impact of the current coronavirus (COVID-19) pandemic on the functioning and activities of ITU, new initiatives and work programmes implemented, and measures introduced in response to COVID-19.</w:t>
            </w:r>
          </w:p>
          <w:p w14:paraId="340597EA" w14:textId="4665F823" w:rsidR="00B468C4" w:rsidRPr="00D31EFB" w:rsidRDefault="00B468C4" w:rsidP="004B2483">
            <w:pPr>
              <w:pStyle w:val="Headingb"/>
              <w:tabs>
                <w:tab w:val="clear" w:pos="567"/>
                <w:tab w:val="clear" w:pos="1134"/>
                <w:tab w:val="clear" w:pos="1701"/>
                <w:tab w:val="clear" w:pos="2268"/>
                <w:tab w:val="clear" w:pos="2835"/>
              </w:tabs>
              <w:spacing w:before="120" w:after="120"/>
              <w:ind w:left="0" w:firstLine="0"/>
              <w:rPr>
                <w:rFonts w:asciiTheme="minorHAnsi" w:hAnsiTheme="minorHAnsi" w:cstheme="minorHAnsi"/>
                <w:szCs w:val="24"/>
                <w:lang w:val="en-US"/>
              </w:rPr>
            </w:pPr>
            <w:r w:rsidRPr="00D31EFB">
              <w:rPr>
                <w:rFonts w:asciiTheme="minorHAnsi" w:hAnsiTheme="minorHAnsi" w:cstheme="minorHAnsi"/>
                <w:szCs w:val="24"/>
                <w:lang w:val="en-US"/>
              </w:rPr>
              <w:t>Action required</w:t>
            </w:r>
          </w:p>
          <w:p w14:paraId="1EFCF3E7" w14:textId="4A0BB602" w:rsidR="0038389E" w:rsidRPr="00D31EFB" w:rsidRDefault="004B2483" w:rsidP="004B2483">
            <w:pPr>
              <w:pStyle w:val="Table"/>
              <w:keepNext w:val="0"/>
              <w:spacing w:before="120"/>
              <w:jc w:val="left"/>
              <w:rPr>
                <w:rFonts w:asciiTheme="minorHAnsi" w:hAnsiTheme="minorHAnsi" w:cstheme="minorHAnsi"/>
                <w:caps w:val="0"/>
                <w:szCs w:val="24"/>
                <w:lang w:val="en-US"/>
              </w:rPr>
            </w:pPr>
            <w:r w:rsidRPr="00D31EFB">
              <w:rPr>
                <w:rFonts w:asciiTheme="minorHAnsi" w:hAnsiTheme="minorHAnsi" w:cstheme="minorHAnsi"/>
                <w:caps w:val="0"/>
                <w:szCs w:val="24"/>
              </w:rPr>
              <w:t xml:space="preserve">The Council is invited </w:t>
            </w:r>
            <w:r w:rsidRPr="00D31EFB">
              <w:rPr>
                <w:rFonts w:asciiTheme="minorHAnsi" w:hAnsiTheme="minorHAnsi" w:cstheme="minorHAnsi"/>
                <w:b/>
                <w:bCs/>
                <w:caps w:val="0"/>
                <w:szCs w:val="24"/>
              </w:rPr>
              <w:t>to take note</w:t>
            </w:r>
            <w:r w:rsidRPr="00D31EFB">
              <w:rPr>
                <w:rFonts w:asciiTheme="minorHAnsi" w:hAnsiTheme="minorHAnsi" w:cstheme="minorHAnsi"/>
                <w:caps w:val="0"/>
                <w:szCs w:val="24"/>
              </w:rPr>
              <w:t xml:space="preserve"> of</w:t>
            </w:r>
            <w:r w:rsidRPr="00D31EFB">
              <w:rPr>
                <w:rFonts w:asciiTheme="minorHAnsi" w:hAnsiTheme="minorHAnsi" w:cstheme="minorHAnsi"/>
                <w:b/>
                <w:bCs/>
                <w:caps w:val="0"/>
                <w:szCs w:val="24"/>
              </w:rPr>
              <w:t xml:space="preserve"> </w:t>
            </w:r>
            <w:r w:rsidRPr="00D31EFB">
              <w:rPr>
                <w:rFonts w:asciiTheme="minorHAnsi" w:hAnsiTheme="minorHAnsi" w:cstheme="minorHAnsi"/>
                <w:caps w:val="0"/>
                <w:szCs w:val="24"/>
              </w:rPr>
              <w:t>this document.</w:t>
            </w:r>
          </w:p>
          <w:p w14:paraId="1BCDF244" w14:textId="225B2DE8" w:rsidR="00B468C4" w:rsidRPr="005D148E" w:rsidRDefault="00B468C4" w:rsidP="004B2483">
            <w:pPr>
              <w:pStyle w:val="Table"/>
              <w:keepNext w:val="0"/>
              <w:spacing w:before="120"/>
              <w:jc w:val="left"/>
              <w:rPr>
                <w:rFonts w:asciiTheme="minorHAnsi" w:hAnsiTheme="minorHAnsi" w:cstheme="minorHAnsi"/>
                <w:caps w:val="0"/>
                <w:szCs w:val="24"/>
                <w:lang w:val="fr-CH"/>
              </w:rPr>
            </w:pPr>
            <w:r w:rsidRPr="005D148E">
              <w:rPr>
                <w:rFonts w:asciiTheme="minorHAnsi" w:hAnsiTheme="minorHAnsi" w:cstheme="minorHAnsi"/>
                <w:caps w:val="0"/>
                <w:szCs w:val="24"/>
                <w:lang w:val="fr-CH"/>
              </w:rPr>
              <w:t>____________</w:t>
            </w:r>
          </w:p>
          <w:p w14:paraId="46D3CFD4" w14:textId="77777777" w:rsidR="00B468C4" w:rsidRPr="005D148E" w:rsidRDefault="00B468C4" w:rsidP="004B2483">
            <w:pPr>
              <w:pStyle w:val="Headingb"/>
              <w:spacing w:before="120" w:after="120"/>
              <w:rPr>
                <w:rFonts w:asciiTheme="minorHAnsi" w:hAnsiTheme="minorHAnsi" w:cstheme="minorHAnsi"/>
                <w:szCs w:val="24"/>
                <w:lang w:val="fr-CH"/>
              </w:rPr>
            </w:pPr>
            <w:proofErr w:type="spellStart"/>
            <w:r w:rsidRPr="005D148E">
              <w:rPr>
                <w:rFonts w:asciiTheme="minorHAnsi" w:hAnsiTheme="minorHAnsi" w:cstheme="minorHAnsi"/>
                <w:szCs w:val="24"/>
                <w:lang w:val="fr-CH"/>
              </w:rPr>
              <w:t>References</w:t>
            </w:r>
            <w:proofErr w:type="spellEnd"/>
          </w:p>
          <w:p w14:paraId="46D8C98A" w14:textId="0591E6CA" w:rsidR="002A2188" w:rsidRPr="005D148E" w:rsidRDefault="005D148E" w:rsidP="004B2483">
            <w:pPr>
              <w:spacing w:after="120"/>
              <w:rPr>
                <w:rFonts w:asciiTheme="minorHAnsi" w:hAnsiTheme="minorHAnsi" w:cstheme="minorHAnsi"/>
                <w:szCs w:val="24"/>
                <w:lang w:val="fr-CH"/>
              </w:rPr>
            </w:pPr>
            <w:hyperlink r:id="rId12" w:history="1">
              <w:r w:rsidRPr="005D148E">
                <w:rPr>
                  <w:rStyle w:val="Hyperlink"/>
                  <w:rFonts w:asciiTheme="minorHAnsi" w:hAnsiTheme="minorHAnsi" w:cstheme="minorHAnsi"/>
                  <w:szCs w:val="24"/>
                  <w:lang w:val="fr-CH"/>
                </w:rPr>
                <w:t>Document VC/13</w:t>
              </w:r>
            </w:hyperlink>
            <w:r w:rsidRPr="005D148E">
              <w:rPr>
                <w:rStyle w:val="Hyperlink"/>
                <w:rFonts w:asciiTheme="minorHAnsi" w:hAnsiTheme="minorHAnsi" w:cstheme="minorHAnsi"/>
                <w:szCs w:val="24"/>
                <w:lang w:val="fr-CH"/>
              </w:rPr>
              <w:t xml:space="preserve">, </w:t>
            </w:r>
            <w:hyperlink r:id="rId13" w:history="1">
              <w:r w:rsidRPr="005D148E">
                <w:rPr>
                  <w:rStyle w:val="Hyperlink"/>
                  <w:rFonts w:asciiTheme="minorHAnsi" w:hAnsiTheme="minorHAnsi" w:cstheme="minorHAnsi"/>
                  <w:szCs w:val="24"/>
                  <w:lang w:val="fr-CH"/>
                </w:rPr>
                <w:t>Document VC/13(Rev.1)</w:t>
              </w:r>
            </w:hyperlink>
          </w:p>
        </w:tc>
      </w:tr>
    </w:tbl>
    <w:p w14:paraId="4E2B7209" w14:textId="3BCB1C52" w:rsidR="00840983" w:rsidRPr="00D31EFB" w:rsidRDefault="00840983" w:rsidP="00450DEF">
      <w:pPr>
        <w:pStyle w:val="Heading2"/>
        <w:tabs>
          <w:tab w:val="clear" w:pos="567"/>
          <w:tab w:val="clear" w:pos="1134"/>
          <w:tab w:val="clear" w:pos="1701"/>
          <w:tab w:val="clear" w:pos="2268"/>
          <w:tab w:val="clear" w:pos="2835"/>
          <w:tab w:val="left" w:pos="851"/>
        </w:tabs>
        <w:spacing w:before="360" w:after="120"/>
        <w:ind w:left="0" w:firstLine="0"/>
        <w:jc w:val="both"/>
        <w:rPr>
          <w:rFonts w:asciiTheme="minorHAnsi" w:hAnsiTheme="minorHAnsi" w:cstheme="minorHAnsi"/>
          <w:color w:val="000000"/>
          <w:szCs w:val="24"/>
        </w:rPr>
      </w:pPr>
      <w:bookmarkStart w:id="6" w:name="dstart"/>
      <w:bookmarkStart w:id="7" w:name="dbreak"/>
      <w:bookmarkEnd w:id="6"/>
      <w:bookmarkEnd w:id="7"/>
      <w:r w:rsidRPr="00D31EFB">
        <w:rPr>
          <w:rFonts w:asciiTheme="minorHAnsi" w:hAnsiTheme="minorHAnsi" w:cstheme="minorHAnsi"/>
          <w:color w:val="000000"/>
          <w:szCs w:val="24"/>
        </w:rPr>
        <w:t>1.</w:t>
      </w:r>
      <w:r w:rsidRPr="00D31EFB">
        <w:rPr>
          <w:rFonts w:asciiTheme="minorHAnsi" w:hAnsiTheme="minorHAnsi" w:cstheme="minorHAnsi"/>
          <w:color w:val="000000"/>
          <w:szCs w:val="24"/>
        </w:rPr>
        <w:tab/>
        <w:t>Introduction</w:t>
      </w:r>
    </w:p>
    <w:p w14:paraId="73C29F34" w14:textId="77777777"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highlight w:val="yellow"/>
        </w:rPr>
      </w:pPr>
      <w:r w:rsidRPr="00D31EFB">
        <w:rPr>
          <w:rFonts w:asciiTheme="minorHAnsi" w:hAnsiTheme="minorHAnsi" w:cstheme="minorHAnsi"/>
          <w:szCs w:val="24"/>
        </w:rPr>
        <w:t>1.1.</w:t>
      </w:r>
      <w:r w:rsidRPr="00D31EFB">
        <w:rPr>
          <w:rFonts w:asciiTheme="minorHAnsi" w:hAnsiTheme="minorHAnsi" w:cstheme="minorHAnsi"/>
          <w:szCs w:val="24"/>
        </w:rPr>
        <w:tab/>
        <w:t xml:space="preserve">The coronavirus (COVID-19) was declared a Public Health Emergency of International Concern by the UN on 30 January 2020 and subsequently declared a pandemic on 11 March 2020. The world is now in an unprecedented situation under COVID-19. </w:t>
      </w:r>
      <w:bookmarkStart w:id="8" w:name="_Hlk37079845"/>
      <w:r w:rsidRPr="00D31EFB">
        <w:rPr>
          <w:rFonts w:asciiTheme="minorHAnsi" w:hAnsiTheme="minorHAnsi" w:cstheme="minorHAnsi"/>
          <w:szCs w:val="24"/>
        </w:rPr>
        <w:t>Isolation measures, national and local lockdowns, and the adoption of home teleworking and remote learning have boosted demand for telecom/ICT services very suddenly. The telecom/ICT sector has so far responded well to meet the unprecedented surge in demand, keeping the world connected, and offering critical support to the medical system and others.</w:t>
      </w:r>
    </w:p>
    <w:bookmarkEnd w:id="8"/>
    <w:p w14:paraId="0C62893A" w14:textId="3759F472" w:rsidR="00840983" w:rsidRPr="00D31EFB" w:rsidRDefault="00840983" w:rsidP="00450DEF">
      <w:pPr>
        <w:pStyle w:val="Heading2"/>
        <w:tabs>
          <w:tab w:val="clear" w:pos="567"/>
          <w:tab w:val="clear" w:pos="1134"/>
          <w:tab w:val="clear" w:pos="1701"/>
          <w:tab w:val="clear" w:pos="2268"/>
          <w:tab w:val="clear" w:pos="2835"/>
          <w:tab w:val="left" w:pos="851"/>
        </w:tabs>
        <w:spacing w:before="120" w:after="120"/>
        <w:ind w:left="0" w:firstLine="0"/>
        <w:jc w:val="both"/>
        <w:rPr>
          <w:rFonts w:asciiTheme="minorHAnsi" w:hAnsiTheme="minorHAnsi" w:cstheme="minorHAnsi"/>
          <w:color w:val="000000"/>
          <w:szCs w:val="24"/>
        </w:rPr>
      </w:pPr>
      <w:r w:rsidRPr="00D31EFB">
        <w:rPr>
          <w:rFonts w:asciiTheme="minorHAnsi" w:hAnsiTheme="minorHAnsi" w:cstheme="minorHAnsi"/>
          <w:szCs w:val="24"/>
        </w:rPr>
        <w:t>2</w:t>
      </w:r>
      <w:r w:rsidRPr="00D31EFB">
        <w:rPr>
          <w:rFonts w:asciiTheme="minorHAnsi" w:hAnsiTheme="minorHAnsi" w:cstheme="minorHAnsi"/>
          <w:color w:val="000000"/>
          <w:szCs w:val="24"/>
        </w:rPr>
        <w:t>.</w:t>
      </w:r>
      <w:r w:rsidRPr="00D31EFB">
        <w:rPr>
          <w:rFonts w:asciiTheme="minorHAnsi" w:hAnsiTheme="minorHAnsi" w:cstheme="minorHAnsi"/>
          <w:iCs/>
          <w:szCs w:val="24"/>
        </w:rPr>
        <w:tab/>
      </w:r>
      <w:r w:rsidRPr="00D31EFB">
        <w:rPr>
          <w:rFonts w:asciiTheme="minorHAnsi" w:hAnsiTheme="minorHAnsi" w:cstheme="minorHAnsi"/>
          <w:color w:val="000000"/>
          <w:szCs w:val="24"/>
        </w:rPr>
        <w:t>ITU New Initiatives and Work Programmes related to COVID-19</w:t>
      </w:r>
    </w:p>
    <w:p w14:paraId="3B3728F2" w14:textId="79836C07"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2.1</w:t>
      </w:r>
      <w:r w:rsidRPr="00D31EFB">
        <w:rPr>
          <w:rFonts w:asciiTheme="minorHAnsi" w:hAnsiTheme="minorHAnsi" w:cstheme="minorHAnsi"/>
          <w:szCs w:val="24"/>
        </w:rPr>
        <w:tab/>
        <w:t xml:space="preserve">ITU </w:t>
      </w:r>
      <w:r w:rsidR="007838F5">
        <w:rPr>
          <w:rFonts w:asciiTheme="minorHAnsi" w:hAnsiTheme="minorHAnsi" w:cstheme="minorHAnsi"/>
          <w:szCs w:val="24"/>
        </w:rPr>
        <w:t>launched</w:t>
      </w:r>
      <w:r w:rsidRPr="00D31EFB">
        <w:rPr>
          <w:rFonts w:asciiTheme="minorHAnsi" w:hAnsiTheme="minorHAnsi" w:cstheme="minorHAnsi"/>
          <w:szCs w:val="24"/>
        </w:rPr>
        <w:t xml:space="preserve"> a number of new initiatives in response to COVID-19 and work programmes relevant in the current situation. The </w:t>
      </w:r>
      <w:r w:rsidRPr="00D31EFB">
        <w:rPr>
          <w:rFonts w:asciiTheme="minorHAnsi" w:hAnsiTheme="minorHAnsi" w:cstheme="minorHAnsi"/>
          <w:szCs w:val="24"/>
          <w:shd w:val="clear" w:color="auto" w:fill="FFFFFF"/>
        </w:rPr>
        <w:t xml:space="preserve">ITU </w:t>
      </w:r>
      <w:hyperlink r:id="rId14" w:history="1">
        <w:r w:rsidRPr="00D31EFB">
          <w:rPr>
            <w:rStyle w:val="Hyperlink"/>
            <w:rFonts w:asciiTheme="minorHAnsi" w:hAnsiTheme="minorHAnsi" w:cstheme="minorHAnsi"/>
            <w:szCs w:val="24"/>
          </w:rPr>
          <w:t>COVID-19 Updates</w:t>
        </w:r>
      </w:hyperlink>
      <w:r w:rsidRPr="00D31EFB">
        <w:rPr>
          <w:rFonts w:asciiTheme="minorHAnsi" w:hAnsiTheme="minorHAnsi" w:cstheme="minorHAnsi"/>
          <w:szCs w:val="24"/>
        </w:rPr>
        <w:t xml:space="preserve"> webpage </w:t>
      </w:r>
      <w:r w:rsidRPr="00D31EFB">
        <w:rPr>
          <w:rFonts w:asciiTheme="minorHAnsi" w:hAnsiTheme="minorHAnsi" w:cstheme="minorHAnsi"/>
          <w:szCs w:val="24"/>
          <w:shd w:val="clear" w:color="auto" w:fill="FFFFFF"/>
        </w:rPr>
        <w:t>highlights all ITU initiatives, events, products, and partnerships related to COVID-19.</w:t>
      </w:r>
    </w:p>
    <w:p w14:paraId="4E2AB291" w14:textId="3A92B200"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2.2</w:t>
      </w:r>
      <w:r w:rsidRPr="00D31EFB">
        <w:rPr>
          <w:rFonts w:asciiTheme="minorHAnsi" w:hAnsiTheme="minorHAnsi" w:cstheme="minorHAnsi"/>
          <w:szCs w:val="24"/>
        </w:rPr>
        <w:tab/>
        <w:t xml:space="preserve">In March 2020, ITU launched a </w:t>
      </w:r>
      <w:hyperlink r:id="rId15" w:history="1">
        <w:r w:rsidRPr="00D31EFB">
          <w:rPr>
            <w:rStyle w:val="Hyperlink"/>
            <w:rFonts w:asciiTheme="minorHAnsi" w:hAnsiTheme="minorHAnsi" w:cstheme="minorHAnsi"/>
            <w:szCs w:val="24"/>
          </w:rPr>
          <w:t>Global Network Resiliency Platform (#REG4COVID)</w:t>
        </w:r>
      </w:hyperlink>
      <w:r w:rsidRPr="00D31EFB">
        <w:rPr>
          <w:rFonts w:asciiTheme="minorHAnsi" w:hAnsiTheme="minorHAnsi" w:cstheme="minorHAnsi"/>
          <w:szCs w:val="24"/>
        </w:rPr>
        <w:t xml:space="preserve"> to help regulators, policy-makers, and telecom companies deal with the stress being put on telecommunication networks as more countries, companies, and individuals turn to digital technologies to respond to and cope with the impact of COVID</w:t>
      </w:r>
      <w:r w:rsidRPr="00D31EFB">
        <w:rPr>
          <w:rFonts w:asciiTheme="minorHAnsi" w:hAnsiTheme="minorHAnsi" w:cstheme="minorHAnsi"/>
          <w:szCs w:val="24"/>
        </w:rPr>
        <w:noBreakHyphen/>
        <w:t>19.</w:t>
      </w:r>
    </w:p>
    <w:p w14:paraId="714F0DA2" w14:textId="77777777" w:rsidR="001665E2" w:rsidRPr="00D31EFB" w:rsidRDefault="001665E2" w:rsidP="00131F5C">
      <w:pPr>
        <w:shd w:val="clear" w:color="auto" w:fill="FFFFFF"/>
        <w:spacing w:after="120"/>
        <w:jc w:val="both"/>
        <w:rPr>
          <w:rFonts w:asciiTheme="minorHAnsi" w:hAnsiTheme="minorHAnsi" w:cstheme="minorHAnsi"/>
          <w:szCs w:val="24"/>
          <w:u w:val="single"/>
        </w:rPr>
      </w:pPr>
      <w:r w:rsidRPr="00D31EFB">
        <w:rPr>
          <w:rFonts w:asciiTheme="minorHAnsi" w:hAnsiTheme="minorHAnsi" w:cstheme="minorHAnsi"/>
          <w:szCs w:val="24"/>
        </w:rPr>
        <w:t xml:space="preserve">The platform provides an overview of key initiatives that shared on the #REG4COVID platform. </w:t>
      </w:r>
      <w:hyperlink r:id="rId16" w:history="1">
        <w:r w:rsidRPr="00D31EFB">
          <w:rPr>
            <w:rStyle w:val="Hyperlink"/>
            <w:rFonts w:eastAsiaTheme="minorEastAsia" w:cstheme="minorHAnsi"/>
            <w:bCs/>
            <w:spacing w:val="-2"/>
            <w:szCs w:val="24"/>
          </w:rPr>
          <w:t>https://www.itu.int/en/ITU-D/Regulatory-Market/Documents/REG4COVID/2020/Summary_Key_Covid19_Initiatives.pdf</w:t>
        </w:r>
      </w:hyperlink>
    </w:p>
    <w:p w14:paraId="075224E3" w14:textId="27081007" w:rsidR="001665E2" w:rsidRPr="00D31EFB" w:rsidRDefault="001665E2" w:rsidP="001665E2">
      <w:pPr>
        <w:shd w:val="clear" w:color="auto" w:fill="FFFFFF"/>
        <w:jc w:val="both"/>
        <w:rPr>
          <w:rFonts w:asciiTheme="minorHAnsi" w:hAnsiTheme="minorHAnsi" w:cstheme="minorHAnsi"/>
          <w:szCs w:val="24"/>
        </w:rPr>
      </w:pPr>
      <w:r w:rsidRPr="00D31EFB">
        <w:rPr>
          <w:rFonts w:asciiTheme="minorHAnsi" w:hAnsiTheme="minorHAnsi" w:cstheme="minorHAnsi"/>
          <w:szCs w:val="24"/>
        </w:rPr>
        <w:lastRenderedPageBreak/>
        <w:t xml:space="preserve">From </w:t>
      </w:r>
      <w:r w:rsidR="007838F5">
        <w:rPr>
          <w:rFonts w:asciiTheme="minorHAnsi" w:hAnsiTheme="minorHAnsi" w:cstheme="minorHAnsi"/>
          <w:szCs w:val="24"/>
        </w:rPr>
        <w:t>over</w:t>
      </w:r>
      <w:r w:rsidRPr="00D31EFB">
        <w:rPr>
          <w:rFonts w:asciiTheme="minorHAnsi" w:hAnsiTheme="minorHAnsi" w:cstheme="minorHAnsi"/>
          <w:szCs w:val="24"/>
        </w:rPr>
        <w:t xml:space="preserve"> 400 submissions received, ITU </w:t>
      </w:r>
      <w:r w:rsidR="007838F5">
        <w:rPr>
          <w:rFonts w:asciiTheme="minorHAnsi" w:hAnsiTheme="minorHAnsi" w:cstheme="minorHAnsi"/>
          <w:szCs w:val="24"/>
        </w:rPr>
        <w:t>has</w:t>
      </w:r>
      <w:r w:rsidRPr="00D31EFB">
        <w:rPr>
          <w:rFonts w:asciiTheme="minorHAnsi" w:hAnsiTheme="minorHAnsi" w:cstheme="minorHAnsi"/>
          <w:szCs w:val="24"/>
        </w:rPr>
        <w:t xml:space="preserve"> provided analysis reports available at the links:</w:t>
      </w:r>
    </w:p>
    <w:p w14:paraId="7B4A7C38" w14:textId="77777777" w:rsidR="00D31EFB" w:rsidRPr="00D31EFB" w:rsidRDefault="005D148E" w:rsidP="00D31EFB">
      <w:pPr>
        <w:pStyle w:val="ListParagraph"/>
        <w:numPr>
          <w:ilvl w:val="0"/>
          <w:numId w:val="7"/>
        </w:numPr>
        <w:shd w:val="clear" w:color="auto" w:fill="FFFFFF"/>
        <w:tabs>
          <w:tab w:val="clear" w:pos="567"/>
        </w:tabs>
        <w:spacing w:after="120"/>
        <w:ind w:left="567" w:hanging="283"/>
        <w:jc w:val="both"/>
        <w:rPr>
          <w:rStyle w:val="Hyperlink"/>
          <w:rFonts w:eastAsiaTheme="minorEastAsia" w:cstheme="minorHAnsi"/>
          <w:bCs/>
          <w:spacing w:val="-2"/>
          <w:szCs w:val="24"/>
        </w:rPr>
      </w:pPr>
      <w:hyperlink r:id="rId17" w:history="1">
        <w:r w:rsidR="001665E2" w:rsidRPr="00D31EFB">
          <w:rPr>
            <w:rStyle w:val="Hyperlink"/>
            <w:rFonts w:eastAsiaTheme="minorEastAsia" w:cstheme="minorHAnsi"/>
            <w:bCs/>
            <w:spacing w:val="-2"/>
            <w:szCs w:val="24"/>
          </w:rPr>
          <w:t>https://reg4covid.itu.int/wp-content/uploads/2020/06/ITU_COVID-19_and_Telecom-ICT.pdf</w:t>
        </w:r>
      </w:hyperlink>
    </w:p>
    <w:p w14:paraId="2BB60A98" w14:textId="732EAC94" w:rsidR="001665E2" w:rsidRPr="00D31EFB" w:rsidRDefault="005D148E" w:rsidP="00D31EFB">
      <w:pPr>
        <w:pStyle w:val="ListParagraph"/>
        <w:numPr>
          <w:ilvl w:val="0"/>
          <w:numId w:val="7"/>
        </w:numPr>
        <w:shd w:val="clear" w:color="auto" w:fill="FFFFFF"/>
        <w:tabs>
          <w:tab w:val="clear" w:pos="567"/>
          <w:tab w:val="clear" w:pos="1134"/>
          <w:tab w:val="clear" w:pos="1701"/>
          <w:tab w:val="clear" w:pos="2268"/>
          <w:tab w:val="clear" w:pos="2835"/>
        </w:tabs>
        <w:overflowPunct/>
        <w:autoSpaceDE/>
        <w:autoSpaceDN/>
        <w:adjustRightInd/>
        <w:spacing w:before="0"/>
        <w:ind w:left="567" w:hanging="283"/>
        <w:jc w:val="both"/>
        <w:rPr>
          <w:rFonts w:asciiTheme="minorHAnsi" w:hAnsiTheme="minorHAnsi" w:cstheme="minorHAnsi"/>
          <w:spacing w:val="-2"/>
          <w:szCs w:val="24"/>
          <w:u w:val="single"/>
        </w:rPr>
      </w:pPr>
      <w:hyperlink r:id="rId18" w:history="1">
        <w:r w:rsidR="00D31EFB" w:rsidRPr="004857AC">
          <w:rPr>
            <w:rStyle w:val="Hyperlink"/>
            <w:rFonts w:asciiTheme="minorHAnsi" w:eastAsiaTheme="minorEastAsia" w:hAnsiTheme="minorHAnsi" w:cstheme="minorHAnsi"/>
            <w:bCs/>
            <w:szCs w:val="24"/>
          </w:rPr>
          <w:t>https://reg4covid.itu.int/wp-content/uploads/2020/05/ICTsector-response.jpg</w:t>
        </w:r>
      </w:hyperlink>
    </w:p>
    <w:p w14:paraId="571138AB" w14:textId="33DFACF7"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2.3</w:t>
      </w:r>
      <w:r w:rsidRPr="00D31EFB">
        <w:rPr>
          <w:rFonts w:asciiTheme="minorHAnsi" w:hAnsiTheme="minorHAnsi" w:cstheme="minorHAnsi"/>
          <w:szCs w:val="24"/>
        </w:rPr>
        <w:tab/>
        <w:t xml:space="preserve">In his recent speaking opportunities, the ITU Secretary-General </w:t>
      </w:r>
      <w:r w:rsidR="009876E8">
        <w:rPr>
          <w:rFonts w:asciiTheme="minorHAnsi" w:hAnsiTheme="minorHAnsi" w:cstheme="minorHAnsi"/>
          <w:szCs w:val="24"/>
        </w:rPr>
        <w:t xml:space="preserve">has </w:t>
      </w:r>
      <w:r w:rsidRPr="00D31EFB">
        <w:rPr>
          <w:rFonts w:asciiTheme="minorHAnsi" w:hAnsiTheme="minorHAnsi" w:cstheme="minorHAnsi"/>
          <w:szCs w:val="24"/>
        </w:rPr>
        <w:t>highlighted the importance of ICT contributions to the social and economic development and</w:t>
      </w:r>
      <w:r w:rsidR="007838F5">
        <w:rPr>
          <w:rFonts w:asciiTheme="minorHAnsi" w:hAnsiTheme="minorHAnsi" w:cstheme="minorHAnsi"/>
          <w:szCs w:val="24"/>
        </w:rPr>
        <w:t xml:space="preserve"> the</w:t>
      </w:r>
      <w:r w:rsidRPr="00D31EFB">
        <w:rPr>
          <w:rFonts w:asciiTheme="minorHAnsi" w:hAnsiTheme="minorHAnsi" w:cstheme="minorHAnsi"/>
          <w:szCs w:val="24"/>
        </w:rPr>
        <w:t xml:space="preserve"> fight against COVID-19. He has called</w:t>
      </w:r>
      <w:r w:rsidR="009876E8">
        <w:rPr>
          <w:rFonts w:asciiTheme="minorHAnsi" w:hAnsiTheme="minorHAnsi" w:cstheme="minorHAnsi"/>
          <w:szCs w:val="24"/>
        </w:rPr>
        <w:t xml:space="preserve"> the attention</w:t>
      </w:r>
      <w:r w:rsidRPr="00D31EFB">
        <w:rPr>
          <w:rFonts w:asciiTheme="minorHAnsi" w:hAnsiTheme="minorHAnsi" w:cstheme="minorHAnsi"/>
          <w:szCs w:val="24"/>
        </w:rPr>
        <w:t xml:space="preserve"> o</w:t>
      </w:r>
      <w:r w:rsidR="009876E8">
        <w:rPr>
          <w:rFonts w:asciiTheme="minorHAnsi" w:hAnsiTheme="minorHAnsi" w:cstheme="minorHAnsi"/>
          <w:szCs w:val="24"/>
        </w:rPr>
        <w:t>f</w:t>
      </w:r>
      <w:r w:rsidRPr="00D31EFB">
        <w:rPr>
          <w:rFonts w:asciiTheme="minorHAnsi" w:hAnsiTheme="minorHAnsi" w:cstheme="minorHAnsi"/>
          <w:szCs w:val="24"/>
        </w:rPr>
        <w:t xml:space="preserve"> ITU members to the positive contribution of ICT to the world and the negative consequences of digital divide; efforts need to be </w:t>
      </w:r>
      <w:r w:rsidR="009876E8">
        <w:rPr>
          <w:rFonts w:asciiTheme="minorHAnsi" w:hAnsiTheme="minorHAnsi" w:cstheme="minorHAnsi"/>
          <w:szCs w:val="24"/>
        </w:rPr>
        <w:t>redoubled</w:t>
      </w:r>
      <w:r w:rsidRPr="00D31EFB">
        <w:rPr>
          <w:rFonts w:asciiTheme="minorHAnsi" w:hAnsiTheme="minorHAnsi" w:cstheme="minorHAnsi"/>
          <w:szCs w:val="24"/>
        </w:rPr>
        <w:t xml:space="preserve"> to connect those not connected yet; and more investments in ICT must be encouraged, in particular to bring ICT benefits to those not connected yet sooner rather later. </w:t>
      </w:r>
    </w:p>
    <w:p w14:paraId="0C8DD30C" w14:textId="33AF24E5"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2.</w:t>
      </w:r>
      <w:r w:rsidR="007838F5">
        <w:rPr>
          <w:rFonts w:asciiTheme="minorHAnsi" w:hAnsiTheme="minorHAnsi" w:cstheme="minorHAnsi"/>
          <w:szCs w:val="24"/>
        </w:rPr>
        <w:t>4</w:t>
      </w:r>
      <w:r w:rsidRPr="00D31EFB">
        <w:rPr>
          <w:rFonts w:asciiTheme="minorHAnsi" w:hAnsiTheme="minorHAnsi" w:cstheme="minorHAnsi"/>
          <w:szCs w:val="24"/>
        </w:rPr>
        <w:tab/>
        <w:t xml:space="preserve">ITU joined the World Bank, GSMA, and the World Economic Forum in setting in motion concrete and immediate actions ranging from promoting network resilience to ensuring access and affordability of digital services. A </w:t>
      </w:r>
      <w:hyperlink r:id="rId19" w:history="1">
        <w:r w:rsidRPr="00D31EFB">
          <w:rPr>
            <w:rStyle w:val="Hyperlink"/>
            <w:rFonts w:asciiTheme="minorHAnsi" w:hAnsiTheme="minorHAnsi" w:cstheme="minorHAnsi"/>
            <w:szCs w:val="24"/>
          </w:rPr>
          <w:t>Digital Development Joint Action Plan and Call for Action</w:t>
        </w:r>
      </w:hyperlink>
      <w:r w:rsidRPr="00D31EFB">
        <w:rPr>
          <w:rFonts w:asciiTheme="minorHAnsi" w:hAnsiTheme="minorHAnsi" w:cstheme="minorHAnsi"/>
          <w:szCs w:val="24"/>
        </w:rPr>
        <w:t xml:space="preserve"> were launched.</w:t>
      </w:r>
    </w:p>
    <w:p w14:paraId="3CAC4C55" w14:textId="61272E9F" w:rsidR="00D11E05" w:rsidRPr="00D31EFB" w:rsidRDefault="00016A2D"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2.</w:t>
      </w:r>
      <w:r w:rsidR="007838F5">
        <w:rPr>
          <w:rFonts w:asciiTheme="minorHAnsi" w:hAnsiTheme="minorHAnsi" w:cstheme="minorHAnsi"/>
          <w:szCs w:val="24"/>
        </w:rPr>
        <w:t>5</w:t>
      </w:r>
      <w:r w:rsidRPr="00D31EFB">
        <w:rPr>
          <w:rFonts w:asciiTheme="minorHAnsi" w:hAnsiTheme="minorHAnsi" w:cstheme="minorHAnsi"/>
          <w:szCs w:val="24"/>
        </w:rPr>
        <w:tab/>
      </w:r>
      <w:r w:rsidR="00D11E05" w:rsidRPr="00D31EFB">
        <w:rPr>
          <w:rFonts w:asciiTheme="minorHAnsi" w:hAnsiTheme="minorHAnsi" w:cstheme="minorHAnsi"/>
          <w:noProof/>
          <w:szCs w:val="24"/>
        </w:rPr>
        <w:t xml:space="preserve">ITU jointly organized a number of forums including the USG/Special Advisor Fabrizio Hochschild’s office </w:t>
      </w:r>
      <w:hyperlink r:id="rId20" w:history="1">
        <w:r w:rsidR="00D11E05" w:rsidRPr="00D31EFB">
          <w:rPr>
            <w:rStyle w:val="Hyperlink"/>
            <w:rFonts w:asciiTheme="minorHAnsi" w:hAnsiTheme="minorHAnsi" w:cstheme="minorHAnsi"/>
            <w:szCs w:val="24"/>
          </w:rPr>
          <w:t>webinars</w:t>
        </w:r>
      </w:hyperlink>
      <w:r w:rsidR="00D11E05" w:rsidRPr="00744BF2">
        <w:rPr>
          <w:rStyle w:val="Hyperlink"/>
          <w:rFonts w:asciiTheme="minorHAnsi" w:hAnsiTheme="minorHAnsi" w:cstheme="minorHAnsi"/>
          <w:color w:val="auto"/>
          <w:szCs w:val="24"/>
          <w:u w:val="none"/>
        </w:rPr>
        <w:t xml:space="preserve">, </w:t>
      </w:r>
      <w:r w:rsidR="00D11E05" w:rsidRPr="00D31EFB">
        <w:rPr>
          <w:rFonts w:asciiTheme="minorHAnsi" w:hAnsiTheme="minorHAnsi" w:cstheme="minorHAnsi"/>
          <w:noProof/>
          <w:szCs w:val="24"/>
        </w:rPr>
        <w:t>under the overall theme: “Digital Cooperation in the crisis of COVID19”, to assess the situation of connectivity in different regions, direct focus to actions required in response to the COVID-19 emergency and further reduce the digital gap.</w:t>
      </w:r>
    </w:p>
    <w:p w14:paraId="679B2509" w14:textId="10F2D2C6" w:rsidR="009649F7" w:rsidRPr="00D31EFB" w:rsidRDefault="00016A2D"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bookmarkStart w:id="9" w:name="_Hlk53420913"/>
      <w:r w:rsidRPr="00D31EFB">
        <w:rPr>
          <w:rFonts w:asciiTheme="minorHAnsi" w:hAnsiTheme="minorHAnsi" w:cstheme="minorHAnsi"/>
          <w:szCs w:val="24"/>
        </w:rPr>
        <w:t>2.</w:t>
      </w:r>
      <w:bookmarkEnd w:id="9"/>
      <w:r w:rsidR="007838F5">
        <w:rPr>
          <w:rFonts w:asciiTheme="minorHAnsi" w:hAnsiTheme="minorHAnsi" w:cstheme="minorHAnsi"/>
          <w:szCs w:val="24"/>
        </w:rPr>
        <w:t>6</w:t>
      </w:r>
      <w:r w:rsidRPr="00D31EFB">
        <w:rPr>
          <w:rFonts w:asciiTheme="minorHAnsi" w:hAnsiTheme="minorHAnsi" w:cstheme="minorHAnsi"/>
          <w:szCs w:val="24"/>
        </w:rPr>
        <w:tab/>
        <w:t>W</w:t>
      </w:r>
      <w:r w:rsidR="006E4D55" w:rsidRPr="00D31EFB">
        <w:rPr>
          <w:rFonts w:asciiTheme="minorHAnsi" w:hAnsiTheme="minorHAnsi" w:cstheme="minorHAnsi"/>
          <w:szCs w:val="24"/>
        </w:rPr>
        <w:t>ithin the framework of the UN75 Global Governance Forum</w:t>
      </w:r>
      <w:r w:rsidR="009649F7" w:rsidRPr="00D31EFB">
        <w:rPr>
          <w:rFonts w:asciiTheme="minorHAnsi" w:hAnsiTheme="minorHAnsi" w:cstheme="minorHAnsi"/>
          <w:szCs w:val="24"/>
        </w:rPr>
        <w:t>,</w:t>
      </w:r>
      <w:r w:rsidR="006E4D55" w:rsidRPr="00D31EFB">
        <w:rPr>
          <w:rFonts w:asciiTheme="minorHAnsi" w:hAnsiTheme="minorHAnsi" w:cstheme="minorHAnsi"/>
          <w:szCs w:val="24"/>
        </w:rPr>
        <w:t xml:space="preserve"> ITU convened </w:t>
      </w:r>
      <w:r w:rsidR="009649F7" w:rsidRPr="00D31EFB">
        <w:rPr>
          <w:rFonts w:asciiTheme="minorHAnsi" w:hAnsiTheme="minorHAnsi" w:cstheme="minorHAnsi"/>
          <w:szCs w:val="24"/>
        </w:rPr>
        <w:t>the</w:t>
      </w:r>
      <w:r w:rsidR="006E4D55" w:rsidRPr="00D31EFB">
        <w:rPr>
          <w:rFonts w:asciiTheme="minorHAnsi" w:hAnsiTheme="minorHAnsi" w:cstheme="minorHAnsi"/>
          <w:szCs w:val="24"/>
        </w:rPr>
        <w:t xml:space="preserve"> Partnership Dialogue</w:t>
      </w:r>
      <w:r w:rsidR="009649F7" w:rsidRPr="00D31EFB">
        <w:rPr>
          <w:rFonts w:asciiTheme="minorHAnsi" w:hAnsiTheme="minorHAnsi" w:cstheme="minorHAnsi"/>
          <w:szCs w:val="24"/>
        </w:rPr>
        <w:t xml:space="preserve"> for Connectivity, comprising </w:t>
      </w:r>
      <w:r w:rsidRPr="00D31EFB">
        <w:rPr>
          <w:rFonts w:asciiTheme="minorHAnsi" w:hAnsiTheme="minorHAnsi" w:cstheme="minorHAnsi"/>
          <w:szCs w:val="24"/>
        </w:rPr>
        <w:t xml:space="preserve">the </w:t>
      </w:r>
      <w:r w:rsidR="009649F7" w:rsidRPr="00D31EFB">
        <w:rPr>
          <w:rFonts w:asciiTheme="minorHAnsi" w:hAnsiTheme="minorHAnsi" w:cstheme="minorHAnsi"/>
          <w:szCs w:val="24"/>
        </w:rPr>
        <w:t>EMEA Satellite Operators Association</w:t>
      </w:r>
      <w:r w:rsidRPr="00D31EFB">
        <w:rPr>
          <w:rFonts w:asciiTheme="minorHAnsi" w:hAnsiTheme="minorHAnsi" w:cstheme="minorHAnsi"/>
          <w:szCs w:val="24"/>
        </w:rPr>
        <w:t xml:space="preserve"> (ESOA)</w:t>
      </w:r>
      <w:r w:rsidR="009649F7" w:rsidRPr="00D31EFB">
        <w:rPr>
          <w:rFonts w:asciiTheme="minorHAnsi" w:hAnsiTheme="minorHAnsi" w:cstheme="minorHAnsi"/>
          <w:szCs w:val="24"/>
        </w:rPr>
        <w:t xml:space="preserve">, Facebook, GSMA, Loon, Microsoft, SpaceX, UN Global Compact, UNICEF and the World Economic Forum, which agreed concrete actions to </w:t>
      </w:r>
      <w:hyperlink r:id="rId21" w:history="1">
        <w:r w:rsidR="009649F7" w:rsidRPr="00D31EFB">
          <w:rPr>
            <w:rStyle w:val="Hyperlink"/>
            <w:rFonts w:asciiTheme="minorHAnsi" w:hAnsiTheme="minorHAnsi" w:cstheme="minorHAnsi"/>
            <w:szCs w:val="24"/>
          </w:rPr>
          <w:t>Accelerate Digital Connectivity in the Wake of COVID-19</w:t>
        </w:r>
      </w:hyperlink>
      <w:r w:rsidR="009649F7" w:rsidRPr="00D31EFB">
        <w:rPr>
          <w:rFonts w:asciiTheme="minorHAnsi" w:hAnsiTheme="minorHAnsi" w:cstheme="minorHAnsi"/>
          <w:szCs w:val="24"/>
        </w:rPr>
        <w:t xml:space="preserve">. </w:t>
      </w:r>
    </w:p>
    <w:p w14:paraId="37E6245D" w14:textId="4E8CB817"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2.</w:t>
      </w:r>
      <w:r w:rsidR="007838F5">
        <w:rPr>
          <w:rFonts w:asciiTheme="minorHAnsi" w:hAnsiTheme="minorHAnsi" w:cstheme="minorHAnsi"/>
          <w:szCs w:val="24"/>
        </w:rPr>
        <w:t>7</w:t>
      </w:r>
      <w:r w:rsidRPr="00D31EFB">
        <w:rPr>
          <w:rFonts w:asciiTheme="minorHAnsi" w:hAnsiTheme="minorHAnsi" w:cstheme="minorHAnsi"/>
          <w:szCs w:val="24"/>
        </w:rPr>
        <w:tab/>
        <w:t xml:space="preserve">ITU and WHO, with support from UNICEF, are working with telecommunication companies to </w:t>
      </w:r>
      <w:hyperlink r:id="rId22" w:history="1">
        <w:r w:rsidRPr="00D31EFB">
          <w:rPr>
            <w:rStyle w:val="Hyperlink"/>
            <w:rFonts w:asciiTheme="minorHAnsi" w:hAnsiTheme="minorHAnsi" w:cstheme="minorHAnsi"/>
            <w:szCs w:val="24"/>
          </w:rPr>
          <w:t>text people directly on their mobile phones</w:t>
        </w:r>
      </w:hyperlink>
      <w:r w:rsidRPr="00D31EFB">
        <w:rPr>
          <w:rFonts w:asciiTheme="minorHAnsi" w:hAnsiTheme="minorHAnsi" w:cstheme="minorHAnsi"/>
          <w:szCs w:val="24"/>
        </w:rPr>
        <w:t xml:space="preserve"> with vital health messaging to help protect them from COVID-19. This initiative builds on the joint WHO-ITU </w:t>
      </w:r>
      <w:proofErr w:type="spellStart"/>
      <w:r w:rsidRPr="00D31EFB">
        <w:rPr>
          <w:rFonts w:asciiTheme="minorHAnsi" w:hAnsiTheme="minorHAnsi" w:cstheme="minorHAnsi"/>
          <w:szCs w:val="24"/>
        </w:rPr>
        <w:t>BeHealthy</w:t>
      </w:r>
      <w:proofErr w:type="spellEnd"/>
      <w:r w:rsidRPr="00D31EFB">
        <w:rPr>
          <w:rFonts w:asciiTheme="minorHAnsi" w:hAnsiTheme="minorHAnsi" w:cstheme="minorHAnsi"/>
          <w:szCs w:val="24"/>
        </w:rPr>
        <w:t xml:space="preserve">, </w:t>
      </w:r>
      <w:proofErr w:type="spellStart"/>
      <w:r w:rsidRPr="00D31EFB">
        <w:rPr>
          <w:rFonts w:asciiTheme="minorHAnsi" w:hAnsiTheme="minorHAnsi" w:cstheme="minorHAnsi"/>
          <w:szCs w:val="24"/>
        </w:rPr>
        <w:t>BeMobile</w:t>
      </w:r>
      <w:proofErr w:type="spellEnd"/>
      <w:r w:rsidRPr="00D31EFB">
        <w:rPr>
          <w:rFonts w:asciiTheme="minorHAnsi" w:hAnsiTheme="minorHAnsi" w:cstheme="minorHAnsi"/>
          <w:szCs w:val="24"/>
        </w:rPr>
        <w:t xml:space="preserve"> initiative.</w:t>
      </w:r>
    </w:p>
    <w:p w14:paraId="130DD5AF" w14:textId="077F331C"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2.</w:t>
      </w:r>
      <w:r w:rsidR="007838F5">
        <w:rPr>
          <w:rFonts w:asciiTheme="minorHAnsi" w:hAnsiTheme="minorHAnsi" w:cstheme="minorHAnsi"/>
          <w:szCs w:val="24"/>
        </w:rPr>
        <w:t>8</w:t>
      </w:r>
      <w:r w:rsidRPr="00D31EFB">
        <w:rPr>
          <w:rFonts w:asciiTheme="minorHAnsi" w:hAnsiTheme="minorHAnsi" w:cstheme="minorHAnsi"/>
          <w:szCs w:val="24"/>
        </w:rPr>
        <w:tab/>
        <w:t xml:space="preserve">ITU has launched </w:t>
      </w:r>
      <w:hyperlink r:id="rId23" w:history="1">
        <w:r w:rsidRPr="00D31EFB">
          <w:rPr>
            <w:rStyle w:val="Hyperlink"/>
            <w:rFonts w:asciiTheme="minorHAnsi" w:hAnsiTheme="minorHAnsi" w:cstheme="minorHAnsi"/>
            <w:szCs w:val="24"/>
          </w:rPr>
          <w:t>new guidelines</w:t>
        </w:r>
      </w:hyperlink>
      <w:r w:rsidRPr="00D31EFB">
        <w:rPr>
          <w:rFonts w:asciiTheme="minorHAnsi" w:hAnsiTheme="minorHAnsi" w:cstheme="minorHAnsi"/>
          <w:szCs w:val="24"/>
        </w:rPr>
        <w:t xml:space="preserve"> to assist countries in developing national emergency telecommunication plans.</w:t>
      </w:r>
    </w:p>
    <w:p w14:paraId="2837B64C" w14:textId="35D86A1A" w:rsidR="00CE7B6E" w:rsidRPr="00D31EFB" w:rsidRDefault="00CE7B6E" w:rsidP="00CE7B6E">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2.</w:t>
      </w:r>
      <w:r w:rsidR="007838F5">
        <w:rPr>
          <w:rFonts w:asciiTheme="minorHAnsi" w:hAnsiTheme="minorHAnsi" w:cstheme="minorHAnsi"/>
          <w:szCs w:val="24"/>
        </w:rPr>
        <w:t>9</w:t>
      </w:r>
      <w:r w:rsidRPr="00D31EFB">
        <w:rPr>
          <w:rFonts w:asciiTheme="minorHAnsi" w:hAnsiTheme="minorHAnsi" w:cstheme="minorHAnsi"/>
          <w:szCs w:val="24"/>
        </w:rPr>
        <w:tab/>
        <w:t xml:space="preserve">The </w:t>
      </w:r>
      <w:hyperlink r:id="rId24" w:history="1">
        <w:r w:rsidRPr="00D31EFB">
          <w:rPr>
            <w:rStyle w:val="Hyperlink"/>
            <w:rFonts w:asciiTheme="minorHAnsi" w:hAnsiTheme="minorHAnsi" w:cstheme="minorHAnsi"/>
            <w:szCs w:val="24"/>
          </w:rPr>
          <w:t>AI for Good Global Summit</w:t>
        </w:r>
      </w:hyperlink>
      <w:r w:rsidRPr="00D31EFB">
        <w:rPr>
          <w:rFonts w:asciiTheme="minorHAnsi" w:hAnsiTheme="minorHAnsi" w:cstheme="minorHAnsi"/>
          <w:szCs w:val="24"/>
        </w:rPr>
        <w:t xml:space="preserve"> has gone fully virtual as an all-year round event, featuring weekly programming across multiple formats and time-zones, including keynotes, expert webinars, project pitches, Q&amp;As, performances, demos, interviews, networking and more. The Summit identifies practical applications of AI to accelerate progress towards the </w:t>
      </w:r>
      <w:hyperlink r:id="rId25" w:history="1">
        <w:r w:rsidRPr="00D31EFB">
          <w:rPr>
            <w:rFonts w:asciiTheme="minorHAnsi" w:hAnsiTheme="minorHAnsi" w:cstheme="minorHAnsi"/>
            <w:szCs w:val="24"/>
          </w:rPr>
          <w:t>United Nations Sustainable Development Goals</w:t>
        </w:r>
      </w:hyperlink>
      <w:r w:rsidRPr="00D31EFB">
        <w:rPr>
          <w:rFonts w:asciiTheme="minorHAnsi" w:hAnsiTheme="minorHAnsi" w:cstheme="minorHAnsi"/>
          <w:szCs w:val="24"/>
        </w:rPr>
        <w:t xml:space="preserve"> and builds collaboration to assist these applications in achieving global impact.</w:t>
      </w:r>
    </w:p>
    <w:p w14:paraId="598ED716" w14:textId="4B0EAB47" w:rsidR="00840983" w:rsidRPr="00D31EFB" w:rsidRDefault="00840983" w:rsidP="00491D1B">
      <w:pPr>
        <w:tabs>
          <w:tab w:val="clear" w:pos="567"/>
          <w:tab w:val="clear" w:pos="1134"/>
          <w:tab w:val="clear" w:pos="1701"/>
          <w:tab w:val="clear" w:pos="2268"/>
          <w:tab w:val="clear" w:pos="2835"/>
        </w:tabs>
        <w:spacing w:after="120"/>
        <w:jc w:val="both"/>
        <w:rPr>
          <w:rStyle w:val="Strong"/>
          <w:rFonts w:asciiTheme="minorHAnsi" w:hAnsiTheme="minorHAnsi" w:cstheme="minorHAnsi"/>
          <w:b w:val="0"/>
          <w:bCs w:val="0"/>
          <w:szCs w:val="24"/>
          <w:lang w:eastAsia="zh-CN"/>
        </w:rPr>
      </w:pPr>
      <w:r w:rsidRPr="00D31EFB">
        <w:rPr>
          <w:rFonts w:asciiTheme="minorHAnsi" w:hAnsiTheme="minorHAnsi" w:cstheme="minorHAnsi"/>
          <w:szCs w:val="24"/>
          <w:lang w:eastAsia="zh-CN"/>
        </w:rPr>
        <w:t>2.</w:t>
      </w:r>
      <w:r w:rsidR="00995874" w:rsidRPr="00D31EFB">
        <w:rPr>
          <w:rFonts w:asciiTheme="minorHAnsi" w:hAnsiTheme="minorHAnsi" w:cstheme="minorHAnsi"/>
          <w:szCs w:val="24"/>
          <w:lang w:eastAsia="zh-CN"/>
        </w:rPr>
        <w:t>1</w:t>
      </w:r>
      <w:r w:rsidR="00B60AD7">
        <w:rPr>
          <w:rFonts w:asciiTheme="minorHAnsi" w:hAnsiTheme="minorHAnsi" w:cstheme="minorHAnsi"/>
          <w:szCs w:val="24"/>
          <w:lang w:eastAsia="zh-CN"/>
        </w:rPr>
        <w:t>0</w:t>
      </w:r>
      <w:r w:rsidRPr="00D31EFB">
        <w:rPr>
          <w:rFonts w:asciiTheme="minorHAnsi" w:hAnsiTheme="minorHAnsi" w:cstheme="minorHAnsi"/>
          <w:szCs w:val="24"/>
          <w:lang w:eastAsia="zh-CN"/>
        </w:rPr>
        <w:tab/>
        <w:t xml:space="preserve">Each week, </w:t>
      </w:r>
      <w:hyperlink r:id="rId26" w:history="1">
        <w:r w:rsidRPr="00D31EFB">
          <w:rPr>
            <w:rStyle w:val="Hyperlink"/>
            <w:rFonts w:asciiTheme="minorHAnsi" w:hAnsiTheme="minorHAnsi" w:cstheme="minorHAnsi"/>
            <w:szCs w:val="24"/>
            <w:lang w:eastAsia="zh-CN"/>
          </w:rPr>
          <w:t xml:space="preserve">Virtual WSIS </w:t>
        </w:r>
        <w:proofErr w:type="spellStart"/>
        <w:r w:rsidRPr="00D31EFB">
          <w:rPr>
            <w:rStyle w:val="Hyperlink"/>
            <w:rFonts w:asciiTheme="minorHAnsi" w:hAnsiTheme="minorHAnsi" w:cstheme="minorHAnsi"/>
            <w:szCs w:val="24"/>
            <w:lang w:eastAsia="zh-CN"/>
          </w:rPr>
          <w:t>TalkX</w:t>
        </w:r>
        <w:proofErr w:type="spellEnd"/>
      </w:hyperlink>
      <w:r w:rsidRPr="00D31EFB">
        <w:rPr>
          <w:rFonts w:asciiTheme="minorHAnsi" w:hAnsiTheme="minorHAnsi" w:cstheme="minorHAnsi"/>
          <w:szCs w:val="24"/>
          <w:lang w:eastAsia="zh-CN"/>
        </w:rPr>
        <w:t xml:space="preserve"> explored an aspect of the global response to COVID-19, providing WSIS Stakeholders with a platform to create partnerships for on-the-ground</w:t>
      </w:r>
      <w:r w:rsidR="00E972EC">
        <w:rPr>
          <w:rFonts w:asciiTheme="minorHAnsi" w:hAnsiTheme="minorHAnsi" w:cstheme="minorHAnsi"/>
          <w:szCs w:val="24"/>
          <w:lang w:eastAsia="zh-CN"/>
        </w:rPr>
        <w:t xml:space="preserve"> </w:t>
      </w:r>
      <w:r w:rsidRPr="00D31EFB">
        <w:rPr>
          <w:rFonts w:asciiTheme="minorHAnsi" w:hAnsiTheme="minorHAnsi" w:cstheme="minorHAnsi"/>
          <w:szCs w:val="24"/>
          <w:lang w:eastAsia="zh-CN"/>
        </w:rPr>
        <w:t xml:space="preserve">action. </w:t>
      </w:r>
      <w:bookmarkStart w:id="10" w:name="_Hlk53654546"/>
      <w:r w:rsidRPr="00D31EFB">
        <w:rPr>
          <w:rFonts w:asciiTheme="minorHAnsi" w:hAnsiTheme="minorHAnsi" w:cstheme="minorHAnsi"/>
          <w:szCs w:val="24"/>
          <w:lang w:eastAsia="zh-CN"/>
        </w:rPr>
        <w:t>The WSIS Forum 2020 also went fully virtual over 2.5 months from June 2020, concluding with the final week in September 2020.</w:t>
      </w:r>
      <w:r w:rsidR="00735508" w:rsidRPr="00D31EFB">
        <w:rPr>
          <w:rFonts w:asciiTheme="minorHAnsi" w:hAnsiTheme="minorHAnsi" w:cstheme="minorHAnsi"/>
          <w:szCs w:val="24"/>
          <w:lang w:eastAsia="zh-CN"/>
        </w:rPr>
        <w:t xml:space="preserve"> More than 80 workshops at the WSIS Forum 2020 were indicated by Stakeholders as directly linked to COVID-19.</w:t>
      </w:r>
      <w:r w:rsidRPr="00D31EFB">
        <w:rPr>
          <w:rFonts w:asciiTheme="minorHAnsi" w:hAnsiTheme="minorHAnsi" w:cstheme="minorHAnsi"/>
          <w:szCs w:val="24"/>
          <w:lang w:eastAsia="zh-CN"/>
        </w:rPr>
        <w:t xml:space="preserve"> </w:t>
      </w:r>
      <w:r w:rsidRPr="00D31EFB">
        <w:rPr>
          <w:rFonts w:asciiTheme="minorHAnsi" w:hAnsiTheme="minorHAnsi" w:cstheme="minorHAnsi"/>
          <w:szCs w:val="24"/>
        </w:rPr>
        <w:t xml:space="preserve">As a part of the WSIS Stocktaking efforts to promote the innovative use of ICTs, </w:t>
      </w:r>
      <w:r w:rsidRPr="00D31EFB">
        <w:rPr>
          <w:rStyle w:val="Strong"/>
          <w:rFonts w:asciiTheme="minorHAnsi" w:hAnsiTheme="minorHAnsi" w:cstheme="minorHAnsi"/>
          <w:b w:val="0"/>
          <w:bCs w:val="0"/>
          <w:szCs w:val="24"/>
        </w:rPr>
        <w:t xml:space="preserve">the </w:t>
      </w:r>
      <w:hyperlink r:id="rId27" w:history="1">
        <w:r w:rsidRPr="00D31EFB">
          <w:rPr>
            <w:rStyle w:val="Hyperlink"/>
            <w:rFonts w:asciiTheme="minorHAnsi" w:hAnsiTheme="minorHAnsi" w:cstheme="minorHAnsi"/>
            <w:szCs w:val="24"/>
          </w:rPr>
          <w:t>ICT Case Repository</w:t>
        </w:r>
      </w:hyperlink>
      <w:r w:rsidRPr="00D31EFB">
        <w:rPr>
          <w:rStyle w:val="Strong"/>
          <w:rFonts w:asciiTheme="minorHAnsi" w:hAnsiTheme="minorHAnsi" w:cstheme="minorHAnsi"/>
          <w:b w:val="0"/>
          <w:bCs w:val="0"/>
          <w:szCs w:val="24"/>
        </w:rPr>
        <w:t xml:space="preserve"> collects projects and activities dedicated to responding to the COVID-19 crisis.</w:t>
      </w:r>
      <w:r w:rsidR="00735508" w:rsidRPr="00D31EFB">
        <w:rPr>
          <w:rStyle w:val="Strong"/>
          <w:rFonts w:asciiTheme="minorHAnsi" w:hAnsiTheme="minorHAnsi" w:cstheme="minorHAnsi"/>
          <w:b w:val="0"/>
          <w:bCs w:val="0"/>
          <w:szCs w:val="24"/>
        </w:rPr>
        <w:t xml:space="preserve"> A draft zero version of the special </w:t>
      </w:r>
      <w:hyperlink r:id="rId28" w:history="1">
        <w:r w:rsidR="00735508" w:rsidRPr="00D31EFB">
          <w:rPr>
            <w:rStyle w:val="Hyperlink"/>
            <w:rFonts w:asciiTheme="minorHAnsi" w:hAnsiTheme="minorHAnsi" w:cstheme="minorHAnsi"/>
            <w:szCs w:val="24"/>
          </w:rPr>
          <w:t>ICT Case Repository: The Coronavirus Response</w:t>
        </w:r>
      </w:hyperlink>
      <w:r w:rsidR="00735508" w:rsidRPr="00D31EFB">
        <w:rPr>
          <w:rStyle w:val="Strong"/>
          <w:rFonts w:asciiTheme="minorHAnsi" w:hAnsiTheme="minorHAnsi" w:cstheme="minorHAnsi"/>
          <w:b w:val="0"/>
          <w:bCs w:val="0"/>
          <w:szCs w:val="24"/>
        </w:rPr>
        <w:t xml:space="preserve"> is now available.</w:t>
      </w:r>
      <w:bookmarkEnd w:id="10"/>
    </w:p>
    <w:p w14:paraId="57DE5A3B" w14:textId="5CF863F2"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2.1</w:t>
      </w:r>
      <w:r w:rsidR="007838F5">
        <w:rPr>
          <w:rFonts w:asciiTheme="minorHAnsi" w:hAnsiTheme="minorHAnsi" w:cstheme="minorHAnsi"/>
          <w:szCs w:val="24"/>
        </w:rPr>
        <w:t>1</w:t>
      </w:r>
      <w:r w:rsidRPr="00D31EFB">
        <w:rPr>
          <w:rFonts w:asciiTheme="minorHAnsi" w:hAnsiTheme="minorHAnsi" w:cstheme="minorHAnsi"/>
          <w:szCs w:val="24"/>
        </w:rPr>
        <w:tab/>
        <w:t xml:space="preserve">ITU launched CYB4COVID, a comprehensive </w:t>
      </w:r>
      <w:hyperlink r:id="rId29" w:history="1">
        <w:r w:rsidRPr="00D31EFB">
          <w:rPr>
            <w:rStyle w:val="Hyperlink"/>
            <w:rFonts w:asciiTheme="minorHAnsi" w:hAnsiTheme="minorHAnsi" w:cstheme="minorHAnsi"/>
            <w:szCs w:val="24"/>
          </w:rPr>
          <w:t>repository of cybersecurity expertise</w:t>
        </w:r>
      </w:hyperlink>
      <w:r w:rsidRPr="00D31EFB">
        <w:rPr>
          <w:rFonts w:asciiTheme="minorHAnsi" w:hAnsiTheme="minorHAnsi" w:cstheme="minorHAnsi"/>
          <w:szCs w:val="24"/>
        </w:rPr>
        <w:t xml:space="preserve"> related to COVID-19, to assist countries, businesses and citizens in their response to amplified and new threats in the digital space during the COVID-19 pandemic.</w:t>
      </w:r>
    </w:p>
    <w:p w14:paraId="00524508" w14:textId="7F2359A2" w:rsidR="00016A2D"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color w:val="000000" w:themeColor="text1"/>
          <w:szCs w:val="24"/>
        </w:rPr>
      </w:pPr>
      <w:r w:rsidRPr="00D31EFB">
        <w:rPr>
          <w:rFonts w:asciiTheme="minorHAnsi" w:hAnsiTheme="minorHAnsi" w:cstheme="minorHAnsi"/>
          <w:color w:val="000000" w:themeColor="text1"/>
          <w:szCs w:val="24"/>
        </w:rPr>
        <w:t>2.1</w:t>
      </w:r>
      <w:r w:rsidR="007838F5">
        <w:rPr>
          <w:rFonts w:asciiTheme="minorHAnsi" w:hAnsiTheme="minorHAnsi" w:cstheme="minorHAnsi"/>
          <w:color w:val="000000" w:themeColor="text1"/>
          <w:szCs w:val="24"/>
        </w:rPr>
        <w:t>2</w:t>
      </w:r>
      <w:r w:rsidRPr="00D31EFB">
        <w:rPr>
          <w:rFonts w:asciiTheme="minorHAnsi" w:hAnsiTheme="minorHAnsi" w:cstheme="minorHAnsi"/>
          <w:color w:val="000000" w:themeColor="text1"/>
          <w:szCs w:val="24"/>
        </w:rPr>
        <w:tab/>
        <w:t xml:space="preserve">The latest version of ITU’s </w:t>
      </w:r>
      <w:hyperlink r:id="rId30" w:history="1">
        <w:r w:rsidRPr="00D31EFB">
          <w:rPr>
            <w:rStyle w:val="Hyperlink"/>
            <w:rFonts w:asciiTheme="minorHAnsi" w:hAnsiTheme="minorHAnsi" w:cstheme="minorHAnsi"/>
            <w:szCs w:val="24"/>
          </w:rPr>
          <w:t>Guidelines for Parents, Carers, Guardians, and Educators for Child Online Protection</w:t>
        </w:r>
      </w:hyperlink>
      <w:r w:rsidRPr="00D31EFB">
        <w:rPr>
          <w:rFonts w:asciiTheme="minorHAnsi" w:hAnsiTheme="minorHAnsi" w:cstheme="minorHAnsi"/>
          <w:color w:val="000000" w:themeColor="text1"/>
          <w:szCs w:val="24"/>
        </w:rPr>
        <w:t xml:space="preserve"> offers tips for parents to minimize online risk in the situation of online </w:t>
      </w:r>
      <w:r w:rsidR="007838F5">
        <w:rPr>
          <w:rFonts w:asciiTheme="minorHAnsi" w:hAnsiTheme="minorHAnsi" w:cstheme="minorHAnsi"/>
          <w:color w:val="000000" w:themeColor="text1"/>
          <w:szCs w:val="24"/>
        </w:rPr>
        <w:t>services</w:t>
      </w:r>
      <w:r w:rsidRPr="00D31EFB">
        <w:rPr>
          <w:rFonts w:asciiTheme="minorHAnsi" w:hAnsiTheme="minorHAnsi" w:cstheme="minorHAnsi"/>
          <w:color w:val="000000" w:themeColor="text1"/>
          <w:szCs w:val="24"/>
        </w:rPr>
        <w:t>.</w:t>
      </w:r>
    </w:p>
    <w:p w14:paraId="785BEE0B" w14:textId="7E7BF587"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color w:val="000000" w:themeColor="text1"/>
          <w:szCs w:val="24"/>
        </w:rPr>
      </w:pPr>
      <w:r w:rsidRPr="00D31EFB">
        <w:rPr>
          <w:rFonts w:asciiTheme="minorHAnsi" w:hAnsiTheme="minorHAnsi" w:cstheme="minorHAnsi"/>
          <w:color w:val="000000" w:themeColor="text1"/>
          <w:szCs w:val="24"/>
        </w:rPr>
        <w:lastRenderedPageBreak/>
        <w:t>2.1</w:t>
      </w:r>
      <w:r w:rsidR="007838F5">
        <w:rPr>
          <w:rFonts w:asciiTheme="minorHAnsi" w:hAnsiTheme="minorHAnsi" w:cstheme="minorHAnsi"/>
          <w:color w:val="000000" w:themeColor="text1"/>
          <w:szCs w:val="24"/>
        </w:rPr>
        <w:t>3</w:t>
      </w:r>
      <w:r w:rsidRPr="00D31EFB">
        <w:rPr>
          <w:rFonts w:asciiTheme="minorHAnsi" w:hAnsiTheme="minorHAnsi" w:cstheme="minorHAnsi"/>
          <w:color w:val="000000" w:themeColor="text1"/>
          <w:szCs w:val="24"/>
        </w:rPr>
        <w:tab/>
      </w:r>
      <w:r w:rsidR="009649F7" w:rsidRPr="00D31EFB">
        <w:rPr>
          <w:rFonts w:asciiTheme="minorHAnsi" w:hAnsiTheme="minorHAnsi" w:cstheme="minorHAnsi"/>
          <w:color w:val="000000" w:themeColor="text1"/>
          <w:szCs w:val="24"/>
        </w:rPr>
        <w:t xml:space="preserve">With support of the Governments of Japan and the Kingdom of Saudi Arabia, </w:t>
      </w:r>
      <w:r w:rsidRPr="00D31EFB">
        <w:rPr>
          <w:rFonts w:asciiTheme="minorHAnsi" w:hAnsiTheme="minorHAnsi" w:cstheme="minorHAnsi"/>
          <w:szCs w:val="24"/>
        </w:rPr>
        <w:t xml:space="preserve">ITU has also launched </w:t>
      </w:r>
      <w:hyperlink r:id="rId31" w:history="1">
        <w:r w:rsidRPr="00D31EFB">
          <w:rPr>
            <w:rStyle w:val="Hyperlink"/>
            <w:rFonts w:asciiTheme="minorHAnsi" w:hAnsiTheme="minorHAnsi" w:cstheme="minorHAnsi"/>
            <w:szCs w:val="24"/>
          </w:rPr>
          <w:t>Connect2Recover</w:t>
        </w:r>
      </w:hyperlink>
      <w:r w:rsidRPr="00D31EFB">
        <w:rPr>
          <w:rFonts w:asciiTheme="minorHAnsi" w:hAnsiTheme="minorHAnsi" w:cstheme="minorHAnsi"/>
          <w:szCs w:val="24"/>
        </w:rPr>
        <w:t xml:space="preserve">, which aims to reinforce the digital infrastructure of beneficiary countries and </w:t>
      </w:r>
      <w:r w:rsidR="009649F7" w:rsidRPr="00D31EFB">
        <w:rPr>
          <w:rFonts w:asciiTheme="minorHAnsi" w:hAnsiTheme="minorHAnsi" w:cstheme="minorHAnsi"/>
          <w:szCs w:val="24"/>
        </w:rPr>
        <w:t xml:space="preserve">enhance </w:t>
      </w:r>
      <w:r w:rsidRPr="00D31EFB">
        <w:rPr>
          <w:rFonts w:asciiTheme="minorHAnsi" w:hAnsiTheme="minorHAnsi" w:cstheme="minorHAnsi"/>
          <w:szCs w:val="24"/>
        </w:rPr>
        <w:t xml:space="preserve">means of utilizing digital technologies (e.g. teleworking, e-commerce, remote learning and telemedicine) to support COVID-19 </w:t>
      </w:r>
      <w:r w:rsidR="009649F7" w:rsidRPr="00D31EFB">
        <w:rPr>
          <w:rFonts w:asciiTheme="minorHAnsi" w:hAnsiTheme="minorHAnsi" w:cstheme="minorHAnsi"/>
          <w:szCs w:val="24"/>
        </w:rPr>
        <w:t xml:space="preserve">response and </w:t>
      </w:r>
      <w:r w:rsidRPr="00D31EFB">
        <w:rPr>
          <w:rFonts w:asciiTheme="minorHAnsi" w:hAnsiTheme="minorHAnsi" w:cstheme="minorHAnsi"/>
          <w:szCs w:val="24"/>
        </w:rPr>
        <w:t>recovery efforts</w:t>
      </w:r>
      <w:r w:rsidR="007838F5">
        <w:rPr>
          <w:rFonts w:asciiTheme="minorHAnsi" w:hAnsiTheme="minorHAnsi" w:cstheme="minorHAnsi"/>
          <w:szCs w:val="24"/>
        </w:rPr>
        <w:t>,</w:t>
      </w:r>
      <w:r w:rsidR="009649F7" w:rsidRPr="00D31EFB">
        <w:rPr>
          <w:rFonts w:asciiTheme="minorHAnsi" w:hAnsiTheme="minorHAnsi" w:cstheme="minorHAnsi"/>
          <w:szCs w:val="24"/>
        </w:rPr>
        <w:t xml:space="preserve"> as well as preparedness for the ‘new normal’</w:t>
      </w:r>
      <w:r w:rsidR="000D6568" w:rsidRPr="00D31EFB">
        <w:rPr>
          <w:rFonts w:asciiTheme="minorHAnsi" w:hAnsiTheme="minorHAnsi" w:cstheme="minorHAnsi"/>
          <w:szCs w:val="24"/>
        </w:rPr>
        <w:t xml:space="preserve"> and possible future similar health crises</w:t>
      </w:r>
      <w:r w:rsidRPr="00D31EFB">
        <w:rPr>
          <w:rFonts w:asciiTheme="minorHAnsi" w:hAnsiTheme="minorHAnsi" w:cstheme="minorHAnsi"/>
          <w:szCs w:val="24"/>
        </w:rPr>
        <w:t>.</w:t>
      </w:r>
    </w:p>
    <w:p w14:paraId="79C81C7F" w14:textId="77777777" w:rsidR="00840983" w:rsidRPr="00D31EFB" w:rsidRDefault="00840983" w:rsidP="00450DEF">
      <w:pPr>
        <w:keepNext/>
        <w:keepLines/>
        <w:tabs>
          <w:tab w:val="clear" w:pos="567"/>
          <w:tab w:val="clear" w:pos="1134"/>
          <w:tab w:val="clear" w:pos="1701"/>
          <w:tab w:val="clear" w:pos="2268"/>
          <w:tab w:val="clear" w:pos="2835"/>
        </w:tabs>
        <w:spacing w:after="120"/>
        <w:jc w:val="both"/>
        <w:rPr>
          <w:rFonts w:asciiTheme="minorHAnsi" w:hAnsiTheme="minorHAnsi" w:cstheme="minorHAnsi"/>
          <w:b/>
          <w:bCs/>
          <w:szCs w:val="24"/>
        </w:rPr>
      </w:pPr>
      <w:r w:rsidRPr="00D31EFB">
        <w:rPr>
          <w:rFonts w:asciiTheme="minorHAnsi" w:hAnsiTheme="minorHAnsi" w:cstheme="minorHAnsi"/>
          <w:b/>
          <w:bCs/>
          <w:szCs w:val="24"/>
        </w:rPr>
        <w:t>3.</w:t>
      </w:r>
      <w:r w:rsidRPr="00D31EFB">
        <w:rPr>
          <w:rFonts w:asciiTheme="minorHAnsi" w:hAnsiTheme="minorHAnsi" w:cstheme="minorHAnsi"/>
          <w:iCs/>
          <w:szCs w:val="24"/>
        </w:rPr>
        <w:tab/>
      </w:r>
      <w:r w:rsidRPr="00D31EFB">
        <w:rPr>
          <w:rFonts w:asciiTheme="minorHAnsi" w:hAnsiTheme="minorHAnsi" w:cstheme="minorHAnsi"/>
          <w:b/>
          <w:bCs/>
          <w:szCs w:val="24"/>
        </w:rPr>
        <w:t>ITU’s transition to the virtual sphere</w:t>
      </w:r>
    </w:p>
    <w:p w14:paraId="0CFA21C3" w14:textId="4F6D3E1B" w:rsidR="00840983" w:rsidRDefault="00840983" w:rsidP="00450DEF">
      <w:pPr>
        <w:keepNext/>
        <w:keepLines/>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3.1</w:t>
      </w:r>
      <w:r w:rsidRPr="00D31EFB">
        <w:rPr>
          <w:rFonts w:asciiTheme="minorHAnsi" w:hAnsiTheme="minorHAnsi" w:cstheme="minorHAnsi"/>
          <w:szCs w:val="24"/>
        </w:rPr>
        <w:tab/>
        <w:t>ITU has introduced an extensive number of measures to continue to provide services to its Membership uninterrupted during the pandemic.</w:t>
      </w:r>
      <w:r w:rsidR="007838F5">
        <w:rPr>
          <w:rFonts w:asciiTheme="minorHAnsi" w:hAnsiTheme="minorHAnsi" w:cstheme="minorHAnsi"/>
          <w:szCs w:val="24"/>
        </w:rPr>
        <w:t xml:space="preserve"> </w:t>
      </w:r>
      <w:r w:rsidR="007838F5" w:rsidRPr="00D31EFB">
        <w:rPr>
          <w:rFonts w:asciiTheme="minorHAnsi" w:hAnsiTheme="minorHAnsi" w:cstheme="minorHAnsi"/>
          <w:szCs w:val="24"/>
        </w:rPr>
        <w:t>Following the announcement of COVID-19 as a pandemic, ITU suspended physical meetings at ITU Headquarters in Geneva for as long as necessary and transitioned ITU’s work to virtual platforms.</w:t>
      </w:r>
    </w:p>
    <w:p w14:paraId="67BC5142" w14:textId="7F632C30" w:rsidR="007838F5" w:rsidRDefault="007838F5" w:rsidP="00491D1B">
      <w:pPr>
        <w:keepNext/>
        <w:keepLines/>
        <w:tabs>
          <w:tab w:val="clear" w:pos="567"/>
          <w:tab w:val="clear" w:pos="1134"/>
          <w:tab w:val="clear" w:pos="1701"/>
          <w:tab w:val="clear" w:pos="2268"/>
          <w:tab w:val="clear" w:pos="2835"/>
        </w:tabs>
        <w:spacing w:after="120"/>
        <w:jc w:val="both"/>
        <w:rPr>
          <w:rFonts w:asciiTheme="minorHAnsi" w:hAnsiTheme="minorHAnsi" w:cstheme="minorHAnsi"/>
          <w:szCs w:val="24"/>
        </w:rPr>
      </w:pPr>
      <w:r>
        <w:rPr>
          <w:rFonts w:asciiTheme="minorHAnsi" w:hAnsiTheme="minorHAnsi" w:cstheme="minorHAnsi"/>
          <w:szCs w:val="24"/>
        </w:rPr>
        <w:t>3.2</w:t>
      </w:r>
      <w:r>
        <w:rPr>
          <w:rFonts w:asciiTheme="minorHAnsi" w:hAnsiTheme="minorHAnsi" w:cstheme="minorHAnsi"/>
          <w:szCs w:val="24"/>
        </w:rPr>
        <w:tab/>
      </w:r>
      <w:r w:rsidRPr="00D31EFB">
        <w:rPr>
          <w:rFonts w:asciiTheme="minorHAnsi" w:hAnsiTheme="minorHAnsi" w:cstheme="minorHAnsi"/>
          <w:szCs w:val="24"/>
        </w:rPr>
        <w:t xml:space="preserve">Since 16 March 2020, ITU staff </w:t>
      </w:r>
      <w:r>
        <w:rPr>
          <w:rFonts w:asciiTheme="minorHAnsi" w:hAnsiTheme="minorHAnsi" w:cstheme="minorHAnsi"/>
          <w:szCs w:val="24"/>
        </w:rPr>
        <w:t>have</w:t>
      </w:r>
      <w:r w:rsidRPr="00D31EFB">
        <w:rPr>
          <w:rFonts w:asciiTheme="minorHAnsi" w:hAnsiTheme="minorHAnsi" w:cstheme="minorHAnsi"/>
          <w:szCs w:val="24"/>
        </w:rPr>
        <w:t xml:space="preserve"> work</w:t>
      </w:r>
      <w:r>
        <w:rPr>
          <w:rFonts w:asciiTheme="minorHAnsi" w:hAnsiTheme="minorHAnsi" w:cstheme="minorHAnsi"/>
          <w:szCs w:val="24"/>
        </w:rPr>
        <w:t>ed</w:t>
      </w:r>
      <w:r w:rsidRPr="00D31EFB">
        <w:rPr>
          <w:rFonts w:asciiTheme="minorHAnsi" w:hAnsiTheme="minorHAnsi" w:cstheme="minorHAnsi"/>
          <w:szCs w:val="24"/>
        </w:rPr>
        <w:t xml:space="preserve"> from home</w:t>
      </w:r>
      <w:r>
        <w:rPr>
          <w:rFonts w:asciiTheme="minorHAnsi" w:hAnsiTheme="minorHAnsi" w:cstheme="minorHAnsi"/>
          <w:szCs w:val="24"/>
        </w:rPr>
        <w:t xml:space="preserve"> and</w:t>
      </w:r>
      <w:r w:rsidRPr="00D31EFB">
        <w:rPr>
          <w:rFonts w:asciiTheme="minorHAnsi" w:hAnsiTheme="minorHAnsi" w:cstheme="minorHAnsi"/>
          <w:szCs w:val="24"/>
        </w:rPr>
        <w:t xml:space="preserve"> access to ITU Headquarter premises has been strictly reserved for persons who need to be in the premises to undertake essential official business that cannot be conducted remotely. ITU staff have been fully committed and cooperative in achieving these objectives, with dedication and solidarity. Various mitigation measures are being implemented to ensure a safe return to office (RTO).</w:t>
      </w:r>
      <w:r>
        <w:rPr>
          <w:rFonts w:asciiTheme="minorHAnsi" w:hAnsiTheme="minorHAnsi" w:cstheme="minorHAnsi"/>
          <w:szCs w:val="24"/>
        </w:rPr>
        <w:t xml:space="preserve"> </w:t>
      </w:r>
      <w:r>
        <w:t xml:space="preserve">Community transmission of SARS-CoV-2 (the virus responsible for COVID-19) is likely to continue for the foreseeable future. During 2021, </w:t>
      </w:r>
      <w:r w:rsidRPr="00D31EFB">
        <w:rPr>
          <w:rFonts w:cstheme="minorHAnsi"/>
          <w:szCs w:val="24"/>
        </w:rPr>
        <w:t xml:space="preserve">for persons who need to be in </w:t>
      </w:r>
      <w:r>
        <w:rPr>
          <w:rFonts w:cstheme="minorHAnsi"/>
          <w:szCs w:val="24"/>
        </w:rPr>
        <w:t>ITU</w:t>
      </w:r>
      <w:r w:rsidRPr="00D31EFB">
        <w:rPr>
          <w:rFonts w:cstheme="minorHAnsi"/>
          <w:szCs w:val="24"/>
        </w:rPr>
        <w:t xml:space="preserve"> premises </w:t>
      </w:r>
      <w:r>
        <w:rPr>
          <w:rFonts w:cstheme="minorHAnsi"/>
          <w:szCs w:val="24"/>
        </w:rPr>
        <w:t>on</w:t>
      </w:r>
      <w:r w:rsidRPr="00D31EFB">
        <w:rPr>
          <w:rFonts w:cstheme="minorHAnsi"/>
          <w:szCs w:val="24"/>
        </w:rPr>
        <w:t xml:space="preserve"> essential official business</w:t>
      </w:r>
      <w:r>
        <w:t>, transmission inside ITU premises might still occur. ITU has implemented various mitigation measures (</w:t>
      </w:r>
      <w:proofErr w:type="gramStart"/>
      <w:r>
        <w:t>i.e.</w:t>
      </w:r>
      <w:proofErr w:type="gramEnd"/>
      <w:r>
        <w:t xml:space="preserve"> low presence inside premises, “stay home when sick” policy, self-reporting of symptoms, temperature-screening at points of entry), which have so far proven effective.</w:t>
      </w:r>
    </w:p>
    <w:p w14:paraId="1FBE17AA" w14:textId="77F733C1" w:rsidR="007838F5" w:rsidRPr="00D31EFB" w:rsidRDefault="007838F5" w:rsidP="007838F5">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asciiTheme="minorHAnsi" w:hAnsiTheme="minorHAnsi" w:cstheme="minorHAnsi"/>
          <w:szCs w:val="24"/>
        </w:rPr>
      </w:pPr>
      <w:r w:rsidRPr="007838F5">
        <w:rPr>
          <w:rFonts w:asciiTheme="minorHAnsi" w:hAnsiTheme="minorHAnsi" w:cstheme="minorHAnsi"/>
          <w:szCs w:val="24"/>
        </w:rPr>
        <w:t>3.</w:t>
      </w:r>
      <w:r>
        <w:rPr>
          <w:rFonts w:asciiTheme="minorHAnsi" w:hAnsiTheme="minorHAnsi" w:cstheme="minorHAnsi"/>
          <w:szCs w:val="24"/>
        </w:rPr>
        <w:t>3</w:t>
      </w:r>
      <w:r w:rsidRPr="007838F5">
        <w:rPr>
          <w:rFonts w:asciiTheme="minorHAnsi" w:hAnsiTheme="minorHAnsi" w:cstheme="minorHAnsi"/>
          <w:szCs w:val="24"/>
        </w:rPr>
        <w:tab/>
      </w:r>
      <w:r>
        <w:rPr>
          <w:rFonts w:asciiTheme="minorHAnsi" w:hAnsiTheme="minorHAnsi" w:cstheme="minorHAnsi"/>
          <w:szCs w:val="24"/>
        </w:rPr>
        <w:t>I</w:t>
      </w:r>
      <w:r w:rsidRPr="00D31EFB">
        <w:rPr>
          <w:rFonts w:asciiTheme="minorHAnsi" w:hAnsiTheme="minorHAnsi" w:cstheme="minorHAnsi"/>
          <w:szCs w:val="24"/>
        </w:rPr>
        <w:t>n January 2020, ITU suspen</w:t>
      </w:r>
      <w:r>
        <w:rPr>
          <w:rFonts w:asciiTheme="minorHAnsi" w:hAnsiTheme="minorHAnsi" w:cstheme="minorHAnsi"/>
          <w:szCs w:val="24"/>
        </w:rPr>
        <w:t>ded</w:t>
      </w:r>
      <w:r w:rsidRPr="00D31EFB">
        <w:rPr>
          <w:rFonts w:asciiTheme="minorHAnsi" w:hAnsiTheme="minorHAnsi" w:cstheme="minorHAnsi"/>
          <w:szCs w:val="24"/>
        </w:rPr>
        <w:t xml:space="preserve"> all non-essential travel </w:t>
      </w:r>
      <w:r>
        <w:rPr>
          <w:rFonts w:asciiTheme="minorHAnsi" w:hAnsiTheme="minorHAnsi" w:cstheme="minorHAnsi"/>
          <w:szCs w:val="24"/>
        </w:rPr>
        <w:t xml:space="preserve">and </w:t>
      </w:r>
      <w:r w:rsidRPr="00D31EFB">
        <w:rPr>
          <w:rFonts w:asciiTheme="minorHAnsi" w:hAnsiTheme="minorHAnsi" w:cstheme="minorHAnsi"/>
          <w:szCs w:val="24"/>
        </w:rPr>
        <w:t xml:space="preserve">mission travel was restricted for all staff travelling from ITU HQ and these restrictions </w:t>
      </w:r>
      <w:r>
        <w:rPr>
          <w:rFonts w:asciiTheme="minorHAnsi" w:hAnsiTheme="minorHAnsi" w:cstheme="minorHAnsi"/>
          <w:szCs w:val="24"/>
        </w:rPr>
        <w:t>have been</w:t>
      </w:r>
      <w:r w:rsidRPr="00D31EFB">
        <w:rPr>
          <w:rFonts w:asciiTheme="minorHAnsi" w:hAnsiTheme="minorHAnsi" w:cstheme="minorHAnsi"/>
          <w:szCs w:val="24"/>
        </w:rPr>
        <w:t xml:space="preserve"> maintained </w:t>
      </w:r>
      <w:r>
        <w:rPr>
          <w:rFonts w:asciiTheme="minorHAnsi" w:hAnsiTheme="minorHAnsi" w:cstheme="minorHAnsi"/>
          <w:szCs w:val="24"/>
        </w:rPr>
        <w:t>to date</w:t>
      </w:r>
      <w:r w:rsidRPr="00D31EFB">
        <w:rPr>
          <w:rFonts w:asciiTheme="minorHAnsi" w:hAnsiTheme="minorHAnsi" w:cstheme="minorHAnsi"/>
          <w:szCs w:val="24"/>
        </w:rPr>
        <w:t>.</w:t>
      </w:r>
      <w:r>
        <w:rPr>
          <w:rFonts w:asciiTheme="minorHAnsi" w:hAnsiTheme="minorHAnsi" w:cstheme="minorHAnsi"/>
          <w:szCs w:val="24"/>
        </w:rPr>
        <w:t xml:space="preserve"> </w:t>
      </w:r>
      <w:r>
        <w:t>COVID-19 vaccination campaigns are expected to start early 2021. ITU staff members will be invited to participate in the national campaign of their duty station. In later stages, when vaccine single doses become available, COVID-19 vaccination is expected to be a condition for international air travel. For ITU official trips to resume, ITU will follow the developments of COVID-19 vaccines procurement and procure single doses if possible or organize care pathways to get official travellers vaccinated.</w:t>
      </w:r>
    </w:p>
    <w:p w14:paraId="0401F10F" w14:textId="6D374595" w:rsidR="00840983"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3.4</w:t>
      </w:r>
      <w:r w:rsidRPr="00D31EFB">
        <w:rPr>
          <w:rFonts w:asciiTheme="minorHAnsi" w:hAnsiTheme="minorHAnsi" w:cstheme="minorHAnsi"/>
          <w:szCs w:val="24"/>
        </w:rPr>
        <w:tab/>
        <w:t xml:space="preserve">Video-conferencing services have emerged as </w:t>
      </w:r>
      <w:r w:rsidR="007838F5">
        <w:rPr>
          <w:rFonts w:asciiTheme="minorHAnsi" w:hAnsiTheme="minorHAnsi" w:cstheme="minorHAnsi"/>
          <w:szCs w:val="24"/>
        </w:rPr>
        <w:t>a key</w:t>
      </w:r>
      <w:r w:rsidRPr="00D31EFB">
        <w:rPr>
          <w:rFonts w:asciiTheme="minorHAnsi" w:hAnsiTheme="minorHAnsi" w:cstheme="minorHAnsi"/>
          <w:szCs w:val="24"/>
        </w:rPr>
        <w:t xml:space="preserve"> platform for organizations to coordinate, communicate and collaborate with staff and external partners alike. </w:t>
      </w:r>
      <w:r w:rsidR="007838F5">
        <w:rPr>
          <w:rFonts w:asciiTheme="minorHAnsi" w:hAnsiTheme="minorHAnsi" w:cstheme="minorHAnsi"/>
          <w:szCs w:val="24"/>
        </w:rPr>
        <w:t>In</w:t>
      </w:r>
      <w:r w:rsidRPr="00D31EFB">
        <w:rPr>
          <w:rFonts w:asciiTheme="minorHAnsi" w:hAnsiTheme="minorHAnsi" w:cstheme="minorHAnsi"/>
          <w:szCs w:val="24"/>
        </w:rPr>
        <w:t xml:space="preserve"> April, the UNISSIG (United Nations Information Security Interest Group) met virtually to discuss the information security implications of organizations’ uptake of video-conferencing services, the risk to the confidentiality of the data and the content of a meeting, risk to privacy and the potential collection of metadata. </w:t>
      </w:r>
    </w:p>
    <w:p w14:paraId="59897728" w14:textId="40B1C551" w:rsidR="00840983"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3.5</w:t>
      </w:r>
      <w:r w:rsidRPr="00D31EFB">
        <w:rPr>
          <w:rFonts w:asciiTheme="minorHAnsi" w:hAnsiTheme="minorHAnsi" w:cstheme="minorHAnsi"/>
          <w:szCs w:val="24"/>
        </w:rPr>
        <w:tab/>
        <w:t>In May 2020, ITU developed “Guidelines and Best Practices for Virtual Events and Remote Participation”</w:t>
      </w:r>
      <w:r w:rsidR="009876E8">
        <w:rPr>
          <w:rFonts w:asciiTheme="minorHAnsi" w:hAnsiTheme="minorHAnsi" w:cstheme="minorHAnsi"/>
          <w:szCs w:val="24"/>
        </w:rPr>
        <w:t xml:space="preserve">, which were </w:t>
      </w:r>
      <w:r w:rsidRPr="00D31EFB">
        <w:rPr>
          <w:rFonts w:asciiTheme="minorHAnsi" w:hAnsiTheme="minorHAnsi" w:cstheme="minorHAnsi"/>
          <w:szCs w:val="24"/>
        </w:rPr>
        <w:t xml:space="preserve">submitted to the UN High-Level Committee on Management (HLCM) Digital and Technology Network and shared among UN HLCM members. </w:t>
      </w:r>
    </w:p>
    <w:p w14:paraId="72125DCD" w14:textId="7EEB972E" w:rsidR="00B60AD7" w:rsidRDefault="007838F5" w:rsidP="00491D1B">
      <w:pPr>
        <w:tabs>
          <w:tab w:val="clear" w:pos="567"/>
          <w:tab w:val="clear" w:pos="1134"/>
          <w:tab w:val="clear" w:pos="1701"/>
          <w:tab w:val="clear" w:pos="2268"/>
          <w:tab w:val="clear" w:pos="2835"/>
        </w:tabs>
        <w:spacing w:after="120"/>
        <w:jc w:val="both"/>
        <w:rPr>
          <w:rFonts w:cs="Calibri"/>
          <w:szCs w:val="24"/>
          <w:lang w:eastAsia="zh-CN"/>
        </w:rPr>
      </w:pPr>
      <w:bookmarkStart w:id="11" w:name="_Hlk59203775"/>
      <w:r w:rsidRPr="007838F5">
        <w:rPr>
          <w:rFonts w:asciiTheme="minorHAnsi" w:hAnsiTheme="minorHAnsi" w:cstheme="minorHAnsi"/>
          <w:szCs w:val="24"/>
        </w:rPr>
        <w:t>3.</w:t>
      </w:r>
      <w:r>
        <w:rPr>
          <w:rFonts w:asciiTheme="minorHAnsi" w:hAnsiTheme="minorHAnsi" w:cstheme="minorHAnsi"/>
          <w:szCs w:val="24"/>
        </w:rPr>
        <w:t>6</w:t>
      </w:r>
      <w:r w:rsidRPr="007838F5">
        <w:rPr>
          <w:rFonts w:asciiTheme="minorHAnsi" w:hAnsiTheme="minorHAnsi" w:cstheme="minorHAnsi"/>
          <w:szCs w:val="24"/>
        </w:rPr>
        <w:tab/>
      </w:r>
      <w:r w:rsidRPr="007838F5">
        <w:rPr>
          <w:rFonts w:cs="Calibri"/>
          <w:szCs w:val="24"/>
          <w:lang w:eastAsia="zh-CN"/>
        </w:rPr>
        <w:t>On 1 December, Zoom Video Communications Inc.</w:t>
      </w:r>
      <w:r w:rsidRPr="007838F5">
        <w:rPr>
          <w:szCs w:val="24"/>
        </w:rPr>
        <w:t xml:space="preserve"> informed UNESCO that </w:t>
      </w:r>
      <w:r w:rsidRPr="007838F5">
        <w:rPr>
          <w:rFonts w:cs="Calibri"/>
          <w:szCs w:val="24"/>
          <w:lang w:eastAsia="zh-CN"/>
        </w:rPr>
        <w:t xml:space="preserve">U.S. authorities have issued general licenses allowing Zoom to provide services to sanctioned countries for services </w:t>
      </w:r>
      <w:r>
        <w:rPr>
          <w:rFonts w:cs="Calibri"/>
          <w:szCs w:val="24"/>
          <w:lang w:eastAsia="zh-CN"/>
        </w:rPr>
        <w:t>on</w:t>
      </w:r>
      <w:r w:rsidRPr="007838F5">
        <w:rPr>
          <w:rFonts w:cs="Calibri"/>
          <w:szCs w:val="24"/>
          <w:lang w:eastAsia="zh-CN"/>
        </w:rPr>
        <w:t xml:space="preserve"> official business of the UN, </w:t>
      </w:r>
      <w:r>
        <w:rPr>
          <w:rFonts w:cs="Calibri"/>
          <w:szCs w:val="24"/>
          <w:lang w:eastAsia="zh-CN"/>
        </w:rPr>
        <w:t>s</w:t>
      </w:r>
      <w:r w:rsidRPr="007838F5">
        <w:rPr>
          <w:rFonts w:cs="Calibri"/>
          <w:szCs w:val="24"/>
          <w:lang w:eastAsia="zh-CN"/>
        </w:rPr>
        <w:t xml:space="preserve">pecialized </w:t>
      </w:r>
      <w:r>
        <w:rPr>
          <w:rFonts w:cs="Calibri"/>
          <w:szCs w:val="24"/>
          <w:lang w:eastAsia="zh-CN"/>
        </w:rPr>
        <w:t>a</w:t>
      </w:r>
      <w:r w:rsidRPr="007838F5">
        <w:rPr>
          <w:rFonts w:cs="Calibri"/>
          <w:szCs w:val="24"/>
          <w:lang w:eastAsia="zh-CN"/>
        </w:rPr>
        <w:t xml:space="preserve">gencies, Programmes, </w:t>
      </w:r>
      <w:proofErr w:type="gramStart"/>
      <w:r w:rsidRPr="007838F5">
        <w:rPr>
          <w:rFonts w:cs="Calibri"/>
          <w:szCs w:val="24"/>
          <w:lang w:eastAsia="zh-CN"/>
        </w:rPr>
        <w:t>Funds</w:t>
      </w:r>
      <w:proofErr w:type="gramEnd"/>
      <w:r w:rsidRPr="007838F5">
        <w:rPr>
          <w:rFonts w:cs="Calibri"/>
          <w:szCs w:val="24"/>
          <w:lang w:eastAsia="zh-CN"/>
        </w:rPr>
        <w:t xml:space="preserve"> and </w:t>
      </w:r>
      <w:r>
        <w:rPr>
          <w:rFonts w:cs="Calibri"/>
          <w:szCs w:val="24"/>
          <w:lang w:eastAsia="zh-CN"/>
        </w:rPr>
        <w:t>r</w:t>
      </w:r>
      <w:r w:rsidRPr="007838F5">
        <w:rPr>
          <w:rFonts w:cs="Calibri"/>
          <w:szCs w:val="24"/>
          <w:lang w:eastAsia="zh-CN"/>
        </w:rPr>
        <w:t xml:space="preserve">elated </w:t>
      </w:r>
      <w:r>
        <w:rPr>
          <w:rFonts w:cs="Calibri"/>
          <w:szCs w:val="24"/>
          <w:lang w:eastAsia="zh-CN"/>
        </w:rPr>
        <w:t>o</w:t>
      </w:r>
      <w:r w:rsidRPr="007838F5">
        <w:rPr>
          <w:rFonts w:cs="Calibri"/>
          <w:szCs w:val="24"/>
          <w:lang w:eastAsia="zh-CN"/>
        </w:rPr>
        <w:t>rganizations. Zoom can hence allow the unrestricted use of its platform for ITU statutory / intergovernmental / official meetings. Cisco has advertised the new version of WebEx for Q1 2021 for</w:t>
      </w:r>
      <w:r w:rsidRPr="007838F5">
        <w:rPr>
          <w:rFonts w:cs="Calibri"/>
          <w:i/>
          <w:iCs/>
          <w:szCs w:val="24"/>
          <w:lang w:eastAsia="zh-CN"/>
        </w:rPr>
        <w:t xml:space="preserve"> </w:t>
      </w:r>
      <w:r w:rsidRPr="007838F5">
        <w:rPr>
          <w:rFonts w:cs="Calibri"/>
          <w:szCs w:val="24"/>
          <w:lang w:eastAsia="zh-CN"/>
        </w:rPr>
        <w:t xml:space="preserve">Enabling fully remote and hybrid legislative bodies to convene via WebEx. WebEx functionality </w:t>
      </w:r>
      <w:proofErr w:type="gramStart"/>
      <w:r w:rsidRPr="007838F5">
        <w:rPr>
          <w:rFonts w:cs="Calibri"/>
          <w:szCs w:val="24"/>
          <w:lang w:eastAsia="zh-CN"/>
        </w:rPr>
        <w:t>includes:</w:t>
      </w:r>
      <w:proofErr w:type="gramEnd"/>
      <w:r w:rsidRPr="007838F5">
        <w:rPr>
          <w:rFonts w:cs="Calibri"/>
          <w:szCs w:val="24"/>
          <w:lang w:eastAsia="zh-CN"/>
        </w:rPr>
        <w:t xml:space="preserve"> a) </w:t>
      </w:r>
      <w:r>
        <w:rPr>
          <w:rFonts w:cs="Calibri"/>
          <w:szCs w:val="24"/>
          <w:lang w:eastAsia="zh-CN"/>
        </w:rPr>
        <w:t>Meeting</w:t>
      </w:r>
      <w:r w:rsidRPr="007838F5">
        <w:rPr>
          <w:rFonts w:cs="Calibri"/>
          <w:szCs w:val="24"/>
          <w:lang w:eastAsia="zh-CN"/>
        </w:rPr>
        <w:t>, debating, and voting remotely. b) Live interpretation, including American Sign Language (ASL) c) Video lobby and participant ID management and verification d) Closed caption</w:t>
      </w:r>
      <w:r>
        <w:rPr>
          <w:rFonts w:cs="Calibri"/>
          <w:szCs w:val="24"/>
          <w:lang w:eastAsia="zh-CN"/>
        </w:rPr>
        <w:t>ing</w:t>
      </w:r>
      <w:r w:rsidRPr="007838F5">
        <w:rPr>
          <w:rFonts w:cs="Calibri"/>
          <w:szCs w:val="24"/>
          <w:lang w:eastAsia="zh-CN"/>
        </w:rPr>
        <w:t>.</w:t>
      </w:r>
    </w:p>
    <w:bookmarkEnd w:id="11"/>
    <w:p w14:paraId="09AD27E7" w14:textId="0CCDAB52" w:rsidR="00840983" w:rsidRDefault="00840983" w:rsidP="45E13E64">
      <w:pPr>
        <w:tabs>
          <w:tab w:val="clear" w:pos="567"/>
          <w:tab w:val="clear" w:pos="1134"/>
          <w:tab w:val="clear" w:pos="1701"/>
          <w:tab w:val="clear" w:pos="2268"/>
          <w:tab w:val="clear" w:pos="2835"/>
        </w:tabs>
        <w:spacing w:after="120"/>
        <w:jc w:val="both"/>
        <w:rPr>
          <w:rFonts w:asciiTheme="minorHAnsi" w:hAnsiTheme="minorHAnsi" w:cstheme="minorBidi"/>
        </w:rPr>
      </w:pPr>
      <w:r w:rsidRPr="45E13E64">
        <w:rPr>
          <w:rFonts w:asciiTheme="minorHAnsi" w:hAnsiTheme="minorHAnsi" w:cstheme="minorBidi"/>
        </w:rPr>
        <w:t>3.</w:t>
      </w:r>
      <w:r w:rsidR="007838F5" w:rsidRPr="45E13E64">
        <w:rPr>
          <w:rFonts w:asciiTheme="minorHAnsi" w:hAnsiTheme="minorHAnsi" w:cstheme="minorBidi"/>
        </w:rPr>
        <w:t>7</w:t>
      </w:r>
      <w:r w:rsidRPr="00D31EFB">
        <w:rPr>
          <w:rFonts w:asciiTheme="minorHAnsi" w:hAnsiTheme="minorHAnsi" w:cstheme="minorHAnsi"/>
          <w:szCs w:val="24"/>
        </w:rPr>
        <w:tab/>
      </w:r>
      <w:r w:rsidRPr="45E13E64">
        <w:rPr>
          <w:rFonts w:asciiTheme="minorHAnsi" w:hAnsiTheme="minorHAnsi" w:cstheme="minorBidi"/>
        </w:rPr>
        <w:t xml:space="preserve">All ITU meetings and events have been held virtually since 16 March 2020, including </w:t>
      </w:r>
      <w:r w:rsidR="44EC235E" w:rsidRPr="45E13E64">
        <w:rPr>
          <w:rFonts w:asciiTheme="minorHAnsi" w:hAnsiTheme="minorHAnsi" w:cstheme="minorBidi"/>
        </w:rPr>
        <w:t xml:space="preserve">three meetings of the </w:t>
      </w:r>
      <w:r w:rsidRPr="45E13E64">
        <w:rPr>
          <w:rFonts w:asciiTheme="minorHAnsi" w:hAnsiTheme="minorHAnsi" w:cstheme="minorBidi"/>
        </w:rPr>
        <w:t>Radio Regulations Board (RRB)</w:t>
      </w:r>
      <w:r w:rsidR="6F4B62E8" w:rsidRPr="45E13E64">
        <w:rPr>
          <w:rFonts w:asciiTheme="minorHAnsi" w:hAnsiTheme="minorHAnsi" w:cstheme="minorBidi"/>
        </w:rPr>
        <w:t xml:space="preserve"> in </w:t>
      </w:r>
      <w:r w:rsidR="39FF8493" w:rsidRPr="45E13E64">
        <w:rPr>
          <w:rFonts w:asciiTheme="minorHAnsi" w:hAnsiTheme="minorHAnsi" w:cstheme="minorBidi"/>
        </w:rPr>
        <w:t>March</w:t>
      </w:r>
      <w:r w:rsidR="6F4B62E8" w:rsidRPr="45E13E64">
        <w:rPr>
          <w:rFonts w:asciiTheme="minorHAnsi" w:hAnsiTheme="minorHAnsi" w:cstheme="minorBidi"/>
        </w:rPr>
        <w:t>, July and October 2020</w:t>
      </w:r>
      <w:r w:rsidRPr="45E13E64">
        <w:rPr>
          <w:rFonts w:asciiTheme="minorHAnsi" w:hAnsiTheme="minorHAnsi" w:cstheme="minorBidi"/>
        </w:rPr>
        <w:t xml:space="preserve">, World Telecommunication and Information Society Day (WTISD) event, Radiocommunication Advisory </w:t>
      </w:r>
      <w:r w:rsidRPr="45E13E64">
        <w:rPr>
          <w:rFonts w:asciiTheme="minorHAnsi" w:hAnsiTheme="minorHAnsi" w:cstheme="minorBidi"/>
        </w:rPr>
        <w:lastRenderedPageBreak/>
        <w:t xml:space="preserve">Group (RAG), Telecommunication Development Advisory Group (TDAG), </w:t>
      </w:r>
      <w:r w:rsidR="007838F5" w:rsidRPr="45E13E64">
        <w:rPr>
          <w:rFonts w:asciiTheme="minorHAnsi" w:hAnsiTheme="minorHAnsi" w:cstheme="minorBidi"/>
        </w:rPr>
        <w:t xml:space="preserve">two </w:t>
      </w:r>
      <w:r w:rsidRPr="45E13E64">
        <w:rPr>
          <w:rFonts w:asciiTheme="minorHAnsi" w:hAnsiTheme="minorHAnsi" w:cstheme="minorBidi"/>
        </w:rPr>
        <w:t>V</w:t>
      </w:r>
      <w:r w:rsidR="009876E8" w:rsidRPr="45E13E64">
        <w:rPr>
          <w:rFonts w:asciiTheme="minorHAnsi" w:hAnsiTheme="minorHAnsi" w:cstheme="minorBidi"/>
        </w:rPr>
        <w:t>irtual Consultations of Councillors</w:t>
      </w:r>
      <w:r w:rsidR="007838F5" w:rsidRPr="45E13E64">
        <w:rPr>
          <w:rFonts w:asciiTheme="minorHAnsi" w:hAnsiTheme="minorHAnsi" w:cstheme="minorBidi"/>
        </w:rPr>
        <w:t xml:space="preserve"> in June and November 2020</w:t>
      </w:r>
      <w:r w:rsidRPr="45E13E64">
        <w:rPr>
          <w:rFonts w:asciiTheme="minorHAnsi" w:hAnsiTheme="minorHAnsi" w:cstheme="minorBidi"/>
        </w:rPr>
        <w:t>, ITU-R study groups and relevant working parties, ITU-T study groups and relevant focus groups, Expert Group on the ICT Index, Girls in ICT Day, GSR20, WSIS Forum, AI Good Summit,</w:t>
      </w:r>
      <w:r w:rsidR="007838F5" w:rsidRPr="45E13E64">
        <w:rPr>
          <w:rFonts w:asciiTheme="minorHAnsi" w:hAnsiTheme="minorHAnsi" w:cstheme="minorBidi"/>
        </w:rPr>
        <w:t xml:space="preserve"> ITU Virtual Digital World 2020</w:t>
      </w:r>
      <w:r w:rsidR="5772AA3B" w:rsidRPr="45E13E64">
        <w:rPr>
          <w:rFonts w:asciiTheme="minorHAnsi" w:hAnsiTheme="minorHAnsi" w:cstheme="minorBidi"/>
        </w:rPr>
        <w:t>, three ITU Satellite Webinars,</w:t>
      </w:r>
      <w:r w:rsidRPr="45E13E64">
        <w:rPr>
          <w:rFonts w:asciiTheme="minorHAnsi" w:hAnsiTheme="minorHAnsi" w:cstheme="minorBidi"/>
        </w:rPr>
        <w:t xml:space="preserve"> and TSAG. These meetings had a smooth transition to virtual events with, in most cases, higher participation than physical meetings. </w:t>
      </w:r>
      <w:r w:rsidR="007838F5" w:rsidRPr="45E13E64">
        <w:rPr>
          <w:rFonts w:asciiTheme="minorHAnsi" w:hAnsiTheme="minorHAnsi" w:cstheme="minorBidi"/>
        </w:rPr>
        <w:t xml:space="preserve">ITU and the Ministry of Information and Communications of Viet Nam postponed the physical edition of ITU Digital World 2020 until October 2021 in the same venue in Ha </w:t>
      </w:r>
      <w:proofErr w:type="spellStart"/>
      <w:r w:rsidR="007838F5" w:rsidRPr="45E13E64">
        <w:rPr>
          <w:rFonts w:asciiTheme="minorHAnsi" w:hAnsiTheme="minorHAnsi" w:cstheme="minorBidi"/>
        </w:rPr>
        <w:t>Noi</w:t>
      </w:r>
      <w:proofErr w:type="spellEnd"/>
      <w:r w:rsidR="007838F5" w:rsidRPr="45E13E64">
        <w:rPr>
          <w:rFonts w:asciiTheme="minorHAnsi" w:hAnsiTheme="minorHAnsi" w:cstheme="minorBidi"/>
        </w:rPr>
        <w:t>, Viet Nam.</w:t>
      </w:r>
    </w:p>
    <w:p w14:paraId="02FE71A7" w14:textId="49322B2D" w:rsidR="00071176" w:rsidRPr="00D31EFB" w:rsidRDefault="007838F5" w:rsidP="45E13E64">
      <w:pPr>
        <w:tabs>
          <w:tab w:val="clear" w:pos="567"/>
          <w:tab w:val="clear" w:pos="1134"/>
          <w:tab w:val="clear" w:pos="1701"/>
          <w:tab w:val="clear" w:pos="2268"/>
          <w:tab w:val="clear" w:pos="2835"/>
        </w:tabs>
        <w:spacing w:after="120"/>
        <w:jc w:val="both"/>
        <w:rPr>
          <w:rFonts w:asciiTheme="minorHAnsi" w:hAnsiTheme="minorHAnsi" w:cstheme="minorBidi"/>
        </w:rPr>
      </w:pPr>
      <w:r w:rsidRPr="45E13E64">
        <w:rPr>
          <w:rFonts w:asciiTheme="minorHAnsi" w:hAnsiTheme="minorHAnsi" w:cstheme="minorBidi"/>
        </w:rPr>
        <w:t>3.8</w:t>
      </w:r>
      <w:r w:rsidRPr="00D31EFB">
        <w:rPr>
          <w:rFonts w:asciiTheme="minorHAnsi" w:hAnsiTheme="minorHAnsi" w:cstheme="minorHAnsi"/>
          <w:szCs w:val="24"/>
        </w:rPr>
        <w:tab/>
      </w:r>
      <w:r w:rsidRPr="45E13E64">
        <w:rPr>
          <w:rFonts w:asciiTheme="minorHAnsi" w:hAnsiTheme="minorHAnsi" w:cstheme="minorBidi"/>
        </w:rPr>
        <w:t>On 31 March 2020, ITU published the Final Acts of the WRC-19 while the updated version of the Radio Regulations was published on 15 September, well within the timeframe announced prior to the coronavirus outbreak. The processing of terrestrial and satellite network filings continues. The ITU Regional Radiocommunication Seminar 2020 for the Americas Region (RRS-20Americas) and the Asia-Pacific region</w:t>
      </w:r>
      <w:r w:rsidR="00B124E1" w:rsidRPr="45E13E64">
        <w:rPr>
          <w:rFonts w:asciiTheme="minorHAnsi" w:hAnsiTheme="minorHAnsi" w:cstheme="minorBidi"/>
        </w:rPr>
        <w:t>,</w:t>
      </w:r>
      <w:r w:rsidRPr="45E13E64">
        <w:rPr>
          <w:rFonts w:asciiTheme="minorHAnsi" w:hAnsiTheme="minorHAnsi" w:cstheme="minorBidi"/>
        </w:rPr>
        <w:t xml:space="preserve"> </w:t>
      </w:r>
      <w:r w:rsidR="00B124E1" w:rsidRPr="45E13E64">
        <w:rPr>
          <w:rFonts w:asciiTheme="minorHAnsi" w:hAnsiTheme="minorHAnsi" w:cstheme="minorBidi"/>
        </w:rPr>
        <w:t xml:space="preserve">and the ITU World Radiocommunication Seminar </w:t>
      </w:r>
      <w:r w:rsidR="2C3423B7" w:rsidRPr="45E13E64">
        <w:rPr>
          <w:rFonts w:asciiTheme="minorHAnsi" w:hAnsiTheme="minorHAnsi" w:cstheme="minorBidi"/>
        </w:rPr>
        <w:t xml:space="preserve">2020 (WRS20) </w:t>
      </w:r>
      <w:r w:rsidRPr="45E13E64">
        <w:rPr>
          <w:rFonts w:asciiTheme="minorHAnsi" w:hAnsiTheme="minorHAnsi" w:cstheme="minorBidi"/>
        </w:rPr>
        <w:t xml:space="preserve">took place virtually. </w:t>
      </w:r>
      <w:r w:rsidR="402D1C15" w:rsidRPr="45E13E64">
        <w:rPr>
          <w:rFonts w:asciiTheme="minorHAnsi" w:hAnsiTheme="minorHAnsi" w:cstheme="minorBidi"/>
        </w:rPr>
        <w:t>The WRS20 was expanded to two weeks and, for the first time ever, the WRS plenary sessions held in the 1</w:t>
      </w:r>
      <w:r w:rsidR="402D1C15" w:rsidRPr="45E13E64">
        <w:rPr>
          <w:rFonts w:asciiTheme="minorHAnsi" w:hAnsiTheme="minorHAnsi" w:cstheme="minorBidi"/>
          <w:vertAlign w:val="superscript"/>
        </w:rPr>
        <w:t>st</w:t>
      </w:r>
      <w:r w:rsidR="402D1C15" w:rsidRPr="45E13E64">
        <w:rPr>
          <w:rFonts w:asciiTheme="minorHAnsi" w:hAnsiTheme="minorHAnsi" w:cstheme="minorBidi"/>
        </w:rPr>
        <w:t xml:space="preserve"> week were open to non-ITU members, while the workshops held in the 2</w:t>
      </w:r>
      <w:r w:rsidR="402D1C15" w:rsidRPr="45E13E64">
        <w:rPr>
          <w:rFonts w:asciiTheme="minorHAnsi" w:hAnsiTheme="minorHAnsi" w:cstheme="minorBidi"/>
          <w:vertAlign w:val="superscript"/>
        </w:rPr>
        <w:t>nd</w:t>
      </w:r>
      <w:r w:rsidR="402D1C15" w:rsidRPr="45E13E64">
        <w:rPr>
          <w:rFonts w:asciiTheme="minorHAnsi" w:hAnsiTheme="minorHAnsi" w:cstheme="minorBidi"/>
        </w:rPr>
        <w:t xml:space="preserve"> week were provided as a</w:t>
      </w:r>
      <w:r w:rsidR="159D8D7B" w:rsidRPr="45E13E64">
        <w:rPr>
          <w:rFonts w:asciiTheme="minorHAnsi" w:hAnsiTheme="minorHAnsi" w:cstheme="minorBidi"/>
        </w:rPr>
        <w:t>n ITU-R</w:t>
      </w:r>
      <w:r w:rsidR="402D1C15" w:rsidRPr="45E13E64">
        <w:rPr>
          <w:rFonts w:asciiTheme="minorHAnsi" w:hAnsiTheme="minorHAnsi" w:cstheme="minorBidi"/>
        </w:rPr>
        <w:t xml:space="preserve"> Members-only event.</w:t>
      </w:r>
      <w:r w:rsidR="5FF3FCF4" w:rsidRPr="45E13E64">
        <w:rPr>
          <w:rFonts w:asciiTheme="minorHAnsi" w:hAnsiTheme="minorHAnsi" w:cstheme="minorBidi"/>
        </w:rPr>
        <w:t xml:space="preserve"> In addition to seeing a significant increase in participation in these events, it was notable that </w:t>
      </w:r>
      <w:r w:rsidR="0C0AC872" w:rsidRPr="45E13E64">
        <w:rPr>
          <w:rFonts w:asciiTheme="minorHAnsi" w:hAnsiTheme="minorHAnsi" w:cstheme="minorBidi"/>
        </w:rPr>
        <w:t>33% of the participants in the</w:t>
      </w:r>
      <w:r w:rsidR="5FF3FCF4" w:rsidRPr="45E13E64">
        <w:rPr>
          <w:rFonts w:asciiTheme="minorHAnsi" w:hAnsiTheme="minorHAnsi" w:cstheme="minorBidi"/>
        </w:rPr>
        <w:t xml:space="preserve"> WRS20 plenary sessions</w:t>
      </w:r>
      <w:r w:rsidR="56F8A849" w:rsidRPr="45E13E64">
        <w:rPr>
          <w:rFonts w:asciiTheme="minorHAnsi" w:hAnsiTheme="minorHAnsi" w:cstheme="minorBidi"/>
        </w:rPr>
        <w:t xml:space="preserve"> were women, which is significantly higher than</w:t>
      </w:r>
      <w:r w:rsidR="027A1BC3" w:rsidRPr="45E13E64">
        <w:rPr>
          <w:rFonts w:asciiTheme="minorHAnsi" w:hAnsiTheme="minorHAnsi" w:cstheme="minorBidi"/>
        </w:rPr>
        <w:t xml:space="preserve"> for</w:t>
      </w:r>
      <w:r w:rsidR="56F8A849" w:rsidRPr="45E13E64">
        <w:rPr>
          <w:rFonts w:asciiTheme="minorHAnsi" w:hAnsiTheme="minorHAnsi" w:cstheme="minorBidi"/>
        </w:rPr>
        <w:t xml:space="preserve"> any of the ITU-R's physical events.</w:t>
      </w:r>
      <w:r w:rsidR="500DDFC3" w:rsidRPr="45E13E64">
        <w:rPr>
          <w:rFonts w:asciiTheme="minorHAnsi" w:hAnsiTheme="minorHAnsi" w:cstheme="minorBidi"/>
        </w:rPr>
        <w:t xml:space="preserve"> </w:t>
      </w:r>
    </w:p>
    <w:p w14:paraId="0C443B82" w14:textId="154F1A7B"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lang w:eastAsia="zh-CN"/>
        </w:rPr>
      </w:pPr>
      <w:r w:rsidRPr="00D31EFB">
        <w:rPr>
          <w:rFonts w:asciiTheme="minorHAnsi" w:hAnsiTheme="minorHAnsi" w:cstheme="minorHAnsi"/>
          <w:szCs w:val="24"/>
        </w:rPr>
        <w:t>3.</w:t>
      </w:r>
      <w:r w:rsidR="007838F5">
        <w:rPr>
          <w:rFonts w:asciiTheme="minorHAnsi" w:hAnsiTheme="minorHAnsi" w:cstheme="minorHAnsi"/>
          <w:szCs w:val="24"/>
        </w:rPr>
        <w:t>9</w:t>
      </w:r>
      <w:r w:rsidRPr="00D31EFB">
        <w:rPr>
          <w:rFonts w:asciiTheme="minorHAnsi" w:hAnsiTheme="minorHAnsi" w:cstheme="minorHAnsi"/>
          <w:szCs w:val="24"/>
        </w:rPr>
        <w:tab/>
        <w:t>The following actions have been taken by ITU to allow events and meetings to transition from physical to fully virtual:</w:t>
      </w:r>
    </w:p>
    <w:p w14:paraId="30ABAC04" w14:textId="77777777" w:rsidR="00840983" w:rsidRPr="00D31EFB" w:rsidRDefault="00840983" w:rsidP="00491D1B">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09" w:hanging="352"/>
        <w:contextualSpacing w:val="0"/>
        <w:jc w:val="both"/>
        <w:textAlignment w:val="auto"/>
        <w:rPr>
          <w:rFonts w:asciiTheme="minorHAnsi" w:hAnsiTheme="minorHAnsi" w:cstheme="minorHAnsi"/>
          <w:szCs w:val="24"/>
        </w:rPr>
      </w:pPr>
      <w:r w:rsidRPr="00D31EFB">
        <w:rPr>
          <w:rFonts w:asciiTheme="minorHAnsi" w:hAnsiTheme="minorHAnsi" w:cstheme="minorHAnsi"/>
          <w:szCs w:val="24"/>
        </w:rPr>
        <w:t xml:space="preserve">IT infrastructure has been upgraded to support all staff working from home given the substantial increase in virtual events and </w:t>
      </w:r>
      <w:proofErr w:type="gramStart"/>
      <w:r w:rsidRPr="00D31EFB">
        <w:rPr>
          <w:rFonts w:asciiTheme="minorHAnsi" w:hAnsiTheme="minorHAnsi" w:cstheme="minorHAnsi"/>
          <w:szCs w:val="24"/>
        </w:rPr>
        <w:t>meetings;</w:t>
      </w:r>
      <w:proofErr w:type="gramEnd"/>
    </w:p>
    <w:p w14:paraId="44F2DB5C" w14:textId="77777777" w:rsidR="00840983" w:rsidRPr="00D31EFB" w:rsidRDefault="00840983" w:rsidP="00491D1B">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09" w:hanging="352"/>
        <w:contextualSpacing w:val="0"/>
        <w:jc w:val="both"/>
        <w:textAlignment w:val="auto"/>
        <w:rPr>
          <w:rFonts w:asciiTheme="minorHAnsi" w:hAnsiTheme="minorHAnsi" w:cstheme="minorHAnsi"/>
          <w:szCs w:val="24"/>
        </w:rPr>
      </w:pPr>
      <w:r w:rsidRPr="00D31EFB">
        <w:rPr>
          <w:rFonts w:asciiTheme="minorHAnsi" w:hAnsiTheme="minorHAnsi" w:cstheme="minorHAnsi"/>
          <w:szCs w:val="24"/>
        </w:rPr>
        <w:t xml:space="preserve">The remote participation team has been strengthened with more virtual meeting moderators, helping delegates to connect to the web-conference platforms and assisting the chairs, secretaries, and all participants during the virtual </w:t>
      </w:r>
      <w:proofErr w:type="gramStart"/>
      <w:r w:rsidRPr="00D31EFB">
        <w:rPr>
          <w:rFonts w:asciiTheme="minorHAnsi" w:hAnsiTheme="minorHAnsi" w:cstheme="minorHAnsi"/>
          <w:szCs w:val="24"/>
        </w:rPr>
        <w:t>meetings;</w:t>
      </w:r>
      <w:proofErr w:type="gramEnd"/>
    </w:p>
    <w:p w14:paraId="3E07C6D8" w14:textId="77777777" w:rsidR="00840983" w:rsidRPr="00D31EFB" w:rsidRDefault="00840983" w:rsidP="00491D1B">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09" w:hanging="352"/>
        <w:contextualSpacing w:val="0"/>
        <w:jc w:val="both"/>
        <w:textAlignment w:val="auto"/>
        <w:rPr>
          <w:rFonts w:asciiTheme="minorHAnsi" w:hAnsiTheme="minorHAnsi" w:cstheme="minorHAnsi"/>
          <w:szCs w:val="24"/>
        </w:rPr>
      </w:pPr>
      <w:r w:rsidRPr="00D31EFB">
        <w:rPr>
          <w:rFonts w:asciiTheme="minorHAnsi" w:hAnsiTheme="minorHAnsi" w:cstheme="minorHAnsi"/>
          <w:szCs w:val="24"/>
        </w:rPr>
        <w:t xml:space="preserve">Web-conference tools were upgraded to support multilingual meetings, including using the following software platforms: (1) Interprefy, (2) Zoom, (3) </w:t>
      </w:r>
      <w:proofErr w:type="spellStart"/>
      <w:proofErr w:type="gramStart"/>
      <w:r w:rsidRPr="00D31EFB">
        <w:rPr>
          <w:rFonts w:asciiTheme="minorHAnsi" w:hAnsiTheme="minorHAnsi" w:cstheme="minorHAnsi"/>
          <w:szCs w:val="24"/>
        </w:rPr>
        <w:t>MyMeetings</w:t>
      </w:r>
      <w:proofErr w:type="spellEnd"/>
      <w:r w:rsidRPr="00D31EFB">
        <w:rPr>
          <w:rFonts w:asciiTheme="minorHAnsi" w:hAnsiTheme="minorHAnsi" w:cstheme="minorHAnsi"/>
          <w:szCs w:val="24"/>
        </w:rPr>
        <w:t>;</w:t>
      </w:r>
      <w:proofErr w:type="gramEnd"/>
    </w:p>
    <w:p w14:paraId="4B642A21" w14:textId="414422CF" w:rsidR="00840983" w:rsidRPr="00D31EFB" w:rsidRDefault="00840983" w:rsidP="00491D1B">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09" w:hanging="352"/>
        <w:contextualSpacing w:val="0"/>
        <w:jc w:val="both"/>
        <w:textAlignment w:val="auto"/>
        <w:rPr>
          <w:rFonts w:asciiTheme="minorHAnsi" w:hAnsiTheme="minorHAnsi" w:cstheme="minorHAnsi"/>
          <w:szCs w:val="24"/>
        </w:rPr>
      </w:pPr>
      <w:r w:rsidRPr="00D31EFB">
        <w:rPr>
          <w:rFonts w:asciiTheme="minorHAnsi" w:hAnsiTheme="minorHAnsi" w:cstheme="minorHAnsi"/>
          <w:szCs w:val="24"/>
        </w:rPr>
        <w:t xml:space="preserve">The interpretation booths in rooms Popov, A, C, and L have been integrated with the three web-conference platforms to allow interpreters to continue providing their service from their usual environment, while respecting social distancing </w:t>
      </w:r>
      <w:proofErr w:type="gramStart"/>
      <w:r w:rsidRPr="00D31EFB">
        <w:rPr>
          <w:rFonts w:asciiTheme="minorHAnsi" w:hAnsiTheme="minorHAnsi" w:cstheme="minorHAnsi"/>
          <w:szCs w:val="24"/>
        </w:rPr>
        <w:t>requirement</w:t>
      </w:r>
      <w:r w:rsidR="007838F5">
        <w:rPr>
          <w:rFonts w:asciiTheme="minorHAnsi" w:hAnsiTheme="minorHAnsi" w:cstheme="minorHAnsi"/>
          <w:szCs w:val="24"/>
        </w:rPr>
        <w:t>s</w:t>
      </w:r>
      <w:r w:rsidRPr="00D31EFB">
        <w:rPr>
          <w:rFonts w:asciiTheme="minorHAnsi" w:hAnsiTheme="minorHAnsi" w:cstheme="minorHAnsi"/>
          <w:szCs w:val="24"/>
        </w:rPr>
        <w:t>;</w:t>
      </w:r>
      <w:proofErr w:type="gramEnd"/>
    </w:p>
    <w:p w14:paraId="5CB10FC6" w14:textId="56A8A7BA" w:rsidR="00840983" w:rsidRPr="00D31EFB" w:rsidRDefault="00840983" w:rsidP="45E13E64">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09" w:hanging="352"/>
        <w:contextualSpacing w:val="0"/>
        <w:jc w:val="both"/>
        <w:textAlignment w:val="auto"/>
        <w:rPr>
          <w:rFonts w:asciiTheme="minorHAnsi" w:hAnsiTheme="minorHAnsi" w:cstheme="minorBidi"/>
        </w:rPr>
      </w:pPr>
      <w:r w:rsidRPr="45E13E64">
        <w:rPr>
          <w:rFonts w:asciiTheme="minorHAnsi" w:hAnsiTheme="minorHAnsi" w:cstheme="minorBidi"/>
        </w:rPr>
        <w:t xml:space="preserve">Training has been </w:t>
      </w:r>
      <w:r w:rsidR="007838F5" w:rsidRPr="45E13E64">
        <w:rPr>
          <w:rFonts w:asciiTheme="minorHAnsi" w:hAnsiTheme="minorHAnsi" w:cstheme="minorBidi"/>
        </w:rPr>
        <w:t>given</w:t>
      </w:r>
      <w:r w:rsidRPr="45E13E64">
        <w:rPr>
          <w:rFonts w:asciiTheme="minorHAnsi" w:hAnsiTheme="minorHAnsi" w:cstheme="minorBidi"/>
        </w:rPr>
        <w:t xml:space="preserve"> to interpreters </w:t>
      </w:r>
      <w:r w:rsidR="007838F5" w:rsidRPr="45E13E64">
        <w:rPr>
          <w:rFonts w:asciiTheme="minorHAnsi" w:hAnsiTheme="minorHAnsi" w:cstheme="minorBidi"/>
        </w:rPr>
        <w:t>for</w:t>
      </w:r>
      <w:r w:rsidRPr="45E13E64">
        <w:rPr>
          <w:rFonts w:asciiTheme="minorHAnsi" w:hAnsiTheme="minorHAnsi" w:cstheme="minorBidi"/>
        </w:rPr>
        <w:t xml:space="preserve"> the Remote Simultaneous Interpretation tool of the web-conference platform to allow them to perform remote interpretation from home</w:t>
      </w:r>
      <w:r w:rsidR="009876E8" w:rsidRPr="45E13E64">
        <w:rPr>
          <w:rFonts w:asciiTheme="minorHAnsi" w:hAnsiTheme="minorHAnsi" w:cstheme="minorBidi"/>
        </w:rPr>
        <w:t>.</w:t>
      </w:r>
    </w:p>
    <w:p w14:paraId="5E6E464B" w14:textId="70834281" w:rsidR="2F1F4F4C" w:rsidRDefault="2F1F4F4C" w:rsidP="45E13E64">
      <w:pPr>
        <w:pStyle w:val="ListParagraph"/>
        <w:numPr>
          <w:ilvl w:val="0"/>
          <w:numId w:val="4"/>
        </w:numPr>
        <w:tabs>
          <w:tab w:val="clear" w:pos="567"/>
          <w:tab w:val="clear" w:pos="1134"/>
          <w:tab w:val="clear" w:pos="1701"/>
          <w:tab w:val="clear" w:pos="2268"/>
          <w:tab w:val="clear" w:pos="2835"/>
        </w:tabs>
        <w:spacing w:after="120"/>
        <w:ind w:left="709" w:hanging="352"/>
        <w:contextualSpacing w:val="0"/>
        <w:jc w:val="both"/>
      </w:pPr>
      <w:r w:rsidRPr="45E13E64">
        <w:rPr>
          <w:rFonts w:asciiTheme="minorHAnsi" w:hAnsiTheme="minorHAnsi" w:cstheme="minorBidi"/>
        </w:rPr>
        <w:t xml:space="preserve">Events have been reorganized to be more accommodating to the </w:t>
      </w:r>
      <w:r w:rsidR="73A698BF" w:rsidRPr="45E13E64">
        <w:rPr>
          <w:rFonts w:asciiTheme="minorHAnsi" w:hAnsiTheme="minorHAnsi" w:cstheme="minorBidi"/>
        </w:rPr>
        <w:t>global virtual audience, including reducing the number of hours per day and increasing the num</w:t>
      </w:r>
      <w:r w:rsidR="6423365A" w:rsidRPr="45E13E64">
        <w:rPr>
          <w:rFonts w:asciiTheme="minorHAnsi" w:hAnsiTheme="minorHAnsi" w:cstheme="minorBidi"/>
        </w:rPr>
        <w:t>b</w:t>
      </w:r>
      <w:r w:rsidR="73A698BF" w:rsidRPr="45E13E64">
        <w:rPr>
          <w:rFonts w:asciiTheme="minorHAnsi" w:hAnsiTheme="minorHAnsi" w:cstheme="minorBidi"/>
        </w:rPr>
        <w:t>er of days as compared to physi</w:t>
      </w:r>
      <w:r w:rsidR="6854AC1A" w:rsidRPr="45E13E64">
        <w:rPr>
          <w:rFonts w:asciiTheme="minorHAnsi" w:hAnsiTheme="minorHAnsi" w:cstheme="minorBidi"/>
        </w:rPr>
        <w:t xml:space="preserve">cal events. The WRS20 sessions was presented twice a day to allow participants </w:t>
      </w:r>
      <w:r w:rsidR="562539FD" w:rsidRPr="45E13E64">
        <w:rPr>
          <w:rFonts w:asciiTheme="minorHAnsi" w:hAnsiTheme="minorHAnsi" w:cstheme="minorBidi"/>
        </w:rPr>
        <w:t>from all regions to attend during reasonable local times.</w:t>
      </w:r>
    </w:p>
    <w:p w14:paraId="1C92BE1C" w14:textId="036DB363"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bookmarkStart w:id="12" w:name="_Hlk59204913"/>
      <w:r w:rsidRPr="00D31EFB">
        <w:rPr>
          <w:rFonts w:asciiTheme="minorHAnsi" w:hAnsiTheme="minorHAnsi" w:cstheme="minorHAnsi"/>
          <w:szCs w:val="24"/>
        </w:rPr>
        <w:t>3.</w:t>
      </w:r>
      <w:r w:rsidR="00B60AD7">
        <w:rPr>
          <w:rFonts w:asciiTheme="minorHAnsi" w:hAnsiTheme="minorHAnsi" w:cstheme="minorHAnsi"/>
          <w:szCs w:val="24"/>
        </w:rPr>
        <w:t>10</w:t>
      </w:r>
      <w:r w:rsidRPr="00D31EFB">
        <w:rPr>
          <w:rFonts w:asciiTheme="minorHAnsi" w:hAnsiTheme="minorHAnsi" w:cstheme="minorHAnsi"/>
          <w:szCs w:val="24"/>
        </w:rPr>
        <w:tab/>
      </w:r>
      <w:r w:rsidR="00B33ED2" w:rsidRPr="00B33ED2">
        <w:rPr>
          <w:rFonts w:asciiTheme="minorHAnsi" w:hAnsiTheme="minorHAnsi" w:cstheme="minorHAnsi"/>
          <w:szCs w:val="24"/>
        </w:rPr>
        <w:t xml:space="preserve">In times of COVID-19, to ensure business continuity of the </w:t>
      </w:r>
      <w:proofErr w:type="gramStart"/>
      <w:r w:rsidR="00B33ED2" w:rsidRPr="00B33ED2">
        <w:rPr>
          <w:rFonts w:asciiTheme="minorHAnsi" w:hAnsiTheme="minorHAnsi" w:cstheme="minorHAnsi"/>
          <w:szCs w:val="24"/>
        </w:rPr>
        <w:t>Union‘</w:t>
      </w:r>
      <w:proofErr w:type="gramEnd"/>
      <w:r w:rsidR="00B33ED2" w:rsidRPr="00B33ED2">
        <w:rPr>
          <w:rFonts w:asciiTheme="minorHAnsi" w:hAnsiTheme="minorHAnsi" w:cstheme="minorHAnsi"/>
          <w:szCs w:val="24"/>
        </w:rPr>
        <w:t xml:space="preserve">s governing bodies, Councillors agreed to hold </w:t>
      </w:r>
      <w:r w:rsidR="00B33ED2">
        <w:rPr>
          <w:rFonts w:asciiTheme="minorHAnsi" w:hAnsiTheme="minorHAnsi" w:cstheme="minorHAnsi"/>
          <w:szCs w:val="24"/>
        </w:rPr>
        <w:t>V</w:t>
      </w:r>
      <w:r w:rsidR="00B33ED2" w:rsidRPr="00B33ED2">
        <w:rPr>
          <w:rFonts w:asciiTheme="minorHAnsi" w:hAnsiTheme="minorHAnsi" w:cstheme="minorHAnsi"/>
          <w:szCs w:val="24"/>
        </w:rPr>
        <w:t xml:space="preserve">irtual </w:t>
      </w:r>
      <w:r w:rsidR="00B33ED2">
        <w:rPr>
          <w:rFonts w:asciiTheme="minorHAnsi" w:hAnsiTheme="minorHAnsi" w:cstheme="minorHAnsi"/>
          <w:szCs w:val="24"/>
        </w:rPr>
        <w:t>C</w:t>
      </w:r>
      <w:r w:rsidR="00B33ED2" w:rsidRPr="00B33ED2">
        <w:rPr>
          <w:rFonts w:asciiTheme="minorHAnsi" w:hAnsiTheme="minorHAnsi" w:cstheme="minorHAnsi"/>
          <w:szCs w:val="24"/>
        </w:rPr>
        <w:t xml:space="preserve">onsultations of Councillors to discuss the most urgent topics for the Union, and draw proposed conclusions to be approved either by a next physical session of the Council or by correspondence for those calling for an urgent decision by the Council. The first one </w:t>
      </w:r>
      <w:r w:rsidR="00B33ED2">
        <w:rPr>
          <w:rFonts w:asciiTheme="minorHAnsi" w:hAnsiTheme="minorHAnsi" w:cstheme="minorHAnsi"/>
          <w:szCs w:val="24"/>
        </w:rPr>
        <w:t xml:space="preserve">(VCC-1) </w:t>
      </w:r>
      <w:r w:rsidR="00B33ED2" w:rsidRPr="00B33ED2">
        <w:rPr>
          <w:rFonts w:asciiTheme="minorHAnsi" w:hAnsiTheme="minorHAnsi" w:cstheme="minorHAnsi"/>
          <w:szCs w:val="24"/>
        </w:rPr>
        <w:t xml:space="preserve">was held in June. A second one </w:t>
      </w:r>
      <w:r w:rsidR="00B33ED2">
        <w:rPr>
          <w:rFonts w:asciiTheme="minorHAnsi" w:hAnsiTheme="minorHAnsi" w:cstheme="minorHAnsi"/>
          <w:szCs w:val="24"/>
        </w:rPr>
        <w:t>(</w:t>
      </w:r>
      <w:r w:rsidR="00B33ED2" w:rsidRPr="00B33ED2">
        <w:rPr>
          <w:rFonts w:asciiTheme="minorHAnsi" w:hAnsiTheme="minorHAnsi" w:cstheme="minorHAnsi"/>
          <w:szCs w:val="24"/>
        </w:rPr>
        <w:t>VCC-2</w:t>
      </w:r>
      <w:r w:rsidR="00B33ED2">
        <w:rPr>
          <w:rFonts w:asciiTheme="minorHAnsi" w:hAnsiTheme="minorHAnsi" w:cstheme="minorHAnsi"/>
          <w:szCs w:val="24"/>
        </w:rPr>
        <w:t>)</w:t>
      </w:r>
      <w:r w:rsidR="00B33ED2" w:rsidRPr="00B33ED2">
        <w:rPr>
          <w:rFonts w:asciiTheme="minorHAnsi" w:hAnsiTheme="minorHAnsi" w:cstheme="minorHAnsi"/>
          <w:szCs w:val="24"/>
        </w:rPr>
        <w:t xml:space="preserve"> was organized from 16 to 20 November 2020. These virtual consultations have allowed Member States to address most of the items initially included on the agenda of the annual 2020 physical session of the Council.</w:t>
      </w:r>
    </w:p>
    <w:bookmarkEnd w:id="12"/>
    <w:p w14:paraId="7C60AD7B" w14:textId="239D2CD3"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3.</w:t>
      </w:r>
      <w:r w:rsidR="007838F5">
        <w:rPr>
          <w:rFonts w:asciiTheme="minorHAnsi" w:hAnsiTheme="minorHAnsi" w:cstheme="minorHAnsi"/>
          <w:szCs w:val="24"/>
        </w:rPr>
        <w:t>1</w:t>
      </w:r>
      <w:r w:rsidR="00B60AD7">
        <w:rPr>
          <w:rFonts w:asciiTheme="minorHAnsi" w:hAnsiTheme="minorHAnsi" w:cstheme="minorHAnsi"/>
          <w:szCs w:val="24"/>
        </w:rPr>
        <w:t>1</w:t>
      </w:r>
      <w:r w:rsidRPr="00D31EFB">
        <w:rPr>
          <w:rFonts w:asciiTheme="minorHAnsi" w:hAnsiTheme="minorHAnsi" w:cstheme="minorHAnsi"/>
          <w:szCs w:val="24"/>
        </w:rPr>
        <w:tab/>
        <w:t xml:space="preserve">The interpretation booth to Interprefy integration has been used extensively from May 2020, with VCC1 as the first stress-test of the installation. Since then, extensive improvements have been </w:t>
      </w:r>
      <w:r w:rsidRPr="00D31EFB">
        <w:rPr>
          <w:rFonts w:asciiTheme="minorHAnsi" w:hAnsiTheme="minorHAnsi" w:cstheme="minorHAnsi"/>
          <w:szCs w:val="24"/>
        </w:rPr>
        <w:lastRenderedPageBreak/>
        <w:t xml:space="preserve">made on both the Interprefy platform as well as the booth-to-platform integration. Zoom multilingual support was introduced in July, followed by </w:t>
      </w:r>
      <w:proofErr w:type="spellStart"/>
      <w:r w:rsidRPr="00D31EFB">
        <w:rPr>
          <w:rFonts w:asciiTheme="minorHAnsi" w:hAnsiTheme="minorHAnsi" w:cstheme="minorHAnsi"/>
          <w:szCs w:val="24"/>
        </w:rPr>
        <w:t>MyMeetings</w:t>
      </w:r>
      <w:proofErr w:type="spellEnd"/>
      <w:r w:rsidRPr="00D31EFB">
        <w:rPr>
          <w:rFonts w:asciiTheme="minorHAnsi" w:hAnsiTheme="minorHAnsi" w:cstheme="minorHAnsi"/>
          <w:szCs w:val="24"/>
        </w:rPr>
        <w:t xml:space="preserve"> in September. </w:t>
      </w:r>
    </w:p>
    <w:p w14:paraId="0C3D1D2D" w14:textId="13CAA203" w:rsidR="00C7469E" w:rsidRPr="00D31EFB" w:rsidRDefault="00C7469E" w:rsidP="45E13E64">
      <w:pPr>
        <w:tabs>
          <w:tab w:val="clear" w:pos="567"/>
          <w:tab w:val="clear" w:pos="1134"/>
          <w:tab w:val="clear" w:pos="1701"/>
          <w:tab w:val="clear" w:pos="2268"/>
          <w:tab w:val="clear" w:pos="2835"/>
        </w:tabs>
        <w:spacing w:after="120"/>
        <w:jc w:val="both"/>
        <w:rPr>
          <w:rFonts w:asciiTheme="minorHAnsi" w:hAnsiTheme="minorHAnsi" w:cstheme="minorBidi"/>
        </w:rPr>
      </w:pPr>
      <w:r w:rsidRPr="45E13E64">
        <w:rPr>
          <w:rFonts w:asciiTheme="minorHAnsi" w:hAnsiTheme="minorHAnsi" w:cstheme="minorBidi"/>
        </w:rPr>
        <w:t>3.1</w:t>
      </w:r>
      <w:r w:rsidR="00B60AD7" w:rsidRPr="45E13E64">
        <w:rPr>
          <w:rFonts w:asciiTheme="minorHAnsi" w:hAnsiTheme="minorHAnsi" w:cstheme="minorBidi"/>
        </w:rPr>
        <w:t>2</w:t>
      </w:r>
      <w:r w:rsidRPr="00D31EFB">
        <w:rPr>
          <w:rFonts w:asciiTheme="minorHAnsi" w:hAnsiTheme="minorHAnsi" w:cstheme="minorHAnsi"/>
          <w:szCs w:val="24"/>
        </w:rPr>
        <w:tab/>
      </w:r>
      <w:r w:rsidRPr="45E13E64">
        <w:rPr>
          <w:rFonts w:asciiTheme="minorHAnsi" w:hAnsiTheme="minorHAnsi" w:cstheme="minorBidi"/>
        </w:rPr>
        <w:t xml:space="preserve">Further to the request of additional session of Council 2019, internal communications </w:t>
      </w:r>
      <w:r w:rsidR="18734F98" w:rsidRPr="45E13E64">
        <w:rPr>
          <w:rFonts w:asciiTheme="minorHAnsi" w:hAnsiTheme="minorHAnsi" w:cstheme="minorBidi"/>
        </w:rPr>
        <w:t>have</w:t>
      </w:r>
      <w:r w:rsidRPr="45E13E64">
        <w:rPr>
          <w:rFonts w:asciiTheme="minorHAnsi" w:hAnsiTheme="minorHAnsi" w:cstheme="minorBidi"/>
        </w:rPr>
        <w:t xml:space="preserve"> been strengthened, through establishing an Internal Communications Working Group in the Operational Response Team (ORT), launching an audio-visual campaign on return to office/office presence during COVID-19 and issuing digital newsletters for staff.</w:t>
      </w:r>
    </w:p>
    <w:p w14:paraId="1025F9C0" w14:textId="78695A8A"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lang w:val="en-US"/>
        </w:rPr>
      </w:pPr>
      <w:r w:rsidRPr="00D31EFB">
        <w:rPr>
          <w:rFonts w:asciiTheme="minorHAnsi" w:hAnsiTheme="minorHAnsi" w:cstheme="minorHAnsi"/>
          <w:szCs w:val="24"/>
        </w:rPr>
        <w:t>3.1</w:t>
      </w:r>
      <w:r w:rsidR="00B60AD7">
        <w:rPr>
          <w:rFonts w:asciiTheme="minorHAnsi" w:hAnsiTheme="minorHAnsi" w:cstheme="minorHAnsi"/>
          <w:szCs w:val="24"/>
        </w:rPr>
        <w:t>3</w:t>
      </w:r>
      <w:r w:rsidRPr="00D31EFB">
        <w:rPr>
          <w:rFonts w:asciiTheme="minorHAnsi" w:hAnsiTheme="minorHAnsi" w:cstheme="minorHAnsi"/>
          <w:color w:val="000000" w:themeColor="text1"/>
          <w:szCs w:val="24"/>
        </w:rPr>
        <w:tab/>
      </w:r>
      <w:r w:rsidRPr="00D31EFB">
        <w:rPr>
          <w:rFonts w:asciiTheme="minorHAnsi" w:hAnsiTheme="minorHAnsi" w:cstheme="minorHAnsi"/>
          <w:szCs w:val="24"/>
          <w:lang w:val="en-US"/>
        </w:rPr>
        <w:t xml:space="preserve">The Secretary-General has allocated nearly CHF1.2 million to meet expenses related to Covid-19. The main categories of expenses that have been covered by this exceptional </w:t>
      </w:r>
      <w:r w:rsidRPr="00D31EFB">
        <w:rPr>
          <w:rFonts w:asciiTheme="minorHAnsi" w:hAnsiTheme="minorHAnsi" w:cstheme="minorHAnsi"/>
          <w:szCs w:val="24"/>
        </w:rPr>
        <w:t>allocation</w:t>
      </w:r>
      <w:r w:rsidRPr="00D31EFB">
        <w:rPr>
          <w:rFonts w:asciiTheme="minorHAnsi" w:hAnsiTheme="minorHAnsi" w:cstheme="minorHAnsi"/>
          <w:szCs w:val="24"/>
          <w:lang w:val="en-US"/>
        </w:rPr>
        <w:t xml:space="preserve"> can be found in </w:t>
      </w:r>
      <w:r w:rsidRPr="00D31EFB">
        <w:rPr>
          <w:rFonts w:asciiTheme="minorHAnsi" w:hAnsiTheme="minorHAnsi" w:cstheme="minorHAnsi"/>
          <w:b/>
          <w:bCs/>
          <w:szCs w:val="24"/>
          <w:lang w:val="en-US"/>
        </w:rPr>
        <w:t>Table 1</w:t>
      </w:r>
      <w:r w:rsidRPr="00D31EFB">
        <w:rPr>
          <w:rFonts w:asciiTheme="minorHAnsi" w:hAnsiTheme="minorHAnsi" w:cstheme="minorHAnsi"/>
          <w:szCs w:val="24"/>
          <w:lang w:val="en-US"/>
        </w:rPr>
        <w:t xml:space="preserve"> below. Teleworking generated</w:t>
      </w:r>
      <w:r w:rsidR="009876E8">
        <w:rPr>
          <w:rFonts w:asciiTheme="minorHAnsi" w:hAnsiTheme="minorHAnsi" w:cstheme="minorHAnsi"/>
          <w:szCs w:val="24"/>
          <w:lang w:val="en-US"/>
        </w:rPr>
        <w:t xml:space="preserve"> some</w:t>
      </w:r>
      <w:r w:rsidRPr="00D31EFB">
        <w:rPr>
          <w:rFonts w:asciiTheme="minorHAnsi" w:hAnsiTheme="minorHAnsi" w:cstheme="minorHAnsi"/>
          <w:szCs w:val="24"/>
          <w:lang w:val="en-US"/>
        </w:rPr>
        <w:t xml:space="preserve"> additional costs as it was necessary to adapt to virtual conferences, which required the purchase of appropriate equipment. ITU also hired a psychologist to support its staff members who faced difficulties. The medical advisor previously on a part-time basis (50%) has been increased to full-time. The financing of all these expenses was possible thanks to savings outlined in </w:t>
      </w:r>
      <w:r w:rsidRPr="00D31EFB">
        <w:rPr>
          <w:rFonts w:asciiTheme="minorHAnsi" w:hAnsiTheme="minorHAnsi" w:cstheme="minorHAnsi"/>
          <w:b/>
          <w:bCs/>
          <w:szCs w:val="24"/>
          <w:lang w:val="en-US"/>
        </w:rPr>
        <w:t>Table 2</w:t>
      </w:r>
      <w:r w:rsidRPr="00D31EFB">
        <w:rPr>
          <w:rFonts w:asciiTheme="minorHAnsi" w:hAnsiTheme="minorHAnsi" w:cstheme="minorHAnsi"/>
          <w:szCs w:val="24"/>
          <w:lang w:val="en-US"/>
        </w:rPr>
        <w:t xml:space="preserve"> below. Savings have also been generated from the fellowships budget.</w:t>
      </w:r>
    </w:p>
    <w:p w14:paraId="1BEAEC35" w14:textId="77777777" w:rsidR="00840983" w:rsidRPr="00D31EFB" w:rsidRDefault="00840983" w:rsidP="00450DEF">
      <w:pPr>
        <w:tabs>
          <w:tab w:val="left" w:pos="851"/>
        </w:tabs>
        <w:spacing w:after="120"/>
        <w:jc w:val="both"/>
        <w:rPr>
          <w:rFonts w:asciiTheme="minorHAnsi" w:hAnsiTheme="minorHAnsi" w:cstheme="minorHAnsi"/>
          <w:b/>
          <w:bCs/>
          <w:szCs w:val="24"/>
          <w:lang w:val="en-US"/>
        </w:rPr>
      </w:pPr>
      <w:r w:rsidRPr="00D31EFB">
        <w:rPr>
          <w:rFonts w:asciiTheme="minorHAnsi" w:hAnsiTheme="minorHAnsi" w:cstheme="minorHAnsi"/>
          <w:b/>
          <w:bCs/>
          <w:szCs w:val="24"/>
          <w:lang w:val="en-US"/>
        </w:rPr>
        <w:t>Table 1: Expenses related to COVID-19</w:t>
      </w:r>
    </w:p>
    <w:tbl>
      <w:tblPr>
        <w:tblW w:w="5980" w:type="dxa"/>
        <w:tblLook w:val="04A0" w:firstRow="1" w:lastRow="0" w:firstColumn="1" w:lastColumn="0" w:noHBand="0" w:noVBand="1"/>
      </w:tblPr>
      <w:tblGrid>
        <w:gridCol w:w="4740"/>
        <w:gridCol w:w="1240"/>
      </w:tblGrid>
      <w:tr w:rsidR="00840983" w:rsidRPr="00D31EFB" w14:paraId="24A2BD43" w14:textId="77777777" w:rsidTr="006E4D55">
        <w:trPr>
          <w:trHeight w:val="290"/>
        </w:trPr>
        <w:tc>
          <w:tcPr>
            <w:tcW w:w="4740" w:type="dxa"/>
            <w:tcBorders>
              <w:top w:val="nil"/>
              <w:left w:val="nil"/>
              <w:bottom w:val="nil"/>
              <w:right w:val="nil"/>
            </w:tcBorders>
            <w:shd w:val="clear" w:color="auto" w:fill="auto"/>
            <w:noWrap/>
            <w:vAlign w:val="bottom"/>
            <w:hideMark/>
          </w:tcPr>
          <w:p w14:paraId="1E745C3C" w14:textId="77777777" w:rsidR="00840983" w:rsidRPr="00D31EFB" w:rsidRDefault="00840983" w:rsidP="006038F4">
            <w:pPr>
              <w:spacing w:before="20"/>
              <w:rPr>
                <w:rFonts w:asciiTheme="minorHAnsi" w:hAnsiTheme="minorHAnsi" w:cstheme="minorHAnsi"/>
                <w:szCs w:val="24"/>
                <w:lang w:eastAsia="en-GB"/>
              </w:rPr>
            </w:pPr>
          </w:p>
        </w:tc>
        <w:tc>
          <w:tcPr>
            <w:tcW w:w="1240" w:type="dxa"/>
            <w:tcBorders>
              <w:top w:val="nil"/>
              <w:left w:val="nil"/>
              <w:bottom w:val="nil"/>
              <w:right w:val="nil"/>
            </w:tcBorders>
            <w:shd w:val="clear" w:color="000000" w:fill="FCE4D6"/>
            <w:noWrap/>
            <w:vAlign w:val="bottom"/>
            <w:hideMark/>
          </w:tcPr>
          <w:p w14:paraId="71033F5D" w14:textId="77777777" w:rsidR="00840983" w:rsidRPr="00D31EFB" w:rsidRDefault="00840983" w:rsidP="006038F4">
            <w:pPr>
              <w:spacing w:before="20"/>
              <w:jc w:val="center"/>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KCHF</w:t>
            </w:r>
          </w:p>
        </w:tc>
      </w:tr>
      <w:tr w:rsidR="00840983" w:rsidRPr="00D31EFB" w14:paraId="368B91A1" w14:textId="77777777" w:rsidTr="006E4D55">
        <w:trPr>
          <w:trHeight w:val="290"/>
        </w:trPr>
        <w:tc>
          <w:tcPr>
            <w:tcW w:w="4740" w:type="dxa"/>
            <w:tcBorders>
              <w:top w:val="nil"/>
              <w:left w:val="nil"/>
              <w:bottom w:val="nil"/>
              <w:right w:val="nil"/>
            </w:tcBorders>
            <w:shd w:val="clear" w:color="000000" w:fill="E2EFDA"/>
            <w:noWrap/>
            <w:vAlign w:val="bottom"/>
            <w:hideMark/>
          </w:tcPr>
          <w:p w14:paraId="12436B2A" w14:textId="77777777" w:rsidR="00840983" w:rsidRPr="00D31EFB" w:rsidRDefault="00840983" w:rsidP="006038F4">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50% medical advisor + psychologist</w:t>
            </w:r>
          </w:p>
        </w:tc>
        <w:tc>
          <w:tcPr>
            <w:tcW w:w="1240" w:type="dxa"/>
            <w:tcBorders>
              <w:top w:val="nil"/>
              <w:left w:val="nil"/>
              <w:bottom w:val="nil"/>
              <w:right w:val="nil"/>
            </w:tcBorders>
            <w:shd w:val="clear" w:color="000000" w:fill="FCE4D6"/>
            <w:noWrap/>
            <w:vAlign w:val="bottom"/>
            <w:hideMark/>
          </w:tcPr>
          <w:p w14:paraId="3F72EA19"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156</w:t>
            </w:r>
          </w:p>
        </w:tc>
      </w:tr>
      <w:tr w:rsidR="00840983" w:rsidRPr="00D31EFB" w14:paraId="1F7CC912" w14:textId="77777777" w:rsidTr="006E4D55">
        <w:trPr>
          <w:trHeight w:val="290"/>
        </w:trPr>
        <w:tc>
          <w:tcPr>
            <w:tcW w:w="4740" w:type="dxa"/>
            <w:tcBorders>
              <w:top w:val="nil"/>
              <w:left w:val="nil"/>
              <w:bottom w:val="nil"/>
              <w:right w:val="nil"/>
            </w:tcBorders>
            <w:shd w:val="clear" w:color="000000" w:fill="E2EFDA"/>
            <w:noWrap/>
            <w:vAlign w:val="bottom"/>
            <w:hideMark/>
          </w:tcPr>
          <w:p w14:paraId="235EB172" w14:textId="7CC3588A" w:rsidR="00840983" w:rsidRPr="00D31EFB" w:rsidRDefault="00840983" w:rsidP="006038F4">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Equipment (tents, infrared cameras</w:t>
            </w:r>
            <w:proofErr w:type="gramStart"/>
            <w:r w:rsidR="009876E8">
              <w:rPr>
                <w:rFonts w:asciiTheme="minorHAnsi" w:hAnsiTheme="minorHAnsi" w:cstheme="minorHAnsi"/>
                <w:color w:val="000000"/>
                <w:lang w:eastAsia="en-GB"/>
              </w:rPr>
              <w:t xml:space="preserve"> </w:t>
            </w:r>
            <w:r w:rsidRPr="00D31EFB">
              <w:rPr>
                <w:rFonts w:asciiTheme="minorHAnsi" w:hAnsiTheme="minorHAnsi" w:cstheme="minorHAnsi"/>
                <w:color w:val="000000"/>
                <w:lang w:eastAsia="en-GB"/>
              </w:rPr>
              <w:t>..</w:t>
            </w:r>
            <w:proofErr w:type="gramEnd"/>
            <w:r w:rsidRPr="00D31EFB">
              <w:rPr>
                <w:rFonts w:asciiTheme="minorHAnsi" w:hAnsiTheme="minorHAnsi" w:cstheme="minorHAnsi"/>
                <w:color w:val="000000"/>
                <w:lang w:eastAsia="en-GB"/>
              </w:rPr>
              <w:t>)</w:t>
            </w:r>
          </w:p>
        </w:tc>
        <w:tc>
          <w:tcPr>
            <w:tcW w:w="1240" w:type="dxa"/>
            <w:tcBorders>
              <w:top w:val="nil"/>
              <w:left w:val="nil"/>
              <w:bottom w:val="nil"/>
              <w:right w:val="nil"/>
            </w:tcBorders>
            <w:shd w:val="clear" w:color="000000" w:fill="FCE4D6"/>
            <w:noWrap/>
            <w:vAlign w:val="bottom"/>
            <w:hideMark/>
          </w:tcPr>
          <w:p w14:paraId="02CA21BC"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136</w:t>
            </w:r>
          </w:p>
        </w:tc>
      </w:tr>
      <w:tr w:rsidR="00840983" w:rsidRPr="00D31EFB" w14:paraId="5F564E6F" w14:textId="77777777" w:rsidTr="006E4D55">
        <w:trPr>
          <w:trHeight w:val="290"/>
        </w:trPr>
        <w:tc>
          <w:tcPr>
            <w:tcW w:w="4740" w:type="dxa"/>
            <w:tcBorders>
              <w:top w:val="nil"/>
              <w:left w:val="nil"/>
              <w:bottom w:val="nil"/>
              <w:right w:val="nil"/>
            </w:tcBorders>
            <w:shd w:val="clear" w:color="000000" w:fill="E2EFDA"/>
            <w:noWrap/>
            <w:vAlign w:val="bottom"/>
            <w:hideMark/>
          </w:tcPr>
          <w:p w14:paraId="113A6B9F" w14:textId="77777777" w:rsidR="00840983" w:rsidRPr="00D31EFB" w:rsidRDefault="00840983" w:rsidP="006038F4">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Supplies (Masks, hydroalcoholic gel, …)</w:t>
            </w:r>
          </w:p>
        </w:tc>
        <w:tc>
          <w:tcPr>
            <w:tcW w:w="1240" w:type="dxa"/>
            <w:tcBorders>
              <w:top w:val="nil"/>
              <w:left w:val="nil"/>
              <w:bottom w:val="nil"/>
              <w:right w:val="nil"/>
            </w:tcBorders>
            <w:shd w:val="clear" w:color="000000" w:fill="FCE4D6"/>
            <w:noWrap/>
            <w:vAlign w:val="bottom"/>
            <w:hideMark/>
          </w:tcPr>
          <w:p w14:paraId="093F6019"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100</w:t>
            </w:r>
          </w:p>
        </w:tc>
      </w:tr>
      <w:tr w:rsidR="00840983" w:rsidRPr="00D31EFB" w14:paraId="2DD4553E" w14:textId="77777777" w:rsidTr="006E4D55">
        <w:trPr>
          <w:trHeight w:val="290"/>
        </w:trPr>
        <w:tc>
          <w:tcPr>
            <w:tcW w:w="4740" w:type="dxa"/>
            <w:tcBorders>
              <w:top w:val="nil"/>
              <w:left w:val="nil"/>
              <w:bottom w:val="nil"/>
              <w:right w:val="nil"/>
            </w:tcBorders>
            <w:shd w:val="clear" w:color="000000" w:fill="E2EFDA"/>
            <w:noWrap/>
            <w:vAlign w:val="bottom"/>
            <w:hideMark/>
          </w:tcPr>
          <w:p w14:paraId="0D0BF0BD" w14:textId="77777777" w:rsidR="00840983" w:rsidRPr="00D31EFB" w:rsidRDefault="00840983" w:rsidP="006038F4">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Software (security)</w:t>
            </w:r>
          </w:p>
        </w:tc>
        <w:tc>
          <w:tcPr>
            <w:tcW w:w="1240" w:type="dxa"/>
            <w:tcBorders>
              <w:top w:val="nil"/>
              <w:left w:val="nil"/>
              <w:bottom w:val="nil"/>
              <w:right w:val="nil"/>
            </w:tcBorders>
            <w:shd w:val="clear" w:color="000000" w:fill="FCE4D6"/>
            <w:noWrap/>
            <w:vAlign w:val="bottom"/>
            <w:hideMark/>
          </w:tcPr>
          <w:p w14:paraId="1E1F322B"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18</w:t>
            </w:r>
          </w:p>
        </w:tc>
      </w:tr>
      <w:tr w:rsidR="00840983" w:rsidRPr="00D31EFB" w14:paraId="052AFFB8" w14:textId="77777777" w:rsidTr="006E4D55">
        <w:trPr>
          <w:trHeight w:val="290"/>
        </w:trPr>
        <w:tc>
          <w:tcPr>
            <w:tcW w:w="4740" w:type="dxa"/>
            <w:tcBorders>
              <w:top w:val="nil"/>
              <w:left w:val="nil"/>
              <w:bottom w:val="nil"/>
              <w:right w:val="nil"/>
            </w:tcBorders>
            <w:shd w:val="clear" w:color="000000" w:fill="E2EFDA"/>
            <w:noWrap/>
            <w:vAlign w:val="bottom"/>
            <w:hideMark/>
          </w:tcPr>
          <w:p w14:paraId="45D6F926" w14:textId="77777777" w:rsidR="00840983" w:rsidRPr="00D31EFB" w:rsidRDefault="00840983" w:rsidP="006038F4">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Mobile phones (purchase)</w:t>
            </w:r>
          </w:p>
        </w:tc>
        <w:tc>
          <w:tcPr>
            <w:tcW w:w="1240" w:type="dxa"/>
            <w:tcBorders>
              <w:top w:val="nil"/>
              <w:left w:val="nil"/>
              <w:bottom w:val="nil"/>
              <w:right w:val="nil"/>
            </w:tcBorders>
            <w:shd w:val="clear" w:color="000000" w:fill="FCE4D6"/>
            <w:noWrap/>
            <w:vAlign w:val="bottom"/>
            <w:hideMark/>
          </w:tcPr>
          <w:p w14:paraId="63210789"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125</w:t>
            </w:r>
          </w:p>
        </w:tc>
      </w:tr>
      <w:tr w:rsidR="00840983" w:rsidRPr="00D31EFB" w14:paraId="16759E5B" w14:textId="77777777" w:rsidTr="006E4D55">
        <w:trPr>
          <w:trHeight w:val="290"/>
        </w:trPr>
        <w:tc>
          <w:tcPr>
            <w:tcW w:w="4740" w:type="dxa"/>
            <w:tcBorders>
              <w:top w:val="nil"/>
              <w:left w:val="nil"/>
              <w:bottom w:val="nil"/>
              <w:right w:val="nil"/>
            </w:tcBorders>
            <w:shd w:val="clear" w:color="000000" w:fill="E2EFDA"/>
            <w:noWrap/>
            <w:vAlign w:val="bottom"/>
            <w:hideMark/>
          </w:tcPr>
          <w:p w14:paraId="5DA0ED5D" w14:textId="77777777" w:rsidR="00840983" w:rsidRPr="00D31EFB" w:rsidRDefault="00840983" w:rsidP="006038F4">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Mobile phones (subscriptions)</w:t>
            </w:r>
          </w:p>
        </w:tc>
        <w:tc>
          <w:tcPr>
            <w:tcW w:w="1240" w:type="dxa"/>
            <w:tcBorders>
              <w:top w:val="nil"/>
              <w:left w:val="nil"/>
              <w:bottom w:val="nil"/>
              <w:right w:val="nil"/>
            </w:tcBorders>
            <w:shd w:val="clear" w:color="000000" w:fill="FCE4D6"/>
            <w:noWrap/>
            <w:vAlign w:val="bottom"/>
            <w:hideMark/>
          </w:tcPr>
          <w:p w14:paraId="01BEF97B"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250</w:t>
            </w:r>
          </w:p>
        </w:tc>
      </w:tr>
      <w:tr w:rsidR="00840983" w:rsidRPr="00D31EFB" w14:paraId="676CC329" w14:textId="77777777" w:rsidTr="006E4D55">
        <w:trPr>
          <w:trHeight w:val="290"/>
        </w:trPr>
        <w:tc>
          <w:tcPr>
            <w:tcW w:w="4740" w:type="dxa"/>
            <w:tcBorders>
              <w:top w:val="nil"/>
              <w:left w:val="nil"/>
              <w:bottom w:val="nil"/>
              <w:right w:val="nil"/>
            </w:tcBorders>
            <w:shd w:val="clear" w:color="000000" w:fill="E2EFDA"/>
            <w:noWrap/>
            <w:vAlign w:val="bottom"/>
            <w:hideMark/>
          </w:tcPr>
          <w:p w14:paraId="3948C527" w14:textId="77777777" w:rsidR="00840983" w:rsidRPr="00D31EFB" w:rsidRDefault="00840983" w:rsidP="006038F4">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IT peripherals (laptops, screens, …)</w:t>
            </w:r>
          </w:p>
        </w:tc>
        <w:tc>
          <w:tcPr>
            <w:tcW w:w="1240" w:type="dxa"/>
            <w:tcBorders>
              <w:top w:val="nil"/>
              <w:left w:val="nil"/>
              <w:bottom w:val="nil"/>
              <w:right w:val="nil"/>
            </w:tcBorders>
            <w:shd w:val="clear" w:color="000000" w:fill="FCE4D6"/>
            <w:noWrap/>
            <w:vAlign w:val="bottom"/>
            <w:hideMark/>
          </w:tcPr>
          <w:p w14:paraId="37C04D93"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254</w:t>
            </w:r>
          </w:p>
        </w:tc>
      </w:tr>
      <w:tr w:rsidR="00840983" w:rsidRPr="00D31EFB" w14:paraId="3717705C" w14:textId="77777777" w:rsidTr="006E4D55">
        <w:trPr>
          <w:trHeight w:val="290"/>
        </w:trPr>
        <w:tc>
          <w:tcPr>
            <w:tcW w:w="4740" w:type="dxa"/>
            <w:tcBorders>
              <w:top w:val="nil"/>
              <w:left w:val="nil"/>
              <w:bottom w:val="nil"/>
              <w:right w:val="nil"/>
            </w:tcBorders>
            <w:shd w:val="clear" w:color="000000" w:fill="E2EFDA"/>
            <w:noWrap/>
            <w:vAlign w:val="bottom"/>
            <w:hideMark/>
          </w:tcPr>
          <w:p w14:paraId="5287F607" w14:textId="77777777" w:rsidR="00840983" w:rsidRPr="00D31EFB" w:rsidRDefault="00840983" w:rsidP="006038F4">
            <w:pPr>
              <w:spacing w:before="20"/>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Total Covid-19 expenses (budget 2020)</w:t>
            </w:r>
          </w:p>
        </w:tc>
        <w:tc>
          <w:tcPr>
            <w:tcW w:w="1240" w:type="dxa"/>
            <w:tcBorders>
              <w:top w:val="nil"/>
              <w:left w:val="nil"/>
              <w:bottom w:val="nil"/>
              <w:right w:val="nil"/>
            </w:tcBorders>
            <w:shd w:val="clear" w:color="000000" w:fill="FCE4D6"/>
            <w:noWrap/>
            <w:vAlign w:val="bottom"/>
            <w:hideMark/>
          </w:tcPr>
          <w:p w14:paraId="44F6473B" w14:textId="77777777" w:rsidR="00840983" w:rsidRPr="00D31EFB" w:rsidRDefault="00840983" w:rsidP="006038F4">
            <w:pPr>
              <w:spacing w:before="20"/>
              <w:jc w:val="right"/>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1,039</w:t>
            </w:r>
          </w:p>
        </w:tc>
      </w:tr>
    </w:tbl>
    <w:p w14:paraId="538C36DC" w14:textId="6D28A270" w:rsidR="0091568B" w:rsidRPr="00D31EFB" w:rsidRDefault="0091568B" w:rsidP="00450DE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lang w:val="en-US"/>
        </w:rPr>
      </w:pPr>
    </w:p>
    <w:p w14:paraId="193E4FAB" w14:textId="247FBD41" w:rsidR="00840983" w:rsidRPr="00D31EFB" w:rsidRDefault="00840983" w:rsidP="00450DEF">
      <w:pPr>
        <w:tabs>
          <w:tab w:val="left" w:pos="851"/>
        </w:tabs>
        <w:spacing w:before="0" w:after="120"/>
        <w:jc w:val="both"/>
        <w:rPr>
          <w:rFonts w:asciiTheme="minorHAnsi" w:hAnsiTheme="minorHAnsi" w:cstheme="minorHAnsi"/>
          <w:b/>
          <w:bCs/>
          <w:szCs w:val="24"/>
          <w:lang w:val="en-US"/>
        </w:rPr>
      </w:pPr>
      <w:r w:rsidRPr="00D31EFB">
        <w:rPr>
          <w:rFonts w:asciiTheme="minorHAnsi" w:hAnsiTheme="minorHAnsi" w:cstheme="minorHAnsi"/>
          <w:b/>
          <w:bCs/>
          <w:szCs w:val="24"/>
          <w:lang w:val="en-US"/>
        </w:rPr>
        <w:t>Table 2: Travel Savings for COVID-20</w:t>
      </w:r>
    </w:p>
    <w:tbl>
      <w:tblPr>
        <w:tblW w:w="7891" w:type="dxa"/>
        <w:tblLook w:val="04A0" w:firstRow="1" w:lastRow="0" w:firstColumn="1" w:lastColumn="0" w:noHBand="0" w:noVBand="1"/>
      </w:tblPr>
      <w:tblGrid>
        <w:gridCol w:w="4395"/>
        <w:gridCol w:w="1417"/>
        <w:gridCol w:w="1843"/>
        <w:gridCol w:w="1202"/>
      </w:tblGrid>
      <w:tr w:rsidR="00840983" w:rsidRPr="00D31EFB" w14:paraId="0891B287" w14:textId="77777777" w:rsidTr="006038F4">
        <w:trPr>
          <w:trHeight w:val="580"/>
        </w:trPr>
        <w:tc>
          <w:tcPr>
            <w:tcW w:w="4395" w:type="dxa"/>
            <w:tcBorders>
              <w:top w:val="nil"/>
              <w:left w:val="nil"/>
              <w:bottom w:val="nil"/>
              <w:right w:val="nil"/>
            </w:tcBorders>
            <w:shd w:val="clear" w:color="auto" w:fill="auto"/>
            <w:noWrap/>
            <w:vAlign w:val="bottom"/>
            <w:hideMark/>
          </w:tcPr>
          <w:p w14:paraId="06830939" w14:textId="77777777" w:rsidR="00840983" w:rsidRPr="00D31EFB" w:rsidRDefault="00840983" w:rsidP="006038F4">
            <w:pPr>
              <w:spacing w:before="20"/>
              <w:rPr>
                <w:rFonts w:asciiTheme="minorHAnsi" w:hAnsiTheme="minorHAnsi" w:cstheme="minorHAnsi"/>
                <w:szCs w:val="24"/>
                <w:lang w:eastAsia="en-GB"/>
              </w:rPr>
            </w:pPr>
          </w:p>
        </w:tc>
        <w:tc>
          <w:tcPr>
            <w:tcW w:w="1417" w:type="dxa"/>
            <w:tcBorders>
              <w:top w:val="nil"/>
              <w:left w:val="nil"/>
              <w:bottom w:val="nil"/>
              <w:right w:val="nil"/>
            </w:tcBorders>
            <w:shd w:val="clear" w:color="000000" w:fill="FFF2CC"/>
            <w:vAlign w:val="center"/>
            <w:hideMark/>
          </w:tcPr>
          <w:p w14:paraId="6C0588BA" w14:textId="77777777" w:rsidR="00840983" w:rsidRPr="00D31EFB" w:rsidRDefault="00840983" w:rsidP="006038F4">
            <w:pPr>
              <w:spacing w:before="20"/>
              <w:jc w:val="center"/>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Budget 2020</w:t>
            </w:r>
          </w:p>
        </w:tc>
        <w:tc>
          <w:tcPr>
            <w:tcW w:w="1843" w:type="dxa"/>
            <w:tcBorders>
              <w:top w:val="nil"/>
              <w:left w:val="nil"/>
              <w:bottom w:val="nil"/>
              <w:right w:val="nil"/>
            </w:tcBorders>
            <w:shd w:val="clear" w:color="000000" w:fill="D9E1F2"/>
            <w:vAlign w:val="center"/>
            <w:hideMark/>
          </w:tcPr>
          <w:p w14:paraId="2B5B2A2D" w14:textId="4AEC89B7" w:rsidR="00840983" w:rsidRPr="00D31EFB" w:rsidRDefault="00840983" w:rsidP="006038F4">
            <w:pPr>
              <w:spacing w:before="20"/>
              <w:jc w:val="center"/>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 xml:space="preserve">Actuals as at </w:t>
            </w:r>
            <w:r w:rsidR="008505C1">
              <w:rPr>
                <w:rFonts w:asciiTheme="minorHAnsi" w:hAnsiTheme="minorHAnsi" w:cstheme="minorHAnsi"/>
                <w:b/>
                <w:bCs/>
                <w:color w:val="000000"/>
                <w:lang w:eastAsia="en-GB"/>
              </w:rPr>
              <w:t>30</w:t>
            </w:r>
            <w:r w:rsidRPr="00D31EFB">
              <w:rPr>
                <w:rFonts w:asciiTheme="minorHAnsi" w:hAnsiTheme="minorHAnsi" w:cstheme="minorHAnsi"/>
                <w:b/>
                <w:bCs/>
                <w:color w:val="000000"/>
                <w:lang w:eastAsia="en-GB"/>
              </w:rPr>
              <w:t>/</w:t>
            </w:r>
            <w:r w:rsidR="008505C1">
              <w:rPr>
                <w:rFonts w:asciiTheme="minorHAnsi" w:hAnsiTheme="minorHAnsi" w:cstheme="minorHAnsi"/>
                <w:b/>
                <w:bCs/>
                <w:color w:val="000000"/>
                <w:lang w:eastAsia="en-GB"/>
              </w:rPr>
              <w:t>11</w:t>
            </w:r>
            <w:r w:rsidRPr="00D31EFB">
              <w:rPr>
                <w:rFonts w:asciiTheme="minorHAnsi" w:hAnsiTheme="minorHAnsi" w:cstheme="minorHAnsi"/>
                <w:b/>
                <w:bCs/>
                <w:color w:val="000000"/>
                <w:lang w:eastAsia="en-GB"/>
              </w:rPr>
              <w:t>/2020</w:t>
            </w:r>
          </w:p>
        </w:tc>
        <w:tc>
          <w:tcPr>
            <w:tcW w:w="236" w:type="dxa"/>
            <w:tcBorders>
              <w:top w:val="nil"/>
              <w:left w:val="nil"/>
              <w:bottom w:val="nil"/>
              <w:right w:val="nil"/>
            </w:tcBorders>
            <w:shd w:val="clear" w:color="000000" w:fill="FCE4D6"/>
            <w:vAlign w:val="center"/>
            <w:hideMark/>
          </w:tcPr>
          <w:p w14:paraId="636DDBAF" w14:textId="77777777" w:rsidR="00840983" w:rsidRPr="00D31EFB" w:rsidRDefault="00840983" w:rsidP="006038F4">
            <w:pPr>
              <w:spacing w:before="20"/>
              <w:jc w:val="center"/>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Variance (savings?)</w:t>
            </w:r>
          </w:p>
        </w:tc>
      </w:tr>
      <w:tr w:rsidR="00840983" w:rsidRPr="00D31EFB" w14:paraId="5B6639E4" w14:textId="77777777" w:rsidTr="006038F4">
        <w:trPr>
          <w:trHeight w:val="290"/>
        </w:trPr>
        <w:tc>
          <w:tcPr>
            <w:tcW w:w="4395" w:type="dxa"/>
            <w:tcBorders>
              <w:top w:val="nil"/>
              <w:left w:val="nil"/>
              <w:bottom w:val="nil"/>
              <w:right w:val="nil"/>
            </w:tcBorders>
            <w:shd w:val="clear" w:color="auto" w:fill="auto"/>
            <w:noWrap/>
            <w:vAlign w:val="bottom"/>
            <w:hideMark/>
          </w:tcPr>
          <w:p w14:paraId="587A9260" w14:textId="77777777" w:rsidR="00840983" w:rsidRPr="00D31EFB" w:rsidRDefault="00840983" w:rsidP="006038F4">
            <w:pPr>
              <w:spacing w:before="20"/>
              <w:jc w:val="center"/>
              <w:rPr>
                <w:rFonts w:asciiTheme="minorHAnsi" w:hAnsiTheme="minorHAnsi" w:cstheme="minorHAnsi"/>
                <w:b/>
                <w:bCs/>
                <w:color w:val="000000"/>
                <w:lang w:eastAsia="en-GB"/>
              </w:rPr>
            </w:pPr>
          </w:p>
        </w:tc>
        <w:tc>
          <w:tcPr>
            <w:tcW w:w="1417" w:type="dxa"/>
            <w:tcBorders>
              <w:top w:val="nil"/>
              <w:left w:val="nil"/>
              <w:bottom w:val="nil"/>
              <w:right w:val="nil"/>
            </w:tcBorders>
            <w:shd w:val="clear" w:color="000000" w:fill="FFF2CC"/>
            <w:noWrap/>
            <w:vAlign w:val="bottom"/>
            <w:hideMark/>
          </w:tcPr>
          <w:p w14:paraId="714E4297" w14:textId="77777777" w:rsidR="00840983" w:rsidRPr="00D31EFB" w:rsidRDefault="00840983" w:rsidP="006038F4">
            <w:pPr>
              <w:spacing w:before="20"/>
              <w:rPr>
                <w:rFonts w:asciiTheme="minorHAnsi" w:hAnsiTheme="minorHAnsi" w:cstheme="minorHAnsi"/>
                <w:color w:val="000000"/>
                <w:lang w:eastAsia="en-GB"/>
              </w:rPr>
            </w:pPr>
          </w:p>
        </w:tc>
        <w:tc>
          <w:tcPr>
            <w:tcW w:w="1843" w:type="dxa"/>
            <w:tcBorders>
              <w:top w:val="nil"/>
              <w:left w:val="nil"/>
              <w:bottom w:val="nil"/>
              <w:right w:val="nil"/>
            </w:tcBorders>
            <w:shd w:val="clear" w:color="000000" w:fill="D9E1F2"/>
            <w:noWrap/>
            <w:vAlign w:val="bottom"/>
            <w:hideMark/>
          </w:tcPr>
          <w:p w14:paraId="625D9343" w14:textId="77777777" w:rsidR="00840983" w:rsidRPr="00D31EFB" w:rsidRDefault="00840983" w:rsidP="006038F4">
            <w:pPr>
              <w:spacing w:before="20"/>
              <w:rPr>
                <w:rFonts w:asciiTheme="minorHAnsi" w:hAnsiTheme="minorHAnsi" w:cstheme="minorHAnsi"/>
                <w:color w:val="000000"/>
                <w:lang w:eastAsia="en-GB"/>
              </w:rPr>
            </w:pPr>
          </w:p>
        </w:tc>
        <w:tc>
          <w:tcPr>
            <w:tcW w:w="236" w:type="dxa"/>
            <w:tcBorders>
              <w:top w:val="nil"/>
              <w:left w:val="nil"/>
              <w:bottom w:val="nil"/>
              <w:right w:val="nil"/>
            </w:tcBorders>
            <w:shd w:val="clear" w:color="000000" w:fill="FCE4D6"/>
            <w:noWrap/>
            <w:vAlign w:val="bottom"/>
            <w:hideMark/>
          </w:tcPr>
          <w:p w14:paraId="3AE76DA6" w14:textId="77777777" w:rsidR="00840983" w:rsidRPr="00D31EFB" w:rsidRDefault="00840983" w:rsidP="006038F4">
            <w:pPr>
              <w:spacing w:before="20"/>
              <w:rPr>
                <w:rFonts w:asciiTheme="minorHAnsi" w:hAnsiTheme="minorHAnsi" w:cstheme="minorHAnsi"/>
                <w:color w:val="000000"/>
                <w:lang w:eastAsia="en-GB"/>
              </w:rPr>
            </w:pPr>
          </w:p>
        </w:tc>
      </w:tr>
      <w:tr w:rsidR="00840983" w:rsidRPr="00D31EFB" w14:paraId="39AE06F0" w14:textId="77777777" w:rsidTr="006038F4">
        <w:trPr>
          <w:trHeight w:val="290"/>
        </w:trPr>
        <w:tc>
          <w:tcPr>
            <w:tcW w:w="4395" w:type="dxa"/>
            <w:tcBorders>
              <w:top w:val="nil"/>
              <w:left w:val="nil"/>
              <w:bottom w:val="nil"/>
              <w:right w:val="nil"/>
            </w:tcBorders>
            <w:shd w:val="clear" w:color="auto" w:fill="auto"/>
            <w:noWrap/>
            <w:vAlign w:val="bottom"/>
            <w:hideMark/>
          </w:tcPr>
          <w:p w14:paraId="7BC7CFB1" w14:textId="6F6C0207" w:rsidR="00840983" w:rsidRPr="00D31EFB" w:rsidRDefault="00840983" w:rsidP="006038F4">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 xml:space="preserve">Mission and travel Staff </w:t>
            </w:r>
          </w:p>
        </w:tc>
        <w:tc>
          <w:tcPr>
            <w:tcW w:w="1417" w:type="dxa"/>
            <w:tcBorders>
              <w:top w:val="nil"/>
              <w:left w:val="nil"/>
              <w:bottom w:val="nil"/>
              <w:right w:val="nil"/>
            </w:tcBorders>
            <w:shd w:val="clear" w:color="000000" w:fill="FFF2CC"/>
            <w:noWrap/>
            <w:vAlign w:val="bottom"/>
            <w:hideMark/>
          </w:tcPr>
          <w:p w14:paraId="3B77C0C6"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3,589</w:t>
            </w:r>
          </w:p>
        </w:tc>
        <w:tc>
          <w:tcPr>
            <w:tcW w:w="1843" w:type="dxa"/>
            <w:tcBorders>
              <w:top w:val="nil"/>
              <w:left w:val="nil"/>
              <w:bottom w:val="nil"/>
              <w:right w:val="nil"/>
            </w:tcBorders>
            <w:shd w:val="clear" w:color="000000" w:fill="D9E1F2"/>
            <w:noWrap/>
            <w:vAlign w:val="bottom"/>
            <w:hideMark/>
          </w:tcPr>
          <w:p w14:paraId="7C2B2EFD"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595</w:t>
            </w:r>
          </w:p>
        </w:tc>
        <w:tc>
          <w:tcPr>
            <w:tcW w:w="236" w:type="dxa"/>
            <w:tcBorders>
              <w:top w:val="nil"/>
              <w:left w:val="nil"/>
              <w:bottom w:val="nil"/>
              <w:right w:val="nil"/>
            </w:tcBorders>
            <w:shd w:val="clear" w:color="000000" w:fill="FCE4D6"/>
            <w:noWrap/>
            <w:vAlign w:val="bottom"/>
            <w:hideMark/>
          </w:tcPr>
          <w:p w14:paraId="1FB68F8E"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2,994</w:t>
            </w:r>
          </w:p>
        </w:tc>
      </w:tr>
      <w:tr w:rsidR="00840983" w:rsidRPr="00D31EFB" w14:paraId="41B3DEC1" w14:textId="77777777" w:rsidTr="006038F4">
        <w:trPr>
          <w:trHeight w:val="290"/>
        </w:trPr>
        <w:tc>
          <w:tcPr>
            <w:tcW w:w="4395" w:type="dxa"/>
            <w:tcBorders>
              <w:top w:val="nil"/>
              <w:left w:val="nil"/>
              <w:bottom w:val="nil"/>
              <w:right w:val="nil"/>
            </w:tcBorders>
            <w:shd w:val="clear" w:color="auto" w:fill="auto"/>
            <w:noWrap/>
            <w:vAlign w:val="bottom"/>
            <w:hideMark/>
          </w:tcPr>
          <w:p w14:paraId="644D028C" w14:textId="77777777" w:rsidR="00840983" w:rsidRPr="00D31EFB" w:rsidRDefault="00840983" w:rsidP="006038F4">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Mission and travel SSA</w:t>
            </w:r>
          </w:p>
        </w:tc>
        <w:tc>
          <w:tcPr>
            <w:tcW w:w="1417" w:type="dxa"/>
            <w:tcBorders>
              <w:top w:val="nil"/>
              <w:left w:val="nil"/>
              <w:bottom w:val="nil"/>
              <w:right w:val="nil"/>
            </w:tcBorders>
            <w:shd w:val="clear" w:color="000000" w:fill="FFF2CC"/>
            <w:noWrap/>
            <w:vAlign w:val="bottom"/>
            <w:hideMark/>
          </w:tcPr>
          <w:p w14:paraId="79679B22"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515</w:t>
            </w:r>
          </w:p>
        </w:tc>
        <w:tc>
          <w:tcPr>
            <w:tcW w:w="1843" w:type="dxa"/>
            <w:tcBorders>
              <w:top w:val="nil"/>
              <w:left w:val="nil"/>
              <w:bottom w:val="nil"/>
              <w:right w:val="nil"/>
            </w:tcBorders>
            <w:shd w:val="clear" w:color="000000" w:fill="D9E1F2"/>
            <w:noWrap/>
            <w:vAlign w:val="bottom"/>
            <w:hideMark/>
          </w:tcPr>
          <w:p w14:paraId="16B7653C"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23</w:t>
            </w:r>
          </w:p>
        </w:tc>
        <w:tc>
          <w:tcPr>
            <w:tcW w:w="236" w:type="dxa"/>
            <w:tcBorders>
              <w:top w:val="nil"/>
              <w:left w:val="nil"/>
              <w:bottom w:val="nil"/>
              <w:right w:val="nil"/>
            </w:tcBorders>
            <w:shd w:val="clear" w:color="000000" w:fill="FCE4D6"/>
            <w:noWrap/>
            <w:vAlign w:val="bottom"/>
            <w:hideMark/>
          </w:tcPr>
          <w:p w14:paraId="14B36845"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492</w:t>
            </w:r>
          </w:p>
        </w:tc>
      </w:tr>
      <w:tr w:rsidR="00840983" w:rsidRPr="00D31EFB" w14:paraId="3E0A8D70" w14:textId="77777777" w:rsidTr="006038F4">
        <w:trPr>
          <w:trHeight w:val="290"/>
        </w:trPr>
        <w:tc>
          <w:tcPr>
            <w:tcW w:w="4395" w:type="dxa"/>
            <w:tcBorders>
              <w:top w:val="nil"/>
              <w:left w:val="nil"/>
              <w:bottom w:val="nil"/>
              <w:right w:val="nil"/>
            </w:tcBorders>
            <w:shd w:val="clear" w:color="auto" w:fill="auto"/>
            <w:noWrap/>
            <w:vAlign w:val="bottom"/>
            <w:hideMark/>
          </w:tcPr>
          <w:p w14:paraId="2C757B17" w14:textId="77777777" w:rsidR="00840983" w:rsidRPr="00D31EFB" w:rsidRDefault="00840983" w:rsidP="006038F4">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Fellowships</w:t>
            </w:r>
          </w:p>
        </w:tc>
        <w:tc>
          <w:tcPr>
            <w:tcW w:w="1417" w:type="dxa"/>
            <w:tcBorders>
              <w:top w:val="nil"/>
              <w:left w:val="nil"/>
              <w:bottom w:val="nil"/>
              <w:right w:val="nil"/>
            </w:tcBorders>
            <w:shd w:val="clear" w:color="000000" w:fill="FFF2CC"/>
            <w:noWrap/>
            <w:vAlign w:val="bottom"/>
            <w:hideMark/>
          </w:tcPr>
          <w:p w14:paraId="31FFE731"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1,653</w:t>
            </w:r>
          </w:p>
        </w:tc>
        <w:tc>
          <w:tcPr>
            <w:tcW w:w="1843" w:type="dxa"/>
            <w:tcBorders>
              <w:top w:val="nil"/>
              <w:left w:val="nil"/>
              <w:bottom w:val="nil"/>
              <w:right w:val="nil"/>
            </w:tcBorders>
            <w:shd w:val="clear" w:color="000000" w:fill="D9E1F2"/>
            <w:noWrap/>
            <w:vAlign w:val="bottom"/>
            <w:hideMark/>
          </w:tcPr>
          <w:p w14:paraId="4155015E"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225</w:t>
            </w:r>
          </w:p>
        </w:tc>
        <w:tc>
          <w:tcPr>
            <w:tcW w:w="236" w:type="dxa"/>
            <w:tcBorders>
              <w:top w:val="nil"/>
              <w:left w:val="nil"/>
              <w:bottom w:val="nil"/>
              <w:right w:val="nil"/>
            </w:tcBorders>
            <w:shd w:val="clear" w:color="000000" w:fill="FCE4D6"/>
            <w:noWrap/>
            <w:vAlign w:val="bottom"/>
            <w:hideMark/>
          </w:tcPr>
          <w:p w14:paraId="75224052"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1,428</w:t>
            </w:r>
          </w:p>
        </w:tc>
      </w:tr>
      <w:tr w:rsidR="00840983" w:rsidRPr="00D31EFB" w14:paraId="5C191A5E" w14:textId="77777777" w:rsidTr="006038F4">
        <w:trPr>
          <w:trHeight w:val="290"/>
        </w:trPr>
        <w:tc>
          <w:tcPr>
            <w:tcW w:w="4395" w:type="dxa"/>
            <w:tcBorders>
              <w:top w:val="nil"/>
              <w:left w:val="nil"/>
              <w:bottom w:val="nil"/>
              <w:right w:val="nil"/>
            </w:tcBorders>
            <w:shd w:val="clear" w:color="auto" w:fill="auto"/>
            <w:noWrap/>
            <w:vAlign w:val="bottom"/>
            <w:hideMark/>
          </w:tcPr>
          <w:p w14:paraId="35E0E112" w14:textId="77777777" w:rsidR="00840983" w:rsidRPr="00D31EFB" w:rsidRDefault="00840983" w:rsidP="006038F4">
            <w:pPr>
              <w:spacing w:before="20"/>
              <w:jc w:val="right"/>
              <w:rPr>
                <w:rFonts w:asciiTheme="minorHAnsi" w:hAnsiTheme="minorHAnsi" w:cstheme="minorHAnsi"/>
                <w:color w:val="000000"/>
                <w:lang w:eastAsia="en-GB"/>
              </w:rPr>
            </w:pPr>
          </w:p>
        </w:tc>
        <w:tc>
          <w:tcPr>
            <w:tcW w:w="1417" w:type="dxa"/>
            <w:tcBorders>
              <w:top w:val="nil"/>
              <w:left w:val="nil"/>
              <w:bottom w:val="nil"/>
              <w:right w:val="nil"/>
            </w:tcBorders>
            <w:shd w:val="clear" w:color="000000" w:fill="FFF2CC"/>
            <w:noWrap/>
            <w:vAlign w:val="bottom"/>
            <w:hideMark/>
          </w:tcPr>
          <w:p w14:paraId="0F275226" w14:textId="77777777" w:rsidR="00840983" w:rsidRPr="00D31EFB" w:rsidRDefault="00840983" w:rsidP="006038F4">
            <w:pPr>
              <w:spacing w:before="20"/>
              <w:rPr>
                <w:rFonts w:asciiTheme="minorHAnsi" w:hAnsiTheme="minorHAnsi" w:cstheme="minorHAnsi"/>
                <w:color w:val="000000"/>
                <w:lang w:eastAsia="en-GB"/>
              </w:rPr>
            </w:pPr>
          </w:p>
        </w:tc>
        <w:tc>
          <w:tcPr>
            <w:tcW w:w="1843" w:type="dxa"/>
            <w:tcBorders>
              <w:top w:val="nil"/>
              <w:left w:val="nil"/>
              <w:bottom w:val="nil"/>
              <w:right w:val="nil"/>
            </w:tcBorders>
            <w:shd w:val="clear" w:color="000000" w:fill="D9E1F2"/>
            <w:noWrap/>
            <w:vAlign w:val="bottom"/>
            <w:hideMark/>
          </w:tcPr>
          <w:p w14:paraId="728730C7" w14:textId="77777777" w:rsidR="00840983" w:rsidRPr="00D31EFB" w:rsidRDefault="00840983" w:rsidP="006038F4">
            <w:pPr>
              <w:spacing w:before="20"/>
              <w:rPr>
                <w:rFonts w:asciiTheme="minorHAnsi" w:hAnsiTheme="minorHAnsi" w:cstheme="minorHAnsi"/>
                <w:color w:val="000000"/>
                <w:lang w:eastAsia="en-GB"/>
              </w:rPr>
            </w:pPr>
          </w:p>
        </w:tc>
        <w:tc>
          <w:tcPr>
            <w:tcW w:w="236" w:type="dxa"/>
            <w:tcBorders>
              <w:top w:val="nil"/>
              <w:left w:val="nil"/>
              <w:bottom w:val="nil"/>
              <w:right w:val="nil"/>
            </w:tcBorders>
            <w:shd w:val="clear" w:color="000000" w:fill="FCE4D6"/>
            <w:noWrap/>
            <w:vAlign w:val="bottom"/>
            <w:hideMark/>
          </w:tcPr>
          <w:p w14:paraId="47672C3E" w14:textId="77777777" w:rsidR="00840983" w:rsidRPr="00D31EFB" w:rsidRDefault="00840983" w:rsidP="006038F4">
            <w:pPr>
              <w:spacing w:before="20"/>
              <w:rPr>
                <w:rFonts w:asciiTheme="minorHAnsi" w:hAnsiTheme="minorHAnsi" w:cstheme="minorHAnsi"/>
                <w:color w:val="000000"/>
                <w:lang w:eastAsia="en-GB"/>
              </w:rPr>
            </w:pPr>
          </w:p>
        </w:tc>
      </w:tr>
      <w:tr w:rsidR="00840983" w:rsidRPr="00D31EFB" w14:paraId="10A44E97" w14:textId="77777777" w:rsidTr="006038F4">
        <w:trPr>
          <w:trHeight w:val="290"/>
        </w:trPr>
        <w:tc>
          <w:tcPr>
            <w:tcW w:w="4395" w:type="dxa"/>
            <w:tcBorders>
              <w:top w:val="nil"/>
              <w:left w:val="nil"/>
              <w:bottom w:val="nil"/>
              <w:right w:val="nil"/>
            </w:tcBorders>
            <w:shd w:val="clear" w:color="auto" w:fill="auto"/>
            <w:noWrap/>
            <w:vAlign w:val="bottom"/>
            <w:hideMark/>
          </w:tcPr>
          <w:p w14:paraId="4A156BCE" w14:textId="77777777" w:rsidR="00840983" w:rsidRPr="00D31EFB" w:rsidRDefault="00840983" w:rsidP="006038F4">
            <w:pPr>
              <w:spacing w:before="20"/>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Total</w:t>
            </w:r>
          </w:p>
        </w:tc>
        <w:tc>
          <w:tcPr>
            <w:tcW w:w="1417" w:type="dxa"/>
            <w:tcBorders>
              <w:top w:val="nil"/>
              <w:left w:val="nil"/>
              <w:bottom w:val="nil"/>
              <w:right w:val="nil"/>
            </w:tcBorders>
            <w:shd w:val="clear" w:color="000000" w:fill="FFF2CC"/>
            <w:noWrap/>
            <w:vAlign w:val="bottom"/>
            <w:hideMark/>
          </w:tcPr>
          <w:p w14:paraId="32D587A4" w14:textId="77777777" w:rsidR="00840983" w:rsidRPr="00D31EFB" w:rsidRDefault="00840983" w:rsidP="006038F4">
            <w:pPr>
              <w:spacing w:before="20"/>
              <w:jc w:val="right"/>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5,757</w:t>
            </w:r>
          </w:p>
        </w:tc>
        <w:tc>
          <w:tcPr>
            <w:tcW w:w="1843" w:type="dxa"/>
            <w:tcBorders>
              <w:top w:val="nil"/>
              <w:left w:val="nil"/>
              <w:bottom w:val="nil"/>
              <w:right w:val="nil"/>
            </w:tcBorders>
            <w:shd w:val="clear" w:color="000000" w:fill="D9E1F2"/>
            <w:noWrap/>
            <w:vAlign w:val="bottom"/>
            <w:hideMark/>
          </w:tcPr>
          <w:p w14:paraId="44C17532" w14:textId="77777777" w:rsidR="00840983" w:rsidRPr="00D31EFB" w:rsidRDefault="00840983" w:rsidP="006038F4">
            <w:pPr>
              <w:spacing w:before="20"/>
              <w:jc w:val="right"/>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843</w:t>
            </w:r>
          </w:p>
        </w:tc>
        <w:tc>
          <w:tcPr>
            <w:tcW w:w="236" w:type="dxa"/>
            <w:tcBorders>
              <w:top w:val="nil"/>
              <w:left w:val="nil"/>
              <w:bottom w:val="nil"/>
              <w:right w:val="nil"/>
            </w:tcBorders>
            <w:shd w:val="clear" w:color="000000" w:fill="FCE4D6"/>
            <w:noWrap/>
            <w:vAlign w:val="bottom"/>
            <w:hideMark/>
          </w:tcPr>
          <w:p w14:paraId="4CB9D81A" w14:textId="77777777" w:rsidR="00840983" w:rsidRPr="00D31EFB" w:rsidRDefault="00840983" w:rsidP="006038F4">
            <w:pPr>
              <w:spacing w:before="20"/>
              <w:jc w:val="right"/>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4,914</w:t>
            </w:r>
          </w:p>
        </w:tc>
      </w:tr>
    </w:tbl>
    <w:p w14:paraId="75A8E541" w14:textId="5FB61864" w:rsidR="008505C1" w:rsidRDefault="00840983" w:rsidP="00450DEF">
      <w:pPr>
        <w:tabs>
          <w:tab w:val="clear" w:pos="567"/>
          <w:tab w:val="clear" w:pos="1134"/>
          <w:tab w:val="clear" w:pos="1701"/>
          <w:tab w:val="clear" w:pos="2268"/>
          <w:tab w:val="clear" w:pos="2835"/>
        </w:tabs>
        <w:spacing w:before="240" w:after="120"/>
        <w:jc w:val="both"/>
        <w:rPr>
          <w:lang w:val="en-US"/>
        </w:rPr>
      </w:pPr>
      <w:r w:rsidRPr="00D31EFB">
        <w:rPr>
          <w:rFonts w:asciiTheme="minorHAnsi" w:hAnsiTheme="minorHAnsi" w:cstheme="minorHAnsi"/>
          <w:szCs w:val="24"/>
          <w:lang w:val="en-US"/>
        </w:rPr>
        <w:t>3.1</w:t>
      </w:r>
      <w:r w:rsidR="00B60AD7">
        <w:rPr>
          <w:rFonts w:asciiTheme="minorHAnsi" w:hAnsiTheme="minorHAnsi" w:cstheme="minorHAnsi"/>
          <w:szCs w:val="24"/>
          <w:lang w:val="en-US"/>
        </w:rPr>
        <w:t>4</w:t>
      </w:r>
      <w:r w:rsidRPr="00D31EFB">
        <w:rPr>
          <w:rFonts w:asciiTheme="minorHAnsi" w:hAnsiTheme="minorHAnsi" w:cstheme="minorHAnsi"/>
          <w:color w:val="000000" w:themeColor="text1"/>
          <w:szCs w:val="24"/>
        </w:rPr>
        <w:tab/>
      </w:r>
      <w:r w:rsidR="008505C1" w:rsidRPr="00450DEF">
        <w:rPr>
          <w:lang w:val="en-US"/>
        </w:rPr>
        <w:t>There is some cause for</w:t>
      </w:r>
      <w:r w:rsidR="008505C1" w:rsidRPr="00450DEF">
        <w:rPr>
          <w:color w:val="000000"/>
          <w:lang w:val="en-US"/>
        </w:rPr>
        <w:t xml:space="preserve"> concern </w:t>
      </w:r>
      <w:r w:rsidR="008505C1" w:rsidRPr="00450DEF">
        <w:rPr>
          <w:lang w:val="en-US"/>
        </w:rPr>
        <w:t xml:space="preserve">with regard to the </w:t>
      </w:r>
      <w:r w:rsidR="008505C1" w:rsidRPr="00450DEF">
        <w:rPr>
          <w:color w:val="000000"/>
          <w:lang w:val="en-US"/>
        </w:rPr>
        <w:t xml:space="preserve">future revenues of the Union. </w:t>
      </w:r>
      <w:proofErr w:type="gramStart"/>
      <w:r w:rsidR="008505C1">
        <w:rPr>
          <w:color w:val="000000"/>
          <w:lang w:val="en-US"/>
        </w:rPr>
        <w:t>However</w:t>
      </w:r>
      <w:proofErr w:type="gramEnd"/>
      <w:r w:rsidR="008505C1" w:rsidRPr="00450DEF">
        <w:rPr>
          <w:color w:val="000000"/>
          <w:lang w:val="en-US"/>
        </w:rPr>
        <w:t xml:space="preserve"> with regards to the payment of</w:t>
      </w:r>
      <w:r w:rsidR="008505C1" w:rsidRPr="00450DEF">
        <w:rPr>
          <w:lang w:val="en-US"/>
        </w:rPr>
        <w:t xml:space="preserve"> </w:t>
      </w:r>
      <w:r w:rsidR="008505C1">
        <w:rPr>
          <w:lang w:val="en-US"/>
        </w:rPr>
        <w:t xml:space="preserve">ITU’s members contributions the figures to date tend to show that the rate of payments is similar to previous years. 94% of the current </w:t>
      </w:r>
      <w:r w:rsidR="008505C1" w:rsidRPr="00450DEF">
        <w:rPr>
          <w:lang w:val="en-US"/>
        </w:rPr>
        <w:t xml:space="preserve">Member </w:t>
      </w:r>
      <w:r w:rsidR="008505C1">
        <w:rPr>
          <w:lang w:val="en-US"/>
        </w:rPr>
        <w:t>States</w:t>
      </w:r>
      <w:r w:rsidR="008505C1" w:rsidRPr="00450DEF">
        <w:rPr>
          <w:lang w:val="en-US"/>
        </w:rPr>
        <w:t xml:space="preserve"> contributions </w:t>
      </w:r>
      <w:r w:rsidR="008505C1">
        <w:rPr>
          <w:lang w:val="en-US"/>
        </w:rPr>
        <w:t xml:space="preserve">have already been received and 40% as far as the </w:t>
      </w:r>
      <w:r w:rsidR="008505C1" w:rsidRPr="00450DEF">
        <w:rPr>
          <w:lang w:val="en-US"/>
        </w:rPr>
        <w:t>2021</w:t>
      </w:r>
      <w:r w:rsidR="008505C1">
        <w:rPr>
          <w:lang w:val="en-US"/>
        </w:rPr>
        <w:t xml:space="preserve"> </w:t>
      </w:r>
      <w:r w:rsidR="008505C1" w:rsidRPr="00450DEF">
        <w:rPr>
          <w:lang w:val="en-US"/>
        </w:rPr>
        <w:t xml:space="preserve">contributions </w:t>
      </w:r>
      <w:r w:rsidR="008505C1">
        <w:rPr>
          <w:lang w:val="en-US"/>
        </w:rPr>
        <w:t>are concerned. A strict follow up</w:t>
      </w:r>
      <w:r w:rsidR="008505C1" w:rsidRPr="00450DEF">
        <w:rPr>
          <w:lang w:val="en-US"/>
        </w:rPr>
        <w:t xml:space="preserve"> </w:t>
      </w:r>
      <w:r w:rsidR="007838F5" w:rsidRPr="00450DEF">
        <w:rPr>
          <w:lang w:val="en-US"/>
        </w:rPr>
        <w:t>of</w:t>
      </w:r>
      <w:r w:rsidR="008505C1" w:rsidRPr="00450DEF">
        <w:rPr>
          <w:lang w:val="en-US"/>
        </w:rPr>
        <w:t xml:space="preserve"> </w:t>
      </w:r>
      <w:r w:rsidR="008505C1">
        <w:rPr>
          <w:lang w:val="en-US"/>
        </w:rPr>
        <w:t>debtors is always done</w:t>
      </w:r>
      <w:r w:rsidR="007838F5">
        <w:rPr>
          <w:lang w:val="en-US"/>
        </w:rPr>
        <w:t>,</w:t>
      </w:r>
      <w:r w:rsidR="008505C1">
        <w:rPr>
          <w:lang w:val="en-US"/>
        </w:rPr>
        <w:t xml:space="preserve"> but to date </w:t>
      </w:r>
      <w:r w:rsidR="008505C1" w:rsidRPr="00450DEF">
        <w:rPr>
          <w:lang w:val="en-US"/>
        </w:rPr>
        <w:t xml:space="preserve">the </w:t>
      </w:r>
      <w:r w:rsidR="008505C1">
        <w:rPr>
          <w:lang w:val="en-US"/>
        </w:rPr>
        <w:t>ITU is optimist</w:t>
      </w:r>
      <w:r w:rsidR="007838F5">
        <w:rPr>
          <w:lang w:val="en-US"/>
        </w:rPr>
        <w:t>ic</w:t>
      </w:r>
      <w:r w:rsidR="008505C1">
        <w:rPr>
          <w:lang w:val="en-US"/>
        </w:rPr>
        <w:t xml:space="preserve"> in term of cashflow forecast</w:t>
      </w:r>
      <w:r w:rsidR="008505C1" w:rsidRPr="00450DEF">
        <w:rPr>
          <w:lang w:val="en-US"/>
        </w:rPr>
        <w:t xml:space="preserve"> for 2021</w:t>
      </w:r>
      <w:r w:rsidR="008505C1">
        <w:rPr>
          <w:lang w:val="en-US"/>
        </w:rPr>
        <w:t>.</w:t>
      </w:r>
    </w:p>
    <w:p w14:paraId="47967E30" w14:textId="77777777" w:rsidR="00840983" w:rsidRPr="00D31EFB" w:rsidRDefault="00840983" w:rsidP="00450DEF">
      <w:pPr>
        <w:tabs>
          <w:tab w:val="clear" w:pos="567"/>
          <w:tab w:val="clear" w:pos="1134"/>
          <w:tab w:val="clear" w:pos="1701"/>
          <w:tab w:val="clear" w:pos="2268"/>
          <w:tab w:val="clear" w:pos="2835"/>
        </w:tabs>
        <w:spacing w:after="120"/>
        <w:jc w:val="both"/>
        <w:rPr>
          <w:rFonts w:asciiTheme="minorHAnsi" w:hAnsiTheme="minorHAnsi" w:cstheme="minorHAnsi"/>
          <w:b/>
          <w:bCs/>
          <w:szCs w:val="24"/>
        </w:rPr>
      </w:pPr>
      <w:r w:rsidRPr="00D31EFB">
        <w:rPr>
          <w:rFonts w:asciiTheme="minorHAnsi" w:hAnsiTheme="minorHAnsi" w:cstheme="minorHAnsi"/>
          <w:b/>
          <w:bCs/>
          <w:szCs w:val="24"/>
        </w:rPr>
        <w:t>4.</w:t>
      </w:r>
      <w:r w:rsidRPr="00D31EFB">
        <w:rPr>
          <w:rFonts w:asciiTheme="minorHAnsi" w:hAnsiTheme="minorHAnsi" w:cstheme="minorHAnsi"/>
          <w:b/>
          <w:bCs/>
          <w:szCs w:val="24"/>
        </w:rPr>
        <w:tab/>
        <w:t>Impact of COVID-19 on Staff</w:t>
      </w:r>
    </w:p>
    <w:p w14:paraId="7373C715" w14:textId="16CC94F5" w:rsidR="00840983" w:rsidRPr="00D31EFB" w:rsidRDefault="00840983" w:rsidP="76602716">
      <w:pPr>
        <w:tabs>
          <w:tab w:val="clear" w:pos="567"/>
          <w:tab w:val="clear" w:pos="1134"/>
          <w:tab w:val="clear" w:pos="1701"/>
          <w:tab w:val="clear" w:pos="2268"/>
          <w:tab w:val="clear" w:pos="2835"/>
        </w:tabs>
        <w:spacing w:after="120"/>
        <w:jc w:val="both"/>
        <w:rPr>
          <w:rFonts w:asciiTheme="minorHAnsi" w:hAnsiTheme="minorHAnsi" w:cstheme="minorBidi"/>
        </w:rPr>
      </w:pPr>
      <w:r w:rsidRPr="76602716">
        <w:rPr>
          <w:rFonts w:asciiTheme="minorHAnsi" w:hAnsiTheme="minorHAnsi" w:cstheme="minorBidi"/>
        </w:rPr>
        <w:t>4.1</w:t>
      </w:r>
      <w:r w:rsidRPr="00D31EFB">
        <w:rPr>
          <w:rFonts w:asciiTheme="minorHAnsi" w:hAnsiTheme="minorHAnsi" w:cstheme="minorHAnsi"/>
          <w:szCs w:val="24"/>
        </w:rPr>
        <w:tab/>
      </w:r>
      <w:r w:rsidRPr="76602716">
        <w:rPr>
          <w:rFonts w:asciiTheme="minorHAnsi" w:hAnsiTheme="minorHAnsi" w:cstheme="minorBidi"/>
        </w:rPr>
        <w:t xml:space="preserve">The ORMS project approved by the Council in 2017 </w:t>
      </w:r>
      <w:r w:rsidRPr="45E13E64">
        <w:rPr>
          <w:rFonts w:asciiTheme="minorHAnsi" w:hAnsiTheme="minorHAnsi" w:cstheme="minorBidi"/>
          <w:i/>
          <w:iCs/>
        </w:rPr>
        <w:t>created both a Crisis Management and Business Continuity resilience capacity</w:t>
      </w:r>
      <w:r w:rsidRPr="76602716">
        <w:rPr>
          <w:rFonts w:asciiTheme="minorHAnsi" w:hAnsiTheme="minorHAnsi" w:cstheme="minorBidi"/>
        </w:rPr>
        <w:t xml:space="preserve"> that has serve</w:t>
      </w:r>
      <w:r w:rsidR="007838F5" w:rsidRPr="76602716">
        <w:rPr>
          <w:rFonts w:asciiTheme="minorHAnsi" w:hAnsiTheme="minorHAnsi" w:cstheme="minorBidi"/>
        </w:rPr>
        <w:t>d</w:t>
      </w:r>
      <w:r w:rsidRPr="76602716">
        <w:rPr>
          <w:rFonts w:asciiTheme="minorHAnsi" w:hAnsiTheme="minorHAnsi" w:cstheme="minorBidi"/>
        </w:rPr>
        <w:t xml:space="preserve"> </w:t>
      </w:r>
      <w:r w:rsidR="007838F5" w:rsidRPr="76602716">
        <w:rPr>
          <w:rFonts w:asciiTheme="minorHAnsi" w:hAnsiTheme="minorHAnsi" w:cstheme="minorBidi"/>
        </w:rPr>
        <w:t>ITU</w:t>
      </w:r>
      <w:r w:rsidRPr="76602716">
        <w:rPr>
          <w:rFonts w:asciiTheme="minorHAnsi" w:hAnsiTheme="minorHAnsi" w:cstheme="minorBidi"/>
        </w:rPr>
        <w:t xml:space="preserve"> well during the pandemic. The Crisis Management Team (CMT) and Operation</w:t>
      </w:r>
      <w:r w:rsidR="00C7469E" w:rsidRPr="76602716">
        <w:rPr>
          <w:rFonts w:asciiTheme="minorHAnsi" w:hAnsiTheme="minorHAnsi" w:cstheme="minorBidi"/>
        </w:rPr>
        <w:t>al</w:t>
      </w:r>
      <w:r w:rsidRPr="76602716">
        <w:rPr>
          <w:rFonts w:asciiTheme="minorHAnsi" w:hAnsiTheme="minorHAnsi" w:cstheme="minorBidi"/>
        </w:rPr>
        <w:t xml:space="preserve"> Response Team (ORT) began putting in place mitigation measures in early February to reduce risks to staff, dependents, and ITU’s assets. These measures have been successful in that to date </w:t>
      </w:r>
      <w:r w:rsidRPr="76602716" w:rsidDel="00840983">
        <w:rPr>
          <w:rFonts w:asciiTheme="minorHAnsi" w:hAnsiTheme="minorHAnsi" w:cstheme="minorBidi"/>
        </w:rPr>
        <w:t>no known</w:t>
      </w:r>
      <w:r w:rsidRPr="76602716">
        <w:rPr>
          <w:rFonts w:asciiTheme="minorHAnsi" w:hAnsiTheme="minorHAnsi" w:cstheme="minorBidi"/>
        </w:rPr>
        <w:t xml:space="preserve"> </w:t>
      </w:r>
      <w:r w:rsidR="09E510E3" w:rsidRPr="76602716">
        <w:rPr>
          <w:rFonts w:asciiTheme="minorHAnsi" w:hAnsiTheme="minorHAnsi" w:cstheme="minorBidi"/>
        </w:rPr>
        <w:t>secondary transmission</w:t>
      </w:r>
      <w:r w:rsidRPr="76602716">
        <w:rPr>
          <w:rFonts w:asciiTheme="minorHAnsi" w:hAnsiTheme="minorHAnsi" w:cstheme="minorBidi"/>
        </w:rPr>
        <w:t xml:space="preserve"> has occurred in the ITU premises</w:t>
      </w:r>
      <w:r w:rsidR="3B07F9F0" w:rsidRPr="76602716">
        <w:rPr>
          <w:rFonts w:asciiTheme="minorHAnsi" w:hAnsiTheme="minorHAnsi" w:cstheme="minorBidi"/>
        </w:rPr>
        <w:t>, despite the known confirmed cases for ITU staff</w:t>
      </w:r>
      <w:r w:rsidR="294C653D" w:rsidRPr="76602716">
        <w:rPr>
          <w:rFonts w:asciiTheme="minorHAnsi" w:hAnsiTheme="minorHAnsi" w:cstheme="minorBidi"/>
        </w:rPr>
        <w:t>.</w:t>
      </w:r>
    </w:p>
    <w:p w14:paraId="3BA9740E" w14:textId="77777777" w:rsidR="00840983" w:rsidRPr="00D31EFB" w:rsidRDefault="00840983" w:rsidP="006038F4">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lastRenderedPageBreak/>
        <w:t>4.2</w:t>
      </w:r>
      <w:r w:rsidRPr="00D31EFB">
        <w:rPr>
          <w:rFonts w:asciiTheme="minorHAnsi" w:hAnsiTheme="minorHAnsi" w:cstheme="minorHAnsi"/>
          <w:szCs w:val="24"/>
        </w:rPr>
        <w:tab/>
        <w:t>Concerning the health and well-being of staff, the pandemic has highlighted that ITU would benefit from implementing the CEB/HLCM Occupational Safety and Health (OSH) framework and Strengthening the preventive functions of its occupational health service: a) Risk assessment of the workplace; b) Risk assessment of the work position; c) Reinforcing a Health Surveillance Program of the Workforce, and allowing medical workforce to bridge the gap of missing medical data; and d) Implementing a Quality Health Safety and Environmental Management software that will cover the needs of digitalization of the medical files and link them to the risk-assessments.</w:t>
      </w:r>
    </w:p>
    <w:p w14:paraId="23EFEE27" w14:textId="21D3C35A" w:rsidR="00840983" w:rsidRDefault="00840983" w:rsidP="006038F4">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4.</w:t>
      </w:r>
      <w:r w:rsidR="007838F5">
        <w:rPr>
          <w:rFonts w:asciiTheme="minorHAnsi" w:hAnsiTheme="minorHAnsi" w:cstheme="minorHAnsi"/>
          <w:szCs w:val="24"/>
        </w:rPr>
        <w:t>3</w:t>
      </w:r>
      <w:r w:rsidRPr="00D31EFB">
        <w:rPr>
          <w:rFonts w:asciiTheme="minorHAnsi" w:hAnsiTheme="minorHAnsi" w:cstheme="minorHAnsi"/>
          <w:szCs w:val="24"/>
        </w:rPr>
        <w:tab/>
      </w:r>
      <w:r w:rsidR="007838F5">
        <w:rPr>
          <w:rFonts w:asciiTheme="minorHAnsi" w:hAnsiTheme="minorHAnsi" w:cstheme="minorHAnsi"/>
          <w:szCs w:val="24"/>
        </w:rPr>
        <w:t>A</w:t>
      </w:r>
      <w:r w:rsidRPr="00D31EFB">
        <w:rPr>
          <w:rFonts w:asciiTheme="minorHAnsi" w:hAnsiTheme="minorHAnsi" w:cstheme="minorHAnsi"/>
          <w:szCs w:val="24"/>
        </w:rPr>
        <w:t xml:space="preserve"> HR business continuity plan will be developed in anticipation of any similar future crisis situation. Consideration </w:t>
      </w:r>
      <w:r w:rsidR="007838F5">
        <w:rPr>
          <w:rFonts w:asciiTheme="minorHAnsi" w:hAnsiTheme="minorHAnsi" w:cstheme="minorHAnsi"/>
          <w:szCs w:val="24"/>
        </w:rPr>
        <w:t>will</w:t>
      </w:r>
      <w:r w:rsidRPr="00D31EFB">
        <w:rPr>
          <w:rFonts w:asciiTheme="minorHAnsi" w:hAnsiTheme="minorHAnsi" w:cstheme="minorHAnsi"/>
          <w:szCs w:val="24"/>
        </w:rPr>
        <w:t xml:space="preserve"> be given to ensuring support mechanisms</w:t>
      </w:r>
      <w:r w:rsidR="007838F5">
        <w:rPr>
          <w:rFonts w:asciiTheme="minorHAnsi" w:hAnsiTheme="minorHAnsi" w:cstheme="minorHAnsi"/>
          <w:szCs w:val="24"/>
        </w:rPr>
        <w:t xml:space="preserve"> are in place</w:t>
      </w:r>
      <w:r w:rsidRPr="00D31EFB">
        <w:rPr>
          <w:rFonts w:asciiTheme="minorHAnsi" w:hAnsiTheme="minorHAnsi" w:cstheme="minorHAnsi"/>
          <w:szCs w:val="24"/>
        </w:rPr>
        <w:t xml:space="preserve"> to prevent burn-out or other medical issues because of the high workload during a long-lasting crisis period. </w:t>
      </w:r>
    </w:p>
    <w:p w14:paraId="026F2530" w14:textId="77777777" w:rsidR="009876E8" w:rsidRPr="00D31EFB" w:rsidRDefault="009876E8" w:rsidP="00450DEF">
      <w:pPr>
        <w:tabs>
          <w:tab w:val="clear" w:pos="567"/>
          <w:tab w:val="clear" w:pos="1134"/>
          <w:tab w:val="clear" w:pos="1701"/>
          <w:tab w:val="clear" w:pos="2268"/>
          <w:tab w:val="clear" w:pos="2835"/>
        </w:tabs>
        <w:spacing w:after="120"/>
        <w:jc w:val="both"/>
        <w:rPr>
          <w:rFonts w:asciiTheme="minorHAnsi" w:hAnsiTheme="minorHAnsi" w:cstheme="minorHAnsi"/>
          <w:b/>
          <w:bCs/>
          <w:color w:val="000000"/>
          <w:szCs w:val="24"/>
        </w:rPr>
      </w:pPr>
      <w:r w:rsidRPr="00D31EFB">
        <w:rPr>
          <w:rFonts w:asciiTheme="minorHAnsi" w:hAnsiTheme="minorHAnsi" w:cstheme="minorHAnsi"/>
          <w:b/>
          <w:bCs/>
          <w:color w:val="000000"/>
          <w:szCs w:val="24"/>
        </w:rPr>
        <w:t>5.</w:t>
      </w:r>
      <w:r w:rsidRPr="00D31EFB">
        <w:rPr>
          <w:rFonts w:asciiTheme="minorHAnsi" w:hAnsiTheme="minorHAnsi" w:cstheme="minorHAnsi"/>
          <w:iCs/>
          <w:szCs w:val="24"/>
        </w:rPr>
        <w:tab/>
      </w:r>
      <w:r w:rsidRPr="00D31EFB">
        <w:rPr>
          <w:rFonts w:asciiTheme="minorHAnsi" w:hAnsiTheme="minorHAnsi" w:cstheme="minorHAnsi"/>
          <w:b/>
          <w:bCs/>
          <w:color w:val="000000"/>
          <w:szCs w:val="24"/>
        </w:rPr>
        <w:t>Conclusions</w:t>
      </w:r>
    </w:p>
    <w:p w14:paraId="46902469" w14:textId="4D4F46D0" w:rsidR="00840983" w:rsidRPr="00D31EFB" w:rsidRDefault="00840983" w:rsidP="006038F4">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5</w:t>
      </w:r>
      <w:r w:rsidR="009876E8">
        <w:rPr>
          <w:rFonts w:asciiTheme="minorHAnsi" w:hAnsiTheme="minorHAnsi" w:cstheme="minorHAnsi"/>
          <w:szCs w:val="24"/>
        </w:rPr>
        <w:t>.1</w:t>
      </w:r>
      <w:r w:rsidRPr="00D31EFB">
        <w:rPr>
          <w:rFonts w:asciiTheme="minorHAnsi" w:hAnsiTheme="minorHAnsi" w:cstheme="minorHAnsi"/>
          <w:szCs w:val="24"/>
        </w:rPr>
        <w:tab/>
        <w:t>In summary, ITU staff has performed exceptionally well in the circumstances. Mitigation measures were introduced early and have been successful, and many significant lessons have been learned with regard to flexible working which will prove helpful to cope with the forthcoming building project disruption. Once the global pandemic has ended</w:t>
      </w:r>
      <w:r w:rsidR="007838F5">
        <w:rPr>
          <w:rFonts w:asciiTheme="minorHAnsi" w:hAnsiTheme="minorHAnsi" w:cstheme="minorHAnsi"/>
          <w:szCs w:val="24"/>
        </w:rPr>
        <w:t>,</w:t>
      </w:r>
      <w:r w:rsidRPr="00D31EFB">
        <w:rPr>
          <w:rFonts w:asciiTheme="minorHAnsi" w:hAnsiTheme="minorHAnsi" w:cstheme="minorHAnsi"/>
          <w:szCs w:val="24"/>
        </w:rPr>
        <w:t xml:space="preserve"> a </w:t>
      </w:r>
      <w:r w:rsidRPr="00D31EFB">
        <w:rPr>
          <w:rFonts w:asciiTheme="minorHAnsi" w:hAnsiTheme="minorHAnsi" w:cstheme="minorHAnsi"/>
          <w:i/>
          <w:iCs/>
          <w:szCs w:val="24"/>
        </w:rPr>
        <w:t xml:space="preserve">Lessons Learned </w:t>
      </w:r>
      <w:r w:rsidRPr="00D31EFB">
        <w:rPr>
          <w:rFonts w:asciiTheme="minorHAnsi" w:hAnsiTheme="minorHAnsi" w:cstheme="minorHAnsi"/>
          <w:szCs w:val="24"/>
        </w:rPr>
        <w:t>exercise will be undertaken to better ready ITU for any other major critical threat event in the future.</w:t>
      </w:r>
    </w:p>
    <w:p w14:paraId="11DD16F6" w14:textId="47B59F38" w:rsidR="002A2188" w:rsidRPr="00D31EFB" w:rsidRDefault="00840983" w:rsidP="00840983">
      <w:pPr>
        <w:tabs>
          <w:tab w:val="left" w:pos="851"/>
        </w:tabs>
        <w:spacing w:before="840"/>
        <w:jc w:val="center"/>
        <w:rPr>
          <w:rFonts w:asciiTheme="minorHAnsi" w:hAnsiTheme="minorHAnsi" w:cstheme="minorHAnsi"/>
          <w:szCs w:val="24"/>
        </w:rPr>
      </w:pPr>
      <w:r w:rsidRPr="00D31EFB">
        <w:rPr>
          <w:rFonts w:asciiTheme="minorHAnsi" w:hAnsiTheme="minorHAnsi" w:cstheme="minorHAnsi"/>
          <w:szCs w:val="24"/>
        </w:rPr>
        <w:t>_____________________</w:t>
      </w:r>
    </w:p>
    <w:sectPr w:rsidR="002A2188" w:rsidRPr="00D31EFB" w:rsidSect="00B308B3">
      <w:headerReference w:type="default" r:id="rId32"/>
      <w:pgSz w:w="11907" w:h="16834"/>
      <w:pgMar w:top="1134" w:right="1134" w:bottom="851"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026DE" w14:textId="77777777" w:rsidR="000334C9" w:rsidRDefault="000334C9">
      <w:r>
        <w:separator/>
      </w:r>
    </w:p>
  </w:endnote>
  <w:endnote w:type="continuationSeparator" w:id="0">
    <w:p w14:paraId="1B3EFF75" w14:textId="77777777" w:rsidR="000334C9" w:rsidRDefault="000334C9">
      <w:r>
        <w:continuationSeparator/>
      </w:r>
    </w:p>
  </w:endnote>
  <w:endnote w:type="continuationNotice" w:id="1">
    <w:p w14:paraId="1CF34EF7" w14:textId="77777777" w:rsidR="000334C9" w:rsidRDefault="000334C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5B2A8" w14:textId="77777777" w:rsidR="000334C9" w:rsidRDefault="000334C9">
      <w:r>
        <w:t>____________________</w:t>
      </w:r>
    </w:p>
  </w:footnote>
  <w:footnote w:type="continuationSeparator" w:id="0">
    <w:p w14:paraId="7CD71E32" w14:textId="77777777" w:rsidR="000334C9" w:rsidRDefault="000334C9">
      <w:r>
        <w:continuationSeparator/>
      </w:r>
    </w:p>
  </w:footnote>
  <w:footnote w:type="continuationNotice" w:id="1">
    <w:p w14:paraId="340DFEBE" w14:textId="77777777" w:rsidR="000334C9" w:rsidRDefault="000334C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8EE2E" w14:textId="77777777" w:rsidR="00AC0ADB" w:rsidRPr="004C03EB" w:rsidRDefault="00AC0ADB" w:rsidP="00CE433C">
    <w:pPr>
      <w:pStyle w:val="Header"/>
      <w:rPr>
        <w:sz w:val="22"/>
        <w:szCs w:val="22"/>
      </w:rPr>
    </w:pPr>
    <w:r w:rsidRPr="004C03EB">
      <w:rPr>
        <w:sz w:val="22"/>
        <w:szCs w:val="22"/>
      </w:rPr>
      <w:fldChar w:fldCharType="begin"/>
    </w:r>
    <w:r w:rsidRPr="004C03EB">
      <w:rPr>
        <w:sz w:val="22"/>
        <w:szCs w:val="22"/>
      </w:rPr>
      <w:instrText>PAGE</w:instrText>
    </w:r>
    <w:r w:rsidRPr="004C03EB">
      <w:rPr>
        <w:sz w:val="22"/>
        <w:szCs w:val="22"/>
      </w:rPr>
      <w:fldChar w:fldCharType="separate"/>
    </w:r>
    <w:r w:rsidRPr="004C03EB">
      <w:rPr>
        <w:noProof/>
        <w:sz w:val="22"/>
        <w:szCs w:val="22"/>
      </w:rPr>
      <w:t>7</w:t>
    </w:r>
    <w:r w:rsidRPr="004C03EB">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547986"/>
    <w:multiLevelType w:val="hybridMultilevel"/>
    <w:tmpl w:val="D84A0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3D6BF1"/>
    <w:multiLevelType w:val="hybridMultilevel"/>
    <w:tmpl w:val="AD96F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73D57"/>
    <w:multiLevelType w:val="hybridMultilevel"/>
    <w:tmpl w:val="1174DB52"/>
    <w:lvl w:ilvl="0" w:tplc="5BEA8D24">
      <w:start w:val="1"/>
      <w:numFmt w:val="lowerRoman"/>
      <w:lvlText w:val="%1."/>
      <w:lvlJc w:val="righ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B2BFD"/>
    <w:multiLevelType w:val="hybridMultilevel"/>
    <w:tmpl w:val="2E54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56CE7"/>
    <w:multiLevelType w:val="hybridMultilevel"/>
    <w:tmpl w:val="31DE7D00"/>
    <w:lvl w:ilvl="0" w:tplc="12B85EFA">
      <w:start w:val="1"/>
      <w:numFmt w:val="decimal"/>
      <w:lvlText w:val="%1."/>
      <w:lvlJc w:val="left"/>
      <w:pPr>
        <w:ind w:left="720" w:hanging="360"/>
      </w:pPr>
      <w:rPr>
        <w:rFonts w:eastAsia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D614E0"/>
    <w:multiLevelType w:val="hybridMultilevel"/>
    <w:tmpl w:val="347C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904D3"/>
    <w:multiLevelType w:val="hybridMultilevel"/>
    <w:tmpl w:val="70A60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29"/>
    <w:rsid w:val="000063A6"/>
    <w:rsid w:val="00016A2D"/>
    <w:rsid w:val="000210D4"/>
    <w:rsid w:val="0003130F"/>
    <w:rsid w:val="000334C9"/>
    <w:rsid w:val="0004081A"/>
    <w:rsid w:val="00053DCC"/>
    <w:rsid w:val="0005591B"/>
    <w:rsid w:val="00063016"/>
    <w:rsid w:val="000648CF"/>
    <w:rsid w:val="00064D90"/>
    <w:rsid w:val="00066795"/>
    <w:rsid w:val="00071176"/>
    <w:rsid w:val="00073229"/>
    <w:rsid w:val="0007459C"/>
    <w:rsid w:val="00076AF6"/>
    <w:rsid w:val="000773CB"/>
    <w:rsid w:val="00085CF2"/>
    <w:rsid w:val="000B1705"/>
    <w:rsid w:val="000B3AD8"/>
    <w:rsid w:val="000B6194"/>
    <w:rsid w:val="000D0884"/>
    <w:rsid w:val="000D26CF"/>
    <w:rsid w:val="000D49C4"/>
    <w:rsid w:val="000D6568"/>
    <w:rsid w:val="000D75B2"/>
    <w:rsid w:val="000E674B"/>
    <w:rsid w:val="000F5B57"/>
    <w:rsid w:val="001121F5"/>
    <w:rsid w:val="00113C80"/>
    <w:rsid w:val="0011573A"/>
    <w:rsid w:val="001272FD"/>
    <w:rsid w:val="00131F5C"/>
    <w:rsid w:val="001400DC"/>
    <w:rsid w:val="00140CE1"/>
    <w:rsid w:val="00144D66"/>
    <w:rsid w:val="00151B77"/>
    <w:rsid w:val="001616C3"/>
    <w:rsid w:val="00162BEF"/>
    <w:rsid w:val="001665E2"/>
    <w:rsid w:val="0017539C"/>
    <w:rsid w:val="00175AC2"/>
    <w:rsid w:val="0017609F"/>
    <w:rsid w:val="001844AA"/>
    <w:rsid w:val="0018781C"/>
    <w:rsid w:val="00192734"/>
    <w:rsid w:val="001A5E80"/>
    <w:rsid w:val="001B10C1"/>
    <w:rsid w:val="001B3B30"/>
    <w:rsid w:val="001C628E"/>
    <w:rsid w:val="001D0C32"/>
    <w:rsid w:val="001E0F7B"/>
    <w:rsid w:val="001F33DA"/>
    <w:rsid w:val="00201A9E"/>
    <w:rsid w:val="002119FD"/>
    <w:rsid w:val="00212BF4"/>
    <w:rsid w:val="002130E0"/>
    <w:rsid w:val="002150B8"/>
    <w:rsid w:val="00235D0A"/>
    <w:rsid w:val="002466FC"/>
    <w:rsid w:val="00264425"/>
    <w:rsid w:val="00265875"/>
    <w:rsid w:val="00270CF0"/>
    <w:rsid w:val="0027303B"/>
    <w:rsid w:val="002732EA"/>
    <w:rsid w:val="0028109B"/>
    <w:rsid w:val="00281391"/>
    <w:rsid w:val="00287EBB"/>
    <w:rsid w:val="00292E97"/>
    <w:rsid w:val="002933EB"/>
    <w:rsid w:val="002A2188"/>
    <w:rsid w:val="002A4D1F"/>
    <w:rsid w:val="002A7CB8"/>
    <w:rsid w:val="002B12F3"/>
    <w:rsid w:val="002B17EE"/>
    <w:rsid w:val="002B1F58"/>
    <w:rsid w:val="002C1C7A"/>
    <w:rsid w:val="002D1CF6"/>
    <w:rsid w:val="002F0920"/>
    <w:rsid w:val="002F242C"/>
    <w:rsid w:val="0030160F"/>
    <w:rsid w:val="0031097B"/>
    <w:rsid w:val="00317D61"/>
    <w:rsid w:val="0032064E"/>
    <w:rsid w:val="00322D0D"/>
    <w:rsid w:val="00336824"/>
    <w:rsid w:val="00351810"/>
    <w:rsid w:val="0035222D"/>
    <w:rsid w:val="00354F41"/>
    <w:rsid w:val="003555DA"/>
    <w:rsid w:val="00355CC0"/>
    <w:rsid w:val="00363CC3"/>
    <w:rsid w:val="003654E8"/>
    <w:rsid w:val="003656DD"/>
    <w:rsid w:val="00367884"/>
    <w:rsid w:val="00370B39"/>
    <w:rsid w:val="003773DC"/>
    <w:rsid w:val="0038389E"/>
    <w:rsid w:val="0038623A"/>
    <w:rsid w:val="003942D4"/>
    <w:rsid w:val="003958A8"/>
    <w:rsid w:val="003C22C5"/>
    <w:rsid w:val="003C2533"/>
    <w:rsid w:val="003D4E18"/>
    <w:rsid w:val="003E6D83"/>
    <w:rsid w:val="003F57EF"/>
    <w:rsid w:val="00400C9C"/>
    <w:rsid w:val="0040435A"/>
    <w:rsid w:val="00406312"/>
    <w:rsid w:val="00406C9A"/>
    <w:rsid w:val="00407D4B"/>
    <w:rsid w:val="00411756"/>
    <w:rsid w:val="00412707"/>
    <w:rsid w:val="00416718"/>
    <w:rsid w:val="00416A24"/>
    <w:rsid w:val="00420888"/>
    <w:rsid w:val="00422D07"/>
    <w:rsid w:val="0042339C"/>
    <w:rsid w:val="00426E9E"/>
    <w:rsid w:val="00431D9E"/>
    <w:rsid w:val="00432181"/>
    <w:rsid w:val="00433CE8"/>
    <w:rsid w:val="00434A5C"/>
    <w:rsid w:val="004417C3"/>
    <w:rsid w:val="00442E34"/>
    <w:rsid w:val="00450DEF"/>
    <w:rsid w:val="004544D9"/>
    <w:rsid w:val="00470E71"/>
    <w:rsid w:val="00472329"/>
    <w:rsid w:val="00480173"/>
    <w:rsid w:val="0048596A"/>
    <w:rsid w:val="00486495"/>
    <w:rsid w:val="00490E72"/>
    <w:rsid w:val="00491157"/>
    <w:rsid w:val="00491D1B"/>
    <w:rsid w:val="004921C8"/>
    <w:rsid w:val="004969E0"/>
    <w:rsid w:val="004A7881"/>
    <w:rsid w:val="004B0F63"/>
    <w:rsid w:val="004B20C1"/>
    <w:rsid w:val="004B2483"/>
    <w:rsid w:val="004B32CE"/>
    <w:rsid w:val="004B3732"/>
    <w:rsid w:val="004B72BC"/>
    <w:rsid w:val="004C03EB"/>
    <w:rsid w:val="004C1779"/>
    <w:rsid w:val="004D1851"/>
    <w:rsid w:val="004D599D"/>
    <w:rsid w:val="004D62F7"/>
    <w:rsid w:val="004D767B"/>
    <w:rsid w:val="004E2EA5"/>
    <w:rsid w:val="004E30FB"/>
    <w:rsid w:val="004E3AEB"/>
    <w:rsid w:val="004E524D"/>
    <w:rsid w:val="004F320F"/>
    <w:rsid w:val="004F3901"/>
    <w:rsid w:val="004F540F"/>
    <w:rsid w:val="004F62DC"/>
    <w:rsid w:val="005017F3"/>
    <w:rsid w:val="0050223C"/>
    <w:rsid w:val="0051460E"/>
    <w:rsid w:val="005159FD"/>
    <w:rsid w:val="00521F21"/>
    <w:rsid w:val="005243FF"/>
    <w:rsid w:val="0053286B"/>
    <w:rsid w:val="00544838"/>
    <w:rsid w:val="00546193"/>
    <w:rsid w:val="00552A41"/>
    <w:rsid w:val="0055530D"/>
    <w:rsid w:val="00562579"/>
    <w:rsid w:val="00564FBC"/>
    <w:rsid w:val="005754E6"/>
    <w:rsid w:val="00582442"/>
    <w:rsid w:val="005A18EA"/>
    <w:rsid w:val="005A256A"/>
    <w:rsid w:val="005A662C"/>
    <w:rsid w:val="005A692E"/>
    <w:rsid w:val="005B5ABE"/>
    <w:rsid w:val="005C1635"/>
    <w:rsid w:val="005C16A3"/>
    <w:rsid w:val="005C47A8"/>
    <w:rsid w:val="005D148E"/>
    <w:rsid w:val="005D2DC5"/>
    <w:rsid w:val="005F31B0"/>
    <w:rsid w:val="005F3B12"/>
    <w:rsid w:val="006038F4"/>
    <w:rsid w:val="0060766C"/>
    <w:rsid w:val="0061437D"/>
    <w:rsid w:val="00615F56"/>
    <w:rsid w:val="00616770"/>
    <w:rsid w:val="00626E09"/>
    <w:rsid w:val="00630C2D"/>
    <w:rsid w:val="00634ECD"/>
    <w:rsid w:val="00641545"/>
    <w:rsid w:val="0064737F"/>
    <w:rsid w:val="006535F1"/>
    <w:rsid w:val="0065557D"/>
    <w:rsid w:val="00655DA3"/>
    <w:rsid w:val="00662984"/>
    <w:rsid w:val="006716BB"/>
    <w:rsid w:val="006737EE"/>
    <w:rsid w:val="00684254"/>
    <w:rsid w:val="00690A0D"/>
    <w:rsid w:val="00693126"/>
    <w:rsid w:val="006B3E01"/>
    <w:rsid w:val="006B6680"/>
    <w:rsid w:val="006B6DCC"/>
    <w:rsid w:val="006D226C"/>
    <w:rsid w:val="006E4D55"/>
    <w:rsid w:val="006E6C9B"/>
    <w:rsid w:val="006F2471"/>
    <w:rsid w:val="00702DEF"/>
    <w:rsid w:val="00704E26"/>
    <w:rsid w:val="00705BAF"/>
    <w:rsid w:val="00706861"/>
    <w:rsid w:val="00722C27"/>
    <w:rsid w:val="00724C86"/>
    <w:rsid w:val="00735508"/>
    <w:rsid w:val="0074249F"/>
    <w:rsid w:val="00744BF2"/>
    <w:rsid w:val="0075051B"/>
    <w:rsid w:val="007757AE"/>
    <w:rsid w:val="0078337D"/>
    <w:rsid w:val="007838F5"/>
    <w:rsid w:val="00786F75"/>
    <w:rsid w:val="00794D34"/>
    <w:rsid w:val="007B5D27"/>
    <w:rsid w:val="007E475C"/>
    <w:rsid w:val="008007E4"/>
    <w:rsid w:val="00813E5E"/>
    <w:rsid w:val="00822878"/>
    <w:rsid w:val="00827A88"/>
    <w:rsid w:val="00831A22"/>
    <w:rsid w:val="0083581B"/>
    <w:rsid w:val="00840983"/>
    <w:rsid w:val="00844786"/>
    <w:rsid w:val="008455D9"/>
    <w:rsid w:val="0084621C"/>
    <w:rsid w:val="008505C1"/>
    <w:rsid w:val="00861545"/>
    <w:rsid w:val="00862FB6"/>
    <w:rsid w:val="00863A40"/>
    <w:rsid w:val="00864503"/>
    <w:rsid w:val="00864AFF"/>
    <w:rsid w:val="00874BCB"/>
    <w:rsid w:val="008A3170"/>
    <w:rsid w:val="008A35C5"/>
    <w:rsid w:val="008B4A6A"/>
    <w:rsid w:val="008C0301"/>
    <w:rsid w:val="008C7E27"/>
    <w:rsid w:val="008E58B7"/>
    <w:rsid w:val="008E7A8D"/>
    <w:rsid w:val="0091122C"/>
    <w:rsid w:val="0091568B"/>
    <w:rsid w:val="009173EF"/>
    <w:rsid w:val="00921AB3"/>
    <w:rsid w:val="00932906"/>
    <w:rsid w:val="009402CD"/>
    <w:rsid w:val="009408F3"/>
    <w:rsid w:val="00942720"/>
    <w:rsid w:val="00947D45"/>
    <w:rsid w:val="00961B0B"/>
    <w:rsid w:val="0096200D"/>
    <w:rsid w:val="0096395B"/>
    <w:rsid w:val="00963FBE"/>
    <w:rsid w:val="009649F7"/>
    <w:rsid w:val="009666E2"/>
    <w:rsid w:val="009746FE"/>
    <w:rsid w:val="00985B21"/>
    <w:rsid w:val="009876E8"/>
    <w:rsid w:val="009925C4"/>
    <w:rsid w:val="00995874"/>
    <w:rsid w:val="00996BB5"/>
    <w:rsid w:val="009A18B3"/>
    <w:rsid w:val="009A6221"/>
    <w:rsid w:val="009B38C3"/>
    <w:rsid w:val="009D48EA"/>
    <w:rsid w:val="009D4D68"/>
    <w:rsid w:val="009D7BD9"/>
    <w:rsid w:val="009E17BD"/>
    <w:rsid w:val="009E485A"/>
    <w:rsid w:val="009F2BB3"/>
    <w:rsid w:val="009F3F65"/>
    <w:rsid w:val="00A00044"/>
    <w:rsid w:val="00A046BA"/>
    <w:rsid w:val="00A04CEC"/>
    <w:rsid w:val="00A20A15"/>
    <w:rsid w:val="00A249E3"/>
    <w:rsid w:val="00A25DBB"/>
    <w:rsid w:val="00A27F92"/>
    <w:rsid w:val="00A32257"/>
    <w:rsid w:val="00A36D20"/>
    <w:rsid w:val="00A400B4"/>
    <w:rsid w:val="00A55622"/>
    <w:rsid w:val="00A61B65"/>
    <w:rsid w:val="00A67CD4"/>
    <w:rsid w:val="00A83502"/>
    <w:rsid w:val="00A857F6"/>
    <w:rsid w:val="00A93C09"/>
    <w:rsid w:val="00AC0ADB"/>
    <w:rsid w:val="00AD15B3"/>
    <w:rsid w:val="00AD33C5"/>
    <w:rsid w:val="00AE49A7"/>
    <w:rsid w:val="00AF0856"/>
    <w:rsid w:val="00AF4174"/>
    <w:rsid w:val="00AF490E"/>
    <w:rsid w:val="00AF6E49"/>
    <w:rsid w:val="00B041DF"/>
    <w:rsid w:val="00B04A67"/>
    <w:rsid w:val="00B0583C"/>
    <w:rsid w:val="00B0716E"/>
    <w:rsid w:val="00B11AF0"/>
    <w:rsid w:val="00B124E1"/>
    <w:rsid w:val="00B13207"/>
    <w:rsid w:val="00B16007"/>
    <w:rsid w:val="00B25B5D"/>
    <w:rsid w:val="00B27C7D"/>
    <w:rsid w:val="00B308B3"/>
    <w:rsid w:val="00B312CB"/>
    <w:rsid w:val="00B33B98"/>
    <w:rsid w:val="00B33ED2"/>
    <w:rsid w:val="00B367F3"/>
    <w:rsid w:val="00B40A81"/>
    <w:rsid w:val="00B42D1B"/>
    <w:rsid w:val="00B44910"/>
    <w:rsid w:val="00B45097"/>
    <w:rsid w:val="00B45EA3"/>
    <w:rsid w:val="00B468C4"/>
    <w:rsid w:val="00B60AD7"/>
    <w:rsid w:val="00B60AF0"/>
    <w:rsid w:val="00B65C38"/>
    <w:rsid w:val="00B67949"/>
    <w:rsid w:val="00B72267"/>
    <w:rsid w:val="00B76EB6"/>
    <w:rsid w:val="00B7737B"/>
    <w:rsid w:val="00B824C8"/>
    <w:rsid w:val="00B82A5C"/>
    <w:rsid w:val="00B9612E"/>
    <w:rsid w:val="00BA315C"/>
    <w:rsid w:val="00BA69A7"/>
    <w:rsid w:val="00BB7F3F"/>
    <w:rsid w:val="00BC251A"/>
    <w:rsid w:val="00BC2801"/>
    <w:rsid w:val="00BC6A4F"/>
    <w:rsid w:val="00BD032B"/>
    <w:rsid w:val="00BD2210"/>
    <w:rsid w:val="00BE2640"/>
    <w:rsid w:val="00BE347F"/>
    <w:rsid w:val="00BF032D"/>
    <w:rsid w:val="00BF4FAD"/>
    <w:rsid w:val="00C01189"/>
    <w:rsid w:val="00C0492E"/>
    <w:rsid w:val="00C05626"/>
    <w:rsid w:val="00C073EB"/>
    <w:rsid w:val="00C12378"/>
    <w:rsid w:val="00C123AC"/>
    <w:rsid w:val="00C12BC5"/>
    <w:rsid w:val="00C16CDF"/>
    <w:rsid w:val="00C17279"/>
    <w:rsid w:val="00C344FA"/>
    <w:rsid w:val="00C36AFA"/>
    <w:rsid w:val="00C374DE"/>
    <w:rsid w:val="00C46686"/>
    <w:rsid w:val="00C47AD4"/>
    <w:rsid w:val="00C513EE"/>
    <w:rsid w:val="00C5217F"/>
    <w:rsid w:val="00C52378"/>
    <w:rsid w:val="00C52D81"/>
    <w:rsid w:val="00C55198"/>
    <w:rsid w:val="00C645E5"/>
    <w:rsid w:val="00C7469E"/>
    <w:rsid w:val="00C77933"/>
    <w:rsid w:val="00C8317D"/>
    <w:rsid w:val="00C92D6C"/>
    <w:rsid w:val="00CA2A85"/>
    <w:rsid w:val="00CA6393"/>
    <w:rsid w:val="00CB18FF"/>
    <w:rsid w:val="00CB3942"/>
    <w:rsid w:val="00CD0C08"/>
    <w:rsid w:val="00CE03FB"/>
    <w:rsid w:val="00CE433C"/>
    <w:rsid w:val="00CE4E24"/>
    <w:rsid w:val="00CE7B6E"/>
    <w:rsid w:val="00CF33F3"/>
    <w:rsid w:val="00CF5955"/>
    <w:rsid w:val="00D02EFA"/>
    <w:rsid w:val="00D0426A"/>
    <w:rsid w:val="00D06183"/>
    <w:rsid w:val="00D11E05"/>
    <w:rsid w:val="00D22C42"/>
    <w:rsid w:val="00D2710C"/>
    <w:rsid w:val="00D27549"/>
    <w:rsid w:val="00D31EFB"/>
    <w:rsid w:val="00D378A2"/>
    <w:rsid w:val="00D423EB"/>
    <w:rsid w:val="00D4259D"/>
    <w:rsid w:val="00D5315E"/>
    <w:rsid w:val="00D64C61"/>
    <w:rsid w:val="00D65041"/>
    <w:rsid w:val="00D93B3E"/>
    <w:rsid w:val="00D95A37"/>
    <w:rsid w:val="00DA03C9"/>
    <w:rsid w:val="00DA050C"/>
    <w:rsid w:val="00DB06A3"/>
    <w:rsid w:val="00DB384B"/>
    <w:rsid w:val="00DC7F29"/>
    <w:rsid w:val="00DE218D"/>
    <w:rsid w:val="00DE512F"/>
    <w:rsid w:val="00E10E80"/>
    <w:rsid w:val="00E119F9"/>
    <w:rsid w:val="00E124F0"/>
    <w:rsid w:val="00E1635E"/>
    <w:rsid w:val="00E23BE8"/>
    <w:rsid w:val="00E2531C"/>
    <w:rsid w:val="00E368CC"/>
    <w:rsid w:val="00E60F04"/>
    <w:rsid w:val="00E62DB0"/>
    <w:rsid w:val="00E71CB4"/>
    <w:rsid w:val="00E8318D"/>
    <w:rsid w:val="00E854E4"/>
    <w:rsid w:val="00E900BB"/>
    <w:rsid w:val="00E972EC"/>
    <w:rsid w:val="00EA2B57"/>
    <w:rsid w:val="00EA5DD9"/>
    <w:rsid w:val="00EB02E7"/>
    <w:rsid w:val="00EB0D6F"/>
    <w:rsid w:val="00EB2232"/>
    <w:rsid w:val="00EB464D"/>
    <w:rsid w:val="00EC5337"/>
    <w:rsid w:val="00ED5339"/>
    <w:rsid w:val="00ED7FFB"/>
    <w:rsid w:val="00EE4786"/>
    <w:rsid w:val="00EE717A"/>
    <w:rsid w:val="00F06F8E"/>
    <w:rsid w:val="00F14CEE"/>
    <w:rsid w:val="00F17AD9"/>
    <w:rsid w:val="00F2150A"/>
    <w:rsid w:val="00F2201F"/>
    <w:rsid w:val="00F231D8"/>
    <w:rsid w:val="00F30EC8"/>
    <w:rsid w:val="00F3144F"/>
    <w:rsid w:val="00F46C5F"/>
    <w:rsid w:val="00F5770F"/>
    <w:rsid w:val="00F72940"/>
    <w:rsid w:val="00F742FC"/>
    <w:rsid w:val="00F869F0"/>
    <w:rsid w:val="00F87721"/>
    <w:rsid w:val="00F94A63"/>
    <w:rsid w:val="00F9550A"/>
    <w:rsid w:val="00FA1C28"/>
    <w:rsid w:val="00FB0631"/>
    <w:rsid w:val="00FB13C1"/>
    <w:rsid w:val="00FB1B2E"/>
    <w:rsid w:val="00FB7596"/>
    <w:rsid w:val="00FC13F4"/>
    <w:rsid w:val="00FC35B1"/>
    <w:rsid w:val="00FC557C"/>
    <w:rsid w:val="00FC6487"/>
    <w:rsid w:val="00FC74B2"/>
    <w:rsid w:val="00FD2F4D"/>
    <w:rsid w:val="00FD67B5"/>
    <w:rsid w:val="00FE2A7A"/>
    <w:rsid w:val="00FE4077"/>
    <w:rsid w:val="00FE4D7F"/>
    <w:rsid w:val="00FE77D2"/>
    <w:rsid w:val="00FF1BBC"/>
    <w:rsid w:val="00FF3DB9"/>
    <w:rsid w:val="00FF5025"/>
    <w:rsid w:val="01CE744C"/>
    <w:rsid w:val="027A1BC3"/>
    <w:rsid w:val="035181F2"/>
    <w:rsid w:val="036A44AD"/>
    <w:rsid w:val="038AB92A"/>
    <w:rsid w:val="0640EEC7"/>
    <w:rsid w:val="080BCAB8"/>
    <w:rsid w:val="08632334"/>
    <w:rsid w:val="09E510E3"/>
    <w:rsid w:val="09FEF395"/>
    <w:rsid w:val="0C0AC872"/>
    <w:rsid w:val="0C2E9FD2"/>
    <w:rsid w:val="159D8D7B"/>
    <w:rsid w:val="15B61812"/>
    <w:rsid w:val="18734F98"/>
    <w:rsid w:val="1943BE12"/>
    <w:rsid w:val="19C7F034"/>
    <w:rsid w:val="1A706F3E"/>
    <w:rsid w:val="1E01E553"/>
    <w:rsid w:val="21398615"/>
    <w:rsid w:val="294C653D"/>
    <w:rsid w:val="2A7C222E"/>
    <w:rsid w:val="2C3423B7"/>
    <w:rsid w:val="2D1C599F"/>
    <w:rsid w:val="2EB82A00"/>
    <w:rsid w:val="2F1F4F4C"/>
    <w:rsid w:val="35E6A3B5"/>
    <w:rsid w:val="39FF8493"/>
    <w:rsid w:val="3B07F9F0"/>
    <w:rsid w:val="3BDA7507"/>
    <w:rsid w:val="3BF23C9E"/>
    <w:rsid w:val="402D1C15"/>
    <w:rsid w:val="44EC235E"/>
    <w:rsid w:val="45E13E64"/>
    <w:rsid w:val="46E14D35"/>
    <w:rsid w:val="479BCF02"/>
    <w:rsid w:val="484BC9F6"/>
    <w:rsid w:val="487379F8"/>
    <w:rsid w:val="4D7245B1"/>
    <w:rsid w:val="4D8B086C"/>
    <w:rsid w:val="4F0E1612"/>
    <w:rsid w:val="500DDFC3"/>
    <w:rsid w:val="512ECE9E"/>
    <w:rsid w:val="5283E6F3"/>
    <w:rsid w:val="52B879E6"/>
    <w:rsid w:val="538E7C9D"/>
    <w:rsid w:val="53C85ED8"/>
    <w:rsid w:val="5434C3A3"/>
    <w:rsid w:val="562539FD"/>
    <w:rsid w:val="56F8A849"/>
    <w:rsid w:val="5772AA3B"/>
    <w:rsid w:val="59701AB3"/>
    <w:rsid w:val="5BD370BD"/>
    <w:rsid w:val="5DE8F60B"/>
    <w:rsid w:val="5E7BC6CC"/>
    <w:rsid w:val="5EA52F13"/>
    <w:rsid w:val="5F075155"/>
    <w:rsid w:val="5FF3FCF4"/>
    <w:rsid w:val="62DD2BC2"/>
    <w:rsid w:val="62E36A9C"/>
    <w:rsid w:val="6423365A"/>
    <w:rsid w:val="647F3AFD"/>
    <w:rsid w:val="64976640"/>
    <w:rsid w:val="6593615F"/>
    <w:rsid w:val="671E10EA"/>
    <w:rsid w:val="678F6DE3"/>
    <w:rsid w:val="6854AC1A"/>
    <w:rsid w:val="6952AC20"/>
    <w:rsid w:val="6AEE7C81"/>
    <w:rsid w:val="6B290673"/>
    <w:rsid w:val="6B5D3B0A"/>
    <w:rsid w:val="6BF1820D"/>
    <w:rsid w:val="6C673524"/>
    <w:rsid w:val="6F4B62E8"/>
    <w:rsid w:val="71D178DE"/>
    <w:rsid w:val="73A698BF"/>
    <w:rsid w:val="756A0205"/>
    <w:rsid w:val="76602716"/>
    <w:rsid w:val="76FD843F"/>
    <w:rsid w:val="7A74BE20"/>
    <w:rsid w:val="7E7E10CE"/>
    <w:rsid w:val="7F16DB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38141D"/>
  <w15:docId w15:val="{45EEC83A-47DD-45B3-A8C4-D3394495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C03EB"/>
    <w:pPr>
      <w:framePr w:hSpace="180" w:wrap="around" w:hAnchor="margin" w:y="-675"/>
      <w:spacing w:before="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513E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3EE"/>
    <w:rPr>
      <w:rFonts w:ascii="Segoe UI" w:hAnsi="Segoe UI" w:cs="Segoe UI"/>
      <w:sz w:val="18"/>
      <w:szCs w:val="18"/>
      <w:lang w:val="en-GB" w:eastAsia="en-US"/>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1"/>
    <w:qFormat/>
    <w:rsid w:val="00D27549"/>
    <w:pPr>
      <w:ind w:left="720"/>
      <w:contextualSpacing/>
    </w:pPr>
  </w:style>
  <w:style w:type="character" w:styleId="CommentReference">
    <w:name w:val="annotation reference"/>
    <w:basedOn w:val="DefaultParagraphFont"/>
    <w:semiHidden/>
    <w:unhideWhenUsed/>
    <w:rsid w:val="001616C3"/>
    <w:rPr>
      <w:sz w:val="16"/>
      <w:szCs w:val="16"/>
    </w:rPr>
  </w:style>
  <w:style w:type="paragraph" w:styleId="CommentText">
    <w:name w:val="annotation text"/>
    <w:basedOn w:val="Normal"/>
    <w:link w:val="CommentTextChar"/>
    <w:semiHidden/>
    <w:unhideWhenUsed/>
    <w:rsid w:val="001616C3"/>
    <w:rPr>
      <w:sz w:val="20"/>
    </w:rPr>
  </w:style>
  <w:style w:type="character" w:customStyle="1" w:styleId="CommentTextChar">
    <w:name w:val="Comment Text Char"/>
    <w:basedOn w:val="DefaultParagraphFont"/>
    <w:link w:val="CommentText"/>
    <w:semiHidden/>
    <w:rsid w:val="001616C3"/>
    <w:rPr>
      <w:rFonts w:ascii="Calibri" w:hAnsi="Calibri"/>
      <w:lang w:val="en-GB" w:eastAsia="en-US"/>
    </w:rPr>
  </w:style>
  <w:style w:type="paragraph" w:styleId="CommentSubject">
    <w:name w:val="annotation subject"/>
    <w:basedOn w:val="CommentText"/>
    <w:next w:val="CommentText"/>
    <w:link w:val="CommentSubjectChar"/>
    <w:semiHidden/>
    <w:unhideWhenUsed/>
    <w:rsid w:val="001616C3"/>
    <w:rPr>
      <w:b/>
      <w:bCs/>
    </w:rPr>
  </w:style>
  <w:style w:type="character" w:customStyle="1" w:styleId="CommentSubjectChar">
    <w:name w:val="Comment Subject Char"/>
    <w:basedOn w:val="CommentTextChar"/>
    <w:link w:val="CommentSubject"/>
    <w:semiHidden/>
    <w:rsid w:val="001616C3"/>
    <w:rPr>
      <w:rFonts w:ascii="Calibri" w:hAnsi="Calibri"/>
      <w:b/>
      <w:bCs/>
      <w:lang w:val="en-GB" w:eastAsia="en-US"/>
    </w:rPr>
  </w:style>
  <w:style w:type="character" w:styleId="UnresolvedMention">
    <w:name w:val="Unresolved Mention"/>
    <w:basedOn w:val="DefaultParagraphFont"/>
    <w:uiPriority w:val="99"/>
    <w:semiHidden/>
    <w:unhideWhenUsed/>
    <w:rsid w:val="00B9612E"/>
    <w:rPr>
      <w:color w:val="605E5C"/>
      <w:shd w:val="clear" w:color="auto" w:fill="E1DFDD"/>
    </w:rPr>
  </w:style>
  <w:style w:type="character" w:styleId="Strong">
    <w:name w:val="Strong"/>
    <w:uiPriority w:val="22"/>
    <w:qFormat/>
    <w:rsid w:val="00840983"/>
    <w:rPr>
      <w:b/>
      <w:bC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1"/>
    <w:locked/>
    <w:rsid w:val="001665E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9749">
      <w:bodyDiv w:val="1"/>
      <w:marLeft w:val="0"/>
      <w:marRight w:val="0"/>
      <w:marTop w:val="0"/>
      <w:marBottom w:val="0"/>
      <w:divBdr>
        <w:top w:val="none" w:sz="0" w:space="0" w:color="auto"/>
        <w:left w:val="none" w:sz="0" w:space="0" w:color="auto"/>
        <w:bottom w:val="none" w:sz="0" w:space="0" w:color="auto"/>
        <w:right w:val="none" w:sz="0" w:space="0" w:color="auto"/>
      </w:divBdr>
    </w:div>
    <w:div w:id="91440017">
      <w:bodyDiv w:val="1"/>
      <w:marLeft w:val="0"/>
      <w:marRight w:val="0"/>
      <w:marTop w:val="0"/>
      <w:marBottom w:val="0"/>
      <w:divBdr>
        <w:top w:val="none" w:sz="0" w:space="0" w:color="auto"/>
        <w:left w:val="none" w:sz="0" w:space="0" w:color="auto"/>
        <w:bottom w:val="none" w:sz="0" w:space="0" w:color="auto"/>
        <w:right w:val="none" w:sz="0" w:space="0" w:color="auto"/>
      </w:divBdr>
    </w:div>
    <w:div w:id="244924580">
      <w:bodyDiv w:val="1"/>
      <w:marLeft w:val="0"/>
      <w:marRight w:val="0"/>
      <w:marTop w:val="0"/>
      <w:marBottom w:val="0"/>
      <w:divBdr>
        <w:top w:val="none" w:sz="0" w:space="0" w:color="auto"/>
        <w:left w:val="none" w:sz="0" w:space="0" w:color="auto"/>
        <w:bottom w:val="none" w:sz="0" w:space="0" w:color="auto"/>
        <w:right w:val="none" w:sz="0" w:space="0" w:color="auto"/>
      </w:divBdr>
    </w:div>
    <w:div w:id="394821076">
      <w:bodyDiv w:val="1"/>
      <w:marLeft w:val="0"/>
      <w:marRight w:val="0"/>
      <w:marTop w:val="0"/>
      <w:marBottom w:val="0"/>
      <w:divBdr>
        <w:top w:val="none" w:sz="0" w:space="0" w:color="auto"/>
        <w:left w:val="none" w:sz="0" w:space="0" w:color="auto"/>
        <w:bottom w:val="none" w:sz="0" w:space="0" w:color="auto"/>
        <w:right w:val="none" w:sz="0" w:space="0" w:color="auto"/>
      </w:divBdr>
    </w:div>
    <w:div w:id="424956077">
      <w:bodyDiv w:val="1"/>
      <w:marLeft w:val="0"/>
      <w:marRight w:val="0"/>
      <w:marTop w:val="0"/>
      <w:marBottom w:val="0"/>
      <w:divBdr>
        <w:top w:val="none" w:sz="0" w:space="0" w:color="auto"/>
        <w:left w:val="none" w:sz="0" w:space="0" w:color="auto"/>
        <w:bottom w:val="none" w:sz="0" w:space="0" w:color="auto"/>
        <w:right w:val="none" w:sz="0" w:space="0" w:color="auto"/>
      </w:divBdr>
    </w:div>
    <w:div w:id="441414094">
      <w:bodyDiv w:val="1"/>
      <w:marLeft w:val="0"/>
      <w:marRight w:val="0"/>
      <w:marTop w:val="0"/>
      <w:marBottom w:val="0"/>
      <w:divBdr>
        <w:top w:val="none" w:sz="0" w:space="0" w:color="auto"/>
        <w:left w:val="none" w:sz="0" w:space="0" w:color="auto"/>
        <w:bottom w:val="none" w:sz="0" w:space="0" w:color="auto"/>
        <w:right w:val="none" w:sz="0" w:space="0" w:color="auto"/>
      </w:divBdr>
    </w:div>
    <w:div w:id="447621423">
      <w:bodyDiv w:val="1"/>
      <w:marLeft w:val="0"/>
      <w:marRight w:val="0"/>
      <w:marTop w:val="0"/>
      <w:marBottom w:val="0"/>
      <w:divBdr>
        <w:top w:val="none" w:sz="0" w:space="0" w:color="auto"/>
        <w:left w:val="none" w:sz="0" w:space="0" w:color="auto"/>
        <w:bottom w:val="none" w:sz="0" w:space="0" w:color="auto"/>
        <w:right w:val="none" w:sz="0" w:space="0" w:color="auto"/>
      </w:divBdr>
    </w:div>
    <w:div w:id="618997262">
      <w:bodyDiv w:val="1"/>
      <w:marLeft w:val="0"/>
      <w:marRight w:val="0"/>
      <w:marTop w:val="0"/>
      <w:marBottom w:val="0"/>
      <w:divBdr>
        <w:top w:val="none" w:sz="0" w:space="0" w:color="auto"/>
        <w:left w:val="none" w:sz="0" w:space="0" w:color="auto"/>
        <w:bottom w:val="none" w:sz="0" w:space="0" w:color="auto"/>
        <w:right w:val="none" w:sz="0" w:space="0" w:color="auto"/>
      </w:divBdr>
    </w:div>
    <w:div w:id="665323259">
      <w:bodyDiv w:val="1"/>
      <w:marLeft w:val="0"/>
      <w:marRight w:val="0"/>
      <w:marTop w:val="0"/>
      <w:marBottom w:val="0"/>
      <w:divBdr>
        <w:top w:val="none" w:sz="0" w:space="0" w:color="auto"/>
        <w:left w:val="none" w:sz="0" w:space="0" w:color="auto"/>
        <w:bottom w:val="none" w:sz="0" w:space="0" w:color="auto"/>
        <w:right w:val="none" w:sz="0" w:space="0" w:color="auto"/>
      </w:divBdr>
    </w:div>
    <w:div w:id="678893648">
      <w:bodyDiv w:val="1"/>
      <w:marLeft w:val="0"/>
      <w:marRight w:val="0"/>
      <w:marTop w:val="0"/>
      <w:marBottom w:val="0"/>
      <w:divBdr>
        <w:top w:val="none" w:sz="0" w:space="0" w:color="auto"/>
        <w:left w:val="none" w:sz="0" w:space="0" w:color="auto"/>
        <w:bottom w:val="none" w:sz="0" w:space="0" w:color="auto"/>
        <w:right w:val="none" w:sz="0" w:space="0" w:color="auto"/>
      </w:divBdr>
    </w:div>
    <w:div w:id="854343803">
      <w:bodyDiv w:val="1"/>
      <w:marLeft w:val="0"/>
      <w:marRight w:val="0"/>
      <w:marTop w:val="0"/>
      <w:marBottom w:val="0"/>
      <w:divBdr>
        <w:top w:val="none" w:sz="0" w:space="0" w:color="auto"/>
        <w:left w:val="none" w:sz="0" w:space="0" w:color="auto"/>
        <w:bottom w:val="none" w:sz="0" w:space="0" w:color="auto"/>
        <w:right w:val="none" w:sz="0" w:space="0" w:color="auto"/>
      </w:divBdr>
    </w:div>
    <w:div w:id="864711622">
      <w:bodyDiv w:val="1"/>
      <w:marLeft w:val="0"/>
      <w:marRight w:val="0"/>
      <w:marTop w:val="0"/>
      <w:marBottom w:val="0"/>
      <w:divBdr>
        <w:top w:val="none" w:sz="0" w:space="0" w:color="auto"/>
        <w:left w:val="none" w:sz="0" w:space="0" w:color="auto"/>
        <w:bottom w:val="none" w:sz="0" w:space="0" w:color="auto"/>
        <w:right w:val="none" w:sz="0" w:space="0" w:color="auto"/>
      </w:divBdr>
    </w:div>
    <w:div w:id="872495848">
      <w:bodyDiv w:val="1"/>
      <w:marLeft w:val="0"/>
      <w:marRight w:val="0"/>
      <w:marTop w:val="0"/>
      <w:marBottom w:val="0"/>
      <w:divBdr>
        <w:top w:val="none" w:sz="0" w:space="0" w:color="auto"/>
        <w:left w:val="none" w:sz="0" w:space="0" w:color="auto"/>
        <w:bottom w:val="none" w:sz="0" w:space="0" w:color="auto"/>
        <w:right w:val="none" w:sz="0" w:space="0" w:color="auto"/>
      </w:divBdr>
    </w:div>
    <w:div w:id="924654695">
      <w:bodyDiv w:val="1"/>
      <w:marLeft w:val="0"/>
      <w:marRight w:val="0"/>
      <w:marTop w:val="0"/>
      <w:marBottom w:val="0"/>
      <w:divBdr>
        <w:top w:val="none" w:sz="0" w:space="0" w:color="auto"/>
        <w:left w:val="none" w:sz="0" w:space="0" w:color="auto"/>
        <w:bottom w:val="none" w:sz="0" w:space="0" w:color="auto"/>
        <w:right w:val="none" w:sz="0" w:space="0" w:color="auto"/>
      </w:divBdr>
    </w:div>
    <w:div w:id="951397917">
      <w:bodyDiv w:val="1"/>
      <w:marLeft w:val="0"/>
      <w:marRight w:val="0"/>
      <w:marTop w:val="0"/>
      <w:marBottom w:val="0"/>
      <w:divBdr>
        <w:top w:val="none" w:sz="0" w:space="0" w:color="auto"/>
        <w:left w:val="none" w:sz="0" w:space="0" w:color="auto"/>
        <w:bottom w:val="none" w:sz="0" w:space="0" w:color="auto"/>
        <w:right w:val="none" w:sz="0" w:space="0" w:color="auto"/>
      </w:divBdr>
    </w:div>
    <w:div w:id="959217251">
      <w:bodyDiv w:val="1"/>
      <w:marLeft w:val="0"/>
      <w:marRight w:val="0"/>
      <w:marTop w:val="0"/>
      <w:marBottom w:val="0"/>
      <w:divBdr>
        <w:top w:val="none" w:sz="0" w:space="0" w:color="auto"/>
        <w:left w:val="none" w:sz="0" w:space="0" w:color="auto"/>
        <w:bottom w:val="none" w:sz="0" w:space="0" w:color="auto"/>
        <w:right w:val="none" w:sz="0" w:space="0" w:color="auto"/>
      </w:divBdr>
    </w:div>
    <w:div w:id="962997217">
      <w:bodyDiv w:val="1"/>
      <w:marLeft w:val="0"/>
      <w:marRight w:val="0"/>
      <w:marTop w:val="0"/>
      <w:marBottom w:val="0"/>
      <w:divBdr>
        <w:top w:val="none" w:sz="0" w:space="0" w:color="auto"/>
        <w:left w:val="none" w:sz="0" w:space="0" w:color="auto"/>
        <w:bottom w:val="none" w:sz="0" w:space="0" w:color="auto"/>
        <w:right w:val="none" w:sz="0" w:space="0" w:color="auto"/>
      </w:divBdr>
    </w:div>
    <w:div w:id="978417291">
      <w:bodyDiv w:val="1"/>
      <w:marLeft w:val="0"/>
      <w:marRight w:val="0"/>
      <w:marTop w:val="0"/>
      <w:marBottom w:val="0"/>
      <w:divBdr>
        <w:top w:val="none" w:sz="0" w:space="0" w:color="auto"/>
        <w:left w:val="none" w:sz="0" w:space="0" w:color="auto"/>
        <w:bottom w:val="none" w:sz="0" w:space="0" w:color="auto"/>
        <w:right w:val="none" w:sz="0" w:space="0" w:color="auto"/>
      </w:divBdr>
    </w:div>
    <w:div w:id="1043866831">
      <w:bodyDiv w:val="1"/>
      <w:marLeft w:val="0"/>
      <w:marRight w:val="0"/>
      <w:marTop w:val="0"/>
      <w:marBottom w:val="0"/>
      <w:divBdr>
        <w:top w:val="none" w:sz="0" w:space="0" w:color="auto"/>
        <w:left w:val="none" w:sz="0" w:space="0" w:color="auto"/>
        <w:bottom w:val="none" w:sz="0" w:space="0" w:color="auto"/>
        <w:right w:val="none" w:sz="0" w:space="0" w:color="auto"/>
      </w:divBdr>
    </w:div>
    <w:div w:id="1064446913">
      <w:bodyDiv w:val="1"/>
      <w:marLeft w:val="0"/>
      <w:marRight w:val="0"/>
      <w:marTop w:val="0"/>
      <w:marBottom w:val="0"/>
      <w:divBdr>
        <w:top w:val="none" w:sz="0" w:space="0" w:color="auto"/>
        <w:left w:val="none" w:sz="0" w:space="0" w:color="auto"/>
        <w:bottom w:val="none" w:sz="0" w:space="0" w:color="auto"/>
        <w:right w:val="none" w:sz="0" w:space="0" w:color="auto"/>
      </w:divBdr>
    </w:div>
    <w:div w:id="1379933767">
      <w:bodyDiv w:val="1"/>
      <w:marLeft w:val="0"/>
      <w:marRight w:val="0"/>
      <w:marTop w:val="0"/>
      <w:marBottom w:val="0"/>
      <w:divBdr>
        <w:top w:val="none" w:sz="0" w:space="0" w:color="auto"/>
        <w:left w:val="none" w:sz="0" w:space="0" w:color="auto"/>
        <w:bottom w:val="none" w:sz="0" w:space="0" w:color="auto"/>
        <w:right w:val="none" w:sz="0" w:space="0" w:color="auto"/>
      </w:divBdr>
    </w:div>
    <w:div w:id="1433429761">
      <w:bodyDiv w:val="1"/>
      <w:marLeft w:val="0"/>
      <w:marRight w:val="0"/>
      <w:marTop w:val="0"/>
      <w:marBottom w:val="0"/>
      <w:divBdr>
        <w:top w:val="none" w:sz="0" w:space="0" w:color="auto"/>
        <w:left w:val="none" w:sz="0" w:space="0" w:color="auto"/>
        <w:bottom w:val="none" w:sz="0" w:space="0" w:color="auto"/>
        <w:right w:val="none" w:sz="0" w:space="0" w:color="auto"/>
      </w:divBdr>
    </w:div>
    <w:div w:id="1481968361">
      <w:bodyDiv w:val="1"/>
      <w:marLeft w:val="0"/>
      <w:marRight w:val="0"/>
      <w:marTop w:val="0"/>
      <w:marBottom w:val="0"/>
      <w:divBdr>
        <w:top w:val="none" w:sz="0" w:space="0" w:color="auto"/>
        <w:left w:val="none" w:sz="0" w:space="0" w:color="auto"/>
        <w:bottom w:val="none" w:sz="0" w:space="0" w:color="auto"/>
        <w:right w:val="none" w:sz="0" w:space="0" w:color="auto"/>
      </w:divBdr>
    </w:div>
    <w:div w:id="1555043080">
      <w:bodyDiv w:val="1"/>
      <w:marLeft w:val="0"/>
      <w:marRight w:val="0"/>
      <w:marTop w:val="0"/>
      <w:marBottom w:val="0"/>
      <w:divBdr>
        <w:top w:val="none" w:sz="0" w:space="0" w:color="auto"/>
        <w:left w:val="none" w:sz="0" w:space="0" w:color="auto"/>
        <w:bottom w:val="none" w:sz="0" w:space="0" w:color="auto"/>
        <w:right w:val="none" w:sz="0" w:space="0" w:color="auto"/>
      </w:divBdr>
    </w:div>
    <w:div w:id="1581908523">
      <w:bodyDiv w:val="1"/>
      <w:marLeft w:val="0"/>
      <w:marRight w:val="0"/>
      <w:marTop w:val="0"/>
      <w:marBottom w:val="0"/>
      <w:divBdr>
        <w:top w:val="none" w:sz="0" w:space="0" w:color="auto"/>
        <w:left w:val="none" w:sz="0" w:space="0" w:color="auto"/>
        <w:bottom w:val="none" w:sz="0" w:space="0" w:color="auto"/>
        <w:right w:val="none" w:sz="0" w:space="0" w:color="auto"/>
      </w:divBdr>
    </w:div>
    <w:div w:id="1712488266">
      <w:bodyDiv w:val="1"/>
      <w:marLeft w:val="0"/>
      <w:marRight w:val="0"/>
      <w:marTop w:val="0"/>
      <w:marBottom w:val="0"/>
      <w:divBdr>
        <w:top w:val="none" w:sz="0" w:space="0" w:color="auto"/>
        <w:left w:val="none" w:sz="0" w:space="0" w:color="auto"/>
        <w:bottom w:val="none" w:sz="0" w:space="0" w:color="auto"/>
        <w:right w:val="none" w:sz="0" w:space="0" w:color="auto"/>
      </w:divBdr>
    </w:div>
    <w:div w:id="1720933244">
      <w:bodyDiv w:val="1"/>
      <w:marLeft w:val="0"/>
      <w:marRight w:val="0"/>
      <w:marTop w:val="0"/>
      <w:marBottom w:val="0"/>
      <w:divBdr>
        <w:top w:val="none" w:sz="0" w:space="0" w:color="auto"/>
        <w:left w:val="none" w:sz="0" w:space="0" w:color="auto"/>
        <w:bottom w:val="none" w:sz="0" w:space="0" w:color="auto"/>
        <w:right w:val="none" w:sz="0" w:space="0" w:color="auto"/>
      </w:divBdr>
    </w:div>
    <w:div w:id="1987586299">
      <w:bodyDiv w:val="1"/>
      <w:marLeft w:val="0"/>
      <w:marRight w:val="0"/>
      <w:marTop w:val="0"/>
      <w:marBottom w:val="0"/>
      <w:divBdr>
        <w:top w:val="none" w:sz="0" w:space="0" w:color="auto"/>
        <w:left w:val="none" w:sz="0" w:space="0" w:color="auto"/>
        <w:bottom w:val="none" w:sz="0" w:space="0" w:color="auto"/>
        <w:right w:val="none" w:sz="0" w:space="0" w:color="auto"/>
      </w:divBdr>
    </w:div>
    <w:div w:id="2048136736">
      <w:bodyDiv w:val="1"/>
      <w:marLeft w:val="0"/>
      <w:marRight w:val="0"/>
      <w:marTop w:val="0"/>
      <w:marBottom w:val="0"/>
      <w:divBdr>
        <w:top w:val="none" w:sz="0" w:space="0" w:color="auto"/>
        <w:left w:val="none" w:sz="0" w:space="0" w:color="auto"/>
        <w:bottom w:val="none" w:sz="0" w:space="0" w:color="auto"/>
        <w:right w:val="none" w:sz="0" w:space="0" w:color="auto"/>
      </w:divBdr>
    </w:div>
    <w:div w:id="2056659316">
      <w:bodyDiv w:val="1"/>
      <w:marLeft w:val="0"/>
      <w:marRight w:val="0"/>
      <w:marTop w:val="0"/>
      <w:marBottom w:val="0"/>
      <w:divBdr>
        <w:top w:val="none" w:sz="0" w:space="0" w:color="auto"/>
        <w:left w:val="none" w:sz="0" w:space="0" w:color="auto"/>
        <w:bottom w:val="none" w:sz="0" w:space="0" w:color="auto"/>
        <w:right w:val="none" w:sz="0" w:space="0" w:color="auto"/>
      </w:divBdr>
    </w:div>
    <w:div w:id="21263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VC-C-0013/en" TargetMode="External"/><Relationship Id="rId18" Type="http://schemas.openxmlformats.org/officeDocument/2006/relationships/hyperlink" Target="https://reg4covid.itu.int/wp-content/uploads/2020/05/ICTsector-response.jpg" TargetMode="External"/><Relationship Id="rId26" Type="http://schemas.openxmlformats.org/officeDocument/2006/relationships/hyperlink" Target="https://www.itu.int/net4/wsis/forum/2020/Home/WSISTalkX" TargetMode="External"/><Relationship Id="rId3" Type="http://schemas.openxmlformats.org/officeDocument/2006/relationships/customXml" Target="../customXml/item3.xml"/><Relationship Id="rId21" Type="http://schemas.openxmlformats.org/officeDocument/2006/relationships/hyperlink" Target="https://reg4covid.itu.int/wp-content/uploads/2020/09/UN75_Partnership_Statement_PD_final.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20-CLVC-C-0013/en" TargetMode="External"/><Relationship Id="rId17" Type="http://schemas.openxmlformats.org/officeDocument/2006/relationships/hyperlink" Target="https://reg4covid.itu.int/wp-content/uploads/2020/06/ITU_COVID-19_and_Telecom-ICT.pdf" TargetMode="External"/><Relationship Id="rId25" Type="http://schemas.openxmlformats.org/officeDocument/2006/relationships/hyperlink" Target="https://www.un.org/sustainabledevelopment/sustainable-development-goal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ITU-D/Regulatory-Market/Documents/REG4COVID/2020/Summary_Key_Covid19_Initiatives.pdf" TargetMode="External"/><Relationship Id="rId20" Type="http://schemas.openxmlformats.org/officeDocument/2006/relationships/hyperlink" Target="https://www.itu.int/en/ITU-D/Pages/seminars/2020/DigitalCooperation/default.aspx" TargetMode="External"/><Relationship Id="rId29" Type="http://schemas.openxmlformats.org/officeDocument/2006/relationships/hyperlink" Target="https://www.itu.int/en/action/cybersecurity/Pages/CYB4COVID.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iforgood.itu.int/"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en/ITU-D/Regulatory-Market/Pages/REG4COVID.aspx" TargetMode="External"/><Relationship Id="rId23" Type="http://schemas.openxmlformats.org/officeDocument/2006/relationships/hyperlink" Target="https://www.itu.int/en/ITU-D/Emergency-Telecommunications/Pages/Publications/Guidelines-for-NETPs.aspx" TargetMode="External"/><Relationship Id="rId28" Type="http://schemas.openxmlformats.org/officeDocument/2006/relationships/hyperlink" Target="https://www.itu.int/net4/wsis/forum/2020/Files/outcomes/draft/WSISStocktakingICTCaseRepository_TheCoronavirusResponseSpecialReport_DRAFT.pdf" TargetMode="External"/><Relationship Id="rId10" Type="http://schemas.openxmlformats.org/officeDocument/2006/relationships/endnotes" Target="endnotes.xml"/><Relationship Id="rId19" Type="http://schemas.openxmlformats.org/officeDocument/2006/relationships/hyperlink" Target="http://pubdocs.worldbank.org/en/788991588006445890/Speedboat-Partners-COVID-19-Digital-Development-Joint-Action-Plan.pdff" TargetMode="External"/><Relationship Id="rId31" Type="http://schemas.openxmlformats.org/officeDocument/2006/relationships/hyperlink" Target="https://www.itu.int/en/ITU-D/Pages/connect-2-recove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Pages/covid-19.aspx" TargetMode="External"/><Relationship Id="rId22" Type="http://schemas.openxmlformats.org/officeDocument/2006/relationships/hyperlink" Target="https://www.who.int/news-room/detail/20-04-2020-itu-who-joint-statement-unleashing-information-technology-to-defeat-covid-19" TargetMode="External"/><Relationship Id="rId27" Type="http://schemas.openxmlformats.org/officeDocument/2006/relationships/hyperlink" Target="https://www.itu.int/net4/wsis/stocktaking/Surveys/Surveys/Submit/15863048637525604" TargetMode="External"/><Relationship Id="rId30" Type="http://schemas.openxmlformats.org/officeDocument/2006/relationships/hyperlink" Target="https://news.itu.int/covid-19-7-key-ways-to-keep-children-safe-online/"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4" ma:contentTypeDescription="Create a new document." ma:contentTypeScope="" ma:versionID="26cfc6c5061383fea1a2abe8f358be6d">
  <xsd:schema xmlns:xsd="http://www.w3.org/2001/XMLSchema" xmlns:xs="http://www.w3.org/2001/XMLSchema" xmlns:p="http://schemas.microsoft.com/office/2006/metadata/properties" xmlns:ns2="2dfbb2a9-9046-4b7d-bc0f-b7b915b8a872" targetNamespace="http://schemas.microsoft.com/office/2006/metadata/properties" ma:root="true" ma:fieldsID="7d1b9f577e35db87ca28ff2eaf84638e" ns2:_="">
    <xsd:import namespace="2dfbb2a9-9046-4b7d-bc0f-b7b915b8a8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9E9350-66F0-4289-9D5A-E539D1B2D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C5698-F7DC-4E69-AE50-2CC82515623D}">
  <ds:schemaRefs>
    <ds:schemaRef ds:uri="http://schemas.openxmlformats.org/officeDocument/2006/bibliography"/>
  </ds:schemaRefs>
</ds:datastoreItem>
</file>

<file path=customXml/itemProps3.xml><?xml version="1.0" encoding="utf-8"?>
<ds:datastoreItem xmlns:ds="http://schemas.openxmlformats.org/officeDocument/2006/customXml" ds:itemID="{FBF0AA3C-4796-4BD0-BE67-11D79F959F27}">
  <ds:schemaRefs>
    <ds:schemaRef ds:uri="http://schemas.microsoft.com/sharepoint/v3/contenttype/forms"/>
  </ds:schemaRefs>
</ds:datastoreItem>
</file>

<file path=customXml/itemProps4.xml><?xml version="1.0" encoding="utf-8"?>
<ds:datastoreItem xmlns:ds="http://schemas.openxmlformats.org/officeDocument/2006/customXml" ds:itemID="{24B136A7-01C4-476D-BB99-7D94D4FE9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3020</Words>
  <Characters>17216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Torigoe, Yushi</dc:creator>
  <cp:keywords/>
  <dc:description/>
  <cp:lastModifiedBy>Brouard, Ricarda</cp:lastModifiedBy>
  <cp:revision>3</cp:revision>
  <dcterms:created xsi:type="dcterms:W3CDTF">2020-12-18T18:29:00Z</dcterms:created>
  <dcterms:modified xsi:type="dcterms:W3CDTF">2020-12-23T10:06:00Z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