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3354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5D3354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D335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5D3354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D3354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97CAA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43730DB9" w:rsidR="00BC7BC0" w:rsidRPr="005D3354" w:rsidRDefault="00AC6D9B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D3354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327D3A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5D3354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3−4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D3354">
              <w:rPr>
                <w:b/>
                <w:bCs/>
                <w:szCs w:val="22"/>
                <w:lang w:val="ru-RU"/>
              </w:rPr>
              <w:t>февраля</w:t>
            </w:r>
            <w:r w:rsidR="00C73AFE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16416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5D335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97CAA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5D335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5D335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97CAA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5D335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51DF3EAA" w:rsidR="00BC7BC0" w:rsidRPr="005D3354" w:rsidRDefault="00C97CAA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5D3354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5D3354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5D3354">
              <w:rPr>
                <w:b/>
                <w:bCs/>
                <w:szCs w:val="22"/>
                <w:lang w:val="ru-RU"/>
              </w:rPr>
              <w:t>-</w:t>
            </w:r>
            <w:r w:rsidR="00AC6D9B" w:rsidRPr="005D3354">
              <w:rPr>
                <w:b/>
                <w:bCs/>
                <w:szCs w:val="22"/>
                <w:lang w:val="ru-RU"/>
              </w:rPr>
              <w:t>4</w:t>
            </w:r>
            <w:r w:rsidR="00DC6CE2" w:rsidRPr="005D3354">
              <w:rPr>
                <w:b/>
                <w:bCs/>
                <w:szCs w:val="22"/>
                <w:lang w:val="ru-RU"/>
              </w:rPr>
              <w:t>/</w:t>
            </w:r>
            <w:r w:rsidR="00F313F5" w:rsidRPr="005D3354">
              <w:rPr>
                <w:b/>
                <w:bCs/>
                <w:szCs w:val="22"/>
                <w:lang w:val="ru-RU"/>
              </w:rPr>
              <w:t>1</w:t>
            </w:r>
            <w:r w:rsidR="00DC6CE2" w:rsidRPr="005D335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3354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5D33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4FA8C1F5" w:rsidR="00BC7BC0" w:rsidRPr="005D3354" w:rsidRDefault="00C97CAA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29 января</w:t>
            </w:r>
            <w:r w:rsidR="00F313F5" w:rsidRPr="005D335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D3354">
              <w:rPr>
                <w:b/>
                <w:bCs/>
                <w:szCs w:val="22"/>
                <w:lang w:val="ru-RU"/>
              </w:rPr>
              <w:t>20</w:t>
            </w:r>
            <w:r w:rsidR="00716416" w:rsidRPr="005D3354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1</w:t>
            </w:r>
            <w:r w:rsidR="00BC7BC0" w:rsidRPr="005D335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3354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5D33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5D335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335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D3354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5D3354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C97CAA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5D3354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3354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5D3354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5D3354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C97CAA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41F1820C" w:rsidR="00F313F5" w:rsidRPr="005D3354" w:rsidRDefault="00AC6D9B" w:rsidP="00F313F5">
            <w:pPr>
              <w:pStyle w:val="Normalaftertitle"/>
              <w:jc w:val="center"/>
              <w:rPr>
                <w:lang w:val="ru-RU"/>
              </w:rPr>
            </w:pPr>
            <w:r w:rsidRPr="005D3354">
              <w:rPr>
                <w:lang w:val="ru-RU"/>
              </w:rPr>
              <w:t>Среда</w:t>
            </w:r>
            <w:r w:rsidR="00F313F5" w:rsidRPr="005D3354">
              <w:rPr>
                <w:lang w:val="ru-RU"/>
              </w:rPr>
              <w:t xml:space="preserve">, </w:t>
            </w:r>
            <w:r w:rsidRPr="005D3354">
              <w:rPr>
                <w:lang w:val="ru-RU"/>
              </w:rPr>
              <w:t>3 февраля</w:t>
            </w:r>
            <w:r w:rsidR="00F313F5" w:rsidRPr="005D3354">
              <w:rPr>
                <w:lang w:val="ru-RU"/>
              </w:rPr>
              <w:t xml:space="preserve">, и </w:t>
            </w:r>
            <w:r w:rsidRPr="005D3354">
              <w:rPr>
                <w:lang w:val="ru-RU"/>
              </w:rPr>
              <w:t>четверг</w:t>
            </w:r>
            <w:r w:rsidR="00F313F5" w:rsidRPr="005D3354">
              <w:rPr>
                <w:lang w:val="ru-RU"/>
              </w:rPr>
              <w:t xml:space="preserve">, </w:t>
            </w:r>
            <w:r w:rsidRPr="005D3354">
              <w:rPr>
                <w:lang w:val="ru-RU"/>
              </w:rPr>
              <w:t>4 февраля</w:t>
            </w:r>
            <w:r w:rsidR="00F313F5" w:rsidRPr="005D3354">
              <w:rPr>
                <w:lang w:val="ru-RU"/>
              </w:rPr>
              <w:t xml:space="preserve"> 20</w:t>
            </w:r>
            <w:r w:rsidR="00716416" w:rsidRPr="005D3354">
              <w:rPr>
                <w:lang w:val="ru-RU"/>
              </w:rPr>
              <w:t>2</w:t>
            </w:r>
            <w:r w:rsidRPr="005D3354">
              <w:rPr>
                <w:lang w:val="ru-RU"/>
              </w:rPr>
              <w:t>1</w:t>
            </w:r>
            <w:r w:rsidR="00F313F5" w:rsidRPr="005D3354">
              <w:rPr>
                <w:lang w:val="ru-RU"/>
              </w:rPr>
              <w:t xml:space="preserve"> года</w:t>
            </w:r>
          </w:p>
          <w:p w14:paraId="7A898841" w14:textId="3E17B14F" w:rsidR="00F313F5" w:rsidRPr="005D3354" w:rsidRDefault="00716416" w:rsidP="00F313F5">
            <w:pPr>
              <w:jc w:val="center"/>
              <w:rPr>
                <w:lang w:val="ru-RU"/>
              </w:rPr>
            </w:pPr>
            <w:r w:rsidRPr="005D3354">
              <w:rPr>
                <w:lang w:val="ru-RU"/>
              </w:rPr>
              <w:t>12</w:t>
            </w:r>
            <w:r w:rsidR="00F313F5" w:rsidRPr="005D3354">
              <w:rPr>
                <w:lang w:val="ru-RU"/>
              </w:rPr>
              <w:t xml:space="preserve"> час. </w:t>
            </w:r>
            <w:r w:rsidRPr="005D3354">
              <w:rPr>
                <w:lang w:val="ru-RU"/>
              </w:rPr>
              <w:t>0</w:t>
            </w:r>
            <w:r w:rsidR="00F313F5" w:rsidRPr="005D3354">
              <w:rPr>
                <w:lang w:val="ru-RU"/>
              </w:rPr>
              <w:t>0 мин. – 1</w:t>
            </w:r>
            <w:r w:rsidRPr="005D3354">
              <w:rPr>
                <w:lang w:val="ru-RU"/>
              </w:rPr>
              <w:t>5</w:t>
            </w:r>
            <w:r w:rsidR="00F313F5" w:rsidRPr="005D3354">
              <w:rPr>
                <w:lang w:val="ru-RU"/>
              </w:rPr>
              <w:t xml:space="preserve"> час. </w:t>
            </w:r>
            <w:r w:rsidRPr="005D3354">
              <w:rPr>
                <w:lang w:val="ru-RU"/>
              </w:rPr>
              <w:t>0</w:t>
            </w:r>
            <w:r w:rsidR="00F313F5" w:rsidRPr="005D3354">
              <w:rPr>
                <w:lang w:val="ru-RU"/>
              </w:rPr>
              <w:t xml:space="preserve">0 мин. </w:t>
            </w:r>
            <w:r w:rsidRPr="005D3354">
              <w:rPr>
                <w:lang w:val="ru-RU"/>
              </w:rPr>
              <w:t>CEST</w:t>
            </w:r>
          </w:p>
          <w:p w14:paraId="583163C9" w14:textId="41231CD3" w:rsidR="00F313F5" w:rsidRPr="005D3354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5D3354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5D3354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6946"/>
        <w:gridCol w:w="1985"/>
      </w:tblGrid>
      <w:tr w:rsidR="00F313F5" w:rsidRPr="005D3354" w14:paraId="2BBA4454" w14:textId="77777777" w:rsidTr="00C97CAA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5D3354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C219B7" w14:textId="77777777" w:rsidR="00F313F5" w:rsidRPr="005D3354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5D3354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985" w:type="dxa"/>
            <w:shd w:val="clear" w:color="auto" w:fill="auto"/>
          </w:tcPr>
          <w:p w14:paraId="2C614C56" w14:textId="6C88B98A" w:rsidR="00F313F5" w:rsidRPr="005D3354" w:rsidRDefault="00F313F5" w:rsidP="0043203B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5D3354" w14:paraId="466572A1" w14:textId="77777777" w:rsidTr="00C97CAA">
        <w:trPr>
          <w:trHeight w:val="236"/>
        </w:trPr>
        <w:tc>
          <w:tcPr>
            <w:tcW w:w="1134" w:type="dxa"/>
          </w:tcPr>
          <w:p w14:paraId="23DC1020" w14:textId="77777777" w:rsidR="00F313F5" w:rsidRPr="005D3354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C636BA6" w14:textId="77777777" w:rsidR="00F313F5" w:rsidRPr="005D3354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985" w:type="dxa"/>
            <w:shd w:val="clear" w:color="auto" w:fill="auto"/>
          </w:tcPr>
          <w:p w14:paraId="1D2598D9" w14:textId="77777777" w:rsidR="00F313F5" w:rsidRPr="005D3354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F313F5" w:rsidRPr="005D3354" w14:paraId="502EDCA2" w14:textId="77777777" w:rsidTr="00C97CAA">
        <w:trPr>
          <w:trHeight w:val="66"/>
        </w:trPr>
        <w:tc>
          <w:tcPr>
            <w:tcW w:w="1134" w:type="dxa"/>
          </w:tcPr>
          <w:p w14:paraId="3CEB745D" w14:textId="77777777" w:rsidR="00F313F5" w:rsidRPr="005D3354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FDBE083" w14:textId="3A0E85AC" w:rsidR="00F313F5" w:rsidRPr="005D3354" w:rsidRDefault="00F313F5" w:rsidP="00092DB8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1985" w:type="dxa"/>
            <w:shd w:val="clear" w:color="auto" w:fill="auto"/>
          </w:tcPr>
          <w:p w14:paraId="2140DB6E" w14:textId="0AB08065" w:rsidR="00F313F5" w:rsidRPr="00C97CAA" w:rsidRDefault="00C97CAA" w:rsidP="0043203B">
            <w:pPr>
              <w:rPr>
                <w:rFonts w:eastAsiaTheme="minorHAnsi"/>
                <w:szCs w:val="22"/>
                <w:lang w:val="ru-RU"/>
              </w:rPr>
            </w:pPr>
            <w:r w:rsidRPr="00C97CAA">
              <w:rPr>
                <w:szCs w:val="22"/>
              </w:rPr>
              <w:t>EG-ITRs-4/1(Rev.1)</w:t>
            </w:r>
          </w:p>
        </w:tc>
      </w:tr>
      <w:tr w:rsidR="0043203B" w:rsidRPr="00C97CAA" w14:paraId="5A4FE1D7" w14:textId="77777777" w:rsidTr="00C97CAA">
        <w:trPr>
          <w:trHeight w:val="624"/>
        </w:trPr>
        <w:tc>
          <w:tcPr>
            <w:tcW w:w="1134" w:type="dxa"/>
          </w:tcPr>
          <w:p w14:paraId="30D30C3E" w14:textId="3A4B4E65" w:rsidR="0043203B" w:rsidRPr="005D3354" w:rsidRDefault="00AC6D9B" w:rsidP="0043203B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981ACA5" w14:textId="6989950D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Обсуждение вкладов, полученных по следующим положениям РМЭ (на основании плана работы, согласованного на первом собрании ГЭ</w:t>
            </w:r>
            <w:r w:rsidRPr="005D3354">
              <w:rPr>
                <w:rFonts w:eastAsiaTheme="minorHAnsi"/>
                <w:lang w:val="ru-RU"/>
              </w:rPr>
              <w:noBreakHyphen/>
              <w:t>РМЭ):</w:t>
            </w:r>
          </w:p>
          <w:p w14:paraId="0E46197B" w14:textId="4BB6966A" w:rsidR="00AC6D9B" w:rsidRPr="005D3354" w:rsidRDefault="0043203B" w:rsidP="00AC6D9B">
            <w:pPr>
              <w:tabs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</w:r>
            <w:r w:rsidR="00AC6D9B" w:rsidRPr="005D3354">
              <w:rPr>
                <w:rFonts w:eastAsiaTheme="minorHAnsi"/>
                <w:lang w:val="ru-RU"/>
              </w:rPr>
              <w:t>СТАТЬЯ 9 − Временное прекращение оказания услуг</w:t>
            </w:r>
          </w:p>
          <w:p w14:paraId="324C42C6" w14:textId="64F612B0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10 − Распространение информации</w:t>
            </w:r>
          </w:p>
          <w:p w14:paraId="32AA7D86" w14:textId="2B4724FB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11 − Энергоэффективность/электронные отходы</w:t>
            </w:r>
          </w:p>
          <w:p w14:paraId="519E3E1E" w14:textId="54E9C8F5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12 − Доступность</w:t>
            </w:r>
          </w:p>
          <w:p w14:paraId="3EC1E6D5" w14:textId="53ECC654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13 − Специальные соглашения</w:t>
            </w:r>
          </w:p>
          <w:p w14:paraId="2FC13C5E" w14:textId="3D8170F0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14 −Заключительные положения</w:t>
            </w:r>
          </w:p>
          <w:p w14:paraId="2B8974C0" w14:textId="242C6636" w:rsidR="0043203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ДОПОЛНЕНИЕ 2 − Дополнительные положения, относящиеся к морской электросвязи</w:t>
            </w:r>
          </w:p>
        </w:tc>
        <w:tc>
          <w:tcPr>
            <w:tcW w:w="1985" w:type="dxa"/>
            <w:shd w:val="clear" w:color="auto" w:fill="auto"/>
          </w:tcPr>
          <w:p w14:paraId="7A0AC8CC" w14:textId="77777777" w:rsidR="00C97CAA" w:rsidRPr="00C97CAA" w:rsidRDefault="00C97CAA" w:rsidP="00C97CAA">
            <w:pPr>
              <w:snapToGrid w:val="0"/>
              <w:spacing w:before="100"/>
              <w:jc w:val="center"/>
              <w:rPr>
                <w:szCs w:val="22"/>
              </w:rPr>
            </w:pPr>
            <w:hyperlink r:id="rId8" w:history="1">
              <w:r w:rsidRPr="00C97CAA">
                <w:rPr>
                  <w:rStyle w:val="Hyperlink"/>
                  <w:szCs w:val="22"/>
                </w:rPr>
                <w:t>EG-ITRs-4/2</w:t>
              </w:r>
            </w:hyperlink>
          </w:p>
          <w:p w14:paraId="0AC637FE" w14:textId="77777777" w:rsidR="00C97CAA" w:rsidRPr="00C97CAA" w:rsidRDefault="00C97CAA" w:rsidP="00C97CAA">
            <w:pPr>
              <w:snapToGrid w:val="0"/>
              <w:spacing w:before="100"/>
              <w:jc w:val="center"/>
              <w:rPr>
                <w:szCs w:val="22"/>
              </w:rPr>
            </w:pPr>
            <w:hyperlink r:id="rId9" w:history="1">
              <w:r w:rsidRPr="00C97CAA">
                <w:rPr>
                  <w:rStyle w:val="Hyperlink"/>
                  <w:szCs w:val="22"/>
                </w:rPr>
                <w:t>EG-ITRs-4/3</w:t>
              </w:r>
            </w:hyperlink>
          </w:p>
          <w:p w14:paraId="715EC4BE" w14:textId="77777777" w:rsidR="00C97CAA" w:rsidRPr="00C97CAA" w:rsidRDefault="00C97CAA" w:rsidP="00C97CAA">
            <w:pPr>
              <w:snapToGrid w:val="0"/>
              <w:spacing w:before="100"/>
              <w:jc w:val="center"/>
              <w:rPr>
                <w:szCs w:val="22"/>
              </w:rPr>
            </w:pPr>
            <w:hyperlink r:id="rId10" w:history="1">
              <w:r w:rsidRPr="00C97CAA">
                <w:rPr>
                  <w:rStyle w:val="Hyperlink"/>
                  <w:szCs w:val="22"/>
                </w:rPr>
                <w:t>EG-ITRs-4/4</w:t>
              </w:r>
            </w:hyperlink>
          </w:p>
          <w:p w14:paraId="5BAE9313" w14:textId="23E0F46A" w:rsidR="00C97CAA" w:rsidRPr="00C97CAA" w:rsidRDefault="00C97CAA" w:rsidP="00C97CAA">
            <w:pPr>
              <w:snapToGrid w:val="0"/>
              <w:spacing w:before="100"/>
              <w:jc w:val="center"/>
              <w:rPr>
                <w:szCs w:val="22"/>
              </w:rPr>
            </w:pPr>
            <w:hyperlink r:id="rId11" w:history="1">
              <w:r w:rsidRPr="00C97CAA">
                <w:rPr>
                  <w:rStyle w:val="Hyperlink"/>
                  <w:szCs w:val="22"/>
                </w:rPr>
                <w:t>EG-ITRs-4</w:t>
              </w:r>
              <w:r w:rsidRPr="00C97CAA">
                <w:rPr>
                  <w:rStyle w:val="Hyperlink"/>
                  <w:szCs w:val="22"/>
                </w:rPr>
                <w:t>/</w:t>
              </w:r>
              <w:r w:rsidRPr="00C97CAA">
                <w:rPr>
                  <w:rStyle w:val="Hyperlink"/>
                  <w:szCs w:val="22"/>
                </w:rPr>
                <w:t>5</w:t>
              </w:r>
            </w:hyperlink>
          </w:p>
          <w:p w14:paraId="534D2907" w14:textId="54BF5DB2" w:rsidR="00C97CAA" w:rsidRPr="00C97CAA" w:rsidRDefault="00C97CAA" w:rsidP="00C97CAA">
            <w:pPr>
              <w:snapToGrid w:val="0"/>
              <w:spacing w:before="100"/>
              <w:jc w:val="center"/>
              <w:rPr>
                <w:szCs w:val="22"/>
              </w:rPr>
            </w:pPr>
            <w:hyperlink r:id="rId12" w:history="1">
              <w:r w:rsidRPr="00C97CAA">
                <w:rPr>
                  <w:rStyle w:val="Hyperlink"/>
                  <w:szCs w:val="22"/>
                </w:rPr>
                <w:t>EG-ITRs-4/6(Rev</w:t>
              </w:r>
              <w:r>
                <w:rPr>
                  <w:rStyle w:val="Hyperlink"/>
                  <w:szCs w:val="22"/>
                  <w:lang w:val="ru-RU"/>
                </w:rPr>
                <w:t>.</w:t>
              </w:r>
              <w:r w:rsidRPr="00C97CAA">
                <w:rPr>
                  <w:rStyle w:val="Hyperlink"/>
                  <w:szCs w:val="22"/>
                </w:rPr>
                <w:t>1)</w:t>
              </w:r>
            </w:hyperlink>
          </w:p>
          <w:p w14:paraId="5350B580" w14:textId="4F86EB2E" w:rsidR="0043203B" w:rsidRPr="00C97CAA" w:rsidRDefault="00C97CAA" w:rsidP="00C97CAA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  <w:hyperlink r:id="rId13" w:history="1">
              <w:r w:rsidRPr="00C97CAA">
                <w:rPr>
                  <w:rStyle w:val="Hyperlink"/>
                  <w:szCs w:val="22"/>
                </w:rPr>
                <w:t>EG-ITRs-4/7</w:t>
              </w:r>
            </w:hyperlink>
          </w:p>
        </w:tc>
      </w:tr>
      <w:tr w:rsidR="0043203B" w:rsidRPr="005D3354" w14:paraId="1664973E" w14:textId="77777777" w:rsidTr="00C97CAA">
        <w:trPr>
          <w:trHeight w:val="66"/>
        </w:trPr>
        <w:tc>
          <w:tcPr>
            <w:tcW w:w="1134" w:type="dxa"/>
          </w:tcPr>
          <w:p w14:paraId="38A3C8D2" w14:textId="52820E43" w:rsidR="0043203B" w:rsidRPr="005D3354" w:rsidRDefault="00C97CAA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7E5BE49F" w14:textId="0F7CB56D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1985" w:type="dxa"/>
            <w:shd w:val="clear" w:color="auto" w:fill="auto"/>
          </w:tcPr>
          <w:p w14:paraId="265E9AC7" w14:textId="77777777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5D3354" w14:paraId="078BB083" w14:textId="77777777" w:rsidTr="00C97CAA">
        <w:trPr>
          <w:trHeight w:val="66"/>
        </w:trPr>
        <w:tc>
          <w:tcPr>
            <w:tcW w:w="1134" w:type="dxa"/>
          </w:tcPr>
          <w:p w14:paraId="2C0ADBEC" w14:textId="15DDB1D4" w:rsidR="0043203B" w:rsidRPr="005D3354" w:rsidRDefault="00C97CAA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37A3C1A1" w14:textId="1F83E7AF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1985" w:type="dxa"/>
            <w:shd w:val="clear" w:color="auto" w:fill="auto"/>
          </w:tcPr>
          <w:p w14:paraId="20480F9D" w14:textId="77777777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5D3354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D3354">
        <w:rPr>
          <w:lang w:val="ru-RU"/>
        </w:rPr>
        <w:tab/>
      </w:r>
      <w:proofErr w:type="spellStart"/>
      <w:r w:rsidRPr="005D3354">
        <w:rPr>
          <w:lang w:val="ru-RU"/>
        </w:rPr>
        <w:t>Лвандо</w:t>
      </w:r>
      <w:proofErr w:type="spellEnd"/>
      <w:r w:rsidRPr="005D3354">
        <w:rPr>
          <w:lang w:val="ru-RU"/>
        </w:rPr>
        <w:t xml:space="preserve"> ББУКУ</w:t>
      </w:r>
      <w:r w:rsidRPr="005D3354">
        <w:rPr>
          <w:lang w:val="ru-RU"/>
        </w:rPr>
        <w:br/>
      </w:r>
      <w:r w:rsidRPr="005D3354">
        <w:rPr>
          <w:lang w:val="ru-RU"/>
        </w:rPr>
        <w:tab/>
        <w:t>Председатель</w:t>
      </w:r>
    </w:p>
    <w:sectPr w:rsidR="002D2F57" w:rsidRPr="005D3354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38BB" w14:textId="77777777" w:rsidR="00A62427" w:rsidRDefault="00A62427">
      <w:r>
        <w:separator/>
      </w:r>
    </w:p>
  </w:endnote>
  <w:endnote w:type="continuationSeparator" w:id="0">
    <w:p w14:paraId="439A83FB" w14:textId="77777777" w:rsidR="00A62427" w:rsidRDefault="00A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32BDBECC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35503">
      <w:t>24.12.20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14CBE5C2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97CAA">
      <w:rPr>
        <w:lang w:val="en-US"/>
      </w:rPr>
      <w:t>P:\RUS\SG\CONSEIL\EG-ITR\EG-ITR-4\000\001REV1R.docx</w:t>
    </w:r>
    <w:r>
      <w:fldChar w:fldCharType="end"/>
    </w:r>
    <w:r w:rsidR="000E568E" w:rsidRPr="003F099E">
      <w:rPr>
        <w:lang w:val="en-US"/>
      </w:rPr>
      <w:t xml:space="preserve"> (</w:t>
    </w:r>
    <w:r w:rsidR="00C97CAA" w:rsidRPr="00C97CAA">
      <w:rPr>
        <w:lang w:val="en-GB"/>
      </w:rPr>
      <w:t>482149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FE6F4" w14:textId="77777777" w:rsidR="00A62427" w:rsidRDefault="00A62427">
      <w:r>
        <w:t>____________________</w:t>
      </w:r>
    </w:p>
  </w:footnote>
  <w:footnote w:type="continuationSeparator" w:id="0">
    <w:p w14:paraId="11742475" w14:textId="77777777" w:rsidR="00A62427" w:rsidRDefault="00A6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E2183"/>
    <w:rsid w:val="00327D3A"/>
    <w:rsid w:val="00363962"/>
    <w:rsid w:val="003C36CC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62427"/>
    <w:rsid w:val="00A71773"/>
    <w:rsid w:val="00AC6D9B"/>
    <w:rsid w:val="00AE2C85"/>
    <w:rsid w:val="00B12A37"/>
    <w:rsid w:val="00B63EF2"/>
    <w:rsid w:val="00BC0D39"/>
    <w:rsid w:val="00BC7BC0"/>
    <w:rsid w:val="00BD2837"/>
    <w:rsid w:val="00BD57B7"/>
    <w:rsid w:val="00BE63E2"/>
    <w:rsid w:val="00C35503"/>
    <w:rsid w:val="00C73AFE"/>
    <w:rsid w:val="00C97CAA"/>
    <w:rsid w:val="00CD2009"/>
    <w:rsid w:val="00CF629C"/>
    <w:rsid w:val="00D863F9"/>
    <w:rsid w:val="00D92EEA"/>
    <w:rsid w:val="00DA5D4E"/>
    <w:rsid w:val="00DC6CE2"/>
    <w:rsid w:val="00DF41FB"/>
    <w:rsid w:val="00E176BA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4-C-0002/en" TargetMode="External"/><Relationship Id="rId13" Type="http://schemas.openxmlformats.org/officeDocument/2006/relationships/hyperlink" Target="https://www.itu.int/md/S21-EGITR4-C-0007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EGITR4-C-0006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EGITR4-C-00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4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EGITR4-C-0003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11</TotalTime>
  <Pages>1</Pages>
  <Words>142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Russian</cp:lastModifiedBy>
  <cp:revision>3</cp:revision>
  <cp:lastPrinted>2006-03-28T16:12:00Z</cp:lastPrinted>
  <dcterms:created xsi:type="dcterms:W3CDTF">2021-01-29T16:50:00Z</dcterms:created>
  <dcterms:modified xsi:type="dcterms:W3CDTF">2021-01-29T17:03:00Z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