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F84B53" w14:paraId="09CB2167" w14:textId="77777777" w:rsidTr="00F261AC">
        <w:trPr>
          <w:cantSplit/>
        </w:trPr>
        <w:tc>
          <w:tcPr>
            <w:tcW w:w="6629" w:type="dxa"/>
            <w:vAlign w:val="center"/>
          </w:tcPr>
          <w:p w14:paraId="515AA65B" w14:textId="77777777" w:rsidR="00DF4EDF" w:rsidRPr="00F84B53" w:rsidRDefault="00D21377" w:rsidP="00F261AC">
            <w:pPr>
              <w:overflowPunct/>
              <w:autoSpaceDE/>
              <w:autoSpaceDN/>
              <w:snapToGrid w:val="0"/>
              <w:spacing w:before="0"/>
              <w:textAlignment w:val="auto"/>
              <w:rPr>
                <w:rFonts w:eastAsia="Calibri" w:cs="Calibri"/>
                <w:color w:val="000000"/>
                <w:szCs w:val="24"/>
              </w:rPr>
            </w:pPr>
            <w:r w:rsidRPr="00F84B53">
              <w:rPr>
                <w:rFonts w:cs="Times"/>
                <w:b/>
                <w:sz w:val="32"/>
                <w:szCs w:val="32"/>
              </w:rPr>
              <w:t>Expert Group on the International</w:t>
            </w:r>
            <w:r w:rsidRPr="00F84B53">
              <w:rPr>
                <w:rFonts w:cs="Times"/>
                <w:b/>
                <w:sz w:val="32"/>
                <w:szCs w:val="32"/>
              </w:rPr>
              <w:br/>
              <w:t>Telecommunication Regulations (EG-ITRs)</w:t>
            </w:r>
          </w:p>
        </w:tc>
        <w:tc>
          <w:tcPr>
            <w:tcW w:w="3544" w:type="dxa"/>
          </w:tcPr>
          <w:p w14:paraId="1DACD098" w14:textId="77777777" w:rsidR="00DF4EDF" w:rsidRPr="00F84B53" w:rsidRDefault="00D21377" w:rsidP="00322D20">
            <w:pPr>
              <w:spacing w:before="0"/>
            </w:pPr>
            <w:bookmarkStart w:id="0" w:name="ditulogo"/>
            <w:bookmarkEnd w:id="0"/>
            <w:r w:rsidRPr="00F84B53">
              <w:rPr>
                <w:noProof/>
              </w:rPr>
              <w:drawing>
                <wp:inline distT="0" distB="0" distL="0" distR="0" wp14:anchorId="2E06A75B" wp14:editId="504F0A60">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DF4EDF" w:rsidRPr="00F84B53" w14:paraId="37886E84" w14:textId="77777777" w:rsidTr="00F261AC">
        <w:trPr>
          <w:cantSplit/>
        </w:trPr>
        <w:tc>
          <w:tcPr>
            <w:tcW w:w="6629" w:type="dxa"/>
            <w:tcBorders>
              <w:bottom w:val="single" w:sz="12" w:space="0" w:color="auto"/>
            </w:tcBorders>
          </w:tcPr>
          <w:p w14:paraId="50CD1926" w14:textId="76029686" w:rsidR="00DF4EDF" w:rsidRPr="00F84B53" w:rsidRDefault="002F56C1" w:rsidP="00322D20">
            <w:pPr>
              <w:overflowPunct/>
              <w:autoSpaceDE/>
              <w:autoSpaceDN/>
              <w:adjustRightInd/>
              <w:spacing w:before="0"/>
              <w:textAlignment w:val="auto"/>
              <w:rPr>
                <w:rFonts w:eastAsia="Calibri" w:cs="Calibri"/>
                <w:color w:val="000000"/>
                <w:szCs w:val="24"/>
              </w:rPr>
            </w:pPr>
            <w:r w:rsidRPr="00F84B53">
              <w:rPr>
                <w:b/>
                <w:bCs/>
                <w:szCs w:val="40"/>
              </w:rPr>
              <w:t>Fourth</w:t>
            </w:r>
            <w:r w:rsidR="00322D20" w:rsidRPr="00F84B53">
              <w:rPr>
                <w:b/>
                <w:bCs/>
                <w:szCs w:val="40"/>
              </w:rPr>
              <w:t xml:space="preserve"> meeting</w:t>
            </w:r>
            <w:r w:rsidR="00FF58DA" w:rsidRPr="00F84B53">
              <w:rPr>
                <w:b/>
                <w:bCs/>
                <w:szCs w:val="40"/>
              </w:rPr>
              <w:t xml:space="preserve"> (virtual)</w:t>
            </w:r>
            <w:r w:rsidR="00322D20" w:rsidRPr="00F84B53">
              <w:rPr>
                <w:b/>
                <w:bCs/>
                <w:szCs w:val="40"/>
              </w:rPr>
              <w:t xml:space="preserve"> - </w:t>
            </w:r>
            <w:r w:rsidRPr="00F84B53">
              <w:rPr>
                <w:b/>
                <w:bCs/>
                <w:szCs w:val="40"/>
              </w:rPr>
              <w:t>3-4 February</w:t>
            </w:r>
            <w:r w:rsidR="00322D20" w:rsidRPr="00F84B53">
              <w:rPr>
                <w:b/>
                <w:bCs/>
                <w:szCs w:val="40"/>
              </w:rPr>
              <w:t xml:space="preserve"> 202</w:t>
            </w:r>
            <w:r w:rsidRPr="00F84B53">
              <w:rPr>
                <w:b/>
                <w:bCs/>
                <w:szCs w:val="40"/>
              </w:rPr>
              <w:t>1</w:t>
            </w:r>
          </w:p>
        </w:tc>
        <w:tc>
          <w:tcPr>
            <w:tcW w:w="3544" w:type="dxa"/>
            <w:tcBorders>
              <w:bottom w:val="single" w:sz="12" w:space="0" w:color="auto"/>
            </w:tcBorders>
          </w:tcPr>
          <w:p w14:paraId="674AB180" w14:textId="77777777" w:rsidR="00DF4EDF" w:rsidRPr="00F84B53" w:rsidRDefault="00DF4EDF" w:rsidP="00F261AC">
            <w:pPr>
              <w:spacing w:before="0"/>
              <w:rPr>
                <w:szCs w:val="24"/>
              </w:rPr>
            </w:pPr>
          </w:p>
        </w:tc>
      </w:tr>
      <w:tr w:rsidR="00DF4EDF" w:rsidRPr="00F84B53" w14:paraId="2D61226E" w14:textId="77777777" w:rsidTr="00F261AC">
        <w:trPr>
          <w:cantSplit/>
        </w:trPr>
        <w:tc>
          <w:tcPr>
            <w:tcW w:w="6629" w:type="dxa"/>
            <w:tcBorders>
              <w:top w:val="single" w:sz="12" w:space="0" w:color="auto"/>
            </w:tcBorders>
          </w:tcPr>
          <w:p w14:paraId="080490D4" w14:textId="77777777" w:rsidR="00DF4EDF" w:rsidRPr="00F84B53" w:rsidRDefault="00DF4EDF" w:rsidP="00F261AC">
            <w:pPr>
              <w:spacing w:before="0" w:after="48"/>
              <w:rPr>
                <w:b/>
                <w:smallCaps/>
                <w:szCs w:val="24"/>
              </w:rPr>
            </w:pPr>
          </w:p>
        </w:tc>
        <w:tc>
          <w:tcPr>
            <w:tcW w:w="3544" w:type="dxa"/>
            <w:tcBorders>
              <w:top w:val="single" w:sz="12" w:space="0" w:color="auto"/>
            </w:tcBorders>
          </w:tcPr>
          <w:p w14:paraId="3234C472" w14:textId="77777777" w:rsidR="00DF4EDF" w:rsidRPr="00F84B53" w:rsidRDefault="00DF4EDF" w:rsidP="00F261AC">
            <w:pPr>
              <w:spacing w:before="0"/>
              <w:rPr>
                <w:szCs w:val="24"/>
              </w:rPr>
            </w:pPr>
          </w:p>
        </w:tc>
      </w:tr>
      <w:tr w:rsidR="00DF4EDF" w:rsidRPr="00F84B53" w14:paraId="12E941A5" w14:textId="77777777" w:rsidTr="00F261AC">
        <w:trPr>
          <w:cantSplit/>
          <w:trHeight w:val="23"/>
        </w:trPr>
        <w:tc>
          <w:tcPr>
            <w:tcW w:w="6629" w:type="dxa"/>
            <w:vMerge w:val="restart"/>
          </w:tcPr>
          <w:p w14:paraId="0272A7B6" w14:textId="77777777" w:rsidR="00DF4EDF" w:rsidRPr="00F84B53" w:rsidRDefault="00DF4EDF" w:rsidP="00F261AC">
            <w:pPr>
              <w:tabs>
                <w:tab w:val="left" w:pos="851"/>
              </w:tabs>
              <w:rPr>
                <w:b/>
              </w:rPr>
            </w:pPr>
            <w:bookmarkStart w:id="1" w:name="dmeeting" w:colFirst="0" w:colLast="0"/>
            <w:bookmarkStart w:id="2" w:name="dnum" w:colFirst="1" w:colLast="1"/>
          </w:p>
        </w:tc>
        <w:tc>
          <w:tcPr>
            <w:tcW w:w="3544" w:type="dxa"/>
          </w:tcPr>
          <w:p w14:paraId="0398AB1E" w14:textId="61A1807A" w:rsidR="00DF4EDF" w:rsidRPr="00F84B53" w:rsidRDefault="00D21377" w:rsidP="00261B34">
            <w:pPr>
              <w:tabs>
                <w:tab w:val="left" w:pos="851"/>
              </w:tabs>
              <w:overflowPunct/>
              <w:autoSpaceDE/>
              <w:autoSpaceDN/>
              <w:adjustRightInd/>
              <w:spacing w:before="0"/>
              <w:textAlignment w:val="auto"/>
              <w:rPr>
                <w:rFonts w:eastAsia="Calibri" w:cs="Calibri"/>
                <w:color w:val="000000"/>
                <w:szCs w:val="24"/>
              </w:rPr>
            </w:pPr>
            <w:r w:rsidRPr="00F84B53">
              <w:rPr>
                <w:b/>
                <w:bCs/>
                <w:szCs w:val="24"/>
              </w:rPr>
              <w:t>Document EG-ITRs-</w:t>
            </w:r>
            <w:r w:rsidR="002F56C1" w:rsidRPr="00F84B53">
              <w:rPr>
                <w:b/>
                <w:bCs/>
                <w:szCs w:val="24"/>
              </w:rPr>
              <w:t>4</w:t>
            </w:r>
            <w:r w:rsidR="00425BD1" w:rsidRPr="00F84B53">
              <w:rPr>
                <w:b/>
                <w:bCs/>
                <w:szCs w:val="24"/>
              </w:rPr>
              <w:t>/</w:t>
            </w:r>
            <w:r w:rsidR="002F56C1" w:rsidRPr="00F84B53">
              <w:rPr>
                <w:b/>
                <w:bCs/>
                <w:szCs w:val="24"/>
              </w:rPr>
              <w:t>2</w:t>
            </w:r>
            <w:r w:rsidRPr="00F84B53">
              <w:rPr>
                <w:b/>
                <w:bCs/>
                <w:szCs w:val="24"/>
              </w:rPr>
              <w:t>-E</w:t>
            </w:r>
          </w:p>
        </w:tc>
      </w:tr>
      <w:tr w:rsidR="00DF4EDF" w:rsidRPr="00F84B53" w14:paraId="0A7D9314" w14:textId="77777777" w:rsidTr="00F261AC">
        <w:trPr>
          <w:cantSplit/>
          <w:trHeight w:val="23"/>
        </w:trPr>
        <w:tc>
          <w:tcPr>
            <w:tcW w:w="6629" w:type="dxa"/>
            <w:vMerge/>
          </w:tcPr>
          <w:p w14:paraId="198813B4" w14:textId="77777777" w:rsidR="00DF4EDF" w:rsidRPr="00F84B53" w:rsidRDefault="00DF4EDF" w:rsidP="00F261AC">
            <w:pPr>
              <w:tabs>
                <w:tab w:val="left" w:pos="851"/>
              </w:tabs>
              <w:rPr>
                <w:b/>
              </w:rPr>
            </w:pPr>
            <w:bookmarkStart w:id="3" w:name="ddate" w:colFirst="1" w:colLast="1"/>
            <w:bookmarkEnd w:id="1"/>
            <w:bookmarkEnd w:id="2"/>
          </w:p>
        </w:tc>
        <w:tc>
          <w:tcPr>
            <w:tcW w:w="3544" w:type="dxa"/>
          </w:tcPr>
          <w:p w14:paraId="14689089" w14:textId="70004C9F" w:rsidR="00DF4EDF" w:rsidRPr="00F84B53" w:rsidRDefault="002F56C1" w:rsidP="00D21377">
            <w:pPr>
              <w:tabs>
                <w:tab w:val="left" w:pos="993"/>
              </w:tabs>
              <w:overflowPunct/>
              <w:autoSpaceDE/>
              <w:autoSpaceDN/>
              <w:adjustRightInd/>
              <w:spacing w:before="0"/>
              <w:textAlignment w:val="auto"/>
              <w:rPr>
                <w:rFonts w:eastAsia="Calibri" w:cs="Calibri"/>
                <w:color w:val="000000"/>
                <w:szCs w:val="24"/>
              </w:rPr>
            </w:pPr>
            <w:r w:rsidRPr="00F84B53">
              <w:rPr>
                <w:rFonts w:eastAsia="Calibri" w:cs="Calibri"/>
                <w:b/>
                <w:color w:val="000000"/>
                <w:szCs w:val="24"/>
              </w:rPr>
              <w:t>14 January</w:t>
            </w:r>
            <w:r w:rsidR="00DF4EDF" w:rsidRPr="00F84B53">
              <w:rPr>
                <w:rFonts w:eastAsia="Calibri" w:cs="Calibri"/>
                <w:b/>
                <w:color w:val="000000"/>
                <w:szCs w:val="24"/>
              </w:rPr>
              <w:t xml:space="preserve"> 20</w:t>
            </w:r>
            <w:r w:rsidR="00322D20" w:rsidRPr="00F84B53">
              <w:rPr>
                <w:rFonts w:eastAsia="Calibri" w:cs="Calibri"/>
                <w:b/>
                <w:color w:val="000000"/>
                <w:szCs w:val="24"/>
              </w:rPr>
              <w:t>2</w:t>
            </w:r>
            <w:r w:rsidRPr="00F84B53">
              <w:rPr>
                <w:rFonts w:eastAsia="Calibri" w:cs="Calibri"/>
                <w:b/>
                <w:color w:val="000000"/>
                <w:szCs w:val="24"/>
              </w:rPr>
              <w:t>1</w:t>
            </w:r>
          </w:p>
        </w:tc>
      </w:tr>
      <w:tr w:rsidR="00DF4EDF" w:rsidRPr="00F84B53" w14:paraId="70FDE904" w14:textId="77777777" w:rsidTr="00F261AC">
        <w:trPr>
          <w:cantSplit/>
          <w:trHeight w:val="23"/>
        </w:trPr>
        <w:tc>
          <w:tcPr>
            <w:tcW w:w="6629" w:type="dxa"/>
            <w:vMerge/>
          </w:tcPr>
          <w:p w14:paraId="0E80240C" w14:textId="77777777" w:rsidR="00DF4EDF" w:rsidRPr="00F84B53" w:rsidRDefault="00DF4EDF" w:rsidP="00F261AC">
            <w:pPr>
              <w:tabs>
                <w:tab w:val="left" w:pos="851"/>
              </w:tabs>
              <w:rPr>
                <w:b/>
              </w:rPr>
            </w:pPr>
            <w:bookmarkStart w:id="4" w:name="dorlang" w:colFirst="1" w:colLast="1"/>
            <w:bookmarkEnd w:id="3"/>
          </w:p>
        </w:tc>
        <w:tc>
          <w:tcPr>
            <w:tcW w:w="3544" w:type="dxa"/>
          </w:tcPr>
          <w:p w14:paraId="64F39DE9" w14:textId="039952B3" w:rsidR="00DF4EDF" w:rsidRPr="00F84B53" w:rsidRDefault="00DF4EDF" w:rsidP="00F261AC">
            <w:pPr>
              <w:tabs>
                <w:tab w:val="left" w:pos="993"/>
              </w:tabs>
              <w:overflowPunct/>
              <w:autoSpaceDE/>
              <w:autoSpaceDN/>
              <w:adjustRightInd/>
              <w:spacing w:before="0"/>
              <w:textAlignment w:val="auto"/>
              <w:rPr>
                <w:rFonts w:eastAsia="Calibri" w:cs="Calibri"/>
                <w:color w:val="000000"/>
                <w:szCs w:val="24"/>
              </w:rPr>
            </w:pPr>
            <w:r w:rsidRPr="00F84B53">
              <w:rPr>
                <w:rFonts w:eastAsia="Calibri" w:cs="Calibri"/>
                <w:b/>
                <w:color w:val="000000"/>
                <w:szCs w:val="24"/>
              </w:rPr>
              <w:t xml:space="preserve">Original: </w:t>
            </w:r>
            <w:r w:rsidR="00E0324A" w:rsidRPr="00F84B53">
              <w:rPr>
                <w:b/>
                <w:szCs w:val="24"/>
              </w:rPr>
              <w:t>Russian</w:t>
            </w:r>
          </w:p>
        </w:tc>
      </w:tr>
      <w:tr w:rsidR="00DF4EDF" w:rsidRPr="00F84B53" w14:paraId="7769E1FC" w14:textId="77777777" w:rsidTr="00F261AC">
        <w:trPr>
          <w:cantSplit/>
        </w:trPr>
        <w:tc>
          <w:tcPr>
            <w:tcW w:w="10173" w:type="dxa"/>
            <w:gridSpan w:val="2"/>
          </w:tcPr>
          <w:p w14:paraId="57E1403A" w14:textId="6D40A443" w:rsidR="00DF4EDF" w:rsidRPr="00F84B53" w:rsidRDefault="00E0324A" w:rsidP="00F261AC">
            <w:pPr>
              <w:pStyle w:val="Source"/>
            </w:pPr>
            <w:bookmarkStart w:id="5" w:name="dsource" w:colFirst="0" w:colLast="0"/>
            <w:bookmarkEnd w:id="4"/>
            <w:r w:rsidRPr="00F84B53">
              <w:t>Russian Federation</w:t>
            </w:r>
          </w:p>
        </w:tc>
      </w:tr>
      <w:tr w:rsidR="00DF4EDF" w:rsidRPr="00F84B53" w14:paraId="5041494A" w14:textId="77777777" w:rsidTr="00F261AC">
        <w:trPr>
          <w:cantSplit/>
        </w:trPr>
        <w:tc>
          <w:tcPr>
            <w:tcW w:w="10173" w:type="dxa"/>
            <w:gridSpan w:val="2"/>
          </w:tcPr>
          <w:p w14:paraId="340F767C" w14:textId="4D999255" w:rsidR="00DF4EDF" w:rsidRPr="00F84B53" w:rsidRDefault="00E0324A" w:rsidP="00273301">
            <w:pPr>
              <w:pStyle w:val="Title1"/>
            </w:pPr>
            <w:bookmarkStart w:id="6" w:name="dtitle1" w:colFirst="0" w:colLast="0"/>
            <w:bookmarkEnd w:id="5"/>
            <w:r w:rsidRPr="00F84B53">
              <w:rPr>
                <w:rFonts w:asciiTheme="minorHAnsi" w:hAnsiTheme="minorHAnsi"/>
                <w:bCs/>
                <w:szCs w:val="24"/>
              </w:rPr>
              <w:t xml:space="preserve">PROVISION-by-PROVISION examination of sections of the international telecommunication regulations at the </w:t>
            </w:r>
            <w:r w:rsidR="002F56C1" w:rsidRPr="00F84B53">
              <w:rPr>
                <w:rFonts w:asciiTheme="minorHAnsi" w:hAnsiTheme="minorHAnsi"/>
                <w:bCs/>
                <w:szCs w:val="24"/>
              </w:rPr>
              <w:t>fourth</w:t>
            </w:r>
            <w:r w:rsidRPr="00F84B53">
              <w:rPr>
                <w:rFonts w:asciiTheme="minorHAnsi" w:hAnsiTheme="minorHAnsi"/>
                <w:bCs/>
                <w:szCs w:val="24"/>
              </w:rPr>
              <w:t xml:space="preserve"> meeting of EG-itr</w:t>
            </w:r>
            <w:r w:rsidR="00F84B53" w:rsidRPr="00F84B53">
              <w:rPr>
                <w:rFonts w:asciiTheme="minorHAnsi" w:hAnsiTheme="minorHAnsi"/>
                <w:bCs/>
                <w:caps w:val="0"/>
                <w:szCs w:val="24"/>
              </w:rPr>
              <w:t>s</w:t>
            </w:r>
            <w:r w:rsidRPr="00F84B53">
              <w:rPr>
                <w:rFonts w:asciiTheme="minorHAnsi" w:hAnsiTheme="minorHAnsi"/>
                <w:bCs/>
                <w:szCs w:val="24"/>
              </w:rPr>
              <w:t xml:space="preserve"> in accordance with the work plan adopted at the first meeting</w:t>
            </w:r>
            <w:r w:rsidR="00FF58DA" w:rsidRPr="00F84B53">
              <w:rPr>
                <w:rFonts w:asciiTheme="minorHAnsi" w:hAnsiTheme="minorHAnsi"/>
                <w:bCs/>
                <w:szCs w:val="24"/>
              </w:rPr>
              <w:t xml:space="preserve"> OF THE GROUP</w:t>
            </w:r>
          </w:p>
        </w:tc>
      </w:tr>
    </w:tbl>
    <w:bookmarkEnd w:id="6"/>
    <w:p w14:paraId="160ADA92" w14:textId="77777777" w:rsidR="00E0324A" w:rsidRPr="00F84B53" w:rsidRDefault="00E0324A" w:rsidP="00E0324A">
      <w:pPr>
        <w:pStyle w:val="Heading1"/>
      </w:pPr>
      <w:r w:rsidRPr="00F84B53">
        <w:t>1</w:t>
      </w:r>
      <w:r w:rsidRPr="00F84B53">
        <w:tab/>
        <w:t>Introduction</w:t>
      </w:r>
    </w:p>
    <w:p w14:paraId="396FCB9C" w14:textId="2483BC51" w:rsidR="00E0324A" w:rsidRPr="00F84B53" w:rsidRDefault="00E0324A" w:rsidP="00616A01">
      <w:r w:rsidRPr="00F84B53">
        <w:t>The first meeting of EG-ITRs agreed on a work plan for the Expert Group and approved a template for the provision-by-provision examination of the ITRs.</w:t>
      </w:r>
    </w:p>
    <w:p w14:paraId="10E2FED6" w14:textId="3F1C2201" w:rsidR="00E0324A" w:rsidRPr="00F84B53" w:rsidRDefault="00E0324A" w:rsidP="00616A01">
      <w:r w:rsidRPr="00F84B53">
        <w:t>In accordance with the work plan adopted</w:t>
      </w:r>
      <w:r w:rsidR="009169A9" w:rsidRPr="00F84B53">
        <w:t xml:space="preserve"> at the first meeting</w:t>
      </w:r>
      <w:r w:rsidRPr="00F84B53">
        <w:t xml:space="preserve">, the </w:t>
      </w:r>
      <w:r w:rsidR="002F56C1" w:rsidRPr="00F84B53">
        <w:t>fourth</w:t>
      </w:r>
      <w:r w:rsidRPr="00F84B53">
        <w:t xml:space="preserve"> meeting of EG-ITRs should conduct an analysis of the following sections of the ITRs:</w:t>
      </w:r>
    </w:p>
    <w:p w14:paraId="778489F7" w14:textId="49014ECD" w:rsidR="00E0324A" w:rsidRPr="00F84B53" w:rsidRDefault="00E0324A" w:rsidP="00616A01">
      <w:pPr>
        <w:pStyle w:val="enumlev1"/>
      </w:pPr>
      <w:r w:rsidRPr="00F84B53">
        <w:t>–</w:t>
      </w:r>
      <w:r w:rsidRPr="00F84B53">
        <w:tab/>
        <w:t xml:space="preserve">Article </w:t>
      </w:r>
      <w:r w:rsidR="002F56C1" w:rsidRPr="00F84B53">
        <w:t>9</w:t>
      </w:r>
      <w:r w:rsidR="00616A01" w:rsidRPr="00F84B53">
        <w:t xml:space="preserve"> </w:t>
      </w:r>
      <w:r w:rsidR="008D463F" w:rsidRPr="00F84B53">
        <w:t xml:space="preserve">– </w:t>
      </w:r>
      <w:r w:rsidR="00694B07" w:rsidRPr="00F84B53">
        <w:t>Suspension of services</w:t>
      </w:r>
      <w:r w:rsidR="00616A01" w:rsidRPr="00F84B53">
        <w:t>;</w:t>
      </w:r>
    </w:p>
    <w:p w14:paraId="32ADB18E" w14:textId="6E9F1AED" w:rsidR="00E0324A" w:rsidRPr="00F84B53" w:rsidRDefault="00E0324A" w:rsidP="00616A01">
      <w:pPr>
        <w:pStyle w:val="enumlev1"/>
      </w:pPr>
      <w:r w:rsidRPr="00F84B53">
        <w:t>–</w:t>
      </w:r>
      <w:r w:rsidRPr="00F84B53">
        <w:tab/>
        <w:t xml:space="preserve">Article </w:t>
      </w:r>
      <w:r w:rsidR="002F56C1" w:rsidRPr="00F84B53">
        <w:t>10</w:t>
      </w:r>
      <w:r w:rsidR="00616A01" w:rsidRPr="00F84B53">
        <w:t xml:space="preserve"> </w:t>
      </w:r>
      <w:r w:rsidR="008D463F" w:rsidRPr="00F84B53">
        <w:t xml:space="preserve">– </w:t>
      </w:r>
      <w:r w:rsidR="00694B07" w:rsidRPr="00F84B53">
        <w:t>Dissemination of information</w:t>
      </w:r>
      <w:r w:rsidR="00616A01" w:rsidRPr="00F84B53">
        <w:t>;</w:t>
      </w:r>
    </w:p>
    <w:p w14:paraId="4C8172EC" w14:textId="65CFA0C1" w:rsidR="00E0324A" w:rsidRPr="00F84B53" w:rsidRDefault="00E0324A" w:rsidP="00616A01">
      <w:pPr>
        <w:pStyle w:val="enumlev1"/>
      </w:pPr>
      <w:r w:rsidRPr="00F84B53">
        <w:t>–</w:t>
      </w:r>
      <w:r w:rsidRPr="00F84B53">
        <w:tab/>
        <w:t xml:space="preserve">Article </w:t>
      </w:r>
      <w:r w:rsidR="002F56C1" w:rsidRPr="00F84B53">
        <w:t>11</w:t>
      </w:r>
      <w:r w:rsidR="00616A01" w:rsidRPr="00F84B53">
        <w:t xml:space="preserve"> </w:t>
      </w:r>
      <w:r w:rsidR="008D463F" w:rsidRPr="00F84B53">
        <w:t xml:space="preserve">– </w:t>
      </w:r>
      <w:r w:rsidR="00694B07" w:rsidRPr="00F84B53">
        <w:t>Energy efficiency/e-waste</w:t>
      </w:r>
      <w:r w:rsidR="00616A01" w:rsidRPr="00F84B53">
        <w:t>;</w:t>
      </w:r>
    </w:p>
    <w:p w14:paraId="176613C2" w14:textId="4AE7F7F4" w:rsidR="002F56C1" w:rsidRPr="00F84B53" w:rsidRDefault="002F56C1" w:rsidP="00616A01">
      <w:pPr>
        <w:pStyle w:val="enumlev1"/>
      </w:pPr>
      <w:r w:rsidRPr="00F84B53">
        <w:t>–</w:t>
      </w:r>
      <w:r w:rsidRPr="00F84B53">
        <w:tab/>
        <w:t>Article 12</w:t>
      </w:r>
      <w:r w:rsidR="00616A01" w:rsidRPr="00F84B53">
        <w:t xml:space="preserve"> </w:t>
      </w:r>
      <w:r w:rsidR="008D463F" w:rsidRPr="00F84B53">
        <w:t xml:space="preserve">– </w:t>
      </w:r>
      <w:r w:rsidR="00694B07" w:rsidRPr="00F84B53">
        <w:t>Accessibility</w:t>
      </w:r>
      <w:r w:rsidR="00616A01" w:rsidRPr="00F84B53">
        <w:t>;</w:t>
      </w:r>
    </w:p>
    <w:p w14:paraId="4210B5A5" w14:textId="2A762670" w:rsidR="002F56C1" w:rsidRPr="00F84B53" w:rsidRDefault="002F56C1" w:rsidP="00616A01">
      <w:pPr>
        <w:pStyle w:val="enumlev1"/>
      </w:pPr>
      <w:r w:rsidRPr="00F84B53">
        <w:t>–</w:t>
      </w:r>
      <w:r w:rsidRPr="00F84B53">
        <w:tab/>
        <w:t>Article 13</w:t>
      </w:r>
      <w:r w:rsidR="00616A01" w:rsidRPr="00F84B53">
        <w:t xml:space="preserve"> </w:t>
      </w:r>
      <w:r w:rsidR="008D463F" w:rsidRPr="00F84B53">
        <w:t xml:space="preserve">– </w:t>
      </w:r>
      <w:r w:rsidR="00694B07" w:rsidRPr="00F84B53">
        <w:t>Special arrangements</w:t>
      </w:r>
      <w:r w:rsidR="00616A01" w:rsidRPr="00F84B53">
        <w:t>;</w:t>
      </w:r>
    </w:p>
    <w:p w14:paraId="16154F50" w14:textId="42DFFDF4" w:rsidR="002F56C1" w:rsidRPr="00F84B53" w:rsidRDefault="002F56C1" w:rsidP="00616A01">
      <w:pPr>
        <w:pStyle w:val="enumlev1"/>
      </w:pPr>
      <w:r w:rsidRPr="00F84B53">
        <w:t>–</w:t>
      </w:r>
      <w:r w:rsidRPr="00F84B53">
        <w:tab/>
        <w:t>Article 14</w:t>
      </w:r>
      <w:r w:rsidR="00616A01" w:rsidRPr="00F84B53">
        <w:t xml:space="preserve"> </w:t>
      </w:r>
      <w:r w:rsidR="008D463F" w:rsidRPr="00F84B53">
        <w:t xml:space="preserve">– </w:t>
      </w:r>
      <w:r w:rsidR="00694B07" w:rsidRPr="00F84B53">
        <w:t>Final provisions</w:t>
      </w:r>
      <w:r w:rsidR="00616A01" w:rsidRPr="00F84B53">
        <w:t>;</w:t>
      </w:r>
    </w:p>
    <w:p w14:paraId="02151F7E" w14:textId="72226220" w:rsidR="009169A9" w:rsidRPr="00F84B53" w:rsidRDefault="009169A9" w:rsidP="00616A01">
      <w:pPr>
        <w:pStyle w:val="enumlev1"/>
      </w:pPr>
      <w:r w:rsidRPr="00F84B53">
        <w:t>–</w:t>
      </w:r>
      <w:r w:rsidRPr="00F84B53">
        <w:tab/>
        <w:t xml:space="preserve">Appendix </w:t>
      </w:r>
      <w:r w:rsidR="002F56C1" w:rsidRPr="00F84B53">
        <w:t>2</w:t>
      </w:r>
      <w:r w:rsidR="00616A01" w:rsidRPr="00F84B53">
        <w:t xml:space="preserve"> </w:t>
      </w:r>
      <w:r w:rsidR="008D463F" w:rsidRPr="00F84B53">
        <w:t xml:space="preserve">– </w:t>
      </w:r>
      <w:r w:rsidR="00694B07" w:rsidRPr="00F84B53">
        <w:t>Additional</w:t>
      </w:r>
      <w:r w:rsidRPr="00F84B53">
        <w:t xml:space="preserve"> provisions </w:t>
      </w:r>
      <w:r w:rsidR="00694B07" w:rsidRPr="00F84B53">
        <w:t>relating to maritime telecommunications</w:t>
      </w:r>
      <w:r w:rsidR="00616A01" w:rsidRPr="00F84B53">
        <w:t>.</w:t>
      </w:r>
    </w:p>
    <w:p w14:paraId="58B357E5" w14:textId="5B03D589" w:rsidR="00E0324A" w:rsidRPr="00F84B53" w:rsidRDefault="00E0324A" w:rsidP="00616A01">
      <w:r w:rsidRPr="00F84B53">
        <w:t xml:space="preserve">The position of the Russian Federation on the provisions of the ITRs to be examined at the </w:t>
      </w:r>
      <w:r w:rsidR="006E5197" w:rsidRPr="00F84B53">
        <w:t>fourth</w:t>
      </w:r>
      <w:r w:rsidRPr="00F84B53">
        <w:t xml:space="preserve"> meeting of EG-ITRs is detailed in Table 1 below.</w:t>
      </w:r>
    </w:p>
    <w:p w14:paraId="733FCAD3" w14:textId="3AFE8CE9" w:rsidR="00E0324A" w:rsidRPr="00F84B53" w:rsidRDefault="00F80680" w:rsidP="00616A01">
      <w:r w:rsidRPr="00F84B53">
        <w:t>The Russian Federation notes that</w:t>
      </w:r>
      <w:r w:rsidR="00E0324A" w:rsidRPr="00F84B53">
        <w:t xml:space="preserve"> the 1988 ITRs </w:t>
      </w:r>
      <w:r w:rsidR="005936B9" w:rsidRPr="00F84B53">
        <w:t>do not accommodate</w:t>
      </w:r>
      <w:r w:rsidR="00E0324A" w:rsidRPr="00F84B53">
        <w:t xml:space="preserve"> the changes that have occurred in the telecommunication/ICT ecosystem since 1988. Furthermore, the 1988 ITRs use terminology that is not in keeping with the </w:t>
      </w:r>
      <w:r w:rsidR="009169A9" w:rsidRPr="00F84B53">
        <w:t>current</w:t>
      </w:r>
      <w:r w:rsidR="00443834" w:rsidRPr="00F84B53">
        <w:t xml:space="preserve"> provisions of the</w:t>
      </w:r>
      <w:r w:rsidR="009169A9" w:rsidRPr="00F84B53">
        <w:t xml:space="preserve"> </w:t>
      </w:r>
      <w:r w:rsidR="00E0324A" w:rsidRPr="00F84B53">
        <w:t>ITU Constitution</w:t>
      </w:r>
      <w:r w:rsidRPr="00F84B53">
        <w:t>,</w:t>
      </w:r>
      <w:r w:rsidR="00E0324A" w:rsidRPr="00F84B53">
        <w:t xml:space="preserve"> Convention </w:t>
      </w:r>
      <w:r w:rsidRPr="00F84B53">
        <w:t xml:space="preserve">and </w:t>
      </w:r>
      <w:r w:rsidR="005936B9" w:rsidRPr="00F84B53">
        <w:t>P</w:t>
      </w:r>
      <w:r w:rsidRPr="00F84B53">
        <w:t xml:space="preserve">lenipotentiary </w:t>
      </w:r>
      <w:r w:rsidR="005936B9" w:rsidRPr="00F84B53">
        <w:t>C</w:t>
      </w:r>
      <w:r w:rsidRPr="00F84B53">
        <w:t xml:space="preserve">onference resolutions, </w:t>
      </w:r>
      <w:r w:rsidR="00E0324A" w:rsidRPr="00F84B53">
        <w:t xml:space="preserve">as well as outdated terms, leading to misunderstandings and/or errors in the application of the </w:t>
      </w:r>
      <w:r w:rsidRPr="00F84B53">
        <w:t>1988 ITRs</w:t>
      </w:r>
      <w:r w:rsidR="00E0324A" w:rsidRPr="00F84B53">
        <w:t>.</w:t>
      </w:r>
    </w:p>
    <w:p w14:paraId="4BE0DC83" w14:textId="518B422A" w:rsidR="00E7730A" w:rsidRPr="00F84B53" w:rsidRDefault="00F80680" w:rsidP="00616A01">
      <w:r w:rsidRPr="00F84B53">
        <w:t xml:space="preserve">In addition to </w:t>
      </w:r>
      <w:r w:rsidR="005936B9" w:rsidRPr="00F84B53">
        <w:t>accommodating</w:t>
      </w:r>
      <w:r w:rsidRPr="00F84B53">
        <w:t xml:space="preserve"> the changes in the telecommunication/ICT ecosystem, in particular the shift from </w:t>
      </w:r>
      <w:r w:rsidR="00A21ED4" w:rsidRPr="00F84B53">
        <w:t xml:space="preserve">largely </w:t>
      </w:r>
      <w:r w:rsidR="008230BA" w:rsidRPr="00F84B53">
        <w:t xml:space="preserve">public </w:t>
      </w:r>
      <w:r w:rsidRPr="00F84B53">
        <w:t>to private ownership and control of telecommunication/ICT systems and networks, as well as other changes to have occurred since 1988, the 2012 ITRs</w:t>
      </w:r>
      <w:r w:rsidR="008230BA" w:rsidRPr="00F84B53">
        <w:t xml:space="preserve"> respond to many </w:t>
      </w:r>
      <w:r w:rsidR="00925E53" w:rsidRPr="00F84B53">
        <w:t>of today’s</w:t>
      </w:r>
      <w:r w:rsidR="008230BA" w:rsidRPr="00F84B53">
        <w:t xml:space="preserve"> challenges </w:t>
      </w:r>
      <w:r w:rsidR="00925E53" w:rsidRPr="00F84B53">
        <w:t>concerning</w:t>
      </w:r>
      <w:r w:rsidR="008230BA" w:rsidRPr="00F84B53">
        <w:t xml:space="preserve"> environmental protection (Article 11 – Energy efficiency/e-waste) and access to telecommunications/ICTs for persons with disabilities (Article 12 – Accessibility). These internationally accepted requirements reflect changes in the social and economic environment </w:t>
      </w:r>
      <w:r w:rsidR="00BC7E45" w:rsidRPr="00F84B53">
        <w:t>but are not provided for in any way by the provisions of the 1988 ITRs</w:t>
      </w:r>
      <w:r w:rsidR="00E7730A" w:rsidRPr="00F84B53">
        <w:t>.</w:t>
      </w:r>
    </w:p>
    <w:p w14:paraId="73A57857" w14:textId="2C1B4815" w:rsidR="00322D20" w:rsidRPr="00F84B53" w:rsidRDefault="00BC7E45" w:rsidP="008D463F">
      <w:r w:rsidRPr="00F84B53">
        <w:lastRenderedPageBreak/>
        <w:t xml:space="preserve">In the course of </w:t>
      </w:r>
      <w:r w:rsidR="00925E53" w:rsidRPr="00F84B53">
        <w:t xml:space="preserve">the </w:t>
      </w:r>
      <w:r w:rsidRPr="00F84B53">
        <w:t xml:space="preserve">further refinement of the ITRs, it would be useful to include in the text of the Regulations terms and/or provisions concerning different aspects of international regulation that will </w:t>
      </w:r>
      <w:r w:rsidR="00A21ED4" w:rsidRPr="00F84B53">
        <w:t xml:space="preserve">help to </w:t>
      </w:r>
      <w:r w:rsidRPr="00F84B53">
        <w:t>accelerate the development, implementation and use of telecommunications/ICTs, particularly in developing countries. It is imperative that the provisions of the ITRs contribute to the bridging of the digital divide, digital transformation, personal data and privacy protection, the use of telecommunications/ICTs in emergency situations, including pandemics, and SDG attainment</w:t>
      </w:r>
      <w:r w:rsidR="00E7730A" w:rsidRPr="00F84B53">
        <w:t>.</w:t>
      </w:r>
      <w:r w:rsidR="00734F6C" w:rsidRPr="00F84B53">
        <w:t xml:space="preserve"> The ITRs should facilitate the provision of universal services, reduction of roaming costs, curbing</w:t>
      </w:r>
      <w:r w:rsidR="00D56023" w:rsidRPr="00F84B53">
        <w:t xml:space="preserve"> of unsolicited telecommunication messages (including spam) and the implementation of major decisions from the Plenipotentiary Conference, World Radiocommunication Conference, Radiocommunication Assembly, World Telecommunication Standardization Assembly and World Telecommunication Development Conference. An extremely important objective of the ITRs is the building of confidence and security in the use of telecommunications/ICTs at the international level.</w:t>
      </w:r>
    </w:p>
    <w:p w14:paraId="2DA91B2E" w14:textId="77777777" w:rsidR="008D463F" w:rsidRPr="00F84B53" w:rsidRDefault="008D463F" w:rsidP="008D463F"/>
    <w:p w14:paraId="4024D508" w14:textId="77777777" w:rsidR="00D614B3" w:rsidRPr="00F84B53" w:rsidRDefault="00D614B3" w:rsidP="00E0324A">
      <w:pPr>
        <w:sectPr w:rsidR="00D614B3" w:rsidRPr="00F84B53"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14:paraId="0CDF6005" w14:textId="4EF55340" w:rsidR="00D614B3" w:rsidRPr="00F84B53" w:rsidRDefault="00D614B3" w:rsidP="00D614B3">
      <w:pPr>
        <w:pStyle w:val="TableNo"/>
      </w:pPr>
      <w:bookmarkStart w:id="7" w:name="lt_pId025"/>
      <w:r w:rsidRPr="00F84B53">
        <w:lastRenderedPageBreak/>
        <w:t>Table 1</w:t>
      </w:r>
      <w:bookmarkEnd w:id="7"/>
    </w:p>
    <w:p w14:paraId="5B07BA1D" w14:textId="527BCE0A" w:rsidR="00D40E7A" w:rsidRPr="00F84B53" w:rsidRDefault="00D40E7A" w:rsidP="00D40E7A">
      <w:pPr>
        <w:pStyle w:val="Tabletext"/>
      </w:pPr>
    </w:p>
    <w:tbl>
      <w:tblPr>
        <w:tblStyle w:val="TableGrid"/>
        <w:tblW w:w="14737" w:type="dxa"/>
        <w:jc w:val="center"/>
        <w:tblInd w:w="0" w:type="dxa"/>
        <w:tblLayout w:type="fixed"/>
        <w:tblCellMar>
          <w:left w:w="29" w:type="dxa"/>
          <w:right w:w="29" w:type="dxa"/>
        </w:tblCellMar>
        <w:tblLook w:val="04A0" w:firstRow="1" w:lastRow="0" w:firstColumn="1" w:lastColumn="0" w:noHBand="0" w:noVBand="1"/>
      </w:tblPr>
      <w:tblGrid>
        <w:gridCol w:w="988"/>
        <w:gridCol w:w="3543"/>
        <w:gridCol w:w="3402"/>
        <w:gridCol w:w="2232"/>
        <w:gridCol w:w="2163"/>
        <w:gridCol w:w="2409"/>
      </w:tblGrid>
      <w:tr w:rsidR="00D40E7A" w:rsidRPr="00F84B53" w14:paraId="6096E306" w14:textId="77777777" w:rsidTr="00F84B53">
        <w:trPr>
          <w:tblHeader/>
          <w:jc w:val="center"/>
        </w:trPr>
        <w:tc>
          <w:tcPr>
            <w:tcW w:w="988"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11ED5042" w14:textId="1F5AB028" w:rsidR="00D40E7A" w:rsidRPr="00F84B53" w:rsidRDefault="00B667C2" w:rsidP="00B0115C">
            <w:pPr>
              <w:pStyle w:val="Tablehead"/>
            </w:pPr>
            <w:bookmarkStart w:id="8" w:name="_Hlk50113064"/>
            <w:r w:rsidRPr="00F84B53">
              <w:t>2012 Article</w:t>
            </w: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582C9D56" w14:textId="29A398D9" w:rsidR="00D40E7A" w:rsidRPr="00F84B53" w:rsidRDefault="00B667C2" w:rsidP="00B0115C">
            <w:pPr>
              <w:pStyle w:val="Tablehead"/>
            </w:pPr>
            <w:r w:rsidRPr="00F84B53">
              <w:t>Sub-article and provision</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429CD046" w14:textId="6180F7DF" w:rsidR="00D40E7A" w:rsidRPr="00F84B53" w:rsidRDefault="00B667C2" w:rsidP="00B0115C">
            <w:pPr>
              <w:pStyle w:val="Tablehead"/>
            </w:pPr>
            <w:r w:rsidRPr="00F84B53">
              <w:t>Related 1988 sub-article and provision</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14EED3B7" w14:textId="08A45D84" w:rsidR="00D40E7A" w:rsidRPr="00F84B53" w:rsidRDefault="00B667C2" w:rsidP="00B0115C">
            <w:pPr>
              <w:pStyle w:val="Tablehead"/>
            </w:pPr>
            <w:r w:rsidRPr="00F84B53">
              <w:t>Applicability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293CD57E" w14:textId="2E209537" w:rsidR="00D40E7A" w:rsidRPr="00F84B53" w:rsidRDefault="00B667C2" w:rsidP="00B0115C">
            <w:pPr>
              <w:pStyle w:val="Tablehead"/>
            </w:pPr>
            <w:r w:rsidRPr="00F84B53">
              <w:t>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1DD71D97" w14:textId="0768950E" w:rsidR="00D40E7A" w:rsidRPr="00F84B53" w:rsidRDefault="00B667C2" w:rsidP="00B0115C">
            <w:pPr>
              <w:pStyle w:val="Tablehead"/>
            </w:pPr>
            <w:r w:rsidRPr="00F84B53">
              <w:t>Summary outcome</w:t>
            </w:r>
          </w:p>
        </w:tc>
      </w:tr>
      <w:tr w:rsidR="00D40E7A" w:rsidRPr="00F84B53" w14:paraId="55835B0C" w14:textId="77777777" w:rsidTr="00F84B53">
        <w:trPr>
          <w:jc w:val="center"/>
        </w:trPr>
        <w:tc>
          <w:tcPr>
            <w:tcW w:w="988" w:type="dxa"/>
            <w:vMerge w:val="restart"/>
            <w:tcBorders>
              <w:top w:val="single" w:sz="4" w:space="0" w:color="auto"/>
              <w:left w:val="single" w:sz="4" w:space="0" w:color="auto"/>
              <w:right w:val="single" w:sz="4" w:space="0" w:color="auto"/>
            </w:tcBorders>
            <w:noWrap/>
            <w:tcMar>
              <w:left w:w="85" w:type="dxa"/>
              <w:right w:w="85" w:type="dxa"/>
            </w:tcMar>
            <w:textDirection w:val="btLr"/>
            <w:vAlign w:val="center"/>
          </w:tcPr>
          <w:p w14:paraId="17904DBA" w14:textId="16185DF2" w:rsidR="00D40E7A" w:rsidRPr="00F84B53" w:rsidRDefault="00B667C2" w:rsidP="00B0115C">
            <w:pPr>
              <w:pStyle w:val="Tabletext"/>
              <w:jc w:val="center"/>
              <w:rPr>
                <w:rFonts w:asciiTheme="minorHAnsi" w:hAnsiTheme="minorHAnsi" w:cstheme="minorHAnsi"/>
                <w:b/>
                <w:szCs w:val="20"/>
              </w:rPr>
            </w:pPr>
            <w:bookmarkStart w:id="9" w:name="lt_pId047"/>
            <w:bookmarkStart w:id="10" w:name="_Hlk61592602"/>
            <w:bookmarkEnd w:id="8"/>
            <w:r w:rsidRPr="00F84B53">
              <w:rPr>
                <w:rFonts w:asciiTheme="minorHAnsi" w:hAnsiTheme="minorHAnsi" w:cstheme="minorHAnsi"/>
                <w:b/>
                <w:szCs w:val="20"/>
              </w:rPr>
              <w:t>ARTICLE</w:t>
            </w:r>
            <w:r w:rsidR="00D40E7A" w:rsidRPr="00F84B53">
              <w:rPr>
                <w:rFonts w:asciiTheme="minorHAnsi" w:hAnsiTheme="minorHAnsi" w:cstheme="minorHAnsi"/>
                <w:b/>
                <w:szCs w:val="20"/>
              </w:rPr>
              <w:t xml:space="preserve"> 9 − </w:t>
            </w:r>
            <w:bookmarkStart w:id="11" w:name="_Toc351558977"/>
            <w:r w:rsidRPr="00F84B53">
              <w:rPr>
                <w:b/>
              </w:rPr>
              <w:t>Suspension of services</w:t>
            </w:r>
            <w:bookmarkEnd w:id="9"/>
            <w:bookmarkEnd w:id="11"/>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36C2422" w14:textId="3509BCC8" w:rsidR="00D40E7A" w:rsidRPr="00F84B53" w:rsidRDefault="00D40E7A" w:rsidP="00681FC9">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0"/>
              </w:rPr>
            </w:pPr>
            <w:r w:rsidRPr="00F84B53">
              <w:rPr>
                <w:rStyle w:val="Artdef"/>
                <w:rFonts w:cstheme="minorHAnsi"/>
                <w:szCs w:val="20"/>
              </w:rPr>
              <w:t>68  </w:t>
            </w:r>
            <w:r w:rsidRPr="00F84B53">
              <w:t>9.1</w:t>
            </w:r>
            <w:r w:rsidRPr="00F84B53">
              <w:tab/>
            </w:r>
            <w:r w:rsidR="00B667C2" w:rsidRPr="00F84B53">
              <w:t>If a Member State exercises its right in accordance with the Constitution and the Convention to suspend international telecommunication services partially or totally, that Member State shall immediately notify the Secretary-General of the suspension and of the subsequent return to normal conditions by the most appropriate means of communication.</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1B8A13A" w14:textId="08042DE7" w:rsidR="00D40E7A" w:rsidRPr="00F84B53" w:rsidRDefault="00D40E7A" w:rsidP="00C07DAB">
            <w:pPr>
              <w:pStyle w:val="Tabletext"/>
              <w:rPr>
                <w:rFonts w:asciiTheme="minorHAnsi" w:hAnsiTheme="minorHAnsi" w:cstheme="minorHAnsi"/>
                <w:szCs w:val="20"/>
              </w:rPr>
            </w:pPr>
            <w:r w:rsidRPr="00F84B53">
              <w:rPr>
                <w:rStyle w:val="Artdef"/>
                <w:rFonts w:cstheme="minorHAnsi"/>
                <w:szCs w:val="20"/>
              </w:rPr>
              <w:t>55  </w:t>
            </w:r>
            <w:r w:rsidRPr="00F84B53">
              <w:t>7.1</w:t>
            </w:r>
            <w:r w:rsidRPr="00F84B53">
              <w:tab/>
            </w:r>
            <w:r w:rsidR="00C07DAB" w:rsidRPr="00F84B53">
              <w:t>If a Member exercises its right in accordance with the Convention to suspend international telecommunication services partially or totally, that Member shall immediately notify the Secretary-General of the suspension and of the subsequent return to normal conditions by the most appropriate means of communication.</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9CD7AA1" w14:textId="07A2BBC6" w:rsidR="00D40E7A" w:rsidRPr="00F84B53" w:rsidRDefault="00084C3F" w:rsidP="001A32E8">
            <w:pPr>
              <w:pStyle w:val="Tabletext"/>
              <w:rPr>
                <w:rFonts w:asciiTheme="minorHAnsi" w:hAnsiTheme="minorHAnsi" w:cstheme="minorHAnsi"/>
                <w:szCs w:val="20"/>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C293711" w14:textId="30FD524D" w:rsidR="00D40E7A" w:rsidRPr="00F84B53" w:rsidRDefault="001A32E8" w:rsidP="001A32E8">
            <w:pPr>
              <w:pStyle w:val="Tabletext"/>
              <w:rPr>
                <w:rFonts w:asciiTheme="minorHAnsi" w:hAnsiTheme="minorHAnsi" w:cstheme="minorHAnsi"/>
                <w:bCs/>
                <w:szCs w:val="20"/>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112B3AA" w14:textId="3035A068" w:rsidR="00D40E7A" w:rsidRPr="00F84B53" w:rsidRDefault="00AA599C" w:rsidP="00AA599C">
            <w:pPr>
              <w:pStyle w:val="Tabletext"/>
              <w:rPr>
                <w:rFonts w:asciiTheme="minorHAnsi" w:hAnsiTheme="minorHAnsi" w:cstheme="minorHAnsi"/>
                <w:szCs w:val="20"/>
              </w:rPr>
            </w:pPr>
            <w:r w:rsidRPr="00F84B53">
              <w:rPr>
                <w:rFonts w:asciiTheme="minorHAnsi" w:hAnsiTheme="minorHAnsi" w:cstheme="minorHAnsi"/>
                <w:bCs/>
                <w:szCs w:val="20"/>
              </w:rPr>
              <w:t>The provision does not require modification as it is applicable and flexible.</w:t>
            </w:r>
          </w:p>
        </w:tc>
      </w:tr>
      <w:tr w:rsidR="00D40E7A" w:rsidRPr="00F84B53" w14:paraId="7689E07E" w14:textId="77777777" w:rsidTr="00F84B53">
        <w:trPr>
          <w:jc w:val="center"/>
        </w:trPr>
        <w:tc>
          <w:tcPr>
            <w:tcW w:w="988" w:type="dxa"/>
            <w:vMerge/>
            <w:tcBorders>
              <w:left w:val="single" w:sz="4" w:space="0" w:color="auto"/>
              <w:right w:val="single" w:sz="4" w:space="0" w:color="auto"/>
            </w:tcBorders>
            <w:noWrap/>
            <w:tcMar>
              <w:left w:w="85" w:type="dxa"/>
              <w:right w:w="85" w:type="dxa"/>
            </w:tcMar>
          </w:tcPr>
          <w:p w14:paraId="2B48B07B" w14:textId="77777777" w:rsidR="00D40E7A" w:rsidRPr="00F84B53" w:rsidRDefault="00D40E7A" w:rsidP="00B0115C">
            <w:pPr>
              <w:pStyle w:val="Tabletext"/>
              <w:rPr>
                <w:rFonts w:asciiTheme="minorHAnsi" w:hAnsiTheme="minorHAnsi" w:cstheme="minorHAnsi"/>
                <w:bCs/>
                <w:szCs w:val="20"/>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EA71F59" w14:textId="3BD68759" w:rsidR="00D40E7A" w:rsidRPr="00F84B53" w:rsidRDefault="00D40E7A" w:rsidP="00681FC9">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theme="minorHAnsi"/>
                <w:szCs w:val="20"/>
              </w:rPr>
            </w:pPr>
            <w:r w:rsidRPr="00F84B53">
              <w:rPr>
                <w:rStyle w:val="Artdef"/>
                <w:rFonts w:cstheme="minorHAnsi"/>
                <w:szCs w:val="20"/>
              </w:rPr>
              <w:t>69  </w:t>
            </w:r>
            <w:r w:rsidRPr="00F84B53">
              <w:t>9.2</w:t>
            </w:r>
            <w:r w:rsidRPr="00F84B53">
              <w:tab/>
            </w:r>
            <w:r w:rsidR="00B667C2" w:rsidRPr="00F84B53">
              <w:t>The Secretary-General shall immediately bring such information to the attention of all other Member States, using the most appropriate means of communication.</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C6A69CF" w14:textId="290A4A55" w:rsidR="00D40E7A" w:rsidRPr="00F84B53" w:rsidRDefault="00D40E7A" w:rsidP="00C07DAB">
            <w:pPr>
              <w:pStyle w:val="Tabletext"/>
              <w:rPr>
                <w:rFonts w:asciiTheme="minorHAnsi" w:hAnsiTheme="minorHAnsi" w:cstheme="minorHAnsi"/>
                <w:bCs/>
                <w:szCs w:val="20"/>
              </w:rPr>
            </w:pPr>
            <w:r w:rsidRPr="00F84B53">
              <w:rPr>
                <w:rStyle w:val="Artdef"/>
                <w:rFonts w:cstheme="minorHAnsi"/>
                <w:szCs w:val="20"/>
              </w:rPr>
              <w:t>56  </w:t>
            </w:r>
            <w:r w:rsidRPr="00F84B53">
              <w:t>7.2</w:t>
            </w:r>
            <w:r w:rsidRPr="00F84B53">
              <w:tab/>
            </w:r>
            <w:r w:rsidR="00C07DAB" w:rsidRPr="00F84B53">
              <w:t>The Secretary-General shall immediately bring such information to the attention of all other Members, using the most appropriate means of communication.</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969E0D2" w14:textId="7CABC7F0" w:rsidR="00D40E7A" w:rsidRPr="00F84B53" w:rsidRDefault="00084C3F" w:rsidP="00084C3F">
            <w:pPr>
              <w:pStyle w:val="Tabletext"/>
              <w:rPr>
                <w:rFonts w:asciiTheme="minorHAnsi" w:hAnsiTheme="minorHAnsi" w:cstheme="minorHAnsi"/>
                <w:szCs w:val="20"/>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DE2C217" w14:textId="5085A7D2" w:rsidR="00D40E7A" w:rsidRPr="00F84B53" w:rsidRDefault="001A32E8" w:rsidP="001A32E8">
            <w:pPr>
              <w:pStyle w:val="Tabletext"/>
              <w:rPr>
                <w:rFonts w:asciiTheme="minorHAnsi" w:hAnsiTheme="minorHAnsi" w:cstheme="minorHAnsi"/>
                <w:szCs w:val="20"/>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F3CB21E" w14:textId="1BB8799A" w:rsidR="00D40E7A" w:rsidRPr="00F84B53" w:rsidRDefault="00AA599C" w:rsidP="00AA599C">
            <w:pPr>
              <w:pStyle w:val="Tabletext"/>
              <w:rPr>
                <w:rFonts w:asciiTheme="minorHAnsi" w:hAnsiTheme="minorHAnsi" w:cstheme="minorHAnsi"/>
                <w:szCs w:val="20"/>
              </w:rPr>
            </w:pPr>
            <w:r w:rsidRPr="00F84B53">
              <w:rPr>
                <w:rFonts w:asciiTheme="minorHAnsi" w:hAnsiTheme="minorHAnsi" w:cstheme="minorHAnsi"/>
                <w:bCs/>
                <w:szCs w:val="20"/>
              </w:rPr>
              <w:t>The provision does not require modification as it is applicable and flexible.</w:t>
            </w:r>
          </w:p>
        </w:tc>
      </w:tr>
      <w:tr w:rsidR="00D40E7A" w:rsidRPr="00F84B53" w14:paraId="1DA64F9E" w14:textId="77777777" w:rsidTr="00F84B53">
        <w:trPr>
          <w:trHeight w:val="3458"/>
          <w:jc w:val="center"/>
        </w:trPr>
        <w:tc>
          <w:tcPr>
            <w:tcW w:w="988" w:type="dxa"/>
            <w:vMerge w:val="restart"/>
            <w:tcBorders>
              <w:left w:val="single" w:sz="4" w:space="0" w:color="auto"/>
              <w:right w:val="single" w:sz="4" w:space="0" w:color="auto"/>
            </w:tcBorders>
            <w:noWrap/>
            <w:tcMar>
              <w:left w:w="85" w:type="dxa"/>
              <w:right w:w="85" w:type="dxa"/>
            </w:tcMar>
            <w:textDirection w:val="btLr"/>
            <w:vAlign w:val="center"/>
          </w:tcPr>
          <w:p w14:paraId="22763970" w14:textId="6FCCD831" w:rsidR="00D40E7A" w:rsidRPr="00F84B53" w:rsidRDefault="00B667C2" w:rsidP="00B0115C">
            <w:pPr>
              <w:pStyle w:val="Tabletext"/>
              <w:jc w:val="center"/>
              <w:rPr>
                <w:rFonts w:asciiTheme="minorHAnsi" w:hAnsiTheme="minorHAnsi" w:cstheme="minorHAnsi"/>
                <w:bCs/>
              </w:rPr>
            </w:pPr>
            <w:bookmarkStart w:id="12" w:name="lt_pId062"/>
            <w:r w:rsidRPr="00F84B53">
              <w:rPr>
                <w:rFonts w:asciiTheme="minorHAnsi" w:hAnsiTheme="minorHAnsi" w:cstheme="minorHAnsi"/>
                <w:b/>
                <w:szCs w:val="20"/>
              </w:rPr>
              <w:lastRenderedPageBreak/>
              <w:t>ARTICLE</w:t>
            </w:r>
            <w:r w:rsidR="00D40E7A" w:rsidRPr="00F84B53">
              <w:rPr>
                <w:rFonts w:asciiTheme="minorHAnsi" w:hAnsiTheme="minorHAnsi" w:cstheme="minorHAnsi"/>
                <w:b/>
                <w:szCs w:val="20"/>
              </w:rPr>
              <w:t xml:space="preserve"> 10 – </w:t>
            </w:r>
            <w:bookmarkStart w:id="13" w:name="_Toc351558979"/>
            <w:r w:rsidRPr="00F84B53">
              <w:rPr>
                <w:b/>
              </w:rPr>
              <w:t>Dissemination of information</w:t>
            </w:r>
            <w:bookmarkEnd w:id="12"/>
            <w:bookmarkEnd w:id="13"/>
          </w:p>
        </w:tc>
        <w:tc>
          <w:tcPr>
            <w:tcW w:w="3543" w:type="dxa"/>
            <w:vMerge w:val="restart"/>
            <w:tcBorders>
              <w:top w:val="single" w:sz="4" w:space="0" w:color="auto"/>
              <w:left w:val="single" w:sz="4" w:space="0" w:color="auto"/>
              <w:right w:val="single" w:sz="4" w:space="0" w:color="auto"/>
            </w:tcBorders>
            <w:noWrap/>
            <w:tcMar>
              <w:left w:w="85" w:type="dxa"/>
              <w:right w:w="85" w:type="dxa"/>
            </w:tcMar>
          </w:tcPr>
          <w:p w14:paraId="2C863450" w14:textId="79BF2385" w:rsidR="00D40E7A" w:rsidRPr="00F84B53" w:rsidRDefault="00D40E7A" w:rsidP="00681FC9">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szCs w:val="20"/>
              </w:rPr>
            </w:pPr>
            <w:r w:rsidRPr="00F84B53">
              <w:rPr>
                <w:rStyle w:val="Artdef"/>
                <w:rFonts w:cstheme="minorHAnsi"/>
                <w:szCs w:val="20"/>
              </w:rPr>
              <w:t>70  </w:t>
            </w:r>
            <w:r w:rsidRPr="00F84B53">
              <w:t>10.1</w:t>
            </w:r>
            <w:r w:rsidR="00B667C2" w:rsidRPr="00F84B53">
              <w:tab/>
              <w:t>Using the most suitable and economical means, the Secretary-General shall disseminate information provided, of an administrative, operational, or statistical nature, concerning international telecommunication services. Such information shall be disseminated in accordance with the relevant provisions of the Constitution and the Convention and of this Article, on the basis of decisions taken by the Council or by competent ITU conferences, and taking account of conclusions or decisions of ITU assemblies. If so authorized by the Member State concerned, the information may be transmitted to the Secretary-General directly by an authorized operating agency, and shall then be disseminated by the Secretary-General. Member States should transmit such information to the Secretary-General in a timely manner, taking into account the relevant ITU-T Recommendations.</w:t>
            </w:r>
          </w:p>
        </w:tc>
        <w:tc>
          <w:tcPr>
            <w:tcW w:w="3402" w:type="dxa"/>
            <w:vMerge w:val="restart"/>
            <w:tcBorders>
              <w:top w:val="single" w:sz="4" w:space="0" w:color="auto"/>
              <w:left w:val="single" w:sz="4" w:space="0" w:color="auto"/>
              <w:right w:val="single" w:sz="4" w:space="0" w:color="auto"/>
            </w:tcBorders>
            <w:noWrap/>
            <w:tcMar>
              <w:left w:w="85" w:type="dxa"/>
              <w:right w:w="85" w:type="dxa"/>
            </w:tcMar>
          </w:tcPr>
          <w:p w14:paraId="3391A480" w14:textId="263C0F1E" w:rsidR="00D40E7A" w:rsidRPr="00F84B53" w:rsidRDefault="00D40E7A" w:rsidP="008B5F33">
            <w:pPr>
              <w:pStyle w:val="Tabletext"/>
              <w:rPr>
                <w:rStyle w:val="Artdef"/>
                <w:rFonts w:cstheme="minorHAnsi"/>
                <w:szCs w:val="20"/>
              </w:rPr>
            </w:pPr>
            <w:proofErr w:type="gramStart"/>
            <w:r w:rsidRPr="00F84B53">
              <w:rPr>
                <w:rStyle w:val="Artdef"/>
                <w:rFonts w:cstheme="minorHAnsi"/>
                <w:szCs w:val="20"/>
              </w:rPr>
              <w:t>57  </w:t>
            </w:r>
            <w:r w:rsidR="008B5F33" w:rsidRPr="00F84B53">
              <w:rPr>
                <w:rStyle w:val="Artdef"/>
                <w:rFonts w:cstheme="minorHAnsi"/>
                <w:szCs w:val="20"/>
              </w:rPr>
              <w:tab/>
            </w:r>
            <w:proofErr w:type="gramEnd"/>
            <w:r w:rsidR="008B5F33" w:rsidRPr="00F84B53">
              <w:t>Using the most suitable and economical means, the Secretary-General shall disseminate information, provided by administrations</w:t>
            </w:r>
            <w:r w:rsidR="008B5F33" w:rsidRPr="00F84B53">
              <w:fldChar w:fldCharType="begin"/>
            </w:r>
            <w:r w:rsidR="008B5F33" w:rsidRPr="00F84B53">
              <w:instrText xml:space="preserve"> NOTEREF _Ref318892464 \f \h </w:instrText>
            </w:r>
            <w:r w:rsidR="00E46068" w:rsidRPr="00F84B53">
              <w:instrText xml:space="preserve"> \* MERGEFORMAT </w:instrText>
            </w:r>
            <w:r w:rsidR="008B5F33" w:rsidRPr="00F84B53">
              <w:fldChar w:fldCharType="separate"/>
            </w:r>
            <w:r w:rsidR="008B5F33" w:rsidRPr="00F84B53">
              <w:rPr>
                <w:rStyle w:val="FootnoteReference"/>
              </w:rPr>
              <w:t>*</w:t>
            </w:r>
            <w:r w:rsidR="008B5F33" w:rsidRPr="00F84B53">
              <w:fldChar w:fldCharType="end"/>
            </w:r>
            <w:r w:rsidR="008B5F33" w:rsidRPr="00F84B53">
              <w:t>,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Administrative Council or by competent administrative conferences, and taking account of conclusions or decisions of Plenary Assemblies of the International Consultative Committees.</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5608841" w14:textId="6F1DE4C8" w:rsidR="00D40E7A" w:rsidRPr="00F84B53" w:rsidRDefault="00345AB3" w:rsidP="00345AB3">
            <w:pPr>
              <w:pStyle w:val="Tabletext"/>
              <w:rPr>
                <w:rFonts w:asciiTheme="minorHAnsi" w:hAnsiTheme="minorHAnsi" w:cstheme="minorHAnsi"/>
              </w:rPr>
            </w:pPr>
            <w:bookmarkStart w:id="14" w:name="lt_pId072"/>
            <w:r w:rsidRPr="00F84B53">
              <w:rPr>
                <w:rFonts w:asciiTheme="minorHAnsi" w:hAnsiTheme="minorHAnsi" w:cstheme="minorHAnsi"/>
                <w:bCs/>
                <w:szCs w:val="20"/>
              </w:rPr>
              <w:t>The provision is applicable in fostering provision and development of networks and services.</w:t>
            </w:r>
            <w:bookmarkEnd w:id="14"/>
          </w:p>
        </w:tc>
        <w:tc>
          <w:tcPr>
            <w:tcW w:w="2163" w:type="dxa"/>
            <w:tcBorders>
              <w:top w:val="single" w:sz="4" w:space="0" w:color="auto"/>
              <w:left w:val="single" w:sz="4" w:space="0" w:color="auto"/>
              <w:right w:val="single" w:sz="4" w:space="0" w:color="auto"/>
            </w:tcBorders>
            <w:noWrap/>
            <w:tcMar>
              <w:left w:w="85" w:type="dxa"/>
              <w:right w:w="85" w:type="dxa"/>
            </w:tcMar>
          </w:tcPr>
          <w:p w14:paraId="135829F1" w14:textId="483424BE" w:rsidR="00D40E7A" w:rsidRPr="00F84B53" w:rsidRDefault="001A32E8" w:rsidP="001A32E8">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vMerge w:val="restart"/>
            <w:tcBorders>
              <w:top w:val="single" w:sz="4" w:space="0" w:color="auto"/>
              <w:left w:val="single" w:sz="4" w:space="0" w:color="auto"/>
              <w:right w:val="single" w:sz="4" w:space="0" w:color="auto"/>
            </w:tcBorders>
            <w:noWrap/>
            <w:tcMar>
              <w:left w:w="85" w:type="dxa"/>
              <w:right w:w="85" w:type="dxa"/>
            </w:tcMar>
          </w:tcPr>
          <w:p w14:paraId="384DADA3" w14:textId="2443DFAE" w:rsidR="00D40E7A" w:rsidRPr="00F84B53" w:rsidRDefault="00AA599C" w:rsidP="00AA599C">
            <w:pPr>
              <w:pStyle w:val="Tabletext"/>
              <w:rPr>
                <w:rFonts w:asciiTheme="minorHAnsi" w:hAnsiTheme="minorHAnsi" w:cstheme="minorHAnsi"/>
                <w:bCs/>
                <w:szCs w:val="20"/>
              </w:rPr>
            </w:pPr>
            <w:r w:rsidRPr="00F84B53">
              <w:rPr>
                <w:rFonts w:asciiTheme="minorHAnsi" w:hAnsiTheme="minorHAnsi" w:cstheme="minorHAnsi"/>
                <w:bCs/>
                <w:szCs w:val="20"/>
              </w:rPr>
              <w:t>The provision does not require modification as it is applicable and flexible.</w:t>
            </w:r>
          </w:p>
          <w:p w14:paraId="170B0AB4" w14:textId="163CD7B2" w:rsidR="00D40E7A" w:rsidRPr="00F84B53" w:rsidRDefault="00E46068" w:rsidP="00E46068">
            <w:pPr>
              <w:pStyle w:val="Tabletext"/>
              <w:rPr>
                <w:rFonts w:asciiTheme="minorHAnsi" w:hAnsiTheme="minorHAnsi" w:cstheme="minorHAnsi"/>
                <w:bCs/>
                <w:szCs w:val="20"/>
              </w:rPr>
            </w:pPr>
            <w:bookmarkStart w:id="15" w:name="lt_pId075"/>
            <w:r w:rsidRPr="00F84B53">
              <w:rPr>
                <w:rFonts w:asciiTheme="minorHAnsi" w:hAnsiTheme="minorHAnsi" w:cstheme="minorHAnsi"/>
                <w:bCs/>
                <w:szCs w:val="20"/>
              </w:rPr>
              <w:t>It seems appropriate to replace the reference to ITU-T Recommendations with a reference to ITU Recommendations as all types of telecommunications are used for the transmission of such messages</w:t>
            </w:r>
            <w:r w:rsidR="00D40E7A" w:rsidRPr="00F84B53">
              <w:rPr>
                <w:rFonts w:asciiTheme="minorHAnsi" w:hAnsiTheme="minorHAnsi" w:cstheme="minorHAnsi"/>
                <w:bCs/>
                <w:szCs w:val="20"/>
              </w:rPr>
              <w:t>.</w:t>
            </w:r>
            <w:bookmarkEnd w:id="15"/>
          </w:p>
        </w:tc>
      </w:tr>
      <w:tr w:rsidR="00D40E7A" w:rsidRPr="00F84B53" w14:paraId="614A9D78" w14:textId="77777777" w:rsidTr="00F84B53">
        <w:trPr>
          <w:trHeight w:val="3457"/>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10492B08" w14:textId="77777777" w:rsidR="00D40E7A" w:rsidRPr="00F84B53" w:rsidRDefault="00D40E7A" w:rsidP="00B0115C">
            <w:pPr>
              <w:pStyle w:val="Tabletext"/>
              <w:jc w:val="center"/>
              <w:rPr>
                <w:rFonts w:asciiTheme="minorHAnsi" w:hAnsiTheme="minorHAnsi" w:cstheme="minorHAnsi"/>
                <w:b/>
              </w:rPr>
            </w:pPr>
          </w:p>
        </w:tc>
        <w:tc>
          <w:tcPr>
            <w:tcW w:w="3543" w:type="dxa"/>
            <w:vMerge/>
            <w:tcBorders>
              <w:left w:val="single" w:sz="4" w:space="0" w:color="auto"/>
              <w:bottom w:val="single" w:sz="4" w:space="0" w:color="auto"/>
              <w:right w:val="single" w:sz="4" w:space="0" w:color="auto"/>
            </w:tcBorders>
            <w:noWrap/>
            <w:tcMar>
              <w:left w:w="85" w:type="dxa"/>
              <w:right w:w="85" w:type="dxa"/>
            </w:tcMar>
          </w:tcPr>
          <w:p w14:paraId="62048215" w14:textId="77777777" w:rsidR="00D40E7A" w:rsidRPr="00F84B53" w:rsidRDefault="00D40E7A" w:rsidP="00B0115C">
            <w:pPr>
              <w:pStyle w:val="Tabletext"/>
              <w:jc w:val="both"/>
              <w:rPr>
                <w:rStyle w:val="Artdef"/>
                <w:rFonts w:cstheme="minorHAnsi"/>
                <w:szCs w:val="20"/>
              </w:rPr>
            </w:pPr>
          </w:p>
        </w:tc>
        <w:tc>
          <w:tcPr>
            <w:tcW w:w="3402" w:type="dxa"/>
            <w:vMerge/>
            <w:tcBorders>
              <w:left w:val="single" w:sz="4" w:space="0" w:color="auto"/>
              <w:bottom w:val="single" w:sz="4" w:space="0" w:color="auto"/>
              <w:right w:val="single" w:sz="4" w:space="0" w:color="auto"/>
            </w:tcBorders>
            <w:noWrap/>
            <w:tcMar>
              <w:left w:w="85" w:type="dxa"/>
              <w:right w:w="85" w:type="dxa"/>
            </w:tcMar>
          </w:tcPr>
          <w:p w14:paraId="61FF57F6" w14:textId="77777777" w:rsidR="00D40E7A" w:rsidRPr="00F84B53" w:rsidRDefault="00D40E7A" w:rsidP="00B0115C">
            <w:pPr>
              <w:pStyle w:val="Tabletext"/>
              <w:jc w:val="both"/>
              <w:rPr>
                <w:rStyle w:val="Artdef"/>
                <w:rFonts w:cstheme="minorHAnsi"/>
                <w:szCs w:val="20"/>
              </w:rPr>
            </w:pPr>
          </w:p>
        </w:tc>
        <w:tc>
          <w:tcPr>
            <w:tcW w:w="4395"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1BDE6DA2" w14:textId="765CCB19" w:rsidR="00D40E7A" w:rsidRPr="00F84B53" w:rsidRDefault="004604DE" w:rsidP="008D463F">
            <w:pPr>
              <w:pStyle w:val="Tabletext"/>
              <w:rPr>
                <w:rFonts w:asciiTheme="minorHAnsi" w:hAnsiTheme="minorHAnsi" w:cstheme="minorHAnsi"/>
                <w:b/>
              </w:rPr>
            </w:pPr>
            <w:bookmarkStart w:id="16" w:name="lt_pId076"/>
            <w:r w:rsidRPr="00F84B53">
              <w:rPr>
                <w:rFonts w:asciiTheme="minorHAnsi" w:hAnsiTheme="minorHAnsi" w:cstheme="minorHAnsi"/>
                <w:b/>
                <w:bCs/>
                <w:i/>
                <w:szCs w:val="20"/>
              </w:rPr>
              <w:t>No.</w:t>
            </w:r>
            <w:r w:rsidR="00734AB9" w:rsidRPr="00F84B53">
              <w:rPr>
                <w:rFonts w:asciiTheme="minorHAnsi" w:hAnsiTheme="minorHAnsi" w:cstheme="minorHAnsi"/>
                <w:b/>
                <w:bCs/>
                <w:i/>
                <w:szCs w:val="20"/>
              </w:rPr>
              <w:t xml:space="preserve"> 57 of the 1988 ITRs contains outdated references to the now defunct Administrative Council, administrative conferences and Plenary Assemblies of the International Consultative Committees.</w:t>
            </w:r>
            <w:bookmarkEnd w:id="16"/>
          </w:p>
        </w:tc>
        <w:tc>
          <w:tcPr>
            <w:tcW w:w="2409" w:type="dxa"/>
            <w:vMerge/>
            <w:tcBorders>
              <w:left w:val="single" w:sz="4" w:space="0" w:color="auto"/>
              <w:bottom w:val="single" w:sz="4" w:space="0" w:color="auto"/>
              <w:right w:val="single" w:sz="4" w:space="0" w:color="auto"/>
            </w:tcBorders>
            <w:noWrap/>
            <w:tcMar>
              <w:left w:w="85" w:type="dxa"/>
              <w:right w:w="85" w:type="dxa"/>
            </w:tcMar>
          </w:tcPr>
          <w:p w14:paraId="3F209D98" w14:textId="77777777" w:rsidR="00D40E7A" w:rsidRPr="00F84B53" w:rsidRDefault="00D40E7A" w:rsidP="00B0115C">
            <w:pPr>
              <w:pStyle w:val="Tabletext"/>
              <w:rPr>
                <w:rFonts w:asciiTheme="minorHAnsi" w:hAnsiTheme="minorHAnsi" w:cstheme="minorHAnsi"/>
              </w:rPr>
            </w:pPr>
          </w:p>
        </w:tc>
      </w:tr>
      <w:tr w:rsidR="00D40E7A" w:rsidRPr="00F84B53" w14:paraId="6D49659A" w14:textId="77777777" w:rsidTr="00F84B53">
        <w:trPr>
          <w:trHeight w:val="1380"/>
          <w:jc w:val="center"/>
        </w:trPr>
        <w:tc>
          <w:tcPr>
            <w:tcW w:w="988" w:type="dxa"/>
            <w:vMerge w:val="restart"/>
            <w:tcBorders>
              <w:left w:val="single" w:sz="4" w:space="0" w:color="auto"/>
              <w:right w:val="single" w:sz="4" w:space="0" w:color="auto"/>
            </w:tcBorders>
            <w:noWrap/>
            <w:tcMar>
              <w:left w:w="85" w:type="dxa"/>
              <w:right w:w="85" w:type="dxa"/>
            </w:tcMar>
            <w:textDirection w:val="btLr"/>
            <w:vAlign w:val="center"/>
          </w:tcPr>
          <w:p w14:paraId="0687E8DA" w14:textId="524DAB5A" w:rsidR="00D40E7A" w:rsidRPr="00F84B53" w:rsidRDefault="00B667C2" w:rsidP="00B0115C">
            <w:pPr>
              <w:pStyle w:val="Tabletext"/>
              <w:jc w:val="center"/>
              <w:rPr>
                <w:rFonts w:asciiTheme="minorHAnsi" w:hAnsiTheme="minorHAnsi" w:cstheme="minorHAnsi"/>
                <w:b/>
              </w:rPr>
            </w:pPr>
            <w:bookmarkStart w:id="17" w:name="lt_pId077"/>
            <w:r w:rsidRPr="00F84B53">
              <w:rPr>
                <w:rFonts w:asciiTheme="minorHAnsi" w:hAnsiTheme="minorHAnsi" w:cstheme="minorHAnsi"/>
                <w:b/>
                <w:szCs w:val="20"/>
              </w:rPr>
              <w:lastRenderedPageBreak/>
              <w:t>ARTICLE</w:t>
            </w:r>
            <w:r w:rsidR="00D40E7A" w:rsidRPr="00F84B53">
              <w:rPr>
                <w:rFonts w:asciiTheme="minorHAnsi" w:hAnsiTheme="minorHAnsi" w:cstheme="minorHAnsi"/>
                <w:b/>
                <w:szCs w:val="20"/>
              </w:rPr>
              <w:t xml:space="preserve"> 11 – </w:t>
            </w:r>
            <w:bookmarkStart w:id="18" w:name="_Toc351558981"/>
            <w:r w:rsidRPr="00F84B53">
              <w:rPr>
                <w:b/>
              </w:rPr>
              <w:t>Energy efficiency/e-waste</w:t>
            </w:r>
            <w:bookmarkEnd w:id="17"/>
            <w:bookmarkEnd w:id="18"/>
          </w:p>
        </w:tc>
        <w:tc>
          <w:tcPr>
            <w:tcW w:w="3543" w:type="dxa"/>
            <w:vMerge w:val="restart"/>
            <w:tcBorders>
              <w:top w:val="single" w:sz="4" w:space="0" w:color="auto"/>
              <w:left w:val="single" w:sz="4" w:space="0" w:color="auto"/>
              <w:right w:val="single" w:sz="4" w:space="0" w:color="auto"/>
            </w:tcBorders>
            <w:noWrap/>
            <w:tcMar>
              <w:left w:w="85" w:type="dxa"/>
              <w:right w:w="85" w:type="dxa"/>
            </w:tcMar>
          </w:tcPr>
          <w:p w14:paraId="26FCA806" w14:textId="2D6D1FFA" w:rsidR="00D40E7A" w:rsidRPr="00F84B53" w:rsidRDefault="00D40E7A" w:rsidP="00681FC9">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szCs w:val="20"/>
              </w:rPr>
            </w:pPr>
            <w:r w:rsidRPr="00F84B53">
              <w:rPr>
                <w:rStyle w:val="Artdef"/>
                <w:rFonts w:cstheme="minorHAnsi"/>
                <w:szCs w:val="20"/>
              </w:rPr>
              <w:t>71  </w:t>
            </w:r>
            <w:r w:rsidRPr="00F84B53">
              <w:t>11.1</w:t>
            </w:r>
            <w:r w:rsidR="00B667C2" w:rsidRPr="00F84B53">
              <w:tab/>
              <w:t>Member States are encouraged to adopt energy-efficiency and e-waste best practices taking into account the relevant ITU-T Recommendations.</w:t>
            </w:r>
          </w:p>
        </w:tc>
        <w:tc>
          <w:tcPr>
            <w:tcW w:w="3402" w:type="dxa"/>
            <w:vMerge w:val="restart"/>
            <w:tcBorders>
              <w:top w:val="single" w:sz="4" w:space="0" w:color="auto"/>
              <w:left w:val="single" w:sz="4" w:space="0" w:color="auto"/>
              <w:right w:val="single" w:sz="4" w:space="0" w:color="auto"/>
            </w:tcBorders>
            <w:noWrap/>
            <w:tcMar>
              <w:left w:w="85" w:type="dxa"/>
              <w:right w:w="85" w:type="dxa"/>
            </w:tcMar>
          </w:tcPr>
          <w:p w14:paraId="45C6A3D4" w14:textId="7252CE6D" w:rsidR="00D40E7A" w:rsidRPr="00F84B53" w:rsidRDefault="006069EB" w:rsidP="008D463F">
            <w:pPr>
              <w:pStyle w:val="Tabletext"/>
              <w:rPr>
                <w:rFonts w:asciiTheme="minorHAnsi" w:hAnsiTheme="minorHAnsi" w:cs="Calibri"/>
                <w:bCs/>
                <w:i/>
                <w:color w:val="000000"/>
                <w:szCs w:val="20"/>
              </w:rPr>
            </w:pPr>
            <w:bookmarkStart w:id="19" w:name="lt_pId080"/>
            <w:r w:rsidRPr="00F84B53">
              <w:rPr>
                <w:rFonts w:asciiTheme="minorHAnsi" w:hAnsiTheme="minorHAnsi" w:cs="Calibri"/>
                <w:bCs/>
                <w:i/>
                <w:color w:val="000000"/>
                <w:szCs w:val="20"/>
              </w:rPr>
              <w:t>No analogous provision</w:t>
            </w:r>
            <w:r w:rsidR="00D56023" w:rsidRPr="00F84B53">
              <w:rPr>
                <w:rFonts w:asciiTheme="minorHAnsi" w:hAnsiTheme="minorHAnsi" w:cs="Calibri"/>
                <w:bCs/>
                <w:i/>
                <w:color w:val="000000"/>
                <w:szCs w:val="20"/>
              </w:rPr>
              <w:t xml:space="preserve"> in </w:t>
            </w:r>
            <w:r w:rsidR="00925E53" w:rsidRPr="00F84B53">
              <w:rPr>
                <w:rFonts w:asciiTheme="minorHAnsi" w:hAnsiTheme="minorHAnsi" w:cs="Calibri"/>
                <w:bCs/>
                <w:i/>
                <w:color w:val="000000"/>
                <w:szCs w:val="20"/>
              </w:rPr>
              <w:t xml:space="preserve">the </w:t>
            </w:r>
            <w:r w:rsidR="00D56023" w:rsidRPr="00F84B53">
              <w:rPr>
                <w:rFonts w:asciiTheme="minorHAnsi" w:hAnsiTheme="minorHAnsi" w:cs="Calibri"/>
                <w:bCs/>
                <w:i/>
                <w:color w:val="000000"/>
                <w:szCs w:val="20"/>
              </w:rPr>
              <w:t>1988 ITRs</w:t>
            </w:r>
            <w:r w:rsidR="00D40E7A" w:rsidRPr="00F84B53">
              <w:rPr>
                <w:rFonts w:asciiTheme="minorHAnsi" w:hAnsiTheme="minorHAnsi" w:cs="Calibri"/>
                <w:bCs/>
                <w:i/>
                <w:color w:val="000000"/>
                <w:szCs w:val="20"/>
              </w:rPr>
              <w:t>.</w:t>
            </w:r>
            <w:bookmarkEnd w:id="19"/>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087D7F3" w14:textId="6EE5CE4D"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right w:val="single" w:sz="4" w:space="0" w:color="auto"/>
            </w:tcBorders>
            <w:noWrap/>
            <w:tcMar>
              <w:left w:w="85" w:type="dxa"/>
              <w:right w:w="85" w:type="dxa"/>
            </w:tcMar>
          </w:tcPr>
          <w:p w14:paraId="2674809C" w14:textId="1CFE9630" w:rsidR="00D40E7A" w:rsidRPr="00F84B53" w:rsidRDefault="001A32E8" w:rsidP="001A32E8">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vMerge w:val="restart"/>
            <w:tcBorders>
              <w:top w:val="single" w:sz="4" w:space="0" w:color="auto"/>
              <w:left w:val="single" w:sz="4" w:space="0" w:color="auto"/>
              <w:right w:val="single" w:sz="4" w:space="0" w:color="auto"/>
            </w:tcBorders>
            <w:noWrap/>
            <w:tcMar>
              <w:left w:w="85" w:type="dxa"/>
              <w:right w:w="85" w:type="dxa"/>
            </w:tcMar>
          </w:tcPr>
          <w:p w14:paraId="5E76B9E9" w14:textId="2D2C6551" w:rsidR="00D40E7A" w:rsidRPr="00F84B53" w:rsidRDefault="00E46068" w:rsidP="00734AB9">
            <w:pPr>
              <w:pStyle w:val="Tabletext"/>
              <w:rPr>
                <w:rFonts w:asciiTheme="minorHAnsi" w:hAnsiTheme="minorHAnsi" w:cstheme="minorHAnsi"/>
                <w:bCs/>
                <w:szCs w:val="20"/>
              </w:rPr>
            </w:pPr>
            <w:r w:rsidRPr="00F84B53">
              <w:rPr>
                <w:rFonts w:asciiTheme="minorHAnsi" w:hAnsiTheme="minorHAnsi" w:cstheme="minorHAnsi"/>
                <w:bCs/>
                <w:szCs w:val="20"/>
              </w:rPr>
              <w:t>The provision does not require modification as it is applicable and flexible.</w:t>
            </w:r>
          </w:p>
          <w:p w14:paraId="0BC7064D" w14:textId="4F1C2C4B" w:rsidR="00D40E7A" w:rsidRPr="00F84B53" w:rsidRDefault="00734AB9" w:rsidP="008D463F">
            <w:pPr>
              <w:pStyle w:val="Tabletext"/>
              <w:rPr>
                <w:rFonts w:asciiTheme="minorHAnsi" w:hAnsiTheme="minorHAnsi" w:cstheme="minorHAnsi"/>
                <w:szCs w:val="20"/>
              </w:rPr>
            </w:pPr>
            <w:bookmarkStart w:id="20" w:name="lt_pId084"/>
            <w:r w:rsidRPr="00F84B53">
              <w:rPr>
                <w:rFonts w:asciiTheme="minorHAnsi" w:hAnsiTheme="minorHAnsi" w:cstheme="minorHAnsi"/>
                <w:bCs/>
                <w:szCs w:val="20"/>
              </w:rPr>
              <w:t>It seems appropriate to replace the reference to ITU-T Recommendations with a reference to ITU Recommendations as the issues covered by this Article concern all telecommunication/ICT devices, systems and networks</w:t>
            </w:r>
            <w:r w:rsidR="00D40E7A" w:rsidRPr="00F84B53">
              <w:rPr>
                <w:rFonts w:asciiTheme="minorHAnsi" w:hAnsiTheme="minorHAnsi" w:cstheme="minorHAnsi"/>
                <w:bCs/>
                <w:szCs w:val="20"/>
              </w:rPr>
              <w:t>.</w:t>
            </w:r>
            <w:bookmarkEnd w:id="20"/>
          </w:p>
        </w:tc>
      </w:tr>
      <w:tr w:rsidR="00D40E7A" w:rsidRPr="00F84B53" w14:paraId="75B86A6D" w14:textId="77777777" w:rsidTr="00F84B53">
        <w:trPr>
          <w:trHeight w:val="1380"/>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33CBB68A" w14:textId="77777777" w:rsidR="00D40E7A" w:rsidRPr="00F84B53" w:rsidRDefault="00D40E7A" w:rsidP="00B0115C">
            <w:pPr>
              <w:pStyle w:val="Tabletext"/>
              <w:jc w:val="center"/>
              <w:rPr>
                <w:rFonts w:asciiTheme="minorHAnsi" w:hAnsiTheme="minorHAnsi" w:cstheme="minorHAnsi"/>
                <w:b/>
              </w:rPr>
            </w:pPr>
          </w:p>
        </w:tc>
        <w:tc>
          <w:tcPr>
            <w:tcW w:w="3543" w:type="dxa"/>
            <w:vMerge/>
            <w:tcBorders>
              <w:left w:val="single" w:sz="4" w:space="0" w:color="auto"/>
              <w:bottom w:val="single" w:sz="4" w:space="0" w:color="auto"/>
              <w:right w:val="single" w:sz="4" w:space="0" w:color="auto"/>
            </w:tcBorders>
            <w:noWrap/>
            <w:tcMar>
              <w:left w:w="85" w:type="dxa"/>
              <w:right w:w="85" w:type="dxa"/>
            </w:tcMar>
          </w:tcPr>
          <w:p w14:paraId="29268DB2" w14:textId="77777777" w:rsidR="00D40E7A" w:rsidRPr="00F84B53" w:rsidRDefault="00D40E7A" w:rsidP="00B0115C">
            <w:pPr>
              <w:pStyle w:val="Tabletext"/>
              <w:jc w:val="both"/>
              <w:rPr>
                <w:rStyle w:val="Artdef"/>
                <w:rFonts w:cstheme="minorHAnsi"/>
                <w:szCs w:val="20"/>
              </w:rPr>
            </w:pPr>
          </w:p>
        </w:tc>
        <w:tc>
          <w:tcPr>
            <w:tcW w:w="3402" w:type="dxa"/>
            <w:vMerge/>
            <w:tcBorders>
              <w:left w:val="single" w:sz="4" w:space="0" w:color="auto"/>
              <w:bottom w:val="single" w:sz="4" w:space="0" w:color="auto"/>
              <w:right w:val="single" w:sz="4" w:space="0" w:color="auto"/>
            </w:tcBorders>
            <w:noWrap/>
            <w:tcMar>
              <w:left w:w="85" w:type="dxa"/>
              <w:right w:w="85" w:type="dxa"/>
            </w:tcMar>
          </w:tcPr>
          <w:p w14:paraId="4716BD08" w14:textId="77777777" w:rsidR="00D40E7A" w:rsidRPr="00F84B53" w:rsidRDefault="00D40E7A" w:rsidP="00B0115C">
            <w:pPr>
              <w:pStyle w:val="Tabletext"/>
              <w:jc w:val="both"/>
              <w:rPr>
                <w:rFonts w:asciiTheme="minorHAnsi" w:hAnsiTheme="minorHAnsi" w:cs="Calibri"/>
                <w:bCs/>
                <w:i/>
                <w:color w:val="000000"/>
              </w:rPr>
            </w:pPr>
          </w:p>
        </w:tc>
        <w:tc>
          <w:tcPr>
            <w:tcW w:w="4395"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4E5EADCD" w14:textId="3B060BAB" w:rsidR="00D40E7A" w:rsidRPr="00F84B53" w:rsidRDefault="00130984" w:rsidP="008D463F">
            <w:pPr>
              <w:pStyle w:val="Tabletext"/>
              <w:rPr>
                <w:rFonts w:asciiTheme="minorHAnsi" w:hAnsiTheme="minorHAnsi" w:cstheme="minorHAnsi"/>
                <w:b/>
                <w:i/>
              </w:rPr>
            </w:pPr>
            <w:bookmarkStart w:id="21" w:name="lt_pId335"/>
            <w:bookmarkStart w:id="22" w:name="lt_pId085"/>
            <w:r w:rsidRPr="00F84B53">
              <w:rPr>
                <w:rFonts w:asciiTheme="minorHAnsi" w:hAnsiTheme="minorHAnsi" w:cs="Calibri"/>
                <w:b/>
                <w:bCs/>
                <w:i/>
                <w:color w:val="000000"/>
                <w:szCs w:val="20"/>
              </w:rPr>
              <w:t>Article 1</w:t>
            </w:r>
            <w:r w:rsidR="000F7800" w:rsidRPr="00F84B53">
              <w:rPr>
                <w:rFonts w:asciiTheme="minorHAnsi" w:hAnsiTheme="minorHAnsi" w:cs="Calibri"/>
                <w:b/>
                <w:bCs/>
                <w:i/>
                <w:color w:val="000000"/>
                <w:szCs w:val="20"/>
              </w:rPr>
              <w:t>1</w:t>
            </w:r>
            <w:r w:rsidRPr="00F84B53">
              <w:rPr>
                <w:rFonts w:asciiTheme="minorHAnsi" w:hAnsiTheme="minorHAnsi" w:cs="Calibri"/>
                <w:b/>
                <w:bCs/>
                <w:i/>
                <w:color w:val="000000"/>
                <w:szCs w:val="20"/>
              </w:rPr>
              <w:t xml:space="preserve"> of the 2012 ITRs reflects widely recognized </w:t>
            </w:r>
            <w:r w:rsidR="000F7800" w:rsidRPr="00F84B53">
              <w:rPr>
                <w:rFonts w:asciiTheme="minorHAnsi" w:hAnsiTheme="minorHAnsi" w:cs="Calibri"/>
                <w:b/>
                <w:bCs/>
                <w:i/>
                <w:color w:val="000000"/>
                <w:szCs w:val="20"/>
              </w:rPr>
              <w:t>provisions</w:t>
            </w:r>
            <w:r w:rsidRPr="00F84B53">
              <w:rPr>
                <w:rFonts w:asciiTheme="minorHAnsi" w:hAnsiTheme="minorHAnsi" w:cs="Calibri"/>
                <w:b/>
                <w:bCs/>
                <w:i/>
                <w:color w:val="000000"/>
                <w:szCs w:val="20"/>
              </w:rPr>
              <w:t xml:space="preserve"> of </w:t>
            </w:r>
            <w:r w:rsidR="000F7800" w:rsidRPr="00F84B53">
              <w:rPr>
                <w:rFonts w:asciiTheme="minorHAnsi" w:hAnsiTheme="minorHAnsi" w:cs="Calibri"/>
                <w:b/>
                <w:bCs/>
                <w:i/>
                <w:color w:val="000000"/>
                <w:szCs w:val="20"/>
              </w:rPr>
              <w:t xml:space="preserve">resolutions of </w:t>
            </w:r>
            <w:r w:rsidRPr="00F84B53">
              <w:rPr>
                <w:rFonts w:asciiTheme="minorHAnsi" w:hAnsiTheme="minorHAnsi" w:cs="Calibri"/>
                <w:b/>
                <w:bCs/>
                <w:i/>
                <w:color w:val="000000"/>
                <w:szCs w:val="20"/>
              </w:rPr>
              <w:t xml:space="preserve">the UN and other international organizations and the legislation of </w:t>
            </w:r>
            <w:r w:rsidR="000F7800" w:rsidRPr="00F84B53">
              <w:rPr>
                <w:rFonts w:asciiTheme="minorHAnsi" w:hAnsiTheme="minorHAnsi" w:cs="Calibri"/>
                <w:b/>
                <w:bCs/>
                <w:i/>
                <w:color w:val="000000"/>
                <w:szCs w:val="20"/>
              </w:rPr>
              <w:t xml:space="preserve">many </w:t>
            </w:r>
            <w:r w:rsidRPr="00F84B53">
              <w:rPr>
                <w:rFonts w:asciiTheme="minorHAnsi" w:hAnsiTheme="minorHAnsi" w:cs="Calibri"/>
                <w:b/>
                <w:bCs/>
                <w:i/>
                <w:color w:val="000000"/>
                <w:szCs w:val="20"/>
              </w:rPr>
              <w:t>ITU Member States concerning environmental protection.</w:t>
            </w:r>
            <w:bookmarkEnd w:id="21"/>
            <w:bookmarkEnd w:id="22"/>
          </w:p>
        </w:tc>
        <w:tc>
          <w:tcPr>
            <w:tcW w:w="2409" w:type="dxa"/>
            <w:vMerge/>
            <w:tcBorders>
              <w:left w:val="single" w:sz="4" w:space="0" w:color="auto"/>
              <w:bottom w:val="single" w:sz="4" w:space="0" w:color="auto"/>
              <w:right w:val="single" w:sz="4" w:space="0" w:color="auto"/>
            </w:tcBorders>
            <w:noWrap/>
            <w:tcMar>
              <w:left w:w="85" w:type="dxa"/>
              <w:right w:w="85" w:type="dxa"/>
            </w:tcMar>
          </w:tcPr>
          <w:p w14:paraId="213E7FC5" w14:textId="77777777" w:rsidR="00D40E7A" w:rsidRPr="00F84B53" w:rsidRDefault="00D40E7A" w:rsidP="00B0115C">
            <w:pPr>
              <w:pStyle w:val="Tabletext"/>
              <w:jc w:val="both"/>
              <w:rPr>
                <w:rFonts w:asciiTheme="minorHAnsi" w:hAnsiTheme="minorHAnsi" w:cs="Calibri"/>
                <w:bCs/>
                <w:color w:val="000000"/>
              </w:rPr>
            </w:pPr>
          </w:p>
        </w:tc>
      </w:tr>
      <w:tr w:rsidR="00D56023" w:rsidRPr="00F84B53" w14:paraId="22907793" w14:textId="77777777" w:rsidTr="00F84B53">
        <w:trPr>
          <w:trHeight w:val="759"/>
          <w:jc w:val="center"/>
        </w:trPr>
        <w:tc>
          <w:tcPr>
            <w:tcW w:w="988" w:type="dxa"/>
            <w:vMerge w:val="restart"/>
            <w:tcBorders>
              <w:left w:val="single" w:sz="4" w:space="0" w:color="auto"/>
              <w:right w:val="single" w:sz="4" w:space="0" w:color="auto"/>
            </w:tcBorders>
            <w:noWrap/>
            <w:tcMar>
              <w:left w:w="85" w:type="dxa"/>
              <w:right w:w="85" w:type="dxa"/>
            </w:tcMar>
            <w:textDirection w:val="btLr"/>
            <w:vAlign w:val="center"/>
          </w:tcPr>
          <w:p w14:paraId="3ED7CAD6" w14:textId="4DB95189" w:rsidR="00D56023" w:rsidRPr="00F84B53" w:rsidRDefault="00D56023" w:rsidP="00D56023">
            <w:pPr>
              <w:pStyle w:val="Tabletext"/>
              <w:jc w:val="center"/>
              <w:rPr>
                <w:rFonts w:asciiTheme="minorHAnsi" w:hAnsiTheme="minorHAnsi" w:cstheme="minorHAnsi"/>
                <w:b/>
              </w:rPr>
            </w:pPr>
            <w:bookmarkStart w:id="23" w:name="lt_pId086"/>
            <w:r w:rsidRPr="00F84B53">
              <w:rPr>
                <w:rFonts w:asciiTheme="minorHAnsi" w:hAnsiTheme="minorHAnsi" w:cstheme="minorHAnsi"/>
                <w:b/>
                <w:szCs w:val="20"/>
              </w:rPr>
              <w:t xml:space="preserve">ARTICLE 12 – </w:t>
            </w:r>
            <w:bookmarkStart w:id="24" w:name="_Toc351558983"/>
            <w:r w:rsidRPr="00F84B53">
              <w:rPr>
                <w:b/>
              </w:rPr>
              <w:t>Accessibility</w:t>
            </w:r>
            <w:bookmarkEnd w:id="23"/>
            <w:bookmarkEnd w:id="24"/>
          </w:p>
        </w:tc>
        <w:tc>
          <w:tcPr>
            <w:tcW w:w="3543" w:type="dxa"/>
            <w:vMerge w:val="restart"/>
            <w:tcBorders>
              <w:top w:val="single" w:sz="4" w:space="0" w:color="auto"/>
              <w:left w:val="single" w:sz="4" w:space="0" w:color="auto"/>
              <w:right w:val="single" w:sz="4" w:space="0" w:color="auto"/>
            </w:tcBorders>
            <w:noWrap/>
            <w:tcMar>
              <w:left w:w="85" w:type="dxa"/>
              <w:right w:w="85" w:type="dxa"/>
            </w:tcMar>
          </w:tcPr>
          <w:p w14:paraId="778D5BAA" w14:textId="46283193" w:rsidR="00D56023" w:rsidRPr="00F84B53" w:rsidRDefault="00D56023" w:rsidP="00D56023">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szCs w:val="20"/>
              </w:rPr>
            </w:pPr>
            <w:r w:rsidRPr="00F84B53">
              <w:rPr>
                <w:rStyle w:val="Artdef"/>
                <w:rFonts w:cstheme="minorHAnsi"/>
                <w:szCs w:val="20"/>
              </w:rPr>
              <w:t>72  </w:t>
            </w:r>
            <w:r w:rsidRPr="00F84B53">
              <w:t>12.1</w:t>
            </w:r>
            <w:r w:rsidRPr="00F84B53">
              <w:rPr>
                <w:rFonts w:asciiTheme="minorHAnsi" w:eastAsia="Batang" w:hAnsiTheme="minorHAnsi" w:cs="Times New Roman"/>
                <w:sz w:val="24"/>
                <w:szCs w:val="20"/>
              </w:rPr>
              <w:tab/>
            </w:r>
            <w:r w:rsidRPr="00F84B53">
              <w:t>Member States should promote access for persons with disabilities to international telecommunication services, taking into account the relevant ITU-T Recommendations.</w:t>
            </w:r>
          </w:p>
        </w:tc>
        <w:tc>
          <w:tcPr>
            <w:tcW w:w="3402" w:type="dxa"/>
            <w:vMerge w:val="restart"/>
            <w:tcBorders>
              <w:top w:val="single" w:sz="4" w:space="0" w:color="auto"/>
              <w:left w:val="single" w:sz="4" w:space="0" w:color="auto"/>
              <w:right w:val="single" w:sz="4" w:space="0" w:color="auto"/>
            </w:tcBorders>
            <w:noWrap/>
            <w:tcMar>
              <w:left w:w="85" w:type="dxa"/>
              <w:right w:w="85" w:type="dxa"/>
            </w:tcMar>
          </w:tcPr>
          <w:p w14:paraId="0502867E" w14:textId="4D7FCB3A" w:rsidR="00D56023" w:rsidRPr="00F84B53" w:rsidRDefault="00D56023" w:rsidP="008D463F">
            <w:pPr>
              <w:pStyle w:val="Tabletext"/>
              <w:jc w:val="both"/>
              <w:rPr>
                <w:rStyle w:val="Artdef"/>
                <w:rFonts w:cstheme="minorHAnsi"/>
                <w:szCs w:val="20"/>
              </w:rPr>
            </w:pPr>
            <w:r w:rsidRPr="00F84B53">
              <w:rPr>
                <w:rFonts w:asciiTheme="minorHAnsi" w:hAnsiTheme="minorHAnsi" w:cs="Calibri"/>
                <w:bCs/>
                <w:i/>
                <w:color w:val="000000"/>
                <w:szCs w:val="20"/>
              </w:rPr>
              <w:t>No analogous provision in</w:t>
            </w:r>
            <w:r w:rsidR="00CF002F" w:rsidRPr="00F84B53">
              <w:rPr>
                <w:rFonts w:asciiTheme="minorHAnsi" w:hAnsiTheme="minorHAnsi" w:cs="Calibri"/>
                <w:bCs/>
                <w:i/>
                <w:color w:val="000000"/>
                <w:szCs w:val="20"/>
              </w:rPr>
              <w:t xml:space="preserve"> the</w:t>
            </w:r>
            <w:r w:rsidRPr="00F84B53">
              <w:rPr>
                <w:rFonts w:asciiTheme="minorHAnsi" w:hAnsiTheme="minorHAnsi" w:cs="Calibri"/>
                <w:bCs/>
                <w:i/>
                <w:color w:val="000000"/>
                <w:szCs w:val="20"/>
              </w:rPr>
              <w:t xml:space="preserve"> 1988 ITRs.</w:t>
            </w:r>
          </w:p>
        </w:tc>
        <w:tc>
          <w:tcPr>
            <w:tcW w:w="2232" w:type="dxa"/>
            <w:tcBorders>
              <w:top w:val="single" w:sz="4" w:space="0" w:color="auto"/>
              <w:left w:val="single" w:sz="4" w:space="0" w:color="auto"/>
              <w:right w:val="single" w:sz="4" w:space="0" w:color="auto"/>
            </w:tcBorders>
            <w:noWrap/>
            <w:tcMar>
              <w:left w:w="85" w:type="dxa"/>
              <w:right w:w="85" w:type="dxa"/>
            </w:tcMar>
          </w:tcPr>
          <w:p w14:paraId="4CEE3B75" w14:textId="5CA32886" w:rsidR="00D56023" w:rsidRPr="00F84B53" w:rsidRDefault="00D56023" w:rsidP="00D5602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A6BCD5F" w14:textId="16FCDF17" w:rsidR="00D56023" w:rsidRPr="00F84B53" w:rsidRDefault="00D56023" w:rsidP="00D56023">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vMerge w:val="restart"/>
            <w:tcBorders>
              <w:top w:val="single" w:sz="4" w:space="0" w:color="auto"/>
              <w:left w:val="single" w:sz="4" w:space="0" w:color="auto"/>
              <w:right w:val="single" w:sz="4" w:space="0" w:color="auto"/>
            </w:tcBorders>
            <w:noWrap/>
            <w:tcMar>
              <w:left w:w="85" w:type="dxa"/>
              <w:right w:w="85" w:type="dxa"/>
            </w:tcMar>
          </w:tcPr>
          <w:p w14:paraId="44B2957F" w14:textId="3DE29D78" w:rsidR="00D56023" w:rsidRPr="00F84B53" w:rsidRDefault="00D56023" w:rsidP="00D56023">
            <w:pPr>
              <w:pStyle w:val="Tabletext"/>
              <w:rPr>
                <w:rFonts w:asciiTheme="minorHAnsi" w:hAnsiTheme="minorHAnsi" w:cstheme="minorHAnsi"/>
                <w:szCs w:val="20"/>
              </w:rPr>
            </w:pPr>
            <w:r w:rsidRPr="00F84B53">
              <w:rPr>
                <w:rFonts w:asciiTheme="minorHAnsi" w:hAnsiTheme="minorHAnsi" w:cstheme="minorHAnsi"/>
                <w:bCs/>
                <w:szCs w:val="20"/>
              </w:rPr>
              <w:t>The provision does not require modification as it is applicable and flexible.</w:t>
            </w:r>
          </w:p>
          <w:p w14:paraId="121DF6C4" w14:textId="59625CC2" w:rsidR="00D56023" w:rsidRPr="00F84B53" w:rsidRDefault="000F7800" w:rsidP="008D463F">
            <w:pPr>
              <w:pStyle w:val="Tabletext"/>
              <w:rPr>
                <w:rFonts w:asciiTheme="minorHAnsi" w:hAnsiTheme="minorHAnsi" w:cstheme="minorHAnsi"/>
                <w:szCs w:val="20"/>
              </w:rPr>
            </w:pPr>
            <w:bookmarkStart w:id="25" w:name="lt_pId093"/>
            <w:r w:rsidRPr="00F84B53">
              <w:rPr>
                <w:rFonts w:asciiTheme="minorHAnsi" w:hAnsiTheme="minorHAnsi" w:cstheme="minorHAnsi"/>
                <w:bCs/>
                <w:szCs w:val="20"/>
              </w:rPr>
              <w:t xml:space="preserve">It seems appropriate to replace the reference to ITU-T Recommendations with a reference to ITU Recommendations as solving the issues covered </w:t>
            </w:r>
            <w:r w:rsidR="00DB044C" w:rsidRPr="00F84B53">
              <w:rPr>
                <w:rFonts w:asciiTheme="minorHAnsi" w:hAnsiTheme="minorHAnsi" w:cstheme="minorHAnsi"/>
                <w:bCs/>
                <w:szCs w:val="20"/>
              </w:rPr>
              <w:t>by</w:t>
            </w:r>
            <w:r w:rsidRPr="00F84B53">
              <w:rPr>
                <w:rFonts w:asciiTheme="minorHAnsi" w:hAnsiTheme="minorHAnsi" w:cstheme="minorHAnsi"/>
                <w:bCs/>
                <w:szCs w:val="20"/>
              </w:rPr>
              <w:t xml:space="preserve"> this Article involve</w:t>
            </w:r>
            <w:r w:rsidR="0056725D" w:rsidRPr="00F84B53">
              <w:rPr>
                <w:rFonts w:asciiTheme="minorHAnsi" w:hAnsiTheme="minorHAnsi" w:cstheme="minorHAnsi"/>
                <w:bCs/>
                <w:szCs w:val="20"/>
              </w:rPr>
              <w:t>s</w:t>
            </w:r>
            <w:r w:rsidRPr="00F84B53">
              <w:rPr>
                <w:rFonts w:asciiTheme="minorHAnsi" w:hAnsiTheme="minorHAnsi" w:cstheme="minorHAnsi"/>
                <w:bCs/>
                <w:szCs w:val="20"/>
              </w:rPr>
              <w:t xml:space="preserve"> the use of </w:t>
            </w:r>
            <w:r w:rsidR="00CF002F" w:rsidRPr="00F84B53">
              <w:rPr>
                <w:rFonts w:asciiTheme="minorHAnsi" w:hAnsiTheme="minorHAnsi" w:cstheme="minorHAnsi"/>
                <w:bCs/>
                <w:szCs w:val="20"/>
              </w:rPr>
              <w:t>various</w:t>
            </w:r>
            <w:r w:rsidRPr="00F84B53">
              <w:rPr>
                <w:rFonts w:asciiTheme="minorHAnsi" w:hAnsiTheme="minorHAnsi" w:cstheme="minorHAnsi"/>
                <w:bCs/>
                <w:szCs w:val="20"/>
              </w:rPr>
              <w:t xml:space="preserve"> telecommunication/ICT </w:t>
            </w:r>
            <w:r w:rsidRPr="00F84B53">
              <w:rPr>
                <w:rFonts w:asciiTheme="minorHAnsi" w:hAnsiTheme="minorHAnsi" w:cstheme="minorHAnsi"/>
                <w:bCs/>
                <w:szCs w:val="20"/>
              </w:rPr>
              <w:lastRenderedPageBreak/>
              <w:t>devices, systems and networks</w:t>
            </w:r>
            <w:r w:rsidR="00D56023" w:rsidRPr="00F84B53">
              <w:rPr>
                <w:rFonts w:asciiTheme="minorHAnsi" w:hAnsiTheme="minorHAnsi" w:cstheme="minorHAnsi"/>
                <w:bCs/>
                <w:szCs w:val="20"/>
              </w:rPr>
              <w:t>.</w:t>
            </w:r>
            <w:bookmarkEnd w:id="25"/>
          </w:p>
        </w:tc>
      </w:tr>
      <w:tr w:rsidR="00D40E7A" w:rsidRPr="00F84B53" w14:paraId="55567772" w14:textId="77777777" w:rsidTr="00F84B53">
        <w:trPr>
          <w:trHeight w:val="1627"/>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1B4808FD" w14:textId="77777777" w:rsidR="00D40E7A" w:rsidRPr="00F84B53" w:rsidRDefault="00D40E7A" w:rsidP="00B0115C">
            <w:pPr>
              <w:pStyle w:val="Tabletext"/>
              <w:jc w:val="center"/>
              <w:rPr>
                <w:rFonts w:asciiTheme="minorHAnsi" w:hAnsiTheme="minorHAnsi" w:cstheme="minorHAnsi"/>
                <w:b/>
              </w:rPr>
            </w:pPr>
          </w:p>
        </w:tc>
        <w:tc>
          <w:tcPr>
            <w:tcW w:w="3543" w:type="dxa"/>
            <w:vMerge/>
            <w:tcBorders>
              <w:left w:val="single" w:sz="4" w:space="0" w:color="auto"/>
              <w:bottom w:val="single" w:sz="4" w:space="0" w:color="auto"/>
              <w:right w:val="single" w:sz="4" w:space="0" w:color="auto"/>
            </w:tcBorders>
            <w:noWrap/>
            <w:tcMar>
              <w:left w:w="85" w:type="dxa"/>
              <w:right w:w="85" w:type="dxa"/>
            </w:tcMar>
          </w:tcPr>
          <w:p w14:paraId="358D896F" w14:textId="77777777" w:rsidR="00D40E7A" w:rsidRPr="00F84B53" w:rsidRDefault="00D40E7A" w:rsidP="00B0115C">
            <w:pPr>
              <w:pStyle w:val="Tabletext"/>
              <w:jc w:val="both"/>
              <w:rPr>
                <w:rStyle w:val="Artdef"/>
                <w:rFonts w:cstheme="minorHAnsi"/>
                <w:szCs w:val="20"/>
              </w:rPr>
            </w:pPr>
          </w:p>
        </w:tc>
        <w:tc>
          <w:tcPr>
            <w:tcW w:w="3402" w:type="dxa"/>
            <w:vMerge/>
            <w:tcBorders>
              <w:left w:val="single" w:sz="4" w:space="0" w:color="auto"/>
              <w:bottom w:val="single" w:sz="4" w:space="0" w:color="auto"/>
              <w:right w:val="single" w:sz="4" w:space="0" w:color="auto"/>
            </w:tcBorders>
            <w:noWrap/>
            <w:tcMar>
              <w:left w:w="85" w:type="dxa"/>
              <w:right w:w="85" w:type="dxa"/>
            </w:tcMar>
          </w:tcPr>
          <w:p w14:paraId="11DE31A8" w14:textId="77777777" w:rsidR="00D40E7A" w:rsidRPr="00F84B53" w:rsidRDefault="00D40E7A" w:rsidP="00B0115C">
            <w:pPr>
              <w:pStyle w:val="Tabletext"/>
              <w:jc w:val="both"/>
              <w:rPr>
                <w:rFonts w:asciiTheme="minorHAnsi" w:hAnsiTheme="minorHAnsi" w:cs="Calibri"/>
                <w:bCs/>
                <w:i/>
                <w:color w:val="000000"/>
              </w:rPr>
            </w:pPr>
          </w:p>
        </w:tc>
        <w:tc>
          <w:tcPr>
            <w:tcW w:w="4395" w:type="dxa"/>
            <w:gridSpan w:val="2"/>
            <w:tcBorders>
              <w:left w:val="single" w:sz="4" w:space="0" w:color="auto"/>
              <w:bottom w:val="single" w:sz="4" w:space="0" w:color="auto"/>
              <w:right w:val="single" w:sz="4" w:space="0" w:color="auto"/>
            </w:tcBorders>
            <w:noWrap/>
            <w:tcMar>
              <w:left w:w="85" w:type="dxa"/>
              <w:right w:w="85" w:type="dxa"/>
            </w:tcMar>
          </w:tcPr>
          <w:p w14:paraId="1423B4B4" w14:textId="1C6D3F5F" w:rsidR="00D40E7A" w:rsidRPr="00F84B53" w:rsidRDefault="000F7800" w:rsidP="008D463F">
            <w:pPr>
              <w:pStyle w:val="Tabletext"/>
              <w:rPr>
                <w:rFonts w:asciiTheme="minorHAnsi" w:hAnsiTheme="minorHAnsi" w:cstheme="minorHAnsi"/>
                <w:b/>
                <w:i/>
              </w:rPr>
            </w:pPr>
            <w:bookmarkStart w:id="26" w:name="lt_pId342"/>
            <w:bookmarkStart w:id="27" w:name="lt_pId094"/>
            <w:r w:rsidRPr="00F84B53">
              <w:rPr>
                <w:rFonts w:asciiTheme="minorHAnsi" w:hAnsiTheme="minorHAnsi" w:cs="Calibri"/>
                <w:b/>
                <w:bCs/>
                <w:i/>
                <w:color w:val="000000"/>
                <w:szCs w:val="20"/>
              </w:rPr>
              <w:t xml:space="preserve">Article 12 of the 2012 ITRs reflects widely recognized provisions of resolutions of the UN and other international organizations and the legislation of many ITU Member States concerning </w:t>
            </w:r>
            <w:r w:rsidR="00130984" w:rsidRPr="00F84B53">
              <w:rPr>
                <w:rFonts w:asciiTheme="minorHAnsi" w:hAnsiTheme="minorHAnsi" w:cs="Calibri"/>
                <w:b/>
                <w:bCs/>
                <w:i/>
                <w:color w:val="000000"/>
                <w:szCs w:val="20"/>
              </w:rPr>
              <w:t>the promotion of access for persons with disabilities</w:t>
            </w:r>
            <w:r w:rsidR="006E5197" w:rsidRPr="00F84B53">
              <w:rPr>
                <w:rFonts w:asciiTheme="minorHAnsi" w:hAnsiTheme="minorHAnsi" w:cs="Calibri"/>
                <w:b/>
                <w:bCs/>
                <w:i/>
                <w:color w:val="000000"/>
                <w:szCs w:val="20"/>
              </w:rPr>
              <w:t>.</w:t>
            </w:r>
            <w:bookmarkEnd w:id="26"/>
            <w:bookmarkEnd w:id="27"/>
          </w:p>
        </w:tc>
        <w:tc>
          <w:tcPr>
            <w:tcW w:w="2409" w:type="dxa"/>
            <w:vMerge/>
            <w:tcBorders>
              <w:left w:val="single" w:sz="4" w:space="0" w:color="auto"/>
              <w:bottom w:val="single" w:sz="4" w:space="0" w:color="auto"/>
              <w:right w:val="single" w:sz="4" w:space="0" w:color="auto"/>
            </w:tcBorders>
            <w:noWrap/>
            <w:tcMar>
              <w:left w:w="85" w:type="dxa"/>
              <w:right w:w="85" w:type="dxa"/>
            </w:tcMar>
          </w:tcPr>
          <w:p w14:paraId="38D8197C" w14:textId="77777777" w:rsidR="00D40E7A" w:rsidRPr="00F84B53" w:rsidRDefault="00D40E7A" w:rsidP="00B0115C">
            <w:pPr>
              <w:pStyle w:val="Tabletext"/>
              <w:jc w:val="both"/>
              <w:rPr>
                <w:rFonts w:asciiTheme="minorHAnsi" w:hAnsiTheme="minorHAnsi" w:cs="Calibri"/>
                <w:bCs/>
                <w:color w:val="000000"/>
              </w:rPr>
            </w:pPr>
          </w:p>
        </w:tc>
      </w:tr>
      <w:tr w:rsidR="00D40E7A" w:rsidRPr="00F84B53" w14:paraId="33B2C229" w14:textId="77777777" w:rsidTr="00F84B53">
        <w:trPr>
          <w:trHeight w:val="3705"/>
          <w:jc w:val="center"/>
        </w:trPr>
        <w:tc>
          <w:tcPr>
            <w:tcW w:w="988" w:type="dxa"/>
            <w:vMerge w:val="restart"/>
            <w:tcBorders>
              <w:left w:val="single" w:sz="4" w:space="0" w:color="auto"/>
              <w:right w:val="single" w:sz="4" w:space="0" w:color="auto"/>
            </w:tcBorders>
            <w:noWrap/>
            <w:tcMar>
              <w:left w:w="85" w:type="dxa"/>
              <w:right w:w="85" w:type="dxa"/>
            </w:tcMar>
            <w:textDirection w:val="btLr"/>
            <w:vAlign w:val="center"/>
          </w:tcPr>
          <w:p w14:paraId="7131429A" w14:textId="6DE17F25" w:rsidR="00D40E7A" w:rsidRPr="00F84B53" w:rsidRDefault="00B667C2" w:rsidP="00B0115C">
            <w:pPr>
              <w:pStyle w:val="Tabletext"/>
              <w:jc w:val="center"/>
              <w:rPr>
                <w:rFonts w:asciiTheme="minorHAnsi" w:hAnsiTheme="minorHAnsi" w:cstheme="minorHAnsi"/>
                <w:b/>
              </w:rPr>
            </w:pPr>
            <w:bookmarkStart w:id="28" w:name="lt_pId095"/>
            <w:r w:rsidRPr="00F84B53">
              <w:rPr>
                <w:rFonts w:asciiTheme="minorHAnsi" w:hAnsiTheme="minorHAnsi" w:cstheme="minorHAnsi"/>
                <w:b/>
                <w:szCs w:val="20"/>
              </w:rPr>
              <w:t>ARTICLE</w:t>
            </w:r>
            <w:r w:rsidR="00D40E7A" w:rsidRPr="00F84B53">
              <w:rPr>
                <w:rFonts w:asciiTheme="minorHAnsi" w:hAnsiTheme="minorHAnsi" w:cstheme="minorHAnsi"/>
                <w:b/>
                <w:szCs w:val="20"/>
              </w:rPr>
              <w:t xml:space="preserve"> 13 – </w:t>
            </w:r>
            <w:bookmarkStart w:id="29" w:name="_Toc351558985"/>
            <w:r w:rsidRPr="00F84B53">
              <w:rPr>
                <w:rFonts w:asciiTheme="minorHAnsi" w:hAnsiTheme="minorHAnsi" w:cstheme="minorHAnsi"/>
                <w:b/>
                <w:szCs w:val="20"/>
              </w:rPr>
              <w:t>Special arrangements</w:t>
            </w:r>
            <w:bookmarkEnd w:id="28"/>
            <w:bookmarkEnd w:id="29"/>
          </w:p>
        </w:tc>
        <w:tc>
          <w:tcPr>
            <w:tcW w:w="3543" w:type="dxa"/>
            <w:vMerge w:val="restart"/>
            <w:tcBorders>
              <w:top w:val="single" w:sz="4" w:space="0" w:color="auto"/>
              <w:left w:val="single" w:sz="4" w:space="0" w:color="auto"/>
              <w:right w:val="single" w:sz="4" w:space="0" w:color="auto"/>
            </w:tcBorders>
            <w:noWrap/>
            <w:tcMar>
              <w:left w:w="85" w:type="dxa"/>
              <w:right w:w="85" w:type="dxa"/>
            </w:tcMar>
          </w:tcPr>
          <w:p w14:paraId="09D50742" w14:textId="5A4CD577" w:rsidR="00D40E7A" w:rsidRPr="00F84B53" w:rsidRDefault="00D40E7A" w:rsidP="00681FC9">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szCs w:val="20"/>
              </w:rPr>
            </w:pPr>
            <w:r w:rsidRPr="00F84B53">
              <w:rPr>
                <w:rStyle w:val="Artdef"/>
                <w:rFonts w:cstheme="minorHAnsi"/>
                <w:szCs w:val="20"/>
              </w:rPr>
              <w:t>73  </w:t>
            </w:r>
            <w:r w:rsidRPr="00F84B53">
              <w:t>13.1</w:t>
            </w:r>
            <w:r w:rsidRPr="00F84B53">
              <w:tab/>
            </w:r>
            <w:bookmarkStart w:id="30" w:name="lt_pId097"/>
            <w:r w:rsidRPr="00F84B53">
              <w:rPr>
                <w:i/>
                <w:iCs/>
              </w:rPr>
              <w:t>a)</w:t>
            </w:r>
            <w:bookmarkEnd w:id="30"/>
            <w:r w:rsidRPr="00F84B53">
              <w:tab/>
            </w:r>
            <w:r w:rsidR="00681FC9" w:rsidRPr="00F84B53">
              <w:t xml:space="preserve">Pursuant to Article 42 of the Constitution, special arrangements may be entered into on telecommunication matters which do not </w:t>
            </w:r>
            <w:r w:rsidR="00681FC9" w:rsidRPr="00F84B53">
              <w:rPr>
                <w:sz w:val="20"/>
              </w:rPr>
              <w:t>concern</w:t>
            </w:r>
            <w:r w:rsidR="00681FC9" w:rsidRPr="00F84B53">
              <w:t xml:space="preserve"> Member States in general. Subject to national laws, Member States may allow authorized operating agencies or other organizations or persons to enter into such special mutual arrangements with Member States and authorized operating agencies, or other organizations or persons </w:t>
            </w:r>
            <w:r w:rsidR="00681FC9" w:rsidRPr="00F84B53">
              <w:lastRenderedPageBreak/>
              <w:t>that are so allowed in another country for the establishment, operation and use of special international telecommunication networks, systems and services, in order to meet specialized international telecommunication needs within and/or between the territories of the Member States concerned, and including, as necessary, the financial, technical or operating conditions to be observed</w:t>
            </w:r>
            <w:bookmarkStart w:id="31" w:name="lt_pId100"/>
            <w:r w:rsidRPr="00F84B53">
              <w:rPr>
                <w:rFonts w:asciiTheme="minorHAnsi" w:hAnsiTheme="minorHAnsi" w:cstheme="minorHAnsi"/>
                <w:szCs w:val="20"/>
              </w:rPr>
              <w:t>.</w:t>
            </w:r>
            <w:bookmarkEnd w:id="31"/>
          </w:p>
        </w:tc>
        <w:tc>
          <w:tcPr>
            <w:tcW w:w="3402" w:type="dxa"/>
            <w:vMerge w:val="restart"/>
            <w:tcBorders>
              <w:top w:val="single" w:sz="4" w:space="0" w:color="auto"/>
              <w:left w:val="single" w:sz="4" w:space="0" w:color="auto"/>
              <w:right w:val="single" w:sz="4" w:space="0" w:color="auto"/>
            </w:tcBorders>
            <w:noWrap/>
            <w:tcMar>
              <w:left w:w="85" w:type="dxa"/>
              <w:right w:w="85" w:type="dxa"/>
            </w:tcMar>
          </w:tcPr>
          <w:p w14:paraId="4C842573" w14:textId="32897D7A" w:rsidR="00D40E7A" w:rsidRPr="00F84B53" w:rsidRDefault="00D40E7A" w:rsidP="006069EB">
            <w:pPr>
              <w:pStyle w:val="Tabletext"/>
              <w:rPr>
                <w:rStyle w:val="Artdef"/>
                <w:rFonts w:cstheme="minorHAnsi"/>
                <w:szCs w:val="20"/>
              </w:rPr>
            </w:pPr>
            <w:r w:rsidRPr="00F84B53">
              <w:rPr>
                <w:rStyle w:val="Artdef"/>
                <w:rFonts w:cstheme="minorHAnsi"/>
                <w:szCs w:val="20"/>
              </w:rPr>
              <w:lastRenderedPageBreak/>
              <w:t>58  </w:t>
            </w:r>
            <w:r w:rsidRPr="00F84B53">
              <w:t>9.1</w:t>
            </w:r>
            <w:r w:rsidRPr="00F84B53">
              <w:tab/>
            </w:r>
            <w:bookmarkStart w:id="32" w:name="lt_pId102"/>
            <w:r w:rsidRPr="00F84B53">
              <w:rPr>
                <w:i/>
                <w:iCs/>
              </w:rPr>
              <w:t>a)</w:t>
            </w:r>
            <w:bookmarkEnd w:id="32"/>
            <w:r w:rsidRPr="00F84B53">
              <w:tab/>
            </w:r>
            <w:r w:rsidR="006069EB" w:rsidRPr="00F84B53">
              <w:t>Pursuant to Article 31 of the International Telecommunication Convention (Nairobi, 1982), special arrangements may be entered into on telecommunication matters which do not concern Members in general. Subject to national laws, Members may allow administrations</w:t>
            </w:r>
            <w:r w:rsidR="006069EB" w:rsidRPr="00F84B53">
              <w:fldChar w:fldCharType="begin"/>
            </w:r>
            <w:r w:rsidR="006069EB" w:rsidRPr="00F84B53">
              <w:instrText xml:space="preserve"> NOTEREF _Ref318892464 \f \h </w:instrText>
            </w:r>
            <w:r w:rsidR="00E665D4" w:rsidRPr="00F84B53">
              <w:instrText xml:space="preserve"> \* MERGEFORMAT </w:instrText>
            </w:r>
            <w:r w:rsidR="006069EB" w:rsidRPr="00F84B53">
              <w:fldChar w:fldCharType="separate"/>
            </w:r>
            <w:r w:rsidR="006069EB" w:rsidRPr="00F84B53">
              <w:rPr>
                <w:rStyle w:val="FootnoteReference"/>
              </w:rPr>
              <w:t>*</w:t>
            </w:r>
            <w:r w:rsidR="006069EB" w:rsidRPr="00F84B53">
              <w:fldChar w:fldCharType="end"/>
            </w:r>
            <w:r w:rsidR="006069EB" w:rsidRPr="00F84B53">
              <w:t xml:space="preserve"> or other organizations or persons to enter into such special mutual arrangements with Members, </w:t>
            </w:r>
            <w:r w:rsidR="006069EB" w:rsidRPr="00F84B53">
              <w:lastRenderedPageBreak/>
              <w:t>administrations</w:t>
            </w:r>
            <w:r w:rsidR="006069EB" w:rsidRPr="00F84B53">
              <w:fldChar w:fldCharType="begin"/>
            </w:r>
            <w:r w:rsidR="006069EB" w:rsidRPr="00F84B53">
              <w:instrText xml:space="preserve"> NOTEREF _Ref318892464 \f \h </w:instrText>
            </w:r>
            <w:r w:rsidR="00E665D4" w:rsidRPr="00F84B53">
              <w:instrText xml:space="preserve"> \* MERGEFORMAT </w:instrText>
            </w:r>
            <w:r w:rsidR="006069EB" w:rsidRPr="00F84B53">
              <w:fldChar w:fldCharType="separate"/>
            </w:r>
            <w:r w:rsidR="006069EB" w:rsidRPr="00F84B53">
              <w:rPr>
                <w:rStyle w:val="FootnoteReference"/>
              </w:rPr>
              <w:t>*</w:t>
            </w:r>
            <w:r w:rsidR="006069EB" w:rsidRPr="00F84B53">
              <w:fldChar w:fldCharType="end"/>
            </w:r>
            <w:r w:rsidR="006069EB" w:rsidRPr="00F84B53">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Members concerned, and including, as necessary, those financial, technical, or operating conditions to be observed</w:t>
            </w:r>
            <w:bookmarkStart w:id="33" w:name="lt_pId105"/>
            <w:r w:rsidR="006069EB" w:rsidRPr="00F84B53">
              <w:t>.</w:t>
            </w:r>
            <w:bookmarkEnd w:id="33"/>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49D88A5" w14:textId="42EF5E16"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lastRenderedPageBreak/>
              <w:t>The provision is applicable in fostering provision and development of networks and services.</w:t>
            </w:r>
          </w:p>
        </w:tc>
        <w:tc>
          <w:tcPr>
            <w:tcW w:w="2163" w:type="dxa"/>
            <w:tcBorders>
              <w:top w:val="single" w:sz="4" w:space="0" w:color="auto"/>
              <w:left w:val="single" w:sz="4" w:space="0" w:color="auto"/>
              <w:right w:val="single" w:sz="4" w:space="0" w:color="auto"/>
            </w:tcBorders>
            <w:noWrap/>
            <w:tcMar>
              <w:left w:w="85" w:type="dxa"/>
              <w:right w:w="85" w:type="dxa"/>
            </w:tcMar>
          </w:tcPr>
          <w:p w14:paraId="2A8FC995" w14:textId="312B74D4"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vMerge w:val="restart"/>
            <w:tcBorders>
              <w:top w:val="single" w:sz="4" w:space="0" w:color="auto"/>
              <w:left w:val="single" w:sz="4" w:space="0" w:color="auto"/>
              <w:right w:val="single" w:sz="4" w:space="0" w:color="auto"/>
            </w:tcBorders>
            <w:noWrap/>
            <w:tcMar>
              <w:left w:w="85" w:type="dxa"/>
              <w:right w:w="85" w:type="dxa"/>
            </w:tcMar>
          </w:tcPr>
          <w:p w14:paraId="69350FF9" w14:textId="4DC517D0" w:rsidR="00D40E7A" w:rsidRPr="00F84B53" w:rsidRDefault="00E46068" w:rsidP="00E46068">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D40E7A" w:rsidRPr="00F84B53" w14:paraId="2FBBC0DD" w14:textId="77777777" w:rsidTr="00F84B53">
        <w:trPr>
          <w:trHeight w:val="3705"/>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6BCF7EA7" w14:textId="77777777" w:rsidR="00D40E7A" w:rsidRPr="00F84B53" w:rsidRDefault="00D40E7A" w:rsidP="00B0115C">
            <w:pPr>
              <w:pStyle w:val="Tabletext"/>
              <w:jc w:val="center"/>
              <w:rPr>
                <w:rFonts w:asciiTheme="minorHAnsi" w:hAnsiTheme="minorHAnsi" w:cstheme="minorHAnsi"/>
                <w:b/>
              </w:rPr>
            </w:pPr>
          </w:p>
        </w:tc>
        <w:tc>
          <w:tcPr>
            <w:tcW w:w="3543" w:type="dxa"/>
            <w:vMerge/>
            <w:tcBorders>
              <w:left w:val="single" w:sz="4" w:space="0" w:color="auto"/>
              <w:bottom w:val="single" w:sz="4" w:space="0" w:color="auto"/>
              <w:right w:val="single" w:sz="4" w:space="0" w:color="auto"/>
            </w:tcBorders>
            <w:noWrap/>
            <w:tcMar>
              <w:left w:w="85" w:type="dxa"/>
              <w:right w:w="85" w:type="dxa"/>
            </w:tcMar>
          </w:tcPr>
          <w:p w14:paraId="123AABC1" w14:textId="77777777" w:rsidR="00D40E7A" w:rsidRPr="00F84B53" w:rsidRDefault="00D40E7A" w:rsidP="00B0115C">
            <w:pPr>
              <w:pStyle w:val="Tabletext"/>
              <w:jc w:val="both"/>
              <w:rPr>
                <w:rStyle w:val="Artdef"/>
                <w:rFonts w:cstheme="minorHAnsi"/>
                <w:szCs w:val="20"/>
              </w:rPr>
            </w:pPr>
          </w:p>
        </w:tc>
        <w:tc>
          <w:tcPr>
            <w:tcW w:w="3402" w:type="dxa"/>
            <w:vMerge/>
            <w:tcBorders>
              <w:left w:val="single" w:sz="4" w:space="0" w:color="auto"/>
              <w:bottom w:val="single" w:sz="4" w:space="0" w:color="auto"/>
              <w:right w:val="single" w:sz="4" w:space="0" w:color="auto"/>
            </w:tcBorders>
            <w:noWrap/>
            <w:tcMar>
              <w:left w:w="85" w:type="dxa"/>
              <w:right w:w="85" w:type="dxa"/>
            </w:tcMar>
          </w:tcPr>
          <w:p w14:paraId="6FDBD1EB" w14:textId="77777777" w:rsidR="00D40E7A" w:rsidRPr="00F84B53" w:rsidRDefault="00D40E7A" w:rsidP="00B0115C">
            <w:pPr>
              <w:pStyle w:val="Tabletext"/>
              <w:jc w:val="both"/>
              <w:rPr>
                <w:rStyle w:val="Artdef"/>
                <w:rFonts w:cstheme="minorHAnsi"/>
                <w:szCs w:val="20"/>
              </w:rPr>
            </w:pPr>
          </w:p>
        </w:tc>
        <w:tc>
          <w:tcPr>
            <w:tcW w:w="4395"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5F111729" w14:textId="171A78C4" w:rsidR="00D40E7A" w:rsidRPr="00F84B53" w:rsidRDefault="004604DE" w:rsidP="008D463F">
            <w:pPr>
              <w:pStyle w:val="Tabletext"/>
              <w:rPr>
                <w:rFonts w:asciiTheme="minorHAnsi" w:hAnsiTheme="minorHAnsi" w:cstheme="minorHAnsi"/>
              </w:rPr>
            </w:pPr>
            <w:bookmarkStart w:id="34" w:name="lt_pId111"/>
            <w:r w:rsidRPr="00F84B53">
              <w:rPr>
                <w:rFonts w:asciiTheme="minorHAnsi" w:hAnsiTheme="minorHAnsi" w:cstheme="minorHAnsi"/>
                <w:b/>
                <w:bCs/>
                <w:i/>
                <w:szCs w:val="20"/>
              </w:rPr>
              <w:t>No.</w:t>
            </w:r>
            <w:r w:rsidR="000F7800" w:rsidRPr="00F84B53">
              <w:rPr>
                <w:rFonts w:asciiTheme="minorHAnsi" w:hAnsiTheme="minorHAnsi" w:cstheme="minorHAnsi"/>
                <w:b/>
                <w:bCs/>
                <w:i/>
                <w:szCs w:val="20"/>
              </w:rPr>
              <w:t xml:space="preserve"> 58 of the 1988 ITRs contains an outdated reference to the now defunct International Telecommunication Convention</w:t>
            </w:r>
            <w:r w:rsidR="00D40E7A" w:rsidRPr="00F84B53">
              <w:rPr>
                <w:rFonts w:asciiTheme="minorHAnsi" w:hAnsiTheme="minorHAnsi" w:cstheme="minorHAnsi"/>
                <w:b/>
                <w:bCs/>
                <w:i/>
                <w:szCs w:val="20"/>
              </w:rPr>
              <w:t>.</w:t>
            </w:r>
            <w:bookmarkEnd w:id="34"/>
          </w:p>
        </w:tc>
        <w:tc>
          <w:tcPr>
            <w:tcW w:w="2409" w:type="dxa"/>
            <w:vMerge/>
            <w:tcBorders>
              <w:left w:val="single" w:sz="4" w:space="0" w:color="auto"/>
              <w:bottom w:val="single" w:sz="4" w:space="0" w:color="auto"/>
              <w:right w:val="single" w:sz="4" w:space="0" w:color="auto"/>
            </w:tcBorders>
            <w:noWrap/>
            <w:tcMar>
              <w:left w:w="85" w:type="dxa"/>
              <w:right w:w="85" w:type="dxa"/>
            </w:tcMar>
          </w:tcPr>
          <w:p w14:paraId="2DB2643A" w14:textId="77777777" w:rsidR="00D40E7A" w:rsidRPr="00F84B53" w:rsidRDefault="00D40E7A" w:rsidP="00B0115C">
            <w:pPr>
              <w:pStyle w:val="Tabletext"/>
              <w:rPr>
                <w:rFonts w:asciiTheme="minorHAnsi" w:hAnsiTheme="minorHAnsi" w:cstheme="minorHAnsi"/>
              </w:rPr>
            </w:pPr>
          </w:p>
        </w:tc>
      </w:tr>
      <w:tr w:rsidR="00D40E7A" w:rsidRPr="00F84B53" w14:paraId="70185F39" w14:textId="77777777" w:rsidTr="00F84B53">
        <w:trPr>
          <w:trHeight w:val="1200"/>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50E2B62D"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473B8A9" w14:textId="2CB842D2" w:rsidR="00D40E7A" w:rsidRPr="00F84B53" w:rsidRDefault="00D40E7A" w:rsidP="00681FC9">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szCs w:val="20"/>
              </w:rPr>
            </w:pPr>
            <w:r w:rsidRPr="00F84B53">
              <w:rPr>
                <w:rStyle w:val="Artdef"/>
                <w:rFonts w:cstheme="minorHAnsi"/>
                <w:szCs w:val="20"/>
              </w:rPr>
              <w:t>74  </w:t>
            </w:r>
            <w:r w:rsidRPr="00F84B53">
              <w:t>13.1</w:t>
            </w:r>
            <w:r w:rsidRPr="00F84B53">
              <w:tab/>
            </w:r>
            <w:bookmarkStart w:id="35" w:name="lt_pId113"/>
            <w:r w:rsidRPr="00F84B53">
              <w:rPr>
                <w:i/>
                <w:iCs/>
              </w:rPr>
              <w:t>b)</w:t>
            </w:r>
            <w:bookmarkEnd w:id="35"/>
            <w:r w:rsidRPr="00F84B53">
              <w:tab/>
            </w:r>
            <w:r w:rsidR="00681FC9" w:rsidRPr="00F84B53">
              <w:t>Any such special arrangements shall endeavour to avoid technical harm to the operation of the telecommunication facilities of third countries.</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67FFCD8" w14:textId="51D8EDC6" w:rsidR="00D40E7A" w:rsidRPr="00F84B53" w:rsidRDefault="00D40E7A" w:rsidP="006069EB">
            <w:pPr>
              <w:pStyle w:val="Tabletext"/>
              <w:rPr>
                <w:rStyle w:val="Artdef"/>
                <w:rFonts w:cstheme="minorHAnsi"/>
                <w:szCs w:val="20"/>
              </w:rPr>
            </w:pPr>
            <w:bookmarkStart w:id="36" w:name="lt_pId115"/>
            <w:r w:rsidRPr="00F84B53">
              <w:rPr>
                <w:rStyle w:val="Artdef"/>
                <w:rFonts w:cstheme="minorHAnsi"/>
                <w:szCs w:val="20"/>
              </w:rPr>
              <w:t>59  </w:t>
            </w:r>
            <w:r w:rsidRPr="00F84B53">
              <w:rPr>
                <w:i/>
                <w:iCs/>
              </w:rPr>
              <w:t>b)</w:t>
            </w:r>
            <w:bookmarkEnd w:id="36"/>
            <w:r w:rsidRPr="00F84B53">
              <w:tab/>
            </w:r>
            <w:bookmarkStart w:id="37" w:name="lt_pId116"/>
            <w:r w:rsidR="006069EB" w:rsidRPr="00F84B53">
              <w:t>Any such special arrangements should avoid technical harm to the operation of the telecommunication facilities of third countries</w:t>
            </w:r>
            <w:r w:rsidRPr="00F84B53">
              <w:rPr>
                <w:rFonts w:asciiTheme="minorHAnsi" w:hAnsiTheme="minorHAnsi" w:cstheme="minorHAnsi"/>
                <w:szCs w:val="20"/>
              </w:rPr>
              <w:t>.</w:t>
            </w:r>
            <w:bookmarkEnd w:id="37"/>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713AEF3" w14:textId="35FFE5E4"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92BA13B" w14:textId="52D5FD0B" w:rsidR="00D40E7A" w:rsidRPr="00F84B53" w:rsidRDefault="00BA3390" w:rsidP="00D04584">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9D51F24" w14:textId="217B8CD4" w:rsidR="00D40E7A" w:rsidRPr="00F84B53" w:rsidRDefault="00E46068" w:rsidP="00E46068">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D40E7A" w:rsidRPr="00F84B53" w14:paraId="6E3D27E2" w14:textId="77777777" w:rsidTr="00F84B53">
        <w:trPr>
          <w:trHeight w:val="1200"/>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720A01EB" w14:textId="77777777" w:rsidR="00D40E7A" w:rsidRPr="00F84B53" w:rsidRDefault="00D40E7A" w:rsidP="00B0115C">
            <w:pPr>
              <w:pStyle w:val="Tabletext"/>
              <w:jc w:val="center"/>
              <w:rPr>
                <w:rFonts w:asciiTheme="minorHAnsi" w:hAnsiTheme="minorHAnsi" w:cstheme="minorHAnsi"/>
                <w:b/>
              </w:rPr>
            </w:pPr>
          </w:p>
        </w:tc>
        <w:tc>
          <w:tcPr>
            <w:tcW w:w="3543" w:type="dxa"/>
            <w:vMerge w:val="restart"/>
            <w:tcBorders>
              <w:top w:val="single" w:sz="4" w:space="0" w:color="auto"/>
              <w:left w:val="single" w:sz="4" w:space="0" w:color="auto"/>
              <w:right w:val="single" w:sz="4" w:space="0" w:color="auto"/>
            </w:tcBorders>
            <w:noWrap/>
            <w:tcMar>
              <w:left w:w="85" w:type="dxa"/>
              <w:right w:w="85" w:type="dxa"/>
            </w:tcMar>
          </w:tcPr>
          <w:p w14:paraId="04F88A16" w14:textId="2E776E8D" w:rsidR="00D40E7A" w:rsidRPr="00F84B53" w:rsidRDefault="00D40E7A" w:rsidP="00681FC9">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szCs w:val="20"/>
              </w:rPr>
            </w:pPr>
            <w:r w:rsidRPr="00F84B53">
              <w:rPr>
                <w:rStyle w:val="Artdef"/>
                <w:rFonts w:cstheme="minorHAnsi"/>
                <w:szCs w:val="20"/>
              </w:rPr>
              <w:t>75  </w:t>
            </w:r>
            <w:r w:rsidRPr="00F84B53">
              <w:t>13.2</w:t>
            </w:r>
            <w:r w:rsidRPr="00F84B53">
              <w:tab/>
            </w:r>
            <w:r w:rsidR="00681FC9" w:rsidRPr="00F84B53">
              <w:t>Member States should, where appropriate, encourage the parties to any special arrangements that are made pursuant to No. 73 (13.1) above to take into account relevant provisions of ITU-T</w:t>
            </w:r>
            <w:r w:rsidR="00681FC9" w:rsidRPr="00F84B53" w:rsidDel="00C013EF">
              <w:t xml:space="preserve"> </w:t>
            </w:r>
            <w:r w:rsidR="00681FC9" w:rsidRPr="00F84B53">
              <w:t>Recommendations.</w:t>
            </w:r>
          </w:p>
        </w:tc>
        <w:tc>
          <w:tcPr>
            <w:tcW w:w="3402" w:type="dxa"/>
            <w:vMerge w:val="restart"/>
            <w:tcBorders>
              <w:top w:val="single" w:sz="4" w:space="0" w:color="auto"/>
              <w:left w:val="single" w:sz="4" w:space="0" w:color="auto"/>
              <w:right w:val="single" w:sz="4" w:space="0" w:color="auto"/>
            </w:tcBorders>
            <w:noWrap/>
            <w:tcMar>
              <w:left w:w="85" w:type="dxa"/>
              <w:right w:w="85" w:type="dxa"/>
            </w:tcMar>
          </w:tcPr>
          <w:p w14:paraId="4DD62F41" w14:textId="5DC84F17" w:rsidR="00D40E7A" w:rsidRPr="00F84B53" w:rsidRDefault="00D40E7A" w:rsidP="006069EB">
            <w:pPr>
              <w:pStyle w:val="Tabletext"/>
              <w:rPr>
                <w:rStyle w:val="Artdef"/>
                <w:rFonts w:cstheme="minorHAnsi"/>
                <w:szCs w:val="20"/>
              </w:rPr>
            </w:pPr>
            <w:r w:rsidRPr="00F84B53">
              <w:rPr>
                <w:rStyle w:val="Artdef"/>
                <w:rFonts w:cstheme="minorHAnsi"/>
                <w:szCs w:val="20"/>
              </w:rPr>
              <w:t>60  </w:t>
            </w:r>
            <w:r w:rsidRPr="00F84B53">
              <w:t>9.2</w:t>
            </w:r>
            <w:r w:rsidRPr="00F84B53">
              <w:tab/>
            </w:r>
            <w:r w:rsidR="006069EB" w:rsidRPr="00F84B53">
              <w:t>Members should, where appropriate, encourage the parties to any special arrangements that are made pursuant to No. 58 to take into account relevant provisions of CCITT Recommendations.</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CDFB279" w14:textId="16C1B82F"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CCE87FA" w14:textId="61790FFF"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vMerge w:val="restart"/>
            <w:tcBorders>
              <w:top w:val="single" w:sz="4" w:space="0" w:color="auto"/>
              <w:left w:val="single" w:sz="4" w:space="0" w:color="auto"/>
              <w:right w:val="single" w:sz="4" w:space="0" w:color="auto"/>
            </w:tcBorders>
            <w:noWrap/>
            <w:tcMar>
              <w:left w:w="85" w:type="dxa"/>
              <w:right w:w="85" w:type="dxa"/>
            </w:tcMar>
          </w:tcPr>
          <w:p w14:paraId="3A434841" w14:textId="0C510AF6" w:rsidR="00D40E7A" w:rsidRPr="00F84B53" w:rsidRDefault="00E46068" w:rsidP="00E46068">
            <w:pPr>
              <w:pStyle w:val="Tabletext"/>
              <w:rPr>
                <w:rFonts w:asciiTheme="minorHAnsi" w:hAnsiTheme="minorHAnsi" w:cstheme="minorHAnsi"/>
                <w:szCs w:val="20"/>
              </w:rPr>
            </w:pPr>
            <w:r w:rsidRPr="00F84B53">
              <w:rPr>
                <w:rFonts w:asciiTheme="minorHAnsi" w:hAnsiTheme="minorHAnsi" w:cstheme="minorHAnsi"/>
                <w:bCs/>
                <w:szCs w:val="20"/>
              </w:rPr>
              <w:t>The provision does not require modification as it is applicable and flexible.</w:t>
            </w:r>
          </w:p>
          <w:p w14:paraId="4237B590" w14:textId="5CD60559" w:rsidR="00D40E7A" w:rsidRPr="00F84B53" w:rsidRDefault="0056725D" w:rsidP="008D463F">
            <w:pPr>
              <w:pStyle w:val="Tabletext"/>
              <w:rPr>
                <w:rFonts w:asciiTheme="minorHAnsi" w:hAnsiTheme="minorHAnsi" w:cstheme="minorHAnsi"/>
              </w:rPr>
            </w:pPr>
            <w:bookmarkStart w:id="38" w:name="lt_pId127"/>
            <w:r w:rsidRPr="00F84B53">
              <w:rPr>
                <w:rFonts w:asciiTheme="minorHAnsi" w:hAnsiTheme="minorHAnsi" w:cstheme="minorHAnsi"/>
                <w:bCs/>
                <w:szCs w:val="20"/>
              </w:rPr>
              <w:t xml:space="preserve">It seems appropriate to replace the reference to ITU-T Recommendations with a reference to ITU Recommendations as </w:t>
            </w:r>
            <w:r w:rsidR="00DB044C" w:rsidRPr="00F84B53">
              <w:rPr>
                <w:rFonts w:asciiTheme="minorHAnsi" w:hAnsiTheme="minorHAnsi" w:cstheme="minorHAnsi"/>
                <w:bCs/>
                <w:szCs w:val="20"/>
              </w:rPr>
              <w:t>such</w:t>
            </w:r>
            <w:r w:rsidRPr="00F84B53">
              <w:rPr>
                <w:rFonts w:asciiTheme="minorHAnsi" w:hAnsiTheme="minorHAnsi" w:cstheme="minorHAnsi"/>
                <w:bCs/>
                <w:szCs w:val="20"/>
              </w:rPr>
              <w:t xml:space="preserve"> arrangements </w:t>
            </w:r>
            <w:r w:rsidRPr="00F84B53">
              <w:rPr>
                <w:rFonts w:asciiTheme="minorHAnsi" w:hAnsiTheme="minorHAnsi" w:cstheme="minorHAnsi"/>
                <w:bCs/>
                <w:szCs w:val="20"/>
              </w:rPr>
              <w:lastRenderedPageBreak/>
              <w:t xml:space="preserve">might concern various telecommunication/ICT </w:t>
            </w:r>
            <w:r w:rsidR="00414488" w:rsidRPr="00F84B53">
              <w:rPr>
                <w:rFonts w:asciiTheme="minorHAnsi" w:hAnsiTheme="minorHAnsi" w:cstheme="minorHAnsi"/>
                <w:bCs/>
                <w:szCs w:val="20"/>
              </w:rPr>
              <w:t>systems</w:t>
            </w:r>
            <w:r w:rsidRPr="00F84B53">
              <w:rPr>
                <w:rFonts w:asciiTheme="minorHAnsi" w:hAnsiTheme="minorHAnsi" w:cstheme="minorHAnsi"/>
                <w:bCs/>
                <w:szCs w:val="20"/>
              </w:rPr>
              <w:t xml:space="preserve"> and </w:t>
            </w:r>
            <w:r w:rsidR="00414488" w:rsidRPr="00F84B53">
              <w:rPr>
                <w:rFonts w:asciiTheme="minorHAnsi" w:hAnsiTheme="minorHAnsi" w:cstheme="minorHAnsi"/>
                <w:bCs/>
                <w:szCs w:val="20"/>
              </w:rPr>
              <w:t>networks</w:t>
            </w:r>
            <w:r w:rsidRPr="00F84B53">
              <w:rPr>
                <w:rFonts w:asciiTheme="minorHAnsi" w:hAnsiTheme="minorHAnsi" w:cstheme="minorHAnsi"/>
                <w:bCs/>
                <w:szCs w:val="20"/>
              </w:rPr>
              <w:t>.</w:t>
            </w:r>
            <w:bookmarkEnd w:id="38"/>
          </w:p>
        </w:tc>
      </w:tr>
      <w:tr w:rsidR="00D40E7A" w:rsidRPr="00F84B53" w14:paraId="1D235B71" w14:textId="77777777" w:rsidTr="00F84B53">
        <w:trPr>
          <w:trHeight w:val="552"/>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3B2FE963" w14:textId="77777777" w:rsidR="00D40E7A" w:rsidRPr="00F84B53" w:rsidRDefault="00D40E7A" w:rsidP="00B0115C">
            <w:pPr>
              <w:pStyle w:val="Tabletext"/>
              <w:jc w:val="center"/>
              <w:rPr>
                <w:rFonts w:asciiTheme="minorHAnsi" w:hAnsiTheme="minorHAnsi" w:cstheme="minorHAnsi"/>
                <w:b/>
              </w:rPr>
            </w:pPr>
          </w:p>
        </w:tc>
        <w:tc>
          <w:tcPr>
            <w:tcW w:w="3543" w:type="dxa"/>
            <w:vMerge/>
            <w:tcBorders>
              <w:left w:val="single" w:sz="4" w:space="0" w:color="auto"/>
              <w:bottom w:val="single" w:sz="4" w:space="0" w:color="auto"/>
              <w:right w:val="single" w:sz="4" w:space="0" w:color="auto"/>
            </w:tcBorders>
            <w:noWrap/>
            <w:tcMar>
              <w:left w:w="85" w:type="dxa"/>
              <w:right w:w="85" w:type="dxa"/>
            </w:tcMar>
          </w:tcPr>
          <w:p w14:paraId="38193E2D" w14:textId="77777777" w:rsidR="00D40E7A" w:rsidRPr="00F84B53" w:rsidRDefault="00D40E7A" w:rsidP="00B0115C">
            <w:pPr>
              <w:pStyle w:val="Tabletext"/>
              <w:jc w:val="both"/>
              <w:rPr>
                <w:rStyle w:val="Artdef"/>
                <w:rFonts w:cstheme="minorHAnsi"/>
                <w:szCs w:val="20"/>
              </w:rPr>
            </w:pPr>
          </w:p>
        </w:tc>
        <w:tc>
          <w:tcPr>
            <w:tcW w:w="3402" w:type="dxa"/>
            <w:vMerge/>
            <w:tcBorders>
              <w:left w:val="single" w:sz="4" w:space="0" w:color="auto"/>
              <w:bottom w:val="single" w:sz="4" w:space="0" w:color="auto"/>
              <w:right w:val="single" w:sz="4" w:space="0" w:color="auto"/>
            </w:tcBorders>
            <w:noWrap/>
            <w:tcMar>
              <w:left w:w="85" w:type="dxa"/>
              <w:right w:w="85" w:type="dxa"/>
            </w:tcMar>
          </w:tcPr>
          <w:p w14:paraId="3B731B91" w14:textId="77777777" w:rsidR="00D40E7A" w:rsidRPr="00F84B53" w:rsidRDefault="00D40E7A" w:rsidP="00B0115C">
            <w:pPr>
              <w:pStyle w:val="Tabletext"/>
              <w:jc w:val="both"/>
              <w:rPr>
                <w:rStyle w:val="Artdef"/>
                <w:rFonts w:cstheme="minorHAnsi"/>
                <w:szCs w:val="20"/>
              </w:rPr>
            </w:pPr>
          </w:p>
        </w:tc>
        <w:tc>
          <w:tcPr>
            <w:tcW w:w="4395"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49F54DA3" w14:textId="79C1FA4D" w:rsidR="00D40E7A" w:rsidRPr="00F84B53" w:rsidRDefault="00130984" w:rsidP="008D463F">
            <w:pPr>
              <w:pStyle w:val="Tabletext"/>
              <w:rPr>
                <w:rFonts w:asciiTheme="minorHAnsi" w:hAnsiTheme="minorHAnsi" w:cstheme="minorHAnsi"/>
                <w:b/>
                <w:bCs/>
                <w:i/>
                <w:szCs w:val="20"/>
              </w:rPr>
            </w:pPr>
            <w:r w:rsidRPr="00F84B53">
              <w:rPr>
                <w:rFonts w:asciiTheme="minorHAnsi" w:hAnsiTheme="minorHAnsi" w:cstheme="minorHAnsi"/>
                <w:b/>
                <w:bCs/>
                <w:i/>
                <w:szCs w:val="20"/>
              </w:rPr>
              <w:t xml:space="preserve">No. </w:t>
            </w:r>
            <w:r w:rsidR="0056725D" w:rsidRPr="00F84B53">
              <w:rPr>
                <w:rFonts w:asciiTheme="minorHAnsi" w:hAnsiTheme="minorHAnsi" w:cstheme="minorHAnsi"/>
                <w:b/>
                <w:bCs/>
                <w:i/>
                <w:szCs w:val="20"/>
              </w:rPr>
              <w:t>6</w:t>
            </w:r>
            <w:r w:rsidRPr="00F84B53">
              <w:rPr>
                <w:rFonts w:asciiTheme="minorHAnsi" w:hAnsiTheme="minorHAnsi" w:cstheme="minorHAnsi"/>
                <w:b/>
                <w:bCs/>
                <w:i/>
                <w:szCs w:val="20"/>
              </w:rPr>
              <w:t xml:space="preserve">0 of the 1988 ITRs contains an </w:t>
            </w:r>
            <w:r w:rsidR="0056725D" w:rsidRPr="00F84B53">
              <w:rPr>
                <w:rFonts w:asciiTheme="minorHAnsi" w:hAnsiTheme="minorHAnsi" w:cstheme="minorHAnsi"/>
                <w:b/>
                <w:bCs/>
                <w:i/>
                <w:szCs w:val="20"/>
              </w:rPr>
              <w:t>outdated</w:t>
            </w:r>
            <w:r w:rsidRPr="00F84B53">
              <w:rPr>
                <w:rFonts w:asciiTheme="minorHAnsi" w:hAnsiTheme="minorHAnsi" w:cstheme="minorHAnsi"/>
                <w:b/>
                <w:bCs/>
                <w:i/>
                <w:szCs w:val="20"/>
              </w:rPr>
              <w:t xml:space="preserve"> reference to </w:t>
            </w:r>
            <w:r w:rsidR="0056725D" w:rsidRPr="00F84B53">
              <w:rPr>
                <w:rFonts w:asciiTheme="minorHAnsi" w:hAnsiTheme="minorHAnsi" w:cstheme="minorHAnsi"/>
                <w:b/>
                <w:bCs/>
                <w:i/>
                <w:szCs w:val="20"/>
              </w:rPr>
              <w:t>CCITT Recommendations</w:t>
            </w:r>
            <w:r w:rsidR="007D339D" w:rsidRPr="00F84B53">
              <w:rPr>
                <w:rFonts w:asciiTheme="minorHAnsi" w:hAnsiTheme="minorHAnsi" w:cstheme="minorHAnsi"/>
                <w:b/>
                <w:bCs/>
                <w:i/>
                <w:szCs w:val="20"/>
              </w:rPr>
              <w:t>.</w:t>
            </w:r>
          </w:p>
        </w:tc>
        <w:tc>
          <w:tcPr>
            <w:tcW w:w="2409" w:type="dxa"/>
            <w:vMerge/>
            <w:tcBorders>
              <w:left w:val="single" w:sz="4" w:space="0" w:color="auto"/>
              <w:bottom w:val="single" w:sz="4" w:space="0" w:color="auto"/>
              <w:right w:val="single" w:sz="4" w:space="0" w:color="auto"/>
            </w:tcBorders>
            <w:noWrap/>
            <w:tcMar>
              <w:left w:w="85" w:type="dxa"/>
              <w:right w:w="85" w:type="dxa"/>
            </w:tcMar>
          </w:tcPr>
          <w:p w14:paraId="62B03663" w14:textId="77777777" w:rsidR="00D40E7A" w:rsidRPr="00F84B53" w:rsidRDefault="00D40E7A" w:rsidP="00B0115C">
            <w:pPr>
              <w:pStyle w:val="Tabletext"/>
              <w:rPr>
                <w:rFonts w:asciiTheme="minorHAnsi" w:hAnsiTheme="minorHAnsi" w:cstheme="minorHAnsi"/>
              </w:rPr>
            </w:pPr>
          </w:p>
        </w:tc>
      </w:tr>
      <w:tr w:rsidR="00D40E7A" w:rsidRPr="00F84B53" w14:paraId="4B8FEDAD" w14:textId="77777777" w:rsidTr="00F84B53">
        <w:trPr>
          <w:trHeight w:val="1200"/>
          <w:jc w:val="center"/>
        </w:trPr>
        <w:tc>
          <w:tcPr>
            <w:tcW w:w="988" w:type="dxa"/>
            <w:vMerge w:val="restart"/>
            <w:tcBorders>
              <w:left w:val="single" w:sz="4" w:space="0" w:color="auto"/>
              <w:right w:val="single" w:sz="4" w:space="0" w:color="auto"/>
            </w:tcBorders>
            <w:noWrap/>
            <w:tcMar>
              <w:left w:w="85" w:type="dxa"/>
              <w:right w:w="85" w:type="dxa"/>
            </w:tcMar>
            <w:textDirection w:val="btLr"/>
            <w:vAlign w:val="center"/>
          </w:tcPr>
          <w:p w14:paraId="7077D1F8" w14:textId="63913365" w:rsidR="00D40E7A" w:rsidRPr="00F84B53" w:rsidRDefault="00681FC9" w:rsidP="00B0115C">
            <w:pPr>
              <w:pStyle w:val="Tabletext"/>
              <w:jc w:val="center"/>
              <w:rPr>
                <w:rFonts w:asciiTheme="minorHAnsi" w:hAnsiTheme="minorHAnsi" w:cstheme="minorHAnsi"/>
                <w:b/>
              </w:rPr>
            </w:pPr>
            <w:bookmarkStart w:id="39" w:name="lt_pId129"/>
            <w:r w:rsidRPr="00F84B53">
              <w:rPr>
                <w:rFonts w:asciiTheme="minorHAnsi" w:hAnsiTheme="minorHAnsi" w:cstheme="minorHAnsi"/>
                <w:b/>
                <w:szCs w:val="20"/>
              </w:rPr>
              <w:t>ARTICLE</w:t>
            </w:r>
            <w:r w:rsidR="00D40E7A" w:rsidRPr="00F84B53">
              <w:rPr>
                <w:rFonts w:asciiTheme="minorHAnsi" w:hAnsiTheme="minorHAnsi" w:cstheme="minorHAnsi"/>
                <w:b/>
                <w:szCs w:val="20"/>
              </w:rPr>
              <w:t xml:space="preserve"> 14 – </w:t>
            </w:r>
            <w:bookmarkStart w:id="40" w:name="_Toc351558987"/>
            <w:r w:rsidRPr="00F84B53">
              <w:rPr>
                <w:rFonts w:asciiTheme="minorHAnsi" w:hAnsiTheme="minorHAnsi" w:cstheme="minorHAnsi"/>
                <w:b/>
                <w:szCs w:val="20"/>
              </w:rPr>
              <w:t>Final provisions</w:t>
            </w:r>
            <w:bookmarkEnd w:id="39"/>
            <w:bookmarkEnd w:id="40"/>
          </w:p>
        </w:tc>
        <w:tc>
          <w:tcPr>
            <w:tcW w:w="3543" w:type="dxa"/>
            <w:vMerge w:val="restart"/>
            <w:tcBorders>
              <w:top w:val="single" w:sz="4" w:space="0" w:color="auto"/>
              <w:left w:val="single" w:sz="4" w:space="0" w:color="auto"/>
              <w:right w:val="single" w:sz="4" w:space="0" w:color="auto"/>
            </w:tcBorders>
            <w:noWrap/>
            <w:tcMar>
              <w:left w:w="85" w:type="dxa"/>
              <w:right w:w="85" w:type="dxa"/>
            </w:tcMar>
          </w:tcPr>
          <w:p w14:paraId="3FBF01B8" w14:textId="134F27CA" w:rsidR="00D40E7A" w:rsidRPr="00F84B53" w:rsidRDefault="00D40E7A" w:rsidP="00681FC9">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szCs w:val="20"/>
              </w:rPr>
            </w:pPr>
            <w:r w:rsidRPr="00F84B53">
              <w:rPr>
                <w:rStyle w:val="Artdef"/>
                <w:rFonts w:cstheme="minorHAnsi"/>
                <w:szCs w:val="20"/>
              </w:rPr>
              <w:t>76  </w:t>
            </w:r>
            <w:r w:rsidRPr="00F84B53">
              <w:t>14.1</w:t>
            </w:r>
            <w:r w:rsidRPr="00F84B53">
              <w:tab/>
            </w:r>
            <w:r w:rsidR="00681FC9" w:rsidRPr="00F84B53">
              <w:t>These Regulations, of which Appendices 1 and 2 form integral parts, shall enter into force on 1 January 2015, and shall be applied as of that date, consistent with all the provisions of Article 54 of the Constitution.</w:t>
            </w:r>
          </w:p>
        </w:tc>
        <w:tc>
          <w:tcPr>
            <w:tcW w:w="3402" w:type="dxa"/>
            <w:vMerge w:val="restart"/>
            <w:tcBorders>
              <w:top w:val="single" w:sz="4" w:space="0" w:color="auto"/>
              <w:left w:val="single" w:sz="4" w:space="0" w:color="auto"/>
              <w:right w:val="single" w:sz="4" w:space="0" w:color="auto"/>
            </w:tcBorders>
            <w:noWrap/>
            <w:tcMar>
              <w:left w:w="85" w:type="dxa"/>
              <w:right w:w="85" w:type="dxa"/>
            </w:tcMar>
          </w:tcPr>
          <w:p w14:paraId="1DB1B59B" w14:textId="3752D0ED" w:rsidR="00D40E7A" w:rsidRPr="00F84B53" w:rsidRDefault="00D40E7A" w:rsidP="008D463F">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 w:rsidRPr="00F84B53">
              <w:rPr>
                <w:rStyle w:val="Artdef"/>
                <w:rFonts w:cstheme="minorHAnsi"/>
                <w:szCs w:val="20"/>
              </w:rPr>
              <w:t>61  </w:t>
            </w:r>
            <w:r w:rsidRPr="00F84B53">
              <w:t>10.1</w:t>
            </w:r>
            <w:r w:rsidRPr="00F84B53">
              <w:tab/>
            </w:r>
            <w:bookmarkStart w:id="41" w:name="lt_pId133"/>
            <w:r w:rsidR="006069EB" w:rsidRPr="00F84B53">
              <w:t>These Regulations, of which Appendices 1, 2 and 3 form integral parts, shall enter into force on 1 July 1990 at 0001 hours UTC</w:t>
            </w:r>
            <w:r w:rsidRPr="00F84B53">
              <w:t>.</w:t>
            </w:r>
            <w:bookmarkEnd w:id="41"/>
          </w:p>
          <w:p w14:paraId="4590B2E8" w14:textId="713C749E" w:rsidR="00D40E7A" w:rsidRPr="00F84B53" w:rsidRDefault="00D40E7A" w:rsidP="008D463F">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szCs w:val="20"/>
              </w:rPr>
            </w:pPr>
            <w:r w:rsidRPr="00F84B53">
              <w:rPr>
                <w:rStyle w:val="Artdef"/>
                <w:rFonts w:cstheme="minorHAnsi"/>
                <w:szCs w:val="20"/>
              </w:rPr>
              <w:t>62  </w:t>
            </w:r>
            <w:r w:rsidRPr="00F84B53">
              <w:t>10.2</w:t>
            </w:r>
            <w:r w:rsidR="006069EB" w:rsidRPr="00F84B53">
              <w:tab/>
              <w:t>On the date specified in No. 61, the Telegraph Regulations (Geneva, 1973) and the Telephone Regulations (Geneva, 1973) shall be replaced by these International Telecommunication Regulations (Melbourne, 1988) pursuant to the International Telecommunication Convention.</w:t>
            </w:r>
          </w:p>
        </w:tc>
        <w:tc>
          <w:tcPr>
            <w:tcW w:w="6804" w:type="dxa"/>
            <w:gridSpan w:val="3"/>
            <w:tcBorders>
              <w:top w:val="single" w:sz="4" w:space="0" w:color="auto"/>
              <w:left w:val="single" w:sz="4" w:space="0" w:color="auto"/>
              <w:bottom w:val="single" w:sz="4" w:space="0" w:color="auto"/>
              <w:right w:val="single" w:sz="4" w:space="0" w:color="auto"/>
            </w:tcBorders>
            <w:noWrap/>
            <w:tcMar>
              <w:left w:w="85" w:type="dxa"/>
              <w:right w:w="85" w:type="dxa"/>
            </w:tcMar>
          </w:tcPr>
          <w:p w14:paraId="5B2C3F94" w14:textId="6D66F70C" w:rsidR="00D40E7A" w:rsidRPr="00F84B53" w:rsidRDefault="004604DE" w:rsidP="008D463F">
            <w:pPr>
              <w:pStyle w:val="Tabletext"/>
              <w:rPr>
                <w:rFonts w:asciiTheme="minorHAnsi" w:hAnsiTheme="minorHAnsi" w:cstheme="minorHAnsi"/>
              </w:rPr>
            </w:pPr>
            <w:bookmarkStart w:id="42" w:name="lt_pId136"/>
            <w:r w:rsidRPr="00F84B53">
              <w:rPr>
                <w:rFonts w:asciiTheme="minorHAnsi" w:hAnsiTheme="minorHAnsi" w:cstheme="minorHAnsi"/>
                <w:b/>
                <w:bCs/>
                <w:i/>
                <w:szCs w:val="20"/>
              </w:rPr>
              <w:t xml:space="preserve">These provisions were implemented within the established time-frames in accordance with the ITU </w:t>
            </w:r>
            <w:r w:rsidR="002D33FB" w:rsidRPr="00F84B53">
              <w:rPr>
                <w:rFonts w:asciiTheme="minorHAnsi" w:hAnsiTheme="minorHAnsi" w:cstheme="minorHAnsi"/>
                <w:b/>
                <w:bCs/>
                <w:i/>
                <w:szCs w:val="20"/>
              </w:rPr>
              <w:t xml:space="preserve">Constitution </w:t>
            </w:r>
            <w:r w:rsidRPr="00F84B53">
              <w:rPr>
                <w:rFonts w:asciiTheme="minorHAnsi" w:hAnsiTheme="minorHAnsi" w:cstheme="minorHAnsi"/>
                <w:b/>
                <w:bCs/>
                <w:i/>
                <w:szCs w:val="20"/>
              </w:rPr>
              <w:t>and Convention</w:t>
            </w:r>
            <w:r w:rsidR="00D40E7A" w:rsidRPr="00F84B53">
              <w:rPr>
                <w:rFonts w:asciiTheme="minorHAnsi" w:hAnsiTheme="minorHAnsi" w:cstheme="minorHAnsi"/>
                <w:b/>
                <w:bCs/>
                <w:i/>
                <w:szCs w:val="20"/>
              </w:rPr>
              <w:t>.</w:t>
            </w:r>
            <w:bookmarkEnd w:id="42"/>
          </w:p>
        </w:tc>
      </w:tr>
      <w:tr w:rsidR="00D40E7A" w:rsidRPr="00F84B53" w14:paraId="1EF14833" w14:textId="77777777" w:rsidTr="00F84B53">
        <w:trPr>
          <w:trHeight w:val="1200"/>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6B9DE8AD" w14:textId="77777777" w:rsidR="00D40E7A" w:rsidRPr="00F84B53" w:rsidRDefault="00D40E7A" w:rsidP="00B0115C">
            <w:pPr>
              <w:pStyle w:val="Tabletext"/>
              <w:jc w:val="center"/>
              <w:rPr>
                <w:rFonts w:asciiTheme="minorHAnsi" w:hAnsiTheme="minorHAnsi" w:cstheme="minorHAnsi"/>
                <w:b/>
              </w:rPr>
            </w:pPr>
          </w:p>
        </w:tc>
        <w:tc>
          <w:tcPr>
            <w:tcW w:w="3543" w:type="dxa"/>
            <w:vMerge/>
            <w:tcBorders>
              <w:left w:val="single" w:sz="4" w:space="0" w:color="auto"/>
              <w:bottom w:val="single" w:sz="4" w:space="0" w:color="auto"/>
              <w:right w:val="single" w:sz="4" w:space="0" w:color="auto"/>
            </w:tcBorders>
            <w:noWrap/>
            <w:tcMar>
              <w:left w:w="85" w:type="dxa"/>
              <w:right w:w="85" w:type="dxa"/>
            </w:tcMar>
          </w:tcPr>
          <w:p w14:paraId="23F42518" w14:textId="77777777" w:rsidR="00D40E7A" w:rsidRPr="00F84B53" w:rsidRDefault="00D40E7A" w:rsidP="00B0115C">
            <w:pPr>
              <w:pStyle w:val="Tabletext"/>
              <w:jc w:val="both"/>
              <w:rPr>
                <w:rStyle w:val="Artdef"/>
                <w:rFonts w:cstheme="minorHAnsi"/>
                <w:szCs w:val="20"/>
              </w:rPr>
            </w:pPr>
          </w:p>
        </w:tc>
        <w:tc>
          <w:tcPr>
            <w:tcW w:w="3402" w:type="dxa"/>
            <w:vMerge/>
            <w:tcBorders>
              <w:left w:val="single" w:sz="4" w:space="0" w:color="auto"/>
              <w:bottom w:val="single" w:sz="4" w:space="0" w:color="auto"/>
              <w:right w:val="single" w:sz="4" w:space="0" w:color="auto"/>
            </w:tcBorders>
            <w:noWrap/>
            <w:tcMar>
              <w:left w:w="85" w:type="dxa"/>
              <w:right w:w="85" w:type="dxa"/>
            </w:tcMar>
          </w:tcPr>
          <w:p w14:paraId="683FC117" w14:textId="77777777" w:rsidR="00D40E7A" w:rsidRPr="00F84B53" w:rsidRDefault="00D40E7A" w:rsidP="00B0115C">
            <w:pPr>
              <w:pStyle w:val="Tabletext"/>
              <w:jc w:val="both"/>
              <w:rPr>
                <w:rStyle w:val="Artdef"/>
                <w:rFonts w:cstheme="minorHAnsi"/>
                <w:szCs w:val="20"/>
              </w:rPr>
            </w:pPr>
          </w:p>
        </w:tc>
        <w:tc>
          <w:tcPr>
            <w:tcW w:w="4395"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70DF721C" w14:textId="57608A63" w:rsidR="00D40E7A" w:rsidRPr="00F84B53" w:rsidRDefault="004604DE" w:rsidP="008D463F">
            <w:pPr>
              <w:pStyle w:val="Tabletext"/>
              <w:rPr>
                <w:rFonts w:asciiTheme="minorHAnsi" w:hAnsiTheme="minorHAnsi" w:cstheme="minorHAnsi"/>
                <w:b/>
              </w:rPr>
            </w:pPr>
            <w:bookmarkStart w:id="43" w:name="lt_pId137"/>
            <w:r w:rsidRPr="00F84B53">
              <w:rPr>
                <w:rFonts w:asciiTheme="minorHAnsi" w:hAnsiTheme="minorHAnsi" w:cstheme="minorHAnsi"/>
                <w:b/>
                <w:bCs/>
                <w:i/>
                <w:szCs w:val="20"/>
              </w:rPr>
              <w:t>No. 62 of the 1988 ITRs contains an outdated reference to the now defunct</w:t>
            </w:r>
            <w:r w:rsidRPr="00F84B53">
              <w:t xml:space="preserve"> </w:t>
            </w:r>
            <w:r w:rsidRPr="00F84B53">
              <w:rPr>
                <w:rFonts w:asciiTheme="minorHAnsi" w:hAnsiTheme="minorHAnsi" w:cstheme="minorHAnsi"/>
                <w:b/>
                <w:bCs/>
                <w:i/>
                <w:szCs w:val="20"/>
              </w:rPr>
              <w:t>International Telecommunication Convention.</w:t>
            </w:r>
            <w:bookmarkEnd w:id="43"/>
          </w:p>
        </w:tc>
        <w:tc>
          <w:tcPr>
            <w:tcW w:w="2409" w:type="dxa"/>
            <w:tcBorders>
              <w:left w:val="single" w:sz="4" w:space="0" w:color="auto"/>
              <w:bottom w:val="single" w:sz="4" w:space="0" w:color="auto"/>
              <w:right w:val="single" w:sz="4" w:space="0" w:color="auto"/>
            </w:tcBorders>
            <w:noWrap/>
            <w:tcMar>
              <w:left w:w="85" w:type="dxa"/>
              <w:right w:w="85" w:type="dxa"/>
            </w:tcMar>
          </w:tcPr>
          <w:p w14:paraId="47298572" w14:textId="77777777" w:rsidR="00D40E7A" w:rsidRPr="00F84B53" w:rsidRDefault="00D40E7A" w:rsidP="008D463F">
            <w:pPr>
              <w:pStyle w:val="Tabletext"/>
              <w:rPr>
                <w:rFonts w:asciiTheme="minorHAnsi" w:hAnsiTheme="minorHAnsi" w:cstheme="minorHAnsi"/>
              </w:rPr>
            </w:pPr>
          </w:p>
        </w:tc>
      </w:tr>
      <w:tr w:rsidR="00D40E7A" w:rsidRPr="00F84B53" w14:paraId="59F3AEF7" w14:textId="77777777" w:rsidTr="00F84B53">
        <w:trPr>
          <w:trHeight w:val="1200"/>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296B8194"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C56D552" w14:textId="2646821E" w:rsidR="00D40E7A" w:rsidRPr="00F84B53" w:rsidRDefault="00D40E7A" w:rsidP="00681FC9">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szCs w:val="20"/>
              </w:rPr>
            </w:pPr>
            <w:r w:rsidRPr="00F84B53">
              <w:rPr>
                <w:rStyle w:val="Artdef"/>
                <w:rFonts w:cstheme="minorHAnsi"/>
                <w:szCs w:val="20"/>
              </w:rPr>
              <w:t>77  </w:t>
            </w:r>
            <w:r w:rsidRPr="00F84B53">
              <w:t>14.2</w:t>
            </w:r>
            <w:r w:rsidRPr="00F84B53">
              <w:tab/>
            </w:r>
            <w:r w:rsidR="00681FC9" w:rsidRPr="00F84B53">
              <w:t>If a Member State makes reservations with regard to the application of one or more of the provisions of these Regulations, other Member States shall be free to disregard the said provision or provisions in their relations with the Member State which has made such reservations.</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35D17E0" w14:textId="3257E6C2" w:rsidR="00D40E7A" w:rsidRPr="00F84B53" w:rsidRDefault="00D40E7A" w:rsidP="008D463F">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ascii="Calibri" w:hAnsi="Calibri" w:cstheme="minorBidi"/>
                <w:b w:val="0"/>
              </w:rPr>
            </w:pPr>
            <w:r w:rsidRPr="00F84B53">
              <w:rPr>
                <w:rStyle w:val="Artdef"/>
                <w:rFonts w:cstheme="minorHAnsi"/>
                <w:szCs w:val="20"/>
              </w:rPr>
              <w:t>63  </w:t>
            </w:r>
            <w:r w:rsidRPr="00F84B53">
              <w:t>10.3</w:t>
            </w:r>
            <w:r w:rsidRPr="00F84B53">
              <w:tab/>
            </w:r>
            <w:r w:rsidR="006069EB" w:rsidRPr="00F84B53">
              <w:t>If a Member makes reservations with regard to the application of one or more of the provisions of these Regulations, other Members and their administrations</w:t>
            </w:r>
            <w:r w:rsidR="006069EB" w:rsidRPr="00F84B53">
              <w:fldChar w:fldCharType="begin"/>
            </w:r>
            <w:r w:rsidR="006069EB" w:rsidRPr="00F84B53">
              <w:instrText xml:space="preserve"> NOTEREF _Ref318892464 \f \h </w:instrText>
            </w:r>
            <w:r w:rsidR="00E665D4" w:rsidRPr="00F84B53">
              <w:instrText xml:space="preserve"> \* MERGEFORMAT </w:instrText>
            </w:r>
            <w:r w:rsidR="006069EB" w:rsidRPr="00F84B53">
              <w:fldChar w:fldCharType="separate"/>
            </w:r>
            <w:r w:rsidR="006069EB" w:rsidRPr="00F84B53">
              <w:rPr>
                <w:rStyle w:val="FootnoteReference"/>
              </w:rPr>
              <w:t>*</w:t>
            </w:r>
            <w:r w:rsidR="006069EB" w:rsidRPr="00F84B53">
              <w:fldChar w:fldCharType="end"/>
            </w:r>
            <w:r w:rsidR="006069EB" w:rsidRPr="00F84B53">
              <w:t xml:space="preserve"> shall be free to disregard the said provision or provisions in their relations with the Member which has made such reservations and its administrations</w:t>
            </w:r>
            <w:r w:rsidR="006069EB" w:rsidRPr="00F84B53">
              <w:fldChar w:fldCharType="begin"/>
            </w:r>
            <w:r w:rsidR="006069EB" w:rsidRPr="00F84B53">
              <w:instrText xml:space="preserve"> NOTEREF _Ref318892464 \f \h </w:instrText>
            </w:r>
            <w:r w:rsidR="00E665D4" w:rsidRPr="00F84B53">
              <w:instrText xml:space="preserve"> \* MERGEFORMAT </w:instrText>
            </w:r>
            <w:r w:rsidR="006069EB" w:rsidRPr="00F84B53">
              <w:fldChar w:fldCharType="separate"/>
            </w:r>
            <w:r w:rsidR="006069EB" w:rsidRPr="00F84B53">
              <w:rPr>
                <w:rStyle w:val="FootnoteReference"/>
              </w:rPr>
              <w:t>*</w:t>
            </w:r>
            <w:r w:rsidR="006069EB" w:rsidRPr="00F84B53">
              <w:fldChar w:fldCharType="end"/>
            </w:r>
            <w:r w:rsidR="006069EB" w:rsidRPr="00F84B53">
              <w:t>.</w:t>
            </w:r>
          </w:p>
        </w:tc>
        <w:tc>
          <w:tcPr>
            <w:tcW w:w="6804" w:type="dxa"/>
            <w:gridSpan w:val="3"/>
            <w:tcBorders>
              <w:top w:val="single" w:sz="4" w:space="0" w:color="auto"/>
              <w:left w:val="single" w:sz="4" w:space="0" w:color="auto"/>
              <w:bottom w:val="single" w:sz="4" w:space="0" w:color="auto"/>
              <w:right w:val="single" w:sz="4" w:space="0" w:color="auto"/>
            </w:tcBorders>
            <w:noWrap/>
            <w:tcMar>
              <w:left w:w="85" w:type="dxa"/>
              <w:right w:w="85" w:type="dxa"/>
            </w:tcMar>
          </w:tcPr>
          <w:p w14:paraId="5569E143" w14:textId="030A39D2" w:rsidR="00D40E7A" w:rsidRPr="00F84B53" w:rsidRDefault="004604DE" w:rsidP="008D463F">
            <w:pPr>
              <w:pStyle w:val="Tabletext"/>
              <w:rPr>
                <w:rFonts w:asciiTheme="minorHAnsi" w:hAnsiTheme="minorHAnsi" w:cstheme="minorHAnsi"/>
              </w:rPr>
            </w:pPr>
            <w:bookmarkStart w:id="44" w:name="lt_pId147"/>
            <w:r w:rsidRPr="00F84B53">
              <w:rPr>
                <w:rFonts w:asciiTheme="minorHAnsi" w:hAnsiTheme="minorHAnsi" w:cstheme="minorHAnsi"/>
                <w:b/>
                <w:bCs/>
                <w:i/>
                <w:szCs w:val="20"/>
              </w:rPr>
              <w:t xml:space="preserve">These provisions </w:t>
            </w:r>
            <w:r w:rsidR="00E07E67" w:rsidRPr="00F84B53">
              <w:rPr>
                <w:rFonts w:asciiTheme="minorHAnsi" w:hAnsiTheme="minorHAnsi" w:cstheme="minorHAnsi"/>
                <w:b/>
                <w:bCs/>
                <w:i/>
                <w:szCs w:val="20"/>
              </w:rPr>
              <w:t>were</w:t>
            </w:r>
            <w:r w:rsidRPr="00F84B53">
              <w:rPr>
                <w:rFonts w:asciiTheme="minorHAnsi" w:hAnsiTheme="minorHAnsi" w:cstheme="minorHAnsi"/>
                <w:b/>
                <w:bCs/>
                <w:i/>
                <w:szCs w:val="20"/>
              </w:rPr>
              <w:t xml:space="preserve"> implemented in accordance with the ITU </w:t>
            </w:r>
            <w:r w:rsidR="002D33FB" w:rsidRPr="00F84B53">
              <w:rPr>
                <w:rFonts w:asciiTheme="minorHAnsi" w:hAnsiTheme="minorHAnsi" w:cstheme="minorHAnsi"/>
                <w:b/>
                <w:bCs/>
                <w:i/>
                <w:szCs w:val="20"/>
              </w:rPr>
              <w:t>Constitution</w:t>
            </w:r>
            <w:r w:rsidRPr="00F84B53">
              <w:rPr>
                <w:rFonts w:asciiTheme="minorHAnsi" w:hAnsiTheme="minorHAnsi" w:cstheme="minorHAnsi"/>
                <w:b/>
                <w:bCs/>
                <w:i/>
                <w:szCs w:val="20"/>
              </w:rPr>
              <w:t xml:space="preserve"> and Convention</w:t>
            </w:r>
            <w:r w:rsidR="00D40E7A" w:rsidRPr="00F84B53">
              <w:rPr>
                <w:rFonts w:asciiTheme="minorHAnsi" w:hAnsiTheme="minorHAnsi" w:cstheme="minorHAnsi"/>
                <w:b/>
                <w:bCs/>
                <w:i/>
                <w:szCs w:val="20"/>
              </w:rPr>
              <w:t>.</w:t>
            </w:r>
            <w:bookmarkEnd w:id="44"/>
          </w:p>
        </w:tc>
      </w:tr>
      <w:tr w:rsidR="00414488" w:rsidRPr="00F84B53" w14:paraId="2872898A" w14:textId="77777777" w:rsidTr="00F84B53">
        <w:trPr>
          <w:trHeight w:val="1200"/>
          <w:jc w:val="center"/>
        </w:trPr>
        <w:tc>
          <w:tcPr>
            <w:tcW w:w="988" w:type="dxa"/>
            <w:tcBorders>
              <w:left w:val="single" w:sz="4" w:space="0" w:color="auto"/>
              <w:right w:val="single" w:sz="4" w:space="0" w:color="auto"/>
            </w:tcBorders>
            <w:noWrap/>
            <w:tcMar>
              <w:left w:w="85" w:type="dxa"/>
              <w:right w:w="85" w:type="dxa"/>
            </w:tcMar>
            <w:textDirection w:val="btLr"/>
            <w:vAlign w:val="center"/>
          </w:tcPr>
          <w:p w14:paraId="739AD7D9" w14:textId="77777777" w:rsidR="00414488" w:rsidRPr="00F84B53" w:rsidRDefault="00414488"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65786DC" w14:textId="77777777" w:rsidR="00414488" w:rsidRPr="00F84B53" w:rsidRDefault="00414488" w:rsidP="00681FC9">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rPr>
            </w:pP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6DD7678" w14:textId="6A7D2AE9" w:rsidR="00414488" w:rsidRPr="00F84B53" w:rsidRDefault="00414488" w:rsidP="006069EB">
            <w:pPr>
              <w:pStyle w:val="Tabletext"/>
              <w:rPr>
                <w:rStyle w:val="Artdef"/>
                <w:rFonts w:cstheme="minorHAnsi"/>
              </w:rPr>
            </w:pPr>
            <w:r w:rsidRPr="00F84B53">
              <w:rPr>
                <w:rStyle w:val="Artdef"/>
                <w:rFonts w:cstheme="minorHAnsi"/>
                <w:szCs w:val="20"/>
              </w:rPr>
              <w:t>64  </w:t>
            </w:r>
            <w:r w:rsidRPr="00F84B53">
              <w:t>10.4</w:t>
            </w:r>
            <w:r w:rsidRPr="00F84B53">
              <w:tab/>
            </w:r>
            <w:r w:rsidRPr="00F84B53">
              <w:tab/>
              <w:t>Members of the Union shall inform the Secretary-General of their approval of the International Telecommunication Regulations adopted by the Conference. The Secretary-General shall inform Members promptly of the receipt of such notifications of approval.</w:t>
            </w:r>
          </w:p>
        </w:tc>
        <w:tc>
          <w:tcPr>
            <w:tcW w:w="6804" w:type="dxa"/>
            <w:gridSpan w:val="3"/>
            <w:tcBorders>
              <w:top w:val="single" w:sz="4" w:space="0" w:color="auto"/>
              <w:left w:val="single" w:sz="4" w:space="0" w:color="auto"/>
              <w:bottom w:val="single" w:sz="4" w:space="0" w:color="auto"/>
              <w:right w:val="single" w:sz="4" w:space="0" w:color="auto"/>
            </w:tcBorders>
            <w:noWrap/>
            <w:tcMar>
              <w:left w:w="85" w:type="dxa"/>
              <w:right w:w="85" w:type="dxa"/>
            </w:tcMar>
          </w:tcPr>
          <w:p w14:paraId="6916BD8C" w14:textId="77777777" w:rsidR="00414488" w:rsidRPr="00F84B53" w:rsidRDefault="00414488" w:rsidP="007D339D">
            <w:pPr>
              <w:pStyle w:val="Tabletext"/>
              <w:spacing w:line="480" w:lineRule="auto"/>
              <w:rPr>
                <w:rFonts w:asciiTheme="minorHAnsi" w:hAnsiTheme="minorHAnsi" w:cstheme="minorHAnsi"/>
                <w:b/>
                <w:bCs/>
                <w:i/>
              </w:rPr>
            </w:pPr>
          </w:p>
        </w:tc>
      </w:tr>
      <w:tr w:rsidR="00D40E7A" w:rsidRPr="00F84B53" w14:paraId="588EB966" w14:textId="77777777" w:rsidTr="00F84B53">
        <w:trPr>
          <w:cantSplit/>
          <w:trHeight w:val="437"/>
          <w:jc w:val="center"/>
        </w:trPr>
        <w:tc>
          <w:tcPr>
            <w:tcW w:w="988" w:type="dxa"/>
            <w:vMerge w:val="restart"/>
            <w:tcBorders>
              <w:left w:val="single" w:sz="4" w:space="0" w:color="auto"/>
              <w:right w:val="single" w:sz="4" w:space="0" w:color="auto"/>
            </w:tcBorders>
            <w:noWrap/>
            <w:tcMar>
              <w:left w:w="85" w:type="dxa"/>
              <w:right w:w="85" w:type="dxa"/>
            </w:tcMar>
            <w:textDirection w:val="btLr"/>
            <w:vAlign w:val="center"/>
          </w:tcPr>
          <w:p w14:paraId="748C1B95" w14:textId="7B2DD2CA" w:rsidR="00D40E7A" w:rsidRPr="00F84B53" w:rsidRDefault="001578E9" w:rsidP="00B0115C">
            <w:pPr>
              <w:pStyle w:val="Tabletext"/>
              <w:jc w:val="center"/>
              <w:rPr>
                <w:rFonts w:asciiTheme="minorHAnsi" w:hAnsiTheme="minorHAnsi" w:cstheme="minorHAnsi"/>
                <w:b/>
              </w:rPr>
            </w:pPr>
            <w:bookmarkStart w:id="45" w:name="lt_pId148"/>
            <w:r w:rsidRPr="00F84B53">
              <w:rPr>
                <w:rFonts w:asciiTheme="minorHAnsi" w:hAnsiTheme="minorHAnsi" w:cstheme="minorHAnsi"/>
                <w:b/>
                <w:szCs w:val="20"/>
              </w:rPr>
              <w:t>APPENDIX</w:t>
            </w:r>
            <w:r w:rsidR="00D40E7A" w:rsidRPr="00F84B53">
              <w:rPr>
                <w:rFonts w:asciiTheme="minorHAnsi" w:hAnsiTheme="minorHAnsi" w:cstheme="minorHAnsi"/>
                <w:b/>
                <w:szCs w:val="20"/>
              </w:rPr>
              <w:t xml:space="preserve"> 2 – </w:t>
            </w:r>
            <w:bookmarkStart w:id="46" w:name="_Toc351558991"/>
            <w:bookmarkStart w:id="47" w:name="_Toc351752260"/>
            <w:bookmarkStart w:id="48" w:name="_Toc351752831"/>
            <w:r w:rsidRPr="00F84B53">
              <w:rPr>
                <w:b/>
              </w:rPr>
              <w:t>Additional provisions relating to</w:t>
            </w:r>
            <w:r w:rsidR="00C84FA0" w:rsidRPr="00F84B53">
              <w:rPr>
                <w:b/>
              </w:rPr>
              <w:t xml:space="preserve"> </w:t>
            </w:r>
            <w:r w:rsidRPr="00F84B53">
              <w:rPr>
                <w:b/>
              </w:rPr>
              <w:t>maritime telecommunication</w:t>
            </w:r>
            <w:r w:rsidR="00C84FA0" w:rsidRPr="00F84B53">
              <w:rPr>
                <w:b/>
              </w:rPr>
              <w:t>s</w:t>
            </w:r>
            <w:bookmarkEnd w:id="45"/>
            <w:bookmarkEnd w:id="46"/>
            <w:bookmarkEnd w:id="47"/>
            <w:bookmarkEnd w:id="48"/>
          </w:p>
        </w:tc>
        <w:tc>
          <w:tcPr>
            <w:tcW w:w="6945"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4D9EF6E2" w14:textId="03ABC430" w:rsidR="00D40E7A" w:rsidRPr="00F84B53" w:rsidRDefault="00D40E7A" w:rsidP="00B0115C">
            <w:pPr>
              <w:pStyle w:val="Tabletext"/>
              <w:jc w:val="both"/>
              <w:rPr>
                <w:rStyle w:val="Artdef"/>
                <w:rFonts w:cstheme="minorHAnsi"/>
                <w:szCs w:val="20"/>
              </w:rPr>
            </w:pPr>
            <w:r w:rsidRPr="00F84B53">
              <w:rPr>
                <w:rStyle w:val="Artdef"/>
                <w:rFonts w:cstheme="minorHAnsi"/>
                <w:szCs w:val="20"/>
              </w:rPr>
              <w:t>2.1  1</w:t>
            </w:r>
            <w:r w:rsidRPr="00F84B53">
              <w:rPr>
                <w:rStyle w:val="Artdef"/>
                <w:rFonts w:cstheme="minorHAnsi"/>
                <w:szCs w:val="20"/>
              </w:rPr>
              <w:tab/>
            </w:r>
            <w:r w:rsidR="001578E9" w:rsidRPr="00F84B53">
              <w:rPr>
                <w:rStyle w:val="Artdef"/>
                <w:rFonts w:cstheme="minorHAnsi"/>
                <w:szCs w:val="20"/>
              </w:rPr>
              <w:t>General</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6721304" w14:textId="77777777" w:rsidR="00D40E7A" w:rsidRPr="00F84B53" w:rsidRDefault="00D40E7A" w:rsidP="00B0115C">
            <w:pPr>
              <w:pStyle w:val="Tabletext"/>
              <w:rPr>
                <w:rFonts w:asciiTheme="minorHAnsi" w:hAnsiTheme="minorHAnsi" w:cstheme="minorHAnsi"/>
              </w:rPr>
            </w:pP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1507544" w14:textId="77777777" w:rsidR="00D40E7A" w:rsidRPr="00F84B53" w:rsidRDefault="00D40E7A" w:rsidP="00B0115C">
            <w:pPr>
              <w:pStyle w:val="Tabletext"/>
              <w:rPr>
                <w:rFonts w:asciiTheme="minorHAnsi" w:hAnsiTheme="minorHAnsi" w:cstheme="minorHAnsi"/>
              </w:rPr>
            </w:pP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6AF925C" w14:textId="77777777" w:rsidR="00D40E7A" w:rsidRPr="00F84B53" w:rsidRDefault="00D40E7A" w:rsidP="00B0115C">
            <w:pPr>
              <w:pStyle w:val="Tabletext"/>
              <w:rPr>
                <w:rFonts w:asciiTheme="minorHAnsi" w:hAnsiTheme="minorHAnsi" w:cstheme="minorHAnsi"/>
              </w:rPr>
            </w:pPr>
          </w:p>
        </w:tc>
      </w:tr>
      <w:tr w:rsidR="00D40E7A" w:rsidRPr="00F84B53" w14:paraId="7F4A823A" w14:textId="77777777" w:rsidTr="00F84B53">
        <w:trPr>
          <w:trHeight w:val="1260"/>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766B600F" w14:textId="77777777" w:rsidR="00D40E7A" w:rsidRPr="00F84B53" w:rsidRDefault="00D40E7A" w:rsidP="00B0115C">
            <w:pPr>
              <w:pStyle w:val="Tabletext"/>
              <w:jc w:val="center"/>
              <w:rPr>
                <w:rFonts w:asciiTheme="minorHAnsi" w:hAnsiTheme="minorHAnsi" w:cstheme="minorHAnsi"/>
                <w:b/>
              </w:rPr>
            </w:pPr>
          </w:p>
        </w:tc>
        <w:tc>
          <w:tcPr>
            <w:tcW w:w="3543" w:type="dxa"/>
            <w:vMerge w:val="restart"/>
            <w:tcBorders>
              <w:top w:val="single" w:sz="4" w:space="0" w:color="auto"/>
              <w:left w:val="single" w:sz="4" w:space="0" w:color="auto"/>
              <w:right w:val="single" w:sz="4" w:space="0" w:color="auto"/>
            </w:tcBorders>
            <w:noWrap/>
            <w:tcMar>
              <w:left w:w="85" w:type="dxa"/>
              <w:right w:w="85" w:type="dxa"/>
            </w:tcMar>
          </w:tcPr>
          <w:p w14:paraId="1830E10C" w14:textId="5983BCD7" w:rsidR="00D40E7A" w:rsidRPr="00F84B53" w:rsidRDefault="00D40E7A" w:rsidP="008D463F">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szCs w:val="20"/>
              </w:rPr>
            </w:pPr>
            <w:r w:rsidRPr="00F84B53">
              <w:rPr>
                <w:rStyle w:val="Artdef"/>
                <w:rFonts w:cstheme="minorHAnsi"/>
                <w:szCs w:val="20"/>
              </w:rPr>
              <w:t>2.2  </w:t>
            </w:r>
            <w:r w:rsidRPr="00F84B53">
              <w:t>1.1</w:t>
            </w:r>
            <w:r w:rsidRPr="00F84B53">
              <w:tab/>
            </w:r>
            <w:r w:rsidR="001578E9" w:rsidRPr="00F84B53">
              <w:t>The provisions contained in Article 8 and Appendix 1, taking into account the relevant ITU-T Recommendations, shall also apply to maritime telecommunications when establishing and settling accounts under this Appendix, insofar as the following provisions do not provide otherwise.</w:t>
            </w:r>
          </w:p>
        </w:tc>
        <w:tc>
          <w:tcPr>
            <w:tcW w:w="3402" w:type="dxa"/>
            <w:vMerge w:val="restart"/>
            <w:tcBorders>
              <w:top w:val="single" w:sz="4" w:space="0" w:color="auto"/>
              <w:left w:val="single" w:sz="4" w:space="0" w:color="auto"/>
              <w:right w:val="single" w:sz="4" w:space="0" w:color="auto"/>
            </w:tcBorders>
            <w:noWrap/>
            <w:tcMar>
              <w:left w:w="85" w:type="dxa"/>
              <w:right w:w="85" w:type="dxa"/>
            </w:tcMar>
          </w:tcPr>
          <w:p w14:paraId="082855D1" w14:textId="67DC70D3" w:rsidR="00D40E7A" w:rsidRPr="00F84B53" w:rsidRDefault="00D40E7A" w:rsidP="008D463F">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szCs w:val="20"/>
              </w:rPr>
            </w:pPr>
            <w:r w:rsidRPr="00F84B53">
              <w:rPr>
                <w:rStyle w:val="Artdef"/>
              </w:rPr>
              <w:t>2</w:t>
            </w:r>
            <w:r w:rsidR="009427EE" w:rsidRPr="00F84B53">
              <w:rPr>
                <w:rStyle w:val="Artdef"/>
              </w:rPr>
              <w:t>/</w:t>
            </w:r>
            <w:r w:rsidRPr="00F84B53">
              <w:rPr>
                <w:rStyle w:val="Artdef"/>
              </w:rPr>
              <w:t>2  </w:t>
            </w:r>
            <w:bookmarkStart w:id="49" w:name="lt_pId155"/>
            <w:r w:rsidR="009427EE" w:rsidRPr="00F84B53">
              <w:t>The provisions contained in Article 6 and Appendix 1, taking into account the relevant CCITT Recommendations, shall also apply to maritime telecommunications in so far as the following provisions do not provide otherwise</w:t>
            </w:r>
            <w:r w:rsidRPr="00F84B53">
              <w:t>.</w:t>
            </w:r>
            <w:bookmarkEnd w:id="49"/>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E70F1B8" w14:textId="1910DB08" w:rsidR="00D40E7A" w:rsidRPr="00F84B53" w:rsidRDefault="00345AB3" w:rsidP="008D463F">
            <w:pPr>
              <w:pStyle w:val="Tabletext"/>
              <w:spacing w:before="40" w:after="40"/>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right w:val="single" w:sz="4" w:space="0" w:color="auto"/>
            </w:tcBorders>
            <w:noWrap/>
            <w:tcMar>
              <w:left w:w="85" w:type="dxa"/>
              <w:right w:w="85" w:type="dxa"/>
            </w:tcMar>
          </w:tcPr>
          <w:p w14:paraId="1DF5DB90" w14:textId="2B6DA282" w:rsidR="00D40E7A" w:rsidRPr="00F84B53" w:rsidRDefault="00BA3390" w:rsidP="008D463F">
            <w:pPr>
              <w:pStyle w:val="Tabletext"/>
              <w:spacing w:before="40" w:after="40"/>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vMerge w:val="restart"/>
            <w:tcBorders>
              <w:top w:val="single" w:sz="4" w:space="0" w:color="auto"/>
              <w:left w:val="single" w:sz="4" w:space="0" w:color="auto"/>
              <w:right w:val="single" w:sz="4" w:space="0" w:color="auto"/>
            </w:tcBorders>
            <w:noWrap/>
            <w:tcMar>
              <w:left w:w="85" w:type="dxa"/>
              <w:right w:w="85" w:type="dxa"/>
            </w:tcMar>
          </w:tcPr>
          <w:p w14:paraId="7BF4F43B" w14:textId="239DBB53" w:rsidR="00D40E7A" w:rsidRPr="00F84B53" w:rsidRDefault="00E46068" w:rsidP="008D463F">
            <w:pPr>
              <w:pStyle w:val="Tabletext"/>
              <w:spacing w:before="40" w:after="40"/>
              <w:rPr>
                <w:rFonts w:asciiTheme="minorHAnsi" w:hAnsiTheme="minorHAnsi" w:cstheme="minorHAnsi"/>
                <w:szCs w:val="20"/>
              </w:rPr>
            </w:pPr>
            <w:r w:rsidRPr="00F84B53">
              <w:rPr>
                <w:rFonts w:asciiTheme="minorHAnsi" w:hAnsiTheme="minorHAnsi" w:cstheme="minorHAnsi"/>
                <w:bCs/>
                <w:szCs w:val="20"/>
              </w:rPr>
              <w:t>The provision does not require modification as it is applicable and flexible.</w:t>
            </w:r>
          </w:p>
        </w:tc>
      </w:tr>
      <w:tr w:rsidR="00D40E7A" w:rsidRPr="00F84B53" w14:paraId="5C65B308" w14:textId="77777777" w:rsidTr="00F84B53">
        <w:trPr>
          <w:trHeight w:val="957"/>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6872E294" w14:textId="77777777" w:rsidR="00D40E7A" w:rsidRPr="00F84B53" w:rsidRDefault="00D40E7A" w:rsidP="00B0115C">
            <w:pPr>
              <w:pStyle w:val="Tabletext"/>
              <w:jc w:val="center"/>
              <w:rPr>
                <w:rFonts w:asciiTheme="minorHAnsi" w:hAnsiTheme="minorHAnsi" w:cstheme="minorHAnsi"/>
                <w:b/>
              </w:rPr>
            </w:pPr>
          </w:p>
        </w:tc>
        <w:tc>
          <w:tcPr>
            <w:tcW w:w="3543" w:type="dxa"/>
            <w:vMerge/>
            <w:tcBorders>
              <w:left w:val="single" w:sz="4" w:space="0" w:color="auto"/>
              <w:bottom w:val="single" w:sz="4" w:space="0" w:color="auto"/>
              <w:right w:val="single" w:sz="4" w:space="0" w:color="auto"/>
            </w:tcBorders>
            <w:noWrap/>
            <w:tcMar>
              <w:left w:w="85" w:type="dxa"/>
              <w:right w:w="85" w:type="dxa"/>
            </w:tcMar>
          </w:tcPr>
          <w:p w14:paraId="1A6B3D2E" w14:textId="77777777" w:rsidR="00D40E7A" w:rsidRPr="00F84B53" w:rsidRDefault="00D40E7A" w:rsidP="00B0115C">
            <w:pPr>
              <w:pStyle w:val="Tabletext"/>
              <w:jc w:val="both"/>
              <w:rPr>
                <w:rStyle w:val="Artdef"/>
                <w:rFonts w:cstheme="minorHAnsi"/>
                <w:szCs w:val="20"/>
              </w:rPr>
            </w:pPr>
          </w:p>
        </w:tc>
        <w:tc>
          <w:tcPr>
            <w:tcW w:w="3402" w:type="dxa"/>
            <w:vMerge/>
            <w:tcBorders>
              <w:left w:val="single" w:sz="4" w:space="0" w:color="auto"/>
              <w:bottom w:val="single" w:sz="4" w:space="0" w:color="auto"/>
              <w:right w:val="single" w:sz="4" w:space="0" w:color="auto"/>
            </w:tcBorders>
            <w:noWrap/>
            <w:tcMar>
              <w:left w:w="85" w:type="dxa"/>
              <w:right w:w="85" w:type="dxa"/>
            </w:tcMar>
          </w:tcPr>
          <w:p w14:paraId="1F16D964" w14:textId="77777777" w:rsidR="00D40E7A" w:rsidRPr="00F84B53" w:rsidRDefault="00D40E7A" w:rsidP="00B0115C">
            <w:pPr>
              <w:pStyle w:val="Tabletext"/>
              <w:jc w:val="both"/>
              <w:rPr>
                <w:rStyle w:val="Artdef"/>
              </w:rPr>
            </w:pPr>
          </w:p>
        </w:tc>
        <w:tc>
          <w:tcPr>
            <w:tcW w:w="4395"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4A9E9656" w14:textId="038CAEBD" w:rsidR="00D40E7A" w:rsidRPr="00F84B53" w:rsidRDefault="004604DE" w:rsidP="008D463F">
            <w:pPr>
              <w:pStyle w:val="Tabletext"/>
              <w:rPr>
                <w:rFonts w:asciiTheme="minorHAnsi" w:hAnsiTheme="minorHAnsi" w:cstheme="minorHAnsi"/>
                <w:b/>
              </w:rPr>
            </w:pPr>
            <w:bookmarkStart w:id="50" w:name="lt_pId159"/>
            <w:r w:rsidRPr="00F84B53">
              <w:rPr>
                <w:rFonts w:asciiTheme="minorHAnsi" w:hAnsiTheme="minorHAnsi" w:cstheme="minorHAnsi"/>
                <w:b/>
                <w:bCs/>
                <w:i/>
                <w:szCs w:val="20"/>
              </w:rPr>
              <w:t>No. 2/2 of the 1988 ITRs contains an outdated reference to CCITT Recommendations</w:t>
            </w:r>
            <w:r w:rsidR="00D40E7A" w:rsidRPr="00F84B53">
              <w:rPr>
                <w:rFonts w:asciiTheme="minorHAnsi" w:hAnsiTheme="minorHAnsi" w:cstheme="minorHAnsi"/>
                <w:b/>
                <w:bCs/>
                <w:i/>
                <w:szCs w:val="20"/>
              </w:rPr>
              <w:t>.</w:t>
            </w:r>
            <w:bookmarkEnd w:id="50"/>
          </w:p>
        </w:tc>
        <w:tc>
          <w:tcPr>
            <w:tcW w:w="2409" w:type="dxa"/>
            <w:vMerge/>
            <w:tcBorders>
              <w:left w:val="single" w:sz="4" w:space="0" w:color="auto"/>
              <w:bottom w:val="single" w:sz="4" w:space="0" w:color="auto"/>
              <w:right w:val="single" w:sz="4" w:space="0" w:color="auto"/>
            </w:tcBorders>
            <w:noWrap/>
            <w:tcMar>
              <w:left w:w="85" w:type="dxa"/>
              <w:right w:w="85" w:type="dxa"/>
            </w:tcMar>
          </w:tcPr>
          <w:p w14:paraId="40FA463F" w14:textId="77777777" w:rsidR="00D40E7A" w:rsidRPr="00F84B53" w:rsidRDefault="00D40E7A" w:rsidP="00B0115C">
            <w:pPr>
              <w:pStyle w:val="Tabletext"/>
              <w:rPr>
                <w:rFonts w:asciiTheme="minorHAnsi" w:hAnsiTheme="minorHAnsi" w:cstheme="minorHAnsi"/>
              </w:rPr>
            </w:pPr>
          </w:p>
        </w:tc>
      </w:tr>
      <w:tr w:rsidR="00D40E7A" w:rsidRPr="00F84B53" w14:paraId="7E5226AB" w14:textId="77777777" w:rsidTr="00F84B53">
        <w:trPr>
          <w:trHeight w:val="435"/>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44921312" w14:textId="77777777" w:rsidR="00D40E7A" w:rsidRPr="00F84B53" w:rsidRDefault="00D40E7A" w:rsidP="00B0115C">
            <w:pPr>
              <w:pStyle w:val="Tabletext"/>
              <w:jc w:val="center"/>
              <w:rPr>
                <w:rFonts w:asciiTheme="minorHAnsi" w:hAnsiTheme="minorHAnsi" w:cstheme="minorHAnsi"/>
                <w:b/>
              </w:rPr>
            </w:pPr>
          </w:p>
        </w:tc>
        <w:tc>
          <w:tcPr>
            <w:tcW w:w="6945"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32F27939" w14:textId="7515356F" w:rsidR="00D40E7A" w:rsidRPr="00F84B53" w:rsidRDefault="00D40E7A" w:rsidP="00B0115C">
            <w:pPr>
              <w:pStyle w:val="Tabletext"/>
              <w:jc w:val="both"/>
              <w:rPr>
                <w:rStyle w:val="Artdef"/>
                <w:rFonts w:cstheme="minorHAnsi"/>
              </w:rPr>
            </w:pPr>
            <w:r w:rsidRPr="00F84B53">
              <w:rPr>
                <w:rStyle w:val="Artdef"/>
                <w:rFonts w:cstheme="minorHAnsi"/>
              </w:rPr>
              <w:t>2.3  </w:t>
            </w:r>
            <w:r w:rsidR="00C84FA0" w:rsidRPr="00F84B53">
              <w:rPr>
                <w:rStyle w:val="Heading1Char"/>
                <w:rFonts w:asciiTheme="minorHAnsi" w:hAnsiTheme="minorHAnsi" w:cstheme="minorHAnsi"/>
                <w:sz w:val="22"/>
              </w:rPr>
              <w:t>2</w:t>
            </w:r>
            <w:r w:rsidRPr="00F84B53">
              <w:rPr>
                <w:rStyle w:val="Heading1Char"/>
                <w:rFonts w:asciiTheme="minorHAnsi" w:hAnsiTheme="minorHAnsi" w:cstheme="minorHAnsi"/>
                <w:sz w:val="22"/>
              </w:rPr>
              <w:tab/>
            </w:r>
            <w:r w:rsidR="001578E9" w:rsidRPr="00F84B53">
              <w:rPr>
                <w:rFonts w:asciiTheme="minorHAnsi" w:hAnsiTheme="minorHAnsi" w:cstheme="minorHAnsi"/>
                <w:b/>
                <w:bCs/>
              </w:rPr>
              <w:t>Accounting authority</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B2157D3" w14:textId="77777777" w:rsidR="00D40E7A" w:rsidRPr="00F84B53" w:rsidRDefault="00D40E7A" w:rsidP="00B0115C">
            <w:pPr>
              <w:pStyle w:val="Tabletext"/>
              <w:rPr>
                <w:rFonts w:asciiTheme="minorHAnsi" w:hAnsiTheme="minorHAnsi" w:cstheme="minorHAnsi"/>
              </w:rPr>
            </w:pP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9330481" w14:textId="77777777" w:rsidR="00D40E7A" w:rsidRPr="00F84B53" w:rsidRDefault="00D40E7A" w:rsidP="00B0115C">
            <w:pPr>
              <w:pStyle w:val="Tabletext"/>
              <w:rPr>
                <w:rFonts w:asciiTheme="minorHAnsi" w:hAnsiTheme="minorHAnsi" w:cstheme="minorHAnsi"/>
              </w:rPr>
            </w:pP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540B44F" w14:textId="77777777" w:rsidR="00D40E7A" w:rsidRPr="00F84B53" w:rsidRDefault="00D40E7A" w:rsidP="00B0115C">
            <w:pPr>
              <w:pStyle w:val="Tabletext"/>
              <w:rPr>
                <w:rFonts w:asciiTheme="minorHAnsi" w:hAnsiTheme="minorHAnsi" w:cstheme="minorHAnsi"/>
              </w:rPr>
            </w:pPr>
          </w:p>
        </w:tc>
      </w:tr>
      <w:tr w:rsidR="00D40E7A" w:rsidRPr="00F84B53" w14:paraId="4D1A5402" w14:textId="77777777" w:rsidTr="00F84B53">
        <w:trPr>
          <w:trHeight w:val="1200"/>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30A26482"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0F6A8C4" w14:textId="7D672F82" w:rsidR="00D40E7A" w:rsidRPr="00F84B53" w:rsidRDefault="00D40E7A" w:rsidP="008D463F">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szCs w:val="20"/>
              </w:rPr>
            </w:pPr>
            <w:r w:rsidRPr="00F84B53">
              <w:rPr>
                <w:rStyle w:val="Artdef"/>
                <w:rFonts w:cstheme="minorHAnsi"/>
                <w:szCs w:val="20"/>
              </w:rPr>
              <w:t>2.4  </w:t>
            </w:r>
            <w:r w:rsidRPr="00F84B53">
              <w:t>2.1</w:t>
            </w:r>
            <w:r w:rsidRPr="00F84B53">
              <w:tab/>
            </w:r>
            <w:bookmarkStart w:id="51" w:name="lt_pId165"/>
            <w:r w:rsidR="001578E9" w:rsidRPr="00F84B53">
              <w:t>Charges for maritime telecommunications in the maritime mobile service and the maritime mobile-satellite service shall, in principle, and subject to national law and practice, be collected from the maritime mobile station licensee</w:t>
            </w:r>
            <w:r w:rsidRPr="00F84B53">
              <w:t>:</w:t>
            </w:r>
            <w:bookmarkEnd w:id="51"/>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1B5435D" w14:textId="7A968A14" w:rsidR="00D40E7A" w:rsidRPr="00F84B53" w:rsidRDefault="00D40E7A" w:rsidP="008D463F">
            <w:pPr>
              <w:pStyle w:val="Table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Style w:val="Artdef"/>
                <w:rFonts w:cstheme="minorHAnsi"/>
                <w:szCs w:val="20"/>
              </w:rPr>
            </w:pPr>
            <w:r w:rsidRPr="00F84B53">
              <w:rPr>
                <w:rStyle w:val="Artdef"/>
                <w:rFonts w:cstheme="minorHAnsi"/>
                <w:szCs w:val="20"/>
              </w:rPr>
              <w:t>2</w:t>
            </w:r>
            <w:r w:rsidR="001223D2" w:rsidRPr="00F84B53">
              <w:rPr>
                <w:rStyle w:val="Artdef"/>
                <w:rFonts w:cstheme="minorHAnsi"/>
                <w:szCs w:val="20"/>
              </w:rPr>
              <w:t>/</w:t>
            </w:r>
            <w:r w:rsidRPr="00F84B53">
              <w:rPr>
                <w:rStyle w:val="Artdef"/>
                <w:rFonts w:cstheme="minorHAnsi"/>
                <w:szCs w:val="20"/>
              </w:rPr>
              <w:t>4  </w:t>
            </w:r>
            <w:r w:rsidRPr="00F84B53">
              <w:t>2.1</w:t>
            </w:r>
            <w:r w:rsidRPr="00F84B53">
              <w:tab/>
            </w:r>
            <w:bookmarkStart w:id="52" w:name="lt_pId168"/>
            <w:r w:rsidR="009427EE" w:rsidRPr="00F84B53">
              <w:t>Charges for maritime telecommunications in the maritime mobile service and the maritime mobile-satellite service shall in principle, and subject to national law and practice, be collected from the maritime mobile station licensee</w:t>
            </w:r>
            <w:r w:rsidRPr="00F84B53">
              <w:t>:</w:t>
            </w:r>
            <w:bookmarkEnd w:id="52"/>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1E630A8" w14:textId="4F6511FD" w:rsidR="00D40E7A" w:rsidRPr="00F84B53" w:rsidRDefault="00345AB3" w:rsidP="008D463F">
            <w:pPr>
              <w:pStyle w:val="Tabletext"/>
              <w:spacing w:before="40" w:after="40"/>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6E59033" w14:textId="29E0F370" w:rsidR="00D40E7A" w:rsidRPr="00F84B53" w:rsidRDefault="00BA3390" w:rsidP="008D463F">
            <w:pPr>
              <w:pStyle w:val="Tabletext"/>
              <w:spacing w:before="40" w:after="40"/>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FD9AEF9" w14:textId="3316F183" w:rsidR="00D40E7A" w:rsidRPr="00F84B53" w:rsidRDefault="00E46068" w:rsidP="008D463F">
            <w:pPr>
              <w:pStyle w:val="Tabletext"/>
              <w:spacing w:before="40" w:after="40"/>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D40E7A" w:rsidRPr="00F84B53" w14:paraId="0CC6C054" w14:textId="77777777" w:rsidTr="00F84B53">
        <w:trPr>
          <w:trHeight w:val="489"/>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0615AA7F"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83A6E7B" w14:textId="3E794FDA" w:rsidR="00D40E7A" w:rsidRPr="00F84B53" w:rsidRDefault="00D40E7A" w:rsidP="001578E9">
            <w:pPr>
              <w:pStyle w:val="Tabletext"/>
              <w:rPr>
                <w:rStyle w:val="Artdef"/>
                <w:rFonts w:cstheme="minorHAnsi"/>
                <w:szCs w:val="20"/>
              </w:rPr>
            </w:pPr>
            <w:bookmarkStart w:id="53" w:name="lt_pId172"/>
            <w:r w:rsidRPr="00F84B53">
              <w:rPr>
                <w:rStyle w:val="Artdef"/>
                <w:rFonts w:cstheme="minorHAnsi"/>
                <w:szCs w:val="20"/>
              </w:rPr>
              <w:t>2.5  </w:t>
            </w:r>
            <w:r w:rsidRPr="00F84B53">
              <w:rPr>
                <w:i/>
                <w:iCs/>
              </w:rPr>
              <w:t>a)</w:t>
            </w:r>
            <w:bookmarkEnd w:id="53"/>
            <w:r w:rsidRPr="00F84B53">
              <w:tab/>
            </w:r>
            <w:r w:rsidR="001578E9" w:rsidRPr="00F84B53">
              <w:t>by the administration that has issued the licence; or</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4AD1BD5" w14:textId="31F6A297" w:rsidR="00D40E7A" w:rsidRPr="00F84B53" w:rsidRDefault="00D40E7A" w:rsidP="009427EE">
            <w:pPr>
              <w:pStyle w:val="Tabletext"/>
              <w:rPr>
                <w:rStyle w:val="Artdef"/>
                <w:rFonts w:cstheme="minorHAnsi"/>
                <w:szCs w:val="20"/>
              </w:rPr>
            </w:pPr>
            <w:bookmarkStart w:id="54" w:name="lt_pId175"/>
            <w:r w:rsidRPr="00F84B53">
              <w:rPr>
                <w:rStyle w:val="Artdef"/>
                <w:rFonts w:cstheme="minorHAnsi"/>
                <w:szCs w:val="20"/>
              </w:rPr>
              <w:t>2</w:t>
            </w:r>
            <w:r w:rsidR="001223D2" w:rsidRPr="00F84B53">
              <w:rPr>
                <w:rStyle w:val="Artdef"/>
                <w:rFonts w:cstheme="minorHAnsi"/>
                <w:szCs w:val="20"/>
              </w:rPr>
              <w:t>/</w:t>
            </w:r>
            <w:r w:rsidRPr="00F84B53">
              <w:rPr>
                <w:rStyle w:val="Artdef"/>
                <w:rFonts w:cstheme="minorHAnsi"/>
                <w:szCs w:val="20"/>
              </w:rPr>
              <w:t>5  </w:t>
            </w:r>
            <w:r w:rsidRPr="00F84B53">
              <w:rPr>
                <w:i/>
                <w:iCs/>
              </w:rPr>
              <w:t>a)</w:t>
            </w:r>
            <w:bookmarkEnd w:id="54"/>
            <w:r w:rsidRPr="00F84B53">
              <w:tab/>
            </w:r>
            <w:r w:rsidR="009427EE" w:rsidRPr="00F84B53">
              <w:t>by the administration that has issued the licence; or</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011883B" w14:textId="4F060498"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BA40EB4" w14:textId="18002AE1"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FD51656" w14:textId="49E02B4F" w:rsidR="00D40E7A" w:rsidRPr="00F84B53" w:rsidRDefault="00E46068" w:rsidP="00E46068">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D40E7A" w:rsidRPr="00F84B53" w14:paraId="1608B3A4" w14:textId="77777777" w:rsidTr="00F84B53">
        <w:trPr>
          <w:trHeight w:val="759"/>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3FCD1D40"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AE7E5B6" w14:textId="48AF4479" w:rsidR="00D40E7A" w:rsidRPr="00F84B53" w:rsidRDefault="00D40E7A" w:rsidP="001578E9">
            <w:pPr>
              <w:pStyle w:val="Tabletext"/>
              <w:rPr>
                <w:rStyle w:val="Artdef"/>
                <w:rFonts w:cstheme="minorHAnsi"/>
                <w:szCs w:val="20"/>
              </w:rPr>
            </w:pPr>
            <w:bookmarkStart w:id="55" w:name="lt_pId181"/>
            <w:r w:rsidRPr="00F84B53">
              <w:rPr>
                <w:rStyle w:val="Artdef"/>
                <w:rFonts w:cstheme="minorHAnsi"/>
                <w:szCs w:val="20"/>
              </w:rPr>
              <w:t>2.6  </w:t>
            </w:r>
            <w:r w:rsidRPr="00F84B53">
              <w:rPr>
                <w:i/>
                <w:iCs/>
              </w:rPr>
              <w:t>b)</w:t>
            </w:r>
            <w:bookmarkEnd w:id="55"/>
            <w:r w:rsidRPr="00F84B53">
              <w:tab/>
            </w:r>
            <w:r w:rsidR="001578E9" w:rsidRPr="00F84B53">
              <w:t>by an authorized operating agency; or</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D643934" w14:textId="669D2268" w:rsidR="00D40E7A" w:rsidRPr="00F84B53" w:rsidRDefault="00D40E7A" w:rsidP="009427EE">
            <w:pPr>
              <w:pStyle w:val="Tabletext"/>
              <w:rPr>
                <w:rStyle w:val="Artdef"/>
                <w:rFonts w:cstheme="minorHAnsi"/>
                <w:szCs w:val="20"/>
              </w:rPr>
            </w:pPr>
            <w:bookmarkStart w:id="56" w:name="lt_pId184"/>
            <w:r w:rsidRPr="00F84B53">
              <w:rPr>
                <w:rStyle w:val="Artdef"/>
                <w:rFonts w:cstheme="minorHAnsi"/>
                <w:szCs w:val="20"/>
              </w:rPr>
              <w:t>2</w:t>
            </w:r>
            <w:r w:rsidR="001223D2" w:rsidRPr="00F84B53">
              <w:rPr>
                <w:rStyle w:val="Artdef"/>
                <w:rFonts w:cstheme="minorHAnsi"/>
                <w:szCs w:val="20"/>
              </w:rPr>
              <w:t>/</w:t>
            </w:r>
            <w:r w:rsidRPr="00F84B53">
              <w:rPr>
                <w:rStyle w:val="Artdef"/>
                <w:rFonts w:cstheme="minorHAnsi"/>
                <w:szCs w:val="20"/>
              </w:rPr>
              <w:t>6  </w:t>
            </w:r>
            <w:r w:rsidRPr="00F84B53">
              <w:rPr>
                <w:i/>
                <w:iCs/>
              </w:rPr>
              <w:t>b)</w:t>
            </w:r>
            <w:bookmarkEnd w:id="56"/>
            <w:r w:rsidRPr="00F84B53">
              <w:tab/>
            </w:r>
            <w:r w:rsidR="009427EE" w:rsidRPr="00F84B53">
              <w:t>by a recognized private operating agency; or</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8F361AC" w14:textId="4E92DF53"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BF6DEF8" w14:textId="2EA8C99E"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8D4C7FA" w14:textId="27FC63AC" w:rsidR="00D40E7A" w:rsidRPr="00F84B53" w:rsidRDefault="00E46068" w:rsidP="00E46068">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D40E7A" w:rsidRPr="00F84B53" w14:paraId="04DB17D3" w14:textId="77777777" w:rsidTr="00F84B53">
        <w:trPr>
          <w:trHeight w:val="1029"/>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66E04AC1"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5A0C673" w14:textId="2AC613A0" w:rsidR="00D40E7A" w:rsidRPr="00F84B53" w:rsidRDefault="00D40E7A" w:rsidP="001578E9">
            <w:pPr>
              <w:pStyle w:val="Tabletext"/>
              <w:rPr>
                <w:rStyle w:val="Artdef"/>
                <w:rFonts w:cstheme="minorHAnsi"/>
                <w:szCs w:val="20"/>
              </w:rPr>
            </w:pPr>
            <w:bookmarkStart w:id="57" w:name="lt_pId190"/>
            <w:r w:rsidRPr="00F84B53">
              <w:rPr>
                <w:rStyle w:val="Artdef"/>
                <w:rFonts w:cstheme="minorHAnsi"/>
                <w:szCs w:val="20"/>
              </w:rPr>
              <w:t>2.7  </w:t>
            </w:r>
            <w:r w:rsidRPr="00F84B53">
              <w:rPr>
                <w:i/>
                <w:iCs/>
              </w:rPr>
              <w:t>c)</w:t>
            </w:r>
            <w:bookmarkEnd w:id="57"/>
            <w:r w:rsidRPr="00F84B53">
              <w:tab/>
            </w:r>
            <w:bookmarkStart w:id="58" w:name="lt_pId191"/>
            <w:r w:rsidR="001578E9" w:rsidRPr="00F84B53">
              <w:t>by any other entity or entities designated for this purpose by the administration referred to in No. 2/5 (2.1.</w:t>
            </w:r>
            <w:r w:rsidR="001578E9" w:rsidRPr="00F84B53">
              <w:rPr>
                <w:i/>
                <w:iCs/>
              </w:rPr>
              <w:t>a)</w:t>
            </w:r>
            <w:r w:rsidR="001578E9" w:rsidRPr="00F84B53">
              <w:t>) above</w:t>
            </w:r>
            <w:r w:rsidRPr="00F84B53">
              <w:t>.</w:t>
            </w:r>
            <w:bookmarkEnd w:id="58"/>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3E9F8AD" w14:textId="220A40CB" w:rsidR="00D40E7A" w:rsidRPr="00F84B53" w:rsidRDefault="00D40E7A" w:rsidP="009427EE">
            <w:pPr>
              <w:pStyle w:val="Tabletext"/>
              <w:rPr>
                <w:rStyle w:val="Artdef"/>
                <w:rFonts w:cstheme="minorHAnsi"/>
                <w:szCs w:val="20"/>
              </w:rPr>
            </w:pPr>
            <w:bookmarkStart w:id="59" w:name="lt_pId192"/>
            <w:r w:rsidRPr="00F84B53">
              <w:rPr>
                <w:rStyle w:val="Artdef"/>
                <w:rFonts w:cstheme="minorHAnsi"/>
                <w:szCs w:val="20"/>
              </w:rPr>
              <w:t>2</w:t>
            </w:r>
            <w:r w:rsidR="001223D2" w:rsidRPr="00F84B53">
              <w:rPr>
                <w:rStyle w:val="Artdef"/>
                <w:rFonts w:cstheme="minorHAnsi"/>
                <w:szCs w:val="20"/>
              </w:rPr>
              <w:t>/</w:t>
            </w:r>
            <w:r w:rsidRPr="00F84B53">
              <w:rPr>
                <w:rStyle w:val="Artdef"/>
                <w:rFonts w:cstheme="minorHAnsi"/>
                <w:szCs w:val="20"/>
              </w:rPr>
              <w:t>7  </w:t>
            </w:r>
            <w:r w:rsidRPr="00F84B53">
              <w:rPr>
                <w:i/>
                <w:iCs/>
              </w:rPr>
              <w:t>c)</w:t>
            </w:r>
            <w:bookmarkEnd w:id="59"/>
            <w:r w:rsidRPr="00F84B53">
              <w:tab/>
            </w:r>
            <w:r w:rsidR="009427EE" w:rsidRPr="00F84B53">
              <w:t xml:space="preserve">by any other entity or entities designated for this purpose by the administration referred to in </w:t>
            </w:r>
            <w:r w:rsidR="009427EE" w:rsidRPr="00F84B53">
              <w:rPr>
                <w:i/>
                <w:iCs/>
              </w:rPr>
              <w:t>a)</w:t>
            </w:r>
            <w:r w:rsidR="009427EE" w:rsidRPr="00F84B53">
              <w:t xml:space="preserve"> above.</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1F5E8F5" w14:textId="2CDF9E44"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1F6A5E4" w14:textId="14C0C657"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E470015" w14:textId="0C495949" w:rsidR="00D40E7A" w:rsidRPr="00F84B53" w:rsidRDefault="00E46068" w:rsidP="00E46068">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D40E7A" w:rsidRPr="00F84B53" w14:paraId="13A3B243" w14:textId="77777777" w:rsidTr="00F84B53">
        <w:trPr>
          <w:trHeight w:val="1200"/>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642DA63C"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64F288F" w14:textId="7972F7CD" w:rsidR="00D40E7A" w:rsidRPr="00F84B53" w:rsidRDefault="00D40E7A" w:rsidP="001578E9">
            <w:pPr>
              <w:pStyle w:val="Tabletext"/>
              <w:rPr>
                <w:rStyle w:val="Artdef"/>
                <w:rFonts w:cstheme="minorHAnsi"/>
                <w:szCs w:val="20"/>
              </w:rPr>
            </w:pPr>
            <w:r w:rsidRPr="00F84B53">
              <w:rPr>
                <w:rStyle w:val="Artdef"/>
                <w:rFonts w:cstheme="minorHAnsi"/>
                <w:szCs w:val="20"/>
              </w:rPr>
              <w:t>2.8  </w:t>
            </w:r>
            <w:r w:rsidRPr="00F84B53">
              <w:t>2.2</w:t>
            </w:r>
            <w:r w:rsidRPr="00F84B53">
              <w:tab/>
            </w:r>
            <w:r w:rsidR="001578E9" w:rsidRPr="00F84B53">
              <w:t>The administration or the authorized operating agency or the designated entity or entities listed in 2.1 above are referred to in this Appendix as the "accounting authority".</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5D3CAD7" w14:textId="6DF044FE" w:rsidR="00D40E7A" w:rsidRPr="00F84B53" w:rsidRDefault="00D40E7A" w:rsidP="009427EE">
            <w:pPr>
              <w:pStyle w:val="Tabletext"/>
              <w:rPr>
                <w:rStyle w:val="Artdef"/>
                <w:rFonts w:cstheme="minorHAnsi"/>
                <w:szCs w:val="20"/>
              </w:rPr>
            </w:pPr>
            <w:r w:rsidRPr="00F84B53">
              <w:rPr>
                <w:rStyle w:val="Artdef"/>
                <w:rFonts w:cstheme="minorHAnsi"/>
                <w:szCs w:val="20"/>
              </w:rPr>
              <w:t>2</w:t>
            </w:r>
            <w:r w:rsidR="001223D2" w:rsidRPr="00F84B53">
              <w:rPr>
                <w:rStyle w:val="Artdef"/>
                <w:rFonts w:cstheme="minorHAnsi"/>
                <w:szCs w:val="20"/>
              </w:rPr>
              <w:t>/</w:t>
            </w:r>
            <w:r w:rsidRPr="00F84B53">
              <w:rPr>
                <w:rStyle w:val="Artdef"/>
                <w:rFonts w:cstheme="minorHAnsi"/>
                <w:szCs w:val="20"/>
              </w:rPr>
              <w:t>8  </w:t>
            </w:r>
            <w:r w:rsidRPr="00F84B53">
              <w:t>2.2</w:t>
            </w:r>
            <w:r w:rsidRPr="00F84B53">
              <w:tab/>
            </w:r>
            <w:r w:rsidR="009427EE" w:rsidRPr="00F84B53">
              <w:t xml:space="preserve">The administration or the recognized private operating agency or the designated entity or entities listed in paragraph 2.1 are referred to in this Appendix as the </w:t>
            </w:r>
            <w:r w:rsidR="001223D2" w:rsidRPr="00F84B53">
              <w:t>"</w:t>
            </w:r>
            <w:r w:rsidR="009427EE" w:rsidRPr="00F84B53">
              <w:t>accounting authority</w:t>
            </w:r>
            <w:r w:rsidR="001223D2" w:rsidRPr="00F84B53">
              <w:t>"</w:t>
            </w:r>
            <w:r w:rsidR="009427EE" w:rsidRPr="00F84B53">
              <w:t>.</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9199298" w14:textId="3177661B"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51987B1" w14:textId="20766E78"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F776D2A" w14:textId="4E5EC5BC" w:rsidR="00D40E7A" w:rsidRPr="00F84B53" w:rsidRDefault="00E46068" w:rsidP="00E46068">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D40E7A" w:rsidRPr="00F84B53" w14:paraId="26222C80" w14:textId="77777777" w:rsidTr="00F84B53">
        <w:trPr>
          <w:trHeight w:val="1200"/>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09FA6B31"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6EEE8C7" w14:textId="5639B16D" w:rsidR="00D40E7A" w:rsidRPr="00F84B53" w:rsidRDefault="00D40E7A" w:rsidP="006B619D">
            <w:pPr>
              <w:pStyle w:val="Tabletext"/>
              <w:rPr>
                <w:rStyle w:val="Artdef"/>
                <w:rFonts w:cstheme="minorHAnsi"/>
                <w:szCs w:val="20"/>
              </w:rPr>
            </w:pPr>
            <w:r w:rsidRPr="00F84B53">
              <w:rPr>
                <w:rStyle w:val="Artdef"/>
                <w:rFonts w:cstheme="minorHAnsi"/>
                <w:szCs w:val="20"/>
              </w:rPr>
              <w:t>2.9  </w:t>
            </w:r>
            <w:r w:rsidRPr="00F84B53">
              <w:t>2.3</w:t>
            </w:r>
            <w:r w:rsidRPr="00F84B53">
              <w:tab/>
            </w:r>
            <w:r w:rsidR="006B619D" w:rsidRPr="00F84B53">
              <w:t>References to authorized operating agency contained in Article</w:t>
            </w:r>
            <w:r w:rsidR="00F84B53" w:rsidRPr="00F84B53">
              <w:t> </w:t>
            </w:r>
            <w:r w:rsidR="006B619D" w:rsidRPr="00F84B53">
              <w:t>8 and Appendix 1 shall be read as "accounting authority" when applying the provisions of Article 6 and Appendix 1 to maritime telecommunications.</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664FA0C" w14:textId="376943AE" w:rsidR="00D40E7A" w:rsidRPr="00F84B53" w:rsidRDefault="00D40E7A" w:rsidP="009427EE">
            <w:pPr>
              <w:pStyle w:val="Tabletext"/>
              <w:rPr>
                <w:rStyle w:val="Artdef"/>
                <w:rFonts w:cstheme="minorHAnsi"/>
                <w:szCs w:val="20"/>
              </w:rPr>
            </w:pPr>
            <w:r w:rsidRPr="00F84B53">
              <w:rPr>
                <w:rStyle w:val="Artdef"/>
                <w:rFonts w:cstheme="minorHAnsi"/>
                <w:szCs w:val="20"/>
              </w:rPr>
              <w:t>2</w:t>
            </w:r>
            <w:r w:rsidR="001223D2" w:rsidRPr="00F84B53">
              <w:rPr>
                <w:rStyle w:val="Artdef"/>
                <w:rFonts w:cstheme="minorHAnsi"/>
                <w:szCs w:val="20"/>
              </w:rPr>
              <w:t>/</w:t>
            </w:r>
            <w:proofErr w:type="gramStart"/>
            <w:r w:rsidRPr="00F84B53">
              <w:rPr>
                <w:rStyle w:val="Artdef"/>
                <w:rFonts w:cstheme="minorHAnsi"/>
                <w:szCs w:val="20"/>
              </w:rPr>
              <w:t>9  </w:t>
            </w:r>
            <w:r w:rsidRPr="00F84B53">
              <w:t>2</w:t>
            </w:r>
            <w:proofErr w:type="gramEnd"/>
            <w:r w:rsidRPr="00F84B53">
              <w:t>.3</w:t>
            </w:r>
            <w:r w:rsidRPr="00F84B53">
              <w:tab/>
            </w:r>
            <w:r w:rsidR="009427EE" w:rsidRPr="00F84B53">
              <w:t>References to administration</w:t>
            </w:r>
            <w:r w:rsidR="009427EE" w:rsidRPr="00F84B53">
              <w:fldChar w:fldCharType="begin"/>
            </w:r>
            <w:r w:rsidR="009427EE" w:rsidRPr="00F84B53">
              <w:instrText xml:space="preserve"> NOTEREF _Ref318892464 \f \h </w:instrText>
            </w:r>
            <w:r w:rsidR="00E665D4" w:rsidRPr="00F84B53">
              <w:instrText xml:space="preserve"> \* MERGEFORMAT </w:instrText>
            </w:r>
            <w:r w:rsidR="009427EE" w:rsidRPr="00F84B53">
              <w:fldChar w:fldCharType="separate"/>
            </w:r>
            <w:r w:rsidR="009427EE" w:rsidRPr="00F84B53">
              <w:rPr>
                <w:rStyle w:val="FootnoteReference"/>
              </w:rPr>
              <w:t>*</w:t>
            </w:r>
            <w:r w:rsidR="009427EE" w:rsidRPr="00F84B53">
              <w:fldChar w:fldCharType="end"/>
            </w:r>
            <w:r w:rsidR="009427EE" w:rsidRPr="00F84B53">
              <w:t xml:space="preserve"> contained in Article</w:t>
            </w:r>
            <w:r w:rsidR="001223D2" w:rsidRPr="00F84B53">
              <w:t> </w:t>
            </w:r>
            <w:r w:rsidR="009427EE" w:rsidRPr="00F84B53">
              <w:t xml:space="preserve">6 and Appendix 1 shall be read as </w:t>
            </w:r>
            <w:r w:rsidR="001223D2" w:rsidRPr="00F84B53">
              <w:t>"</w:t>
            </w:r>
            <w:r w:rsidR="009427EE" w:rsidRPr="00F84B53">
              <w:t>accounting authority</w:t>
            </w:r>
            <w:r w:rsidR="001223D2" w:rsidRPr="00F84B53">
              <w:t>"</w:t>
            </w:r>
            <w:r w:rsidR="009427EE" w:rsidRPr="00F84B53">
              <w:t xml:space="preserve"> when applying the provisions of Article 6 and Appendix 1 to maritime telecommunications.</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AD9A3CF" w14:textId="29257447"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A6E0302" w14:textId="06917977"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9763027" w14:textId="326C25C6" w:rsidR="00D40E7A" w:rsidRPr="00F84B53" w:rsidRDefault="00E46068" w:rsidP="00E46068">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D40E7A" w:rsidRPr="00F84B53" w14:paraId="62CE26E1" w14:textId="77777777" w:rsidTr="00F84B53">
        <w:trPr>
          <w:trHeight w:val="1748"/>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0811E64C" w14:textId="77777777" w:rsidR="00D40E7A" w:rsidRPr="00F84B53" w:rsidRDefault="00D40E7A" w:rsidP="00B0115C">
            <w:pPr>
              <w:pStyle w:val="Tabletext"/>
              <w:jc w:val="center"/>
              <w:rPr>
                <w:rFonts w:asciiTheme="minorHAnsi" w:hAnsiTheme="minorHAnsi" w:cstheme="minorHAnsi"/>
                <w:b/>
              </w:rPr>
            </w:pPr>
          </w:p>
        </w:tc>
        <w:tc>
          <w:tcPr>
            <w:tcW w:w="3543" w:type="dxa"/>
            <w:vMerge w:val="restart"/>
            <w:tcBorders>
              <w:top w:val="single" w:sz="4" w:space="0" w:color="auto"/>
              <w:left w:val="single" w:sz="4" w:space="0" w:color="auto"/>
              <w:right w:val="single" w:sz="4" w:space="0" w:color="auto"/>
            </w:tcBorders>
            <w:noWrap/>
            <w:tcMar>
              <w:left w:w="85" w:type="dxa"/>
              <w:right w:w="85" w:type="dxa"/>
            </w:tcMar>
          </w:tcPr>
          <w:p w14:paraId="31BCA323" w14:textId="26003392" w:rsidR="00D40E7A" w:rsidRPr="00F84B53" w:rsidRDefault="00D40E7A" w:rsidP="006B619D">
            <w:pPr>
              <w:pStyle w:val="Tabletext"/>
              <w:rPr>
                <w:rStyle w:val="Artdef"/>
                <w:rFonts w:cstheme="minorHAnsi"/>
                <w:szCs w:val="20"/>
              </w:rPr>
            </w:pPr>
            <w:r w:rsidRPr="00F84B53">
              <w:rPr>
                <w:rStyle w:val="Artdef"/>
                <w:rFonts w:cstheme="minorHAnsi"/>
                <w:szCs w:val="20"/>
              </w:rPr>
              <w:t>2.10  </w:t>
            </w:r>
            <w:r w:rsidRPr="00F84B53">
              <w:t>2.4</w:t>
            </w:r>
            <w:r w:rsidRPr="00F84B53">
              <w:tab/>
            </w:r>
            <w:r w:rsidR="006B619D" w:rsidRPr="00F84B53">
              <w:t>Member States shall designate their accounting authority or authorities for the purposes of implementing this Appendix and notify their names, identification codes and addresses to the Secretary-General for inclusion in the List of Ship Stations and Maritime Mobile Service Identity Assignments. The number of such names and addresses shall be limited, taking into account the relevant ITU-T Recommendations.</w:t>
            </w:r>
          </w:p>
        </w:tc>
        <w:tc>
          <w:tcPr>
            <w:tcW w:w="3402" w:type="dxa"/>
            <w:vMerge w:val="restart"/>
            <w:tcBorders>
              <w:top w:val="single" w:sz="4" w:space="0" w:color="auto"/>
              <w:left w:val="single" w:sz="4" w:space="0" w:color="auto"/>
              <w:right w:val="single" w:sz="4" w:space="0" w:color="auto"/>
            </w:tcBorders>
            <w:noWrap/>
            <w:tcMar>
              <w:left w:w="85" w:type="dxa"/>
              <w:right w:w="85" w:type="dxa"/>
            </w:tcMar>
          </w:tcPr>
          <w:p w14:paraId="2CCB5207" w14:textId="6E5053FC" w:rsidR="00D40E7A" w:rsidRPr="00F84B53" w:rsidRDefault="00D40E7A" w:rsidP="001223D2">
            <w:pPr>
              <w:pStyle w:val="Tabletext"/>
              <w:rPr>
                <w:rStyle w:val="Artdef"/>
                <w:rFonts w:cstheme="minorHAnsi"/>
                <w:szCs w:val="20"/>
              </w:rPr>
            </w:pPr>
            <w:r w:rsidRPr="00F84B53">
              <w:rPr>
                <w:rStyle w:val="Artdef"/>
                <w:rFonts w:cstheme="minorHAnsi"/>
                <w:szCs w:val="20"/>
              </w:rPr>
              <w:t>2</w:t>
            </w:r>
            <w:r w:rsidR="001223D2" w:rsidRPr="00F84B53">
              <w:rPr>
                <w:rStyle w:val="Artdef"/>
                <w:rFonts w:cstheme="minorHAnsi"/>
                <w:szCs w:val="20"/>
              </w:rPr>
              <w:t>/</w:t>
            </w:r>
            <w:r w:rsidRPr="00F84B53">
              <w:rPr>
                <w:rStyle w:val="Artdef"/>
                <w:rFonts w:cstheme="minorHAnsi"/>
                <w:szCs w:val="20"/>
              </w:rPr>
              <w:t>10  </w:t>
            </w:r>
            <w:r w:rsidRPr="00F84B53">
              <w:t>2.4</w:t>
            </w:r>
            <w:r w:rsidRPr="00F84B53">
              <w:tab/>
            </w:r>
            <w:r w:rsidR="001223D2" w:rsidRPr="00F84B53">
              <w:t>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CCITT Recommendations.</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F16A7FE" w14:textId="6D1FD9DD"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right w:val="single" w:sz="4" w:space="0" w:color="auto"/>
            </w:tcBorders>
            <w:noWrap/>
            <w:tcMar>
              <w:left w:w="85" w:type="dxa"/>
              <w:right w:w="85" w:type="dxa"/>
            </w:tcMar>
          </w:tcPr>
          <w:p w14:paraId="73377FC1" w14:textId="550D42A1"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vMerge w:val="restart"/>
            <w:tcBorders>
              <w:top w:val="single" w:sz="4" w:space="0" w:color="auto"/>
              <w:left w:val="single" w:sz="4" w:space="0" w:color="auto"/>
              <w:right w:val="single" w:sz="4" w:space="0" w:color="auto"/>
            </w:tcBorders>
            <w:noWrap/>
            <w:tcMar>
              <w:left w:w="85" w:type="dxa"/>
              <w:right w:w="85" w:type="dxa"/>
            </w:tcMar>
          </w:tcPr>
          <w:p w14:paraId="332D1011" w14:textId="1EB551E0" w:rsidR="00D40E7A" w:rsidRPr="00F84B53" w:rsidRDefault="00AA599C" w:rsidP="00AA599C">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4604DE" w:rsidRPr="00F84B53" w14:paraId="7F90CF4E" w14:textId="77777777" w:rsidTr="00F84B53">
        <w:trPr>
          <w:trHeight w:val="1747"/>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19B66340" w14:textId="77777777" w:rsidR="004604DE" w:rsidRPr="00F84B53" w:rsidRDefault="004604DE" w:rsidP="004604DE">
            <w:pPr>
              <w:pStyle w:val="Tabletext"/>
              <w:jc w:val="center"/>
              <w:rPr>
                <w:rFonts w:asciiTheme="minorHAnsi" w:hAnsiTheme="minorHAnsi" w:cstheme="minorHAnsi"/>
                <w:b/>
              </w:rPr>
            </w:pPr>
          </w:p>
        </w:tc>
        <w:tc>
          <w:tcPr>
            <w:tcW w:w="3543" w:type="dxa"/>
            <w:vMerge/>
            <w:tcBorders>
              <w:left w:val="single" w:sz="4" w:space="0" w:color="auto"/>
              <w:bottom w:val="single" w:sz="4" w:space="0" w:color="auto"/>
              <w:right w:val="single" w:sz="4" w:space="0" w:color="auto"/>
            </w:tcBorders>
            <w:noWrap/>
            <w:tcMar>
              <w:left w:w="85" w:type="dxa"/>
              <w:right w:w="85" w:type="dxa"/>
            </w:tcMar>
          </w:tcPr>
          <w:p w14:paraId="050A5C1B" w14:textId="77777777" w:rsidR="004604DE" w:rsidRPr="00F84B53" w:rsidRDefault="004604DE" w:rsidP="004604DE">
            <w:pPr>
              <w:pStyle w:val="Tabletext"/>
              <w:jc w:val="both"/>
              <w:rPr>
                <w:rStyle w:val="Artdef"/>
                <w:rFonts w:cstheme="minorHAnsi"/>
                <w:szCs w:val="20"/>
              </w:rPr>
            </w:pPr>
          </w:p>
        </w:tc>
        <w:tc>
          <w:tcPr>
            <w:tcW w:w="3402" w:type="dxa"/>
            <w:vMerge/>
            <w:tcBorders>
              <w:left w:val="single" w:sz="4" w:space="0" w:color="auto"/>
              <w:bottom w:val="single" w:sz="4" w:space="0" w:color="auto"/>
              <w:right w:val="single" w:sz="4" w:space="0" w:color="auto"/>
            </w:tcBorders>
            <w:noWrap/>
            <w:tcMar>
              <w:left w:w="85" w:type="dxa"/>
              <w:right w:w="85" w:type="dxa"/>
            </w:tcMar>
          </w:tcPr>
          <w:p w14:paraId="797C20B7" w14:textId="77777777" w:rsidR="004604DE" w:rsidRPr="00F84B53" w:rsidRDefault="004604DE" w:rsidP="004604DE">
            <w:pPr>
              <w:pStyle w:val="Tabletext"/>
              <w:jc w:val="both"/>
              <w:rPr>
                <w:rStyle w:val="Artdef"/>
                <w:rFonts w:cstheme="minorHAnsi"/>
                <w:szCs w:val="20"/>
              </w:rPr>
            </w:pPr>
          </w:p>
        </w:tc>
        <w:tc>
          <w:tcPr>
            <w:tcW w:w="4395"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2A00136E" w14:textId="43112386" w:rsidR="004604DE" w:rsidRPr="00F84B53" w:rsidRDefault="004604DE" w:rsidP="008D463F">
            <w:pPr>
              <w:pStyle w:val="Tabletext"/>
              <w:rPr>
                <w:rFonts w:asciiTheme="minorHAnsi" w:hAnsiTheme="minorHAnsi" w:cstheme="minorHAnsi"/>
                <w:b/>
              </w:rPr>
            </w:pPr>
            <w:r w:rsidRPr="00F84B53">
              <w:rPr>
                <w:rFonts w:asciiTheme="minorHAnsi" w:hAnsiTheme="minorHAnsi" w:cstheme="minorHAnsi"/>
                <w:b/>
                <w:bCs/>
                <w:i/>
                <w:szCs w:val="20"/>
              </w:rPr>
              <w:t>No. 2/10 of the 1988 ITRs contains an outdated reference to CCITT</w:t>
            </w:r>
            <w:r w:rsidR="002D33FB" w:rsidRPr="00F84B53">
              <w:rPr>
                <w:rFonts w:asciiTheme="minorHAnsi" w:hAnsiTheme="minorHAnsi" w:cstheme="minorHAnsi"/>
                <w:b/>
                <w:bCs/>
                <w:i/>
                <w:szCs w:val="20"/>
              </w:rPr>
              <w:t xml:space="preserve"> </w:t>
            </w:r>
            <w:r w:rsidRPr="00F84B53">
              <w:rPr>
                <w:rFonts w:asciiTheme="minorHAnsi" w:hAnsiTheme="minorHAnsi" w:cstheme="minorHAnsi"/>
                <w:b/>
                <w:bCs/>
                <w:i/>
                <w:szCs w:val="20"/>
              </w:rPr>
              <w:t>Recommendations.</w:t>
            </w:r>
          </w:p>
        </w:tc>
        <w:tc>
          <w:tcPr>
            <w:tcW w:w="2409" w:type="dxa"/>
            <w:vMerge/>
            <w:tcBorders>
              <w:left w:val="single" w:sz="4" w:space="0" w:color="auto"/>
              <w:bottom w:val="single" w:sz="4" w:space="0" w:color="auto"/>
              <w:right w:val="single" w:sz="4" w:space="0" w:color="auto"/>
            </w:tcBorders>
            <w:noWrap/>
            <w:tcMar>
              <w:left w:w="85" w:type="dxa"/>
              <w:right w:w="85" w:type="dxa"/>
            </w:tcMar>
          </w:tcPr>
          <w:p w14:paraId="5FF61BAE" w14:textId="77777777" w:rsidR="004604DE" w:rsidRPr="00F84B53" w:rsidRDefault="004604DE" w:rsidP="004604DE">
            <w:pPr>
              <w:pStyle w:val="Tabletext"/>
              <w:rPr>
                <w:rFonts w:asciiTheme="minorHAnsi" w:hAnsiTheme="minorHAnsi" w:cstheme="minorHAnsi"/>
              </w:rPr>
            </w:pPr>
          </w:p>
        </w:tc>
      </w:tr>
      <w:tr w:rsidR="00D40E7A" w:rsidRPr="00F84B53" w14:paraId="624304C8" w14:textId="77777777" w:rsidTr="00F84B53">
        <w:trPr>
          <w:trHeight w:val="309"/>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716DCF28" w14:textId="77777777" w:rsidR="00D40E7A" w:rsidRPr="00F84B53" w:rsidRDefault="00D40E7A" w:rsidP="00B0115C">
            <w:pPr>
              <w:pStyle w:val="Tabletext"/>
              <w:jc w:val="center"/>
              <w:rPr>
                <w:rFonts w:asciiTheme="minorHAnsi" w:hAnsiTheme="minorHAnsi" w:cstheme="minorHAnsi"/>
                <w:b/>
              </w:rPr>
            </w:pPr>
          </w:p>
        </w:tc>
        <w:tc>
          <w:tcPr>
            <w:tcW w:w="6945"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1CB11A0F" w14:textId="7C3C2B35" w:rsidR="00D40E7A" w:rsidRPr="00F84B53" w:rsidRDefault="00D40E7A" w:rsidP="008D463F">
            <w:pPr>
              <w:pStyle w:val="Tabletext"/>
              <w:keepNext/>
              <w:keepLines/>
              <w:jc w:val="both"/>
              <w:rPr>
                <w:rStyle w:val="Artdef"/>
                <w:rFonts w:cstheme="minorHAnsi"/>
              </w:rPr>
            </w:pPr>
            <w:r w:rsidRPr="00F84B53">
              <w:rPr>
                <w:rStyle w:val="Artdef"/>
                <w:rFonts w:cstheme="minorHAnsi"/>
              </w:rPr>
              <w:t>2.11  </w:t>
            </w:r>
            <w:r w:rsidRPr="00F84B53">
              <w:rPr>
                <w:rStyle w:val="Heading1Char"/>
                <w:rFonts w:asciiTheme="minorHAnsi" w:hAnsiTheme="minorHAnsi" w:cstheme="minorHAnsi"/>
                <w:sz w:val="22"/>
              </w:rPr>
              <w:t>3</w:t>
            </w:r>
            <w:r w:rsidRPr="00F84B53">
              <w:rPr>
                <w:rStyle w:val="Heading1Char"/>
                <w:rFonts w:asciiTheme="minorHAnsi" w:hAnsiTheme="minorHAnsi" w:cstheme="minorHAnsi"/>
                <w:sz w:val="22"/>
              </w:rPr>
              <w:tab/>
            </w:r>
            <w:r w:rsidR="006B619D" w:rsidRPr="00F84B53">
              <w:rPr>
                <w:rFonts w:asciiTheme="minorHAnsi" w:hAnsiTheme="minorHAnsi" w:cstheme="minorHAnsi"/>
                <w:b/>
              </w:rPr>
              <w:t>Establishment of accounts</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14173E9" w14:textId="77777777" w:rsidR="00D40E7A" w:rsidRPr="00F84B53" w:rsidRDefault="00D40E7A" w:rsidP="008D463F">
            <w:pPr>
              <w:pStyle w:val="Tabletext"/>
              <w:keepNext/>
              <w:keepLines/>
              <w:rPr>
                <w:rFonts w:asciiTheme="minorHAnsi" w:hAnsiTheme="minorHAnsi" w:cstheme="minorHAnsi"/>
              </w:rPr>
            </w:pP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7088FE7" w14:textId="77777777" w:rsidR="00D40E7A" w:rsidRPr="00F84B53" w:rsidRDefault="00D40E7A" w:rsidP="008D463F">
            <w:pPr>
              <w:pStyle w:val="Tabletext"/>
              <w:keepNext/>
              <w:keepLines/>
              <w:rPr>
                <w:rFonts w:asciiTheme="minorHAnsi" w:hAnsiTheme="minorHAnsi" w:cstheme="minorHAnsi"/>
              </w:rPr>
            </w:pP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E857E16" w14:textId="77777777" w:rsidR="00D40E7A" w:rsidRPr="00F84B53" w:rsidRDefault="00D40E7A" w:rsidP="008D463F">
            <w:pPr>
              <w:pStyle w:val="Tabletext"/>
              <w:keepNext/>
              <w:keepLines/>
              <w:rPr>
                <w:rFonts w:asciiTheme="minorHAnsi" w:hAnsiTheme="minorHAnsi" w:cstheme="minorHAnsi"/>
              </w:rPr>
            </w:pPr>
          </w:p>
        </w:tc>
      </w:tr>
      <w:tr w:rsidR="00D40E7A" w:rsidRPr="00F84B53" w14:paraId="3E64807A" w14:textId="77777777" w:rsidTr="00F84B53">
        <w:trPr>
          <w:trHeight w:val="1200"/>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401B50FC"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2FEB5B3" w14:textId="52BA9E12" w:rsidR="00D40E7A" w:rsidRPr="00F84B53" w:rsidRDefault="00D40E7A" w:rsidP="00B16E90">
            <w:pPr>
              <w:pStyle w:val="Tabletext"/>
              <w:rPr>
                <w:rStyle w:val="Artdef"/>
                <w:rFonts w:cstheme="minorHAnsi"/>
                <w:szCs w:val="20"/>
              </w:rPr>
            </w:pPr>
            <w:r w:rsidRPr="00F84B53">
              <w:rPr>
                <w:rStyle w:val="Artdef"/>
                <w:rFonts w:cstheme="minorHAnsi"/>
                <w:szCs w:val="20"/>
              </w:rPr>
              <w:t>2.12  </w:t>
            </w:r>
            <w:r w:rsidRPr="00F84B53">
              <w:t>3.1</w:t>
            </w:r>
            <w:r w:rsidRPr="00F84B53">
              <w:tab/>
            </w:r>
            <w:r w:rsidR="00B16E90" w:rsidRPr="00F84B53">
              <w:t>In principle, an account shall be considered as accepted without the need for specific notification of acceptance to the service provider that sent it.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08D9248" w14:textId="3576A36A" w:rsidR="00D40E7A" w:rsidRPr="00F84B53" w:rsidRDefault="00D40E7A" w:rsidP="001223D2">
            <w:pPr>
              <w:pStyle w:val="Tabletext"/>
              <w:rPr>
                <w:rStyle w:val="Artdef"/>
                <w:rFonts w:cstheme="minorHAnsi"/>
                <w:szCs w:val="20"/>
              </w:rPr>
            </w:pPr>
            <w:r w:rsidRPr="00F84B53">
              <w:rPr>
                <w:rStyle w:val="Artdef"/>
                <w:rFonts w:cstheme="minorHAnsi"/>
                <w:szCs w:val="20"/>
              </w:rPr>
              <w:t>2</w:t>
            </w:r>
            <w:r w:rsidR="001223D2" w:rsidRPr="00F84B53">
              <w:rPr>
                <w:rStyle w:val="Artdef"/>
                <w:rFonts w:cstheme="minorHAnsi"/>
                <w:szCs w:val="20"/>
              </w:rPr>
              <w:t>/</w:t>
            </w:r>
            <w:r w:rsidRPr="00F84B53">
              <w:rPr>
                <w:rStyle w:val="Artdef"/>
                <w:rFonts w:cstheme="minorHAnsi"/>
                <w:szCs w:val="20"/>
              </w:rPr>
              <w:t>12  </w:t>
            </w:r>
            <w:r w:rsidRPr="00F84B53">
              <w:t>3.1</w:t>
            </w:r>
            <w:r w:rsidRPr="00F84B53">
              <w:tab/>
            </w:r>
            <w:r w:rsidR="001223D2" w:rsidRPr="00F84B53">
              <w:t>In principle, an account shall be considered as accepted without the need for specific notification of acceptance to the accounting authority that sent it.</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231B08B" w14:textId="66CAEAC9"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74E9CEA" w14:textId="450EBD72"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DE67D5E" w14:textId="66BCB14D" w:rsidR="00D40E7A" w:rsidRPr="00F84B53" w:rsidRDefault="00AA599C" w:rsidP="00AA599C">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D40E7A" w:rsidRPr="00F84B53" w14:paraId="6E92E7D0" w14:textId="77777777" w:rsidTr="00F84B53">
        <w:trPr>
          <w:trHeight w:val="1200"/>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30A18F94"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10DF0A4" w14:textId="122569BD" w:rsidR="00D40E7A" w:rsidRPr="00F84B53" w:rsidRDefault="00D40E7A" w:rsidP="00B16E90">
            <w:pPr>
              <w:pStyle w:val="Tabletext"/>
              <w:rPr>
                <w:rStyle w:val="Artdef"/>
                <w:rFonts w:cstheme="minorHAnsi"/>
                <w:szCs w:val="20"/>
              </w:rPr>
            </w:pPr>
            <w:r w:rsidRPr="00F84B53">
              <w:rPr>
                <w:rStyle w:val="Artdef"/>
                <w:rFonts w:cstheme="minorHAnsi"/>
                <w:szCs w:val="20"/>
              </w:rPr>
              <w:t>2.13  </w:t>
            </w:r>
            <w:r w:rsidRPr="00F84B53">
              <w:t>3.2</w:t>
            </w:r>
            <w:r w:rsidRPr="00F84B53">
              <w:tab/>
            </w:r>
            <w:r w:rsidR="00B16E90" w:rsidRPr="00F84B53">
              <w:t>However, any accounting authority has the right to question the contents of an account for a period of six calendar months after dispatch of the account, even after the account has been paid.</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ED58F2E" w14:textId="708031B8" w:rsidR="00D40E7A" w:rsidRPr="00F84B53" w:rsidRDefault="00D40E7A" w:rsidP="001223D2">
            <w:pPr>
              <w:pStyle w:val="Tabletext"/>
              <w:rPr>
                <w:rStyle w:val="Artdef"/>
                <w:rFonts w:cstheme="minorHAnsi"/>
                <w:szCs w:val="20"/>
              </w:rPr>
            </w:pPr>
            <w:r w:rsidRPr="00F84B53">
              <w:rPr>
                <w:rStyle w:val="Artdef"/>
                <w:rFonts w:cstheme="minorHAnsi"/>
                <w:szCs w:val="20"/>
              </w:rPr>
              <w:t>2</w:t>
            </w:r>
            <w:r w:rsidR="001223D2" w:rsidRPr="00F84B53">
              <w:rPr>
                <w:rStyle w:val="Artdef"/>
                <w:rFonts w:cstheme="minorHAnsi"/>
                <w:szCs w:val="20"/>
              </w:rPr>
              <w:t>/</w:t>
            </w:r>
            <w:r w:rsidRPr="00F84B53">
              <w:rPr>
                <w:rStyle w:val="Artdef"/>
                <w:rFonts w:cstheme="minorHAnsi"/>
                <w:szCs w:val="20"/>
              </w:rPr>
              <w:t>13  </w:t>
            </w:r>
            <w:r w:rsidRPr="00F84B53">
              <w:t>3.2</w:t>
            </w:r>
            <w:r w:rsidRPr="00F84B53">
              <w:tab/>
            </w:r>
            <w:bookmarkStart w:id="60" w:name="lt_pId235"/>
            <w:r w:rsidR="001223D2" w:rsidRPr="00F84B53">
              <w:t>However, any accounting authority has the right to question the contents of an account for a period of six calendar months after dispatch of the account</w:t>
            </w:r>
            <w:r w:rsidRPr="00F84B53">
              <w:t>.</w:t>
            </w:r>
            <w:bookmarkEnd w:id="60"/>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1E2BC1D" w14:textId="7725FF24"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2578DA9" w14:textId="0210585C"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3E2603E" w14:textId="6C24FD19" w:rsidR="00D40E7A" w:rsidRPr="00F84B53" w:rsidRDefault="00AA599C" w:rsidP="00AA599C">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D40E7A" w:rsidRPr="00F84B53" w14:paraId="24C9E1DA" w14:textId="77777777" w:rsidTr="00F84B53">
        <w:trPr>
          <w:trHeight w:val="417"/>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14D406BC" w14:textId="77777777" w:rsidR="00D40E7A" w:rsidRPr="00F84B53" w:rsidRDefault="00D40E7A" w:rsidP="00B0115C">
            <w:pPr>
              <w:pStyle w:val="Tabletext"/>
              <w:jc w:val="center"/>
              <w:rPr>
                <w:rFonts w:asciiTheme="minorHAnsi" w:hAnsiTheme="minorHAnsi" w:cstheme="minorHAnsi"/>
                <w:b/>
              </w:rPr>
            </w:pPr>
          </w:p>
        </w:tc>
        <w:tc>
          <w:tcPr>
            <w:tcW w:w="6945"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25130AA1" w14:textId="1F38CC02" w:rsidR="00D40E7A" w:rsidRPr="00F84B53" w:rsidRDefault="00D40E7A" w:rsidP="00D04584">
            <w:pPr>
              <w:pStyle w:val="Tabletext"/>
              <w:keepNext/>
              <w:keepLines/>
              <w:jc w:val="both"/>
              <w:rPr>
                <w:rStyle w:val="Artdef"/>
                <w:rFonts w:cstheme="minorHAnsi"/>
              </w:rPr>
            </w:pPr>
            <w:r w:rsidRPr="00F84B53">
              <w:rPr>
                <w:rStyle w:val="Artdef"/>
                <w:rFonts w:cstheme="minorHAnsi"/>
              </w:rPr>
              <w:t>2.14  </w:t>
            </w:r>
            <w:r w:rsidRPr="00F84B53">
              <w:rPr>
                <w:rStyle w:val="Heading1Char"/>
                <w:sz w:val="22"/>
              </w:rPr>
              <w:t>4</w:t>
            </w:r>
            <w:r w:rsidRPr="00F84B53">
              <w:rPr>
                <w:rStyle w:val="Heading1Char"/>
                <w:rFonts w:asciiTheme="minorHAnsi" w:hAnsiTheme="minorHAnsi" w:cstheme="minorHAnsi"/>
                <w:sz w:val="22"/>
              </w:rPr>
              <w:tab/>
            </w:r>
            <w:r w:rsidRPr="00F84B53">
              <w:rPr>
                <w:rStyle w:val="Heading1Char"/>
                <w:rFonts w:asciiTheme="minorHAnsi" w:hAnsiTheme="minorHAnsi" w:cstheme="minorHAnsi"/>
                <w:sz w:val="22"/>
              </w:rPr>
              <w:tab/>
            </w:r>
            <w:r w:rsidR="00B16E90" w:rsidRPr="00F84B53">
              <w:rPr>
                <w:rFonts w:asciiTheme="minorHAnsi" w:hAnsiTheme="minorHAnsi" w:cstheme="minorHAnsi"/>
                <w:b/>
                <w:bCs/>
              </w:rPr>
              <w:t>Settlement of balances of account</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68B7C08" w14:textId="77777777" w:rsidR="00D40E7A" w:rsidRPr="00F84B53" w:rsidRDefault="00D40E7A" w:rsidP="00D04584">
            <w:pPr>
              <w:pStyle w:val="Tabletext"/>
              <w:keepNext/>
              <w:keepLines/>
              <w:rPr>
                <w:rFonts w:asciiTheme="minorHAnsi" w:hAnsiTheme="minorHAnsi" w:cstheme="minorHAnsi"/>
              </w:rPr>
            </w:pP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0222BEE" w14:textId="77777777" w:rsidR="00D40E7A" w:rsidRPr="00F84B53" w:rsidRDefault="00D40E7A" w:rsidP="00D04584">
            <w:pPr>
              <w:pStyle w:val="Tabletext"/>
              <w:keepNext/>
              <w:keepLines/>
              <w:rPr>
                <w:rFonts w:asciiTheme="minorHAnsi" w:hAnsiTheme="minorHAnsi" w:cstheme="minorHAnsi"/>
              </w:rPr>
            </w:pP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9FC07F4" w14:textId="77777777" w:rsidR="00D40E7A" w:rsidRPr="00F84B53" w:rsidRDefault="00D40E7A" w:rsidP="00D04584">
            <w:pPr>
              <w:pStyle w:val="Tabletext"/>
              <w:keepNext/>
              <w:keepLines/>
              <w:rPr>
                <w:rFonts w:asciiTheme="minorHAnsi" w:hAnsiTheme="minorHAnsi" w:cstheme="minorHAnsi"/>
              </w:rPr>
            </w:pPr>
          </w:p>
        </w:tc>
      </w:tr>
      <w:tr w:rsidR="00D40E7A" w:rsidRPr="00F84B53" w14:paraId="56582303" w14:textId="77777777" w:rsidTr="00F84B53">
        <w:trPr>
          <w:trHeight w:val="489"/>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6FEA233C"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456BA19" w14:textId="6C9B72AC" w:rsidR="00D40E7A" w:rsidRPr="00F84B53" w:rsidRDefault="00D40E7A" w:rsidP="00D04584">
            <w:pPr>
              <w:pStyle w:val="Tabletext"/>
              <w:keepLines/>
              <w:rPr>
                <w:rStyle w:val="Artdef"/>
                <w:rFonts w:cstheme="minorHAnsi"/>
                <w:szCs w:val="20"/>
              </w:rPr>
            </w:pPr>
            <w:r w:rsidRPr="00F84B53">
              <w:rPr>
                <w:rStyle w:val="Artdef"/>
                <w:rFonts w:cstheme="minorHAnsi"/>
                <w:szCs w:val="20"/>
              </w:rPr>
              <w:t>2.15  </w:t>
            </w:r>
            <w:r w:rsidRPr="00F84B53">
              <w:t>4.1</w:t>
            </w:r>
            <w:r w:rsidRPr="00F84B53">
              <w:tab/>
            </w:r>
            <w:bookmarkStart w:id="61" w:name="lt_pId242"/>
            <w:r w:rsidR="00B16E90" w:rsidRPr="00F84B53">
              <w:t>All international maritime telecommunication accounts shall be paid by the accounting authority without delay and in any case within six calendar months after dispatch of the account, except where the settlement of accounts is undertaken in accordance with No. 2/17 (4.3) below</w:t>
            </w:r>
            <w:r w:rsidRPr="00F84B53">
              <w:t>.</w:t>
            </w:r>
            <w:bookmarkEnd w:id="61"/>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E2E09F5" w14:textId="7E15AD08" w:rsidR="00D40E7A" w:rsidRPr="00F84B53" w:rsidRDefault="00D40E7A" w:rsidP="001223D2">
            <w:pPr>
              <w:pStyle w:val="Tabletext"/>
              <w:rPr>
                <w:rStyle w:val="Artdef"/>
                <w:rFonts w:cstheme="minorHAnsi"/>
                <w:szCs w:val="20"/>
              </w:rPr>
            </w:pPr>
            <w:r w:rsidRPr="00F84B53">
              <w:rPr>
                <w:rStyle w:val="Artdef"/>
                <w:rFonts w:cstheme="minorHAnsi"/>
                <w:szCs w:val="20"/>
              </w:rPr>
              <w:t>2</w:t>
            </w:r>
            <w:r w:rsidR="001223D2" w:rsidRPr="00F84B53">
              <w:rPr>
                <w:rStyle w:val="Artdef"/>
                <w:rFonts w:cstheme="minorHAnsi"/>
                <w:szCs w:val="20"/>
              </w:rPr>
              <w:t>/</w:t>
            </w:r>
            <w:r w:rsidRPr="00F84B53">
              <w:rPr>
                <w:rStyle w:val="Artdef"/>
                <w:rFonts w:cstheme="minorHAnsi"/>
                <w:szCs w:val="20"/>
              </w:rPr>
              <w:t>15  </w:t>
            </w:r>
            <w:r w:rsidRPr="00F84B53">
              <w:t>4.1</w:t>
            </w:r>
            <w:r w:rsidRPr="00F84B53">
              <w:tab/>
            </w:r>
            <w:r w:rsidR="001223D2" w:rsidRPr="00F84B53">
              <w:t>All international maritime telecommunication accounts shall be paid by the accounting authority without delay and in any case within six calendar months after dispatch of the account, except where the settlement of accounts is undertaken in accordance with paragraph 4.3 below.</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740AA50" w14:textId="0327EE96"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6D27C48" w14:textId="3AFAA21C"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3F698FD" w14:textId="3641C59A" w:rsidR="00D40E7A" w:rsidRPr="00F84B53" w:rsidRDefault="00AA599C" w:rsidP="00AA599C">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D40E7A" w:rsidRPr="00F84B53" w14:paraId="5505A7F6" w14:textId="77777777" w:rsidTr="00F84B53">
        <w:trPr>
          <w:trHeight w:val="1029"/>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0E4402BC"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2299533" w14:textId="1E3A9FF9" w:rsidR="00D40E7A" w:rsidRPr="00F84B53" w:rsidRDefault="00D40E7A" w:rsidP="00B16E90">
            <w:pPr>
              <w:pStyle w:val="Tabletext"/>
              <w:rPr>
                <w:rStyle w:val="Artdef"/>
                <w:rFonts w:cstheme="minorHAnsi"/>
                <w:szCs w:val="20"/>
              </w:rPr>
            </w:pPr>
            <w:r w:rsidRPr="00F84B53">
              <w:rPr>
                <w:rStyle w:val="Artdef"/>
                <w:rFonts w:cstheme="minorHAnsi"/>
                <w:szCs w:val="20"/>
              </w:rPr>
              <w:t>2.16  </w:t>
            </w:r>
            <w:r w:rsidRPr="00F84B53">
              <w:t>4.2</w:t>
            </w:r>
            <w:r w:rsidRPr="00F84B53">
              <w:tab/>
            </w:r>
            <w:bookmarkStart w:id="62" w:name="lt_pId249"/>
            <w:r w:rsidR="00B16E90" w:rsidRPr="00F84B53">
              <w:t>If international maritime telecommunication accounts remain unpaid after six calendar months, the administration that has licensed the mobile station shall, on request, take steps, within the limits of applicable national law, to ensure settlement of the accounts from the licensee</w:t>
            </w:r>
            <w:r w:rsidRPr="00F84B53">
              <w:t>.</w:t>
            </w:r>
            <w:bookmarkEnd w:id="62"/>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04DBA7D" w14:textId="3F9E5B2D" w:rsidR="00D40E7A" w:rsidRPr="00F84B53" w:rsidRDefault="00D40E7A" w:rsidP="001223D2">
            <w:pPr>
              <w:pStyle w:val="Tabletext"/>
              <w:rPr>
                <w:rStyle w:val="Artdef"/>
                <w:rFonts w:cstheme="minorHAnsi"/>
                <w:szCs w:val="20"/>
              </w:rPr>
            </w:pPr>
            <w:r w:rsidRPr="00F84B53">
              <w:rPr>
                <w:rStyle w:val="Artdef"/>
                <w:rFonts w:cstheme="minorHAnsi"/>
                <w:szCs w:val="20"/>
              </w:rPr>
              <w:t>2</w:t>
            </w:r>
            <w:r w:rsidR="001223D2" w:rsidRPr="00F84B53">
              <w:rPr>
                <w:rStyle w:val="Artdef"/>
                <w:rFonts w:cstheme="minorHAnsi"/>
                <w:szCs w:val="20"/>
              </w:rPr>
              <w:t>/</w:t>
            </w:r>
            <w:r w:rsidRPr="00F84B53">
              <w:rPr>
                <w:rStyle w:val="Artdef"/>
                <w:rFonts w:cstheme="minorHAnsi"/>
                <w:szCs w:val="20"/>
              </w:rPr>
              <w:t>16  </w:t>
            </w:r>
            <w:r w:rsidRPr="00F84B53">
              <w:t>4.2</w:t>
            </w:r>
            <w:r w:rsidRPr="00F84B53">
              <w:tab/>
            </w:r>
            <w:bookmarkStart w:id="63" w:name="lt_pId251"/>
            <w:r w:rsidR="001223D2" w:rsidRPr="00F84B53">
              <w:t>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t>
            </w:r>
            <w:r w:rsidRPr="00F84B53">
              <w:t>.</w:t>
            </w:r>
            <w:bookmarkEnd w:id="63"/>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0F83C00" w14:textId="3486ABFD"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E22D018" w14:textId="2AAC9DD4"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89631EA" w14:textId="1596D055" w:rsidR="00D40E7A" w:rsidRPr="00F84B53" w:rsidRDefault="00AA599C" w:rsidP="00AA599C">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D40E7A" w:rsidRPr="00F84B53" w14:paraId="09EF6F67" w14:textId="77777777" w:rsidTr="00F84B53">
        <w:trPr>
          <w:trHeight w:val="1200"/>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55096CEC"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5A46A6E" w14:textId="69B4712D" w:rsidR="00D40E7A" w:rsidRPr="00F84B53" w:rsidRDefault="00D40E7A" w:rsidP="00B16E90">
            <w:pPr>
              <w:pStyle w:val="Tabletext"/>
              <w:rPr>
                <w:rStyle w:val="Artdef"/>
                <w:rFonts w:cstheme="minorHAnsi"/>
                <w:szCs w:val="20"/>
              </w:rPr>
            </w:pPr>
            <w:r w:rsidRPr="00F84B53">
              <w:rPr>
                <w:rStyle w:val="Artdef"/>
                <w:rFonts w:cstheme="minorHAnsi"/>
                <w:szCs w:val="20"/>
              </w:rPr>
              <w:t>2.17  </w:t>
            </w:r>
            <w:r w:rsidRPr="00F84B53">
              <w:t>4.3</w:t>
            </w:r>
            <w:r w:rsidRPr="00F84B53">
              <w:tab/>
            </w:r>
            <w:r w:rsidR="00B16E90" w:rsidRPr="00F84B53">
              <w:t xml:space="preserve">If the period between the date of dispatch and receipt exceeds one month, the receiving accounting authority should at once notify the originating service provider that queries and payments may be delayed. The delay shall, however, not exceed three calendar months in respect of payment, or five </w:t>
            </w:r>
            <w:r w:rsidR="00B16E90" w:rsidRPr="00F84B53">
              <w:lastRenderedPageBreak/>
              <w:t>calendar months in respect of queries, both periods commencing from the date of receipt of the account.</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F93EFD9" w14:textId="44991D6F" w:rsidR="00D40E7A" w:rsidRPr="00F84B53" w:rsidRDefault="00D40E7A" w:rsidP="001223D2">
            <w:pPr>
              <w:pStyle w:val="Tabletext"/>
              <w:rPr>
                <w:rStyle w:val="Artdef"/>
                <w:rFonts w:cstheme="minorHAnsi"/>
                <w:szCs w:val="20"/>
              </w:rPr>
            </w:pPr>
            <w:r w:rsidRPr="00F84B53">
              <w:rPr>
                <w:rStyle w:val="Artdef"/>
                <w:rFonts w:cstheme="minorHAnsi"/>
                <w:szCs w:val="20"/>
              </w:rPr>
              <w:lastRenderedPageBreak/>
              <w:t>2</w:t>
            </w:r>
            <w:r w:rsidR="001223D2" w:rsidRPr="00F84B53">
              <w:rPr>
                <w:rStyle w:val="Artdef"/>
                <w:rFonts w:cstheme="minorHAnsi"/>
                <w:szCs w:val="20"/>
              </w:rPr>
              <w:t>/</w:t>
            </w:r>
            <w:r w:rsidRPr="00F84B53">
              <w:rPr>
                <w:rStyle w:val="Artdef"/>
                <w:rFonts w:cstheme="minorHAnsi"/>
                <w:szCs w:val="20"/>
              </w:rPr>
              <w:t>17  </w:t>
            </w:r>
            <w:r w:rsidRPr="00F84B53">
              <w:t>4.3</w:t>
            </w:r>
            <w:r w:rsidRPr="00F84B53">
              <w:tab/>
            </w:r>
            <w:r w:rsidR="001223D2" w:rsidRPr="00F84B53">
              <w:t xml:space="preserve">If the period between the date of dispatch and receipt exceeds one month, the receiving accounting authority should at once notify the originating accounting authority that queries and payments may be delayed. The delay shall, however, not exceed three calendar months </w:t>
            </w:r>
            <w:r w:rsidR="001223D2" w:rsidRPr="00F84B53">
              <w:lastRenderedPageBreak/>
              <w:t>in respect of payment, or five calendar months in respect of queries, both periods commencing from the date of receipt of the account</w:t>
            </w:r>
            <w:bookmarkStart w:id="64" w:name="lt_pId260"/>
            <w:r w:rsidRPr="00F84B53">
              <w:t>.</w:t>
            </w:r>
            <w:bookmarkEnd w:id="64"/>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9655BA2" w14:textId="41DB9034"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lastRenderedPageBreak/>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0791CCF" w14:textId="2CE5BE24"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1530B91" w14:textId="7D4330DD" w:rsidR="00D40E7A" w:rsidRPr="00F84B53" w:rsidRDefault="00AA599C" w:rsidP="00AA599C">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r w:rsidR="00D40E7A" w:rsidRPr="00F84B53" w14:paraId="2B996E60" w14:textId="77777777" w:rsidTr="00F84B53">
        <w:trPr>
          <w:trHeight w:val="1200"/>
          <w:jc w:val="center"/>
        </w:trPr>
        <w:tc>
          <w:tcPr>
            <w:tcW w:w="988" w:type="dxa"/>
            <w:vMerge/>
            <w:tcBorders>
              <w:left w:val="single" w:sz="4" w:space="0" w:color="auto"/>
              <w:right w:val="single" w:sz="4" w:space="0" w:color="auto"/>
            </w:tcBorders>
            <w:noWrap/>
            <w:tcMar>
              <w:left w:w="85" w:type="dxa"/>
              <w:right w:w="85" w:type="dxa"/>
            </w:tcMar>
            <w:textDirection w:val="btLr"/>
            <w:vAlign w:val="center"/>
          </w:tcPr>
          <w:p w14:paraId="41917EF6" w14:textId="77777777" w:rsidR="00D40E7A" w:rsidRPr="00F84B53" w:rsidRDefault="00D40E7A" w:rsidP="00B0115C">
            <w:pPr>
              <w:pStyle w:val="Tabletext"/>
              <w:jc w:val="center"/>
              <w:rPr>
                <w:rFonts w:asciiTheme="minorHAnsi" w:hAnsiTheme="minorHAnsi" w:cstheme="minorHAnsi"/>
                <w:b/>
              </w:rPr>
            </w:pPr>
          </w:p>
        </w:tc>
        <w:tc>
          <w:tcPr>
            <w:tcW w:w="354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5C07438" w14:textId="7432E383" w:rsidR="00D40E7A" w:rsidRPr="00F84B53" w:rsidRDefault="00D40E7A" w:rsidP="00B16E90">
            <w:pPr>
              <w:pStyle w:val="Tabletext"/>
              <w:rPr>
                <w:rStyle w:val="Artdef"/>
                <w:rFonts w:cstheme="minorHAnsi"/>
                <w:szCs w:val="20"/>
              </w:rPr>
            </w:pPr>
            <w:r w:rsidRPr="00F84B53">
              <w:rPr>
                <w:rStyle w:val="Artdef"/>
                <w:rFonts w:cstheme="minorHAnsi"/>
                <w:szCs w:val="20"/>
              </w:rPr>
              <w:t>2.18  </w:t>
            </w:r>
            <w:r w:rsidRPr="00F84B53">
              <w:t>4.4</w:t>
            </w:r>
            <w:r w:rsidRPr="00F84B53">
              <w:tab/>
            </w:r>
            <w:r w:rsidR="00B16E90" w:rsidRPr="00F84B53">
              <w:t>The debtor accounting authority may refuse the settlement and adjustment of accounts presented more than twelve calendar months after the date of the traffic to which the accounts relate, unless provided otherwise under national law in which case the maximum deadline can be within eighteen calendar months.</w:t>
            </w:r>
          </w:p>
        </w:tc>
        <w:tc>
          <w:tcPr>
            <w:tcW w:w="340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3373B72" w14:textId="5FA5F353" w:rsidR="00D40E7A" w:rsidRPr="00F84B53" w:rsidRDefault="00D40E7A" w:rsidP="001223D2">
            <w:pPr>
              <w:pStyle w:val="Tabletext"/>
              <w:rPr>
                <w:rStyle w:val="Artdef"/>
                <w:rFonts w:cstheme="minorHAnsi"/>
                <w:szCs w:val="20"/>
              </w:rPr>
            </w:pPr>
            <w:r w:rsidRPr="00F84B53">
              <w:rPr>
                <w:rStyle w:val="Artdef"/>
                <w:rFonts w:cstheme="minorHAnsi"/>
                <w:szCs w:val="20"/>
              </w:rPr>
              <w:t>2</w:t>
            </w:r>
            <w:r w:rsidR="001223D2" w:rsidRPr="00F84B53">
              <w:rPr>
                <w:rStyle w:val="Artdef"/>
                <w:rFonts w:cstheme="minorHAnsi"/>
                <w:szCs w:val="20"/>
              </w:rPr>
              <w:t>/</w:t>
            </w:r>
            <w:r w:rsidRPr="00F84B53">
              <w:rPr>
                <w:rStyle w:val="Artdef"/>
                <w:rFonts w:cstheme="minorHAnsi"/>
                <w:szCs w:val="20"/>
              </w:rPr>
              <w:t>18  </w:t>
            </w:r>
            <w:r w:rsidRPr="00F84B53">
              <w:t>4.4</w:t>
            </w:r>
            <w:r w:rsidRPr="00F84B53">
              <w:tab/>
            </w:r>
            <w:r w:rsidR="001223D2" w:rsidRPr="00F84B53">
              <w:t>The debtor accounting authority may refuse the settlement and adjustment of accounts presented more than eighteen calendar months after the date of the traffic to which the accounts relate.</w:t>
            </w:r>
          </w:p>
        </w:tc>
        <w:tc>
          <w:tcPr>
            <w:tcW w:w="2232"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8F0599C" w14:textId="3E251918" w:rsidR="00D40E7A" w:rsidRPr="00F84B53" w:rsidRDefault="00345AB3" w:rsidP="00345AB3">
            <w:pPr>
              <w:pStyle w:val="Tabletext"/>
              <w:rPr>
                <w:rFonts w:asciiTheme="minorHAnsi" w:hAnsiTheme="minorHAnsi" w:cstheme="minorHAnsi"/>
              </w:rPr>
            </w:pPr>
            <w:r w:rsidRPr="00F84B53">
              <w:rPr>
                <w:rFonts w:asciiTheme="minorHAnsi" w:hAnsiTheme="minorHAnsi" w:cstheme="minorHAnsi"/>
                <w:bCs/>
                <w:szCs w:val="20"/>
              </w:rPr>
              <w:t>The provision is applicable in fostering provision and development of networks and services.</w:t>
            </w:r>
          </w:p>
        </w:tc>
        <w:tc>
          <w:tcPr>
            <w:tcW w:w="216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7AA7D4D" w14:textId="411511F0" w:rsidR="00D40E7A" w:rsidRPr="00F84B53" w:rsidRDefault="00BA3390" w:rsidP="00BA3390">
            <w:pPr>
              <w:pStyle w:val="Tabletext"/>
              <w:rPr>
                <w:rFonts w:asciiTheme="minorHAnsi" w:hAnsiTheme="minorHAnsi" w:cstheme="minorHAnsi"/>
              </w:rPr>
            </w:pPr>
            <w:r w:rsidRPr="00F84B53">
              <w:rPr>
                <w:rFonts w:asciiTheme="minorHAnsi" w:hAnsiTheme="minorHAnsi" w:cstheme="minorHAnsi"/>
                <w:bCs/>
                <w:szCs w:val="20"/>
              </w:rPr>
              <w:t>The provision ensures flexibility to accommodate new trends and emergent issues.</w:t>
            </w:r>
          </w:p>
        </w:tc>
        <w:tc>
          <w:tcPr>
            <w:tcW w:w="2409" w:type="dxa"/>
            <w:tcBorders>
              <w:top w:val="single" w:sz="4" w:space="0" w:color="auto"/>
              <w:left w:val="single" w:sz="4" w:space="0" w:color="auto"/>
              <w:right w:val="single" w:sz="4" w:space="0" w:color="auto"/>
            </w:tcBorders>
            <w:noWrap/>
            <w:tcMar>
              <w:left w:w="85" w:type="dxa"/>
              <w:right w:w="85" w:type="dxa"/>
            </w:tcMar>
          </w:tcPr>
          <w:p w14:paraId="6295E5B0" w14:textId="1DA94634" w:rsidR="00D40E7A" w:rsidRPr="00F84B53" w:rsidRDefault="00AA599C" w:rsidP="00AA599C">
            <w:pPr>
              <w:pStyle w:val="Tabletext"/>
              <w:rPr>
                <w:rFonts w:asciiTheme="minorHAnsi" w:hAnsiTheme="minorHAnsi" w:cstheme="minorHAnsi"/>
              </w:rPr>
            </w:pPr>
            <w:r w:rsidRPr="00F84B53">
              <w:rPr>
                <w:rFonts w:asciiTheme="minorHAnsi" w:hAnsiTheme="minorHAnsi" w:cstheme="minorHAnsi"/>
                <w:bCs/>
                <w:szCs w:val="20"/>
              </w:rPr>
              <w:t>The provision does not require modification as it is applicable and flexible.</w:t>
            </w:r>
          </w:p>
        </w:tc>
      </w:tr>
    </w:tbl>
    <w:p w14:paraId="36870314" w14:textId="218284A4" w:rsidR="004728B3" w:rsidRPr="00F84B53" w:rsidRDefault="004728B3">
      <w:bookmarkStart w:id="65" w:name="_Hlk30149919"/>
      <w:bookmarkEnd w:id="10"/>
    </w:p>
    <w:bookmarkEnd w:id="65"/>
    <w:p w14:paraId="048B18C7" w14:textId="77777777" w:rsidR="00F261AC" w:rsidRPr="00F84B53" w:rsidRDefault="00F261AC">
      <w:pPr>
        <w:jc w:val="center"/>
      </w:pPr>
      <w:r w:rsidRPr="00F84B53">
        <w:t>______________</w:t>
      </w:r>
    </w:p>
    <w:p w14:paraId="632A347F" w14:textId="77777777" w:rsidR="00F261AC" w:rsidRPr="00925E53" w:rsidRDefault="00F261AC" w:rsidP="00E0324A"/>
    <w:sectPr w:rsidR="00F261AC" w:rsidRPr="00925E53" w:rsidSect="00D614B3">
      <w:pgSz w:w="16834"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82F7C" w14:textId="77777777" w:rsidR="00843BEC" w:rsidRDefault="00843BEC">
      <w:r>
        <w:separator/>
      </w:r>
    </w:p>
  </w:endnote>
  <w:endnote w:type="continuationSeparator" w:id="0">
    <w:p w14:paraId="184FF586" w14:textId="77777777" w:rsidR="00843BEC" w:rsidRDefault="0084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76765" w14:textId="3A3CDB1A" w:rsidR="002F56C1" w:rsidRPr="004B1F80" w:rsidRDefault="005508CF" w:rsidP="004B1F80">
    <w:pPr>
      <w:pStyle w:val="Footer"/>
    </w:pPr>
    <w:r>
      <w:fldChar w:fldCharType="begin"/>
    </w:r>
    <w:r>
      <w:instrText xml:space="preserve"> FILENAME \p  \* MERG</w:instrText>
    </w:r>
    <w:r>
      <w:instrText xml:space="preserve">EFORMAT </w:instrText>
    </w:r>
    <w:r>
      <w:fldChar w:fldCharType="separate"/>
    </w:r>
    <w:r w:rsidR="00D04584">
      <w:t>P:\ENG\SG\CONSEIL\EG-ITR\EG-ITR-4\000\002E.docx</w:t>
    </w:r>
    <w:r>
      <w:fldChar w:fldCharType="end"/>
    </w:r>
    <w:r w:rsidR="002F56C1">
      <w:t xml:space="preserve"> (481920)</w:t>
    </w:r>
    <w:r w:rsidR="006E5197" w:rsidRPr="004B1F8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FABB8" w14:textId="77777777" w:rsidR="002F56C1" w:rsidRDefault="002F56C1">
    <w:pPr>
      <w:spacing w:after="120"/>
      <w:jc w:val="center"/>
    </w:pPr>
    <w:r>
      <w:t xml:space="preserve">• </w:t>
    </w:r>
    <w:hyperlink r:id="rId1" w:history="1">
      <w:r>
        <w:rPr>
          <w:rStyle w:val="Hyperlink"/>
        </w:rPr>
        <w:t>http://www.itu.int/council</w:t>
      </w:r>
    </w:hyperlink>
    <w:r>
      <w:t xml:space="preserve"> •</w:t>
    </w:r>
  </w:p>
  <w:p w14:paraId="2F6B6FE3" w14:textId="1CE51566" w:rsidR="002F56C1" w:rsidRDefault="005508CF">
    <w:pPr>
      <w:pStyle w:val="Footer"/>
    </w:pPr>
    <w:r>
      <w:fldChar w:fldCharType="begin"/>
    </w:r>
    <w:r>
      <w:instrText xml:space="preserve"> FILENAME \p  \* MERGEFORMAT </w:instrText>
    </w:r>
    <w:r>
      <w:fldChar w:fldCharType="separate"/>
    </w:r>
    <w:r w:rsidR="00616A01">
      <w:t>P:\ENG\SG\CONSEIL\EG-ITR\EG-ITR-4\000\002E.docx</w:t>
    </w:r>
    <w:r>
      <w:fldChar w:fldCharType="end"/>
    </w:r>
    <w:r w:rsidR="002F56C1">
      <w:t xml:space="preserve"> (481920)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66C41" w14:textId="77777777" w:rsidR="00843BEC" w:rsidRDefault="00843BEC">
      <w:r>
        <w:t>____________________</w:t>
      </w:r>
    </w:p>
  </w:footnote>
  <w:footnote w:type="continuationSeparator" w:id="0">
    <w:p w14:paraId="1E2BDD17" w14:textId="77777777" w:rsidR="00843BEC" w:rsidRDefault="00843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DBCBA" w14:textId="77777777" w:rsidR="002F56C1" w:rsidRDefault="002F56C1" w:rsidP="00CE433C">
    <w:pPr>
      <w:pStyle w:val="Header"/>
    </w:pPr>
    <w:r>
      <w:fldChar w:fldCharType="begin"/>
    </w:r>
    <w:r>
      <w:instrText>PAGE</w:instrText>
    </w:r>
    <w:r>
      <w:fldChar w:fldCharType="separate"/>
    </w:r>
    <w:r>
      <w:rPr>
        <w:noProof/>
      </w:rPr>
      <w:t>2</w:t>
    </w:r>
    <w:r>
      <w:rPr>
        <w:noProof/>
      </w:rPr>
      <w:fldChar w:fldCharType="end"/>
    </w:r>
  </w:p>
  <w:p w14:paraId="55FE0D93" w14:textId="486D871C" w:rsidR="002F56C1" w:rsidRDefault="002F56C1" w:rsidP="005243FF">
    <w:pPr>
      <w:pStyle w:val="Header"/>
    </w:pPr>
    <w:r>
      <w:rPr>
        <w:noProof/>
      </w:rPr>
      <w:t>EG-ITRs-4/2-E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4A"/>
    <w:rsid w:val="000210D4"/>
    <w:rsid w:val="000317DF"/>
    <w:rsid w:val="00063016"/>
    <w:rsid w:val="00066795"/>
    <w:rsid w:val="00076AF6"/>
    <w:rsid w:val="00084C3F"/>
    <w:rsid w:val="00085CF2"/>
    <w:rsid w:val="000B1705"/>
    <w:rsid w:val="000D75B2"/>
    <w:rsid w:val="000F7800"/>
    <w:rsid w:val="001121F5"/>
    <w:rsid w:val="001223D2"/>
    <w:rsid w:val="00130984"/>
    <w:rsid w:val="001400DC"/>
    <w:rsid w:val="00140CE1"/>
    <w:rsid w:val="001578E9"/>
    <w:rsid w:val="0017527C"/>
    <w:rsid w:val="0017539C"/>
    <w:rsid w:val="00175AC2"/>
    <w:rsid w:val="0017609F"/>
    <w:rsid w:val="001A32E8"/>
    <w:rsid w:val="001A593D"/>
    <w:rsid w:val="001C628E"/>
    <w:rsid w:val="001E0F7B"/>
    <w:rsid w:val="002119FD"/>
    <w:rsid w:val="002130E0"/>
    <w:rsid w:val="002165C8"/>
    <w:rsid w:val="00261B34"/>
    <w:rsid w:val="00264425"/>
    <w:rsid w:val="00265875"/>
    <w:rsid w:val="0027303B"/>
    <w:rsid w:val="00273301"/>
    <w:rsid w:val="0028109B"/>
    <w:rsid w:val="002A2188"/>
    <w:rsid w:val="002B1F58"/>
    <w:rsid w:val="002C08B8"/>
    <w:rsid w:val="002C1C7A"/>
    <w:rsid w:val="002C65FD"/>
    <w:rsid w:val="002D33FB"/>
    <w:rsid w:val="002D3906"/>
    <w:rsid w:val="002E30FF"/>
    <w:rsid w:val="002F56C1"/>
    <w:rsid w:val="0030160F"/>
    <w:rsid w:val="00322D0D"/>
    <w:rsid w:val="00322D20"/>
    <w:rsid w:val="00333E47"/>
    <w:rsid w:val="00345AB3"/>
    <w:rsid w:val="0037781D"/>
    <w:rsid w:val="003942D4"/>
    <w:rsid w:val="003958A8"/>
    <w:rsid w:val="00397BD6"/>
    <w:rsid w:val="003A4C68"/>
    <w:rsid w:val="003C2533"/>
    <w:rsid w:val="0040435A"/>
    <w:rsid w:val="00414488"/>
    <w:rsid w:val="00416A24"/>
    <w:rsid w:val="00425BD1"/>
    <w:rsid w:val="00431D9E"/>
    <w:rsid w:val="00433CE8"/>
    <w:rsid w:val="00434A5C"/>
    <w:rsid w:val="00443834"/>
    <w:rsid w:val="0044766E"/>
    <w:rsid w:val="004544D9"/>
    <w:rsid w:val="004604DE"/>
    <w:rsid w:val="004728B3"/>
    <w:rsid w:val="00490E72"/>
    <w:rsid w:val="00491157"/>
    <w:rsid w:val="004921C8"/>
    <w:rsid w:val="00497969"/>
    <w:rsid w:val="004A1B5B"/>
    <w:rsid w:val="004B1F80"/>
    <w:rsid w:val="004D1851"/>
    <w:rsid w:val="004D599D"/>
    <w:rsid w:val="004E2EA5"/>
    <w:rsid w:val="004E3AEB"/>
    <w:rsid w:val="0050223C"/>
    <w:rsid w:val="00516D43"/>
    <w:rsid w:val="005243FF"/>
    <w:rsid w:val="00525E0F"/>
    <w:rsid w:val="005508CF"/>
    <w:rsid w:val="00561A94"/>
    <w:rsid w:val="00564FBC"/>
    <w:rsid w:val="0056725D"/>
    <w:rsid w:val="00582442"/>
    <w:rsid w:val="005936B9"/>
    <w:rsid w:val="005944A8"/>
    <w:rsid w:val="005D2E19"/>
    <w:rsid w:val="006069EB"/>
    <w:rsid w:val="00616A01"/>
    <w:rsid w:val="00623578"/>
    <w:rsid w:val="00633F49"/>
    <w:rsid w:val="0064737F"/>
    <w:rsid w:val="006535F1"/>
    <w:rsid w:val="0065557D"/>
    <w:rsid w:val="00662984"/>
    <w:rsid w:val="0066517E"/>
    <w:rsid w:val="006716BB"/>
    <w:rsid w:val="00676552"/>
    <w:rsid w:val="00681FC9"/>
    <w:rsid w:val="00694B07"/>
    <w:rsid w:val="006A20A4"/>
    <w:rsid w:val="006B619D"/>
    <w:rsid w:val="006B6680"/>
    <w:rsid w:val="006B6DCC"/>
    <w:rsid w:val="006E5197"/>
    <w:rsid w:val="00702DEF"/>
    <w:rsid w:val="00703E81"/>
    <w:rsid w:val="00706861"/>
    <w:rsid w:val="00734AB9"/>
    <w:rsid w:val="00734F6C"/>
    <w:rsid w:val="007362E8"/>
    <w:rsid w:val="0075051B"/>
    <w:rsid w:val="00756FC3"/>
    <w:rsid w:val="00794D34"/>
    <w:rsid w:val="007972A0"/>
    <w:rsid w:val="007D339D"/>
    <w:rsid w:val="008018F7"/>
    <w:rsid w:val="00806261"/>
    <w:rsid w:val="00813E5E"/>
    <w:rsid w:val="008230BA"/>
    <w:rsid w:val="0083581B"/>
    <w:rsid w:val="00837C77"/>
    <w:rsid w:val="00843BEC"/>
    <w:rsid w:val="00864AFF"/>
    <w:rsid w:val="008B4A6A"/>
    <w:rsid w:val="008B5F33"/>
    <w:rsid w:val="008C7E27"/>
    <w:rsid w:val="008D0A16"/>
    <w:rsid w:val="008D463F"/>
    <w:rsid w:val="009169A9"/>
    <w:rsid w:val="009173EF"/>
    <w:rsid w:val="00925E53"/>
    <w:rsid w:val="00932906"/>
    <w:rsid w:val="009427EE"/>
    <w:rsid w:val="00961B0B"/>
    <w:rsid w:val="00962940"/>
    <w:rsid w:val="009864FA"/>
    <w:rsid w:val="009B38C3"/>
    <w:rsid w:val="009E17BD"/>
    <w:rsid w:val="009E485A"/>
    <w:rsid w:val="00A04CEC"/>
    <w:rsid w:val="00A21ED4"/>
    <w:rsid w:val="00A27F92"/>
    <w:rsid w:val="00A32257"/>
    <w:rsid w:val="00A36D20"/>
    <w:rsid w:val="00A55622"/>
    <w:rsid w:val="00A83502"/>
    <w:rsid w:val="00AA17F4"/>
    <w:rsid w:val="00AA599C"/>
    <w:rsid w:val="00AC229C"/>
    <w:rsid w:val="00AD15B3"/>
    <w:rsid w:val="00AF6E49"/>
    <w:rsid w:val="00B04A67"/>
    <w:rsid w:val="00B0583C"/>
    <w:rsid w:val="00B16E90"/>
    <w:rsid w:val="00B40A81"/>
    <w:rsid w:val="00B44910"/>
    <w:rsid w:val="00B667C2"/>
    <w:rsid w:val="00B72267"/>
    <w:rsid w:val="00B76EB6"/>
    <w:rsid w:val="00B7737B"/>
    <w:rsid w:val="00B824C8"/>
    <w:rsid w:val="00B86037"/>
    <w:rsid w:val="00BA3390"/>
    <w:rsid w:val="00BC251A"/>
    <w:rsid w:val="00BC7E45"/>
    <w:rsid w:val="00BD002E"/>
    <w:rsid w:val="00BD032B"/>
    <w:rsid w:val="00BE2640"/>
    <w:rsid w:val="00BF2F77"/>
    <w:rsid w:val="00C01189"/>
    <w:rsid w:val="00C07DAB"/>
    <w:rsid w:val="00C2761C"/>
    <w:rsid w:val="00C35E6D"/>
    <w:rsid w:val="00C374DE"/>
    <w:rsid w:val="00C47AD4"/>
    <w:rsid w:val="00C52D81"/>
    <w:rsid w:val="00C55198"/>
    <w:rsid w:val="00C75EB8"/>
    <w:rsid w:val="00C84FA0"/>
    <w:rsid w:val="00CA6393"/>
    <w:rsid w:val="00CB18FF"/>
    <w:rsid w:val="00CD0C08"/>
    <w:rsid w:val="00CE03FB"/>
    <w:rsid w:val="00CE433C"/>
    <w:rsid w:val="00CF002F"/>
    <w:rsid w:val="00CF33F3"/>
    <w:rsid w:val="00D04584"/>
    <w:rsid w:val="00D06183"/>
    <w:rsid w:val="00D10843"/>
    <w:rsid w:val="00D21377"/>
    <w:rsid w:val="00D22C42"/>
    <w:rsid w:val="00D40593"/>
    <w:rsid w:val="00D40E7A"/>
    <w:rsid w:val="00D45464"/>
    <w:rsid w:val="00D53569"/>
    <w:rsid w:val="00D54E69"/>
    <w:rsid w:val="00D56023"/>
    <w:rsid w:val="00D614B3"/>
    <w:rsid w:val="00D65041"/>
    <w:rsid w:val="00DB044C"/>
    <w:rsid w:val="00DB384B"/>
    <w:rsid w:val="00DF4EDF"/>
    <w:rsid w:val="00E0324A"/>
    <w:rsid w:val="00E07E67"/>
    <w:rsid w:val="00E10E80"/>
    <w:rsid w:val="00E124F0"/>
    <w:rsid w:val="00E349DB"/>
    <w:rsid w:val="00E46068"/>
    <w:rsid w:val="00E47269"/>
    <w:rsid w:val="00E5321C"/>
    <w:rsid w:val="00E60F04"/>
    <w:rsid w:val="00E665D4"/>
    <w:rsid w:val="00E7730A"/>
    <w:rsid w:val="00E854E4"/>
    <w:rsid w:val="00EA3D0E"/>
    <w:rsid w:val="00EB0D6F"/>
    <w:rsid w:val="00EB2232"/>
    <w:rsid w:val="00EC47B7"/>
    <w:rsid w:val="00EC5337"/>
    <w:rsid w:val="00ED4B2E"/>
    <w:rsid w:val="00ED7E47"/>
    <w:rsid w:val="00F052EE"/>
    <w:rsid w:val="00F2150A"/>
    <w:rsid w:val="00F231D8"/>
    <w:rsid w:val="00F261AC"/>
    <w:rsid w:val="00F46C5F"/>
    <w:rsid w:val="00F51AE2"/>
    <w:rsid w:val="00F80680"/>
    <w:rsid w:val="00F84B53"/>
    <w:rsid w:val="00F94A63"/>
    <w:rsid w:val="00FA1C28"/>
    <w:rsid w:val="00FB7596"/>
    <w:rsid w:val="00FC1D6D"/>
    <w:rsid w:val="00FE3A4F"/>
    <w:rsid w:val="00FE4077"/>
    <w:rsid w:val="00FE77D2"/>
    <w:rsid w:val="00FF58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9CA3AC"/>
  <w15:docId w15:val="{4DAE56AB-17B4-46C3-8A63-8EA90F8D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E0324A"/>
    <w:rPr>
      <w:rFonts w:ascii="Calibri" w:hAnsi="Calibri"/>
      <w:b/>
      <w:sz w:val="28"/>
      <w:lang w:val="en-GB" w:eastAsia="en-US"/>
    </w:rPr>
  </w:style>
  <w:style w:type="character" w:customStyle="1" w:styleId="enumlev1Char">
    <w:name w:val="enumlev1 Char"/>
    <w:basedOn w:val="DefaultParagraphFont"/>
    <w:link w:val="enumlev1"/>
    <w:locked/>
    <w:rsid w:val="00E0324A"/>
    <w:rPr>
      <w:rFonts w:ascii="Calibri" w:hAnsi="Calibri"/>
      <w:sz w:val="24"/>
      <w:lang w:val="en-GB" w:eastAsia="en-US"/>
    </w:rPr>
  </w:style>
  <w:style w:type="table" w:styleId="TableGrid">
    <w:name w:val="Table Grid"/>
    <w:basedOn w:val="TableNormal"/>
    <w:uiPriority w:val="39"/>
    <w:rsid w:val="00D614B3"/>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uiPriority w:val="99"/>
    <w:rsid w:val="00D614B3"/>
    <w:rPr>
      <w:color w:val="auto"/>
    </w:rPr>
  </w:style>
  <w:style w:type="character" w:customStyle="1" w:styleId="Artdef">
    <w:name w:val="Art_def"/>
    <w:basedOn w:val="DefaultParagraphFont"/>
    <w:rsid w:val="00D614B3"/>
    <w:rPr>
      <w:rFonts w:asciiTheme="minorHAnsi" w:hAnsiTheme="minorHAnsi" w:cs="Calibri" w:hint="default"/>
      <w:b/>
      <w:bCs w:val="0"/>
    </w:rPr>
  </w:style>
  <w:style w:type="paragraph" w:styleId="BalloonText">
    <w:name w:val="Balloon Text"/>
    <w:basedOn w:val="Normal"/>
    <w:link w:val="BalloonTextChar"/>
    <w:semiHidden/>
    <w:unhideWhenUsed/>
    <w:rsid w:val="0062357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23578"/>
    <w:rPr>
      <w:rFonts w:ascii="Segoe UI" w:hAnsi="Segoe UI" w:cs="Segoe UI"/>
      <w:sz w:val="18"/>
      <w:szCs w:val="18"/>
      <w:lang w:val="en-GB" w:eastAsia="en-US"/>
    </w:rPr>
  </w:style>
  <w:style w:type="character" w:styleId="CommentReference">
    <w:name w:val="annotation reference"/>
    <w:basedOn w:val="DefaultParagraphFont"/>
    <w:semiHidden/>
    <w:unhideWhenUsed/>
    <w:rsid w:val="00E665D4"/>
    <w:rPr>
      <w:sz w:val="16"/>
      <w:szCs w:val="16"/>
    </w:rPr>
  </w:style>
  <w:style w:type="paragraph" w:styleId="CommentText">
    <w:name w:val="annotation text"/>
    <w:basedOn w:val="Normal"/>
    <w:link w:val="CommentTextChar"/>
    <w:semiHidden/>
    <w:unhideWhenUsed/>
    <w:rsid w:val="00E665D4"/>
    <w:rPr>
      <w:sz w:val="20"/>
    </w:rPr>
  </w:style>
  <w:style w:type="character" w:customStyle="1" w:styleId="CommentTextChar">
    <w:name w:val="Comment Text Char"/>
    <w:basedOn w:val="DefaultParagraphFont"/>
    <w:link w:val="CommentText"/>
    <w:semiHidden/>
    <w:rsid w:val="00E665D4"/>
    <w:rPr>
      <w:rFonts w:ascii="Calibri" w:hAnsi="Calibri"/>
      <w:lang w:val="en-GB" w:eastAsia="en-US"/>
    </w:rPr>
  </w:style>
  <w:style w:type="paragraph" w:styleId="CommentSubject">
    <w:name w:val="annotation subject"/>
    <w:basedOn w:val="CommentText"/>
    <w:next w:val="CommentText"/>
    <w:link w:val="CommentSubjectChar"/>
    <w:semiHidden/>
    <w:unhideWhenUsed/>
    <w:rsid w:val="00E665D4"/>
    <w:rPr>
      <w:b/>
      <w:bCs/>
    </w:rPr>
  </w:style>
  <w:style w:type="character" w:customStyle="1" w:styleId="CommentSubjectChar">
    <w:name w:val="Comment Subject Char"/>
    <w:basedOn w:val="CommentTextChar"/>
    <w:link w:val="CommentSubject"/>
    <w:semiHidden/>
    <w:rsid w:val="00E665D4"/>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50332">
      <w:bodyDiv w:val="1"/>
      <w:marLeft w:val="0"/>
      <w:marRight w:val="0"/>
      <w:marTop w:val="0"/>
      <w:marBottom w:val="0"/>
      <w:divBdr>
        <w:top w:val="none" w:sz="0" w:space="0" w:color="auto"/>
        <w:left w:val="none" w:sz="0" w:space="0" w:color="auto"/>
        <w:bottom w:val="none" w:sz="0" w:space="0" w:color="auto"/>
        <w:right w:val="none" w:sz="0" w:space="0" w:color="auto"/>
      </w:divBdr>
    </w:div>
    <w:div w:id="1670985083">
      <w:bodyDiv w:val="1"/>
      <w:marLeft w:val="0"/>
      <w:marRight w:val="0"/>
      <w:marTop w:val="0"/>
      <w:marBottom w:val="0"/>
      <w:divBdr>
        <w:top w:val="none" w:sz="0" w:space="0" w:color="auto"/>
        <w:left w:val="none" w:sz="0" w:space="0" w:color="auto"/>
        <w:bottom w:val="none" w:sz="0" w:space="0" w:color="auto"/>
        <w:right w:val="none" w:sz="0" w:space="0" w:color="auto"/>
      </w:divBdr>
    </w:div>
    <w:div w:id="18664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30BC-9148-4F94-A772-126C3E01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3</TotalTime>
  <Pages>13</Pages>
  <Words>3582</Words>
  <Characters>21601</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25133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English</dc:creator>
  <cp:keywords/>
  <dc:description/>
  <cp:lastModifiedBy>Janin, Patricia</cp:lastModifiedBy>
  <cp:revision>2</cp:revision>
  <cp:lastPrinted>2000-07-18T13:30:00Z</cp:lastPrinted>
  <dcterms:created xsi:type="dcterms:W3CDTF">2021-01-19T14:46:00Z</dcterms:created>
  <dcterms:modified xsi:type="dcterms:W3CDTF">2021-01-19T14:46:00Z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