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764D4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9764D4" w:rsidRDefault="00DC6CE2" w:rsidP="00DC6CE2">
            <w:pPr>
              <w:spacing w:before="240"/>
              <w:rPr>
                <w:rFonts w:asciiTheme="minorHAnsi" w:hAnsiTheme="minorHAnsi" w:cstheme="minorHAnsi"/>
                <w:position w:val="6"/>
                <w:sz w:val="26"/>
                <w:szCs w:val="26"/>
              </w:rPr>
            </w:pPr>
            <w:r w:rsidRPr="009764D4">
              <w:rPr>
                <w:rFonts w:asciiTheme="minorHAnsi" w:eastAsia="Calibri" w:hAnsiTheme="minorHAnsi" w:cstheme="minorHAnsi"/>
                <w:b/>
                <w:bCs/>
                <w:color w:val="000000"/>
                <w:position w:val="6"/>
                <w:sz w:val="28"/>
                <w:szCs w:val="28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9764D4" w:rsidRDefault="00327D3A" w:rsidP="00D92EEA">
            <w:pPr>
              <w:spacing w:before="0" w:line="240" w:lineRule="atLeast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ditulogo"/>
            <w:bookmarkEnd w:id="0"/>
            <w:r w:rsidRPr="009764D4">
              <w:rPr>
                <w:rFonts w:asciiTheme="minorHAnsi" w:hAnsiTheme="minorHAnsi" w:cs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764D4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46AF2027" w:rsidR="00BC7BC0" w:rsidRPr="009764D4" w:rsidRDefault="00AC5C0C" w:rsidP="00C73AFE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Четвертое</w:t>
            </w:r>
            <w:r w:rsidR="00BF0183" w:rsidRPr="009764D4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собрание – Виртуальное собрание, </w:t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3-4 января</w:t>
            </w:r>
            <w:r w:rsidR="00BF0183" w:rsidRPr="009764D4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</w:t>
            </w:r>
            <w:r w:rsidR="00BF0183" w:rsidRPr="009764D4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9764D4" w:rsidRDefault="00BC7BC0" w:rsidP="00BC7BC0">
            <w:pPr>
              <w:spacing w:before="0" w:line="24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C7BC0" w:rsidRPr="009764D4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9764D4" w:rsidRDefault="00BC7BC0" w:rsidP="004D0129">
            <w:pPr>
              <w:spacing w:before="0" w:line="240" w:lineRule="atLeast"/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9764D4" w:rsidRDefault="00BC7BC0" w:rsidP="004D0129">
            <w:pPr>
              <w:spacing w:before="0" w:line="240" w:lineRule="atLeas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C7BC0" w:rsidRPr="009764D4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9764D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120" w:type="dxa"/>
          </w:tcPr>
          <w:p w14:paraId="05569D88" w14:textId="33E61A52" w:rsidR="00BC7BC0" w:rsidRPr="009764D4" w:rsidRDefault="00DC6CE2" w:rsidP="0094277A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764D4">
              <w:rPr>
                <w:rFonts w:asciiTheme="minorHAnsi" w:hAnsiTheme="minorHAnsi" w:cstheme="minorHAnsi"/>
                <w:b/>
                <w:bCs/>
                <w:szCs w:val="22"/>
              </w:rPr>
              <w:t>Документ EG-ITRs</w:t>
            </w:r>
            <w:r w:rsidR="00327D3A" w:rsidRPr="009764D4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AC5C0C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9764D4">
              <w:rPr>
                <w:rFonts w:asciiTheme="minorHAnsi" w:hAnsiTheme="minorHAnsi" w:cstheme="minorHAnsi"/>
                <w:b/>
                <w:bCs/>
                <w:szCs w:val="22"/>
              </w:rPr>
              <w:t>/</w:t>
            </w:r>
            <w:r w:rsidR="001763D1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2</w:t>
            </w:r>
            <w:r w:rsidRPr="009764D4">
              <w:rPr>
                <w:rFonts w:asciiTheme="minorHAnsi" w:hAnsiTheme="minorHAnsi" w:cstheme="minorHAnsi"/>
                <w:b/>
                <w:bCs/>
                <w:szCs w:val="22"/>
              </w:rPr>
              <w:t>-R</w:t>
            </w:r>
          </w:p>
        </w:tc>
      </w:tr>
      <w:tr w:rsidR="00BC7BC0" w:rsidRPr="009764D4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9764D4" w:rsidRDefault="00BC7BC0" w:rsidP="00BC7BC0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120" w:type="dxa"/>
          </w:tcPr>
          <w:p w14:paraId="1CEDD1B9" w14:textId="2199C87A" w:rsidR="00BC7BC0" w:rsidRPr="009764D4" w:rsidRDefault="001763D1" w:rsidP="0094277A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14</w:t>
            </w:r>
            <w:r w:rsidR="00C97194" w:rsidRPr="009764D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AC5C0C">
              <w:rPr>
                <w:rFonts w:asciiTheme="minorHAnsi" w:hAnsiTheme="minorHAnsi" w:cstheme="minorHAnsi"/>
                <w:b/>
                <w:bCs/>
                <w:szCs w:val="22"/>
              </w:rPr>
              <w:t>января</w:t>
            </w:r>
            <w:r w:rsidR="00EB4FCB" w:rsidRPr="009764D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BC7BC0" w:rsidRPr="009764D4">
              <w:rPr>
                <w:rFonts w:asciiTheme="minorHAnsi" w:hAnsiTheme="minorHAnsi" w:cstheme="minorHAnsi"/>
                <w:b/>
                <w:bCs/>
                <w:szCs w:val="22"/>
              </w:rPr>
              <w:t>20</w:t>
            </w:r>
            <w:r w:rsidR="0053110F" w:rsidRPr="009764D4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AC5C0C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BC7BC0" w:rsidRPr="009764D4">
              <w:rPr>
                <w:rFonts w:asciiTheme="minorHAnsi" w:hAnsiTheme="minorHAnsi" w:cstheme="minorHAnsi"/>
                <w:b/>
                <w:bCs/>
                <w:szCs w:val="22"/>
              </w:rPr>
              <w:t xml:space="preserve"> года</w:t>
            </w:r>
          </w:p>
        </w:tc>
      </w:tr>
      <w:tr w:rsidR="00BC7BC0" w:rsidRPr="009764D4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9764D4" w:rsidRDefault="00BC7BC0" w:rsidP="00BC7BC0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120" w:type="dxa"/>
          </w:tcPr>
          <w:p w14:paraId="64086343" w14:textId="06E2D993" w:rsidR="00BC7BC0" w:rsidRPr="009764D4" w:rsidRDefault="00BC7BC0" w:rsidP="00BC7BC0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764D4">
              <w:rPr>
                <w:rFonts w:asciiTheme="minorHAnsi" w:hAnsiTheme="minorHAnsi" w:cstheme="minorHAnsi"/>
                <w:b/>
                <w:bCs/>
                <w:szCs w:val="22"/>
              </w:rPr>
              <w:t xml:space="preserve">Оригинал: </w:t>
            </w:r>
            <w:r w:rsidR="0053110F" w:rsidRPr="009764D4">
              <w:rPr>
                <w:rFonts w:asciiTheme="minorHAnsi" w:hAnsiTheme="minorHAnsi" w:cstheme="minorHAnsi"/>
                <w:b/>
                <w:bCs/>
                <w:szCs w:val="22"/>
              </w:rPr>
              <w:t>русский</w:t>
            </w:r>
          </w:p>
        </w:tc>
      </w:tr>
      <w:tr w:rsidR="00BC7BC0" w:rsidRPr="009764D4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0894A6F5" w:rsidR="00BC7BC0" w:rsidRPr="009764D4" w:rsidRDefault="00BF0183" w:rsidP="00AD1748">
            <w:pPr>
              <w:pStyle w:val="Source"/>
            </w:pPr>
            <w:bookmarkStart w:id="1" w:name="dtitle2" w:colFirst="0" w:colLast="0"/>
            <w:r w:rsidRPr="009764D4">
              <w:t>Российская Федерация</w:t>
            </w:r>
          </w:p>
        </w:tc>
      </w:tr>
      <w:tr w:rsidR="00BC7BC0" w:rsidRPr="009764D4" w14:paraId="537FCB7B" w14:textId="77777777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53110F" w:rsidRPr="009764D4" w14:paraId="79D8253D" w14:textId="77777777" w:rsidTr="00BF0183">
              <w:trPr>
                <w:cantSplit/>
              </w:trPr>
              <w:tc>
                <w:tcPr>
                  <w:tcW w:w="10035" w:type="dxa"/>
                  <w:hideMark/>
                </w:tcPr>
                <w:p w14:paraId="74158D3C" w14:textId="75453D20" w:rsidR="0053110F" w:rsidRPr="009764D4" w:rsidRDefault="00266E04" w:rsidP="00AD1748">
                  <w:pPr>
                    <w:pStyle w:val="Title1"/>
                  </w:pPr>
                  <w:bookmarkStart w:id="2" w:name="dtitle3" w:colFirst="0" w:colLast="0"/>
                  <w:bookmarkEnd w:id="1"/>
                  <w:r w:rsidRPr="009764D4">
                    <w:t>постатейное рассмотрение</w:t>
                  </w:r>
                  <w:r w:rsidR="0053110F" w:rsidRPr="009764D4">
                    <w:t xml:space="preserve"> </w:t>
                  </w:r>
                  <w:r w:rsidRPr="009764D4">
                    <w:t xml:space="preserve">разделов </w:t>
                  </w:r>
                  <w:r w:rsidR="0053110F" w:rsidRPr="009764D4">
                    <w:t>РЕГЛАМЕНТА МЕЖДУНАРОДНОЙ ЭЛЕКТРОСВЯЗИ</w:t>
                  </w:r>
                  <w:r w:rsidRPr="009764D4">
                    <w:t xml:space="preserve"> на </w:t>
                  </w:r>
                  <w:r w:rsidR="00892932" w:rsidRPr="00892932">
                    <w:t>четвертом</w:t>
                  </w:r>
                  <w:r w:rsidR="00892932" w:rsidRPr="00892932">
                    <w:t xml:space="preserve"> </w:t>
                  </w:r>
                  <w:r w:rsidRPr="009764D4">
                    <w:t>собрании гэ-рмэ в соответствии с планом, принятым на первом собрании</w:t>
                  </w:r>
                  <w:r w:rsidR="0011647D" w:rsidRPr="009764D4">
                    <w:t xml:space="preserve"> группы</w:t>
                  </w:r>
                </w:p>
              </w:tc>
            </w:tr>
          </w:tbl>
          <w:p w14:paraId="0FA54CCB" w14:textId="0558E032" w:rsidR="00BC7BC0" w:rsidRPr="009764D4" w:rsidRDefault="00BC7BC0" w:rsidP="00E477D7">
            <w:pPr>
              <w:pStyle w:val="Title1"/>
              <w:rPr>
                <w:rFonts w:asciiTheme="minorHAnsi" w:hAnsiTheme="minorHAnsi" w:cstheme="minorHAnsi"/>
                <w:szCs w:val="26"/>
              </w:rPr>
            </w:pPr>
          </w:p>
        </w:tc>
      </w:tr>
    </w:tbl>
    <w:bookmarkEnd w:id="2"/>
    <w:p w14:paraId="1C481ADA" w14:textId="1E269FD2" w:rsidR="00B87C68" w:rsidRPr="009764D4" w:rsidRDefault="006F0A90" w:rsidP="00BF0183">
      <w:pPr>
        <w:pStyle w:val="Heading1"/>
      </w:pPr>
      <w:r w:rsidRPr="009764D4">
        <w:t>1</w:t>
      </w:r>
      <w:r w:rsidRPr="009764D4">
        <w:tab/>
        <w:t>Введение</w:t>
      </w:r>
    </w:p>
    <w:p w14:paraId="35CD15E0" w14:textId="2F821E3A" w:rsidR="00B87C68" w:rsidRPr="009764D4" w:rsidRDefault="0053110F" w:rsidP="000C75BC">
      <w:pPr>
        <w:jc w:val="both"/>
        <w:rPr>
          <w:szCs w:val="22"/>
        </w:rPr>
      </w:pPr>
      <w:r w:rsidRPr="009764D4">
        <w:rPr>
          <w:szCs w:val="22"/>
        </w:rPr>
        <w:t>Первое собрание ГЭ-РМЭ согласовал</w:t>
      </w:r>
      <w:r w:rsidR="009A513C">
        <w:rPr>
          <w:szCs w:val="22"/>
        </w:rPr>
        <w:t>о</w:t>
      </w:r>
      <w:r w:rsidRPr="009764D4">
        <w:rPr>
          <w:szCs w:val="22"/>
        </w:rPr>
        <w:t xml:space="preserve"> план работы Группы экспертов и одобрила общий шаблон </w:t>
      </w:r>
      <w:r w:rsidR="009057C5" w:rsidRPr="009764D4">
        <w:rPr>
          <w:szCs w:val="22"/>
        </w:rPr>
        <w:t>для постатейного рассмотрения</w:t>
      </w:r>
      <w:r w:rsidRPr="009764D4">
        <w:rPr>
          <w:szCs w:val="22"/>
        </w:rPr>
        <w:t xml:space="preserve"> РМЭ</w:t>
      </w:r>
      <w:r w:rsidR="00B87C68" w:rsidRPr="009764D4">
        <w:rPr>
          <w:szCs w:val="22"/>
        </w:rPr>
        <w:t xml:space="preserve">. </w:t>
      </w:r>
    </w:p>
    <w:p w14:paraId="4EDD375C" w14:textId="05AC34A0" w:rsidR="0053110F" w:rsidRPr="009764D4" w:rsidRDefault="0053110F" w:rsidP="000C75BC">
      <w:pPr>
        <w:jc w:val="both"/>
        <w:rPr>
          <w:szCs w:val="22"/>
        </w:rPr>
      </w:pPr>
      <w:r w:rsidRPr="009764D4">
        <w:rPr>
          <w:szCs w:val="22"/>
        </w:rPr>
        <w:t>В соответствии с планом</w:t>
      </w:r>
      <w:r w:rsidR="00084F6F" w:rsidRPr="009764D4">
        <w:rPr>
          <w:szCs w:val="22"/>
        </w:rPr>
        <w:t>,</w:t>
      </w:r>
      <w:r w:rsidRPr="009764D4">
        <w:rPr>
          <w:szCs w:val="22"/>
        </w:rPr>
        <w:t xml:space="preserve"> </w:t>
      </w:r>
      <w:r w:rsidR="00084F6F" w:rsidRPr="009764D4">
        <w:rPr>
          <w:szCs w:val="22"/>
        </w:rPr>
        <w:t xml:space="preserve">принятым </w:t>
      </w:r>
      <w:r w:rsidRPr="009764D4">
        <w:rPr>
          <w:szCs w:val="22"/>
        </w:rPr>
        <w:t xml:space="preserve">на </w:t>
      </w:r>
      <w:r w:rsidR="00084F6F" w:rsidRPr="009764D4">
        <w:rPr>
          <w:szCs w:val="22"/>
        </w:rPr>
        <w:t>первом</w:t>
      </w:r>
      <w:r w:rsidRPr="009764D4">
        <w:rPr>
          <w:szCs w:val="22"/>
        </w:rPr>
        <w:t xml:space="preserve"> собрании</w:t>
      </w:r>
      <w:r w:rsidR="00084F6F" w:rsidRPr="009764D4">
        <w:rPr>
          <w:szCs w:val="22"/>
        </w:rPr>
        <w:t xml:space="preserve">, на </w:t>
      </w:r>
      <w:r w:rsidR="009A513C">
        <w:rPr>
          <w:szCs w:val="22"/>
        </w:rPr>
        <w:t>четвёртом</w:t>
      </w:r>
      <w:r w:rsidR="00084F6F" w:rsidRPr="009764D4">
        <w:rPr>
          <w:szCs w:val="22"/>
        </w:rPr>
        <w:t xml:space="preserve"> собрании</w:t>
      </w:r>
      <w:r w:rsidRPr="009764D4">
        <w:rPr>
          <w:szCs w:val="22"/>
        </w:rPr>
        <w:t xml:space="preserve"> ГЭ-РМЭ следует провести анализ следующих разделов </w:t>
      </w:r>
      <w:r w:rsidR="00266E04" w:rsidRPr="009764D4">
        <w:rPr>
          <w:szCs w:val="22"/>
        </w:rPr>
        <w:t>Регламента международной электросвязи:</w:t>
      </w:r>
    </w:p>
    <w:p w14:paraId="31AB9EFD" w14:textId="4A7B9430" w:rsidR="00084F6F" w:rsidRPr="009764D4" w:rsidRDefault="00AD1748" w:rsidP="000C75BC">
      <w:pPr>
        <w:pStyle w:val="enumlev1"/>
        <w:jc w:val="both"/>
        <w:rPr>
          <w:szCs w:val="22"/>
        </w:rPr>
      </w:pPr>
      <w:r w:rsidRPr="009764D4">
        <w:rPr>
          <w:szCs w:val="22"/>
        </w:rPr>
        <w:t>−</w:t>
      </w:r>
      <w:r w:rsidRPr="009764D4">
        <w:rPr>
          <w:szCs w:val="22"/>
        </w:rPr>
        <w:tab/>
      </w:r>
      <w:r w:rsidR="00084F6F" w:rsidRPr="009764D4">
        <w:rPr>
          <w:szCs w:val="22"/>
        </w:rPr>
        <w:t xml:space="preserve">СТАТЬЯ </w:t>
      </w:r>
      <w:r w:rsidR="00AC5C0C">
        <w:rPr>
          <w:szCs w:val="22"/>
        </w:rPr>
        <w:t>9</w:t>
      </w:r>
      <w:r w:rsidR="00010243" w:rsidRPr="009764D4">
        <w:rPr>
          <w:szCs w:val="22"/>
        </w:rPr>
        <w:t xml:space="preserve"> − </w:t>
      </w:r>
      <w:r w:rsidR="00AC5C0C" w:rsidRPr="00B85FAC">
        <w:t>Временное прекращение оказания услуг</w:t>
      </w:r>
      <w:r w:rsidRPr="009764D4">
        <w:rPr>
          <w:szCs w:val="22"/>
        </w:rPr>
        <w:t>;</w:t>
      </w:r>
    </w:p>
    <w:p w14:paraId="1FFF2AF3" w14:textId="7343E2BA" w:rsidR="00084F6F" w:rsidRPr="009764D4" w:rsidRDefault="00AD1748" w:rsidP="000C75BC">
      <w:pPr>
        <w:pStyle w:val="enumlev1"/>
        <w:jc w:val="both"/>
        <w:rPr>
          <w:szCs w:val="22"/>
        </w:rPr>
      </w:pPr>
      <w:r w:rsidRPr="009764D4">
        <w:rPr>
          <w:szCs w:val="22"/>
        </w:rPr>
        <w:t>−</w:t>
      </w:r>
      <w:r w:rsidRPr="009764D4">
        <w:rPr>
          <w:szCs w:val="22"/>
        </w:rPr>
        <w:tab/>
      </w:r>
      <w:r w:rsidR="00084F6F" w:rsidRPr="009764D4">
        <w:rPr>
          <w:szCs w:val="22"/>
        </w:rPr>
        <w:t xml:space="preserve">СТАТЬЯ </w:t>
      </w:r>
      <w:r w:rsidR="00AC5C0C">
        <w:rPr>
          <w:szCs w:val="22"/>
        </w:rPr>
        <w:t>10</w:t>
      </w:r>
      <w:r w:rsidR="00010243" w:rsidRPr="009764D4">
        <w:rPr>
          <w:szCs w:val="22"/>
        </w:rPr>
        <w:t xml:space="preserve"> −</w:t>
      </w:r>
      <w:r w:rsidR="00084F6F" w:rsidRPr="009764D4">
        <w:rPr>
          <w:szCs w:val="22"/>
        </w:rPr>
        <w:t xml:space="preserve"> </w:t>
      </w:r>
      <w:r w:rsidR="00AC5C0C" w:rsidRPr="00B85FAC">
        <w:t>Распространение информации</w:t>
      </w:r>
      <w:r w:rsidRPr="009764D4">
        <w:rPr>
          <w:szCs w:val="22"/>
        </w:rPr>
        <w:t>;</w:t>
      </w:r>
    </w:p>
    <w:p w14:paraId="1B1F7A5B" w14:textId="5F36E056" w:rsidR="00084F6F" w:rsidRPr="009764D4" w:rsidRDefault="00AD1748" w:rsidP="000C75BC">
      <w:pPr>
        <w:pStyle w:val="enumlev1"/>
        <w:jc w:val="both"/>
        <w:rPr>
          <w:szCs w:val="22"/>
        </w:rPr>
      </w:pPr>
      <w:r w:rsidRPr="009764D4">
        <w:rPr>
          <w:szCs w:val="22"/>
        </w:rPr>
        <w:t>−</w:t>
      </w:r>
      <w:r w:rsidRPr="009764D4">
        <w:rPr>
          <w:szCs w:val="22"/>
        </w:rPr>
        <w:tab/>
      </w:r>
      <w:r w:rsidR="00084F6F" w:rsidRPr="009764D4">
        <w:rPr>
          <w:szCs w:val="22"/>
        </w:rPr>
        <w:t xml:space="preserve">СТАТЬЯ </w:t>
      </w:r>
      <w:r w:rsidR="00AC5C0C">
        <w:rPr>
          <w:szCs w:val="22"/>
        </w:rPr>
        <w:t>11</w:t>
      </w:r>
      <w:r w:rsidR="00010243" w:rsidRPr="009764D4">
        <w:rPr>
          <w:szCs w:val="22"/>
        </w:rPr>
        <w:t xml:space="preserve"> −</w:t>
      </w:r>
      <w:r w:rsidR="00084F6F" w:rsidRPr="009764D4">
        <w:rPr>
          <w:szCs w:val="22"/>
        </w:rPr>
        <w:t xml:space="preserve"> </w:t>
      </w:r>
      <w:r w:rsidR="00AC5C0C" w:rsidRPr="00B85FAC">
        <w:t>Энергоэффективность/электронные отходы</w:t>
      </w:r>
      <w:r w:rsidRPr="009764D4">
        <w:rPr>
          <w:szCs w:val="22"/>
        </w:rPr>
        <w:t>;</w:t>
      </w:r>
    </w:p>
    <w:p w14:paraId="21A5B2E0" w14:textId="280ABDAA" w:rsidR="00084F6F" w:rsidRPr="009764D4" w:rsidRDefault="00AD1748" w:rsidP="000C75BC">
      <w:pPr>
        <w:pStyle w:val="enumlev1"/>
        <w:jc w:val="both"/>
        <w:rPr>
          <w:szCs w:val="22"/>
        </w:rPr>
      </w:pPr>
      <w:r w:rsidRPr="009764D4">
        <w:rPr>
          <w:szCs w:val="22"/>
        </w:rPr>
        <w:t>−</w:t>
      </w:r>
      <w:r w:rsidRPr="009764D4">
        <w:rPr>
          <w:szCs w:val="22"/>
        </w:rPr>
        <w:tab/>
      </w:r>
      <w:r w:rsidR="00084F6F" w:rsidRPr="009764D4">
        <w:rPr>
          <w:szCs w:val="22"/>
        </w:rPr>
        <w:t xml:space="preserve">СТАТЬЯ </w:t>
      </w:r>
      <w:r w:rsidR="00AC5C0C">
        <w:rPr>
          <w:szCs w:val="22"/>
        </w:rPr>
        <w:t>12</w:t>
      </w:r>
      <w:r w:rsidR="00010243" w:rsidRPr="009764D4">
        <w:rPr>
          <w:szCs w:val="22"/>
        </w:rPr>
        <w:t xml:space="preserve"> −</w:t>
      </w:r>
      <w:r w:rsidR="00DA323C" w:rsidRPr="009764D4">
        <w:rPr>
          <w:szCs w:val="22"/>
        </w:rPr>
        <w:t xml:space="preserve"> </w:t>
      </w:r>
      <w:r w:rsidR="00AC5C0C" w:rsidRPr="00B85FAC">
        <w:t>Доступность</w:t>
      </w:r>
      <w:r w:rsidRPr="009764D4">
        <w:rPr>
          <w:szCs w:val="22"/>
        </w:rPr>
        <w:t>;</w:t>
      </w:r>
    </w:p>
    <w:p w14:paraId="79964824" w14:textId="1F7498B4" w:rsidR="00AC5C0C" w:rsidRPr="009764D4" w:rsidRDefault="00AC5C0C" w:rsidP="000C75BC">
      <w:pPr>
        <w:pStyle w:val="enumlev1"/>
        <w:jc w:val="both"/>
        <w:rPr>
          <w:szCs w:val="22"/>
        </w:rPr>
      </w:pPr>
      <w:r w:rsidRPr="009764D4">
        <w:rPr>
          <w:szCs w:val="22"/>
        </w:rPr>
        <w:t>−</w:t>
      </w:r>
      <w:r w:rsidRPr="009764D4">
        <w:rPr>
          <w:szCs w:val="22"/>
        </w:rPr>
        <w:tab/>
        <w:t xml:space="preserve">СТАТЬЯ </w:t>
      </w:r>
      <w:r>
        <w:rPr>
          <w:szCs w:val="22"/>
        </w:rPr>
        <w:t>13</w:t>
      </w:r>
      <w:r w:rsidRPr="009764D4">
        <w:rPr>
          <w:szCs w:val="22"/>
        </w:rPr>
        <w:t xml:space="preserve"> − </w:t>
      </w:r>
      <w:r w:rsidRPr="00B85FAC">
        <w:t>Специальные соглашения</w:t>
      </w:r>
      <w:r w:rsidRPr="009764D4">
        <w:rPr>
          <w:szCs w:val="22"/>
        </w:rPr>
        <w:t>;</w:t>
      </w:r>
    </w:p>
    <w:p w14:paraId="155A7D06" w14:textId="7045DDD3" w:rsidR="00AC5C0C" w:rsidRPr="009764D4" w:rsidRDefault="00AC5C0C" w:rsidP="000C75BC">
      <w:pPr>
        <w:pStyle w:val="enumlev1"/>
        <w:jc w:val="both"/>
        <w:rPr>
          <w:szCs w:val="22"/>
        </w:rPr>
      </w:pPr>
      <w:r w:rsidRPr="009764D4">
        <w:rPr>
          <w:szCs w:val="22"/>
        </w:rPr>
        <w:t>−</w:t>
      </w:r>
      <w:r w:rsidRPr="009764D4">
        <w:rPr>
          <w:szCs w:val="22"/>
        </w:rPr>
        <w:tab/>
        <w:t xml:space="preserve">СТАТЬЯ </w:t>
      </w:r>
      <w:r>
        <w:rPr>
          <w:szCs w:val="22"/>
        </w:rPr>
        <w:t>14</w:t>
      </w:r>
      <w:r w:rsidRPr="009764D4">
        <w:rPr>
          <w:szCs w:val="22"/>
        </w:rPr>
        <w:t xml:space="preserve"> − </w:t>
      </w:r>
      <w:r w:rsidRPr="00B85FAC">
        <w:t>Заключительные положения</w:t>
      </w:r>
      <w:r w:rsidRPr="009764D4">
        <w:rPr>
          <w:szCs w:val="22"/>
        </w:rPr>
        <w:t>;</w:t>
      </w:r>
    </w:p>
    <w:p w14:paraId="6E3FC2D3" w14:textId="2C20C364" w:rsidR="008E15CF" w:rsidRPr="009764D4" w:rsidRDefault="00AD1748" w:rsidP="000C75BC">
      <w:pPr>
        <w:pStyle w:val="enumlev1"/>
        <w:jc w:val="both"/>
        <w:rPr>
          <w:szCs w:val="22"/>
        </w:rPr>
      </w:pPr>
      <w:r w:rsidRPr="009764D4">
        <w:rPr>
          <w:szCs w:val="22"/>
        </w:rPr>
        <w:t>−</w:t>
      </w:r>
      <w:r w:rsidRPr="009764D4">
        <w:rPr>
          <w:szCs w:val="22"/>
        </w:rPr>
        <w:tab/>
      </w:r>
      <w:r w:rsidR="008E15CF" w:rsidRPr="009764D4">
        <w:rPr>
          <w:szCs w:val="22"/>
        </w:rPr>
        <w:t xml:space="preserve">ДОПОЛНЕНИЕ </w:t>
      </w:r>
      <w:r w:rsidR="00AC5C0C">
        <w:rPr>
          <w:szCs w:val="22"/>
        </w:rPr>
        <w:t>2</w:t>
      </w:r>
      <w:r w:rsidR="00010243" w:rsidRPr="009764D4">
        <w:rPr>
          <w:szCs w:val="22"/>
        </w:rPr>
        <w:t xml:space="preserve"> −</w:t>
      </w:r>
      <w:r w:rsidR="008E15CF" w:rsidRPr="009764D4">
        <w:rPr>
          <w:szCs w:val="22"/>
        </w:rPr>
        <w:t xml:space="preserve"> </w:t>
      </w:r>
      <w:r w:rsidR="00AC5C0C" w:rsidRPr="00B85FAC">
        <w:t>Дополнительные положения, относящиеся к морской электросвязи</w:t>
      </w:r>
      <w:r w:rsidRPr="009764D4">
        <w:rPr>
          <w:szCs w:val="22"/>
        </w:rPr>
        <w:t>.</w:t>
      </w:r>
    </w:p>
    <w:p w14:paraId="7E81B2F8" w14:textId="59FB07C6" w:rsidR="009057C5" w:rsidRPr="009764D4" w:rsidRDefault="00266E04" w:rsidP="000C75BC">
      <w:pPr>
        <w:jc w:val="both"/>
        <w:rPr>
          <w:szCs w:val="22"/>
        </w:rPr>
      </w:pPr>
      <w:r w:rsidRPr="009764D4">
        <w:rPr>
          <w:szCs w:val="22"/>
        </w:rPr>
        <w:t>Мнение Российской Федерации по статьям РМЭ</w:t>
      </w:r>
      <w:r w:rsidR="00E831A0" w:rsidRPr="009764D4">
        <w:rPr>
          <w:szCs w:val="22"/>
        </w:rPr>
        <w:t xml:space="preserve">, которые предложено рассмотреть на </w:t>
      </w:r>
      <w:r w:rsidR="00AC5C0C">
        <w:rPr>
          <w:szCs w:val="22"/>
        </w:rPr>
        <w:t>четвертом</w:t>
      </w:r>
      <w:r w:rsidR="00E831A0" w:rsidRPr="009764D4">
        <w:rPr>
          <w:szCs w:val="22"/>
        </w:rPr>
        <w:t xml:space="preserve"> собрании ГЭ-РМЭ,</w:t>
      </w:r>
      <w:r w:rsidRPr="009764D4">
        <w:rPr>
          <w:szCs w:val="22"/>
        </w:rPr>
        <w:t xml:space="preserve"> приведено в Таблице 1</w:t>
      </w:r>
      <w:r w:rsidR="000F0976" w:rsidRPr="009764D4">
        <w:rPr>
          <w:szCs w:val="22"/>
        </w:rPr>
        <w:t>,</w:t>
      </w:r>
      <w:r w:rsidRPr="009764D4">
        <w:rPr>
          <w:szCs w:val="22"/>
        </w:rPr>
        <w:t xml:space="preserve"> ниже</w:t>
      </w:r>
      <w:r w:rsidR="00B87C68" w:rsidRPr="009764D4">
        <w:rPr>
          <w:szCs w:val="22"/>
        </w:rPr>
        <w:t>.</w:t>
      </w:r>
    </w:p>
    <w:p w14:paraId="63A94F07" w14:textId="45088647" w:rsidR="001D6774" w:rsidRDefault="00ED7BDA" w:rsidP="000C75BC">
      <w:pPr>
        <w:jc w:val="both"/>
      </w:pPr>
      <w:r w:rsidRPr="00ED7BDA">
        <w:rPr>
          <w:szCs w:val="22"/>
        </w:rPr>
        <w:t>Российская Федерация отмечает</w:t>
      </w:r>
      <w:r w:rsidR="00F4562F" w:rsidRPr="00ED7BDA">
        <w:rPr>
          <w:szCs w:val="22"/>
        </w:rPr>
        <w:t>, что РМЭ 1988 не учитывает изменения, произошедшие в</w:t>
      </w:r>
      <w:r w:rsidR="00F4562F" w:rsidRPr="00ED7BDA">
        <w:t xml:space="preserve"> экосистеме электросвязи/ИКТ с 1988</w:t>
      </w:r>
      <w:r w:rsidR="00A4627F">
        <w:rPr>
          <w:lang w:val="en-US"/>
        </w:rPr>
        <w:t> </w:t>
      </w:r>
      <w:r w:rsidR="00F4562F" w:rsidRPr="00ED7BDA">
        <w:t>года</w:t>
      </w:r>
      <w:r w:rsidRPr="00ED7BDA">
        <w:t xml:space="preserve">. </w:t>
      </w:r>
      <w:r w:rsidR="00F4562F" w:rsidRPr="00ED7BDA">
        <w:t>Кроме того, использование в РМЭ 1988 терминологии, не соответствующей</w:t>
      </w:r>
      <w:r w:rsidR="00E82838" w:rsidRPr="00ED7BDA">
        <w:t xml:space="preserve"> положениям действующих</w:t>
      </w:r>
      <w:r w:rsidR="00F4562F" w:rsidRPr="00ED7BDA">
        <w:t xml:space="preserve"> Устав</w:t>
      </w:r>
      <w:r w:rsidR="00610DEB" w:rsidRPr="00ED7BDA">
        <w:t>а</w:t>
      </w:r>
      <w:r>
        <w:t>,</w:t>
      </w:r>
      <w:r w:rsidR="00F4562F" w:rsidRPr="00ED7BDA">
        <w:t xml:space="preserve"> Конвенции МСЭ</w:t>
      </w:r>
      <w:r>
        <w:t xml:space="preserve"> и Резолюций Полномочных конференций Союза</w:t>
      </w:r>
      <w:r w:rsidR="00F4562F" w:rsidRPr="00ED7BDA">
        <w:t>, а также устаревших терминов приводит к</w:t>
      </w:r>
      <w:r w:rsidR="00D01815" w:rsidRPr="00ED7BDA">
        <w:t> </w:t>
      </w:r>
      <w:r w:rsidR="00F4562F" w:rsidRPr="00ED7BDA">
        <w:t xml:space="preserve">недопониманию и/или ошибкам при применении </w:t>
      </w:r>
      <w:r w:rsidR="009A513C">
        <w:t>РМЭ 1988</w:t>
      </w:r>
      <w:r w:rsidR="00F4562F" w:rsidRPr="00ED7BDA">
        <w:t>.</w:t>
      </w:r>
    </w:p>
    <w:p w14:paraId="391A935C" w14:textId="4F9EC80E" w:rsidR="00A4627F" w:rsidRPr="00A4627F" w:rsidRDefault="00F930FA" w:rsidP="000C75BC">
      <w:pPr>
        <w:jc w:val="both"/>
      </w:pPr>
      <w:r>
        <w:t xml:space="preserve">Помимо учёта изменений в экосистеме </w:t>
      </w:r>
      <w:r w:rsidR="005E02D0" w:rsidRPr="00A4627F">
        <w:t>электросвязи и информационно-коммуникационных технологий (электросвязи/ИКТ)</w:t>
      </w:r>
      <w:r>
        <w:t>, в части перехода от в основном государственного к частному владению и управлению сетями и системами электросвязи/ИКТ, а также других измен</w:t>
      </w:r>
      <w:r w:rsidR="005E02D0">
        <w:t>е</w:t>
      </w:r>
      <w:r>
        <w:t>ний</w:t>
      </w:r>
      <w:r w:rsidR="005E02D0">
        <w:t xml:space="preserve"> произошедших с 1988 года</w:t>
      </w:r>
      <w:r>
        <w:t>,</w:t>
      </w:r>
      <w:r w:rsidR="00A4627F">
        <w:t xml:space="preserve"> РМЭ 2012 года отвечает на </w:t>
      </w:r>
      <w:r w:rsidR="009A513C">
        <w:t xml:space="preserve">многие </w:t>
      </w:r>
      <w:r w:rsidR="00A4627F">
        <w:t>современные вызовы, касающиеся защиты окружающей среды</w:t>
      </w:r>
      <w:r>
        <w:t xml:space="preserve"> (Статья 11 </w:t>
      </w:r>
      <w:r w:rsidRPr="00B85FAC">
        <w:t>Энергоэффективность/электронные отходы</w:t>
      </w:r>
      <w:r>
        <w:t>)</w:t>
      </w:r>
      <w:r w:rsidR="00A4627F">
        <w:t xml:space="preserve">, обеспечения доступа </w:t>
      </w:r>
      <w:r>
        <w:t xml:space="preserve">к электросвязи/ИКТ для людей с ограниченными возможностями (Статья 12 - </w:t>
      </w:r>
      <w:r w:rsidRPr="00B85FAC">
        <w:t>Доступность</w:t>
      </w:r>
      <w:r>
        <w:t xml:space="preserve">). Эти </w:t>
      </w:r>
      <w:r w:rsidR="00275BF5">
        <w:t xml:space="preserve">общепринятые в мировой практике требования, отражающие </w:t>
      </w:r>
      <w:r>
        <w:t>изменения в социальной и экономической среде</w:t>
      </w:r>
      <w:r w:rsidR="00275BF5">
        <w:t>,</w:t>
      </w:r>
      <w:r>
        <w:t xml:space="preserve"> никоим образом не затрагива</w:t>
      </w:r>
      <w:r w:rsidR="005E02D0">
        <w:t>ю</w:t>
      </w:r>
      <w:r>
        <w:t>тся положениями РМЭ 1988 года.</w:t>
      </w:r>
    </w:p>
    <w:p w14:paraId="74847D49" w14:textId="4532B228" w:rsidR="007F4AE1" w:rsidRPr="009764D4" w:rsidRDefault="001D6774" w:rsidP="000C75BC">
      <w:pPr>
        <w:jc w:val="both"/>
      </w:pPr>
      <w:r w:rsidRPr="00A4627F">
        <w:t xml:space="preserve">В ходе дальнейшего совершенствования РМЭ полезно включить в текст Регламента термины и/или положения, касающиеся </w:t>
      </w:r>
      <w:r w:rsidR="00C33A84" w:rsidRPr="00A4627F">
        <w:t>различны</w:t>
      </w:r>
      <w:r w:rsidR="00345F0B" w:rsidRPr="00A4627F">
        <w:t>х</w:t>
      </w:r>
      <w:r w:rsidR="00C33A84" w:rsidRPr="00A4627F">
        <w:t xml:space="preserve"> аспектов</w:t>
      </w:r>
      <w:r w:rsidR="00A12AA9">
        <w:t xml:space="preserve"> </w:t>
      </w:r>
      <w:r w:rsidR="009A513C">
        <w:t xml:space="preserve">международного </w:t>
      </w:r>
      <w:r w:rsidR="00A12AA9">
        <w:t xml:space="preserve">регулирования, </w:t>
      </w:r>
      <w:r w:rsidR="009A513C">
        <w:t xml:space="preserve">которые будут </w:t>
      </w:r>
      <w:r w:rsidR="00A12AA9">
        <w:t>способств</w:t>
      </w:r>
      <w:r w:rsidR="009A513C">
        <w:t>овать ускоренному</w:t>
      </w:r>
      <w:r w:rsidR="00C33A84" w:rsidRPr="00A4627F">
        <w:t xml:space="preserve"> развити</w:t>
      </w:r>
      <w:r w:rsidR="00A12AA9">
        <w:t>ю</w:t>
      </w:r>
      <w:r w:rsidR="00C33A84" w:rsidRPr="00A4627F">
        <w:t>, внедрени</w:t>
      </w:r>
      <w:r w:rsidR="00A12AA9">
        <w:t>ю</w:t>
      </w:r>
      <w:r w:rsidR="00C33A84" w:rsidRPr="00A4627F">
        <w:t xml:space="preserve"> и использовани</w:t>
      </w:r>
      <w:r w:rsidR="00A12AA9">
        <w:t>ю</w:t>
      </w:r>
      <w:r w:rsidR="00C33A84" w:rsidRPr="00A4627F">
        <w:t xml:space="preserve"> электросвязи/ИКТ</w:t>
      </w:r>
      <w:r w:rsidR="00A12AA9">
        <w:t>, особенно в развивающихся страна</w:t>
      </w:r>
      <w:r w:rsidR="00946445">
        <w:t>х</w:t>
      </w:r>
      <w:r w:rsidR="00C33A84" w:rsidRPr="00A4627F">
        <w:t xml:space="preserve">. </w:t>
      </w:r>
      <w:r w:rsidR="009A513C">
        <w:t>Необходимо</w:t>
      </w:r>
      <w:r w:rsidR="00A12AA9">
        <w:t>, чтобы положения РМЭ содействовали</w:t>
      </w:r>
      <w:r w:rsidR="00FD3EF5" w:rsidRPr="00A4627F">
        <w:t xml:space="preserve"> </w:t>
      </w:r>
      <w:r w:rsidR="00C33A84" w:rsidRPr="00A4627F">
        <w:t>преодолени</w:t>
      </w:r>
      <w:r w:rsidR="00A12AA9">
        <w:t>ю</w:t>
      </w:r>
      <w:r w:rsidR="00C33A84" w:rsidRPr="00A4627F">
        <w:t xml:space="preserve"> цифрового </w:t>
      </w:r>
      <w:r w:rsidR="00C33A84" w:rsidRPr="00A4627F">
        <w:lastRenderedPageBreak/>
        <w:t>разрыва,</w:t>
      </w:r>
      <w:r w:rsidR="005E02D0">
        <w:t xml:space="preserve"> цифровой трансформации, защит</w:t>
      </w:r>
      <w:r w:rsidR="009A513C">
        <w:t>е</w:t>
      </w:r>
      <w:r w:rsidR="005E02D0">
        <w:t xml:space="preserve"> персональных данных и частной жизни,</w:t>
      </w:r>
      <w:r w:rsidR="00C33A84" w:rsidRPr="00A4627F">
        <w:t xml:space="preserve"> использовани</w:t>
      </w:r>
      <w:r w:rsidR="009A513C">
        <w:t>ю</w:t>
      </w:r>
      <w:r w:rsidR="00C33A84" w:rsidRPr="00A4627F">
        <w:t xml:space="preserve"> электросвязи/ИКТ в чрезвычайных ситуациях, включая пандемии</w:t>
      </w:r>
      <w:r w:rsidR="002C6010">
        <w:t>, реализации ЦУР</w:t>
      </w:r>
      <w:r w:rsidR="009A513C">
        <w:t>. РМЭ должен способствовать</w:t>
      </w:r>
      <w:r w:rsidR="00FD3EF5" w:rsidRPr="00A4627F">
        <w:t xml:space="preserve"> </w:t>
      </w:r>
      <w:r w:rsidR="009A513C">
        <w:t xml:space="preserve">обеспечению </w:t>
      </w:r>
      <w:r w:rsidRPr="00A4627F">
        <w:t>универсальн</w:t>
      </w:r>
      <w:r w:rsidR="009A513C">
        <w:t>ых</w:t>
      </w:r>
      <w:r w:rsidRPr="00A4627F">
        <w:t xml:space="preserve"> услуг, </w:t>
      </w:r>
      <w:r w:rsidR="009A513C">
        <w:t xml:space="preserve">снижению затрат </w:t>
      </w:r>
      <w:r w:rsidRPr="00A4627F">
        <w:t xml:space="preserve">роуминга, </w:t>
      </w:r>
      <w:r w:rsidR="009A513C">
        <w:t xml:space="preserve">уменьшению количества </w:t>
      </w:r>
      <w:r w:rsidRPr="00A4627F">
        <w:t>незапрашиваемых сообщени</w:t>
      </w:r>
      <w:r w:rsidR="00FD3EF5" w:rsidRPr="00A4627F">
        <w:t>й</w:t>
      </w:r>
      <w:r w:rsidRPr="00A4627F">
        <w:t xml:space="preserve"> электросвязи</w:t>
      </w:r>
      <w:r w:rsidR="005E02D0">
        <w:t xml:space="preserve"> (включая спам)</w:t>
      </w:r>
      <w:r w:rsidRPr="00A4627F">
        <w:t>, а также</w:t>
      </w:r>
      <w:r w:rsidR="008C3743" w:rsidRPr="00A4627F">
        <w:t xml:space="preserve"> </w:t>
      </w:r>
      <w:r w:rsidR="009A513C">
        <w:t>выполнению важнейших решений</w:t>
      </w:r>
      <w:r w:rsidR="00C33A84" w:rsidRPr="00A4627F">
        <w:t xml:space="preserve"> Полномочной конференции,</w:t>
      </w:r>
      <w:r w:rsidR="008C3743" w:rsidRPr="00A4627F">
        <w:t xml:space="preserve"> </w:t>
      </w:r>
      <w:r w:rsidR="005E02D0">
        <w:t>Всемирной конференции радиосвязи</w:t>
      </w:r>
      <w:r w:rsidR="009A513C">
        <w:t>,</w:t>
      </w:r>
      <w:r w:rsidR="009A513C" w:rsidRPr="009A513C">
        <w:t xml:space="preserve"> </w:t>
      </w:r>
      <w:r w:rsidR="009A513C" w:rsidRPr="00A4627F">
        <w:t>Ассамблеи радиосвязи</w:t>
      </w:r>
      <w:r w:rsidR="005E02D0">
        <w:t xml:space="preserve">, </w:t>
      </w:r>
      <w:r w:rsidR="008C3743" w:rsidRPr="00A4627F">
        <w:t>В</w:t>
      </w:r>
      <w:r w:rsidR="00C33A84" w:rsidRPr="00A4627F">
        <w:t>семирной ассамблеи стандартизации электросвязи</w:t>
      </w:r>
      <w:r w:rsidR="00FD3EF5" w:rsidRPr="00A4627F">
        <w:t>,</w:t>
      </w:r>
      <w:r w:rsidR="00C33A84" w:rsidRPr="00A4627F">
        <w:t xml:space="preserve"> </w:t>
      </w:r>
      <w:r w:rsidR="00FD3EF5" w:rsidRPr="00A4627F">
        <w:t>и Всемирной конференции по развитию электросвязи</w:t>
      </w:r>
      <w:r w:rsidR="008C3743" w:rsidRPr="00A4627F">
        <w:t>.</w:t>
      </w:r>
      <w:r w:rsidR="00946445">
        <w:t xml:space="preserve"> </w:t>
      </w:r>
      <w:r w:rsidR="009A513C">
        <w:t>Чрезвычайно важной задачей РМЭ является</w:t>
      </w:r>
      <w:r w:rsidR="00946445">
        <w:t xml:space="preserve"> обеспечени</w:t>
      </w:r>
      <w:r w:rsidR="009A513C">
        <w:t>е</w:t>
      </w:r>
      <w:r w:rsidR="00946445">
        <w:t xml:space="preserve"> доверия и безопасности при использовании электросвязи/ИКТ</w:t>
      </w:r>
      <w:r w:rsidR="009A513C">
        <w:t xml:space="preserve"> на международном уровне</w:t>
      </w:r>
      <w:r w:rsidR="00946445">
        <w:t>.</w:t>
      </w:r>
    </w:p>
    <w:p w14:paraId="406157B9" w14:textId="716F371C" w:rsidR="008E3BE9" w:rsidRPr="009764D4" w:rsidRDefault="008E3BE9" w:rsidP="00E477D7"/>
    <w:p w14:paraId="7C4B4A3D" w14:textId="77777777" w:rsidR="008E3BE9" w:rsidRPr="009764D4" w:rsidRDefault="008E3BE9" w:rsidP="00E477D7">
      <w:pPr>
        <w:sectPr w:rsidR="008E3BE9" w:rsidRPr="009764D4" w:rsidSect="000E1A14">
          <w:headerReference w:type="default" r:id="rId8"/>
          <w:footerReference w:type="first" r:id="rId9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8F2ED76" w14:textId="0DF7BD17" w:rsidR="00B87C68" w:rsidRDefault="00750D93" w:rsidP="00AD1748">
      <w:pPr>
        <w:pStyle w:val="TableNo"/>
        <w:spacing w:before="0"/>
      </w:pPr>
      <w:r w:rsidRPr="009764D4">
        <w:lastRenderedPageBreak/>
        <w:t xml:space="preserve">Таблица </w:t>
      </w:r>
      <w:r w:rsidR="000943E9" w:rsidRPr="009764D4">
        <w:t>1</w:t>
      </w:r>
    </w:p>
    <w:tbl>
      <w:tblPr>
        <w:tblStyle w:val="TableGrid"/>
        <w:tblW w:w="14567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3402"/>
        <w:gridCol w:w="2232"/>
        <w:gridCol w:w="2163"/>
        <w:gridCol w:w="2239"/>
      </w:tblGrid>
      <w:tr w:rsidR="009C2787" w:rsidRPr="009764D4" w14:paraId="56BAEBE3" w14:textId="77777777" w:rsidTr="004F164A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1B9133C6" w14:textId="77777777" w:rsidR="009C2787" w:rsidRPr="009764D4" w:rsidRDefault="009C2787" w:rsidP="004F164A">
            <w:pPr>
              <w:pStyle w:val="Tablehead"/>
              <w:rPr>
                <w:rFonts w:asciiTheme="minorHAnsi" w:hAnsiTheme="minorHAnsi" w:cstheme="minorHAnsi"/>
                <w:szCs w:val="20"/>
              </w:rPr>
            </w:pPr>
            <w:bookmarkStart w:id="3" w:name="_Hlk50113064"/>
            <w:r w:rsidRPr="009764D4">
              <w:rPr>
                <w:rFonts w:asciiTheme="minorHAnsi" w:hAnsiTheme="minorHAnsi" w:cstheme="minorHAnsi"/>
                <w:szCs w:val="20"/>
              </w:rPr>
              <w:t>Статья 2012 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2C7BE9EE" w14:textId="77777777" w:rsidR="009C2787" w:rsidRPr="009764D4" w:rsidRDefault="009C2787" w:rsidP="004F164A">
            <w:pPr>
              <w:pStyle w:val="Tablehead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Подпункт и положение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28CA0F60" w14:textId="77777777" w:rsidR="009C2787" w:rsidRPr="009764D4" w:rsidRDefault="009C2787" w:rsidP="004F164A">
            <w:pPr>
              <w:pStyle w:val="Tablehead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Соответствующий подпункт и положение 1988 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6ABCAD64" w14:textId="77777777" w:rsidR="009C2787" w:rsidRPr="009764D4" w:rsidRDefault="009C2787" w:rsidP="004F164A">
            <w:pPr>
              <w:pStyle w:val="Tablehead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 xml:space="preserve">Применимость </w:t>
            </w:r>
            <w:r w:rsidRPr="009764D4">
              <w:rPr>
                <w:rFonts w:asciiTheme="minorHAnsi" w:hAnsiTheme="minorHAnsi" w:cstheme="minorHAnsi"/>
                <w:szCs w:val="20"/>
              </w:rPr>
              <w:br/>
              <w:t>для содействия предоставлению и развитию сетей и услуг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6354B529" w14:textId="77777777" w:rsidR="009C2787" w:rsidRPr="009764D4" w:rsidRDefault="009C2787" w:rsidP="004F164A">
            <w:pPr>
              <w:pStyle w:val="Tablehead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Гибкость для учета новых тенденций и возникающих вопросов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43B6CBF2" w14:textId="77777777" w:rsidR="009C2787" w:rsidRPr="009764D4" w:rsidRDefault="009C2787" w:rsidP="004F164A">
            <w:pPr>
              <w:pStyle w:val="Tablehead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 xml:space="preserve">Краткое </w:t>
            </w:r>
            <w:r w:rsidRPr="009764D4">
              <w:rPr>
                <w:rFonts w:asciiTheme="minorHAnsi" w:hAnsiTheme="minorHAnsi" w:cstheme="minorHAnsi"/>
                <w:szCs w:val="20"/>
              </w:rPr>
              <w:br/>
              <w:t xml:space="preserve">описание </w:t>
            </w:r>
            <w:r w:rsidRPr="009764D4">
              <w:rPr>
                <w:rFonts w:asciiTheme="minorHAnsi" w:hAnsiTheme="minorHAnsi" w:cstheme="minorHAnsi"/>
                <w:szCs w:val="20"/>
              </w:rPr>
              <w:br/>
              <w:t>результата</w:t>
            </w:r>
          </w:p>
        </w:tc>
      </w:tr>
      <w:bookmarkEnd w:id="3"/>
      <w:tr w:rsidR="009C2787" w:rsidRPr="009764D4" w14:paraId="7B38C4F6" w14:textId="77777777" w:rsidTr="004F164A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5BF84FA9" w14:textId="140A3BB1" w:rsidR="009C2787" w:rsidRPr="009C2787" w:rsidRDefault="009C2787" w:rsidP="004F164A">
            <w:pPr>
              <w:pStyle w:val="Table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СТАТЬЯ </w:t>
            </w:r>
            <w:r>
              <w:rPr>
                <w:rFonts w:asciiTheme="minorHAnsi" w:hAnsiTheme="minorHAnsi" w:cstheme="minorHAnsi"/>
                <w:b/>
                <w:szCs w:val="20"/>
              </w:rPr>
              <w:t>9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− </w:t>
            </w:r>
            <w:bookmarkStart w:id="4" w:name="_Toc351752246"/>
            <w:bookmarkStart w:id="5" w:name="_Toc351752817"/>
            <w:r w:rsidRPr="009C2787">
              <w:rPr>
                <w:b/>
              </w:rPr>
              <w:t>Временное прекращение оказания услуг</w:t>
            </w:r>
            <w:bookmarkEnd w:id="4"/>
            <w:bookmarkEnd w:id="5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014EB52" w14:textId="171533D9" w:rsidR="009C2787" w:rsidRPr="009764D4" w:rsidRDefault="009C2787" w:rsidP="00702909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Style w:val="Artdef"/>
                <w:rFonts w:asciiTheme="minorHAnsi" w:hAnsiTheme="minorHAnsi" w:cstheme="minorHAnsi"/>
                <w:szCs w:val="20"/>
              </w:rPr>
              <w:t>68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9</w:t>
            </w:r>
            <w:proofErr w:type="gramEnd"/>
            <w:r w:rsidRPr="003906B9">
              <w:t>.1</w:t>
            </w:r>
            <w:r w:rsidRPr="003906B9">
              <w:tab/>
              <w:t>Если в соответствии с Уставом и Конвенцией Государство-Член использует свое право частично или полностью временно прекратить оказание услуг международной электросвязи, это Государство-Член должно немедленно уведомить Генерального секретаря о временном прекращении и о последующем восстановлении нормального режима работы, используя наиболее подходящие средства связи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D949C55" w14:textId="531A4C7C" w:rsidR="009C2787" w:rsidRPr="009764D4" w:rsidRDefault="009C2787" w:rsidP="00702909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Style w:val="Artdef"/>
                <w:rFonts w:asciiTheme="minorHAnsi" w:hAnsiTheme="minorHAnsi" w:cstheme="minorHAnsi"/>
                <w:szCs w:val="20"/>
              </w:rPr>
              <w:t>55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7</w:t>
            </w:r>
            <w:proofErr w:type="gramEnd"/>
            <w:r w:rsidRPr="00AB21CA">
              <w:t>.1</w:t>
            </w:r>
            <w:r w:rsidRPr="00AB21CA">
              <w:tab/>
              <w:t>Если в соответствии с Конвенцией Член использует свое право частично или полностью прекратить работу международных служб электросвязи, он должен немедленно уведомить Генерального секретаря о прекращении и о последующем восстановлении нормального режима работы служб, используя наиболее подходящие средства связи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93E1FCD" w14:textId="77777777" w:rsidR="009C2787" w:rsidRPr="009C2787" w:rsidRDefault="009C2787" w:rsidP="00124EF0">
            <w:pPr>
              <w:pStyle w:val="Tabletext"/>
              <w:jc w:val="both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F56DAC9" w14:textId="77777777" w:rsidR="009C2787" w:rsidRPr="009C2787" w:rsidRDefault="009C2787" w:rsidP="00124EF0">
            <w:pPr>
              <w:pStyle w:val="Tabletext"/>
              <w:jc w:val="both"/>
              <w:rPr>
                <w:rFonts w:asciiTheme="minorHAnsi" w:hAnsiTheme="minorHAnsi" w:cstheme="minorHAnsi"/>
                <w:bCs/>
                <w:szCs w:val="20"/>
                <w:highlight w:val="yellow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5424AB5" w14:textId="773E7C90" w:rsidR="009C2787" w:rsidRPr="009C278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</w:tc>
      </w:tr>
      <w:tr w:rsidR="009C2787" w:rsidRPr="009764D4" w14:paraId="2B13A454" w14:textId="77777777" w:rsidTr="009C2787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BE90EF2" w14:textId="77777777" w:rsidR="009C2787" w:rsidRPr="009764D4" w:rsidRDefault="009C2787" w:rsidP="004F164A">
            <w:pPr>
              <w:pStyle w:val="Table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6EF443D" w14:textId="378251FE" w:rsidR="009C2787" w:rsidRPr="009764D4" w:rsidRDefault="009C2787" w:rsidP="00702909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69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9</w:t>
            </w:r>
            <w:r w:rsidRPr="003906B9">
              <w:t>.2</w:t>
            </w:r>
            <w:r w:rsidR="008F63AC" w:rsidRPr="003906B9">
              <w:tab/>
            </w:r>
            <w:r w:rsidRPr="003906B9">
              <w:t>Генеральный секретарь должен немедленно довести эту информацию до сведения всех других Государств-Членов, используя наиболее подходящие средства связи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419A855" w14:textId="37EC2A8B" w:rsidR="009C2787" w:rsidRPr="009764D4" w:rsidRDefault="009C2787" w:rsidP="00702909">
            <w:pPr>
              <w:pStyle w:val="Tabletext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56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7.2</w:t>
            </w:r>
            <w:r w:rsidRPr="00AB21CA">
              <w:tab/>
              <w:t>Генеральный секретарь должен немедленно довести эту информацию до сведения всех других Членов, используя наиболее подходящее средство связи</w:t>
            </w:r>
            <w: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2EFF2FB" w14:textId="677F0C80" w:rsidR="009C2787" w:rsidRPr="009C2787" w:rsidRDefault="00124EF0" w:rsidP="00124EF0">
            <w:pPr>
              <w:pStyle w:val="Tabletext"/>
              <w:jc w:val="both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8E01A1A" w14:textId="06D37E21" w:rsidR="009C2787" w:rsidRPr="009C2787" w:rsidRDefault="00124EF0" w:rsidP="00124EF0">
            <w:pPr>
              <w:pStyle w:val="Tabletext"/>
              <w:jc w:val="both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7809652" w14:textId="6196F4E9" w:rsidR="009C2787" w:rsidRPr="009C278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</w:tc>
      </w:tr>
      <w:tr w:rsidR="000E5831" w:rsidRPr="009764D4" w14:paraId="459BDB37" w14:textId="77777777" w:rsidTr="0049213D">
        <w:trPr>
          <w:trHeight w:val="3458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6BE5F78A" w14:textId="00BFFF73" w:rsidR="000E5831" w:rsidRPr="009764D4" w:rsidRDefault="000E5831" w:rsidP="009C4BD5">
            <w:pPr>
              <w:pStyle w:val="Tabletext"/>
              <w:jc w:val="center"/>
              <w:rPr>
                <w:rFonts w:asciiTheme="minorHAnsi" w:hAnsiTheme="minorHAnsi" w:cstheme="minorHAnsi"/>
                <w:bCs/>
              </w:rPr>
            </w:pPr>
            <w:r w:rsidRPr="009C2787"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СТАТЬЯ </w:t>
            </w:r>
            <w:r>
              <w:rPr>
                <w:rFonts w:asciiTheme="minorHAnsi" w:hAnsiTheme="minorHAnsi" w:cstheme="minorHAnsi"/>
                <w:b/>
                <w:szCs w:val="20"/>
              </w:rPr>
              <w:t>10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t>–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b/>
              </w:rPr>
              <w:t>Распространение инфорамции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056594C" w14:textId="7BAFB3C1" w:rsidR="000E5831" w:rsidRPr="009764D4" w:rsidRDefault="000E5831" w:rsidP="00702909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70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10</w:t>
            </w:r>
            <w:r w:rsidRPr="003906B9">
              <w:t>.1</w:t>
            </w:r>
            <w:r w:rsidRPr="003906B9">
              <w:tab/>
              <w:t>Генеральный секретарь, используя наиболее подходящие и экономичные средства, должен распространять предоставляемую информацию административного, эксплуатационного или статистического характера, касающуюся услуг международной электросвязи. Такая информация должна распространяться согласно соответствующим положениям Устава, Конвенции и настоящей Статьи на основе решений, принятых Советом или компетентными конференциями МСЭ, и с учетом выводов или решений ассамблей МСЭ. Если это санкционировано заинтересованным Государством-Членом, информация может быть передана Генеральному секретарю непосредственно уполномоченной эксплуатационной организацией, а затем должна распространяться Генеральным секретарем. Государствам-Членам следует своевременно передавать такую информацию Генеральному секретарю с учетом с</w:t>
            </w:r>
            <w:r>
              <w:t>оответствующих Рекомендаций</w:t>
            </w:r>
            <w:r>
              <w:rPr>
                <w:lang w:val="en-US"/>
              </w:rPr>
              <w:t> </w:t>
            </w:r>
            <w:r>
              <w:t>МСЭ</w:t>
            </w:r>
            <w:r w:rsidRPr="001D768F">
              <w:noBreakHyphen/>
            </w:r>
            <w:r w:rsidRPr="003906B9">
              <w:t>T.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BACB5AA" w14:textId="64C7898F" w:rsidR="000E5831" w:rsidRDefault="000E5831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Style w:val="Artdef"/>
                <w:rFonts w:asciiTheme="minorHAnsi" w:hAnsiTheme="minorHAnsi" w:cstheme="minorHAnsi"/>
                <w:szCs w:val="20"/>
              </w:rPr>
              <w:t>57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Генеральный</w:t>
            </w:r>
            <w:proofErr w:type="gramEnd"/>
            <w:r w:rsidRPr="00AB21CA">
              <w:t xml:space="preserve"> секретарь, используя наиболее подходящие и экономичные средства, должен распространять предоставляемую администрациями</w:t>
            </w:r>
            <w:r w:rsidRPr="00AB21CA">
              <w:fldChar w:fldCharType="begin"/>
            </w:r>
            <w:r w:rsidRPr="00AB21CA">
              <w:instrText xml:space="preserve"> NOTEREF _Ref318892464 \f \h </w:instrText>
            </w:r>
            <w:r>
              <w:instrText xml:space="preserve"> \* MERGEFORMAT </w:instrText>
            </w:r>
            <w:r w:rsidRPr="00AB21CA">
              <w:fldChar w:fldCharType="separate"/>
            </w:r>
            <w:r w:rsidRPr="006D5C91">
              <w:rPr>
                <w:rStyle w:val="FootnoteReference"/>
              </w:rPr>
              <w:t>*</w:t>
            </w:r>
            <w:r w:rsidRPr="00AB21CA">
              <w:fldChar w:fldCharType="end"/>
            </w:r>
            <w:r w:rsidRPr="00AB21CA">
              <w:t xml:space="preserve"> информацию административного, эксплуатационного, тарификационного или статистического характера, касающуюся международных путей направления и международных служб электросвязи. Такая информация должна распространяться согласно соответствующим положениям Конвенции и настоящей Статьи на основе решений, принятых Административным советом или компетентными административными конференциями, и с учетов выводов и решений Пленарных ассамблей Международных консультативных комитетов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BC21ABD" w14:textId="100F74C0" w:rsidR="000E5831" w:rsidRPr="009764D4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088B8A7" w14:textId="7A9A6D7C" w:rsidR="000E5831" w:rsidRPr="00381DD7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1107407" w14:textId="77777777" w:rsidR="00946445" w:rsidRPr="009764D4" w:rsidRDefault="00946445" w:rsidP="00946445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  <w:p w14:paraId="68209909" w14:textId="0F3FED2A" w:rsidR="000E5831" w:rsidRPr="009764D4" w:rsidRDefault="00946445" w:rsidP="00946445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bCs/>
                <w:szCs w:val="20"/>
              </w:rPr>
              <w:t>Представляется целесообразным заменить ссылку на Рекомендации МСЭ-Т, ссылкой на Рекомендации МСЭ, так как передача таких сообщений производится с использованием всех видов электросвязи.</w:t>
            </w:r>
          </w:p>
        </w:tc>
      </w:tr>
      <w:tr w:rsidR="000E5831" w:rsidRPr="009764D4" w14:paraId="4B2E4F51" w14:textId="77777777" w:rsidTr="00F65ACC">
        <w:trPr>
          <w:trHeight w:val="34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43460994" w14:textId="77777777" w:rsidR="000E5831" w:rsidRPr="009C2787" w:rsidRDefault="000E5831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0EA40EA" w14:textId="77777777" w:rsidR="000E5831" w:rsidRDefault="000E5831" w:rsidP="00702909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5C93C27" w14:textId="77777777" w:rsidR="000E5831" w:rsidRDefault="000E5831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BDFB2BC" w14:textId="207CBE73" w:rsidR="000E5831" w:rsidRPr="00601B6C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  <w:b/>
              </w:rPr>
            </w:pPr>
            <w:r w:rsidRPr="00601B6C">
              <w:rPr>
                <w:rFonts w:asciiTheme="minorHAnsi" w:hAnsiTheme="minorHAnsi" w:cstheme="minorHAnsi"/>
                <w:b/>
                <w:bCs/>
                <w:i/>
                <w:szCs w:val="20"/>
              </w:rPr>
              <w:t>В положении 57 РМЭ 1988 приведены устаревшие ссылки на несуществующие в настоящее время Административный совет, административные конференции, Пленарные ассамблеи Международных консультативных комитетов.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FD8CC9C" w14:textId="77777777" w:rsidR="000E5831" w:rsidRPr="009764D4" w:rsidRDefault="000E5831" w:rsidP="009C2787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0E5831" w:rsidRPr="009764D4" w14:paraId="57FED1AF" w14:textId="77777777" w:rsidTr="002D597A">
        <w:trPr>
          <w:trHeight w:val="1380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F1E1614" w14:textId="416C2D1A" w:rsidR="000E5831" w:rsidRPr="00091A2D" w:rsidRDefault="000E5831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091A2D">
              <w:rPr>
                <w:rFonts w:asciiTheme="minorHAnsi" w:hAnsiTheme="minorHAnsi" w:cstheme="minorHAnsi"/>
                <w:b/>
                <w:szCs w:val="20"/>
              </w:rPr>
              <w:lastRenderedPageBreak/>
              <w:t>СТАТЬЯ 1</w:t>
            </w:r>
            <w:r w:rsidRPr="00091A2D">
              <w:rPr>
                <w:rFonts w:asciiTheme="minorHAnsi" w:hAnsiTheme="minorHAnsi" w:cstheme="minorHAnsi"/>
                <w:b/>
                <w:szCs w:val="20"/>
                <w:lang w:val="en-US"/>
              </w:rPr>
              <w:t>1</w:t>
            </w:r>
            <w:r w:rsidRPr="00091A2D">
              <w:rPr>
                <w:rFonts w:asciiTheme="minorHAnsi" w:hAnsiTheme="minorHAnsi" w:cstheme="minorHAnsi"/>
                <w:b/>
                <w:szCs w:val="20"/>
              </w:rPr>
              <w:t xml:space="preserve"> – </w:t>
            </w:r>
            <w:bookmarkStart w:id="6" w:name="_Toc351752250"/>
            <w:bookmarkStart w:id="7" w:name="_Toc351752821"/>
            <w:r w:rsidRPr="00091A2D">
              <w:rPr>
                <w:b/>
              </w:rPr>
              <w:t>Энергоэффективность/</w:t>
            </w:r>
            <w:r>
              <w:rPr>
                <w:b/>
                <w:lang w:val="en-US"/>
              </w:rPr>
              <w:t xml:space="preserve"> </w:t>
            </w:r>
            <w:r w:rsidRPr="00091A2D">
              <w:rPr>
                <w:b/>
              </w:rPr>
              <w:t>электронные отходы</w:t>
            </w:r>
            <w:bookmarkEnd w:id="6"/>
            <w:bookmarkEnd w:id="7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041A4E8" w14:textId="6D885244" w:rsidR="000E5831" w:rsidRDefault="000E5831" w:rsidP="000E5831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71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11</w:t>
            </w:r>
            <w:r w:rsidRPr="003906B9">
              <w:t>.</w:t>
            </w:r>
            <w:r>
              <w:t>1</w:t>
            </w:r>
            <w:r w:rsidRPr="003906B9">
              <w:tab/>
              <w:t>Государствам-Членам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</w:t>
            </w:r>
            <w:r w:rsidRPr="003906B9">
              <w:noBreakHyphen/>
              <w:t>Т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1600F21" w14:textId="0F13243B" w:rsidR="000E5831" w:rsidRPr="00702909" w:rsidRDefault="000E5831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i/>
                <w:szCs w:val="20"/>
              </w:rPr>
            </w:pPr>
            <w:bookmarkStart w:id="8" w:name="_Toc489351313"/>
            <w:bookmarkStart w:id="9" w:name="_Toc489351521"/>
            <w:bookmarkStart w:id="10" w:name="_Toc489351645"/>
            <w:r w:rsidRPr="00702909">
              <w:rPr>
                <w:rFonts w:asciiTheme="minorHAnsi" w:hAnsiTheme="minorHAnsi" w:cs="Calibri"/>
                <w:bCs/>
                <w:i/>
                <w:color w:val="000000"/>
                <w:szCs w:val="20"/>
              </w:rPr>
              <w:t>Аналогичная статья в РМЭ 1988 отсутствует</w:t>
            </w:r>
            <w:bookmarkEnd w:id="8"/>
            <w:bookmarkEnd w:id="9"/>
            <w:bookmarkEnd w:id="10"/>
            <w:r w:rsidRPr="00702909">
              <w:rPr>
                <w:rFonts w:asciiTheme="minorHAnsi" w:hAnsiTheme="minorHAnsi" w:cs="Calibri"/>
                <w:bCs/>
                <w:i/>
                <w:color w:val="000000"/>
                <w:szCs w:val="20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D313D55" w14:textId="3BFEB2F5" w:rsidR="000E5831" w:rsidRPr="009764D4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50A9F47" w14:textId="1167226A" w:rsidR="000E5831" w:rsidRPr="00381DD7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27A15B6" w14:textId="77777777" w:rsidR="00946445" w:rsidRPr="009764D4" w:rsidRDefault="00946445" w:rsidP="00946445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  <w:p w14:paraId="038D1F85" w14:textId="2F9282E2" w:rsidR="000E5831" w:rsidRPr="009C6139" w:rsidRDefault="00946445" w:rsidP="00946445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bCs/>
                <w:szCs w:val="20"/>
              </w:rPr>
              <w:t xml:space="preserve">Представляется целесообразным заменить ссылку на Рекомендации МСЭ-Т, ссылкой на Рекомендации МСЭ, так </w:t>
            </w:r>
            <w:r>
              <w:rPr>
                <w:rFonts w:asciiTheme="minorHAnsi" w:hAnsiTheme="minorHAnsi" w:cstheme="minorHAnsi"/>
                <w:bCs/>
                <w:szCs w:val="20"/>
              </w:rPr>
              <w:t>затронутые в данной Статье проблемы, касаются всех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0"/>
              </w:rPr>
              <w:t>устройств, систем и сетей электросвязи/ИКТ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0E5831" w:rsidRPr="009764D4" w14:paraId="2C9581B2" w14:textId="77777777" w:rsidTr="006F212E">
        <w:trPr>
          <w:trHeight w:val="13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8E6109D" w14:textId="77777777" w:rsidR="000E5831" w:rsidRPr="00091A2D" w:rsidRDefault="000E5831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D183272" w14:textId="77777777" w:rsidR="000E5831" w:rsidRDefault="000E5831" w:rsidP="000E5831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4543055" w14:textId="77777777" w:rsidR="000E5831" w:rsidRPr="00702909" w:rsidRDefault="000E5831" w:rsidP="009C4BD5">
            <w:pPr>
              <w:pStyle w:val="Tabletext"/>
              <w:jc w:val="both"/>
              <w:rPr>
                <w:rFonts w:asciiTheme="minorHAnsi" w:hAnsiTheme="minorHAnsi" w:cs="Calibri"/>
                <w:bCs/>
                <w:i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BBAA41A" w14:textId="125A7B0B" w:rsidR="000E5831" w:rsidRPr="00601B6C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Статья 11 РМЭ 2012 отражает </w:t>
            </w:r>
            <w:r w:rsidR="00F543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широко </w:t>
            </w: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признанные </w:t>
            </w:r>
            <w:r w:rsidR="00F543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>положения</w:t>
            </w: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 </w:t>
            </w:r>
            <w:r w:rsidR="00084A24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Резолюций </w:t>
            </w: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>ООН, других международных организаций и законодательные положения многих Государств-Членов МСЭ, касающиеся защиты окружающей среды.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2366A36" w14:textId="77777777" w:rsidR="000E5831" w:rsidRPr="009C6139" w:rsidRDefault="000E5831" w:rsidP="009C6139">
            <w:pPr>
              <w:pStyle w:val="Tabletext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  <w:tr w:rsidR="000E5831" w:rsidRPr="009764D4" w14:paraId="4D857E90" w14:textId="77777777" w:rsidTr="00B72F2C">
        <w:trPr>
          <w:trHeight w:val="759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3C661C7" w14:textId="3CAC434D" w:rsidR="000E5831" w:rsidRPr="009C2787" w:rsidRDefault="000E5831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СТАТЬЯ </w:t>
            </w:r>
            <w:r>
              <w:rPr>
                <w:rFonts w:asciiTheme="minorHAnsi" w:hAnsiTheme="minorHAnsi" w:cstheme="minorHAnsi"/>
                <w:b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Cs w:val="20"/>
                <w:lang w:val="en-US"/>
              </w:rPr>
              <w:t>2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t>–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b/>
              </w:rPr>
              <w:t>Доступность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CA1C5FD" w14:textId="6EBEB249" w:rsidR="000E5831" w:rsidRDefault="000E5831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Style w:val="Artdef"/>
                <w:rFonts w:asciiTheme="minorHAnsi" w:hAnsiTheme="minorHAnsi" w:cstheme="minorHAnsi"/>
                <w:szCs w:val="20"/>
              </w:rPr>
              <w:t>72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12</w:t>
            </w:r>
            <w:proofErr w:type="gramEnd"/>
            <w:r w:rsidRPr="003906B9">
              <w:t>.</w:t>
            </w:r>
            <w:r>
              <w:t>1</w:t>
            </w:r>
            <w:r w:rsidRPr="003906B9">
              <w:tab/>
              <w:t>Государствам-Членам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</w:t>
            </w:r>
            <w:r w:rsidRPr="003906B9">
              <w:noBreakHyphen/>
              <w:t>Т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5356BAE" w14:textId="116032C3" w:rsidR="000E5831" w:rsidRDefault="000E5831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702909">
              <w:rPr>
                <w:rFonts w:asciiTheme="minorHAnsi" w:hAnsiTheme="minorHAnsi" w:cs="Calibri"/>
                <w:bCs/>
                <w:i/>
                <w:color w:val="000000"/>
                <w:szCs w:val="20"/>
              </w:rPr>
              <w:t>Аналогичная статья в РМЭ 1988 отсутствует.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D70B3EC" w14:textId="3524263D" w:rsidR="000E5831" w:rsidRPr="009764D4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7B34A0A" w14:textId="3C9FF36E" w:rsidR="000E5831" w:rsidRPr="00381DD7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1888370" w14:textId="77777777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  <w:p w14:paraId="242C2B4A" w14:textId="30E3C8AB" w:rsidR="000E5831" w:rsidRPr="009C6139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bCs/>
                <w:szCs w:val="20"/>
              </w:rPr>
              <w:t xml:space="preserve">Представляется целесообразным заменить ссылку на Рекомендации МСЭ-Т, ссылкой на Рекомендации МСЭ, так </w:t>
            </w:r>
            <w:r>
              <w:rPr>
                <w:rFonts w:asciiTheme="minorHAnsi" w:hAnsiTheme="minorHAnsi" w:cstheme="minorHAnsi"/>
                <w:bCs/>
                <w:szCs w:val="20"/>
              </w:rPr>
              <w:t>решение затронутых в данной Статье проблемы, обеспечиваются различными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0"/>
              </w:rPr>
              <w:lastRenderedPageBreak/>
              <w:t>устройствами, системами и сетями электросвязи/ИКТ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0E5831" w:rsidRPr="009764D4" w14:paraId="63E4BE2B" w14:textId="77777777" w:rsidTr="00293B99">
        <w:trPr>
          <w:trHeight w:val="16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13C641B" w14:textId="77777777" w:rsidR="000E5831" w:rsidRPr="009C2787" w:rsidRDefault="000E5831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4D92231" w14:textId="77777777" w:rsidR="000E5831" w:rsidRDefault="000E5831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901AF75" w14:textId="77777777" w:rsidR="000E5831" w:rsidRPr="00702909" w:rsidRDefault="000E5831" w:rsidP="009C4BD5">
            <w:pPr>
              <w:pStyle w:val="Tabletext"/>
              <w:jc w:val="both"/>
              <w:rPr>
                <w:rFonts w:asciiTheme="minorHAnsi" w:hAnsiTheme="minorHAnsi" w:cs="Calibri"/>
                <w:bCs/>
                <w:i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6FBDC40" w14:textId="37A594C4" w:rsidR="000E5831" w:rsidRPr="00601B6C" w:rsidRDefault="000E5831" w:rsidP="00124EF0">
            <w:pPr>
              <w:pStyle w:val="Tabletext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Статья 12 РМЭ 2012 отражает </w:t>
            </w:r>
            <w:r w:rsidR="00F543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широко </w:t>
            </w: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признанные </w:t>
            </w:r>
            <w:r w:rsidR="00F543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>положения</w:t>
            </w: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 </w:t>
            </w:r>
            <w:r w:rsidR="00084A24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 xml:space="preserve">Резолюций </w:t>
            </w:r>
            <w:r w:rsidRPr="00601B6C">
              <w:rPr>
                <w:rFonts w:asciiTheme="minorHAnsi" w:hAnsiTheme="minorHAnsi" w:cs="Calibri"/>
                <w:b/>
                <w:bCs/>
                <w:i/>
                <w:color w:val="000000"/>
                <w:szCs w:val="20"/>
              </w:rPr>
              <w:t>ООН, других международных организаций и законодательные положения многих Государств-Членов МСЭ, касающиеся содействия доступу к электросвязи лиц с ограниченными возможностями.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73D409D" w14:textId="77777777" w:rsidR="000E5831" w:rsidRPr="009C6139" w:rsidRDefault="000E5831" w:rsidP="009C6139">
            <w:pPr>
              <w:pStyle w:val="Tabletext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  <w:tr w:rsidR="00D46FBC" w:rsidRPr="009764D4" w14:paraId="64F57C0D" w14:textId="77777777" w:rsidTr="002E6721">
        <w:trPr>
          <w:trHeight w:val="3705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1B335258" w14:textId="331F3C68" w:rsidR="00D46FBC" w:rsidRPr="009C2787" w:rsidRDefault="00D46FBC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СТАТЬЯ </w:t>
            </w:r>
            <w:r>
              <w:rPr>
                <w:rFonts w:asciiTheme="minorHAnsi" w:hAnsiTheme="minorHAnsi" w:cstheme="minorHAnsi"/>
                <w:b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Cs w:val="20"/>
                <w:lang w:val="en-US"/>
              </w:rPr>
              <w:t>3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t>–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t>Специальные соглашения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AEABDDB" w14:textId="317621DD" w:rsidR="00D46FBC" w:rsidRDefault="00D46FBC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73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13</w:t>
            </w:r>
            <w:r w:rsidRPr="003906B9">
              <w:t>.1</w:t>
            </w:r>
            <w:r w:rsidRPr="003906B9">
              <w:tab/>
            </w:r>
            <w:r w:rsidRPr="003906B9">
              <w:rPr>
                <w:i/>
                <w:iCs/>
              </w:rPr>
              <w:t>a)</w:t>
            </w:r>
            <w:r w:rsidRPr="003906B9">
              <w:tab/>
              <w:t xml:space="preserve">В соответствии со Статьей 42 Устава могут быть заключены специальные соглашения по вопросам электросвязи, которые не касаются Государств-Членов в целом. В зависимости от национального законодательства Государства-Члены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Государствами-Членами и уполномоченными эксплуатационными организациями, </w:t>
            </w:r>
            <w:r w:rsidRPr="003906B9">
              <w:lastRenderedPageBreak/>
              <w:t>либо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услуг международной электросвязи с целью удовлетворения особых потребностей в международной электросвязи на территориях или между территориями заинтересованных Государств-Членов; эти соглашения могут включать, если необходимо, финансовые, технические или эксплуатационные условия, которые следует соблюдать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A8243C4" w14:textId="32F01C1A" w:rsidR="00D46FBC" w:rsidRDefault="00D46FBC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lastRenderedPageBreak/>
              <w:t>58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9.1</w:t>
            </w:r>
            <w:r w:rsidRPr="00AB21CA">
              <w:tab/>
            </w:r>
            <w:r w:rsidRPr="00AB21CA">
              <w:rPr>
                <w:i/>
                <w:iCs/>
              </w:rPr>
              <w:t>a)</w:t>
            </w:r>
            <w:r w:rsidRPr="00AB21CA">
              <w:tab/>
              <w:t>В соответствии со Статьей 31 Международной конвенции электросвязи (Найроби, 1982 г.) могут быть заключены специальные соглашения по вопросам электросвязи, которые не касаются большинства Членов. В зависимости от национального законодательства Члены могут разрешать администрациям</w:t>
            </w:r>
            <w:r w:rsidRPr="00AB21CA">
              <w:fldChar w:fldCharType="begin"/>
            </w:r>
            <w:r w:rsidRPr="00AB21CA">
              <w:instrText xml:space="preserve"> NOTEREF _Ref318892464 \f \h </w:instrText>
            </w:r>
            <w:r w:rsidR="00F64151">
              <w:instrText xml:space="preserve"> \* MERGEFORMAT </w:instrText>
            </w:r>
            <w:r w:rsidRPr="00AB21CA">
              <w:fldChar w:fldCharType="separate"/>
            </w:r>
            <w:r w:rsidRPr="006D5C91">
              <w:rPr>
                <w:rStyle w:val="FootnoteReference"/>
              </w:rPr>
              <w:t>*</w:t>
            </w:r>
            <w:r w:rsidRPr="00AB21CA">
              <w:fldChar w:fldCharType="end"/>
            </w:r>
            <w:r w:rsidRPr="00AB21CA">
              <w:t xml:space="preserve"> или другим организациям или лицам заключать такие специальные взаимные соглашения с Членами, администрациями</w:t>
            </w:r>
            <w:r w:rsidRPr="00AB21CA">
              <w:fldChar w:fldCharType="begin"/>
            </w:r>
            <w:r w:rsidRPr="00AB21CA">
              <w:instrText xml:space="preserve"> NOTEREF _Ref318892464 \f \h </w:instrText>
            </w:r>
            <w:r w:rsidR="00F64151">
              <w:instrText xml:space="preserve"> \* MERGEFORMAT </w:instrText>
            </w:r>
            <w:r w:rsidRPr="00AB21CA">
              <w:fldChar w:fldCharType="separate"/>
            </w:r>
            <w:r w:rsidRPr="006D5C91">
              <w:rPr>
                <w:rStyle w:val="FootnoteReference"/>
              </w:rPr>
              <w:t>*</w:t>
            </w:r>
            <w:r w:rsidRPr="00AB21CA">
              <w:fldChar w:fldCharType="end"/>
            </w:r>
            <w:r w:rsidRPr="00AB21CA">
              <w:t xml:space="preserve"> или другими </w:t>
            </w:r>
            <w:r w:rsidRPr="00AB21CA">
              <w:lastRenderedPageBreak/>
              <w:t>организациями или лицами, имеющими на это разрешение в другой стране для организации, эксплуатации и использования специальных сетей,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Членов; эти соглашения могут включать, если необходимо, финансовые, технические и эксплуатационные условия, которые следует соблюдать</w:t>
            </w:r>
            <w: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26E7B70" w14:textId="46DBC5B5" w:rsidR="00D46FBC" w:rsidRPr="009764D4" w:rsidRDefault="00D46FBC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3824B3B" w14:textId="5F4AA245" w:rsidR="00D46FBC" w:rsidRPr="00381DD7" w:rsidRDefault="00D46FBC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88D0494" w14:textId="112D619D" w:rsidR="00D46FBC" w:rsidRPr="009764D4" w:rsidRDefault="00F64151" w:rsidP="00F64151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</w:tc>
      </w:tr>
      <w:tr w:rsidR="00D46FBC" w:rsidRPr="009764D4" w14:paraId="1A2AD911" w14:textId="77777777" w:rsidTr="00A626ED">
        <w:trPr>
          <w:trHeight w:val="370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9A0AAF3" w14:textId="77777777" w:rsidR="00D46FBC" w:rsidRPr="009C2787" w:rsidRDefault="00D46FBC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3CAEEA9" w14:textId="77777777" w:rsidR="00D46FBC" w:rsidRDefault="00D46FBC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B32C70C" w14:textId="77777777" w:rsidR="00D46FBC" w:rsidRDefault="00D46FBC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057BAB8" w14:textId="56C37389" w:rsidR="00D46FBC" w:rsidRPr="00124EF0" w:rsidRDefault="00D46FBC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601B6C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В положении </w:t>
            </w:r>
            <w:r>
              <w:rPr>
                <w:rFonts w:asciiTheme="minorHAnsi" w:hAnsiTheme="minorHAnsi" w:cstheme="minorHAnsi"/>
                <w:b/>
                <w:bCs/>
                <w:i/>
                <w:szCs w:val="20"/>
              </w:rPr>
              <w:t>58</w:t>
            </w:r>
            <w:r w:rsidRPr="00601B6C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РМЭ 1988 приведена устаревшая ссылка на несуществующую в настоящее время Международную конвенцию электросвязи.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0A30CB2" w14:textId="77777777" w:rsidR="00D46FBC" w:rsidRPr="009764D4" w:rsidRDefault="00D46FBC" w:rsidP="009C2787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D46FBC" w:rsidRPr="009764D4" w14:paraId="75DA2761" w14:textId="77777777" w:rsidTr="00091A2D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0CB2F91" w14:textId="77777777" w:rsidR="00D46FBC" w:rsidRPr="009C2787" w:rsidRDefault="00D46FBC" w:rsidP="009C4BD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DECA869" w14:textId="238ECE95" w:rsidR="00D46FBC" w:rsidRDefault="00D46FBC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Style w:val="Artdef"/>
                <w:rFonts w:asciiTheme="minorHAnsi" w:hAnsiTheme="minorHAnsi" w:cstheme="minorHAnsi"/>
                <w:szCs w:val="20"/>
              </w:rPr>
              <w:t>74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13</w:t>
            </w:r>
            <w:proofErr w:type="gramEnd"/>
            <w:r w:rsidRPr="003906B9">
              <w:t>.1</w:t>
            </w:r>
            <w:r w:rsidRPr="003906B9">
              <w:tab/>
            </w:r>
            <w:r w:rsidRPr="003906B9">
              <w:rPr>
                <w:i/>
                <w:iCs/>
              </w:rPr>
              <w:t>b)</w:t>
            </w:r>
            <w:r w:rsidRPr="003906B9">
              <w:tab/>
              <w:t>Любое из таких специальных соглашений должно стремиться не причинять технический вред эксплуатации средств электросвязи третьих стран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B05C312" w14:textId="165B7929" w:rsidR="00D46FBC" w:rsidRDefault="00D46FBC" w:rsidP="009C4BD5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59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rPr>
                <w:i/>
                <w:iCs/>
              </w:rPr>
              <w:t>b)</w:t>
            </w:r>
            <w:r w:rsidRPr="00AB21CA">
              <w:tab/>
              <w:t>Ни одно из таких специальных соглашений не должно причинять технический ущерб эксплуатации средств электросвязи третьих стран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7197E5B" w14:textId="783C7888" w:rsidR="00D46FBC" w:rsidRPr="009764D4" w:rsidRDefault="00D46FBC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811236E" w14:textId="4D400CB4" w:rsidR="00D46FBC" w:rsidRPr="00381DD7" w:rsidRDefault="00D46FBC" w:rsidP="00124EF0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488F98B" w14:textId="79638019" w:rsidR="00D46FBC" w:rsidRPr="009764D4" w:rsidRDefault="00053AB9" w:rsidP="00053AB9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</w:tc>
      </w:tr>
      <w:tr w:rsidR="00D46FBC" w:rsidRPr="009764D4" w14:paraId="684B15C3" w14:textId="77777777" w:rsidTr="0020421F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7477E9FC" w14:textId="77777777" w:rsidR="00D46FBC" w:rsidRPr="009C2787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7584C81" w14:textId="4AFD6F83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75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t>13</w:t>
            </w:r>
            <w:r w:rsidRPr="003906B9">
              <w:t>.2</w:t>
            </w:r>
            <w:r w:rsidRPr="003906B9">
              <w:tab/>
              <w:t xml:space="preserve">Государствам-Членам следует, при необходимости, постоянно рекомендовать сторонам любых специальных соглашений, заключенных в соответствии с п. </w:t>
            </w:r>
            <w:r>
              <w:t>73</w:t>
            </w:r>
            <w:r w:rsidRPr="003906B9">
              <w:t xml:space="preserve"> (</w:t>
            </w:r>
            <w:r>
              <w:t>13</w:t>
            </w:r>
            <w:r w:rsidRPr="003906B9">
              <w:t>.1), выше, учитывать соответствующие положения Рекомендаций МСЭ-Т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17BB054" w14:textId="4BE93D08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>
              <w:rPr>
                <w:rStyle w:val="Artdef"/>
                <w:rFonts w:asciiTheme="minorHAnsi" w:hAnsiTheme="minorHAnsi" w:cstheme="minorHAnsi"/>
                <w:szCs w:val="20"/>
              </w:rPr>
              <w:t>60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9.2</w:t>
            </w:r>
            <w:r w:rsidRPr="00AB21CA">
              <w:tab/>
              <w:t>Члены должны поощрять, в зависимости от случая, стороны любого специального соглашения, заключенного в соответствии с № 58, учитывать соответствующие положения Рекомендаций МККТТ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1285A97" w14:textId="42E8FA0F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427FEB0" w14:textId="2D3434DA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90CE433" w14:textId="77777777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гибким.</w:t>
            </w:r>
          </w:p>
          <w:p w14:paraId="1D6289BF" w14:textId="33F37D82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bCs/>
                <w:szCs w:val="20"/>
              </w:rPr>
              <w:t xml:space="preserve">Представляется целесообразным заменить ссылку на Рекомендации МСЭ-Т, ссылкой на Рекомендации МСЭ, так </w:t>
            </w:r>
            <w:r w:rsidR="00F64151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как такие </w:t>
            </w:r>
            <w:r>
              <w:rPr>
                <w:rFonts w:asciiTheme="minorHAnsi" w:hAnsiTheme="minorHAnsi" w:cstheme="minorHAnsi"/>
                <w:bCs/>
                <w:szCs w:val="20"/>
              </w:rPr>
              <w:t>соглашения могут касаться различных систем и сетей электросвязи/</w:t>
            </w:r>
            <w:r w:rsidR="00F6415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0"/>
              </w:rPr>
              <w:t>ИКТ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6B4BC33B" w14:textId="77777777" w:rsidTr="00601B6C">
        <w:trPr>
          <w:trHeight w:val="55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6E18F5B" w14:textId="77777777" w:rsidR="00D46FBC" w:rsidRPr="009C2787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64576DF" w14:textId="77777777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1EDF033" w14:textId="77777777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A3F3DF3" w14:textId="3B551B6E" w:rsidR="00D46FBC" w:rsidRPr="00601B6C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b/>
              </w:rPr>
            </w:pPr>
            <w:r w:rsidRPr="00601B6C">
              <w:rPr>
                <w:rFonts w:asciiTheme="minorHAnsi" w:hAnsiTheme="minorHAnsi" w:cstheme="minorHAnsi"/>
                <w:b/>
                <w:bCs/>
                <w:i/>
                <w:szCs w:val="20"/>
              </w:rPr>
              <w:t>В положении 60 РМЭ 1988 приведена устаревшая ссылка на Рекомендации МККТТ.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73870CA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7E1601" w:rsidRPr="009764D4" w14:paraId="76CFCAA3" w14:textId="77777777" w:rsidTr="00BC5E3C">
        <w:trPr>
          <w:trHeight w:val="1200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1F1F3A5" w14:textId="3958360E" w:rsidR="007E1601" w:rsidRPr="009C2787" w:rsidRDefault="007E1601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СТАТЬЯ </w:t>
            </w:r>
            <w:r>
              <w:rPr>
                <w:rFonts w:asciiTheme="minorHAnsi" w:hAnsiTheme="minorHAnsi" w:cstheme="minorHAnsi"/>
                <w:b/>
                <w:szCs w:val="20"/>
              </w:rPr>
              <w:t>14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t>–</w:t>
            </w:r>
            <w:r w:rsidRPr="009C278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0"/>
              </w:rPr>
              <w:t>Заключительные положения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A1CA0F0" w14:textId="499B224E" w:rsidR="007E1601" w:rsidRDefault="007E1601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Style w:val="Artdef"/>
                <w:rFonts w:asciiTheme="minorHAnsi" w:hAnsiTheme="minorHAnsi" w:cstheme="minorHAnsi"/>
                <w:szCs w:val="20"/>
              </w:rPr>
              <w:t>76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1</w:t>
            </w:r>
            <w:r>
              <w:t>4</w:t>
            </w:r>
            <w:proofErr w:type="gramEnd"/>
            <w:r w:rsidRPr="003906B9">
              <w:t>.1</w:t>
            </w:r>
            <w:r w:rsidRPr="003906B9">
              <w:tab/>
              <w:t>Настоящий Регламент, неотъемлемой частью которого являются Дополнения 1 и 2, должен вступить в силу 1 января 2015 года и должен применяться с этой даты в соответствии со всеми положениями Статьи 54 Устава.</w:t>
            </w:r>
            <w:r w:rsidRPr="009764D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EE7CBFB" w14:textId="23077F5C" w:rsidR="007E1601" w:rsidRDefault="007E1601" w:rsidP="00D46FBC">
            <w:pPr>
              <w:pStyle w:val="Tabletext"/>
              <w:jc w:val="both"/>
            </w:pPr>
            <w:r w:rsidRPr="00124EF0">
              <w:rPr>
                <w:rStyle w:val="Artdef"/>
                <w:rFonts w:asciiTheme="minorHAnsi" w:hAnsiTheme="minorHAnsi" w:cstheme="minorHAnsi"/>
                <w:szCs w:val="20"/>
              </w:rPr>
              <w:t>61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10.1</w:t>
            </w:r>
            <w:r w:rsidRPr="00AB21CA">
              <w:tab/>
              <w:t>Настоящий Регламент, в который входят как его неотъемлемая часть Приложения 1, 2 и 3, должен вступить в силу 1 июля 1990 года в 0001 час UTC</w:t>
            </w:r>
            <w:r>
              <w:t>.</w:t>
            </w:r>
          </w:p>
          <w:p w14:paraId="7756E02B" w14:textId="7F382F15" w:rsidR="007E1601" w:rsidRDefault="007E1601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124EF0">
              <w:rPr>
                <w:rStyle w:val="Artdef"/>
                <w:rFonts w:asciiTheme="minorHAnsi" w:hAnsiTheme="minorHAnsi" w:cstheme="minorHAnsi"/>
                <w:szCs w:val="20"/>
              </w:rPr>
              <w:t>62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10</w:t>
            </w:r>
            <w:proofErr w:type="gramEnd"/>
            <w:r w:rsidRPr="00AB21CA">
              <w:t>.2</w:t>
            </w:r>
            <w:r w:rsidRPr="00AB21CA">
              <w:tab/>
              <w:t>К дате, указанной в № 61, Телеграфный регламент (Женева, 1973</w:t>
            </w:r>
            <w:r>
              <w:t> </w:t>
            </w:r>
            <w:r w:rsidRPr="00AB21CA">
              <w:t>г.) и Телефонный регламент (Женева, 1973 г.) будут заменены настоящим Регламентом международной электросвязи (Мельбурн, 1988</w:t>
            </w:r>
            <w:r>
              <w:t> </w:t>
            </w:r>
            <w:r w:rsidRPr="00AB21CA">
              <w:t>г.) в соответствии с Международной конвенцией электросвязи</w:t>
            </w:r>
            <w:r>
              <w:t>.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C50E78C" w14:textId="4CD914FC" w:rsidR="007E1601" w:rsidRPr="009764D4" w:rsidRDefault="007E1601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0"/>
              </w:rPr>
              <w:t>Данные положения выполнены в установленные сроки в соответствии с Уставом и Конвенцией МСЭ.</w:t>
            </w:r>
          </w:p>
        </w:tc>
      </w:tr>
      <w:tr w:rsidR="007E1601" w:rsidRPr="009764D4" w14:paraId="714B5265" w14:textId="77777777" w:rsidTr="0085213C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52D7AB8" w14:textId="77777777" w:rsidR="007E1601" w:rsidRPr="009C2787" w:rsidRDefault="007E1601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CC9C0C8" w14:textId="77777777" w:rsidR="007E1601" w:rsidRDefault="007E1601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2F58DA0" w14:textId="77777777" w:rsidR="007E1601" w:rsidRPr="00124EF0" w:rsidRDefault="007E1601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DAC72B3" w14:textId="1A598B29" w:rsidR="007E1601" w:rsidRPr="00601B6C" w:rsidRDefault="007E1601" w:rsidP="00D46FBC">
            <w:pPr>
              <w:pStyle w:val="Tabletext"/>
              <w:jc w:val="both"/>
              <w:rPr>
                <w:rFonts w:asciiTheme="minorHAnsi" w:hAnsiTheme="minorHAnsi" w:cstheme="minorHAnsi"/>
                <w:b/>
              </w:rPr>
            </w:pPr>
            <w:r w:rsidRPr="00601B6C">
              <w:rPr>
                <w:rFonts w:asciiTheme="minorHAnsi" w:hAnsiTheme="minorHAnsi" w:cstheme="minorHAnsi"/>
                <w:b/>
                <w:bCs/>
                <w:i/>
                <w:szCs w:val="20"/>
              </w:rPr>
              <w:t>В положении 62 РМЭ 1988 приведена устаревшая ссылка на несуществующую в настоящее время Международную конвенцию электросвязи.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BB8F2E7" w14:textId="77777777" w:rsidR="007E1601" w:rsidRPr="009764D4" w:rsidRDefault="007E1601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7E1601" w:rsidRPr="009764D4" w14:paraId="31A77578" w14:textId="77777777" w:rsidTr="001025AE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15987693" w14:textId="77777777" w:rsidR="007E1601" w:rsidRPr="009C2787" w:rsidRDefault="007E1601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509B32E" w14:textId="36E0A0EB" w:rsidR="007E1601" w:rsidRDefault="007E1601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Style w:val="Artdef"/>
                <w:rFonts w:asciiTheme="minorHAnsi" w:hAnsiTheme="minorHAnsi" w:cstheme="minorHAnsi"/>
                <w:szCs w:val="20"/>
              </w:rPr>
              <w:t>77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1</w:t>
            </w:r>
            <w:r>
              <w:t>4</w:t>
            </w:r>
            <w:proofErr w:type="gramEnd"/>
            <w:r w:rsidRPr="003906B9">
              <w:t>.2</w:t>
            </w:r>
            <w:r w:rsidRPr="003906B9">
              <w:tab/>
              <w:t>Если какое-либо Государство-Член сделает оговорки в отношении применения одного или нескольких положений настоящего Регламента, другие Государства-Члены могут не соблюдать это положение или эти положения в своих отношениях с Государством-Членом, которое сделало такие оговорки.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4095E9A" w14:textId="02603995" w:rsidR="007E1601" w:rsidRDefault="007E1601" w:rsidP="00D46FBC">
            <w:pPr>
              <w:pStyle w:val="Tabletext"/>
              <w:jc w:val="both"/>
            </w:pPr>
            <w:r w:rsidRPr="00124EF0">
              <w:rPr>
                <w:rStyle w:val="Artdef"/>
                <w:rFonts w:asciiTheme="minorHAnsi" w:hAnsiTheme="minorHAnsi" w:cstheme="minorHAnsi"/>
                <w:szCs w:val="20"/>
              </w:rPr>
              <w:t>63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10.3</w:t>
            </w:r>
            <w:r w:rsidRPr="00AB21CA">
              <w:tab/>
              <w:t>Если какой-либо Член сделает оговорки в отношении применения одного или нескольких положений настоящего Регламента, другие Члены и их администрации</w:t>
            </w:r>
            <w:r w:rsidRPr="00AB21CA">
              <w:fldChar w:fldCharType="begin"/>
            </w:r>
            <w:r w:rsidRPr="00AB21CA">
              <w:instrText xml:space="preserve"> NOTEREF _Ref318892464 \f \h </w:instrText>
            </w:r>
            <w:r>
              <w:instrText xml:space="preserve"> \* MERGEFORMAT </w:instrText>
            </w:r>
            <w:r w:rsidRPr="00AB21CA">
              <w:fldChar w:fldCharType="separate"/>
            </w:r>
            <w:r w:rsidRPr="006D5C91">
              <w:rPr>
                <w:rStyle w:val="FootnoteReference"/>
              </w:rPr>
              <w:t>*</w:t>
            </w:r>
            <w:r w:rsidRPr="00AB21CA">
              <w:fldChar w:fldCharType="end"/>
            </w:r>
            <w:r w:rsidRPr="00AB21CA">
              <w:t xml:space="preserve"> не обязаны соблюдать это или эти положения в своих отношениях с Членом, который сделал такие оговорки, и с его администрациями</w:t>
            </w:r>
            <w:r w:rsidRPr="00AB21CA">
              <w:fldChar w:fldCharType="begin"/>
            </w:r>
            <w:r w:rsidRPr="00AB21CA">
              <w:instrText xml:space="preserve"> NOTEREF _Ref318892464 \f \h </w:instrText>
            </w:r>
            <w:r>
              <w:instrText xml:space="preserve"> \* MERGEFORMAT </w:instrText>
            </w:r>
            <w:r w:rsidRPr="00AB21CA">
              <w:fldChar w:fldCharType="separate"/>
            </w:r>
            <w:r w:rsidRPr="006D5C91">
              <w:rPr>
                <w:rStyle w:val="FootnoteReference"/>
              </w:rPr>
              <w:t>*</w:t>
            </w:r>
            <w:r w:rsidRPr="00AB21CA">
              <w:fldChar w:fldCharType="end"/>
            </w:r>
            <w:r w:rsidRPr="00AB21CA">
              <w:t>.</w:t>
            </w:r>
          </w:p>
          <w:p w14:paraId="302BB405" w14:textId="4798CA20" w:rsidR="007E1601" w:rsidRPr="00124EF0" w:rsidRDefault="007E1601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124EF0">
              <w:rPr>
                <w:rStyle w:val="Artdef"/>
                <w:rFonts w:asciiTheme="minorHAnsi" w:hAnsiTheme="minorHAnsi" w:cstheme="minorHAnsi"/>
                <w:szCs w:val="20"/>
              </w:rPr>
              <w:t>64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AB21CA">
              <w:t>10.4</w:t>
            </w:r>
            <w:r w:rsidRPr="00AB21CA">
              <w:tab/>
              <w:t xml:space="preserve">Члены Союза должны информировать Генерального секретаря о своем одобрении </w:t>
            </w:r>
            <w:r w:rsidRPr="00AB21CA">
              <w:lastRenderedPageBreak/>
              <w:t>Регламента международной электросвязи, принятого на Конференции. Генеральный секретарь обязан незамедлительно информировать Членов о получении таких заявлений об одобрении</w:t>
            </w:r>
            <w:r w:rsidRPr="00124EF0">
              <w:t>.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4D3EFE8" w14:textId="77E8B456" w:rsidR="007E1601" w:rsidRPr="009764D4" w:rsidRDefault="007E1601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0"/>
              </w:rPr>
              <w:lastRenderedPageBreak/>
              <w:t>Данные положения выполнены в соответствии с Уставом и Конвенцией МСЭ.</w:t>
            </w:r>
          </w:p>
        </w:tc>
      </w:tr>
      <w:tr w:rsidR="00D46FBC" w:rsidRPr="009764D4" w14:paraId="19FA2F01" w14:textId="77777777" w:rsidTr="00A11537">
        <w:trPr>
          <w:trHeight w:val="579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78807B37" w14:textId="1A36DE89" w:rsidR="00D46FBC" w:rsidRPr="008F63A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8F63AC">
              <w:rPr>
                <w:rFonts w:asciiTheme="minorHAnsi" w:hAnsiTheme="minorHAnsi" w:cstheme="minorHAnsi"/>
                <w:b/>
                <w:szCs w:val="20"/>
              </w:rPr>
              <w:t xml:space="preserve">ДОПОЛНЕНИЕ 2 – </w:t>
            </w:r>
            <w:bookmarkStart w:id="11" w:name="_Toc351752260"/>
            <w:bookmarkStart w:id="12" w:name="_Toc351752831"/>
            <w:r w:rsidRPr="008F63AC">
              <w:rPr>
                <w:b/>
              </w:rPr>
              <w:t>Дополнительные положения,</w:t>
            </w:r>
            <w:r>
              <w:rPr>
                <w:b/>
              </w:rPr>
              <w:t xml:space="preserve"> </w:t>
            </w:r>
            <w:r w:rsidRPr="008F63AC">
              <w:rPr>
                <w:b/>
              </w:rPr>
              <w:t>относящиеся к морской электросвязи</w:t>
            </w:r>
            <w:bookmarkEnd w:id="11"/>
            <w:bookmarkEnd w:id="12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724A502" w14:textId="1515BC3F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2.1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8F63AC">
              <w:rPr>
                <w:rStyle w:val="Heading1Char"/>
                <w:rFonts w:asciiTheme="minorHAnsi" w:hAnsiTheme="minorHAnsi" w:cstheme="minorHAnsi"/>
                <w:sz w:val="22"/>
              </w:rPr>
              <w:t>1</w:t>
            </w:r>
            <w:r w:rsidRPr="008F63AC">
              <w:rPr>
                <w:rStyle w:val="Heading1Char"/>
                <w:rFonts w:asciiTheme="minorHAnsi" w:hAnsiTheme="minorHAnsi" w:cstheme="minorHAnsi"/>
                <w:sz w:val="22"/>
              </w:rPr>
              <w:tab/>
              <w:t>Общие положения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3DB1F82" w14:textId="5DDB5F1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85499A3" w14:textId="77777777" w:rsidR="00D46FBC" w:rsidRPr="00381DD7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096F321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D46FBC" w:rsidRPr="009764D4" w14:paraId="6B6D74FA" w14:textId="77777777" w:rsidTr="00EF725E">
        <w:trPr>
          <w:trHeight w:val="12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76CC46B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2B80E51" w14:textId="632D88E8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2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8F63AC">
              <w:rPr>
                <w:sz w:val="22"/>
              </w:rPr>
              <w:tab/>
            </w:r>
            <w:r>
              <w:t>1.1</w:t>
            </w:r>
            <w:r>
              <w:tab/>
            </w:r>
            <w:r w:rsidRPr="003906B9">
              <w:t>Положения, содержащиеся в Статье </w:t>
            </w:r>
            <w:r w:rsidRPr="00463312">
              <w:t>8</w:t>
            </w:r>
            <w:r w:rsidRPr="003906B9">
              <w:t xml:space="preserve"> и в Дополнении 1, с учетом соответствующих Рекомендаций МСЭ-Т, должны применяться также к морской электросвязи при выставлении и оплате счетов в соответствии с настоящим Дополнением в той мере, в которой приведенными ниже положениями не предусматривается иное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A0A2446" w14:textId="44983F8D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AB21CA">
              <w:rPr>
                <w:rStyle w:val="Artdef"/>
              </w:rPr>
              <w:t>2</w:t>
            </w:r>
            <w:r>
              <w:rPr>
                <w:rStyle w:val="Artdef"/>
              </w:rPr>
              <w:t>.</w:t>
            </w:r>
            <w:r w:rsidRPr="00AB21CA">
              <w:rPr>
                <w:rStyle w:val="Artdef"/>
              </w:rPr>
              <w:t>2</w:t>
            </w:r>
            <w:r>
              <w:rPr>
                <w:rStyle w:val="Artdef"/>
              </w:rPr>
              <w:t>  </w:t>
            </w:r>
            <w:r w:rsidRPr="00AB21CA">
              <w:t>Положения</w:t>
            </w:r>
            <w:proofErr w:type="gramEnd"/>
            <w:r w:rsidRPr="00AB21CA">
              <w:t>, содержащиеся в Статье 6 и в Приложении 1, с учетом соответствующих Рекомендаций МККТТ применяются также к морской электросвязи, имея в виду, что приведенные ниже положения не дают других указаний.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21E6C06" w14:textId="6565FF90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422C671" w14:textId="2614BEF6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523D9F6" w14:textId="2720E422" w:rsidR="00D46FBC" w:rsidRPr="00D46FBC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szCs w:val="20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3B65DF56" w14:textId="77777777" w:rsidTr="00601B6C">
        <w:trPr>
          <w:trHeight w:val="9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7C5EC7DA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B25F413" w14:textId="77777777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A115CBC" w14:textId="77777777" w:rsidR="00D46FBC" w:rsidRPr="00AB21CA" w:rsidRDefault="00D46FBC" w:rsidP="00D46FBC">
            <w:pPr>
              <w:pStyle w:val="Tabletext"/>
              <w:jc w:val="both"/>
              <w:rPr>
                <w:rStyle w:val="Artdef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E3F054F" w14:textId="46D804EA" w:rsidR="00D46FBC" w:rsidRPr="00601B6C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b/>
              </w:rPr>
            </w:pPr>
            <w:r w:rsidRPr="00601B6C">
              <w:rPr>
                <w:rFonts w:asciiTheme="minorHAnsi" w:hAnsiTheme="minorHAnsi" w:cstheme="minorHAnsi"/>
                <w:b/>
                <w:bCs/>
                <w:i/>
                <w:szCs w:val="20"/>
              </w:rPr>
              <w:t>В положении 2.2 РМЭ 1988 приведена устаревшая ссылка на Рекомендации МККТТ.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2BB6D89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D46FBC" w:rsidRPr="009764D4" w14:paraId="6458E095" w14:textId="77777777" w:rsidTr="00076B9E">
        <w:trPr>
          <w:trHeight w:val="43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6F8EFC96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426870D" w14:textId="52405C83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3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8F63AC">
              <w:rPr>
                <w:sz w:val="22"/>
              </w:rPr>
              <w:tab/>
            </w:r>
            <w:r w:rsidRPr="008F63AC">
              <w:rPr>
                <w:rStyle w:val="Heading1Char"/>
                <w:rFonts w:asciiTheme="minorHAnsi" w:hAnsiTheme="minorHAnsi" w:cstheme="minorHAnsi"/>
                <w:sz w:val="22"/>
              </w:rPr>
              <w:t>1</w:t>
            </w:r>
            <w:r w:rsidRPr="008F63AC">
              <w:rPr>
                <w:rStyle w:val="Heading1Char"/>
                <w:rFonts w:asciiTheme="minorHAnsi" w:hAnsiTheme="minorHAnsi" w:cstheme="minorHAnsi"/>
                <w:sz w:val="22"/>
              </w:rPr>
              <w:tab/>
            </w:r>
            <w:r>
              <w:rPr>
                <w:rStyle w:val="Heading1Char"/>
                <w:rFonts w:asciiTheme="minorHAnsi" w:hAnsiTheme="minorHAnsi" w:cstheme="minorHAnsi"/>
                <w:sz w:val="22"/>
                <w:lang w:val="ru-RU"/>
              </w:rPr>
              <w:t>Расчётная организация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517E307" w14:textId="43D85901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06D4D32" w14:textId="77777777" w:rsidR="00D46FBC" w:rsidRPr="00381DD7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C376636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D46FBC" w:rsidRPr="009764D4" w14:paraId="3A6599BC" w14:textId="77777777" w:rsidTr="008F63AC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9C1E930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F1BA376" w14:textId="757AB1E0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4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8F63AC">
              <w:rPr>
                <w:sz w:val="22"/>
              </w:rPr>
              <w:tab/>
            </w:r>
            <w:proofErr w:type="gramEnd"/>
            <w:r w:rsidRPr="003906B9">
              <w:t>2.1</w:t>
            </w:r>
            <w:r w:rsidRPr="003906B9">
              <w:tab/>
              <w:t>Платы за морскую электросвязь в морской подвижной и морской подвижной спутниковой службах должны, в принципе и в соответствии с национальным законодательством и действующей практикой, взиматься с обладателя лицензии на морскую подвижную станцию: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25ADB94" w14:textId="391EB949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4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8F63AC">
              <w:rPr>
                <w:sz w:val="22"/>
              </w:rPr>
              <w:tab/>
            </w:r>
            <w:proofErr w:type="gramEnd"/>
            <w:r w:rsidRPr="003906B9">
              <w:t>2.1</w:t>
            </w:r>
            <w:r w:rsidRPr="003906B9">
              <w:tab/>
            </w:r>
            <w:r w:rsidRPr="00AB21CA">
              <w:t>Таксы за морскую электросвязь в морской подвижной и морской подвижной спутниковой службах должны, в принципе и в соответствии с национальным законодательством и действующей практикой, взиматься с обладателя лицензии на морскую подвижную станцию: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2A6A451" w14:textId="42D881F2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DFA9250" w14:textId="04EEB38B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0CBED90" w14:textId="4A66DB01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10F60CAF" w14:textId="77777777" w:rsidTr="008F63AC">
        <w:trPr>
          <w:trHeight w:val="48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68B7807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F884643" w14:textId="17CE76AC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5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rPr>
                <w:i/>
                <w:iCs/>
              </w:rPr>
              <w:t>a)</w:t>
            </w:r>
            <w:r w:rsidRPr="003906B9">
              <w:tab/>
              <w:t>администрацией, выдавшей эту лицензию; или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9FC4824" w14:textId="5E3EB2D4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5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rPr>
                <w:i/>
                <w:iCs/>
              </w:rPr>
              <w:t>a)</w:t>
            </w:r>
            <w:r w:rsidRPr="003906B9">
              <w:tab/>
              <w:t>администрацией, выдавшей эту лицензию;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E6851B5" w14:textId="06FDFCC8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 xml:space="preserve">Положение применимо для содействия </w:t>
            </w: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>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3139BA5" w14:textId="546A9C9C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 xml:space="preserve">Положение обеспечивает гибкость </w:t>
            </w: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>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246CB68" w14:textId="66EC8157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lastRenderedPageBreak/>
              <w:t xml:space="preserve">Положение не требует изменений, поскольку </w:t>
            </w:r>
            <w:r w:rsidRPr="009764D4">
              <w:rPr>
                <w:rFonts w:asciiTheme="minorHAnsi" w:hAnsiTheme="minorHAnsi" w:cstheme="minorHAnsi"/>
                <w:szCs w:val="20"/>
              </w:rPr>
              <w:lastRenderedPageBreak/>
              <w:t>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3A2E14A3" w14:textId="77777777" w:rsidTr="008F63AC">
        <w:trPr>
          <w:trHeight w:val="75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442A82B4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DE4FB66" w14:textId="66AB570F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6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rPr>
                <w:i/>
                <w:iCs/>
              </w:rPr>
              <w:t>b)</w:t>
            </w:r>
            <w:r w:rsidRPr="003906B9">
              <w:tab/>
              <w:t>уполномоченной эксплуатационной организацией; или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48D40E3" w14:textId="6AF6700B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6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rPr>
                <w:i/>
                <w:iCs/>
              </w:rPr>
              <w:t>b)</w:t>
            </w:r>
            <w:r w:rsidRPr="003906B9">
              <w:tab/>
            </w:r>
            <w:r w:rsidRPr="00AB21CA">
              <w:t>признанной частной эксплуатационной организацией;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9FF0D38" w14:textId="58D72C4B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8AB057E" w14:textId="1906E098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3FE9F31" w14:textId="1A2AC77E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45C9EDB7" w14:textId="77777777" w:rsidTr="008F63AC">
        <w:trPr>
          <w:trHeight w:val="102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7237EBA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7C1851A" w14:textId="5637CB97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7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rPr>
                <w:i/>
                <w:iCs/>
              </w:rPr>
              <w:t>c)</w:t>
            </w:r>
            <w:r w:rsidRPr="003906B9">
              <w:tab/>
              <w:t>любой другой организацией или организациями, назначенными для этой цели администрацией, указанной выше в п.</w:t>
            </w:r>
            <w:r>
              <w:t> 2/5 (2.1 </w:t>
            </w:r>
            <w:r w:rsidRPr="003906B9">
              <w:rPr>
                <w:i/>
                <w:iCs/>
              </w:rPr>
              <w:t>а)</w:t>
            </w:r>
            <w:r w:rsidRPr="00BB1EE3">
              <w:t>)</w:t>
            </w:r>
            <w:r w:rsidRPr="003906B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61C26FE" w14:textId="63503E77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7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rPr>
                <w:i/>
                <w:iCs/>
              </w:rPr>
              <w:t>c)</w:t>
            </w:r>
            <w:r w:rsidRPr="003906B9">
              <w:tab/>
            </w:r>
            <w:r w:rsidRPr="00AB21CA">
              <w:t xml:space="preserve">любой другой организацией или организациями, назначенными для этой цели администрацией, указанной выше в п. </w:t>
            </w:r>
            <w:r w:rsidRPr="00AB21CA">
              <w:rPr>
                <w:i/>
                <w:iCs/>
              </w:rPr>
              <w:t>а)</w:t>
            </w:r>
            <w:r w:rsidRPr="00AB21CA"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1108B03" w14:textId="51CB1675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2B1900F" w14:textId="37E2EB7B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0F08278" w14:textId="7633DAED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0CCFA19D" w14:textId="77777777" w:rsidTr="008F63AC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1D9927D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2D5731F" w14:textId="5B10CBAA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8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2</w:t>
            </w:r>
            <w:proofErr w:type="gramEnd"/>
            <w:r w:rsidRPr="003906B9">
              <w:t>.2</w:t>
            </w:r>
            <w:r w:rsidRPr="003906B9">
              <w:tab/>
              <w:t>В настоящем Дополнении администрация или уполномоченная эксплуатационная организация, или назначенная для этой цели организация или организации, перечисленные в п. 2.1, выше, называются "расчетная организация".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1AE1819" w14:textId="50E28B8D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8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2</w:t>
            </w:r>
            <w:proofErr w:type="gramEnd"/>
            <w:r w:rsidRPr="003906B9">
              <w:t>.2</w:t>
            </w:r>
            <w:r w:rsidRPr="003906B9">
              <w:tab/>
            </w:r>
            <w:r w:rsidRPr="00AB21CA">
              <w:t>В настоящем Приложении администрация или признанная частная эксплуатационная организация, или назначенная для этой цели организация или организации, перечисленные в п. 2.1, называются "расчетная организация".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EDF4B87" w14:textId="77295ED7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76148B8" w14:textId="1770935F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A2F8A0A" w14:textId="3E62B21B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0916EA5D" w14:textId="77777777" w:rsidTr="008F63AC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49BA7731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17B6A9F" w14:textId="205019CD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9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2</w:t>
            </w:r>
            <w:proofErr w:type="gramEnd"/>
            <w:r w:rsidRPr="003906B9">
              <w:t>.3</w:t>
            </w:r>
            <w:r w:rsidRPr="003906B9">
              <w:tab/>
              <w:t xml:space="preserve">При применении положений Статьи </w:t>
            </w:r>
            <w:r w:rsidRPr="001D768F">
              <w:t>8</w:t>
            </w:r>
            <w:r w:rsidRPr="003906B9">
              <w:t xml:space="preserve"> и Дополнения 1 для морской электросвязи вместо уполномоченной эксплуатационной организации, указанной в Статье 6 и Дополнении 1, следует читать "расчетная организация".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6B604BE" w14:textId="02E6B518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9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2.3</w:t>
            </w:r>
            <w:r w:rsidRPr="003906B9">
              <w:tab/>
            </w:r>
            <w:r w:rsidRPr="00AB21CA">
              <w:t>При применении положений Статьи 6 и Приложения 1 для морской электросвязи вместо администрации</w:t>
            </w:r>
            <w:r w:rsidRPr="00AB21CA">
              <w:fldChar w:fldCharType="begin"/>
            </w:r>
            <w:r w:rsidRPr="00AB21CA">
              <w:instrText xml:space="preserve"> NOTEREF _Ref318892464 \f \h </w:instrText>
            </w:r>
            <w:r>
              <w:instrText xml:space="preserve"> \* MERGEFORMAT </w:instrText>
            </w:r>
            <w:r w:rsidRPr="00AB21CA">
              <w:fldChar w:fldCharType="separate"/>
            </w:r>
            <w:r w:rsidRPr="006D5C91">
              <w:rPr>
                <w:rStyle w:val="FootnoteReference"/>
              </w:rPr>
              <w:t>*</w:t>
            </w:r>
            <w:r w:rsidRPr="00AB21CA">
              <w:fldChar w:fldCharType="end"/>
            </w:r>
            <w:r w:rsidRPr="00AB21CA">
              <w:t>, указанной в Статье 6 и Приложении 1, следует читать "расчетная организация".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FE0C297" w14:textId="0928643B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C960553" w14:textId="54D25424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25745A1" w14:textId="6B5780F6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31A1D7D3" w14:textId="77777777" w:rsidTr="00EF750A">
        <w:trPr>
          <w:trHeight w:val="1748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5061D121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3A0CD35" w14:textId="509A3728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10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2.4</w:t>
            </w:r>
            <w:r w:rsidRPr="003906B9">
              <w:tab/>
              <w:t>Для реализации настоящего Дополнения Государства-Члены должны назначить свою соответствующую расчетную организацию или расчетные организации и сообщить Генеральному секретарю МСЭ их название, опознавательный код и адрес для включения в Список судовых станций и присвоения опознавателей морской подвижной службы. Число таких названий и адресов должно быть ограничено с учетом соответствующих Рекомендаций МСЭ-Т.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AED4B82" w14:textId="75FE056D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10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2.4</w:t>
            </w:r>
            <w:r w:rsidRPr="003906B9">
              <w:tab/>
            </w:r>
            <w:r w:rsidRPr="00AB21CA">
              <w:t>2.4</w:t>
            </w:r>
            <w:r w:rsidRPr="00AB21CA">
              <w:tab/>
              <w:t>Для реализации настоящего Приложения Члены должны сообщить Генеральному секретарю МСЭ название своей расчетной организации или организаций, опознавательный код и адрес для их включения в "Список судовых станций"; с учетом соответствующих Рекомендаций МККТТ число таких названий и адресов должно быть ограничено</w:t>
            </w:r>
            <w:r w:rsidRPr="003906B9"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C76B196" w14:textId="6D99E44D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087AEE4" w14:textId="23F2BE80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04D5426" w14:textId="16FB3E54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2940CB9E" w14:textId="77777777" w:rsidTr="00770835">
        <w:trPr>
          <w:trHeight w:val="174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522F621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948F980" w14:textId="77777777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F986F1A" w14:textId="77777777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7BE99F4" w14:textId="298F06A7" w:rsidR="00D46FBC" w:rsidRPr="00601B6C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  <w:b/>
              </w:rPr>
            </w:pPr>
            <w:r w:rsidRPr="00601B6C">
              <w:rPr>
                <w:rFonts w:asciiTheme="minorHAnsi" w:hAnsiTheme="minorHAnsi" w:cstheme="minorHAnsi"/>
                <w:b/>
                <w:bCs/>
                <w:i/>
                <w:szCs w:val="20"/>
              </w:rPr>
              <w:t>В положении 2.10 РМЭ 1988 приведена устаревшая ссылка на Рекомендации МККТТ.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6251FC7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D46FBC" w:rsidRPr="009764D4" w14:paraId="231E560F" w14:textId="77777777" w:rsidTr="00632B65">
        <w:trPr>
          <w:trHeight w:val="30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7C360D5B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883AD94" w14:textId="0DAFAF55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</w:t>
            </w: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1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rPr>
                <w:rStyle w:val="Heading1Char"/>
                <w:rFonts w:asciiTheme="minorHAnsi" w:hAnsiTheme="minorHAnsi" w:cstheme="minorHAnsi"/>
                <w:sz w:val="22"/>
                <w:lang w:val="ru-RU"/>
              </w:rPr>
              <w:t>3</w:t>
            </w:r>
            <w:r>
              <w:rPr>
                <w:rStyle w:val="Heading1Char"/>
                <w:rFonts w:asciiTheme="minorHAnsi" w:hAnsiTheme="minorHAnsi" w:cstheme="minorHAnsi"/>
                <w:sz w:val="22"/>
                <w:lang w:val="ru-RU"/>
              </w:rPr>
              <w:tab/>
            </w:r>
            <w:r>
              <w:rPr>
                <w:rStyle w:val="Heading1Char"/>
                <w:rFonts w:asciiTheme="minorHAnsi" w:hAnsiTheme="minorHAnsi" w:cstheme="minorHAnsi"/>
                <w:sz w:val="22"/>
                <w:lang w:val="ru-RU"/>
              </w:rPr>
              <w:tab/>
              <w:t>Выставление счетов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EA6AB2E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B01E831" w14:textId="77777777" w:rsidR="00D46FBC" w:rsidRPr="00381DD7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3356988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D46FBC" w:rsidRPr="009764D4" w14:paraId="6935AD14" w14:textId="77777777" w:rsidTr="008F63AC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714DA607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AE75F8A" w14:textId="4CE5CD87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12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3</w:t>
            </w:r>
            <w:proofErr w:type="gramEnd"/>
            <w:r w:rsidRPr="003906B9">
              <w:t>.1</w:t>
            </w:r>
            <w:r w:rsidRPr="003906B9">
              <w:tab/>
              <w:t>В принципе, счет должен считаться акцептированным без необходимости особого об этом уведомления направившего его поставщика услуг.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9491ADC" w14:textId="196EC507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12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3</w:t>
            </w:r>
            <w:proofErr w:type="gramEnd"/>
            <w:r w:rsidRPr="003906B9">
              <w:t>.1</w:t>
            </w:r>
            <w:r w:rsidRPr="003906B9">
              <w:tab/>
            </w:r>
            <w:r w:rsidRPr="00AB21CA">
              <w:t>Как правило, счет считается акцептированным без особого об этом уведомления направившей его расчетной организации.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49828B5" w14:textId="43DBEC7E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C5EB034" w14:textId="3282EAAD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79A6587" w14:textId="3F92D1CA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27B324F0" w14:textId="77777777" w:rsidTr="008F63AC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29287145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F8E325F" w14:textId="3116A210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13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3</w:t>
            </w:r>
            <w:proofErr w:type="gramEnd"/>
            <w:r w:rsidRPr="003906B9">
              <w:t>.2</w:t>
            </w:r>
            <w:r w:rsidRPr="003906B9">
              <w:tab/>
              <w:t>Однако любая расчетная организация имеет право опротестовать данные счета в течение шести календарных месяцев с даты отправки этого счета, даже если счет уже был оплачен.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D2F12DE" w14:textId="48C03224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13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3</w:t>
            </w:r>
            <w:proofErr w:type="gramEnd"/>
            <w:r w:rsidRPr="003906B9">
              <w:t>.2</w:t>
            </w:r>
            <w:r w:rsidRPr="003906B9">
              <w:tab/>
            </w:r>
            <w:r w:rsidRPr="00AB21CA">
              <w:t>Однако любая расчетная организация имеет право опротестовать данные счета в течение шести календарных месяцев с даты отправки этого счета.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1F3BCDD" w14:textId="670C7044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EA171E8" w14:textId="6371AED6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29BA26F" w14:textId="7E8711D7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15F10A8A" w14:textId="77777777" w:rsidTr="00425A74">
        <w:trPr>
          <w:trHeight w:val="41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59B9EFEB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BFBA9B1" w14:textId="6740945E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14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>
              <w:rPr>
                <w:rStyle w:val="Heading1Char"/>
                <w:sz w:val="22"/>
                <w:lang w:val="ru-RU"/>
              </w:rPr>
              <w:t>4</w:t>
            </w:r>
            <w:r>
              <w:rPr>
                <w:rStyle w:val="Heading1Char"/>
                <w:rFonts w:asciiTheme="minorHAnsi" w:hAnsiTheme="minorHAnsi" w:cstheme="minorHAnsi"/>
                <w:sz w:val="22"/>
                <w:lang w:val="ru-RU"/>
              </w:rPr>
              <w:tab/>
            </w:r>
            <w:r>
              <w:rPr>
                <w:rStyle w:val="Heading1Char"/>
                <w:rFonts w:asciiTheme="minorHAnsi" w:hAnsiTheme="minorHAnsi" w:cstheme="minorHAnsi"/>
                <w:sz w:val="22"/>
                <w:lang w:val="ru-RU"/>
              </w:rPr>
              <w:tab/>
              <w:t>Оплата сальдо по счетам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0A9A3A5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6F7E18F" w14:textId="77777777" w:rsidR="00D46FBC" w:rsidRPr="00381DD7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E950516" w14:textId="77777777" w:rsidR="00D46FBC" w:rsidRPr="009764D4" w:rsidRDefault="00D46FBC" w:rsidP="00D46FBC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D46FBC" w:rsidRPr="009764D4" w14:paraId="440F9402" w14:textId="77777777" w:rsidTr="00D46FBC">
        <w:trPr>
          <w:trHeight w:val="48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277ACEA8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D56CD36" w14:textId="2C2844E2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15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</w:t>
            </w:r>
            <w:proofErr w:type="gramEnd"/>
            <w:r w:rsidRPr="003906B9">
              <w:t>.1</w:t>
            </w:r>
            <w:r w:rsidRPr="003906B9">
              <w:tab/>
              <w:t xml:space="preserve">Все счета за международную морскую электросвязь должны </w:t>
            </w:r>
            <w:r w:rsidRPr="003906B9">
              <w:lastRenderedPageBreak/>
              <w:t>оплачиваться расчетной организацией без промедления и, в любом случае, не позднее шести календарных месяцев с даты отправки счета, если только оплата счетов не осуществляется в соответствии с п. </w:t>
            </w:r>
            <w:r>
              <w:t>2/17 (</w:t>
            </w:r>
            <w:r w:rsidRPr="003906B9">
              <w:t>4.3</w:t>
            </w:r>
            <w:r>
              <w:t>)</w:t>
            </w:r>
            <w:r w:rsidRPr="003906B9">
              <w:t>, ниже.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60B63B6" w14:textId="02DBDF70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lastRenderedPageBreak/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15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</w:t>
            </w:r>
            <w:proofErr w:type="gramEnd"/>
            <w:r w:rsidRPr="003906B9">
              <w:t>.1</w:t>
            </w:r>
            <w:r w:rsidRPr="003906B9">
              <w:tab/>
            </w:r>
            <w:r w:rsidRPr="00AB21CA">
              <w:t xml:space="preserve">Все счета международной морской электросвязи должны </w:t>
            </w:r>
            <w:r w:rsidRPr="00AB21CA">
              <w:lastRenderedPageBreak/>
              <w:t>оплачиваться расчетной организацией без промедления и, во всяком случае, не позднее шести календарных месяцев с даты отправки счета, если только оплата по счетам не ведется в соответствии с положениями приведенного ниже п. 4.3.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DFD27D1" w14:textId="633BE061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 xml:space="preserve">Положение применимо для содействия </w:t>
            </w: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>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3ED4993" w14:textId="1B4D263B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 xml:space="preserve">Положение обеспечивает гибкость </w:t>
            </w: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>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212C85A3" w14:textId="1EC44EAF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lastRenderedPageBreak/>
              <w:t xml:space="preserve">Положение не требует изменений, поскольку </w:t>
            </w:r>
            <w:r w:rsidRPr="009764D4">
              <w:rPr>
                <w:rFonts w:asciiTheme="minorHAnsi" w:hAnsiTheme="minorHAnsi" w:cstheme="minorHAnsi"/>
                <w:szCs w:val="20"/>
              </w:rPr>
              <w:lastRenderedPageBreak/>
              <w:t>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11E7AF2F" w14:textId="77777777" w:rsidTr="00EE5E56">
        <w:trPr>
          <w:trHeight w:val="1029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2ED57EC8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F6D9C04" w14:textId="256780B9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16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</w:t>
            </w:r>
            <w:proofErr w:type="gramEnd"/>
            <w:r w:rsidRPr="003906B9">
              <w:t>.2</w:t>
            </w:r>
            <w:r w:rsidRPr="003906B9">
              <w:tab/>
              <w:t>Если счета за международную морскую электросвязь остаются неоплаченными по истечении шести календарных месяцев, то администрация, выдавшая лицензию подвижной станции, должна по запросу принять меры в рамках применимого национального законодательства для обеспечения оплаты счетов обладателем лицензии.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B072BBB" w14:textId="6B7AF466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16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4.2</w:t>
            </w:r>
            <w:r w:rsidRPr="003906B9">
              <w:tab/>
            </w:r>
            <w:r w:rsidRPr="00AB21CA">
              <w:t>Если счета международной морской электросвязи остаются неоплаченными по истечении шести календарных месяцев, то администрация, выдавшая лицензию подвижной станции,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D257C74" w14:textId="0B1BD6DD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224279C" w14:textId="79C05AC8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001071BA" w14:textId="3F54F83C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3E51F699" w14:textId="77777777" w:rsidTr="00EE5E56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5F03035C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1A4CDBF" w14:textId="61CC1597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17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</w:t>
            </w:r>
            <w:proofErr w:type="gramEnd"/>
            <w:r w:rsidRPr="003906B9">
              <w:t>.3</w:t>
            </w:r>
            <w:r w:rsidRPr="003906B9">
              <w:tab/>
              <w:t xml:space="preserve">Если период между датой отправки и датой получения счета превышает один месяц, то расчетная организация, ожидающая получения счета, должна немедленно сообщить поставщику услуг исходящей страны о том, что возможна задержка запросов по счету и оплаты. Однако эта задержка не должна превышать трех календарных месяцев в отношении оплаты или пяти календарных месяцев в отношении запросов по счету, в обоих </w:t>
            </w:r>
            <w:r w:rsidRPr="003906B9">
              <w:lastRenderedPageBreak/>
              <w:t>случаях начиная с даты получения счета.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7A75CC62" w14:textId="59C7811B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lastRenderedPageBreak/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17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</w:t>
            </w:r>
            <w:proofErr w:type="gramEnd"/>
            <w:r w:rsidRPr="003906B9">
              <w:t>.3</w:t>
            </w:r>
            <w:r w:rsidRPr="003906B9">
              <w:tab/>
            </w:r>
            <w:r w:rsidRPr="00AB21CA">
              <w:t xml:space="preserve">Если период между датой отправки и датой получения счета превышает один месяц, то расчетная организация, ожидающая получения счета, должна немедленно сообщить расчетной организации исходящей страны о том, что возможна задержка запросов и оплаты. Однако эта задержка не должна превышать трех календарных месяцев в отношении оплаты или пяти календарных </w:t>
            </w:r>
            <w:r w:rsidRPr="00AB21CA">
              <w:lastRenderedPageBreak/>
              <w:t>месяцев в отношении запросов, начиная с даты получения счета.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142ECE0E" w14:textId="460E85CC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lastRenderedPageBreak/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2A3ABB3" w14:textId="63679115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3BFEF035" w14:textId="39C3F82E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  <w:tr w:rsidR="00D46FBC" w:rsidRPr="009764D4" w14:paraId="1C2886A2" w14:textId="77777777" w:rsidTr="009C4BD5">
        <w:trPr>
          <w:trHeight w:val="120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F79A6FE" w14:textId="77777777" w:rsidR="00D46FBC" w:rsidRDefault="00D46FBC" w:rsidP="00D46FB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90812A6" w14:textId="3D2A0EC7" w:rsidR="00D46FBC" w:rsidRPr="008F63A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18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</w:t>
            </w:r>
            <w:proofErr w:type="gramEnd"/>
            <w:r w:rsidRPr="003906B9">
              <w:t>.4</w:t>
            </w:r>
            <w:r w:rsidRPr="003906B9">
              <w:tab/>
              <w:t>Дебетующая расчетная организация может отказаться от оплаты и корректировки счетов, которые представлены по истечении двенадцати календарных месяцев с даты передачи трафика, к которому относятся эти счета, если иное не предусмотрено в соответствии с национальным законодательством, в каковом случае максимальный предельный срок может составлять до восемнадцати календарных месяцев.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5C042DE" w14:textId="3CF73119" w:rsidR="00D46FBC" w:rsidRDefault="00D46FBC" w:rsidP="00D46FBC">
            <w:pPr>
              <w:pStyle w:val="Tabletext"/>
              <w:jc w:val="both"/>
              <w:rPr>
                <w:rStyle w:val="Artdef"/>
                <w:rFonts w:asciiTheme="minorHAnsi" w:hAnsiTheme="minorHAnsi" w:cstheme="minorHAnsi"/>
                <w:szCs w:val="20"/>
              </w:rPr>
            </w:pPr>
            <w:proofErr w:type="gramStart"/>
            <w:r w:rsidRPr="008F63AC">
              <w:rPr>
                <w:rStyle w:val="Artdef"/>
                <w:rFonts w:asciiTheme="minorHAnsi" w:hAnsiTheme="minorHAnsi" w:cstheme="minorHAnsi"/>
                <w:szCs w:val="20"/>
              </w:rPr>
              <w:t>2.</w:t>
            </w:r>
            <w:r>
              <w:rPr>
                <w:rStyle w:val="Artdef"/>
                <w:rFonts w:asciiTheme="minorHAnsi" w:hAnsiTheme="minorHAnsi" w:cstheme="minorHAnsi"/>
                <w:szCs w:val="20"/>
              </w:rPr>
              <w:t>18</w:t>
            </w:r>
            <w:r w:rsidRPr="009764D4">
              <w:rPr>
                <w:rStyle w:val="Artdef"/>
                <w:rFonts w:asciiTheme="minorHAnsi" w:hAnsiTheme="minorHAnsi" w:cstheme="minorHAnsi"/>
                <w:szCs w:val="20"/>
              </w:rPr>
              <w:t>  </w:t>
            </w:r>
            <w:r w:rsidRPr="003906B9">
              <w:t>4</w:t>
            </w:r>
            <w:proofErr w:type="gramEnd"/>
            <w:r w:rsidRPr="003906B9">
              <w:t>.4</w:t>
            </w:r>
            <w:r w:rsidRPr="003906B9">
              <w:tab/>
            </w:r>
            <w:r w:rsidRPr="00AB21CA">
              <w:t>Дебетующая расчетная организация может отказаться от оплаты и уточнения по счетам, которые представлены по истечении восемнадцати календарных месяцев с даты обмена, к которому относятся эти счета.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4BD23350" w14:textId="362FAEB7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применимо для содействия предоставлению и развитию сетей и услуг.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5A0756C8" w14:textId="1735B829" w:rsidR="00D46FBC" w:rsidRPr="00381DD7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124EF0">
              <w:rPr>
                <w:rFonts w:asciiTheme="minorHAnsi" w:hAnsiTheme="minorHAnsi" w:cstheme="minorHAnsi"/>
                <w:szCs w:val="20"/>
              </w:rPr>
              <w:t>Положение обеспечивает гибкость для учета новых тенденций и возникающих вопросов.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</w:tcPr>
          <w:p w14:paraId="669924E0" w14:textId="2E14C325" w:rsidR="00D46FBC" w:rsidRPr="009764D4" w:rsidRDefault="00D46FBC" w:rsidP="00D46FBC">
            <w:pPr>
              <w:pStyle w:val="Tabletext"/>
              <w:jc w:val="both"/>
              <w:rPr>
                <w:rFonts w:asciiTheme="minorHAnsi" w:hAnsiTheme="minorHAnsi" w:cstheme="minorHAnsi"/>
              </w:rPr>
            </w:pPr>
            <w:r w:rsidRPr="009764D4">
              <w:rPr>
                <w:rFonts w:asciiTheme="minorHAnsi" w:hAnsiTheme="minorHAnsi" w:cstheme="minorHAnsi"/>
                <w:szCs w:val="20"/>
              </w:rPr>
              <w:t>Положение не требует изменений, поскольку оно применимо и является гибким</w:t>
            </w:r>
            <w:r w:rsidRPr="009764D4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</w:tc>
      </w:tr>
    </w:tbl>
    <w:p w14:paraId="741DCEFA" w14:textId="369A52CB" w:rsidR="009C2787" w:rsidRDefault="009C2787" w:rsidP="009C2787">
      <w:pPr>
        <w:pStyle w:val="Tabletitle"/>
      </w:pPr>
    </w:p>
    <w:p w14:paraId="5AD2EFDC" w14:textId="77777777" w:rsidR="000F0976" w:rsidRPr="009764D4" w:rsidRDefault="000F0976" w:rsidP="001F7E4C">
      <w:pPr>
        <w:spacing w:before="720"/>
        <w:jc w:val="center"/>
        <w:rPr>
          <w:rFonts w:ascii="Times New Roman" w:hAnsi="Times New Roman"/>
          <w:sz w:val="26"/>
          <w:szCs w:val="26"/>
        </w:rPr>
      </w:pPr>
      <w:r w:rsidRPr="009764D4">
        <w:rPr>
          <w:rFonts w:ascii="Times New Roman" w:hAnsi="Times New Roman"/>
          <w:sz w:val="26"/>
          <w:szCs w:val="26"/>
        </w:rPr>
        <w:t>______________</w:t>
      </w:r>
    </w:p>
    <w:sectPr w:rsidR="000F0976" w:rsidRPr="009764D4" w:rsidSect="00AD1748">
      <w:footerReference w:type="default" r:id="rId10"/>
      <w:headerReference w:type="first" r:id="rId11"/>
      <w:footerReference w:type="first" r:id="rId12"/>
      <w:pgSz w:w="16834" w:h="11907" w:orient="landscape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181B3" w14:textId="77777777" w:rsidR="00226EE9" w:rsidRDefault="00226EE9">
      <w:r>
        <w:separator/>
      </w:r>
    </w:p>
  </w:endnote>
  <w:endnote w:type="continuationSeparator" w:id="0">
    <w:p w14:paraId="09968651" w14:textId="77777777" w:rsidR="00226EE9" w:rsidRDefault="002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B9AA" w14:textId="34DC5370" w:rsidR="00084661" w:rsidRPr="00010243" w:rsidRDefault="00084661" w:rsidP="00AC5C0C">
    <w:pPr>
      <w:spacing w:after="1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B021A" w14:textId="06059C16" w:rsidR="00084661" w:rsidRPr="00F60094" w:rsidRDefault="00084661" w:rsidP="00F60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96E9" w14:textId="5D5BE255" w:rsidR="00084661" w:rsidRPr="00F60094" w:rsidRDefault="00084661" w:rsidP="00F60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E47F9" w14:textId="77777777" w:rsidR="00226EE9" w:rsidRDefault="00226EE9">
      <w:r>
        <w:t>____________________</w:t>
      </w:r>
    </w:p>
  </w:footnote>
  <w:footnote w:type="continuationSeparator" w:id="0">
    <w:p w14:paraId="7D6EF91F" w14:textId="77777777" w:rsidR="00226EE9" w:rsidRDefault="002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DC38" w14:textId="2706E8FF" w:rsidR="00084661" w:rsidRPr="000F0976" w:rsidRDefault="00084661" w:rsidP="000F0976">
    <w:pPr>
      <w:pStyle w:val="Header"/>
    </w:pPr>
    <w:r w:rsidRPr="000F0976">
      <w:fldChar w:fldCharType="begin"/>
    </w:r>
    <w:r w:rsidRPr="000F0976">
      <w:instrText>PAGE</w:instrText>
    </w:r>
    <w:r w:rsidRPr="000F0976">
      <w:fldChar w:fldCharType="separate"/>
    </w:r>
    <w:r w:rsidR="002C6010">
      <w:rPr>
        <w:noProof/>
      </w:rPr>
      <w:t>2</w:t>
    </w:r>
    <w:r w:rsidRPr="000F0976">
      <w:fldChar w:fldCharType="end"/>
    </w:r>
  </w:p>
  <w:p w14:paraId="40EE9A3D" w14:textId="23837AAA" w:rsidR="00084661" w:rsidRPr="000F0976" w:rsidRDefault="00084661" w:rsidP="000F0976">
    <w:pPr>
      <w:pStyle w:val="Header"/>
    </w:pPr>
    <w:r w:rsidRPr="000F0976">
      <w:t>EG-ITRs-</w:t>
    </w:r>
    <w:r w:rsidR="00F60094">
      <w:rPr>
        <w:lang w:val="ru-RU"/>
      </w:rPr>
      <w:t>4</w:t>
    </w:r>
    <w:r w:rsidRPr="000F0976">
      <w:rPr>
        <w:lang w:val="ru-RU"/>
      </w:rPr>
      <w:t>/</w:t>
    </w:r>
    <w:r w:rsidR="00F60094">
      <w:rPr>
        <w:lang w:val="ru-RU"/>
      </w:rPr>
      <w:t>..</w:t>
    </w:r>
    <w:r w:rsidRPr="000F0976"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CB04" w14:textId="2E35F84A" w:rsidR="00084661" w:rsidRPr="000F0976" w:rsidRDefault="00084661" w:rsidP="000F0976">
    <w:pPr>
      <w:pStyle w:val="Header"/>
    </w:pPr>
    <w:r w:rsidRPr="000F0976">
      <w:fldChar w:fldCharType="begin"/>
    </w:r>
    <w:r w:rsidRPr="000F0976">
      <w:instrText>PAGE</w:instrText>
    </w:r>
    <w:r w:rsidRPr="000F0976">
      <w:fldChar w:fldCharType="separate"/>
    </w:r>
    <w:r w:rsidR="002C6010">
      <w:rPr>
        <w:noProof/>
      </w:rPr>
      <w:t>3</w:t>
    </w:r>
    <w:r w:rsidRPr="000F0976">
      <w:fldChar w:fldCharType="end"/>
    </w:r>
  </w:p>
  <w:p w14:paraId="0744ED14" w14:textId="43008B9A" w:rsidR="00084661" w:rsidRDefault="00084661">
    <w:pPr>
      <w:pStyle w:val="Header"/>
    </w:pPr>
    <w:r w:rsidRPr="000F0976">
      <w:t>EG-ITRs-</w:t>
    </w:r>
    <w:r w:rsidR="00AC5C0C">
      <w:rPr>
        <w:lang w:val="ru-RU"/>
      </w:rPr>
      <w:t>4</w:t>
    </w:r>
    <w:r w:rsidRPr="000F0976">
      <w:rPr>
        <w:lang w:val="ru-RU"/>
      </w:rPr>
      <w:t>/</w:t>
    </w:r>
    <w:r w:rsidR="00AC5C0C">
      <w:rPr>
        <w:lang w:val="ru-RU"/>
      </w:rPr>
      <w:t>..</w:t>
    </w:r>
    <w:r w:rsidRPr="000F0976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</w:lvl>
    <w:lvl w:ilvl="3">
      <w:start w:val="1"/>
      <w:numFmt w:val="decimal"/>
      <w:isLgl/>
      <w:lvlText w:val="%1.%2.%3.%4"/>
      <w:lvlJc w:val="left"/>
      <w:pPr>
        <w:ind w:left="11080" w:hanging="1080"/>
      </w:pPr>
    </w:lvl>
    <w:lvl w:ilvl="4">
      <w:start w:val="1"/>
      <w:numFmt w:val="decimal"/>
      <w:isLgl/>
      <w:lvlText w:val="%1.%2.%3.%4.%5"/>
      <w:lvlJc w:val="left"/>
      <w:pPr>
        <w:ind w:left="11080" w:hanging="1080"/>
      </w:pPr>
    </w:lvl>
    <w:lvl w:ilvl="5">
      <w:start w:val="1"/>
      <w:numFmt w:val="decimal"/>
      <w:isLgl/>
      <w:lvlText w:val="%1.%2.%3.%4.%5.%6"/>
      <w:lvlJc w:val="left"/>
      <w:pPr>
        <w:ind w:left="11440" w:hanging="1440"/>
      </w:pPr>
    </w:lvl>
    <w:lvl w:ilvl="6">
      <w:start w:val="1"/>
      <w:numFmt w:val="decimal"/>
      <w:isLgl/>
      <w:lvlText w:val="%1.%2.%3.%4.%5.%6.%7"/>
      <w:lvlJc w:val="left"/>
      <w:pPr>
        <w:ind w:left="11440" w:hanging="1440"/>
      </w:p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</w:lvl>
  </w:abstractNum>
  <w:abstractNum w:abstractNumId="7" w15:restartNumberingAfterBreak="0">
    <w:nsid w:val="67C37BF3"/>
    <w:multiLevelType w:val="hybridMultilevel"/>
    <w:tmpl w:val="FA1CCE8E"/>
    <w:lvl w:ilvl="0" w:tplc="0C64C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87"/>
    <w:rsid w:val="00006CD1"/>
    <w:rsid w:val="00010243"/>
    <w:rsid w:val="000151F5"/>
    <w:rsid w:val="0002183E"/>
    <w:rsid w:val="00031634"/>
    <w:rsid w:val="000434F6"/>
    <w:rsid w:val="00046A0B"/>
    <w:rsid w:val="00053AB9"/>
    <w:rsid w:val="000569B4"/>
    <w:rsid w:val="0005783B"/>
    <w:rsid w:val="00064A70"/>
    <w:rsid w:val="0007615A"/>
    <w:rsid w:val="00080E82"/>
    <w:rsid w:val="00083736"/>
    <w:rsid w:val="00084661"/>
    <w:rsid w:val="00084A24"/>
    <w:rsid w:val="00084F6F"/>
    <w:rsid w:val="00086ABA"/>
    <w:rsid w:val="00091693"/>
    <w:rsid w:val="00091A2D"/>
    <w:rsid w:val="00093862"/>
    <w:rsid w:val="000940D4"/>
    <w:rsid w:val="000943E9"/>
    <w:rsid w:val="00096DB0"/>
    <w:rsid w:val="000A52B5"/>
    <w:rsid w:val="000B3DD9"/>
    <w:rsid w:val="000C75BC"/>
    <w:rsid w:val="000E1944"/>
    <w:rsid w:val="000E1A14"/>
    <w:rsid w:val="000E568E"/>
    <w:rsid w:val="000E5831"/>
    <w:rsid w:val="000E70E2"/>
    <w:rsid w:val="000F0976"/>
    <w:rsid w:val="00115B87"/>
    <w:rsid w:val="0011647D"/>
    <w:rsid w:val="00124EF0"/>
    <w:rsid w:val="00130CBF"/>
    <w:rsid w:val="00133FDE"/>
    <w:rsid w:val="001417EA"/>
    <w:rsid w:val="00145CC1"/>
    <w:rsid w:val="0014734F"/>
    <w:rsid w:val="0015662D"/>
    <w:rsid w:val="00156BB0"/>
    <w:rsid w:val="0015710D"/>
    <w:rsid w:val="00163A32"/>
    <w:rsid w:val="0016646B"/>
    <w:rsid w:val="00175720"/>
    <w:rsid w:val="001763D1"/>
    <w:rsid w:val="00182B27"/>
    <w:rsid w:val="00192B41"/>
    <w:rsid w:val="001A3904"/>
    <w:rsid w:val="001B30FC"/>
    <w:rsid w:val="001B7B09"/>
    <w:rsid w:val="001D09E4"/>
    <w:rsid w:val="001D14A5"/>
    <w:rsid w:val="001D6774"/>
    <w:rsid w:val="001E1A10"/>
    <w:rsid w:val="001E4B93"/>
    <w:rsid w:val="001E6719"/>
    <w:rsid w:val="001F1C8B"/>
    <w:rsid w:val="001F7E4C"/>
    <w:rsid w:val="00202084"/>
    <w:rsid w:val="002051AE"/>
    <w:rsid w:val="002060AF"/>
    <w:rsid w:val="0021653A"/>
    <w:rsid w:val="00225368"/>
    <w:rsid w:val="00226EE9"/>
    <w:rsid w:val="00227FF0"/>
    <w:rsid w:val="002305AB"/>
    <w:rsid w:val="00243FDB"/>
    <w:rsid w:val="00264789"/>
    <w:rsid w:val="00266E04"/>
    <w:rsid w:val="00267644"/>
    <w:rsid w:val="00275BF5"/>
    <w:rsid w:val="002829D6"/>
    <w:rsid w:val="00287D85"/>
    <w:rsid w:val="00291EB6"/>
    <w:rsid w:val="002A53F6"/>
    <w:rsid w:val="002B5B11"/>
    <w:rsid w:val="002C5113"/>
    <w:rsid w:val="002C6010"/>
    <w:rsid w:val="002D2F57"/>
    <w:rsid w:val="002D45FD"/>
    <w:rsid w:val="002D48C5"/>
    <w:rsid w:val="002E6D2A"/>
    <w:rsid w:val="002F3AC0"/>
    <w:rsid w:val="002F45E4"/>
    <w:rsid w:val="003056A9"/>
    <w:rsid w:val="003133E9"/>
    <w:rsid w:val="00317CA0"/>
    <w:rsid w:val="00327D3A"/>
    <w:rsid w:val="00345F0B"/>
    <w:rsid w:val="00363962"/>
    <w:rsid w:val="00377CAF"/>
    <w:rsid w:val="00381DD7"/>
    <w:rsid w:val="0038585B"/>
    <w:rsid w:val="003A120E"/>
    <w:rsid w:val="003A7BC9"/>
    <w:rsid w:val="003B7E95"/>
    <w:rsid w:val="003C0AA7"/>
    <w:rsid w:val="003C11FA"/>
    <w:rsid w:val="003C37A7"/>
    <w:rsid w:val="003E0FCF"/>
    <w:rsid w:val="003E635E"/>
    <w:rsid w:val="003F099E"/>
    <w:rsid w:val="003F235E"/>
    <w:rsid w:val="003F2F6A"/>
    <w:rsid w:val="004023E0"/>
    <w:rsid w:val="00403DD8"/>
    <w:rsid w:val="00404824"/>
    <w:rsid w:val="00404BD8"/>
    <w:rsid w:val="00415B49"/>
    <w:rsid w:val="00424D4D"/>
    <w:rsid w:val="004460E6"/>
    <w:rsid w:val="00450785"/>
    <w:rsid w:val="004559E5"/>
    <w:rsid w:val="0045686C"/>
    <w:rsid w:val="00465751"/>
    <w:rsid w:val="004757CC"/>
    <w:rsid w:val="004918C4"/>
    <w:rsid w:val="00492373"/>
    <w:rsid w:val="0049304E"/>
    <w:rsid w:val="004A0374"/>
    <w:rsid w:val="004A14FE"/>
    <w:rsid w:val="004A3AB9"/>
    <w:rsid w:val="004A45B5"/>
    <w:rsid w:val="004A519B"/>
    <w:rsid w:val="004A683C"/>
    <w:rsid w:val="004B3433"/>
    <w:rsid w:val="004C0C4C"/>
    <w:rsid w:val="004C4F70"/>
    <w:rsid w:val="004D0129"/>
    <w:rsid w:val="004D7B32"/>
    <w:rsid w:val="004E23D9"/>
    <w:rsid w:val="004E3442"/>
    <w:rsid w:val="004F3481"/>
    <w:rsid w:val="004F661B"/>
    <w:rsid w:val="005239E8"/>
    <w:rsid w:val="00526126"/>
    <w:rsid w:val="0053110F"/>
    <w:rsid w:val="00543228"/>
    <w:rsid w:val="00543507"/>
    <w:rsid w:val="00545A4F"/>
    <w:rsid w:val="00553150"/>
    <w:rsid w:val="00556F23"/>
    <w:rsid w:val="005719D5"/>
    <w:rsid w:val="00587C60"/>
    <w:rsid w:val="00591200"/>
    <w:rsid w:val="005978D2"/>
    <w:rsid w:val="005A64D5"/>
    <w:rsid w:val="005C478E"/>
    <w:rsid w:val="005E02D0"/>
    <w:rsid w:val="005E1DC9"/>
    <w:rsid w:val="005E2488"/>
    <w:rsid w:val="005E2FC4"/>
    <w:rsid w:val="005E67E6"/>
    <w:rsid w:val="005F20AE"/>
    <w:rsid w:val="005F66A8"/>
    <w:rsid w:val="00600C5A"/>
    <w:rsid w:val="00601994"/>
    <w:rsid w:val="00601B6C"/>
    <w:rsid w:val="00610DEB"/>
    <w:rsid w:val="00611EC5"/>
    <w:rsid w:val="006154B6"/>
    <w:rsid w:val="00630C4E"/>
    <w:rsid w:val="00631E16"/>
    <w:rsid w:val="00653178"/>
    <w:rsid w:val="00653363"/>
    <w:rsid w:val="00657609"/>
    <w:rsid w:val="006671BF"/>
    <w:rsid w:val="00667531"/>
    <w:rsid w:val="00677E98"/>
    <w:rsid w:val="0069146B"/>
    <w:rsid w:val="00697B68"/>
    <w:rsid w:val="006A6B59"/>
    <w:rsid w:val="006A6EE0"/>
    <w:rsid w:val="006C57C1"/>
    <w:rsid w:val="006D1887"/>
    <w:rsid w:val="006D4BFC"/>
    <w:rsid w:val="006D4EE4"/>
    <w:rsid w:val="006E2D42"/>
    <w:rsid w:val="006F0A90"/>
    <w:rsid w:val="00702909"/>
    <w:rsid w:val="00703676"/>
    <w:rsid w:val="0070540E"/>
    <w:rsid w:val="00707304"/>
    <w:rsid w:val="00732269"/>
    <w:rsid w:val="00734C66"/>
    <w:rsid w:val="00742CD9"/>
    <w:rsid w:val="00746F43"/>
    <w:rsid w:val="00750D93"/>
    <w:rsid w:val="00750F1D"/>
    <w:rsid w:val="00760C98"/>
    <w:rsid w:val="00760DA1"/>
    <w:rsid w:val="007637C5"/>
    <w:rsid w:val="007716E1"/>
    <w:rsid w:val="007736C2"/>
    <w:rsid w:val="00785ABD"/>
    <w:rsid w:val="007903EA"/>
    <w:rsid w:val="0079578F"/>
    <w:rsid w:val="0079692C"/>
    <w:rsid w:val="007A0C4B"/>
    <w:rsid w:val="007A2DD4"/>
    <w:rsid w:val="007B1F4F"/>
    <w:rsid w:val="007C7741"/>
    <w:rsid w:val="007D0BB3"/>
    <w:rsid w:val="007D38B5"/>
    <w:rsid w:val="007E1601"/>
    <w:rsid w:val="007E7EA0"/>
    <w:rsid w:val="007F4AE1"/>
    <w:rsid w:val="008028D7"/>
    <w:rsid w:val="00807255"/>
    <w:rsid w:val="008074BE"/>
    <w:rsid w:val="0081023E"/>
    <w:rsid w:val="008173AA"/>
    <w:rsid w:val="00831A04"/>
    <w:rsid w:val="00840A14"/>
    <w:rsid w:val="0084413F"/>
    <w:rsid w:val="00875893"/>
    <w:rsid w:val="0088064F"/>
    <w:rsid w:val="008908BD"/>
    <w:rsid w:val="00892932"/>
    <w:rsid w:val="008A3B32"/>
    <w:rsid w:val="008B62B4"/>
    <w:rsid w:val="008B6BA1"/>
    <w:rsid w:val="008C3743"/>
    <w:rsid w:val="008C7A3E"/>
    <w:rsid w:val="008D2D7B"/>
    <w:rsid w:val="008D3F2D"/>
    <w:rsid w:val="008D5488"/>
    <w:rsid w:val="008D5C2A"/>
    <w:rsid w:val="008E0737"/>
    <w:rsid w:val="008E15CF"/>
    <w:rsid w:val="008E3BE9"/>
    <w:rsid w:val="008F63AC"/>
    <w:rsid w:val="008F7C2C"/>
    <w:rsid w:val="0090558C"/>
    <w:rsid w:val="009057C5"/>
    <w:rsid w:val="00913A81"/>
    <w:rsid w:val="0092293D"/>
    <w:rsid w:val="00933FDA"/>
    <w:rsid w:val="00934F0A"/>
    <w:rsid w:val="00940E96"/>
    <w:rsid w:val="0094277A"/>
    <w:rsid w:val="00942E9D"/>
    <w:rsid w:val="00943060"/>
    <w:rsid w:val="00946445"/>
    <w:rsid w:val="00947197"/>
    <w:rsid w:val="00970418"/>
    <w:rsid w:val="009716E8"/>
    <w:rsid w:val="009764D4"/>
    <w:rsid w:val="0098231A"/>
    <w:rsid w:val="009841C1"/>
    <w:rsid w:val="00992780"/>
    <w:rsid w:val="00993926"/>
    <w:rsid w:val="009A2E0C"/>
    <w:rsid w:val="009A513C"/>
    <w:rsid w:val="009B0BAE"/>
    <w:rsid w:val="009B2C26"/>
    <w:rsid w:val="009C1C89"/>
    <w:rsid w:val="009C2787"/>
    <w:rsid w:val="009C4BD5"/>
    <w:rsid w:val="009C5443"/>
    <w:rsid w:val="009C6139"/>
    <w:rsid w:val="009D276D"/>
    <w:rsid w:val="009D3122"/>
    <w:rsid w:val="009D7B2A"/>
    <w:rsid w:val="009E4275"/>
    <w:rsid w:val="009E44BF"/>
    <w:rsid w:val="009F3448"/>
    <w:rsid w:val="00A01042"/>
    <w:rsid w:val="00A10B69"/>
    <w:rsid w:val="00A12AA9"/>
    <w:rsid w:val="00A168B6"/>
    <w:rsid w:val="00A20668"/>
    <w:rsid w:val="00A25ED5"/>
    <w:rsid w:val="00A26C81"/>
    <w:rsid w:val="00A354F8"/>
    <w:rsid w:val="00A367A2"/>
    <w:rsid w:val="00A4356A"/>
    <w:rsid w:val="00A4627F"/>
    <w:rsid w:val="00A57A6D"/>
    <w:rsid w:val="00A64DB2"/>
    <w:rsid w:val="00A70C48"/>
    <w:rsid w:val="00A71773"/>
    <w:rsid w:val="00A91843"/>
    <w:rsid w:val="00A965E5"/>
    <w:rsid w:val="00AA096B"/>
    <w:rsid w:val="00AA72DD"/>
    <w:rsid w:val="00AB5AD7"/>
    <w:rsid w:val="00AC52DB"/>
    <w:rsid w:val="00AC5C0C"/>
    <w:rsid w:val="00AC64EB"/>
    <w:rsid w:val="00AD1748"/>
    <w:rsid w:val="00AD6F01"/>
    <w:rsid w:val="00AE0FCA"/>
    <w:rsid w:val="00AE2C1B"/>
    <w:rsid w:val="00AE2C85"/>
    <w:rsid w:val="00AE3B62"/>
    <w:rsid w:val="00B0574B"/>
    <w:rsid w:val="00B05A0D"/>
    <w:rsid w:val="00B12A37"/>
    <w:rsid w:val="00B12A4A"/>
    <w:rsid w:val="00B16C18"/>
    <w:rsid w:val="00B23176"/>
    <w:rsid w:val="00B335C7"/>
    <w:rsid w:val="00B3630F"/>
    <w:rsid w:val="00B4761C"/>
    <w:rsid w:val="00B63EF2"/>
    <w:rsid w:val="00B64D5F"/>
    <w:rsid w:val="00B65560"/>
    <w:rsid w:val="00B72F2C"/>
    <w:rsid w:val="00B74E11"/>
    <w:rsid w:val="00B85939"/>
    <w:rsid w:val="00B85FAC"/>
    <w:rsid w:val="00B866DD"/>
    <w:rsid w:val="00B87C68"/>
    <w:rsid w:val="00BA7F79"/>
    <w:rsid w:val="00BB116B"/>
    <w:rsid w:val="00BC0D39"/>
    <w:rsid w:val="00BC7BC0"/>
    <w:rsid w:val="00BD57B7"/>
    <w:rsid w:val="00BE262A"/>
    <w:rsid w:val="00BE63E2"/>
    <w:rsid w:val="00BF0183"/>
    <w:rsid w:val="00C00ECF"/>
    <w:rsid w:val="00C06781"/>
    <w:rsid w:val="00C10F90"/>
    <w:rsid w:val="00C1486E"/>
    <w:rsid w:val="00C15460"/>
    <w:rsid w:val="00C16906"/>
    <w:rsid w:val="00C17EA4"/>
    <w:rsid w:val="00C23846"/>
    <w:rsid w:val="00C2503C"/>
    <w:rsid w:val="00C319EB"/>
    <w:rsid w:val="00C33A84"/>
    <w:rsid w:val="00C463A8"/>
    <w:rsid w:val="00C53DB3"/>
    <w:rsid w:val="00C64F3E"/>
    <w:rsid w:val="00C737EC"/>
    <w:rsid w:val="00C73AFE"/>
    <w:rsid w:val="00C76ABD"/>
    <w:rsid w:val="00C81D1E"/>
    <w:rsid w:val="00C82205"/>
    <w:rsid w:val="00C82529"/>
    <w:rsid w:val="00C86E30"/>
    <w:rsid w:val="00C87197"/>
    <w:rsid w:val="00C87894"/>
    <w:rsid w:val="00C95B4F"/>
    <w:rsid w:val="00C97194"/>
    <w:rsid w:val="00C976E4"/>
    <w:rsid w:val="00C97AF3"/>
    <w:rsid w:val="00CC2E5B"/>
    <w:rsid w:val="00CC32D0"/>
    <w:rsid w:val="00CC5B06"/>
    <w:rsid w:val="00CD2009"/>
    <w:rsid w:val="00CD2B04"/>
    <w:rsid w:val="00CD5F81"/>
    <w:rsid w:val="00CF629C"/>
    <w:rsid w:val="00D01815"/>
    <w:rsid w:val="00D068B5"/>
    <w:rsid w:val="00D120A8"/>
    <w:rsid w:val="00D16336"/>
    <w:rsid w:val="00D201A1"/>
    <w:rsid w:val="00D24228"/>
    <w:rsid w:val="00D24665"/>
    <w:rsid w:val="00D25338"/>
    <w:rsid w:val="00D27EDC"/>
    <w:rsid w:val="00D46FBC"/>
    <w:rsid w:val="00D54CC2"/>
    <w:rsid w:val="00D6724D"/>
    <w:rsid w:val="00D67627"/>
    <w:rsid w:val="00D70D3A"/>
    <w:rsid w:val="00D771C2"/>
    <w:rsid w:val="00D77F6B"/>
    <w:rsid w:val="00D82021"/>
    <w:rsid w:val="00D82A6C"/>
    <w:rsid w:val="00D92EEA"/>
    <w:rsid w:val="00D961F8"/>
    <w:rsid w:val="00DA0CC7"/>
    <w:rsid w:val="00DA323C"/>
    <w:rsid w:val="00DA5D4E"/>
    <w:rsid w:val="00DB22BC"/>
    <w:rsid w:val="00DB2683"/>
    <w:rsid w:val="00DB54F2"/>
    <w:rsid w:val="00DB657A"/>
    <w:rsid w:val="00DB7D54"/>
    <w:rsid w:val="00DC0020"/>
    <w:rsid w:val="00DC6CE2"/>
    <w:rsid w:val="00DC717B"/>
    <w:rsid w:val="00DC7488"/>
    <w:rsid w:val="00DC7D01"/>
    <w:rsid w:val="00DD6730"/>
    <w:rsid w:val="00DE2CD6"/>
    <w:rsid w:val="00DE3A94"/>
    <w:rsid w:val="00DF65F6"/>
    <w:rsid w:val="00E0558F"/>
    <w:rsid w:val="00E14935"/>
    <w:rsid w:val="00E1706F"/>
    <w:rsid w:val="00E176BA"/>
    <w:rsid w:val="00E17A03"/>
    <w:rsid w:val="00E21D62"/>
    <w:rsid w:val="00E261E3"/>
    <w:rsid w:val="00E40E5B"/>
    <w:rsid w:val="00E423EC"/>
    <w:rsid w:val="00E42715"/>
    <w:rsid w:val="00E43F0F"/>
    <w:rsid w:val="00E477D7"/>
    <w:rsid w:val="00E55121"/>
    <w:rsid w:val="00E558F3"/>
    <w:rsid w:val="00E57BEF"/>
    <w:rsid w:val="00E60BBB"/>
    <w:rsid w:val="00E615AF"/>
    <w:rsid w:val="00E63528"/>
    <w:rsid w:val="00E638DB"/>
    <w:rsid w:val="00E63ACF"/>
    <w:rsid w:val="00E65F31"/>
    <w:rsid w:val="00E74D57"/>
    <w:rsid w:val="00E82838"/>
    <w:rsid w:val="00E831A0"/>
    <w:rsid w:val="00E84B4D"/>
    <w:rsid w:val="00E94421"/>
    <w:rsid w:val="00E95296"/>
    <w:rsid w:val="00E96119"/>
    <w:rsid w:val="00EA6B6C"/>
    <w:rsid w:val="00EB4FCB"/>
    <w:rsid w:val="00EC1C28"/>
    <w:rsid w:val="00EC2D14"/>
    <w:rsid w:val="00EC6BC5"/>
    <w:rsid w:val="00EC72F8"/>
    <w:rsid w:val="00ED7BDA"/>
    <w:rsid w:val="00EE01B9"/>
    <w:rsid w:val="00EE2273"/>
    <w:rsid w:val="00EE35C0"/>
    <w:rsid w:val="00EE3B7D"/>
    <w:rsid w:val="00EE5A76"/>
    <w:rsid w:val="00EE5E56"/>
    <w:rsid w:val="00EE7BDB"/>
    <w:rsid w:val="00F01D55"/>
    <w:rsid w:val="00F02290"/>
    <w:rsid w:val="00F05374"/>
    <w:rsid w:val="00F06143"/>
    <w:rsid w:val="00F16ACB"/>
    <w:rsid w:val="00F211B2"/>
    <w:rsid w:val="00F27E46"/>
    <w:rsid w:val="00F3335C"/>
    <w:rsid w:val="00F34106"/>
    <w:rsid w:val="00F35898"/>
    <w:rsid w:val="00F42168"/>
    <w:rsid w:val="00F4562F"/>
    <w:rsid w:val="00F4593F"/>
    <w:rsid w:val="00F5225B"/>
    <w:rsid w:val="00F5436C"/>
    <w:rsid w:val="00F60094"/>
    <w:rsid w:val="00F64151"/>
    <w:rsid w:val="00F80106"/>
    <w:rsid w:val="00F930FA"/>
    <w:rsid w:val="00F97C8F"/>
    <w:rsid w:val="00FB1A11"/>
    <w:rsid w:val="00FC552D"/>
    <w:rsid w:val="00FC5632"/>
    <w:rsid w:val="00FD0D8A"/>
    <w:rsid w:val="00FD3EF5"/>
    <w:rsid w:val="00FE0580"/>
    <w:rsid w:val="00FE5701"/>
    <w:rsid w:val="00FE722E"/>
    <w:rsid w:val="00FE795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3944B"/>
  <w15:docId w15:val="{4B345E8A-CF8D-4D6B-821D-E764C31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2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52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87C6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87C6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rsid w:val="00A26C8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87C68"/>
    <w:pPr>
      <w:ind w:left="720"/>
      <w:contextualSpacing/>
      <w:textAlignment w:val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87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4C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CC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A519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7D"/>
    <w:rPr>
      <w:color w:val="605E5C"/>
      <w:shd w:val="clear" w:color="auto" w:fill="E1DFDD"/>
    </w:rPr>
  </w:style>
  <w:style w:type="character" w:customStyle="1" w:styleId="Artdef">
    <w:name w:val="Art_def"/>
    <w:basedOn w:val="DefaultParagraphFont"/>
    <w:rsid w:val="00992780"/>
    <w:rPr>
      <w:rFonts w:ascii="Calibri" w:eastAsia="SimSun" w:hAnsi="Calibri" w:cs="Times New Roman Bold"/>
      <w:b/>
      <w:bCs/>
      <w:iCs/>
      <w:color w:val="000000"/>
      <w:szCs w:val="22"/>
    </w:rPr>
  </w:style>
  <w:style w:type="character" w:customStyle="1" w:styleId="enumlev1Char">
    <w:name w:val="enumlev1 Char"/>
    <w:basedOn w:val="DefaultParagraphFont"/>
    <w:link w:val="enumlev1"/>
    <w:locked/>
    <w:rsid w:val="00C87197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2293D"/>
    <w:rPr>
      <w:rFonts w:ascii="Calibri" w:hAnsi="Calibri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F97C8F"/>
    <w:rPr>
      <w:rFonts w:ascii="Calibri" w:hAnsi="Calibri"/>
      <w:caps/>
      <w:sz w:val="26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F97C8F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uiPriority w:val="99"/>
    <w:rsid w:val="00F97C8F"/>
    <w:rPr>
      <w:color w:val="auto"/>
    </w:rPr>
  </w:style>
  <w:style w:type="paragraph" w:styleId="NormalWeb">
    <w:name w:val="Normal (Web)"/>
    <w:basedOn w:val="Normal"/>
    <w:uiPriority w:val="99"/>
    <w:unhideWhenUsed/>
    <w:rsid w:val="00C53D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rtdef0">
    <w:name w:val="artdef"/>
    <w:basedOn w:val="DefaultParagraphFont"/>
    <w:rsid w:val="00C53DB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97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57609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17</TotalTime>
  <Pages>13</Pages>
  <Words>3047</Words>
  <Characters>21688</Characters>
  <Application>Microsoft Office Word</Application>
  <DocSecurity>0</DocSecurity>
  <Lines>180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Вклад АС России</vt:lpstr>
      <vt:lpstr>Вклад АС России</vt:lpstr>
    </vt:vector>
  </TitlesOfParts>
  <Company>ПАО "Ростелеком"</Company>
  <LinksUpToDate>false</LinksUpToDate>
  <CharactersWithSpaces>24686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АС России</dc:title>
  <dc:subject>ГЭ РМЭ</dc:subject>
  <dc:creator>Alexandre VASSILIEV</dc:creator>
  <cp:keywords>Собрание ГЭ РМЭ февраль 2020</cp:keywords>
  <cp:lastModifiedBy>Brouard, Ricarda</cp:lastModifiedBy>
  <cp:revision>3</cp:revision>
  <cp:lastPrinted>2020-08-13T08:39:00Z</cp:lastPrinted>
  <dcterms:created xsi:type="dcterms:W3CDTF">2021-01-19T10:48:00Z</dcterms:created>
  <dcterms:modified xsi:type="dcterms:W3CDTF">2021-01-19T10:49:00Z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