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B0D00" w14:paraId="7AA00744" w14:textId="77777777">
        <w:trPr>
          <w:cantSplit/>
        </w:trPr>
        <w:tc>
          <w:tcPr>
            <w:tcW w:w="6912" w:type="dxa"/>
          </w:tcPr>
          <w:p w14:paraId="7BEEDBB6" w14:textId="77777777" w:rsidR="00093EEB" w:rsidRPr="000B0D00" w:rsidRDefault="00D92832" w:rsidP="00D92832">
            <w:pPr>
              <w:spacing w:before="240"/>
              <w:rPr>
                <w:szCs w:val="24"/>
              </w:rPr>
            </w:pPr>
            <w:bookmarkStart w:id="0" w:name="dbluepink" w:colFirst="0" w:colLast="0"/>
            <w:r w:rsidRPr="00AA22E2">
              <w:rPr>
                <w:b/>
                <w:bCs/>
                <w:position w:val="6"/>
                <w:sz w:val="30"/>
                <w:szCs w:val="30"/>
              </w:rPr>
              <w:t xml:space="preserve">Grupo de Expertos sobre el Reglamento de las </w:t>
            </w:r>
            <w:r w:rsidRPr="00AA22E2">
              <w:rPr>
                <w:b/>
                <w:bCs/>
                <w:position w:val="6"/>
                <w:sz w:val="30"/>
                <w:szCs w:val="30"/>
              </w:rPr>
              <w:br/>
              <w:t>Telecomunicaciones Internacionales (GE-RTI)</w:t>
            </w:r>
          </w:p>
        </w:tc>
        <w:tc>
          <w:tcPr>
            <w:tcW w:w="3261" w:type="dxa"/>
          </w:tcPr>
          <w:p w14:paraId="156FBC85" w14:textId="77777777" w:rsidR="00093EEB" w:rsidRPr="000B0D00" w:rsidRDefault="00012E27" w:rsidP="00C85B97">
            <w:pPr>
              <w:spacing w:before="0"/>
              <w:rPr>
                <w:szCs w:val="24"/>
              </w:rPr>
            </w:pPr>
            <w:bookmarkStart w:id="1" w:name="ditulogo"/>
            <w:bookmarkEnd w:id="1"/>
            <w:r>
              <w:rPr>
                <w:noProof/>
                <w:lang w:val="en-US"/>
              </w:rPr>
              <w:drawing>
                <wp:inline distT="0" distB="0" distL="0" distR="0" wp14:anchorId="42DBE5A3" wp14:editId="090581A6">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9D0C5D" w:rsidRPr="000B0D00" w14:paraId="06EEC33D" w14:textId="77777777">
        <w:trPr>
          <w:cantSplit/>
          <w:trHeight w:val="20"/>
        </w:trPr>
        <w:tc>
          <w:tcPr>
            <w:tcW w:w="10173" w:type="dxa"/>
            <w:gridSpan w:val="2"/>
            <w:tcBorders>
              <w:bottom w:val="single" w:sz="12" w:space="0" w:color="auto"/>
            </w:tcBorders>
          </w:tcPr>
          <w:p w14:paraId="6843AA72" w14:textId="6F8DF0BF" w:rsidR="009D0C5D" w:rsidRPr="00EB1212" w:rsidRDefault="0058745E" w:rsidP="009D0C5D">
            <w:pPr>
              <w:spacing w:before="0"/>
              <w:rPr>
                <w:b/>
                <w:bCs/>
                <w:szCs w:val="24"/>
              </w:rPr>
            </w:pPr>
            <w:r>
              <w:rPr>
                <w:rFonts w:eastAsia="Calibri" w:cs="Calibri"/>
                <w:b/>
                <w:color w:val="000000"/>
                <w:szCs w:val="24"/>
                <w:lang w:val="es-ES"/>
              </w:rPr>
              <w:t>Cuarta</w:t>
            </w:r>
            <w:r w:rsidR="009D0C5D">
              <w:rPr>
                <w:rFonts w:eastAsia="Calibri" w:cs="Calibri"/>
                <w:b/>
                <w:color w:val="000000"/>
                <w:szCs w:val="24"/>
                <w:lang w:val="es-ES"/>
              </w:rPr>
              <w:t xml:space="preserve"> reunión</w:t>
            </w:r>
            <w:r w:rsidR="009D0C5D" w:rsidRPr="00E42521">
              <w:rPr>
                <w:rFonts w:eastAsia="Calibri" w:cs="Calibri"/>
                <w:b/>
                <w:color w:val="000000"/>
                <w:szCs w:val="24"/>
                <w:lang w:val="es-ES"/>
              </w:rPr>
              <w:t xml:space="preserve"> </w:t>
            </w:r>
            <w:r w:rsidR="009D0C5D" w:rsidRPr="00AA22E2">
              <w:rPr>
                <w:b/>
                <w:bCs/>
              </w:rPr>
              <w:t xml:space="preserve">– </w:t>
            </w:r>
            <w:r w:rsidR="009D0C5D">
              <w:rPr>
                <w:b/>
                <w:bCs/>
              </w:rPr>
              <w:t>Reunión virtual</w:t>
            </w:r>
            <w:r w:rsidR="009D0C5D" w:rsidRPr="00AA22E2">
              <w:rPr>
                <w:b/>
                <w:bCs/>
              </w:rPr>
              <w:t xml:space="preserve">, </w:t>
            </w:r>
            <w:r>
              <w:rPr>
                <w:b/>
                <w:bCs/>
              </w:rPr>
              <w:t>3</w:t>
            </w:r>
            <w:r w:rsidR="009D0C5D">
              <w:rPr>
                <w:b/>
                <w:bCs/>
              </w:rPr>
              <w:t>-</w:t>
            </w:r>
            <w:r>
              <w:rPr>
                <w:b/>
                <w:bCs/>
              </w:rPr>
              <w:t>4</w:t>
            </w:r>
            <w:r w:rsidR="009D0C5D" w:rsidRPr="00AA22E2">
              <w:rPr>
                <w:b/>
                <w:bCs/>
              </w:rPr>
              <w:t xml:space="preserve"> de </w:t>
            </w:r>
            <w:r>
              <w:rPr>
                <w:b/>
                <w:bCs/>
              </w:rPr>
              <w:t>febrero</w:t>
            </w:r>
            <w:r w:rsidR="009D0C5D" w:rsidRPr="00AA22E2">
              <w:rPr>
                <w:b/>
                <w:bCs/>
              </w:rPr>
              <w:t xml:space="preserve"> de 20</w:t>
            </w:r>
            <w:r w:rsidR="009D0C5D">
              <w:rPr>
                <w:b/>
                <w:bCs/>
              </w:rPr>
              <w:t>2</w:t>
            </w:r>
            <w:r>
              <w:rPr>
                <w:b/>
                <w:bCs/>
              </w:rPr>
              <w:t>1</w:t>
            </w:r>
          </w:p>
        </w:tc>
      </w:tr>
      <w:tr w:rsidR="00093EEB" w:rsidRPr="000B0D00" w14:paraId="2F6FAA89" w14:textId="77777777">
        <w:trPr>
          <w:cantSplit/>
          <w:trHeight w:val="20"/>
        </w:trPr>
        <w:tc>
          <w:tcPr>
            <w:tcW w:w="6912" w:type="dxa"/>
            <w:tcBorders>
              <w:top w:val="single" w:sz="12" w:space="0" w:color="auto"/>
            </w:tcBorders>
          </w:tcPr>
          <w:p w14:paraId="10C4BD40" w14:textId="77777777" w:rsidR="00093EEB" w:rsidRPr="000B0D00"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669CFBAB" w14:textId="77777777" w:rsidR="00093EEB" w:rsidRPr="000B0D00" w:rsidRDefault="00093EEB">
            <w:pPr>
              <w:spacing w:before="0"/>
              <w:rPr>
                <w:b/>
                <w:bCs/>
                <w:szCs w:val="24"/>
              </w:rPr>
            </w:pPr>
          </w:p>
        </w:tc>
      </w:tr>
      <w:tr w:rsidR="00093EEB" w:rsidRPr="001F60AD" w14:paraId="0F604CAB" w14:textId="77777777">
        <w:trPr>
          <w:cantSplit/>
          <w:trHeight w:val="20"/>
        </w:trPr>
        <w:tc>
          <w:tcPr>
            <w:tcW w:w="6912" w:type="dxa"/>
            <w:shd w:val="clear" w:color="auto" w:fill="auto"/>
          </w:tcPr>
          <w:p w14:paraId="69EE1452" w14:textId="77777777" w:rsidR="00093EEB" w:rsidRPr="00093EEB"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6D8E83B9" w14:textId="6591C890" w:rsidR="00093EEB" w:rsidRPr="008E5720" w:rsidRDefault="00093EEB" w:rsidP="001F60AD">
            <w:pPr>
              <w:spacing w:before="0"/>
              <w:rPr>
                <w:b/>
                <w:bCs/>
                <w:szCs w:val="24"/>
              </w:rPr>
            </w:pPr>
            <w:r w:rsidRPr="008E5720">
              <w:rPr>
                <w:b/>
                <w:bCs/>
                <w:szCs w:val="24"/>
              </w:rPr>
              <w:t xml:space="preserve">Documento </w:t>
            </w:r>
            <w:r w:rsidR="00D92832" w:rsidRPr="008E5720">
              <w:rPr>
                <w:rFonts w:asciiTheme="minorHAnsi" w:hAnsiTheme="minorHAnsi" w:cs="Times New Roman Bold"/>
                <w:b/>
                <w:spacing w:val="-4"/>
              </w:rPr>
              <w:t>EG-ITRs-</w:t>
            </w:r>
            <w:r w:rsidR="0058745E" w:rsidRPr="008E5720">
              <w:rPr>
                <w:rFonts w:asciiTheme="minorHAnsi" w:hAnsiTheme="minorHAnsi" w:cs="Times New Roman Bold"/>
                <w:b/>
                <w:spacing w:val="-4"/>
              </w:rPr>
              <w:t>4</w:t>
            </w:r>
            <w:r w:rsidR="00D92832" w:rsidRPr="008E5720">
              <w:rPr>
                <w:rFonts w:asciiTheme="minorHAnsi" w:hAnsiTheme="minorHAnsi" w:cs="Times New Roman Bold"/>
                <w:b/>
                <w:spacing w:val="-4"/>
              </w:rPr>
              <w:t>/</w:t>
            </w:r>
            <w:r w:rsidR="0058745E" w:rsidRPr="008E5720">
              <w:rPr>
                <w:rFonts w:asciiTheme="minorHAnsi" w:hAnsiTheme="minorHAnsi" w:cs="Times New Roman Bold"/>
                <w:b/>
                <w:spacing w:val="-4"/>
              </w:rPr>
              <w:t>2</w:t>
            </w:r>
            <w:r w:rsidR="00D92832" w:rsidRPr="008E5720">
              <w:rPr>
                <w:rFonts w:asciiTheme="minorHAnsi" w:hAnsiTheme="minorHAnsi" w:cs="Times New Roman Bold"/>
                <w:b/>
                <w:spacing w:val="-4"/>
              </w:rPr>
              <w:t>-S</w:t>
            </w:r>
          </w:p>
        </w:tc>
      </w:tr>
      <w:tr w:rsidR="00093EEB" w:rsidRPr="000B0D00" w14:paraId="5DCA9567" w14:textId="77777777">
        <w:trPr>
          <w:cantSplit/>
          <w:trHeight w:val="20"/>
        </w:trPr>
        <w:tc>
          <w:tcPr>
            <w:tcW w:w="6912" w:type="dxa"/>
            <w:shd w:val="clear" w:color="auto" w:fill="auto"/>
          </w:tcPr>
          <w:p w14:paraId="7C69E45B" w14:textId="77777777" w:rsidR="00093EEB" w:rsidRPr="00D92832" w:rsidRDefault="00093EEB">
            <w:pPr>
              <w:shd w:val="solid" w:color="FFFFFF" w:fill="FFFFFF"/>
              <w:spacing w:before="0"/>
              <w:rPr>
                <w:smallCaps/>
                <w:szCs w:val="24"/>
                <w:lang w:val="en-US"/>
              </w:rPr>
            </w:pPr>
            <w:bookmarkStart w:id="4" w:name="ddate" w:colFirst="1" w:colLast="1"/>
            <w:bookmarkEnd w:id="2"/>
            <w:bookmarkEnd w:id="3"/>
          </w:p>
        </w:tc>
        <w:tc>
          <w:tcPr>
            <w:tcW w:w="3261" w:type="dxa"/>
          </w:tcPr>
          <w:p w14:paraId="056A65A8" w14:textId="3A4BFC58" w:rsidR="00093EEB" w:rsidRPr="008E5720" w:rsidRDefault="0058745E" w:rsidP="001F60AD">
            <w:pPr>
              <w:spacing w:before="0"/>
              <w:rPr>
                <w:b/>
                <w:bCs/>
                <w:szCs w:val="24"/>
              </w:rPr>
            </w:pPr>
            <w:r w:rsidRPr="008E5720">
              <w:rPr>
                <w:b/>
                <w:bCs/>
                <w:szCs w:val="24"/>
              </w:rPr>
              <w:t>14</w:t>
            </w:r>
            <w:r w:rsidR="0077252D" w:rsidRPr="008E5720">
              <w:rPr>
                <w:b/>
                <w:bCs/>
                <w:szCs w:val="24"/>
              </w:rPr>
              <w:t xml:space="preserve"> </w:t>
            </w:r>
            <w:r w:rsidR="00D92832" w:rsidRPr="008E5720">
              <w:rPr>
                <w:b/>
                <w:bCs/>
                <w:szCs w:val="24"/>
              </w:rPr>
              <w:t xml:space="preserve">de </w:t>
            </w:r>
            <w:r w:rsidRPr="008E5720">
              <w:rPr>
                <w:b/>
                <w:bCs/>
                <w:szCs w:val="24"/>
              </w:rPr>
              <w:t>enero</w:t>
            </w:r>
            <w:r w:rsidR="00093EEB" w:rsidRPr="008E5720">
              <w:rPr>
                <w:b/>
                <w:bCs/>
                <w:szCs w:val="24"/>
              </w:rPr>
              <w:t xml:space="preserve"> de 20</w:t>
            </w:r>
            <w:r w:rsidR="00C85B97" w:rsidRPr="008E5720">
              <w:rPr>
                <w:b/>
                <w:bCs/>
                <w:szCs w:val="24"/>
              </w:rPr>
              <w:t>2</w:t>
            </w:r>
            <w:r w:rsidRPr="008E5720">
              <w:rPr>
                <w:b/>
                <w:bCs/>
                <w:szCs w:val="24"/>
              </w:rPr>
              <w:t>1</w:t>
            </w:r>
          </w:p>
        </w:tc>
      </w:tr>
      <w:tr w:rsidR="00093EEB" w:rsidRPr="000B0D00" w14:paraId="1E75EDAF" w14:textId="77777777">
        <w:trPr>
          <w:cantSplit/>
          <w:trHeight w:val="20"/>
        </w:trPr>
        <w:tc>
          <w:tcPr>
            <w:tcW w:w="6912" w:type="dxa"/>
            <w:shd w:val="clear" w:color="auto" w:fill="auto"/>
          </w:tcPr>
          <w:p w14:paraId="3FD2732C" w14:textId="77777777" w:rsidR="00093EEB" w:rsidRPr="000B0D00" w:rsidRDefault="00093EEB">
            <w:pPr>
              <w:shd w:val="solid" w:color="FFFFFF" w:fill="FFFFFF"/>
              <w:spacing w:before="0"/>
              <w:rPr>
                <w:smallCaps/>
                <w:szCs w:val="24"/>
              </w:rPr>
            </w:pPr>
            <w:bookmarkStart w:id="5" w:name="dorlang" w:colFirst="1" w:colLast="1"/>
            <w:bookmarkEnd w:id="4"/>
          </w:p>
        </w:tc>
        <w:tc>
          <w:tcPr>
            <w:tcW w:w="3261" w:type="dxa"/>
          </w:tcPr>
          <w:p w14:paraId="07994843" w14:textId="7E1790B0" w:rsidR="00093EEB" w:rsidRPr="008E5720" w:rsidRDefault="00093EEB" w:rsidP="00093EEB">
            <w:pPr>
              <w:spacing w:before="0"/>
              <w:rPr>
                <w:b/>
                <w:bCs/>
                <w:szCs w:val="24"/>
              </w:rPr>
            </w:pPr>
            <w:r w:rsidRPr="008E5720">
              <w:rPr>
                <w:b/>
                <w:bCs/>
                <w:szCs w:val="24"/>
              </w:rPr>
              <w:t xml:space="preserve">Original: </w:t>
            </w:r>
            <w:r w:rsidR="0058745E" w:rsidRPr="008E5720">
              <w:rPr>
                <w:b/>
                <w:bCs/>
                <w:szCs w:val="24"/>
              </w:rPr>
              <w:t>ruso</w:t>
            </w:r>
          </w:p>
        </w:tc>
      </w:tr>
      <w:tr w:rsidR="00093EEB" w:rsidRPr="000B0D00" w14:paraId="11E1B97F" w14:textId="77777777">
        <w:trPr>
          <w:cantSplit/>
        </w:trPr>
        <w:tc>
          <w:tcPr>
            <w:tcW w:w="10173" w:type="dxa"/>
            <w:gridSpan w:val="2"/>
          </w:tcPr>
          <w:p w14:paraId="2D2C2705" w14:textId="2110582F" w:rsidR="00093EEB" w:rsidRPr="000B0D00" w:rsidRDefault="0058745E">
            <w:pPr>
              <w:pStyle w:val="Source"/>
            </w:pPr>
            <w:bookmarkStart w:id="6" w:name="dsource" w:colFirst="0" w:colLast="0"/>
            <w:bookmarkEnd w:id="0"/>
            <w:bookmarkEnd w:id="5"/>
            <w:r>
              <w:t>Federación de Rusia</w:t>
            </w:r>
          </w:p>
        </w:tc>
      </w:tr>
      <w:tr w:rsidR="00093EEB" w:rsidRPr="000B0D00" w14:paraId="60A45B12" w14:textId="77777777">
        <w:trPr>
          <w:cantSplit/>
        </w:trPr>
        <w:tc>
          <w:tcPr>
            <w:tcW w:w="10173" w:type="dxa"/>
            <w:gridSpan w:val="2"/>
          </w:tcPr>
          <w:p w14:paraId="1B95E5FA" w14:textId="28FFB581" w:rsidR="00093EEB" w:rsidRPr="000B0D00" w:rsidRDefault="008E5720">
            <w:pPr>
              <w:pStyle w:val="Title1"/>
            </w:pPr>
            <w:bookmarkStart w:id="7" w:name="dtitle1" w:colFirst="0" w:colLast="0"/>
            <w:bookmarkEnd w:id="6"/>
            <w:r w:rsidRPr="008E5720">
              <w:rPr>
                <w:bCs/>
                <w:lang w:val="es-ES"/>
              </w:rPr>
              <w:t xml:space="preserve">examen disposición por disposición de secciones del Reglamento de las Telecomunicaciones Internacionales en la </w:t>
            </w:r>
            <w:r w:rsidR="00262F2F">
              <w:rPr>
                <w:bCs/>
                <w:lang w:val="es-ES"/>
              </w:rPr>
              <w:t>CUARTA</w:t>
            </w:r>
            <w:r w:rsidRPr="008E5720">
              <w:rPr>
                <w:bCs/>
                <w:lang w:val="es-ES"/>
              </w:rPr>
              <w:t xml:space="preserve"> reunión del ge-rti </w:t>
            </w:r>
            <w:r w:rsidRPr="008E5720">
              <w:rPr>
                <w:bCs/>
                <w:lang w:val="es-ES"/>
              </w:rPr>
              <w:br/>
              <w:t>con arreglo al plan de trabajo adoptado en la primera reunión del grupo</w:t>
            </w:r>
          </w:p>
        </w:tc>
      </w:tr>
    </w:tbl>
    <w:bookmarkEnd w:id="7"/>
    <w:p w14:paraId="5FB7E454" w14:textId="5F016DB6" w:rsidR="0058745E" w:rsidRPr="00F726AD" w:rsidRDefault="0058745E" w:rsidP="0058745E">
      <w:pPr>
        <w:pStyle w:val="Heading1"/>
      </w:pPr>
      <w:r w:rsidRPr="00F726AD">
        <w:t>1</w:t>
      </w:r>
      <w:r w:rsidRPr="00F726AD">
        <w:tab/>
      </w:r>
      <w:r w:rsidR="008E5720" w:rsidRPr="00F726AD">
        <w:t>Introducción</w:t>
      </w:r>
    </w:p>
    <w:p w14:paraId="0B23B46F" w14:textId="5855F421" w:rsidR="008E5720" w:rsidRPr="008E5720" w:rsidRDefault="00262F2F" w:rsidP="008E5720">
      <w:pPr>
        <w:rPr>
          <w:lang w:val="es-ES"/>
        </w:rPr>
      </w:pPr>
      <w:r>
        <w:rPr>
          <w:lang w:val="es-ES"/>
        </w:rPr>
        <w:t>En l</w:t>
      </w:r>
      <w:r w:rsidR="008E5720" w:rsidRPr="008E5720">
        <w:rPr>
          <w:lang w:val="es-ES"/>
        </w:rPr>
        <w:t>a primera reunión del GE-RTI</w:t>
      </w:r>
      <w:r>
        <w:rPr>
          <w:lang w:val="es-ES"/>
        </w:rPr>
        <w:t xml:space="preserve"> se</w:t>
      </w:r>
      <w:r w:rsidR="008E5720" w:rsidRPr="008E5720">
        <w:rPr>
          <w:lang w:val="es-ES"/>
        </w:rPr>
        <w:t xml:space="preserve"> acordó un plan de trabajo para el Grupo de Expertos y </w:t>
      </w:r>
      <w:r>
        <w:rPr>
          <w:lang w:val="es-ES"/>
        </w:rPr>
        <w:t xml:space="preserve">se </w:t>
      </w:r>
      <w:r w:rsidR="008E5720" w:rsidRPr="008E5720">
        <w:rPr>
          <w:lang w:val="es-ES"/>
        </w:rPr>
        <w:t>aprobó una plantilla para el examen del RTI disposición por disposición.</w:t>
      </w:r>
    </w:p>
    <w:p w14:paraId="73CDAAD0" w14:textId="6A870475" w:rsidR="008E5720" w:rsidRPr="008E5720" w:rsidRDefault="008E5720" w:rsidP="008E5720">
      <w:pPr>
        <w:rPr>
          <w:lang w:val="es-ES"/>
        </w:rPr>
      </w:pPr>
      <w:r w:rsidRPr="008E5720">
        <w:rPr>
          <w:lang w:val="es-ES"/>
        </w:rPr>
        <w:t xml:space="preserve">De acuerdo con el plan de trabajo adoptado en la primera reunión, la </w:t>
      </w:r>
      <w:r>
        <w:rPr>
          <w:lang w:val="es-ES"/>
        </w:rPr>
        <w:t>cuarta</w:t>
      </w:r>
      <w:r w:rsidRPr="008E5720">
        <w:rPr>
          <w:lang w:val="es-ES"/>
        </w:rPr>
        <w:t xml:space="preserve"> reunión del GE-RTI debe realizar un estudio de las siguientes secciones del RTI:</w:t>
      </w:r>
    </w:p>
    <w:p w14:paraId="7A121383" w14:textId="0B28C922" w:rsidR="0058745E" w:rsidRPr="006613B2" w:rsidRDefault="0058745E" w:rsidP="0058745E">
      <w:pPr>
        <w:pStyle w:val="enumlev1"/>
      </w:pPr>
      <w:r w:rsidRPr="006613B2">
        <w:t>–</w:t>
      </w:r>
      <w:r w:rsidRPr="006613B2">
        <w:tab/>
        <w:t>Art</w:t>
      </w:r>
      <w:r w:rsidR="006613B2" w:rsidRPr="006613B2">
        <w:t>í</w:t>
      </w:r>
      <w:r w:rsidRPr="006613B2">
        <w:t>c</w:t>
      </w:r>
      <w:r w:rsidR="006613B2" w:rsidRPr="006613B2">
        <w:t>u</w:t>
      </w:r>
      <w:r w:rsidRPr="006613B2">
        <w:t>l</w:t>
      </w:r>
      <w:r w:rsidR="006613B2" w:rsidRPr="006613B2">
        <w:t>o</w:t>
      </w:r>
      <w:r w:rsidRPr="006613B2">
        <w:t xml:space="preserve"> 9 – </w:t>
      </w:r>
      <w:r w:rsidR="006613B2" w:rsidRPr="006613B2">
        <w:t>Suspensión de servicios</w:t>
      </w:r>
      <w:r w:rsidRPr="006613B2">
        <w:t>;</w:t>
      </w:r>
    </w:p>
    <w:p w14:paraId="22837F47" w14:textId="38701A2F" w:rsidR="0058745E" w:rsidRPr="006613B2" w:rsidRDefault="0058745E" w:rsidP="0058745E">
      <w:pPr>
        <w:pStyle w:val="enumlev1"/>
      </w:pPr>
      <w:r w:rsidRPr="006613B2">
        <w:t>–</w:t>
      </w:r>
      <w:r w:rsidRPr="006613B2">
        <w:tab/>
      </w:r>
      <w:r w:rsidR="006613B2" w:rsidRPr="006613B2">
        <w:t xml:space="preserve">Artículo </w:t>
      </w:r>
      <w:r w:rsidRPr="006613B2">
        <w:t xml:space="preserve">10 – </w:t>
      </w:r>
      <w:r w:rsidR="006613B2" w:rsidRPr="006613B2">
        <w:t>Difusión de información</w:t>
      </w:r>
      <w:r w:rsidRPr="006613B2">
        <w:t>;</w:t>
      </w:r>
    </w:p>
    <w:p w14:paraId="29B695D8" w14:textId="3259C0F3" w:rsidR="0058745E" w:rsidRPr="006613B2" w:rsidRDefault="0058745E" w:rsidP="0058745E">
      <w:pPr>
        <w:pStyle w:val="enumlev1"/>
      </w:pPr>
      <w:r w:rsidRPr="006613B2">
        <w:t>–</w:t>
      </w:r>
      <w:r w:rsidRPr="006613B2">
        <w:tab/>
      </w:r>
      <w:r w:rsidR="006613B2" w:rsidRPr="006613B2">
        <w:t xml:space="preserve">Artículo </w:t>
      </w:r>
      <w:r w:rsidRPr="006613B2">
        <w:t xml:space="preserve">11 – </w:t>
      </w:r>
      <w:r w:rsidR="006613B2" w:rsidRPr="006613B2">
        <w:t>Eficiencia energética/residuos electrónicos</w:t>
      </w:r>
      <w:r w:rsidRPr="006613B2">
        <w:t>;</w:t>
      </w:r>
    </w:p>
    <w:p w14:paraId="5C9F4B25" w14:textId="0AE766A4" w:rsidR="0058745E" w:rsidRPr="006613B2" w:rsidRDefault="0058745E" w:rsidP="0058745E">
      <w:pPr>
        <w:pStyle w:val="enumlev1"/>
      </w:pPr>
      <w:r w:rsidRPr="006613B2">
        <w:t>–</w:t>
      </w:r>
      <w:r w:rsidRPr="006613B2">
        <w:tab/>
      </w:r>
      <w:r w:rsidR="006613B2" w:rsidRPr="006613B2">
        <w:t xml:space="preserve">Artículo </w:t>
      </w:r>
      <w:r w:rsidRPr="006613B2">
        <w:t xml:space="preserve">12 – </w:t>
      </w:r>
      <w:r w:rsidR="006613B2" w:rsidRPr="006613B2">
        <w:t>Accesibilidad</w:t>
      </w:r>
      <w:r w:rsidRPr="006613B2">
        <w:t>;</w:t>
      </w:r>
    </w:p>
    <w:p w14:paraId="6612B5D0" w14:textId="3DCBADDC" w:rsidR="0058745E" w:rsidRPr="006613B2" w:rsidRDefault="0058745E" w:rsidP="0058745E">
      <w:pPr>
        <w:pStyle w:val="enumlev1"/>
      </w:pPr>
      <w:r w:rsidRPr="006613B2">
        <w:t>–</w:t>
      </w:r>
      <w:r w:rsidRPr="006613B2">
        <w:tab/>
      </w:r>
      <w:r w:rsidR="006613B2" w:rsidRPr="006613B2">
        <w:t xml:space="preserve">Artículo </w:t>
      </w:r>
      <w:r w:rsidRPr="006613B2">
        <w:t xml:space="preserve">13 – </w:t>
      </w:r>
      <w:r w:rsidR="006613B2" w:rsidRPr="006613B2">
        <w:t>Acuerdos particulares</w:t>
      </w:r>
      <w:r w:rsidRPr="006613B2">
        <w:t>;</w:t>
      </w:r>
    </w:p>
    <w:p w14:paraId="76D5D190" w14:textId="029C6D41" w:rsidR="0058745E" w:rsidRPr="006613B2" w:rsidRDefault="0058745E" w:rsidP="0058745E">
      <w:pPr>
        <w:pStyle w:val="enumlev1"/>
      </w:pPr>
      <w:r w:rsidRPr="006613B2">
        <w:t>–</w:t>
      </w:r>
      <w:r w:rsidRPr="006613B2">
        <w:tab/>
      </w:r>
      <w:r w:rsidR="006613B2" w:rsidRPr="006613B2">
        <w:t xml:space="preserve">Artículo </w:t>
      </w:r>
      <w:r w:rsidRPr="006613B2">
        <w:t xml:space="preserve">14 – </w:t>
      </w:r>
      <w:r w:rsidR="006613B2" w:rsidRPr="006613B2">
        <w:t>Disposiciones finales</w:t>
      </w:r>
      <w:r w:rsidRPr="006613B2">
        <w:t>;</w:t>
      </w:r>
    </w:p>
    <w:p w14:paraId="03D57BD3" w14:textId="65C9FAEF" w:rsidR="0058745E" w:rsidRPr="006613B2" w:rsidRDefault="0058745E" w:rsidP="006613B2">
      <w:pPr>
        <w:pStyle w:val="enumlev1"/>
      </w:pPr>
      <w:r w:rsidRPr="006613B2">
        <w:t>–</w:t>
      </w:r>
      <w:r w:rsidRPr="006613B2">
        <w:tab/>
        <w:t>Ap</w:t>
      </w:r>
      <w:r w:rsidR="006613B2">
        <w:t>é</w:t>
      </w:r>
      <w:r w:rsidRPr="006613B2">
        <w:t>ndi</w:t>
      </w:r>
      <w:r w:rsidR="006613B2">
        <w:t>ce</w:t>
      </w:r>
      <w:r w:rsidRPr="006613B2">
        <w:t xml:space="preserve"> 2 – </w:t>
      </w:r>
      <w:r w:rsidR="006613B2">
        <w:t>Disposiciones adicionales relativas a las telecomunicaciones marítimas</w:t>
      </w:r>
      <w:r w:rsidRPr="006613B2">
        <w:t>.</w:t>
      </w:r>
    </w:p>
    <w:p w14:paraId="4DAD0CBB" w14:textId="0F0CD1E4" w:rsidR="008E5720" w:rsidRPr="008E5720" w:rsidRDefault="008E5720" w:rsidP="008E5720">
      <w:pPr>
        <w:rPr>
          <w:lang w:val="es-ES"/>
        </w:rPr>
      </w:pPr>
      <w:r w:rsidRPr="008E5720">
        <w:rPr>
          <w:lang w:val="es-ES"/>
        </w:rPr>
        <w:t xml:space="preserve">La posición de la Federación de Rusia respecto de las disposiciones del RTI que han de examinarse en la </w:t>
      </w:r>
      <w:r w:rsidR="006613B2">
        <w:rPr>
          <w:lang w:val="es-ES"/>
        </w:rPr>
        <w:t>cuarta</w:t>
      </w:r>
      <w:r w:rsidRPr="008E5720">
        <w:rPr>
          <w:lang w:val="es-ES"/>
        </w:rPr>
        <w:t xml:space="preserve"> reunión del GE-RTI se detalla en el Cuadro 1 que se presenta más abajo.</w:t>
      </w:r>
    </w:p>
    <w:p w14:paraId="02CE35A2" w14:textId="13CB1DE8" w:rsidR="008E5720" w:rsidRPr="008E5720" w:rsidRDefault="00B41B5C" w:rsidP="008E5720">
      <w:pPr>
        <w:rPr>
          <w:lang w:val="es-ES"/>
        </w:rPr>
      </w:pPr>
      <w:r>
        <w:rPr>
          <w:lang w:val="es-ES"/>
        </w:rPr>
        <w:t>La Federación de Rusia señala que</w:t>
      </w:r>
      <w:r w:rsidR="006613B2" w:rsidRPr="006613B2">
        <w:rPr>
          <w:lang w:val="es-ES"/>
        </w:rPr>
        <w:t xml:space="preserve"> </w:t>
      </w:r>
      <w:r w:rsidR="008E5720" w:rsidRPr="008E5720">
        <w:rPr>
          <w:lang w:val="es-ES"/>
        </w:rPr>
        <w:t>el RTI de 1988 no ha permitido responder a los cambios que se han producido en el ecosistema de las telecomunicaciones/TIC desde 1988. Además, el RTI de 1988 utiliza una terminología que no responde a la de las actuales disposiciones de la Constitución y el Convenio de la UIT,</w:t>
      </w:r>
      <w:r>
        <w:rPr>
          <w:lang w:val="es-ES"/>
        </w:rPr>
        <w:t xml:space="preserve"> ni a la utilizada en las Resoluciones de la Conferencia de Plenipotenciarios, además de</w:t>
      </w:r>
      <w:r w:rsidR="008E5720" w:rsidRPr="008E5720">
        <w:rPr>
          <w:lang w:val="es-ES"/>
        </w:rPr>
        <w:t xml:space="preserve"> términos anticuados que dan lugar a </w:t>
      </w:r>
      <w:r>
        <w:rPr>
          <w:lang w:val="es-ES"/>
        </w:rPr>
        <w:t xml:space="preserve">interpretaciones </w:t>
      </w:r>
      <w:r w:rsidR="008E5720" w:rsidRPr="008E5720">
        <w:rPr>
          <w:lang w:val="es-ES"/>
        </w:rPr>
        <w:t>equivoca</w:t>
      </w:r>
      <w:r>
        <w:rPr>
          <w:lang w:val="es-ES"/>
        </w:rPr>
        <w:t>das</w:t>
      </w:r>
      <w:r w:rsidR="008E5720" w:rsidRPr="008E5720">
        <w:rPr>
          <w:lang w:val="es-ES"/>
        </w:rPr>
        <w:t xml:space="preserve"> y errores en la aplicación del R</w:t>
      </w:r>
      <w:r>
        <w:rPr>
          <w:lang w:val="es-ES"/>
        </w:rPr>
        <w:t>TI de 1988</w:t>
      </w:r>
      <w:r w:rsidR="008E5720" w:rsidRPr="008E5720">
        <w:rPr>
          <w:lang w:val="es-ES"/>
        </w:rPr>
        <w:t>.</w:t>
      </w:r>
    </w:p>
    <w:p w14:paraId="19F27DA9" w14:textId="4855CB76" w:rsidR="0058745E" w:rsidRPr="00B41B5C" w:rsidRDefault="00B41B5C" w:rsidP="0058745E">
      <w:pPr>
        <w:rPr>
          <w:lang w:val="es-ES"/>
        </w:rPr>
      </w:pPr>
      <w:r w:rsidRPr="00B41B5C">
        <w:rPr>
          <w:lang w:val="es-ES"/>
        </w:rPr>
        <w:t>Además de responder a los cambios experimentados por el ecosistema de las telecomunicaciones/TIC desde</w:t>
      </w:r>
      <w:r>
        <w:rPr>
          <w:lang w:val="es-ES"/>
        </w:rPr>
        <w:t xml:space="preserve"> 1988</w:t>
      </w:r>
      <w:r w:rsidRPr="00B41B5C">
        <w:rPr>
          <w:lang w:val="es-ES"/>
        </w:rPr>
        <w:t xml:space="preserve">, en concreto </w:t>
      </w:r>
      <w:r>
        <w:rPr>
          <w:lang w:val="es-ES"/>
        </w:rPr>
        <w:t xml:space="preserve">y entre otros </w:t>
      </w:r>
      <w:r w:rsidRPr="00B41B5C">
        <w:rPr>
          <w:lang w:val="es-ES"/>
        </w:rPr>
        <w:t>el cambio de la propiedad y el control de los si</w:t>
      </w:r>
      <w:r>
        <w:rPr>
          <w:lang w:val="es-ES"/>
        </w:rPr>
        <w:t>s</w:t>
      </w:r>
      <w:r w:rsidRPr="00B41B5C">
        <w:rPr>
          <w:lang w:val="es-ES"/>
        </w:rPr>
        <w:t xml:space="preserve">temas y redes de telecomunicaciones/TIC, que han pasado de ser públicos a privados, </w:t>
      </w:r>
      <w:r>
        <w:rPr>
          <w:lang w:val="es-ES"/>
        </w:rPr>
        <w:t>el RTI de 2012 responde a muchos de los problemas actuales relacionados con la protección d</w:t>
      </w:r>
      <w:r w:rsidR="00BF19E0">
        <w:rPr>
          <w:lang w:val="es-ES"/>
        </w:rPr>
        <w:t xml:space="preserve">el medio ambiente (Artículo 11 </w:t>
      </w:r>
      <w:r w:rsidR="00BF19E0" w:rsidRPr="00BF19E0">
        <w:rPr>
          <w:lang w:val="es-ES"/>
        </w:rPr>
        <w:t>–</w:t>
      </w:r>
      <w:r>
        <w:rPr>
          <w:lang w:val="es-ES"/>
        </w:rPr>
        <w:t xml:space="preserve"> </w:t>
      </w:r>
      <w:r w:rsidRPr="006613B2">
        <w:t>Eficiencia energética/residuos electrónicos</w:t>
      </w:r>
      <w:r>
        <w:t>) y el acceso a las telecomunicaciones/TIC de las personas</w:t>
      </w:r>
      <w:r w:rsidR="00BF19E0">
        <w:t xml:space="preserve"> con discapacidad (Artículo 12 –</w:t>
      </w:r>
      <w:r>
        <w:t xml:space="preserve"> Accesibilidad</w:t>
      </w:r>
      <w:r w:rsidR="0058745E" w:rsidRPr="00B41B5C">
        <w:rPr>
          <w:lang w:val="es-ES"/>
        </w:rPr>
        <w:t xml:space="preserve">). </w:t>
      </w:r>
      <w:r w:rsidRPr="00B41B5C">
        <w:rPr>
          <w:lang w:val="es-ES"/>
        </w:rPr>
        <w:lastRenderedPageBreak/>
        <w:t>Estos requisitos, aceptados a escala internacional, reflejan los cambios del entorno socioeconómico, pero no se contemplan en modo al</w:t>
      </w:r>
      <w:r>
        <w:rPr>
          <w:lang w:val="es-ES"/>
        </w:rPr>
        <w:t>guno en las disposiciones del RTI de 1988</w:t>
      </w:r>
      <w:r w:rsidR="0058745E" w:rsidRPr="00B41B5C">
        <w:rPr>
          <w:lang w:val="es-ES"/>
        </w:rPr>
        <w:t>.</w:t>
      </w:r>
    </w:p>
    <w:p w14:paraId="06CB87B4" w14:textId="3AA4F412" w:rsidR="0058745E" w:rsidRPr="009C29AF" w:rsidRDefault="00B41B5C" w:rsidP="0058745E">
      <w:pPr>
        <w:rPr>
          <w:lang w:val="es-ES"/>
        </w:rPr>
      </w:pPr>
      <w:r w:rsidRPr="00B41B5C">
        <w:rPr>
          <w:lang w:val="es-ES"/>
        </w:rPr>
        <w:t>A la hora de perfilar el RTI convendría incluir en el Reglamento términos y/o disposiciones relativas a distintos aspectos de la reglamentación internacional que contribuirán a acelerar el desarrollo, la implementación y la utilización d</w:t>
      </w:r>
      <w:r>
        <w:rPr>
          <w:lang w:val="es-ES"/>
        </w:rPr>
        <w:t>e las telecomunicaciones/TIC, sobre todo en los países en desarrollo</w:t>
      </w:r>
      <w:r w:rsidR="0058745E" w:rsidRPr="00B41B5C">
        <w:rPr>
          <w:lang w:val="es-ES"/>
        </w:rPr>
        <w:t xml:space="preserve">. </w:t>
      </w:r>
      <w:r w:rsidRPr="00B41B5C">
        <w:rPr>
          <w:lang w:val="es-ES"/>
        </w:rPr>
        <w:t>Es imperativo que las disposiciones del RTI contribuyan al cierre de la brecha digital, la transformación digital, la protección de la</w:t>
      </w:r>
      <w:r>
        <w:rPr>
          <w:lang w:val="es-ES"/>
        </w:rPr>
        <w:t xml:space="preserve"> privacidad y los datos personales, la utilización de las telecomunicaciones/TIC en situaciones de emergencia, incluidas pandemias, y </w:t>
      </w:r>
      <w:r w:rsidR="009C29AF">
        <w:rPr>
          <w:lang w:val="es-ES"/>
        </w:rPr>
        <w:t xml:space="preserve">la consecución de los ODS. </w:t>
      </w:r>
      <w:r w:rsidR="009C29AF" w:rsidRPr="009C29AF">
        <w:rPr>
          <w:lang w:val="es-ES"/>
        </w:rPr>
        <w:t>El RTI debe facilitar la prestación de servicios universales, la reducción de los costes de itinerancia, la reducción de los mensajes d</w:t>
      </w:r>
      <w:r w:rsidR="009C29AF">
        <w:rPr>
          <w:lang w:val="es-ES"/>
        </w:rPr>
        <w:t>e telecomunicaciones no solicitados (incluido el</w:t>
      </w:r>
      <w:r w:rsidR="0058745E" w:rsidRPr="009C29AF">
        <w:rPr>
          <w:lang w:val="es-ES"/>
        </w:rPr>
        <w:t xml:space="preserve"> spam) </w:t>
      </w:r>
      <w:r w:rsidR="009C29AF" w:rsidRPr="009C29AF">
        <w:rPr>
          <w:lang w:val="es-ES"/>
        </w:rPr>
        <w:t>y</w:t>
      </w:r>
      <w:r w:rsidR="009C29AF">
        <w:rPr>
          <w:lang w:val="es-ES"/>
        </w:rPr>
        <w:t xml:space="preserve"> la aplicación de las principales decisiones adoptadas por la Conferencia de Plenipotenciarios, la Conferencia Mundial de Radiocomunicaciones, la Asamblea de Radiocomunicaciones, la Asamblea Mundial de Normalización de las Telecomunicaciones y la Conferencia Mundial de Desarrollo de las Telecomunicaciones. </w:t>
      </w:r>
      <w:r w:rsidR="009C29AF" w:rsidRPr="009C29AF">
        <w:rPr>
          <w:lang w:val="es-ES"/>
        </w:rPr>
        <w:t>Uno de los objetivos primordiales del RTI es crear confianza y seguridad en la utilización d</w:t>
      </w:r>
      <w:r w:rsidR="009C29AF">
        <w:rPr>
          <w:lang w:val="es-ES"/>
        </w:rPr>
        <w:t>e las telecomunicaciones/TIC a escala internacional</w:t>
      </w:r>
      <w:r w:rsidR="0058745E" w:rsidRPr="009C29AF">
        <w:rPr>
          <w:lang w:val="es-ES"/>
        </w:rPr>
        <w:t>.</w:t>
      </w:r>
    </w:p>
    <w:p w14:paraId="21AABB85" w14:textId="77777777" w:rsidR="0058745E" w:rsidRPr="009C29AF" w:rsidRDefault="0058745E" w:rsidP="0058745E">
      <w:pPr>
        <w:rPr>
          <w:lang w:val="es-ES"/>
        </w:rPr>
      </w:pPr>
    </w:p>
    <w:p w14:paraId="61B7AA75" w14:textId="77777777" w:rsidR="0058745E" w:rsidRPr="009C29AF" w:rsidRDefault="0058745E" w:rsidP="00D92832">
      <w:pPr>
        <w:rPr>
          <w:lang w:val="es-ES"/>
        </w:rPr>
        <w:sectPr w:rsidR="0058745E" w:rsidRPr="009C29AF" w:rsidSect="006710F6">
          <w:headerReference w:type="default" r:id="rId8"/>
          <w:footerReference w:type="default" r:id="rId9"/>
          <w:footerReference w:type="first" r:id="rId10"/>
          <w:pgSz w:w="11907" w:h="16834"/>
          <w:pgMar w:top="1418" w:right="1134" w:bottom="1418" w:left="1134" w:header="720" w:footer="720" w:gutter="0"/>
          <w:paperSrc w:first="15" w:other="15"/>
          <w:cols w:space="720"/>
          <w:titlePg/>
        </w:sectPr>
      </w:pPr>
    </w:p>
    <w:p w14:paraId="2BBE1C51" w14:textId="46AFC6C8" w:rsidR="0058745E" w:rsidRPr="0058745E" w:rsidRDefault="0058745E" w:rsidP="0058745E">
      <w:pPr>
        <w:pStyle w:val="TableNo"/>
        <w:rPr>
          <w:lang w:val="en-GB"/>
        </w:rPr>
      </w:pPr>
      <w:bookmarkStart w:id="8" w:name="lt_pId025"/>
      <w:r>
        <w:rPr>
          <w:lang w:val="en-GB"/>
        </w:rPr>
        <w:lastRenderedPageBreak/>
        <w:t>Cuadro</w:t>
      </w:r>
      <w:r w:rsidRPr="0058745E">
        <w:rPr>
          <w:lang w:val="en-GB"/>
        </w:rPr>
        <w:t xml:space="preserve"> 1</w:t>
      </w:r>
      <w:bookmarkEnd w:id="8"/>
    </w:p>
    <w:tbl>
      <w:tblPr>
        <w:tblStyle w:val="TableGrid"/>
        <w:tblW w:w="5000" w:type="pct"/>
        <w:jc w:val="center"/>
        <w:tblLayout w:type="fixed"/>
        <w:tblCellMar>
          <w:left w:w="29" w:type="dxa"/>
          <w:right w:w="29" w:type="dxa"/>
        </w:tblCellMar>
        <w:tblLook w:val="04A0" w:firstRow="1" w:lastRow="0" w:firstColumn="1" w:lastColumn="0" w:noHBand="0" w:noVBand="1"/>
      </w:tblPr>
      <w:tblGrid>
        <w:gridCol w:w="944"/>
        <w:gridCol w:w="3358"/>
        <w:gridCol w:w="3225"/>
        <w:gridCol w:w="2120"/>
        <w:gridCol w:w="2054"/>
        <w:gridCol w:w="2287"/>
      </w:tblGrid>
      <w:tr w:rsidR="0058745E" w:rsidRPr="00A164C9" w14:paraId="0DF0CF0F" w14:textId="77777777" w:rsidTr="0058745E">
        <w:trPr>
          <w:tblHeader/>
          <w:jc w:val="center"/>
        </w:trPr>
        <w:tc>
          <w:tcPr>
            <w:tcW w:w="944"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3D0565C4" w14:textId="33E7E807" w:rsidR="0058745E" w:rsidRPr="00A164C9" w:rsidRDefault="006613B2" w:rsidP="0058745E">
            <w:pPr>
              <w:pStyle w:val="Tablehead"/>
              <w:rPr>
                <w:lang w:val="es-ES"/>
              </w:rPr>
            </w:pPr>
            <w:bookmarkStart w:id="9" w:name="_Hlk50113064"/>
            <w:r w:rsidRPr="00A164C9">
              <w:rPr>
                <w:lang w:val="es-ES"/>
              </w:rPr>
              <w:t>Artículo de 2012</w:t>
            </w: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131DF2F6" w14:textId="3442AF55" w:rsidR="0058745E" w:rsidRPr="00A164C9" w:rsidRDefault="006613B2" w:rsidP="0058745E">
            <w:pPr>
              <w:pStyle w:val="Tablehead"/>
              <w:rPr>
                <w:lang w:val="es-ES"/>
              </w:rPr>
            </w:pPr>
            <w:r w:rsidRPr="00A164C9">
              <w:rPr>
                <w:lang w:val="es-ES"/>
              </w:rPr>
              <w:t>Párrafo y disposición</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7EFE8A46" w14:textId="2AB9530E" w:rsidR="0058745E" w:rsidRPr="00A164C9" w:rsidRDefault="006613B2" w:rsidP="006613B2">
            <w:pPr>
              <w:pStyle w:val="Tablehead"/>
              <w:rPr>
                <w:lang w:val="es-ES"/>
              </w:rPr>
            </w:pPr>
            <w:r w:rsidRPr="00A164C9">
              <w:rPr>
                <w:lang w:val="es-ES"/>
              </w:rPr>
              <w:t>Párrafo y disposición conexos de 1988</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60BA781" w14:textId="444F2132" w:rsidR="0058745E" w:rsidRPr="00A164C9" w:rsidRDefault="006613B2" w:rsidP="006613B2">
            <w:pPr>
              <w:pStyle w:val="Tablehead"/>
              <w:rPr>
                <w:lang w:val="es-ES"/>
              </w:rPr>
            </w:pPr>
            <w:r w:rsidRPr="00A164C9">
              <w:rPr>
                <w:lang w:val="es-ES"/>
              </w:rPr>
              <w:t>Aplicabilidad para fomentar la prestación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0825ADF3" w14:textId="17079BA0" w:rsidR="0058745E" w:rsidRPr="00A164C9" w:rsidRDefault="006613B2" w:rsidP="0058745E">
            <w:pPr>
              <w:pStyle w:val="Tablehead"/>
              <w:rPr>
                <w:lang w:val="es-ES"/>
              </w:rPr>
            </w:pPr>
            <w:r w:rsidRPr="00A164C9">
              <w:rPr>
                <w:lang w:val="es-ES"/>
              </w:rPr>
              <w:t>Flexibilidad para adaptarse a las nuevas tendencias y a los problemas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vAlign w:val="center"/>
            <w:hideMark/>
          </w:tcPr>
          <w:p w14:paraId="288EEB97" w14:textId="65BACDDF" w:rsidR="0058745E" w:rsidRPr="00A164C9" w:rsidRDefault="006613B2" w:rsidP="0058745E">
            <w:pPr>
              <w:pStyle w:val="Tablehead"/>
              <w:rPr>
                <w:lang w:val="es-ES"/>
              </w:rPr>
            </w:pPr>
            <w:r w:rsidRPr="00A164C9">
              <w:rPr>
                <w:lang w:val="es-ES"/>
              </w:rPr>
              <w:t>Resultado resumido</w:t>
            </w:r>
          </w:p>
        </w:tc>
      </w:tr>
      <w:tr w:rsidR="0058745E" w:rsidRPr="0058745E" w14:paraId="0A2E0BEE" w14:textId="77777777" w:rsidTr="0058745E">
        <w:trPr>
          <w:jc w:val="center"/>
        </w:trPr>
        <w:tc>
          <w:tcPr>
            <w:tcW w:w="944" w:type="dxa"/>
            <w:vMerge w:val="restart"/>
            <w:tcBorders>
              <w:top w:val="single" w:sz="4" w:space="0" w:color="auto"/>
              <w:left w:val="single" w:sz="4" w:space="0" w:color="auto"/>
              <w:right w:val="single" w:sz="4" w:space="0" w:color="auto"/>
            </w:tcBorders>
            <w:noWrap/>
            <w:tcMar>
              <w:left w:w="85" w:type="dxa"/>
              <w:right w:w="85" w:type="dxa"/>
            </w:tcMar>
            <w:textDirection w:val="btLr"/>
            <w:vAlign w:val="center"/>
          </w:tcPr>
          <w:p w14:paraId="6A4425B3" w14:textId="37E47A3C" w:rsidR="0058745E" w:rsidRPr="0058745E" w:rsidRDefault="00574CCE" w:rsidP="00F47C94">
            <w:pPr>
              <w:pStyle w:val="Tabletext"/>
              <w:jc w:val="center"/>
              <w:rPr>
                <w:b/>
                <w:lang w:val="es-ES"/>
              </w:rPr>
            </w:pPr>
            <w:bookmarkStart w:id="10" w:name="lt_pId047"/>
            <w:bookmarkStart w:id="11" w:name="_Hlk61592602"/>
            <w:bookmarkEnd w:id="9"/>
            <w:r w:rsidRPr="00A164C9">
              <w:rPr>
                <w:b/>
                <w:lang w:val="es-ES"/>
              </w:rPr>
              <w:t>ARTÍCULO</w:t>
            </w:r>
            <w:r w:rsidRPr="0058745E">
              <w:rPr>
                <w:b/>
                <w:lang w:val="es-ES"/>
              </w:rPr>
              <w:t xml:space="preserve"> </w:t>
            </w:r>
            <w:r w:rsidR="0058745E" w:rsidRPr="0058745E">
              <w:rPr>
                <w:b/>
                <w:lang w:val="es-ES"/>
              </w:rPr>
              <w:t xml:space="preserve">9 − </w:t>
            </w:r>
            <w:r w:rsidR="006613B2" w:rsidRPr="00A164C9">
              <w:rPr>
                <w:b/>
                <w:lang w:val="es-ES"/>
              </w:rPr>
              <w:t>Suspensión de servicios</w:t>
            </w:r>
            <w:bookmarkEnd w:id="10"/>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3672728" w14:textId="48701E8C" w:rsidR="0058745E" w:rsidRPr="00A164C9" w:rsidRDefault="0058745E" w:rsidP="006613B2">
            <w:pPr>
              <w:pStyle w:val="Tabletext"/>
              <w:rPr>
                <w:lang w:val="es-ES"/>
              </w:rPr>
            </w:pPr>
            <w:r w:rsidRPr="00A164C9">
              <w:rPr>
                <w:b/>
                <w:lang w:val="es-ES"/>
              </w:rPr>
              <w:t>68  </w:t>
            </w:r>
            <w:r w:rsidRPr="00A164C9">
              <w:rPr>
                <w:lang w:val="es-ES"/>
              </w:rPr>
              <w:t>9.1</w:t>
            </w:r>
            <w:r w:rsidRPr="00A164C9">
              <w:rPr>
                <w:lang w:val="es-ES"/>
              </w:rPr>
              <w:tab/>
            </w:r>
            <w:r w:rsidR="00F47C94" w:rsidRPr="00A164C9">
              <w:rPr>
                <w:lang w:val="es-ES"/>
              </w:rPr>
              <w:t>Si de conformidad con la Constitución y el Convenio, un Estado Miembro ejerce su derecho a suspender parcial o totalmente los servicios internacionales de telecomunicación, notificará inmediatamente al Secretario General dicha suspensión y el ulterior restablecimiento de la normalidad, utilizando para ello el medio de comunicación más adecuado.</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7560F49" w14:textId="3203E503" w:rsidR="0058745E" w:rsidRPr="00A164C9" w:rsidRDefault="0058745E" w:rsidP="006613B2">
            <w:pPr>
              <w:pStyle w:val="Tabletext"/>
              <w:rPr>
                <w:lang w:val="es-ES"/>
              </w:rPr>
            </w:pPr>
            <w:r w:rsidRPr="00A164C9">
              <w:rPr>
                <w:b/>
                <w:lang w:val="es-ES"/>
              </w:rPr>
              <w:t>55  </w:t>
            </w:r>
            <w:r w:rsidRPr="00A164C9">
              <w:rPr>
                <w:lang w:val="es-ES"/>
              </w:rPr>
              <w:t>7.1</w:t>
            </w:r>
            <w:r w:rsidRPr="00A164C9">
              <w:rPr>
                <w:lang w:val="es-ES"/>
              </w:rPr>
              <w:tab/>
            </w:r>
            <w:r w:rsidR="00F47C94" w:rsidRPr="00A164C9">
              <w:rPr>
                <w:lang w:val="es-ES"/>
              </w:rPr>
              <w:t>Si de conformidad con el Convenio, un Miembro ejerce su derecho a suspender parcial o totalmente el servicio internacional de telecomunicación, notificará inmediatamente al Secretario General dicha suspensión y el ulterior restablecimiento de la normalidad, utilizando para ello el medio de comunicación más adecuado.</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B95309E" w14:textId="72129E63" w:rsidR="0058745E" w:rsidRPr="00A164C9"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5771A15" w14:textId="0E78EA9B"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3054B2" w14:textId="45E0CFB4"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3D2B824F" w14:textId="77777777" w:rsidTr="0058745E">
        <w:trPr>
          <w:jc w:val="center"/>
        </w:trPr>
        <w:tc>
          <w:tcPr>
            <w:tcW w:w="944" w:type="dxa"/>
            <w:vMerge/>
            <w:tcBorders>
              <w:left w:val="single" w:sz="4" w:space="0" w:color="auto"/>
              <w:right w:val="single" w:sz="4" w:space="0" w:color="auto"/>
            </w:tcBorders>
            <w:noWrap/>
            <w:tcMar>
              <w:left w:w="85" w:type="dxa"/>
              <w:right w:w="85" w:type="dxa"/>
            </w:tcMar>
          </w:tcPr>
          <w:p w14:paraId="238C6614" w14:textId="77777777" w:rsidR="0058745E" w:rsidRPr="0058745E" w:rsidRDefault="0058745E" w:rsidP="0058745E">
            <w:pPr>
              <w:rPr>
                <w:bCs/>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C34E515" w14:textId="17020A9B" w:rsidR="0058745E" w:rsidRPr="00A164C9" w:rsidRDefault="0058745E" w:rsidP="006613B2">
            <w:pPr>
              <w:pStyle w:val="Tabletext"/>
              <w:rPr>
                <w:lang w:val="es-ES"/>
              </w:rPr>
            </w:pPr>
            <w:r w:rsidRPr="00A164C9">
              <w:rPr>
                <w:b/>
                <w:lang w:val="es-ES"/>
              </w:rPr>
              <w:t>69  </w:t>
            </w:r>
            <w:r w:rsidRPr="00A164C9">
              <w:rPr>
                <w:lang w:val="es-ES"/>
              </w:rPr>
              <w:t>9.2</w:t>
            </w:r>
            <w:r w:rsidRPr="00A164C9">
              <w:rPr>
                <w:lang w:val="es-ES"/>
              </w:rPr>
              <w:tab/>
            </w:r>
            <w:r w:rsidR="00F47C94" w:rsidRPr="00A164C9">
              <w:rPr>
                <w:lang w:val="es-ES"/>
              </w:rPr>
              <w:t>El Secretario General transmitirá inmediatamente esta información a todos los demás Estados Miembros, por el medio de comunicación más adecuado.</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4452BF8" w14:textId="078A503B" w:rsidR="0058745E" w:rsidRPr="00A164C9" w:rsidRDefault="0058745E" w:rsidP="006613B2">
            <w:pPr>
              <w:pStyle w:val="Tabletext"/>
              <w:rPr>
                <w:bCs/>
                <w:lang w:val="es-ES"/>
              </w:rPr>
            </w:pPr>
            <w:r w:rsidRPr="00A164C9">
              <w:rPr>
                <w:b/>
                <w:lang w:val="es-ES"/>
              </w:rPr>
              <w:t>56  </w:t>
            </w:r>
            <w:r w:rsidRPr="00A164C9">
              <w:rPr>
                <w:lang w:val="es-ES"/>
              </w:rPr>
              <w:t>7.2</w:t>
            </w:r>
            <w:r w:rsidRPr="00A164C9">
              <w:rPr>
                <w:lang w:val="es-ES"/>
              </w:rPr>
              <w:tab/>
            </w:r>
            <w:r w:rsidR="00F47C94" w:rsidRPr="00A164C9">
              <w:rPr>
                <w:lang w:val="es-ES"/>
              </w:rPr>
              <w:t>El Secretario General transmitirá inmediatamente esta información a todos los demás Miembros, por el medio de comunicación más adecuado.</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CB4C507" w14:textId="46972D8A"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DF761CD" w14:textId="03237A31"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6FE184" w14:textId="29433676"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6EF0D32F" w14:textId="77777777" w:rsidTr="0058745E">
        <w:trPr>
          <w:trHeight w:val="3458"/>
          <w:jc w:val="center"/>
        </w:trPr>
        <w:tc>
          <w:tcPr>
            <w:tcW w:w="944" w:type="dxa"/>
            <w:vMerge w:val="restart"/>
            <w:tcBorders>
              <w:left w:val="single" w:sz="4" w:space="0" w:color="auto"/>
              <w:right w:val="single" w:sz="4" w:space="0" w:color="auto"/>
            </w:tcBorders>
            <w:noWrap/>
            <w:tcMar>
              <w:left w:w="85" w:type="dxa"/>
              <w:right w:w="85" w:type="dxa"/>
            </w:tcMar>
            <w:textDirection w:val="btLr"/>
            <w:vAlign w:val="center"/>
          </w:tcPr>
          <w:p w14:paraId="4932E631" w14:textId="4985E407" w:rsidR="0058745E" w:rsidRPr="0058745E" w:rsidRDefault="00F47C94" w:rsidP="00F47C94">
            <w:pPr>
              <w:pStyle w:val="Tabletext"/>
              <w:jc w:val="center"/>
              <w:rPr>
                <w:b/>
                <w:lang w:val="es-ES"/>
              </w:rPr>
            </w:pPr>
            <w:bookmarkStart w:id="12" w:name="lt_pId062"/>
            <w:r w:rsidRPr="00A164C9">
              <w:rPr>
                <w:b/>
                <w:lang w:val="es-ES"/>
              </w:rPr>
              <w:lastRenderedPageBreak/>
              <w:t xml:space="preserve">ARTÍCULO </w:t>
            </w:r>
            <w:r w:rsidR="0058745E" w:rsidRPr="0058745E">
              <w:rPr>
                <w:b/>
                <w:lang w:val="es-ES"/>
              </w:rPr>
              <w:t xml:space="preserve">10 – </w:t>
            </w:r>
            <w:r w:rsidRPr="00A164C9">
              <w:rPr>
                <w:b/>
                <w:lang w:val="es-ES"/>
              </w:rPr>
              <w:t>Difusión de información</w:t>
            </w:r>
            <w:bookmarkEnd w:id="12"/>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40B5C94E" w14:textId="6CF13E9F" w:rsidR="0058745E" w:rsidRPr="0058745E" w:rsidRDefault="0058745E" w:rsidP="0058745E">
            <w:pPr>
              <w:pStyle w:val="Tabletext"/>
              <w:rPr>
                <w:b/>
                <w:lang w:val="es-ES"/>
              </w:rPr>
            </w:pPr>
            <w:r w:rsidRPr="0058745E">
              <w:rPr>
                <w:b/>
                <w:lang w:val="es-ES"/>
              </w:rPr>
              <w:t>70  </w:t>
            </w:r>
            <w:r w:rsidRPr="0058745E">
              <w:rPr>
                <w:lang w:val="es-ES"/>
              </w:rPr>
              <w:t>10.1</w:t>
            </w:r>
            <w:r w:rsidRPr="0058745E">
              <w:rPr>
                <w:lang w:val="es-ES"/>
              </w:rPr>
              <w:tab/>
            </w:r>
            <w:r w:rsidR="00F47C94" w:rsidRPr="00A164C9">
              <w:rPr>
                <w:lang w:val="es-ES"/>
              </w:rPr>
              <w:t>Utilizando los medios más adecuados y económicos, el Secretario General difundirá la información administrativa, de explotación o estadística proporcionada sobre los servicios internacionales de telecomunicación. Esa difusión se hará de conformidad con las disposiciones pertinentes de la Constitución, el Convenio y este Artículo, sobre la base de las decisiones adoptadas por el Consejo o por las Conferencias competentes de la UIT, y teniendo en cuenta las conclusiones o decisiones de las Asambleas de la UIT. Si lo autoriza el Estado Miembro correspondiente, una empresa de explotación autorizada puede transmitir directamente la información al Secretario General, que se encargará de difundirla. Los Estados Miembros comunicarán esa información al Secretario General sin demora y con arreglo a las Recomendaciones UIT-T pertinentes.</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18F89792" w14:textId="698AF34A" w:rsidR="0058745E" w:rsidRPr="0058745E" w:rsidRDefault="0058745E" w:rsidP="0058745E">
            <w:pPr>
              <w:pStyle w:val="Tabletext"/>
              <w:rPr>
                <w:b/>
                <w:lang w:val="es-ES"/>
              </w:rPr>
            </w:pPr>
            <w:r w:rsidRPr="0058745E">
              <w:rPr>
                <w:b/>
                <w:lang w:val="es-ES"/>
              </w:rPr>
              <w:t>57  </w:t>
            </w:r>
            <w:r w:rsidRPr="0058745E">
              <w:rPr>
                <w:b/>
                <w:lang w:val="es-ES"/>
              </w:rPr>
              <w:tab/>
            </w:r>
            <w:r w:rsidR="00F47C94" w:rsidRPr="00A164C9">
              <w:rPr>
                <w:lang w:val="es-ES"/>
              </w:rPr>
              <w:t>Utilizando los medios más adecuados y económicos, el Secretario General difundirá la información administrativa, estadística, de explotación o de tarificación relativa a las rutas y servicios internacionales de telecomunicación, proporcionada por las administraciones</w:t>
            </w:r>
            <w:r w:rsidR="00F47C94" w:rsidRPr="00A164C9">
              <w:rPr>
                <w:lang w:val="es-ES"/>
              </w:rPr>
              <w:fldChar w:fldCharType="begin"/>
            </w:r>
            <w:r w:rsidR="00F47C94" w:rsidRPr="00A164C9">
              <w:rPr>
                <w:lang w:val="es-ES"/>
              </w:rPr>
              <w:instrText xml:space="preserve"> NOTEREF _Ref319417134 \f \h </w:instrText>
            </w:r>
            <w:r w:rsidR="00F47C94" w:rsidRPr="00A164C9">
              <w:rPr>
                <w:lang w:val="es-ES"/>
              </w:rPr>
            </w:r>
            <w:r w:rsidR="00F47C94" w:rsidRPr="00A164C9">
              <w:rPr>
                <w:lang w:val="es-ES"/>
              </w:rPr>
              <w:fldChar w:fldCharType="separate"/>
            </w:r>
            <w:r w:rsidR="00F47C94" w:rsidRPr="00A164C9">
              <w:rPr>
                <w:lang w:val="es-ES"/>
              </w:rPr>
              <w:t>*</w:t>
            </w:r>
            <w:r w:rsidR="00F47C94" w:rsidRPr="00A164C9">
              <w:rPr>
                <w:lang w:val="es-ES"/>
              </w:rPr>
              <w:fldChar w:fldCharType="end"/>
            </w:r>
            <w:r w:rsidR="00F47C94" w:rsidRPr="00A164C9">
              <w:rPr>
                <w:lang w:val="es-ES"/>
              </w:rPr>
              <w:t>. Esa difusión se hará de conformidad con las disposiciones pertinentes del Convenio y de este artículo, sobre la base de las decisiones adoptadas por el Consejo de Administración o por las conferencias administrativas competentes y teniendo en cuenta las conclusiones o las decisiones de las Asambleas Plenarias de los Comités Consultivos Internacionales.</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3DB748A" w14:textId="0AFF7186"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right w:val="single" w:sz="4" w:space="0" w:color="auto"/>
            </w:tcBorders>
            <w:noWrap/>
            <w:tcMar>
              <w:left w:w="85" w:type="dxa"/>
              <w:right w:w="85" w:type="dxa"/>
            </w:tcMar>
          </w:tcPr>
          <w:p w14:paraId="651283F5" w14:textId="16113F73"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vMerge w:val="restart"/>
            <w:tcBorders>
              <w:top w:val="single" w:sz="4" w:space="0" w:color="auto"/>
              <w:left w:val="single" w:sz="4" w:space="0" w:color="auto"/>
              <w:right w:val="single" w:sz="4" w:space="0" w:color="auto"/>
            </w:tcBorders>
            <w:noWrap/>
            <w:tcMar>
              <w:left w:w="85" w:type="dxa"/>
              <w:right w:w="85" w:type="dxa"/>
            </w:tcMar>
          </w:tcPr>
          <w:p w14:paraId="125D4631" w14:textId="48EB03C4" w:rsidR="0058745E" w:rsidRPr="0058745E" w:rsidRDefault="00146F6F" w:rsidP="0058745E">
            <w:pPr>
              <w:pStyle w:val="Tabletext"/>
              <w:rPr>
                <w:lang w:val="es-ES"/>
              </w:rPr>
            </w:pPr>
            <w:r>
              <w:rPr>
                <w:lang w:val="es-ES"/>
              </w:rPr>
              <w:t>La disposición no requiere modificación, ya que es aplicable y flexible.</w:t>
            </w:r>
          </w:p>
          <w:p w14:paraId="1F5A86C4" w14:textId="630AFA1A" w:rsidR="0058745E" w:rsidRPr="0058745E" w:rsidRDefault="00146F6F" w:rsidP="0058745E">
            <w:pPr>
              <w:pStyle w:val="Tabletext"/>
              <w:rPr>
                <w:lang w:val="es-ES"/>
              </w:rPr>
            </w:pPr>
            <w:r>
              <w:rPr>
                <w:lang w:val="es-ES"/>
              </w:rPr>
              <w:t>Parece apropiado sustituir la referencia a las Recomendaciones del UIT-T con una referencia a las Recomendaciones de la UIT ya que se utilizan telecomunicaciones de todo tipo para la transmisión de tales mensajes.</w:t>
            </w:r>
          </w:p>
        </w:tc>
      </w:tr>
      <w:tr w:rsidR="0058745E" w:rsidRPr="009C29AF" w14:paraId="27EF76C2" w14:textId="77777777" w:rsidTr="0058745E">
        <w:trPr>
          <w:trHeight w:val="3457"/>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27E2A4F1" w14:textId="77777777" w:rsidR="0058745E" w:rsidRPr="0058745E" w:rsidRDefault="0058745E" w:rsidP="0058745E">
            <w:pPr>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3CDE768F" w14:textId="77777777" w:rsidR="0058745E" w:rsidRPr="0058745E" w:rsidRDefault="0058745E" w:rsidP="0058745E">
            <w:pPr>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3D7730F4" w14:textId="77777777" w:rsidR="0058745E" w:rsidRPr="0058745E" w:rsidRDefault="0058745E" w:rsidP="0058745E">
            <w:pPr>
              <w:rPr>
                <w:b/>
                <w:lang w:val="es-ES"/>
              </w:rPr>
            </w:pPr>
          </w:p>
        </w:tc>
        <w:tc>
          <w:tcPr>
            <w:tcW w:w="4174"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209DD4CA" w14:textId="73168B01" w:rsidR="0058745E" w:rsidRPr="009C29AF" w:rsidRDefault="009C29AF" w:rsidP="00F47C94">
            <w:pPr>
              <w:pStyle w:val="Tabletext"/>
              <w:rPr>
                <w:b/>
                <w:bCs/>
                <w:i/>
                <w:iCs/>
                <w:lang w:val="es-ES"/>
              </w:rPr>
            </w:pPr>
            <w:bookmarkStart w:id="13" w:name="lt_pId076"/>
            <w:r w:rsidRPr="009C29AF">
              <w:rPr>
                <w:b/>
                <w:bCs/>
                <w:i/>
                <w:iCs/>
                <w:lang w:val="es-ES"/>
              </w:rPr>
              <w:t>El número</w:t>
            </w:r>
            <w:r w:rsidR="0058745E" w:rsidRPr="009C29AF">
              <w:rPr>
                <w:b/>
                <w:bCs/>
                <w:i/>
                <w:iCs/>
                <w:lang w:val="es-ES"/>
              </w:rPr>
              <w:t xml:space="preserve"> 57 </w:t>
            </w:r>
            <w:r w:rsidRPr="009C29AF">
              <w:rPr>
                <w:b/>
                <w:bCs/>
                <w:i/>
                <w:iCs/>
                <w:lang w:val="es-ES"/>
              </w:rPr>
              <w:t>del RTI de</w:t>
            </w:r>
            <w:r w:rsidR="0058745E" w:rsidRPr="009C29AF">
              <w:rPr>
                <w:b/>
                <w:bCs/>
                <w:i/>
                <w:iCs/>
                <w:lang w:val="es-ES"/>
              </w:rPr>
              <w:t xml:space="preserve"> 1988 </w:t>
            </w:r>
            <w:r w:rsidRPr="009C29AF">
              <w:rPr>
                <w:b/>
                <w:bCs/>
                <w:i/>
                <w:iCs/>
                <w:lang w:val="es-ES"/>
              </w:rPr>
              <w:t>contiene referencias obsoletas al Consejo d</w:t>
            </w:r>
            <w:r>
              <w:rPr>
                <w:b/>
                <w:bCs/>
                <w:i/>
                <w:iCs/>
                <w:lang w:val="es-ES"/>
              </w:rPr>
              <w:t>e Administración, las conferencias administrativas y las Asambleas Plenarias de los Comités Consultivos Internacionales, ya extintos</w:t>
            </w:r>
            <w:r w:rsidR="0058745E" w:rsidRPr="009C29AF">
              <w:rPr>
                <w:b/>
                <w:bCs/>
                <w:i/>
                <w:iCs/>
                <w:lang w:val="es-ES"/>
              </w:rPr>
              <w:t>.</w:t>
            </w:r>
            <w:bookmarkEnd w:id="13"/>
          </w:p>
        </w:tc>
        <w:tc>
          <w:tcPr>
            <w:tcW w:w="2287" w:type="dxa"/>
            <w:vMerge/>
            <w:tcBorders>
              <w:left w:val="single" w:sz="4" w:space="0" w:color="auto"/>
              <w:bottom w:val="single" w:sz="4" w:space="0" w:color="auto"/>
              <w:right w:val="single" w:sz="4" w:space="0" w:color="auto"/>
            </w:tcBorders>
            <w:noWrap/>
            <w:tcMar>
              <w:left w:w="85" w:type="dxa"/>
              <w:right w:w="85" w:type="dxa"/>
            </w:tcMar>
          </w:tcPr>
          <w:p w14:paraId="61F8FC2F" w14:textId="77777777" w:rsidR="0058745E" w:rsidRPr="009C29AF" w:rsidRDefault="0058745E" w:rsidP="0058745E">
            <w:pPr>
              <w:rPr>
                <w:lang w:val="es-ES"/>
              </w:rPr>
            </w:pPr>
          </w:p>
        </w:tc>
      </w:tr>
      <w:tr w:rsidR="0058745E" w:rsidRPr="00305A62" w14:paraId="168E3BD2" w14:textId="77777777" w:rsidTr="0058745E">
        <w:trPr>
          <w:trHeight w:val="1380"/>
          <w:jc w:val="center"/>
        </w:trPr>
        <w:tc>
          <w:tcPr>
            <w:tcW w:w="944" w:type="dxa"/>
            <w:vMerge w:val="restart"/>
            <w:tcBorders>
              <w:left w:val="single" w:sz="4" w:space="0" w:color="auto"/>
              <w:right w:val="single" w:sz="4" w:space="0" w:color="auto"/>
            </w:tcBorders>
            <w:noWrap/>
            <w:tcMar>
              <w:left w:w="85" w:type="dxa"/>
              <w:right w:w="85" w:type="dxa"/>
            </w:tcMar>
            <w:textDirection w:val="btLr"/>
            <w:vAlign w:val="center"/>
          </w:tcPr>
          <w:p w14:paraId="28ABC898" w14:textId="23E7A59A" w:rsidR="0058745E" w:rsidRPr="0058745E" w:rsidRDefault="00F47C94" w:rsidP="00F47C94">
            <w:pPr>
              <w:pStyle w:val="Tabletext"/>
              <w:jc w:val="center"/>
              <w:rPr>
                <w:b/>
                <w:lang w:val="es-ES"/>
              </w:rPr>
            </w:pPr>
            <w:bookmarkStart w:id="14" w:name="lt_pId077"/>
            <w:r w:rsidRPr="00A164C9">
              <w:rPr>
                <w:b/>
                <w:lang w:val="es-ES"/>
              </w:rPr>
              <w:lastRenderedPageBreak/>
              <w:t xml:space="preserve">ARTÍCULO </w:t>
            </w:r>
            <w:r w:rsidR="0058745E" w:rsidRPr="0058745E">
              <w:rPr>
                <w:b/>
                <w:lang w:val="es-ES"/>
              </w:rPr>
              <w:t xml:space="preserve">11 – </w:t>
            </w:r>
            <w:r w:rsidRPr="00A164C9">
              <w:rPr>
                <w:b/>
                <w:lang w:val="es-ES"/>
              </w:rPr>
              <w:t>Eficiencia energética/</w:t>
            </w:r>
            <w:r w:rsidR="00C338FF">
              <w:rPr>
                <w:b/>
                <w:lang w:val="es-ES"/>
              </w:rPr>
              <w:br/>
            </w:r>
            <w:r w:rsidRPr="00A164C9">
              <w:rPr>
                <w:b/>
                <w:lang w:val="es-ES"/>
              </w:rPr>
              <w:t>residuos electrónicos</w:t>
            </w:r>
            <w:bookmarkEnd w:id="14"/>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613B3A12" w14:textId="5A73A1FF" w:rsidR="0058745E" w:rsidRPr="0058745E" w:rsidRDefault="0058745E" w:rsidP="0058745E">
            <w:pPr>
              <w:pStyle w:val="Tabletext"/>
              <w:rPr>
                <w:b/>
                <w:lang w:val="es-ES"/>
              </w:rPr>
            </w:pPr>
            <w:r w:rsidRPr="0058745E">
              <w:rPr>
                <w:b/>
                <w:lang w:val="es-ES"/>
              </w:rPr>
              <w:t>71  </w:t>
            </w:r>
            <w:r w:rsidRPr="0058745E">
              <w:rPr>
                <w:lang w:val="es-ES"/>
              </w:rPr>
              <w:t>11.1</w:t>
            </w:r>
            <w:r w:rsidRPr="0058745E">
              <w:rPr>
                <w:lang w:val="es-ES"/>
              </w:rPr>
              <w:tab/>
            </w:r>
            <w:r w:rsidR="00F47C94" w:rsidRPr="00A164C9">
              <w:rPr>
                <w:lang w:val="es-ES"/>
              </w:rPr>
              <w:t>Se alienta a los Estados Miembros a adoptar prácticas idóneas en materia de eficiencia energética y residuos electrónicos teniendo en cuenta las Recomendaciones UIT-T pertinentes.</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382FAFFD" w14:textId="2A79827E" w:rsidR="0058745E" w:rsidRPr="0058745E" w:rsidRDefault="00F726AD" w:rsidP="00F47C94">
            <w:pPr>
              <w:pStyle w:val="Tabletext"/>
              <w:rPr>
                <w:i/>
                <w:iCs/>
                <w:lang w:val="es-ES"/>
              </w:rPr>
            </w:pPr>
            <w:bookmarkStart w:id="15" w:name="lt_pId080"/>
            <w:r w:rsidRPr="00F726AD">
              <w:rPr>
                <w:i/>
                <w:iCs/>
                <w:lang w:val="es-ES"/>
              </w:rPr>
              <w:t>No hay disposiciones análogas</w:t>
            </w:r>
            <w:r w:rsidR="0058745E" w:rsidRPr="0058745E">
              <w:rPr>
                <w:i/>
                <w:iCs/>
                <w:lang w:val="es-ES"/>
              </w:rPr>
              <w:t xml:space="preserve"> </w:t>
            </w:r>
            <w:r w:rsidR="009C29AF">
              <w:rPr>
                <w:i/>
                <w:iCs/>
                <w:lang w:val="es-ES"/>
              </w:rPr>
              <w:t>en el RTI de</w:t>
            </w:r>
            <w:r w:rsidR="0058745E" w:rsidRPr="0058745E">
              <w:rPr>
                <w:i/>
                <w:iCs/>
                <w:lang w:val="es-ES"/>
              </w:rPr>
              <w:t xml:space="preserve"> 1988.</w:t>
            </w:r>
            <w:bookmarkEnd w:id="15"/>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7F4285" w14:textId="5A57E055"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right w:val="single" w:sz="4" w:space="0" w:color="auto"/>
            </w:tcBorders>
            <w:noWrap/>
            <w:tcMar>
              <w:left w:w="85" w:type="dxa"/>
              <w:right w:w="85" w:type="dxa"/>
            </w:tcMar>
          </w:tcPr>
          <w:p w14:paraId="6527B856" w14:textId="7660EC97"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vMerge w:val="restart"/>
            <w:tcBorders>
              <w:top w:val="single" w:sz="4" w:space="0" w:color="auto"/>
              <w:left w:val="single" w:sz="4" w:space="0" w:color="auto"/>
              <w:right w:val="single" w:sz="4" w:space="0" w:color="auto"/>
            </w:tcBorders>
            <w:noWrap/>
            <w:tcMar>
              <w:left w:w="85" w:type="dxa"/>
              <w:right w:w="85" w:type="dxa"/>
            </w:tcMar>
          </w:tcPr>
          <w:p w14:paraId="3FD7BB25" w14:textId="3D975C29" w:rsidR="0058745E" w:rsidRPr="0058745E" w:rsidRDefault="00146F6F" w:rsidP="0058745E">
            <w:pPr>
              <w:pStyle w:val="Tabletext"/>
              <w:rPr>
                <w:lang w:val="es-ES"/>
              </w:rPr>
            </w:pPr>
            <w:r>
              <w:rPr>
                <w:lang w:val="es-ES"/>
              </w:rPr>
              <w:t>La disposición no requiere modificación, ya que es aplicable y flexible.</w:t>
            </w:r>
          </w:p>
          <w:p w14:paraId="5233569A" w14:textId="0D1CD683" w:rsidR="0058745E" w:rsidRPr="00305A62" w:rsidRDefault="00305A62" w:rsidP="0058745E">
            <w:pPr>
              <w:pStyle w:val="Tabletext"/>
              <w:rPr>
                <w:lang w:val="es-ES"/>
              </w:rPr>
            </w:pPr>
            <w:bookmarkStart w:id="16" w:name="lt_pId084"/>
            <w:r w:rsidRPr="00305A62">
              <w:rPr>
                <w:lang w:val="es-ES"/>
              </w:rPr>
              <w:t>Parece conveniente sustituir la referencia a las Recomendaciones UIT-T con referencias a las Recomendaciones de la UIT, pues los asuntos tr</w:t>
            </w:r>
            <w:r>
              <w:rPr>
                <w:lang w:val="es-ES"/>
              </w:rPr>
              <w:t>a</w:t>
            </w:r>
            <w:r w:rsidRPr="00305A62">
              <w:rPr>
                <w:lang w:val="es-ES"/>
              </w:rPr>
              <w:t>tados en este A</w:t>
            </w:r>
            <w:r>
              <w:rPr>
                <w:lang w:val="es-ES"/>
              </w:rPr>
              <w:t>r</w:t>
            </w:r>
            <w:r w:rsidRPr="00305A62">
              <w:rPr>
                <w:lang w:val="es-ES"/>
              </w:rPr>
              <w:t>tículo ata</w:t>
            </w:r>
            <w:r>
              <w:rPr>
                <w:lang w:val="es-ES"/>
              </w:rPr>
              <w:t>ñen a todos los dispositivos, sistemas y redes de telecomunicaciones/TIC</w:t>
            </w:r>
            <w:r w:rsidR="0058745E" w:rsidRPr="00305A62">
              <w:rPr>
                <w:lang w:val="es-ES"/>
              </w:rPr>
              <w:t>.</w:t>
            </w:r>
            <w:bookmarkEnd w:id="16"/>
          </w:p>
        </w:tc>
      </w:tr>
      <w:tr w:rsidR="0058745E" w:rsidRPr="0058745E" w14:paraId="320E3FEE" w14:textId="77777777" w:rsidTr="0058745E">
        <w:trPr>
          <w:trHeight w:val="138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6999B403" w14:textId="77777777" w:rsidR="0058745E" w:rsidRPr="00305A62" w:rsidRDefault="0058745E" w:rsidP="0058745E">
            <w:pPr>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489BD74B" w14:textId="77777777" w:rsidR="0058745E" w:rsidRPr="00305A62" w:rsidRDefault="0058745E" w:rsidP="0058745E">
            <w:pPr>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1D9F29EC" w14:textId="77777777" w:rsidR="0058745E" w:rsidRPr="00305A62" w:rsidRDefault="0058745E" w:rsidP="00F47C94">
            <w:pPr>
              <w:pStyle w:val="Tabletext"/>
              <w:rPr>
                <w:i/>
                <w:iCs/>
                <w:lang w:val="es-ES"/>
              </w:rPr>
            </w:pPr>
          </w:p>
        </w:tc>
        <w:tc>
          <w:tcPr>
            <w:tcW w:w="4174"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7E17F5C2" w14:textId="479B99DD" w:rsidR="00574CCE" w:rsidRPr="0058745E" w:rsidRDefault="00574CCE" w:rsidP="00F47C94">
            <w:pPr>
              <w:pStyle w:val="Tabletext"/>
              <w:rPr>
                <w:b/>
                <w:bCs/>
                <w:i/>
                <w:iCs/>
                <w:lang w:val="es-ES"/>
              </w:rPr>
            </w:pPr>
            <w:r w:rsidRPr="00574CCE">
              <w:rPr>
                <w:b/>
                <w:bCs/>
                <w:i/>
                <w:iCs/>
                <w:lang w:val="es-ES"/>
              </w:rPr>
              <w:t>En el Artículo 1</w:t>
            </w:r>
            <w:r>
              <w:rPr>
                <w:b/>
                <w:bCs/>
                <w:i/>
                <w:iCs/>
                <w:lang w:val="es-ES"/>
              </w:rPr>
              <w:t>1</w:t>
            </w:r>
            <w:r w:rsidRPr="00574CCE">
              <w:rPr>
                <w:b/>
                <w:bCs/>
                <w:i/>
                <w:iCs/>
                <w:lang w:val="es-ES"/>
              </w:rPr>
              <w:t xml:space="preserve"> del RTI de 2012 se reflejan l</w:t>
            </w:r>
            <w:r w:rsidR="009C29AF">
              <w:rPr>
                <w:b/>
                <w:bCs/>
                <w:i/>
                <w:iCs/>
                <w:lang w:val="es-ES"/>
              </w:rPr>
              <w:t>a</w:t>
            </w:r>
            <w:r w:rsidRPr="00574CCE">
              <w:rPr>
                <w:b/>
                <w:bCs/>
                <w:i/>
                <w:iCs/>
                <w:lang w:val="es-ES"/>
              </w:rPr>
              <w:t xml:space="preserve">s </w:t>
            </w:r>
            <w:r w:rsidR="009C29AF">
              <w:rPr>
                <w:b/>
                <w:bCs/>
                <w:i/>
                <w:iCs/>
                <w:lang w:val="es-ES"/>
              </w:rPr>
              <w:t>disposiciones</w:t>
            </w:r>
            <w:r w:rsidRPr="00574CCE">
              <w:rPr>
                <w:b/>
                <w:bCs/>
                <w:i/>
                <w:iCs/>
                <w:lang w:val="es-ES"/>
              </w:rPr>
              <w:t xml:space="preserve"> ampliamente </w:t>
            </w:r>
            <w:r w:rsidR="009C29AF">
              <w:rPr>
                <w:b/>
                <w:bCs/>
                <w:i/>
                <w:iCs/>
                <w:lang w:val="es-ES"/>
              </w:rPr>
              <w:t>reconocidas de las resoluciones de</w:t>
            </w:r>
            <w:r w:rsidRPr="00574CCE">
              <w:rPr>
                <w:b/>
                <w:bCs/>
                <w:i/>
                <w:iCs/>
                <w:lang w:val="es-ES"/>
              </w:rPr>
              <w:t xml:space="preserve"> las Naciones Unidas y muchas otras organizaciones internacionales, así como la legislación de </w:t>
            </w:r>
            <w:r w:rsidR="00305A62">
              <w:rPr>
                <w:b/>
                <w:bCs/>
                <w:i/>
                <w:iCs/>
                <w:lang w:val="es-ES"/>
              </w:rPr>
              <w:t>muchos</w:t>
            </w:r>
            <w:r w:rsidRPr="00574CCE">
              <w:rPr>
                <w:b/>
                <w:bCs/>
                <w:i/>
                <w:iCs/>
                <w:lang w:val="es-ES"/>
              </w:rPr>
              <w:t xml:space="preserve"> Estados Miembros de la UIT en materia de protección medioambiental.</w:t>
            </w:r>
          </w:p>
        </w:tc>
        <w:tc>
          <w:tcPr>
            <w:tcW w:w="2287" w:type="dxa"/>
            <w:vMerge/>
            <w:tcBorders>
              <w:left w:val="single" w:sz="4" w:space="0" w:color="auto"/>
              <w:bottom w:val="single" w:sz="4" w:space="0" w:color="auto"/>
              <w:right w:val="single" w:sz="4" w:space="0" w:color="auto"/>
            </w:tcBorders>
            <w:noWrap/>
            <w:tcMar>
              <w:left w:w="85" w:type="dxa"/>
              <w:right w:w="85" w:type="dxa"/>
            </w:tcMar>
          </w:tcPr>
          <w:p w14:paraId="783C0810" w14:textId="77777777" w:rsidR="0058745E" w:rsidRPr="0058745E" w:rsidRDefault="0058745E" w:rsidP="0058745E">
            <w:pPr>
              <w:rPr>
                <w:bCs/>
                <w:lang w:val="es-ES"/>
              </w:rPr>
            </w:pPr>
          </w:p>
        </w:tc>
      </w:tr>
      <w:tr w:rsidR="0058745E" w:rsidRPr="00305A62" w14:paraId="07054772" w14:textId="77777777" w:rsidTr="0058745E">
        <w:trPr>
          <w:trHeight w:val="759"/>
          <w:jc w:val="center"/>
        </w:trPr>
        <w:tc>
          <w:tcPr>
            <w:tcW w:w="944" w:type="dxa"/>
            <w:vMerge w:val="restart"/>
            <w:tcBorders>
              <w:left w:val="single" w:sz="4" w:space="0" w:color="auto"/>
              <w:right w:val="single" w:sz="4" w:space="0" w:color="auto"/>
            </w:tcBorders>
            <w:noWrap/>
            <w:tcMar>
              <w:left w:w="85" w:type="dxa"/>
              <w:right w:w="85" w:type="dxa"/>
            </w:tcMar>
            <w:textDirection w:val="btLr"/>
            <w:vAlign w:val="center"/>
          </w:tcPr>
          <w:p w14:paraId="67B75983" w14:textId="3FDCB4C1" w:rsidR="0058745E" w:rsidRPr="0058745E" w:rsidRDefault="00F47C94" w:rsidP="00F47C94">
            <w:pPr>
              <w:pStyle w:val="Tabletext"/>
              <w:jc w:val="center"/>
              <w:rPr>
                <w:b/>
                <w:lang w:val="es-ES"/>
              </w:rPr>
            </w:pPr>
            <w:bookmarkStart w:id="17" w:name="lt_pId086"/>
            <w:r w:rsidRPr="00A164C9">
              <w:rPr>
                <w:b/>
                <w:lang w:val="es-ES"/>
              </w:rPr>
              <w:t xml:space="preserve">ARTÍCULO </w:t>
            </w:r>
            <w:r w:rsidR="0058745E" w:rsidRPr="0058745E">
              <w:rPr>
                <w:b/>
                <w:lang w:val="es-ES"/>
              </w:rPr>
              <w:t xml:space="preserve">12 – </w:t>
            </w:r>
            <w:r w:rsidRPr="00A164C9">
              <w:rPr>
                <w:b/>
                <w:lang w:val="es-ES"/>
              </w:rPr>
              <w:t>Accesibilidad</w:t>
            </w:r>
            <w:bookmarkEnd w:id="17"/>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7FF1DE70" w14:textId="31113D80" w:rsidR="0058745E" w:rsidRPr="0058745E" w:rsidRDefault="0058745E" w:rsidP="0058745E">
            <w:pPr>
              <w:pStyle w:val="Tabletext"/>
              <w:rPr>
                <w:b/>
                <w:lang w:val="es-ES"/>
              </w:rPr>
            </w:pPr>
            <w:r w:rsidRPr="0058745E">
              <w:rPr>
                <w:b/>
                <w:lang w:val="es-ES"/>
              </w:rPr>
              <w:t>72  </w:t>
            </w:r>
            <w:r w:rsidRPr="0058745E">
              <w:rPr>
                <w:lang w:val="es-ES"/>
              </w:rPr>
              <w:t>12.1</w:t>
            </w:r>
            <w:r w:rsidRPr="0058745E">
              <w:rPr>
                <w:lang w:val="es-ES"/>
              </w:rPr>
              <w:tab/>
            </w:r>
            <w:r w:rsidR="00F47C94" w:rsidRPr="00A164C9">
              <w:rPr>
                <w:lang w:val="es-ES"/>
              </w:rPr>
              <w:t>Los Estados Miembros promoverán el acceso de las personas con discapacidad a los servicios internacionales de telecomunicación con arreglo a las Recomendaciones UIT-T pertinentes.</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7CEF6572" w14:textId="2E836F59" w:rsidR="0058745E" w:rsidRPr="0058745E" w:rsidRDefault="00F726AD" w:rsidP="00F47C94">
            <w:pPr>
              <w:pStyle w:val="Tabletext"/>
              <w:rPr>
                <w:i/>
                <w:iCs/>
                <w:lang w:val="es-ES"/>
              </w:rPr>
            </w:pPr>
            <w:r w:rsidRPr="00F726AD">
              <w:rPr>
                <w:i/>
                <w:iCs/>
                <w:lang w:val="es-ES"/>
              </w:rPr>
              <w:t>No hay disposiciones análogas</w:t>
            </w:r>
            <w:r w:rsidR="0058745E" w:rsidRPr="0058745E">
              <w:rPr>
                <w:i/>
                <w:iCs/>
                <w:lang w:val="es-ES"/>
              </w:rPr>
              <w:t xml:space="preserve"> </w:t>
            </w:r>
            <w:r w:rsidR="0012041B">
              <w:rPr>
                <w:i/>
                <w:iCs/>
                <w:lang w:val="es-ES"/>
              </w:rPr>
              <w:t>en el RTI de 1988</w:t>
            </w:r>
            <w:r w:rsidR="0058745E" w:rsidRPr="0058745E">
              <w:rPr>
                <w:i/>
                <w:iCs/>
                <w:lang w:val="es-ES"/>
              </w:rPr>
              <w:t>.</w:t>
            </w:r>
          </w:p>
        </w:tc>
        <w:tc>
          <w:tcPr>
            <w:tcW w:w="2120" w:type="dxa"/>
            <w:tcBorders>
              <w:top w:val="single" w:sz="4" w:space="0" w:color="auto"/>
              <w:left w:val="single" w:sz="4" w:space="0" w:color="auto"/>
              <w:right w:val="single" w:sz="4" w:space="0" w:color="auto"/>
            </w:tcBorders>
            <w:noWrap/>
            <w:tcMar>
              <w:left w:w="85" w:type="dxa"/>
              <w:right w:w="85" w:type="dxa"/>
            </w:tcMar>
          </w:tcPr>
          <w:p w14:paraId="0713C2E0" w14:textId="3249FDA9"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C27B39D" w14:textId="5161E67B"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vMerge w:val="restart"/>
            <w:tcBorders>
              <w:top w:val="single" w:sz="4" w:space="0" w:color="auto"/>
              <w:left w:val="single" w:sz="4" w:space="0" w:color="auto"/>
              <w:right w:val="single" w:sz="4" w:space="0" w:color="auto"/>
            </w:tcBorders>
            <w:noWrap/>
            <w:tcMar>
              <w:left w:w="85" w:type="dxa"/>
              <w:right w:w="85" w:type="dxa"/>
            </w:tcMar>
          </w:tcPr>
          <w:p w14:paraId="3A225644" w14:textId="7E3F25BA" w:rsidR="0058745E" w:rsidRPr="0058745E" w:rsidRDefault="00146F6F" w:rsidP="0058745E">
            <w:pPr>
              <w:pStyle w:val="Tabletext"/>
              <w:rPr>
                <w:lang w:val="es-ES"/>
              </w:rPr>
            </w:pPr>
            <w:r>
              <w:rPr>
                <w:lang w:val="es-ES"/>
              </w:rPr>
              <w:t>La disposición no requiere modificación, ya que es aplicable y flexible.</w:t>
            </w:r>
          </w:p>
          <w:p w14:paraId="52544C70" w14:textId="67D533B4" w:rsidR="0058745E" w:rsidRPr="00305A62" w:rsidRDefault="00305A62" w:rsidP="0058745E">
            <w:pPr>
              <w:pStyle w:val="Tabletext"/>
              <w:rPr>
                <w:lang w:val="es-ES"/>
              </w:rPr>
            </w:pPr>
            <w:bookmarkStart w:id="18" w:name="lt_pId093"/>
            <w:r w:rsidRPr="00305A62">
              <w:rPr>
                <w:lang w:val="es-ES"/>
              </w:rPr>
              <w:t>Parece conveniente sustituir la referencia a las Recomendaciones UIT-T con referencias a las Recomendaciones de la UIT, pues los asuntos tr</w:t>
            </w:r>
            <w:r>
              <w:rPr>
                <w:lang w:val="es-ES"/>
              </w:rPr>
              <w:t>a</w:t>
            </w:r>
            <w:r w:rsidRPr="00305A62">
              <w:rPr>
                <w:lang w:val="es-ES"/>
              </w:rPr>
              <w:t>tados en este A</w:t>
            </w:r>
            <w:r>
              <w:rPr>
                <w:lang w:val="es-ES"/>
              </w:rPr>
              <w:t>r</w:t>
            </w:r>
            <w:r w:rsidRPr="00305A62">
              <w:rPr>
                <w:lang w:val="es-ES"/>
              </w:rPr>
              <w:t>tículo ata</w:t>
            </w:r>
            <w:r>
              <w:rPr>
                <w:lang w:val="es-ES"/>
              </w:rPr>
              <w:t>ñen a todos los dispositivos, sistemas y redes de telecomunicaciones/TIC</w:t>
            </w:r>
            <w:r w:rsidR="0058745E" w:rsidRPr="00305A62">
              <w:rPr>
                <w:lang w:val="es-ES"/>
              </w:rPr>
              <w:t>.</w:t>
            </w:r>
            <w:bookmarkEnd w:id="18"/>
          </w:p>
        </w:tc>
      </w:tr>
      <w:tr w:rsidR="0058745E" w:rsidRPr="0058745E" w14:paraId="64F1E58D" w14:textId="77777777" w:rsidTr="0058745E">
        <w:trPr>
          <w:trHeight w:val="1627"/>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7092A353" w14:textId="77777777" w:rsidR="0058745E" w:rsidRPr="00305A62" w:rsidRDefault="0058745E" w:rsidP="00F47C94">
            <w:pPr>
              <w:pStyle w:val="Tabletext"/>
              <w:jc w:val="center"/>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449088DC" w14:textId="77777777" w:rsidR="0058745E" w:rsidRPr="00305A62" w:rsidRDefault="0058745E" w:rsidP="0058745E">
            <w:pPr>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77DF345D" w14:textId="77777777" w:rsidR="0058745E" w:rsidRPr="00305A62" w:rsidRDefault="0058745E" w:rsidP="0058745E">
            <w:pPr>
              <w:rPr>
                <w:bCs/>
                <w:i/>
                <w:lang w:val="es-ES"/>
              </w:rPr>
            </w:pPr>
          </w:p>
        </w:tc>
        <w:tc>
          <w:tcPr>
            <w:tcW w:w="4174" w:type="dxa"/>
            <w:gridSpan w:val="2"/>
            <w:tcBorders>
              <w:left w:val="single" w:sz="4" w:space="0" w:color="auto"/>
              <w:bottom w:val="single" w:sz="4" w:space="0" w:color="auto"/>
              <w:right w:val="single" w:sz="4" w:space="0" w:color="auto"/>
            </w:tcBorders>
            <w:noWrap/>
            <w:tcMar>
              <w:left w:w="85" w:type="dxa"/>
              <w:right w:w="85" w:type="dxa"/>
            </w:tcMar>
          </w:tcPr>
          <w:p w14:paraId="48E8C8D3" w14:textId="4F7145EA" w:rsidR="00F726AD" w:rsidRPr="0058745E" w:rsidRDefault="00F726AD" w:rsidP="00F47C94">
            <w:pPr>
              <w:pStyle w:val="Tabletext"/>
              <w:rPr>
                <w:b/>
                <w:bCs/>
                <w:i/>
                <w:iCs/>
                <w:lang w:val="es-ES"/>
              </w:rPr>
            </w:pPr>
            <w:r w:rsidRPr="00F726AD">
              <w:rPr>
                <w:b/>
                <w:bCs/>
                <w:i/>
                <w:iCs/>
                <w:lang w:val="es-ES"/>
              </w:rPr>
              <w:t xml:space="preserve">En el Artículo 12 del RTI de 2012 </w:t>
            </w:r>
            <w:r w:rsidR="00305A62" w:rsidRPr="00574CCE">
              <w:rPr>
                <w:b/>
                <w:bCs/>
                <w:i/>
                <w:iCs/>
                <w:lang w:val="es-ES"/>
              </w:rPr>
              <w:t>se reflejan l</w:t>
            </w:r>
            <w:r w:rsidR="00305A62">
              <w:rPr>
                <w:b/>
                <w:bCs/>
                <w:i/>
                <w:iCs/>
                <w:lang w:val="es-ES"/>
              </w:rPr>
              <w:t>a</w:t>
            </w:r>
            <w:r w:rsidR="00305A62" w:rsidRPr="00574CCE">
              <w:rPr>
                <w:b/>
                <w:bCs/>
                <w:i/>
                <w:iCs/>
                <w:lang w:val="es-ES"/>
              </w:rPr>
              <w:t xml:space="preserve">s </w:t>
            </w:r>
            <w:r w:rsidR="00305A62">
              <w:rPr>
                <w:b/>
                <w:bCs/>
                <w:i/>
                <w:iCs/>
                <w:lang w:val="es-ES"/>
              </w:rPr>
              <w:t>disposiciones</w:t>
            </w:r>
            <w:r w:rsidR="00305A62" w:rsidRPr="00574CCE">
              <w:rPr>
                <w:b/>
                <w:bCs/>
                <w:i/>
                <w:iCs/>
                <w:lang w:val="es-ES"/>
              </w:rPr>
              <w:t xml:space="preserve"> ampliamente </w:t>
            </w:r>
            <w:r w:rsidR="00305A62">
              <w:rPr>
                <w:b/>
                <w:bCs/>
                <w:i/>
                <w:iCs/>
                <w:lang w:val="es-ES"/>
              </w:rPr>
              <w:t>reconocidas de las resoluciones de</w:t>
            </w:r>
            <w:r w:rsidR="00305A62" w:rsidRPr="00574CCE">
              <w:rPr>
                <w:b/>
                <w:bCs/>
                <w:i/>
                <w:iCs/>
                <w:lang w:val="es-ES"/>
              </w:rPr>
              <w:t xml:space="preserve"> las Naciones Unidas y muchas otras organizaciones internacionales, así como la legislación de </w:t>
            </w:r>
            <w:r w:rsidR="00305A62">
              <w:rPr>
                <w:b/>
                <w:bCs/>
                <w:i/>
                <w:iCs/>
                <w:lang w:val="es-ES"/>
              </w:rPr>
              <w:t>muchos</w:t>
            </w:r>
            <w:r w:rsidR="00305A62" w:rsidRPr="00574CCE">
              <w:rPr>
                <w:b/>
                <w:bCs/>
                <w:i/>
                <w:iCs/>
                <w:lang w:val="es-ES"/>
              </w:rPr>
              <w:t xml:space="preserve"> Estados Miembros de la UIT</w:t>
            </w:r>
            <w:r w:rsidR="00305A62">
              <w:rPr>
                <w:b/>
                <w:bCs/>
                <w:i/>
                <w:iCs/>
                <w:lang w:val="es-ES"/>
              </w:rPr>
              <w:t xml:space="preserve"> </w:t>
            </w:r>
            <w:r w:rsidRPr="00F726AD">
              <w:rPr>
                <w:b/>
                <w:bCs/>
                <w:i/>
                <w:iCs/>
                <w:lang w:val="es-ES"/>
              </w:rPr>
              <w:t>en materia de fomento del acceso para las personas con discapacidad.</w:t>
            </w:r>
          </w:p>
        </w:tc>
        <w:tc>
          <w:tcPr>
            <w:tcW w:w="2287" w:type="dxa"/>
            <w:vMerge/>
            <w:tcBorders>
              <w:left w:val="single" w:sz="4" w:space="0" w:color="auto"/>
              <w:bottom w:val="single" w:sz="4" w:space="0" w:color="auto"/>
              <w:right w:val="single" w:sz="4" w:space="0" w:color="auto"/>
            </w:tcBorders>
            <w:noWrap/>
            <w:tcMar>
              <w:left w:w="85" w:type="dxa"/>
              <w:right w:w="85" w:type="dxa"/>
            </w:tcMar>
          </w:tcPr>
          <w:p w14:paraId="256D1601" w14:textId="77777777" w:rsidR="0058745E" w:rsidRPr="0058745E" w:rsidRDefault="0058745E" w:rsidP="0058745E">
            <w:pPr>
              <w:rPr>
                <w:bCs/>
                <w:lang w:val="es-ES"/>
              </w:rPr>
            </w:pPr>
          </w:p>
        </w:tc>
      </w:tr>
      <w:tr w:rsidR="0058745E" w:rsidRPr="0058745E" w14:paraId="4616D7F8" w14:textId="77777777" w:rsidTr="0058745E">
        <w:trPr>
          <w:trHeight w:val="3705"/>
          <w:jc w:val="center"/>
        </w:trPr>
        <w:tc>
          <w:tcPr>
            <w:tcW w:w="944" w:type="dxa"/>
            <w:vMerge w:val="restart"/>
            <w:tcBorders>
              <w:left w:val="single" w:sz="4" w:space="0" w:color="auto"/>
              <w:right w:val="single" w:sz="4" w:space="0" w:color="auto"/>
            </w:tcBorders>
            <w:noWrap/>
            <w:tcMar>
              <w:left w:w="85" w:type="dxa"/>
              <w:right w:w="85" w:type="dxa"/>
            </w:tcMar>
            <w:textDirection w:val="btLr"/>
            <w:vAlign w:val="center"/>
          </w:tcPr>
          <w:p w14:paraId="2F002D1D" w14:textId="7C7F4CCA" w:rsidR="0058745E" w:rsidRPr="0058745E" w:rsidRDefault="00F47C94" w:rsidP="00F47C94">
            <w:pPr>
              <w:pStyle w:val="Tabletext"/>
              <w:jc w:val="center"/>
              <w:rPr>
                <w:b/>
                <w:lang w:val="es-ES"/>
              </w:rPr>
            </w:pPr>
            <w:bookmarkStart w:id="19" w:name="lt_pId095"/>
            <w:r w:rsidRPr="00A164C9">
              <w:rPr>
                <w:b/>
                <w:lang w:val="es-ES"/>
              </w:rPr>
              <w:lastRenderedPageBreak/>
              <w:t xml:space="preserve">ARTÍCULO </w:t>
            </w:r>
            <w:r w:rsidR="0058745E" w:rsidRPr="0058745E">
              <w:rPr>
                <w:b/>
                <w:lang w:val="es-ES"/>
              </w:rPr>
              <w:t xml:space="preserve">13 – </w:t>
            </w:r>
            <w:r w:rsidRPr="00A164C9">
              <w:rPr>
                <w:b/>
                <w:lang w:val="es-ES"/>
              </w:rPr>
              <w:t>Acuerdos particulares</w:t>
            </w:r>
            <w:bookmarkEnd w:id="19"/>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34CF71AD" w14:textId="256E3C90" w:rsidR="0058745E" w:rsidRPr="0058745E" w:rsidRDefault="0058745E" w:rsidP="0058745E">
            <w:pPr>
              <w:pStyle w:val="Tabletext"/>
              <w:rPr>
                <w:b/>
                <w:lang w:val="es-ES"/>
              </w:rPr>
            </w:pPr>
            <w:r w:rsidRPr="0058745E">
              <w:rPr>
                <w:b/>
                <w:lang w:val="es-ES"/>
              </w:rPr>
              <w:t>73  </w:t>
            </w:r>
            <w:r w:rsidRPr="0058745E">
              <w:rPr>
                <w:lang w:val="es-ES"/>
              </w:rPr>
              <w:t>13.1</w:t>
            </w:r>
            <w:r w:rsidRPr="0058745E">
              <w:rPr>
                <w:lang w:val="es-ES"/>
              </w:rPr>
              <w:tab/>
            </w:r>
            <w:bookmarkStart w:id="20" w:name="lt_pId097"/>
            <w:r w:rsidRPr="0058745E">
              <w:rPr>
                <w:i/>
                <w:iCs/>
                <w:lang w:val="es-ES"/>
              </w:rPr>
              <w:t>a)</w:t>
            </w:r>
            <w:bookmarkEnd w:id="20"/>
            <w:r w:rsidRPr="0058745E">
              <w:rPr>
                <w:lang w:val="es-ES"/>
              </w:rPr>
              <w:tab/>
            </w:r>
            <w:r w:rsidR="00F47C94" w:rsidRPr="00A164C9">
              <w:rPr>
                <w:lang w:val="es-ES"/>
              </w:rPr>
              <w:t>De conformidad con el Artículo 42 de la Constitución, se pueden concertar acuerdos particulares sobre cuestiones relativas a las telecomunicaciones que no interesen a la generalidad de los Estados Miembros. De conformidad con la legislación nacional, los Estados Miembros podrán facultar a las empresas de explotación autorizadas u otras organizaciones o personas a concertar esos acuerdos mutuos particulares con Estados Miembros y/o empresas de explotación autorizadas, o con otras organizaciones o personas facultadas para ello en otro país para el establecimiento, explotación y uso de redes, sistemas y servicios internacionales de telecomunicación especiales, con el fin de satisfacer necesidades de telecomunicaciones internacionales especializadas dentro de los territorios de los Estados Miembros interesados o entre tales territorios, e incluyendo, de ser necesario, las condiciones financieras, técnicas o de explotación que hayan de observarse.</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1548BFE9" w14:textId="2CD95F34" w:rsidR="0058745E" w:rsidRPr="0058745E" w:rsidRDefault="0058745E" w:rsidP="0058745E">
            <w:pPr>
              <w:pStyle w:val="Tabletext"/>
              <w:rPr>
                <w:b/>
                <w:lang w:val="es-ES"/>
              </w:rPr>
            </w:pPr>
            <w:r w:rsidRPr="0058745E">
              <w:rPr>
                <w:b/>
                <w:lang w:val="es-ES"/>
              </w:rPr>
              <w:t>58  </w:t>
            </w:r>
            <w:r w:rsidRPr="0058745E">
              <w:rPr>
                <w:lang w:val="es-ES"/>
              </w:rPr>
              <w:t>9.1</w:t>
            </w:r>
            <w:r w:rsidRPr="0058745E">
              <w:rPr>
                <w:lang w:val="es-ES"/>
              </w:rPr>
              <w:tab/>
            </w:r>
            <w:bookmarkStart w:id="21" w:name="lt_pId102"/>
            <w:r w:rsidRPr="0058745E">
              <w:rPr>
                <w:i/>
                <w:iCs/>
                <w:lang w:val="es-ES"/>
              </w:rPr>
              <w:t>a)</w:t>
            </w:r>
            <w:bookmarkEnd w:id="21"/>
            <w:r w:rsidRPr="0058745E">
              <w:rPr>
                <w:lang w:val="es-ES"/>
              </w:rPr>
              <w:tab/>
            </w:r>
            <w:r w:rsidR="00C73B3C" w:rsidRPr="00A164C9">
              <w:rPr>
                <w:lang w:val="es-ES"/>
              </w:rPr>
              <w:t>De conformidad con el Artículo 31 del Convenio Internacional de Telecomunicaciones (Nairobi, 1982) se pueden concertar arreglos particulares sobre cuestiones relativas a las telecomunicaciones que no interesen a la generalidad de los Miembros. A reserva de la legislación nacional, los Miembros podrán facultar a las administraciones</w:t>
            </w:r>
            <w:r w:rsidR="00C73B3C" w:rsidRPr="00A164C9">
              <w:rPr>
                <w:lang w:val="es-ES"/>
              </w:rPr>
              <w:fldChar w:fldCharType="begin"/>
            </w:r>
            <w:r w:rsidR="00C73B3C" w:rsidRPr="00A164C9">
              <w:rPr>
                <w:lang w:val="es-ES"/>
              </w:rPr>
              <w:instrText xml:space="preserve"> NOTEREF _Ref319417134 \f \h </w:instrText>
            </w:r>
            <w:r w:rsidR="00C73B3C" w:rsidRPr="00A164C9">
              <w:rPr>
                <w:lang w:val="es-ES"/>
              </w:rPr>
            </w:r>
            <w:r w:rsidR="00C73B3C" w:rsidRPr="00A164C9">
              <w:rPr>
                <w:lang w:val="es-ES"/>
              </w:rPr>
              <w:fldChar w:fldCharType="separate"/>
            </w:r>
            <w:r w:rsidR="00C73B3C" w:rsidRPr="00A164C9">
              <w:rPr>
                <w:lang w:val="es-ES"/>
              </w:rPr>
              <w:t>*</w:t>
            </w:r>
            <w:r w:rsidR="00C73B3C" w:rsidRPr="00A164C9">
              <w:rPr>
                <w:lang w:val="es-ES"/>
              </w:rPr>
              <w:fldChar w:fldCharType="end"/>
            </w:r>
            <w:r w:rsidR="00C73B3C" w:rsidRPr="00A164C9">
              <w:rPr>
                <w:lang w:val="es-ES"/>
              </w:rPr>
              <w:t xml:space="preserve"> u otras organizaciones o personas a concertar esos arreglos mutuos particulares con Miembros, administraciones</w:t>
            </w:r>
            <w:r w:rsidR="00C73B3C" w:rsidRPr="00A164C9">
              <w:rPr>
                <w:lang w:val="es-ES"/>
              </w:rPr>
              <w:fldChar w:fldCharType="begin"/>
            </w:r>
            <w:r w:rsidR="00C73B3C" w:rsidRPr="00A164C9">
              <w:rPr>
                <w:lang w:val="es-ES"/>
              </w:rPr>
              <w:instrText xml:space="preserve"> NOTEREF _Ref319417134 \f \h </w:instrText>
            </w:r>
            <w:r w:rsidR="00C73B3C" w:rsidRPr="00A164C9">
              <w:rPr>
                <w:lang w:val="es-ES"/>
              </w:rPr>
            </w:r>
            <w:r w:rsidR="00C73B3C" w:rsidRPr="00A164C9">
              <w:rPr>
                <w:lang w:val="es-ES"/>
              </w:rPr>
              <w:fldChar w:fldCharType="separate"/>
            </w:r>
            <w:r w:rsidR="00C73B3C" w:rsidRPr="00A164C9">
              <w:rPr>
                <w:lang w:val="es-ES"/>
              </w:rPr>
              <w:t>*</w:t>
            </w:r>
            <w:r w:rsidR="00C73B3C" w:rsidRPr="00A164C9">
              <w:rPr>
                <w:lang w:val="es-ES"/>
              </w:rPr>
              <w:fldChar w:fldCharType="end"/>
            </w:r>
            <w:r w:rsidR="00C73B3C" w:rsidRPr="00A164C9">
              <w:rPr>
                <w:lang w:val="es-ES"/>
              </w:rPr>
              <w:t xml:space="preserve"> u otras organizaciones o personas facultadas para ello en otro país para el establecimiento, explotación y uso de redes, sistemas y servicios de telecomunicación, con el fin de satisfacer necesidades de telecomunicaciones internacionales especializadas dentro de los territorios de los Miembros interesados o entre tales territorios e incluyendo, de ser necesario, las condiciones financieras, técnicas o de explotación que hayan de observarse.</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2F6FAC1" w14:textId="7DEAF6D9" w:rsidR="0058745E" w:rsidRPr="00A164C9" w:rsidRDefault="00A164C9" w:rsidP="00F47C94">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right w:val="single" w:sz="4" w:space="0" w:color="auto"/>
            </w:tcBorders>
            <w:noWrap/>
            <w:tcMar>
              <w:left w:w="85" w:type="dxa"/>
              <w:right w:w="85" w:type="dxa"/>
            </w:tcMar>
          </w:tcPr>
          <w:p w14:paraId="77FE7EEC" w14:textId="5FE82F37" w:rsidR="0058745E" w:rsidRPr="00A164C9" w:rsidRDefault="00A164C9" w:rsidP="00F47C94">
            <w:pPr>
              <w:pStyle w:val="Tabletext"/>
              <w:rPr>
                <w:lang w:val="es-ES"/>
              </w:rPr>
            </w:pPr>
            <w:r w:rsidRPr="00A164C9">
              <w:rPr>
                <w:lang w:val="es-ES"/>
              </w:rPr>
              <w:t>Esta disposición garantiza la flexibilidad necesaria para dar cabida a nuevas tendencias y cuestiones emergentes.</w:t>
            </w:r>
          </w:p>
        </w:tc>
        <w:tc>
          <w:tcPr>
            <w:tcW w:w="2287" w:type="dxa"/>
            <w:vMerge w:val="restart"/>
            <w:tcBorders>
              <w:top w:val="single" w:sz="4" w:space="0" w:color="auto"/>
              <w:left w:val="single" w:sz="4" w:space="0" w:color="auto"/>
              <w:right w:val="single" w:sz="4" w:space="0" w:color="auto"/>
            </w:tcBorders>
            <w:noWrap/>
            <w:tcMar>
              <w:left w:w="85" w:type="dxa"/>
              <w:right w:w="85" w:type="dxa"/>
            </w:tcMar>
          </w:tcPr>
          <w:p w14:paraId="79582881" w14:textId="651375E1" w:rsidR="0058745E" w:rsidRPr="00A164C9" w:rsidRDefault="00146F6F" w:rsidP="00F47C94">
            <w:pPr>
              <w:pStyle w:val="Tabletext"/>
              <w:rPr>
                <w:lang w:val="es-ES"/>
              </w:rPr>
            </w:pPr>
            <w:r>
              <w:rPr>
                <w:lang w:val="es-ES"/>
              </w:rPr>
              <w:t>La disposición no requiere modificación, ya que es aplicable y flexible.</w:t>
            </w:r>
          </w:p>
        </w:tc>
      </w:tr>
      <w:tr w:rsidR="0058745E" w:rsidRPr="00305A62" w14:paraId="1AFD47B8" w14:textId="77777777" w:rsidTr="0058745E">
        <w:trPr>
          <w:trHeight w:val="3705"/>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75682FB7" w14:textId="77777777" w:rsidR="0058745E" w:rsidRPr="0058745E" w:rsidRDefault="0058745E" w:rsidP="0058745E">
            <w:pPr>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38FB6B87" w14:textId="77777777" w:rsidR="0058745E" w:rsidRPr="0058745E" w:rsidRDefault="0058745E" w:rsidP="0058745E">
            <w:pPr>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2058F130" w14:textId="77777777" w:rsidR="0058745E" w:rsidRPr="0058745E" w:rsidRDefault="0058745E" w:rsidP="0058745E">
            <w:pPr>
              <w:rPr>
                <w:b/>
                <w:lang w:val="es-ES"/>
              </w:rPr>
            </w:pPr>
          </w:p>
        </w:tc>
        <w:tc>
          <w:tcPr>
            <w:tcW w:w="4174"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0F297B6F" w14:textId="3CC9AD2E" w:rsidR="0058745E" w:rsidRPr="00305A62" w:rsidRDefault="00305A62" w:rsidP="00F47C94">
            <w:pPr>
              <w:pStyle w:val="Tabletext"/>
              <w:rPr>
                <w:b/>
                <w:bCs/>
                <w:i/>
                <w:iCs/>
                <w:lang w:val="es-ES"/>
              </w:rPr>
            </w:pPr>
            <w:bookmarkStart w:id="22" w:name="lt_pId111"/>
            <w:r w:rsidRPr="00305A62">
              <w:rPr>
                <w:b/>
                <w:bCs/>
                <w:i/>
                <w:iCs/>
                <w:lang w:val="es-ES"/>
              </w:rPr>
              <w:t>El número</w:t>
            </w:r>
            <w:r w:rsidR="0058745E" w:rsidRPr="00305A62">
              <w:rPr>
                <w:b/>
                <w:bCs/>
                <w:i/>
                <w:iCs/>
                <w:lang w:val="es-ES"/>
              </w:rPr>
              <w:t xml:space="preserve"> 58 </w:t>
            </w:r>
            <w:r w:rsidRPr="00305A62">
              <w:rPr>
                <w:b/>
                <w:bCs/>
                <w:i/>
                <w:iCs/>
                <w:lang w:val="es-ES"/>
              </w:rPr>
              <w:t>del RTI de 1988 contiene referencias obsoletas al Co</w:t>
            </w:r>
            <w:r>
              <w:rPr>
                <w:b/>
                <w:bCs/>
                <w:i/>
                <w:iCs/>
                <w:lang w:val="es-ES"/>
              </w:rPr>
              <w:t>nvenio Internacional de Telecomunicaciones, ya extinto</w:t>
            </w:r>
            <w:r w:rsidR="0058745E" w:rsidRPr="00305A62">
              <w:rPr>
                <w:b/>
                <w:bCs/>
                <w:i/>
                <w:iCs/>
                <w:lang w:val="es-ES"/>
              </w:rPr>
              <w:t>.</w:t>
            </w:r>
            <w:bookmarkEnd w:id="22"/>
          </w:p>
        </w:tc>
        <w:tc>
          <w:tcPr>
            <w:tcW w:w="2287" w:type="dxa"/>
            <w:vMerge/>
            <w:tcBorders>
              <w:left w:val="single" w:sz="4" w:space="0" w:color="auto"/>
              <w:bottom w:val="single" w:sz="4" w:space="0" w:color="auto"/>
              <w:right w:val="single" w:sz="4" w:space="0" w:color="auto"/>
            </w:tcBorders>
            <w:noWrap/>
            <w:tcMar>
              <w:left w:w="85" w:type="dxa"/>
              <w:right w:w="85" w:type="dxa"/>
            </w:tcMar>
          </w:tcPr>
          <w:p w14:paraId="4570FF41" w14:textId="77777777" w:rsidR="0058745E" w:rsidRPr="00305A62" w:rsidRDefault="0058745E" w:rsidP="0058745E">
            <w:pPr>
              <w:rPr>
                <w:lang w:val="es-ES"/>
              </w:rPr>
            </w:pPr>
          </w:p>
        </w:tc>
      </w:tr>
      <w:tr w:rsidR="0058745E" w:rsidRPr="0058745E" w14:paraId="5E1A828F"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01B50EED" w14:textId="77777777" w:rsidR="0058745E" w:rsidRPr="00305A62"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A0A4C9A" w14:textId="7D352628" w:rsidR="0058745E" w:rsidRPr="0058745E" w:rsidRDefault="0058745E" w:rsidP="0058745E">
            <w:pPr>
              <w:pStyle w:val="Tabletext"/>
              <w:rPr>
                <w:b/>
                <w:lang w:val="es-ES"/>
              </w:rPr>
            </w:pPr>
            <w:r w:rsidRPr="0058745E">
              <w:rPr>
                <w:b/>
                <w:lang w:val="es-ES"/>
              </w:rPr>
              <w:t>74  </w:t>
            </w:r>
            <w:r w:rsidRPr="0058745E">
              <w:rPr>
                <w:lang w:val="es-ES"/>
              </w:rPr>
              <w:t>13.1</w:t>
            </w:r>
            <w:r w:rsidRPr="0058745E">
              <w:rPr>
                <w:lang w:val="es-ES"/>
              </w:rPr>
              <w:tab/>
            </w:r>
            <w:bookmarkStart w:id="23" w:name="lt_pId113"/>
            <w:r w:rsidRPr="0058745E">
              <w:rPr>
                <w:i/>
                <w:iCs/>
                <w:lang w:val="es-ES"/>
              </w:rPr>
              <w:t>b)</w:t>
            </w:r>
            <w:bookmarkEnd w:id="23"/>
            <w:r w:rsidRPr="0058745E">
              <w:rPr>
                <w:lang w:val="es-ES"/>
              </w:rPr>
              <w:tab/>
            </w:r>
            <w:r w:rsidR="00F47C94" w:rsidRPr="00A164C9">
              <w:rPr>
                <w:lang w:val="es-ES"/>
              </w:rPr>
              <w:t>Tales acuerdos particulares procurarán evitar causar daños técnicos a la explotación de los medios de telecomunicación de terceros países.</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82973C3" w14:textId="3F2E9ED0" w:rsidR="0058745E" w:rsidRPr="0058745E" w:rsidRDefault="0058745E" w:rsidP="0058745E">
            <w:pPr>
              <w:pStyle w:val="Tabletext"/>
              <w:rPr>
                <w:b/>
                <w:lang w:val="es-ES"/>
              </w:rPr>
            </w:pPr>
            <w:bookmarkStart w:id="24" w:name="lt_pId115"/>
            <w:r w:rsidRPr="0058745E">
              <w:rPr>
                <w:b/>
                <w:lang w:val="es-ES"/>
              </w:rPr>
              <w:t>59  </w:t>
            </w:r>
            <w:r w:rsidRPr="0058745E">
              <w:rPr>
                <w:i/>
                <w:iCs/>
                <w:lang w:val="es-ES"/>
              </w:rPr>
              <w:t>b)</w:t>
            </w:r>
            <w:bookmarkEnd w:id="24"/>
            <w:r w:rsidRPr="0058745E">
              <w:rPr>
                <w:lang w:val="es-ES"/>
              </w:rPr>
              <w:tab/>
            </w:r>
            <w:r w:rsidR="00C73B3C" w:rsidRPr="00A164C9">
              <w:rPr>
                <w:lang w:val="es-ES"/>
              </w:rPr>
              <w:t>Tales arreglos particulares deberían evitar todo perjuicio técnico a la explotación de los medios de telecomunicación de terceros países.</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4AB2B8" w14:textId="1D8549F7"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1B6FD23" w14:textId="5C50CB2F"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419D559" w14:textId="6B8E8EAA" w:rsidR="0058745E" w:rsidRPr="0058745E" w:rsidRDefault="00146F6F" w:rsidP="0058745E">
            <w:pPr>
              <w:pStyle w:val="Tabletext"/>
              <w:rPr>
                <w:lang w:val="es-ES"/>
              </w:rPr>
            </w:pPr>
            <w:r>
              <w:rPr>
                <w:lang w:val="es-ES"/>
              </w:rPr>
              <w:t>La disposición no requiere modificación, ya que es aplicable y flexible.</w:t>
            </w:r>
          </w:p>
        </w:tc>
      </w:tr>
      <w:tr w:rsidR="0058745E" w:rsidRPr="00305A62" w14:paraId="15D7288E"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3A0F8FE0" w14:textId="77777777" w:rsidR="0058745E" w:rsidRPr="0058745E" w:rsidRDefault="0058745E" w:rsidP="0058745E">
            <w:pPr>
              <w:rPr>
                <w:b/>
                <w:lang w:val="es-ES"/>
              </w:rPr>
            </w:pPr>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020F5BBF" w14:textId="770BE87E" w:rsidR="0058745E" w:rsidRPr="0058745E" w:rsidRDefault="0058745E" w:rsidP="0058745E">
            <w:pPr>
              <w:pStyle w:val="Tabletext"/>
              <w:rPr>
                <w:b/>
                <w:lang w:val="es-ES"/>
              </w:rPr>
            </w:pPr>
            <w:r w:rsidRPr="0058745E">
              <w:rPr>
                <w:b/>
                <w:lang w:val="es-ES"/>
              </w:rPr>
              <w:t>75  </w:t>
            </w:r>
            <w:r w:rsidRPr="0058745E">
              <w:rPr>
                <w:lang w:val="es-ES"/>
              </w:rPr>
              <w:t>13.2</w:t>
            </w:r>
            <w:r w:rsidRPr="0058745E">
              <w:rPr>
                <w:lang w:val="es-ES"/>
              </w:rPr>
              <w:tab/>
            </w:r>
            <w:r w:rsidR="00F47C94" w:rsidRPr="00A164C9">
              <w:rPr>
                <w:lang w:val="es-ES"/>
              </w:rPr>
              <w:t xml:space="preserve">Los Estados Miembros deben instar, si procede, a las partes en cualesquiera acuerdos particulares concertados de conformidad con el número 58 (9.1) </w:t>
            </w:r>
            <w:r w:rsidR="00F47C94" w:rsidRPr="00A164C9">
              <w:rPr>
                <w:i/>
                <w:iCs/>
                <w:lang w:val="es-ES"/>
              </w:rPr>
              <w:t xml:space="preserve">supra </w:t>
            </w:r>
            <w:r w:rsidR="00F47C94" w:rsidRPr="00A164C9">
              <w:rPr>
                <w:lang w:val="es-ES"/>
              </w:rPr>
              <w:t>a tener en cuenta las disposiciones pertinentes de las Recomendaciones UIT-T.</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223F59EC" w14:textId="62385C16" w:rsidR="0058745E" w:rsidRPr="0058745E" w:rsidRDefault="0058745E" w:rsidP="0058745E">
            <w:pPr>
              <w:pStyle w:val="Tabletext"/>
              <w:rPr>
                <w:b/>
                <w:lang w:val="es-ES"/>
              </w:rPr>
            </w:pPr>
            <w:r w:rsidRPr="0058745E">
              <w:rPr>
                <w:b/>
                <w:lang w:val="es-ES"/>
              </w:rPr>
              <w:t>60  </w:t>
            </w:r>
            <w:r w:rsidRPr="0058745E">
              <w:rPr>
                <w:lang w:val="es-ES"/>
              </w:rPr>
              <w:t>9.2</w:t>
            </w:r>
            <w:r w:rsidRPr="0058745E">
              <w:rPr>
                <w:lang w:val="es-ES"/>
              </w:rPr>
              <w:tab/>
            </w:r>
            <w:r w:rsidR="00C73B3C" w:rsidRPr="00A164C9">
              <w:rPr>
                <w:lang w:val="es-ES"/>
              </w:rPr>
              <w:t>Los Miembros deberían, según proceda, instar a las partes en cualesquiera arreglos particulares concertados de conformidad con el número 58 a que tengan en cuenta las disposiciones pertinentes de las Recomendaciones del CCITT.</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3697AAA" w14:textId="69F06261"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093CAFD" w14:textId="7D8A02EA"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vMerge w:val="restart"/>
            <w:tcBorders>
              <w:top w:val="single" w:sz="4" w:space="0" w:color="auto"/>
              <w:left w:val="single" w:sz="4" w:space="0" w:color="auto"/>
              <w:right w:val="single" w:sz="4" w:space="0" w:color="auto"/>
            </w:tcBorders>
            <w:noWrap/>
            <w:tcMar>
              <w:left w:w="85" w:type="dxa"/>
              <w:right w:w="85" w:type="dxa"/>
            </w:tcMar>
          </w:tcPr>
          <w:p w14:paraId="30DF0FDF" w14:textId="50781276" w:rsidR="0058745E" w:rsidRPr="0058745E" w:rsidRDefault="00146F6F" w:rsidP="0058745E">
            <w:pPr>
              <w:pStyle w:val="Tabletext"/>
              <w:rPr>
                <w:lang w:val="es-ES"/>
              </w:rPr>
            </w:pPr>
            <w:r>
              <w:rPr>
                <w:lang w:val="es-ES"/>
              </w:rPr>
              <w:t>La disposición no requiere modificación, ya que es aplicable y flexible.</w:t>
            </w:r>
          </w:p>
          <w:p w14:paraId="7870AE2F" w14:textId="778649A9" w:rsidR="0058745E" w:rsidRPr="00305A62" w:rsidRDefault="00305A62" w:rsidP="0058745E">
            <w:pPr>
              <w:pStyle w:val="Tabletext"/>
              <w:rPr>
                <w:lang w:val="es-ES"/>
              </w:rPr>
            </w:pPr>
            <w:bookmarkStart w:id="25" w:name="lt_pId127"/>
            <w:r w:rsidRPr="00305A62">
              <w:rPr>
                <w:lang w:val="es-ES"/>
              </w:rPr>
              <w:t>Parece conveniente sustituir la referencia a las Recomendaciones UIT-T con referencias a las Recomendaciones de la UIT, pues estas disposiciones pueden afect</w:t>
            </w:r>
            <w:r>
              <w:rPr>
                <w:lang w:val="es-ES"/>
              </w:rPr>
              <w:t>ar a diversos sistemas y redes de telecomunicaciones/TIC</w:t>
            </w:r>
            <w:r w:rsidR="0058745E" w:rsidRPr="00305A62">
              <w:rPr>
                <w:lang w:val="es-ES"/>
              </w:rPr>
              <w:t>.</w:t>
            </w:r>
            <w:bookmarkEnd w:id="25"/>
          </w:p>
        </w:tc>
      </w:tr>
      <w:tr w:rsidR="0058745E" w:rsidRPr="0058745E" w14:paraId="506BA830" w14:textId="77777777" w:rsidTr="0058745E">
        <w:trPr>
          <w:trHeight w:val="552"/>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7A3B7D37" w14:textId="77777777" w:rsidR="0058745E" w:rsidRPr="00305A62" w:rsidRDefault="0058745E" w:rsidP="0058745E">
            <w:pPr>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573F9892" w14:textId="77777777" w:rsidR="0058745E" w:rsidRPr="00305A62" w:rsidRDefault="0058745E" w:rsidP="0058745E">
            <w:pPr>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3DCD00F7" w14:textId="77777777" w:rsidR="0058745E" w:rsidRPr="00305A62" w:rsidRDefault="0058745E" w:rsidP="0058745E">
            <w:pPr>
              <w:rPr>
                <w:b/>
                <w:lang w:val="es-ES"/>
              </w:rPr>
            </w:pPr>
          </w:p>
        </w:tc>
        <w:tc>
          <w:tcPr>
            <w:tcW w:w="4174"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7CAADB18" w14:textId="6ACF27A4" w:rsidR="00F726AD" w:rsidRPr="0058745E" w:rsidRDefault="00305A62" w:rsidP="00F47C94">
            <w:pPr>
              <w:pStyle w:val="Tabletext"/>
              <w:rPr>
                <w:b/>
                <w:bCs/>
                <w:i/>
                <w:iCs/>
                <w:lang w:val="es-ES"/>
              </w:rPr>
            </w:pPr>
            <w:r w:rsidRPr="00305A62">
              <w:rPr>
                <w:b/>
                <w:bCs/>
                <w:i/>
                <w:iCs/>
                <w:lang w:val="es-ES"/>
              </w:rPr>
              <w:t>El número</w:t>
            </w:r>
            <w:r w:rsidR="0058745E" w:rsidRPr="00305A62">
              <w:rPr>
                <w:b/>
                <w:bCs/>
                <w:i/>
                <w:iCs/>
                <w:lang w:val="es-ES"/>
              </w:rPr>
              <w:t xml:space="preserve"> 60 </w:t>
            </w:r>
            <w:r w:rsidRPr="00305A62">
              <w:rPr>
                <w:b/>
                <w:bCs/>
                <w:i/>
                <w:iCs/>
                <w:lang w:val="es-ES"/>
              </w:rPr>
              <w:t>del RTI de 1988 contiene referencias obsoletas a Recomendaciones d</w:t>
            </w:r>
            <w:r>
              <w:rPr>
                <w:b/>
                <w:bCs/>
                <w:i/>
                <w:iCs/>
                <w:lang w:val="es-ES"/>
              </w:rPr>
              <w:t>el</w:t>
            </w:r>
            <w:r w:rsidR="0058745E" w:rsidRPr="00305A62">
              <w:rPr>
                <w:b/>
                <w:bCs/>
                <w:i/>
                <w:iCs/>
                <w:lang w:val="es-ES"/>
              </w:rPr>
              <w:t xml:space="preserve"> CCITT.</w:t>
            </w:r>
          </w:p>
        </w:tc>
        <w:tc>
          <w:tcPr>
            <w:tcW w:w="2287" w:type="dxa"/>
            <w:vMerge/>
            <w:tcBorders>
              <w:left w:val="single" w:sz="4" w:space="0" w:color="auto"/>
              <w:bottom w:val="single" w:sz="4" w:space="0" w:color="auto"/>
              <w:right w:val="single" w:sz="4" w:space="0" w:color="auto"/>
            </w:tcBorders>
            <w:noWrap/>
            <w:tcMar>
              <w:left w:w="85" w:type="dxa"/>
              <w:right w:w="85" w:type="dxa"/>
            </w:tcMar>
          </w:tcPr>
          <w:p w14:paraId="41A41FFB" w14:textId="77777777" w:rsidR="0058745E" w:rsidRPr="0058745E" w:rsidRDefault="0058745E" w:rsidP="0058745E">
            <w:pPr>
              <w:rPr>
                <w:lang w:val="es-ES"/>
              </w:rPr>
            </w:pPr>
          </w:p>
        </w:tc>
      </w:tr>
      <w:tr w:rsidR="0058745E" w:rsidRPr="00305A62" w14:paraId="0D506E13" w14:textId="77777777" w:rsidTr="0058745E">
        <w:trPr>
          <w:trHeight w:val="1200"/>
          <w:jc w:val="center"/>
        </w:trPr>
        <w:tc>
          <w:tcPr>
            <w:tcW w:w="944" w:type="dxa"/>
            <w:vMerge w:val="restart"/>
            <w:tcBorders>
              <w:left w:val="single" w:sz="4" w:space="0" w:color="auto"/>
              <w:right w:val="single" w:sz="4" w:space="0" w:color="auto"/>
            </w:tcBorders>
            <w:noWrap/>
            <w:tcMar>
              <w:left w:w="85" w:type="dxa"/>
              <w:right w:w="85" w:type="dxa"/>
            </w:tcMar>
            <w:textDirection w:val="btLr"/>
            <w:vAlign w:val="center"/>
          </w:tcPr>
          <w:p w14:paraId="4D2028A1" w14:textId="177DE132" w:rsidR="0058745E" w:rsidRPr="0058745E" w:rsidRDefault="00F47C94" w:rsidP="00F47C94">
            <w:pPr>
              <w:pStyle w:val="Tabletext"/>
              <w:jc w:val="center"/>
              <w:rPr>
                <w:b/>
                <w:lang w:val="es-ES"/>
              </w:rPr>
            </w:pPr>
            <w:bookmarkStart w:id="26" w:name="lt_pId129"/>
            <w:r w:rsidRPr="00A164C9">
              <w:rPr>
                <w:b/>
                <w:lang w:val="es-ES"/>
              </w:rPr>
              <w:t xml:space="preserve">ARTÍCULO </w:t>
            </w:r>
            <w:r w:rsidR="00C338FF">
              <w:rPr>
                <w:b/>
                <w:lang w:val="es-ES"/>
              </w:rPr>
              <w:t>14 –</w:t>
            </w:r>
            <w:r w:rsidR="00C338FF">
              <w:rPr>
                <w:b/>
                <w:lang w:val="es-ES"/>
              </w:rPr>
              <w:br/>
            </w:r>
            <w:r w:rsidRPr="00A164C9">
              <w:rPr>
                <w:b/>
                <w:lang w:val="es-ES"/>
              </w:rPr>
              <w:t>Disposiciones finales</w:t>
            </w:r>
            <w:bookmarkEnd w:id="26"/>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65C3979B" w14:textId="5AA02189" w:rsidR="0058745E" w:rsidRPr="0058745E" w:rsidRDefault="0058745E" w:rsidP="0058745E">
            <w:pPr>
              <w:pStyle w:val="Tabletext"/>
              <w:rPr>
                <w:b/>
                <w:lang w:val="es-ES"/>
              </w:rPr>
            </w:pPr>
            <w:r w:rsidRPr="0058745E">
              <w:rPr>
                <w:b/>
                <w:lang w:val="es-ES"/>
              </w:rPr>
              <w:t>76  </w:t>
            </w:r>
            <w:r w:rsidRPr="0058745E">
              <w:rPr>
                <w:lang w:val="es-ES"/>
              </w:rPr>
              <w:t>14.1</w:t>
            </w:r>
            <w:r w:rsidRPr="0058745E">
              <w:rPr>
                <w:lang w:val="es-ES"/>
              </w:rPr>
              <w:tab/>
            </w:r>
            <w:r w:rsidR="00F47C94" w:rsidRPr="00A164C9">
              <w:rPr>
                <w:lang w:val="es-ES"/>
              </w:rPr>
              <w:t>Este Reglamento, del que forman parte integrante los Apéndices 1 y 2 entrará en vigor el 1 de enero de 2015 y se aplicará a partir de dicha fecha de conformidad con lo dispuesto en el Artículo 54 de la Constitución.</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1B9BFD76" w14:textId="344DA708" w:rsidR="0058745E" w:rsidRPr="0058745E" w:rsidRDefault="0058745E" w:rsidP="0058745E">
            <w:pPr>
              <w:pStyle w:val="Tabletext"/>
              <w:rPr>
                <w:lang w:val="es-ES"/>
              </w:rPr>
            </w:pPr>
            <w:r w:rsidRPr="0058745E">
              <w:rPr>
                <w:b/>
                <w:lang w:val="es-ES"/>
              </w:rPr>
              <w:t>61  </w:t>
            </w:r>
            <w:r w:rsidRPr="0058745E">
              <w:rPr>
                <w:lang w:val="es-ES"/>
              </w:rPr>
              <w:t>10.1</w:t>
            </w:r>
            <w:r w:rsidRPr="0058745E">
              <w:rPr>
                <w:lang w:val="es-ES"/>
              </w:rPr>
              <w:tab/>
            </w:r>
            <w:r w:rsidR="00C73B3C" w:rsidRPr="00A164C9">
              <w:rPr>
                <w:lang w:val="es-ES"/>
              </w:rPr>
              <w:t>Este Reglamento, del que forman parte integrante los Apéndices 1, 2 y 3, entrará en vigor el 1.º de julio de 1990 a las 0001 horas UTC.</w:t>
            </w:r>
          </w:p>
          <w:p w14:paraId="4A575DC6" w14:textId="07A46DDD" w:rsidR="0058745E" w:rsidRPr="0058745E" w:rsidRDefault="0058745E" w:rsidP="0058745E">
            <w:pPr>
              <w:pStyle w:val="Tabletext"/>
              <w:rPr>
                <w:b/>
                <w:lang w:val="es-ES"/>
              </w:rPr>
            </w:pPr>
            <w:r w:rsidRPr="0058745E">
              <w:rPr>
                <w:b/>
                <w:lang w:val="es-ES"/>
              </w:rPr>
              <w:t>62  </w:t>
            </w:r>
            <w:r w:rsidRPr="0058745E">
              <w:rPr>
                <w:lang w:val="es-ES"/>
              </w:rPr>
              <w:t>10.2</w:t>
            </w:r>
            <w:r w:rsidRPr="0058745E">
              <w:rPr>
                <w:lang w:val="es-ES"/>
              </w:rPr>
              <w:tab/>
            </w:r>
            <w:r w:rsidR="00C73B3C" w:rsidRPr="00A164C9">
              <w:rPr>
                <w:lang w:val="es-ES"/>
              </w:rPr>
              <w:t xml:space="preserve">En la fecha especificada en el número 61, el Reglamento Telegráfico (Ginebra, 1973) y el Reglamento Telefónico (Ginebra, </w:t>
            </w:r>
            <w:r w:rsidR="00C73B3C" w:rsidRPr="00A164C9">
              <w:rPr>
                <w:lang w:val="es-ES"/>
              </w:rPr>
              <w:lastRenderedPageBreak/>
              <w:t>1973) serán sustituidos por el presente Reglamento de las Telecomunicaciones Internacionales (Melbourne, 1988) de conformidad con el Convenio Internacional de Telecomunicaciones.</w:t>
            </w:r>
          </w:p>
        </w:tc>
        <w:tc>
          <w:tcPr>
            <w:tcW w:w="6461"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14B560D4" w14:textId="3F49D174" w:rsidR="0058745E" w:rsidRPr="00305A62" w:rsidRDefault="00305A62" w:rsidP="00F47C94">
            <w:pPr>
              <w:pStyle w:val="Tabletext"/>
              <w:rPr>
                <w:b/>
                <w:bCs/>
                <w:i/>
                <w:iCs/>
                <w:lang w:val="es-ES"/>
              </w:rPr>
            </w:pPr>
            <w:bookmarkStart w:id="27" w:name="lt_pId136"/>
            <w:r w:rsidRPr="00305A62">
              <w:rPr>
                <w:b/>
                <w:bCs/>
                <w:i/>
                <w:iCs/>
                <w:lang w:val="es-ES"/>
              </w:rPr>
              <w:lastRenderedPageBreak/>
              <w:t>Estas disposiciones se aplicaron dentro de los plazos establecidos</w:t>
            </w:r>
            <w:r>
              <w:rPr>
                <w:b/>
                <w:bCs/>
                <w:i/>
                <w:iCs/>
                <w:lang w:val="es-ES"/>
              </w:rPr>
              <w:t xml:space="preserve"> de conformidad con la Constitución y el Convenio de la UIT</w:t>
            </w:r>
            <w:r w:rsidR="0058745E" w:rsidRPr="00305A62">
              <w:rPr>
                <w:b/>
                <w:bCs/>
                <w:i/>
                <w:iCs/>
                <w:lang w:val="es-ES"/>
              </w:rPr>
              <w:t>.</w:t>
            </w:r>
            <w:bookmarkEnd w:id="27"/>
          </w:p>
        </w:tc>
      </w:tr>
      <w:tr w:rsidR="0058745E" w:rsidRPr="00305A62" w14:paraId="196318E8"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619B8633" w14:textId="77777777" w:rsidR="0058745E" w:rsidRPr="00305A62" w:rsidRDefault="0058745E" w:rsidP="0058745E">
            <w:pPr>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26782E51" w14:textId="77777777" w:rsidR="0058745E" w:rsidRPr="00305A62" w:rsidRDefault="0058745E" w:rsidP="0058745E">
            <w:pPr>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6B95A075" w14:textId="77777777" w:rsidR="0058745E" w:rsidRPr="00305A62" w:rsidRDefault="0058745E" w:rsidP="0058745E">
            <w:pPr>
              <w:rPr>
                <w:b/>
                <w:lang w:val="es-ES"/>
              </w:rPr>
            </w:pPr>
          </w:p>
        </w:tc>
        <w:tc>
          <w:tcPr>
            <w:tcW w:w="4174"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663989D5" w14:textId="79378595" w:rsidR="0058745E" w:rsidRPr="00305A62" w:rsidRDefault="00305A62" w:rsidP="00F47C94">
            <w:pPr>
              <w:pStyle w:val="Tabletext"/>
              <w:rPr>
                <w:b/>
                <w:bCs/>
                <w:i/>
                <w:iCs/>
                <w:lang w:val="es-ES"/>
              </w:rPr>
            </w:pPr>
            <w:bookmarkStart w:id="28" w:name="lt_pId137"/>
            <w:r w:rsidRPr="00305A62">
              <w:rPr>
                <w:b/>
                <w:bCs/>
                <w:i/>
                <w:iCs/>
                <w:lang w:val="es-ES"/>
              </w:rPr>
              <w:t>El número</w:t>
            </w:r>
            <w:r w:rsidR="0058745E" w:rsidRPr="00305A62">
              <w:rPr>
                <w:b/>
                <w:bCs/>
                <w:i/>
                <w:iCs/>
                <w:lang w:val="es-ES"/>
              </w:rPr>
              <w:t xml:space="preserve"> 62 </w:t>
            </w:r>
            <w:r w:rsidRPr="00305A62">
              <w:rPr>
                <w:b/>
                <w:bCs/>
                <w:i/>
                <w:iCs/>
                <w:lang w:val="es-ES"/>
              </w:rPr>
              <w:t>del RTI de 1988 contiene referencias obsoletas al Conv</w:t>
            </w:r>
            <w:r>
              <w:rPr>
                <w:b/>
                <w:bCs/>
                <w:i/>
                <w:iCs/>
                <w:lang w:val="es-ES"/>
              </w:rPr>
              <w:t>enio Internacional de Telecomunicaciones, ya extinto</w:t>
            </w:r>
            <w:r w:rsidR="0058745E" w:rsidRPr="00305A62">
              <w:rPr>
                <w:b/>
                <w:bCs/>
                <w:i/>
                <w:iCs/>
                <w:lang w:val="es-ES"/>
              </w:rPr>
              <w:t>.</w:t>
            </w:r>
            <w:bookmarkEnd w:id="28"/>
          </w:p>
        </w:tc>
        <w:tc>
          <w:tcPr>
            <w:tcW w:w="2287" w:type="dxa"/>
            <w:tcBorders>
              <w:left w:val="single" w:sz="4" w:space="0" w:color="auto"/>
              <w:bottom w:val="single" w:sz="4" w:space="0" w:color="auto"/>
              <w:right w:val="single" w:sz="4" w:space="0" w:color="auto"/>
            </w:tcBorders>
            <w:noWrap/>
            <w:tcMar>
              <w:left w:w="85" w:type="dxa"/>
              <w:right w:w="85" w:type="dxa"/>
            </w:tcMar>
          </w:tcPr>
          <w:p w14:paraId="4869AEC8" w14:textId="77777777" w:rsidR="0058745E" w:rsidRPr="00305A62" w:rsidRDefault="0058745E" w:rsidP="00F47C94">
            <w:pPr>
              <w:pStyle w:val="Tabletext"/>
              <w:rPr>
                <w:lang w:val="es-ES"/>
              </w:rPr>
            </w:pPr>
          </w:p>
        </w:tc>
      </w:tr>
      <w:tr w:rsidR="0058745E" w:rsidRPr="00305A62" w14:paraId="0D15533E"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09BF457D" w14:textId="77777777" w:rsidR="0058745E" w:rsidRPr="00305A62"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9D991A6" w14:textId="49B42496" w:rsidR="0058745E" w:rsidRPr="0058745E" w:rsidRDefault="0058745E" w:rsidP="0058745E">
            <w:pPr>
              <w:pStyle w:val="Tabletext"/>
              <w:rPr>
                <w:b/>
                <w:lang w:val="es-ES"/>
              </w:rPr>
            </w:pPr>
            <w:r w:rsidRPr="0058745E">
              <w:rPr>
                <w:b/>
                <w:lang w:val="es-ES"/>
              </w:rPr>
              <w:t>77  </w:t>
            </w:r>
            <w:r w:rsidRPr="0058745E">
              <w:rPr>
                <w:lang w:val="es-ES"/>
              </w:rPr>
              <w:t>14.2</w:t>
            </w:r>
            <w:r w:rsidRPr="0058745E">
              <w:rPr>
                <w:lang w:val="es-ES"/>
              </w:rPr>
              <w:tab/>
            </w:r>
            <w:r w:rsidR="00F47C94" w:rsidRPr="00A164C9">
              <w:rPr>
                <w:lang w:val="es-ES"/>
              </w:rPr>
              <w:t>Si un Estado Miembro formula reservas con respecto a la aplicación de una o varias disposiciones contenidas en este Reglamento, los otros Estados Miembros podrán hacer caso omiso de tal o tales disposiciones en sus relaciones con el Estado Miembro que haya formulado esas reservas.</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AB53A7C" w14:textId="581C7B4E" w:rsidR="0058745E" w:rsidRPr="0058745E" w:rsidRDefault="0058745E" w:rsidP="0058745E">
            <w:pPr>
              <w:pStyle w:val="Tabletext"/>
              <w:rPr>
                <w:lang w:val="es-ES"/>
              </w:rPr>
            </w:pPr>
            <w:r w:rsidRPr="0058745E">
              <w:rPr>
                <w:b/>
                <w:lang w:val="es-ES"/>
              </w:rPr>
              <w:t>63  </w:t>
            </w:r>
            <w:r w:rsidRPr="0058745E">
              <w:rPr>
                <w:lang w:val="es-ES"/>
              </w:rPr>
              <w:t>10.3</w:t>
            </w:r>
            <w:r w:rsidRPr="0058745E">
              <w:rPr>
                <w:lang w:val="es-ES"/>
              </w:rPr>
              <w:tab/>
            </w:r>
            <w:r w:rsidR="00C73B3C" w:rsidRPr="00A164C9">
              <w:rPr>
                <w:lang w:val="es-ES"/>
              </w:rPr>
              <w:t>Si un Miembro formula reservas con respecto a la aplicación de una o varias disposiciones contenidas en el Reglamento, los otros Miembros y sus administraciones</w:t>
            </w:r>
            <w:r w:rsidR="00C73B3C" w:rsidRPr="00A164C9">
              <w:rPr>
                <w:lang w:val="es-ES"/>
              </w:rPr>
              <w:fldChar w:fldCharType="begin"/>
            </w:r>
            <w:r w:rsidR="00C73B3C" w:rsidRPr="00A164C9">
              <w:rPr>
                <w:lang w:val="es-ES"/>
              </w:rPr>
              <w:instrText xml:space="preserve"> NOTEREF _Ref319417134 \f \h </w:instrText>
            </w:r>
            <w:r w:rsidR="00C73B3C" w:rsidRPr="00A164C9">
              <w:rPr>
                <w:lang w:val="es-ES"/>
              </w:rPr>
            </w:r>
            <w:r w:rsidR="00C73B3C" w:rsidRPr="00A164C9">
              <w:rPr>
                <w:lang w:val="es-ES"/>
              </w:rPr>
              <w:fldChar w:fldCharType="separate"/>
            </w:r>
            <w:r w:rsidR="00C73B3C" w:rsidRPr="00A164C9">
              <w:rPr>
                <w:lang w:val="es-ES"/>
              </w:rPr>
              <w:t>*</w:t>
            </w:r>
            <w:r w:rsidR="00C73B3C" w:rsidRPr="00A164C9">
              <w:rPr>
                <w:lang w:val="es-ES"/>
              </w:rPr>
              <w:fldChar w:fldCharType="end"/>
            </w:r>
            <w:r w:rsidR="00C73B3C" w:rsidRPr="00A164C9">
              <w:rPr>
                <w:lang w:val="es-ES"/>
              </w:rPr>
              <w:t xml:space="preserve"> podrán hacer caso omiso de tal o tales disposiciones en sus relaciones con el Miembro que haya formulado esas reservas y sus administraciones</w:t>
            </w:r>
            <w:r w:rsidR="00C73B3C" w:rsidRPr="00A164C9">
              <w:rPr>
                <w:lang w:val="es-ES"/>
              </w:rPr>
              <w:fldChar w:fldCharType="begin"/>
            </w:r>
            <w:r w:rsidR="00C73B3C" w:rsidRPr="00A164C9">
              <w:rPr>
                <w:lang w:val="es-ES"/>
              </w:rPr>
              <w:instrText xml:space="preserve"> NOTEREF _Ref319417134 \f \h </w:instrText>
            </w:r>
            <w:r w:rsidR="00C73B3C" w:rsidRPr="00A164C9">
              <w:rPr>
                <w:lang w:val="es-ES"/>
              </w:rPr>
            </w:r>
            <w:r w:rsidR="00C73B3C" w:rsidRPr="00A164C9">
              <w:rPr>
                <w:lang w:val="es-ES"/>
              </w:rPr>
              <w:fldChar w:fldCharType="separate"/>
            </w:r>
            <w:r w:rsidR="00C73B3C" w:rsidRPr="00A164C9">
              <w:rPr>
                <w:lang w:val="es-ES"/>
              </w:rPr>
              <w:t>*</w:t>
            </w:r>
            <w:r w:rsidR="00C73B3C" w:rsidRPr="00A164C9">
              <w:rPr>
                <w:lang w:val="es-ES"/>
              </w:rPr>
              <w:fldChar w:fldCharType="end"/>
            </w:r>
            <w:r w:rsidR="00C73B3C" w:rsidRPr="00A164C9">
              <w:rPr>
                <w:lang w:val="es-ES"/>
              </w:rPr>
              <w:t>.</w:t>
            </w:r>
          </w:p>
        </w:tc>
        <w:tc>
          <w:tcPr>
            <w:tcW w:w="6461"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15919532" w14:textId="745A3A34" w:rsidR="0058745E" w:rsidRPr="00305A62" w:rsidRDefault="00305A62" w:rsidP="00F47C94">
            <w:pPr>
              <w:pStyle w:val="Tabletext"/>
              <w:rPr>
                <w:b/>
                <w:bCs/>
                <w:i/>
                <w:iCs/>
                <w:lang w:val="es-ES"/>
              </w:rPr>
            </w:pPr>
            <w:bookmarkStart w:id="29" w:name="lt_pId147"/>
            <w:r w:rsidRPr="00305A62">
              <w:rPr>
                <w:b/>
                <w:bCs/>
                <w:i/>
                <w:iCs/>
                <w:lang w:val="es-ES"/>
              </w:rPr>
              <w:t xml:space="preserve">Estas disposiciones se aplicaron de conformidad con la </w:t>
            </w:r>
            <w:r>
              <w:rPr>
                <w:b/>
                <w:bCs/>
                <w:i/>
                <w:iCs/>
                <w:lang w:val="es-ES"/>
              </w:rPr>
              <w:t>Constitución y el Convenio de la UIT</w:t>
            </w:r>
            <w:r w:rsidR="0058745E" w:rsidRPr="00305A62">
              <w:rPr>
                <w:b/>
                <w:bCs/>
                <w:i/>
                <w:iCs/>
                <w:lang w:val="es-ES"/>
              </w:rPr>
              <w:t>.</w:t>
            </w:r>
            <w:bookmarkEnd w:id="29"/>
          </w:p>
        </w:tc>
      </w:tr>
      <w:tr w:rsidR="0058745E" w:rsidRPr="0058745E" w14:paraId="3573FE16" w14:textId="77777777" w:rsidTr="0058745E">
        <w:trPr>
          <w:trHeight w:val="1200"/>
          <w:jc w:val="center"/>
        </w:trPr>
        <w:tc>
          <w:tcPr>
            <w:tcW w:w="944" w:type="dxa"/>
            <w:tcBorders>
              <w:left w:val="single" w:sz="4" w:space="0" w:color="auto"/>
              <w:right w:val="single" w:sz="4" w:space="0" w:color="auto"/>
            </w:tcBorders>
            <w:noWrap/>
            <w:tcMar>
              <w:left w:w="85" w:type="dxa"/>
              <w:right w:w="85" w:type="dxa"/>
            </w:tcMar>
            <w:textDirection w:val="btLr"/>
            <w:vAlign w:val="center"/>
          </w:tcPr>
          <w:p w14:paraId="06272E38" w14:textId="77777777" w:rsidR="0058745E" w:rsidRPr="00305A62" w:rsidRDefault="0058745E" w:rsidP="00F47C94">
            <w:pPr>
              <w:pStyle w:val="Tabletext"/>
              <w:jc w:val="cente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824D2C4" w14:textId="77777777" w:rsidR="0058745E" w:rsidRPr="00305A62" w:rsidRDefault="0058745E" w:rsidP="0058745E">
            <w:pPr>
              <w:rPr>
                <w:b/>
                <w:lang w:val="es-ES"/>
              </w:rPr>
            </w:pP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7B67A6D" w14:textId="4B7CC954" w:rsidR="0058745E" w:rsidRPr="0058745E" w:rsidRDefault="0058745E" w:rsidP="0058745E">
            <w:pPr>
              <w:pStyle w:val="Tabletext"/>
              <w:rPr>
                <w:b/>
                <w:lang w:val="es-ES"/>
              </w:rPr>
            </w:pPr>
            <w:r w:rsidRPr="0058745E">
              <w:rPr>
                <w:b/>
                <w:lang w:val="es-ES"/>
              </w:rPr>
              <w:t>64  </w:t>
            </w:r>
            <w:r w:rsidRPr="0058745E">
              <w:rPr>
                <w:lang w:val="es-ES"/>
              </w:rPr>
              <w:t>10.4</w:t>
            </w:r>
            <w:r w:rsidRPr="0058745E">
              <w:rPr>
                <w:lang w:val="es-ES"/>
              </w:rPr>
              <w:tab/>
            </w:r>
            <w:r w:rsidR="00C73B3C" w:rsidRPr="00A164C9">
              <w:rPr>
                <w:lang w:val="es-ES"/>
              </w:rPr>
              <w:t>Los Miembros de la Unión notificarán al Secretario General su aprobación del Reglamento de las Telecomunicaciones Internacionales adoptado por la Conferencia. El Secretario General informará rápidamente a los Miembros de la recepción de tales notificaciones de aprobación.</w:t>
            </w:r>
          </w:p>
        </w:tc>
        <w:tc>
          <w:tcPr>
            <w:tcW w:w="6461" w:type="dxa"/>
            <w:gridSpan w:val="3"/>
            <w:tcBorders>
              <w:top w:val="single" w:sz="4" w:space="0" w:color="auto"/>
              <w:left w:val="single" w:sz="4" w:space="0" w:color="auto"/>
              <w:bottom w:val="single" w:sz="4" w:space="0" w:color="auto"/>
              <w:right w:val="single" w:sz="4" w:space="0" w:color="auto"/>
            </w:tcBorders>
            <w:noWrap/>
            <w:tcMar>
              <w:left w:w="85" w:type="dxa"/>
              <w:right w:w="85" w:type="dxa"/>
            </w:tcMar>
          </w:tcPr>
          <w:p w14:paraId="1E837D8B" w14:textId="77777777" w:rsidR="0058745E" w:rsidRPr="0058745E" w:rsidRDefault="0058745E" w:rsidP="00F47C94">
            <w:pPr>
              <w:pStyle w:val="Tabletext"/>
              <w:rPr>
                <w:b/>
                <w:bCs/>
                <w:i/>
                <w:iCs/>
                <w:lang w:val="es-ES"/>
              </w:rPr>
            </w:pPr>
          </w:p>
        </w:tc>
      </w:tr>
      <w:tr w:rsidR="00C338FF" w:rsidRPr="0058745E" w14:paraId="46C2B31F" w14:textId="77777777" w:rsidTr="006E2093">
        <w:trPr>
          <w:cantSplit/>
          <w:trHeight w:val="437"/>
          <w:jc w:val="center"/>
        </w:trPr>
        <w:tc>
          <w:tcPr>
            <w:tcW w:w="944" w:type="dxa"/>
            <w:vMerge w:val="restart"/>
            <w:tcBorders>
              <w:left w:val="single" w:sz="4" w:space="0" w:color="auto"/>
              <w:right w:val="single" w:sz="4" w:space="0" w:color="auto"/>
            </w:tcBorders>
            <w:noWrap/>
            <w:tcMar>
              <w:left w:w="85" w:type="dxa"/>
              <w:right w:w="85" w:type="dxa"/>
            </w:tcMar>
            <w:textDirection w:val="btLr"/>
            <w:vAlign w:val="center"/>
          </w:tcPr>
          <w:p w14:paraId="3DE75B7F" w14:textId="392C6D5D" w:rsidR="00C338FF" w:rsidRPr="0058745E" w:rsidRDefault="00C338FF" w:rsidP="00C338FF">
            <w:pPr>
              <w:pStyle w:val="Tabletext"/>
              <w:keepNext/>
              <w:keepLines/>
              <w:jc w:val="center"/>
              <w:rPr>
                <w:b/>
                <w:lang w:val="es-ES"/>
              </w:rPr>
            </w:pPr>
            <w:bookmarkStart w:id="30" w:name="lt_pId148"/>
            <w:r w:rsidRPr="00A164C9">
              <w:rPr>
                <w:b/>
                <w:lang w:val="es-ES"/>
              </w:rPr>
              <w:lastRenderedPageBreak/>
              <w:t xml:space="preserve">APÉNDICE </w:t>
            </w:r>
            <w:r w:rsidRPr="0058745E">
              <w:rPr>
                <w:b/>
                <w:lang w:val="es-ES"/>
              </w:rPr>
              <w:t xml:space="preserve">2 – </w:t>
            </w:r>
            <w:r w:rsidRPr="00A164C9">
              <w:rPr>
                <w:b/>
                <w:lang w:val="es-ES"/>
              </w:rPr>
              <w:t>Disposiciones adicionales relativas a las telecomunicaciones marítimas</w:t>
            </w:r>
            <w:bookmarkEnd w:id="30"/>
          </w:p>
        </w:tc>
        <w:tc>
          <w:tcPr>
            <w:tcW w:w="13044" w:type="dxa"/>
            <w:gridSpan w:val="5"/>
            <w:tcBorders>
              <w:top w:val="single" w:sz="4" w:space="0" w:color="auto"/>
              <w:left w:val="single" w:sz="4" w:space="0" w:color="auto"/>
              <w:bottom w:val="single" w:sz="4" w:space="0" w:color="auto"/>
              <w:right w:val="single" w:sz="4" w:space="0" w:color="auto"/>
            </w:tcBorders>
            <w:noWrap/>
            <w:tcMar>
              <w:left w:w="85" w:type="dxa"/>
              <w:right w:w="85" w:type="dxa"/>
            </w:tcMar>
          </w:tcPr>
          <w:p w14:paraId="7ED18405" w14:textId="6B61587A" w:rsidR="00C338FF" w:rsidRPr="00501CDC" w:rsidRDefault="00C338FF" w:rsidP="00501CDC">
            <w:pPr>
              <w:pStyle w:val="Tabletext"/>
              <w:rPr>
                <w:b/>
                <w:bCs/>
                <w:lang w:val="es-ES"/>
              </w:rPr>
            </w:pPr>
            <w:r w:rsidRPr="00501CDC">
              <w:rPr>
                <w:b/>
                <w:bCs/>
                <w:lang w:val="es-ES"/>
              </w:rPr>
              <w:t>2.1  1</w:t>
            </w:r>
            <w:r w:rsidRPr="00501CDC">
              <w:rPr>
                <w:b/>
                <w:bCs/>
                <w:lang w:val="es-ES"/>
              </w:rPr>
              <w:tab/>
              <w:t>Generalidades</w:t>
            </w:r>
          </w:p>
        </w:tc>
      </w:tr>
      <w:tr w:rsidR="0058745E" w:rsidRPr="0058745E" w14:paraId="034F21E6" w14:textId="77777777" w:rsidTr="0058745E">
        <w:trPr>
          <w:trHeight w:val="126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365E771E" w14:textId="77777777" w:rsidR="0058745E" w:rsidRPr="0058745E" w:rsidRDefault="0058745E" w:rsidP="00C338FF">
            <w:pPr>
              <w:keepNext/>
              <w:keepLines/>
              <w:rPr>
                <w:b/>
                <w:lang w:val="es-ES"/>
              </w:rPr>
            </w:pPr>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610C7EFB" w14:textId="63618D10" w:rsidR="0058745E" w:rsidRPr="0058745E" w:rsidRDefault="0058745E" w:rsidP="00C338FF">
            <w:pPr>
              <w:pStyle w:val="Tabletext"/>
              <w:keepNext/>
              <w:keepLines/>
              <w:rPr>
                <w:b/>
                <w:lang w:val="es-ES"/>
              </w:rPr>
            </w:pPr>
            <w:r w:rsidRPr="0058745E">
              <w:rPr>
                <w:b/>
                <w:lang w:val="es-ES"/>
              </w:rPr>
              <w:t>2.2  </w:t>
            </w:r>
            <w:r w:rsidRPr="0058745E">
              <w:rPr>
                <w:lang w:val="es-ES"/>
              </w:rPr>
              <w:t>1.1</w:t>
            </w:r>
            <w:r w:rsidRPr="0058745E">
              <w:rPr>
                <w:lang w:val="es-ES"/>
              </w:rPr>
              <w:tab/>
            </w:r>
            <w:r w:rsidR="00F425D4" w:rsidRPr="00A164C9">
              <w:rPr>
                <w:lang w:val="es-ES"/>
              </w:rPr>
              <w:t>Las disposiciones del Artículo 8 y del Apéndice 1 se aplicarán también a las telecomunicaciones marítimas cuando se establezcan y liquiden cuentas con arreglo al presente Apéndice, teniendo en cuenta las Recomendaciones UIT-T, a menos que en las disposiciones siguientes se indique lo contrario.</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37704F28" w14:textId="5970ECA4" w:rsidR="0058745E" w:rsidRPr="0058745E" w:rsidRDefault="0058745E" w:rsidP="00C338FF">
            <w:pPr>
              <w:pStyle w:val="Tabletext"/>
              <w:keepNext/>
              <w:keepLines/>
              <w:rPr>
                <w:b/>
                <w:lang w:val="es-ES"/>
              </w:rPr>
            </w:pPr>
            <w:r w:rsidRPr="0058745E">
              <w:rPr>
                <w:b/>
                <w:lang w:val="es-ES"/>
              </w:rPr>
              <w:t>2/2  </w:t>
            </w:r>
            <w:r w:rsidR="00EC0EE7" w:rsidRPr="00A164C9">
              <w:rPr>
                <w:lang w:val="es-ES"/>
              </w:rPr>
              <w:t>Siempre que las disposiciones siguientes no dispongan lo contrario, las disposiciones del Artículo 6 y del Apéndice 1 se aplicarán también a las telecomunicaciones marítimas, teniendo en cuenta las Recomendaciones del CCITT.</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99818D" w14:textId="4C10344E" w:rsidR="0058745E" w:rsidRPr="0058745E" w:rsidRDefault="00A164C9" w:rsidP="00C338FF">
            <w:pPr>
              <w:pStyle w:val="Tabletext"/>
              <w:keepNext/>
              <w:keepLines/>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right w:val="single" w:sz="4" w:space="0" w:color="auto"/>
            </w:tcBorders>
            <w:noWrap/>
            <w:tcMar>
              <w:left w:w="85" w:type="dxa"/>
              <w:right w:w="85" w:type="dxa"/>
            </w:tcMar>
          </w:tcPr>
          <w:p w14:paraId="1E0BFE21" w14:textId="115F62EF" w:rsidR="0058745E" w:rsidRPr="0058745E" w:rsidRDefault="00A164C9" w:rsidP="00C338FF">
            <w:pPr>
              <w:pStyle w:val="Tabletext"/>
              <w:keepNext/>
              <w:keepLines/>
              <w:rPr>
                <w:lang w:val="es-ES"/>
              </w:rPr>
            </w:pPr>
            <w:r w:rsidRPr="00A164C9">
              <w:rPr>
                <w:lang w:val="es-ES"/>
              </w:rPr>
              <w:t>Esta disposición garantiza la flexibilidad necesaria para dar cabida a nuevas tendencias y cuestiones emergentes.</w:t>
            </w:r>
          </w:p>
        </w:tc>
        <w:tc>
          <w:tcPr>
            <w:tcW w:w="2287" w:type="dxa"/>
            <w:vMerge w:val="restart"/>
            <w:tcBorders>
              <w:top w:val="single" w:sz="4" w:space="0" w:color="auto"/>
              <w:left w:val="single" w:sz="4" w:space="0" w:color="auto"/>
              <w:right w:val="single" w:sz="4" w:space="0" w:color="auto"/>
            </w:tcBorders>
            <w:noWrap/>
            <w:tcMar>
              <w:left w:w="85" w:type="dxa"/>
              <w:right w:w="85" w:type="dxa"/>
            </w:tcMar>
          </w:tcPr>
          <w:p w14:paraId="4D20EDC9" w14:textId="429FF1A7" w:rsidR="0058745E" w:rsidRPr="0058745E" w:rsidRDefault="00146F6F" w:rsidP="00C338FF">
            <w:pPr>
              <w:pStyle w:val="Tabletext"/>
              <w:keepNext/>
              <w:keepLines/>
              <w:rPr>
                <w:lang w:val="es-ES"/>
              </w:rPr>
            </w:pPr>
            <w:r>
              <w:rPr>
                <w:lang w:val="es-ES"/>
              </w:rPr>
              <w:t>La disposición no requiere modificación, ya que es aplicable y flexible.</w:t>
            </w:r>
          </w:p>
        </w:tc>
      </w:tr>
      <w:tr w:rsidR="0058745E" w:rsidRPr="00305A62" w14:paraId="2C37561C" w14:textId="77777777" w:rsidTr="0058745E">
        <w:trPr>
          <w:trHeight w:val="957"/>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0DD41AEC" w14:textId="77777777" w:rsidR="0058745E" w:rsidRPr="0058745E" w:rsidRDefault="0058745E" w:rsidP="00C338FF">
            <w:pPr>
              <w:keepNext/>
              <w:keepLines/>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1D198337" w14:textId="77777777" w:rsidR="0058745E" w:rsidRPr="0058745E" w:rsidRDefault="0058745E" w:rsidP="00C338FF">
            <w:pPr>
              <w:keepNext/>
              <w:keepLines/>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76CB974A" w14:textId="77777777" w:rsidR="0058745E" w:rsidRPr="0058745E" w:rsidRDefault="0058745E" w:rsidP="00C338FF">
            <w:pPr>
              <w:keepNext/>
              <w:keepLines/>
              <w:rPr>
                <w:b/>
                <w:lang w:val="es-ES"/>
              </w:rPr>
            </w:pPr>
          </w:p>
        </w:tc>
        <w:tc>
          <w:tcPr>
            <w:tcW w:w="4174"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7B77E891" w14:textId="13730B22" w:rsidR="0058745E" w:rsidRPr="00305A62" w:rsidRDefault="00305A62" w:rsidP="00C338FF">
            <w:pPr>
              <w:pStyle w:val="Tabletext"/>
              <w:keepNext/>
              <w:keepLines/>
              <w:rPr>
                <w:b/>
                <w:bCs/>
                <w:i/>
                <w:iCs/>
                <w:lang w:val="es-ES"/>
              </w:rPr>
            </w:pPr>
            <w:bookmarkStart w:id="31" w:name="lt_pId159"/>
            <w:r w:rsidRPr="00305A62">
              <w:rPr>
                <w:b/>
                <w:bCs/>
                <w:i/>
                <w:iCs/>
                <w:lang w:val="es-ES"/>
              </w:rPr>
              <w:t>El número</w:t>
            </w:r>
            <w:r w:rsidR="0058745E" w:rsidRPr="00305A62">
              <w:rPr>
                <w:b/>
                <w:bCs/>
                <w:i/>
                <w:iCs/>
                <w:lang w:val="es-ES"/>
              </w:rPr>
              <w:t xml:space="preserve"> 2/2 </w:t>
            </w:r>
            <w:r w:rsidRPr="00305A62">
              <w:rPr>
                <w:b/>
                <w:bCs/>
                <w:i/>
                <w:iCs/>
                <w:lang w:val="es-ES"/>
              </w:rPr>
              <w:t xml:space="preserve">del RTI de 1988 contiene referencias obsoletas a Recomendaciones del </w:t>
            </w:r>
            <w:r>
              <w:rPr>
                <w:b/>
                <w:bCs/>
                <w:i/>
                <w:iCs/>
                <w:lang w:val="es-ES"/>
              </w:rPr>
              <w:t>CCITT</w:t>
            </w:r>
            <w:r w:rsidR="0058745E" w:rsidRPr="00305A62">
              <w:rPr>
                <w:b/>
                <w:bCs/>
                <w:i/>
                <w:iCs/>
                <w:lang w:val="es-ES"/>
              </w:rPr>
              <w:t>.</w:t>
            </w:r>
            <w:bookmarkEnd w:id="31"/>
          </w:p>
        </w:tc>
        <w:tc>
          <w:tcPr>
            <w:tcW w:w="2287" w:type="dxa"/>
            <w:vMerge/>
            <w:tcBorders>
              <w:left w:val="single" w:sz="4" w:space="0" w:color="auto"/>
              <w:bottom w:val="single" w:sz="4" w:space="0" w:color="auto"/>
              <w:right w:val="single" w:sz="4" w:space="0" w:color="auto"/>
            </w:tcBorders>
            <w:noWrap/>
            <w:tcMar>
              <w:left w:w="85" w:type="dxa"/>
              <w:right w:w="85" w:type="dxa"/>
            </w:tcMar>
          </w:tcPr>
          <w:p w14:paraId="4221F817" w14:textId="77777777" w:rsidR="0058745E" w:rsidRPr="00305A62" w:rsidRDefault="0058745E" w:rsidP="00C338FF">
            <w:pPr>
              <w:keepNext/>
              <w:keepLines/>
              <w:rPr>
                <w:lang w:val="es-ES"/>
              </w:rPr>
            </w:pPr>
          </w:p>
        </w:tc>
      </w:tr>
      <w:tr w:rsidR="00C338FF" w:rsidRPr="0058745E" w14:paraId="0164340A" w14:textId="77777777" w:rsidTr="0035149B">
        <w:trPr>
          <w:trHeight w:val="435"/>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61EF3C26" w14:textId="77777777" w:rsidR="00C338FF" w:rsidRPr="00305A62" w:rsidRDefault="00C338FF" w:rsidP="0058745E">
            <w:pPr>
              <w:rPr>
                <w:b/>
                <w:lang w:val="es-ES"/>
              </w:rPr>
            </w:pPr>
            <w:bookmarkStart w:id="32" w:name="_GoBack" w:colFirst="1" w:colLast="1"/>
          </w:p>
        </w:tc>
        <w:tc>
          <w:tcPr>
            <w:tcW w:w="13044" w:type="dxa"/>
            <w:gridSpan w:val="5"/>
            <w:tcBorders>
              <w:top w:val="single" w:sz="4" w:space="0" w:color="auto"/>
              <w:left w:val="single" w:sz="4" w:space="0" w:color="auto"/>
              <w:bottom w:val="single" w:sz="4" w:space="0" w:color="auto"/>
              <w:right w:val="single" w:sz="4" w:space="0" w:color="auto"/>
            </w:tcBorders>
            <w:noWrap/>
            <w:tcMar>
              <w:left w:w="85" w:type="dxa"/>
              <w:right w:w="85" w:type="dxa"/>
            </w:tcMar>
          </w:tcPr>
          <w:p w14:paraId="1B1B4CF6" w14:textId="2AA3BBA6" w:rsidR="00C338FF" w:rsidRPr="00501CDC" w:rsidRDefault="00C338FF" w:rsidP="00501CDC">
            <w:pPr>
              <w:pStyle w:val="Tabletext"/>
              <w:rPr>
                <w:b/>
                <w:bCs/>
                <w:lang w:val="es-ES"/>
              </w:rPr>
            </w:pPr>
            <w:r w:rsidRPr="00501CDC">
              <w:rPr>
                <w:b/>
                <w:bCs/>
                <w:lang w:val="es-ES"/>
              </w:rPr>
              <w:t>2.3  2</w:t>
            </w:r>
            <w:r w:rsidRPr="00501CDC">
              <w:rPr>
                <w:b/>
                <w:bCs/>
                <w:lang w:val="es-ES"/>
              </w:rPr>
              <w:tab/>
              <w:t>Autoridad encargada de la contabilidad</w:t>
            </w:r>
          </w:p>
        </w:tc>
      </w:tr>
      <w:bookmarkEnd w:id="32"/>
      <w:tr w:rsidR="0058745E" w:rsidRPr="0058745E" w14:paraId="6ACE95DE"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7C2D1FB9"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26EFF8" w14:textId="0E11ECB9" w:rsidR="0058745E" w:rsidRPr="0058745E" w:rsidRDefault="0058745E" w:rsidP="0058745E">
            <w:pPr>
              <w:pStyle w:val="Tabletext"/>
              <w:rPr>
                <w:b/>
                <w:lang w:val="es-ES"/>
              </w:rPr>
            </w:pPr>
            <w:r w:rsidRPr="0058745E">
              <w:rPr>
                <w:b/>
                <w:lang w:val="es-ES"/>
              </w:rPr>
              <w:t>2.4  </w:t>
            </w:r>
            <w:r w:rsidRPr="0058745E">
              <w:rPr>
                <w:lang w:val="es-ES"/>
              </w:rPr>
              <w:t>2.1</w:t>
            </w:r>
            <w:r w:rsidRPr="0058745E">
              <w:rPr>
                <w:lang w:val="es-ES"/>
              </w:rPr>
              <w:tab/>
            </w:r>
            <w:r w:rsidR="00F425D4" w:rsidRPr="00A164C9">
              <w:rPr>
                <w:lang w:val="es-ES"/>
              </w:rPr>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2D0FAE5" w14:textId="78D7D83C" w:rsidR="0058745E" w:rsidRPr="0058745E" w:rsidRDefault="0058745E" w:rsidP="0058745E">
            <w:pPr>
              <w:pStyle w:val="Tabletext"/>
              <w:rPr>
                <w:b/>
                <w:lang w:val="es-ES"/>
              </w:rPr>
            </w:pPr>
            <w:r w:rsidRPr="0058745E">
              <w:rPr>
                <w:b/>
                <w:lang w:val="es-ES"/>
              </w:rPr>
              <w:t>2/4  </w:t>
            </w:r>
            <w:r w:rsidRPr="0058745E">
              <w:rPr>
                <w:lang w:val="es-ES"/>
              </w:rPr>
              <w:t>2.1</w:t>
            </w:r>
            <w:r w:rsidRPr="0058745E">
              <w:rPr>
                <w:lang w:val="es-ES"/>
              </w:rPr>
              <w:tab/>
            </w:r>
            <w:r w:rsidR="00EC0EE7" w:rsidRPr="00A164C9">
              <w:rPr>
                <w:lang w:val="es-ES"/>
              </w:rPr>
              <w:t>Las tasas de las telecomunicaciones marítimas en el servicio móvil marítimo y en el servicio móvil marítimo por satélite deberán, en principio y conforme a la legislación y práctica nacionales, ser percibidas del titular de la licencia de explotación de la estación móvil marítima:</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36226B" w14:textId="1106F800"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D34D31" w14:textId="6056F60F"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6454756" w14:textId="4C5032A1"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4470A1CB" w14:textId="77777777" w:rsidTr="0058745E">
        <w:trPr>
          <w:trHeight w:val="489"/>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12584782"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FBC0264" w14:textId="50D2B100" w:rsidR="0058745E" w:rsidRPr="0058745E" w:rsidRDefault="0058745E" w:rsidP="0058745E">
            <w:pPr>
              <w:pStyle w:val="Tabletext"/>
              <w:rPr>
                <w:b/>
                <w:lang w:val="es-ES"/>
              </w:rPr>
            </w:pPr>
            <w:bookmarkStart w:id="33" w:name="lt_pId172"/>
            <w:r w:rsidRPr="0058745E">
              <w:rPr>
                <w:b/>
                <w:lang w:val="es-ES"/>
              </w:rPr>
              <w:t>2.5  </w:t>
            </w:r>
            <w:r w:rsidRPr="0058745E">
              <w:rPr>
                <w:i/>
                <w:iCs/>
                <w:lang w:val="es-ES"/>
              </w:rPr>
              <w:t>a)</w:t>
            </w:r>
            <w:bookmarkEnd w:id="33"/>
            <w:r w:rsidRPr="0058745E">
              <w:rPr>
                <w:lang w:val="es-ES"/>
              </w:rPr>
              <w:tab/>
            </w:r>
            <w:r w:rsidR="00F425D4" w:rsidRPr="00A164C9">
              <w:rPr>
                <w:lang w:val="es-ES"/>
              </w:rPr>
              <w:t>por la administración que haya expedido la licencia;</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AB4B10F" w14:textId="7D721CC9" w:rsidR="0058745E" w:rsidRPr="0058745E" w:rsidRDefault="0058745E" w:rsidP="0058745E">
            <w:pPr>
              <w:pStyle w:val="Tabletext"/>
              <w:rPr>
                <w:b/>
                <w:lang w:val="es-ES"/>
              </w:rPr>
            </w:pPr>
            <w:bookmarkStart w:id="34" w:name="lt_pId175"/>
            <w:r w:rsidRPr="0058745E">
              <w:rPr>
                <w:b/>
                <w:lang w:val="es-ES"/>
              </w:rPr>
              <w:t>2/5  </w:t>
            </w:r>
            <w:r w:rsidRPr="0058745E">
              <w:rPr>
                <w:i/>
                <w:iCs/>
                <w:lang w:val="es-ES"/>
              </w:rPr>
              <w:t>a)</w:t>
            </w:r>
            <w:bookmarkEnd w:id="34"/>
            <w:r w:rsidRPr="0058745E">
              <w:rPr>
                <w:lang w:val="es-ES"/>
              </w:rPr>
              <w:tab/>
            </w:r>
            <w:r w:rsidR="00EC0EE7" w:rsidRPr="00A164C9">
              <w:rPr>
                <w:lang w:val="es-ES"/>
              </w:rPr>
              <w:t>por la administración que haya expedido la licencia;</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0F97A86" w14:textId="5C68FE4B"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DDE13A3" w14:textId="13B58F70"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BA42D74" w14:textId="626B9D5A"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091E5CDA" w14:textId="77777777" w:rsidTr="0058745E">
        <w:trPr>
          <w:trHeight w:val="759"/>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2FFBBCBE"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7849040" w14:textId="700FF649" w:rsidR="0058745E" w:rsidRPr="0058745E" w:rsidRDefault="0058745E" w:rsidP="0058745E">
            <w:pPr>
              <w:pStyle w:val="Tabletext"/>
              <w:rPr>
                <w:b/>
                <w:lang w:val="es-ES"/>
              </w:rPr>
            </w:pPr>
            <w:bookmarkStart w:id="35" w:name="lt_pId181"/>
            <w:r w:rsidRPr="0058745E">
              <w:rPr>
                <w:b/>
                <w:lang w:val="es-ES"/>
              </w:rPr>
              <w:t>2.6  </w:t>
            </w:r>
            <w:r w:rsidRPr="0058745E">
              <w:rPr>
                <w:i/>
                <w:iCs/>
                <w:lang w:val="es-ES"/>
              </w:rPr>
              <w:t>b)</w:t>
            </w:r>
            <w:bookmarkEnd w:id="35"/>
            <w:r w:rsidRPr="0058745E">
              <w:rPr>
                <w:lang w:val="es-ES"/>
              </w:rPr>
              <w:tab/>
            </w:r>
            <w:r w:rsidR="00F425D4" w:rsidRPr="00A164C9">
              <w:rPr>
                <w:lang w:val="es-ES"/>
              </w:rPr>
              <w:t>por una empresa de explotación autorizada; o</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39ECF2C" w14:textId="734D6A91" w:rsidR="0058745E" w:rsidRPr="0058745E" w:rsidRDefault="0058745E" w:rsidP="0058745E">
            <w:pPr>
              <w:pStyle w:val="Tabletext"/>
              <w:rPr>
                <w:b/>
                <w:lang w:val="es-ES"/>
              </w:rPr>
            </w:pPr>
            <w:bookmarkStart w:id="36" w:name="lt_pId184"/>
            <w:r w:rsidRPr="0058745E">
              <w:rPr>
                <w:b/>
                <w:lang w:val="es-ES"/>
              </w:rPr>
              <w:t>2/6  </w:t>
            </w:r>
            <w:r w:rsidRPr="0058745E">
              <w:rPr>
                <w:i/>
                <w:iCs/>
                <w:lang w:val="es-ES"/>
              </w:rPr>
              <w:t>b)</w:t>
            </w:r>
            <w:bookmarkEnd w:id="36"/>
            <w:r w:rsidRPr="0058745E">
              <w:rPr>
                <w:lang w:val="es-ES"/>
              </w:rPr>
              <w:tab/>
            </w:r>
            <w:r w:rsidR="00EC0EE7" w:rsidRPr="00A164C9">
              <w:rPr>
                <w:lang w:val="es-ES"/>
              </w:rPr>
              <w:t>por una empresa privada de explotación reconocida; o</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E7EC8B6" w14:textId="1C71ACAC"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0E6E661" w14:textId="0E53B8C4"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20DF2B" w14:textId="389BBF6B"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6C07776A" w14:textId="77777777" w:rsidTr="0058745E">
        <w:trPr>
          <w:trHeight w:val="1029"/>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6CDCBDC8"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B699066" w14:textId="4E1F5B5C" w:rsidR="0058745E" w:rsidRPr="0058745E" w:rsidRDefault="0058745E" w:rsidP="0058745E">
            <w:pPr>
              <w:pStyle w:val="Tabletext"/>
              <w:rPr>
                <w:lang w:val="es-ES"/>
              </w:rPr>
            </w:pPr>
            <w:bookmarkStart w:id="37" w:name="lt_pId190"/>
            <w:r w:rsidRPr="0058745E">
              <w:rPr>
                <w:b/>
                <w:lang w:val="es-ES"/>
              </w:rPr>
              <w:t>2.7  </w:t>
            </w:r>
            <w:r w:rsidRPr="0058745E">
              <w:rPr>
                <w:i/>
                <w:iCs/>
                <w:lang w:val="es-ES"/>
              </w:rPr>
              <w:t>c)</w:t>
            </w:r>
            <w:bookmarkEnd w:id="37"/>
            <w:r w:rsidRPr="0058745E">
              <w:rPr>
                <w:lang w:val="es-ES"/>
              </w:rPr>
              <w:tab/>
            </w:r>
            <w:bookmarkStart w:id="38" w:name="lt_pId191"/>
            <w:r w:rsidR="00F425D4" w:rsidRPr="00A164C9">
              <w:rPr>
                <w:lang w:val="es-ES"/>
              </w:rPr>
              <w:t>por cualquiera otra entidad o entidades designadas con este propósito por la administración mencionada en el</w:t>
            </w:r>
            <w:r w:rsidR="0012041B">
              <w:rPr>
                <w:lang w:val="es-ES"/>
              </w:rPr>
              <w:t xml:space="preserve"> número 2/5 (2.1.</w:t>
            </w:r>
            <w:r w:rsidR="00F425D4" w:rsidRPr="00C338FF">
              <w:rPr>
                <w:i/>
                <w:iCs/>
                <w:lang w:val="es-ES"/>
              </w:rPr>
              <w:t>a)</w:t>
            </w:r>
            <w:r w:rsidR="0012041B">
              <w:rPr>
                <w:lang w:val="es-ES"/>
              </w:rPr>
              <w:t>)</w:t>
            </w:r>
            <w:r w:rsidR="00F425D4" w:rsidRPr="00A164C9">
              <w:rPr>
                <w:lang w:val="es-ES"/>
              </w:rPr>
              <w:t xml:space="preserve"> </w:t>
            </w:r>
            <w:r w:rsidR="00F425D4" w:rsidRPr="00A164C9">
              <w:rPr>
                <w:i/>
                <w:iCs/>
                <w:lang w:val="es-ES"/>
              </w:rPr>
              <w:t>supra</w:t>
            </w:r>
            <w:r w:rsidR="00F425D4" w:rsidRPr="00A164C9">
              <w:rPr>
                <w:lang w:val="es-ES"/>
              </w:rPr>
              <w:t>.</w:t>
            </w:r>
            <w:bookmarkEnd w:id="38"/>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BD584E0" w14:textId="38CEC459" w:rsidR="0058745E" w:rsidRPr="0058745E" w:rsidRDefault="0058745E" w:rsidP="0058745E">
            <w:pPr>
              <w:pStyle w:val="Tabletext"/>
              <w:rPr>
                <w:b/>
                <w:lang w:val="es-ES"/>
              </w:rPr>
            </w:pPr>
            <w:bookmarkStart w:id="39" w:name="lt_pId192"/>
            <w:r w:rsidRPr="0058745E">
              <w:rPr>
                <w:b/>
                <w:lang w:val="es-ES"/>
              </w:rPr>
              <w:t>2/7  </w:t>
            </w:r>
            <w:r w:rsidRPr="0058745E">
              <w:rPr>
                <w:i/>
                <w:iCs/>
                <w:lang w:val="es-ES"/>
              </w:rPr>
              <w:t>c)</w:t>
            </w:r>
            <w:bookmarkEnd w:id="39"/>
            <w:r w:rsidRPr="0058745E">
              <w:rPr>
                <w:lang w:val="es-ES"/>
              </w:rPr>
              <w:tab/>
            </w:r>
            <w:r w:rsidR="00EC0EE7" w:rsidRPr="00A164C9">
              <w:rPr>
                <w:lang w:val="es-ES"/>
              </w:rPr>
              <w:t>por cualquiera otra entidad o entidades designadas con este propósito por la administración mencionada en el apartado a).</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576DE6" w14:textId="45A535C9"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A1FF94F" w14:textId="10FF0C3F"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ABFCA2" w14:textId="2A61EC9D"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1CDCACBF"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757D0FEC"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9D8B8A9" w14:textId="71C35B46" w:rsidR="0058745E" w:rsidRPr="0058745E" w:rsidRDefault="0058745E" w:rsidP="0058745E">
            <w:pPr>
              <w:pStyle w:val="Tabletext"/>
              <w:rPr>
                <w:b/>
                <w:lang w:val="es-ES"/>
              </w:rPr>
            </w:pPr>
            <w:r w:rsidRPr="0058745E">
              <w:rPr>
                <w:b/>
                <w:lang w:val="es-ES"/>
              </w:rPr>
              <w:t>2.8  </w:t>
            </w:r>
            <w:r w:rsidRPr="0058745E">
              <w:rPr>
                <w:lang w:val="es-ES"/>
              </w:rPr>
              <w:t>2.2</w:t>
            </w:r>
            <w:r w:rsidRPr="0058745E">
              <w:rPr>
                <w:lang w:val="es-ES"/>
              </w:rPr>
              <w:tab/>
            </w:r>
            <w:r w:rsidR="00F425D4" w:rsidRPr="00A164C9">
              <w:rPr>
                <w:lang w:val="es-ES"/>
              </w:rPr>
              <w:t xml:space="preserve">En el presente Apéndice, la administración o la empresa de explotación autorizada o la entidad o entidades a que se hace referencia en el § 2.1 </w:t>
            </w:r>
            <w:r w:rsidR="00F425D4" w:rsidRPr="00A164C9">
              <w:rPr>
                <w:i/>
                <w:iCs/>
                <w:lang w:val="es-ES"/>
              </w:rPr>
              <w:t>supra</w:t>
            </w:r>
            <w:r w:rsidR="00F425D4" w:rsidRPr="00A164C9">
              <w:rPr>
                <w:lang w:val="es-ES"/>
              </w:rPr>
              <w:t>, se denominan "autoridad encargada de la contabilidad".</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3102D5" w14:textId="7322AF43" w:rsidR="0058745E" w:rsidRPr="0058745E" w:rsidRDefault="0058745E" w:rsidP="0058745E">
            <w:pPr>
              <w:pStyle w:val="Tabletext"/>
              <w:rPr>
                <w:b/>
                <w:lang w:val="es-ES"/>
              </w:rPr>
            </w:pPr>
            <w:r w:rsidRPr="0058745E">
              <w:rPr>
                <w:b/>
                <w:lang w:val="es-ES"/>
              </w:rPr>
              <w:t>2/8  </w:t>
            </w:r>
            <w:r w:rsidRPr="0058745E">
              <w:rPr>
                <w:lang w:val="es-ES"/>
              </w:rPr>
              <w:t>2.2</w:t>
            </w:r>
            <w:r w:rsidRPr="0058745E">
              <w:rPr>
                <w:lang w:val="es-ES"/>
              </w:rPr>
              <w:tab/>
            </w:r>
            <w:r w:rsidR="00EC0EE7" w:rsidRPr="00A164C9">
              <w:rPr>
                <w:lang w:val="es-ES"/>
              </w:rPr>
              <w:t>En el presente Apéndice, la administración o la empresa privada de explotación reconocida o la entidad o entidades a que se hace referencia en el § 2.1, se denominan «autoridad encargada de la contabilidad».</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546A49B" w14:textId="0D7CD292"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225B87C" w14:textId="52CB4AC5"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C232F5B" w14:textId="024AFFFE"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740304AA"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58DBEA6F"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7BD965E" w14:textId="314AAF6D" w:rsidR="0058745E" w:rsidRPr="0058745E" w:rsidRDefault="0058745E" w:rsidP="0058745E">
            <w:pPr>
              <w:pStyle w:val="Tabletext"/>
              <w:rPr>
                <w:b/>
                <w:lang w:val="es-ES"/>
              </w:rPr>
            </w:pPr>
            <w:r w:rsidRPr="0058745E">
              <w:rPr>
                <w:b/>
                <w:lang w:val="es-ES"/>
              </w:rPr>
              <w:t>2.9  </w:t>
            </w:r>
            <w:r w:rsidRPr="0058745E">
              <w:rPr>
                <w:lang w:val="es-ES"/>
              </w:rPr>
              <w:t>2.3</w:t>
            </w:r>
            <w:r w:rsidRPr="0058745E">
              <w:rPr>
                <w:lang w:val="es-ES"/>
              </w:rPr>
              <w:tab/>
            </w:r>
            <w:r w:rsidR="00F425D4" w:rsidRPr="00A164C9">
              <w:rPr>
                <w:lang w:val="es-ES"/>
              </w:rPr>
              <w:t>Las referencias a la empresa de explotación autorizada que se hacen en el Artículo 6 y en el Apéndice 1 se harán a la "autoridad encargada de la contabilidad" cuando se apliquen las disposiciones del Artículo 8 y del Apéndice 1 a las telecomunicaciones marítimas.</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F3E5929" w14:textId="779B7ED4" w:rsidR="0058745E" w:rsidRPr="0058745E" w:rsidRDefault="0058745E" w:rsidP="0058745E">
            <w:pPr>
              <w:pStyle w:val="Tabletext"/>
              <w:rPr>
                <w:b/>
                <w:lang w:val="es-ES"/>
              </w:rPr>
            </w:pPr>
            <w:r w:rsidRPr="0058745E">
              <w:rPr>
                <w:b/>
                <w:lang w:val="es-ES"/>
              </w:rPr>
              <w:t>2/9  </w:t>
            </w:r>
            <w:r w:rsidRPr="0058745E">
              <w:rPr>
                <w:lang w:val="es-ES"/>
              </w:rPr>
              <w:t>2.3</w:t>
            </w:r>
            <w:r w:rsidRPr="0058745E">
              <w:rPr>
                <w:lang w:val="es-ES"/>
              </w:rPr>
              <w:tab/>
            </w:r>
            <w:r w:rsidR="00EC0EE7" w:rsidRPr="00A164C9">
              <w:rPr>
                <w:lang w:val="es-ES"/>
              </w:rPr>
              <w:t>Las referencias a la administración</w:t>
            </w:r>
            <w:r w:rsidR="00EC0EE7" w:rsidRPr="00A164C9">
              <w:rPr>
                <w:lang w:val="es-ES"/>
              </w:rPr>
              <w:fldChar w:fldCharType="begin"/>
            </w:r>
            <w:r w:rsidR="00EC0EE7" w:rsidRPr="00A164C9">
              <w:rPr>
                <w:lang w:val="es-ES"/>
              </w:rPr>
              <w:instrText xml:space="preserve"> NOTEREF _Ref319417134 \f \h </w:instrText>
            </w:r>
            <w:r w:rsidR="00EC0EE7" w:rsidRPr="00A164C9">
              <w:rPr>
                <w:lang w:val="es-ES"/>
              </w:rPr>
            </w:r>
            <w:r w:rsidR="00EC0EE7" w:rsidRPr="00A164C9">
              <w:rPr>
                <w:lang w:val="es-ES"/>
              </w:rPr>
              <w:fldChar w:fldCharType="separate"/>
            </w:r>
            <w:r w:rsidR="00EC0EE7" w:rsidRPr="00A164C9">
              <w:rPr>
                <w:lang w:val="es-ES"/>
              </w:rPr>
              <w:t>*</w:t>
            </w:r>
            <w:r w:rsidR="00EC0EE7" w:rsidRPr="00A164C9">
              <w:rPr>
                <w:lang w:val="es-ES"/>
              </w:rPr>
              <w:fldChar w:fldCharType="end"/>
            </w:r>
            <w:r w:rsidR="00EC0EE7" w:rsidRPr="00A164C9">
              <w:rPr>
                <w:lang w:val="es-ES"/>
              </w:rPr>
              <w:t xml:space="preserve"> que se hacen en el Artículo 6 y en el Apéndice 1 se harán a la «autoridad encargada de la contabilidad» cuando se apliquen las disposiciones de dicho artículo y del Apéndice 1 a las telecomunicaciones marítimas.</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5EF3888" w14:textId="04B33FA1"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558B3EA" w14:textId="0F41D6D2"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6FAF12C" w14:textId="720AC16A"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64B1821F" w14:textId="77777777" w:rsidTr="0058745E">
        <w:trPr>
          <w:trHeight w:val="1748"/>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32D6EC3D" w14:textId="77777777" w:rsidR="0058745E" w:rsidRPr="0058745E" w:rsidRDefault="0058745E" w:rsidP="0058745E">
            <w:pPr>
              <w:rPr>
                <w:b/>
                <w:lang w:val="es-ES"/>
              </w:rPr>
            </w:pPr>
          </w:p>
        </w:tc>
        <w:tc>
          <w:tcPr>
            <w:tcW w:w="3358" w:type="dxa"/>
            <w:vMerge w:val="restart"/>
            <w:tcBorders>
              <w:top w:val="single" w:sz="4" w:space="0" w:color="auto"/>
              <w:left w:val="single" w:sz="4" w:space="0" w:color="auto"/>
              <w:right w:val="single" w:sz="4" w:space="0" w:color="auto"/>
            </w:tcBorders>
            <w:noWrap/>
            <w:tcMar>
              <w:left w:w="85" w:type="dxa"/>
              <w:right w:w="85" w:type="dxa"/>
            </w:tcMar>
          </w:tcPr>
          <w:p w14:paraId="7A31AB03" w14:textId="5098DA2D" w:rsidR="0058745E" w:rsidRPr="0058745E" w:rsidRDefault="0058745E" w:rsidP="0058745E">
            <w:pPr>
              <w:pStyle w:val="Tabletext"/>
              <w:rPr>
                <w:b/>
                <w:lang w:val="es-ES"/>
              </w:rPr>
            </w:pPr>
            <w:r w:rsidRPr="0058745E">
              <w:rPr>
                <w:b/>
                <w:lang w:val="es-ES"/>
              </w:rPr>
              <w:t>2.10  </w:t>
            </w:r>
            <w:r w:rsidR="00F425D4" w:rsidRPr="00A164C9">
              <w:rPr>
                <w:lang w:val="es-ES"/>
              </w:rPr>
              <w:t>Los Estados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y de las identidades del servicio móvil marítimo asignadas. El número de nombres y direcciones será limitado teniendo en cuenta las Recomendaciones UIT-T pertinentes.</w:t>
            </w:r>
          </w:p>
        </w:tc>
        <w:tc>
          <w:tcPr>
            <w:tcW w:w="3225" w:type="dxa"/>
            <w:vMerge w:val="restart"/>
            <w:tcBorders>
              <w:top w:val="single" w:sz="4" w:space="0" w:color="auto"/>
              <w:left w:val="single" w:sz="4" w:space="0" w:color="auto"/>
              <w:right w:val="single" w:sz="4" w:space="0" w:color="auto"/>
            </w:tcBorders>
            <w:noWrap/>
            <w:tcMar>
              <w:left w:w="85" w:type="dxa"/>
              <w:right w:w="85" w:type="dxa"/>
            </w:tcMar>
          </w:tcPr>
          <w:p w14:paraId="5E7A7D89" w14:textId="4A10439E" w:rsidR="0058745E" w:rsidRPr="0058745E" w:rsidRDefault="0058745E" w:rsidP="0058745E">
            <w:pPr>
              <w:pStyle w:val="Tabletext"/>
              <w:rPr>
                <w:b/>
                <w:lang w:val="es-ES"/>
              </w:rPr>
            </w:pPr>
            <w:r w:rsidRPr="0058745E">
              <w:rPr>
                <w:b/>
                <w:lang w:val="es-ES"/>
              </w:rPr>
              <w:t>2/10  </w:t>
            </w:r>
            <w:r w:rsidRPr="0058745E">
              <w:rPr>
                <w:lang w:val="es-ES"/>
              </w:rPr>
              <w:t>2.4</w:t>
            </w:r>
            <w:r w:rsidRPr="0058745E">
              <w:rPr>
                <w:lang w:val="es-ES"/>
              </w:rPr>
              <w:tab/>
            </w:r>
            <w:r w:rsidR="00EC0EE7" w:rsidRPr="00A164C9">
              <w:rPr>
                <w:lang w:val="es-ES"/>
              </w:rPr>
              <w:t>Los Miembros designarán sus autoridades encargadas de la contabilidad a efectos de la aplicación del presente Apéndice y notificarán su nombre, código de identificación y dirección al Secretario General de la UIT para su publicación en el Nomenclátor de las estaciones de barco. El número de nombres y direcciones será limitado teniendo en cuenta las Recomendaciones pertinentes del CCITT.</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C2EDCE5" w14:textId="7612B42D"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right w:val="single" w:sz="4" w:space="0" w:color="auto"/>
            </w:tcBorders>
            <w:noWrap/>
            <w:tcMar>
              <w:left w:w="85" w:type="dxa"/>
              <w:right w:w="85" w:type="dxa"/>
            </w:tcMar>
          </w:tcPr>
          <w:p w14:paraId="4CDCF4CA" w14:textId="49AB45D7"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vMerge w:val="restart"/>
            <w:tcBorders>
              <w:top w:val="single" w:sz="4" w:space="0" w:color="auto"/>
              <w:left w:val="single" w:sz="4" w:space="0" w:color="auto"/>
              <w:right w:val="single" w:sz="4" w:space="0" w:color="auto"/>
            </w:tcBorders>
            <w:noWrap/>
            <w:tcMar>
              <w:left w:w="85" w:type="dxa"/>
              <w:right w:w="85" w:type="dxa"/>
            </w:tcMar>
          </w:tcPr>
          <w:p w14:paraId="53A7BAAE" w14:textId="33DC6C02" w:rsidR="0058745E" w:rsidRPr="0058745E" w:rsidRDefault="00146F6F" w:rsidP="0058745E">
            <w:pPr>
              <w:pStyle w:val="Tabletext"/>
              <w:rPr>
                <w:lang w:val="es-ES"/>
              </w:rPr>
            </w:pPr>
            <w:r>
              <w:rPr>
                <w:lang w:val="es-ES"/>
              </w:rPr>
              <w:t>La disposición no requiere modificación, ya que es aplicable y flexible.</w:t>
            </w:r>
          </w:p>
        </w:tc>
      </w:tr>
      <w:tr w:rsidR="0058745E" w:rsidRPr="0012041B" w14:paraId="4C76C6EC" w14:textId="77777777" w:rsidTr="0058745E">
        <w:trPr>
          <w:trHeight w:val="1747"/>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08D9C219" w14:textId="77777777" w:rsidR="0058745E" w:rsidRPr="0058745E" w:rsidRDefault="0058745E" w:rsidP="0058745E">
            <w:pPr>
              <w:rPr>
                <w:b/>
                <w:lang w:val="es-ES"/>
              </w:rPr>
            </w:pPr>
          </w:p>
        </w:tc>
        <w:tc>
          <w:tcPr>
            <w:tcW w:w="3358" w:type="dxa"/>
            <w:vMerge/>
            <w:tcBorders>
              <w:left w:val="single" w:sz="4" w:space="0" w:color="auto"/>
              <w:bottom w:val="single" w:sz="4" w:space="0" w:color="auto"/>
              <w:right w:val="single" w:sz="4" w:space="0" w:color="auto"/>
            </w:tcBorders>
            <w:noWrap/>
            <w:tcMar>
              <w:left w:w="85" w:type="dxa"/>
              <w:right w:w="85" w:type="dxa"/>
            </w:tcMar>
          </w:tcPr>
          <w:p w14:paraId="24F7DC9A" w14:textId="77777777" w:rsidR="0058745E" w:rsidRPr="0058745E" w:rsidRDefault="0058745E" w:rsidP="0058745E">
            <w:pPr>
              <w:rPr>
                <w:b/>
                <w:lang w:val="es-ES"/>
              </w:rPr>
            </w:pPr>
          </w:p>
        </w:tc>
        <w:tc>
          <w:tcPr>
            <w:tcW w:w="3225" w:type="dxa"/>
            <w:vMerge/>
            <w:tcBorders>
              <w:left w:val="single" w:sz="4" w:space="0" w:color="auto"/>
              <w:bottom w:val="single" w:sz="4" w:space="0" w:color="auto"/>
              <w:right w:val="single" w:sz="4" w:space="0" w:color="auto"/>
            </w:tcBorders>
            <w:noWrap/>
            <w:tcMar>
              <w:left w:w="85" w:type="dxa"/>
              <w:right w:w="85" w:type="dxa"/>
            </w:tcMar>
          </w:tcPr>
          <w:p w14:paraId="53D6B72B" w14:textId="77777777" w:rsidR="0058745E" w:rsidRPr="0058745E" w:rsidRDefault="0058745E" w:rsidP="0058745E">
            <w:pPr>
              <w:rPr>
                <w:b/>
                <w:lang w:val="es-ES"/>
              </w:rPr>
            </w:pPr>
          </w:p>
        </w:tc>
        <w:tc>
          <w:tcPr>
            <w:tcW w:w="4174" w:type="dxa"/>
            <w:gridSpan w:val="2"/>
            <w:tcBorders>
              <w:top w:val="single" w:sz="4" w:space="0" w:color="auto"/>
              <w:left w:val="single" w:sz="4" w:space="0" w:color="auto"/>
              <w:bottom w:val="single" w:sz="4" w:space="0" w:color="auto"/>
              <w:right w:val="single" w:sz="4" w:space="0" w:color="auto"/>
            </w:tcBorders>
            <w:noWrap/>
            <w:tcMar>
              <w:left w:w="85" w:type="dxa"/>
              <w:right w:w="85" w:type="dxa"/>
            </w:tcMar>
          </w:tcPr>
          <w:p w14:paraId="6F3DC170" w14:textId="11E956ED" w:rsidR="0058745E" w:rsidRPr="0012041B" w:rsidRDefault="0012041B" w:rsidP="00F425D4">
            <w:pPr>
              <w:pStyle w:val="Tabletext"/>
              <w:rPr>
                <w:b/>
                <w:bCs/>
                <w:i/>
                <w:iCs/>
                <w:lang w:val="es-ES"/>
              </w:rPr>
            </w:pPr>
            <w:r w:rsidRPr="0012041B">
              <w:rPr>
                <w:b/>
                <w:bCs/>
                <w:i/>
                <w:iCs/>
                <w:lang w:val="es-ES"/>
              </w:rPr>
              <w:t>El número</w:t>
            </w:r>
            <w:r w:rsidR="0058745E" w:rsidRPr="0012041B">
              <w:rPr>
                <w:b/>
                <w:bCs/>
                <w:i/>
                <w:iCs/>
                <w:lang w:val="es-ES"/>
              </w:rPr>
              <w:t xml:space="preserve"> 2/10 </w:t>
            </w:r>
            <w:r w:rsidRPr="0012041B">
              <w:rPr>
                <w:b/>
                <w:bCs/>
                <w:i/>
                <w:iCs/>
                <w:lang w:val="es-ES"/>
              </w:rPr>
              <w:t xml:space="preserve">del RTI de 1988 contiene referencias obsoletas a Recomendaciones </w:t>
            </w:r>
            <w:r>
              <w:rPr>
                <w:b/>
                <w:bCs/>
                <w:i/>
                <w:iCs/>
                <w:lang w:val="es-ES"/>
              </w:rPr>
              <w:t>del</w:t>
            </w:r>
            <w:r w:rsidR="00BF19E0">
              <w:rPr>
                <w:b/>
                <w:bCs/>
                <w:i/>
                <w:iCs/>
                <w:lang w:val="es-ES"/>
              </w:rPr>
              <w:t> </w:t>
            </w:r>
            <w:r w:rsidR="0058745E" w:rsidRPr="0012041B">
              <w:rPr>
                <w:b/>
                <w:bCs/>
                <w:i/>
                <w:iCs/>
                <w:lang w:val="es-ES"/>
              </w:rPr>
              <w:t>CCITT.</w:t>
            </w:r>
          </w:p>
        </w:tc>
        <w:tc>
          <w:tcPr>
            <w:tcW w:w="2287" w:type="dxa"/>
            <w:vMerge/>
            <w:tcBorders>
              <w:left w:val="single" w:sz="4" w:space="0" w:color="auto"/>
              <w:bottom w:val="single" w:sz="4" w:space="0" w:color="auto"/>
              <w:right w:val="single" w:sz="4" w:space="0" w:color="auto"/>
            </w:tcBorders>
            <w:noWrap/>
            <w:tcMar>
              <w:left w:w="85" w:type="dxa"/>
              <w:right w:w="85" w:type="dxa"/>
            </w:tcMar>
          </w:tcPr>
          <w:p w14:paraId="2F32D735" w14:textId="77777777" w:rsidR="0058745E" w:rsidRPr="0012041B" w:rsidRDefault="0058745E" w:rsidP="0058745E">
            <w:pPr>
              <w:rPr>
                <w:lang w:val="es-ES"/>
              </w:rPr>
            </w:pPr>
          </w:p>
        </w:tc>
      </w:tr>
      <w:tr w:rsidR="00501CDC" w:rsidRPr="0058745E" w14:paraId="6722C055" w14:textId="77777777" w:rsidTr="0009121B">
        <w:trPr>
          <w:trHeight w:val="309"/>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03BA2E32" w14:textId="77777777" w:rsidR="00501CDC" w:rsidRPr="0012041B" w:rsidRDefault="00501CDC" w:rsidP="0058745E">
            <w:pPr>
              <w:rPr>
                <w:b/>
                <w:lang w:val="es-ES"/>
              </w:rPr>
            </w:pPr>
          </w:p>
        </w:tc>
        <w:tc>
          <w:tcPr>
            <w:tcW w:w="13044" w:type="dxa"/>
            <w:gridSpan w:val="5"/>
            <w:tcBorders>
              <w:top w:val="single" w:sz="4" w:space="0" w:color="auto"/>
              <w:left w:val="single" w:sz="4" w:space="0" w:color="auto"/>
              <w:bottom w:val="single" w:sz="4" w:space="0" w:color="auto"/>
              <w:right w:val="single" w:sz="4" w:space="0" w:color="auto"/>
            </w:tcBorders>
            <w:noWrap/>
            <w:tcMar>
              <w:left w:w="85" w:type="dxa"/>
              <w:right w:w="85" w:type="dxa"/>
            </w:tcMar>
          </w:tcPr>
          <w:p w14:paraId="4E8BE025" w14:textId="533ADA2E" w:rsidR="00501CDC" w:rsidRPr="00501CDC" w:rsidRDefault="00501CDC" w:rsidP="00501CDC">
            <w:pPr>
              <w:pStyle w:val="Tabletext"/>
              <w:rPr>
                <w:b/>
                <w:bCs/>
                <w:lang w:val="es-ES"/>
              </w:rPr>
            </w:pPr>
            <w:r w:rsidRPr="00501CDC">
              <w:rPr>
                <w:b/>
                <w:bCs/>
                <w:lang w:val="es-ES"/>
              </w:rPr>
              <w:t>2.11  3</w:t>
            </w:r>
            <w:r w:rsidRPr="00501CDC">
              <w:rPr>
                <w:b/>
                <w:bCs/>
                <w:lang w:val="es-ES"/>
              </w:rPr>
              <w:tab/>
              <w:t>Establecimiento de las cuentas</w:t>
            </w:r>
          </w:p>
        </w:tc>
      </w:tr>
      <w:tr w:rsidR="0058745E" w:rsidRPr="0058745E" w14:paraId="5CA0FF63"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3B39755D"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6584DA0" w14:textId="7971E59A" w:rsidR="0058745E" w:rsidRPr="0058745E" w:rsidRDefault="0058745E" w:rsidP="0058745E">
            <w:pPr>
              <w:pStyle w:val="Tabletext"/>
              <w:rPr>
                <w:b/>
                <w:lang w:val="es-ES"/>
              </w:rPr>
            </w:pPr>
            <w:r w:rsidRPr="0058745E">
              <w:rPr>
                <w:b/>
                <w:lang w:val="es-ES"/>
              </w:rPr>
              <w:t>2.12  </w:t>
            </w:r>
            <w:r w:rsidRPr="0058745E">
              <w:rPr>
                <w:lang w:val="es-ES"/>
              </w:rPr>
              <w:t>3.1</w:t>
            </w:r>
            <w:r w:rsidRPr="0058745E">
              <w:rPr>
                <w:lang w:val="es-ES"/>
              </w:rPr>
              <w:tab/>
            </w:r>
            <w:r w:rsidR="00F425D4" w:rsidRPr="00A164C9">
              <w:rPr>
                <w:lang w:val="es-ES"/>
              </w:rPr>
              <w:t>En principio, una cuenta se considerará aceptada sin necesidad de notificación explícita de aceptación al proveedor de servicio que la haya enviado.</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A6A8A0" w14:textId="1FF81DB4" w:rsidR="0058745E" w:rsidRPr="0058745E" w:rsidRDefault="0058745E" w:rsidP="00AA17A8">
            <w:pPr>
              <w:pStyle w:val="Tabletext"/>
              <w:rPr>
                <w:b/>
                <w:lang w:val="es-ES"/>
              </w:rPr>
            </w:pPr>
            <w:r w:rsidRPr="0058745E">
              <w:rPr>
                <w:b/>
                <w:lang w:val="es-ES"/>
              </w:rPr>
              <w:t>2/12  </w:t>
            </w:r>
            <w:r w:rsidRPr="0058745E">
              <w:rPr>
                <w:lang w:val="es-ES"/>
              </w:rPr>
              <w:t>3.1</w:t>
            </w:r>
            <w:r w:rsidRPr="0058745E">
              <w:rPr>
                <w:lang w:val="es-ES"/>
              </w:rPr>
              <w:tab/>
            </w:r>
            <w:r w:rsidR="00EC0EE7" w:rsidRPr="00A164C9">
              <w:rPr>
                <w:lang w:val="es-ES"/>
              </w:rPr>
              <w:t>En</w:t>
            </w:r>
            <w:r w:rsidR="00E96E3B">
              <w:rPr>
                <w:lang w:val="es-ES"/>
              </w:rPr>
              <w:t xml:space="preserve"> </w:t>
            </w:r>
            <w:r w:rsidR="00EC0EE7" w:rsidRPr="00A164C9">
              <w:rPr>
                <w:lang w:val="es-ES"/>
              </w:rPr>
              <w:t>principio, una cuenta se considerará aceptada sin necesidad de notificación explícita de aceptación a la autoridad encargada de la contabilidad que la haya enviado.</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89FD021" w14:textId="2CF8E549"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60038D7" w14:textId="6D9D854F"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1914216" w14:textId="6A4BC6FE"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3DF7092D"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2772580D"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8A8B174" w14:textId="68EEAAE1" w:rsidR="0058745E" w:rsidRPr="0058745E" w:rsidRDefault="0058745E" w:rsidP="0058745E">
            <w:pPr>
              <w:pStyle w:val="Tabletext"/>
              <w:rPr>
                <w:b/>
                <w:lang w:val="es-ES"/>
              </w:rPr>
            </w:pPr>
            <w:r w:rsidRPr="0058745E">
              <w:rPr>
                <w:b/>
                <w:lang w:val="es-ES"/>
              </w:rPr>
              <w:t>2.13  </w:t>
            </w:r>
            <w:r w:rsidRPr="0058745E">
              <w:rPr>
                <w:lang w:val="es-ES"/>
              </w:rPr>
              <w:t>3.2</w:t>
            </w:r>
            <w:r w:rsidRPr="0058745E">
              <w:rPr>
                <w:lang w:val="es-ES"/>
              </w:rPr>
              <w:tab/>
            </w:r>
            <w:r w:rsidR="00F425D4" w:rsidRPr="00A164C9">
              <w:rPr>
                <w:lang w:val="es-ES"/>
              </w:rPr>
              <w:t>Sin embargo, toda autoridad encargada de la contabilidad podrá objetar los detalles de una cuenta durante un plazo de seis meses naturales contados a partir de la fecha de su envío, incluso después de abonada la cuenta.</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AAC9AF7" w14:textId="6382FF7D" w:rsidR="0058745E" w:rsidRPr="0058745E" w:rsidRDefault="0058745E" w:rsidP="0058745E">
            <w:pPr>
              <w:pStyle w:val="Tabletext"/>
              <w:rPr>
                <w:b/>
                <w:lang w:val="es-ES"/>
              </w:rPr>
            </w:pPr>
            <w:r w:rsidRPr="0058745E">
              <w:rPr>
                <w:b/>
                <w:lang w:val="es-ES"/>
              </w:rPr>
              <w:t>2/13  </w:t>
            </w:r>
            <w:r w:rsidRPr="0058745E">
              <w:rPr>
                <w:lang w:val="es-ES"/>
              </w:rPr>
              <w:t>3.2</w:t>
            </w:r>
            <w:r w:rsidRPr="0058745E">
              <w:rPr>
                <w:lang w:val="es-ES"/>
              </w:rPr>
              <w:tab/>
            </w:r>
            <w:r w:rsidR="00EC0EE7" w:rsidRPr="00A164C9">
              <w:rPr>
                <w:lang w:val="es-ES"/>
              </w:rPr>
              <w:t>Sin embargo, toda autoridad encargada de la contabilidad podrá objetar los detalles de una cuenta en el plazo de seis meses contados a partir de la fecha de su envío.</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AC1B7D1" w14:textId="6291941F"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4B5AEB5" w14:textId="3A0B5856"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8FC312B" w14:textId="2EFDDF6B" w:rsidR="0058745E" w:rsidRPr="0058745E" w:rsidRDefault="00146F6F" w:rsidP="0058745E">
            <w:pPr>
              <w:pStyle w:val="Tabletext"/>
              <w:rPr>
                <w:lang w:val="es-ES"/>
              </w:rPr>
            </w:pPr>
            <w:r>
              <w:rPr>
                <w:lang w:val="es-ES"/>
              </w:rPr>
              <w:t>La disposición no requiere modificación, ya que es aplicable y flexible.</w:t>
            </w:r>
          </w:p>
        </w:tc>
      </w:tr>
      <w:tr w:rsidR="00501CDC" w:rsidRPr="0058745E" w14:paraId="25992C43" w14:textId="77777777" w:rsidTr="00EC3B69">
        <w:trPr>
          <w:trHeight w:val="417"/>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4927D2EC" w14:textId="77777777" w:rsidR="00501CDC" w:rsidRPr="0058745E" w:rsidRDefault="00501CDC" w:rsidP="0058745E">
            <w:pPr>
              <w:rPr>
                <w:b/>
                <w:lang w:val="es-ES"/>
              </w:rPr>
            </w:pPr>
          </w:p>
        </w:tc>
        <w:tc>
          <w:tcPr>
            <w:tcW w:w="13044" w:type="dxa"/>
            <w:gridSpan w:val="5"/>
            <w:tcBorders>
              <w:top w:val="single" w:sz="4" w:space="0" w:color="auto"/>
              <w:left w:val="single" w:sz="4" w:space="0" w:color="auto"/>
              <w:bottom w:val="single" w:sz="4" w:space="0" w:color="auto"/>
              <w:right w:val="single" w:sz="4" w:space="0" w:color="auto"/>
            </w:tcBorders>
            <w:noWrap/>
            <w:tcMar>
              <w:left w:w="85" w:type="dxa"/>
              <w:right w:w="85" w:type="dxa"/>
            </w:tcMar>
          </w:tcPr>
          <w:p w14:paraId="15CAF156" w14:textId="78A46729" w:rsidR="00501CDC" w:rsidRPr="00501CDC" w:rsidRDefault="00501CDC" w:rsidP="00501CDC">
            <w:pPr>
              <w:pStyle w:val="Tabletext"/>
              <w:rPr>
                <w:b/>
                <w:bCs/>
                <w:lang w:val="es-ES"/>
              </w:rPr>
            </w:pPr>
            <w:r w:rsidRPr="00501CDC">
              <w:rPr>
                <w:b/>
                <w:bCs/>
                <w:lang w:val="es-ES"/>
              </w:rPr>
              <w:t>2.14  4</w:t>
            </w:r>
            <w:r w:rsidRPr="00501CDC">
              <w:rPr>
                <w:b/>
                <w:bCs/>
                <w:lang w:val="es-ES"/>
              </w:rPr>
              <w:tab/>
              <w:t>Liquidación de los saldos de las cuentas</w:t>
            </w:r>
          </w:p>
        </w:tc>
      </w:tr>
      <w:tr w:rsidR="0058745E" w:rsidRPr="0058745E" w14:paraId="6BBD0BAA" w14:textId="77777777" w:rsidTr="0058745E">
        <w:trPr>
          <w:trHeight w:val="489"/>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0043CCC7"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41397E1" w14:textId="2980A0B9" w:rsidR="0058745E" w:rsidRPr="0058745E" w:rsidRDefault="0058745E" w:rsidP="0058745E">
            <w:pPr>
              <w:pStyle w:val="Tabletext"/>
              <w:rPr>
                <w:b/>
                <w:lang w:val="es-ES"/>
              </w:rPr>
            </w:pPr>
            <w:r w:rsidRPr="0058745E">
              <w:rPr>
                <w:b/>
                <w:lang w:val="es-ES"/>
              </w:rPr>
              <w:t>2.15  </w:t>
            </w:r>
            <w:r w:rsidRPr="0058745E">
              <w:rPr>
                <w:lang w:val="es-ES"/>
              </w:rPr>
              <w:t>4.1</w:t>
            </w:r>
            <w:r w:rsidRPr="0058745E">
              <w:rPr>
                <w:lang w:val="es-ES"/>
              </w:rPr>
              <w:tab/>
            </w:r>
            <w:r w:rsidR="00F425D4" w:rsidRPr="00A164C9">
              <w:rPr>
                <w:lang w:val="es-ES"/>
              </w:rPr>
              <w:t xml:space="preserve">La autoridad encargada de la contabilidad pagará, sin demora, y en todo caso en un plazo de seis meses naturales contados a partir de la fecha de su envío, todas las cuentas de las telecomunicaciones marítimas internacionales, salvo cuando la liquidación de las cuentas se haga conforme a lo dispuesto en el </w:t>
            </w:r>
            <w:r w:rsidR="0012041B">
              <w:rPr>
                <w:lang w:val="es-ES"/>
              </w:rPr>
              <w:t>número 2/17(</w:t>
            </w:r>
            <w:r w:rsidR="00F425D4" w:rsidRPr="00C338FF">
              <w:rPr>
                <w:lang w:val="es-ES"/>
              </w:rPr>
              <w:t>4.3</w:t>
            </w:r>
            <w:r w:rsidR="0012041B">
              <w:rPr>
                <w:lang w:val="es-ES"/>
              </w:rPr>
              <w:t>)</w:t>
            </w:r>
            <w:r w:rsidR="00F425D4" w:rsidRPr="00A164C9">
              <w:rPr>
                <w:lang w:val="es-ES"/>
              </w:rPr>
              <w:t xml:space="preserve"> </w:t>
            </w:r>
            <w:r w:rsidR="00F425D4" w:rsidRPr="00A164C9">
              <w:rPr>
                <w:i/>
                <w:iCs/>
                <w:lang w:val="es-ES"/>
              </w:rPr>
              <w:t>infra</w:t>
            </w:r>
            <w:r w:rsidR="00F425D4" w:rsidRPr="00A164C9">
              <w:rPr>
                <w:lang w:val="es-ES"/>
              </w:rPr>
              <w:t>.</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EB66550" w14:textId="26421C3E" w:rsidR="0058745E" w:rsidRPr="0058745E" w:rsidRDefault="0058745E" w:rsidP="0058745E">
            <w:pPr>
              <w:pStyle w:val="Tabletext"/>
              <w:rPr>
                <w:b/>
                <w:lang w:val="es-ES"/>
              </w:rPr>
            </w:pPr>
            <w:r w:rsidRPr="0058745E">
              <w:rPr>
                <w:b/>
                <w:lang w:val="es-ES"/>
              </w:rPr>
              <w:t>2/15  </w:t>
            </w:r>
            <w:r w:rsidRPr="0058745E">
              <w:rPr>
                <w:lang w:val="es-ES"/>
              </w:rPr>
              <w:t>4.1</w:t>
            </w:r>
            <w:r w:rsidRPr="0058745E">
              <w:rPr>
                <w:lang w:val="es-ES"/>
              </w:rPr>
              <w:tab/>
            </w:r>
            <w:r w:rsidR="00EC0EE7" w:rsidRPr="00A164C9">
              <w:rPr>
                <w:lang w:val="es-ES"/>
              </w:rPr>
              <w:t>La autoridad encargada de la contabilidad pagará, sin demora, y en todo caso en un plazo de seis meses, contados a partir de la fecha de su envío, todas las cuentas de las telecomunicaciones marítimas internacionales, salvo cuando la liquidación de las cuentas se haga conforme a lo dispuesto en el § 4.3.</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59765E" w14:textId="5904327F"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11ED8DA" w14:textId="61B388A7"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77201D4" w14:textId="72B34294"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1F24B570" w14:textId="77777777" w:rsidTr="0058745E">
        <w:trPr>
          <w:trHeight w:val="1029"/>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4E755718"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69B0193" w14:textId="401910D1" w:rsidR="0058745E" w:rsidRPr="0058745E" w:rsidRDefault="0058745E" w:rsidP="0058745E">
            <w:pPr>
              <w:pStyle w:val="Tabletext"/>
              <w:rPr>
                <w:b/>
                <w:lang w:val="es-ES"/>
              </w:rPr>
            </w:pPr>
            <w:r w:rsidRPr="0058745E">
              <w:rPr>
                <w:b/>
                <w:lang w:val="es-ES"/>
              </w:rPr>
              <w:t>2.16  </w:t>
            </w:r>
            <w:r w:rsidRPr="0058745E">
              <w:rPr>
                <w:lang w:val="es-ES"/>
              </w:rPr>
              <w:t>4.2</w:t>
            </w:r>
            <w:r w:rsidRPr="0058745E">
              <w:rPr>
                <w:lang w:val="es-ES"/>
              </w:rPr>
              <w:tab/>
            </w:r>
            <w:r w:rsidR="00F425D4" w:rsidRPr="00A164C9">
              <w:rPr>
                <w:lang w:val="es-ES"/>
              </w:rPr>
              <w:t>Cuando transcurridos seis meses naturales desde su presentación no se hayan pagado cuentas de las telecomunicaciones marítimas internacionales, la administración que haya expedido la licencia de explotación de estación móvil tomará, si así se le pide, medidas dentro de los límites de la legislación nacional aplicable para asegurar la liquidación de las cuentas del titular de la licencia.</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03980D51" w14:textId="4711E03D" w:rsidR="0058745E" w:rsidRPr="0058745E" w:rsidRDefault="0058745E" w:rsidP="0058745E">
            <w:pPr>
              <w:pStyle w:val="Tabletext"/>
              <w:rPr>
                <w:b/>
                <w:lang w:val="es-ES"/>
              </w:rPr>
            </w:pPr>
            <w:r w:rsidRPr="0058745E">
              <w:rPr>
                <w:b/>
                <w:lang w:val="es-ES"/>
              </w:rPr>
              <w:t>2/16  </w:t>
            </w:r>
            <w:r w:rsidRPr="0058745E">
              <w:rPr>
                <w:lang w:val="es-ES"/>
              </w:rPr>
              <w:t>4.2</w:t>
            </w:r>
            <w:r w:rsidRPr="0058745E">
              <w:rPr>
                <w:lang w:val="es-ES"/>
              </w:rPr>
              <w:tab/>
            </w:r>
            <w:r w:rsidR="00EC0EE7" w:rsidRPr="00A164C9">
              <w:rPr>
                <w:lang w:val="es-ES"/>
              </w:rPr>
              <w:t>Cuando transcurridos seis meses desde su presentación no se hayan pagado cuentas de las telecomunicaciones marítimas internacionales, la administración que haya expedido la licencia de explotación de estación móvil tomará, si así se le pide, todas las medidas posibles dentro de los límites de la legislación nacional aplicable para garantizar la liquidación de las cuentas del titular de la licencia.</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B4396A4" w14:textId="7F114894"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6AF716F3" w14:textId="5072158B"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4384E68" w14:textId="5328F1F6" w:rsidR="0058745E" w:rsidRPr="0058745E" w:rsidRDefault="00146F6F" w:rsidP="0058745E">
            <w:pPr>
              <w:pStyle w:val="Tabletext"/>
              <w:rPr>
                <w:lang w:val="es-ES"/>
              </w:rPr>
            </w:pPr>
            <w:r>
              <w:rPr>
                <w:lang w:val="es-ES"/>
              </w:rPr>
              <w:t>La disposición no requiere modificación, ya que es aplicable y flexible.</w:t>
            </w:r>
          </w:p>
        </w:tc>
      </w:tr>
      <w:tr w:rsidR="0058745E" w:rsidRPr="0058745E" w14:paraId="32368D0F"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5E51525E"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0D1C154" w14:textId="71600653" w:rsidR="0058745E" w:rsidRPr="0058745E" w:rsidRDefault="0058745E" w:rsidP="0058745E">
            <w:pPr>
              <w:pStyle w:val="Tabletext"/>
              <w:rPr>
                <w:b/>
                <w:lang w:val="es-ES"/>
              </w:rPr>
            </w:pPr>
            <w:r w:rsidRPr="0058745E">
              <w:rPr>
                <w:b/>
                <w:lang w:val="es-ES"/>
              </w:rPr>
              <w:t>2.17  </w:t>
            </w:r>
            <w:r w:rsidRPr="0058745E">
              <w:rPr>
                <w:lang w:val="es-ES"/>
              </w:rPr>
              <w:t>4.3</w:t>
            </w:r>
            <w:r w:rsidRPr="0058745E">
              <w:rPr>
                <w:lang w:val="es-ES"/>
              </w:rPr>
              <w:tab/>
            </w:r>
            <w:r w:rsidR="00F425D4" w:rsidRPr="00A164C9">
              <w:rPr>
                <w:lang w:val="es-ES"/>
              </w:rPr>
              <w:t xml:space="preserve">Si entre la fecha de expedición y la fecha de recepción transcurre más de un mes, la autoridad encargada de la contabilidad destinataria procurará notificar de inmediato al proveedor de servicio que </w:t>
            </w:r>
            <w:r w:rsidR="00F425D4" w:rsidRPr="00A164C9">
              <w:rPr>
                <w:lang w:val="es-ES"/>
              </w:rPr>
              <w:lastRenderedPageBreak/>
              <w:t>envió la cuenta que las peticiones de información y el pago se pueden demorar. Sin embargo, la demora no excederá de tres meses naturales, por lo que respecta al pago, ni de cinco meses naturales, por lo que respecta a las peticiones de información, comenzando cada periodo a partir de la fecha de recepción de la cuenta.</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39F2A3E9" w14:textId="5C0AEED7" w:rsidR="0058745E" w:rsidRPr="0058745E" w:rsidRDefault="0058745E" w:rsidP="0058745E">
            <w:pPr>
              <w:pStyle w:val="Tabletext"/>
              <w:rPr>
                <w:b/>
                <w:lang w:val="es-ES"/>
              </w:rPr>
            </w:pPr>
            <w:r w:rsidRPr="0058745E">
              <w:rPr>
                <w:b/>
                <w:lang w:val="es-ES"/>
              </w:rPr>
              <w:lastRenderedPageBreak/>
              <w:t>2/17  </w:t>
            </w:r>
            <w:r w:rsidRPr="0058745E">
              <w:rPr>
                <w:lang w:val="es-ES"/>
              </w:rPr>
              <w:t>4.3</w:t>
            </w:r>
            <w:r w:rsidRPr="0058745E">
              <w:rPr>
                <w:lang w:val="es-ES"/>
              </w:rPr>
              <w:tab/>
            </w:r>
            <w:r w:rsidR="00EC0EE7" w:rsidRPr="00A164C9">
              <w:rPr>
                <w:lang w:val="es-ES"/>
              </w:rPr>
              <w:t xml:space="preserve">Si entre la fecha de expedición y la fecha de recepción transcurre más de un mes, la autoridad destinataria encargada de la contabilidad procurará notificar de inmediato a la autoridad encargada </w:t>
            </w:r>
            <w:r w:rsidR="00EC0EE7" w:rsidRPr="00A164C9">
              <w:rPr>
                <w:lang w:val="es-ES"/>
              </w:rPr>
              <w:lastRenderedPageBreak/>
              <w:t>de la contabilidad expedidora que las peticiones de información y el pago se pueden demorar. Sin embargo, la demora no excederá de tres meses, por lo que respecta al pago, ni de cinco meses, por lo que respecta a las peticiones de información, comenzando cada periodo a partir de la fecha de recepción de la cuenta.</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2C86E6CE" w14:textId="702FA7F1" w:rsidR="0058745E" w:rsidRPr="0058745E" w:rsidRDefault="00A164C9" w:rsidP="0058745E">
            <w:pPr>
              <w:pStyle w:val="Tabletext"/>
              <w:rPr>
                <w:lang w:val="es-ES"/>
              </w:rPr>
            </w:pPr>
            <w:r w:rsidRPr="00A164C9">
              <w:rPr>
                <w:lang w:val="es-ES"/>
              </w:rPr>
              <w:lastRenderedPageBreak/>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4E513969" w14:textId="0742A521" w:rsidR="0058745E" w:rsidRPr="0058745E" w:rsidRDefault="00A164C9" w:rsidP="0058745E">
            <w:pPr>
              <w:pStyle w:val="Tabletext"/>
              <w:rPr>
                <w:lang w:val="es-ES"/>
              </w:rPr>
            </w:pPr>
            <w:r w:rsidRPr="00A164C9">
              <w:rPr>
                <w:lang w:val="es-ES"/>
              </w:rPr>
              <w:t xml:space="preserve">Esta disposición garantiza la flexibilidad necesaria para dar cabida a nuevas tendencias y </w:t>
            </w:r>
            <w:r w:rsidRPr="00A164C9">
              <w:rPr>
                <w:lang w:val="es-ES"/>
              </w:rPr>
              <w:lastRenderedPageBreak/>
              <w:t>cuestiones emergentes.</w:t>
            </w:r>
          </w:p>
        </w:tc>
        <w:tc>
          <w:tcPr>
            <w:tcW w:w="2287"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D14636A" w14:textId="33B93BE6" w:rsidR="0058745E" w:rsidRPr="0058745E" w:rsidRDefault="00146F6F" w:rsidP="0058745E">
            <w:pPr>
              <w:pStyle w:val="Tabletext"/>
              <w:rPr>
                <w:lang w:val="es-ES"/>
              </w:rPr>
            </w:pPr>
            <w:r>
              <w:rPr>
                <w:lang w:val="es-ES"/>
              </w:rPr>
              <w:lastRenderedPageBreak/>
              <w:t>La disposición no requiere modificación, ya que es aplicable y flexible.</w:t>
            </w:r>
          </w:p>
        </w:tc>
      </w:tr>
      <w:tr w:rsidR="0058745E" w:rsidRPr="0058745E" w14:paraId="5CC9B185" w14:textId="77777777" w:rsidTr="0058745E">
        <w:trPr>
          <w:trHeight w:val="1200"/>
          <w:jc w:val="center"/>
        </w:trPr>
        <w:tc>
          <w:tcPr>
            <w:tcW w:w="944" w:type="dxa"/>
            <w:vMerge/>
            <w:tcBorders>
              <w:left w:val="single" w:sz="4" w:space="0" w:color="auto"/>
              <w:right w:val="single" w:sz="4" w:space="0" w:color="auto"/>
            </w:tcBorders>
            <w:noWrap/>
            <w:tcMar>
              <w:left w:w="85" w:type="dxa"/>
              <w:right w:w="85" w:type="dxa"/>
            </w:tcMar>
            <w:textDirection w:val="btLr"/>
            <w:vAlign w:val="center"/>
          </w:tcPr>
          <w:p w14:paraId="71CE5116" w14:textId="77777777" w:rsidR="0058745E" w:rsidRPr="0058745E" w:rsidRDefault="0058745E" w:rsidP="0058745E">
            <w:pPr>
              <w:rPr>
                <w:b/>
                <w:lang w:val="es-ES"/>
              </w:rPr>
            </w:pPr>
          </w:p>
        </w:tc>
        <w:tc>
          <w:tcPr>
            <w:tcW w:w="3358" w:type="dxa"/>
            <w:tcBorders>
              <w:top w:val="single" w:sz="4" w:space="0" w:color="auto"/>
              <w:left w:val="single" w:sz="4" w:space="0" w:color="auto"/>
              <w:bottom w:val="single" w:sz="4" w:space="0" w:color="auto"/>
              <w:right w:val="single" w:sz="4" w:space="0" w:color="auto"/>
            </w:tcBorders>
            <w:noWrap/>
            <w:tcMar>
              <w:left w:w="85" w:type="dxa"/>
              <w:right w:w="85" w:type="dxa"/>
            </w:tcMar>
          </w:tcPr>
          <w:p w14:paraId="1309B4A0" w14:textId="10F5A818" w:rsidR="0058745E" w:rsidRPr="0058745E" w:rsidRDefault="0058745E" w:rsidP="0058745E">
            <w:pPr>
              <w:pStyle w:val="Tabletext"/>
              <w:rPr>
                <w:b/>
                <w:lang w:val="es-ES"/>
              </w:rPr>
            </w:pPr>
            <w:r w:rsidRPr="0058745E">
              <w:rPr>
                <w:b/>
                <w:lang w:val="es-ES"/>
              </w:rPr>
              <w:t>2.18  </w:t>
            </w:r>
            <w:r w:rsidRPr="0058745E">
              <w:rPr>
                <w:lang w:val="es-ES"/>
              </w:rPr>
              <w:t>4.4</w:t>
            </w:r>
            <w:r w:rsidRPr="0058745E">
              <w:rPr>
                <w:lang w:val="es-ES"/>
              </w:rPr>
              <w:tab/>
            </w:r>
            <w:r w:rsidR="00F425D4" w:rsidRPr="00A164C9">
              <w:rPr>
                <w:lang w:val="es-ES"/>
              </w:rPr>
              <w:t>La autoridad deudora encargada de la contabilidad podrá rechazar el ajuste y la liquidación de las cuentas presentadas más de doce meses naturales después de la fecha del tráfico a que las cuentas se refieran, a menos que la legislación nacional disponga lo contrario, en cuyo caso el plazo máximo podrá ser de hasta dieciocho meses naturales.</w:t>
            </w:r>
          </w:p>
        </w:tc>
        <w:tc>
          <w:tcPr>
            <w:tcW w:w="3225" w:type="dxa"/>
            <w:tcBorders>
              <w:top w:val="single" w:sz="4" w:space="0" w:color="auto"/>
              <w:left w:val="single" w:sz="4" w:space="0" w:color="auto"/>
              <w:bottom w:val="single" w:sz="4" w:space="0" w:color="auto"/>
              <w:right w:val="single" w:sz="4" w:space="0" w:color="auto"/>
            </w:tcBorders>
            <w:noWrap/>
            <w:tcMar>
              <w:left w:w="85" w:type="dxa"/>
              <w:right w:w="85" w:type="dxa"/>
            </w:tcMar>
          </w:tcPr>
          <w:p w14:paraId="76632CDF" w14:textId="2BBCBDDD" w:rsidR="0058745E" w:rsidRPr="0058745E" w:rsidRDefault="0058745E" w:rsidP="0058745E">
            <w:pPr>
              <w:pStyle w:val="Tabletext"/>
              <w:rPr>
                <w:b/>
                <w:lang w:val="es-ES"/>
              </w:rPr>
            </w:pPr>
            <w:r w:rsidRPr="0058745E">
              <w:rPr>
                <w:b/>
                <w:lang w:val="es-ES"/>
              </w:rPr>
              <w:t>2/18  </w:t>
            </w:r>
            <w:r w:rsidRPr="0058745E">
              <w:rPr>
                <w:lang w:val="es-ES"/>
              </w:rPr>
              <w:t>4.4</w:t>
            </w:r>
            <w:r w:rsidRPr="0058745E">
              <w:rPr>
                <w:lang w:val="es-ES"/>
              </w:rPr>
              <w:tab/>
            </w:r>
            <w:r w:rsidR="00EC0EE7" w:rsidRPr="00A164C9">
              <w:rPr>
                <w:lang w:val="es-ES"/>
              </w:rPr>
              <w:t>La autoridad deudora encargada de la contabilidad podrá rechazar el ajuste y la liquidación de las cuentas presentadas más de dieciocho meses después de la fecha del tráfico a que las cuentas se refieran.</w:t>
            </w:r>
          </w:p>
        </w:tc>
        <w:tc>
          <w:tcPr>
            <w:tcW w:w="2120"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5BD638B" w14:textId="21411A3E" w:rsidR="0058745E" w:rsidRPr="0058745E" w:rsidRDefault="00A164C9" w:rsidP="0058745E">
            <w:pPr>
              <w:pStyle w:val="Tabletext"/>
              <w:rPr>
                <w:lang w:val="es-ES"/>
              </w:rPr>
            </w:pPr>
            <w:r w:rsidRPr="00A164C9">
              <w:rPr>
                <w:lang w:val="es-ES"/>
              </w:rPr>
              <w:t>La disposición es aplicable para fomentar el suministro y el desarrollo de redes y servicios.</w:t>
            </w:r>
          </w:p>
        </w:tc>
        <w:tc>
          <w:tcPr>
            <w:tcW w:w="2054" w:type="dxa"/>
            <w:tcBorders>
              <w:top w:val="single" w:sz="4" w:space="0" w:color="auto"/>
              <w:left w:val="single" w:sz="4" w:space="0" w:color="auto"/>
              <w:bottom w:val="single" w:sz="4" w:space="0" w:color="auto"/>
              <w:right w:val="single" w:sz="4" w:space="0" w:color="auto"/>
            </w:tcBorders>
            <w:noWrap/>
            <w:tcMar>
              <w:left w:w="85" w:type="dxa"/>
              <w:right w:w="85" w:type="dxa"/>
            </w:tcMar>
          </w:tcPr>
          <w:p w14:paraId="5DA0A123" w14:textId="11B13ED4" w:rsidR="0058745E" w:rsidRPr="0058745E" w:rsidRDefault="00A164C9" w:rsidP="0058745E">
            <w:pPr>
              <w:pStyle w:val="Tabletext"/>
              <w:rPr>
                <w:lang w:val="es-ES"/>
              </w:rPr>
            </w:pPr>
            <w:r w:rsidRPr="00A164C9">
              <w:rPr>
                <w:lang w:val="es-ES"/>
              </w:rPr>
              <w:t>Esta disposición garantiza la flexibilidad necesaria para dar cabida a nuevas tendencias y cuestiones emergentes.</w:t>
            </w:r>
          </w:p>
        </w:tc>
        <w:tc>
          <w:tcPr>
            <w:tcW w:w="2287" w:type="dxa"/>
            <w:tcBorders>
              <w:top w:val="single" w:sz="4" w:space="0" w:color="auto"/>
              <w:left w:val="single" w:sz="4" w:space="0" w:color="auto"/>
              <w:right w:val="single" w:sz="4" w:space="0" w:color="auto"/>
            </w:tcBorders>
            <w:noWrap/>
            <w:tcMar>
              <w:left w:w="85" w:type="dxa"/>
              <w:right w:w="85" w:type="dxa"/>
            </w:tcMar>
          </w:tcPr>
          <w:p w14:paraId="7652AD27" w14:textId="60A77303" w:rsidR="0058745E" w:rsidRPr="0058745E" w:rsidRDefault="00146F6F" w:rsidP="0058745E">
            <w:pPr>
              <w:pStyle w:val="Tabletext"/>
              <w:rPr>
                <w:lang w:val="es-ES"/>
              </w:rPr>
            </w:pPr>
            <w:r>
              <w:rPr>
                <w:lang w:val="es-ES"/>
              </w:rPr>
              <w:t>La disposición no requiere modificación, ya que es aplicable y flexible.</w:t>
            </w:r>
          </w:p>
        </w:tc>
      </w:tr>
    </w:tbl>
    <w:p w14:paraId="40AC1B00" w14:textId="77777777" w:rsidR="0058745E" w:rsidRPr="00262F2F" w:rsidRDefault="0058745E" w:rsidP="0058745E">
      <w:pPr>
        <w:rPr>
          <w:lang w:val="es-ES"/>
        </w:rPr>
      </w:pPr>
      <w:bookmarkStart w:id="40" w:name="_Hlk30149919"/>
      <w:bookmarkEnd w:id="11"/>
    </w:p>
    <w:bookmarkEnd w:id="40"/>
    <w:p w14:paraId="2594A71E" w14:textId="77777777" w:rsidR="0058745E" w:rsidRPr="0058745E" w:rsidRDefault="0058745E" w:rsidP="0058745E">
      <w:pPr>
        <w:jc w:val="center"/>
        <w:rPr>
          <w:lang w:val="en-GB"/>
        </w:rPr>
      </w:pPr>
      <w:r w:rsidRPr="0058745E">
        <w:rPr>
          <w:lang w:val="en-GB"/>
        </w:rPr>
        <w:t>______________</w:t>
      </w:r>
    </w:p>
    <w:sectPr w:rsidR="0058745E" w:rsidRPr="0058745E" w:rsidSect="00D614B3">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D3563" w14:textId="77777777" w:rsidR="000D4373" w:rsidRDefault="000D4373">
      <w:r>
        <w:separator/>
      </w:r>
    </w:p>
  </w:endnote>
  <w:endnote w:type="continuationSeparator" w:id="0">
    <w:p w14:paraId="5517FB5A" w14:textId="77777777" w:rsidR="000D4373" w:rsidRDefault="000D4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6615" w14:textId="71EFC927" w:rsidR="00760F1C" w:rsidRPr="008E5720" w:rsidRDefault="001E0AC7" w:rsidP="001E0AC7">
    <w:pPr>
      <w:pStyle w:val="Footer"/>
      <w:rPr>
        <w:lang w:val="en-US"/>
      </w:rPr>
    </w:pPr>
    <w:r w:rsidRPr="001E0AC7">
      <w:rPr>
        <w:lang w:val="en-US"/>
      </w:rPr>
      <w:fldChar w:fldCharType="begin"/>
    </w:r>
    <w:r w:rsidRPr="001E0AC7">
      <w:rPr>
        <w:lang w:val="en-US"/>
      </w:rPr>
      <w:instrText xml:space="preserve"> FILENAME \p  \* MERGEFORMAT </w:instrText>
    </w:r>
    <w:r w:rsidRPr="001E0AC7">
      <w:rPr>
        <w:lang w:val="en-US"/>
      </w:rPr>
      <w:fldChar w:fldCharType="separate"/>
    </w:r>
    <w:r w:rsidR="00C338FF">
      <w:rPr>
        <w:lang w:val="en-US"/>
      </w:rPr>
      <w:t>P:\ESP\SG\CONSEIL\EG-ITR\EG-ITR-4\000\002S.docx</w:t>
    </w:r>
    <w:r w:rsidRPr="001E0AC7">
      <w:rPr>
        <w:lang w:val="en-US"/>
      </w:rPr>
      <w:fldChar w:fldCharType="end"/>
    </w:r>
    <w:r>
      <w:rPr>
        <w:lang w:val="en-US"/>
      </w:rPr>
      <w:t xml:space="preserve"> (481920</w:t>
    </w:r>
    <w:r w:rsidRPr="001E0AC7">
      <w:rPr>
        <w:lang w:val="en-US"/>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ACD2" w14:textId="204398B2" w:rsidR="00760F1C" w:rsidRPr="008E5720" w:rsidRDefault="00760F1C" w:rsidP="008E5720">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917DE" w14:textId="77777777" w:rsidR="000D4373" w:rsidRDefault="000D4373">
      <w:r>
        <w:t>____________________</w:t>
      </w:r>
    </w:p>
  </w:footnote>
  <w:footnote w:type="continuationSeparator" w:id="0">
    <w:p w14:paraId="5A44A35C" w14:textId="77777777" w:rsidR="000D4373" w:rsidRDefault="000D4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3535E" w14:textId="48231DB4" w:rsidR="00760F1C" w:rsidRDefault="000B7C15" w:rsidP="007657F0">
    <w:pPr>
      <w:pStyle w:val="Header"/>
    </w:pPr>
    <w:r>
      <w:fldChar w:fldCharType="begin"/>
    </w:r>
    <w:r>
      <w:instrText>PAGE</w:instrText>
    </w:r>
    <w:r>
      <w:fldChar w:fldCharType="separate"/>
    </w:r>
    <w:r w:rsidR="00501CDC">
      <w:rPr>
        <w:noProof/>
      </w:rPr>
      <w:t>6</w:t>
    </w:r>
    <w:r>
      <w:rPr>
        <w:noProof/>
      </w:rPr>
      <w:fldChar w:fldCharType="end"/>
    </w:r>
  </w:p>
  <w:p w14:paraId="5A31FFFC" w14:textId="65D6B45F" w:rsidR="00760F1C" w:rsidRDefault="00012E27" w:rsidP="00F709DF">
    <w:pPr>
      <w:pStyle w:val="Header"/>
      <w:spacing w:after="120"/>
    </w:pPr>
    <w:r>
      <w:rPr>
        <w:noProof/>
      </w:rPr>
      <w:t>EG-ITRs-</w:t>
    </w:r>
    <w:r w:rsidR="008E5720">
      <w:rPr>
        <w:noProof/>
      </w:rPr>
      <w:t>4</w:t>
    </w:r>
    <w:r>
      <w:rPr>
        <w:noProof/>
      </w:rPr>
      <w:t>\</w:t>
    </w:r>
    <w:r w:rsidR="006613B2">
      <w:rPr>
        <w:noProof/>
      </w:rPr>
      <w:t>2</w:t>
    </w:r>
    <w:r>
      <w:rPr>
        <w:noProof/>
      </w:rPr>
      <w: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73"/>
    <w:rsid w:val="00012E27"/>
    <w:rsid w:val="00093EEB"/>
    <w:rsid w:val="000B0D00"/>
    <w:rsid w:val="000B7C15"/>
    <w:rsid w:val="000D1D0F"/>
    <w:rsid w:val="000D4373"/>
    <w:rsid w:val="000F5290"/>
    <w:rsid w:val="0010165C"/>
    <w:rsid w:val="0012041B"/>
    <w:rsid w:val="001304D3"/>
    <w:rsid w:val="00146BFB"/>
    <w:rsid w:val="00146F6F"/>
    <w:rsid w:val="001E0AC7"/>
    <w:rsid w:val="001F14A2"/>
    <w:rsid w:val="001F60AD"/>
    <w:rsid w:val="00262F2F"/>
    <w:rsid w:val="002801AA"/>
    <w:rsid w:val="002C4676"/>
    <w:rsid w:val="002C70B0"/>
    <w:rsid w:val="002F3CC4"/>
    <w:rsid w:val="00305A62"/>
    <w:rsid w:val="00501CDC"/>
    <w:rsid w:val="00513630"/>
    <w:rsid w:val="005262CD"/>
    <w:rsid w:val="00560125"/>
    <w:rsid w:val="00574CCE"/>
    <w:rsid w:val="00585553"/>
    <w:rsid w:val="0058745E"/>
    <w:rsid w:val="005B34D9"/>
    <w:rsid w:val="005D0CCF"/>
    <w:rsid w:val="005F410F"/>
    <w:rsid w:val="0060149A"/>
    <w:rsid w:val="00601924"/>
    <w:rsid w:val="006447EA"/>
    <w:rsid w:val="0064731F"/>
    <w:rsid w:val="006613B2"/>
    <w:rsid w:val="006710F6"/>
    <w:rsid w:val="0067129F"/>
    <w:rsid w:val="006C1B56"/>
    <w:rsid w:val="006D4761"/>
    <w:rsid w:val="00726872"/>
    <w:rsid w:val="00760F1C"/>
    <w:rsid w:val="007657F0"/>
    <w:rsid w:val="0077252D"/>
    <w:rsid w:val="007E5DD3"/>
    <w:rsid w:val="007F350B"/>
    <w:rsid w:val="00820BE4"/>
    <w:rsid w:val="008451E8"/>
    <w:rsid w:val="008E5720"/>
    <w:rsid w:val="00913B9C"/>
    <w:rsid w:val="00956E77"/>
    <w:rsid w:val="009B320D"/>
    <w:rsid w:val="009C29AF"/>
    <w:rsid w:val="009D0C5D"/>
    <w:rsid w:val="00A164C9"/>
    <w:rsid w:val="00AA17A8"/>
    <w:rsid w:val="00AA390C"/>
    <w:rsid w:val="00AF3C5B"/>
    <w:rsid w:val="00B0200A"/>
    <w:rsid w:val="00B41B5C"/>
    <w:rsid w:val="00B574DB"/>
    <w:rsid w:val="00B826C2"/>
    <w:rsid w:val="00B8298E"/>
    <w:rsid w:val="00BA4764"/>
    <w:rsid w:val="00BD0723"/>
    <w:rsid w:val="00BD2518"/>
    <w:rsid w:val="00BF19E0"/>
    <w:rsid w:val="00BF1D1C"/>
    <w:rsid w:val="00C20C59"/>
    <w:rsid w:val="00C338FF"/>
    <w:rsid w:val="00C55B1F"/>
    <w:rsid w:val="00C73B3C"/>
    <w:rsid w:val="00C85B97"/>
    <w:rsid w:val="00CF1A67"/>
    <w:rsid w:val="00D2750E"/>
    <w:rsid w:val="00D62446"/>
    <w:rsid w:val="00D92832"/>
    <w:rsid w:val="00DA4EA2"/>
    <w:rsid w:val="00DC3D3E"/>
    <w:rsid w:val="00DE2C90"/>
    <w:rsid w:val="00DE3B24"/>
    <w:rsid w:val="00E06947"/>
    <w:rsid w:val="00E3592D"/>
    <w:rsid w:val="00E92DE8"/>
    <w:rsid w:val="00E96E3B"/>
    <w:rsid w:val="00EB1212"/>
    <w:rsid w:val="00EC0EE7"/>
    <w:rsid w:val="00ED65AB"/>
    <w:rsid w:val="00F12850"/>
    <w:rsid w:val="00F33BF4"/>
    <w:rsid w:val="00F425D4"/>
    <w:rsid w:val="00F47C94"/>
    <w:rsid w:val="00F70229"/>
    <w:rsid w:val="00F709DF"/>
    <w:rsid w:val="00F7105E"/>
    <w:rsid w:val="00F726AD"/>
    <w:rsid w:val="00F75F57"/>
    <w:rsid w:val="00F82FEE"/>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DA8D32A"/>
  <w15:docId w15:val="{B0A513D7-A509-457D-8506-65D3D433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58745E"/>
    <w:pPr>
      <w:tabs>
        <w:tab w:val="clear" w:pos="567"/>
        <w:tab w:val="clear" w:pos="1134"/>
        <w:tab w:val="clear" w:pos="1701"/>
        <w:tab w:val="clear" w:pos="2268"/>
        <w:tab w:val="clear" w:pos="2835"/>
      </w:tabs>
      <w:spacing w:before="60" w:after="60"/>
    </w:pPr>
    <w:rPr>
      <w:sz w:val="20"/>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TableGrid">
    <w:name w:val="Table Grid"/>
    <w:basedOn w:val="TableNormal"/>
    <w:rsid w:val="00587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S%20-%20ITU\PS_EG-I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D09AD-1B2E-41CD-85BE-D24E0F7CD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PS_EG-ITR.dotx</Template>
  <TotalTime>97</TotalTime>
  <Pages>13</Pages>
  <Words>4138</Words>
  <Characters>23739</Characters>
  <Application>Microsoft Office Word</Application>
  <DocSecurity>0</DocSecurity>
  <Lines>197</Lines>
  <Paragraphs>55</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27822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2010</dc:subject>
  <dc:creator>Spanish83</dc:creator>
  <cp:keywords>C2010, C10</cp:keywords>
  <dc:description>Documento C17/-S  Para: _x000d_Fecha del documento: enero de 2017_x000d_Registrado por ITU51009317 a 15:32:38 el 06/04/2017</dc:description>
  <cp:lastModifiedBy>Callejon, Miguel</cp:lastModifiedBy>
  <cp:revision>9</cp:revision>
  <cp:lastPrinted>2006-03-24T09:51:00Z</cp:lastPrinted>
  <dcterms:created xsi:type="dcterms:W3CDTF">2021-01-21T14:15:00Z</dcterms:created>
  <dcterms:modified xsi:type="dcterms:W3CDTF">2021-01-22T08:04:00Z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