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14:paraId="6BBC59CF" w14:textId="77777777">
        <w:trPr>
          <w:cantSplit/>
        </w:trPr>
        <w:tc>
          <w:tcPr>
            <w:tcW w:w="6912" w:type="dxa"/>
          </w:tcPr>
          <w:p w14:paraId="4179749A" w14:textId="77777777" w:rsidR="00520F36" w:rsidRPr="0092392D" w:rsidRDefault="00D837AA" w:rsidP="00474A8E">
            <w:pPr>
              <w:spacing w:before="240"/>
              <w:rPr>
                <w:lang w:val="fr-CH"/>
              </w:rPr>
            </w:pPr>
            <w:r w:rsidRPr="00453BB7">
              <w:rPr>
                <w:rFonts w:eastAsia="Calibri" w:cs="Calibri"/>
                <w:b/>
                <w:bCs/>
                <w:color w:val="000000"/>
                <w:position w:val="6"/>
                <w:sz w:val="30"/>
                <w:szCs w:val="30"/>
                <w:lang w:val="fr-CH"/>
              </w:rPr>
              <w:t>Groupe d'experts sur le Règlement</w:t>
            </w:r>
            <w:r>
              <w:rPr>
                <w:rFonts w:eastAsia="Calibri" w:cs="Calibri"/>
                <w:b/>
                <w:bCs/>
                <w:color w:val="000000"/>
                <w:position w:val="6"/>
                <w:sz w:val="30"/>
                <w:szCs w:val="30"/>
                <w:lang w:val="fr-CH"/>
              </w:rPr>
              <w:t xml:space="preserve"> des</w:t>
            </w:r>
            <w:r w:rsidRPr="00453BB7">
              <w:rPr>
                <w:rFonts w:eastAsia="Calibri" w:cs="Calibri"/>
                <w:b/>
                <w:bCs/>
                <w:color w:val="000000"/>
                <w:position w:val="6"/>
                <w:sz w:val="30"/>
                <w:szCs w:val="30"/>
                <w:lang w:val="fr-CH"/>
              </w:rPr>
              <w:t xml:space="preserve"> </w:t>
            </w:r>
            <w:r>
              <w:rPr>
                <w:rFonts w:eastAsia="Calibri" w:cs="Calibri"/>
                <w:b/>
                <w:bCs/>
                <w:color w:val="000000"/>
                <w:position w:val="6"/>
                <w:sz w:val="30"/>
                <w:szCs w:val="30"/>
                <w:lang w:val="fr-CH"/>
              </w:rPr>
              <w:t>télé</w:t>
            </w:r>
            <w:r w:rsidRPr="00453BB7">
              <w:rPr>
                <w:rFonts w:eastAsia="Calibri" w:cs="Calibri"/>
                <w:b/>
                <w:bCs/>
                <w:color w:val="000000"/>
                <w:position w:val="6"/>
                <w:sz w:val="30"/>
                <w:szCs w:val="30"/>
                <w:lang w:val="fr-CH"/>
              </w:rPr>
              <w:t>communication</w:t>
            </w:r>
            <w:r>
              <w:rPr>
                <w:rFonts w:eastAsia="Calibri" w:cs="Calibri"/>
                <w:b/>
                <w:bCs/>
                <w:color w:val="000000"/>
                <w:position w:val="6"/>
                <w:sz w:val="30"/>
                <w:szCs w:val="30"/>
                <w:lang w:val="fr-CH"/>
              </w:rPr>
              <w:t>s</w:t>
            </w:r>
            <w:r w:rsidRPr="00453BB7">
              <w:rPr>
                <w:rFonts w:eastAsia="Calibri" w:cs="Calibri"/>
                <w:b/>
                <w:bCs/>
                <w:color w:val="000000"/>
                <w:position w:val="6"/>
                <w:sz w:val="30"/>
                <w:szCs w:val="30"/>
                <w:lang w:val="fr-CH"/>
              </w:rPr>
              <w:t xml:space="preserve"> </w:t>
            </w:r>
            <w:r>
              <w:rPr>
                <w:rFonts w:eastAsia="Calibri" w:cs="Calibri"/>
                <w:b/>
                <w:bCs/>
                <w:color w:val="000000"/>
                <w:position w:val="6"/>
                <w:sz w:val="30"/>
                <w:szCs w:val="30"/>
                <w:lang w:val="fr-CH"/>
              </w:rPr>
              <w:t xml:space="preserve">internationales </w:t>
            </w:r>
            <w:r w:rsidRPr="00453BB7">
              <w:rPr>
                <w:rFonts w:eastAsia="Calibri" w:cs="Calibri"/>
                <w:b/>
                <w:bCs/>
                <w:color w:val="000000"/>
                <w:position w:val="6"/>
                <w:sz w:val="30"/>
                <w:szCs w:val="30"/>
                <w:lang w:val="fr-CH"/>
              </w:rPr>
              <w:t>(EG</w:t>
            </w:r>
            <w:r w:rsidRPr="00453BB7">
              <w:rPr>
                <w:rFonts w:eastAsia="Calibri" w:cs="Calibri"/>
                <w:b/>
                <w:bCs/>
                <w:color w:val="000000"/>
                <w:position w:val="6"/>
                <w:sz w:val="30"/>
                <w:szCs w:val="30"/>
                <w:lang w:val="fr-CH"/>
              </w:rPr>
              <w:noBreakHyphen/>
              <w:t>R</w:t>
            </w:r>
            <w:r>
              <w:rPr>
                <w:rFonts w:eastAsia="Calibri" w:cs="Calibri"/>
                <w:b/>
                <w:bCs/>
                <w:color w:val="000000"/>
                <w:position w:val="6"/>
                <w:sz w:val="30"/>
                <w:szCs w:val="30"/>
                <w:lang w:val="fr-CH"/>
              </w:rPr>
              <w:t>TI</w:t>
            </w:r>
            <w:r w:rsidRPr="00453BB7">
              <w:rPr>
                <w:rFonts w:eastAsia="Calibri" w:cs="Calibri"/>
                <w:b/>
                <w:bCs/>
                <w:color w:val="000000"/>
                <w:position w:val="6"/>
                <w:sz w:val="30"/>
                <w:szCs w:val="30"/>
                <w:lang w:val="fr-CH"/>
              </w:rPr>
              <w:t>)</w:t>
            </w:r>
          </w:p>
        </w:tc>
        <w:tc>
          <w:tcPr>
            <w:tcW w:w="3261" w:type="dxa"/>
          </w:tcPr>
          <w:p w14:paraId="6B7B1408" w14:textId="77777777" w:rsidR="00520F36" w:rsidRPr="0092392D" w:rsidRDefault="00B84194" w:rsidP="00D06D06">
            <w:pPr>
              <w:spacing w:before="0"/>
              <w:rPr>
                <w:lang w:val="fr-CH"/>
              </w:rPr>
            </w:pPr>
            <w:bookmarkStart w:id="0" w:name="ditulogo"/>
            <w:bookmarkEnd w:id="0"/>
            <w:r>
              <w:rPr>
                <w:noProof/>
                <w:lang w:val="en-US"/>
              </w:rPr>
              <w:drawing>
                <wp:inline distT="0" distB="0" distL="0" distR="0" wp14:anchorId="34AF2EDC" wp14:editId="3FA57F25">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520F36" w:rsidRPr="0092392D" w14:paraId="2071CFBD" w14:textId="77777777" w:rsidTr="00EF41DD">
        <w:trPr>
          <w:cantSplit/>
          <w:trHeight w:val="20"/>
        </w:trPr>
        <w:tc>
          <w:tcPr>
            <w:tcW w:w="6912" w:type="dxa"/>
            <w:tcBorders>
              <w:bottom w:val="single" w:sz="12" w:space="0" w:color="auto"/>
            </w:tcBorders>
            <w:vAlign w:val="center"/>
          </w:tcPr>
          <w:p w14:paraId="33CE5169" w14:textId="76729192" w:rsidR="00520F36" w:rsidRPr="0099613D" w:rsidRDefault="00EC543B" w:rsidP="00AE0E98">
            <w:pPr>
              <w:spacing w:before="0"/>
              <w:rPr>
                <w:b/>
                <w:bCs/>
                <w:szCs w:val="24"/>
                <w:lang w:val="fr-CH"/>
              </w:rPr>
            </w:pPr>
            <w:r>
              <w:rPr>
                <w:b/>
                <w:bCs/>
                <w:szCs w:val="24"/>
                <w:lang w:val="fr-CH"/>
              </w:rPr>
              <w:t>Quatrième</w:t>
            </w:r>
            <w:r w:rsidR="00AE0E98" w:rsidRPr="00AE0E98">
              <w:rPr>
                <w:b/>
                <w:bCs/>
                <w:szCs w:val="24"/>
              </w:rPr>
              <w:t xml:space="preserve"> réunion – Réunion virtuelle, </w:t>
            </w:r>
            <w:r>
              <w:rPr>
                <w:b/>
                <w:bCs/>
                <w:szCs w:val="24"/>
              </w:rPr>
              <w:t>3-4 février 2021</w:t>
            </w:r>
          </w:p>
        </w:tc>
        <w:tc>
          <w:tcPr>
            <w:tcW w:w="3261" w:type="dxa"/>
            <w:tcBorders>
              <w:bottom w:val="single" w:sz="12" w:space="0" w:color="auto"/>
            </w:tcBorders>
          </w:tcPr>
          <w:p w14:paraId="0D1602B0" w14:textId="77777777" w:rsidR="00520F36" w:rsidRPr="0092392D" w:rsidRDefault="00520F36" w:rsidP="00DF74DD">
            <w:pPr>
              <w:spacing w:before="0"/>
              <w:rPr>
                <w:b/>
                <w:bCs/>
              </w:rPr>
            </w:pPr>
          </w:p>
        </w:tc>
      </w:tr>
      <w:tr w:rsidR="00520F36" w:rsidRPr="0092392D" w14:paraId="0D7CC4F6" w14:textId="77777777">
        <w:trPr>
          <w:cantSplit/>
          <w:trHeight w:val="20"/>
        </w:trPr>
        <w:tc>
          <w:tcPr>
            <w:tcW w:w="6912" w:type="dxa"/>
            <w:tcBorders>
              <w:top w:val="single" w:sz="12" w:space="0" w:color="auto"/>
            </w:tcBorders>
          </w:tcPr>
          <w:p w14:paraId="493B492C" w14:textId="77777777" w:rsidR="00520F36" w:rsidRPr="0092392D" w:rsidRDefault="00520F36" w:rsidP="00DF74DD">
            <w:pPr>
              <w:spacing w:before="0"/>
              <w:rPr>
                <w:smallCaps/>
                <w:sz w:val="22"/>
                <w:lang w:val="fr-CH"/>
              </w:rPr>
            </w:pPr>
          </w:p>
        </w:tc>
        <w:tc>
          <w:tcPr>
            <w:tcW w:w="3261" w:type="dxa"/>
            <w:tcBorders>
              <w:top w:val="single" w:sz="12" w:space="0" w:color="auto"/>
            </w:tcBorders>
          </w:tcPr>
          <w:p w14:paraId="0272E9B7" w14:textId="77777777" w:rsidR="00520F36" w:rsidRPr="0092392D" w:rsidRDefault="00520F36" w:rsidP="00DF74DD">
            <w:pPr>
              <w:spacing w:before="0"/>
              <w:rPr>
                <w:b/>
                <w:bCs/>
              </w:rPr>
            </w:pPr>
          </w:p>
        </w:tc>
      </w:tr>
      <w:tr w:rsidR="00520F36" w:rsidRPr="0092392D" w14:paraId="68DDF4AE" w14:textId="77777777">
        <w:trPr>
          <w:cantSplit/>
          <w:trHeight w:val="20"/>
        </w:trPr>
        <w:tc>
          <w:tcPr>
            <w:tcW w:w="6912" w:type="dxa"/>
            <w:vMerge w:val="restart"/>
          </w:tcPr>
          <w:p w14:paraId="069CBCAF" w14:textId="77777777" w:rsidR="00520F36" w:rsidRPr="00520F36" w:rsidRDefault="00520F36" w:rsidP="00DF74DD">
            <w:pPr>
              <w:spacing w:before="0"/>
              <w:rPr>
                <w:rFonts w:cs="Times"/>
                <w:b/>
                <w:bCs/>
                <w:szCs w:val="24"/>
                <w:lang w:val="fr-CH"/>
              </w:rPr>
            </w:pPr>
            <w:bookmarkStart w:id="1" w:name="dnum" w:colFirst="1" w:colLast="1"/>
            <w:bookmarkStart w:id="2" w:name="dmeeting" w:colFirst="0" w:colLast="0"/>
          </w:p>
        </w:tc>
        <w:tc>
          <w:tcPr>
            <w:tcW w:w="3261" w:type="dxa"/>
          </w:tcPr>
          <w:p w14:paraId="45FF293D" w14:textId="33DDA358" w:rsidR="00520F36" w:rsidRPr="00520F36" w:rsidRDefault="00520F36" w:rsidP="00B84194">
            <w:pPr>
              <w:spacing w:before="0"/>
              <w:rPr>
                <w:b/>
                <w:bCs/>
              </w:rPr>
            </w:pPr>
            <w:r>
              <w:rPr>
                <w:b/>
                <w:bCs/>
              </w:rPr>
              <w:t xml:space="preserve">Document </w:t>
            </w:r>
            <w:r w:rsidR="00D837AA" w:rsidRPr="009B70A4">
              <w:rPr>
                <w:b/>
              </w:rPr>
              <w:t>EG-ITRs</w:t>
            </w:r>
            <w:r w:rsidR="00F06D00">
              <w:rPr>
                <w:b/>
              </w:rPr>
              <w:t>-</w:t>
            </w:r>
            <w:r w:rsidR="00EC543B">
              <w:rPr>
                <w:b/>
              </w:rPr>
              <w:t>4</w:t>
            </w:r>
            <w:r w:rsidR="00D837AA" w:rsidRPr="009B70A4">
              <w:rPr>
                <w:b/>
              </w:rPr>
              <w:t>/</w:t>
            </w:r>
            <w:r w:rsidR="00EC543B">
              <w:rPr>
                <w:b/>
              </w:rPr>
              <w:t>3</w:t>
            </w:r>
            <w:r w:rsidR="00D837AA" w:rsidRPr="009B70A4">
              <w:rPr>
                <w:b/>
              </w:rPr>
              <w:t>-</w:t>
            </w:r>
            <w:r w:rsidR="00D837AA">
              <w:rPr>
                <w:b/>
              </w:rPr>
              <w:t>F</w:t>
            </w:r>
          </w:p>
        </w:tc>
      </w:tr>
      <w:tr w:rsidR="00520F36" w:rsidRPr="0092392D" w14:paraId="5F349A74" w14:textId="77777777">
        <w:trPr>
          <w:cantSplit/>
          <w:trHeight w:val="20"/>
        </w:trPr>
        <w:tc>
          <w:tcPr>
            <w:tcW w:w="6912" w:type="dxa"/>
            <w:vMerge/>
          </w:tcPr>
          <w:p w14:paraId="2600AA27" w14:textId="77777777" w:rsidR="00520F36" w:rsidRPr="0092392D" w:rsidRDefault="00520F36" w:rsidP="00DF74DD">
            <w:pPr>
              <w:shd w:val="solid" w:color="FFFFFF" w:fill="FFFFFF"/>
              <w:spacing w:before="180"/>
              <w:rPr>
                <w:smallCaps/>
                <w:lang w:val="fr-CH"/>
              </w:rPr>
            </w:pPr>
            <w:bookmarkStart w:id="3" w:name="ddate" w:colFirst="1" w:colLast="1"/>
            <w:bookmarkEnd w:id="1"/>
            <w:bookmarkEnd w:id="2"/>
          </w:p>
        </w:tc>
        <w:tc>
          <w:tcPr>
            <w:tcW w:w="3261" w:type="dxa"/>
          </w:tcPr>
          <w:p w14:paraId="028C6613" w14:textId="16FFD919" w:rsidR="00520F36" w:rsidRPr="00520F36" w:rsidRDefault="00EC543B" w:rsidP="00B84194">
            <w:pPr>
              <w:spacing w:before="0"/>
              <w:rPr>
                <w:b/>
                <w:bCs/>
              </w:rPr>
            </w:pPr>
            <w:r>
              <w:rPr>
                <w:b/>
                <w:bCs/>
              </w:rPr>
              <w:t>15 janvier</w:t>
            </w:r>
            <w:r w:rsidR="00520F36">
              <w:rPr>
                <w:b/>
                <w:bCs/>
              </w:rPr>
              <w:t xml:space="preserve"> 20</w:t>
            </w:r>
            <w:r w:rsidR="00D06D06">
              <w:rPr>
                <w:b/>
                <w:bCs/>
              </w:rPr>
              <w:t>2</w:t>
            </w:r>
            <w:r>
              <w:rPr>
                <w:b/>
                <w:bCs/>
              </w:rPr>
              <w:t>1</w:t>
            </w:r>
          </w:p>
        </w:tc>
      </w:tr>
      <w:tr w:rsidR="00520F36" w:rsidRPr="0092392D" w14:paraId="1B81D000" w14:textId="77777777">
        <w:trPr>
          <w:cantSplit/>
          <w:trHeight w:val="20"/>
        </w:trPr>
        <w:tc>
          <w:tcPr>
            <w:tcW w:w="6912" w:type="dxa"/>
            <w:vMerge/>
          </w:tcPr>
          <w:p w14:paraId="00162CCA" w14:textId="77777777" w:rsidR="00520F36" w:rsidRPr="0092392D" w:rsidRDefault="00520F36" w:rsidP="00DF74DD">
            <w:pPr>
              <w:shd w:val="solid" w:color="FFFFFF" w:fill="FFFFFF"/>
              <w:spacing w:before="180"/>
              <w:rPr>
                <w:smallCaps/>
                <w:lang w:val="fr-CH"/>
              </w:rPr>
            </w:pPr>
            <w:bookmarkStart w:id="4" w:name="dorlang" w:colFirst="1" w:colLast="1"/>
            <w:bookmarkEnd w:id="3"/>
          </w:p>
        </w:tc>
        <w:tc>
          <w:tcPr>
            <w:tcW w:w="3261" w:type="dxa"/>
          </w:tcPr>
          <w:p w14:paraId="6DC0E0ED" w14:textId="77777777" w:rsidR="00520F36" w:rsidRPr="00520F36" w:rsidRDefault="00520F36" w:rsidP="00520F36">
            <w:pPr>
              <w:spacing w:before="0"/>
              <w:rPr>
                <w:b/>
                <w:bCs/>
              </w:rPr>
            </w:pPr>
            <w:r>
              <w:rPr>
                <w:b/>
                <w:bCs/>
              </w:rPr>
              <w:t>Original: anglais</w:t>
            </w:r>
          </w:p>
        </w:tc>
      </w:tr>
      <w:tr w:rsidR="00EC543B" w:rsidRPr="0092392D" w14:paraId="7057762A" w14:textId="77777777">
        <w:trPr>
          <w:cantSplit/>
        </w:trPr>
        <w:tc>
          <w:tcPr>
            <w:tcW w:w="10173" w:type="dxa"/>
            <w:gridSpan w:val="2"/>
          </w:tcPr>
          <w:p w14:paraId="5E15407A" w14:textId="7E6CC48F" w:rsidR="00EC543B" w:rsidRPr="0092392D" w:rsidRDefault="00EC543B" w:rsidP="00EC543B">
            <w:pPr>
              <w:pStyle w:val="Source"/>
            </w:pPr>
            <w:bookmarkStart w:id="5" w:name="dsource" w:colFirst="0" w:colLast="0"/>
            <w:bookmarkEnd w:id="4"/>
            <w:r w:rsidRPr="00D0636B">
              <w:t>Royaume-Uni de Grande-Bretagne et d'Irlande du Nord</w:t>
            </w:r>
          </w:p>
        </w:tc>
      </w:tr>
      <w:tr w:rsidR="00EC543B" w:rsidRPr="0092392D" w14:paraId="1AF054F3" w14:textId="77777777">
        <w:trPr>
          <w:cantSplit/>
        </w:trPr>
        <w:tc>
          <w:tcPr>
            <w:tcW w:w="10173" w:type="dxa"/>
            <w:gridSpan w:val="2"/>
          </w:tcPr>
          <w:p w14:paraId="665D0E09" w14:textId="2DBD950A" w:rsidR="00EC543B" w:rsidRPr="0092392D" w:rsidRDefault="00EC543B" w:rsidP="00EC543B">
            <w:pPr>
              <w:pStyle w:val="Title1"/>
            </w:pPr>
            <w:bookmarkStart w:id="6" w:name="dtitle1" w:colFirst="0" w:colLast="0"/>
            <w:bookmarkEnd w:id="5"/>
            <w:r w:rsidRPr="00D0636B">
              <w:rPr>
                <w:lang w:val="fr-CH"/>
              </w:rPr>
              <w:t>examen de chacune des dispositions du RTI</w:t>
            </w:r>
          </w:p>
        </w:tc>
      </w:tr>
    </w:tbl>
    <w:p w14:paraId="1C6645A2" w14:textId="7662DE74" w:rsidR="00EC543B" w:rsidRDefault="00EC543B" w:rsidP="00CD3060">
      <w:pPr>
        <w:spacing w:before="480"/>
        <w:rPr>
          <w:lang w:val="fr-CH"/>
        </w:rPr>
      </w:pPr>
      <w:bookmarkStart w:id="7" w:name="lt_pId018"/>
      <w:bookmarkEnd w:id="6"/>
      <w:r w:rsidRPr="00D0636B">
        <w:t xml:space="preserve">Le Royaume-Uni </w:t>
      </w:r>
      <w:r>
        <w:t>a</w:t>
      </w:r>
      <w:r w:rsidRPr="00D0636B">
        <w:t xml:space="preserve"> l'honneur de soumettre la présente contribution à la </w:t>
      </w:r>
      <w:r w:rsidR="003866A7">
        <w:t>quatrième</w:t>
      </w:r>
      <w:r w:rsidRPr="00D0636B">
        <w:t xml:space="preserve"> réunion du Groupe d'experts sur le RTI.</w:t>
      </w:r>
      <w:bookmarkEnd w:id="7"/>
      <w:r w:rsidRPr="00D0636B">
        <w:t xml:space="preserve"> Nous nous félicitons de l'invitation qui nous est faite de soumettre des contributions pour appuyer l'examen de chacune des dispositions du </w:t>
      </w:r>
      <w:bookmarkStart w:id="8" w:name="lt_pId019"/>
      <w:r w:rsidRPr="00D0636B">
        <w:t xml:space="preserve">RTI, conformément au mandat du Groupe. La présente contribution porte sur les </w:t>
      </w:r>
      <w:r>
        <w:t xml:space="preserve">Articles </w:t>
      </w:r>
      <w:r w:rsidR="003866A7">
        <w:t>9</w:t>
      </w:r>
      <w:r>
        <w:t xml:space="preserve"> à </w:t>
      </w:r>
      <w:r w:rsidR="003866A7">
        <w:t>14</w:t>
      </w:r>
      <w:r w:rsidRPr="00D0636B">
        <w:t xml:space="preserve"> du</w:t>
      </w:r>
      <w:bookmarkEnd w:id="8"/>
      <w:r w:rsidRPr="00D0636B">
        <w:t xml:space="preserve"> </w:t>
      </w:r>
      <w:bookmarkStart w:id="9" w:name="lt_pId020"/>
      <w:r w:rsidRPr="00D0636B">
        <w:rPr>
          <w:lang w:val="fr-CH"/>
        </w:rPr>
        <w:t>RTI</w:t>
      </w:r>
      <w:r>
        <w:rPr>
          <w:lang w:val="fr-CH"/>
        </w:rPr>
        <w:t xml:space="preserve"> mais ne traite pas de l'Appendice </w:t>
      </w:r>
      <w:r w:rsidR="003866A7">
        <w:rPr>
          <w:lang w:val="fr-CH"/>
        </w:rPr>
        <w:t>2</w:t>
      </w:r>
      <w:r>
        <w:rPr>
          <w:lang w:val="fr-CH"/>
        </w:rPr>
        <w:t xml:space="preserve"> afin d'éviter les répétitions, notre position concernant l'Appendice </w:t>
      </w:r>
      <w:r w:rsidR="003866A7">
        <w:rPr>
          <w:lang w:val="fr-CH"/>
        </w:rPr>
        <w:t>2</w:t>
      </w:r>
      <w:r>
        <w:rPr>
          <w:lang w:val="fr-CH"/>
        </w:rPr>
        <w:t xml:space="preserve"> étant déjà présentée dans l'analyse des dispositions du RTI.</w:t>
      </w:r>
      <w:bookmarkEnd w:id="9"/>
      <w:r w:rsidRPr="00D0636B">
        <w:rPr>
          <w:lang w:val="fr-CH"/>
        </w:rPr>
        <w:t xml:space="preserve"> </w:t>
      </w:r>
      <w:bookmarkStart w:id="10" w:name="lt_pId021"/>
      <w:r w:rsidRPr="00D0636B">
        <w:rPr>
          <w:lang w:val="fr-CH"/>
        </w:rPr>
        <w:t xml:space="preserve">Nous attendons avec intérêt les </w:t>
      </w:r>
      <w:r w:rsidR="00AF1915">
        <w:rPr>
          <w:lang w:val="fr-CH"/>
        </w:rPr>
        <w:t>discussions relatives au Tableau d'examen de ces dispositions à</w:t>
      </w:r>
      <w:r w:rsidRPr="00D0636B">
        <w:rPr>
          <w:lang w:val="fr-CH"/>
        </w:rPr>
        <w:t xml:space="preserve"> la </w:t>
      </w:r>
      <w:r w:rsidR="00AF1915">
        <w:rPr>
          <w:lang w:val="fr-CH"/>
        </w:rPr>
        <w:t>quatrième</w:t>
      </w:r>
      <w:r w:rsidRPr="00D0636B">
        <w:rPr>
          <w:lang w:val="fr-CH"/>
        </w:rPr>
        <w:t xml:space="preserve"> réunion du Groupe d'experts</w:t>
      </w:r>
      <w:bookmarkEnd w:id="10"/>
      <w:r w:rsidRPr="00D0636B">
        <w:rPr>
          <w:lang w:val="fr-CH"/>
        </w:rPr>
        <w:t>.</w:t>
      </w:r>
    </w:p>
    <w:p w14:paraId="49FD0D23" w14:textId="77777777" w:rsidR="00CD3060" w:rsidRDefault="00CD3060" w:rsidP="00CD3060">
      <w:pPr>
        <w:spacing w:before="480"/>
      </w:pPr>
    </w:p>
    <w:p w14:paraId="3B014880" w14:textId="77777777" w:rsidR="00EC543B" w:rsidRDefault="00EC543B" w:rsidP="0018694A"/>
    <w:p w14:paraId="22B17620" w14:textId="09B334E7" w:rsidR="004D5C85" w:rsidRDefault="004D5C85" w:rsidP="0018694A">
      <w:pPr>
        <w:sectPr w:rsidR="004D5C85" w:rsidSect="005C3890">
          <w:headerReference w:type="even" r:id="rId7"/>
          <w:headerReference w:type="default" r:id="rId8"/>
          <w:footerReference w:type="even" r:id="rId9"/>
          <w:footerReference w:type="default" r:id="rId10"/>
          <w:footerReference w:type="first" r:id="rId11"/>
          <w:pgSz w:w="11907" w:h="16840" w:code="9"/>
          <w:pgMar w:top="1418" w:right="1134" w:bottom="1418" w:left="1134" w:header="720" w:footer="720" w:gutter="0"/>
          <w:paperSrc w:first="261" w:other="261"/>
          <w:cols w:space="720"/>
          <w:titlePg/>
        </w:sectPr>
      </w:pPr>
    </w:p>
    <w:tbl>
      <w:tblPr>
        <w:tblW w:w="15889" w:type="dxa"/>
        <w:tblInd w:w="-861" w:type="dxa"/>
        <w:tblBorders>
          <w:top w:val="nil"/>
          <w:left w:val="nil"/>
          <w:bottom w:val="nil"/>
          <w:right w:val="nil"/>
          <w:insideH w:val="nil"/>
          <w:insideV w:val="nil"/>
        </w:tblBorders>
        <w:tblLayout w:type="fixed"/>
        <w:tblLook w:val="0600" w:firstRow="0" w:lastRow="0" w:firstColumn="0" w:lastColumn="0" w:noHBand="1" w:noVBand="1"/>
      </w:tblPr>
      <w:tblGrid>
        <w:gridCol w:w="983"/>
        <w:gridCol w:w="3969"/>
        <w:gridCol w:w="3543"/>
        <w:gridCol w:w="3261"/>
        <w:gridCol w:w="2976"/>
        <w:gridCol w:w="1157"/>
      </w:tblGrid>
      <w:tr w:rsidR="008648BB" w:rsidRPr="00B74BBD" w14:paraId="0DD11B52" w14:textId="77777777" w:rsidTr="004D5C85">
        <w:trPr>
          <w:trHeight w:val="960"/>
          <w:tblHeader/>
        </w:trPr>
        <w:tc>
          <w:tcPr>
            <w:tcW w:w="983"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tcPr>
          <w:p w14:paraId="22E924B6" w14:textId="77777777" w:rsidR="008648BB" w:rsidRPr="00B74BBD" w:rsidRDefault="008648BB" w:rsidP="004D5C85">
            <w:pPr>
              <w:pStyle w:val="Tablehead"/>
            </w:pPr>
            <w:r w:rsidRPr="00B74BBD">
              <w:rPr>
                <w:lang w:val="fr-CH"/>
              </w:rPr>
              <w:lastRenderedPageBreak/>
              <w:t>Article de la version de 2012</w:t>
            </w:r>
          </w:p>
        </w:tc>
        <w:tc>
          <w:tcPr>
            <w:tcW w:w="3969"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653225F1" w14:textId="77777777" w:rsidR="008648BB" w:rsidRPr="00B74BBD" w:rsidRDefault="008648BB" w:rsidP="004D5C85">
            <w:pPr>
              <w:pStyle w:val="Tablehead"/>
            </w:pPr>
            <w:bookmarkStart w:id="11" w:name="lt_pId258"/>
            <w:r w:rsidRPr="00B74BBD">
              <w:rPr>
                <w:lang w:val="fr-CH"/>
              </w:rPr>
              <w:t>Paragraphe et disposition</w:t>
            </w:r>
            <w:bookmarkEnd w:id="11"/>
          </w:p>
        </w:tc>
        <w:tc>
          <w:tcPr>
            <w:tcW w:w="3543"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4FE687DC" w14:textId="75996683" w:rsidR="008648BB" w:rsidRPr="00B74BBD" w:rsidRDefault="008648BB" w:rsidP="004D5C85">
            <w:pPr>
              <w:pStyle w:val="Tablehead"/>
              <w:rPr>
                <w:lang w:val="fr-CH"/>
              </w:rPr>
            </w:pPr>
            <w:r w:rsidRPr="00B74BBD">
              <w:rPr>
                <w:lang w:val="fr-CH"/>
              </w:rPr>
              <w:t xml:space="preserve">Paragraphe et disposition correspondants dans </w:t>
            </w:r>
            <w:r w:rsidR="004D5C85">
              <w:rPr>
                <w:lang w:val="fr-CH"/>
              </w:rPr>
              <w:br/>
            </w:r>
            <w:r w:rsidRPr="00B74BBD">
              <w:rPr>
                <w:lang w:val="fr-CH"/>
              </w:rPr>
              <w:t>la version de </w:t>
            </w:r>
            <w:hyperlink r:id="rId12" w:history="1">
              <w:r w:rsidRPr="004D5C85">
                <w:rPr>
                  <w:rStyle w:val="Hyperlink"/>
                  <w:lang w:val="fr-CH"/>
                </w:rPr>
                <w:t>1988</w:t>
              </w:r>
            </w:hyperlink>
          </w:p>
        </w:tc>
        <w:tc>
          <w:tcPr>
            <w:tcW w:w="3261"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59F6DFAF" w14:textId="77777777" w:rsidR="008648BB" w:rsidRPr="00B74BBD" w:rsidRDefault="008648BB" w:rsidP="004D5C85">
            <w:pPr>
              <w:pStyle w:val="Tablehead"/>
              <w:rPr>
                <w:lang w:val="fr-CH"/>
              </w:rPr>
            </w:pPr>
            <w:r w:rsidRPr="00B74BBD">
              <w:rPr>
                <w:lang w:val="fr-CH"/>
              </w:rPr>
              <w:t xml:space="preserve">Applicabilité pour ce qui est de favoriser la fourniture et le développement des réseaux </w:t>
            </w:r>
            <w:r w:rsidRPr="00B74BBD">
              <w:rPr>
                <w:lang w:val="fr-CH"/>
              </w:rPr>
              <w:br/>
              <w:t>et des services</w:t>
            </w:r>
          </w:p>
        </w:tc>
        <w:tc>
          <w:tcPr>
            <w:tcW w:w="2976"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6EF01177" w14:textId="77777777" w:rsidR="008648BB" w:rsidRPr="00B74BBD" w:rsidRDefault="008648BB" w:rsidP="004D5C85">
            <w:pPr>
              <w:pStyle w:val="Tablehead"/>
              <w:rPr>
                <w:lang w:val="fr-CH"/>
              </w:rPr>
            </w:pPr>
            <w:r w:rsidRPr="00B74BBD">
              <w:rPr>
                <w:lang w:val="fr-CH"/>
              </w:rPr>
              <w:t xml:space="preserve">Souplesse pour tenir compte des nouvelles tendances et des nouveaux problèmes </w:t>
            </w:r>
            <w:r w:rsidRPr="00B74BBD">
              <w:rPr>
                <w:lang w:val="fr-CH"/>
              </w:rPr>
              <w:br/>
              <w:t>qui se font jour</w:t>
            </w:r>
          </w:p>
        </w:tc>
        <w:tc>
          <w:tcPr>
            <w:tcW w:w="1157"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0ADAFAB8" w14:textId="77777777" w:rsidR="008648BB" w:rsidRPr="00B74BBD" w:rsidRDefault="008648BB" w:rsidP="004D5C85">
            <w:pPr>
              <w:pStyle w:val="Tablehead"/>
              <w:rPr>
                <w:lang w:val="en-US"/>
              </w:rPr>
            </w:pPr>
            <w:r w:rsidRPr="00B74BBD">
              <w:rPr>
                <w:lang w:val="fr-CH"/>
              </w:rPr>
              <w:t>Résumé des résultats</w:t>
            </w:r>
          </w:p>
        </w:tc>
      </w:tr>
      <w:tr w:rsidR="008648BB" w:rsidRPr="003866A7" w14:paraId="18A2FBB1" w14:textId="77777777" w:rsidTr="004D5C85">
        <w:trPr>
          <w:cantSplit/>
          <w:trHeight w:val="89"/>
        </w:trPr>
        <w:tc>
          <w:tcPr>
            <w:tcW w:w="98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2A11CE4A" w14:textId="77777777" w:rsidR="008648BB" w:rsidRPr="003866A7" w:rsidRDefault="008648BB" w:rsidP="004D5C85">
            <w:pPr>
              <w:pStyle w:val="Tabletext"/>
              <w:jc w:val="center"/>
              <w:rPr>
                <w:b/>
                <w:bCs/>
              </w:rPr>
            </w:pPr>
          </w:p>
        </w:tc>
        <w:tc>
          <w:tcPr>
            <w:tcW w:w="3969"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0823BAE3" w14:textId="3DBBAECF" w:rsidR="008648BB" w:rsidRPr="003866A7" w:rsidRDefault="002D0770" w:rsidP="004D5C85">
            <w:pPr>
              <w:pStyle w:val="Tabletext"/>
              <w:rPr>
                <w:b/>
                <w:bCs/>
                <w:lang w:val="fr-CH"/>
              </w:rPr>
            </w:pPr>
            <w:r w:rsidRPr="003866A7">
              <w:rPr>
                <w:b/>
                <w:bCs/>
                <w:lang w:val="fr-CH"/>
              </w:rPr>
              <w:t>Suspension des services</w:t>
            </w:r>
          </w:p>
        </w:tc>
        <w:tc>
          <w:tcPr>
            <w:tcW w:w="3543"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7533CE66" w14:textId="45BEAA51" w:rsidR="008648BB" w:rsidRPr="003866A7" w:rsidRDefault="006532F3" w:rsidP="004D5C85">
            <w:pPr>
              <w:pStyle w:val="Tabletext"/>
              <w:rPr>
                <w:b/>
                <w:bCs/>
                <w:lang w:val="fr-CH"/>
              </w:rPr>
            </w:pPr>
            <w:r w:rsidRPr="003866A7">
              <w:rPr>
                <w:b/>
                <w:bCs/>
                <w:lang w:val="fr-CH"/>
              </w:rPr>
              <w:t>Article 7: Suspension des services</w:t>
            </w:r>
          </w:p>
        </w:tc>
        <w:tc>
          <w:tcPr>
            <w:tcW w:w="3261"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5F82252D" w14:textId="77777777" w:rsidR="008648BB" w:rsidRPr="003866A7" w:rsidRDefault="008648BB" w:rsidP="004D5C85">
            <w:pPr>
              <w:pStyle w:val="Tabletext"/>
              <w:rPr>
                <w:b/>
                <w:bCs/>
                <w:lang w:val="fr-CH"/>
              </w:rPr>
            </w:pPr>
          </w:p>
        </w:tc>
        <w:tc>
          <w:tcPr>
            <w:tcW w:w="2976"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1ED90E95" w14:textId="77777777" w:rsidR="008648BB" w:rsidRPr="003866A7" w:rsidRDefault="008648BB" w:rsidP="004D5C85">
            <w:pPr>
              <w:pStyle w:val="Tabletext"/>
              <w:rPr>
                <w:b/>
                <w:bCs/>
                <w:lang w:val="fr-CH"/>
              </w:rPr>
            </w:pPr>
          </w:p>
        </w:tc>
        <w:tc>
          <w:tcPr>
            <w:tcW w:w="1157"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08113ECD" w14:textId="77777777" w:rsidR="008648BB" w:rsidRPr="003866A7" w:rsidRDefault="008648BB" w:rsidP="004D5C85">
            <w:pPr>
              <w:pStyle w:val="Tabletext"/>
              <w:rPr>
                <w:b/>
                <w:bCs/>
                <w:lang w:val="fr-CH"/>
              </w:rPr>
            </w:pPr>
          </w:p>
        </w:tc>
      </w:tr>
      <w:tr w:rsidR="008648BB" w:rsidRPr="00B74BBD" w14:paraId="21A59622" w14:textId="77777777" w:rsidTr="004D5C85">
        <w:trPr>
          <w:cantSplit/>
          <w:trHeight w:val="1320"/>
        </w:trPr>
        <w:tc>
          <w:tcPr>
            <w:tcW w:w="98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3F9E7823" w14:textId="52DC997B" w:rsidR="008648BB" w:rsidRPr="00B74BBD" w:rsidRDefault="002D0770" w:rsidP="004D5C85">
            <w:pPr>
              <w:pStyle w:val="Tabletext"/>
              <w:jc w:val="center"/>
            </w:pPr>
            <w:r>
              <w:t>9.1</w:t>
            </w:r>
          </w:p>
        </w:tc>
        <w:tc>
          <w:tcPr>
            <w:tcW w:w="3969"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3D73B174" w14:textId="6246F527" w:rsidR="008648BB" w:rsidRPr="00D755A8" w:rsidRDefault="002D0770" w:rsidP="004D5C85">
            <w:pPr>
              <w:pStyle w:val="Tabletext"/>
              <w:rPr>
                <w:lang w:val="fr-CH"/>
              </w:rPr>
            </w:pPr>
            <w:r w:rsidRPr="002D0770">
              <w:rPr>
                <w:lang w:val="fr-CH"/>
              </w:rPr>
              <w:t xml:space="preserve">Si un </w:t>
            </w:r>
            <w:r w:rsidR="003866A7" w:rsidRPr="002D0770">
              <w:rPr>
                <w:lang w:val="fr-CH"/>
              </w:rPr>
              <w:t>État</w:t>
            </w:r>
            <w:r w:rsidRPr="002D0770">
              <w:rPr>
                <w:lang w:val="fr-CH"/>
              </w:rPr>
              <w:t xml:space="preserve"> Membre exerce son droit conformément à la Constitution et à la Convention de suspendre les services internationaux de télécommunication partiellement ou totalement, il notifie immédiatement la suspension et le retour ultérieur aux conditions normales au Secrétaire général par les moyens de communication les plus appropriés.</w:t>
            </w:r>
          </w:p>
        </w:tc>
        <w:tc>
          <w:tcPr>
            <w:tcW w:w="3543"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1A6B87B5" w14:textId="1BB1903B" w:rsidR="008648BB" w:rsidRPr="00B74BBD" w:rsidRDefault="006532F3" w:rsidP="004D5C85">
            <w:pPr>
              <w:pStyle w:val="Tabletext"/>
              <w:rPr>
                <w:lang w:val="fr-CH"/>
              </w:rPr>
            </w:pPr>
            <w:r w:rsidRPr="006532F3">
              <w:rPr>
                <w:lang w:val="fr-CH"/>
              </w:rPr>
              <w:t>7.1</w:t>
            </w:r>
            <w:r w:rsidRPr="006532F3">
              <w:rPr>
                <w:lang w:val="fr-CH"/>
              </w:rPr>
              <w:tab/>
              <w:t>Si un Membre exerce son droit conformément à la Convention de suspendre les services internationaux de télécommunication partiellement ou totalement, il notifie immédiatement la suspension et le retour subséquent aux conditions normales au Secrétaire général par les moyens de communication les plus appropriés.</w:t>
            </w:r>
          </w:p>
        </w:tc>
        <w:tc>
          <w:tcPr>
            <w:tcW w:w="3261"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6B4E6893" w14:textId="7F9EA5B4" w:rsidR="00C5766F" w:rsidRDefault="00C5766F" w:rsidP="004D5C85">
            <w:pPr>
              <w:pStyle w:val="Tabletext"/>
              <w:rPr>
                <w:lang w:val="fr-CH"/>
              </w:rPr>
            </w:pPr>
            <w:r>
              <w:rPr>
                <w:lang w:val="fr-CH"/>
              </w:rPr>
              <w:t>Cette obligation de notifier la suspension des services internationaux de télécomm</w:t>
            </w:r>
            <w:r w:rsidR="00CD3060">
              <w:rPr>
                <w:lang w:val="fr-CH"/>
              </w:rPr>
              <w:t>unication au Secrétaire général</w:t>
            </w:r>
            <w:r>
              <w:rPr>
                <w:lang w:val="fr-CH"/>
              </w:rPr>
              <w:t xml:space="preserve"> de l'UIT n'amène aucun bénéfice pour ce qui est de favoriser la fourniture et le développement des réseaux et des services.</w:t>
            </w:r>
          </w:p>
          <w:p w14:paraId="5B890E16" w14:textId="57204625" w:rsidR="00CE39FB" w:rsidRPr="00CE39FB" w:rsidRDefault="00C5766F" w:rsidP="004D5C85">
            <w:pPr>
              <w:pStyle w:val="Tabletext"/>
              <w:rPr>
                <w:lang w:val="fr-CH"/>
              </w:rPr>
            </w:pPr>
            <w:r>
              <w:rPr>
                <w:lang w:val="fr-CH"/>
              </w:rPr>
              <w:t>Ce que l'on entend par "suspendre</w:t>
            </w:r>
            <w:r w:rsidRPr="002D0770">
              <w:rPr>
                <w:lang w:val="fr-CH"/>
              </w:rPr>
              <w:t xml:space="preserve"> les services internationaux de télécommunication partiellement ou totalement</w:t>
            </w:r>
            <w:r>
              <w:rPr>
                <w:lang w:val="fr-CH"/>
              </w:rPr>
              <w:t>" n'est pas défini de manière adéquate dans ce traité.</w:t>
            </w:r>
          </w:p>
          <w:p w14:paraId="501AAD0E" w14:textId="0E238A99" w:rsidR="008648BB" w:rsidRPr="00B74BBD" w:rsidRDefault="00C5766F" w:rsidP="004D5C85">
            <w:pPr>
              <w:pStyle w:val="Tabletext"/>
              <w:rPr>
                <w:lang w:val="fr-CH"/>
              </w:rPr>
            </w:pPr>
            <w:r>
              <w:rPr>
                <w:lang w:val="fr-CH"/>
              </w:rPr>
              <w:t>Cette disposition pourrait être vue comme légitimant</w:t>
            </w:r>
            <w:r w:rsidR="00BC46EC">
              <w:rPr>
                <w:lang w:val="fr-CH"/>
              </w:rPr>
              <w:t xml:space="preserve"> ou normalisant la possibilité pour les États Membres de prendre cette mesure extrême que constitue la suspension des services internationaux de télécommunication.</w:t>
            </w:r>
          </w:p>
        </w:tc>
        <w:tc>
          <w:tcPr>
            <w:tcW w:w="2976"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2A6DD358" w14:textId="1E65204B" w:rsidR="008648BB" w:rsidRPr="00B74BBD" w:rsidRDefault="00225431" w:rsidP="004D5C85">
            <w:pPr>
              <w:pStyle w:val="Tabletext"/>
              <w:rPr>
                <w:lang w:val="fr-CH"/>
              </w:rPr>
            </w:pPr>
            <w:r>
              <w:rPr>
                <w:lang w:val="fr-CH"/>
              </w:rPr>
              <w:t>Cette obligation de notifier la suspension des services internationaux de télécomm</w:t>
            </w:r>
            <w:r w:rsidR="00CD3060">
              <w:rPr>
                <w:lang w:val="fr-CH"/>
              </w:rPr>
              <w:t>unication au Secrétaire général</w:t>
            </w:r>
            <w:r>
              <w:rPr>
                <w:lang w:val="fr-CH"/>
              </w:rPr>
              <w:t xml:space="preserve"> de l'UIT n'amène aucun bénéfice et, par conséquent, n'offre aucune souplesse pour tenir compte des nouvelles tendances.</w:t>
            </w:r>
          </w:p>
        </w:tc>
        <w:tc>
          <w:tcPr>
            <w:tcW w:w="1157"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5251A7F7" w14:textId="77777777" w:rsidR="008648BB" w:rsidRPr="00B74BBD" w:rsidRDefault="008648BB" w:rsidP="004D5C85">
            <w:pPr>
              <w:pStyle w:val="Tabletext"/>
              <w:rPr>
                <w:lang w:val="fr-CH"/>
              </w:rPr>
            </w:pPr>
          </w:p>
        </w:tc>
      </w:tr>
      <w:tr w:rsidR="008648BB" w:rsidRPr="00B74BBD" w14:paraId="050208F3" w14:textId="77777777" w:rsidTr="004D5C85">
        <w:trPr>
          <w:cantSplit/>
          <w:trHeight w:val="1320"/>
        </w:trPr>
        <w:tc>
          <w:tcPr>
            <w:tcW w:w="98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64D345CD" w14:textId="7A05E54D" w:rsidR="008648BB" w:rsidRPr="00B74BBD" w:rsidRDefault="002D0770" w:rsidP="004D5C85">
            <w:pPr>
              <w:pStyle w:val="Tabletext"/>
              <w:jc w:val="center"/>
            </w:pPr>
            <w:r>
              <w:lastRenderedPageBreak/>
              <w:t>9.2</w:t>
            </w:r>
          </w:p>
        </w:tc>
        <w:tc>
          <w:tcPr>
            <w:tcW w:w="3969"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1829A437" w14:textId="43B0D806" w:rsidR="008648BB" w:rsidRPr="00D755A8" w:rsidRDefault="002D0770" w:rsidP="004D5C85">
            <w:pPr>
              <w:pStyle w:val="Tabletext"/>
              <w:rPr>
                <w:lang w:val="fr-CH"/>
              </w:rPr>
            </w:pPr>
            <w:r w:rsidRPr="002D0770">
              <w:rPr>
                <w:lang w:val="fr-CH"/>
              </w:rPr>
              <w:t xml:space="preserve">Le Secrétaire général communique immédiatement cette information à tous les autres </w:t>
            </w:r>
            <w:r w:rsidR="004D5C85" w:rsidRPr="002D0770">
              <w:rPr>
                <w:lang w:val="fr-CH"/>
              </w:rPr>
              <w:t>États</w:t>
            </w:r>
            <w:r w:rsidRPr="002D0770">
              <w:rPr>
                <w:lang w:val="fr-CH"/>
              </w:rPr>
              <w:t xml:space="preserve"> Membres en utilisant les moyens de communication les plus appropriés.</w:t>
            </w:r>
          </w:p>
        </w:tc>
        <w:tc>
          <w:tcPr>
            <w:tcW w:w="3543"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108D8430" w14:textId="5C3135D0" w:rsidR="008648BB" w:rsidRPr="00B74BBD" w:rsidRDefault="006532F3" w:rsidP="004D5C85">
            <w:pPr>
              <w:pStyle w:val="Tabletext"/>
              <w:rPr>
                <w:lang w:val="fr-CH"/>
              </w:rPr>
            </w:pPr>
            <w:r w:rsidRPr="006532F3">
              <w:rPr>
                <w:lang w:val="fr-CH"/>
              </w:rPr>
              <w:t>7.2</w:t>
            </w:r>
            <w:r w:rsidRPr="006532F3">
              <w:rPr>
                <w:lang w:val="fr-CH"/>
              </w:rPr>
              <w:tab/>
              <w:t>Le Secrétaire général communique immédiatement cette information à tous les autres Membres en utilisant les moyens de communication les plus appropriés.</w:t>
            </w:r>
          </w:p>
        </w:tc>
        <w:tc>
          <w:tcPr>
            <w:tcW w:w="3261"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249070E2" w14:textId="4469C80A" w:rsidR="00CE39FB" w:rsidRDefault="00225431" w:rsidP="004D5C85">
            <w:pPr>
              <w:pStyle w:val="Tabletext"/>
              <w:rPr>
                <w:lang w:val="fr-CH"/>
              </w:rPr>
            </w:pPr>
            <w:r>
              <w:rPr>
                <w:lang w:val="fr-CH"/>
              </w:rPr>
              <w:t>Cette obligation incombant au Secrétaire général de communiquer l'information que des services internationaux de télécommunication ont été suspendus à tous les autres États Membres n'amène aucun bénéfice pour ce qui est de favoriser la fourniture et le développement des réseaux et des services.</w:t>
            </w:r>
            <w:r w:rsidR="00CE39FB" w:rsidRPr="00CE39FB">
              <w:rPr>
                <w:lang w:val="fr-CH"/>
              </w:rPr>
              <w:t xml:space="preserve"> </w:t>
            </w:r>
          </w:p>
          <w:p w14:paraId="2014CD60" w14:textId="168C2D0D" w:rsidR="008648BB" w:rsidRPr="00B74BBD" w:rsidRDefault="00225431" w:rsidP="004D5C85">
            <w:pPr>
              <w:pStyle w:val="Tabletext"/>
              <w:rPr>
                <w:lang w:val="fr-CH"/>
              </w:rPr>
            </w:pPr>
            <w:r>
              <w:rPr>
                <w:lang w:val="fr-CH"/>
              </w:rPr>
              <w:t>Cette disposition pourrait être vue comme légitimant ou normalisant la possibilité pour les États Membres de prendre cette mesure extrême que constitue la suspension des services internationaux de télécommunication.</w:t>
            </w:r>
          </w:p>
        </w:tc>
        <w:tc>
          <w:tcPr>
            <w:tcW w:w="2976"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5917AE98" w14:textId="7552831F" w:rsidR="008648BB" w:rsidRPr="00B74BBD" w:rsidRDefault="00225431" w:rsidP="004D5C85">
            <w:pPr>
              <w:pStyle w:val="Tabletext"/>
              <w:rPr>
                <w:lang w:val="fr-CH"/>
              </w:rPr>
            </w:pPr>
            <w:r>
              <w:rPr>
                <w:lang w:val="fr-CH"/>
              </w:rPr>
              <w:t>Cette obligation de notifier la suspension des services internationaux de télécomm</w:t>
            </w:r>
            <w:r w:rsidR="00CD3060">
              <w:rPr>
                <w:lang w:val="fr-CH"/>
              </w:rPr>
              <w:t>unication au Secrétaire général</w:t>
            </w:r>
            <w:r>
              <w:rPr>
                <w:lang w:val="fr-CH"/>
              </w:rPr>
              <w:t xml:space="preserve"> de l'UIT n'amène aucun bénéfice et, par conséquent, n'offre aucune souplesse pour tenir compte des nouvelles tendances.</w:t>
            </w:r>
            <w:r w:rsidR="003866A7" w:rsidRPr="003866A7">
              <w:rPr>
                <w:lang w:val="fr-CH"/>
              </w:rPr>
              <w:t xml:space="preserve"> </w:t>
            </w:r>
          </w:p>
        </w:tc>
        <w:tc>
          <w:tcPr>
            <w:tcW w:w="1157"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7C91EB6F" w14:textId="77777777" w:rsidR="008648BB" w:rsidRPr="00B74BBD" w:rsidRDefault="008648BB" w:rsidP="004D5C85">
            <w:pPr>
              <w:pStyle w:val="Tabletext"/>
              <w:rPr>
                <w:lang w:val="fr-CH"/>
              </w:rPr>
            </w:pPr>
          </w:p>
        </w:tc>
      </w:tr>
      <w:tr w:rsidR="002D0770" w:rsidRPr="003866A7" w14:paraId="2CF4E1C0" w14:textId="77777777" w:rsidTr="004D5C85">
        <w:trPr>
          <w:cantSplit/>
          <w:trHeight w:val="281"/>
        </w:trPr>
        <w:tc>
          <w:tcPr>
            <w:tcW w:w="98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12FD570F" w14:textId="77777777" w:rsidR="002D0770" w:rsidRPr="003866A7" w:rsidRDefault="002D0770" w:rsidP="004D5C85">
            <w:pPr>
              <w:pStyle w:val="Tabletext"/>
              <w:keepNext/>
              <w:keepLines/>
              <w:jc w:val="center"/>
              <w:rPr>
                <w:b/>
                <w:bCs/>
              </w:rPr>
            </w:pPr>
          </w:p>
        </w:tc>
        <w:tc>
          <w:tcPr>
            <w:tcW w:w="3969"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1C01A348" w14:textId="132F9C98" w:rsidR="00E04BDC" w:rsidRPr="00E04BDC" w:rsidRDefault="002D0770" w:rsidP="00E04BDC">
            <w:pPr>
              <w:pStyle w:val="Tabletext"/>
              <w:keepNext/>
              <w:keepLines/>
              <w:rPr>
                <w:lang w:val="fr-CH"/>
              </w:rPr>
            </w:pPr>
            <w:r w:rsidRPr="003866A7">
              <w:rPr>
                <w:b/>
                <w:bCs/>
                <w:lang w:val="fr-CH"/>
              </w:rPr>
              <w:t>Diffusion d'informations</w:t>
            </w:r>
          </w:p>
        </w:tc>
        <w:tc>
          <w:tcPr>
            <w:tcW w:w="3543"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05E1C9EA" w14:textId="6BAFF0BF" w:rsidR="002D0770" w:rsidRPr="003866A7" w:rsidRDefault="006532F3" w:rsidP="004D5C85">
            <w:pPr>
              <w:pStyle w:val="Tabletext"/>
              <w:keepNext/>
              <w:keepLines/>
              <w:rPr>
                <w:b/>
                <w:bCs/>
                <w:lang w:val="fr-CH"/>
              </w:rPr>
            </w:pPr>
            <w:r w:rsidRPr="003866A7">
              <w:rPr>
                <w:b/>
                <w:bCs/>
                <w:lang w:val="fr-CH"/>
              </w:rPr>
              <w:t>Article 8: Diffusion d'informations</w:t>
            </w:r>
          </w:p>
        </w:tc>
        <w:tc>
          <w:tcPr>
            <w:tcW w:w="3261"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420BD7CC" w14:textId="77777777" w:rsidR="002D0770" w:rsidRPr="003866A7" w:rsidRDefault="002D0770" w:rsidP="004D5C85">
            <w:pPr>
              <w:pStyle w:val="Tabletext"/>
              <w:keepNext/>
              <w:keepLines/>
              <w:rPr>
                <w:b/>
                <w:bCs/>
                <w:lang w:val="fr-CH"/>
              </w:rPr>
            </w:pPr>
          </w:p>
        </w:tc>
        <w:tc>
          <w:tcPr>
            <w:tcW w:w="2976"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5B627304" w14:textId="77777777" w:rsidR="002D0770" w:rsidRPr="003866A7" w:rsidRDefault="002D0770" w:rsidP="004D5C85">
            <w:pPr>
              <w:pStyle w:val="Tabletext"/>
              <w:keepNext/>
              <w:keepLines/>
              <w:rPr>
                <w:b/>
                <w:bCs/>
                <w:lang w:val="fr-CH"/>
              </w:rPr>
            </w:pPr>
          </w:p>
        </w:tc>
        <w:tc>
          <w:tcPr>
            <w:tcW w:w="1157"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6AE34C59" w14:textId="77777777" w:rsidR="002D0770" w:rsidRPr="003866A7" w:rsidRDefault="002D0770" w:rsidP="004D5C85">
            <w:pPr>
              <w:pStyle w:val="Tabletext"/>
              <w:rPr>
                <w:b/>
                <w:bCs/>
                <w:lang w:val="fr-CH"/>
              </w:rPr>
            </w:pPr>
          </w:p>
        </w:tc>
      </w:tr>
      <w:tr w:rsidR="00CE39FB" w:rsidRPr="00B74BBD" w14:paraId="366AB0C8" w14:textId="77777777" w:rsidTr="004D5C85">
        <w:trPr>
          <w:cantSplit/>
          <w:trHeight w:val="281"/>
        </w:trPr>
        <w:tc>
          <w:tcPr>
            <w:tcW w:w="98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23C37A1F" w14:textId="795A255E" w:rsidR="00CE39FB" w:rsidRDefault="00CE39FB" w:rsidP="004D5C85">
            <w:pPr>
              <w:pStyle w:val="Tabletext"/>
              <w:keepNext/>
              <w:keepLines/>
              <w:jc w:val="center"/>
            </w:pPr>
            <w:r>
              <w:t>10.1</w:t>
            </w:r>
          </w:p>
        </w:tc>
        <w:tc>
          <w:tcPr>
            <w:tcW w:w="3969"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1D30CC88" w14:textId="5F0A55BE" w:rsidR="00E04BDC" w:rsidRPr="00E04BDC" w:rsidRDefault="00CE39FB" w:rsidP="00CD3060">
            <w:pPr>
              <w:pStyle w:val="Tabletext"/>
              <w:keepNext/>
              <w:keepLines/>
              <w:rPr>
                <w:lang w:val="fr-CH"/>
              </w:rPr>
            </w:pPr>
            <w:r w:rsidRPr="002D0770">
              <w:rPr>
                <w:lang w:val="fr-CH"/>
              </w:rPr>
              <w:t xml:space="preserve">En utilisant les moyens les mieux adaptés et les plus économiques, le Secrétaire général diffuse les informations à caractère administratif, opérationnel ou statistique fournies en ce qui concerne les services internationaux de télécommunication. Ces informations sont diffusées conformément aux dispositions pertinentes de la Constitution et de la Convention ainsi que du présent Article, sur la base des décisions prises par le Conseil ou par les conférences compétentes de l'UIT, et compte tenu des conclusions ou décisions des assemblées de l'UIT. </w:t>
            </w:r>
            <w:r w:rsidR="00CD3060" w:rsidRPr="00CD3060">
              <w:rPr>
                <w:caps/>
                <w:lang w:val="fr-CH"/>
              </w:rPr>
              <w:t>à</w:t>
            </w:r>
            <w:r w:rsidRPr="002D0770">
              <w:rPr>
                <w:lang w:val="fr-CH"/>
              </w:rPr>
              <w:t xml:space="preserve"> condition d'y être autorisée par l'</w:t>
            </w:r>
            <w:r w:rsidR="003866A7" w:rsidRPr="002D0770">
              <w:rPr>
                <w:lang w:val="fr-CH"/>
              </w:rPr>
              <w:t>État</w:t>
            </w:r>
            <w:r w:rsidRPr="002D0770">
              <w:rPr>
                <w:lang w:val="fr-CH"/>
              </w:rPr>
              <w:t xml:space="preserve"> Membre concerné, une exploitation autorisée peut transmettre directement les informations au Secrétaire général, qui les diffusera ensuite. Les </w:t>
            </w:r>
            <w:r w:rsidR="004D5C85" w:rsidRPr="002D0770">
              <w:rPr>
                <w:lang w:val="fr-CH"/>
              </w:rPr>
              <w:t>États</w:t>
            </w:r>
            <w:r w:rsidRPr="002D0770">
              <w:rPr>
                <w:lang w:val="fr-CH"/>
              </w:rPr>
              <w:t xml:space="preserve"> Membres devraient communiquer ces informations au Secrétaire général sans délai, en tenant compte des Recommandations UIT-T pertinentes.</w:t>
            </w:r>
          </w:p>
        </w:tc>
        <w:tc>
          <w:tcPr>
            <w:tcW w:w="3543"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74234C01" w14:textId="3DFE7C59" w:rsidR="00CE39FB" w:rsidRDefault="00CE39FB" w:rsidP="004D5C85">
            <w:pPr>
              <w:pStyle w:val="Tabletext"/>
              <w:keepNext/>
              <w:keepLines/>
              <w:rPr>
                <w:lang w:val="fr-CH"/>
              </w:rPr>
            </w:pPr>
            <w:r>
              <w:rPr>
                <w:lang w:val="fr-CH"/>
              </w:rPr>
              <w:t>8.1</w:t>
            </w:r>
            <w:r>
              <w:rPr>
                <w:lang w:val="fr-CH"/>
              </w:rPr>
              <w:tab/>
            </w:r>
            <w:r w:rsidRPr="006532F3">
              <w:rPr>
                <w:lang w:val="fr-CH"/>
              </w:rPr>
              <w:t>En utilisant les moyens les mieux adaptés et les plus économiques, le Secrétaire général diffuse les informations, à caractère administratif, opérationnel, tarifaire ou statistique relatives aux voies d'acheminement et aux services internationaux de télécommunication, fournies par les administrations*. Ces informations sont diffusées conformément aux dispositions pertinentes de la Convention et du présent Article, en se fondant sur les décisions prises par le Conseil d'administration ou par les conférences administratives compétentes et en tenant compte des conclusions ou décisions des Assemblées plénières des Comités consultatifs internationaux.</w:t>
            </w:r>
          </w:p>
        </w:tc>
        <w:tc>
          <w:tcPr>
            <w:tcW w:w="3261"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0927B0F6" w14:textId="29191B95" w:rsidR="00CE39FB" w:rsidRPr="00B74BBD" w:rsidRDefault="00B74198" w:rsidP="004D5C85">
            <w:pPr>
              <w:pStyle w:val="Tabletext"/>
              <w:keepNext/>
              <w:keepLines/>
              <w:rPr>
                <w:lang w:val="fr-CH"/>
              </w:rPr>
            </w:pPr>
            <w:r>
              <w:t>Cette disposition n'</w:t>
            </w:r>
            <w:r w:rsidR="00604DAD">
              <w:t>aide</w:t>
            </w:r>
            <w:r>
              <w:t xml:space="preserve"> pas à favoriser la fourniture et le développement des réseaux et des services</w:t>
            </w:r>
            <w:r w:rsidR="00BB46B2">
              <w:t>.</w:t>
            </w:r>
          </w:p>
        </w:tc>
        <w:tc>
          <w:tcPr>
            <w:tcW w:w="2976"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52BC84BD" w14:textId="46808557" w:rsidR="00CE39FB" w:rsidRPr="00B74BBD" w:rsidRDefault="00BB46B2" w:rsidP="004D5C85">
            <w:pPr>
              <w:pStyle w:val="Tabletext"/>
              <w:keepNext/>
              <w:keepLines/>
              <w:rPr>
                <w:lang w:val="fr-CH"/>
              </w:rPr>
            </w:pPr>
            <w:r>
              <w:t>Cette disposition</w:t>
            </w:r>
            <w:r>
              <w:rPr>
                <w:lang w:val="fr-CH"/>
              </w:rPr>
              <w:t xml:space="preserve"> n'offre aucune souplesse pour tenir compte des nouvelles tendances </w:t>
            </w:r>
            <w:r w:rsidRPr="00BB46B2">
              <w:rPr>
                <w:lang w:val="fr-CH"/>
              </w:rPr>
              <w:t>et des nouveaux problèmes qui se font jour</w:t>
            </w:r>
            <w:r>
              <w:rPr>
                <w:lang w:val="fr-CH"/>
              </w:rPr>
              <w:t>.</w:t>
            </w:r>
            <w:r w:rsidR="00CE39FB" w:rsidRPr="007E2D16">
              <w:t xml:space="preserve"> </w:t>
            </w:r>
          </w:p>
        </w:tc>
        <w:tc>
          <w:tcPr>
            <w:tcW w:w="1157"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253D296B" w14:textId="77777777" w:rsidR="00CE39FB" w:rsidRPr="00B74BBD" w:rsidRDefault="00CE39FB" w:rsidP="004D5C85">
            <w:pPr>
              <w:pStyle w:val="Tabletext"/>
              <w:rPr>
                <w:lang w:val="fr-CH"/>
              </w:rPr>
            </w:pPr>
          </w:p>
        </w:tc>
      </w:tr>
      <w:tr w:rsidR="002D0770" w:rsidRPr="00CE39FB" w14:paraId="23E49D43" w14:textId="77777777" w:rsidTr="004D5C85">
        <w:trPr>
          <w:cantSplit/>
          <w:trHeight w:val="281"/>
        </w:trPr>
        <w:tc>
          <w:tcPr>
            <w:tcW w:w="98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189DD680" w14:textId="77777777" w:rsidR="002D0770" w:rsidRPr="00CE39FB" w:rsidRDefault="002D0770" w:rsidP="004D5C85">
            <w:pPr>
              <w:pStyle w:val="Tabletext"/>
              <w:jc w:val="center"/>
              <w:rPr>
                <w:b/>
                <w:bCs/>
              </w:rPr>
            </w:pPr>
          </w:p>
        </w:tc>
        <w:tc>
          <w:tcPr>
            <w:tcW w:w="3969"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7A3AA5E4" w14:textId="5D03340C" w:rsidR="002D0770" w:rsidRPr="00CE39FB" w:rsidRDefault="002D0770" w:rsidP="004D5C85">
            <w:pPr>
              <w:pStyle w:val="Tabletext"/>
              <w:rPr>
                <w:b/>
                <w:bCs/>
                <w:lang w:val="fr-CH"/>
              </w:rPr>
            </w:pPr>
            <w:r w:rsidRPr="00CE39FB">
              <w:rPr>
                <w:b/>
                <w:bCs/>
                <w:lang w:val="fr-CH"/>
              </w:rPr>
              <w:t>Efficacité énergétique/déchets d'équipements électriques et électroniques</w:t>
            </w:r>
          </w:p>
        </w:tc>
        <w:tc>
          <w:tcPr>
            <w:tcW w:w="3543"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36FB2147" w14:textId="77777777" w:rsidR="002D0770" w:rsidRPr="00CE39FB" w:rsidRDefault="002D0770" w:rsidP="004D5C85">
            <w:pPr>
              <w:pStyle w:val="Tabletext"/>
              <w:rPr>
                <w:b/>
                <w:bCs/>
                <w:lang w:val="fr-CH"/>
              </w:rPr>
            </w:pPr>
          </w:p>
        </w:tc>
        <w:tc>
          <w:tcPr>
            <w:tcW w:w="3261"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5B386799" w14:textId="77777777" w:rsidR="002D0770" w:rsidRPr="00CE39FB" w:rsidRDefault="002D0770" w:rsidP="004D5C85">
            <w:pPr>
              <w:pStyle w:val="Tabletext"/>
              <w:rPr>
                <w:b/>
                <w:bCs/>
                <w:lang w:val="fr-CH"/>
              </w:rPr>
            </w:pPr>
          </w:p>
        </w:tc>
        <w:tc>
          <w:tcPr>
            <w:tcW w:w="2976"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1DEB4B60" w14:textId="77777777" w:rsidR="002D0770" w:rsidRPr="00CE39FB" w:rsidRDefault="002D0770" w:rsidP="004D5C85">
            <w:pPr>
              <w:pStyle w:val="Tabletext"/>
              <w:rPr>
                <w:b/>
                <w:bCs/>
                <w:lang w:val="fr-CH"/>
              </w:rPr>
            </w:pPr>
          </w:p>
        </w:tc>
        <w:tc>
          <w:tcPr>
            <w:tcW w:w="1157"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66B75FD7" w14:textId="77777777" w:rsidR="002D0770" w:rsidRPr="00CE39FB" w:rsidRDefault="002D0770" w:rsidP="004D5C85">
            <w:pPr>
              <w:pStyle w:val="Tabletext"/>
              <w:rPr>
                <w:b/>
                <w:bCs/>
                <w:lang w:val="fr-CH"/>
              </w:rPr>
            </w:pPr>
          </w:p>
        </w:tc>
      </w:tr>
      <w:tr w:rsidR="00CE39FB" w:rsidRPr="00B74BBD" w14:paraId="40C7876A" w14:textId="77777777" w:rsidTr="004D5C85">
        <w:trPr>
          <w:cantSplit/>
          <w:trHeight w:val="281"/>
        </w:trPr>
        <w:tc>
          <w:tcPr>
            <w:tcW w:w="98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1FBF5DED" w14:textId="30F5B96A" w:rsidR="00CE39FB" w:rsidRDefault="00CE39FB" w:rsidP="004D5C85">
            <w:pPr>
              <w:pStyle w:val="Tabletext"/>
              <w:jc w:val="center"/>
            </w:pPr>
            <w:r>
              <w:t>11.1</w:t>
            </w:r>
          </w:p>
        </w:tc>
        <w:tc>
          <w:tcPr>
            <w:tcW w:w="3969"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0B831B8D" w14:textId="728B3998" w:rsidR="00CE39FB" w:rsidRPr="002D0770" w:rsidRDefault="00CE39FB" w:rsidP="004D5C85">
            <w:pPr>
              <w:pStyle w:val="Tabletext"/>
              <w:rPr>
                <w:lang w:val="fr-CH"/>
              </w:rPr>
            </w:pPr>
            <w:r w:rsidRPr="002D0770">
              <w:rPr>
                <w:lang w:val="fr-CH"/>
              </w:rPr>
              <w:t xml:space="preserve">Les </w:t>
            </w:r>
            <w:r w:rsidR="004D5C85" w:rsidRPr="002D0770">
              <w:rPr>
                <w:lang w:val="fr-CH"/>
              </w:rPr>
              <w:t>États</w:t>
            </w:r>
            <w:r w:rsidRPr="002D0770">
              <w:rPr>
                <w:lang w:val="fr-CH"/>
              </w:rPr>
              <w:t xml:space="preserve"> Membres sont encouragés à adopter des bonnes pratiques en matière d'efficacité énergétique et de déchets d'équipements électriques et électroniques, compte tenu des Recommandations UIT-T pertinentes.</w:t>
            </w:r>
          </w:p>
        </w:tc>
        <w:tc>
          <w:tcPr>
            <w:tcW w:w="3543"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3FC4AA84" w14:textId="77777777" w:rsidR="00CE39FB" w:rsidRDefault="00CE39FB" w:rsidP="004D5C85">
            <w:pPr>
              <w:pStyle w:val="Tabletext"/>
              <w:rPr>
                <w:lang w:val="fr-CH"/>
              </w:rPr>
            </w:pPr>
          </w:p>
        </w:tc>
        <w:tc>
          <w:tcPr>
            <w:tcW w:w="3261"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76CE6FED" w14:textId="5C40DF3A" w:rsidR="00CE39FB" w:rsidRPr="004D5C85" w:rsidRDefault="00104886" w:rsidP="004D5C85">
            <w:pPr>
              <w:pStyle w:val="Tabletext"/>
            </w:pPr>
            <w:r w:rsidRPr="00104886">
              <w:t xml:space="preserve">Le membre de phrase </w:t>
            </w:r>
            <w:r w:rsidR="004D5C85">
              <w:t>"</w:t>
            </w:r>
            <w:r w:rsidRPr="00104886">
              <w:t>Les États Membres sont encouragés à adopter</w:t>
            </w:r>
            <w:r w:rsidR="004D5C85">
              <w:t>"</w:t>
            </w:r>
            <w:r w:rsidR="00CE39FB" w:rsidRPr="00E83577">
              <w:t xml:space="preserve"> </w:t>
            </w:r>
            <w:r w:rsidRPr="00104886">
              <w:t>n'est pas juridiquement exécutoire</w:t>
            </w:r>
            <w:r>
              <w:t xml:space="preserve"> et ne permet donc pas d'aider à favoriser le développement des réseaux et des services. Cette disposition est inutile étant donné que cette question est couverte dans la Convention de Bâle.</w:t>
            </w:r>
            <w:r w:rsidR="003D1A1F">
              <w:t xml:space="preserve"> Le fait de faire référence aux Recommandations</w:t>
            </w:r>
            <w:r w:rsidR="00875DB2">
              <w:t> </w:t>
            </w:r>
            <w:r w:rsidR="003D1A1F">
              <w:t>UIT</w:t>
            </w:r>
            <w:r w:rsidR="00875DB2">
              <w:t>-</w:t>
            </w:r>
            <w:r w:rsidR="003D1A1F">
              <w:t>T pourrait rendre l'environnement réglementaire confus.</w:t>
            </w:r>
          </w:p>
        </w:tc>
        <w:tc>
          <w:tcPr>
            <w:tcW w:w="2976"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414D48B1" w14:textId="6E2831A2" w:rsidR="003D1A1F" w:rsidRDefault="003D1A1F" w:rsidP="004D5C85">
            <w:pPr>
              <w:pStyle w:val="Tabletext"/>
            </w:pPr>
            <w:r>
              <w:t>Cette disposition pourrait être un frein à l'innovation, car elle risque de créer une certaine confusion en étant une contradiction avec la Convention de Bâle.</w:t>
            </w:r>
          </w:p>
          <w:p w14:paraId="68A8DF77" w14:textId="01175788" w:rsidR="003866A7" w:rsidRPr="00B74BBD" w:rsidRDefault="003D1A1F" w:rsidP="004D5C85">
            <w:pPr>
              <w:pStyle w:val="Tabletext"/>
              <w:rPr>
                <w:lang w:val="fr-CH"/>
              </w:rPr>
            </w:pPr>
            <w:r>
              <w:t>Par conséquent, cette disposition</w:t>
            </w:r>
            <w:r>
              <w:rPr>
                <w:lang w:val="fr-CH"/>
              </w:rPr>
              <w:t xml:space="preserve"> n'offre aucune souplesse pour tenir compte des nouvelles tendances </w:t>
            </w:r>
            <w:r w:rsidRPr="00BB46B2">
              <w:rPr>
                <w:lang w:val="fr-CH"/>
              </w:rPr>
              <w:t>et des nouveaux problèmes qui se font jour</w:t>
            </w:r>
            <w:r>
              <w:rPr>
                <w:lang w:val="fr-CH"/>
              </w:rPr>
              <w:t>.</w:t>
            </w:r>
            <w:r w:rsidR="003866A7" w:rsidRPr="003866A7">
              <w:rPr>
                <w:lang w:val="fr-CH"/>
              </w:rPr>
              <w:t xml:space="preserve"> </w:t>
            </w:r>
          </w:p>
        </w:tc>
        <w:tc>
          <w:tcPr>
            <w:tcW w:w="1157"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3191C88D" w14:textId="77777777" w:rsidR="00CE39FB" w:rsidRPr="00B74BBD" w:rsidRDefault="00CE39FB" w:rsidP="004D5C85">
            <w:pPr>
              <w:pStyle w:val="Tabletext"/>
              <w:rPr>
                <w:lang w:val="fr-CH"/>
              </w:rPr>
            </w:pPr>
          </w:p>
        </w:tc>
      </w:tr>
      <w:tr w:rsidR="002D0770" w:rsidRPr="00CE39FB" w14:paraId="7D33341F" w14:textId="77777777" w:rsidTr="004D5C85">
        <w:trPr>
          <w:cantSplit/>
          <w:trHeight w:val="281"/>
        </w:trPr>
        <w:tc>
          <w:tcPr>
            <w:tcW w:w="98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08971107" w14:textId="77777777" w:rsidR="002D0770" w:rsidRPr="00CE39FB" w:rsidRDefault="002D0770" w:rsidP="004D5C85">
            <w:pPr>
              <w:pStyle w:val="Tabletext"/>
              <w:keepNext/>
              <w:keepLines/>
              <w:jc w:val="center"/>
              <w:rPr>
                <w:b/>
                <w:bCs/>
              </w:rPr>
            </w:pPr>
          </w:p>
        </w:tc>
        <w:tc>
          <w:tcPr>
            <w:tcW w:w="3969"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2674F63D" w14:textId="5B160CFF" w:rsidR="002D0770" w:rsidRPr="00CE39FB" w:rsidRDefault="002D0770" w:rsidP="004D5C85">
            <w:pPr>
              <w:pStyle w:val="Tabletext"/>
              <w:keepNext/>
              <w:keepLines/>
              <w:rPr>
                <w:b/>
                <w:bCs/>
                <w:lang w:val="fr-CH"/>
              </w:rPr>
            </w:pPr>
            <w:r w:rsidRPr="00CE39FB">
              <w:rPr>
                <w:b/>
                <w:bCs/>
                <w:lang w:val="fr-CH"/>
              </w:rPr>
              <w:t>Accessibilité</w:t>
            </w:r>
          </w:p>
        </w:tc>
        <w:tc>
          <w:tcPr>
            <w:tcW w:w="3543"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70173A94" w14:textId="77777777" w:rsidR="002D0770" w:rsidRPr="00CE39FB" w:rsidRDefault="002D0770" w:rsidP="004D5C85">
            <w:pPr>
              <w:pStyle w:val="Tabletext"/>
              <w:keepNext/>
              <w:keepLines/>
              <w:rPr>
                <w:b/>
                <w:bCs/>
                <w:lang w:val="fr-CH"/>
              </w:rPr>
            </w:pPr>
          </w:p>
        </w:tc>
        <w:tc>
          <w:tcPr>
            <w:tcW w:w="3261"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462F375A" w14:textId="77777777" w:rsidR="002D0770" w:rsidRPr="00CE39FB" w:rsidRDefault="002D0770" w:rsidP="004D5C85">
            <w:pPr>
              <w:pStyle w:val="Tabletext"/>
              <w:keepNext/>
              <w:keepLines/>
              <w:rPr>
                <w:b/>
                <w:bCs/>
                <w:lang w:val="fr-CH"/>
              </w:rPr>
            </w:pPr>
          </w:p>
        </w:tc>
        <w:tc>
          <w:tcPr>
            <w:tcW w:w="2976"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1C6B4DA4" w14:textId="77777777" w:rsidR="002D0770" w:rsidRPr="00CE39FB" w:rsidRDefault="002D0770" w:rsidP="004D5C85">
            <w:pPr>
              <w:pStyle w:val="Tabletext"/>
              <w:keepNext/>
              <w:keepLines/>
              <w:rPr>
                <w:b/>
                <w:bCs/>
                <w:lang w:val="fr-CH"/>
              </w:rPr>
            </w:pPr>
          </w:p>
        </w:tc>
        <w:tc>
          <w:tcPr>
            <w:tcW w:w="1157"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5B8E4D2A" w14:textId="77777777" w:rsidR="002D0770" w:rsidRPr="00CE39FB" w:rsidRDefault="002D0770" w:rsidP="004D5C85">
            <w:pPr>
              <w:pStyle w:val="Tabletext"/>
              <w:keepNext/>
              <w:keepLines/>
              <w:rPr>
                <w:b/>
                <w:bCs/>
                <w:lang w:val="fr-CH"/>
              </w:rPr>
            </w:pPr>
          </w:p>
        </w:tc>
      </w:tr>
      <w:tr w:rsidR="002D0770" w:rsidRPr="00B74BBD" w14:paraId="33DB9DB6" w14:textId="77777777" w:rsidTr="004D5C85">
        <w:trPr>
          <w:cantSplit/>
          <w:trHeight w:val="281"/>
        </w:trPr>
        <w:tc>
          <w:tcPr>
            <w:tcW w:w="98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1BCAFE26" w14:textId="2592367C" w:rsidR="002D0770" w:rsidRDefault="002D0770" w:rsidP="004D5C85">
            <w:pPr>
              <w:pStyle w:val="Tabletext"/>
              <w:keepNext/>
              <w:keepLines/>
              <w:jc w:val="center"/>
            </w:pPr>
            <w:r>
              <w:t>12.1</w:t>
            </w:r>
          </w:p>
        </w:tc>
        <w:tc>
          <w:tcPr>
            <w:tcW w:w="3969"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5584B1A6" w14:textId="7C835B79" w:rsidR="002D0770" w:rsidRPr="002D0770" w:rsidRDefault="002D0770" w:rsidP="004D5C85">
            <w:pPr>
              <w:pStyle w:val="Tabletext"/>
              <w:keepNext/>
              <w:keepLines/>
              <w:rPr>
                <w:lang w:val="fr-CH"/>
              </w:rPr>
            </w:pPr>
            <w:r w:rsidRPr="002D0770">
              <w:rPr>
                <w:lang w:val="fr-CH"/>
              </w:rPr>
              <w:t xml:space="preserve">Les </w:t>
            </w:r>
            <w:r w:rsidR="004D5C85" w:rsidRPr="002D0770">
              <w:rPr>
                <w:lang w:val="fr-CH"/>
              </w:rPr>
              <w:t>États</w:t>
            </w:r>
            <w:r w:rsidRPr="002D0770">
              <w:rPr>
                <w:lang w:val="fr-CH"/>
              </w:rPr>
              <w:t xml:space="preserve"> Membres devraient promouvoir l'accès des personnes handicapées aux services internationaux de télécommunication, compte tenu des Recommandations UIT</w:t>
            </w:r>
            <w:r w:rsidR="009A0471">
              <w:rPr>
                <w:lang w:val="fr-CH"/>
              </w:rPr>
              <w:t>-</w:t>
            </w:r>
            <w:r w:rsidRPr="002D0770">
              <w:rPr>
                <w:lang w:val="fr-CH"/>
              </w:rPr>
              <w:t>T pertinentes.</w:t>
            </w:r>
          </w:p>
        </w:tc>
        <w:tc>
          <w:tcPr>
            <w:tcW w:w="3543"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5EA00FD5" w14:textId="77777777" w:rsidR="002D0770" w:rsidRDefault="002D0770" w:rsidP="004D5C85">
            <w:pPr>
              <w:pStyle w:val="Tabletext"/>
              <w:keepNext/>
              <w:keepLines/>
              <w:rPr>
                <w:lang w:val="fr-CH"/>
              </w:rPr>
            </w:pPr>
          </w:p>
        </w:tc>
        <w:tc>
          <w:tcPr>
            <w:tcW w:w="3261"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1AB24654" w14:textId="4B46E48F" w:rsidR="00604DAD" w:rsidRDefault="00604DAD" w:rsidP="004D5C85">
            <w:pPr>
              <w:pStyle w:val="Tabletext"/>
              <w:keepNext/>
              <w:keepLines/>
            </w:pPr>
            <w:r>
              <w:rPr>
                <w:lang w:val="fr-CH"/>
              </w:rPr>
              <w:t xml:space="preserve">Étant donné que l'on entend par </w:t>
            </w:r>
            <w:r w:rsidR="004D5C85">
              <w:rPr>
                <w:lang w:val="fr-CH"/>
              </w:rPr>
              <w:t>"</w:t>
            </w:r>
            <w:r>
              <w:rPr>
                <w:lang w:val="fr-CH"/>
              </w:rPr>
              <w:t>promouvoir l'accès</w:t>
            </w:r>
            <w:r w:rsidR="004D5C85">
              <w:rPr>
                <w:lang w:val="fr-CH"/>
              </w:rPr>
              <w:t>"</w:t>
            </w:r>
            <w:r>
              <w:rPr>
                <w:lang w:val="fr-CH"/>
              </w:rPr>
              <w:t xml:space="preserve"> n'est pas défini, cette disposition n'est par conséquent </w:t>
            </w:r>
            <w:r w:rsidRPr="00104886">
              <w:t>pas juridiquement exécutoire</w:t>
            </w:r>
            <w:r>
              <w:t xml:space="preserve">. L'accès des personnes handicapées est à l'évidence une grande priorité, mais réussir à promouvoir cet accès est moins une question d'évolution technique des </w:t>
            </w:r>
            <w:r w:rsidR="004D5C85">
              <w:t>"</w:t>
            </w:r>
            <w:r>
              <w:t>réseaux et services</w:t>
            </w:r>
            <w:r w:rsidR="004D5C85">
              <w:t>"</w:t>
            </w:r>
            <w:r>
              <w:t xml:space="preserve"> que d'évolution de la société, par exemple en améliorant l'éducation, en garantissant l'égalité sur le lieu de travail, en offrant des soins médicaux de qualité et en fournissant du matériel d'assistance.</w:t>
            </w:r>
          </w:p>
          <w:p w14:paraId="3D8C591D" w14:textId="3551200B" w:rsidR="002D0770" w:rsidRPr="00B74BBD" w:rsidRDefault="00CF3FDD" w:rsidP="004D5C85">
            <w:pPr>
              <w:pStyle w:val="Tabletext"/>
              <w:keepNext/>
              <w:keepLines/>
              <w:rPr>
                <w:lang w:val="fr-CH"/>
              </w:rPr>
            </w:pPr>
            <w:r>
              <w:rPr>
                <w:lang w:val="fr-CH"/>
              </w:rPr>
              <w:t xml:space="preserve">Par conséquent, </w:t>
            </w:r>
            <w:r>
              <w:t>cette disposition n'aide pas à favoriser la fourniture et le développement des réseaux et des services</w:t>
            </w:r>
            <w:r w:rsidR="00CE39FB" w:rsidRPr="00CE39FB">
              <w:rPr>
                <w:lang w:val="fr-CH"/>
              </w:rPr>
              <w:t>.</w:t>
            </w:r>
          </w:p>
        </w:tc>
        <w:tc>
          <w:tcPr>
            <w:tcW w:w="2976"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4C43753E" w14:textId="6897CB19" w:rsidR="00CE39FB" w:rsidRPr="00B74BBD" w:rsidRDefault="00CE39FB" w:rsidP="004D5C85">
            <w:pPr>
              <w:pStyle w:val="Tabletext"/>
              <w:keepNext/>
              <w:keepLines/>
              <w:rPr>
                <w:lang w:val="fr-CH"/>
              </w:rPr>
            </w:pPr>
            <w:r w:rsidRPr="00CE39FB">
              <w:rPr>
                <w:lang w:val="fr-CH"/>
              </w:rPr>
              <w:t>Un grand nombre de nouvelles Recommandations UIT-T sont publiées chaque année pour tenir compte des nouvelles tendances et des nouveaux problèmes qui se font jour. Toutefois, cela signifie aussi qu'il existe toujours un ensemble de Recommandations obsolètes et redondantes</w:t>
            </w:r>
            <w:r>
              <w:rPr>
                <w:lang w:val="fr-CH"/>
              </w:rPr>
              <w:t>.</w:t>
            </w:r>
            <w:r w:rsidR="00C908F0">
              <w:rPr>
                <w:lang w:val="fr-CH"/>
              </w:rPr>
              <w:t xml:space="preserve"> Selon cette disposition, les États Membres sont tenus de continuer à tenir compte de ces Recommandations. </w:t>
            </w:r>
            <w:r w:rsidR="00C908F0">
              <w:t>Par conséquent, cette disposition</w:t>
            </w:r>
            <w:r w:rsidR="00C908F0">
              <w:rPr>
                <w:lang w:val="fr-CH"/>
              </w:rPr>
              <w:t xml:space="preserve"> n'offre aucune souplesse pour tenir compte des nouvelles tendances</w:t>
            </w:r>
            <w:r w:rsidR="00C908F0">
              <w:t xml:space="preserve"> </w:t>
            </w:r>
            <w:r w:rsidR="00C908F0" w:rsidRPr="00BB46B2">
              <w:rPr>
                <w:lang w:val="fr-CH"/>
              </w:rPr>
              <w:t>et des nouveaux problèmes qui se font jour</w:t>
            </w:r>
            <w:r w:rsidRPr="00CE39FB">
              <w:rPr>
                <w:lang w:val="fr-CH"/>
              </w:rPr>
              <w:t>.</w:t>
            </w:r>
          </w:p>
        </w:tc>
        <w:tc>
          <w:tcPr>
            <w:tcW w:w="1157"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52F59ED8" w14:textId="77777777" w:rsidR="002D0770" w:rsidRPr="00B74BBD" w:rsidRDefault="002D0770" w:rsidP="004D5C85">
            <w:pPr>
              <w:pStyle w:val="Tabletext"/>
              <w:keepNext/>
              <w:keepLines/>
              <w:rPr>
                <w:lang w:val="fr-CH"/>
              </w:rPr>
            </w:pPr>
          </w:p>
        </w:tc>
      </w:tr>
      <w:tr w:rsidR="002D0770" w:rsidRPr="00CE39FB" w14:paraId="46945A62" w14:textId="77777777" w:rsidTr="004D5C85">
        <w:trPr>
          <w:cantSplit/>
          <w:trHeight w:val="281"/>
        </w:trPr>
        <w:tc>
          <w:tcPr>
            <w:tcW w:w="98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78049C49" w14:textId="77777777" w:rsidR="002D0770" w:rsidRPr="00CE39FB" w:rsidRDefault="002D0770" w:rsidP="00CD3060">
            <w:pPr>
              <w:pStyle w:val="Tabletext"/>
              <w:jc w:val="center"/>
              <w:rPr>
                <w:b/>
                <w:bCs/>
              </w:rPr>
            </w:pPr>
          </w:p>
        </w:tc>
        <w:tc>
          <w:tcPr>
            <w:tcW w:w="3969"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63EC8A36" w14:textId="26A2AD48" w:rsidR="002D0770" w:rsidRPr="00CE39FB" w:rsidRDefault="002D0770" w:rsidP="00CD3060">
            <w:pPr>
              <w:pStyle w:val="Tabletext"/>
              <w:rPr>
                <w:b/>
                <w:bCs/>
                <w:lang w:val="fr-CH"/>
              </w:rPr>
            </w:pPr>
            <w:r w:rsidRPr="00CE39FB">
              <w:rPr>
                <w:b/>
                <w:bCs/>
                <w:lang w:val="fr-CH"/>
              </w:rPr>
              <w:t>Arrangements particuliers</w:t>
            </w:r>
          </w:p>
        </w:tc>
        <w:tc>
          <w:tcPr>
            <w:tcW w:w="3543"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047F36D4" w14:textId="3C174F15" w:rsidR="002D0770" w:rsidRPr="00CE39FB" w:rsidRDefault="006532F3" w:rsidP="00CD3060">
            <w:pPr>
              <w:pStyle w:val="Tabletext"/>
              <w:rPr>
                <w:b/>
                <w:bCs/>
                <w:lang w:val="fr-CH"/>
              </w:rPr>
            </w:pPr>
            <w:r w:rsidRPr="00CE39FB">
              <w:rPr>
                <w:b/>
                <w:bCs/>
                <w:lang w:val="fr-CH"/>
              </w:rPr>
              <w:t>Article 9:</w:t>
            </w:r>
            <w:r w:rsidR="00CE39FB" w:rsidRPr="00CE39FB">
              <w:rPr>
                <w:b/>
                <w:bCs/>
                <w:lang w:val="fr-CH"/>
              </w:rPr>
              <w:t xml:space="preserve"> </w:t>
            </w:r>
            <w:r w:rsidRPr="00CE39FB">
              <w:rPr>
                <w:b/>
                <w:bCs/>
                <w:lang w:val="fr-CH"/>
              </w:rPr>
              <w:t>Arrangements particuliers</w:t>
            </w:r>
          </w:p>
        </w:tc>
        <w:tc>
          <w:tcPr>
            <w:tcW w:w="3261"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1F670423" w14:textId="77777777" w:rsidR="002D0770" w:rsidRPr="00CE39FB" w:rsidRDefault="002D0770" w:rsidP="00CD3060">
            <w:pPr>
              <w:pStyle w:val="Tabletext"/>
              <w:rPr>
                <w:b/>
                <w:bCs/>
                <w:lang w:val="fr-CH"/>
              </w:rPr>
            </w:pPr>
          </w:p>
        </w:tc>
        <w:tc>
          <w:tcPr>
            <w:tcW w:w="2976"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4E167121" w14:textId="77777777" w:rsidR="002D0770" w:rsidRPr="00CE39FB" w:rsidRDefault="002D0770" w:rsidP="00CD3060">
            <w:pPr>
              <w:pStyle w:val="Tabletext"/>
              <w:rPr>
                <w:b/>
                <w:bCs/>
                <w:lang w:val="fr-CH"/>
              </w:rPr>
            </w:pPr>
          </w:p>
        </w:tc>
        <w:tc>
          <w:tcPr>
            <w:tcW w:w="1157"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4DFEE497" w14:textId="77777777" w:rsidR="002D0770" w:rsidRPr="00CE39FB" w:rsidRDefault="002D0770" w:rsidP="00CD3060">
            <w:pPr>
              <w:pStyle w:val="Tabletext"/>
              <w:rPr>
                <w:b/>
                <w:bCs/>
                <w:lang w:val="fr-CH"/>
              </w:rPr>
            </w:pPr>
          </w:p>
        </w:tc>
      </w:tr>
      <w:tr w:rsidR="00CE39FB" w:rsidRPr="00B74BBD" w14:paraId="2FB62D17" w14:textId="77777777" w:rsidTr="00CD3060">
        <w:trPr>
          <w:trHeight w:val="281"/>
        </w:trPr>
        <w:tc>
          <w:tcPr>
            <w:tcW w:w="98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16848A0B" w14:textId="2881AF99" w:rsidR="00CE39FB" w:rsidRDefault="00CE39FB" w:rsidP="00CD3060">
            <w:pPr>
              <w:pStyle w:val="Tabletext"/>
              <w:jc w:val="center"/>
            </w:pPr>
            <w:r>
              <w:lastRenderedPageBreak/>
              <w:t>13.1</w:t>
            </w:r>
          </w:p>
        </w:tc>
        <w:tc>
          <w:tcPr>
            <w:tcW w:w="3969"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2D15D586" w14:textId="616222EC" w:rsidR="00CE39FB" w:rsidRDefault="00CE39FB" w:rsidP="00CD3060">
            <w:pPr>
              <w:pStyle w:val="Tabletext"/>
              <w:rPr>
                <w:lang w:val="fr-CH"/>
              </w:rPr>
            </w:pPr>
            <w:r w:rsidRPr="002D0770">
              <w:rPr>
                <w:lang w:val="fr-CH"/>
              </w:rPr>
              <w:t>a)</w:t>
            </w:r>
            <w:r w:rsidRPr="002D0770">
              <w:rPr>
                <w:lang w:val="fr-CH"/>
              </w:rPr>
              <w:tab/>
              <w:t xml:space="preserve">Conformément à l'article 42 de la Constitution, des arrangements particuliers peuvent être conclus sur des questions de télécommunication qui ne concernent pas les </w:t>
            </w:r>
            <w:r w:rsidR="004D5C85" w:rsidRPr="002D0770">
              <w:rPr>
                <w:lang w:val="fr-CH"/>
              </w:rPr>
              <w:t>États</w:t>
            </w:r>
            <w:r w:rsidRPr="002D0770">
              <w:rPr>
                <w:lang w:val="fr-CH"/>
              </w:rPr>
              <w:t xml:space="preserve"> Membres en général. Sous réserve de la législation nationale, les </w:t>
            </w:r>
            <w:r w:rsidR="004D5C85" w:rsidRPr="002D0770">
              <w:rPr>
                <w:lang w:val="fr-CH"/>
              </w:rPr>
              <w:t>États</w:t>
            </w:r>
            <w:r w:rsidRPr="002D0770">
              <w:rPr>
                <w:lang w:val="fr-CH"/>
              </w:rPr>
              <w:t xml:space="preserve"> Membres peuvent habiliter des exploitations autorisées ou d'autres organisations ou personnes à conclure de tels arrangements mutuels particuliers avec des </w:t>
            </w:r>
            <w:r w:rsidR="004D5C85" w:rsidRPr="002D0770">
              <w:rPr>
                <w:lang w:val="fr-CH"/>
              </w:rPr>
              <w:t>États</w:t>
            </w:r>
            <w:r w:rsidRPr="002D0770">
              <w:rPr>
                <w:lang w:val="fr-CH"/>
              </w:rPr>
              <w:t xml:space="preserve"> Membres et des exploitations autorisées, ou d'autres organisations ou personnes qui y sont habilitées dans un autre pays, dans le but d'établir, d'exploiter et d'utiliser des réseaux, des systèmes et des services internationaux de télécommunication particuliers et de satisfaire ainsi à des besoins spécialisés de télécommunications internationales sur les territoires ou entre les territoires des </w:t>
            </w:r>
            <w:r w:rsidR="004D5C85" w:rsidRPr="002D0770">
              <w:rPr>
                <w:lang w:val="fr-CH"/>
              </w:rPr>
              <w:t>États</w:t>
            </w:r>
            <w:r w:rsidRPr="002D0770">
              <w:rPr>
                <w:lang w:val="fr-CH"/>
              </w:rPr>
              <w:t xml:space="preserve"> Membres concernés, ces arrangements pouvant comprendre, si nécessaire, les conditions financières, techniques ou opérationnelles à observer.</w:t>
            </w:r>
          </w:p>
          <w:p w14:paraId="75B081FD" w14:textId="39AD31FF" w:rsidR="00CE39FB" w:rsidRPr="002D0770" w:rsidRDefault="00CE39FB" w:rsidP="00CD3060">
            <w:pPr>
              <w:pStyle w:val="Tabletext"/>
              <w:rPr>
                <w:lang w:val="fr-CH"/>
              </w:rPr>
            </w:pPr>
            <w:r w:rsidRPr="00160FE2">
              <w:t>b)</w:t>
            </w:r>
            <w:r w:rsidRPr="000811F3">
              <w:rPr>
                <w:i/>
                <w:iCs/>
              </w:rPr>
              <w:tab/>
            </w:r>
            <w:r w:rsidRPr="009E6B5B">
              <w:rPr>
                <w:rFonts w:eastAsiaTheme="minorEastAsia"/>
                <w:lang w:val="fr-CH" w:eastAsia="zh-CN"/>
              </w:rPr>
              <w:t>Tous les arrang</w:t>
            </w:r>
            <w:r>
              <w:rPr>
                <w:rFonts w:eastAsiaTheme="minorEastAsia"/>
                <w:lang w:val="fr-CH" w:eastAsia="zh-CN"/>
              </w:rPr>
              <w:t>ements particuliers de ce type</w:t>
            </w:r>
            <w:r w:rsidRPr="009E6B5B">
              <w:rPr>
                <w:rFonts w:eastAsiaTheme="minorEastAsia"/>
                <w:lang w:val="fr-CH" w:eastAsia="zh-CN"/>
              </w:rPr>
              <w:t xml:space="preserve"> </w:t>
            </w:r>
            <w:r>
              <w:rPr>
                <w:rFonts w:eastAsiaTheme="minorEastAsia"/>
                <w:lang w:val="fr-CH" w:eastAsia="zh-CN"/>
              </w:rPr>
              <w:t>doivent s'efforcer d'</w:t>
            </w:r>
            <w:r w:rsidRPr="009E6B5B">
              <w:rPr>
                <w:rFonts w:eastAsiaTheme="minorEastAsia"/>
                <w:lang w:val="fr-CH" w:eastAsia="zh-CN"/>
              </w:rPr>
              <w:t xml:space="preserve">éviter de causer un préjudice technique à </w:t>
            </w:r>
            <w:r w:rsidRPr="009E6B5B">
              <w:rPr>
                <w:rFonts w:eastAsiaTheme="minorEastAsia"/>
                <w:lang w:val="fr-CH" w:eastAsia="zh-CN"/>
              </w:rPr>
              <w:lastRenderedPageBreak/>
              <w:t>l'exploitation des moyens de télécommunication</w:t>
            </w:r>
            <w:r>
              <w:rPr>
                <w:rFonts w:eastAsiaTheme="minorEastAsia"/>
                <w:lang w:val="fr-CH" w:eastAsia="zh-CN"/>
              </w:rPr>
              <w:t xml:space="preserve"> </w:t>
            </w:r>
            <w:r w:rsidRPr="009E6B5B">
              <w:rPr>
                <w:rFonts w:eastAsiaTheme="minorEastAsia"/>
                <w:lang w:val="fr-CH" w:eastAsia="zh-CN"/>
              </w:rPr>
              <w:t>de pays tiers.</w:t>
            </w:r>
          </w:p>
        </w:tc>
        <w:tc>
          <w:tcPr>
            <w:tcW w:w="3543"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3F2D6715" w14:textId="589DFA7D" w:rsidR="00CE39FB" w:rsidRDefault="00CE39FB" w:rsidP="00CD3060">
            <w:pPr>
              <w:pStyle w:val="Tabletext"/>
              <w:rPr>
                <w:lang w:val="fr-CH"/>
              </w:rPr>
            </w:pPr>
            <w:r w:rsidRPr="006532F3">
              <w:rPr>
                <w:lang w:val="fr-CH"/>
              </w:rPr>
              <w:lastRenderedPageBreak/>
              <w:t>9.1</w:t>
            </w:r>
            <w:r w:rsidRPr="006532F3">
              <w:rPr>
                <w:lang w:val="fr-CH"/>
              </w:rPr>
              <w:tab/>
              <w:t>a)</w:t>
            </w:r>
            <w:r>
              <w:rPr>
                <w:lang w:val="fr-CH"/>
              </w:rPr>
              <w:t xml:space="preserve"> </w:t>
            </w:r>
            <w:r w:rsidRPr="006532F3">
              <w:rPr>
                <w:lang w:val="fr-CH"/>
              </w:rPr>
              <w:t>Conformément à l'Article</w:t>
            </w:r>
            <w:r w:rsidR="00875DB2">
              <w:rPr>
                <w:lang w:val="fr-CH"/>
              </w:rPr>
              <w:t> </w:t>
            </w:r>
            <w:r w:rsidRPr="006532F3">
              <w:rPr>
                <w:lang w:val="fr-CH"/>
              </w:rPr>
              <w:t xml:space="preserve">31 de la Convention internationale des télécommunications (Nairobi, 1982), des arrangements particuliers peuvent être conclus sur des questions de télécommunication qui ne concernent pas la généralité des Membres. Sous réserve de la législation nationale, les Membres peuvent habiliter des administrations* ou d'autres organisations ou personnes à conclure de tels arrangements mutuels particuliers avec des Membres, des administrations* ou d'autres organisations ou personnes qui y sont habilitées dans un autre pays, dans le but d'établir, d'exploiter et d'utiliser des réseaux, des systèmes et des services de télécommunication particuliers et de satisfaire ainsi à des besoins spécialisés de télécommunications internationales dans les territoires ou entre les territoires des Membres concernés, ces arrangements pouvant comprendre, si nécessaire, les </w:t>
            </w:r>
            <w:r w:rsidRPr="006532F3">
              <w:rPr>
                <w:lang w:val="fr-CH"/>
              </w:rPr>
              <w:lastRenderedPageBreak/>
              <w:t>conditions financières, techniques ou opérationnelles à observer.</w:t>
            </w:r>
          </w:p>
          <w:p w14:paraId="0F77B761" w14:textId="3D64FBA8" w:rsidR="00CE39FB" w:rsidRDefault="00CE39FB" w:rsidP="00CD3060">
            <w:pPr>
              <w:pStyle w:val="Tabletext"/>
              <w:rPr>
                <w:lang w:val="fr-CH"/>
              </w:rPr>
            </w:pPr>
            <w:r w:rsidRPr="006532F3">
              <w:rPr>
                <w:lang w:val="fr-CH"/>
              </w:rPr>
              <w:t>b)</w:t>
            </w:r>
            <w:r w:rsidRPr="006532F3">
              <w:rPr>
                <w:lang w:val="fr-CH"/>
              </w:rPr>
              <w:tab/>
              <w:t>Tous les arrangements particuliers de ce type devraient éviter de causer un préjudice technique à l'exploitation des moyens de télécommunication de pays tiers.</w:t>
            </w:r>
          </w:p>
        </w:tc>
        <w:tc>
          <w:tcPr>
            <w:tcW w:w="3261"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7EC2D070" w14:textId="24AA2197" w:rsidR="00CE39FB" w:rsidRPr="00160FE2" w:rsidRDefault="001F3DDD" w:rsidP="00CD3060">
            <w:pPr>
              <w:pStyle w:val="Tabletext"/>
            </w:pPr>
            <w:r w:rsidRPr="001F3DDD">
              <w:lastRenderedPageBreak/>
              <w:t>Cette disposition énonce quelque chose qui n'apparaît pas dans le traité</w:t>
            </w:r>
            <w:r>
              <w:t xml:space="preserve">, elle ne facilite donc pas la </w:t>
            </w:r>
            <w:r w:rsidRPr="001F3DDD">
              <w:t>fourniture et le développement des réseaux et des services</w:t>
            </w:r>
            <w:r>
              <w:t>.</w:t>
            </w:r>
          </w:p>
        </w:tc>
        <w:tc>
          <w:tcPr>
            <w:tcW w:w="2976"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12C34E7A" w14:textId="3F9F7230" w:rsidR="00CE39FB" w:rsidRPr="00B74BBD" w:rsidRDefault="001F3DDD" w:rsidP="00CD3060">
            <w:pPr>
              <w:pStyle w:val="Tabletext"/>
              <w:rPr>
                <w:lang w:val="fr-CH"/>
              </w:rPr>
            </w:pPr>
            <w:r w:rsidRPr="001F3DDD">
              <w:t>Cette disposition énonce quelque chose qui n'apparaît pas dans le traité</w:t>
            </w:r>
            <w:r>
              <w:t xml:space="preserve">, elle ne peut donc pas à elle seule offrir de la souplesse </w:t>
            </w:r>
            <w:r>
              <w:rPr>
                <w:lang w:val="fr-CH"/>
              </w:rPr>
              <w:t>pour tenir compte des nouvelles tendances</w:t>
            </w:r>
            <w:r>
              <w:t xml:space="preserve"> </w:t>
            </w:r>
            <w:r w:rsidRPr="00BB46B2">
              <w:rPr>
                <w:lang w:val="fr-CH"/>
              </w:rPr>
              <w:t>et des nouveaux problèmes qui se font jour</w:t>
            </w:r>
            <w:r w:rsidRPr="00CE39FB">
              <w:rPr>
                <w:lang w:val="fr-CH"/>
              </w:rPr>
              <w:t>.</w:t>
            </w:r>
          </w:p>
        </w:tc>
        <w:tc>
          <w:tcPr>
            <w:tcW w:w="1157"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69A66679" w14:textId="77777777" w:rsidR="00CE39FB" w:rsidRPr="00B74BBD" w:rsidRDefault="00CE39FB" w:rsidP="00CD3060">
            <w:pPr>
              <w:pStyle w:val="Tabletext"/>
              <w:rPr>
                <w:lang w:val="fr-CH"/>
              </w:rPr>
            </w:pPr>
          </w:p>
        </w:tc>
      </w:tr>
      <w:tr w:rsidR="002D0770" w:rsidRPr="00B74BBD" w14:paraId="4E0D7677" w14:textId="77777777" w:rsidTr="004D5C85">
        <w:trPr>
          <w:cantSplit/>
          <w:trHeight w:val="281"/>
        </w:trPr>
        <w:tc>
          <w:tcPr>
            <w:tcW w:w="98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1CBC15ED" w14:textId="27D557B2" w:rsidR="002D0770" w:rsidRDefault="002D0770" w:rsidP="004D5C85">
            <w:pPr>
              <w:pStyle w:val="Tabletext"/>
              <w:jc w:val="center"/>
            </w:pPr>
            <w:r>
              <w:t>13.2</w:t>
            </w:r>
          </w:p>
        </w:tc>
        <w:tc>
          <w:tcPr>
            <w:tcW w:w="3969"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76A1D87F" w14:textId="6D9827CF" w:rsidR="002D0770" w:rsidRPr="002D0770" w:rsidRDefault="002D0770" w:rsidP="004D5C85">
            <w:pPr>
              <w:pStyle w:val="Tabletext"/>
              <w:rPr>
                <w:lang w:val="fr-CH"/>
              </w:rPr>
            </w:pPr>
            <w:r w:rsidRPr="002D0770">
              <w:rPr>
                <w:lang w:val="fr-CH"/>
              </w:rPr>
              <w:t xml:space="preserve">Les </w:t>
            </w:r>
            <w:r w:rsidR="004D5C85" w:rsidRPr="002D0770">
              <w:rPr>
                <w:lang w:val="fr-CH"/>
              </w:rPr>
              <w:t>États</w:t>
            </w:r>
            <w:r w:rsidRPr="002D0770">
              <w:rPr>
                <w:lang w:val="fr-CH"/>
              </w:rPr>
              <w:t xml:space="preserve"> Membres devraient, lorsqu'il y a lieu, encourager les parties à tout arrangement particulier conclu en vertu du numéro 73 (disposition 13.1) ci</w:t>
            </w:r>
            <w:r w:rsidR="006532F3">
              <w:rPr>
                <w:lang w:val="fr-CH"/>
              </w:rPr>
              <w:t>-</w:t>
            </w:r>
            <w:r w:rsidRPr="002D0770">
              <w:rPr>
                <w:lang w:val="fr-CH"/>
              </w:rPr>
              <w:t>dessus, à tenir compte des dispositions pertinentes des Recommandations UIT-T.</w:t>
            </w:r>
          </w:p>
        </w:tc>
        <w:tc>
          <w:tcPr>
            <w:tcW w:w="3543"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39FB7134" w14:textId="053442F2" w:rsidR="002D0770" w:rsidRDefault="006532F3" w:rsidP="004D5C85">
            <w:pPr>
              <w:pStyle w:val="Tabletext"/>
              <w:rPr>
                <w:lang w:val="fr-CH"/>
              </w:rPr>
            </w:pPr>
            <w:r w:rsidRPr="006532F3">
              <w:rPr>
                <w:lang w:val="fr-CH"/>
              </w:rPr>
              <w:t>9.2</w:t>
            </w:r>
            <w:r w:rsidRPr="006532F3">
              <w:rPr>
                <w:lang w:val="fr-CH"/>
              </w:rPr>
              <w:tab/>
              <w:t>Les Membres devraient, lorsqu'il y a lieu, encourager les parties à tout arrangement particulier conclu en vertu du numéro 58, à tenir compte des dispositions pertinentes des Recommandations du CCITT.</w:t>
            </w:r>
          </w:p>
        </w:tc>
        <w:tc>
          <w:tcPr>
            <w:tcW w:w="3261"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1B09AAAF" w14:textId="4782FF48" w:rsidR="00EA74D2" w:rsidRPr="00CE39FB" w:rsidRDefault="00EA74D2" w:rsidP="004D5C85">
            <w:pPr>
              <w:pStyle w:val="Tabletext"/>
              <w:rPr>
                <w:lang w:val="fr-CH"/>
              </w:rPr>
            </w:pPr>
            <w:r>
              <w:rPr>
                <w:lang w:val="fr-CH"/>
              </w:rPr>
              <w:t xml:space="preserve">Le membre de phrase </w:t>
            </w:r>
            <w:r w:rsidR="004D5C85">
              <w:rPr>
                <w:lang w:val="fr-CH"/>
              </w:rPr>
              <w:t>"</w:t>
            </w:r>
            <w:r w:rsidRPr="00EA74D2">
              <w:rPr>
                <w:lang w:val="fr-CH"/>
              </w:rPr>
              <w:t>Les États Membres devraient, lorsqu'il y a lieu, encourager</w:t>
            </w:r>
            <w:r w:rsidR="004D5C85">
              <w:rPr>
                <w:lang w:val="fr-CH"/>
              </w:rPr>
              <w:t>"</w:t>
            </w:r>
            <w:r>
              <w:rPr>
                <w:lang w:val="fr-CH"/>
              </w:rPr>
              <w:t xml:space="preserve"> n'est pas juridiquement exécutoire et, de plus, est vraisemblablement appliqué de manière très différente d'un État à l'autre en raison des interprétations différentes des expressions </w:t>
            </w:r>
            <w:r w:rsidR="004D5C85">
              <w:rPr>
                <w:lang w:val="fr-CH"/>
              </w:rPr>
              <w:t>"</w:t>
            </w:r>
            <w:r>
              <w:rPr>
                <w:lang w:val="fr-CH"/>
              </w:rPr>
              <w:t>lorsqu'il y a lieu</w:t>
            </w:r>
            <w:r w:rsidR="004D5C85">
              <w:rPr>
                <w:lang w:val="fr-CH"/>
              </w:rPr>
              <w:t>"</w:t>
            </w:r>
            <w:r>
              <w:rPr>
                <w:lang w:val="fr-CH"/>
              </w:rPr>
              <w:t xml:space="preserve"> et </w:t>
            </w:r>
            <w:r w:rsidR="004D5C85">
              <w:rPr>
                <w:lang w:val="fr-CH"/>
              </w:rPr>
              <w:t>"</w:t>
            </w:r>
            <w:r>
              <w:rPr>
                <w:lang w:val="fr-CH"/>
              </w:rPr>
              <w:t>encourager</w:t>
            </w:r>
            <w:r w:rsidR="004D5C85">
              <w:rPr>
                <w:lang w:val="fr-CH"/>
              </w:rPr>
              <w:t>"</w:t>
            </w:r>
            <w:r>
              <w:rPr>
                <w:lang w:val="fr-CH"/>
              </w:rPr>
              <w:t>.</w:t>
            </w:r>
          </w:p>
          <w:p w14:paraId="7E32B579" w14:textId="3CBBE8FC" w:rsidR="002D0770" w:rsidRPr="00B74BBD" w:rsidRDefault="00EA74D2" w:rsidP="00160FE2">
            <w:pPr>
              <w:pStyle w:val="Tabletext"/>
              <w:rPr>
                <w:lang w:val="fr-CH"/>
              </w:rPr>
            </w:pPr>
            <w:r>
              <w:rPr>
                <w:lang w:val="fr-CH"/>
              </w:rPr>
              <w:t xml:space="preserve">Par conséquent, </w:t>
            </w:r>
            <w:r>
              <w:t>cette disposition n'aide pas à favoriser la fourniture et le développement des réseaux et des services.</w:t>
            </w:r>
          </w:p>
        </w:tc>
        <w:tc>
          <w:tcPr>
            <w:tcW w:w="2976"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7A68DE23" w14:textId="0189B98C" w:rsidR="003866A7" w:rsidRPr="00B74BBD" w:rsidRDefault="003866A7" w:rsidP="004D5C85">
            <w:pPr>
              <w:pStyle w:val="Tabletext"/>
              <w:rPr>
                <w:lang w:val="fr-CH"/>
              </w:rPr>
            </w:pPr>
            <w:r w:rsidRPr="003866A7">
              <w:rPr>
                <w:lang w:val="fr-CH"/>
              </w:rPr>
              <w:t>Un grand nombre de nouvelles Recommandations UIT-T sont publiées chaque année pour tenir compte des nouvelles tendances et des nouveaux problèmes qui se font jour. Toutefois, cela signifie aussi qu'il existe toujours un ensemble de Recommandations obsolètes et redondantes</w:t>
            </w:r>
            <w:r>
              <w:rPr>
                <w:lang w:val="fr-CH"/>
              </w:rPr>
              <w:t>.</w:t>
            </w:r>
            <w:r w:rsidR="00EA74D2">
              <w:rPr>
                <w:lang w:val="fr-CH"/>
              </w:rPr>
              <w:t xml:space="preserve"> Selon ces dispositions, les États Membres sont tenus d'encourager les parties à tout arrangement particulier à tenir compte de ces Recommandations redondantes.</w:t>
            </w:r>
          </w:p>
        </w:tc>
        <w:tc>
          <w:tcPr>
            <w:tcW w:w="1157"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241ED63C" w14:textId="77777777" w:rsidR="002D0770" w:rsidRPr="00B74BBD" w:rsidRDefault="002D0770" w:rsidP="004D5C85">
            <w:pPr>
              <w:pStyle w:val="Tabletext"/>
              <w:rPr>
                <w:lang w:val="fr-CH"/>
              </w:rPr>
            </w:pPr>
          </w:p>
        </w:tc>
      </w:tr>
      <w:tr w:rsidR="002D0770" w:rsidRPr="00160FE2" w14:paraId="64E7503D" w14:textId="77777777" w:rsidTr="004D5C85">
        <w:trPr>
          <w:cantSplit/>
          <w:trHeight w:val="281"/>
        </w:trPr>
        <w:tc>
          <w:tcPr>
            <w:tcW w:w="98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6BE29848" w14:textId="77777777" w:rsidR="002D0770" w:rsidRPr="00160FE2" w:rsidRDefault="002D0770" w:rsidP="00160FE2">
            <w:pPr>
              <w:pStyle w:val="Tabletext"/>
              <w:keepNext/>
              <w:keepLines/>
              <w:jc w:val="center"/>
              <w:rPr>
                <w:b/>
                <w:bCs/>
              </w:rPr>
            </w:pPr>
          </w:p>
        </w:tc>
        <w:tc>
          <w:tcPr>
            <w:tcW w:w="3969"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6EF8FEC2" w14:textId="14BDD429" w:rsidR="002D0770" w:rsidRPr="00160FE2" w:rsidRDefault="002D0770" w:rsidP="00160FE2">
            <w:pPr>
              <w:pStyle w:val="Tabletext"/>
              <w:keepNext/>
              <w:keepLines/>
              <w:rPr>
                <w:b/>
                <w:bCs/>
                <w:lang w:val="fr-CH"/>
              </w:rPr>
            </w:pPr>
            <w:r w:rsidRPr="00160FE2">
              <w:rPr>
                <w:b/>
                <w:bCs/>
                <w:lang w:val="fr-CH"/>
              </w:rPr>
              <w:t>Dispositions finales</w:t>
            </w:r>
          </w:p>
        </w:tc>
        <w:tc>
          <w:tcPr>
            <w:tcW w:w="3543"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61525B60" w14:textId="1CAFE1CA" w:rsidR="002D0770" w:rsidRPr="00160FE2" w:rsidRDefault="006532F3" w:rsidP="00160FE2">
            <w:pPr>
              <w:pStyle w:val="Tabletext"/>
              <w:keepNext/>
              <w:keepLines/>
              <w:rPr>
                <w:b/>
                <w:bCs/>
                <w:lang w:val="fr-CH"/>
              </w:rPr>
            </w:pPr>
            <w:r w:rsidRPr="00160FE2">
              <w:rPr>
                <w:b/>
                <w:bCs/>
                <w:lang w:val="fr-CH"/>
              </w:rPr>
              <w:t>Article 10: Dispositions finales</w:t>
            </w:r>
          </w:p>
        </w:tc>
        <w:tc>
          <w:tcPr>
            <w:tcW w:w="3261"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2F88584E" w14:textId="77777777" w:rsidR="002D0770" w:rsidRPr="00160FE2" w:rsidRDefault="002D0770" w:rsidP="00160FE2">
            <w:pPr>
              <w:pStyle w:val="Tabletext"/>
              <w:keepNext/>
              <w:keepLines/>
              <w:rPr>
                <w:b/>
                <w:bCs/>
                <w:lang w:val="fr-CH"/>
              </w:rPr>
            </w:pPr>
          </w:p>
        </w:tc>
        <w:tc>
          <w:tcPr>
            <w:tcW w:w="2976"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1CB0676E" w14:textId="77777777" w:rsidR="002D0770" w:rsidRPr="00160FE2" w:rsidRDefault="002D0770" w:rsidP="00160FE2">
            <w:pPr>
              <w:pStyle w:val="Tabletext"/>
              <w:keepNext/>
              <w:keepLines/>
              <w:rPr>
                <w:b/>
                <w:bCs/>
                <w:lang w:val="fr-CH"/>
              </w:rPr>
            </w:pPr>
          </w:p>
        </w:tc>
        <w:tc>
          <w:tcPr>
            <w:tcW w:w="1157"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367C9831" w14:textId="77777777" w:rsidR="002D0770" w:rsidRPr="00160FE2" w:rsidRDefault="002D0770" w:rsidP="00160FE2">
            <w:pPr>
              <w:pStyle w:val="Tabletext"/>
              <w:keepNext/>
              <w:keepLines/>
              <w:rPr>
                <w:b/>
                <w:bCs/>
                <w:lang w:val="fr-CH"/>
              </w:rPr>
            </w:pPr>
          </w:p>
        </w:tc>
      </w:tr>
      <w:tr w:rsidR="003866A7" w:rsidRPr="00B74BBD" w14:paraId="57B45853" w14:textId="77777777" w:rsidTr="004D5C85">
        <w:trPr>
          <w:cantSplit/>
          <w:trHeight w:val="281"/>
        </w:trPr>
        <w:tc>
          <w:tcPr>
            <w:tcW w:w="98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3DB32807" w14:textId="13374A8C" w:rsidR="003866A7" w:rsidRDefault="003866A7" w:rsidP="00160FE2">
            <w:pPr>
              <w:pStyle w:val="Tabletext"/>
              <w:keepNext/>
              <w:keepLines/>
              <w:jc w:val="center"/>
            </w:pPr>
            <w:r>
              <w:t>14.1</w:t>
            </w:r>
          </w:p>
        </w:tc>
        <w:tc>
          <w:tcPr>
            <w:tcW w:w="3969"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1D1362B2" w14:textId="1BE06317" w:rsidR="003866A7" w:rsidRPr="002D0770" w:rsidRDefault="003866A7" w:rsidP="00160FE2">
            <w:pPr>
              <w:pStyle w:val="Tabletext"/>
              <w:keepNext/>
              <w:keepLines/>
              <w:rPr>
                <w:lang w:val="fr-CH"/>
              </w:rPr>
            </w:pPr>
            <w:r w:rsidRPr="002D0770">
              <w:rPr>
                <w:lang w:val="fr-CH"/>
              </w:rPr>
              <w:t>Le présent Règlement, dont les Appendices 1 et 2 font partie intégrante, entrera en vigueur le 1er janvier 2015 et s'appliquera à compter de cette date, conformément à toutes les dispositions de l'article 54 de la Constitution.</w:t>
            </w:r>
          </w:p>
        </w:tc>
        <w:tc>
          <w:tcPr>
            <w:tcW w:w="3543"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5551F1FB" w14:textId="7E51FA8D" w:rsidR="003866A7" w:rsidRDefault="003866A7" w:rsidP="00160FE2">
            <w:pPr>
              <w:pStyle w:val="Tabletext"/>
              <w:keepNext/>
              <w:keepLines/>
              <w:rPr>
                <w:lang w:val="fr-CH"/>
              </w:rPr>
            </w:pPr>
            <w:r w:rsidRPr="006532F3">
              <w:rPr>
                <w:lang w:val="fr-CH"/>
              </w:rPr>
              <w:t>10.1</w:t>
            </w:r>
            <w:r w:rsidRPr="006532F3">
              <w:rPr>
                <w:lang w:val="fr-CH"/>
              </w:rPr>
              <w:tab/>
              <w:t xml:space="preserve">Le présent Règlement, dont les Appendices 1, 2 et 3 font partie intégrante, entrera en vigueur le </w:t>
            </w:r>
            <w:r>
              <w:rPr>
                <w:lang w:val="fr-CH"/>
              </w:rPr>
              <w:t>1</w:t>
            </w:r>
            <w:r w:rsidRPr="00160FE2">
              <w:t>er</w:t>
            </w:r>
            <w:r w:rsidR="00160FE2">
              <w:rPr>
                <w:lang w:val="fr-CH"/>
              </w:rPr>
              <w:t> </w:t>
            </w:r>
            <w:r w:rsidRPr="006532F3">
              <w:rPr>
                <w:lang w:val="fr-CH"/>
              </w:rPr>
              <w:t>juillet 1990 à 0001 heure UTC.</w:t>
            </w:r>
          </w:p>
          <w:p w14:paraId="0BBE0B74" w14:textId="540A0A87" w:rsidR="003866A7" w:rsidRDefault="003866A7" w:rsidP="00160FE2">
            <w:pPr>
              <w:pStyle w:val="Tabletext"/>
              <w:keepNext/>
              <w:keepLines/>
              <w:rPr>
                <w:lang w:val="fr-CH"/>
              </w:rPr>
            </w:pPr>
            <w:r w:rsidRPr="006532F3">
              <w:rPr>
                <w:lang w:val="fr-CH"/>
              </w:rPr>
              <w:t>10.2</w:t>
            </w:r>
            <w:r w:rsidRPr="006532F3">
              <w:rPr>
                <w:lang w:val="fr-CH"/>
              </w:rPr>
              <w:tab/>
            </w:r>
            <w:r w:rsidR="00160FE2">
              <w:rPr>
                <w:lang w:val="fr-CH"/>
              </w:rPr>
              <w:t>À</w:t>
            </w:r>
            <w:r w:rsidRPr="006532F3">
              <w:rPr>
                <w:lang w:val="fr-CH"/>
              </w:rPr>
              <w:t xml:space="preserve"> la date spécifiée au numéro</w:t>
            </w:r>
            <w:r w:rsidR="00160FE2">
              <w:rPr>
                <w:lang w:val="fr-CH"/>
              </w:rPr>
              <w:t> </w:t>
            </w:r>
            <w:r w:rsidRPr="006532F3">
              <w:rPr>
                <w:lang w:val="fr-CH"/>
              </w:rPr>
              <w:t>61, le Règlement télégraphique (Genève, 1973) et le Règlement téléphonique (Genève,</w:t>
            </w:r>
            <w:r w:rsidR="00875DB2">
              <w:rPr>
                <w:lang w:val="fr-CH"/>
              </w:rPr>
              <w:t> </w:t>
            </w:r>
            <w:r w:rsidRPr="006532F3">
              <w:rPr>
                <w:lang w:val="fr-CH"/>
              </w:rPr>
              <w:t>1973) seront remplacés par le présent Règlement des télécommunications internationales (Melbourne, 1988), conformément à la Convention internationale des télécommunications.</w:t>
            </w:r>
          </w:p>
        </w:tc>
        <w:tc>
          <w:tcPr>
            <w:tcW w:w="3261"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14CA0AE1" w14:textId="0FA90AAD" w:rsidR="003866A7" w:rsidRPr="00160FE2" w:rsidRDefault="00EA74D2" w:rsidP="00160FE2">
            <w:pPr>
              <w:pStyle w:val="Tabletext"/>
              <w:keepNext/>
              <w:keepLines/>
            </w:pPr>
            <w:r>
              <w:t>Cette disposition fixe la date d'entrée en vigueur du traité; par conséquent elle ne peut pas à elle seule faciliter la fourniture et le développement des réseaux et des services.</w:t>
            </w:r>
          </w:p>
        </w:tc>
        <w:tc>
          <w:tcPr>
            <w:tcW w:w="2976"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261013E2" w14:textId="28735A04" w:rsidR="003866A7" w:rsidRPr="00B74BBD" w:rsidRDefault="00EA74D2" w:rsidP="00160FE2">
            <w:pPr>
              <w:pStyle w:val="Tabletext"/>
              <w:keepNext/>
              <w:keepLines/>
              <w:rPr>
                <w:lang w:val="fr-CH"/>
              </w:rPr>
            </w:pPr>
            <w:r>
              <w:t xml:space="preserve">Cette disposition fixe la date d'entrée en vigueur du traité; par conséquent elle ne peut pas à elle seule offrir de la souplesse </w:t>
            </w:r>
            <w:r>
              <w:rPr>
                <w:lang w:val="fr-CH"/>
              </w:rPr>
              <w:t>pour tenir compte des nouvelles tendances</w:t>
            </w:r>
            <w:r>
              <w:t xml:space="preserve"> </w:t>
            </w:r>
            <w:r w:rsidRPr="00BB46B2">
              <w:rPr>
                <w:lang w:val="fr-CH"/>
              </w:rPr>
              <w:t>et des nouveaux problèmes qui se font jour</w:t>
            </w:r>
            <w:r w:rsidRPr="00CE39FB">
              <w:rPr>
                <w:lang w:val="fr-CH"/>
              </w:rPr>
              <w:t>.</w:t>
            </w:r>
            <w:r w:rsidR="003866A7" w:rsidRPr="0088383E">
              <w:t xml:space="preserve"> </w:t>
            </w:r>
          </w:p>
        </w:tc>
        <w:tc>
          <w:tcPr>
            <w:tcW w:w="1157"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51D79D24" w14:textId="77777777" w:rsidR="003866A7" w:rsidRPr="00B74BBD" w:rsidRDefault="003866A7" w:rsidP="00160FE2">
            <w:pPr>
              <w:pStyle w:val="Tabletext"/>
              <w:keepNext/>
              <w:keepLines/>
              <w:rPr>
                <w:lang w:val="fr-CH"/>
              </w:rPr>
            </w:pPr>
          </w:p>
        </w:tc>
      </w:tr>
      <w:tr w:rsidR="003866A7" w:rsidRPr="00B74BBD" w14:paraId="2A14CB51" w14:textId="77777777" w:rsidTr="004D5C85">
        <w:trPr>
          <w:cantSplit/>
          <w:trHeight w:val="281"/>
        </w:trPr>
        <w:tc>
          <w:tcPr>
            <w:tcW w:w="98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0046FF38" w14:textId="5D7315BB" w:rsidR="003866A7" w:rsidRDefault="003866A7" w:rsidP="004D5C85">
            <w:pPr>
              <w:pStyle w:val="Tabletext"/>
              <w:jc w:val="center"/>
            </w:pPr>
            <w:r>
              <w:lastRenderedPageBreak/>
              <w:t>14.2</w:t>
            </w:r>
          </w:p>
        </w:tc>
        <w:tc>
          <w:tcPr>
            <w:tcW w:w="3969"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3EB9B93F" w14:textId="7C3F3AFD" w:rsidR="003866A7" w:rsidRPr="002D0770" w:rsidRDefault="003866A7" w:rsidP="004D5C85">
            <w:pPr>
              <w:pStyle w:val="Tabletext"/>
              <w:rPr>
                <w:lang w:val="fr-CH"/>
              </w:rPr>
            </w:pPr>
            <w:r w:rsidRPr="002D0770">
              <w:rPr>
                <w:lang w:val="fr-CH"/>
              </w:rPr>
              <w:t xml:space="preserve">Si un État Membre formule des réserves au sujet de l'application d'une ou de plusieurs dispositions du présent Règlement, les autres </w:t>
            </w:r>
            <w:r w:rsidR="004D5C85" w:rsidRPr="002D0770">
              <w:rPr>
                <w:lang w:val="fr-CH"/>
              </w:rPr>
              <w:t>États</w:t>
            </w:r>
            <w:r w:rsidRPr="002D0770">
              <w:rPr>
                <w:lang w:val="fr-CH"/>
              </w:rPr>
              <w:t xml:space="preserve"> Membres ne sont pas obligés d'observer la ou lesdites dispositions dans leurs relations avec l'État Membre qui a formulé de telles réserves.</w:t>
            </w:r>
          </w:p>
        </w:tc>
        <w:tc>
          <w:tcPr>
            <w:tcW w:w="3543"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7AC862D2" w14:textId="77777777" w:rsidR="003866A7" w:rsidRDefault="003866A7" w:rsidP="004D5C85">
            <w:pPr>
              <w:pStyle w:val="Tabletext"/>
              <w:rPr>
                <w:lang w:val="fr-CH"/>
              </w:rPr>
            </w:pPr>
            <w:r w:rsidRPr="006532F3">
              <w:rPr>
                <w:lang w:val="fr-CH"/>
              </w:rPr>
              <w:t>10.3</w:t>
            </w:r>
            <w:r w:rsidRPr="006532F3">
              <w:rPr>
                <w:lang w:val="fr-CH"/>
              </w:rPr>
              <w:tab/>
              <w:t>Si un Membre formule des réserves au sujet de l'application d'une ou de plusieurs dispositions de ce Règlement, les autres Membres et leurs administrations* ne sont pas obligés d'observer la ou lesdites dispositions dans ses relations avec le Membre qui a formulé de telles réserves et les administrations* de ce dernier.</w:t>
            </w:r>
          </w:p>
          <w:p w14:paraId="76047EAD" w14:textId="0ECD8D86" w:rsidR="003866A7" w:rsidRDefault="003866A7" w:rsidP="00160FE2">
            <w:pPr>
              <w:pStyle w:val="Tabletext"/>
              <w:tabs>
                <w:tab w:val="left" w:pos="376"/>
              </w:tabs>
              <w:rPr>
                <w:lang w:val="fr-CH"/>
              </w:rPr>
            </w:pPr>
            <w:r w:rsidRPr="006532F3">
              <w:rPr>
                <w:lang w:val="fr-CH"/>
              </w:rPr>
              <w:t>*</w:t>
            </w:r>
            <w:r w:rsidR="00160FE2">
              <w:rPr>
                <w:lang w:val="fr-CH"/>
              </w:rPr>
              <w:tab/>
            </w:r>
            <w:r w:rsidR="001A7F05" w:rsidRPr="001A7F05">
              <w:rPr>
                <w:lang w:val="fr-CH"/>
              </w:rPr>
              <w:t>ou exploitation(s) privée(s) reconnue(s)</w:t>
            </w:r>
          </w:p>
        </w:tc>
        <w:tc>
          <w:tcPr>
            <w:tcW w:w="3261"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257CA471" w14:textId="688C9D2A" w:rsidR="003866A7" w:rsidRPr="00160FE2" w:rsidRDefault="00392AE1" w:rsidP="004D5C85">
            <w:pPr>
              <w:pStyle w:val="Tabletext"/>
            </w:pPr>
            <w:r>
              <w:t>Le fait que les États Membres sont autorisés à formuler des réserves au sujet de toute disposition risque</w:t>
            </w:r>
            <w:r w:rsidR="00885F20">
              <w:t xml:space="preserve"> de nuire à l'efficacité de ce traité ou d'entraîner des incohérences entre les membres.</w:t>
            </w:r>
            <w:r w:rsidR="00885F20">
              <w:rPr>
                <w:lang w:val="fr-CH"/>
              </w:rPr>
              <w:t xml:space="preserve"> Par conséquent, </w:t>
            </w:r>
            <w:r w:rsidR="00885F20">
              <w:t>cette disposition n'aide pas à favoriser la fourniture et le développement des réseaux et des services.</w:t>
            </w:r>
          </w:p>
        </w:tc>
        <w:tc>
          <w:tcPr>
            <w:tcW w:w="2976"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39BD449D" w14:textId="6107124E" w:rsidR="003866A7" w:rsidRPr="00B74BBD" w:rsidRDefault="00370262" w:rsidP="004D5C85">
            <w:pPr>
              <w:pStyle w:val="Tabletext"/>
              <w:rPr>
                <w:lang w:val="fr-CH"/>
              </w:rPr>
            </w:pPr>
            <w:r w:rsidRPr="00370262">
              <w:rPr>
                <w:lang w:val="fr-CH"/>
              </w:rPr>
              <w:t>Cette disposition manque de souplesse, en ce sens que si les États Membres peuvent formuler des réserves lorsqu'ils signent la Convention, ils ne peuvent par la suite annuler des réserves ou en ajouter de nouvelles</w:t>
            </w:r>
            <w:r>
              <w:rPr>
                <w:lang w:val="fr-CH"/>
              </w:rPr>
              <w:t xml:space="preserve"> que de nouveaux problèmes qui se font jour pourraient rendre nécessaires.</w:t>
            </w:r>
          </w:p>
        </w:tc>
        <w:tc>
          <w:tcPr>
            <w:tcW w:w="1157"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2CFE1267" w14:textId="77777777" w:rsidR="003866A7" w:rsidRPr="00B74BBD" w:rsidRDefault="003866A7" w:rsidP="004D5C85">
            <w:pPr>
              <w:pStyle w:val="Tabletext"/>
              <w:rPr>
                <w:lang w:val="fr-CH"/>
              </w:rPr>
            </w:pPr>
          </w:p>
        </w:tc>
      </w:tr>
      <w:tr w:rsidR="003866A7" w:rsidRPr="00B74BBD" w14:paraId="6914BF10" w14:textId="77777777" w:rsidTr="004D5C85">
        <w:trPr>
          <w:cantSplit/>
          <w:trHeight w:val="281"/>
        </w:trPr>
        <w:tc>
          <w:tcPr>
            <w:tcW w:w="98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63466D8A" w14:textId="77777777" w:rsidR="003866A7" w:rsidRDefault="003866A7" w:rsidP="004D5C85">
            <w:pPr>
              <w:pStyle w:val="Tabletext"/>
              <w:jc w:val="center"/>
            </w:pPr>
          </w:p>
        </w:tc>
        <w:tc>
          <w:tcPr>
            <w:tcW w:w="3969"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1FE544A4" w14:textId="77777777" w:rsidR="003866A7" w:rsidRPr="002D0770" w:rsidRDefault="003866A7" w:rsidP="004D5C85">
            <w:pPr>
              <w:pStyle w:val="Tabletext"/>
              <w:rPr>
                <w:lang w:val="fr-CH"/>
              </w:rPr>
            </w:pPr>
          </w:p>
        </w:tc>
        <w:tc>
          <w:tcPr>
            <w:tcW w:w="3543"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39870492" w14:textId="74E3B643" w:rsidR="003866A7" w:rsidRDefault="003866A7" w:rsidP="004D5C85">
            <w:pPr>
              <w:pStyle w:val="Tabletext"/>
              <w:rPr>
                <w:lang w:val="fr-CH"/>
              </w:rPr>
            </w:pPr>
            <w:r w:rsidRPr="00CE39FB">
              <w:rPr>
                <w:lang w:val="fr-CH"/>
              </w:rPr>
              <w:t>10.4</w:t>
            </w:r>
            <w:r w:rsidRPr="00CE39FB">
              <w:rPr>
                <w:lang w:val="fr-CH"/>
              </w:rPr>
              <w:tab/>
              <w:t>Les Membres de l'Union doivent informer le Secrétaire général de leur approbation du Règlement des télécommunications internationales</w:t>
            </w:r>
            <w:bookmarkStart w:id="12" w:name="_GoBack"/>
            <w:bookmarkEnd w:id="12"/>
            <w:r w:rsidRPr="00CE39FB">
              <w:rPr>
                <w:lang w:val="fr-CH"/>
              </w:rPr>
              <w:t xml:space="preserve"> adopté par la Conférence. Le Secrétaire général devra informer sans délai les Membres de la réception des notifications d'approbation.</w:t>
            </w:r>
          </w:p>
        </w:tc>
        <w:tc>
          <w:tcPr>
            <w:tcW w:w="3261"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0BC72956" w14:textId="31513109" w:rsidR="003866A7" w:rsidRPr="00B74BBD" w:rsidRDefault="003866A7" w:rsidP="004D5C85">
            <w:pPr>
              <w:pStyle w:val="Tabletext"/>
              <w:rPr>
                <w:lang w:val="fr-CH"/>
              </w:rPr>
            </w:pPr>
            <w:r w:rsidRPr="00AD265D">
              <w:t>San</w:t>
            </w:r>
            <w:r w:rsidR="005E5800">
              <w:t>s objet – ne figure pas dans le </w:t>
            </w:r>
            <w:r w:rsidRPr="00AD265D">
              <w:t>RTI dans sa version de 2012</w:t>
            </w:r>
            <w:r w:rsidR="00875DB2">
              <w:t>.</w:t>
            </w:r>
          </w:p>
        </w:tc>
        <w:tc>
          <w:tcPr>
            <w:tcW w:w="2976"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728988FA" w14:textId="7F0BC1D0" w:rsidR="003866A7" w:rsidRPr="00B74BBD" w:rsidRDefault="003866A7" w:rsidP="004D5C85">
            <w:pPr>
              <w:pStyle w:val="Tabletext"/>
              <w:rPr>
                <w:lang w:val="fr-CH"/>
              </w:rPr>
            </w:pPr>
            <w:r w:rsidRPr="00AD265D">
              <w:t>Sans objet – ne figure pas dans le RTI dans sa version de 2012</w:t>
            </w:r>
            <w:r w:rsidR="00875DB2">
              <w:t>.</w:t>
            </w:r>
          </w:p>
        </w:tc>
        <w:tc>
          <w:tcPr>
            <w:tcW w:w="1157"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2158DCA1" w14:textId="77777777" w:rsidR="003866A7" w:rsidRPr="00B74BBD" w:rsidRDefault="003866A7" w:rsidP="004D5C85">
            <w:pPr>
              <w:pStyle w:val="Tabletext"/>
              <w:rPr>
                <w:lang w:val="fr-CH"/>
              </w:rPr>
            </w:pPr>
          </w:p>
        </w:tc>
      </w:tr>
    </w:tbl>
    <w:p w14:paraId="5ED4258B" w14:textId="77777777" w:rsidR="00CE39FB" w:rsidRDefault="00CE39FB" w:rsidP="0032202E">
      <w:pPr>
        <w:pStyle w:val="Reasons"/>
      </w:pPr>
    </w:p>
    <w:p w14:paraId="312A092F" w14:textId="193719ED" w:rsidR="00571EEA" w:rsidRDefault="00CE39FB" w:rsidP="005E5800">
      <w:pPr>
        <w:jc w:val="center"/>
      </w:pPr>
      <w:r>
        <w:t>______________</w:t>
      </w:r>
    </w:p>
    <w:sectPr w:rsidR="00571EEA" w:rsidSect="002D0770">
      <w:pgSz w:w="16840" w:h="11907" w:orient="landscape" w:code="9"/>
      <w:pgMar w:top="1134" w:right="1418" w:bottom="1134" w:left="1418" w:header="720" w:footer="720" w:gutter="0"/>
      <w:paperSrc w:first="261" w:other="26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7D130" w14:textId="77777777" w:rsidR="0027231B" w:rsidRDefault="0027231B">
      <w:r>
        <w:separator/>
      </w:r>
    </w:p>
  </w:endnote>
  <w:endnote w:type="continuationSeparator" w:id="0">
    <w:p w14:paraId="7BCE41C4" w14:textId="77777777" w:rsidR="0027231B" w:rsidRDefault="00272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6B15B" w14:textId="3C690A8A" w:rsidR="00732045" w:rsidRPr="00474A8E" w:rsidRDefault="001A6508">
    <w:pPr>
      <w:pStyle w:val="Footer"/>
      <w:rPr>
        <w:lang w:val="en-US"/>
      </w:rPr>
    </w:pPr>
    <w:r>
      <w:fldChar w:fldCharType="begin"/>
    </w:r>
    <w:r w:rsidRPr="00474A8E">
      <w:rPr>
        <w:lang w:val="en-US"/>
      </w:rPr>
      <w:instrText xml:space="preserve"> FILENAME \p \* MERGEFORMAT </w:instrText>
    </w:r>
    <w:r>
      <w:fldChar w:fldCharType="separate"/>
    </w:r>
    <w:r w:rsidR="00CA7F79">
      <w:rPr>
        <w:lang w:val="en-US"/>
      </w:rPr>
      <w:t>P:\FRA\SG\CONSEIL\EG-ITR\EG-ITR-4\000\003F.docx</w:t>
    </w:r>
    <w:r>
      <w:fldChar w:fldCharType="end"/>
    </w:r>
    <w:r w:rsidR="00732045" w:rsidRPr="00474A8E">
      <w:rPr>
        <w:lang w:val="en-US"/>
      </w:rPr>
      <w:tab/>
    </w:r>
    <w:r w:rsidR="002F1B76">
      <w:fldChar w:fldCharType="begin"/>
    </w:r>
    <w:r w:rsidR="00732045">
      <w:instrText xml:space="preserve"> savedate \@ dd.MM.yy </w:instrText>
    </w:r>
    <w:r w:rsidR="002F1B76">
      <w:fldChar w:fldCharType="separate"/>
    </w:r>
    <w:r w:rsidR="00CA7F79">
      <w:t>18.01.21</w:t>
    </w:r>
    <w:r w:rsidR="002F1B76">
      <w:fldChar w:fldCharType="end"/>
    </w:r>
    <w:r w:rsidR="00732045" w:rsidRPr="00474A8E">
      <w:rPr>
        <w:lang w:val="en-US"/>
      </w:rPr>
      <w:tab/>
    </w:r>
    <w:r w:rsidR="002F1B76">
      <w:fldChar w:fldCharType="begin"/>
    </w:r>
    <w:r w:rsidR="00732045">
      <w:instrText xml:space="preserve"> printdate \@ dd.MM.yy </w:instrText>
    </w:r>
    <w:r w:rsidR="002F1B76">
      <w:fldChar w:fldCharType="separate"/>
    </w:r>
    <w:r w:rsidR="00CA7F79">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35FDF" w14:textId="615EE5F7" w:rsidR="00732045" w:rsidRPr="00474A8E" w:rsidRDefault="001A6508" w:rsidP="00D837AA">
    <w:pPr>
      <w:pStyle w:val="Footer"/>
      <w:rPr>
        <w:lang w:val="en-US"/>
      </w:rPr>
    </w:pPr>
    <w:r>
      <w:fldChar w:fldCharType="begin"/>
    </w:r>
    <w:r w:rsidRPr="00474A8E">
      <w:rPr>
        <w:lang w:val="en-US"/>
      </w:rPr>
      <w:instrText xml:space="preserve"> FILENAME \p \* MERGEFORMAT </w:instrText>
    </w:r>
    <w:r>
      <w:fldChar w:fldCharType="separate"/>
    </w:r>
    <w:r w:rsidR="00CA7F79">
      <w:rPr>
        <w:lang w:val="en-US"/>
      </w:rPr>
      <w:t>P:\FRA\SG\CONSEIL\EG-ITR\EG-ITR-4\000\003F.docx</w:t>
    </w:r>
    <w:r>
      <w:fldChar w:fldCharType="end"/>
    </w:r>
    <w:r w:rsidR="00CE18AF">
      <w:t xml:space="preserve"> (481940)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FA96D"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0C46E" w14:textId="77777777" w:rsidR="0027231B" w:rsidRDefault="0027231B">
      <w:r>
        <w:t>____________________</w:t>
      </w:r>
    </w:p>
  </w:footnote>
  <w:footnote w:type="continuationSeparator" w:id="0">
    <w:p w14:paraId="22ADEEE4" w14:textId="77777777" w:rsidR="0027231B" w:rsidRDefault="00272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F338B"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33B94F0A"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77FA" w14:textId="72179C03" w:rsidR="00732045" w:rsidRDefault="00C27A7C" w:rsidP="00475FB3">
    <w:pPr>
      <w:pStyle w:val="Header"/>
    </w:pPr>
    <w:r>
      <w:fldChar w:fldCharType="begin"/>
    </w:r>
    <w:r>
      <w:instrText>PAGE</w:instrText>
    </w:r>
    <w:r>
      <w:fldChar w:fldCharType="separate"/>
    </w:r>
    <w:r w:rsidR="00CA7F79">
      <w:rPr>
        <w:noProof/>
      </w:rPr>
      <w:t>10</w:t>
    </w:r>
    <w:r>
      <w:rPr>
        <w:noProof/>
      </w:rPr>
      <w:fldChar w:fldCharType="end"/>
    </w:r>
  </w:p>
  <w:p w14:paraId="49F39EFE" w14:textId="2E1B2E12" w:rsidR="00732045" w:rsidRDefault="00B84194" w:rsidP="004D5C85">
    <w:pPr>
      <w:pStyle w:val="Header"/>
      <w:spacing w:after="120"/>
    </w:pPr>
    <w:r>
      <w:rPr>
        <w:noProof/>
      </w:rPr>
      <w:t>EG-ITRs-</w:t>
    </w:r>
    <w:r w:rsidR="006532F3">
      <w:rPr>
        <w:noProof/>
      </w:rPr>
      <w:t>4</w:t>
    </w:r>
    <w:r>
      <w:rPr>
        <w:noProof/>
      </w:rPr>
      <w:t>\</w:t>
    </w:r>
    <w:r w:rsidR="006532F3">
      <w:rPr>
        <w:noProof/>
      </w:rPr>
      <w:t>3</w:t>
    </w:r>
    <w:r>
      <w:rPr>
        <w:noProof/>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isplayBackgroundShap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F12BB21-4EEE-4A62-97A3-802C3F334509}"/>
    <w:docVar w:name="dgnword-eventsink" w:val="2555077079040"/>
  </w:docVars>
  <w:rsids>
    <w:rsidRoot w:val="00EC543B"/>
    <w:rsid w:val="000D0D0A"/>
    <w:rsid w:val="00103163"/>
    <w:rsid w:val="00104886"/>
    <w:rsid w:val="00115D93"/>
    <w:rsid w:val="001247A8"/>
    <w:rsid w:val="001378C0"/>
    <w:rsid w:val="00160FE2"/>
    <w:rsid w:val="0018694A"/>
    <w:rsid w:val="0019754F"/>
    <w:rsid w:val="001A3287"/>
    <w:rsid w:val="001A6508"/>
    <w:rsid w:val="001A7F05"/>
    <w:rsid w:val="001D4C31"/>
    <w:rsid w:val="001E4D21"/>
    <w:rsid w:val="001F2179"/>
    <w:rsid w:val="001F3DDD"/>
    <w:rsid w:val="00207CD1"/>
    <w:rsid w:val="00225431"/>
    <w:rsid w:val="002477A2"/>
    <w:rsid w:val="00263A51"/>
    <w:rsid w:val="00267E02"/>
    <w:rsid w:val="0027231B"/>
    <w:rsid w:val="002A5D44"/>
    <w:rsid w:val="002D0770"/>
    <w:rsid w:val="002E0BC4"/>
    <w:rsid w:val="002F1B76"/>
    <w:rsid w:val="00355FF5"/>
    <w:rsid w:val="00361350"/>
    <w:rsid w:val="00370262"/>
    <w:rsid w:val="003866A7"/>
    <w:rsid w:val="00392AE1"/>
    <w:rsid w:val="003D1A1F"/>
    <w:rsid w:val="004038CB"/>
    <w:rsid w:val="0040546F"/>
    <w:rsid w:val="0042404A"/>
    <w:rsid w:val="0042535D"/>
    <w:rsid w:val="0044618F"/>
    <w:rsid w:val="0046769A"/>
    <w:rsid w:val="00474A8E"/>
    <w:rsid w:val="00475FB3"/>
    <w:rsid w:val="004C37A9"/>
    <w:rsid w:val="004D5C85"/>
    <w:rsid w:val="004F259E"/>
    <w:rsid w:val="00511F1D"/>
    <w:rsid w:val="00520F36"/>
    <w:rsid w:val="00540615"/>
    <w:rsid w:val="00540A6D"/>
    <w:rsid w:val="00571EEA"/>
    <w:rsid w:val="00575417"/>
    <w:rsid w:val="005768E1"/>
    <w:rsid w:val="005C3890"/>
    <w:rsid w:val="005E5800"/>
    <w:rsid w:val="005F7BFE"/>
    <w:rsid w:val="00600017"/>
    <w:rsid w:val="00604DAD"/>
    <w:rsid w:val="006235CA"/>
    <w:rsid w:val="006532F3"/>
    <w:rsid w:val="006643AB"/>
    <w:rsid w:val="007210CD"/>
    <w:rsid w:val="00732045"/>
    <w:rsid w:val="007369DB"/>
    <w:rsid w:val="007956C2"/>
    <w:rsid w:val="007A187E"/>
    <w:rsid w:val="007C72C2"/>
    <w:rsid w:val="007D4436"/>
    <w:rsid w:val="007F257A"/>
    <w:rsid w:val="007F3665"/>
    <w:rsid w:val="00800037"/>
    <w:rsid w:val="0080407A"/>
    <w:rsid w:val="00852808"/>
    <w:rsid w:val="00861D73"/>
    <w:rsid w:val="008648BB"/>
    <w:rsid w:val="00875DB2"/>
    <w:rsid w:val="00885F20"/>
    <w:rsid w:val="008A4E87"/>
    <w:rsid w:val="008D76E6"/>
    <w:rsid w:val="00921B10"/>
    <w:rsid w:val="0092392D"/>
    <w:rsid w:val="0093234A"/>
    <w:rsid w:val="00952CB0"/>
    <w:rsid w:val="0099613D"/>
    <w:rsid w:val="009A0471"/>
    <w:rsid w:val="009B3BDE"/>
    <w:rsid w:val="009C307F"/>
    <w:rsid w:val="00A2113E"/>
    <w:rsid w:val="00A23A51"/>
    <w:rsid w:val="00A24607"/>
    <w:rsid w:val="00A25CD3"/>
    <w:rsid w:val="00A62AC9"/>
    <w:rsid w:val="00A82767"/>
    <w:rsid w:val="00AA332F"/>
    <w:rsid w:val="00AA7BBB"/>
    <w:rsid w:val="00AB64A8"/>
    <w:rsid w:val="00AC0266"/>
    <w:rsid w:val="00AD24EC"/>
    <w:rsid w:val="00AE0E98"/>
    <w:rsid w:val="00AF1915"/>
    <w:rsid w:val="00B309F9"/>
    <w:rsid w:val="00B32B60"/>
    <w:rsid w:val="00B61619"/>
    <w:rsid w:val="00B74198"/>
    <w:rsid w:val="00B84194"/>
    <w:rsid w:val="00BB4545"/>
    <w:rsid w:val="00BB46B2"/>
    <w:rsid w:val="00BC46EC"/>
    <w:rsid w:val="00BD5873"/>
    <w:rsid w:val="00BF68DC"/>
    <w:rsid w:val="00C04BE3"/>
    <w:rsid w:val="00C25D29"/>
    <w:rsid w:val="00C27A7C"/>
    <w:rsid w:val="00C5766F"/>
    <w:rsid w:val="00C908F0"/>
    <w:rsid w:val="00C93610"/>
    <w:rsid w:val="00CA08ED"/>
    <w:rsid w:val="00CA7F79"/>
    <w:rsid w:val="00CD3060"/>
    <w:rsid w:val="00CE18AF"/>
    <w:rsid w:val="00CE39FB"/>
    <w:rsid w:val="00CF183B"/>
    <w:rsid w:val="00CF3FDD"/>
    <w:rsid w:val="00D06D06"/>
    <w:rsid w:val="00D375CD"/>
    <w:rsid w:val="00D553A2"/>
    <w:rsid w:val="00D774D3"/>
    <w:rsid w:val="00D837AA"/>
    <w:rsid w:val="00D904E8"/>
    <w:rsid w:val="00DA08C3"/>
    <w:rsid w:val="00DB5A3E"/>
    <w:rsid w:val="00DC22AA"/>
    <w:rsid w:val="00DF74DD"/>
    <w:rsid w:val="00E04BDC"/>
    <w:rsid w:val="00E25AD0"/>
    <w:rsid w:val="00E3418C"/>
    <w:rsid w:val="00EA74D2"/>
    <w:rsid w:val="00EB6350"/>
    <w:rsid w:val="00EC543B"/>
    <w:rsid w:val="00EF4B06"/>
    <w:rsid w:val="00F06D00"/>
    <w:rsid w:val="00F15B57"/>
    <w:rsid w:val="00F427DB"/>
    <w:rsid w:val="00F65749"/>
    <w:rsid w:val="00F7614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27531E0"/>
  <w15:docId w15:val="{E335A89F-980D-4E0E-8012-9693F5B65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
    <w:name w:val="Unresolved Mention"/>
    <w:basedOn w:val="DefaultParagraphFont"/>
    <w:uiPriority w:val="99"/>
    <w:semiHidden/>
    <w:unhideWhenUsed/>
    <w:rsid w:val="004D5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https://www.itu.int/dms_pub/itu-t/opb/reg/T-REG-ACT-1988-PDF-F.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PF_EG-ITR.dotx</Template>
  <TotalTime>37</TotalTime>
  <Pages>10</Pages>
  <Words>2140</Words>
  <Characters>12936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15046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French</dc:creator>
  <cp:keywords/>
  <dc:description/>
  <cp:lastModifiedBy>Royer, Veronique</cp:lastModifiedBy>
  <cp:revision>11</cp:revision>
  <cp:lastPrinted>2000-07-18T08:55:00Z</cp:lastPrinted>
  <dcterms:created xsi:type="dcterms:W3CDTF">2021-01-18T10:10:00Z</dcterms:created>
  <dcterms:modified xsi:type="dcterms:W3CDTF">2021-01-18T11:00:00Z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