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E65CD" w14:paraId="3336851E" w14:textId="77777777">
        <w:trPr>
          <w:cantSplit/>
        </w:trPr>
        <w:tc>
          <w:tcPr>
            <w:tcW w:w="6912" w:type="dxa"/>
          </w:tcPr>
          <w:p w14:paraId="63D68F96" w14:textId="77777777" w:rsidR="00093EEB" w:rsidRPr="004E65CD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4E65CD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4E65CD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394F532C" w14:textId="77777777" w:rsidR="00093EEB" w:rsidRPr="004E65CD" w:rsidRDefault="00012E27" w:rsidP="00C85B97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4E65CD">
              <w:rPr>
                <w:noProof/>
              </w:rPr>
              <w:drawing>
                <wp:inline distT="0" distB="0" distL="0" distR="0" wp14:anchorId="746AE2A2" wp14:editId="43854C39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E65CD" w14:paraId="349C884C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D9DAA56" w14:textId="026D389E" w:rsidR="00093EEB" w:rsidRPr="004E65CD" w:rsidRDefault="003174F4" w:rsidP="00012E27">
            <w:pPr>
              <w:spacing w:before="0"/>
              <w:rPr>
                <w:b/>
                <w:bCs/>
                <w:szCs w:val="24"/>
              </w:rPr>
            </w:pPr>
            <w:r w:rsidRPr="004E65CD">
              <w:rPr>
                <w:rFonts w:eastAsia="Calibri" w:cs="Calibri"/>
                <w:b/>
                <w:color w:val="000000"/>
                <w:szCs w:val="24"/>
              </w:rPr>
              <w:t xml:space="preserve">Cuarta reunión </w:t>
            </w:r>
            <w:r w:rsidRPr="004E65CD">
              <w:rPr>
                <w:rFonts w:eastAsia="Calibri" w:cs="Calibri"/>
                <w:b/>
                <w:bCs/>
                <w:color w:val="000000"/>
                <w:szCs w:val="24"/>
              </w:rPr>
              <w:t>– Reunión virtual, 3-4 de febrero de 2021</w:t>
            </w:r>
          </w:p>
        </w:tc>
      </w:tr>
      <w:tr w:rsidR="00093EEB" w:rsidRPr="004E65CD" w14:paraId="707DA7F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425AA64" w14:textId="77777777" w:rsidR="00093EEB" w:rsidRPr="004E65C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406B5E9" w14:textId="77777777" w:rsidR="00093EEB" w:rsidRPr="004E65C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E65CD" w14:paraId="5B43940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FA0FC3B" w14:textId="77777777" w:rsidR="00093EEB" w:rsidRPr="004E65C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DF92D16" w14:textId="5AD279F9" w:rsidR="00093EEB" w:rsidRPr="004E65CD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4E65CD">
              <w:rPr>
                <w:b/>
                <w:bCs/>
                <w:szCs w:val="24"/>
              </w:rPr>
              <w:t xml:space="preserve">Documento </w:t>
            </w:r>
            <w:r w:rsidR="00D92832" w:rsidRPr="004E65CD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097799" w:rsidRPr="004E65CD">
              <w:rPr>
                <w:rFonts w:asciiTheme="minorHAnsi" w:hAnsiTheme="minorHAnsi" w:cs="Times New Roman Bold"/>
                <w:b/>
                <w:spacing w:val="-4"/>
              </w:rPr>
              <w:t>4</w:t>
            </w:r>
            <w:r w:rsidR="00D92832" w:rsidRPr="004E65CD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097799" w:rsidRPr="004E65CD">
              <w:rPr>
                <w:rFonts w:asciiTheme="minorHAnsi" w:hAnsiTheme="minorHAnsi" w:cs="Times New Roman Bold"/>
                <w:b/>
                <w:spacing w:val="-4"/>
              </w:rPr>
              <w:t>3</w:t>
            </w:r>
            <w:r w:rsidR="00D92832" w:rsidRPr="004E65CD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4E65CD" w14:paraId="610D9AE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A92FE9A" w14:textId="77777777" w:rsidR="00093EEB" w:rsidRPr="004E65C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43E31EA" w14:textId="7A6CF437" w:rsidR="00093EEB" w:rsidRPr="004E65CD" w:rsidRDefault="00097799" w:rsidP="001F60AD">
            <w:pPr>
              <w:spacing w:before="0"/>
              <w:rPr>
                <w:b/>
                <w:bCs/>
                <w:szCs w:val="24"/>
              </w:rPr>
            </w:pPr>
            <w:r w:rsidRPr="004E65CD">
              <w:rPr>
                <w:b/>
                <w:bCs/>
                <w:szCs w:val="24"/>
              </w:rPr>
              <w:t>15</w:t>
            </w:r>
            <w:r w:rsidR="0077252D" w:rsidRPr="004E65CD">
              <w:rPr>
                <w:b/>
                <w:bCs/>
                <w:szCs w:val="24"/>
              </w:rPr>
              <w:t xml:space="preserve"> </w:t>
            </w:r>
            <w:r w:rsidR="00D92832" w:rsidRPr="004E65CD">
              <w:rPr>
                <w:b/>
                <w:bCs/>
                <w:szCs w:val="24"/>
              </w:rPr>
              <w:t xml:space="preserve">de </w:t>
            </w:r>
            <w:r w:rsidRPr="004E65CD">
              <w:rPr>
                <w:b/>
                <w:bCs/>
                <w:szCs w:val="24"/>
              </w:rPr>
              <w:t>enero</w:t>
            </w:r>
            <w:r w:rsidR="00093EEB" w:rsidRPr="004E65CD">
              <w:rPr>
                <w:b/>
                <w:bCs/>
                <w:szCs w:val="24"/>
              </w:rPr>
              <w:t xml:space="preserve"> de 20</w:t>
            </w:r>
            <w:r w:rsidR="00C85B97" w:rsidRPr="004E65CD">
              <w:rPr>
                <w:b/>
                <w:bCs/>
                <w:szCs w:val="24"/>
              </w:rPr>
              <w:t>20</w:t>
            </w:r>
          </w:p>
        </w:tc>
      </w:tr>
      <w:tr w:rsidR="00093EEB" w:rsidRPr="004E65CD" w14:paraId="2DDD6C9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1FD436C" w14:textId="77777777" w:rsidR="00093EEB" w:rsidRPr="004E65C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C107175" w14:textId="77777777" w:rsidR="00093EEB" w:rsidRPr="004E65C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4E65CD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4E65CD" w14:paraId="2E5FA304" w14:textId="77777777">
        <w:trPr>
          <w:cantSplit/>
        </w:trPr>
        <w:tc>
          <w:tcPr>
            <w:tcW w:w="10173" w:type="dxa"/>
            <w:gridSpan w:val="2"/>
          </w:tcPr>
          <w:p w14:paraId="229AF96E" w14:textId="279668BB" w:rsidR="00093EEB" w:rsidRPr="004E65CD" w:rsidRDefault="00097799">
            <w:pPr>
              <w:pStyle w:val="Source"/>
            </w:pPr>
            <w:bookmarkStart w:id="6" w:name="dsource" w:colFirst="0" w:colLast="0"/>
            <w:bookmarkEnd w:id="0"/>
            <w:bookmarkEnd w:id="5"/>
            <w:r w:rsidRPr="004E65CD">
              <w:t>Reino Unido de Gran Bretaña e Irlanda del Norte</w:t>
            </w:r>
          </w:p>
        </w:tc>
      </w:tr>
      <w:tr w:rsidR="00093EEB" w:rsidRPr="004E65CD" w14:paraId="0BA97CE4" w14:textId="77777777">
        <w:trPr>
          <w:cantSplit/>
        </w:trPr>
        <w:tc>
          <w:tcPr>
            <w:tcW w:w="10173" w:type="dxa"/>
            <w:gridSpan w:val="2"/>
          </w:tcPr>
          <w:p w14:paraId="25FD90D2" w14:textId="4E2F0B79" w:rsidR="00093EEB" w:rsidRPr="004E65CD" w:rsidRDefault="00097799">
            <w:pPr>
              <w:pStyle w:val="Title1"/>
            </w:pPr>
            <w:bookmarkStart w:id="7" w:name="dtitle1" w:colFirst="0" w:colLast="0"/>
            <w:bookmarkEnd w:id="6"/>
            <w:r w:rsidRPr="004E65CD">
              <w:t>EXAMEN DEL RTI DISPOSICIÓN POR DISPOSICIÓN</w:t>
            </w:r>
          </w:p>
        </w:tc>
      </w:tr>
    </w:tbl>
    <w:bookmarkEnd w:id="7"/>
    <w:p w14:paraId="3811BA51" w14:textId="684398F4" w:rsidR="00097799" w:rsidRPr="004E65CD" w:rsidRDefault="00097799" w:rsidP="00C0033C">
      <w:pPr>
        <w:spacing w:before="480"/>
      </w:pPr>
      <w:r w:rsidRPr="004E65CD">
        <w:t xml:space="preserve">El Reino Unido se complace en presentar esta contribución a la cuarta reunión del Grupo de Expertos sobre el RTI. Agradecemos la invitación a presentar contribuciones para el examen del RTI disposición por disposición, conforme al mandato del Grupo. La presente contribución abarca los Artículos 9 a 14 del RTI, </w:t>
      </w:r>
      <w:r w:rsidR="00D86DA5" w:rsidRPr="004E65CD">
        <w:t>sin tratar</w:t>
      </w:r>
      <w:r w:rsidRPr="004E65CD">
        <w:t xml:space="preserve"> el Apéndice 2 para evitar duplicaciones, dado que nuestras opiniones sobre el Apéndice 2 ya se reflejan en el análisis de las disposiciones del RTI. Esperamos tratar este Cuadro </w:t>
      </w:r>
      <w:r w:rsidR="00D86DA5" w:rsidRPr="004E65CD">
        <w:t xml:space="preserve">de Examen </w:t>
      </w:r>
      <w:r w:rsidRPr="004E65CD">
        <w:t xml:space="preserve">en la </w:t>
      </w:r>
      <w:r w:rsidR="00D86DA5" w:rsidRPr="004E65CD">
        <w:t>cuarta</w:t>
      </w:r>
      <w:r w:rsidRPr="004E65CD">
        <w:t xml:space="preserve"> reunión del Grupo de Expertos.</w:t>
      </w:r>
    </w:p>
    <w:p w14:paraId="148BD9CC" w14:textId="77777777" w:rsidR="000E5F44" w:rsidRPr="004E65CD" w:rsidRDefault="000E5F44" w:rsidP="00097799"/>
    <w:p w14:paraId="0028FDF0" w14:textId="77777777" w:rsidR="00726872" w:rsidRPr="004E65CD" w:rsidRDefault="00726872" w:rsidP="00D92832"/>
    <w:p w14:paraId="27739E29" w14:textId="77777777" w:rsidR="003F1DC1" w:rsidRPr="004E65CD" w:rsidRDefault="003F1D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3F1DC1" w:rsidRPr="004E65CD" w:rsidSect="003F1DC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53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3402"/>
        <w:gridCol w:w="3402"/>
        <w:gridCol w:w="2891"/>
        <w:gridCol w:w="3219"/>
        <w:gridCol w:w="1483"/>
      </w:tblGrid>
      <w:tr w:rsidR="00952EAE" w:rsidRPr="004E65CD" w14:paraId="68926599" w14:textId="77777777" w:rsidTr="00E6548D">
        <w:trPr>
          <w:tblHeader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6FC6570B" w14:textId="77777777" w:rsidR="00952EAE" w:rsidRPr="004E65CD" w:rsidRDefault="00952EAE" w:rsidP="0090711B">
            <w:pPr>
              <w:pStyle w:val="Tablehead"/>
            </w:pPr>
            <w:r w:rsidRPr="004E65CD">
              <w:lastRenderedPageBreak/>
              <w:t>Artículo de 2012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706367C" w14:textId="77777777" w:rsidR="00952EAE" w:rsidRPr="004E65CD" w:rsidRDefault="00952EAE" w:rsidP="0090711B">
            <w:pPr>
              <w:pStyle w:val="Tablehead"/>
            </w:pPr>
            <w:r w:rsidRPr="004E65CD">
              <w:t>Párrafo y disposición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346505B2" w14:textId="4FDF7C50" w:rsidR="00952EAE" w:rsidRPr="004E65CD" w:rsidRDefault="00952EAE" w:rsidP="0090711B">
            <w:pPr>
              <w:pStyle w:val="Tablehead"/>
            </w:pPr>
            <w:r w:rsidRPr="004E65CD">
              <w:t xml:space="preserve">Párrafo y disposición </w:t>
            </w:r>
            <w:r w:rsidRPr="004E65CD">
              <w:br/>
              <w:t xml:space="preserve">conexos de </w:t>
            </w:r>
            <w:hyperlink r:id="rId12" w:history="1">
              <w:r w:rsidRPr="002721A7">
                <w:rPr>
                  <w:rStyle w:val="Hyperlink"/>
                </w:rPr>
                <w:t>19</w:t>
              </w:r>
              <w:r w:rsidRPr="002721A7">
                <w:rPr>
                  <w:rStyle w:val="Hyperlink"/>
                </w:rPr>
                <w:t>8</w:t>
              </w:r>
              <w:r w:rsidRPr="002721A7">
                <w:rPr>
                  <w:rStyle w:val="Hyperlink"/>
                </w:rPr>
                <w:t>8</w:t>
              </w:r>
            </w:hyperlink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2983E8E" w14:textId="5282EADF" w:rsidR="00952EAE" w:rsidRPr="004E65CD" w:rsidRDefault="00A37B48" w:rsidP="0090711B">
            <w:pPr>
              <w:pStyle w:val="Tablehead"/>
            </w:pPr>
            <w:r w:rsidRPr="004E65CD">
              <w:t>Aplicabilidad para fomentar</w:t>
            </w:r>
            <w:r w:rsidRPr="004E65CD">
              <w:br/>
              <w:t>la prestación y el desarrollo</w:t>
            </w:r>
            <w:r w:rsidRPr="004E65CD">
              <w:br/>
              <w:t>de redes y servicios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45A48C9A" w14:textId="21150B47" w:rsidR="00952EAE" w:rsidRPr="004E65CD" w:rsidRDefault="00952EAE" w:rsidP="0090711B">
            <w:pPr>
              <w:pStyle w:val="Tablehead"/>
            </w:pPr>
            <w:r w:rsidRPr="004E65CD">
              <w:t>Flexibilidad para adaptarse a</w:t>
            </w:r>
            <w:r w:rsidRPr="004E65CD">
              <w:br/>
              <w:t>las nuevas tendencias y a</w:t>
            </w:r>
            <w:r w:rsidRPr="004E65CD">
              <w:br/>
              <w:t>los problemas emergentes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54B2C091" w14:textId="77777777" w:rsidR="00952EAE" w:rsidRPr="004E65CD" w:rsidRDefault="00952EAE" w:rsidP="0090711B">
            <w:pPr>
              <w:pStyle w:val="Tablehead"/>
            </w:pPr>
            <w:r w:rsidRPr="004E65CD">
              <w:t>Resultado resumido</w:t>
            </w:r>
          </w:p>
        </w:tc>
      </w:tr>
      <w:tr w:rsidR="00E6548D" w:rsidRPr="004E65CD" w14:paraId="44452477" w14:textId="77777777" w:rsidTr="00767D5B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8023" w14:textId="77777777" w:rsidR="00E6548D" w:rsidRPr="004E65CD" w:rsidRDefault="00E6548D" w:rsidP="002721A7">
            <w:pPr>
              <w:spacing w:before="60" w:after="6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AB96" w14:textId="33D125E7" w:rsidR="00E6548D" w:rsidRPr="0090711B" w:rsidRDefault="00E6548D" w:rsidP="002721A7">
            <w:pPr>
              <w:pStyle w:val="Tabletext"/>
              <w:rPr>
                <w:b/>
              </w:rPr>
            </w:pPr>
            <w:r w:rsidRPr="0090711B">
              <w:rPr>
                <w:b/>
              </w:rPr>
              <w:t>Suspensión</w:t>
            </w:r>
            <w:r w:rsidRPr="0090711B">
              <w:rPr>
                <w:b/>
                <w:caps/>
              </w:rPr>
              <w:t xml:space="preserve"> </w:t>
            </w:r>
            <w:r w:rsidRPr="0090711B">
              <w:rPr>
                <w:b/>
              </w:rPr>
              <w:t>del servicio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D37068" w14:textId="31671C8F" w:rsidR="00E6548D" w:rsidRPr="0090711B" w:rsidRDefault="00E6548D" w:rsidP="002721A7">
            <w:pPr>
              <w:pStyle w:val="Tabletext"/>
              <w:rPr>
                <w:b/>
              </w:rPr>
            </w:pPr>
            <w:r w:rsidRPr="0090711B">
              <w:rPr>
                <w:b/>
              </w:rPr>
              <w:t xml:space="preserve">Artículo </w:t>
            </w:r>
            <w:r w:rsidRPr="0090711B">
              <w:rPr>
                <w:b/>
                <w:caps/>
              </w:rPr>
              <w:t xml:space="preserve">7: </w:t>
            </w:r>
            <w:r w:rsidRPr="0090711B">
              <w:rPr>
                <w:b/>
              </w:rPr>
              <w:t>Suspensión</w:t>
            </w:r>
            <w:r w:rsidRPr="0090711B">
              <w:rPr>
                <w:b/>
                <w:caps/>
              </w:rPr>
              <w:t xml:space="preserve"> </w:t>
            </w:r>
            <w:r w:rsidRPr="0090711B">
              <w:rPr>
                <w:b/>
              </w:rPr>
              <w:t>del servicio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C3A97" w14:textId="77777777" w:rsidR="00E6548D" w:rsidRPr="004E65CD" w:rsidRDefault="00E6548D" w:rsidP="002721A7">
            <w:pPr>
              <w:spacing w:before="60" w:after="6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B0B9F4" w14:textId="77777777" w:rsidR="00E6548D" w:rsidRPr="004E65CD" w:rsidRDefault="00E6548D" w:rsidP="002721A7">
            <w:pPr>
              <w:spacing w:before="60" w:after="60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DA8C4B" w14:textId="77777777" w:rsidR="00E6548D" w:rsidRPr="004E65CD" w:rsidRDefault="00E6548D" w:rsidP="002721A7">
            <w:pPr>
              <w:spacing w:before="60" w:after="60"/>
              <w:rPr>
                <w:sz w:val="20"/>
              </w:rPr>
            </w:pPr>
          </w:p>
        </w:tc>
      </w:tr>
      <w:tr w:rsidR="00E6548D" w:rsidRPr="004E65CD" w14:paraId="78F229FE" w14:textId="77777777" w:rsidTr="00767D5B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AF97" w14:textId="72C6106B" w:rsidR="00E6548D" w:rsidRPr="004E65CD" w:rsidRDefault="00E6548D" w:rsidP="0090711B">
            <w:pPr>
              <w:pStyle w:val="Tabletext"/>
            </w:pPr>
            <w:r w:rsidRPr="004E65CD">
              <w:t>9.1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FCD7" w14:textId="6D13E14C" w:rsidR="00E6548D" w:rsidRPr="004E65CD" w:rsidRDefault="0016614F" w:rsidP="0090711B">
            <w:pPr>
              <w:pStyle w:val="Tabletext"/>
            </w:pPr>
            <w:r w:rsidRPr="004E65CD">
              <w:t>Si de conformidad con la Constitución y el Convenio, un Estado Miembro ejerce su derecho a suspender parcial o totalmente los servicios internacionales de telecomunicación, notificará inmediatamente al Secretario General dicha suspensión y el ulterior restablecimiento de la normalidad, utilizando para ello el medio de comunicación más adecuado.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90746F" w14:textId="43E82CF7" w:rsidR="00E6548D" w:rsidRPr="004E65CD" w:rsidRDefault="00E6548D" w:rsidP="0090711B">
            <w:pPr>
              <w:pStyle w:val="Tabletext"/>
            </w:pPr>
            <w:r w:rsidRPr="004E65CD">
              <w:t>7.1</w:t>
            </w:r>
            <w:r w:rsidRPr="004E65CD">
              <w:tab/>
            </w:r>
            <w:r w:rsidR="007A7643" w:rsidRPr="004E65CD">
              <w:t>Si de conformidad con el Convenio, un Miembro ejerce su derecho a suspender parcial o totalmente el servicio internacional de telecomunicación, notificará inmediatamente al Secretario General dicha suspensión y el ulterior restablecimiento de la normalidad, utilizando para ello el medio de comunicación más adecuado.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EE46F3" w14:textId="6A54B0AE" w:rsidR="00E6548D" w:rsidRPr="00C66E86" w:rsidRDefault="00D86DA5" w:rsidP="00C66E86">
            <w:pPr>
              <w:pStyle w:val="Tabletext"/>
              <w:rPr>
                <w:rFonts w:eastAsia="Arial"/>
              </w:rPr>
            </w:pPr>
            <w:r w:rsidRPr="00C66E86">
              <w:rPr>
                <w:rFonts w:eastAsia="Arial"/>
              </w:rPr>
              <w:t xml:space="preserve">Esta obligación de notificar al SG de la UIT la suspensión de los servicios de telecomunicaciones internacionales no sirve para fomentar el suministro y el desarrollo de redes y servicios. </w:t>
            </w:r>
          </w:p>
          <w:p w14:paraId="405FED43" w14:textId="55D3F7EF" w:rsidR="00E6548D" w:rsidRPr="00C66E86" w:rsidRDefault="00D86DA5" w:rsidP="00C66E86">
            <w:pPr>
              <w:pStyle w:val="Tabletext"/>
              <w:spacing w:before="120"/>
              <w:rPr>
                <w:rFonts w:eastAsia="Arial"/>
              </w:rPr>
            </w:pPr>
            <w:r w:rsidRPr="00C66E86">
              <w:rPr>
                <w:rFonts w:eastAsia="Arial"/>
              </w:rPr>
              <w:t xml:space="preserve">La </w:t>
            </w:r>
            <w:r w:rsidR="00432832" w:rsidRPr="00C66E86">
              <w:rPr>
                <w:rFonts w:eastAsia="Arial"/>
              </w:rPr>
              <w:t>"</w:t>
            </w:r>
            <w:r w:rsidRPr="00C66E86">
              <w:rPr>
                <w:rFonts w:eastAsia="Arial"/>
              </w:rPr>
              <w:t>suspensión parcial o total de los servicios de telecomunicaciones internacionales</w:t>
            </w:r>
            <w:r w:rsidR="00432832" w:rsidRPr="00C66E86">
              <w:rPr>
                <w:rFonts w:eastAsia="Arial"/>
              </w:rPr>
              <w:t>"</w:t>
            </w:r>
            <w:r w:rsidRPr="00C66E86">
              <w:rPr>
                <w:rFonts w:eastAsia="Arial"/>
              </w:rPr>
              <w:t xml:space="preserve"> no está adecuadamente definida en este tratado</w:t>
            </w:r>
            <w:r w:rsidR="00E6548D" w:rsidRPr="00C66E86">
              <w:rPr>
                <w:rFonts w:eastAsia="Arial"/>
              </w:rPr>
              <w:t xml:space="preserve">. </w:t>
            </w:r>
          </w:p>
          <w:p w14:paraId="6F292974" w14:textId="58C9CD12" w:rsidR="00E6548D" w:rsidRPr="00C66E86" w:rsidRDefault="00D86DA5" w:rsidP="00C66E86">
            <w:pPr>
              <w:pStyle w:val="Tabletext"/>
              <w:spacing w:before="120"/>
            </w:pPr>
            <w:r w:rsidRPr="00C66E86">
              <w:rPr>
                <w:rFonts w:eastAsia="Arial"/>
              </w:rPr>
              <w:t>De hecho, esta disposición podría considerarse como una legitimación y normalización de que los Estados miembros adopten la medida extrema de suspender los servicios de telecomunicaciones internacionales</w:t>
            </w:r>
            <w:r w:rsidR="00E6548D" w:rsidRPr="00C66E86">
              <w:rPr>
                <w:rFonts w:eastAsia="Arial"/>
              </w:rPr>
              <w:t xml:space="preserve">.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28494B" w14:textId="514B878A" w:rsidR="00E6548D" w:rsidRPr="00C66E86" w:rsidRDefault="00D86DA5" w:rsidP="00C66E86">
            <w:pPr>
              <w:pStyle w:val="Tabletext"/>
            </w:pPr>
            <w:r w:rsidRPr="00C66E86">
              <w:rPr>
                <w:rFonts w:eastAsia="Arial"/>
              </w:rPr>
              <w:t>Esta obligación de notificar al SG de la UIT la suspensión de los servicios de telecomunicaciones internacionales no cumple ninguna finalidad, y por lo tanto no es flexible, para acomodar las nuevas tendencias</w:t>
            </w:r>
            <w:r w:rsidR="00E6548D" w:rsidRPr="00C66E86">
              <w:rPr>
                <w:rFonts w:eastAsia="Arial"/>
              </w:rPr>
              <w:t xml:space="preserve">.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90895B" w14:textId="77777777" w:rsidR="00E6548D" w:rsidRPr="004E65CD" w:rsidRDefault="00E6548D" w:rsidP="0090711B">
            <w:pPr>
              <w:pStyle w:val="Tabletext"/>
            </w:pPr>
          </w:p>
        </w:tc>
      </w:tr>
    </w:tbl>
    <w:p w14:paraId="579DBB86" w14:textId="6E52B957" w:rsidR="002721A7" w:rsidRDefault="002721A7">
      <w:r>
        <w:br w:type="page"/>
      </w:r>
    </w:p>
    <w:tbl>
      <w:tblPr>
        <w:tblW w:w="153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3402"/>
        <w:gridCol w:w="3402"/>
        <w:gridCol w:w="2891"/>
        <w:gridCol w:w="3219"/>
        <w:gridCol w:w="1483"/>
      </w:tblGrid>
      <w:tr w:rsidR="002721A7" w:rsidRPr="004E65CD" w14:paraId="3DFA56B2" w14:textId="77777777" w:rsidTr="00AB51FE">
        <w:trPr>
          <w:tblHeader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52E6760F" w14:textId="77777777" w:rsidR="002721A7" w:rsidRPr="004E65CD" w:rsidRDefault="002721A7" w:rsidP="00AB51FE">
            <w:pPr>
              <w:pStyle w:val="Tablehead"/>
            </w:pPr>
            <w:r w:rsidRPr="004E65CD">
              <w:lastRenderedPageBreak/>
              <w:t>Artículo de 2012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6E4BF4D0" w14:textId="77777777" w:rsidR="002721A7" w:rsidRPr="004E65CD" w:rsidRDefault="002721A7" w:rsidP="00AB51FE">
            <w:pPr>
              <w:pStyle w:val="Tablehead"/>
            </w:pPr>
            <w:r w:rsidRPr="004E65CD">
              <w:t>Párrafo y disposición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2FBC7D2" w14:textId="77777777" w:rsidR="002721A7" w:rsidRPr="004E65CD" w:rsidRDefault="002721A7" w:rsidP="00AB51FE">
            <w:pPr>
              <w:pStyle w:val="Tablehead"/>
            </w:pPr>
            <w:r w:rsidRPr="004E65CD">
              <w:t xml:space="preserve">Párrafo y disposición </w:t>
            </w:r>
            <w:r w:rsidRPr="004E65CD">
              <w:br/>
              <w:t xml:space="preserve">conexos de </w:t>
            </w:r>
            <w:hyperlink r:id="rId13" w:history="1">
              <w:r w:rsidRPr="002721A7">
                <w:rPr>
                  <w:rStyle w:val="Hyperlink"/>
                </w:rPr>
                <w:t>1988</w:t>
              </w:r>
            </w:hyperlink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402DB1A9" w14:textId="77777777" w:rsidR="002721A7" w:rsidRPr="004E65CD" w:rsidRDefault="002721A7" w:rsidP="00AB51FE">
            <w:pPr>
              <w:pStyle w:val="Tablehead"/>
            </w:pPr>
            <w:r w:rsidRPr="004E65CD">
              <w:t>Aplicabilidad para fomentar</w:t>
            </w:r>
            <w:r w:rsidRPr="004E65CD">
              <w:br/>
              <w:t>la prestación y el desarrollo</w:t>
            </w:r>
            <w:r w:rsidRPr="004E65CD">
              <w:br/>
              <w:t>de redes y servicios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3405694D" w14:textId="77777777" w:rsidR="002721A7" w:rsidRPr="004E65CD" w:rsidRDefault="002721A7" w:rsidP="00AB51FE">
            <w:pPr>
              <w:pStyle w:val="Tablehead"/>
            </w:pPr>
            <w:r w:rsidRPr="004E65CD">
              <w:t>Flexibilidad para adaptarse a</w:t>
            </w:r>
            <w:r w:rsidRPr="004E65CD">
              <w:br/>
              <w:t>las nuevas tendencias y a</w:t>
            </w:r>
            <w:r w:rsidRPr="004E65CD">
              <w:br/>
              <w:t>los problemas emergentes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4EA57EB2" w14:textId="77777777" w:rsidR="002721A7" w:rsidRPr="004E65CD" w:rsidRDefault="002721A7" w:rsidP="00AB51FE">
            <w:pPr>
              <w:pStyle w:val="Tablehead"/>
            </w:pPr>
            <w:r w:rsidRPr="004E65CD">
              <w:t>Resultado resumido</w:t>
            </w:r>
          </w:p>
        </w:tc>
      </w:tr>
      <w:tr w:rsidR="007A7643" w:rsidRPr="004E65CD" w14:paraId="5016E899" w14:textId="77777777" w:rsidTr="00767D5B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472C" w14:textId="328B07FC" w:rsidR="007A7643" w:rsidRPr="004E65CD" w:rsidRDefault="007A7643" w:rsidP="002721A7">
            <w:pPr>
              <w:pStyle w:val="Tabletext"/>
            </w:pPr>
            <w:r w:rsidRPr="004E65CD">
              <w:rPr>
                <w:rFonts w:eastAsia="Arial"/>
              </w:rPr>
              <w:t>9.2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0C93" w14:textId="157FF529" w:rsidR="007A7643" w:rsidRPr="004E65CD" w:rsidRDefault="0016614F" w:rsidP="002721A7">
            <w:pPr>
              <w:pStyle w:val="Tabletext"/>
            </w:pPr>
            <w:r w:rsidRPr="004E65CD">
              <w:rPr>
                <w:rFonts w:eastAsia="Arial"/>
              </w:rPr>
              <w:t>El Secretario General transmitirá inmediatamente esta información a todos los demás Estados Miembros, por el medio de comunicación más adecuado.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3D0F9D" w14:textId="35CD97DD" w:rsidR="007A7643" w:rsidRPr="004E65CD" w:rsidRDefault="007A7643" w:rsidP="002721A7">
            <w:pPr>
              <w:pStyle w:val="Tabletext"/>
            </w:pPr>
            <w:r w:rsidRPr="004E65CD">
              <w:rPr>
                <w:rFonts w:eastAsia="Arial"/>
              </w:rPr>
              <w:t>7.2</w:t>
            </w:r>
            <w:r w:rsidR="003876F5" w:rsidRPr="004E65CD">
              <w:rPr>
                <w:rFonts w:eastAsia="Arial"/>
              </w:rPr>
              <w:tab/>
            </w:r>
            <w:r w:rsidRPr="004E65CD">
              <w:rPr>
                <w:rFonts w:eastAsia="Arial"/>
              </w:rPr>
              <w:t>El Secretario General transmitirá inmediatamente esta información a todos los demás Miembros, por el medio de comunicación más adecuado.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4CF1CB" w14:textId="25CBEDDD" w:rsidR="007A7643" w:rsidRPr="004E65CD" w:rsidRDefault="00D86DA5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Esta obligación del SG de notificar a todos los demás Estados miembros la suspensión de los servicios de telecomunicaciones internacionales no sirve para fomentar el suministro y el desarrollo de redes y servicios</w:t>
            </w:r>
            <w:r w:rsidR="007A7643" w:rsidRPr="004E65CD">
              <w:rPr>
                <w:rFonts w:eastAsia="Arial"/>
              </w:rPr>
              <w:t xml:space="preserve">. </w:t>
            </w:r>
          </w:p>
          <w:p w14:paraId="298CB3F5" w14:textId="20DC58B2" w:rsidR="007A7643" w:rsidRPr="004E65CD" w:rsidRDefault="00D86DA5" w:rsidP="00C66E86">
            <w:pPr>
              <w:pStyle w:val="Tabletext"/>
              <w:spacing w:before="120"/>
              <w:rPr>
                <w:rFonts w:eastAsia="Arial"/>
              </w:rPr>
            </w:pPr>
            <w:r w:rsidRPr="004E65CD">
              <w:rPr>
                <w:rFonts w:eastAsia="Arial"/>
              </w:rPr>
              <w:t>De hecho, esta disposición podría considerarse como una legitimación y normalización de que los Estados miembros adopten la medida extrema de suspender los servicios de telecomunicaciones internacionales.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E08124" w14:textId="62BC1873" w:rsidR="007A7643" w:rsidRPr="004E65CD" w:rsidRDefault="00D86DA5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Esta obligación de notificar al SG de la UIT la suspensión de los servicios de telecomunicaciones internacionales no cumple ninguna finalidad, y por lo tanto no es flexible, para acomodar las nuevas tendencias.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C71253" w14:textId="77777777" w:rsidR="007A7643" w:rsidRPr="004E65CD" w:rsidRDefault="007A7643" w:rsidP="002721A7">
            <w:pPr>
              <w:pStyle w:val="Tabletext"/>
            </w:pPr>
          </w:p>
        </w:tc>
      </w:tr>
    </w:tbl>
    <w:p w14:paraId="07DFDA54" w14:textId="31C78E33" w:rsidR="003F1DC1" w:rsidRPr="004E65CD" w:rsidRDefault="003F1DC1">
      <w:pPr>
        <w:rPr>
          <w:sz w:val="20"/>
        </w:rPr>
      </w:pPr>
    </w:p>
    <w:p w14:paraId="4FA71185" w14:textId="068A96D2" w:rsidR="003F1DC1" w:rsidRPr="004E65CD" w:rsidRDefault="003F1DC1">
      <w:pPr>
        <w:rPr>
          <w:sz w:val="20"/>
        </w:rPr>
      </w:pPr>
      <w:r w:rsidRPr="004E65CD">
        <w:rPr>
          <w:sz w:val="20"/>
        </w:rPr>
        <w:br w:type="page"/>
      </w:r>
    </w:p>
    <w:tbl>
      <w:tblPr>
        <w:tblW w:w="153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3562"/>
        <w:gridCol w:w="3242"/>
        <w:gridCol w:w="2891"/>
        <w:gridCol w:w="3219"/>
        <w:gridCol w:w="1483"/>
      </w:tblGrid>
      <w:tr w:rsidR="00952EAE" w:rsidRPr="004E65CD" w14:paraId="1566900B" w14:textId="77777777" w:rsidTr="002721A7">
        <w:trPr>
          <w:tblHeader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5DFA00BC" w14:textId="77777777" w:rsidR="00952EAE" w:rsidRPr="004E65CD" w:rsidRDefault="00952EAE" w:rsidP="002721A7">
            <w:pPr>
              <w:pStyle w:val="Tablehead"/>
            </w:pPr>
            <w:r w:rsidRPr="004E65CD">
              <w:lastRenderedPageBreak/>
              <w:t>Artículo de 2012</w:t>
            </w:r>
          </w:p>
        </w:tc>
        <w:tc>
          <w:tcPr>
            <w:tcW w:w="3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5AFB217C" w14:textId="77777777" w:rsidR="00952EAE" w:rsidRPr="004E65CD" w:rsidRDefault="00952EAE" w:rsidP="002721A7">
            <w:pPr>
              <w:pStyle w:val="Tablehead"/>
            </w:pPr>
            <w:r w:rsidRPr="004E65CD">
              <w:t>Párrafo y disposición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6F406F2E" w14:textId="5D04D69B" w:rsidR="00952EAE" w:rsidRPr="004E65CD" w:rsidRDefault="00952EAE" w:rsidP="002721A7">
            <w:pPr>
              <w:pStyle w:val="Tablehead"/>
            </w:pPr>
            <w:r w:rsidRPr="004E65CD">
              <w:t xml:space="preserve">Párrafo y disposición </w:t>
            </w:r>
            <w:r w:rsidRPr="004E65CD">
              <w:br/>
              <w:t xml:space="preserve">conexos de </w:t>
            </w:r>
            <w:hyperlink r:id="rId14" w:history="1">
              <w:r w:rsidRPr="002721A7">
                <w:rPr>
                  <w:rStyle w:val="Hyperlink"/>
                </w:rPr>
                <w:t>1988</w:t>
              </w:r>
            </w:hyperlink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15F62F73" w14:textId="618CC3F4" w:rsidR="00952EAE" w:rsidRPr="004E65CD" w:rsidRDefault="00A37B48" w:rsidP="002721A7">
            <w:pPr>
              <w:pStyle w:val="Tablehead"/>
            </w:pPr>
            <w:r w:rsidRPr="004E65CD">
              <w:t>Aplicabilidad para fomentar</w:t>
            </w:r>
            <w:r w:rsidRPr="004E65CD">
              <w:br/>
              <w:t>la prestación y el desarrollo</w:t>
            </w:r>
            <w:r w:rsidRPr="004E65CD">
              <w:br/>
              <w:t>de redes y servicios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0870C72" w14:textId="50335611" w:rsidR="00952EAE" w:rsidRPr="004E65CD" w:rsidRDefault="00952EAE" w:rsidP="002721A7">
            <w:pPr>
              <w:pStyle w:val="Tablehead"/>
            </w:pPr>
            <w:r w:rsidRPr="004E65CD">
              <w:t>Flexibilidad para adaptarse a</w:t>
            </w:r>
            <w:r w:rsidRPr="004E65CD">
              <w:br/>
              <w:t>las nuevas tendencias y a</w:t>
            </w:r>
            <w:r w:rsidRPr="004E65CD">
              <w:br/>
              <w:t>los problemas emergentes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7F537B2" w14:textId="77777777" w:rsidR="00952EAE" w:rsidRPr="004E65CD" w:rsidRDefault="00952EAE" w:rsidP="002721A7">
            <w:pPr>
              <w:pStyle w:val="Tablehead"/>
            </w:pPr>
            <w:r w:rsidRPr="004E65CD">
              <w:t>Resultado resumido</w:t>
            </w:r>
          </w:p>
        </w:tc>
      </w:tr>
      <w:tr w:rsidR="007A7643" w:rsidRPr="004E65CD" w14:paraId="7600ECC0" w14:textId="77777777" w:rsidTr="002721A7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5A80" w14:textId="77777777" w:rsidR="007A7643" w:rsidRPr="004E65CD" w:rsidRDefault="007A7643" w:rsidP="002721A7">
            <w:pPr>
              <w:pStyle w:val="Tabletext"/>
              <w:rPr>
                <w:rFonts w:eastAsia="Arial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C940" w14:textId="22F66DBD" w:rsidR="007A7643" w:rsidRPr="004E65CD" w:rsidRDefault="00767D5B" w:rsidP="002721A7">
            <w:pPr>
              <w:pStyle w:val="Tabletext"/>
              <w:rPr>
                <w:rFonts w:eastAsia="Arial"/>
                <w:highlight w:val="yellow"/>
              </w:rPr>
            </w:pPr>
            <w:r w:rsidRPr="004E65CD">
              <w:rPr>
                <w:b/>
                <w:bCs/>
              </w:rPr>
              <w:t>Difusión de información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C47F15" w14:textId="5D9ECA35" w:rsidR="007A7643" w:rsidRPr="004E65CD" w:rsidRDefault="00767D5B" w:rsidP="002721A7">
            <w:pPr>
              <w:pStyle w:val="Tabletext"/>
            </w:pPr>
            <w:r w:rsidRPr="004E65CD">
              <w:rPr>
                <w:b/>
                <w:bCs/>
              </w:rPr>
              <w:t>Artículo</w:t>
            </w:r>
            <w:r w:rsidRPr="004E65CD">
              <w:t xml:space="preserve"> </w:t>
            </w:r>
            <w:r w:rsidRPr="004E65CD">
              <w:rPr>
                <w:b/>
                <w:bCs/>
              </w:rPr>
              <w:t>8: Difusión de información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C1282" w14:textId="77777777" w:rsidR="007A7643" w:rsidRPr="004E65CD" w:rsidRDefault="007A7643" w:rsidP="002721A7">
            <w:pPr>
              <w:pStyle w:val="Tabletext"/>
              <w:rPr>
                <w:rFonts w:eastAsia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6EE2D1" w14:textId="77777777" w:rsidR="007A7643" w:rsidRPr="004E65CD" w:rsidRDefault="007A7643" w:rsidP="002721A7">
            <w:pPr>
              <w:pStyle w:val="Tabletext"/>
              <w:rPr>
                <w:rFonts w:eastAsia="Arial"/>
                <w:highlight w:val="lightGray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001A62" w14:textId="77777777" w:rsidR="007A7643" w:rsidRPr="004E65CD" w:rsidRDefault="007A7643" w:rsidP="002721A7">
            <w:pPr>
              <w:pStyle w:val="Tabletext"/>
            </w:pPr>
          </w:p>
        </w:tc>
      </w:tr>
      <w:tr w:rsidR="00767D5B" w:rsidRPr="004E65CD" w14:paraId="52902A42" w14:textId="77777777" w:rsidTr="002721A7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D697" w14:textId="6DCC1FFD" w:rsidR="00767D5B" w:rsidRPr="004E65CD" w:rsidRDefault="00767D5B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10.1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2B83" w14:textId="04135119" w:rsidR="00767D5B" w:rsidRPr="002721A7" w:rsidRDefault="0016614F" w:rsidP="002721A7">
            <w:pPr>
              <w:pStyle w:val="Tabletext"/>
            </w:pPr>
            <w:r w:rsidRPr="002721A7">
              <w:t xml:space="preserve">Utilizando los medios más adecuados y económicos, el Secretario General difundirá la información administrativa, de explotación o estadística proporcionada sobre los servicios internacionales de telecomunicación. Esa difusión se hará de conformidad con las disposiciones pertinentes de la Constitución, el Convenio y este Artículo, sobre la base de las decisiones adoptadas por el Consejo o por las Conferencias competentes de la UIT, y teniendo en cuenta las conclusiones o decisiones de las Asambleas de la UIT. Si lo autoriza el Estado Miembro correspondiente, una empresa de explotación autorizada puede transmitir directamente la información al Secretario </w:t>
            </w:r>
            <w:r w:rsidRPr="002721A7">
              <w:rPr>
                <w:rFonts w:eastAsia="Batang"/>
              </w:rPr>
              <w:t>General</w:t>
            </w:r>
            <w:r w:rsidRPr="002721A7">
              <w:t>, que se encargará de difundirla. Los Estados Miembros comunicarán esa información al Secretario General sin demora y con arreglo a las Recomendaciones UIT-T pertinentes.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10ED1A" w14:textId="547ABF0C" w:rsidR="00767D5B" w:rsidRPr="004E65CD" w:rsidRDefault="00767D5B" w:rsidP="002721A7">
            <w:pPr>
              <w:pStyle w:val="Tabletext"/>
              <w:rPr>
                <w:b/>
                <w:bCs/>
              </w:rPr>
            </w:pPr>
            <w:r w:rsidRPr="004E65CD">
              <w:t>8.1</w:t>
            </w:r>
            <w:r w:rsidR="00CE2A31" w:rsidRPr="004E65CD">
              <w:tab/>
            </w:r>
            <w:r w:rsidRPr="004E65CD">
              <w:t>Utilizando los medios más adecuados y económicos, el Secretario General difundirá la información administrativa, estadística, de explotación o de tarificación relativa a las rutas y servicios internacionales de telecomunicación, proporcionada por las administraciones</w:t>
            </w:r>
            <w:r w:rsidRPr="004E65CD">
              <w:fldChar w:fldCharType="begin"/>
            </w:r>
            <w:r w:rsidRPr="004E65CD">
              <w:instrText xml:space="preserve"> NOTEREF _Ref319417134 \f \h </w:instrText>
            </w:r>
            <w:r w:rsidR="003F1DC1" w:rsidRPr="004E65CD">
              <w:instrText xml:space="preserve"> \* MERGEFORMAT </w:instrText>
            </w:r>
            <w:r w:rsidRPr="004E65CD">
              <w:fldChar w:fldCharType="separate"/>
            </w:r>
            <w:r w:rsidRPr="004E65CD">
              <w:t>*</w:t>
            </w:r>
            <w:r w:rsidRPr="004E65CD">
              <w:fldChar w:fldCharType="end"/>
            </w:r>
            <w:r w:rsidRPr="004E65CD">
              <w:t>. Esa difusión se hará de conformidad con las disposiciones pertinentes del Convenio y de este artículo, sobre la base de las decisiones adoptadas por el Consejo de Administración o por las conferencias administrativas competentes y teniendo en cuenta las conclusiones o las decisiones de las Asambleas Plenarias de los Comités Consultivos Internacionales.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64ADE0" w14:textId="5C0FD68E" w:rsidR="00767D5B" w:rsidRPr="004E65CD" w:rsidRDefault="00D86DA5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Esta disposición no contribuye a fomentar el suministro y el desarrollo de redes y servicios</w:t>
            </w:r>
            <w:r w:rsidR="00767D5B" w:rsidRPr="004E65CD">
              <w:rPr>
                <w:rFonts w:eastAsia="Arial"/>
              </w:rPr>
              <w:t>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6F4364" w14:textId="7135C4C0" w:rsidR="00767D5B" w:rsidRPr="004E65CD" w:rsidRDefault="00D86DA5" w:rsidP="002721A7">
            <w:pPr>
              <w:pStyle w:val="Tabletext"/>
              <w:rPr>
                <w:rFonts w:eastAsia="Arial"/>
                <w:highlight w:val="lightGray"/>
              </w:rPr>
            </w:pPr>
            <w:r w:rsidRPr="004E65CD">
              <w:rPr>
                <w:rFonts w:eastAsia="Arial"/>
              </w:rPr>
              <w:t>Esta disposición no ofrece flexibilidad para acomodar las nuevas tendencias y cuestiones emergentes</w:t>
            </w:r>
            <w:r w:rsidR="00767D5B" w:rsidRPr="004E65CD">
              <w:rPr>
                <w:rFonts w:eastAsia="Arial"/>
              </w:rPr>
              <w:t xml:space="preserve">.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792513" w14:textId="77777777" w:rsidR="00767D5B" w:rsidRPr="004E65CD" w:rsidRDefault="00767D5B" w:rsidP="002721A7">
            <w:pPr>
              <w:pStyle w:val="Tabletext"/>
            </w:pPr>
          </w:p>
        </w:tc>
      </w:tr>
      <w:tr w:rsidR="00767D5B" w:rsidRPr="004E65CD" w14:paraId="05858099" w14:textId="77777777" w:rsidTr="002721A7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DD72" w14:textId="77777777" w:rsidR="00767D5B" w:rsidRPr="004E65CD" w:rsidRDefault="00767D5B" w:rsidP="002721A7">
            <w:pPr>
              <w:pStyle w:val="Tabletext"/>
              <w:jc w:val="center"/>
              <w:rPr>
                <w:rFonts w:eastAsia="Arial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157C" w14:textId="040021EE" w:rsidR="00767D5B" w:rsidRPr="004E65CD" w:rsidRDefault="0016614F" w:rsidP="002721A7">
            <w:pPr>
              <w:pStyle w:val="Tabletext"/>
              <w:rPr>
                <w:b/>
                <w:bCs/>
              </w:rPr>
            </w:pPr>
            <w:r w:rsidRPr="004E65CD">
              <w:rPr>
                <w:b/>
                <w:bCs/>
              </w:rPr>
              <w:t>Eficiencia energética/</w:t>
            </w:r>
            <w:r w:rsidR="00CE2A31" w:rsidRPr="004E65CD">
              <w:rPr>
                <w:b/>
                <w:bCs/>
              </w:rPr>
              <w:br/>
            </w:r>
            <w:r w:rsidRPr="004E65CD">
              <w:rPr>
                <w:b/>
                <w:bCs/>
              </w:rPr>
              <w:t>residuos electrónicos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46234B" w14:textId="77777777" w:rsidR="00767D5B" w:rsidRPr="004E65CD" w:rsidRDefault="00767D5B" w:rsidP="002721A7">
            <w:pPr>
              <w:pStyle w:val="Tabletext"/>
              <w:jc w:val="center"/>
            </w:pP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C4C7A4" w14:textId="77777777" w:rsidR="00767D5B" w:rsidRPr="004E65CD" w:rsidRDefault="00767D5B" w:rsidP="002721A7">
            <w:pPr>
              <w:pStyle w:val="Tabletext"/>
              <w:jc w:val="center"/>
              <w:rPr>
                <w:rFonts w:eastAsia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2BBECA" w14:textId="77777777" w:rsidR="00767D5B" w:rsidRPr="004E65CD" w:rsidRDefault="00767D5B" w:rsidP="002721A7">
            <w:pPr>
              <w:pStyle w:val="Tabletext"/>
              <w:jc w:val="center"/>
              <w:rPr>
                <w:rFonts w:eastAsia="Arial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43078C" w14:textId="77777777" w:rsidR="00767D5B" w:rsidRPr="004E65CD" w:rsidRDefault="00767D5B" w:rsidP="002721A7">
            <w:pPr>
              <w:pStyle w:val="Tabletext"/>
              <w:jc w:val="center"/>
            </w:pPr>
          </w:p>
        </w:tc>
      </w:tr>
      <w:tr w:rsidR="0016614F" w:rsidRPr="004E65CD" w14:paraId="3877CC89" w14:textId="77777777" w:rsidTr="002721A7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98C9" w14:textId="0D10B82B" w:rsidR="0016614F" w:rsidRPr="004E65CD" w:rsidRDefault="0016614F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11.1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2A91" w14:textId="38A16D97" w:rsidR="0016614F" w:rsidRPr="004E65CD" w:rsidRDefault="0016614F" w:rsidP="002721A7">
            <w:pPr>
              <w:pStyle w:val="Tabletext"/>
            </w:pPr>
            <w:r w:rsidRPr="004E65CD">
              <w:t xml:space="preserve">Se alienta a los Estados Miembros a adoptar prácticas idóneas en materia de eficiencia </w:t>
            </w:r>
            <w:r w:rsidRPr="004E65CD">
              <w:rPr>
                <w:rFonts w:eastAsia="Batang"/>
              </w:rPr>
              <w:t>energética</w:t>
            </w:r>
            <w:r w:rsidRPr="004E65CD">
              <w:t xml:space="preserve"> y residuos electrónicos teniendo en cuenta las Recomendaciones UIT-T pertinentes.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0C475" w14:textId="77777777" w:rsidR="0016614F" w:rsidRPr="004E65CD" w:rsidRDefault="0016614F" w:rsidP="002721A7">
            <w:pPr>
              <w:pStyle w:val="Tabletext"/>
            </w:pP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4D96CB" w14:textId="6351D0EA" w:rsidR="0016614F" w:rsidRPr="004E65CD" w:rsidRDefault="00432832" w:rsidP="002721A7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"</w:t>
            </w:r>
            <w:r w:rsidR="00C623AF" w:rsidRPr="004E65CD">
              <w:rPr>
                <w:rFonts w:eastAsia="Arial"/>
              </w:rPr>
              <w:t>Se alienta a los Estados Miembros a adoptar</w:t>
            </w:r>
            <w:r>
              <w:rPr>
                <w:rFonts w:eastAsia="Arial"/>
              </w:rPr>
              <w:t>"</w:t>
            </w:r>
            <w:r w:rsidR="0016614F" w:rsidRPr="004E65CD">
              <w:rPr>
                <w:rFonts w:eastAsia="Arial"/>
              </w:rPr>
              <w:t xml:space="preserve"> </w:t>
            </w:r>
            <w:r w:rsidR="00C623AF" w:rsidRPr="004E65CD">
              <w:rPr>
                <w:rFonts w:eastAsia="Arial"/>
              </w:rPr>
              <w:t>no es legalmente exigible, por lo que no puede ayudar al desarrollo de redes y servicios. Esto es innecesario ya que el tema está cubierto en el Convenio de Basilea. La referencia a las recomendaciones del UIT-T podría confundir el entorno reglamentario.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60A95B" w14:textId="2084429B" w:rsidR="0016614F" w:rsidRPr="004E65CD" w:rsidRDefault="00C623AF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Esta disposición podría obstaculizar la innovación porque podría causar confusión al entrar en conflicto con el Convenio de Basilea</w:t>
            </w:r>
            <w:r w:rsidR="0016614F" w:rsidRPr="004E65CD">
              <w:rPr>
                <w:rFonts w:eastAsia="Arial"/>
              </w:rPr>
              <w:t>.</w:t>
            </w:r>
          </w:p>
          <w:p w14:paraId="389EBEDE" w14:textId="04530E34" w:rsidR="0016614F" w:rsidRPr="004E65CD" w:rsidRDefault="00C623AF" w:rsidP="000F7000">
            <w:pPr>
              <w:pStyle w:val="Tabletext"/>
              <w:spacing w:before="120"/>
              <w:rPr>
                <w:rFonts w:eastAsia="Arial"/>
              </w:rPr>
            </w:pPr>
            <w:r w:rsidRPr="004E65CD">
              <w:rPr>
                <w:rFonts w:eastAsia="Arial"/>
              </w:rPr>
              <w:t xml:space="preserve">Por consiguiente, esta disposición no ofrece flexibilidad para acomodar las nuevas tendencias y cuestiones emergentes.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0D0B50" w14:textId="77777777" w:rsidR="0016614F" w:rsidRPr="004E65CD" w:rsidRDefault="0016614F" w:rsidP="002721A7">
            <w:pPr>
              <w:pStyle w:val="Tabletext"/>
            </w:pPr>
          </w:p>
        </w:tc>
      </w:tr>
    </w:tbl>
    <w:p w14:paraId="3EFEE4D5" w14:textId="34F94243" w:rsidR="002721A7" w:rsidRDefault="002721A7">
      <w:r>
        <w:br w:type="page"/>
      </w:r>
    </w:p>
    <w:tbl>
      <w:tblPr>
        <w:tblW w:w="153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3562"/>
        <w:gridCol w:w="3242"/>
        <w:gridCol w:w="2891"/>
        <w:gridCol w:w="3219"/>
        <w:gridCol w:w="1483"/>
      </w:tblGrid>
      <w:tr w:rsidR="002721A7" w:rsidRPr="004E65CD" w14:paraId="2B198C3E" w14:textId="77777777" w:rsidTr="00AB51FE">
        <w:trPr>
          <w:tblHeader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1F4B00F" w14:textId="77777777" w:rsidR="002721A7" w:rsidRPr="004E65CD" w:rsidRDefault="002721A7" w:rsidP="00AB51FE">
            <w:pPr>
              <w:pStyle w:val="Tablehead"/>
            </w:pPr>
            <w:r w:rsidRPr="004E65CD">
              <w:lastRenderedPageBreak/>
              <w:t>Artículo de 2012</w:t>
            </w:r>
          </w:p>
        </w:tc>
        <w:tc>
          <w:tcPr>
            <w:tcW w:w="3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5313114E" w14:textId="77777777" w:rsidR="002721A7" w:rsidRPr="004E65CD" w:rsidRDefault="002721A7" w:rsidP="00AB51FE">
            <w:pPr>
              <w:pStyle w:val="Tablehead"/>
            </w:pPr>
            <w:r w:rsidRPr="004E65CD">
              <w:t>Párrafo y disposición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1D8BBFDE" w14:textId="77777777" w:rsidR="002721A7" w:rsidRPr="004E65CD" w:rsidRDefault="002721A7" w:rsidP="00AB51FE">
            <w:pPr>
              <w:pStyle w:val="Tablehead"/>
            </w:pPr>
            <w:r w:rsidRPr="004E65CD">
              <w:t xml:space="preserve">Párrafo y disposición </w:t>
            </w:r>
            <w:r w:rsidRPr="004E65CD">
              <w:br/>
              <w:t xml:space="preserve">conexos de </w:t>
            </w:r>
            <w:hyperlink r:id="rId15" w:history="1">
              <w:r w:rsidRPr="002721A7">
                <w:rPr>
                  <w:rStyle w:val="Hyperlink"/>
                </w:rPr>
                <w:t>1988</w:t>
              </w:r>
            </w:hyperlink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154C7C05" w14:textId="77777777" w:rsidR="002721A7" w:rsidRPr="004E65CD" w:rsidRDefault="002721A7" w:rsidP="00AB51FE">
            <w:pPr>
              <w:pStyle w:val="Tablehead"/>
            </w:pPr>
            <w:r w:rsidRPr="004E65CD">
              <w:t>Aplicabilidad para fomentar</w:t>
            </w:r>
            <w:r w:rsidRPr="004E65CD">
              <w:br/>
              <w:t>la prestación y el desarrollo</w:t>
            </w:r>
            <w:r w:rsidRPr="004E65CD">
              <w:br/>
              <w:t>de redes y servicios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323E9386" w14:textId="77777777" w:rsidR="002721A7" w:rsidRPr="004E65CD" w:rsidRDefault="002721A7" w:rsidP="00AB51FE">
            <w:pPr>
              <w:pStyle w:val="Tablehead"/>
            </w:pPr>
            <w:r w:rsidRPr="004E65CD">
              <w:t>Flexibilidad para adaptarse a</w:t>
            </w:r>
            <w:r w:rsidRPr="004E65CD">
              <w:br/>
              <w:t>las nuevas tendencias y a</w:t>
            </w:r>
            <w:r w:rsidRPr="004E65CD">
              <w:br/>
              <w:t>los problemas emergentes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5AE4F00" w14:textId="77777777" w:rsidR="002721A7" w:rsidRPr="004E65CD" w:rsidRDefault="002721A7" w:rsidP="00AB51FE">
            <w:pPr>
              <w:pStyle w:val="Tablehead"/>
            </w:pPr>
            <w:r w:rsidRPr="004E65CD">
              <w:t>Resultado resumido</w:t>
            </w:r>
          </w:p>
        </w:tc>
      </w:tr>
      <w:tr w:rsidR="0016614F" w:rsidRPr="004E65CD" w14:paraId="014415F7" w14:textId="77777777" w:rsidTr="002721A7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150A" w14:textId="77777777" w:rsidR="0016614F" w:rsidRPr="004E65CD" w:rsidRDefault="0016614F" w:rsidP="002721A7">
            <w:pPr>
              <w:pStyle w:val="Tabletext"/>
              <w:keepNext/>
              <w:rPr>
                <w:rFonts w:eastAsia="Arial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F9B9" w14:textId="23CAB65D" w:rsidR="0016614F" w:rsidRPr="004E65CD" w:rsidRDefault="0016614F" w:rsidP="002721A7">
            <w:pPr>
              <w:pStyle w:val="Tabletext"/>
              <w:keepNext/>
              <w:rPr>
                <w:b/>
                <w:bCs/>
              </w:rPr>
            </w:pPr>
            <w:r w:rsidRPr="004E65CD">
              <w:rPr>
                <w:b/>
                <w:bCs/>
              </w:rPr>
              <w:t>Accesibilidad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4906EC" w14:textId="77777777" w:rsidR="0016614F" w:rsidRPr="004E65CD" w:rsidRDefault="0016614F" w:rsidP="002721A7">
            <w:pPr>
              <w:pStyle w:val="Tabletext"/>
              <w:keepNext/>
            </w:pP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9B67F9" w14:textId="77777777" w:rsidR="0016614F" w:rsidRPr="004E65CD" w:rsidRDefault="0016614F" w:rsidP="002721A7">
            <w:pPr>
              <w:pStyle w:val="Tabletext"/>
              <w:keepNext/>
              <w:rPr>
                <w:rFonts w:eastAsia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F085F0" w14:textId="77777777" w:rsidR="0016614F" w:rsidRPr="004E65CD" w:rsidRDefault="0016614F" w:rsidP="002721A7">
            <w:pPr>
              <w:pStyle w:val="Tabletext"/>
              <w:keepNext/>
              <w:rPr>
                <w:rFonts w:eastAsia="Arial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F10CA" w14:textId="77777777" w:rsidR="0016614F" w:rsidRPr="004E65CD" w:rsidRDefault="0016614F" w:rsidP="002721A7">
            <w:pPr>
              <w:pStyle w:val="Tabletext"/>
              <w:keepNext/>
            </w:pPr>
          </w:p>
        </w:tc>
      </w:tr>
      <w:tr w:rsidR="0016614F" w:rsidRPr="004E65CD" w14:paraId="66A0F6BD" w14:textId="77777777" w:rsidTr="002721A7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7766" w14:textId="3E495A55" w:rsidR="0016614F" w:rsidRPr="004E65CD" w:rsidRDefault="0016614F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12.1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561B" w14:textId="6CFB5241" w:rsidR="0016614F" w:rsidRPr="004E65CD" w:rsidRDefault="0016614F" w:rsidP="002721A7">
            <w:pPr>
              <w:pStyle w:val="Tabletext"/>
            </w:pPr>
            <w:r w:rsidRPr="004E65CD">
              <w:t>Los Estados Miembros promoverán el acceso de las personas con discapacidad a los servicios internacionales de telecomunicación con arreglo a las Recomendaciones UIT-T pertinentes.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A2F950" w14:textId="77777777" w:rsidR="0016614F" w:rsidRPr="004E65CD" w:rsidRDefault="0016614F" w:rsidP="002721A7">
            <w:pPr>
              <w:pStyle w:val="Tabletext"/>
            </w:pP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B91FC" w14:textId="33283297" w:rsidR="0016614F" w:rsidRPr="004E65CD" w:rsidRDefault="00C623AF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 xml:space="preserve">La </w:t>
            </w:r>
            <w:r w:rsidR="00432832">
              <w:rPr>
                <w:rFonts w:eastAsia="Arial"/>
              </w:rPr>
              <w:t>"</w:t>
            </w:r>
            <w:r w:rsidRPr="004E65CD">
              <w:rPr>
                <w:rFonts w:eastAsia="Arial"/>
              </w:rPr>
              <w:t>promoción</w:t>
            </w:r>
            <w:r w:rsidR="00432832">
              <w:rPr>
                <w:rFonts w:eastAsia="Arial"/>
              </w:rPr>
              <w:t>"</w:t>
            </w:r>
            <w:r w:rsidRPr="004E65CD">
              <w:rPr>
                <w:rFonts w:eastAsia="Arial"/>
              </w:rPr>
              <w:t xml:space="preserve"> del acceso no está definida y, por lo tan</w:t>
            </w:r>
            <w:r w:rsidR="004E65CD">
              <w:rPr>
                <w:rFonts w:eastAsia="Arial"/>
              </w:rPr>
              <w:t xml:space="preserve">to, no es legalmente exigible. </w:t>
            </w:r>
            <w:r w:rsidRPr="004E65CD">
              <w:rPr>
                <w:rFonts w:eastAsia="Arial"/>
              </w:rPr>
              <w:t xml:space="preserve">El acceso de las personas con discapacidad es claramente una prioridad importante, pero es probable que el éxito de la promoción del acceso no se deba tanto a la modificación de las </w:t>
            </w:r>
            <w:r w:rsidR="00432832">
              <w:rPr>
                <w:rFonts w:eastAsia="Arial"/>
              </w:rPr>
              <w:t>"</w:t>
            </w:r>
            <w:r w:rsidRPr="004E65CD">
              <w:rPr>
                <w:rFonts w:eastAsia="Arial"/>
              </w:rPr>
              <w:t>redes y servicios</w:t>
            </w:r>
            <w:r w:rsidR="00432832">
              <w:rPr>
                <w:rFonts w:eastAsia="Arial"/>
              </w:rPr>
              <w:t>"</w:t>
            </w:r>
            <w:r w:rsidRPr="004E65CD">
              <w:rPr>
                <w:rFonts w:eastAsia="Arial"/>
              </w:rPr>
              <w:t xml:space="preserve"> técnicos como al cambio de la sociedad, por ejemplo la mejora de la educación, la garantía de la igualdad en el lugar de trabajo, la atención médica de calidad y el equipo de asistencia.</w:t>
            </w:r>
          </w:p>
          <w:p w14:paraId="0243520D" w14:textId="019E77F7" w:rsidR="003F1DC1" w:rsidRPr="004E65CD" w:rsidRDefault="00C623AF" w:rsidP="000F7000">
            <w:pPr>
              <w:pStyle w:val="Tabletext"/>
              <w:spacing w:before="120"/>
              <w:rPr>
                <w:rFonts w:eastAsia="Arial"/>
              </w:rPr>
            </w:pPr>
            <w:r w:rsidRPr="004E65CD">
              <w:rPr>
                <w:rFonts w:eastAsia="Arial"/>
              </w:rPr>
              <w:t>Por consiguiente, esta disposición no contribuye a fomentar el suministro y el desarrollo de redes y servicios</w:t>
            </w:r>
            <w:r w:rsidR="0016614F" w:rsidRPr="004E65CD">
              <w:rPr>
                <w:rFonts w:eastAsia="Arial"/>
              </w:rPr>
              <w:t>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F63FC" w14:textId="2B47AA51" w:rsidR="0016614F" w:rsidRPr="004E65CD" w:rsidRDefault="003F1DC1" w:rsidP="002721A7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 xml:space="preserve">Cada año hay muchas nuevas Recomendaciones UIT-T sobre nuevas tendencias y problemas emergentes. Sin embargo, esto significa también que hay gran cantidad de Recomendaciones obsoletas y redundantes. </w:t>
            </w:r>
            <w:r w:rsidR="00C623AF" w:rsidRPr="004E65CD">
              <w:rPr>
                <w:rFonts w:eastAsia="Arial"/>
              </w:rPr>
              <w:t>Esta disposición exige que los Estados Miembros sigan teniéndolas en cuenta. Por consiguiente, esta disposición no ofrece flexibilidad para acomodar las nuevas tendencias y cuestiones emergentes.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9B9B48" w14:textId="77777777" w:rsidR="0016614F" w:rsidRPr="004E65CD" w:rsidRDefault="0016614F" w:rsidP="002721A7">
            <w:pPr>
              <w:pStyle w:val="Tabletext"/>
            </w:pPr>
          </w:p>
        </w:tc>
      </w:tr>
    </w:tbl>
    <w:p w14:paraId="4562457A" w14:textId="152F0143" w:rsidR="003F1DC1" w:rsidRPr="004E65CD" w:rsidRDefault="003F1DC1"/>
    <w:p w14:paraId="1475AA4D" w14:textId="77777777" w:rsidR="003F1DC1" w:rsidRPr="004E65CD" w:rsidRDefault="003F1DC1" w:rsidP="003F1DC1"/>
    <w:p w14:paraId="4750327E" w14:textId="0112FD21" w:rsidR="003F1DC1" w:rsidRPr="004E65CD" w:rsidRDefault="003F1DC1" w:rsidP="003F1DC1">
      <w:r w:rsidRPr="004E65CD">
        <w:br w:type="page"/>
      </w:r>
    </w:p>
    <w:tbl>
      <w:tblPr>
        <w:tblW w:w="153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3421"/>
        <w:gridCol w:w="3383"/>
        <w:gridCol w:w="2891"/>
        <w:gridCol w:w="3219"/>
        <w:gridCol w:w="1483"/>
      </w:tblGrid>
      <w:tr w:rsidR="002721A7" w:rsidRPr="004E65CD" w14:paraId="7A3782B9" w14:textId="77777777" w:rsidTr="00BB3B92">
        <w:trPr>
          <w:tblHeader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0D3982A9" w14:textId="77777777" w:rsidR="002721A7" w:rsidRPr="004E65CD" w:rsidRDefault="002721A7" w:rsidP="00AB51FE">
            <w:pPr>
              <w:pStyle w:val="Tablehead"/>
            </w:pPr>
            <w:r w:rsidRPr="004E65CD">
              <w:lastRenderedPageBreak/>
              <w:t>Artículo de 2012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2564CDB" w14:textId="77777777" w:rsidR="002721A7" w:rsidRPr="004E65CD" w:rsidRDefault="002721A7" w:rsidP="00AB51FE">
            <w:pPr>
              <w:pStyle w:val="Tablehead"/>
            </w:pPr>
            <w:r w:rsidRPr="004E65CD">
              <w:t>Párrafo y disposición</w:t>
            </w:r>
          </w:p>
        </w:tc>
        <w:tc>
          <w:tcPr>
            <w:tcW w:w="3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3CF67FD" w14:textId="77777777" w:rsidR="002721A7" w:rsidRPr="004E65CD" w:rsidRDefault="002721A7" w:rsidP="00AB51FE">
            <w:pPr>
              <w:pStyle w:val="Tablehead"/>
            </w:pPr>
            <w:r w:rsidRPr="004E65CD">
              <w:t xml:space="preserve">Párrafo y disposición </w:t>
            </w:r>
            <w:r w:rsidRPr="004E65CD">
              <w:br/>
              <w:t xml:space="preserve">conexos de </w:t>
            </w:r>
            <w:hyperlink r:id="rId16" w:history="1">
              <w:r w:rsidRPr="002721A7">
                <w:rPr>
                  <w:rStyle w:val="Hyperlink"/>
                </w:rPr>
                <w:t>1988</w:t>
              </w:r>
            </w:hyperlink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6D54D9E" w14:textId="77777777" w:rsidR="002721A7" w:rsidRPr="004E65CD" w:rsidRDefault="002721A7" w:rsidP="00AB51FE">
            <w:pPr>
              <w:pStyle w:val="Tablehead"/>
            </w:pPr>
            <w:r w:rsidRPr="004E65CD">
              <w:t>Aplicabilidad para fomentar</w:t>
            </w:r>
            <w:r w:rsidRPr="004E65CD">
              <w:br/>
              <w:t>la prestación y el desarrollo</w:t>
            </w:r>
            <w:r w:rsidRPr="004E65CD">
              <w:br/>
              <w:t>de redes y servicios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700F9836" w14:textId="77777777" w:rsidR="002721A7" w:rsidRPr="004E65CD" w:rsidRDefault="002721A7" w:rsidP="00AB51FE">
            <w:pPr>
              <w:pStyle w:val="Tablehead"/>
            </w:pPr>
            <w:r w:rsidRPr="004E65CD">
              <w:t>Flexibilidad para adaptarse a</w:t>
            </w:r>
            <w:r w:rsidRPr="004E65CD">
              <w:br/>
              <w:t>las nuevas tendencias y a</w:t>
            </w:r>
            <w:r w:rsidRPr="004E65CD">
              <w:br/>
              <w:t>los problemas emergentes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14F4C86" w14:textId="77777777" w:rsidR="002721A7" w:rsidRPr="004E65CD" w:rsidRDefault="002721A7" w:rsidP="00AB51FE">
            <w:pPr>
              <w:pStyle w:val="Tablehead"/>
            </w:pPr>
            <w:r w:rsidRPr="004E65CD">
              <w:t>Resultado resumido</w:t>
            </w:r>
          </w:p>
        </w:tc>
      </w:tr>
      <w:tr w:rsidR="0016614F" w:rsidRPr="004E65CD" w14:paraId="4EC89B6B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9A67" w14:textId="77777777" w:rsidR="0016614F" w:rsidRPr="004E65CD" w:rsidRDefault="0016614F" w:rsidP="00BB3B92">
            <w:pPr>
              <w:pStyle w:val="Tabletext"/>
              <w:rPr>
                <w:rFonts w:eastAsia="Arial"/>
              </w:rPr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22FB" w14:textId="09D1EEBD" w:rsidR="0016614F" w:rsidRPr="004E65CD" w:rsidRDefault="0016614F" w:rsidP="00BB3B92">
            <w:pPr>
              <w:pStyle w:val="Tabletext"/>
              <w:rPr>
                <w:b/>
                <w:bCs/>
              </w:rPr>
            </w:pPr>
            <w:r w:rsidRPr="004E65CD">
              <w:rPr>
                <w:b/>
                <w:bCs/>
              </w:rPr>
              <w:t>Acuerdos particulares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ECCE8E" w14:textId="3446DC9F" w:rsidR="0016614F" w:rsidRPr="004E65CD" w:rsidRDefault="0016614F" w:rsidP="00BB3B92">
            <w:pPr>
              <w:pStyle w:val="Tabletext"/>
              <w:rPr>
                <w:b/>
                <w:bCs/>
              </w:rPr>
            </w:pPr>
            <w:r w:rsidRPr="004E65CD">
              <w:rPr>
                <w:b/>
                <w:bCs/>
                <w:caps/>
              </w:rPr>
              <w:t>A</w:t>
            </w:r>
            <w:r w:rsidRPr="004E65CD">
              <w:rPr>
                <w:b/>
                <w:bCs/>
              </w:rPr>
              <w:t xml:space="preserve">rtículo </w:t>
            </w:r>
            <w:r w:rsidRPr="004E65CD">
              <w:rPr>
                <w:b/>
                <w:bCs/>
                <w:caps/>
              </w:rPr>
              <w:t>9: a</w:t>
            </w:r>
            <w:r w:rsidRPr="004E65CD">
              <w:rPr>
                <w:b/>
                <w:bCs/>
              </w:rPr>
              <w:t>rreglos particulares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BCC91E" w14:textId="77777777" w:rsidR="0016614F" w:rsidRPr="004E65CD" w:rsidRDefault="0016614F" w:rsidP="00BB3B92">
            <w:pPr>
              <w:pStyle w:val="Tabletext"/>
              <w:rPr>
                <w:rFonts w:eastAsia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7C7232" w14:textId="77777777" w:rsidR="0016614F" w:rsidRPr="004E65CD" w:rsidRDefault="0016614F" w:rsidP="00BB3B92">
            <w:pPr>
              <w:pStyle w:val="Tabletext"/>
              <w:rPr>
                <w:rFonts w:eastAsia="Arial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35AA07" w14:textId="77777777" w:rsidR="0016614F" w:rsidRPr="004E65CD" w:rsidRDefault="0016614F" w:rsidP="00BB3B92">
            <w:pPr>
              <w:pStyle w:val="Tabletext"/>
            </w:pPr>
          </w:p>
        </w:tc>
      </w:tr>
      <w:tr w:rsidR="00F22B94" w:rsidRPr="004E65CD" w14:paraId="5A31DD07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4EC5" w14:textId="30627076" w:rsidR="00F22B94" w:rsidRPr="004E65CD" w:rsidRDefault="00F22B94" w:rsidP="00BB3B92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13.1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C67E" w14:textId="5B97D606" w:rsidR="00F22B94" w:rsidRPr="004E65CD" w:rsidRDefault="00F22B94" w:rsidP="00BB3B92">
            <w:pPr>
              <w:pStyle w:val="Tabletext"/>
            </w:pPr>
            <w:r w:rsidRPr="004E65CD">
              <w:t>a)</w:t>
            </w:r>
            <w:r w:rsidRPr="004E65CD">
              <w:rPr>
                <w:i/>
                <w:iCs/>
              </w:rPr>
              <w:t xml:space="preserve"> </w:t>
            </w:r>
            <w:r w:rsidRPr="004E65CD">
              <w:t xml:space="preserve">De conformidad con el Artículo 42 de la Constitución, se pueden concertar acuerdos particulares sobre cuestiones relativas a las telecomunicaciones que no interesen a la generalidad </w:t>
            </w:r>
            <w:r w:rsidRPr="004E65CD">
              <w:rPr>
                <w:rFonts w:eastAsia="Batang"/>
              </w:rPr>
              <w:t>de</w:t>
            </w:r>
            <w:r w:rsidRPr="004E65CD">
              <w:t xml:space="preserve"> los Estados Miembros. De conformidad con la legislación nacional, los Estados Miembros podrán facultar a las empresas de explotación autorizadas u otras organizaciones o personas a concertar esos acuerdos mutuos particulares con Estados Miembros y/o empresas de explotación autorizadas, o con otras organizaciones o personas facultadas para ello en otro país para el establecimiento, explotación y uso de redes, sistemas y servicios internacionales de telecomunicación especiales, con el fin de satisfacer necesidades de telecomunicaciones internacionales especializadas dentro de los territorios de los Estados Miembros interesados o entre tales territorios, e incluyendo, </w:t>
            </w:r>
            <w:r w:rsidRPr="004E65CD">
              <w:lastRenderedPageBreak/>
              <w:t>de ser necesario, las condiciones financieras, técnicas o de explotación que hayan de observarse.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D8AF8" w14:textId="0EC766F0" w:rsidR="00F22B94" w:rsidRPr="004E65CD" w:rsidRDefault="00F22B94" w:rsidP="00BB3B92">
            <w:pPr>
              <w:pStyle w:val="Tabletext"/>
            </w:pPr>
            <w:r w:rsidRPr="004E65CD">
              <w:lastRenderedPageBreak/>
              <w:t>9.1 a) De conformidad con el Artículo 31 del Convenio Internacional de Telecomunicaciones (Nairobi, 1982) se pueden concertar arreglos particulares sobre cuestiones relativas a las telecomunicaciones que no interesen a la generalidad de los Miembros. A reserva de la legislación nacional, los Miembros podrán facultar a las administraciones</w:t>
            </w:r>
            <w:r w:rsidRPr="004E65CD">
              <w:fldChar w:fldCharType="begin"/>
            </w:r>
            <w:r w:rsidRPr="004E65CD">
              <w:instrText xml:space="preserve"> NOTEREF _Ref319417134 \f \h  \* MERGEFORMAT </w:instrText>
            </w:r>
            <w:r w:rsidRPr="004E65CD">
              <w:fldChar w:fldCharType="separate"/>
            </w:r>
            <w:r w:rsidRPr="004E65CD">
              <w:t>*</w:t>
            </w:r>
            <w:r w:rsidRPr="004E65CD">
              <w:fldChar w:fldCharType="end"/>
            </w:r>
            <w:r w:rsidRPr="004E65CD">
              <w:t xml:space="preserve"> u otras organizaciones o personas a concertar esos arreglos mutuos particulares con Miembros, administraciones</w:t>
            </w:r>
            <w:r w:rsidRPr="004E65CD">
              <w:fldChar w:fldCharType="begin"/>
            </w:r>
            <w:r w:rsidRPr="004E65CD">
              <w:instrText xml:space="preserve"> NOTEREF _Ref319417134 \f \h  \* MERGEFORMAT </w:instrText>
            </w:r>
            <w:r w:rsidRPr="004E65CD">
              <w:fldChar w:fldCharType="separate"/>
            </w:r>
            <w:r w:rsidRPr="004E65CD">
              <w:t>*</w:t>
            </w:r>
            <w:r w:rsidRPr="004E65CD">
              <w:fldChar w:fldCharType="end"/>
            </w:r>
            <w:r w:rsidRPr="004E65CD">
              <w:t xml:space="preserve"> u otras organizaciones o personas facultadas para ello en otro país para el establecimiento, explotación y uso de redes, sistemas y servicios de telecomunicación, con el fin de satisfacer necesidades de telecomunicaciones internacionales especializadas dentro de los territorios de los Miembros interesados o entre tales territorios e incluyendo, de ser necesario, las </w:t>
            </w:r>
            <w:r w:rsidRPr="004E65CD">
              <w:lastRenderedPageBreak/>
              <w:t>condiciones financieras, técnicas o de explotación que hayan de observarse.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A9129A" w14:textId="4798D89F" w:rsidR="00F22B94" w:rsidRPr="004E65CD" w:rsidRDefault="00C623AF" w:rsidP="00BB3B92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lastRenderedPageBreak/>
              <w:t>Esta disposición establece algo que el tratado no hace, por lo que no facilita el suministro y desarrollo de redes y servicios</w:t>
            </w:r>
            <w:r w:rsidR="00F22B94" w:rsidRPr="004E65CD">
              <w:rPr>
                <w:rFonts w:eastAsia="Arial"/>
              </w:rPr>
              <w:t xml:space="preserve">. 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3B74DC" w14:textId="1689A2A3" w:rsidR="00F22B94" w:rsidRPr="004E65CD" w:rsidRDefault="00C623AF" w:rsidP="00BB3B92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Esta disposición establece algo que el tratado no hace, por lo que no puede por sí misma proporcionar flexibilidad para acomodar las nuevas tendencias y cuestiones emergentes</w:t>
            </w:r>
            <w:r w:rsidR="00F22B94" w:rsidRPr="004E65CD">
              <w:rPr>
                <w:rFonts w:eastAsia="Arial"/>
              </w:rPr>
              <w:t xml:space="preserve">.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FF10BC" w14:textId="77777777" w:rsidR="00F22B94" w:rsidRPr="004E65CD" w:rsidRDefault="00F22B94" w:rsidP="00BB3B92">
            <w:pPr>
              <w:pStyle w:val="Tabletext"/>
            </w:pPr>
          </w:p>
        </w:tc>
      </w:tr>
      <w:tr w:rsidR="00F22B94" w:rsidRPr="004E65CD" w14:paraId="180C4857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ED5A" w14:textId="77777777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5190" w14:textId="3FD1128B" w:rsidR="00F22B94" w:rsidRPr="004E65CD" w:rsidRDefault="00F22B94" w:rsidP="007B0AFE">
            <w:pPr>
              <w:pStyle w:val="Tabletext"/>
              <w:rPr>
                <w:i/>
                <w:iCs/>
              </w:rPr>
            </w:pPr>
            <w:r w:rsidRPr="004E65CD">
              <w:t>b) Tales acuerdos particulares procurarán evitar causar daños técnicos a la explotación de los medios de telecomunicación de terceros países.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60E02D" w14:textId="12C4ADE0" w:rsidR="00F22B94" w:rsidRPr="004E65CD" w:rsidRDefault="00F22B94" w:rsidP="007B0AFE">
            <w:pPr>
              <w:pStyle w:val="Tabletext"/>
            </w:pPr>
            <w:r w:rsidRPr="004E65CD">
              <w:t>b) Tales arreglos particulares deberían evitar todo perjuicio técnico a la explotación de los medios de telecomunicación de terceros países.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84D02C" w14:textId="77777777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33202B" w14:textId="77777777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65F8F3" w14:textId="77777777" w:rsidR="00F22B94" w:rsidRPr="004E65CD" w:rsidRDefault="00F22B94" w:rsidP="007B0AFE">
            <w:pPr>
              <w:pStyle w:val="Tabletext"/>
            </w:pPr>
          </w:p>
        </w:tc>
      </w:tr>
      <w:tr w:rsidR="00F22B94" w:rsidRPr="004E65CD" w14:paraId="39F128F3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2E20" w14:textId="102874E8" w:rsidR="00F22B94" w:rsidRPr="004E65CD" w:rsidRDefault="00F22B94" w:rsidP="007B0AFE">
            <w:pPr>
              <w:pStyle w:val="Tabletext"/>
              <w:rPr>
                <w:rFonts w:asciiTheme="minorHAnsi" w:eastAsia="Arial" w:hAnsiTheme="minorHAnsi" w:cstheme="minorHAnsi"/>
              </w:rPr>
            </w:pPr>
            <w:r w:rsidRPr="004E65CD">
              <w:rPr>
                <w:rFonts w:asciiTheme="minorHAnsi" w:eastAsia="Arial" w:hAnsiTheme="minorHAnsi" w:cstheme="minorHAnsi"/>
              </w:rPr>
              <w:t>13.2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25B8B" w14:textId="73D62588" w:rsidR="00F22B94" w:rsidRPr="004E65CD" w:rsidRDefault="00F22B94" w:rsidP="007B0AFE">
            <w:pPr>
              <w:pStyle w:val="Tabletext"/>
            </w:pPr>
            <w:r w:rsidRPr="004E65CD">
              <w:t xml:space="preserve">Los Estados Miembros deben instar, si procede, a las partes en cualesquiera acuerdos particulares concertados de conformidad con el número 73 (13.1) </w:t>
            </w:r>
            <w:r w:rsidRPr="004E65CD">
              <w:rPr>
                <w:i/>
                <w:iCs/>
              </w:rPr>
              <w:t xml:space="preserve">supra </w:t>
            </w:r>
            <w:r w:rsidRPr="004E65CD">
              <w:t>a tener en cuenta las disposiciones pertinentes de las Recomendaciones UIT-T.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E95C6" w14:textId="0AC2C1CE" w:rsidR="00F22B94" w:rsidRPr="004E65CD" w:rsidRDefault="00F22B94" w:rsidP="007B0AFE">
            <w:pPr>
              <w:pStyle w:val="Tabletext"/>
            </w:pPr>
            <w:r w:rsidRPr="004E65CD">
              <w:t>9.2</w:t>
            </w:r>
            <w:r w:rsidRPr="004E65CD">
              <w:tab/>
              <w:t>Los Miembros deberían, según proceda, instar a las partes en cualesquiera arreglos particulares concertados de conformidad con el número 58 a que tengan en cuenta las disposiciones pertinentes de las Recomendaciones del CCITT.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23875" w14:textId="795039D7" w:rsidR="00F22B94" w:rsidRPr="004E65CD" w:rsidRDefault="00432832" w:rsidP="007B0AFE">
            <w:pPr>
              <w:pStyle w:val="Tabletex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"</w:t>
            </w:r>
            <w:r w:rsidR="00C623AF" w:rsidRPr="004E65CD">
              <w:rPr>
                <w:rFonts w:asciiTheme="minorHAnsi" w:eastAsia="Arial" w:hAnsiTheme="minorHAnsi" w:cstheme="minorHAnsi"/>
              </w:rPr>
              <w:t>Los Miembros deberían, según proceda, instar</w:t>
            </w:r>
            <w:r>
              <w:rPr>
                <w:rFonts w:asciiTheme="minorHAnsi" w:eastAsia="Arial" w:hAnsiTheme="minorHAnsi" w:cstheme="minorHAnsi"/>
              </w:rPr>
              <w:t>"</w:t>
            </w:r>
            <w:r w:rsidR="00F22B94" w:rsidRPr="004E65CD">
              <w:rPr>
                <w:rFonts w:asciiTheme="minorHAnsi" w:eastAsia="Arial" w:hAnsiTheme="minorHAnsi" w:cstheme="minorHAnsi"/>
              </w:rPr>
              <w:t xml:space="preserve"> </w:t>
            </w:r>
            <w:r w:rsidR="00C623AF" w:rsidRPr="004E65CD">
              <w:rPr>
                <w:rFonts w:asciiTheme="minorHAnsi" w:eastAsia="Arial" w:hAnsiTheme="minorHAnsi" w:cstheme="minorHAnsi"/>
              </w:rPr>
              <w:t xml:space="preserve">no es legalmente exigible y, además, es probable que sea aplicado de manera inconsistente por los estados debido a las diferentes interpretaciones de </w:t>
            </w:r>
            <w:r>
              <w:rPr>
                <w:rFonts w:asciiTheme="minorHAnsi" w:eastAsia="Arial" w:hAnsiTheme="minorHAnsi" w:cstheme="minorHAnsi"/>
              </w:rPr>
              <w:t>"</w:t>
            </w:r>
            <w:r w:rsidR="00E51C05" w:rsidRPr="004E65CD">
              <w:rPr>
                <w:rFonts w:asciiTheme="minorHAnsi" w:eastAsia="Arial" w:hAnsiTheme="minorHAnsi" w:cstheme="minorHAnsi"/>
              </w:rPr>
              <w:t>según proceda</w:t>
            </w:r>
            <w:r>
              <w:rPr>
                <w:rFonts w:asciiTheme="minorHAnsi" w:eastAsia="Arial" w:hAnsiTheme="minorHAnsi" w:cstheme="minorHAnsi"/>
              </w:rPr>
              <w:t>"</w:t>
            </w:r>
            <w:r w:rsidR="00C623AF" w:rsidRPr="004E65CD">
              <w:rPr>
                <w:rFonts w:asciiTheme="minorHAnsi" w:eastAsia="Arial" w:hAnsiTheme="minorHAnsi" w:cstheme="minorHAnsi"/>
              </w:rPr>
              <w:t xml:space="preserve"> </w:t>
            </w:r>
            <w:r w:rsidR="00E51C05" w:rsidRPr="004E65CD">
              <w:rPr>
                <w:rFonts w:asciiTheme="minorHAnsi" w:eastAsia="Arial" w:hAnsiTheme="minorHAnsi" w:cstheme="minorHAnsi"/>
              </w:rPr>
              <w:t>e</w:t>
            </w:r>
            <w:r w:rsidR="00C623AF" w:rsidRPr="004E65CD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"</w:t>
            </w:r>
            <w:r w:rsidR="00E51C05" w:rsidRPr="004E65CD">
              <w:rPr>
                <w:rFonts w:asciiTheme="minorHAnsi" w:eastAsia="Arial" w:hAnsiTheme="minorHAnsi" w:cstheme="minorHAnsi"/>
              </w:rPr>
              <w:t>instar</w:t>
            </w:r>
            <w:r>
              <w:rPr>
                <w:rFonts w:asciiTheme="minorHAnsi" w:eastAsia="Arial" w:hAnsiTheme="minorHAnsi" w:cstheme="minorHAnsi"/>
              </w:rPr>
              <w:t>"</w:t>
            </w:r>
            <w:r w:rsidR="00C623AF" w:rsidRPr="004E65CD">
              <w:rPr>
                <w:rFonts w:asciiTheme="minorHAnsi" w:eastAsia="Arial" w:hAnsiTheme="minorHAnsi" w:cstheme="minorHAnsi"/>
              </w:rPr>
              <w:t>.</w:t>
            </w:r>
          </w:p>
          <w:p w14:paraId="7874A232" w14:textId="4E9DEFB3" w:rsidR="00F22B94" w:rsidRPr="004E65CD" w:rsidRDefault="00E51C05" w:rsidP="000F7000">
            <w:pPr>
              <w:pStyle w:val="Tabletext"/>
              <w:spacing w:before="120"/>
              <w:rPr>
                <w:rFonts w:asciiTheme="minorHAnsi" w:eastAsia="Arial" w:hAnsiTheme="minorHAnsi" w:cstheme="minorHAnsi"/>
              </w:rPr>
            </w:pPr>
            <w:r w:rsidRPr="004E65CD">
              <w:rPr>
                <w:rFonts w:asciiTheme="minorHAnsi" w:eastAsia="Arial" w:hAnsiTheme="minorHAnsi" w:cstheme="minorHAnsi"/>
              </w:rPr>
              <w:t>Por consiguiente, esta disposición no contribuye a fomentar el suministro y el desarrollo de redes y servicios.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7F4D21" w14:textId="69FAF1FE" w:rsidR="00F22B94" w:rsidRPr="004E65CD" w:rsidRDefault="00F22B94" w:rsidP="007B0AFE">
            <w:pPr>
              <w:pStyle w:val="Tabletext"/>
              <w:rPr>
                <w:rFonts w:asciiTheme="minorHAnsi" w:eastAsia="Arial" w:hAnsiTheme="minorHAnsi" w:cstheme="minorHAnsi"/>
              </w:rPr>
            </w:pPr>
            <w:r w:rsidRPr="004E65CD">
              <w:rPr>
                <w:rFonts w:asciiTheme="minorHAnsi" w:eastAsia="Arial" w:hAnsiTheme="minorHAnsi" w:cstheme="minorHAnsi"/>
              </w:rPr>
              <w:t xml:space="preserve">Cada año hay muchas nuevas Recomendaciones UIT-T sobre nuevas tendencias y problemas emergentes. Sin embargo, esto significa también que hay gran cantidad de Recomendaciones obsoletas y redundantes. </w:t>
            </w:r>
            <w:r w:rsidR="00E51C05" w:rsidRPr="004E65CD">
              <w:rPr>
                <w:rFonts w:asciiTheme="minorHAnsi" w:eastAsia="Arial" w:hAnsiTheme="minorHAnsi" w:cstheme="minorHAnsi"/>
              </w:rPr>
              <w:t>Esta disposición requiere que los Estados Miembros alienten a las partes en cualquier acuerdo especial a tener en cuenta estas Recomendaciones redundantes</w:t>
            </w:r>
            <w:r w:rsidR="004E65CD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EB34C" w14:textId="77777777" w:rsidR="00F22B94" w:rsidRPr="004E65CD" w:rsidRDefault="00F22B94" w:rsidP="007B0AFE">
            <w:pPr>
              <w:pStyle w:val="Tabletext"/>
            </w:pPr>
          </w:p>
        </w:tc>
      </w:tr>
    </w:tbl>
    <w:p w14:paraId="7478C1E2" w14:textId="77777777" w:rsidR="007B0AFE" w:rsidRDefault="007B0AF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53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3421"/>
        <w:gridCol w:w="3383"/>
        <w:gridCol w:w="2891"/>
        <w:gridCol w:w="3219"/>
        <w:gridCol w:w="1483"/>
      </w:tblGrid>
      <w:tr w:rsidR="007B0AFE" w:rsidRPr="004E65CD" w14:paraId="78E46411" w14:textId="77777777" w:rsidTr="00AB51FE">
        <w:trPr>
          <w:tblHeader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0C0415D7" w14:textId="77777777" w:rsidR="007B0AFE" w:rsidRPr="004E65CD" w:rsidRDefault="007B0AFE" w:rsidP="00AB51FE">
            <w:pPr>
              <w:pStyle w:val="Tablehead"/>
            </w:pPr>
            <w:r w:rsidRPr="004E65CD">
              <w:lastRenderedPageBreak/>
              <w:t>Artículo de 2012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13C68BAF" w14:textId="77777777" w:rsidR="007B0AFE" w:rsidRPr="004E65CD" w:rsidRDefault="007B0AFE" w:rsidP="00AB51FE">
            <w:pPr>
              <w:pStyle w:val="Tablehead"/>
            </w:pPr>
            <w:r w:rsidRPr="004E65CD">
              <w:t>Párrafo y disposición</w:t>
            </w:r>
          </w:p>
        </w:tc>
        <w:tc>
          <w:tcPr>
            <w:tcW w:w="3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42E9835A" w14:textId="77777777" w:rsidR="007B0AFE" w:rsidRPr="004E65CD" w:rsidRDefault="007B0AFE" w:rsidP="00AB51FE">
            <w:pPr>
              <w:pStyle w:val="Tablehead"/>
            </w:pPr>
            <w:r w:rsidRPr="004E65CD">
              <w:t xml:space="preserve">Párrafo y disposición </w:t>
            </w:r>
            <w:r w:rsidRPr="004E65CD">
              <w:br/>
              <w:t xml:space="preserve">conexos de </w:t>
            </w:r>
            <w:hyperlink r:id="rId17" w:history="1">
              <w:r w:rsidRPr="002721A7">
                <w:rPr>
                  <w:rStyle w:val="Hyperlink"/>
                </w:rPr>
                <w:t>1988</w:t>
              </w:r>
            </w:hyperlink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1360F82D" w14:textId="77777777" w:rsidR="007B0AFE" w:rsidRPr="004E65CD" w:rsidRDefault="007B0AFE" w:rsidP="00AB51FE">
            <w:pPr>
              <w:pStyle w:val="Tablehead"/>
            </w:pPr>
            <w:r w:rsidRPr="004E65CD">
              <w:t>Aplicabilidad para fomentar</w:t>
            </w:r>
            <w:r w:rsidRPr="004E65CD">
              <w:br/>
              <w:t>la prestación y el desarrollo</w:t>
            </w:r>
            <w:r w:rsidRPr="004E65CD">
              <w:br/>
              <w:t>de redes y servicios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0A1DA015" w14:textId="77777777" w:rsidR="007B0AFE" w:rsidRPr="004E65CD" w:rsidRDefault="007B0AFE" w:rsidP="00AB51FE">
            <w:pPr>
              <w:pStyle w:val="Tablehead"/>
            </w:pPr>
            <w:r w:rsidRPr="004E65CD">
              <w:t>Flexibilidad para adaptarse a</w:t>
            </w:r>
            <w:r w:rsidRPr="004E65CD">
              <w:br/>
              <w:t>las nuevas tendencias y a</w:t>
            </w:r>
            <w:r w:rsidRPr="004E65CD">
              <w:br/>
              <w:t>los problemas emergentes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D92EEEA" w14:textId="77777777" w:rsidR="007B0AFE" w:rsidRPr="004E65CD" w:rsidRDefault="007B0AFE" w:rsidP="00AB51FE">
            <w:pPr>
              <w:pStyle w:val="Tablehead"/>
            </w:pPr>
            <w:r w:rsidRPr="004E65CD">
              <w:t>Resultado resumido</w:t>
            </w:r>
          </w:p>
        </w:tc>
      </w:tr>
      <w:tr w:rsidR="00F22B94" w:rsidRPr="004E65CD" w14:paraId="68192E31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4407" w14:textId="77777777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979C" w14:textId="36E6FA09" w:rsidR="00F22B94" w:rsidRPr="004E65CD" w:rsidRDefault="007539D8" w:rsidP="007B0AFE">
            <w:pPr>
              <w:pStyle w:val="Tabletext"/>
            </w:pPr>
            <w:r w:rsidRPr="004E65CD">
              <w:rPr>
                <w:b/>
                <w:bCs/>
              </w:rPr>
              <w:t>Disposiciones finales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9F180F" w14:textId="76C8333F" w:rsidR="00F22B94" w:rsidRPr="004E65CD" w:rsidRDefault="007539D8" w:rsidP="007B0AFE">
            <w:pPr>
              <w:pStyle w:val="Tabletext"/>
              <w:rPr>
                <w:b/>
                <w:bCs/>
              </w:rPr>
            </w:pPr>
            <w:r w:rsidRPr="004E65CD">
              <w:rPr>
                <w:b/>
                <w:bCs/>
              </w:rPr>
              <w:t>Artículo 10 Disposiciones finales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ACFDD" w14:textId="77777777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B53802" w14:textId="77777777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32A60E" w14:textId="77777777" w:rsidR="00F22B94" w:rsidRPr="004E65CD" w:rsidRDefault="00F22B94" w:rsidP="007B0AFE">
            <w:pPr>
              <w:pStyle w:val="Tabletext"/>
            </w:pPr>
          </w:p>
        </w:tc>
      </w:tr>
      <w:tr w:rsidR="00F22B94" w:rsidRPr="004E65CD" w14:paraId="7B74175B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B085" w14:textId="435CBC21" w:rsidR="00F22B94" w:rsidRPr="004E65CD" w:rsidRDefault="00F22B94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BEE6" w14:textId="53D2E0A9" w:rsidR="00F22B94" w:rsidRPr="004E65CD" w:rsidRDefault="007539D8" w:rsidP="007B0AFE">
            <w:pPr>
              <w:pStyle w:val="Tabletext"/>
            </w:pPr>
            <w:r w:rsidRPr="004E65CD">
              <w:t>Este Reglamento, del que forman parte integrante los Apéndices 1 y 2 entrará en vigor el 1 de enero de 2015 y se aplicará a partir de dicha fecha de conformidad con lo dispuesto en el Artículo 54 de la Constitución.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DB2C30" w14:textId="5293AA82" w:rsidR="00F22B94" w:rsidRPr="004E65CD" w:rsidRDefault="007539D8" w:rsidP="007B0AFE">
            <w:pPr>
              <w:pStyle w:val="Tabletext"/>
            </w:pPr>
            <w:r w:rsidRPr="004E65CD">
              <w:t>10.1</w:t>
            </w:r>
            <w:r w:rsidRPr="004E65CD">
              <w:tab/>
              <w:t>Este Reglamento, del que forman parte integrante los Apéndices 1, 2 y 3, entrará en vigor el 1º de julio de 1990 a las 0001 horas UTC.</w:t>
            </w:r>
          </w:p>
          <w:p w14:paraId="0EFF5C91" w14:textId="1FD3EBF0" w:rsidR="007539D8" w:rsidRPr="004E65CD" w:rsidRDefault="007539D8" w:rsidP="007B0AFE">
            <w:pPr>
              <w:pStyle w:val="Tabletext"/>
            </w:pPr>
            <w:r w:rsidRPr="004E65CD">
              <w:t>10.2</w:t>
            </w:r>
            <w:r w:rsidRPr="004E65CD">
              <w:tab/>
              <w:t>En la fecha especificada en el número 61, el Reglamento Telegráfico (Ginebra, 1973) y el Reglamento Telefónico (Ginebra, 1973) serán sustituidos por el presente Reglamento de las Telecomunicaciones Internacionales (Melbourne, 1988) de conformidad con el Convenio Internacional de Telecomunicaciones.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8EE670" w14:textId="77CF0DAD" w:rsidR="00F22B94" w:rsidRPr="004E65CD" w:rsidRDefault="00E51C05" w:rsidP="007B0AFE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 xml:space="preserve">Esta disposición establece la fecha de entrada en vigor del tratado </w:t>
            </w:r>
            <w:r w:rsidR="000F7000">
              <w:rPr>
                <w:rFonts w:eastAsia="Arial"/>
              </w:rPr>
              <w:t xml:space="preserve">de modo que </w:t>
            </w:r>
            <w:r w:rsidRPr="004E65CD">
              <w:rPr>
                <w:rFonts w:eastAsia="Arial"/>
              </w:rPr>
              <w:t xml:space="preserve">no puede facilitar por sí sola el suministro y desarrollo de redes y servicios. 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2B46A2" w14:textId="0AE37E0F" w:rsidR="00F22B94" w:rsidRPr="004E65CD" w:rsidRDefault="00E51C05" w:rsidP="000F7000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 xml:space="preserve">Esta disposición establece la fecha de entrada en vigor del tratado </w:t>
            </w:r>
            <w:r w:rsidR="000F7000">
              <w:rPr>
                <w:rFonts w:eastAsia="Arial"/>
              </w:rPr>
              <w:t xml:space="preserve">de modo que </w:t>
            </w:r>
            <w:r w:rsidRPr="004E65CD">
              <w:rPr>
                <w:rFonts w:eastAsia="Arial"/>
              </w:rPr>
              <w:t>no puede por sí sola</w:t>
            </w:r>
            <w:r w:rsidR="00F22B94" w:rsidRPr="004E65CD">
              <w:rPr>
                <w:rFonts w:eastAsia="Arial"/>
              </w:rPr>
              <w:t xml:space="preserve"> </w:t>
            </w:r>
            <w:r w:rsidRPr="004E65CD">
              <w:rPr>
                <w:rFonts w:eastAsia="Arial"/>
              </w:rPr>
              <w:t>proporcionar flexibilidad para acomodar las nuevas tendencias y cuestiones emergentes</w:t>
            </w:r>
            <w:r w:rsidR="00F22B94" w:rsidRPr="004E65CD">
              <w:rPr>
                <w:rFonts w:eastAsia="Arial"/>
              </w:rPr>
              <w:t xml:space="preserve">.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176B7" w14:textId="77777777" w:rsidR="00F22B94" w:rsidRPr="004E65CD" w:rsidRDefault="00F22B94" w:rsidP="007B0AFE">
            <w:pPr>
              <w:pStyle w:val="Tabletext"/>
            </w:pPr>
          </w:p>
        </w:tc>
      </w:tr>
      <w:tr w:rsidR="00226101" w:rsidRPr="004E65CD" w14:paraId="0A6D346F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B9F8" w14:textId="7AC83392" w:rsidR="00226101" w:rsidRPr="004E65CD" w:rsidRDefault="00226101" w:rsidP="007B0AFE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14.2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2F31" w14:textId="1F6A9EE4" w:rsidR="00226101" w:rsidRPr="004E65CD" w:rsidRDefault="00226101" w:rsidP="007B0AFE">
            <w:pPr>
              <w:pStyle w:val="Tabletext"/>
            </w:pPr>
            <w:r w:rsidRPr="004E65CD">
              <w:t>Si un Estado Miembro formula reservas con respecto a la aplicación de una o varias disposiciones contenidas en este Reglamento, los otros Estados Miembros podrán hacer caso omiso de tal o tales disposiciones en sus relaciones con el Estado Miembro que haya formulado esas reservas.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D6F866" w14:textId="6E504A16" w:rsidR="00226101" w:rsidRPr="004E65CD" w:rsidRDefault="00226101" w:rsidP="007B0AFE">
            <w:pPr>
              <w:pStyle w:val="Tabletext"/>
            </w:pPr>
            <w:r w:rsidRPr="004E65CD">
              <w:t>10.3</w:t>
            </w:r>
            <w:r w:rsidRPr="004E65CD">
              <w:tab/>
              <w:t>Si un Miembro formula reservas con respecto a la aplicación de una o varias disposiciones contenidas en el Reglamento, los otros Miembros y sus administraciones</w:t>
            </w:r>
            <w:r w:rsidRPr="004E65CD">
              <w:fldChar w:fldCharType="begin"/>
            </w:r>
            <w:r w:rsidRPr="004E65CD">
              <w:instrText xml:space="preserve"> NOTEREF _Ref319417134 \f \h  \* MERGEFORMAT </w:instrText>
            </w:r>
            <w:r w:rsidRPr="004E65CD">
              <w:fldChar w:fldCharType="separate"/>
            </w:r>
            <w:r w:rsidRPr="004E65CD">
              <w:t>*</w:t>
            </w:r>
            <w:r w:rsidRPr="004E65CD">
              <w:fldChar w:fldCharType="end"/>
            </w:r>
            <w:r w:rsidRPr="004E65CD">
              <w:t xml:space="preserve"> podrán hacer caso omiso de tal o tales disposiciones en sus relaciones con el Miembro que haya formulado </w:t>
            </w:r>
            <w:r w:rsidRPr="004E65CD">
              <w:lastRenderedPageBreak/>
              <w:t>esas reservas y sus administraciones</w:t>
            </w:r>
            <w:r w:rsidRPr="004E65CD">
              <w:fldChar w:fldCharType="begin"/>
            </w:r>
            <w:r w:rsidRPr="004E65CD">
              <w:instrText xml:space="preserve"> NOTEREF _Ref319417134 \f \h  \* MERGEFORMAT </w:instrText>
            </w:r>
            <w:r w:rsidRPr="004E65CD">
              <w:fldChar w:fldCharType="separate"/>
            </w:r>
            <w:r w:rsidRPr="004E65CD">
              <w:t>*</w:t>
            </w:r>
            <w:r w:rsidRPr="004E65CD">
              <w:fldChar w:fldCharType="end"/>
            </w:r>
            <w:r w:rsidRPr="004E65CD">
              <w:t>.</w:t>
            </w:r>
          </w:p>
          <w:p w14:paraId="6A584B4E" w14:textId="2BAFC141" w:rsidR="00226101" w:rsidRPr="004E65CD" w:rsidRDefault="00226101" w:rsidP="007B0AFE">
            <w:pPr>
              <w:pStyle w:val="Tabletext"/>
            </w:pPr>
            <w:r w:rsidRPr="004E65CD">
              <w:t xml:space="preserve">* </w:t>
            </w:r>
            <w:r w:rsidR="00B5709A" w:rsidRPr="004E65CD">
              <w:t xml:space="preserve"> o empresa(s) privada(s) de explotación reconocida(s)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DEDBD" w14:textId="5434491B" w:rsidR="00226101" w:rsidRPr="004E65CD" w:rsidRDefault="00E51C05" w:rsidP="007B0AFE">
            <w:pPr>
              <w:pStyle w:val="Tabletext"/>
              <w:rPr>
                <w:rFonts w:eastAsia="Arial"/>
                <w:highlight w:val="lightGray"/>
              </w:rPr>
            </w:pPr>
            <w:r w:rsidRPr="004E65CD">
              <w:rPr>
                <w:rFonts w:eastAsia="Arial"/>
              </w:rPr>
              <w:lastRenderedPageBreak/>
              <w:t>El hecho de que se permita a los Estados Miembros formular reservas a cualquier disposición puede socavar la eficacia de este tratado o dar lugar a incoherencias entre los miembros</w:t>
            </w:r>
            <w:r w:rsidR="00226101" w:rsidRPr="004E65CD">
              <w:rPr>
                <w:rFonts w:eastAsia="Arial"/>
              </w:rPr>
              <w:t xml:space="preserve">. </w:t>
            </w:r>
            <w:r w:rsidRPr="004E65CD">
              <w:rPr>
                <w:rFonts w:eastAsia="Arial"/>
              </w:rPr>
              <w:t>Por consiguiente, esta disposición no contribuye a fomentar el suministro y el desarrollo de redes y servicios.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A655E9" w14:textId="35C8233E" w:rsidR="00226101" w:rsidRPr="004E65CD" w:rsidRDefault="00E51C05" w:rsidP="007B0AFE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Esta disposición es inflexible, ya que si bien los Estados Miembros pueden formular reservas cuando firman la Convención, no pueden posteriormente rescindir o añadir nuevas reservas según lo exijan las cuestiones que vayan surgiendo.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3A94D9" w14:textId="77777777" w:rsidR="00226101" w:rsidRPr="004E65CD" w:rsidRDefault="00226101" w:rsidP="007B0AFE">
            <w:pPr>
              <w:pStyle w:val="Tabletext"/>
            </w:pPr>
          </w:p>
        </w:tc>
      </w:tr>
      <w:tr w:rsidR="00226101" w:rsidRPr="004E65CD" w14:paraId="3E2B8C1B" w14:textId="77777777" w:rsidTr="00BB3B92">
        <w:trPr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1C6" w14:textId="77777777" w:rsidR="00226101" w:rsidRPr="004E65CD" w:rsidRDefault="00226101" w:rsidP="007B0AFE">
            <w:pPr>
              <w:pStyle w:val="Tabletext"/>
              <w:rPr>
                <w:rFonts w:eastAsia="Arial"/>
              </w:rPr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B5DA" w14:textId="77777777" w:rsidR="00226101" w:rsidRPr="004E65CD" w:rsidRDefault="00226101" w:rsidP="007B0AFE">
            <w:pPr>
              <w:pStyle w:val="Tabletext"/>
            </w:pP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322A29" w14:textId="022609C3" w:rsidR="00226101" w:rsidRPr="004E65CD" w:rsidRDefault="00226101" w:rsidP="007B0AFE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10.4</w:t>
            </w:r>
            <w:r w:rsidR="00952EAE" w:rsidRPr="004E65CD">
              <w:rPr>
                <w:rFonts w:eastAsia="Arial"/>
              </w:rPr>
              <w:tab/>
            </w:r>
            <w:r w:rsidRPr="004E65CD">
              <w:rPr>
                <w:rFonts w:eastAsia="Arial"/>
              </w:rPr>
              <w:t>Los Miembros de la Unión notificarán al Secretario General su aprobación del Reglamento de las Telecomunicaciones Internacionales adoptado por la Conferencia. El Secretario General informará rápidamente a los Miembros de la recepción de tales notificaciones de aprobación.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88490E" w14:textId="1F06DE3A" w:rsidR="00226101" w:rsidRPr="004E65CD" w:rsidRDefault="00B5709A" w:rsidP="007B0AFE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NA – No figura en el RTI 2012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6766B1" w14:textId="31F1ED09" w:rsidR="00226101" w:rsidRPr="004E65CD" w:rsidRDefault="00B5709A" w:rsidP="007B0AFE">
            <w:pPr>
              <w:pStyle w:val="Tabletext"/>
              <w:rPr>
                <w:rFonts w:eastAsia="Arial"/>
              </w:rPr>
            </w:pPr>
            <w:r w:rsidRPr="004E65CD">
              <w:rPr>
                <w:rFonts w:eastAsia="Arial"/>
              </w:rPr>
              <w:t>NA – No figura en el RTI 2012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DB6E84" w14:textId="77777777" w:rsidR="00226101" w:rsidRPr="004E65CD" w:rsidRDefault="00226101" w:rsidP="007B0AFE">
            <w:pPr>
              <w:pStyle w:val="Tabletext"/>
            </w:pPr>
          </w:p>
        </w:tc>
      </w:tr>
    </w:tbl>
    <w:p w14:paraId="15509DA8" w14:textId="77777777" w:rsidR="007B0AFE" w:rsidRDefault="007B0AFE" w:rsidP="00411C49">
      <w:pPr>
        <w:pStyle w:val="Reasons"/>
      </w:pPr>
    </w:p>
    <w:p w14:paraId="01E788BF" w14:textId="24E88B53" w:rsidR="006E690A" w:rsidRPr="007B0AFE" w:rsidRDefault="007B0AFE" w:rsidP="007B0AFE">
      <w:pPr>
        <w:jc w:val="center"/>
      </w:pPr>
      <w:r>
        <w:t>___________</w:t>
      </w:r>
      <w:bookmarkStart w:id="8" w:name="_GoBack"/>
      <w:bookmarkEnd w:id="8"/>
      <w:r>
        <w:t>___</w:t>
      </w:r>
    </w:p>
    <w:sectPr w:rsidR="006E690A" w:rsidRPr="007B0AFE" w:rsidSect="00E6548D">
      <w:headerReference w:type="first" r:id="rId18"/>
      <w:footerReference w:type="first" r:id="rId19"/>
      <w:pgSz w:w="16834" w:h="11907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7A94" w14:textId="77777777" w:rsidR="00097799" w:rsidRDefault="00097799">
      <w:r>
        <w:separator/>
      </w:r>
    </w:p>
  </w:endnote>
  <w:endnote w:type="continuationSeparator" w:id="0">
    <w:p w14:paraId="34DCBF5B" w14:textId="77777777" w:rsidR="00097799" w:rsidRDefault="0009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6C7E" w14:textId="485CE0FF" w:rsidR="008555C5" w:rsidRPr="00E6548D" w:rsidRDefault="004E65CD" w:rsidP="008555C5">
    <w:pPr>
      <w:pStyle w:val="Footer"/>
      <w:rPr>
        <w:lang w:val="en-GB"/>
      </w:rPr>
    </w:pPr>
    <w:r w:rsidRPr="004E65CD">
      <w:rPr>
        <w:lang w:val="en-US"/>
      </w:rPr>
      <w:fldChar w:fldCharType="begin"/>
    </w:r>
    <w:r w:rsidRPr="004E65CD">
      <w:rPr>
        <w:lang w:val="en-US"/>
      </w:rPr>
      <w:instrText xml:space="preserve"> FILENAME \p  \* MERGEFORMAT </w:instrText>
    </w:r>
    <w:r w:rsidRPr="004E65CD">
      <w:rPr>
        <w:lang w:val="en-US"/>
      </w:rPr>
      <w:fldChar w:fldCharType="separate"/>
    </w:r>
    <w:r>
      <w:rPr>
        <w:lang w:val="en-US"/>
      </w:rPr>
      <w:t>P:\ESP\SG\CONSEIL\EG-ITR\EG-ITR-4\000\003S.docx</w:t>
    </w:r>
    <w:r w:rsidRPr="004E65CD">
      <w:rPr>
        <w:lang w:val="en-US"/>
      </w:rPr>
      <w:fldChar w:fldCharType="end"/>
    </w:r>
    <w:r>
      <w:rPr>
        <w:lang w:val="en-US"/>
      </w:rPr>
      <w:t xml:space="preserve"> (481940</w:t>
    </w:r>
    <w:r w:rsidRPr="004E65C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9C90B" w14:textId="11E4E020" w:rsidR="00760F1C" w:rsidRPr="00E6548D" w:rsidRDefault="00760F1C" w:rsidP="004E65CD">
    <w:pPr>
      <w:spacing w:after="120"/>
      <w:jc w:val="center"/>
      <w:rPr>
        <w:lang w:val="en-GB"/>
      </w:rPr>
    </w:pPr>
    <w:r w:rsidRPr="00F83DE5">
      <w:rPr>
        <w:lang w:val="en-GB"/>
      </w:rPr>
      <w:t xml:space="preserve">• </w:t>
    </w:r>
    <w:hyperlink r:id="rId1" w:history="1">
      <w:r w:rsidRPr="00F83DE5">
        <w:rPr>
          <w:rStyle w:val="Hyperlink"/>
          <w:lang w:val="en-GB"/>
        </w:rPr>
        <w:t>http://www.itu.int/council</w:t>
      </w:r>
    </w:hyperlink>
    <w:r w:rsidRPr="00F83DE5">
      <w:rPr>
        <w:lang w:val="en-GB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6377" w14:textId="5C04DC55" w:rsidR="00F83DE5" w:rsidRPr="00E6548D" w:rsidRDefault="004E65CD" w:rsidP="004E65CD">
    <w:pPr>
      <w:pStyle w:val="Footer"/>
      <w:rPr>
        <w:lang w:val="en-GB"/>
      </w:rPr>
    </w:pPr>
    <w:r w:rsidRPr="004E65CD">
      <w:rPr>
        <w:lang w:val="en-US"/>
      </w:rPr>
      <w:fldChar w:fldCharType="begin"/>
    </w:r>
    <w:r w:rsidRPr="004E65CD">
      <w:rPr>
        <w:lang w:val="en-US"/>
      </w:rPr>
      <w:instrText xml:space="preserve"> FILENAME \p  \* MERGEFORMAT </w:instrText>
    </w:r>
    <w:r w:rsidRPr="004E65CD">
      <w:rPr>
        <w:lang w:val="en-US"/>
      </w:rPr>
      <w:fldChar w:fldCharType="separate"/>
    </w:r>
    <w:r>
      <w:rPr>
        <w:lang w:val="en-US"/>
      </w:rPr>
      <w:t>P:\ESP\SG\CONSEIL\EG-ITR\EG-ITR-4\000\003S.docx</w:t>
    </w:r>
    <w:r w:rsidRPr="004E65CD">
      <w:rPr>
        <w:lang w:val="en-US"/>
      </w:rPr>
      <w:fldChar w:fldCharType="end"/>
    </w:r>
    <w:r>
      <w:rPr>
        <w:lang w:val="en-US"/>
      </w:rPr>
      <w:t xml:space="preserve"> (481940</w:t>
    </w:r>
    <w:r w:rsidRPr="004E65C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F922" w14:textId="77777777" w:rsidR="00097799" w:rsidRDefault="00097799">
      <w:r>
        <w:t>____________________</w:t>
      </w:r>
    </w:p>
  </w:footnote>
  <w:footnote w:type="continuationSeparator" w:id="0">
    <w:p w14:paraId="33A79CC0" w14:textId="77777777" w:rsidR="00097799" w:rsidRDefault="0009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8858" w14:textId="1CF439CB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F7000">
      <w:rPr>
        <w:noProof/>
      </w:rPr>
      <w:t>10</w:t>
    </w:r>
    <w:r>
      <w:rPr>
        <w:noProof/>
      </w:rPr>
      <w:fldChar w:fldCharType="end"/>
    </w:r>
  </w:p>
  <w:p w14:paraId="30388F2E" w14:textId="2A40264E" w:rsidR="00760F1C" w:rsidRDefault="00012E27" w:rsidP="00600818">
    <w:pPr>
      <w:pStyle w:val="Header"/>
      <w:spacing w:after="120"/>
    </w:pPr>
    <w:r>
      <w:rPr>
        <w:noProof/>
      </w:rPr>
      <w:t>EG-ITRs-</w:t>
    </w:r>
    <w:r w:rsidR="00C85B97">
      <w:rPr>
        <w:noProof/>
      </w:rPr>
      <w:t>2</w:t>
    </w:r>
    <w:r>
      <w:rPr>
        <w:noProof/>
      </w:rPr>
      <w:t>\</w:t>
    </w:r>
    <w:r w:rsidR="00E6548D">
      <w:rPr>
        <w:noProof/>
      </w:rPr>
      <w:t>003</w:t>
    </w:r>
    <w:r>
      <w:rPr>
        <w:noProof/>
      </w:rP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A3B6" w14:textId="22BFC618" w:rsidR="00C0033C" w:rsidRPr="0067658E" w:rsidRDefault="00C0033C" w:rsidP="0067658E">
    <w:pPr>
      <w:pStyle w:val="Header"/>
      <w:spacing w:after="120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0031" w14:textId="77C457F3" w:rsidR="0067658E" w:rsidRDefault="0067658E" w:rsidP="0067658E">
    <w:pPr>
      <w:pStyle w:val="Header"/>
    </w:pPr>
    <w:r>
      <w:fldChar w:fldCharType="begin"/>
    </w:r>
    <w:r>
      <w:instrText>PAGE</w:instrText>
    </w:r>
    <w:r>
      <w:fldChar w:fldCharType="separate"/>
    </w:r>
    <w:r w:rsidR="00C66E86">
      <w:rPr>
        <w:noProof/>
      </w:rPr>
      <w:t>2</w:t>
    </w:r>
    <w:r>
      <w:rPr>
        <w:noProof/>
      </w:rPr>
      <w:fldChar w:fldCharType="end"/>
    </w:r>
  </w:p>
  <w:p w14:paraId="65D5296E" w14:textId="77777777" w:rsidR="0067658E" w:rsidRPr="0067658E" w:rsidRDefault="0067658E" w:rsidP="0067658E">
    <w:pPr>
      <w:pStyle w:val="Header"/>
      <w:spacing w:after="120"/>
      <w:rPr>
        <w:noProof/>
      </w:rPr>
    </w:pPr>
    <w:r>
      <w:rPr>
        <w:noProof/>
      </w:rPr>
      <w:t>EG-ITRs-4\3-S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A8F2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AF0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23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7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EE8B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DAEB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028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C02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AE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99"/>
    <w:rsid w:val="00012E27"/>
    <w:rsid w:val="00077442"/>
    <w:rsid w:val="00093EEB"/>
    <w:rsid w:val="00097799"/>
    <w:rsid w:val="000B0D00"/>
    <w:rsid w:val="000B7C15"/>
    <w:rsid w:val="000D1D0F"/>
    <w:rsid w:val="000E5F44"/>
    <w:rsid w:val="000F5290"/>
    <w:rsid w:val="000F7000"/>
    <w:rsid w:val="0010165C"/>
    <w:rsid w:val="001304D3"/>
    <w:rsid w:val="00146BFB"/>
    <w:rsid w:val="0016614F"/>
    <w:rsid w:val="001F14A2"/>
    <w:rsid w:val="001F60AD"/>
    <w:rsid w:val="00226101"/>
    <w:rsid w:val="002643F8"/>
    <w:rsid w:val="002721A7"/>
    <w:rsid w:val="002801AA"/>
    <w:rsid w:val="002C4676"/>
    <w:rsid w:val="002C70B0"/>
    <w:rsid w:val="002F3CC4"/>
    <w:rsid w:val="003174F4"/>
    <w:rsid w:val="003876F5"/>
    <w:rsid w:val="003F1DC1"/>
    <w:rsid w:val="00432832"/>
    <w:rsid w:val="004938EE"/>
    <w:rsid w:val="004E65CD"/>
    <w:rsid w:val="00513630"/>
    <w:rsid w:val="005262CD"/>
    <w:rsid w:val="00560125"/>
    <w:rsid w:val="00585553"/>
    <w:rsid w:val="005B34D9"/>
    <w:rsid w:val="005D0CCF"/>
    <w:rsid w:val="005F410F"/>
    <w:rsid w:val="00600818"/>
    <w:rsid w:val="0060149A"/>
    <w:rsid w:val="00601924"/>
    <w:rsid w:val="0063115A"/>
    <w:rsid w:val="006447EA"/>
    <w:rsid w:val="0064731F"/>
    <w:rsid w:val="006710F6"/>
    <w:rsid w:val="0067129F"/>
    <w:rsid w:val="0067658E"/>
    <w:rsid w:val="006C1B56"/>
    <w:rsid w:val="006D4761"/>
    <w:rsid w:val="006E690A"/>
    <w:rsid w:val="006F7035"/>
    <w:rsid w:val="00726872"/>
    <w:rsid w:val="007539D8"/>
    <w:rsid w:val="00760F1C"/>
    <w:rsid w:val="007657F0"/>
    <w:rsid w:val="00767D5B"/>
    <w:rsid w:val="0077252D"/>
    <w:rsid w:val="0077758B"/>
    <w:rsid w:val="007A7643"/>
    <w:rsid w:val="007B0AFE"/>
    <w:rsid w:val="007E5DD3"/>
    <w:rsid w:val="007F350B"/>
    <w:rsid w:val="00820BE4"/>
    <w:rsid w:val="008451E8"/>
    <w:rsid w:val="008555C5"/>
    <w:rsid w:val="0090711B"/>
    <w:rsid w:val="00913B9C"/>
    <w:rsid w:val="00952EAE"/>
    <w:rsid w:val="00956E77"/>
    <w:rsid w:val="00A161D0"/>
    <w:rsid w:val="00A37B48"/>
    <w:rsid w:val="00AA390C"/>
    <w:rsid w:val="00B0200A"/>
    <w:rsid w:val="00B5709A"/>
    <w:rsid w:val="00B574DB"/>
    <w:rsid w:val="00B826C2"/>
    <w:rsid w:val="00B8298E"/>
    <w:rsid w:val="00B93918"/>
    <w:rsid w:val="00BA4764"/>
    <w:rsid w:val="00BB3B92"/>
    <w:rsid w:val="00BD0723"/>
    <w:rsid w:val="00BD2518"/>
    <w:rsid w:val="00BF1D1C"/>
    <w:rsid w:val="00C0033C"/>
    <w:rsid w:val="00C20C59"/>
    <w:rsid w:val="00C55B1F"/>
    <w:rsid w:val="00C623AF"/>
    <w:rsid w:val="00C66E86"/>
    <w:rsid w:val="00C85B97"/>
    <w:rsid w:val="00CE2A31"/>
    <w:rsid w:val="00CF1A67"/>
    <w:rsid w:val="00D2750E"/>
    <w:rsid w:val="00D62446"/>
    <w:rsid w:val="00D86DA5"/>
    <w:rsid w:val="00D92832"/>
    <w:rsid w:val="00DA4EA2"/>
    <w:rsid w:val="00DC3D3E"/>
    <w:rsid w:val="00DE27F3"/>
    <w:rsid w:val="00DE2C90"/>
    <w:rsid w:val="00DE3B24"/>
    <w:rsid w:val="00E06947"/>
    <w:rsid w:val="00E3592D"/>
    <w:rsid w:val="00E51C05"/>
    <w:rsid w:val="00E6548D"/>
    <w:rsid w:val="00E92DE8"/>
    <w:rsid w:val="00EB1212"/>
    <w:rsid w:val="00ED65AB"/>
    <w:rsid w:val="00F12850"/>
    <w:rsid w:val="00F17198"/>
    <w:rsid w:val="00F22B94"/>
    <w:rsid w:val="00F33BF4"/>
    <w:rsid w:val="00F70229"/>
    <w:rsid w:val="00F7105E"/>
    <w:rsid w:val="00F75F57"/>
    <w:rsid w:val="00F82FEE"/>
    <w:rsid w:val="00F83DE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97C07C"/>
  <w15:docId w15:val="{0EFFEB89-337F-43F1-8EA3-F37FCA18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Artdef">
    <w:name w:val="Art_def"/>
    <w:basedOn w:val="DefaultParagraphFont"/>
    <w:rsid w:val="003F1DC1"/>
    <w:rPr>
      <w:rFonts w:ascii="Calibri" w:hAnsi="Calibri"/>
      <w:b/>
    </w:rPr>
  </w:style>
  <w:style w:type="character" w:customStyle="1" w:styleId="NormalaftertitleChar">
    <w:name w:val="Normal after title Char"/>
    <w:link w:val="Normalaftertitle"/>
    <w:locked/>
    <w:rsid w:val="003F1DC1"/>
    <w:rPr>
      <w:rFonts w:ascii="Calibri" w:hAnsi="Calibri"/>
      <w:sz w:val="24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tu.int/dms_pub/itu-t/opb/reg/T-REG-ACT-1988-PDF-S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dms_pub/itu-t/opb/reg/T-REG-ACT-1988-PDF-S.pdf" TargetMode="External"/><Relationship Id="rId17" Type="http://schemas.openxmlformats.org/officeDocument/2006/relationships/hyperlink" Target="https://www.itu.int/dms_pub/itu-t/opb/reg/T-REG-ACT-1988-PDF-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dms_pub/itu-t/opb/reg/T-REG-ACT-1988-PDF-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dms_pub/itu-t/opb/reg/T-REG-ACT-1988-PDF-S.pdf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dms_pub/itu-t/opb/reg/T-REG-ACT-1988-PDF-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46</TotalTime>
  <Pages>10</Pages>
  <Words>2172</Words>
  <Characters>13439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15580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Martinez Romera, Angel</dc:creator>
  <cp:keywords>C2010, C10</cp:keywords>
  <dc:description>Documento C17/-S  Para: _x000d_Fecha del documento: enero de 2017_x000d_Registrado por ITU51009317 a 15:32:38 el 06/04/2017</dc:description>
  <cp:lastModifiedBy>Callejon, Miguel</cp:lastModifiedBy>
  <cp:revision>10</cp:revision>
  <cp:lastPrinted>2006-03-24T09:51:00Z</cp:lastPrinted>
  <dcterms:created xsi:type="dcterms:W3CDTF">2021-01-21T13:00:00Z</dcterms:created>
  <dcterms:modified xsi:type="dcterms:W3CDTF">2021-01-21T13:56:00Z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