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05911" w:rsidRPr="00E07523" w14:paraId="558EFCB4" w14:textId="77777777" w:rsidTr="00BF08C1">
        <w:trPr>
          <w:cantSplit/>
        </w:trPr>
        <w:tc>
          <w:tcPr>
            <w:tcW w:w="6911" w:type="dxa"/>
          </w:tcPr>
          <w:p w14:paraId="3BAFD7C4" w14:textId="743165D9" w:rsidR="00205911" w:rsidRPr="00BB146D" w:rsidRDefault="00205911" w:rsidP="00413BFD">
            <w:pPr>
              <w:spacing w:before="360"/>
              <w:rPr>
                <w:rFonts w:ascii="Calibri" w:eastAsia="SimSun" w:hAnsi="Calibri" w:cs="Calibri"/>
                <w:position w:val="6"/>
                <w:sz w:val="26"/>
                <w:szCs w:val="26"/>
                <w:lang w:eastAsia="zh-CN"/>
              </w:rPr>
            </w:pPr>
            <w:r w:rsidRPr="00BB146D">
              <w:rPr>
                <w:rFonts w:ascii="Calibri" w:eastAsia="SimSun" w:hAnsi="Calibri" w:cs="Calibri"/>
                <w:b/>
                <w:bCs/>
                <w:sz w:val="26"/>
                <w:szCs w:val="26"/>
                <w:lang w:val="en-US" w:eastAsia="zh-CN"/>
              </w:rPr>
              <w:t>《国际电信规则》专家组（</w:t>
            </w:r>
            <w:r w:rsidRPr="00BB146D">
              <w:rPr>
                <w:rFonts w:ascii="Calibri" w:eastAsia="SimSun" w:hAnsi="Calibri" w:cs="Calibri"/>
                <w:b/>
                <w:bCs/>
                <w:sz w:val="26"/>
                <w:szCs w:val="26"/>
                <w:lang w:val="en-US" w:eastAsia="zh-CN"/>
              </w:rPr>
              <w:t>EG</w:t>
            </w:r>
            <w:r w:rsidR="00216864" w:rsidRPr="00BB146D">
              <w:rPr>
                <w:rFonts w:ascii="Calibri" w:eastAsia="SimSun" w:hAnsi="Calibri" w:cs="Calibri" w:hint="eastAsia"/>
                <w:b/>
                <w:bCs/>
                <w:sz w:val="26"/>
                <w:szCs w:val="26"/>
                <w:lang w:val="en-US" w:eastAsia="zh-CN"/>
              </w:rPr>
              <w:t>-</w:t>
            </w:r>
            <w:r w:rsidRPr="00BB146D">
              <w:rPr>
                <w:rFonts w:ascii="Calibri" w:eastAsia="SimSun" w:hAnsi="Calibri" w:cs="Calibri"/>
                <w:b/>
                <w:bCs/>
                <w:sz w:val="26"/>
                <w:szCs w:val="26"/>
                <w:lang w:val="en-US" w:eastAsia="zh-CN"/>
              </w:rPr>
              <w:t>ITR</w:t>
            </w:r>
            <w:r w:rsidR="004E2BB6" w:rsidRPr="00BB146D">
              <w:rPr>
                <w:rFonts w:ascii="Calibri" w:eastAsia="SimSun" w:hAnsi="Calibri" w:cs="Calibri"/>
                <w:b/>
                <w:bCs/>
                <w:sz w:val="26"/>
                <w:szCs w:val="26"/>
                <w:lang w:val="en-US" w:eastAsia="zh-CN"/>
              </w:rPr>
              <w:t>s</w:t>
            </w:r>
            <w:r w:rsidRPr="00BB146D">
              <w:rPr>
                <w:rFonts w:ascii="Calibri" w:eastAsia="SimSun" w:hAnsi="Calibri" w:cs="Calibri"/>
                <w:b/>
                <w:bCs/>
                <w:sz w:val="26"/>
                <w:szCs w:val="26"/>
                <w:lang w:val="en-US" w:eastAsia="zh-CN"/>
              </w:rPr>
              <w:t>）</w:t>
            </w:r>
          </w:p>
        </w:tc>
        <w:tc>
          <w:tcPr>
            <w:tcW w:w="3120" w:type="dxa"/>
          </w:tcPr>
          <w:p w14:paraId="63F55371" w14:textId="03EB8A35" w:rsidR="00205911" w:rsidRPr="00E07523" w:rsidRDefault="001154D3" w:rsidP="001154D3">
            <w:pPr>
              <w:spacing w:before="0"/>
              <w:rPr>
                <w:rFonts w:ascii="Calibri" w:eastAsia="SimSun" w:hAnsi="Calibri" w:cs="Calibri"/>
              </w:rPr>
            </w:pPr>
            <w:bookmarkStart w:id="0" w:name="ditulogo"/>
            <w:bookmarkEnd w:id="0"/>
            <w:r w:rsidRPr="00E07523">
              <w:rPr>
                <w:rFonts w:ascii="Calibri" w:hAnsi="Calibri" w:cs="Calibri"/>
                <w:noProof/>
                <w:lang w:eastAsia="zh-CN"/>
              </w:rPr>
              <w:drawing>
                <wp:inline distT="0" distB="0" distL="0" distR="0" wp14:anchorId="7E21C860" wp14:editId="711102C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05911" w:rsidRPr="00E07523" w14:paraId="4A479DBA" w14:textId="77777777" w:rsidTr="00BF08C1">
        <w:trPr>
          <w:cantSplit/>
        </w:trPr>
        <w:tc>
          <w:tcPr>
            <w:tcW w:w="6911" w:type="dxa"/>
            <w:tcBorders>
              <w:bottom w:val="single" w:sz="12" w:space="0" w:color="auto"/>
            </w:tcBorders>
          </w:tcPr>
          <w:p w14:paraId="69815962" w14:textId="7772ED9F" w:rsidR="00205911" w:rsidRPr="00E07523" w:rsidRDefault="00205911" w:rsidP="00413BFD">
            <w:pPr>
              <w:spacing w:before="0" w:after="100" w:afterAutospacing="1"/>
              <w:rPr>
                <w:rFonts w:ascii="Calibri" w:eastAsia="SimSun" w:hAnsi="Calibri" w:cs="Calibri"/>
                <w:b/>
                <w:smallCaps/>
                <w:szCs w:val="24"/>
                <w:lang w:eastAsia="zh-CN"/>
              </w:rPr>
            </w:pPr>
            <w:r w:rsidRPr="00E07523">
              <w:rPr>
                <w:rFonts w:ascii="Calibri" w:eastAsia="SimSun" w:hAnsi="Calibri" w:cs="Calibri"/>
                <w:b/>
                <w:smallCaps/>
                <w:szCs w:val="24"/>
                <w:lang w:eastAsia="zh-CN"/>
              </w:rPr>
              <w:t>第</w:t>
            </w:r>
            <w:r w:rsidR="00D16253">
              <w:rPr>
                <w:rFonts w:ascii="Calibri" w:eastAsia="SimSun" w:hAnsi="Calibri" w:cs="Calibri" w:hint="eastAsia"/>
                <w:b/>
                <w:smallCaps/>
                <w:szCs w:val="24"/>
                <w:lang w:eastAsia="zh-CN"/>
              </w:rPr>
              <w:t>四</w:t>
            </w:r>
            <w:r w:rsidRPr="00E07523">
              <w:rPr>
                <w:rFonts w:ascii="Calibri" w:eastAsia="SimSun" w:hAnsi="Calibri" w:cs="Calibri"/>
                <w:b/>
                <w:smallCaps/>
                <w:szCs w:val="24"/>
                <w:lang w:eastAsia="zh-CN"/>
              </w:rPr>
              <w:t>次会议</w:t>
            </w:r>
            <w:r w:rsidRPr="00E07523">
              <w:rPr>
                <w:rFonts w:ascii="Calibri" w:eastAsia="SimSun" w:hAnsi="Calibri" w:cs="Calibri"/>
                <w:b/>
                <w:smallCaps/>
                <w:szCs w:val="24"/>
                <w:lang w:eastAsia="zh-CN"/>
              </w:rPr>
              <w:t xml:space="preserve"> – </w:t>
            </w:r>
            <w:r w:rsidR="00B6677E" w:rsidRPr="00E07523">
              <w:rPr>
                <w:rFonts w:ascii="Calibri" w:eastAsia="SimSun" w:hAnsi="Calibri" w:cs="Calibri"/>
                <w:b/>
                <w:bCs/>
                <w:smallCaps/>
                <w:szCs w:val="24"/>
                <w:lang w:val="en-US" w:eastAsia="zh-CN"/>
              </w:rPr>
              <w:t>虚拟会议</w:t>
            </w:r>
            <w:r w:rsidR="00B6677E" w:rsidRPr="00E07523">
              <w:rPr>
                <w:rFonts w:ascii="Calibri" w:eastAsia="SimSun" w:hAnsi="Calibri" w:cs="Calibri"/>
                <w:b/>
                <w:smallCaps/>
                <w:szCs w:val="24"/>
                <w:lang w:eastAsia="zh-CN"/>
              </w:rPr>
              <w:t>，</w:t>
            </w:r>
            <w:r w:rsidRPr="00E07523">
              <w:rPr>
                <w:rFonts w:ascii="Calibri" w:eastAsia="SimSun" w:hAnsi="Calibri" w:cs="Calibri"/>
                <w:b/>
                <w:smallCaps/>
                <w:szCs w:val="24"/>
                <w:lang w:eastAsia="zh-CN"/>
              </w:rPr>
              <w:t>20</w:t>
            </w:r>
            <w:r w:rsidR="00EF0A70" w:rsidRPr="00E07523">
              <w:rPr>
                <w:rFonts w:ascii="Calibri" w:eastAsia="SimSun" w:hAnsi="Calibri" w:cs="Calibri"/>
                <w:b/>
                <w:smallCaps/>
                <w:szCs w:val="24"/>
                <w:lang w:eastAsia="zh-CN"/>
              </w:rPr>
              <w:t>2</w:t>
            </w:r>
            <w:r w:rsidR="00D16253">
              <w:rPr>
                <w:rFonts w:ascii="Calibri" w:eastAsia="SimSun" w:hAnsi="Calibri" w:cs="Calibri" w:hint="eastAsia"/>
                <w:b/>
                <w:smallCaps/>
                <w:szCs w:val="24"/>
                <w:lang w:eastAsia="zh-CN"/>
              </w:rPr>
              <w:t>1</w:t>
            </w:r>
            <w:r w:rsidRPr="00E07523">
              <w:rPr>
                <w:rFonts w:ascii="Calibri" w:eastAsia="SimSun" w:hAnsi="Calibri" w:cs="Calibri"/>
                <w:b/>
                <w:smallCaps/>
                <w:szCs w:val="24"/>
                <w:lang w:eastAsia="zh-CN"/>
              </w:rPr>
              <w:t>年</w:t>
            </w:r>
            <w:r w:rsidR="00D16253">
              <w:rPr>
                <w:rFonts w:ascii="Calibri" w:eastAsia="SimSun" w:hAnsi="Calibri" w:cs="Calibri" w:hint="eastAsia"/>
                <w:b/>
                <w:smallCaps/>
                <w:szCs w:val="24"/>
                <w:lang w:eastAsia="zh-CN"/>
              </w:rPr>
              <w:t>2</w:t>
            </w:r>
            <w:r w:rsidRPr="00E07523">
              <w:rPr>
                <w:rFonts w:ascii="Calibri" w:eastAsia="SimSun" w:hAnsi="Calibri" w:cs="Calibri"/>
                <w:b/>
                <w:smallCaps/>
                <w:szCs w:val="24"/>
                <w:lang w:eastAsia="zh-CN"/>
              </w:rPr>
              <w:t>月</w:t>
            </w:r>
            <w:r w:rsidR="00D16253">
              <w:rPr>
                <w:rFonts w:ascii="Calibri" w:eastAsia="SimSun" w:hAnsi="Calibri" w:cs="Calibri" w:hint="eastAsia"/>
                <w:b/>
                <w:smallCaps/>
                <w:szCs w:val="24"/>
                <w:lang w:eastAsia="zh-CN"/>
              </w:rPr>
              <w:t>3</w:t>
            </w:r>
            <w:r w:rsidRPr="00E07523">
              <w:rPr>
                <w:rFonts w:ascii="Calibri" w:eastAsia="SimSun" w:hAnsi="Calibri" w:cs="Calibri"/>
                <w:b/>
                <w:smallCaps/>
                <w:szCs w:val="24"/>
                <w:lang w:eastAsia="zh-CN"/>
              </w:rPr>
              <w:t>-</w:t>
            </w:r>
            <w:r w:rsidR="00D16253">
              <w:rPr>
                <w:rFonts w:ascii="Calibri" w:eastAsia="SimSun" w:hAnsi="Calibri" w:cs="Calibri" w:hint="eastAsia"/>
                <w:b/>
                <w:smallCaps/>
                <w:szCs w:val="24"/>
                <w:lang w:eastAsia="zh-CN"/>
              </w:rPr>
              <w:t>4</w:t>
            </w:r>
            <w:r w:rsidRPr="00E07523">
              <w:rPr>
                <w:rFonts w:ascii="Calibri" w:eastAsia="SimSun" w:hAnsi="Calibri" w:cs="Calibri"/>
                <w:b/>
                <w:smallCaps/>
                <w:szCs w:val="24"/>
                <w:lang w:eastAsia="zh-CN"/>
              </w:rPr>
              <w:t>日</w:t>
            </w:r>
          </w:p>
        </w:tc>
        <w:tc>
          <w:tcPr>
            <w:tcW w:w="3120" w:type="dxa"/>
            <w:tcBorders>
              <w:bottom w:val="single" w:sz="12" w:space="0" w:color="auto"/>
            </w:tcBorders>
          </w:tcPr>
          <w:p w14:paraId="224EF632" w14:textId="77777777" w:rsidR="00205911" w:rsidRPr="00E07523" w:rsidRDefault="00205911" w:rsidP="00205911">
            <w:pPr>
              <w:spacing w:before="0"/>
              <w:rPr>
                <w:rFonts w:ascii="Calibri" w:eastAsia="SimSun" w:hAnsi="Calibri" w:cs="Calibri"/>
                <w:szCs w:val="24"/>
                <w:lang w:eastAsia="zh-CN"/>
              </w:rPr>
            </w:pPr>
          </w:p>
        </w:tc>
      </w:tr>
      <w:tr w:rsidR="00205911" w:rsidRPr="00E07523" w14:paraId="32020FED" w14:textId="77777777" w:rsidTr="00BF08C1">
        <w:trPr>
          <w:cantSplit/>
        </w:trPr>
        <w:tc>
          <w:tcPr>
            <w:tcW w:w="6911" w:type="dxa"/>
            <w:tcBorders>
              <w:top w:val="single" w:sz="12" w:space="0" w:color="auto"/>
            </w:tcBorders>
          </w:tcPr>
          <w:p w14:paraId="387ABFF0" w14:textId="77777777" w:rsidR="00205911" w:rsidRPr="00E07523" w:rsidRDefault="00205911" w:rsidP="00205911">
            <w:pPr>
              <w:spacing w:before="0" w:after="48"/>
              <w:rPr>
                <w:rFonts w:ascii="Calibri" w:eastAsia="SimSun" w:hAnsi="Calibri" w:cs="Calibri"/>
                <w:b/>
                <w:smallCaps/>
                <w:szCs w:val="24"/>
                <w:lang w:eastAsia="zh-CN"/>
              </w:rPr>
            </w:pPr>
          </w:p>
        </w:tc>
        <w:tc>
          <w:tcPr>
            <w:tcW w:w="3120" w:type="dxa"/>
            <w:tcBorders>
              <w:top w:val="single" w:sz="12" w:space="0" w:color="auto"/>
            </w:tcBorders>
          </w:tcPr>
          <w:p w14:paraId="58222C15" w14:textId="77777777" w:rsidR="00205911" w:rsidRPr="00E07523" w:rsidRDefault="00205911" w:rsidP="00205911">
            <w:pPr>
              <w:spacing w:before="0"/>
              <w:rPr>
                <w:rFonts w:ascii="Calibri" w:eastAsia="SimSun" w:hAnsi="Calibri" w:cs="Calibri"/>
                <w:szCs w:val="24"/>
                <w:lang w:eastAsia="zh-CN"/>
              </w:rPr>
            </w:pPr>
          </w:p>
        </w:tc>
      </w:tr>
      <w:tr w:rsidR="00205911" w:rsidRPr="00E07523" w14:paraId="44F66C4D" w14:textId="77777777" w:rsidTr="00BF08C1">
        <w:trPr>
          <w:cantSplit/>
          <w:trHeight w:val="23"/>
        </w:trPr>
        <w:tc>
          <w:tcPr>
            <w:tcW w:w="6911" w:type="dxa"/>
            <w:vMerge w:val="restart"/>
          </w:tcPr>
          <w:p w14:paraId="1429B8F6" w14:textId="77777777" w:rsidR="00205911" w:rsidRPr="00E07523" w:rsidRDefault="00205911" w:rsidP="00205911">
            <w:pPr>
              <w:tabs>
                <w:tab w:val="left" w:pos="851"/>
              </w:tabs>
              <w:rPr>
                <w:rFonts w:ascii="Calibri" w:eastAsia="SimSun" w:hAnsi="Calibri" w:cs="Calibri"/>
                <w:b/>
                <w:szCs w:val="24"/>
                <w:lang w:eastAsia="zh-CN"/>
              </w:rPr>
            </w:pPr>
            <w:bookmarkStart w:id="1" w:name="dmeeting" w:colFirst="0" w:colLast="0"/>
          </w:p>
        </w:tc>
        <w:tc>
          <w:tcPr>
            <w:tcW w:w="3120" w:type="dxa"/>
          </w:tcPr>
          <w:p w14:paraId="1FA9823F" w14:textId="25EB2CA4" w:rsidR="00205911" w:rsidRPr="00E07523" w:rsidRDefault="00205911" w:rsidP="00486526">
            <w:pPr>
              <w:tabs>
                <w:tab w:val="left" w:pos="851"/>
              </w:tabs>
              <w:spacing w:before="0"/>
              <w:rPr>
                <w:rFonts w:ascii="Calibri" w:hAnsi="Calibri" w:cs="Calibri"/>
                <w:b/>
                <w:bCs/>
                <w:lang w:eastAsia="zh-CN"/>
              </w:rPr>
            </w:pPr>
            <w:r w:rsidRPr="00E07523">
              <w:rPr>
                <w:rFonts w:ascii="Calibri" w:eastAsia="SimSun" w:hAnsi="Calibri" w:cs="Calibri"/>
                <w:b/>
                <w:bCs/>
                <w:szCs w:val="24"/>
                <w:lang w:val="fr-CH" w:eastAsia="zh-CN"/>
              </w:rPr>
              <w:t>文件</w:t>
            </w:r>
            <w:r w:rsidR="00E1694D" w:rsidRPr="00E07523">
              <w:rPr>
                <w:rFonts w:ascii="Calibri" w:eastAsia="SimSun" w:hAnsi="Calibri" w:cs="Calibri"/>
                <w:b/>
                <w:bCs/>
                <w:szCs w:val="24"/>
                <w:lang w:eastAsia="zh-CN"/>
              </w:rPr>
              <w:t xml:space="preserve"> </w:t>
            </w:r>
            <w:r w:rsidR="00EF0A70" w:rsidRPr="00E07523">
              <w:rPr>
                <w:rFonts w:ascii="Calibri" w:hAnsi="Calibri" w:cs="Calibri"/>
                <w:b/>
                <w:lang w:val="en-US"/>
              </w:rPr>
              <w:t>EG-ITRs-</w:t>
            </w:r>
            <w:r w:rsidR="00D16253">
              <w:rPr>
                <w:rFonts w:ascii="Calibri" w:hAnsi="Calibri" w:cs="Calibri" w:hint="eastAsia"/>
                <w:b/>
                <w:lang w:val="en-US" w:eastAsia="zh-CN"/>
              </w:rPr>
              <w:t>4</w:t>
            </w:r>
            <w:r w:rsidR="00EF0A70" w:rsidRPr="00E07523">
              <w:rPr>
                <w:rFonts w:ascii="Calibri" w:hAnsi="Calibri" w:cs="Calibri"/>
                <w:b/>
                <w:lang w:val="en-US"/>
              </w:rPr>
              <w:t>/</w:t>
            </w:r>
            <w:r w:rsidR="00D16253">
              <w:rPr>
                <w:rFonts w:ascii="Calibri" w:hAnsi="Calibri" w:cs="Calibri" w:hint="eastAsia"/>
                <w:b/>
                <w:lang w:val="en-US" w:eastAsia="zh-CN"/>
              </w:rPr>
              <w:t>4</w:t>
            </w:r>
            <w:r w:rsidR="00FD687B" w:rsidRPr="00E07523">
              <w:rPr>
                <w:rFonts w:ascii="Calibri" w:eastAsia="Calibri" w:hAnsi="Calibri" w:cs="Calibri"/>
                <w:b/>
                <w:bCs/>
                <w:color w:val="000000"/>
                <w:szCs w:val="24"/>
                <w:lang w:val="en-US" w:eastAsia="zh-CN"/>
              </w:rPr>
              <w:t>-C</w:t>
            </w:r>
          </w:p>
        </w:tc>
      </w:tr>
      <w:bookmarkEnd w:id="1"/>
      <w:tr w:rsidR="00205911" w:rsidRPr="00E07523" w14:paraId="30CF0122" w14:textId="77777777" w:rsidTr="00BF08C1">
        <w:trPr>
          <w:cantSplit/>
          <w:trHeight w:val="23"/>
        </w:trPr>
        <w:tc>
          <w:tcPr>
            <w:tcW w:w="6911" w:type="dxa"/>
            <w:vMerge/>
          </w:tcPr>
          <w:p w14:paraId="3CA58F67" w14:textId="77777777" w:rsidR="00205911" w:rsidRPr="00E07523" w:rsidRDefault="00205911" w:rsidP="00205911">
            <w:pPr>
              <w:tabs>
                <w:tab w:val="left" w:pos="851"/>
              </w:tabs>
              <w:rPr>
                <w:rFonts w:ascii="Calibri" w:eastAsia="SimSun" w:hAnsi="Calibri" w:cs="Calibri"/>
                <w:b/>
                <w:lang w:eastAsia="zh-CN"/>
              </w:rPr>
            </w:pPr>
          </w:p>
        </w:tc>
        <w:tc>
          <w:tcPr>
            <w:tcW w:w="3120" w:type="dxa"/>
          </w:tcPr>
          <w:p w14:paraId="367B3C8F" w14:textId="3FCB433E" w:rsidR="00205911" w:rsidRPr="00E07523" w:rsidRDefault="00205911" w:rsidP="00205911">
            <w:pPr>
              <w:tabs>
                <w:tab w:val="left" w:pos="993"/>
              </w:tabs>
              <w:spacing w:before="0"/>
              <w:rPr>
                <w:rFonts w:ascii="Calibri" w:eastAsia="SimSun" w:hAnsi="Calibri" w:cs="Calibri"/>
                <w:b/>
                <w:bCs/>
                <w:szCs w:val="24"/>
                <w:lang w:eastAsia="zh-CN"/>
              </w:rPr>
            </w:pPr>
            <w:r w:rsidRPr="00E07523">
              <w:rPr>
                <w:rFonts w:ascii="Calibri" w:eastAsia="SimSun" w:hAnsi="Calibri" w:cs="Calibri"/>
                <w:b/>
                <w:bCs/>
                <w:szCs w:val="24"/>
                <w:lang w:eastAsia="zh-CN"/>
              </w:rPr>
              <w:t>20</w:t>
            </w:r>
            <w:r w:rsidR="00EF0A70" w:rsidRPr="00E07523">
              <w:rPr>
                <w:rFonts w:ascii="Calibri" w:eastAsia="SimSun" w:hAnsi="Calibri" w:cs="Calibri"/>
                <w:b/>
                <w:bCs/>
                <w:szCs w:val="24"/>
                <w:lang w:eastAsia="zh-CN"/>
              </w:rPr>
              <w:t>2</w:t>
            </w:r>
            <w:r w:rsidR="00D16253">
              <w:rPr>
                <w:rFonts w:ascii="Calibri" w:eastAsia="SimSun" w:hAnsi="Calibri" w:cs="Calibri" w:hint="eastAsia"/>
                <w:b/>
                <w:bCs/>
                <w:szCs w:val="24"/>
                <w:lang w:eastAsia="zh-CN"/>
              </w:rPr>
              <w:t>1</w:t>
            </w:r>
            <w:r w:rsidRPr="00E07523">
              <w:rPr>
                <w:rFonts w:ascii="Calibri" w:eastAsia="SimSun" w:hAnsi="Calibri" w:cs="Calibri"/>
                <w:b/>
                <w:bCs/>
                <w:szCs w:val="24"/>
                <w:lang w:eastAsia="zh-CN"/>
              </w:rPr>
              <w:t>年</w:t>
            </w:r>
            <w:r w:rsidR="00D16253">
              <w:rPr>
                <w:rFonts w:ascii="Calibri" w:eastAsia="SimSun" w:hAnsi="Calibri" w:cs="Calibri" w:hint="eastAsia"/>
                <w:b/>
                <w:bCs/>
                <w:szCs w:val="24"/>
                <w:lang w:eastAsia="zh-CN"/>
              </w:rPr>
              <w:t>1</w:t>
            </w:r>
            <w:r w:rsidRPr="00E07523">
              <w:rPr>
                <w:rFonts w:ascii="Calibri" w:eastAsia="SimSun" w:hAnsi="Calibri" w:cs="Calibri"/>
                <w:b/>
                <w:bCs/>
                <w:szCs w:val="24"/>
                <w:lang w:eastAsia="zh-CN"/>
              </w:rPr>
              <w:t>月</w:t>
            </w:r>
            <w:r w:rsidR="00D16253">
              <w:rPr>
                <w:rFonts w:ascii="Calibri" w:eastAsia="SimSun" w:hAnsi="Calibri" w:cs="Calibri" w:hint="eastAsia"/>
                <w:b/>
                <w:bCs/>
                <w:szCs w:val="24"/>
                <w:lang w:eastAsia="zh-CN"/>
              </w:rPr>
              <w:t>18</w:t>
            </w:r>
            <w:r w:rsidRPr="00E07523">
              <w:rPr>
                <w:rFonts w:ascii="Calibri" w:eastAsia="SimSun" w:hAnsi="Calibri" w:cs="Calibri"/>
                <w:b/>
                <w:bCs/>
                <w:szCs w:val="24"/>
                <w:lang w:eastAsia="zh-CN"/>
              </w:rPr>
              <w:t>日</w:t>
            </w:r>
          </w:p>
        </w:tc>
      </w:tr>
      <w:tr w:rsidR="00205911" w:rsidRPr="00E07523" w14:paraId="23F26C0F" w14:textId="77777777" w:rsidTr="00BF08C1">
        <w:trPr>
          <w:cantSplit/>
          <w:trHeight w:val="23"/>
        </w:trPr>
        <w:tc>
          <w:tcPr>
            <w:tcW w:w="6911" w:type="dxa"/>
            <w:vMerge/>
          </w:tcPr>
          <w:p w14:paraId="106B3E43" w14:textId="77777777" w:rsidR="00205911" w:rsidRPr="00E07523" w:rsidRDefault="00205911" w:rsidP="00205911">
            <w:pPr>
              <w:tabs>
                <w:tab w:val="left" w:pos="851"/>
              </w:tabs>
              <w:rPr>
                <w:rFonts w:ascii="Calibri" w:eastAsia="SimSun" w:hAnsi="Calibri" w:cs="Calibri"/>
                <w:b/>
                <w:lang w:eastAsia="zh-CN"/>
              </w:rPr>
            </w:pPr>
          </w:p>
        </w:tc>
        <w:tc>
          <w:tcPr>
            <w:tcW w:w="3120" w:type="dxa"/>
          </w:tcPr>
          <w:p w14:paraId="7D4039B2" w14:textId="77777777" w:rsidR="00205911" w:rsidRPr="00E07523" w:rsidRDefault="00205911" w:rsidP="00205911">
            <w:pPr>
              <w:tabs>
                <w:tab w:val="left" w:pos="993"/>
              </w:tabs>
              <w:spacing w:before="0"/>
              <w:rPr>
                <w:rFonts w:ascii="Calibri" w:eastAsia="SimSun" w:hAnsi="Calibri" w:cs="Calibri"/>
                <w:b/>
                <w:bCs/>
                <w:szCs w:val="24"/>
                <w:lang w:eastAsia="zh-CN"/>
              </w:rPr>
            </w:pPr>
            <w:r w:rsidRPr="00E07523">
              <w:rPr>
                <w:rFonts w:ascii="Calibri" w:eastAsia="SimSun" w:hAnsi="Calibri" w:cs="Calibri"/>
                <w:b/>
                <w:bCs/>
                <w:szCs w:val="24"/>
                <w:lang w:eastAsia="zh-CN"/>
              </w:rPr>
              <w:t>原文：英文</w:t>
            </w:r>
          </w:p>
        </w:tc>
      </w:tr>
    </w:tbl>
    <w:p w14:paraId="71716B2D" w14:textId="00A437BE" w:rsidR="00755EEC" w:rsidRPr="00E07523" w:rsidRDefault="00505720" w:rsidP="000539B8">
      <w:pPr>
        <w:spacing w:before="600"/>
        <w:jc w:val="center"/>
        <w:rPr>
          <w:rFonts w:ascii="Calibri" w:eastAsia="SimSun" w:hAnsi="Calibri" w:cs="Calibri"/>
          <w:b/>
          <w:bCs/>
          <w:color w:val="000000"/>
          <w:sz w:val="28"/>
          <w:szCs w:val="28"/>
          <w:lang w:eastAsia="zh-CN"/>
        </w:rPr>
      </w:pPr>
      <w:r w:rsidRPr="00E07523">
        <w:rPr>
          <w:rFonts w:ascii="Calibri" w:eastAsia="SimSun" w:hAnsi="Calibri" w:cs="Calibri" w:hint="eastAsia"/>
          <w:b/>
          <w:bCs/>
          <w:color w:val="000000"/>
          <w:sz w:val="28"/>
          <w:szCs w:val="28"/>
          <w:lang w:eastAsia="zh-CN"/>
        </w:rPr>
        <w:t>荷兰</w:t>
      </w:r>
    </w:p>
    <w:p w14:paraId="039E0A34" w14:textId="7DC85006" w:rsidR="00FD687B" w:rsidRPr="00E07523" w:rsidRDefault="00AA5C97" w:rsidP="002E3248">
      <w:pPr>
        <w:jc w:val="center"/>
        <w:rPr>
          <w:rFonts w:ascii="Calibri" w:hAnsi="Calibri" w:cs="Calibri"/>
          <w:sz w:val="28"/>
          <w:szCs w:val="28"/>
          <w:lang w:eastAsia="zh-CN"/>
        </w:rPr>
      </w:pPr>
      <w:r w:rsidRPr="00E07523">
        <w:rPr>
          <w:rFonts w:ascii="Calibri" w:hAnsi="Calibri" w:cs="Calibri" w:hint="eastAsia"/>
          <w:sz w:val="28"/>
          <w:szCs w:val="28"/>
          <w:lang w:eastAsia="zh-CN"/>
        </w:rPr>
        <w:t>《国际电信规则》的逐条审查</w:t>
      </w:r>
    </w:p>
    <w:p w14:paraId="1C582393" w14:textId="65C716A8" w:rsidR="000B7069" w:rsidRPr="00BB146D" w:rsidRDefault="00324E20" w:rsidP="002E3248">
      <w:pPr>
        <w:pStyle w:val="Headingb"/>
        <w:spacing w:before="600"/>
        <w:rPr>
          <w:rFonts w:ascii="Calibri" w:hAnsi="Calibri" w:cs="Calibri"/>
          <w:lang w:eastAsia="zh-CN"/>
        </w:rPr>
      </w:pPr>
      <w:r w:rsidRPr="00BB146D">
        <w:rPr>
          <w:rFonts w:ascii="Calibri" w:hAnsi="Calibri" w:cs="Calibri"/>
          <w:lang w:eastAsia="zh-CN"/>
        </w:rPr>
        <w:t>引言</w:t>
      </w:r>
    </w:p>
    <w:p w14:paraId="7C5990BF" w14:textId="3DA33D17" w:rsidR="000B7069" w:rsidRPr="00BB146D" w:rsidRDefault="00982ED4" w:rsidP="00CD0F3C">
      <w:pPr>
        <w:spacing w:after="120"/>
        <w:ind w:firstLineChars="200" w:firstLine="480"/>
        <w:jc w:val="both"/>
        <w:rPr>
          <w:rFonts w:ascii="Calibri" w:hAnsi="Calibri" w:cs="Calibri"/>
          <w:szCs w:val="24"/>
          <w:lang w:eastAsia="zh-CN"/>
        </w:rPr>
      </w:pPr>
      <w:r w:rsidRPr="00BB146D">
        <w:rPr>
          <w:rFonts w:ascii="Calibri" w:hAnsi="Calibri" w:cs="Calibri"/>
          <w:szCs w:val="24"/>
          <w:lang w:eastAsia="zh-CN"/>
        </w:rPr>
        <w:t>荷兰很高兴根据</w:t>
      </w:r>
      <w:r w:rsidRPr="00BB146D">
        <w:rPr>
          <w:rFonts w:ascii="Calibri" w:hAnsi="Calibri" w:cs="Calibri"/>
          <w:lang w:val="en-US" w:eastAsia="zh-CN"/>
        </w:rPr>
        <w:t>《国际电信规则》专家组</w:t>
      </w:r>
      <w:r w:rsidRPr="00BB146D">
        <w:rPr>
          <w:rFonts w:ascii="Calibri" w:hAnsi="Calibri" w:cs="Calibri"/>
          <w:szCs w:val="24"/>
          <w:lang w:eastAsia="zh-CN"/>
        </w:rPr>
        <w:t>第</w:t>
      </w:r>
      <w:r w:rsidR="00D1570D">
        <w:rPr>
          <w:rFonts w:ascii="Calibri" w:hAnsi="Calibri" w:cs="Calibri" w:hint="eastAsia"/>
          <w:szCs w:val="24"/>
          <w:lang w:eastAsia="zh-CN"/>
        </w:rPr>
        <w:t>四</w:t>
      </w:r>
      <w:r w:rsidRPr="00BB146D">
        <w:rPr>
          <w:rFonts w:ascii="Calibri" w:hAnsi="Calibri" w:cs="Calibri"/>
          <w:szCs w:val="24"/>
          <w:lang w:eastAsia="zh-CN"/>
        </w:rPr>
        <w:t>次会议规定的职责范围和议程草案，向</w:t>
      </w:r>
      <w:r w:rsidRPr="00BB146D">
        <w:rPr>
          <w:rFonts w:ascii="Calibri" w:hAnsi="Calibri" w:cs="Calibri"/>
          <w:lang w:val="en-US" w:eastAsia="zh-CN"/>
        </w:rPr>
        <w:t>《国际电信规则》专家组</w:t>
      </w:r>
      <w:r w:rsidRPr="00BB146D">
        <w:rPr>
          <w:rFonts w:ascii="Calibri" w:hAnsi="Calibri" w:cs="Calibri"/>
          <w:szCs w:val="24"/>
          <w:lang w:eastAsia="zh-CN"/>
        </w:rPr>
        <w:t>提出该国对</w:t>
      </w:r>
      <w:r w:rsidRPr="00BB146D">
        <w:rPr>
          <w:rFonts w:ascii="Calibri" w:hAnsi="Calibri" w:cs="Calibri"/>
          <w:lang w:val="en-US" w:eastAsia="zh-CN"/>
        </w:rPr>
        <w:t>《国际电信规则》第</w:t>
      </w:r>
      <w:r w:rsidR="00786486">
        <w:rPr>
          <w:rFonts w:ascii="Calibri" w:hAnsi="Calibri" w:cs="Calibri"/>
          <w:lang w:val="en-US" w:eastAsia="zh-CN"/>
        </w:rPr>
        <w:t>9</w:t>
      </w:r>
      <w:r w:rsidRPr="00BB146D">
        <w:rPr>
          <w:rFonts w:ascii="Calibri" w:hAnsi="Calibri" w:cs="Calibri"/>
          <w:lang w:val="en-US" w:eastAsia="zh-CN"/>
        </w:rPr>
        <w:t>条至第</w:t>
      </w:r>
      <w:r w:rsidR="00786486">
        <w:rPr>
          <w:rFonts w:ascii="Calibri" w:hAnsi="Calibri" w:cs="Calibri"/>
          <w:lang w:val="en-US" w:eastAsia="zh-CN"/>
        </w:rPr>
        <w:t>14</w:t>
      </w:r>
      <w:r w:rsidRPr="00BB146D">
        <w:rPr>
          <w:rFonts w:ascii="Calibri" w:hAnsi="Calibri" w:cs="Calibri"/>
          <w:lang w:val="en-US" w:eastAsia="zh-CN"/>
        </w:rPr>
        <w:t>条和附录</w:t>
      </w:r>
      <w:r w:rsidR="00786486">
        <w:rPr>
          <w:rFonts w:ascii="Calibri" w:hAnsi="Calibri" w:cs="Calibri"/>
          <w:lang w:val="en-US" w:eastAsia="zh-CN"/>
        </w:rPr>
        <w:t>2</w:t>
      </w:r>
      <w:r w:rsidRPr="00BB146D">
        <w:rPr>
          <w:rFonts w:ascii="Calibri" w:hAnsi="Calibri" w:cs="Calibri"/>
          <w:lang w:val="en-US" w:eastAsia="zh-CN"/>
        </w:rPr>
        <w:t>的</w:t>
      </w:r>
      <w:r w:rsidRPr="00BB146D">
        <w:rPr>
          <w:rFonts w:ascii="Calibri" w:hAnsi="Calibri" w:cs="Calibri"/>
          <w:szCs w:val="24"/>
          <w:lang w:eastAsia="zh-CN"/>
        </w:rPr>
        <w:t>看法。</w:t>
      </w:r>
    </w:p>
    <w:p w14:paraId="1312E122" w14:textId="6BE3CC6C" w:rsidR="000B7069" w:rsidRPr="00BB146D" w:rsidRDefault="00634645" w:rsidP="00216864">
      <w:pPr>
        <w:pStyle w:val="Headingb"/>
        <w:spacing w:before="360"/>
        <w:rPr>
          <w:rFonts w:ascii="Calibri" w:hAnsi="Calibri" w:cs="Calibri"/>
          <w:lang w:eastAsia="zh-CN"/>
        </w:rPr>
      </w:pPr>
      <w:r w:rsidRPr="00BB146D">
        <w:rPr>
          <w:rFonts w:ascii="Calibri" w:hAnsi="Calibri" w:cs="Calibri"/>
          <w:lang w:eastAsia="zh-CN"/>
        </w:rPr>
        <w:t>讨论</w:t>
      </w:r>
    </w:p>
    <w:p w14:paraId="29A0E46A" w14:textId="0BC344D6" w:rsidR="00AA5C97" w:rsidRPr="00BB146D" w:rsidRDefault="00982ED4" w:rsidP="00AA5C97">
      <w:pPr>
        <w:spacing w:after="120"/>
        <w:ind w:firstLineChars="200" w:firstLine="480"/>
        <w:jc w:val="both"/>
        <w:rPr>
          <w:rFonts w:ascii="Calibri" w:hAnsi="Calibri" w:cs="Calibri"/>
          <w:szCs w:val="24"/>
          <w:lang w:eastAsia="zh-CN"/>
        </w:rPr>
      </w:pPr>
      <w:r w:rsidRPr="00BB146D">
        <w:rPr>
          <w:rFonts w:ascii="Calibri" w:hAnsi="Calibri" w:cs="Calibri"/>
          <w:lang w:val="en-US" w:eastAsia="zh-CN"/>
        </w:rPr>
        <w:t>在各运营商自行制定国内外流量和业务规划并对其加以预测的情况下，</w:t>
      </w:r>
      <w:r w:rsidR="001A1320" w:rsidRPr="00BB146D">
        <w:rPr>
          <w:rFonts w:ascii="Calibri" w:hAnsi="Calibri" w:cs="Calibri"/>
          <w:lang w:val="en-US" w:eastAsia="zh-CN"/>
        </w:rPr>
        <w:t>我们认为</w:t>
      </w:r>
      <w:r w:rsidRPr="00BB146D">
        <w:rPr>
          <w:rFonts w:ascii="Calibri" w:hAnsi="Calibri" w:cs="Calibri"/>
          <w:lang w:val="en-US" w:eastAsia="zh-CN"/>
        </w:rPr>
        <w:t>2012</w:t>
      </w:r>
      <w:r w:rsidRPr="00BB146D">
        <w:rPr>
          <w:rFonts w:ascii="Calibri" w:hAnsi="Calibri" w:cs="Calibri"/>
          <w:lang w:val="en-US" w:eastAsia="zh-CN"/>
        </w:rPr>
        <w:t>年《国际电信规则》无法为竞争性的市场提供支持。《国际电信规则》在这方面</w:t>
      </w:r>
      <w:r w:rsidR="00E852C4" w:rsidRPr="00BB146D">
        <w:rPr>
          <w:rFonts w:ascii="Calibri" w:hAnsi="Calibri" w:cs="Calibri"/>
          <w:lang w:val="en-US" w:eastAsia="zh-CN"/>
        </w:rPr>
        <w:t>亦</w:t>
      </w:r>
      <w:r w:rsidR="001A1320" w:rsidRPr="00BB146D">
        <w:rPr>
          <w:rFonts w:ascii="Calibri" w:hAnsi="Calibri" w:cs="Calibri"/>
          <w:lang w:val="en-US" w:eastAsia="zh-CN"/>
        </w:rPr>
        <w:t>与</w:t>
      </w:r>
      <w:r w:rsidRPr="00BB146D">
        <w:rPr>
          <w:rFonts w:ascii="Calibri" w:hAnsi="Calibri" w:cs="Calibri"/>
          <w:lang w:val="en-US" w:eastAsia="zh-CN"/>
        </w:rPr>
        <w:t>不断演进</w:t>
      </w:r>
      <w:r w:rsidR="00C74D1A" w:rsidRPr="00BB146D">
        <w:rPr>
          <w:rFonts w:ascii="Calibri" w:hAnsi="Calibri" w:cs="Calibri"/>
          <w:lang w:val="en-US" w:eastAsia="zh-CN"/>
        </w:rPr>
        <w:t>的</w:t>
      </w:r>
      <w:r w:rsidR="001A1320" w:rsidRPr="00BB146D">
        <w:rPr>
          <w:rFonts w:ascii="Calibri" w:hAnsi="Calibri" w:cs="Calibri"/>
          <w:lang w:val="en-US" w:eastAsia="zh-CN"/>
        </w:rPr>
        <w:t>竞争性市场和监管环境以及持续的技术进步格格不入。</w:t>
      </w:r>
      <w:r w:rsidR="00AE0100">
        <w:rPr>
          <w:rFonts w:ascii="Calibri" w:hAnsi="Calibri" w:cs="Calibri" w:hint="eastAsia"/>
          <w:lang w:val="en-US" w:eastAsia="zh-CN"/>
        </w:rPr>
        <w:t>荷兰认为，</w:t>
      </w:r>
      <w:r w:rsidR="00C74D1A" w:rsidRPr="00BB146D">
        <w:rPr>
          <w:rFonts w:ascii="Calibri" w:hAnsi="Calibri" w:cs="Calibri"/>
          <w:lang w:val="en-US" w:eastAsia="zh-CN"/>
        </w:rPr>
        <w:t>为适应这些发展修订</w:t>
      </w:r>
      <w:r w:rsidR="00C74D1A" w:rsidRPr="00BB146D">
        <w:rPr>
          <w:rFonts w:ascii="Calibri" w:hAnsi="Calibri" w:cs="Calibri"/>
          <w:lang w:val="en-US" w:eastAsia="zh-CN"/>
        </w:rPr>
        <w:t>2012</w:t>
      </w:r>
      <w:r w:rsidR="00C74D1A" w:rsidRPr="00BB146D">
        <w:rPr>
          <w:rFonts w:ascii="Calibri" w:hAnsi="Calibri" w:cs="Calibri"/>
          <w:lang w:val="en-US" w:eastAsia="zh-CN"/>
        </w:rPr>
        <w:t>年《国际电信规则》不仅不会为发展提供支持，反而会造成限制。</w:t>
      </w:r>
    </w:p>
    <w:p w14:paraId="1C677A52" w14:textId="1AAE2768" w:rsidR="00AA5C97" w:rsidRPr="00BB146D" w:rsidRDefault="0067093C" w:rsidP="00AA5C97">
      <w:pPr>
        <w:spacing w:after="120"/>
        <w:ind w:firstLineChars="200" w:firstLine="480"/>
        <w:jc w:val="both"/>
        <w:rPr>
          <w:rFonts w:ascii="Calibri" w:hAnsi="Calibri" w:cs="Calibri"/>
          <w:lang w:val="en-US" w:eastAsia="zh-CN"/>
        </w:rPr>
      </w:pPr>
      <w:r w:rsidRPr="00BB146D">
        <w:rPr>
          <w:rFonts w:ascii="Calibri" w:hAnsi="Calibri" w:cs="Calibri"/>
          <w:lang w:val="en-US" w:eastAsia="zh-CN"/>
        </w:rPr>
        <w:t>电信</w:t>
      </w:r>
      <w:r w:rsidRPr="00BB146D">
        <w:rPr>
          <w:rFonts w:ascii="Calibri" w:hAnsi="Calibri" w:cs="Calibri"/>
          <w:lang w:val="en-US" w:eastAsia="zh-CN"/>
        </w:rPr>
        <w:t>/ICT</w:t>
      </w:r>
      <w:r w:rsidRPr="00BB146D">
        <w:rPr>
          <w:rFonts w:ascii="Calibri" w:hAnsi="Calibri" w:cs="Calibri"/>
          <w:lang w:val="en-US" w:eastAsia="zh-CN"/>
        </w:rPr>
        <w:t>行业发生了翻天覆地的变化。</w:t>
      </w:r>
      <w:r w:rsidR="00AE0100" w:rsidRPr="00BB146D">
        <w:rPr>
          <w:rFonts w:ascii="Calibri" w:hAnsi="Calibri" w:cs="Calibri"/>
          <w:lang w:val="en-US" w:eastAsia="zh-CN"/>
        </w:rPr>
        <w:t>《国际电信规则》</w:t>
      </w:r>
      <w:r w:rsidR="00AE0100">
        <w:rPr>
          <w:rFonts w:ascii="Calibri" w:hAnsi="Calibri" w:cs="Calibri" w:hint="eastAsia"/>
          <w:lang w:val="en-US" w:eastAsia="zh-CN"/>
        </w:rPr>
        <w:t>中</w:t>
      </w:r>
      <w:r w:rsidR="001A1320" w:rsidRPr="00BB146D">
        <w:rPr>
          <w:rFonts w:ascii="Calibri" w:hAnsi="Calibri" w:cs="Calibri"/>
          <w:lang w:val="en-US" w:eastAsia="zh-CN"/>
        </w:rPr>
        <w:t>有些条款</w:t>
      </w:r>
      <w:r w:rsidR="00AE0100">
        <w:rPr>
          <w:rFonts w:ascii="Calibri" w:hAnsi="Calibri" w:cs="Calibri" w:hint="eastAsia"/>
          <w:lang w:val="en-US" w:eastAsia="zh-CN"/>
        </w:rPr>
        <w:t>在过去是适用的，</w:t>
      </w:r>
      <w:r w:rsidR="00F2576B" w:rsidRPr="00BB146D">
        <w:rPr>
          <w:rFonts w:ascii="Calibri" w:hAnsi="Calibri" w:cs="Calibri"/>
          <w:lang w:val="en-US" w:eastAsia="zh-CN"/>
        </w:rPr>
        <w:t>在电信环境垄断的时代发挥</w:t>
      </w:r>
      <w:r w:rsidR="00E852C4" w:rsidRPr="00BB146D">
        <w:rPr>
          <w:rFonts w:ascii="Calibri" w:hAnsi="Calibri" w:cs="Calibri"/>
          <w:lang w:val="en-US" w:eastAsia="zh-CN"/>
        </w:rPr>
        <w:t>了</w:t>
      </w:r>
      <w:r w:rsidR="00F2576B" w:rsidRPr="00BB146D">
        <w:rPr>
          <w:rFonts w:ascii="Calibri" w:hAnsi="Calibri" w:cs="Calibri"/>
          <w:lang w:val="en-US" w:eastAsia="zh-CN"/>
        </w:rPr>
        <w:t>作用，</w:t>
      </w:r>
      <w:r w:rsidR="001A1320" w:rsidRPr="00BB146D">
        <w:rPr>
          <w:rFonts w:ascii="Calibri" w:hAnsi="Calibri" w:cs="Calibri"/>
          <w:lang w:val="en-US" w:eastAsia="zh-CN"/>
        </w:rPr>
        <w:t>但</w:t>
      </w:r>
      <w:r w:rsidR="00F2576B" w:rsidRPr="00BB146D">
        <w:rPr>
          <w:rFonts w:ascii="Calibri" w:hAnsi="Calibri" w:cs="Calibri"/>
          <w:lang w:val="en-US" w:eastAsia="zh-CN"/>
        </w:rPr>
        <w:t>作为公约的条款</w:t>
      </w:r>
      <w:r w:rsidR="001A1320" w:rsidRPr="00BB146D">
        <w:rPr>
          <w:rFonts w:ascii="Calibri" w:hAnsi="Calibri" w:cs="Calibri"/>
          <w:lang w:val="en-US" w:eastAsia="zh-CN"/>
        </w:rPr>
        <w:t>，无法适应不断变化的市场环境，如果严格执行，可能</w:t>
      </w:r>
      <w:r w:rsidR="00F2576B" w:rsidRPr="00BB146D">
        <w:rPr>
          <w:rFonts w:ascii="Calibri" w:hAnsi="Calibri" w:cs="Calibri"/>
          <w:lang w:val="en-US" w:eastAsia="zh-CN"/>
        </w:rPr>
        <w:t>有</w:t>
      </w:r>
      <w:r w:rsidR="001A1320" w:rsidRPr="00BB146D">
        <w:rPr>
          <w:rFonts w:ascii="Calibri" w:hAnsi="Calibri" w:cs="Calibri"/>
          <w:lang w:val="en-US" w:eastAsia="zh-CN"/>
        </w:rPr>
        <w:t>碍推出对提高</w:t>
      </w:r>
      <w:r w:rsidR="00F2576B" w:rsidRPr="00BB146D">
        <w:rPr>
          <w:rFonts w:ascii="Calibri" w:hAnsi="Calibri" w:cs="Calibri"/>
          <w:lang w:val="en-US" w:eastAsia="zh-CN"/>
        </w:rPr>
        <w:t>负担</w:t>
      </w:r>
      <w:r w:rsidR="001A1320" w:rsidRPr="00BB146D">
        <w:rPr>
          <w:rFonts w:ascii="Calibri" w:hAnsi="Calibri" w:cs="Calibri"/>
          <w:lang w:val="en-US" w:eastAsia="zh-CN"/>
        </w:rPr>
        <w:t>能力和消费者选择至关重要的新服务。</w:t>
      </w:r>
      <w:r w:rsidR="00786486" w:rsidRPr="00786486">
        <w:rPr>
          <w:rFonts w:ascii="Calibri" w:eastAsia="SimSun" w:hAnsi="Calibri" w:cs="Arial"/>
          <w:szCs w:val="24"/>
          <w:lang w:val="en-US" w:eastAsia="zh-CN"/>
        </w:rPr>
        <w:t>T</w:t>
      </w:r>
    </w:p>
    <w:p w14:paraId="15A1E598" w14:textId="78387697" w:rsidR="000B7069" w:rsidRPr="00BB146D" w:rsidRDefault="001A1320" w:rsidP="00AA5C97">
      <w:pPr>
        <w:spacing w:after="120"/>
        <w:ind w:firstLineChars="200" w:firstLine="480"/>
        <w:jc w:val="both"/>
        <w:rPr>
          <w:rFonts w:ascii="Calibri" w:hAnsi="Calibri" w:cs="Calibri"/>
          <w:lang w:val="en-US" w:eastAsia="zh-CN"/>
        </w:rPr>
      </w:pPr>
      <w:r w:rsidRPr="00BB146D">
        <w:rPr>
          <w:rFonts w:ascii="Calibri" w:hAnsi="Calibri" w:cs="Calibri"/>
          <w:lang w:val="en-US" w:eastAsia="zh-CN"/>
        </w:rPr>
        <w:t>我们认为，</w:t>
      </w:r>
      <w:r w:rsidR="00AE0100" w:rsidRPr="00BB146D">
        <w:rPr>
          <w:rFonts w:ascii="Calibri" w:hAnsi="Calibri" w:cs="Calibri"/>
          <w:lang w:val="en-US" w:eastAsia="zh-CN"/>
        </w:rPr>
        <w:t>过去这些年间</w:t>
      </w:r>
      <w:r w:rsidRPr="00BB146D">
        <w:rPr>
          <w:rFonts w:ascii="Calibri" w:hAnsi="Calibri" w:cs="Calibri"/>
          <w:lang w:val="en-US" w:eastAsia="zh-CN"/>
        </w:rPr>
        <w:t>电信</w:t>
      </w:r>
      <w:r w:rsidRPr="00BB146D">
        <w:rPr>
          <w:rFonts w:ascii="Calibri" w:hAnsi="Calibri" w:cs="Calibri"/>
          <w:lang w:val="en-US" w:eastAsia="zh-CN"/>
        </w:rPr>
        <w:t>/</w:t>
      </w:r>
      <w:r w:rsidR="00AE0100">
        <w:rPr>
          <w:rFonts w:ascii="Calibri" w:hAnsi="Calibri" w:cs="Calibri" w:hint="eastAsia"/>
          <w:lang w:val="en-US" w:eastAsia="zh-CN"/>
        </w:rPr>
        <w:t>信息通信</w:t>
      </w:r>
      <w:r w:rsidRPr="00BB146D">
        <w:rPr>
          <w:rFonts w:ascii="Calibri" w:hAnsi="Calibri" w:cs="Calibri"/>
          <w:lang w:val="en-US" w:eastAsia="zh-CN"/>
        </w:rPr>
        <w:t>技术</w:t>
      </w:r>
      <w:r w:rsidR="00AE0100">
        <w:rPr>
          <w:rFonts w:ascii="Calibri" w:hAnsi="Calibri" w:cs="Calibri" w:hint="eastAsia"/>
          <w:lang w:val="en-US" w:eastAsia="zh-CN"/>
        </w:rPr>
        <w:t>体现出的不断增长的</w:t>
      </w:r>
      <w:r w:rsidRPr="00BB146D">
        <w:rPr>
          <w:rFonts w:ascii="Calibri" w:hAnsi="Calibri" w:cs="Calibri"/>
          <w:lang w:val="en-US" w:eastAsia="zh-CN"/>
        </w:rPr>
        <w:t>效益</w:t>
      </w:r>
      <w:r w:rsidR="00AE0100">
        <w:rPr>
          <w:rFonts w:ascii="Calibri" w:hAnsi="Calibri" w:cs="Calibri" w:hint="eastAsia"/>
          <w:lang w:val="en-US" w:eastAsia="zh-CN"/>
        </w:rPr>
        <w:t>更多地</w:t>
      </w:r>
      <w:r w:rsidR="00F2576B" w:rsidRPr="00BB146D">
        <w:rPr>
          <w:rFonts w:ascii="Calibri" w:hAnsi="Calibri" w:cs="Calibri"/>
          <w:lang w:val="en-US" w:eastAsia="zh-CN"/>
        </w:rPr>
        <w:t>是</w:t>
      </w:r>
      <w:r w:rsidR="00AE0100" w:rsidRPr="00BB146D">
        <w:rPr>
          <w:rFonts w:ascii="Calibri" w:hAnsi="Calibri" w:cs="Calibri"/>
          <w:lang w:val="en-US" w:eastAsia="zh-CN"/>
        </w:rPr>
        <w:t>电信市场</w:t>
      </w:r>
      <w:r w:rsidR="00F2576B" w:rsidRPr="00BB146D">
        <w:rPr>
          <w:rFonts w:ascii="Calibri" w:hAnsi="Calibri" w:cs="Calibri"/>
          <w:lang w:val="en-US" w:eastAsia="zh-CN"/>
        </w:rPr>
        <w:t>开放和蓬勃发展的</w:t>
      </w:r>
      <w:r w:rsidR="00AE0100">
        <w:rPr>
          <w:rFonts w:ascii="Calibri" w:hAnsi="Calibri" w:cs="Calibri" w:hint="eastAsia"/>
          <w:lang w:val="en-US" w:eastAsia="zh-CN"/>
        </w:rPr>
        <w:t>结果</w:t>
      </w:r>
      <w:r w:rsidR="00F2576B" w:rsidRPr="00BB146D">
        <w:rPr>
          <w:rFonts w:ascii="Calibri" w:hAnsi="Calibri" w:cs="Calibri"/>
          <w:lang w:val="en-US" w:eastAsia="zh-CN"/>
        </w:rPr>
        <w:t>。</w:t>
      </w:r>
    </w:p>
    <w:p w14:paraId="7EF1C5FE" w14:textId="203D8316" w:rsidR="000B7069" w:rsidRPr="00BB146D" w:rsidRDefault="0067093C" w:rsidP="00216864">
      <w:pPr>
        <w:pStyle w:val="Headingb"/>
        <w:spacing w:before="360"/>
        <w:rPr>
          <w:rFonts w:ascii="Calibri" w:hAnsi="Calibri" w:cs="Calibri"/>
          <w:lang w:eastAsia="zh-CN"/>
        </w:rPr>
      </w:pPr>
      <w:r w:rsidRPr="00BB146D">
        <w:rPr>
          <w:rFonts w:ascii="Calibri" w:hAnsi="Calibri" w:cs="Calibri"/>
          <w:lang w:eastAsia="zh-CN"/>
        </w:rPr>
        <w:t>总结</w:t>
      </w:r>
    </w:p>
    <w:p w14:paraId="086141DC" w14:textId="3236D9BC" w:rsidR="00786486" w:rsidRPr="00786486" w:rsidRDefault="0067093C" w:rsidP="00EB1544">
      <w:pPr>
        <w:ind w:firstLineChars="200" w:firstLine="480"/>
        <w:rPr>
          <w:rFonts w:ascii="Calibri" w:eastAsia="SimSun" w:hAnsi="Calibri" w:cs="Arial"/>
          <w:szCs w:val="24"/>
          <w:lang w:val="en-US" w:eastAsia="zh-CN"/>
        </w:rPr>
      </w:pPr>
      <w:r w:rsidRPr="00BB146D">
        <w:rPr>
          <w:rFonts w:ascii="Calibri" w:hAnsi="Calibri" w:cs="Calibri"/>
          <w:szCs w:val="24"/>
          <w:lang w:eastAsia="zh-CN"/>
        </w:rPr>
        <w:t>鉴于通信市场灵活多变、充满竞争且电信</w:t>
      </w:r>
      <w:r w:rsidRPr="00BB146D">
        <w:rPr>
          <w:rFonts w:ascii="Calibri" w:hAnsi="Calibri" w:cs="Calibri"/>
          <w:szCs w:val="24"/>
          <w:lang w:eastAsia="zh-CN"/>
        </w:rPr>
        <w:t>/ICT</w:t>
      </w:r>
      <w:r w:rsidRPr="00BB146D">
        <w:rPr>
          <w:rFonts w:ascii="Calibri" w:hAnsi="Calibri" w:cs="Calibri"/>
          <w:szCs w:val="24"/>
          <w:lang w:eastAsia="zh-CN"/>
        </w:rPr>
        <w:t>行业在日益融入更广泛的数字经济之中，因此目前不清楚像《国际电信规则》这样不灵活的条约文书如何能够在促进国际电信市场的未来增长和繁荣方面发挥作用。</w:t>
      </w:r>
    </w:p>
    <w:p w14:paraId="1C458FF2" w14:textId="4DEAFEE6" w:rsidR="000B7069" w:rsidRPr="00E07523" w:rsidRDefault="0067093C" w:rsidP="00AA5C97">
      <w:pPr>
        <w:spacing w:after="120"/>
        <w:ind w:firstLineChars="200" w:firstLine="480"/>
        <w:jc w:val="both"/>
        <w:rPr>
          <w:rFonts w:ascii="Calibri" w:hAnsi="Calibri" w:cs="Calibri"/>
          <w:sz w:val="22"/>
          <w:szCs w:val="22"/>
          <w:lang w:eastAsia="zh-CN"/>
        </w:rPr>
      </w:pPr>
      <w:r w:rsidRPr="00BB146D">
        <w:rPr>
          <w:rFonts w:ascii="Calibri" w:hAnsi="Calibri" w:cs="Calibri"/>
          <w:szCs w:val="24"/>
          <w:lang w:val="en-US" w:eastAsia="zh-CN"/>
        </w:rPr>
        <w:t>我们不认为条约层面的新规定将有助于任何国家营造一个吸引投资的有利环境</w:t>
      </w:r>
      <w:r w:rsidR="00C74D1A" w:rsidRPr="00BB146D">
        <w:rPr>
          <w:rFonts w:ascii="Calibri" w:hAnsi="Calibri" w:cs="Calibri"/>
          <w:szCs w:val="24"/>
          <w:lang w:val="en-US" w:eastAsia="zh-CN"/>
        </w:rPr>
        <w:t>并消除</w:t>
      </w:r>
      <w:r w:rsidR="00E852C4" w:rsidRPr="00BB146D">
        <w:rPr>
          <w:rFonts w:ascii="Calibri" w:hAnsi="Calibri" w:cs="Calibri"/>
          <w:szCs w:val="24"/>
          <w:lang w:val="en-US" w:eastAsia="zh-CN"/>
        </w:rPr>
        <w:t>仍然存在的</w:t>
      </w:r>
      <w:r w:rsidR="00C74D1A" w:rsidRPr="00BB146D">
        <w:rPr>
          <w:rFonts w:ascii="Calibri" w:hAnsi="Calibri" w:cs="Calibri"/>
          <w:szCs w:val="24"/>
          <w:lang w:val="en-US" w:eastAsia="zh-CN"/>
        </w:rPr>
        <w:t>数字鸿沟</w:t>
      </w:r>
      <w:r w:rsidRPr="00BB146D">
        <w:rPr>
          <w:rFonts w:ascii="Calibri" w:hAnsi="Calibri" w:cs="Calibri"/>
          <w:szCs w:val="24"/>
          <w:lang w:val="en-US" w:eastAsia="zh-CN"/>
        </w:rPr>
        <w:t>。</w:t>
      </w:r>
    </w:p>
    <w:p w14:paraId="58C1A2CB" w14:textId="77777777" w:rsidR="00AA5C97" w:rsidRPr="00E07523" w:rsidRDefault="00AA5C97" w:rsidP="00411C49">
      <w:pPr>
        <w:pStyle w:val="Reasons"/>
        <w:rPr>
          <w:rFonts w:ascii="Calibri" w:hAnsi="Calibri" w:cs="Calibri"/>
          <w:lang w:eastAsia="zh-CN"/>
        </w:rPr>
        <w:sectPr w:rsidR="00AA5C97" w:rsidRPr="00E07523" w:rsidSect="0045696A">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tbl>
      <w:tblPr>
        <w:tblW w:w="15653" w:type="dxa"/>
        <w:jc w:val="center"/>
        <w:tblBorders>
          <w:top w:val="nil"/>
          <w:left w:val="nil"/>
          <w:bottom w:val="nil"/>
          <w:right w:val="nil"/>
          <w:insideH w:val="nil"/>
          <w:insideV w:val="nil"/>
        </w:tblBorders>
        <w:tblLayout w:type="fixed"/>
        <w:tblLook w:val="0600" w:firstRow="0" w:lastRow="0" w:firstColumn="0" w:lastColumn="0" w:noHBand="1" w:noVBand="1"/>
      </w:tblPr>
      <w:tblGrid>
        <w:gridCol w:w="983"/>
        <w:gridCol w:w="2796"/>
        <w:gridCol w:w="2955"/>
        <w:gridCol w:w="2973"/>
        <w:gridCol w:w="2973"/>
        <w:gridCol w:w="2973"/>
      </w:tblGrid>
      <w:tr w:rsidR="00786486" w:rsidRPr="00786486" w14:paraId="4A0C80DD" w14:textId="77777777" w:rsidTr="00FE65FD">
        <w:trPr>
          <w:trHeight w:val="820"/>
          <w:tblHeader/>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286187E8" w14:textId="19AA3626" w:rsidR="00786486" w:rsidRPr="001D606E" w:rsidRDefault="00786486" w:rsidP="00FE65FD">
            <w:pPr>
              <w:pStyle w:val="Tablehead"/>
              <w:rPr>
                <w:rFonts w:eastAsia="Arial"/>
                <w:sz w:val="20"/>
                <w:highlight w:val="yellow"/>
                <w:lang w:eastAsia="en-GB"/>
              </w:rPr>
            </w:pPr>
            <w:r w:rsidRPr="001D606E">
              <w:lastRenderedPageBreak/>
              <w:t>2012</w:t>
            </w:r>
            <w:r w:rsidRPr="001D606E">
              <w:rPr>
                <w:lang w:eastAsia="zh-CN"/>
              </w:rPr>
              <w:t>年</w:t>
            </w:r>
            <w:proofErr w:type="spellStart"/>
            <w:r w:rsidRPr="001D606E">
              <w:t>版条款</w:t>
            </w:r>
            <w:proofErr w:type="spellEnd"/>
          </w:p>
        </w:tc>
        <w:tc>
          <w:tcPr>
            <w:tcW w:w="2796" w:type="dxa"/>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40A7974A" w14:textId="4A8B01AF" w:rsidR="00786486" w:rsidRPr="00786486" w:rsidRDefault="00786486" w:rsidP="00FE65FD">
            <w:pPr>
              <w:pStyle w:val="Tablehead"/>
              <w:rPr>
                <w:rFonts w:ascii="Arial" w:eastAsia="Arial" w:hAnsi="Arial" w:cs="Arial"/>
                <w:sz w:val="20"/>
                <w:highlight w:val="yellow"/>
                <w:lang w:eastAsia="en-GB"/>
              </w:rPr>
            </w:pPr>
            <w:proofErr w:type="spellStart"/>
            <w:r w:rsidRPr="00BB146D">
              <w:rPr>
                <w:rFonts w:ascii="Calibri" w:hAnsi="Calibri" w:cs="Calibri"/>
              </w:rPr>
              <w:t>分条款</w:t>
            </w:r>
            <w:proofErr w:type="spellEnd"/>
          </w:p>
        </w:tc>
        <w:tc>
          <w:tcPr>
            <w:tcW w:w="2955" w:type="dxa"/>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7863BAB6" w14:textId="2BF8990F" w:rsidR="00786486" w:rsidRPr="00786486" w:rsidRDefault="00786486" w:rsidP="00FE65FD">
            <w:pPr>
              <w:pStyle w:val="Tablehead"/>
              <w:rPr>
                <w:rFonts w:ascii="Arial" w:eastAsia="Arial" w:hAnsi="Arial" w:cs="Arial"/>
                <w:sz w:val="20"/>
                <w:highlight w:val="yellow"/>
                <w:lang w:eastAsia="en-GB"/>
              </w:rPr>
            </w:pPr>
            <w:proofErr w:type="spellStart"/>
            <w:r w:rsidRPr="00BB146D">
              <w:rPr>
                <w:rFonts w:ascii="Calibri" w:hAnsi="Calibri" w:cs="Calibri"/>
              </w:rPr>
              <w:t>相关的</w:t>
            </w:r>
            <w:proofErr w:type="spellEnd"/>
            <w:r w:rsidRPr="00BB146D">
              <w:rPr>
                <w:rFonts w:ascii="Calibri" w:hAnsi="Calibri" w:cs="Calibri"/>
              </w:rPr>
              <w:t>1988</w:t>
            </w:r>
            <w:proofErr w:type="spellStart"/>
            <w:r w:rsidRPr="00BB146D">
              <w:rPr>
                <w:rFonts w:ascii="Calibri" w:hAnsi="Calibri" w:cs="Calibri"/>
              </w:rPr>
              <w:t>年版分条款</w:t>
            </w:r>
            <w:proofErr w:type="spellEnd"/>
          </w:p>
        </w:tc>
        <w:tc>
          <w:tcPr>
            <w:tcW w:w="2973" w:type="dxa"/>
            <w:tcBorders>
              <w:top w:val="single" w:sz="8" w:space="0" w:color="000000"/>
              <w:left w:val="nil"/>
              <w:bottom w:val="single" w:sz="8" w:space="0" w:color="auto"/>
              <w:right w:val="single" w:sz="8" w:space="0" w:color="000000"/>
            </w:tcBorders>
            <w:tcMar>
              <w:top w:w="100" w:type="dxa"/>
              <w:left w:w="60" w:type="dxa"/>
              <w:bottom w:w="100" w:type="dxa"/>
              <w:right w:w="60" w:type="dxa"/>
            </w:tcMar>
            <w:vAlign w:val="center"/>
          </w:tcPr>
          <w:p w14:paraId="24FEC73D" w14:textId="61FF2F1B" w:rsidR="00786486" w:rsidRPr="00786486" w:rsidRDefault="00786486" w:rsidP="00FE65FD">
            <w:pPr>
              <w:pStyle w:val="Tablehead"/>
              <w:rPr>
                <w:rFonts w:ascii="Arial" w:eastAsia="Arial" w:hAnsi="Arial" w:cs="Arial"/>
                <w:sz w:val="20"/>
                <w:highlight w:val="yellow"/>
                <w:lang w:eastAsia="zh-CN"/>
              </w:rPr>
            </w:pPr>
            <w:r w:rsidRPr="00BB146D">
              <w:rPr>
                <w:rFonts w:ascii="Calibri" w:hAnsi="Calibri" w:cs="Calibri"/>
                <w:lang w:eastAsia="zh-CN"/>
              </w:rPr>
              <w:t>在促进网络和业务提供与</w:t>
            </w:r>
            <w:r w:rsidRPr="00BB146D">
              <w:rPr>
                <w:rFonts w:ascii="Calibri" w:hAnsi="Calibri" w:cs="Calibri"/>
                <w:lang w:eastAsia="zh-CN"/>
              </w:rPr>
              <w:br/>
            </w:r>
            <w:r w:rsidRPr="00BB146D">
              <w:rPr>
                <w:rFonts w:ascii="Calibri" w:hAnsi="Calibri" w:cs="Calibri"/>
                <w:lang w:eastAsia="zh-CN"/>
              </w:rPr>
              <w:t>发展中的适用性</w:t>
            </w:r>
          </w:p>
        </w:tc>
        <w:tc>
          <w:tcPr>
            <w:tcW w:w="2973" w:type="dxa"/>
            <w:tcBorders>
              <w:top w:val="single" w:sz="8" w:space="0" w:color="000000"/>
              <w:left w:val="nil"/>
              <w:bottom w:val="single" w:sz="8" w:space="0" w:color="auto"/>
              <w:right w:val="single" w:sz="8" w:space="0" w:color="000000"/>
            </w:tcBorders>
            <w:tcMar>
              <w:top w:w="100" w:type="dxa"/>
              <w:left w:w="60" w:type="dxa"/>
              <w:bottom w:w="100" w:type="dxa"/>
              <w:right w:w="60" w:type="dxa"/>
            </w:tcMar>
            <w:vAlign w:val="center"/>
          </w:tcPr>
          <w:p w14:paraId="5D2E3105" w14:textId="5E9A18D5" w:rsidR="00786486" w:rsidRPr="00786486" w:rsidRDefault="00786486" w:rsidP="00FE65FD">
            <w:pPr>
              <w:pStyle w:val="Tablehead"/>
              <w:rPr>
                <w:rFonts w:ascii="Arial" w:eastAsia="Arial" w:hAnsi="Arial" w:cs="Arial"/>
                <w:sz w:val="20"/>
                <w:highlight w:val="yellow"/>
                <w:lang w:eastAsia="zh-CN"/>
              </w:rPr>
            </w:pPr>
            <w:r w:rsidRPr="00BB146D">
              <w:rPr>
                <w:rFonts w:ascii="Calibri" w:hAnsi="Calibri" w:cs="Calibri"/>
                <w:lang w:eastAsia="zh-CN"/>
              </w:rPr>
              <w:t>适应新趋势和正在出现</w:t>
            </w:r>
            <w:r w:rsidRPr="00BB146D">
              <w:rPr>
                <w:rFonts w:ascii="Calibri" w:hAnsi="Calibri" w:cs="Calibri"/>
                <w:lang w:eastAsia="zh-CN"/>
              </w:rPr>
              <w:br/>
            </w:r>
            <w:r w:rsidRPr="00BB146D">
              <w:rPr>
                <w:rFonts w:ascii="Calibri" w:hAnsi="Calibri" w:cs="Calibri"/>
                <w:lang w:eastAsia="zh-CN"/>
              </w:rPr>
              <w:t>问题的灵活性</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501B800E" w14:textId="1342D3E6" w:rsidR="00786486" w:rsidRPr="00786486" w:rsidRDefault="00786486" w:rsidP="00FE65FD">
            <w:pPr>
              <w:pStyle w:val="Tablehead"/>
              <w:rPr>
                <w:rFonts w:ascii="Calibri" w:eastAsia="Arial" w:hAnsi="Calibri" w:cs="Calibri"/>
                <w:color w:val="800000"/>
                <w:highlight w:val="yellow"/>
                <w:lang w:eastAsia="en-GB"/>
              </w:rPr>
            </w:pPr>
            <w:proofErr w:type="spellStart"/>
            <w:r w:rsidRPr="00BB146D">
              <w:rPr>
                <w:rFonts w:ascii="Calibri" w:hAnsi="Calibri" w:cs="Calibri"/>
              </w:rPr>
              <w:t>成果摘要</w:t>
            </w:r>
            <w:proofErr w:type="spellEnd"/>
          </w:p>
        </w:tc>
      </w:tr>
      <w:tr w:rsidR="00786486" w:rsidRPr="00786486" w14:paraId="3950619F" w14:textId="77777777" w:rsidTr="001D606E">
        <w:trPr>
          <w:trHeight w:val="624"/>
          <w:jc w:val="center"/>
        </w:trPr>
        <w:tc>
          <w:tcPr>
            <w:tcW w:w="983"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CB867B7"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en-GB"/>
              </w:rPr>
            </w:pPr>
            <w:bookmarkStart w:id="2" w:name="_Hlk61938493"/>
          </w:p>
        </w:tc>
        <w:tc>
          <w:tcPr>
            <w:tcW w:w="2796" w:type="dxa"/>
            <w:tcBorders>
              <w:top w:val="single" w:sz="4" w:space="0" w:color="000000"/>
              <w:left w:val="single" w:sz="4" w:space="0" w:color="000000"/>
              <w:bottom w:val="single" w:sz="8" w:space="0" w:color="auto"/>
              <w:right w:val="single" w:sz="8" w:space="0" w:color="auto"/>
            </w:tcBorders>
            <w:tcMar>
              <w:top w:w="100" w:type="dxa"/>
              <w:left w:w="100" w:type="dxa"/>
              <w:bottom w:w="100" w:type="dxa"/>
              <w:right w:w="100" w:type="dxa"/>
            </w:tcMar>
          </w:tcPr>
          <w:p w14:paraId="296FB19F" w14:textId="7606AF72" w:rsidR="00786486" w:rsidRPr="001D606E" w:rsidRDefault="00A97A42"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b/>
                <w:sz w:val="22"/>
                <w:szCs w:val="22"/>
                <w:highlight w:val="yellow"/>
                <w:lang w:eastAsia="en-GB"/>
              </w:rPr>
            </w:pPr>
            <w:bookmarkStart w:id="3" w:name="_Toc353533932"/>
            <w:r w:rsidRPr="001D606E">
              <w:rPr>
                <w:rFonts w:hint="eastAsia"/>
                <w:b/>
                <w:bCs/>
                <w:sz w:val="22"/>
                <w:szCs w:val="22"/>
                <w:lang w:eastAsia="zh-CN"/>
              </w:rPr>
              <w:t>业务的中止</w:t>
            </w:r>
            <w:bookmarkEnd w:id="3"/>
          </w:p>
        </w:tc>
        <w:tc>
          <w:tcPr>
            <w:tcW w:w="2955" w:type="dxa"/>
            <w:tcBorders>
              <w:top w:val="single" w:sz="4" w:space="0" w:color="000000"/>
              <w:left w:val="single" w:sz="8" w:space="0" w:color="auto"/>
              <w:bottom w:val="single" w:sz="8" w:space="0" w:color="auto"/>
              <w:right w:val="single" w:sz="8" w:space="0" w:color="auto"/>
            </w:tcBorders>
            <w:tcMar>
              <w:top w:w="56" w:type="dxa"/>
              <w:left w:w="56" w:type="dxa"/>
              <w:bottom w:w="56" w:type="dxa"/>
              <w:right w:w="56" w:type="dxa"/>
            </w:tcMar>
          </w:tcPr>
          <w:p w14:paraId="3CFDE7F2" w14:textId="4F3B262D" w:rsidR="00786486" w:rsidRPr="001D606E" w:rsidRDefault="002D6D0A"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b/>
                <w:sz w:val="22"/>
                <w:szCs w:val="22"/>
                <w:highlight w:val="yellow"/>
                <w:lang w:eastAsia="en-GB"/>
              </w:rPr>
            </w:pPr>
            <w:r w:rsidRPr="001D606E">
              <w:rPr>
                <w:rFonts w:hint="eastAsia"/>
                <w:b/>
                <w:bCs/>
                <w:sz w:val="22"/>
                <w:szCs w:val="22"/>
                <w:lang w:eastAsia="zh-CN"/>
              </w:rPr>
              <w:t>第</w:t>
            </w:r>
            <w:r w:rsidRPr="001D606E">
              <w:rPr>
                <w:rFonts w:asciiTheme="minorHAnsi" w:hAnsiTheme="minorHAnsi" w:cstheme="minorHAnsi"/>
                <w:b/>
                <w:bCs/>
                <w:sz w:val="22"/>
                <w:szCs w:val="22"/>
                <w:lang w:eastAsia="zh-CN"/>
              </w:rPr>
              <w:t>7</w:t>
            </w:r>
            <w:r w:rsidRPr="001D606E">
              <w:rPr>
                <w:rFonts w:hint="eastAsia"/>
                <w:b/>
                <w:bCs/>
                <w:sz w:val="22"/>
                <w:szCs w:val="22"/>
                <w:lang w:eastAsia="zh-CN"/>
              </w:rPr>
              <w:t>条：业务的中止</w:t>
            </w:r>
          </w:p>
        </w:tc>
        <w:tc>
          <w:tcPr>
            <w:tcW w:w="2973" w:type="dxa"/>
            <w:tcBorders>
              <w:top w:val="single" w:sz="8" w:space="0" w:color="auto"/>
              <w:left w:val="single" w:sz="8" w:space="0" w:color="auto"/>
              <w:bottom w:val="single" w:sz="8" w:space="0" w:color="auto"/>
              <w:right w:val="single" w:sz="8" w:space="0" w:color="auto"/>
            </w:tcBorders>
            <w:tcMar>
              <w:top w:w="56" w:type="dxa"/>
              <w:left w:w="56" w:type="dxa"/>
              <w:bottom w:w="56" w:type="dxa"/>
              <w:right w:w="56" w:type="dxa"/>
            </w:tcMar>
          </w:tcPr>
          <w:p w14:paraId="73B7F7D1"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lang w:eastAsia="en-GB"/>
              </w:rPr>
            </w:pPr>
          </w:p>
        </w:tc>
        <w:tc>
          <w:tcPr>
            <w:tcW w:w="2973" w:type="dxa"/>
            <w:tcBorders>
              <w:top w:val="single" w:sz="8" w:space="0" w:color="auto"/>
              <w:left w:val="single" w:sz="8" w:space="0" w:color="auto"/>
              <w:bottom w:val="single" w:sz="8" w:space="0" w:color="auto"/>
              <w:right w:val="single" w:sz="8" w:space="0" w:color="auto"/>
            </w:tcBorders>
            <w:tcMar>
              <w:top w:w="56" w:type="dxa"/>
              <w:left w:w="56" w:type="dxa"/>
              <w:bottom w:w="56" w:type="dxa"/>
              <w:right w:w="56" w:type="dxa"/>
            </w:tcMar>
          </w:tcPr>
          <w:p w14:paraId="73AB0303"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lang w:eastAsia="en-GB"/>
              </w:rPr>
            </w:pPr>
          </w:p>
        </w:tc>
        <w:tc>
          <w:tcPr>
            <w:tcW w:w="2973" w:type="dxa"/>
            <w:tcBorders>
              <w:top w:val="single" w:sz="8" w:space="0" w:color="000000"/>
              <w:left w:val="single" w:sz="8" w:space="0" w:color="auto"/>
              <w:bottom w:val="single" w:sz="8" w:space="0" w:color="auto"/>
              <w:right w:val="single" w:sz="8" w:space="0" w:color="auto"/>
            </w:tcBorders>
            <w:tcMar>
              <w:top w:w="56" w:type="dxa"/>
              <w:left w:w="56" w:type="dxa"/>
              <w:bottom w:w="56" w:type="dxa"/>
              <w:right w:w="56" w:type="dxa"/>
            </w:tcMar>
          </w:tcPr>
          <w:p w14:paraId="029F6E20"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en-GB"/>
              </w:rPr>
            </w:pPr>
          </w:p>
        </w:tc>
      </w:tr>
      <w:tr w:rsidR="00786486" w:rsidRPr="00786486" w14:paraId="591FC68F" w14:textId="77777777" w:rsidTr="001D606E">
        <w:trPr>
          <w:trHeight w:val="1320"/>
          <w:jc w:val="center"/>
        </w:trPr>
        <w:tc>
          <w:tcPr>
            <w:tcW w:w="983"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BBDD9BE"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en-GB"/>
              </w:rPr>
            </w:pPr>
            <w:r w:rsidRPr="001D606E">
              <w:rPr>
                <w:rFonts w:asciiTheme="minorHAnsi" w:eastAsia="Arial" w:hAnsiTheme="minorHAnsi" w:cstheme="minorHAnsi"/>
                <w:sz w:val="22"/>
                <w:szCs w:val="22"/>
                <w:lang w:eastAsia="en-GB"/>
              </w:rPr>
              <w:t>9.1</w:t>
            </w:r>
          </w:p>
        </w:tc>
        <w:tc>
          <w:tcPr>
            <w:tcW w:w="2796" w:type="dxa"/>
            <w:tcBorders>
              <w:top w:val="single" w:sz="8" w:space="0" w:color="auto"/>
              <w:left w:val="single" w:sz="4" w:space="0" w:color="000000"/>
              <w:bottom w:val="single" w:sz="8" w:space="0" w:color="auto"/>
              <w:right w:val="single" w:sz="8" w:space="0" w:color="auto"/>
            </w:tcBorders>
            <w:tcMar>
              <w:top w:w="100" w:type="dxa"/>
              <w:left w:w="100" w:type="dxa"/>
              <w:bottom w:w="100" w:type="dxa"/>
              <w:right w:w="100" w:type="dxa"/>
            </w:tcMar>
          </w:tcPr>
          <w:p w14:paraId="1D573BB9" w14:textId="4ADBF60D" w:rsidR="00786486" w:rsidRPr="001D606E" w:rsidRDefault="00A97A42"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如果某成员国根据《组织法》和《公约》行使其中止部分或全部国际电信业务的权利，该成员国须立即以最适宜的通信手段将该中止及之后恢复正常的情况通知秘书长。</w:t>
            </w:r>
          </w:p>
        </w:tc>
        <w:tc>
          <w:tcPr>
            <w:tcW w:w="2955" w:type="dxa"/>
            <w:tcBorders>
              <w:top w:val="single" w:sz="8" w:space="0" w:color="auto"/>
              <w:left w:val="single" w:sz="8" w:space="0" w:color="auto"/>
              <w:bottom w:val="single" w:sz="8" w:space="0" w:color="auto"/>
              <w:right w:val="single" w:sz="8" w:space="0" w:color="auto"/>
            </w:tcBorders>
            <w:tcMar>
              <w:top w:w="56" w:type="dxa"/>
              <w:left w:w="56" w:type="dxa"/>
              <w:bottom w:w="56" w:type="dxa"/>
              <w:right w:w="56" w:type="dxa"/>
            </w:tcMar>
          </w:tcPr>
          <w:p w14:paraId="2424B5FC" w14:textId="10FC8BD9" w:rsidR="00786486" w:rsidRPr="001D606E" w:rsidRDefault="0028615C"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7.1</w:t>
            </w:r>
            <w:r w:rsidRPr="001D606E">
              <w:rPr>
                <w:rFonts w:asciiTheme="minorHAnsi" w:hAnsiTheme="minorHAnsi" w:cstheme="minorHAnsi"/>
                <w:sz w:val="22"/>
                <w:szCs w:val="22"/>
                <w:lang w:eastAsia="zh-CN"/>
              </w:rPr>
              <w:tab/>
            </w:r>
            <w:r w:rsidRPr="001D606E">
              <w:rPr>
                <w:rFonts w:asciiTheme="minorHAnsi" w:hAnsiTheme="minorHAnsi" w:cstheme="minorHAnsi"/>
                <w:sz w:val="22"/>
                <w:szCs w:val="22"/>
                <w:lang w:eastAsia="zh-CN"/>
              </w:rPr>
              <w:t>如果某一会员按照公约行使其中止部分或全部国际电信业务的权利，该会员应立即以最适宜的通信手段将该次中止及以后恢复正常的状况通知秘书长。</w:t>
            </w:r>
          </w:p>
        </w:tc>
        <w:tc>
          <w:tcPr>
            <w:tcW w:w="2973" w:type="dxa"/>
            <w:tcBorders>
              <w:top w:val="single" w:sz="8" w:space="0" w:color="auto"/>
              <w:left w:val="single" w:sz="8" w:space="0" w:color="auto"/>
              <w:bottom w:val="single" w:sz="8" w:space="0" w:color="auto"/>
              <w:right w:val="single" w:sz="8" w:space="0" w:color="auto"/>
            </w:tcBorders>
            <w:tcMar>
              <w:top w:w="56" w:type="dxa"/>
              <w:left w:w="56" w:type="dxa"/>
              <w:bottom w:w="56" w:type="dxa"/>
              <w:right w:w="56" w:type="dxa"/>
            </w:tcMar>
          </w:tcPr>
          <w:p w14:paraId="3169F65C" w14:textId="08533F3B" w:rsidR="00786486" w:rsidRPr="00A72A30"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这一规定不再支持网络和</w:t>
            </w:r>
            <w:r w:rsidR="00AF69EA" w:rsidRPr="001D606E">
              <w:rPr>
                <w:rFonts w:asciiTheme="minorHAnsi" w:hAnsiTheme="minorHAnsi" w:cstheme="minorHAnsi" w:hint="eastAsia"/>
                <w:sz w:val="22"/>
                <w:szCs w:val="22"/>
                <w:lang w:eastAsia="zh-CN"/>
              </w:rPr>
              <w:t>业务</w:t>
            </w:r>
            <w:r w:rsidRPr="001D606E">
              <w:rPr>
                <w:rFonts w:asciiTheme="minorHAnsi" w:hAnsiTheme="minorHAnsi" w:cstheme="minorHAnsi" w:hint="eastAsia"/>
                <w:sz w:val="22"/>
                <w:szCs w:val="22"/>
                <w:lang w:eastAsia="zh-CN"/>
              </w:rPr>
              <w:t>的</w:t>
            </w:r>
            <w:r w:rsidR="00AF69EA" w:rsidRPr="001D606E">
              <w:rPr>
                <w:rFonts w:asciiTheme="minorHAnsi" w:hAnsiTheme="minorHAnsi" w:cstheme="minorHAnsi" w:hint="eastAsia"/>
                <w:sz w:val="22"/>
                <w:szCs w:val="22"/>
                <w:lang w:eastAsia="zh-CN"/>
              </w:rPr>
              <w:t>提供</w:t>
            </w:r>
            <w:r w:rsidRPr="001D606E">
              <w:rPr>
                <w:rFonts w:asciiTheme="minorHAnsi" w:hAnsiTheme="minorHAnsi" w:cstheme="minorHAnsi" w:hint="eastAsia"/>
                <w:sz w:val="22"/>
                <w:szCs w:val="22"/>
                <w:lang w:eastAsia="zh-CN"/>
              </w:rPr>
              <w:t>，因为</w:t>
            </w:r>
            <w:r w:rsidR="00AF69EA" w:rsidRPr="001D606E">
              <w:rPr>
                <w:rFonts w:asciiTheme="minorHAnsi" w:hAnsiTheme="minorHAnsi" w:cstheme="minorHAnsi" w:hint="eastAsia"/>
                <w:sz w:val="22"/>
                <w:szCs w:val="22"/>
                <w:lang w:eastAsia="zh-CN"/>
              </w:rPr>
              <w:t>业务提供</w:t>
            </w:r>
            <w:r w:rsidRPr="001D606E">
              <w:rPr>
                <w:rFonts w:asciiTheme="minorHAnsi" w:hAnsiTheme="minorHAnsi" w:cstheme="minorHAnsi" w:hint="eastAsia"/>
                <w:sz w:val="22"/>
                <w:szCs w:val="22"/>
                <w:lang w:eastAsia="zh-CN"/>
              </w:rPr>
              <w:t>已从成员国</w:t>
            </w:r>
            <w:r w:rsidR="00AF69EA" w:rsidRPr="001D606E">
              <w:rPr>
                <w:rFonts w:asciiTheme="minorHAnsi" w:hAnsiTheme="minorHAnsi" w:cstheme="minorHAnsi" w:hint="eastAsia"/>
                <w:sz w:val="22"/>
                <w:szCs w:val="22"/>
                <w:lang w:eastAsia="zh-CN"/>
              </w:rPr>
              <w:t>层面</w:t>
            </w:r>
            <w:r w:rsidRPr="001D606E">
              <w:rPr>
                <w:rFonts w:asciiTheme="minorHAnsi" w:hAnsiTheme="minorHAnsi" w:cstheme="minorHAnsi" w:hint="eastAsia"/>
                <w:sz w:val="22"/>
                <w:szCs w:val="22"/>
                <w:lang w:eastAsia="zh-CN"/>
              </w:rPr>
              <w:t>转移到私营</w:t>
            </w:r>
            <w:r w:rsidR="00AF69EA" w:rsidRPr="001D606E">
              <w:rPr>
                <w:rFonts w:asciiTheme="minorHAnsi" w:hAnsiTheme="minorHAnsi" w:cstheme="minorHAnsi" w:hint="eastAsia"/>
                <w:sz w:val="22"/>
                <w:szCs w:val="22"/>
                <w:lang w:eastAsia="zh-CN"/>
              </w:rPr>
              <w:t>企业层面</w:t>
            </w:r>
            <w:r w:rsidRPr="001D606E">
              <w:rPr>
                <w:rFonts w:asciiTheme="minorHAnsi" w:hAnsiTheme="minorHAnsi" w:cstheme="minorHAnsi" w:hint="eastAsia"/>
                <w:sz w:val="22"/>
                <w:szCs w:val="22"/>
                <w:lang w:eastAsia="zh-CN"/>
              </w:rPr>
              <w:t>。这项规定是多余的。</w:t>
            </w:r>
          </w:p>
        </w:tc>
        <w:tc>
          <w:tcPr>
            <w:tcW w:w="2973" w:type="dxa"/>
            <w:tcBorders>
              <w:top w:val="single" w:sz="8" w:space="0" w:color="auto"/>
              <w:left w:val="single" w:sz="8" w:space="0" w:color="auto"/>
              <w:bottom w:val="single" w:sz="8" w:space="0" w:color="auto"/>
              <w:right w:val="single" w:sz="8" w:space="0" w:color="auto"/>
            </w:tcBorders>
            <w:tcMar>
              <w:top w:w="56" w:type="dxa"/>
              <w:left w:w="56" w:type="dxa"/>
              <w:bottom w:w="56" w:type="dxa"/>
              <w:right w:w="56" w:type="dxa"/>
            </w:tcMar>
          </w:tcPr>
          <w:p w14:paraId="491D0635" w14:textId="7AD55F9D"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这一规定不利于适应新趋势，因为这些趋势和问题由私营部门的举措发展而来。因此，通知暂停</w:t>
            </w:r>
            <w:r w:rsidR="00AF69EA" w:rsidRPr="001D606E">
              <w:rPr>
                <w:rFonts w:asciiTheme="minorHAnsi" w:hAnsiTheme="minorHAnsi" w:cstheme="minorHAnsi" w:hint="eastAsia"/>
                <w:sz w:val="22"/>
                <w:szCs w:val="22"/>
                <w:lang w:eastAsia="zh-CN"/>
              </w:rPr>
              <w:t>业务</w:t>
            </w:r>
            <w:r w:rsidRPr="001D606E">
              <w:rPr>
                <w:rFonts w:asciiTheme="minorHAnsi" w:hAnsiTheme="minorHAnsi" w:cstheme="minorHAnsi" w:hint="eastAsia"/>
                <w:sz w:val="22"/>
                <w:szCs w:val="22"/>
                <w:lang w:eastAsia="zh-CN"/>
              </w:rPr>
              <w:t>的义务已经过时，不再需要。</w:t>
            </w:r>
          </w:p>
        </w:tc>
        <w:tc>
          <w:tcPr>
            <w:tcW w:w="2973" w:type="dxa"/>
            <w:tcBorders>
              <w:top w:val="single" w:sz="8" w:space="0" w:color="auto"/>
              <w:left w:val="single" w:sz="8" w:space="0" w:color="auto"/>
              <w:bottom w:val="single" w:sz="8" w:space="0" w:color="auto"/>
              <w:right w:val="single" w:sz="8" w:space="0" w:color="auto"/>
            </w:tcBorders>
            <w:tcMar>
              <w:top w:w="56" w:type="dxa"/>
              <w:left w:w="56" w:type="dxa"/>
              <w:bottom w:w="56" w:type="dxa"/>
              <w:right w:w="56" w:type="dxa"/>
            </w:tcMar>
          </w:tcPr>
          <w:p w14:paraId="7984077A"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zh-CN"/>
              </w:rPr>
            </w:pPr>
          </w:p>
        </w:tc>
      </w:tr>
      <w:tr w:rsidR="00786486" w:rsidRPr="00786486" w14:paraId="3DECB89C" w14:textId="77777777" w:rsidTr="006D18AB">
        <w:trPr>
          <w:trHeight w:val="13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143E0" w14:textId="77777777" w:rsidR="00786486" w:rsidRPr="001D606E" w:rsidRDefault="00786486" w:rsidP="00786486">
            <w:pPr>
              <w:keepNext/>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en-GB"/>
              </w:rPr>
            </w:pPr>
            <w:r w:rsidRPr="001D606E">
              <w:rPr>
                <w:rFonts w:asciiTheme="minorHAnsi" w:eastAsia="Arial" w:hAnsiTheme="minorHAnsi" w:cstheme="minorHAnsi"/>
                <w:sz w:val="22"/>
                <w:szCs w:val="22"/>
                <w:lang w:eastAsia="en-GB"/>
              </w:rPr>
              <w:t>9.2</w:t>
            </w:r>
          </w:p>
        </w:tc>
        <w:tc>
          <w:tcPr>
            <w:tcW w:w="2796"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865BFBE" w14:textId="463B9CC9" w:rsidR="00786486" w:rsidRPr="001D606E" w:rsidRDefault="00A97A42" w:rsidP="00786486">
            <w:pPr>
              <w:keepNext/>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秘书长须立即以最适宜的通信手段将此信息通知所有其它成员国注意。</w:t>
            </w:r>
          </w:p>
        </w:tc>
        <w:tc>
          <w:tcPr>
            <w:tcW w:w="2955" w:type="dxa"/>
            <w:tcBorders>
              <w:top w:val="single" w:sz="8" w:space="0" w:color="auto"/>
              <w:left w:val="single" w:sz="8" w:space="0" w:color="000000"/>
              <w:bottom w:val="single" w:sz="8" w:space="0" w:color="000000"/>
              <w:right w:val="single" w:sz="8" w:space="0" w:color="000000"/>
            </w:tcBorders>
            <w:tcMar>
              <w:top w:w="56" w:type="dxa"/>
              <w:left w:w="56" w:type="dxa"/>
              <w:bottom w:w="56" w:type="dxa"/>
              <w:right w:w="56" w:type="dxa"/>
            </w:tcMar>
          </w:tcPr>
          <w:p w14:paraId="3279ADEC" w14:textId="2C77074D" w:rsidR="00786486" w:rsidRPr="001D606E" w:rsidRDefault="0028615C" w:rsidP="00786486">
            <w:pPr>
              <w:keepNext/>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7.2</w:t>
            </w:r>
            <w:r w:rsidRPr="001D606E">
              <w:rPr>
                <w:rFonts w:asciiTheme="minorHAnsi" w:hAnsiTheme="minorHAnsi" w:cstheme="minorHAnsi"/>
                <w:sz w:val="22"/>
                <w:szCs w:val="22"/>
                <w:lang w:eastAsia="zh-CN"/>
              </w:rPr>
              <w:tab/>
            </w:r>
            <w:r w:rsidRPr="001D606E">
              <w:rPr>
                <w:rFonts w:asciiTheme="minorHAnsi" w:hAnsiTheme="minorHAnsi" w:cstheme="minorHAnsi"/>
                <w:sz w:val="22"/>
                <w:szCs w:val="22"/>
                <w:lang w:eastAsia="zh-CN"/>
              </w:rPr>
              <w:t>秘书长应立即以最适宜的通信手段将此信息通知所有其它会员注意。</w:t>
            </w:r>
          </w:p>
        </w:tc>
        <w:tc>
          <w:tcPr>
            <w:tcW w:w="2973" w:type="dxa"/>
            <w:tcBorders>
              <w:top w:val="single" w:sz="8" w:space="0" w:color="auto"/>
              <w:left w:val="single" w:sz="8" w:space="0" w:color="000000"/>
              <w:bottom w:val="single" w:sz="8" w:space="0" w:color="000000"/>
              <w:right w:val="single" w:sz="8" w:space="0" w:color="000000"/>
            </w:tcBorders>
            <w:tcMar>
              <w:top w:w="56" w:type="dxa"/>
              <w:left w:w="56" w:type="dxa"/>
              <w:bottom w:w="56" w:type="dxa"/>
              <w:right w:w="56" w:type="dxa"/>
            </w:tcMar>
          </w:tcPr>
          <w:p w14:paraId="2A63A7FC" w14:textId="280FB000" w:rsidR="00786486" w:rsidRPr="001D606E" w:rsidRDefault="00995FD4" w:rsidP="009E777A">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鉴于第</w:t>
            </w:r>
            <w:r w:rsidRPr="001D606E">
              <w:rPr>
                <w:rFonts w:asciiTheme="minorHAnsi" w:hAnsiTheme="minorHAnsi" w:cstheme="minorHAnsi" w:hint="eastAsia"/>
                <w:sz w:val="22"/>
                <w:szCs w:val="22"/>
                <w:lang w:eastAsia="zh-CN"/>
              </w:rPr>
              <w:t>9.1</w:t>
            </w:r>
            <w:r w:rsidRPr="001D606E">
              <w:rPr>
                <w:rFonts w:asciiTheme="minorHAnsi" w:hAnsiTheme="minorHAnsi" w:cstheme="minorHAnsi" w:hint="eastAsia"/>
                <w:sz w:val="22"/>
                <w:szCs w:val="22"/>
                <w:lang w:eastAsia="zh-CN"/>
              </w:rPr>
              <w:t>条规定是多余的，秘书长的这一义务也是多余的。</w:t>
            </w:r>
            <w:r w:rsidR="00AF69EA" w:rsidRPr="001D606E">
              <w:rPr>
                <w:rFonts w:asciiTheme="minorHAnsi" w:hAnsiTheme="minorHAnsi" w:cstheme="minorHAnsi" w:hint="eastAsia"/>
                <w:sz w:val="22"/>
                <w:szCs w:val="22"/>
                <w:lang w:eastAsia="zh-CN"/>
              </w:rPr>
              <w:t>业务</w:t>
            </w:r>
            <w:r w:rsidR="000D7C82" w:rsidRPr="001D606E">
              <w:rPr>
                <w:rFonts w:asciiTheme="minorHAnsi" w:hAnsiTheme="minorHAnsi" w:cstheme="minorHAnsi" w:hint="eastAsia"/>
                <w:sz w:val="22"/>
                <w:szCs w:val="22"/>
                <w:lang w:eastAsia="zh-CN"/>
              </w:rPr>
              <w:t>中止</w:t>
            </w:r>
            <w:r w:rsidRPr="001D606E">
              <w:rPr>
                <w:rFonts w:asciiTheme="minorHAnsi" w:hAnsiTheme="minorHAnsi" w:cstheme="minorHAnsi" w:hint="eastAsia"/>
                <w:sz w:val="22"/>
                <w:szCs w:val="22"/>
                <w:lang w:eastAsia="zh-CN"/>
              </w:rPr>
              <w:t>主要是</w:t>
            </w:r>
            <w:r w:rsidR="000D7C82" w:rsidRPr="001D606E">
              <w:rPr>
                <w:rFonts w:asciiTheme="minorHAnsi" w:hAnsiTheme="minorHAnsi" w:cstheme="minorHAnsi" w:hint="eastAsia"/>
                <w:sz w:val="22"/>
                <w:szCs w:val="22"/>
                <w:lang w:eastAsia="zh-CN"/>
              </w:rPr>
              <w:t>私营</w:t>
            </w:r>
            <w:r w:rsidR="00AF69EA" w:rsidRPr="001D606E">
              <w:rPr>
                <w:rFonts w:asciiTheme="minorHAnsi" w:hAnsiTheme="minorHAnsi" w:cstheme="minorHAnsi" w:hint="eastAsia"/>
                <w:sz w:val="22"/>
                <w:szCs w:val="22"/>
                <w:lang w:eastAsia="zh-CN"/>
              </w:rPr>
              <w:t>业务</w:t>
            </w:r>
            <w:r w:rsidRPr="001D606E">
              <w:rPr>
                <w:rFonts w:asciiTheme="minorHAnsi" w:hAnsiTheme="minorHAnsi" w:cstheme="minorHAnsi" w:hint="eastAsia"/>
                <w:sz w:val="22"/>
                <w:szCs w:val="22"/>
                <w:lang w:eastAsia="zh-CN"/>
              </w:rPr>
              <w:t>部门的供应商采取的行动。</w:t>
            </w:r>
          </w:p>
        </w:tc>
        <w:tc>
          <w:tcPr>
            <w:tcW w:w="2973" w:type="dxa"/>
            <w:tcBorders>
              <w:top w:val="single" w:sz="8" w:space="0" w:color="auto"/>
              <w:left w:val="single" w:sz="8" w:space="0" w:color="000000"/>
              <w:bottom w:val="single" w:sz="8" w:space="0" w:color="000000"/>
              <w:right w:val="single" w:sz="8" w:space="0" w:color="auto"/>
            </w:tcBorders>
            <w:tcMar>
              <w:top w:w="56" w:type="dxa"/>
              <w:left w:w="56" w:type="dxa"/>
              <w:bottom w:w="56" w:type="dxa"/>
              <w:right w:w="56" w:type="dxa"/>
            </w:tcMar>
          </w:tcPr>
          <w:p w14:paraId="71649182" w14:textId="42A5FFFF" w:rsidR="00786486" w:rsidRPr="001D606E" w:rsidRDefault="00995FD4" w:rsidP="009E777A">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根据不再需要的</w:t>
            </w:r>
            <w:r w:rsidR="000D7C82" w:rsidRPr="001D606E">
              <w:rPr>
                <w:rFonts w:asciiTheme="minorHAnsi" w:hAnsiTheme="minorHAnsi" w:cstheme="minorHAnsi" w:hint="eastAsia"/>
                <w:sz w:val="22"/>
                <w:szCs w:val="22"/>
                <w:lang w:eastAsia="zh-CN"/>
              </w:rPr>
              <w:t>第</w:t>
            </w:r>
            <w:r w:rsidRPr="001D606E">
              <w:rPr>
                <w:rFonts w:asciiTheme="minorHAnsi" w:hAnsiTheme="minorHAnsi" w:cstheme="minorHAnsi" w:hint="eastAsia"/>
                <w:sz w:val="22"/>
                <w:szCs w:val="22"/>
                <w:lang w:eastAsia="zh-CN"/>
              </w:rPr>
              <w:t>9.1</w:t>
            </w:r>
            <w:r w:rsidR="000D7C82" w:rsidRPr="001D606E">
              <w:rPr>
                <w:rFonts w:asciiTheme="minorHAnsi" w:hAnsiTheme="minorHAnsi" w:cstheme="minorHAnsi" w:hint="eastAsia"/>
                <w:sz w:val="22"/>
                <w:szCs w:val="22"/>
                <w:lang w:eastAsia="zh-CN"/>
              </w:rPr>
              <w:t>条</w:t>
            </w:r>
            <w:r w:rsidRPr="001D606E">
              <w:rPr>
                <w:rFonts w:asciiTheme="minorHAnsi" w:hAnsiTheme="minorHAnsi" w:cstheme="minorHAnsi" w:hint="eastAsia"/>
                <w:sz w:val="22"/>
                <w:szCs w:val="22"/>
                <w:lang w:eastAsia="zh-CN"/>
              </w:rPr>
              <w:t>，秘书长的这一义务也是多余的。终止与新趋势或新问题有关的</w:t>
            </w:r>
            <w:r w:rsidR="00AF69EA" w:rsidRPr="001D606E">
              <w:rPr>
                <w:rFonts w:asciiTheme="minorHAnsi" w:hAnsiTheme="minorHAnsi" w:cstheme="minorHAnsi" w:hint="eastAsia"/>
                <w:sz w:val="22"/>
                <w:szCs w:val="22"/>
                <w:lang w:eastAsia="zh-CN"/>
              </w:rPr>
              <w:t>业务</w:t>
            </w:r>
            <w:r w:rsidRPr="001D606E">
              <w:rPr>
                <w:rFonts w:asciiTheme="minorHAnsi" w:hAnsiTheme="minorHAnsi" w:cstheme="minorHAnsi" w:hint="eastAsia"/>
                <w:sz w:val="22"/>
                <w:szCs w:val="22"/>
                <w:lang w:eastAsia="zh-CN"/>
              </w:rPr>
              <w:t>，主要是由</w:t>
            </w:r>
            <w:r w:rsidR="000D7C82" w:rsidRPr="001D606E">
              <w:rPr>
                <w:rFonts w:asciiTheme="minorHAnsi" w:hAnsiTheme="minorHAnsi" w:cstheme="minorHAnsi" w:hint="eastAsia"/>
                <w:sz w:val="22"/>
                <w:szCs w:val="22"/>
                <w:lang w:eastAsia="zh-CN"/>
              </w:rPr>
              <w:t>私营业务</w:t>
            </w:r>
            <w:r w:rsidRPr="001D606E">
              <w:rPr>
                <w:rFonts w:asciiTheme="minorHAnsi" w:hAnsiTheme="minorHAnsi" w:cstheme="minorHAnsi" w:hint="eastAsia"/>
                <w:sz w:val="22"/>
                <w:szCs w:val="22"/>
                <w:lang w:eastAsia="zh-CN"/>
              </w:rPr>
              <w:t>部门的服务提供</w:t>
            </w:r>
            <w:r w:rsidR="000D7C82" w:rsidRPr="001D606E">
              <w:rPr>
                <w:rFonts w:asciiTheme="minorHAnsi" w:hAnsiTheme="minorHAnsi" w:cstheme="minorHAnsi" w:hint="eastAsia"/>
                <w:sz w:val="22"/>
                <w:szCs w:val="22"/>
                <w:lang w:eastAsia="zh-CN"/>
              </w:rPr>
              <w:t>商</w:t>
            </w:r>
            <w:r w:rsidRPr="001D606E">
              <w:rPr>
                <w:rFonts w:asciiTheme="minorHAnsi" w:hAnsiTheme="minorHAnsi" w:cstheme="minorHAnsi" w:hint="eastAsia"/>
                <w:sz w:val="22"/>
                <w:szCs w:val="22"/>
                <w:lang w:eastAsia="zh-CN"/>
              </w:rPr>
              <w:t>采取的行动。</w:t>
            </w:r>
          </w:p>
        </w:tc>
        <w:tc>
          <w:tcPr>
            <w:tcW w:w="2973" w:type="dxa"/>
            <w:tcBorders>
              <w:top w:val="single" w:sz="8" w:space="0" w:color="auto"/>
              <w:left w:val="single" w:sz="8" w:space="0" w:color="auto"/>
              <w:bottom w:val="single" w:sz="8" w:space="0" w:color="000000"/>
              <w:right w:val="single" w:sz="8" w:space="0" w:color="000000"/>
            </w:tcBorders>
            <w:tcMar>
              <w:top w:w="56" w:type="dxa"/>
              <w:left w:w="56" w:type="dxa"/>
              <w:bottom w:w="56" w:type="dxa"/>
              <w:right w:w="56" w:type="dxa"/>
            </w:tcMar>
          </w:tcPr>
          <w:p w14:paraId="3A2F26B5" w14:textId="77777777" w:rsidR="00786486" w:rsidRPr="00786486" w:rsidRDefault="00786486" w:rsidP="00786486">
            <w:pPr>
              <w:keepNext/>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zh-CN"/>
              </w:rPr>
            </w:pPr>
          </w:p>
        </w:tc>
      </w:tr>
      <w:tr w:rsidR="00786486" w:rsidRPr="00786486" w14:paraId="0BA898B9" w14:textId="77777777" w:rsidTr="006D18AB">
        <w:trPr>
          <w:trHeight w:val="567"/>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10373"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zh-CN"/>
              </w:rPr>
            </w:pP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E4AE4" w14:textId="5A5F9A40" w:rsidR="00786486" w:rsidRPr="001D606E" w:rsidRDefault="00A97A42"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b/>
                <w:bCs/>
                <w:sz w:val="22"/>
                <w:szCs w:val="22"/>
                <w:highlight w:val="yellow"/>
                <w:lang w:eastAsia="en-GB"/>
              </w:rPr>
            </w:pPr>
            <w:bookmarkStart w:id="4" w:name="_Toc353533934"/>
            <w:r w:rsidRPr="001D606E">
              <w:rPr>
                <w:rFonts w:asciiTheme="minorHAnsi" w:hAnsiTheme="minorHAnsi" w:cstheme="minorHAnsi"/>
                <w:b/>
                <w:bCs/>
                <w:sz w:val="22"/>
                <w:szCs w:val="22"/>
                <w:lang w:eastAsia="zh-CN"/>
              </w:rPr>
              <w:t>资料的转发</w:t>
            </w:r>
            <w:bookmarkEnd w:id="4"/>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E5BC6E7" w14:textId="621F9FFE" w:rsidR="00786486" w:rsidRPr="001D606E" w:rsidRDefault="0028615C"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b/>
                <w:sz w:val="22"/>
                <w:szCs w:val="22"/>
                <w:highlight w:val="yellow"/>
                <w:lang w:eastAsia="en-GB"/>
              </w:rPr>
            </w:pPr>
            <w:r w:rsidRPr="001D606E">
              <w:rPr>
                <w:rFonts w:hint="eastAsia"/>
                <w:b/>
                <w:bCs/>
                <w:sz w:val="22"/>
                <w:szCs w:val="22"/>
                <w:lang w:eastAsia="zh-CN"/>
              </w:rPr>
              <w:t>第</w:t>
            </w:r>
            <w:r w:rsidRPr="001D606E">
              <w:rPr>
                <w:rFonts w:asciiTheme="minorHAnsi" w:hAnsiTheme="minorHAnsi" w:cstheme="minorHAnsi" w:hint="eastAsia"/>
                <w:b/>
                <w:bCs/>
                <w:sz w:val="22"/>
                <w:szCs w:val="22"/>
                <w:lang w:eastAsia="zh-CN"/>
              </w:rPr>
              <w:t>8</w:t>
            </w:r>
            <w:r w:rsidRPr="001D606E">
              <w:rPr>
                <w:rFonts w:hint="eastAsia"/>
                <w:b/>
                <w:bCs/>
                <w:sz w:val="22"/>
                <w:szCs w:val="22"/>
                <w:lang w:eastAsia="zh-CN"/>
              </w:rPr>
              <w:t>条：</w:t>
            </w:r>
            <w:r w:rsidRPr="001D606E">
              <w:rPr>
                <w:rFonts w:asciiTheme="minorHAnsi" w:hAnsiTheme="minorHAnsi" w:cstheme="minorHAnsi"/>
                <w:b/>
                <w:bCs/>
                <w:sz w:val="22"/>
                <w:szCs w:val="22"/>
                <w:lang w:eastAsia="zh-CN"/>
              </w:rPr>
              <w:t>资料的转发</w:t>
            </w:r>
          </w:p>
        </w:tc>
        <w:tc>
          <w:tcPr>
            <w:tcW w:w="2973" w:type="dxa"/>
            <w:tcBorders>
              <w:top w:val="single" w:sz="8" w:space="0" w:color="000000"/>
              <w:left w:val="single" w:sz="8" w:space="0" w:color="000000"/>
              <w:bottom w:val="single" w:sz="8" w:space="0" w:color="auto"/>
              <w:right w:val="single" w:sz="8" w:space="0" w:color="000000"/>
            </w:tcBorders>
            <w:tcMar>
              <w:top w:w="56" w:type="dxa"/>
              <w:left w:w="56" w:type="dxa"/>
              <w:bottom w:w="56" w:type="dxa"/>
              <w:right w:w="56" w:type="dxa"/>
            </w:tcMar>
          </w:tcPr>
          <w:p w14:paraId="71EA36A0"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lang w:eastAsia="en-GB"/>
              </w:rPr>
            </w:pPr>
          </w:p>
        </w:tc>
        <w:tc>
          <w:tcPr>
            <w:tcW w:w="2973" w:type="dxa"/>
            <w:tcBorders>
              <w:top w:val="single" w:sz="8" w:space="0" w:color="000000"/>
              <w:left w:val="single" w:sz="8" w:space="0" w:color="000000"/>
              <w:bottom w:val="single" w:sz="8" w:space="0" w:color="auto"/>
              <w:right w:val="single" w:sz="8" w:space="0" w:color="000000"/>
            </w:tcBorders>
            <w:tcMar>
              <w:top w:w="56" w:type="dxa"/>
              <w:left w:w="56" w:type="dxa"/>
              <w:bottom w:w="56" w:type="dxa"/>
              <w:right w:w="56" w:type="dxa"/>
            </w:tcMar>
          </w:tcPr>
          <w:p w14:paraId="413E867F"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lang w:eastAsia="en-GB"/>
              </w:rPr>
            </w:pPr>
          </w:p>
        </w:tc>
        <w:tc>
          <w:tcPr>
            <w:tcW w:w="2973" w:type="dxa"/>
            <w:tcBorders>
              <w:top w:val="nil"/>
              <w:left w:val="single" w:sz="8" w:space="0" w:color="000000"/>
              <w:bottom w:val="single" w:sz="8" w:space="0" w:color="auto"/>
              <w:right w:val="single" w:sz="8" w:space="0" w:color="000000"/>
            </w:tcBorders>
            <w:tcMar>
              <w:top w:w="56" w:type="dxa"/>
              <w:left w:w="56" w:type="dxa"/>
              <w:bottom w:w="56" w:type="dxa"/>
              <w:right w:w="56" w:type="dxa"/>
            </w:tcMar>
          </w:tcPr>
          <w:p w14:paraId="16BA7F0B"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en-GB"/>
              </w:rPr>
            </w:pPr>
          </w:p>
        </w:tc>
      </w:tr>
      <w:tr w:rsidR="00786486" w:rsidRPr="00786486" w14:paraId="4B4F0115" w14:textId="77777777" w:rsidTr="006D18AB">
        <w:trPr>
          <w:trHeight w:val="13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7AEDF"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en-GB"/>
              </w:rPr>
            </w:pPr>
            <w:r w:rsidRPr="001D606E">
              <w:rPr>
                <w:rFonts w:asciiTheme="minorHAnsi" w:eastAsia="Arial" w:hAnsiTheme="minorHAnsi" w:cstheme="minorHAnsi"/>
                <w:sz w:val="22"/>
                <w:szCs w:val="22"/>
                <w:lang w:eastAsia="en-GB"/>
              </w:rPr>
              <w:t>10.1</w:t>
            </w: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C8DA9" w14:textId="42F6F535" w:rsidR="00786486" w:rsidRPr="001D606E" w:rsidRDefault="00A97A42"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秘书长须使用最适宜和</w:t>
            </w:r>
            <w:proofErr w:type="gramStart"/>
            <w:r w:rsidRPr="001D606E">
              <w:rPr>
                <w:rFonts w:asciiTheme="minorHAnsi" w:hAnsiTheme="minorHAnsi" w:cstheme="minorHAnsi"/>
                <w:sz w:val="22"/>
                <w:szCs w:val="22"/>
                <w:lang w:eastAsia="zh-CN"/>
              </w:rPr>
              <w:t>最</w:t>
            </w:r>
            <w:proofErr w:type="gramEnd"/>
            <w:r w:rsidRPr="001D606E">
              <w:rPr>
                <w:rFonts w:asciiTheme="minorHAnsi" w:hAnsiTheme="minorHAnsi" w:cstheme="minorHAnsi"/>
                <w:sz w:val="22"/>
                <w:szCs w:val="22"/>
                <w:lang w:eastAsia="zh-CN"/>
              </w:rPr>
              <w:t>经济的手段，转发国际电信业务管理、操作或统计方面的资料。此类资料的分发须根据《组织法》、《公约》及本条款的相关</w:t>
            </w:r>
            <w:r w:rsidRPr="001D606E">
              <w:rPr>
                <w:rFonts w:asciiTheme="minorHAnsi" w:hAnsiTheme="minorHAnsi" w:cstheme="minorHAnsi"/>
                <w:sz w:val="22"/>
                <w:szCs w:val="22"/>
                <w:lang w:eastAsia="zh-CN"/>
              </w:rPr>
              <w:lastRenderedPageBreak/>
              <w:t>规定，基于国际电联理事会或有权能的大会做出的决定，并考虑国际电</w:t>
            </w:r>
            <w:proofErr w:type="gramStart"/>
            <w:r w:rsidRPr="001D606E">
              <w:rPr>
                <w:rFonts w:asciiTheme="minorHAnsi" w:hAnsiTheme="minorHAnsi" w:cstheme="minorHAnsi"/>
                <w:sz w:val="22"/>
                <w:szCs w:val="22"/>
                <w:lang w:eastAsia="zh-CN"/>
              </w:rPr>
              <w:t>联全会</w:t>
            </w:r>
            <w:proofErr w:type="gramEnd"/>
            <w:r w:rsidRPr="001D606E">
              <w:rPr>
                <w:rFonts w:asciiTheme="minorHAnsi" w:hAnsiTheme="minorHAnsi" w:cstheme="minorHAnsi"/>
                <w:sz w:val="22"/>
                <w:szCs w:val="22"/>
                <w:lang w:eastAsia="zh-CN"/>
              </w:rPr>
              <w:t>的结论或决定。如经成员国授权，资料可由经授权的运营机构直接转呈秘书长，然后须由秘书长予以转发。成员国应根据相关</w:t>
            </w:r>
            <w:r w:rsidRPr="001D606E">
              <w:rPr>
                <w:rFonts w:asciiTheme="minorHAnsi" w:hAnsiTheme="minorHAnsi" w:cstheme="minorHAnsi"/>
                <w:sz w:val="22"/>
                <w:szCs w:val="22"/>
                <w:lang w:eastAsia="zh-CN"/>
              </w:rPr>
              <w:t>ITU-T</w:t>
            </w:r>
            <w:r w:rsidRPr="001D606E">
              <w:rPr>
                <w:rFonts w:asciiTheme="minorHAnsi" w:hAnsiTheme="minorHAnsi" w:cstheme="minorHAnsi"/>
                <w:sz w:val="22"/>
                <w:szCs w:val="22"/>
                <w:lang w:eastAsia="zh-CN"/>
              </w:rPr>
              <w:t>建议书，及时向秘书长转呈此类资料。</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FD05945" w14:textId="48D99BD0"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eastAsia="Arial" w:hAnsiTheme="minorHAnsi" w:cstheme="minorHAnsi"/>
                <w:sz w:val="22"/>
                <w:szCs w:val="22"/>
                <w:lang w:eastAsia="zh-CN"/>
              </w:rPr>
              <w:lastRenderedPageBreak/>
              <w:t>8.1</w:t>
            </w:r>
            <w:r w:rsidR="00D43116" w:rsidRPr="001D606E">
              <w:rPr>
                <w:rFonts w:asciiTheme="minorHAnsi" w:eastAsia="Arial" w:hAnsiTheme="minorHAnsi" w:cstheme="minorHAnsi"/>
                <w:sz w:val="22"/>
                <w:szCs w:val="22"/>
                <w:lang w:eastAsia="zh-CN"/>
              </w:rPr>
              <w:tab/>
            </w:r>
            <w:r w:rsidR="0028615C" w:rsidRPr="001D606E">
              <w:rPr>
                <w:rFonts w:asciiTheme="minorHAnsi" w:eastAsia="SimSun" w:hAnsiTheme="minorHAnsi" w:cstheme="minorHAnsi"/>
                <w:sz w:val="22"/>
                <w:szCs w:val="22"/>
                <w:lang w:eastAsia="zh-CN"/>
              </w:rPr>
              <w:t>秘书长应使用最适宜和经济的手段，转发各主管部门</w:t>
            </w:r>
            <w:r w:rsidR="0028615C" w:rsidRPr="001D606E">
              <w:rPr>
                <w:rFonts w:asciiTheme="minorHAnsi" w:eastAsia="SimSun" w:hAnsiTheme="minorHAnsi" w:cstheme="minorHAnsi"/>
                <w:position w:val="6"/>
                <w:sz w:val="22"/>
                <w:szCs w:val="22"/>
              </w:rPr>
              <w:fldChar w:fldCharType="begin"/>
            </w:r>
            <w:r w:rsidR="0028615C" w:rsidRPr="001D606E">
              <w:rPr>
                <w:rFonts w:asciiTheme="minorHAnsi" w:eastAsia="SimSun" w:hAnsiTheme="minorHAnsi" w:cstheme="minorHAnsi"/>
                <w:position w:val="6"/>
                <w:sz w:val="22"/>
                <w:szCs w:val="22"/>
                <w:lang w:eastAsia="zh-CN"/>
              </w:rPr>
              <w:instrText xml:space="preserve"> NOTEREF _Ref319483268 \h  \* MERGEFORMAT </w:instrText>
            </w:r>
            <w:r w:rsidR="0028615C" w:rsidRPr="001D606E">
              <w:rPr>
                <w:rFonts w:asciiTheme="minorHAnsi" w:eastAsia="SimSun" w:hAnsiTheme="minorHAnsi" w:cstheme="minorHAnsi"/>
                <w:position w:val="6"/>
                <w:sz w:val="22"/>
                <w:szCs w:val="22"/>
              </w:rPr>
            </w:r>
            <w:r w:rsidR="0028615C" w:rsidRPr="001D606E">
              <w:rPr>
                <w:rFonts w:asciiTheme="minorHAnsi" w:eastAsia="SimSun" w:hAnsiTheme="minorHAnsi" w:cstheme="minorHAnsi"/>
                <w:position w:val="6"/>
                <w:sz w:val="22"/>
                <w:szCs w:val="22"/>
              </w:rPr>
              <w:fldChar w:fldCharType="separate"/>
            </w:r>
            <w:r w:rsidR="0028615C" w:rsidRPr="001D606E">
              <w:rPr>
                <w:rFonts w:asciiTheme="minorHAnsi" w:eastAsia="SimSun" w:hAnsiTheme="minorHAnsi" w:cstheme="minorHAnsi"/>
                <w:position w:val="6"/>
                <w:sz w:val="22"/>
                <w:szCs w:val="22"/>
                <w:lang w:eastAsia="zh-CN"/>
              </w:rPr>
              <w:t>*</w:t>
            </w:r>
            <w:r w:rsidR="0028615C" w:rsidRPr="001D606E">
              <w:rPr>
                <w:rFonts w:asciiTheme="minorHAnsi" w:eastAsia="SimSun" w:hAnsiTheme="minorHAnsi" w:cstheme="minorHAnsi"/>
                <w:position w:val="6"/>
                <w:sz w:val="22"/>
                <w:szCs w:val="22"/>
              </w:rPr>
              <w:fldChar w:fldCharType="end"/>
            </w:r>
            <w:r w:rsidR="0028615C" w:rsidRPr="001D606E">
              <w:rPr>
                <w:rFonts w:asciiTheme="minorHAnsi" w:eastAsia="SimSun" w:hAnsiTheme="minorHAnsi" w:cstheme="minorHAnsi"/>
                <w:sz w:val="22"/>
                <w:szCs w:val="22"/>
                <w:lang w:eastAsia="zh-CN"/>
              </w:rPr>
              <w:t>提供的有关国际电信路由和业务方面的管理、操作、资费或统计性质的资料。这类资料应根据公约和</w:t>
            </w:r>
            <w:r w:rsidR="0028615C" w:rsidRPr="001D606E">
              <w:rPr>
                <w:rFonts w:asciiTheme="minorHAnsi" w:eastAsia="SimSun" w:hAnsiTheme="minorHAnsi" w:cstheme="minorHAnsi"/>
                <w:sz w:val="22"/>
                <w:szCs w:val="22"/>
                <w:lang w:eastAsia="zh-CN"/>
              </w:rPr>
              <w:lastRenderedPageBreak/>
              <w:t>本条的有关规定和行政理事会或相关的行政大会所作的决定并考虑国际咨询委员会全体会议的结论或决定予以转发。</w:t>
            </w:r>
          </w:p>
        </w:tc>
        <w:tc>
          <w:tcPr>
            <w:tcW w:w="2973" w:type="dxa"/>
            <w:tcBorders>
              <w:top w:val="single" w:sz="8" w:space="0" w:color="auto"/>
              <w:left w:val="nil"/>
              <w:bottom w:val="single" w:sz="8" w:space="0" w:color="000000"/>
              <w:right w:val="single" w:sz="8" w:space="0" w:color="000000"/>
            </w:tcBorders>
            <w:tcMar>
              <w:top w:w="56" w:type="dxa"/>
              <w:left w:w="56" w:type="dxa"/>
              <w:bottom w:w="56" w:type="dxa"/>
              <w:right w:w="56" w:type="dxa"/>
            </w:tcMar>
          </w:tcPr>
          <w:p w14:paraId="06FD8310" w14:textId="4CDC7F57"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lastRenderedPageBreak/>
              <w:t>这一规定无助于促进</w:t>
            </w:r>
            <w:r w:rsidR="00043BD1" w:rsidRPr="001D606E">
              <w:rPr>
                <w:rFonts w:asciiTheme="minorHAnsi" w:hAnsiTheme="minorHAnsi" w:cstheme="minorHAnsi" w:hint="eastAsia"/>
                <w:sz w:val="22"/>
                <w:szCs w:val="22"/>
                <w:lang w:eastAsia="zh-CN"/>
              </w:rPr>
              <w:t>网络和业务的提供与发展</w:t>
            </w:r>
            <w:r w:rsidRPr="001D606E">
              <w:rPr>
                <w:rFonts w:asciiTheme="minorHAnsi" w:hAnsiTheme="minorHAnsi" w:cstheme="minorHAnsi" w:hint="eastAsia"/>
                <w:sz w:val="22"/>
                <w:szCs w:val="22"/>
                <w:lang w:eastAsia="zh-CN"/>
              </w:rPr>
              <w:t>；它也不应</w:t>
            </w:r>
            <w:r w:rsidR="000D7C82" w:rsidRPr="001D606E">
              <w:rPr>
                <w:rFonts w:asciiTheme="minorHAnsi" w:hAnsiTheme="minorHAnsi" w:cstheme="minorHAnsi" w:hint="eastAsia"/>
                <w:sz w:val="22"/>
                <w:szCs w:val="22"/>
                <w:lang w:eastAsia="zh-CN"/>
              </w:rPr>
              <w:t>在</w:t>
            </w:r>
            <w:r w:rsidRPr="001D606E">
              <w:rPr>
                <w:rFonts w:asciiTheme="minorHAnsi" w:hAnsiTheme="minorHAnsi" w:cstheme="minorHAnsi" w:hint="eastAsia"/>
                <w:sz w:val="22"/>
                <w:szCs w:val="22"/>
                <w:lang w:eastAsia="zh-CN"/>
              </w:rPr>
              <w:t>条约</w:t>
            </w:r>
            <w:r w:rsidR="000D7C82" w:rsidRPr="001D606E">
              <w:rPr>
                <w:rFonts w:asciiTheme="minorHAnsi" w:hAnsiTheme="minorHAnsi" w:cstheme="minorHAnsi" w:hint="eastAsia"/>
                <w:sz w:val="22"/>
                <w:szCs w:val="22"/>
                <w:lang w:eastAsia="zh-CN"/>
              </w:rPr>
              <w:t>层级给予规定</w:t>
            </w:r>
            <w:r w:rsidRPr="001D606E">
              <w:rPr>
                <w:rFonts w:asciiTheme="minorHAnsi" w:hAnsiTheme="minorHAnsi" w:cstheme="minorHAnsi" w:hint="eastAsia"/>
                <w:sz w:val="22"/>
                <w:szCs w:val="22"/>
                <w:lang w:eastAsia="zh-CN"/>
              </w:rPr>
              <w:t>，因为它是国际电联在所有成员之间分享和传播信息</w:t>
            </w:r>
            <w:r w:rsidR="000D7C82" w:rsidRPr="001D606E">
              <w:rPr>
                <w:rFonts w:asciiTheme="minorHAnsi" w:hAnsiTheme="minorHAnsi" w:cstheme="minorHAnsi" w:hint="eastAsia"/>
                <w:sz w:val="22"/>
                <w:szCs w:val="22"/>
                <w:lang w:eastAsia="zh-CN"/>
              </w:rPr>
              <w:t>这一职能</w:t>
            </w:r>
            <w:r w:rsidRPr="001D606E">
              <w:rPr>
                <w:rFonts w:asciiTheme="minorHAnsi" w:hAnsiTheme="minorHAnsi" w:cstheme="minorHAnsi" w:hint="eastAsia"/>
                <w:sz w:val="22"/>
                <w:szCs w:val="22"/>
                <w:lang w:eastAsia="zh-CN"/>
              </w:rPr>
              <w:t>的一</w:t>
            </w:r>
            <w:r w:rsidR="000D7C82" w:rsidRPr="001D606E">
              <w:rPr>
                <w:rFonts w:asciiTheme="minorHAnsi" w:hAnsiTheme="minorHAnsi" w:cstheme="minorHAnsi" w:hint="eastAsia"/>
                <w:sz w:val="22"/>
                <w:szCs w:val="22"/>
                <w:lang w:eastAsia="zh-CN"/>
              </w:rPr>
              <w:t>项内容</w:t>
            </w:r>
            <w:r w:rsidRPr="001D606E">
              <w:rPr>
                <w:rFonts w:asciiTheme="minorHAnsi" w:hAnsiTheme="minorHAnsi" w:cstheme="minorHAnsi" w:hint="eastAsia"/>
                <w:sz w:val="22"/>
                <w:szCs w:val="22"/>
                <w:lang w:eastAsia="zh-CN"/>
              </w:rPr>
              <w:t>。</w:t>
            </w:r>
          </w:p>
        </w:tc>
        <w:tc>
          <w:tcPr>
            <w:tcW w:w="2973" w:type="dxa"/>
            <w:tcBorders>
              <w:top w:val="single" w:sz="8" w:space="0" w:color="auto"/>
              <w:left w:val="nil"/>
              <w:bottom w:val="single" w:sz="8" w:space="0" w:color="000000"/>
              <w:right w:val="single" w:sz="8" w:space="0" w:color="000000"/>
            </w:tcBorders>
            <w:tcMar>
              <w:top w:w="56" w:type="dxa"/>
              <w:left w:w="56" w:type="dxa"/>
              <w:bottom w:w="56" w:type="dxa"/>
              <w:right w:w="56" w:type="dxa"/>
            </w:tcMar>
          </w:tcPr>
          <w:p w14:paraId="10634030" w14:textId="68D81CA9"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这一规定无助于在适应新趋势和</w:t>
            </w:r>
            <w:r w:rsidR="006B7942" w:rsidRPr="001D606E">
              <w:rPr>
                <w:rFonts w:asciiTheme="minorHAnsi" w:hAnsiTheme="minorHAnsi" w:cstheme="minorHAnsi" w:hint="eastAsia"/>
                <w:sz w:val="22"/>
                <w:szCs w:val="22"/>
                <w:lang w:eastAsia="zh-CN"/>
              </w:rPr>
              <w:t>正在</w:t>
            </w:r>
            <w:r w:rsidRPr="001D606E">
              <w:rPr>
                <w:rFonts w:asciiTheme="minorHAnsi" w:hAnsiTheme="minorHAnsi" w:cstheme="minorHAnsi" w:hint="eastAsia"/>
                <w:sz w:val="22"/>
                <w:szCs w:val="22"/>
                <w:lang w:eastAsia="zh-CN"/>
              </w:rPr>
              <w:t>出现问题方面提供灵活性</w:t>
            </w:r>
            <w:r w:rsidR="006B7942" w:rsidRPr="001D606E">
              <w:rPr>
                <w:rFonts w:asciiTheme="minorHAnsi" w:hAnsiTheme="minorHAnsi" w:cstheme="minorHAnsi" w:hint="eastAsia"/>
                <w:sz w:val="22"/>
                <w:szCs w:val="22"/>
                <w:lang w:eastAsia="zh-CN"/>
              </w:rPr>
              <w:t>；它也不应在条约层级给予规定，因为它是国际电联在所有成员之间分享和传播信息这一职能的一项内容</w:t>
            </w:r>
            <w:r w:rsidRPr="001D606E">
              <w:rPr>
                <w:rFonts w:asciiTheme="minorHAnsi" w:hAnsiTheme="minorHAnsi" w:cstheme="minorHAnsi" w:hint="eastAsia"/>
                <w:sz w:val="22"/>
                <w:szCs w:val="22"/>
                <w:lang w:eastAsia="zh-CN"/>
              </w:rPr>
              <w:t>。</w:t>
            </w:r>
          </w:p>
        </w:tc>
        <w:tc>
          <w:tcPr>
            <w:tcW w:w="2973" w:type="dxa"/>
            <w:tcBorders>
              <w:top w:val="single" w:sz="8" w:space="0" w:color="auto"/>
              <w:left w:val="single" w:sz="8" w:space="0" w:color="000000"/>
              <w:bottom w:val="single" w:sz="8" w:space="0" w:color="000000"/>
              <w:right w:val="single" w:sz="8" w:space="0" w:color="000000"/>
            </w:tcBorders>
            <w:tcMar>
              <w:top w:w="56" w:type="dxa"/>
              <w:left w:w="56" w:type="dxa"/>
              <w:bottom w:w="56" w:type="dxa"/>
              <w:right w:w="56" w:type="dxa"/>
            </w:tcMar>
          </w:tcPr>
          <w:p w14:paraId="4AA2316D"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zh-CN"/>
              </w:rPr>
            </w:pPr>
          </w:p>
        </w:tc>
      </w:tr>
      <w:tr w:rsidR="00786486" w:rsidRPr="00786486" w14:paraId="3D1D53D4" w14:textId="77777777" w:rsidTr="00786486">
        <w:trPr>
          <w:trHeight w:val="567"/>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95E58"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zh-CN"/>
              </w:rPr>
            </w:pP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51609" w14:textId="263154D5" w:rsidR="00786486" w:rsidRPr="001D606E" w:rsidRDefault="0028715B"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b/>
                <w:bCs/>
                <w:sz w:val="22"/>
                <w:szCs w:val="22"/>
                <w:highlight w:val="yellow"/>
                <w:lang w:eastAsia="en-GB"/>
              </w:rPr>
            </w:pPr>
            <w:bookmarkStart w:id="5" w:name="_Toc353533936"/>
            <w:r w:rsidRPr="001D606E">
              <w:rPr>
                <w:rFonts w:asciiTheme="minorHAnsi" w:hAnsiTheme="minorHAnsi" w:cstheme="minorHAnsi"/>
                <w:b/>
                <w:bCs/>
                <w:sz w:val="22"/>
                <w:szCs w:val="22"/>
                <w:lang w:eastAsia="zh-CN"/>
              </w:rPr>
              <w:t>节能</w:t>
            </w:r>
            <w:r w:rsidRPr="001D606E">
              <w:rPr>
                <w:rFonts w:asciiTheme="minorHAnsi" w:hAnsiTheme="minorHAnsi" w:cstheme="minorHAnsi"/>
                <w:b/>
                <w:bCs/>
                <w:sz w:val="22"/>
                <w:szCs w:val="22"/>
                <w:lang w:eastAsia="zh-CN"/>
              </w:rPr>
              <w:t>/</w:t>
            </w:r>
            <w:r w:rsidRPr="001D606E">
              <w:rPr>
                <w:rFonts w:asciiTheme="minorHAnsi" w:hAnsiTheme="minorHAnsi" w:cstheme="minorHAnsi"/>
                <w:b/>
                <w:bCs/>
                <w:sz w:val="22"/>
                <w:szCs w:val="22"/>
                <w:lang w:eastAsia="zh-CN"/>
              </w:rPr>
              <w:t>电子废弃物</w:t>
            </w:r>
            <w:bookmarkEnd w:id="5"/>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0BB165D"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highlight w:val="yellow"/>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4559F03"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3C21CE5"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lang w:eastAsia="en-GB"/>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8DB38C2"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en-GB"/>
              </w:rPr>
            </w:pPr>
          </w:p>
        </w:tc>
      </w:tr>
      <w:tr w:rsidR="00786486" w:rsidRPr="00786486" w14:paraId="5C509136" w14:textId="77777777" w:rsidTr="00786486">
        <w:trPr>
          <w:trHeight w:val="624"/>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5AE54"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en-GB"/>
              </w:rPr>
            </w:pPr>
            <w:r w:rsidRPr="001D606E">
              <w:rPr>
                <w:rFonts w:asciiTheme="minorHAnsi" w:eastAsia="Arial" w:hAnsiTheme="minorHAnsi" w:cstheme="minorHAnsi"/>
                <w:sz w:val="22"/>
                <w:szCs w:val="22"/>
                <w:lang w:eastAsia="en-GB"/>
              </w:rPr>
              <w:t>11.1</w:t>
            </w: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D9CD7" w14:textId="287F06C2" w:rsidR="00786486" w:rsidRPr="001D606E" w:rsidRDefault="0028715B"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鼓励成员国在考虑相关</w:t>
            </w:r>
            <w:r w:rsidRPr="001D606E">
              <w:rPr>
                <w:rFonts w:asciiTheme="minorHAnsi" w:hAnsiTheme="minorHAnsi" w:cstheme="minorHAnsi"/>
                <w:sz w:val="22"/>
                <w:szCs w:val="22"/>
                <w:lang w:eastAsia="zh-CN"/>
              </w:rPr>
              <w:t>ITU-T</w:t>
            </w:r>
            <w:r w:rsidRPr="001D606E">
              <w:rPr>
                <w:rFonts w:asciiTheme="minorHAnsi" w:hAnsiTheme="minorHAnsi" w:cstheme="minorHAnsi"/>
                <w:sz w:val="22"/>
                <w:szCs w:val="22"/>
                <w:lang w:eastAsia="zh-CN"/>
              </w:rPr>
              <w:t>建议书的基础上，采用节能和处理电子废弃物的最佳做法。</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A96B328"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highlight w:val="yellow"/>
                <w:lang w:eastAsia="zh-CN"/>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7B0CE433" w14:textId="755AC4A2"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这项规定没有必要，因为《巴塞尔公约》已涵盖了这一问题。</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0B83B89B" w14:textId="1666ED82" w:rsidR="00786486" w:rsidRPr="001D606E" w:rsidRDefault="00682B32"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这项规定没有必要，因为《巴塞尔公约》已涵盖了这一问题。</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74DBCCB"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zh-CN"/>
              </w:rPr>
            </w:pPr>
          </w:p>
        </w:tc>
      </w:tr>
      <w:tr w:rsidR="00786486" w:rsidRPr="00786486" w14:paraId="232B0819" w14:textId="77777777" w:rsidTr="006D18AB">
        <w:trPr>
          <w:trHeight w:val="567"/>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F99D0"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zh-CN"/>
              </w:rPr>
            </w:pP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C8832" w14:textId="3D526215" w:rsidR="00786486" w:rsidRPr="001D606E" w:rsidRDefault="0028715B"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b/>
                <w:bCs/>
                <w:sz w:val="22"/>
                <w:szCs w:val="22"/>
                <w:highlight w:val="yellow"/>
                <w:lang w:eastAsia="en-GB"/>
              </w:rPr>
            </w:pPr>
            <w:bookmarkStart w:id="6" w:name="_Toc353533938"/>
            <w:r w:rsidRPr="001D606E">
              <w:rPr>
                <w:rFonts w:asciiTheme="minorHAnsi" w:hAnsiTheme="minorHAnsi" w:cstheme="minorHAnsi"/>
                <w:b/>
                <w:bCs/>
                <w:sz w:val="22"/>
                <w:szCs w:val="22"/>
                <w:lang w:eastAsia="zh-CN"/>
              </w:rPr>
              <w:t>无障碍获取</w:t>
            </w:r>
            <w:bookmarkEnd w:id="6"/>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BA1B285"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highlight w:val="yellow"/>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54A4F50"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ED19658"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p>
        </w:tc>
        <w:tc>
          <w:tcPr>
            <w:tcW w:w="2973" w:type="dxa"/>
            <w:tcBorders>
              <w:top w:val="nil"/>
              <w:left w:val="single" w:sz="8" w:space="0" w:color="000000"/>
              <w:bottom w:val="single" w:sz="8" w:space="0" w:color="auto"/>
              <w:right w:val="single" w:sz="8" w:space="0" w:color="000000"/>
            </w:tcBorders>
            <w:tcMar>
              <w:top w:w="56" w:type="dxa"/>
              <w:left w:w="56" w:type="dxa"/>
              <w:bottom w:w="56" w:type="dxa"/>
              <w:right w:w="56" w:type="dxa"/>
            </w:tcMar>
          </w:tcPr>
          <w:p w14:paraId="69815F1F"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en-GB"/>
              </w:rPr>
            </w:pPr>
          </w:p>
        </w:tc>
      </w:tr>
      <w:tr w:rsidR="00786486" w:rsidRPr="00786486" w14:paraId="7DD65E4D" w14:textId="77777777" w:rsidTr="006D18AB">
        <w:trPr>
          <w:trHeight w:val="13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266C5"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en-GB"/>
              </w:rPr>
            </w:pPr>
            <w:r w:rsidRPr="001D606E">
              <w:rPr>
                <w:rFonts w:asciiTheme="minorHAnsi" w:eastAsia="Arial" w:hAnsiTheme="minorHAnsi" w:cstheme="minorHAnsi"/>
                <w:sz w:val="22"/>
                <w:szCs w:val="22"/>
                <w:lang w:eastAsia="en-GB"/>
              </w:rPr>
              <w:t>12.1</w:t>
            </w: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D7C8B" w14:textId="266A635C" w:rsidR="00786486" w:rsidRPr="001D606E" w:rsidRDefault="0028715B"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成员国应参照相关</w:t>
            </w:r>
            <w:r w:rsidRPr="001D606E">
              <w:rPr>
                <w:rFonts w:asciiTheme="minorHAnsi" w:hAnsiTheme="minorHAnsi" w:cstheme="minorHAnsi"/>
                <w:sz w:val="22"/>
                <w:szCs w:val="22"/>
                <w:lang w:eastAsia="zh-CN"/>
              </w:rPr>
              <w:t>ITU-T</w:t>
            </w:r>
            <w:r w:rsidRPr="001D606E">
              <w:rPr>
                <w:rFonts w:asciiTheme="minorHAnsi" w:hAnsiTheme="minorHAnsi" w:cstheme="minorHAnsi"/>
                <w:sz w:val="22"/>
                <w:szCs w:val="22"/>
                <w:lang w:eastAsia="zh-CN"/>
              </w:rPr>
              <w:t>建议书，促进</w:t>
            </w:r>
            <w:r w:rsidRPr="001D606E">
              <w:rPr>
                <w:rFonts w:asciiTheme="minorHAnsi" w:hAnsiTheme="minorHAnsi" w:cstheme="minorHAnsi"/>
                <w:color w:val="000000"/>
                <w:sz w:val="22"/>
                <w:szCs w:val="22"/>
                <w:lang w:eastAsia="zh-CN"/>
              </w:rPr>
              <w:t>残疾人获取国际电信服务。</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AEFA655"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highlight w:val="yellow"/>
                <w:lang w:eastAsia="zh-CN"/>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2B9694A" w14:textId="45D078B4"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残疾人无障碍</w:t>
            </w:r>
            <w:r w:rsidR="00481298" w:rsidRPr="001D606E">
              <w:rPr>
                <w:rFonts w:asciiTheme="minorHAnsi" w:hAnsiTheme="minorHAnsi" w:cstheme="minorHAnsi" w:hint="eastAsia"/>
                <w:sz w:val="22"/>
                <w:szCs w:val="22"/>
                <w:lang w:eastAsia="zh-CN"/>
              </w:rPr>
              <w:t>获取</w:t>
            </w:r>
            <w:r w:rsidRPr="001D606E">
              <w:rPr>
                <w:rFonts w:asciiTheme="minorHAnsi" w:hAnsiTheme="minorHAnsi" w:cstheme="minorHAnsi" w:hint="eastAsia"/>
                <w:sz w:val="22"/>
                <w:szCs w:val="22"/>
                <w:lang w:eastAsia="zh-CN"/>
              </w:rPr>
              <w:t>是一个重要问题，但仅仅促进无障碍</w:t>
            </w:r>
            <w:r w:rsidR="00481298" w:rsidRPr="001D606E">
              <w:rPr>
                <w:rFonts w:asciiTheme="minorHAnsi" w:hAnsiTheme="minorHAnsi" w:cstheme="minorHAnsi" w:hint="eastAsia"/>
                <w:sz w:val="22"/>
                <w:szCs w:val="22"/>
                <w:lang w:eastAsia="zh-CN"/>
              </w:rPr>
              <w:t>获取</w:t>
            </w:r>
            <w:r w:rsidRPr="001D606E">
              <w:rPr>
                <w:rFonts w:asciiTheme="minorHAnsi" w:hAnsiTheme="minorHAnsi" w:cstheme="minorHAnsi" w:hint="eastAsia"/>
                <w:sz w:val="22"/>
                <w:szCs w:val="22"/>
                <w:lang w:eastAsia="zh-CN"/>
              </w:rPr>
              <w:t>不应成为电信条约的一项</w:t>
            </w:r>
            <w:r w:rsidR="00481298" w:rsidRPr="001D606E">
              <w:rPr>
                <w:rFonts w:asciiTheme="minorHAnsi" w:hAnsiTheme="minorHAnsi" w:cstheme="minorHAnsi" w:hint="eastAsia"/>
                <w:sz w:val="22"/>
                <w:szCs w:val="22"/>
                <w:lang w:eastAsia="zh-CN"/>
              </w:rPr>
              <w:t>规定</w:t>
            </w:r>
            <w:r w:rsidRPr="001D606E">
              <w:rPr>
                <w:rFonts w:asciiTheme="minorHAnsi" w:hAnsiTheme="minorHAnsi" w:cstheme="minorHAnsi" w:hint="eastAsia"/>
                <w:sz w:val="22"/>
                <w:szCs w:val="22"/>
                <w:lang w:eastAsia="zh-CN"/>
              </w:rPr>
              <w:t>，因为这一问题是社会和文</w:t>
            </w:r>
            <w:r w:rsidRPr="001D606E">
              <w:rPr>
                <w:rFonts w:asciiTheme="minorHAnsi" w:hAnsiTheme="minorHAnsi" w:cstheme="minorHAnsi" w:hint="eastAsia"/>
                <w:sz w:val="22"/>
                <w:szCs w:val="22"/>
                <w:lang w:eastAsia="zh-CN"/>
              </w:rPr>
              <w:lastRenderedPageBreak/>
              <w:t>化环境和框架变化的一部分。这一问题应在更高的层面上加以解决，以便能够促进</w:t>
            </w:r>
            <w:r w:rsidR="00043BD1" w:rsidRPr="001D606E">
              <w:rPr>
                <w:rFonts w:asciiTheme="minorHAnsi" w:hAnsiTheme="minorHAnsi" w:cstheme="minorHAnsi" w:hint="eastAsia"/>
                <w:sz w:val="22"/>
                <w:szCs w:val="22"/>
                <w:lang w:eastAsia="zh-CN"/>
              </w:rPr>
              <w:t>网络和业务的提供与发展</w:t>
            </w:r>
            <w:r w:rsidRPr="001D606E">
              <w:rPr>
                <w:rFonts w:asciiTheme="minorHAnsi" w:hAnsiTheme="minorHAnsi" w:cstheme="minorHAnsi" w:hint="eastAsia"/>
                <w:sz w:val="22"/>
                <w:szCs w:val="22"/>
                <w:lang w:eastAsia="zh-CN"/>
              </w:rPr>
              <w:t>。</w:t>
            </w:r>
          </w:p>
        </w:tc>
        <w:tc>
          <w:tcPr>
            <w:tcW w:w="2973" w:type="dxa"/>
            <w:tcBorders>
              <w:top w:val="single" w:sz="8" w:space="0" w:color="000000"/>
              <w:left w:val="single" w:sz="8" w:space="0" w:color="000000"/>
              <w:bottom w:val="single" w:sz="8" w:space="0" w:color="000000"/>
              <w:right w:val="single" w:sz="8" w:space="0" w:color="auto"/>
            </w:tcBorders>
            <w:tcMar>
              <w:top w:w="56" w:type="dxa"/>
              <w:left w:w="56" w:type="dxa"/>
              <w:bottom w:w="56" w:type="dxa"/>
              <w:right w:w="56" w:type="dxa"/>
            </w:tcMar>
          </w:tcPr>
          <w:p w14:paraId="134451D0" w14:textId="3946C350"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lastRenderedPageBreak/>
              <w:t>残疾人无障碍</w:t>
            </w:r>
            <w:r w:rsidR="00481298" w:rsidRPr="001D606E">
              <w:rPr>
                <w:rFonts w:asciiTheme="minorHAnsi" w:hAnsiTheme="minorHAnsi" w:cstheme="minorHAnsi" w:hint="eastAsia"/>
                <w:sz w:val="22"/>
                <w:szCs w:val="22"/>
                <w:lang w:eastAsia="zh-CN"/>
              </w:rPr>
              <w:t>获取</w:t>
            </w:r>
            <w:r w:rsidRPr="001D606E">
              <w:rPr>
                <w:rFonts w:asciiTheme="minorHAnsi" w:hAnsiTheme="minorHAnsi" w:cstheme="minorHAnsi" w:hint="eastAsia"/>
                <w:sz w:val="22"/>
                <w:szCs w:val="22"/>
                <w:lang w:eastAsia="zh-CN"/>
              </w:rPr>
              <w:t>是一个重要问题，但仅仅促进无障碍</w:t>
            </w:r>
            <w:r w:rsidR="00481298" w:rsidRPr="001D606E">
              <w:rPr>
                <w:rFonts w:asciiTheme="minorHAnsi" w:hAnsiTheme="minorHAnsi" w:cstheme="minorHAnsi" w:hint="eastAsia"/>
                <w:sz w:val="22"/>
                <w:szCs w:val="22"/>
                <w:lang w:eastAsia="zh-CN"/>
              </w:rPr>
              <w:t>获取</w:t>
            </w:r>
            <w:r w:rsidRPr="001D606E">
              <w:rPr>
                <w:rFonts w:asciiTheme="minorHAnsi" w:hAnsiTheme="minorHAnsi" w:cstheme="minorHAnsi" w:hint="eastAsia"/>
                <w:sz w:val="22"/>
                <w:szCs w:val="22"/>
                <w:lang w:eastAsia="zh-CN"/>
              </w:rPr>
              <w:t>不应成为电信条约的一项规定，而应在更高的层面上，以</w:t>
            </w:r>
            <w:r w:rsidRPr="001D606E">
              <w:rPr>
                <w:rFonts w:asciiTheme="minorHAnsi" w:hAnsiTheme="minorHAnsi" w:cstheme="minorHAnsi" w:hint="eastAsia"/>
                <w:sz w:val="22"/>
                <w:szCs w:val="22"/>
                <w:lang w:eastAsia="zh-CN"/>
              </w:rPr>
              <w:lastRenderedPageBreak/>
              <w:t>便能够适应新</w:t>
            </w:r>
            <w:r w:rsidR="00481298" w:rsidRPr="001D606E">
              <w:rPr>
                <w:rFonts w:asciiTheme="minorHAnsi" w:hAnsiTheme="minorHAnsi" w:cstheme="minorHAnsi" w:hint="eastAsia"/>
                <w:sz w:val="22"/>
                <w:szCs w:val="22"/>
                <w:lang w:eastAsia="zh-CN"/>
              </w:rPr>
              <w:t>的</w:t>
            </w:r>
            <w:r w:rsidRPr="001D606E">
              <w:rPr>
                <w:rFonts w:asciiTheme="minorHAnsi" w:hAnsiTheme="minorHAnsi" w:cstheme="minorHAnsi" w:hint="eastAsia"/>
                <w:sz w:val="22"/>
                <w:szCs w:val="22"/>
                <w:lang w:eastAsia="zh-CN"/>
              </w:rPr>
              <w:t>趋势和</w:t>
            </w:r>
            <w:r w:rsidR="00481298" w:rsidRPr="001D606E">
              <w:rPr>
                <w:rFonts w:asciiTheme="minorHAnsi" w:hAnsiTheme="minorHAnsi" w:cstheme="minorHAnsi" w:hint="eastAsia"/>
                <w:sz w:val="22"/>
                <w:szCs w:val="22"/>
                <w:lang w:eastAsia="zh-CN"/>
              </w:rPr>
              <w:t>正在</w:t>
            </w:r>
            <w:r w:rsidRPr="001D606E">
              <w:rPr>
                <w:rFonts w:asciiTheme="minorHAnsi" w:hAnsiTheme="minorHAnsi" w:cstheme="minorHAnsi" w:hint="eastAsia"/>
                <w:sz w:val="22"/>
                <w:szCs w:val="22"/>
                <w:lang w:eastAsia="zh-CN"/>
              </w:rPr>
              <w:t>出现的问题。这项规定没有提供必要的灵活性。</w:t>
            </w:r>
          </w:p>
        </w:tc>
        <w:tc>
          <w:tcPr>
            <w:tcW w:w="2973" w:type="dxa"/>
            <w:tcBorders>
              <w:top w:val="single" w:sz="8" w:space="0" w:color="auto"/>
              <w:left w:val="single" w:sz="8" w:space="0" w:color="auto"/>
              <w:bottom w:val="single" w:sz="8" w:space="0" w:color="auto"/>
              <w:right w:val="single" w:sz="8" w:space="0" w:color="auto"/>
            </w:tcBorders>
            <w:tcMar>
              <w:top w:w="56" w:type="dxa"/>
              <w:left w:w="56" w:type="dxa"/>
              <w:bottom w:w="56" w:type="dxa"/>
              <w:right w:w="56" w:type="dxa"/>
            </w:tcMar>
          </w:tcPr>
          <w:p w14:paraId="3F0354BB"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zh-CN"/>
              </w:rPr>
            </w:pPr>
          </w:p>
        </w:tc>
      </w:tr>
      <w:tr w:rsidR="00786486" w:rsidRPr="00786486" w14:paraId="4F3E6A2B" w14:textId="77777777" w:rsidTr="006D18AB">
        <w:trPr>
          <w:trHeight w:val="567"/>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C9E0B"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zh-CN"/>
              </w:rPr>
            </w:pP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7DF64" w14:textId="16EA7D8A" w:rsidR="00786486" w:rsidRPr="001D606E" w:rsidRDefault="0028715B"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b/>
                <w:bCs/>
                <w:sz w:val="22"/>
                <w:szCs w:val="22"/>
                <w:highlight w:val="yellow"/>
                <w:lang w:eastAsia="en-GB"/>
              </w:rPr>
            </w:pPr>
            <w:bookmarkStart w:id="7" w:name="_Toc353533940"/>
            <w:r w:rsidRPr="001D606E">
              <w:rPr>
                <w:rFonts w:asciiTheme="minorHAnsi" w:hAnsiTheme="minorHAnsi" w:cstheme="minorHAnsi"/>
                <w:b/>
                <w:bCs/>
                <w:sz w:val="22"/>
                <w:szCs w:val="22"/>
                <w:lang w:val="en-US" w:eastAsia="zh-CN"/>
              </w:rPr>
              <w:t>特别安排</w:t>
            </w:r>
            <w:bookmarkEnd w:id="7"/>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CC1DF89" w14:textId="4AB1BE2C" w:rsidR="00786486" w:rsidRPr="001D606E" w:rsidRDefault="0028615C"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b/>
                <w:sz w:val="22"/>
                <w:szCs w:val="22"/>
                <w:highlight w:val="yellow"/>
                <w:lang w:eastAsia="en-GB"/>
              </w:rPr>
            </w:pPr>
            <w:r w:rsidRPr="001D606E">
              <w:rPr>
                <w:rFonts w:hint="eastAsia"/>
                <w:b/>
                <w:bCs/>
                <w:sz w:val="22"/>
                <w:szCs w:val="22"/>
                <w:lang w:eastAsia="zh-CN"/>
              </w:rPr>
              <w:t>第</w:t>
            </w:r>
            <w:r w:rsidRPr="001D606E">
              <w:rPr>
                <w:rFonts w:asciiTheme="minorHAnsi" w:hAnsiTheme="minorHAnsi" w:cstheme="minorHAnsi" w:hint="eastAsia"/>
                <w:b/>
                <w:bCs/>
                <w:sz w:val="22"/>
                <w:szCs w:val="22"/>
                <w:lang w:eastAsia="zh-CN"/>
              </w:rPr>
              <w:t>9</w:t>
            </w:r>
            <w:r w:rsidRPr="001D606E">
              <w:rPr>
                <w:rFonts w:hint="eastAsia"/>
                <w:b/>
                <w:bCs/>
                <w:sz w:val="22"/>
                <w:szCs w:val="22"/>
                <w:lang w:eastAsia="zh-CN"/>
              </w:rPr>
              <w:t>条：</w:t>
            </w:r>
            <w:r w:rsidRPr="001D606E">
              <w:rPr>
                <w:rFonts w:hint="eastAsia"/>
                <w:b/>
                <w:bCs/>
                <w:sz w:val="22"/>
                <w:szCs w:val="22"/>
                <w:lang w:val="en-US" w:eastAsia="zh-CN"/>
              </w:rPr>
              <w:t>特别协议</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4A96D4E"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2D2F758"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lang w:eastAsia="en-GB"/>
              </w:rPr>
            </w:pPr>
          </w:p>
        </w:tc>
        <w:tc>
          <w:tcPr>
            <w:tcW w:w="2973" w:type="dxa"/>
            <w:tcBorders>
              <w:top w:val="single" w:sz="8" w:space="0" w:color="auto"/>
              <w:left w:val="single" w:sz="8" w:space="0" w:color="000000"/>
              <w:bottom w:val="single" w:sz="8" w:space="0" w:color="auto"/>
              <w:right w:val="single" w:sz="8" w:space="0" w:color="000000"/>
            </w:tcBorders>
            <w:tcMar>
              <w:top w:w="56" w:type="dxa"/>
              <w:left w:w="56" w:type="dxa"/>
              <w:bottom w:w="56" w:type="dxa"/>
              <w:right w:w="56" w:type="dxa"/>
            </w:tcMar>
          </w:tcPr>
          <w:p w14:paraId="3267B2AD"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en-GB"/>
              </w:rPr>
            </w:pPr>
          </w:p>
        </w:tc>
      </w:tr>
      <w:tr w:rsidR="00786486" w:rsidRPr="00786486" w14:paraId="6800D05A" w14:textId="77777777" w:rsidTr="006D18AB">
        <w:trPr>
          <w:trHeight w:val="1304"/>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BCCDD"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en-GB"/>
              </w:rPr>
            </w:pPr>
            <w:r w:rsidRPr="001D606E">
              <w:rPr>
                <w:rFonts w:asciiTheme="minorHAnsi" w:eastAsia="Arial" w:hAnsiTheme="minorHAnsi" w:cstheme="minorHAnsi"/>
                <w:sz w:val="22"/>
                <w:szCs w:val="22"/>
                <w:lang w:eastAsia="en-GB"/>
              </w:rPr>
              <w:t>13.1</w:t>
            </w: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EFA93" w14:textId="3F08C25C" w:rsidR="00786486" w:rsidRPr="001D606E" w:rsidRDefault="0028715B"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i/>
                <w:iCs/>
                <w:sz w:val="22"/>
                <w:szCs w:val="22"/>
                <w:lang w:eastAsia="zh-CN"/>
              </w:rPr>
              <w:t>a)</w:t>
            </w:r>
            <w:r w:rsidRPr="001D606E">
              <w:rPr>
                <w:rFonts w:asciiTheme="minorHAnsi" w:hAnsiTheme="minorHAnsi" w:cstheme="minorHAnsi"/>
                <w:sz w:val="22"/>
                <w:szCs w:val="22"/>
                <w:lang w:eastAsia="zh-CN"/>
              </w:rPr>
              <w:tab/>
            </w:r>
            <w:r w:rsidRPr="001D606E">
              <w:rPr>
                <w:rFonts w:asciiTheme="minorHAnsi" w:hAnsiTheme="minorHAnsi" w:cstheme="minorHAnsi"/>
                <w:sz w:val="22"/>
                <w:szCs w:val="22"/>
                <w:lang w:eastAsia="zh-CN"/>
              </w:rPr>
              <w:t>根据《组织法》第</w:t>
            </w:r>
            <w:r w:rsidRPr="001D606E">
              <w:rPr>
                <w:rFonts w:asciiTheme="minorHAnsi" w:hAnsiTheme="minorHAnsi" w:cstheme="minorHAnsi"/>
                <w:sz w:val="22"/>
                <w:szCs w:val="22"/>
                <w:lang w:eastAsia="zh-CN"/>
              </w:rPr>
              <w:t>42</w:t>
            </w:r>
            <w:r w:rsidRPr="001D606E">
              <w:rPr>
                <w:rFonts w:asciiTheme="minorHAnsi" w:hAnsiTheme="minorHAnsi" w:cstheme="minorHAnsi"/>
                <w:sz w:val="22"/>
                <w:szCs w:val="22"/>
                <w:lang w:eastAsia="zh-CN"/>
              </w:rPr>
              <w:t>条，对不涉及一般成员国的电信事务可以订立特别安排。为满足相关成员国领土内和</w:t>
            </w:r>
            <w:r w:rsidRPr="001D606E">
              <w:rPr>
                <w:rFonts w:asciiTheme="minorHAnsi" w:hAnsiTheme="minorHAnsi" w:cstheme="minorHAnsi"/>
                <w:sz w:val="22"/>
                <w:szCs w:val="22"/>
                <w:lang w:eastAsia="zh-CN"/>
              </w:rPr>
              <w:t>/</w:t>
            </w:r>
            <w:r w:rsidRPr="001D606E">
              <w:rPr>
                <w:rFonts w:asciiTheme="minorHAnsi" w:hAnsiTheme="minorHAnsi" w:cstheme="minorHAnsi"/>
                <w:sz w:val="22"/>
                <w:szCs w:val="22"/>
                <w:lang w:eastAsia="zh-CN"/>
              </w:rPr>
              <w:t>或领土间对特别国际电信的需要，包括必要时需遵守的财务、技术或操作条件，成员国可在其国内法律范围内，允许经授权的运营机构或其它组织或个人与在另一国家获得同样允许的成员国、经授权的运营机构或其它组织或个人为建立、运营和使用特别国际电信网络、系统和业务订立此类特别相互安排。</w:t>
            </w:r>
          </w:p>
          <w:p w14:paraId="1EFBED49" w14:textId="5B668728" w:rsidR="00786486" w:rsidRPr="001D606E" w:rsidRDefault="0028715B"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i/>
                <w:iCs/>
                <w:sz w:val="22"/>
                <w:szCs w:val="22"/>
                <w:lang w:eastAsia="zh-CN"/>
              </w:rPr>
              <w:lastRenderedPageBreak/>
              <w:t>b)</w:t>
            </w:r>
            <w:r w:rsidRPr="001D606E">
              <w:rPr>
                <w:rFonts w:asciiTheme="minorHAnsi" w:hAnsiTheme="minorHAnsi" w:cstheme="minorHAnsi"/>
                <w:sz w:val="22"/>
                <w:szCs w:val="22"/>
                <w:lang w:eastAsia="zh-CN"/>
              </w:rPr>
              <w:tab/>
            </w:r>
            <w:r w:rsidRPr="001D606E">
              <w:rPr>
                <w:rFonts w:asciiTheme="minorHAnsi" w:hAnsiTheme="minorHAnsi" w:cstheme="minorHAnsi"/>
                <w:sz w:val="22"/>
                <w:szCs w:val="22"/>
                <w:lang w:eastAsia="zh-CN"/>
              </w:rPr>
              <w:t>任何这种特别安排均须努力避免在技术上有损第三国电信设施的操作。</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5E75CDE" w14:textId="4A413788" w:rsidR="00786486" w:rsidRPr="001D606E" w:rsidRDefault="0028615C" w:rsidP="0028615C">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eastAsia="SimSun" w:hAnsiTheme="minorHAnsi" w:cstheme="minorHAnsi"/>
                <w:sz w:val="22"/>
                <w:szCs w:val="22"/>
                <w:lang w:eastAsia="zh-CN"/>
              </w:rPr>
              <w:lastRenderedPageBreak/>
              <w:t>9.1</w:t>
            </w:r>
            <w:r w:rsidRPr="001D606E">
              <w:rPr>
                <w:rFonts w:asciiTheme="minorHAnsi" w:eastAsia="SimSun" w:hAnsiTheme="minorHAnsi" w:cstheme="minorHAnsi"/>
                <w:sz w:val="22"/>
                <w:szCs w:val="22"/>
                <w:lang w:eastAsia="zh-CN"/>
              </w:rPr>
              <w:tab/>
            </w:r>
            <w:r w:rsidRPr="001D606E">
              <w:rPr>
                <w:rFonts w:asciiTheme="minorHAnsi" w:eastAsia="SimSun" w:hAnsiTheme="minorHAnsi" w:cstheme="minorHAnsi"/>
                <w:i/>
                <w:iCs/>
                <w:sz w:val="22"/>
                <w:szCs w:val="22"/>
                <w:lang w:eastAsia="zh-CN"/>
              </w:rPr>
              <w:t>a)</w:t>
            </w:r>
            <w:r w:rsidRPr="001D606E">
              <w:rPr>
                <w:rFonts w:asciiTheme="minorHAnsi" w:eastAsia="SimSun" w:hAnsiTheme="minorHAnsi" w:cstheme="minorHAnsi"/>
                <w:sz w:val="22"/>
                <w:szCs w:val="22"/>
                <w:lang w:eastAsia="zh-CN"/>
              </w:rPr>
              <w:tab/>
            </w:r>
            <w:r w:rsidRPr="001D606E">
              <w:rPr>
                <w:rFonts w:asciiTheme="minorHAnsi" w:eastAsia="SimSun" w:hAnsiTheme="minorHAnsi" w:cstheme="minorHAnsi"/>
                <w:sz w:val="22"/>
                <w:szCs w:val="22"/>
                <w:lang w:eastAsia="zh-CN"/>
              </w:rPr>
              <w:t>根据国际电信公约（</w:t>
            </w:r>
            <w:r w:rsidRPr="001D606E">
              <w:rPr>
                <w:rFonts w:asciiTheme="minorHAnsi" w:eastAsia="SimSun" w:hAnsiTheme="minorHAnsi" w:cstheme="minorHAnsi"/>
                <w:sz w:val="22"/>
                <w:szCs w:val="22"/>
                <w:lang w:eastAsia="zh-CN"/>
              </w:rPr>
              <w:t>1982</w:t>
            </w:r>
            <w:r w:rsidRPr="001D606E">
              <w:rPr>
                <w:rFonts w:asciiTheme="minorHAnsi" w:eastAsia="SimSun" w:hAnsiTheme="minorHAnsi" w:cstheme="minorHAnsi"/>
                <w:sz w:val="22"/>
                <w:szCs w:val="22"/>
                <w:lang w:eastAsia="zh-CN"/>
              </w:rPr>
              <w:t>年，内罗毕）第三十一条，对不涉及一般会员的电信问题可以订立特别协议。为了满足在相关会员的领土内和（或）领土间对特别国际电信的需要和必要时为了满足应遵守的财务、技术或操作条件，各会员可以在其国内法律的范围内允许主管部门</w:t>
            </w:r>
            <w:r w:rsidRPr="001D606E">
              <w:rPr>
                <w:rFonts w:asciiTheme="minorHAnsi" w:eastAsia="SimSun" w:hAnsiTheme="minorHAnsi" w:cstheme="minorHAnsi"/>
                <w:position w:val="6"/>
                <w:sz w:val="22"/>
                <w:szCs w:val="22"/>
              </w:rPr>
              <w:fldChar w:fldCharType="begin"/>
            </w:r>
            <w:r w:rsidRPr="001D606E">
              <w:rPr>
                <w:rFonts w:asciiTheme="minorHAnsi" w:eastAsia="SimSun" w:hAnsiTheme="minorHAnsi" w:cstheme="minorHAnsi"/>
                <w:position w:val="6"/>
                <w:sz w:val="22"/>
                <w:szCs w:val="22"/>
                <w:lang w:eastAsia="zh-CN"/>
              </w:rPr>
              <w:instrText xml:space="preserve"> NOTEREF _Ref319483268 \h  \* MERGEFORMAT </w:instrText>
            </w:r>
            <w:r w:rsidRPr="001D606E">
              <w:rPr>
                <w:rFonts w:asciiTheme="minorHAnsi" w:eastAsia="SimSun" w:hAnsiTheme="minorHAnsi" w:cstheme="minorHAnsi"/>
                <w:position w:val="6"/>
                <w:sz w:val="22"/>
                <w:szCs w:val="22"/>
              </w:rPr>
            </w:r>
            <w:r w:rsidRPr="001D606E">
              <w:rPr>
                <w:rFonts w:asciiTheme="minorHAnsi" w:eastAsia="SimSun" w:hAnsiTheme="minorHAnsi" w:cstheme="minorHAnsi"/>
                <w:position w:val="6"/>
                <w:sz w:val="22"/>
                <w:szCs w:val="22"/>
              </w:rPr>
              <w:fldChar w:fldCharType="separate"/>
            </w:r>
            <w:r w:rsidRPr="001D606E">
              <w:rPr>
                <w:rFonts w:asciiTheme="minorHAnsi" w:eastAsia="SimSun" w:hAnsiTheme="minorHAnsi" w:cstheme="minorHAnsi"/>
                <w:position w:val="6"/>
                <w:sz w:val="22"/>
                <w:szCs w:val="22"/>
                <w:lang w:eastAsia="zh-CN"/>
              </w:rPr>
              <w:t>*</w:t>
            </w:r>
            <w:r w:rsidRPr="001D606E">
              <w:rPr>
                <w:rFonts w:asciiTheme="minorHAnsi" w:eastAsia="SimSun" w:hAnsiTheme="minorHAnsi" w:cstheme="minorHAnsi"/>
                <w:position w:val="6"/>
                <w:sz w:val="22"/>
                <w:szCs w:val="22"/>
              </w:rPr>
              <w:fldChar w:fldCharType="end"/>
            </w:r>
            <w:r w:rsidRPr="001D606E">
              <w:rPr>
                <w:rFonts w:asciiTheme="minorHAnsi" w:eastAsia="SimSun" w:hAnsiTheme="minorHAnsi" w:cstheme="minorHAnsi"/>
                <w:sz w:val="22"/>
                <w:szCs w:val="22"/>
                <w:lang w:eastAsia="zh-CN"/>
              </w:rPr>
              <w:t>或其它组织或个人与在另一个国家内获得了同样允许的会员、主管部门</w:t>
            </w:r>
            <w:r w:rsidRPr="001D606E">
              <w:rPr>
                <w:rFonts w:asciiTheme="minorHAnsi" w:eastAsia="SimSun" w:hAnsiTheme="minorHAnsi" w:cstheme="minorHAnsi"/>
                <w:position w:val="6"/>
                <w:sz w:val="22"/>
                <w:szCs w:val="22"/>
              </w:rPr>
              <w:fldChar w:fldCharType="begin"/>
            </w:r>
            <w:r w:rsidRPr="001D606E">
              <w:rPr>
                <w:rFonts w:asciiTheme="minorHAnsi" w:eastAsia="SimSun" w:hAnsiTheme="minorHAnsi" w:cstheme="minorHAnsi"/>
                <w:position w:val="6"/>
                <w:sz w:val="22"/>
                <w:szCs w:val="22"/>
                <w:lang w:eastAsia="zh-CN"/>
              </w:rPr>
              <w:instrText xml:space="preserve"> NOTEREF _Ref319483268 \h  \* MERGEFORMAT </w:instrText>
            </w:r>
            <w:r w:rsidRPr="001D606E">
              <w:rPr>
                <w:rFonts w:asciiTheme="minorHAnsi" w:eastAsia="SimSun" w:hAnsiTheme="minorHAnsi" w:cstheme="minorHAnsi"/>
                <w:position w:val="6"/>
                <w:sz w:val="22"/>
                <w:szCs w:val="22"/>
              </w:rPr>
            </w:r>
            <w:r w:rsidRPr="001D606E">
              <w:rPr>
                <w:rFonts w:asciiTheme="minorHAnsi" w:eastAsia="SimSun" w:hAnsiTheme="minorHAnsi" w:cstheme="minorHAnsi"/>
                <w:position w:val="6"/>
                <w:sz w:val="22"/>
                <w:szCs w:val="22"/>
              </w:rPr>
              <w:fldChar w:fldCharType="separate"/>
            </w:r>
            <w:r w:rsidRPr="001D606E">
              <w:rPr>
                <w:rFonts w:asciiTheme="minorHAnsi" w:eastAsia="SimSun" w:hAnsiTheme="minorHAnsi" w:cstheme="minorHAnsi"/>
                <w:position w:val="6"/>
                <w:sz w:val="22"/>
                <w:szCs w:val="22"/>
                <w:lang w:eastAsia="zh-CN"/>
              </w:rPr>
              <w:t>*</w:t>
            </w:r>
            <w:r w:rsidRPr="001D606E">
              <w:rPr>
                <w:rFonts w:asciiTheme="minorHAnsi" w:eastAsia="SimSun" w:hAnsiTheme="minorHAnsi" w:cstheme="minorHAnsi"/>
                <w:position w:val="6"/>
                <w:sz w:val="22"/>
                <w:szCs w:val="22"/>
              </w:rPr>
              <w:fldChar w:fldCharType="end"/>
            </w:r>
            <w:r w:rsidRPr="001D606E">
              <w:rPr>
                <w:rFonts w:asciiTheme="minorHAnsi" w:eastAsia="SimSun" w:hAnsiTheme="minorHAnsi" w:cstheme="minorHAnsi"/>
                <w:sz w:val="22"/>
                <w:szCs w:val="22"/>
                <w:lang w:eastAsia="zh-CN"/>
              </w:rPr>
              <w:t>或其它组织或个人为建立、操作和使用特别电信网络、系统和业务订立这种相互的特别协议。</w:t>
            </w:r>
          </w:p>
          <w:p w14:paraId="28F32E91" w14:textId="13E824E2" w:rsidR="00786486" w:rsidRPr="001D606E" w:rsidRDefault="0028615C"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highlight w:val="yellow"/>
                <w:lang w:eastAsia="zh-CN"/>
              </w:rPr>
            </w:pPr>
            <w:r w:rsidRPr="001D606E">
              <w:rPr>
                <w:rFonts w:asciiTheme="minorHAnsi" w:hAnsiTheme="minorHAnsi" w:cstheme="minorHAnsi"/>
                <w:i/>
                <w:iCs/>
                <w:sz w:val="22"/>
                <w:szCs w:val="22"/>
                <w:lang w:eastAsia="zh-CN"/>
              </w:rPr>
              <w:lastRenderedPageBreak/>
              <w:t>b)</w:t>
            </w:r>
            <w:r w:rsidRPr="001D606E">
              <w:rPr>
                <w:rFonts w:asciiTheme="minorHAnsi" w:hAnsiTheme="minorHAnsi" w:cstheme="minorHAnsi" w:hint="eastAsia"/>
                <w:i/>
                <w:iCs/>
                <w:sz w:val="22"/>
                <w:szCs w:val="22"/>
                <w:lang w:eastAsia="zh-CN"/>
              </w:rPr>
              <w:tab/>
            </w:r>
            <w:r w:rsidRPr="001D606E">
              <w:rPr>
                <w:rFonts w:asciiTheme="minorHAnsi" w:hAnsiTheme="minorHAnsi" w:cstheme="minorHAnsi" w:hint="eastAsia"/>
                <w:sz w:val="22"/>
                <w:szCs w:val="22"/>
                <w:lang w:eastAsia="zh-CN"/>
              </w:rPr>
              <w:t>任何这种特别协议应避免在技术上损害第三国电信设施的操作。</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1803D8DB" w14:textId="38B8BCCC"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lastRenderedPageBreak/>
              <w:t>这一规定旨在为成员国之间可能出现的、条约未涵盖的特殊、非常规和不可预见的问题规定一种程序。由于这涉及专门的具体问题，因此不利于</w:t>
            </w:r>
            <w:r w:rsidR="00043BD1" w:rsidRPr="001D606E">
              <w:rPr>
                <w:rFonts w:asciiTheme="minorHAnsi" w:hAnsiTheme="minorHAnsi" w:cstheme="minorHAnsi" w:hint="eastAsia"/>
                <w:sz w:val="22"/>
                <w:szCs w:val="22"/>
                <w:lang w:eastAsia="zh-CN"/>
              </w:rPr>
              <w:t>网络和业务的提供与发展</w:t>
            </w:r>
            <w:r w:rsidRPr="001D606E">
              <w:rPr>
                <w:rFonts w:asciiTheme="minorHAnsi" w:hAnsiTheme="minorHAnsi" w:cstheme="minorHAnsi" w:hint="eastAsia"/>
                <w:sz w:val="22"/>
                <w:szCs w:val="22"/>
                <w:lang w:eastAsia="zh-CN"/>
              </w:rPr>
              <w:t>。</w:t>
            </w:r>
          </w:p>
        </w:tc>
        <w:tc>
          <w:tcPr>
            <w:tcW w:w="2973" w:type="dxa"/>
            <w:tcBorders>
              <w:top w:val="nil"/>
              <w:left w:val="nil"/>
              <w:bottom w:val="single" w:sz="8" w:space="0" w:color="000000"/>
              <w:right w:val="single" w:sz="8" w:space="0" w:color="auto"/>
            </w:tcBorders>
            <w:tcMar>
              <w:top w:w="56" w:type="dxa"/>
              <w:left w:w="56" w:type="dxa"/>
              <w:bottom w:w="56" w:type="dxa"/>
              <w:right w:w="56" w:type="dxa"/>
            </w:tcMar>
          </w:tcPr>
          <w:p w14:paraId="66A30739" w14:textId="228D010A" w:rsidR="00786486" w:rsidRPr="001D606E" w:rsidRDefault="00043BD1"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这一规定旨在为成员国之间可能出现的、条约未涵盖的特殊、非常规和不可预见的问题规定一种程序。</w:t>
            </w:r>
          </w:p>
          <w:p w14:paraId="1759025B" w14:textId="793DB76B"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由于这涉及专门的具体问题，因此与在适应新趋势和</w:t>
            </w:r>
            <w:r w:rsidR="00043BD1" w:rsidRPr="001D606E">
              <w:rPr>
                <w:rFonts w:asciiTheme="minorHAnsi" w:hAnsiTheme="minorHAnsi" w:cstheme="minorHAnsi" w:hint="eastAsia"/>
                <w:sz w:val="22"/>
                <w:szCs w:val="22"/>
                <w:lang w:eastAsia="zh-CN"/>
              </w:rPr>
              <w:t>正在</w:t>
            </w:r>
            <w:r w:rsidRPr="001D606E">
              <w:rPr>
                <w:rFonts w:asciiTheme="minorHAnsi" w:hAnsiTheme="minorHAnsi" w:cstheme="minorHAnsi" w:hint="eastAsia"/>
                <w:sz w:val="22"/>
                <w:szCs w:val="22"/>
                <w:lang w:eastAsia="zh-CN"/>
              </w:rPr>
              <w:t>出现问题方面提供灵活性无关。</w:t>
            </w:r>
          </w:p>
        </w:tc>
        <w:tc>
          <w:tcPr>
            <w:tcW w:w="2973" w:type="dxa"/>
            <w:tcBorders>
              <w:top w:val="single" w:sz="8" w:space="0" w:color="auto"/>
              <w:left w:val="single" w:sz="8" w:space="0" w:color="auto"/>
              <w:bottom w:val="single" w:sz="8" w:space="0" w:color="auto"/>
              <w:right w:val="single" w:sz="8" w:space="0" w:color="auto"/>
            </w:tcBorders>
            <w:tcMar>
              <w:top w:w="56" w:type="dxa"/>
              <w:left w:w="56" w:type="dxa"/>
              <w:bottom w:w="56" w:type="dxa"/>
              <w:right w:w="56" w:type="dxa"/>
            </w:tcMar>
          </w:tcPr>
          <w:p w14:paraId="4CBC1F12"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zh-CN"/>
              </w:rPr>
            </w:pPr>
          </w:p>
        </w:tc>
      </w:tr>
      <w:tr w:rsidR="00786486" w:rsidRPr="00786486" w14:paraId="07952710" w14:textId="77777777" w:rsidTr="006D18AB">
        <w:trPr>
          <w:trHeight w:val="13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5EC3C"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en-GB"/>
              </w:rPr>
            </w:pPr>
            <w:r w:rsidRPr="001D606E">
              <w:rPr>
                <w:rFonts w:asciiTheme="minorHAnsi" w:eastAsia="Arial" w:hAnsiTheme="minorHAnsi" w:cstheme="minorHAnsi"/>
                <w:sz w:val="22"/>
                <w:szCs w:val="22"/>
                <w:lang w:eastAsia="en-GB"/>
              </w:rPr>
              <w:t>13.2</w:t>
            </w: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45D9D" w14:textId="2932C0C1" w:rsidR="00786486" w:rsidRPr="001D606E" w:rsidRDefault="009C4C63"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成员国应酌情鼓励根据上述第</w:t>
            </w:r>
            <w:r w:rsidRPr="001D606E">
              <w:rPr>
                <w:rFonts w:asciiTheme="minorHAnsi" w:hAnsiTheme="minorHAnsi" w:cstheme="minorHAnsi"/>
                <w:sz w:val="22"/>
                <w:szCs w:val="22"/>
                <w:lang w:eastAsia="zh-CN"/>
              </w:rPr>
              <w:t>58</w:t>
            </w:r>
            <w:r w:rsidRPr="001D606E">
              <w:rPr>
                <w:rFonts w:asciiTheme="minorHAnsi" w:hAnsiTheme="minorHAnsi" w:cstheme="minorHAnsi"/>
                <w:sz w:val="22"/>
                <w:szCs w:val="22"/>
                <w:lang w:eastAsia="zh-CN"/>
              </w:rPr>
              <w:t>段（</w:t>
            </w:r>
            <w:r w:rsidRPr="001D606E">
              <w:rPr>
                <w:rFonts w:asciiTheme="minorHAnsi" w:hAnsiTheme="minorHAnsi" w:cstheme="minorHAnsi"/>
                <w:sz w:val="22"/>
                <w:szCs w:val="22"/>
                <w:lang w:eastAsia="zh-CN"/>
              </w:rPr>
              <w:t>9.1</w:t>
            </w:r>
            <w:r w:rsidRPr="001D606E">
              <w:rPr>
                <w:rFonts w:asciiTheme="minorHAnsi" w:hAnsiTheme="minorHAnsi" w:cstheme="minorHAnsi"/>
                <w:sz w:val="22"/>
                <w:szCs w:val="22"/>
                <w:lang w:eastAsia="zh-CN"/>
              </w:rPr>
              <w:t>）订立特别安排的各方考虑</w:t>
            </w:r>
            <w:r w:rsidRPr="001D606E">
              <w:rPr>
                <w:rFonts w:asciiTheme="minorHAnsi" w:hAnsiTheme="minorHAnsi" w:cstheme="minorHAnsi"/>
                <w:sz w:val="22"/>
                <w:szCs w:val="22"/>
                <w:lang w:eastAsia="zh-CN"/>
              </w:rPr>
              <w:t>ITU-T</w:t>
            </w:r>
            <w:r w:rsidRPr="001D606E">
              <w:rPr>
                <w:rFonts w:asciiTheme="minorHAnsi" w:hAnsiTheme="minorHAnsi" w:cstheme="minorHAnsi"/>
                <w:sz w:val="22"/>
                <w:szCs w:val="22"/>
                <w:lang w:eastAsia="zh-CN"/>
              </w:rPr>
              <w:t>建议书的相关规定。</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738AAB0" w14:textId="0C6AE999" w:rsidR="00786486" w:rsidRPr="001D606E" w:rsidRDefault="00D4311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9.2</w:t>
            </w:r>
            <w:r w:rsidRPr="001D606E">
              <w:rPr>
                <w:rFonts w:asciiTheme="minorHAnsi" w:hAnsiTheme="minorHAnsi" w:cstheme="minorHAnsi"/>
                <w:sz w:val="22"/>
                <w:szCs w:val="22"/>
                <w:lang w:eastAsia="zh-CN"/>
              </w:rPr>
              <w:tab/>
            </w:r>
            <w:r w:rsidRPr="001D606E">
              <w:rPr>
                <w:rFonts w:asciiTheme="minorHAnsi" w:hAnsiTheme="minorHAnsi" w:cstheme="minorHAnsi"/>
                <w:sz w:val="22"/>
                <w:szCs w:val="22"/>
                <w:lang w:eastAsia="zh-CN"/>
              </w:rPr>
              <w:t>各会员在适宜时应鼓励根据第</w:t>
            </w:r>
            <w:r w:rsidRPr="001D606E">
              <w:rPr>
                <w:rFonts w:asciiTheme="minorHAnsi" w:hAnsiTheme="minorHAnsi" w:cstheme="minorHAnsi"/>
                <w:sz w:val="22"/>
                <w:szCs w:val="22"/>
                <w:lang w:eastAsia="zh-CN"/>
              </w:rPr>
              <w:t>58</w:t>
            </w:r>
            <w:r w:rsidRPr="001D606E">
              <w:rPr>
                <w:rFonts w:asciiTheme="minorHAnsi" w:hAnsiTheme="minorHAnsi" w:cstheme="minorHAnsi"/>
                <w:sz w:val="22"/>
                <w:szCs w:val="22"/>
                <w:lang w:eastAsia="zh-CN"/>
              </w:rPr>
              <w:t>款订立特别协议的各方考虑国际电报电话咨询委员会建议的有关规定。</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D2E5757" w14:textId="35D96964" w:rsidR="00043BD1"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第</w:t>
            </w:r>
            <w:r w:rsidRPr="001D606E">
              <w:rPr>
                <w:rFonts w:asciiTheme="minorHAnsi" w:hAnsiTheme="minorHAnsi" w:cstheme="minorHAnsi" w:hint="eastAsia"/>
                <w:sz w:val="22"/>
                <w:szCs w:val="22"/>
                <w:lang w:eastAsia="zh-CN"/>
              </w:rPr>
              <w:t>13.1</w:t>
            </w:r>
            <w:r w:rsidRPr="001D606E">
              <w:rPr>
                <w:rFonts w:asciiTheme="minorHAnsi" w:hAnsiTheme="minorHAnsi" w:cstheme="minorHAnsi" w:hint="eastAsia"/>
                <w:sz w:val="22"/>
                <w:szCs w:val="22"/>
                <w:lang w:eastAsia="zh-CN"/>
              </w:rPr>
              <w:t>条规定</w:t>
            </w:r>
            <w:r w:rsidR="00043BD1" w:rsidRPr="001D606E">
              <w:rPr>
                <w:rFonts w:asciiTheme="minorHAnsi" w:hAnsiTheme="minorHAnsi" w:cstheme="minorHAnsi" w:hint="eastAsia"/>
                <w:sz w:val="22"/>
                <w:szCs w:val="22"/>
                <w:lang w:eastAsia="zh-CN"/>
              </w:rPr>
              <w:t>旨在</w:t>
            </w:r>
            <w:r w:rsidRPr="001D606E">
              <w:rPr>
                <w:rFonts w:asciiTheme="minorHAnsi" w:hAnsiTheme="minorHAnsi" w:cstheme="minorHAnsi" w:hint="eastAsia"/>
                <w:sz w:val="22"/>
                <w:szCs w:val="22"/>
                <w:lang w:eastAsia="zh-CN"/>
              </w:rPr>
              <w:t>为成员国之间可能出现的、条约未涵盖的特殊、非常规和不可预见的问题规定一种程序。</w:t>
            </w:r>
          </w:p>
          <w:p w14:paraId="0CD9FA16" w14:textId="5900B513"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由于第</w:t>
            </w:r>
            <w:r w:rsidRPr="001D606E">
              <w:rPr>
                <w:rFonts w:asciiTheme="minorHAnsi" w:hAnsiTheme="minorHAnsi" w:cstheme="minorHAnsi" w:hint="eastAsia"/>
                <w:sz w:val="22"/>
                <w:szCs w:val="22"/>
                <w:lang w:eastAsia="zh-CN"/>
              </w:rPr>
              <w:t>13.2</w:t>
            </w:r>
            <w:r w:rsidRPr="001D606E">
              <w:rPr>
                <w:rFonts w:asciiTheme="minorHAnsi" w:hAnsiTheme="minorHAnsi" w:cstheme="minorHAnsi" w:hint="eastAsia"/>
                <w:sz w:val="22"/>
                <w:szCs w:val="22"/>
                <w:lang w:eastAsia="zh-CN"/>
              </w:rPr>
              <w:t>条规定了与第</w:t>
            </w:r>
            <w:r w:rsidRPr="001D606E">
              <w:rPr>
                <w:rFonts w:asciiTheme="minorHAnsi" w:hAnsiTheme="minorHAnsi" w:cstheme="minorHAnsi" w:hint="eastAsia"/>
                <w:sz w:val="22"/>
                <w:szCs w:val="22"/>
                <w:lang w:eastAsia="zh-CN"/>
              </w:rPr>
              <w:t>13.1</w:t>
            </w:r>
            <w:r w:rsidRPr="001D606E">
              <w:rPr>
                <w:rFonts w:asciiTheme="minorHAnsi" w:hAnsiTheme="minorHAnsi" w:cstheme="minorHAnsi" w:hint="eastAsia"/>
                <w:sz w:val="22"/>
                <w:szCs w:val="22"/>
                <w:lang w:eastAsia="zh-CN"/>
              </w:rPr>
              <w:t>条有关的工作程序，这一条款也不利于</w:t>
            </w:r>
            <w:r w:rsidR="00043BD1" w:rsidRPr="001D606E">
              <w:rPr>
                <w:rFonts w:asciiTheme="minorHAnsi" w:hAnsiTheme="minorHAnsi" w:cstheme="minorHAnsi" w:hint="eastAsia"/>
                <w:sz w:val="22"/>
                <w:szCs w:val="22"/>
                <w:lang w:eastAsia="zh-CN"/>
              </w:rPr>
              <w:t>网络和业务的提供与发展</w:t>
            </w:r>
            <w:r w:rsidRPr="001D606E">
              <w:rPr>
                <w:rFonts w:asciiTheme="minorHAnsi" w:hAnsiTheme="minorHAnsi" w:cstheme="minorHAnsi" w:hint="eastAsia"/>
                <w:sz w:val="22"/>
                <w:szCs w:val="22"/>
                <w:lang w:eastAsia="zh-CN"/>
              </w:rPr>
              <w:t>。</w:t>
            </w:r>
          </w:p>
        </w:tc>
        <w:tc>
          <w:tcPr>
            <w:tcW w:w="2973" w:type="dxa"/>
            <w:tcBorders>
              <w:top w:val="single" w:sz="8" w:space="0" w:color="000000"/>
              <w:left w:val="single" w:sz="8" w:space="0" w:color="000000"/>
              <w:bottom w:val="single" w:sz="8" w:space="0" w:color="000000"/>
              <w:right w:val="single" w:sz="8" w:space="0" w:color="auto"/>
            </w:tcBorders>
            <w:tcMar>
              <w:top w:w="56" w:type="dxa"/>
              <w:left w:w="56" w:type="dxa"/>
              <w:bottom w:w="56" w:type="dxa"/>
              <w:right w:w="56" w:type="dxa"/>
            </w:tcMar>
          </w:tcPr>
          <w:p w14:paraId="59E7611E" w14:textId="6399F006" w:rsidR="00786486" w:rsidRPr="001D606E" w:rsidRDefault="00043BD1"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第</w:t>
            </w:r>
            <w:r w:rsidRPr="001D606E">
              <w:rPr>
                <w:rFonts w:asciiTheme="minorHAnsi" w:hAnsiTheme="minorHAnsi" w:cstheme="minorHAnsi" w:hint="eastAsia"/>
                <w:sz w:val="22"/>
                <w:szCs w:val="22"/>
                <w:lang w:eastAsia="zh-CN"/>
              </w:rPr>
              <w:t>13.1</w:t>
            </w:r>
            <w:r w:rsidRPr="001D606E">
              <w:rPr>
                <w:rFonts w:asciiTheme="minorHAnsi" w:hAnsiTheme="minorHAnsi" w:cstheme="minorHAnsi" w:hint="eastAsia"/>
                <w:sz w:val="22"/>
                <w:szCs w:val="22"/>
                <w:lang w:eastAsia="zh-CN"/>
              </w:rPr>
              <w:t>条规定旨在为成员国之间可能出现的、条约未涵盖的特殊、非常规和不可预见的问题规定一种程序。</w:t>
            </w:r>
          </w:p>
          <w:p w14:paraId="4FB97832" w14:textId="1894900C"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由于第</w:t>
            </w:r>
            <w:r w:rsidRPr="001D606E">
              <w:rPr>
                <w:rFonts w:asciiTheme="minorHAnsi" w:hAnsiTheme="minorHAnsi" w:cstheme="minorHAnsi" w:hint="eastAsia"/>
                <w:sz w:val="22"/>
                <w:szCs w:val="22"/>
                <w:lang w:eastAsia="zh-CN"/>
              </w:rPr>
              <w:t>13.2</w:t>
            </w:r>
            <w:r w:rsidRPr="001D606E">
              <w:rPr>
                <w:rFonts w:asciiTheme="minorHAnsi" w:hAnsiTheme="minorHAnsi" w:cstheme="minorHAnsi" w:hint="eastAsia"/>
                <w:sz w:val="22"/>
                <w:szCs w:val="22"/>
                <w:lang w:eastAsia="zh-CN"/>
              </w:rPr>
              <w:t>条规定了与第</w:t>
            </w:r>
            <w:r w:rsidRPr="001D606E">
              <w:rPr>
                <w:rFonts w:asciiTheme="minorHAnsi" w:hAnsiTheme="minorHAnsi" w:cstheme="minorHAnsi" w:hint="eastAsia"/>
                <w:sz w:val="22"/>
                <w:szCs w:val="22"/>
                <w:lang w:eastAsia="zh-CN"/>
              </w:rPr>
              <w:t>13.1</w:t>
            </w:r>
            <w:r w:rsidRPr="001D606E">
              <w:rPr>
                <w:rFonts w:asciiTheme="minorHAnsi" w:hAnsiTheme="minorHAnsi" w:cstheme="minorHAnsi" w:hint="eastAsia"/>
                <w:sz w:val="22"/>
                <w:szCs w:val="22"/>
                <w:lang w:eastAsia="zh-CN"/>
              </w:rPr>
              <w:t>条有关的工作程序，这条规定</w:t>
            </w:r>
            <w:r w:rsidR="00043BD1" w:rsidRPr="001D606E">
              <w:rPr>
                <w:rFonts w:asciiTheme="minorHAnsi" w:hAnsiTheme="minorHAnsi" w:cstheme="minorHAnsi" w:hint="eastAsia"/>
                <w:sz w:val="22"/>
                <w:szCs w:val="22"/>
                <w:lang w:eastAsia="zh-CN"/>
              </w:rPr>
              <w:t>与在适应新趋势和正在出现问题方面提供灵活性无关</w:t>
            </w:r>
            <w:r w:rsidRPr="001D606E">
              <w:rPr>
                <w:rFonts w:asciiTheme="minorHAnsi" w:hAnsiTheme="minorHAnsi" w:cstheme="minorHAnsi" w:hint="eastAsia"/>
                <w:sz w:val="22"/>
                <w:szCs w:val="22"/>
                <w:lang w:eastAsia="zh-CN"/>
              </w:rPr>
              <w:t>。</w:t>
            </w:r>
          </w:p>
        </w:tc>
        <w:tc>
          <w:tcPr>
            <w:tcW w:w="2973" w:type="dxa"/>
            <w:tcBorders>
              <w:top w:val="single" w:sz="8" w:space="0" w:color="auto"/>
              <w:left w:val="single" w:sz="8" w:space="0" w:color="auto"/>
              <w:bottom w:val="single" w:sz="8" w:space="0" w:color="auto"/>
              <w:right w:val="single" w:sz="8" w:space="0" w:color="auto"/>
            </w:tcBorders>
            <w:tcMar>
              <w:top w:w="56" w:type="dxa"/>
              <w:left w:w="56" w:type="dxa"/>
              <w:bottom w:w="56" w:type="dxa"/>
              <w:right w:w="56" w:type="dxa"/>
            </w:tcMar>
          </w:tcPr>
          <w:p w14:paraId="1945031D"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zh-CN"/>
              </w:rPr>
            </w:pPr>
          </w:p>
        </w:tc>
      </w:tr>
      <w:tr w:rsidR="00786486" w:rsidRPr="00786486" w14:paraId="29097868" w14:textId="77777777" w:rsidTr="006D18AB">
        <w:trPr>
          <w:trHeight w:val="567"/>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834C8"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zh-CN"/>
              </w:rPr>
            </w:pP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D9753" w14:textId="2FF64ACD" w:rsidR="00786486" w:rsidRPr="001D606E" w:rsidRDefault="009C4C63"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b/>
                <w:bCs/>
                <w:sz w:val="22"/>
                <w:szCs w:val="22"/>
                <w:highlight w:val="yellow"/>
                <w:lang w:eastAsia="en-GB"/>
              </w:rPr>
            </w:pPr>
            <w:bookmarkStart w:id="8" w:name="_Toc353533942"/>
            <w:r w:rsidRPr="001D606E">
              <w:rPr>
                <w:rFonts w:asciiTheme="minorHAnsi" w:hAnsiTheme="minorHAnsi" w:cstheme="minorHAnsi"/>
                <w:b/>
                <w:bCs/>
                <w:sz w:val="22"/>
                <w:szCs w:val="22"/>
                <w:lang w:eastAsia="zh-CN"/>
              </w:rPr>
              <w:t>最后条款</w:t>
            </w:r>
            <w:bookmarkEnd w:id="8"/>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1032D9C" w14:textId="444C23A6" w:rsidR="00786486" w:rsidRPr="001D606E" w:rsidRDefault="00D4311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b/>
                <w:sz w:val="22"/>
                <w:szCs w:val="22"/>
                <w:highlight w:val="yellow"/>
                <w:lang w:eastAsia="en-GB"/>
              </w:rPr>
            </w:pPr>
            <w:r w:rsidRPr="001D606E">
              <w:rPr>
                <w:rFonts w:hint="eastAsia"/>
                <w:b/>
                <w:bCs/>
                <w:sz w:val="22"/>
                <w:szCs w:val="22"/>
                <w:lang w:eastAsia="zh-CN"/>
              </w:rPr>
              <w:t>第</w:t>
            </w:r>
            <w:r w:rsidRPr="001D606E">
              <w:rPr>
                <w:rFonts w:asciiTheme="minorHAnsi" w:hAnsiTheme="minorHAnsi" w:cstheme="minorHAnsi" w:hint="eastAsia"/>
                <w:b/>
                <w:bCs/>
                <w:sz w:val="22"/>
                <w:szCs w:val="22"/>
                <w:lang w:eastAsia="zh-CN"/>
              </w:rPr>
              <w:t>10</w:t>
            </w:r>
            <w:r w:rsidRPr="001D606E">
              <w:rPr>
                <w:rFonts w:hint="eastAsia"/>
                <w:b/>
                <w:bCs/>
                <w:sz w:val="22"/>
                <w:szCs w:val="22"/>
                <w:lang w:eastAsia="zh-CN"/>
              </w:rPr>
              <w:t>条：</w:t>
            </w:r>
            <w:r w:rsidRPr="001D606E">
              <w:rPr>
                <w:rFonts w:asciiTheme="minorHAnsi" w:hAnsiTheme="minorHAnsi" w:cstheme="minorHAnsi"/>
                <w:b/>
                <w:bCs/>
                <w:sz w:val="22"/>
                <w:szCs w:val="22"/>
                <w:lang w:eastAsia="zh-CN"/>
              </w:rPr>
              <w:t>最后条款</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1F994B5"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ECAD831"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p>
        </w:tc>
        <w:tc>
          <w:tcPr>
            <w:tcW w:w="2973" w:type="dxa"/>
            <w:tcBorders>
              <w:top w:val="single" w:sz="8" w:space="0" w:color="auto"/>
              <w:left w:val="single" w:sz="8" w:space="0" w:color="000000"/>
              <w:bottom w:val="single" w:sz="8" w:space="0" w:color="000000"/>
              <w:right w:val="single" w:sz="8" w:space="0" w:color="000000"/>
            </w:tcBorders>
            <w:tcMar>
              <w:top w:w="56" w:type="dxa"/>
              <w:left w:w="56" w:type="dxa"/>
              <w:bottom w:w="56" w:type="dxa"/>
              <w:right w:w="56" w:type="dxa"/>
            </w:tcMar>
          </w:tcPr>
          <w:p w14:paraId="06D4B3FC"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en-GB"/>
              </w:rPr>
            </w:pPr>
          </w:p>
        </w:tc>
      </w:tr>
      <w:tr w:rsidR="00786486" w:rsidRPr="00786486" w14:paraId="46DA6F91" w14:textId="77777777" w:rsidTr="006D18AB">
        <w:trPr>
          <w:trHeight w:val="13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CE78C"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en-GB"/>
              </w:rPr>
            </w:pPr>
            <w:r w:rsidRPr="001D606E">
              <w:rPr>
                <w:rFonts w:asciiTheme="minorHAnsi" w:eastAsia="Arial" w:hAnsiTheme="minorHAnsi" w:cstheme="minorHAnsi"/>
                <w:sz w:val="22"/>
                <w:szCs w:val="22"/>
                <w:lang w:eastAsia="en-GB"/>
              </w:rPr>
              <w:t>14.1</w:t>
            </w: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BE7C8" w14:textId="1294F5EA" w:rsidR="00786486" w:rsidRPr="001D606E" w:rsidRDefault="009C4C63"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本《规则》须于</w:t>
            </w:r>
            <w:r w:rsidRPr="001D606E">
              <w:rPr>
                <w:rFonts w:asciiTheme="minorHAnsi" w:hAnsiTheme="minorHAnsi" w:cstheme="minorHAnsi"/>
                <w:sz w:val="22"/>
                <w:szCs w:val="22"/>
                <w:lang w:eastAsia="zh-CN"/>
              </w:rPr>
              <w:t>2015</w:t>
            </w:r>
            <w:r w:rsidRPr="001D606E">
              <w:rPr>
                <w:rFonts w:asciiTheme="minorHAnsi" w:hAnsiTheme="minorHAnsi" w:cstheme="minorHAnsi"/>
                <w:sz w:val="22"/>
                <w:szCs w:val="22"/>
                <w:lang w:eastAsia="zh-CN"/>
              </w:rPr>
              <w:t>年</w:t>
            </w:r>
            <w:r w:rsidRPr="001D606E">
              <w:rPr>
                <w:rFonts w:asciiTheme="minorHAnsi" w:hAnsiTheme="minorHAnsi" w:cstheme="minorHAnsi"/>
                <w:sz w:val="22"/>
                <w:szCs w:val="22"/>
                <w:lang w:eastAsia="zh-CN"/>
              </w:rPr>
              <w:t>1</w:t>
            </w:r>
            <w:r w:rsidRPr="001D606E">
              <w:rPr>
                <w:rFonts w:asciiTheme="minorHAnsi" w:hAnsiTheme="minorHAnsi" w:cstheme="minorHAnsi"/>
                <w:sz w:val="22"/>
                <w:szCs w:val="22"/>
                <w:lang w:eastAsia="zh-CN"/>
              </w:rPr>
              <w:t>月</w:t>
            </w:r>
            <w:r w:rsidRPr="001D606E">
              <w:rPr>
                <w:rFonts w:asciiTheme="minorHAnsi" w:hAnsiTheme="minorHAnsi" w:cstheme="minorHAnsi"/>
                <w:sz w:val="22"/>
                <w:szCs w:val="22"/>
                <w:lang w:eastAsia="zh-CN"/>
              </w:rPr>
              <w:t>1</w:t>
            </w:r>
            <w:r w:rsidRPr="001D606E">
              <w:rPr>
                <w:rFonts w:asciiTheme="minorHAnsi" w:hAnsiTheme="minorHAnsi" w:cstheme="minorHAnsi"/>
                <w:sz w:val="22"/>
                <w:szCs w:val="22"/>
                <w:lang w:eastAsia="zh-CN"/>
              </w:rPr>
              <w:t>日起生效，并须按照《组织法》第</w:t>
            </w:r>
            <w:r w:rsidRPr="001D606E">
              <w:rPr>
                <w:rFonts w:asciiTheme="minorHAnsi" w:hAnsiTheme="minorHAnsi" w:cstheme="minorHAnsi"/>
                <w:sz w:val="22"/>
                <w:szCs w:val="22"/>
                <w:lang w:eastAsia="zh-CN"/>
              </w:rPr>
              <w:t>54</w:t>
            </w:r>
            <w:r w:rsidRPr="001D606E">
              <w:rPr>
                <w:rFonts w:asciiTheme="minorHAnsi" w:hAnsiTheme="minorHAnsi" w:cstheme="minorHAnsi"/>
                <w:sz w:val="22"/>
                <w:szCs w:val="22"/>
                <w:lang w:eastAsia="zh-CN"/>
              </w:rPr>
              <w:t>条，自该日期起施行。附录</w:t>
            </w:r>
            <w:r w:rsidRPr="001D606E">
              <w:rPr>
                <w:rFonts w:asciiTheme="minorHAnsi" w:hAnsiTheme="minorHAnsi" w:cstheme="minorHAnsi"/>
                <w:sz w:val="22"/>
                <w:szCs w:val="22"/>
                <w:lang w:eastAsia="zh-CN"/>
              </w:rPr>
              <w:t>1</w:t>
            </w:r>
            <w:r w:rsidRPr="001D606E">
              <w:rPr>
                <w:rFonts w:asciiTheme="minorHAnsi" w:hAnsiTheme="minorHAnsi" w:cstheme="minorHAnsi"/>
                <w:sz w:val="22"/>
                <w:szCs w:val="22"/>
                <w:lang w:eastAsia="zh-CN"/>
              </w:rPr>
              <w:t>和</w:t>
            </w:r>
            <w:r w:rsidRPr="001D606E">
              <w:rPr>
                <w:rFonts w:asciiTheme="minorHAnsi" w:hAnsiTheme="minorHAnsi" w:cstheme="minorHAnsi"/>
                <w:sz w:val="22"/>
                <w:szCs w:val="22"/>
                <w:lang w:eastAsia="zh-CN"/>
              </w:rPr>
              <w:t>2</w:t>
            </w:r>
            <w:r w:rsidRPr="001D606E">
              <w:rPr>
                <w:rFonts w:asciiTheme="minorHAnsi" w:hAnsiTheme="minorHAnsi" w:cstheme="minorHAnsi"/>
                <w:sz w:val="22"/>
                <w:szCs w:val="22"/>
                <w:lang w:eastAsia="zh-CN"/>
              </w:rPr>
              <w:t>系本《规则》不可分割的组成部分。</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85D425C" w14:textId="239A012E" w:rsidR="00786486" w:rsidRPr="001D606E" w:rsidRDefault="00D4311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10.1</w:t>
            </w:r>
            <w:r w:rsidRPr="001D606E">
              <w:rPr>
                <w:rFonts w:asciiTheme="minorHAnsi" w:hAnsiTheme="minorHAnsi" w:cstheme="minorHAnsi"/>
                <w:sz w:val="22"/>
                <w:szCs w:val="22"/>
                <w:lang w:eastAsia="zh-CN"/>
              </w:rPr>
              <w:tab/>
            </w:r>
            <w:r w:rsidRPr="001D606E">
              <w:rPr>
                <w:rFonts w:asciiTheme="minorHAnsi" w:hAnsiTheme="minorHAnsi" w:cstheme="minorHAnsi"/>
                <w:sz w:val="22"/>
                <w:szCs w:val="22"/>
                <w:lang w:eastAsia="zh-CN"/>
              </w:rPr>
              <w:t>本规则于</w:t>
            </w:r>
            <w:r w:rsidRPr="001D606E">
              <w:rPr>
                <w:rFonts w:asciiTheme="minorHAnsi" w:hAnsiTheme="minorHAnsi" w:cstheme="minorHAnsi"/>
                <w:sz w:val="22"/>
                <w:szCs w:val="22"/>
                <w:lang w:eastAsia="zh-CN"/>
              </w:rPr>
              <w:t>1990</w:t>
            </w:r>
            <w:r w:rsidRPr="001D606E">
              <w:rPr>
                <w:rFonts w:asciiTheme="minorHAnsi" w:hAnsiTheme="minorHAnsi" w:cstheme="minorHAnsi"/>
                <w:sz w:val="22"/>
                <w:szCs w:val="22"/>
                <w:lang w:eastAsia="zh-CN"/>
              </w:rPr>
              <w:t>年</w:t>
            </w:r>
            <w:r w:rsidRPr="001D606E">
              <w:rPr>
                <w:rFonts w:asciiTheme="minorHAnsi" w:hAnsiTheme="minorHAnsi" w:cstheme="minorHAnsi"/>
                <w:sz w:val="22"/>
                <w:szCs w:val="22"/>
                <w:lang w:eastAsia="zh-CN"/>
              </w:rPr>
              <w:t>7</w:t>
            </w:r>
            <w:r w:rsidRPr="001D606E">
              <w:rPr>
                <w:rFonts w:asciiTheme="minorHAnsi" w:hAnsiTheme="minorHAnsi" w:cstheme="minorHAnsi"/>
                <w:sz w:val="22"/>
                <w:szCs w:val="22"/>
                <w:lang w:eastAsia="zh-CN"/>
              </w:rPr>
              <w:t>月</w:t>
            </w:r>
            <w:r w:rsidRPr="001D606E">
              <w:rPr>
                <w:rFonts w:asciiTheme="minorHAnsi" w:hAnsiTheme="minorHAnsi" w:cstheme="minorHAnsi"/>
                <w:sz w:val="22"/>
                <w:szCs w:val="22"/>
                <w:lang w:eastAsia="zh-CN"/>
              </w:rPr>
              <w:t>1</w:t>
            </w:r>
            <w:r w:rsidRPr="001D606E">
              <w:rPr>
                <w:rFonts w:asciiTheme="minorHAnsi" w:hAnsiTheme="minorHAnsi" w:cstheme="minorHAnsi"/>
                <w:sz w:val="22"/>
                <w:szCs w:val="22"/>
                <w:lang w:eastAsia="zh-CN"/>
              </w:rPr>
              <w:t>日世界协调时间</w:t>
            </w:r>
            <w:r w:rsidRPr="001D606E">
              <w:rPr>
                <w:rFonts w:asciiTheme="minorHAnsi" w:hAnsiTheme="minorHAnsi" w:cstheme="minorHAnsi"/>
                <w:sz w:val="22"/>
                <w:szCs w:val="22"/>
                <w:lang w:eastAsia="zh-CN"/>
              </w:rPr>
              <w:t>0001</w:t>
            </w:r>
            <w:r w:rsidRPr="001D606E">
              <w:rPr>
                <w:rFonts w:asciiTheme="minorHAnsi" w:hAnsiTheme="minorHAnsi" w:cstheme="minorHAnsi"/>
                <w:sz w:val="22"/>
                <w:szCs w:val="22"/>
                <w:lang w:eastAsia="zh-CN"/>
              </w:rPr>
              <w:t>时起生效，附录一、二和三构成本规则不可分割的一部分。</w:t>
            </w:r>
          </w:p>
          <w:p w14:paraId="3703492D" w14:textId="3DE60433" w:rsidR="00786486" w:rsidRPr="001D606E" w:rsidRDefault="00D4311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10.2</w:t>
            </w:r>
            <w:r w:rsidRPr="001D606E">
              <w:rPr>
                <w:rFonts w:asciiTheme="minorHAnsi" w:hAnsiTheme="minorHAnsi" w:cstheme="minorHAnsi"/>
                <w:sz w:val="22"/>
                <w:szCs w:val="22"/>
                <w:lang w:eastAsia="zh-CN"/>
              </w:rPr>
              <w:tab/>
            </w:r>
            <w:r w:rsidRPr="001D606E">
              <w:rPr>
                <w:rFonts w:asciiTheme="minorHAnsi" w:hAnsiTheme="minorHAnsi" w:cstheme="minorHAnsi"/>
                <w:sz w:val="22"/>
                <w:szCs w:val="22"/>
                <w:lang w:eastAsia="zh-CN"/>
              </w:rPr>
              <w:t>按照《国际电信公约》，从第</w:t>
            </w:r>
            <w:r w:rsidRPr="001D606E">
              <w:rPr>
                <w:rFonts w:asciiTheme="minorHAnsi" w:hAnsiTheme="minorHAnsi" w:cstheme="minorHAnsi"/>
                <w:sz w:val="22"/>
                <w:szCs w:val="22"/>
                <w:lang w:eastAsia="zh-CN"/>
              </w:rPr>
              <w:t>61</w:t>
            </w:r>
            <w:r w:rsidRPr="001D606E">
              <w:rPr>
                <w:rFonts w:asciiTheme="minorHAnsi" w:hAnsiTheme="minorHAnsi" w:cstheme="minorHAnsi"/>
                <w:sz w:val="22"/>
                <w:szCs w:val="22"/>
                <w:lang w:eastAsia="zh-CN"/>
              </w:rPr>
              <w:t>款规定的日期起，《电报规则》（</w:t>
            </w:r>
            <w:r w:rsidRPr="001D606E">
              <w:rPr>
                <w:rFonts w:asciiTheme="minorHAnsi" w:hAnsiTheme="minorHAnsi" w:cstheme="minorHAnsi"/>
                <w:sz w:val="22"/>
                <w:szCs w:val="22"/>
                <w:lang w:eastAsia="zh-CN"/>
              </w:rPr>
              <w:t>1973</w:t>
            </w:r>
            <w:r w:rsidRPr="001D606E">
              <w:rPr>
                <w:rFonts w:asciiTheme="minorHAnsi" w:hAnsiTheme="minorHAnsi" w:cstheme="minorHAnsi"/>
                <w:sz w:val="22"/>
                <w:szCs w:val="22"/>
                <w:lang w:eastAsia="zh-CN"/>
              </w:rPr>
              <w:t>年，日内瓦）和《电话规</w:t>
            </w:r>
            <w:r w:rsidRPr="001D606E">
              <w:rPr>
                <w:rFonts w:asciiTheme="minorHAnsi" w:hAnsiTheme="minorHAnsi" w:cstheme="minorHAnsi"/>
                <w:sz w:val="22"/>
                <w:szCs w:val="22"/>
                <w:lang w:eastAsia="zh-CN"/>
              </w:rPr>
              <w:lastRenderedPageBreak/>
              <w:t>则》（</w:t>
            </w:r>
            <w:r w:rsidRPr="001D606E">
              <w:rPr>
                <w:rFonts w:asciiTheme="minorHAnsi" w:hAnsiTheme="minorHAnsi" w:cstheme="minorHAnsi"/>
                <w:sz w:val="22"/>
                <w:szCs w:val="22"/>
                <w:lang w:eastAsia="zh-CN"/>
              </w:rPr>
              <w:t>1973</w:t>
            </w:r>
            <w:r w:rsidRPr="001D606E">
              <w:rPr>
                <w:rFonts w:asciiTheme="minorHAnsi" w:hAnsiTheme="minorHAnsi" w:cstheme="minorHAnsi"/>
                <w:sz w:val="22"/>
                <w:szCs w:val="22"/>
                <w:lang w:eastAsia="zh-CN"/>
              </w:rPr>
              <w:t>年，日内瓦）将由本《国际电信规则》（</w:t>
            </w:r>
            <w:r w:rsidRPr="001D606E">
              <w:rPr>
                <w:rFonts w:asciiTheme="minorHAnsi" w:hAnsiTheme="minorHAnsi" w:cstheme="minorHAnsi"/>
                <w:sz w:val="22"/>
                <w:szCs w:val="22"/>
                <w:lang w:eastAsia="zh-CN"/>
              </w:rPr>
              <w:t>1988</w:t>
            </w:r>
            <w:r w:rsidRPr="001D606E">
              <w:rPr>
                <w:rFonts w:asciiTheme="minorHAnsi" w:hAnsiTheme="minorHAnsi" w:cstheme="minorHAnsi"/>
                <w:sz w:val="22"/>
                <w:szCs w:val="22"/>
                <w:lang w:eastAsia="zh-CN"/>
              </w:rPr>
              <w:t>年，墨尔本）取代。</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141B0643" w14:textId="5F6FC5A0"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lastRenderedPageBreak/>
              <w:t>这一条款涉及生效</w:t>
            </w:r>
            <w:r w:rsidR="00447A67" w:rsidRPr="001D606E">
              <w:rPr>
                <w:rFonts w:asciiTheme="minorHAnsi" w:hAnsiTheme="minorHAnsi" w:cstheme="minorHAnsi" w:hint="eastAsia"/>
                <w:sz w:val="22"/>
                <w:szCs w:val="22"/>
                <w:lang w:eastAsia="zh-CN"/>
              </w:rPr>
              <w:t>，</w:t>
            </w:r>
            <w:r w:rsidRPr="001D606E">
              <w:rPr>
                <w:rFonts w:asciiTheme="minorHAnsi" w:hAnsiTheme="minorHAnsi" w:cstheme="minorHAnsi" w:hint="eastAsia"/>
                <w:sz w:val="22"/>
                <w:szCs w:val="22"/>
                <w:lang w:eastAsia="zh-CN"/>
              </w:rPr>
              <w:t>与</w:t>
            </w:r>
            <w:r w:rsidR="00043BD1" w:rsidRPr="001D606E">
              <w:rPr>
                <w:rFonts w:asciiTheme="minorHAnsi" w:hAnsiTheme="minorHAnsi" w:cstheme="minorHAnsi" w:hint="eastAsia"/>
                <w:sz w:val="22"/>
                <w:szCs w:val="22"/>
                <w:lang w:eastAsia="zh-CN"/>
              </w:rPr>
              <w:t>网络和业务的提供与发展</w:t>
            </w:r>
            <w:r w:rsidRPr="001D606E">
              <w:rPr>
                <w:rFonts w:asciiTheme="minorHAnsi" w:hAnsiTheme="minorHAnsi" w:cstheme="minorHAnsi" w:hint="eastAsia"/>
                <w:sz w:val="22"/>
                <w:szCs w:val="22"/>
                <w:lang w:eastAsia="zh-CN"/>
              </w:rPr>
              <w:t>无关。</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6BCBF3AE" w14:textId="26F73A43"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这项规定涉及生效问题，因此与提供灵活性以适应新趋势和</w:t>
            </w:r>
            <w:r w:rsidR="00447A67" w:rsidRPr="001D606E">
              <w:rPr>
                <w:rFonts w:asciiTheme="minorHAnsi" w:hAnsiTheme="minorHAnsi" w:cstheme="minorHAnsi" w:hint="eastAsia"/>
                <w:sz w:val="22"/>
                <w:szCs w:val="22"/>
                <w:lang w:eastAsia="zh-CN"/>
              </w:rPr>
              <w:t>正在</w:t>
            </w:r>
            <w:r w:rsidRPr="001D606E">
              <w:rPr>
                <w:rFonts w:asciiTheme="minorHAnsi" w:hAnsiTheme="minorHAnsi" w:cstheme="minorHAnsi" w:hint="eastAsia"/>
                <w:sz w:val="22"/>
                <w:szCs w:val="22"/>
                <w:lang w:eastAsia="zh-CN"/>
              </w:rPr>
              <w:t>出现问题无关。</w:t>
            </w:r>
          </w:p>
        </w:tc>
        <w:tc>
          <w:tcPr>
            <w:tcW w:w="2973" w:type="dxa"/>
            <w:tcBorders>
              <w:top w:val="nil"/>
              <w:left w:val="single" w:sz="8" w:space="0" w:color="000000"/>
              <w:bottom w:val="single" w:sz="8" w:space="0" w:color="auto"/>
              <w:right w:val="single" w:sz="8" w:space="0" w:color="000000"/>
            </w:tcBorders>
            <w:tcMar>
              <w:top w:w="56" w:type="dxa"/>
              <w:left w:w="56" w:type="dxa"/>
              <w:bottom w:w="56" w:type="dxa"/>
              <w:right w:w="56" w:type="dxa"/>
            </w:tcMar>
          </w:tcPr>
          <w:p w14:paraId="0A505506"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zh-CN"/>
              </w:rPr>
            </w:pPr>
          </w:p>
        </w:tc>
      </w:tr>
      <w:tr w:rsidR="00786486" w:rsidRPr="00786486" w14:paraId="39D3337D" w14:textId="77777777" w:rsidTr="006D18AB">
        <w:trPr>
          <w:trHeight w:val="13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6E3D8"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en-GB"/>
              </w:rPr>
            </w:pPr>
            <w:r w:rsidRPr="001D606E">
              <w:rPr>
                <w:rFonts w:asciiTheme="minorHAnsi" w:eastAsia="Arial" w:hAnsiTheme="minorHAnsi" w:cstheme="minorHAnsi"/>
                <w:sz w:val="22"/>
                <w:szCs w:val="22"/>
                <w:lang w:eastAsia="en-GB"/>
              </w:rPr>
              <w:t>14.2</w:t>
            </w: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FAAF6" w14:textId="76BE80DE" w:rsidR="00786486" w:rsidRPr="001D606E" w:rsidRDefault="009C4C63"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如果某成员国对本《规则》的一项或几项条款的适用提出保留，其它成员国在与提出保留的成员国的通信关系中毋须遵守该项或该几项条款。</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C1D4BBE" w14:textId="0C85EE80" w:rsidR="00786486" w:rsidRPr="001D606E" w:rsidRDefault="00D4311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eastAsia="SimSun" w:hAnsiTheme="minorHAnsi" w:cstheme="minorHAnsi"/>
                <w:sz w:val="22"/>
                <w:szCs w:val="22"/>
                <w:lang w:eastAsia="zh-CN"/>
              </w:rPr>
              <w:t>10.3</w:t>
            </w:r>
            <w:r w:rsidRPr="001D606E">
              <w:rPr>
                <w:rFonts w:asciiTheme="minorHAnsi" w:eastAsia="SimSun" w:hAnsiTheme="minorHAnsi" w:cstheme="minorHAnsi"/>
                <w:sz w:val="22"/>
                <w:szCs w:val="22"/>
                <w:lang w:eastAsia="zh-CN"/>
              </w:rPr>
              <w:tab/>
            </w:r>
            <w:r w:rsidRPr="001D606E">
              <w:rPr>
                <w:rFonts w:asciiTheme="minorHAnsi" w:eastAsia="SimSun" w:hAnsiTheme="minorHAnsi" w:cstheme="minorHAnsi"/>
                <w:sz w:val="22"/>
                <w:szCs w:val="22"/>
                <w:lang w:eastAsia="zh-CN"/>
              </w:rPr>
              <w:t>如果某一会员对本规则的某一项或某几项条款的适用性提出保留，其它会员及其主管部门</w:t>
            </w:r>
            <w:r w:rsidRPr="001D606E">
              <w:rPr>
                <w:rFonts w:asciiTheme="minorHAnsi" w:eastAsia="SimSun" w:hAnsiTheme="minorHAnsi" w:cstheme="minorHAnsi"/>
                <w:position w:val="6"/>
                <w:sz w:val="22"/>
                <w:szCs w:val="22"/>
              </w:rPr>
              <w:fldChar w:fldCharType="begin"/>
            </w:r>
            <w:r w:rsidRPr="001D606E">
              <w:rPr>
                <w:rFonts w:asciiTheme="minorHAnsi" w:eastAsia="SimSun" w:hAnsiTheme="minorHAnsi" w:cstheme="minorHAnsi"/>
                <w:position w:val="6"/>
                <w:sz w:val="22"/>
                <w:szCs w:val="22"/>
                <w:lang w:eastAsia="zh-CN"/>
              </w:rPr>
              <w:instrText xml:space="preserve"> NOTEREF _Ref319483268 \h  \* MERGEFORMAT </w:instrText>
            </w:r>
            <w:r w:rsidRPr="001D606E">
              <w:rPr>
                <w:rFonts w:asciiTheme="minorHAnsi" w:eastAsia="SimSun" w:hAnsiTheme="minorHAnsi" w:cstheme="minorHAnsi"/>
                <w:position w:val="6"/>
                <w:sz w:val="22"/>
                <w:szCs w:val="22"/>
              </w:rPr>
            </w:r>
            <w:r w:rsidRPr="001D606E">
              <w:rPr>
                <w:rFonts w:asciiTheme="minorHAnsi" w:eastAsia="SimSun" w:hAnsiTheme="minorHAnsi" w:cstheme="minorHAnsi"/>
                <w:position w:val="6"/>
                <w:sz w:val="22"/>
                <w:szCs w:val="22"/>
              </w:rPr>
              <w:fldChar w:fldCharType="separate"/>
            </w:r>
            <w:r w:rsidRPr="001D606E">
              <w:rPr>
                <w:rFonts w:asciiTheme="minorHAnsi" w:eastAsia="SimSun" w:hAnsiTheme="minorHAnsi" w:cstheme="minorHAnsi"/>
                <w:position w:val="6"/>
                <w:sz w:val="22"/>
                <w:szCs w:val="22"/>
                <w:lang w:eastAsia="zh-CN"/>
              </w:rPr>
              <w:t>*</w:t>
            </w:r>
            <w:r w:rsidRPr="001D606E">
              <w:rPr>
                <w:rFonts w:asciiTheme="minorHAnsi" w:eastAsia="SimSun" w:hAnsiTheme="minorHAnsi" w:cstheme="minorHAnsi"/>
                <w:position w:val="6"/>
                <w:sz w:val="22"/>
                <w:szCs w:val="22"/>
              </w:rPr>
              <w:fldChar w:fldCharType="end"/>
            </w:r>
            <w:r w:rsidRPr="001D606E">
              <w:rPr>
                <w:rFonts w:asciiTheme="minorHAnsi" w:eastAsia="SimSun" w:hAnsiTheme="minorHAnsi" w:cstheme="minorHAnsi"/>
                <w:sz w:val="22"/>
                <w:szCs w:val="22"/>
                <w:lang w:eastAsia="zh-CN"/>
              </w:rPr>
              <w:t>在与提出该项保留的会员及主管部门</w:t>
            </w:r>
            <w:r w:rsidRPr="001D606E">
              <w:rPr>
                <w:rFonts w:asciiTheme="minorHAnsi" w:eastAsia="SimSun" w:hAnsiTheme="minorHAnsi" w:cstheme="minorHAnsi"/>
                <w:position w:val="6"/>
                <w:sz w:val="22"/>
                <w:szCs w:val="22"/>
              </w:rPr>
              <w:fldChar w:fldCharType="begin"/>
            </w:r>
            <w:r w:rsidRPr="001D606E">
              <w:rPr>
                <w:rFonts w:asciiTheme="minorHAnsi" w:eastAsia="SimSun" w:hAnsiTheme="minorHAnsi" w:cstheme="minorHAnsi"/>
                <w:position w:val="6"/>
                <w:sz w:val="22"/>
                <w:szCs w:val="22"/>
                <w:lang w:eastAsia="zh-CN"/>
              </w:rPr>
              <w:instrText xml:space="preserve"> NOTEREF _Ref319483268 \h  \* MERGEFORMAT </w:instrText>
            </w:r>
            <w:r w:rsidRPr="001D606E">
              <w:rPr>
                <w:rFonts w:asciiTheme="minorHAnsi" w:eastAsia="SimSun" w:hAnsiTheme="minorHAnsi" w:cstheme="minorHAnsi"/>
                <w:position w:val="6"/>
                <w:sz w:val="22"/>
                <w:szCs w:val="22"/>
              </w:rPr>
            </w:r>
            <w:r w:rsidRPr="001D606E">
              <w:rPr>
                <w:rFonts w:asciiTheme="minorHAnsi" w:eastAsia="SimSun" w:hAnsiTheme="minorHAnsi" w:cstheme="minorHAnsi"/>
                <w:position w:val="6"/>
                <w:sz w:val="22"/>
                <w:szCs w:val="22"/>
              </w:rPr>
              <w:fldChar w:fldCharType="separate"/>
            </w:r>
            <w:r w:rsidRPr="001D606E">
              <w:rPr>
                <w:rFonts w:asciiTheme="minorHAnsi" w:eastAsia="SimSun" w:hAnsiTheme="minorHAnsi" w:cstheme="minorHAnsi"/>
                <w:position w:val="6"/>
                <w:sz w:val="22"/>
                <w:szCs w:val="22"/>
                <w:lang w:eastAsia="zh-CN"/>
              </w:rPr>
              <w:t>*</w:t>
            </w:r>
            <w:r w:rsidRPr="001D606E">
              <w:rPr>
                <w:rFonts w:asciiTheme="minorHAnsi" w:eastAsia="SimSun" w:hAnsiTheme="minorHAnsi" w:cstheme="minorHAnsi"/>
                <w:position w:val="6"/>
                <w:sz w:val="22"/>
                <w:szCs w:val="22"/>
              </w:rPr>
              <w:fldChar w:fldCharType="end"/>
            </w:r>
            <w:r w:rsidRPr="001D606E">
              <w:rPr>
                <w:rFonts w:asciiTheme="minorHAnsi" w:eastAsia="SimSun" w:hAnsiTheme="minorHAnsi" w:cstheme="minorHAnsi"/>
                <w:sz w:val="22"/>
                <w:szCs w:val="22"/>
                <w:lang w:eastAsia="zh-CN"/>
              </w:rPr>
              <w:t>的通信联络中可以不遵守该项或各该项条款。</w:t>
            </w:r>
          </w:p>
          <w:p w14:paraId="5AEF6654" w14:textId="4E4F43D0"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highlight w:val="yellow"/>
                <w:lang w:eastAsia="zh-CN"/>
              </w:rPr>
            </w:pPr>
            <w:r w:rsidRPr="001D606E">
              <w:rPr>
                <w:rFonts w:ascii="Arial" w:eastAsia="Arial" w:hAnsi="Arial" w:cs="Arial"/>
                <w:sz w:val="22"/>
                <w:szCs w:val="22"/>
                <w:lang w:eastAsia="zh-CN"/>
              </w:rPr>
              <w:t>*</w:t>
            </w:r>
            <w:r w:rsidR="00D267AF" w:rsidRPr="001D606E">
              <w:rPr>
                <w:rFonts w:ascii="Segoe UI" w:hAnsi="Segoe UI" w:cs="Segoe UI"/>
                <w:color w:val="000000"/>
                <w:sz w:val="22"/>
                <w:szCs w:val="22"/>
                <w:shd w:val="clear" w:color="auto" w:fill="FFFFFF"/>
                <w:lang w:eastAsia="zh-CN"/>
              </w:rPr>
              <w:t>或经认可的私营运营机</w:t>
            </w:r>
            <w:r w:rsidR="00D267AF" w:rsidRPr="001D606E">
              <w:rPr>
                <w:rFonts w:ascii="Segoe UI" w:hAnsi="Segoe UI" w:cs="Segoe UI" w:hint="eastAsia"/>
                <w:color w:val="000000"/>
                <w:sz w:val="22"/>
                <w:szCs w:val="22"/>
                <w:shd w:val="clear" w:color="auto" w:fill="FFFFFF"/>
                <w:lang w:eastAsia="zh-CN"/>
              </w:rPr>
              <w:t>构</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9B2E9EA" w14:textId="2AA2D860"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由于该条款允许成员国对条约的任何条款</w:t>
            </w:r>
            <w:proofErr w:type="gramStart"/>
            <w:r w:rsidRPr="001D606E">
              <w:rPr>
                <w:rFonts w:asciiTheme="minorHAnsi" w:hAnsiTheme="minorHAnsi" w:cstheme="minorHAnsi" w:hint="eastAsia"/>
                <w:sz w:val="22"/>
                <w:szCs w:val="22"/>
                <w:lang w:eastAsia="zh-CN"/>
              </w:rPr>
              <w:t>作出</w:t>
            </w:r>
            <w:proofErr w:type="gramEnd"/>
            <w:r w:rsidRPr="001D606E">
              <w:rPr>
                <w:rFonts w:asciiTheme="minorHAnsi" w:hAnsiTheme="minorHAnsi" w:cstheme="minorHAnsi" w:hint="eastAsia"/>
                <w:sz w:val="22"/>
                <w:szCs w:val="22"/>
                <w:lang w:eastAsia="zh-CN"/>
              </w:rPr>
              <w:t>保留，削弱了条约的效力，因此，该条款无助于促进</w:t>
            </w:r>
            <w:r w:rsidR="00043BD1" w:rsidRPr="001D606E">
              <w:rPr>
                <w:rFonts w:asciiTheme="minorHAnsi" w:hAnsiTheme="minorHAnsi" w:cstheme="minorHAnsi" w:hint="eastAsia"/>
                <w:sz w:val="22"/>
                <w:szCs w:val="22"/>
                <w:lang w:eastAsia="zh-CN"/>
              </w:rPr>
              <w:t>网络和业务的提供与发展</w:t>
            </w:r>
            <w:r w:rsidRPr="001D606E">
              <w:rPr>
                <w:rFonts w:asciiTheme="minorHAnsi" w:hAnsiTheme="minorHAnsi" w:cstheme="minorHAnsi" w:hint="eastAsia"/>
                <w:sz w:val="22"/>
                <w:szCs w:val="22"/>
                <w:lang w:eastAsia="zh-CN"/>
              </w:rPr>
              <w:t>。</w:t>
            </w:r>
          </w:p>
          <w:p w14:paraId="5FC4B71C"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p>
        </w:tc>
        <w:tc>
          <w:tcPr>
            <w:tcW w:w="2973" w:type="dxa"/>
            <w:tcBorders>
              <w:top w:val="single" w:sz="8" w:space="0" w:color="000000"/>
              <w:left w:val="single" w:sz="8" w:space="0" w:color="000000"/>
              <w:bottom w:val="single" w:sz="8" w:space="0" w:color="000000"/>
              <w:right w:val="single" w:sz="8" w:space="0" w:color="auto"/>
            </w:tcBorders>
            <w:tcMar>
              <w:top w:w="56" w:type="dxa"/>
              <w:left w:w="56" w:type="dxa"/>
              <w:bottom w:w="56" w:type="dxa"/>
              <w:right w:w="56" w:type="dxa"/>
            </w:tcMar>
          </w:tcPr>
          <w:p w14:paraId="6D6751D4" w14:textId="08E05E44" w:rsidR="00786486" w:rsidRPr="001D606E" w:rsidRDefault="00995FD4"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hAnsiTheme="minorHAnsi" w:cstheme="minorHAnsi"/>
                <w:sz w:val="22"/>
                <w:szCs w:val="22"/>
                <w:lang w:eastAsia="zh-CN"/>
              </w:rPr>
            </w:pPr>
            <w:r w:rsidRPr="001D606E">
              <w:rPr>
                <w:rFonts w:asciiTheme="minorHAnsi" w:hAnsiTheme="minorHAnsi" w:cstheme="minorHAnsi" w:hint="eastAsia"/>
                <w:sz w:val="22"/>
                <w:szCs w:val="22"/>
                <w:lang w:eastAsia="zh-CN"/>
              </w:rPr>
              <w:t>由于这一规定允许成员国对条约的任何条款提出保留，</w:t>
            </w:r>
            <w:r w:rsidR="00373443" w:rsidRPr="001D606E">
              <w:rPr>
                <w:rFonts w:asciiTheme="minorHAnsi" w:hAnsiTheme="minorHAnsi" w:cstheme="minorHAnsi" w:hint="eastAsia"/>
                <w:sz w:val="22"/>
                <w:szCs w:val="22"/>
                <w:lang w:eastAsia="zh-CN"/>
              </w:rPr>
              <w:t>削弱了条约的效力</w:t>
            </w:r>
            <w:r w:rsidRPr="001D606E">
              <w:rPr>
                <w:rFonts w:asciiTheme="minorHAnsi" w:hAnsiTheme="minorHAnsi" w:cstheme="minorHAnsi" w:hint="eastAsia"/>
                <w:sz w:val="22"/>
                <w:szCs w:val="22"/>
                <w:lang w:eastAsia="zh-CN"/>
              </w:rPr>
              <w:t>。在出现新趋势或新问题时，</w:t>
            </w:r>
            <w:r w:rsidR="00373443" w:rsidRPr="001D606E">
              <w:rPr>
                <w:rFonts w:asciiTheme="minorHAnsi" w:hAnsiTheme="minorHAnsi" w:cstheme="minorHAnsi" w:hint="eastAsia"/>
                <w:sz w:val="22"/>
                <w:szCs w:val="22"/>
                <w:lang w:eastAsia="zh-CN"/>
              </w:rPr>
              <w:t>它并</w:t>
            </w:r>
            <w:r w:rsidRPr="001D606E">
              <w:rPr>
                <w:rFonts w:asciiTheme="minorHAnsi" w:hAnsiTheme="minorHAnsi" w:cstheme="minorHAnsi" w:hint="eastAsia"/>
                <w:sz w:val="22"/>
                <w:szCs w:val="22"/>
                <w:lang w:eastAsia="zh-CN"/>
              </w:rPr>
              <w:t>不</w:t>
            </w:r>
            <w:r w:rsidR="00373443" w:rsidRPr="001D606E">
              <w:rPr>
                <w:rFonts w:asciiTheme="minorHAnsi" w:hAnsiTheme="minorHAnsi" w:cstheme="minorHAnsi" w:hint="eastAsia"/>
                <w:sz w:val="22"/>
                <w:szCs w:val="22"/>
                <w:lang w:eastAsia="zh-CN"/>
              </w:rPr>
              <w:t>提供</w:t>
            </w:r>
            <w:r w:rsidRPr="001D606E">
              <w:rPr>
                <w:rFonts w:asciiTheme="minorHAnsi" w:hAnsiTheme="minorHAnsi" w:cstheme="minorHAnsi" w:hint="eastAsia"/>
                <w:sz w:val="22"/>
                <w:szCs w:val="22"/>
                <w:lang w:eastAsia="zh-CN"/>
              </w:rPr>
              <w:t>灵活性。</w:t>
            </w:r>
          </w:p>
        </w:tc>
        <w:tc>
          <w:tcPr>
            <w:tcW w:w="2973" w:type="dxa"/>
            <w:tcBorders>
              <w:top w:val="single" w:sz="8" w:space="0" w:color="auto"/>
              <w:left w:val="single" w:sz="8" w:space="0" w:color="auto"/>
              <w:bottom w:val="single" w:sz="8" w:space="0" w:color="auto"/>
              <w:right w:val="single" w:sz="8" w:space="0" w:color="auto"/>
            </w:tcBorders>
            <w:tcMar>
              <w:top w:w="56" w:type="dxa"/>
              <w:left w:w="56" w:type="dxa"/>
              <w:bottom w:w="56" w:type="dxa"/>
              <w:right w:w="56" w:type="dxa"/>
            </w:tcMar>
          </w:tcPr>
          <w:p w14:paraId="2FBB26FB"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zh-CN"/>
              </w:rPr>
            </w:pPr>
          </w:p>
        </w:tc>
      </w:tr>
      <w:tr w:rsidR="00786486" w:rsidRPr="00786486" w14:paraId="38FEDD4E" w14:textId="77777777" w:rsidTr="006D18AB">
        <w:trPr>
          <w:trHeight w:val="13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B271C"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jc w:val="center"/>
              <w:textAlignment w:val="auto"/>
              <w:rPr>
                <w:rFonts w:asciiTheme="minorHAnsi" w:eastAsia="Arial" w:hAnsiTheme="minorHAnsi" w:cstheme="minorHAnsi"/>
                <w:sz w:val="22"/>
                <w:szCs w:val="22"/>
                <w:lang w:eastAsia="zh-CN"/>
              </w:rPr>
            </w:pPr>
          </w:p>
        </w:tc>
        <w:tc>
          <w:tcPr>
            <w:tcW w:w="27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8622C"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highlight w:val="yellow"/>
                <w:lang w:eastAsia="zh-CN"/>
              </w:rPr>
            </w:pP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B53161E" w14:textId="5F80F783" w:rsidR="00786486" w:rsidRPr="001D606E" w:rsidRDefault="00D43116" w:rsidP="00786486">
            <w:pPr>
              <w:tabs>
                <w:tab w:val="clear" w:pos="794"/>
                <w:tab w:val="clear" w:pos="1191"/>
                <w:tab w:val="clear" w:pos="1588"/>
                <w:tab w:val="clear" w:pos="1985"/>
              </w:tabs>
              <w:overflowPunct/>
              <w:autoSpaceDE/>
              <w:autoSpaceDN/>
              <w:adjustRightInd/>
              <w:spacing w:before="0" w:line="276" w:lineRule="auto"/>
              <w:textAlignment w:val="auto"/>
              <w:rPr>
                <w:rFonts w:asciiTheme="minorHAnsi" w:eastAsia="Arial" w:hAnsiTheme="minorHAnsi" w:cstheme="minorHAnsi"/>
                <w:sz w:val="22"/>
                <w:szCs w:val="22"/>
                <w:highlight w:val="yellow"/>
                <w:lang w:eastAsia="zh-CN"/>
              </w:rPr>
            </w:pPr>
            <w:r w:rsidRPr="001D606E">
              <w:rPr>
                <w:rFonts w:asciiTheme="minorHAnsi" w:hAnsiTheme="minorHAnsi" w:cstheme="minorHAnsi"/>
                <w:sz w:val="22"/>
                <w:szCs w:val="22"/>
                <w:lang w:eastAsia="zh-CN"/>
              </w:rPr>
              <w:t>10.4</w:t>
            </w:r>
            <w:r w:rsidRPr="001D606E">
              <w:rPr>
                <w:rFonts w:asciiTheme="minorHAnsi" w:hAnsiTheme="minorHAnsi" w:cstheme="minorHAnsi"/>
                <w:sz w:val="22"/>
                <w:szCs w:val="22"/>
                <w:lang w:eastAsia="zh-CN"/>
              </w:rPr>
              <w:tab/>
            </w:r>
            <w:r w:rsidRPr="001D606E">
              <w:rPr>
                <w:rFonts w:asciiTheme="minorHAnsi" w:hAnsiTheme="minorHAnsi" w:cstheme="minorHAnsi"/>
                <w:sz w:val="22"/>
                <w:szCs w:val="22"/>
                <w:lang w:eastAsia="zh-CN"/>
              </w:rPr>
              <w:t>电联各会员应将其对大会通过的《国际电信规则》的批准通知秘书长。秘书长应将这种批准通知书的收妥迅即告知各会员。</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D848558"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lang w:eastAsia="zh-CN"/>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1FFC51F8" w14:textId="77777777" w:rsidR="00786486" w:rsidRPr="001D606E"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2"/>
                <w:szCs w:val="22"/>
                <w:lang w:eastAsia="zh-CN"/>
              </w:rPr>
            </w:pPr>
          </w:p>
        </w:tc>
        <w:tc>
          <w:tcPr>
            <w:tcW w:w="2973" w:type="dxa"/>
            <w:tcBorders>
              <w:top w:val="single" w:sz="8" w:space="0" w:color="auto"/>
              <w:left w:val="single" w:sz="8" w:space="0" w:color="000000"/>
              <w:bottom w:val="single" w:sz="8" w:space="0" w:color="000000"/>
              <w:right w:val="single" w:sz="8" w:space="0" w:color="000000"/>
            </w:tcBorders>
            <w:tcMar>
              <w:top w:w="56" w:type="dxa"/>
              <w:left w:w="56" w:type="dxa"/>
              <w:bottom w:w="56" w:type="dxa"/>
              <w:right w:w="56" w:type="dxa"/>
            </w:tcMar>
          </w:tcPr>
          <w:p w14:paraId="2DE15822" w14:textId="77777777" w:rsidR="00786486" w:rsidRPr="00786486" w:rsidRDefault="00786486" w:rsidP="00786486">
            <w:pPr>
              <w:tabs>
                <w:tab w:val="clear" w:pos="794"/>
                <w:tab w:val="clear" w:pos="1191"/>
                <w:tab w:val="clear" w:pos="1588"/>
                <w:tab w:val="clear" w:pos="1985"/>
              </w:tabs>
              <w:overflowPunct/>
              <w:autoSpaceDE/>
              <w:autoSpaceDN/>
              <w:adjustRightInd/>
              <w:spacing w:before="0" w:line="276" w:lineRule="auto"/>
              <w:textAlignment w:val="auto"/>
              <w:rPr>
                <w:rFonts w:ascii="Arial" w:eastAsia="Arial" w:hAnsi="Arial" w:cs="Arial"/>
                <w:sz w:val="20"/>
                <w:lang w:eastAsia="zh-CN"/>
              </w:rPr>
            </w:pPr>
          </w:p>
        </w:tc>
      </w:tr>
    </w:tbl>
    <w:bookmarkEnd w:id="2"/>
    <w:p w14:paraId="3975CDE5" w14:textId="05B26334" w:rsidR="00AA5C97" w:rsidRDefault="00745BDB" w:rsidP="00C40EC5">
      <w:pPr>
        <w:spacing w:before="240"/>
        <w:ind w:firstLineChars="200" w:firstLine="480"/>
        <w:rPr>
          <w:rFonts w:ascii="Calibri" w:hAnsi="Calibri" w:cs="Calibri"/>
          <w:szCs w:val="24"/>
          <w:lang w:val="en-US" w:eastAsia="zh-CN"/>
        </w:rPr>
      </w:pPr>
      <w:r w:rsidRPr="00BB146D">
        <w:rPr>
          <w:rFonts w:ascii="Calibri" w:hAnsi="Calibri" w:cs="Calibri"/>
          <w:szCs w:val="24"/>
          <w:lang w:val="en-US" w:eastAsia="zh-CN"/>
        </w:rPr>
        <w:t>我们对附录</w:t>
      </w:r>
      <w:r w:rsidR="001C3AEA">
        <w:rPr>
          <w:rFonts w:ascii="Calibri" w:hAnsi="Calibri" w:cs="Calibri"/>
          <w:szCs w:val="24"/>
          <w:lang w:val="en-US" w:eastAsia="zh-CN"/>
        </w:rPr>
        <w:t>2</w:t>
      </w:r>
      <w:r w:rsidRPr="00BB146D">
        <w:rPr>
          <w:rFonts w:ascii="Calibri" w:hAnsi="Calibri" w:cs="Calibri"/>
          <w:szCs w:val="24"/>
          <w:lang w:val="en-US" w:eastAsia="zh-CN"/>
        </w:rPr>
        <w:t>的看法已在</w:t>
      </w:r>
      <w:r w:rsidR="00210827">
        <w:rPr>
          <w:rFonts w:ascii="Calibri" w:hAnsi="Calibri" w:cs="Calibri" w:hint="eastAsia"/>
          <w:szCs w:val="24"/>
          <w:lang w:val="en-US" w:eastAsia="zh-CN"/>
        </w:rPr>
        <w:t>我们的</w:t>
      </w:r>
      <w:proofErr w:type="gramStart"/>
      <w:r w:rsidR="00210827">
        <w:rPr>
          <w:rFonts w:ascii="Calibri" w:hAnsi="Calibri" w:cs="Calibri" w:hint="eastAsia"/>
          <w:szCs w:val="24"/>
          <w:lang w:val="en-US" w:eastAsia="zh-CN"/>
        </w:rPr>
        <w:t>总看法</w:t>
      </w:r>
      <w:proofErr w:type="gramEnd"/>
      <w:r w:rsidR="00210827">
        <w:rPr>
          <w:rFonts w:ascii="Calibri" w:hAnsi="Calibri" w:cs="Calibri" w:hint="eastAsia"/>
          <w:szCs w:val="24"/>
          <w:lang w:val="en-US" w:eastAsia="zh-CN"/>
        </w:rPr>
        <w:t>和条款（尤其是第</w:t>
      </w:r>
      <w:r w:rsidR="00210827">
        <w:rPr>
          <w:rFonts w:ascii="Calibri" w:hAnsi="Calibri" w:cs="Calibri" w:hint="eastAsia"/>
          <w:szCs w:val="24"/>
          <w:lang w:val="en-US" w:eastAsia="zh-CN"/>
        </w:rPr>
        <w:t>8</w:t>
      </w:r>
      <w:r w:rsidR="00210827">
        <w:rPr>
          <w:rFonts w:ascii="Calibri" w:hAnsi="Calibri" w:cs="Calibri" w:hint="eastAsia"/>
          <w:szCs w:val="24"/>
          <w:lang w:val="en-US" w:eastAsia="zh-CN"/>
        </w:rPr>
        <w:t>条）的</w:t>
      </w:r>
      <w:r w:rsidRPr="00BB146D">
        <w:rPr>
          <w:rFonts w:ascii="Calibri" w:hAnsi="Calibri" w:cs="Calibri"/>
          <w:szCs w:val="24"/>
          <w:lang w:val="en-US" w:eastAsia="zh-CN"/>
        </w:rPr>
        <w:t>分析中谈及，因此为避免重复，不再列入。</w:t>
      </w:r>
    </w:p>
    <w:p w14:paraId="2794869A" w14:textId="77777777" w:rsidR="00FE65FD" w:rsidRPr="00BB146D" w:rsidRDefault="00FE65FD" w:rsidP="00E4236E">
      <w:pPr>
        <w:rPr>
          <w:rFonts w:ascii="Calibri" w:hAnsi="Calibri" w:cs="Calibri" w:hint="eastAsia"/>
          <w:szCs w:val="24"/>
          <w:lang w:val="en-US" w:eastAsia="zh-CN"/>
        </w:rPr>
      </w:pPr>
    </w:p>
    <w:p w14:paraId="7F039AD9" w14:textId="3D5FE41D" w:rsidR="00A33B18" w:rsidRPr="00B2320C" w:rsidRDefault="000B7069" w:rsidP="00B2320C">
      <w:pPr>
        <w:jc w:val="center"/>
        <w:rPr>
          <w:rFonts w:ascii="Calibri" w:hAnsi="Calibri" w:cs="Calibri"/>
        </w:rPr>
      </w:pPr>
      <w:r w:rsidRPr="00E07523">
        <w:rPr>
          <w:rFonts w:ascii="Calibri" w:hAnsi="Calibri" w:cs="Calibri"/>
        </w:rPr>
        <w:t>______________</w:t>
      </w:r>
    </w:p>
    <w:sectPr w:rsidR="00A33B18" w:rsidRPr="00B2320C" w:rsidSect="00AA5C97">
      <w:headerReference w:type="first" r:id="rId15"/>
      <w:footerReference w:type="first" r:id="rId1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FCD55" w14:textId="77777777" w:rsidR="00DD4EA6" w:rsidRDefault="00DD4EA6">
      <w:r>
        <w:separator/>
      </w:r>
    </w:p>
  </w:endnote>
  <w:endnote w:type="continuationSeparator" w:id="0">
    <w:p w14:paraId="14FA679D" w14:textId="77777777" w:rsidR="00DD4EA6" w:rsidRDefault="00DD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CB45" w14:textId="591C3E9D" w:rsidR="00E603D2" w:rsidRPr="00BD14D2" w:rsidRDefault="00E603D2" w:rsidP="007F4867">
    <w:pPr>
      <w:pStyle w:val="Footer"/>
      <w:spacing w:before="240"/>
      <w:rPr>
        <w:rFonts w:asciiTheme="minorHAnsi" w:hAnsiTheme="minorHAnsi"/>
        <w:lang w:val="fr-CH"/>
      </w:rPr>
    </w:pPr>
    <w:r w:rsidRPr="00E603D2">
      <w:rPr>
        <w:rFonts w:asciiTheme="minorHAnsi" w:hAnsiTheme="minorHAnsi"/>
      </w:rPr>
      <w:fldChar w:fldCharType="begin"/>
    </w:r>
    <w:r w:rsidRPr="00E603D2">
      <w:rPr>
        <w:rFonts w:asciiTheme="minorHAnsi" w:hAnsiTheme="minorHAnsi"/>
        <w:lang w:val="fr-CH"/>
      </w:rPr>
      <w:instrText xml:space="preserve"> FILENAME \p \* MERGEFORMAT </w:instrText>
    </w:r>
    <w:r w:rsidRPr="00E603D2">
      <w:rPr>
        <w:rFonts w:asciiTheme="minorHAnsi" w:hAnsiTheme="minorHAnsi"/>
      </w:rPr>
      <w:fldChar w:fldCharType="separate"/>
    </w:r>
    <w:r w:rsidR="009C144F">
      <w:rPr>
        <w:rFonts w:asciiTheme="minorHAnsi" w:hAnsiTheme="minorHAnsi"/>
        <w:lang w:val="fr-CH"/>
      </w:rPr>
      <w:t>P:\CHI\SG\CONSEIL\EG-ITR\EG-ITR-4\000\004C.docx</w:t>
    </w:r>
    <w:r w:rsidRPr="00E603D2">
      <w:rPr>
        <w:rFonts w:asciiTheme="minorHAnsi" w:hAnsiTheme="minorHAnsi"/>
      </w:rPr>
      <w:fldChar w:fldCharType="end"/>
    </w:r>
    <w:r w:rsidRPr="00E603D2">
      <w:rPr>
        <w:rFonts w:asciiTheme="minorHAnsi" w:hAnsiTheme="minorHAnsi"/>
        <w:lang w:val="fr-CH"/>
      </w:rPr>
      <w:t xml:space="preserve"> (4</w:t>
    </w:r>
    <w:r w:rsidR="00786486">
      <w:rPr>
        <w:rFonts w:asciiTheme="minorHAnsi" w:hAnsiTheme="minorHAnsi"/>
        <w:lang w:val="fr-CH" w:eastAsia="zh-CN"/>
      </w:rPr>
      <w:t>82069</w:t>
    </w:r>
    <w:r w:rsidRPr="00E603D2">
      <w:rPr>
        <w:rFonts w:asciiTheme="minorHAnsi" w:hAnsiTheme="minorHAnsi"/>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8F6D" w14:textId="77777777" w:rsidR="00E603D2" w:rsidRPr="00E603D2" w:rsidRDefault="00E603D2" w:rsidP="00E603D2">
    <w:pPr>
      <w:spacing w:after="120"/>
      <w:jc w:val="center"/>
      <w:rPr>
        <w:rFonts w:asciiTheme="minorHAnsi" w:hAnsiTheme="minorHAnsi"/>
      </w:rPr>
    </w:pPr>
    <w:r w:rsidRPr="00E603D2">
      <w:rPr>
        <w:rFonts w:asciiTheme="minorHAnsi" w:hAnsiTheme="minorHAnsi"/>
      </w:rPr>
      <w:t xml:space="preserve">• </w:t>
    </w:r>
    <w:hyperlink r:id="rId1" w:history="1">
      <w:r w:rsidRPr="00E603D2">
        <w:rPr>
          <w:rStyle w:val="Hyperlink"/>
          <w:rFonts w:asciiTheme="minorHAnsi" w:hAnsiTheme="minorHAnsi"/>
        </w:rPr>
        <w:t>http://www.itu.int/council</w:t>
      </w:r>
    </w:hyperlink>
    <w:r w:rsidRPr="00E603D2">
      <w:rPr>
        <w:rFonts w:asciiTheme="minorHAnsi" w:hAnsi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D61D" w14:textId="77777777" w:rsidR="00786486" w:rsidRPr="00786486" w:rsidRDefault="00786486" w:rsidP="00786486">
    <w:pPr>
      <w:pStyle w:val="Footer"/>
      <w:spacing w:before="240"/>
      <w:rPr>
        <w:rFonts w:ascii="Calibri" w:hAnsi="Calibri"/>
        <w:lang w:val="fr-CH"/>
      </w:rPr>
    </w:pPr>
    <w:r w:rsidRPr="00786486">
      <w:rPr>
        <w:rFonts w:ascii="Calibri" w:hAnsi="Calibri"/>
      </w:rPr>
      <w:fldChar w:fldCharType="begin"/>
    </w:r>
    <w:r w:rsidRPr="00786486">
      <w:rPr>
        <w:rFonts w:ascii="Calibri" w:hAnsi="Calibri"/>
        <w:lang w:val="fr-CH"/>
      </w:rPr>
      <w:instrText xml:space="preserve"> FILENAME \p \* MERGEFORMAT </w:instrText>
    </w:r>
    <w:r w:rsidRPr="00786486">
      <w:rPr>
        <w:rFonts w:ascii="Calibri" w:hAnsi="Calibri"/>
      </w:rPr>
      <w:fldChar w:fldCharType="separate"/>
    </w:r>
    <w:r w:rsidRPr="00786486">
      <w:rPr>
        <w:rFonts w:ascii="Calibri" w:hAnsi="Calibri"/>
        <w:lang w:val="fr-CH"/>
      </w:rPr>
      <w:t>P:\TRAD\C\SG\CONSEIL\EG-ITR\EG-ITR-4\000\004C-montage.docx</w:t>
    </w:r>
    <w:r w:rsidRPr="00786486">
      <w:rPr>
        <w:rFonts w:ascii="Calibri" w:hAnsi="Calibri"/>
      </w:rPr>
      <w:fldChar w:fldCharType="end"/>
    </w:r>
    <w:r w:rsidRPr="00786486">
      <w:rPr>
        <w:rFonts w:ascii="Calibri" w:hAnsi="Calibri"/>
        <w:lang w:val="fr-CH"/>
      </w:rPr>
      <w:t xml:space="preserve"> (4</w:t>
    </w:r>
    <w:r w:rsidRPr="00786486">
      <w:rPr>
        <w:rFonts w:ascii="Calibri" w:hAnsi="Calibri"/>
        <w:lang w:val="fr-CH" w:eastAsia="zh-CN"/>
      </w:rPr>
      <w:t>82069</w:t>
    </w:r>
    <w:r w:rsidRPr="00786486">
      <w:rPr>
        <w:rFonts w:ascii="Calibri" w:hAnsi="Calibri"/>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04B25" w14:textId="77777777" w:rsidR="00DD4EA6" w:rsidRDefault="00DD4EA6">
      <w:r>
        <w:t>____________________</w:t>
      </w:r>
    </w:p>
  </w:footnote>
  <w:footnote w:type="continuationSeparator" w:id="0">
    <w:p w14:paraId="7A370FD4" w14:textId="77777777" w:rsidR="00DD4EA6" w:rsidRDefault="00DD4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68D4E" w14:textId="5073130C" w:rsidR="00D7144D" w:rsidRDefault="00D7144D" w:rsidP="00C374DE">
    <w:pPr>
      <w:pStyle w:val="Header"/>
      <w:rPr>
        <w:rFonts w:asciiTheme="minorHAnsi" w:hAnsiTheme="minorHAnsi"/>
      </w:rPr>
    </w:pPr>
    <w:r w:rsidRPr="00E603D2">
      <w:rPr>
        <w:rFonts w:asciiTheme="minorHAnsi" w:hAnsiTheme="minorHAnsi"/>
      </w:rPr>
      <w:t xml:space="preserve">- </w:t>
    </w:r>
    <w:r w:rsidRPr="00E603D2">
      <w:rPr>
        <w:rFonts w:asciiTheme="minorHAnsi" w:hAnsiTheme="minorHAnsi"/>
      </w:rPr>
      <w:fldChar w:fldCharType="begin"/>
    </w:r>
    <w:r w:rsidRPr="00E603D2">
      <w:rPr>
        <w:rFonts w:asciiTheme="minorHAnsi" w:hAnsiTheme="minorHAnsi"/>
      </w:rPr>
      <w:instrText>PAGE</w:instrText>
    </w:r>
    <w:r w:rsidRPr="00E603D2">
      <w:rPr>
        <w:rFonts w:asciiTheme="minorHAnsi" w:hAnsiTheme="minorHAnsi"/>
      </w:rPr>
      <w:fldChar w:fldCharType="separate"/>
    </w:r>
    <w:r w:rsidR="00987718">
      <w:rPr>
        <w:rFonts w:asciiTheme="minorHAnsi" w:hAnsiTheme="minorHAnsi"/>
        <w:noProof/>
      </w:rPr>
      <w:t>2</w:t>
    </w:r>
    <w:r w:rsidRPr="00E603D2">
      <w:rPr>
        <w:rFonts w:asciiTheme="minorHAnsi" w:hAnsiTheme="minorHAnsi"/>
      </w:rPr>
      <w:fldChar w:fldCharType="end"/>
    </w:r>
    <w:r w:rsidR="00786486">
      <w:rPr>
        <w:rFonts w:asciiTheme="minorHAnsi" w:hAnsiTheme="minorHAnsi"/>
      </w:rPr>
      <w:t xml:space="preserve"> </w:t>
    </w:r>
    <w:r w:rsidRPr="00E603D2">
      <w:rPr>
        <w:rFonts w:asciiTheme="minorHAnsi" w:hAnsiTheme="minorHAnsi"/>
      </w:rPr>
      <w:t>-</w:t>
    </w:r>
  </w:p>
  <w:p w14:paraId="02571EA5" w14:textId="69AE9CEE" w:rsidR="00505720" w:rsidRPr="00786486" w:rsidRDefault="00216864" w:rsidP="00786486">
    <w:pPr>
      <w:pStyle w:val="Header"/>
      <w:spacing w:after="120"/>
      <w:rPr>
        <w:rFonts w:asciiTheme="minorHAnsi" w:hAnsiTheme="minorHAnsi"/>
        <w:lang w:val="en-GB"/>
      </w:rPr>
    </w:pPr>
    <w:r w:rsidRPr="00216864">
      <w:rPr>
        <w:rFonts w:asciiTheme="minorHAnsi" w:hAnsiTheme="minorHAnsi"/>
        <w:lang w:val="en-GB"/>
      </w:rPr>
      <w:t>EG-ITRs-</w:t>
    </w:r>
    <w:r w:rsidR="00786486">
      <w:rPr>
        <w:rFonts w:asciiTheme="minorHAnsi" w:hAnsiTheme="minorHAnsi"/>
        <w:lang w:val="en-GB"/>
      </w:rPr>
      <w:t>4</w:t>
    </w:r>
    <w:r w:rsidRPr="00216864">
      <w:rPr>
        <w:rFonts w:asciiTheme="minorHAnsi" w:hAnsiTheme="minorHAnsi"/>
        <w:lang w:val="en-GB"/>
      </w:rPr>
      <w:t>\</w:t>
    </w:r>
    <w:r w:rsidR="00786486">
      <w:rPr>
        <w:rFonts w:asciiTheme="minorHAnsi" w:hAnsiTheme="minorHAnsi"/>
        <w:lang w:val="en-GB"/>
      </w:rPr>
      <w:t>4</w:t>
    </w:r>
    <w:r w:rsidRPr="00216864">
      <w:rPr>
        <w:rFonts w:asciiTheme="minorHAnsi" w:hAnsiTheme="minorHAnsi"/>
        <w:lang w:val="en-GB"/>
      </w:rPr>
      <w:t>-</w:t>
    </w:r>
    <w:r>
      <w:rPr>
        <w:rFonts w:asciiTheme="minorHAnsi" w:hAnsiTheme="minorHAnsi"/>
        <w:lang w:val="en-GB"/>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4B36" w14:textId="77777777" w:rsidR="005E498B" w:rsidRPr="00786486" w:rsidRDefault="005E498B" w:rsidP="005E498B">
    <w:pPr>
      <w:pStyle w:val="Header"/>
      <w:rPr>
        <w:rFonts w:ascii="Calibri" w:hAnsi="Calibri"/>
      </w:rPr>
    </w:pPr>
    <w:r w:rsidRPr="00786486">
      <w:rPr>
        <w:rFonts w:ascii="Calibri" w:hAnsi="Calibri"/>
      </w:rPr>
      <w:t xml:space="preserve">- </w:t>
    </w:r>
    <w:r w:rsidRPr="00786486">
      <w:rPr>
        <w:rFonts w:ascii="Calibri" w:hAnsi="Calibri"/>
      </w:rPr>
      <w:fldChar w:fldCharType="begin"/>
    </w:r>
    <w:r w:rsidRPr="00786486">
      <w:rPr>
        <w:rFonts w:ascii="Calibri" w:hAnsi="Calibri"/>
      </w:rPr>
      <w:instrText>PAGE</w:instrText>
    </w:r>
    <w:r w:rsidRPr="00786486">
      <w:rPr>
        <w:rFonts w:ascii="Calibri" w:hAnsi="Calibri"/>
      </w:rPr>
      <w:fldChar w:fldCharType="separate"/>
    </w:r>
    <w:r w:rsidRPr="00786486">
      <w:rPr>
        <w:rFonts w:ascii="Calibri" w:hAnsi="Calibri"/>
      </w:rPr>
      <w:t>3</w:t>
    </w:r>
    <w:r w:rsidRPr="00786486">
      <w:rPr>
        <w:rFonts w:ascii="Calibri" w:hAnsi="Calibri"/>
      </w:rPr>
      <w:fldChar w:fldCharType="end"/>
    </w:r>
    <w:r w:rsidRPr="00786486">
      <w:rPr>
        <w:rFonts w:ascii="Calibri" w:hAnsi="Calibri"/>
      </w:rPr>
      <w:t xml:space="preserve"> -</w:t>
    </w:r>
  </w:p>
  <w:p w14:paraId="78943355" w14:textId="05508438" w:rsidR="005E498B" w:rsidRDefault="005E498B" w:rsidP="00C40EC5">
    <w:pPr>
      <w:pStyle w:val="Header"/>
      <w:spacing w:after="120"/>
    </w:pPr>
    <w:r w:rsidRPr="00786486">
      <w:rPr>
        <w:rFonts w:ascii="Calibri" w:hAnsi="Calibri"/>
        <w:lang w:val="en-GB"/>
      </w:rPr>
      <w:t>EG-ITRs-</w:t>
    </w:r>
    <w:r w:rsidR="00786486">
      <w:rPr>
        <w:rFonts w:ascii="Calibri" w:hAnsi="Calibri"/>
        <w:lang w:val="en-GB"/>
      </w:rPr>
      <w:t>4</w:t>
    </w:r>
    <w:r w:rsidRPr="00786486">
      <w:rPr>
        <w:rFonts w:ascii="Calibri" w:hAnsi="Calibri"/>
        <w:lang w:val="en-GB"/>
      </w:rPr>
      <w:t>\</w:t>
    </w:r>
    <w:r w:rsidR="00786486">
      <w:rPr>
        <w:rFonts w:ascii="Calibri" w:hAnsi="Calibri"/>
        <w:lang w:val="en-GB"/>
      </w:rPr>
      <w:t>4</w:t>
    </w:r>
    <w:r w:rsidRPr="00786486">
      <w:rPr>
        <w:rFonts w:ascii="Calibri" w:hAnsi="Calibri"/>
        <w:lang w:val="en-GB"/>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6AA2"/>
    <w:multiLevelType w:val="hybridMultilevel"/>
    <w:tmpl w:val="894A7CCC"/>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2A5D"/>
    <w:multiLevelType w:val="hybridMultilevel"/>
    <w:tmpl w:val="B8E4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12F88"/>
    <w:multiLevelType w:val="hybridMultilevel"/>
    <w:tmpl w:val="796208FA"/>
    <w:lvl w:ilvl="0" w:tplc="B4D495F6">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194"/>
    <w:multiLevelType w:val="hybridMultilevel"/>
    <w:tmpl w:val="07B06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74948"/>
    <w:multiLevelType w:val="hybridMultilevel"/>
    <w:tmpl w:val="E598A13E"/>
    <w:lvl w:ilvl="0" w:tplc="34B8E524">
      <w:start w:val="1"/>
      <w:numFmt w:val="decimal"/>
      <w:lvlText w:val="%1"/>
      <w:lvlJc w:val="left"/>
      <w:pPr>
        <w:tabs>
          <w:tab w:val="num" w:pos="1155"/>
        </w:tabs>
        <w:ind w:left="1155" w:hanging="795"/>
      </w:pPr>
      <w:rPr>
        <w:rFonts w:hint="default"/>
      </w:rPr>
    </w:lvl>
    <w:lvl w:ilvl="1" w:tplc="5C605DF2">
      <w:numFmt w:val="none"/>
      <w:lvlText w:val=""/>
      <w:lvlJc w:val="left"/>
      <w:pPr>
        <w:tabs>
          <w:tab w:val="num" w:pos="360"/>
        </w:tabs>
      </w:pPr>
    </w:lvl>
    <w:lvl w:ilvl="2" w:tplc="894CA388">
      <w:numFmt w:val="none"/>
      <w:lvlText w:val=""/>
      <w:lvlJc w:val="left"/>
      <w:pPr>
        <w:tabs>
          <w:tab w:val="num" w:pos="360"/>
        </w:tabs>
      </w:pPr>
    </w:lvl>
    <w:lvl w:ilvl="3" w:tplc="25A46978">
      <w:numFmt w:val="none"/>
      <w:lvlText w:val=""/>
      <w:lvlJc w:val="left"/>
      <w:pPr>
        <w:tabs>
          <w:tab w:val="num" w:pos="360"/>
        </w:tabs>
      </w:pPr>
    </w:lvl>
    <w:lvl w:ilvl="4" w:tplc="C2D28406">
      <w:numFmt w:val="none"/>
      <w:lvlText w:val=""/>
      <w:lvlJc w:val="left"/>
      <w:pPr>
        <w:tabs>
          <w:tab w:val="num" w:pos="360"/>
        </w:tabs>
      </w:pPr>
    </w:lvl>
    <w:lvl w:ilvl="5" w:tplc="7BC816F2">
      <w:numFmt w:val="none"/>
      <w:lvlText w:val=""/>
      <w:lvlJc w:val="left"/>
      <w:pPr>
        <w:tabs>
          <w:tab w:val="num" w:pos="360"/>
        </w:tabs>
      </w:pPr>
    </w:lvl>
    <w:lvl w:ilvl="6" w:tplc="C52CB2D0">
      <w:numFmt w:val="none"/>
      <w:lvlText w:val=""/>
      <w:lvlJc w:val="left"/>
      <w:pPr>
        <w:tabs>
          <w:tab w:val="num" w:pos="360"/>
        </w:tabs>
      </w:pPr>
    </w:lvl>
    <w:lvl w:ilvl="7" w:tplc="529802CE">
      <w:numFmt w:val="none"/>
      <w:lvlText w:val=""/>
      <w:lvlJc w:val="left"/>
      <w:pPr>
        <w:tabs>
          <w:tab w:val="num" w:pos="360"/>
        </w:tabs>
      </w:pPr>
    </w:lvl>
    <w:lvl w:ilvl="8" w:tplc="0F3E1538">
      <w:numFmt w:val="none"/>
      <w:lvlText w:val=""/>
      <w:lvlJc w:val="left"/>
      <w:pPr>
        <w:tabs>
          <w:tab w:val="num" w:pos="360"/>
        </w:tabs>
      </w:pPr>
    </w:lvl>
  </w:abstractNum>
  <w:abstractNum w:abstractNumId="6" w15:restartNumberingAfterBreak="0">
    <w:nsid w:val="15436C15"/>
    <w:multiLevelType w:val="hybridMultilevel"/>
    <w:tmpl w:val="40E28452"/>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59"/>
    <w:multiLevelType w:val="hybridMultilevel"/>
    <w:tmpl w:val="EBF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E02F1"/>
    <w:multiLevelType w:val="hybridMultilevel"/>
    <w:tmpl w:val="1196E37C"/>
    <w:lvl w:ilvl="0" w:tplc="40BE239A">
      <w:start w:val="2"/>
      <w:numFmt w:val="bullet"/>
      <w:lvlText w:val=""/>
      <w:lvlJc w:val="left"/>
      <w:pPr>
        <w:tabs>
          <w:tab w:val="num" w:pos="907"/>
        </w:tabs>
        <w:ind w:left="907" w:hanging="547"/>
      </w:pPr>
      <w:rPr>
        <w:rFonts w:ascii="Symbol" w:hAnsi="Symbol" w:hint="default"/>
        <w:sz w:val="18"/>
      </w:rPr>
    </w:lvl>
    <w:lvl w:ilvl="1" w:tplc="A3568BE0">
      <w:start w:val="2"/>
      <w:numFmt w:val="bullet"/>
      <w:lvlText w:val="-"/>
      <w:lvlJc w:val="left"/>
      <w:pPr>
        <w:tabs>
          <w:tab w:val="num" w:pos="1800"/>
        </w:tabs>
        <w:ind w:left="1800" w:hanging="72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974EB"/>
    <w:multiLevelType w:val="hybridMultilevel"/>
    <w:tmpl w:val="6A14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47F18"/>
    <w:multiLevelType w:val="hybridMultilevel"/>
    <w:tmpl w:val="36E666F2"/>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538E7"/>
    <w:multiLevelType w:val="hybridMultilevel"/>
    <w:tmpl w:val="04301A02"/>
    <w:lvl w:ilvl="0" w:tplc="A5A88976">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374C1"/>
    <w:multiLevelType w:val="hybridMultilevel"/>
    <w:tmpl w:val="C910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C1CB0"/>
    <w:multiLevelType w:val="hybridMultilevel"/>
    <w:tmpl w:val="C158D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2930A3"/>
    <w:multiLevelType w:val="hybridMultilevel"/>
    <w:tmpl w:val="1688AE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5E14F85"/>
    <w:multiLevelType w:val="hybridMultilevel"/>
    <w:tmpl w:val="DD0E1A00"/>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7760A6A"/>
    <w:multiLevelType w:val="hybridMultilevel"/>
    <w:tmpl w:val="70E6B396"/>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B76D1"/>
    <w:multiLevelType w:val="hybridMultilevel"/>
    <w:tmpl w:val="CCAEDA92"/>
    <w:lvl w:ilvl="0" w:tplc="72CA2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D2AE0"/>
    <w:multiLevelType w:val="hybridMultilevel"/>
    <w:tmpl w:val="19564DF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467D1"/>
    <w:multiLevelType w:val="multilevel"/>
    <w:tmpl w:val="35740D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F61BC6"/>
    <w:multiLevelType w:val="hybridMultilevel"/>
    <w:tmpl w:val="7B74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863B2"/>
    <w:multiLevelType w:val="hybridMultilevel"/>
    <w:tmpl w:val="715A1E60"/>
    <w:lvl w:ilvl="0" w:tplc="9BC2C7E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4B5D10"/>
    <w:multiLevelType w:val="hybridMultilevel"/>
    <w:tmpl w:val="131EAD84"/>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F95683"/>
    <w:multiLevelType w:val="hybridMultilevel"/>
    <w:tmpl w:val="517691F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11C88"/>
    <w:multiLevelType w:val="hybridMultilevel"/>
    <w:tmpl w:val="CA3C1990"/>
    <w:lvl w:ilvl="0" w:tplc="E744A6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E6B4C"/>
    <w:multiLevelType w:val="hybridMultilevel"/>
    <w:tmpl w:val="5CEE68AC"/>
    <w:lvl w:ilvl="0" w:tplc="24368B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6E521D"/>
    <w:multiLevelType w:val="hybridMultilevel"/>
    <w:tmpl w:val="D79AE3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84999"/>
    <w:multiLevelType w:val="hybridMultilevel"/>
    <w:tmpl w:val="00BA2C70"/>
    <w:lvl w:ilvl="0" w:tplc="CBE81E40">
      <w:start w:val="13"/>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E0B2883"/>
    <w:multiLevelType w:val="hybridMultilevel"/>
    <w:tmpl w:val="F5401C4A"/>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74239"/>
    <w:multiLevelType w:val="hybridMultilevel"/>
    <w:tmpl w:val="820A1D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1060D"/>
    <w:multiLevelType w:val="hybridMultilevel"/>
    <w:tmpl w:val="9686359C"/>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777B9"/>
    <w:multiLevelType w:val="hybridMultilevel"/>
    <w:tmpl w:val="1180AAB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85FC6"/>
    <w:multiLevelType w:val="hybridMultilevel"/>
    <w:tmpl w:val="6B8435B0"/>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96493"/>
    <w:multiLevelType w:val="hybridMultilevel"/>
    <w:tmpl w:val="B1045784"/>
    <w:lvl w:ilvl="0" w:tplc="3CBA3F32">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96538C"/>
    <w:multiLevelType w:val="hybridMultilevel"/>
    <w:tmpl w:val="B9E03E10"/>
    <w:lvl w:ilvl="0" w:tplc="375ACC78">
      <w:start w:val="2"/>
      <w:numFmt w:val="lowerLetter"/>
      <w:lvlText w:val="(%1)"/>
      <w:lvlJc w:val="left"/>
      <w:pPr>
        <w:tabs>
          <w:tab w:val="num" w:pos="907"/>
        </w:tabs>
        <w:ind w:left="907" w:hanging="547"/>
      </w:pPr>
      <w:rPr>
        <w:rFonts w:ascii="Times New Roman" w:eastAsia="Times New Roman" w:hAnsi="Times New Roman" w:cs="Times New Roman"/>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32A5F"/>
    <w:multiLevelType w:val="hybridMultilevel"/>
    <w:tmpl w:val="D9E23B4E"/>
    <w:lvl w:ilvl="0" w:tplc="38E06D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C93"/>
    <w:multiLevelType w:val="multilevel"/>
    <w:tmpl w:val="E108AE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2" w15:restartNumberingAfterBreak="0">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8F3C9E"/>
    <w:multiLevelType w:val="multilevel"/>
    <w:tmpl w:val="03E25B5E"/>
    <w:lvl w:ilvl="0">
      <w:start w:val="2"/>
      <w:numFmt w:val="bullet"/>
      <w:lvlText w:val=""/>
      <w:lvlJc w:val="left"/>
      <w:pPr>
        <w:tabs>
          <w:tab w:val="num" w:pos="851"/>
        </w:tabs>
        <w:ind w:left="1440" w:hanging="108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851BC4"/>
    <w:multiLevelType w:val="hybridMultilevel"/>
    <w:tmpl w:val="41129D5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A018EE"/>
    <w:multiLevelType w:val="multilevel"/>
    <w:tmpl w:val="0E0074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896616A"/>
    <w:multiLevelType w:val="hybridMultilevel"/>
    <w:tmpl w:val="14602F8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407AD3"/>
    <w:multiLevelType w:val="hybridMultilevel"/>
    <w:tmpl w:val="835865AC"/>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DC95C05"/>
    <w:multiLevelType w:val="hybridMultilevel"/>
    <w:tmpl w:val="C6089EC8"/>
    <w:lvl w:ilvl="0" w:tplc="E970F368">
      <w:start w:val="2"/>
      <w:numFmt w:val="bullet"/>
      <w:lvlText w:val=""/>
      <w:lvlJc w:val="left"/>
      <w:pPr>
        <w:tabs>
          <w:tab w:val="num" w:pos="113"/>
        </w:tabs>
        <w:ind w:left="227"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9E3CDC"/>
    <w:multiLevelType w:val="hybridMultilevel"/>
    <w:tmpl w:val="EB523870"/>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25"/>
  </w:num>
  <w:num w:numId="5">
    <w:abstractNumId w:val="34"/>
  </w:num>
  <w:num w:numId="6">
    <w:abstractNumId w:val="45"/>
  </w:num>
  <w:num w:numId="7">
    <w:abstractNumId w:val="21"/>
  </w:num>
  <w:num w:numId="8">
    <w:abstractNumId w:val="41"/>
  </w:num>
  <w:num w:numId="9">
    <w:abstractNumId w:val="40"/>
  </w:num>
  <w:num w:numId="10">
    <w:abstractNumId w:val="37"/>
  </w:num>
  <w:num w:numId="11">
    <w:abstractNumId w:val="42"/>
  </w:num>
  <w:num w:numId="12">
    <w:abstractNumId w:val="28"/>
  </w:num>
  <w:num w:numId="13">
    <w:abstractNumId w:val="9"/>
  </w:num>
  <w:num w:numId="14">
    <w:abstractNumId w:val="6"/>
  </w:num>
  <w:num w:numId="15">
    <w:abstractNumId w:val="30"/>
  </w:num>
  <w:num w:numId="16">
    <w:abstractNumId w:val="43"/>
  </w:num>
  <w:num w:numId="17">
    <w:abstractNumId w:val="17"/>
  </w:num>
  <w:num w:numId="18">
    <w:abstractNumId w:val="44"/>
  </w:num>
  <w:num w:numId="19">
    <w:abstractNumId w:val="49"/>
  </w:num>
  <w:num w:numId="20">
    <w:abstractNumId w:val="48"/>
  </w:num>
  <w:num w:numId="21">
    <w:abstractNumId w:val="46"/>
  </w:num>
  <w:num w:numId="22">
    <w:abstractNumId w:val="36"/>
  </w:num>
  <w:num w:numId="23">
    <w:abstractNumId w:val="38"/>
  </w:num>
  <w:num w:numId="24">
    <w:abstractNumId w:val="8"/>
  </w:num>
  <w:num w:numId="25">
    <w:abstractNumId w:val="29"/>
  </w:num>
  <w:num w:numId="26">
    <w:abstractNumId w:val="26"/>
  </w:num>
  <w:num w:numId="27">
    <w:abstractNumId w:val="11"/>
  </w:num>
  <w:num w:numId="28">
    <w:abstractNumId w:val="23"/>
  </w:num>
  <w:num w:numId="29">
    <w:abstractNumId w:val="39"/>
  </w:num>
  <w:num w:numId="30">
    <w:abstractNumId w:val="22"/>
  </w:num>
  <w:num w:numId="31">
    <w:abstractNumId w:val="13"/>
  </w:num>
  <w:num w:numId="32">
    <w:abstractNumId w:val="10"/>
  </w:num>
  <w:num w:numId="33">
    <w:abstractNumId w:val="27"/>
  </w:num>
  <w:num w:numId="34">
    <w:abstractNumId w:val="19"/>
  </w:num>
  <w:num w:numId="35">
    <w:abstractNumId w:val="35"/>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num>
  <w:num w:numId="39">
    <w:abstractNumId w:val="16"/>
  </w:num>
  <w:num w:numId="40">
    <w:abstractNumId w:val="7"/>
  </w:num>
  <w:num w:numId="41">
    <w:abstractNumId w:val="47"/>
  </w:num>
  <w:num w:numId="42">
    <w:abstractNumId w:val="24"/>
  </w:num>
  <w:num w:numId="43">
    <w:abstractNumId w:val="32"/>
  </w:num>
  <w:num w:numId="44">
    <w:abstractNumId w:val="4"/>
  </w:num>
  <w:num w:numId="45">
    <w:abstractNumId w:val="15"/>
  </w:num>
  <w:num w:numId="46">
    <w:abstractNumId w:val="2"/>
  </w:num>
  <w:num w:numId="47">
    <w:abstractNumId w:val="12"/>
  </w:num>
  <w:num w:numId="48">
    <w:abstractNumId w:val="3"/>
  </w:num>
  <w:num w:numId="49">
    <w:abstractNumId w:val="1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622B"/>
    <w:rsid w:val="00006803"/>
    <w:rsid w:val="00016FEA"/>
    <w:rsid w:val="00017D5F"/>
    <w:rsid w:val="00022BBD"/>
    <w:rsid w:val="00023E69"/>
    <w:rsid w:val="00025E8E"/>
    <w:rsid w:val="000300F2"/>
    <w:rsid w:val="000328CB"/>
    <w:rsid w:val="0003367B"/>
    <w:rsid w:val="00033C1E"/>
    <w:rsid w:val="000363F6"/>
    <w:rsid w:val="00036E6C"/>
    <w:rsid w:val="000406CF"/>
    <w:rsid w:val="000406DA"/>
    <w:rsid w:val="00043BD1"/>
    <w:rsid w:val="00044742"/>
    <w:rsid w:val="00047B52"/>
    <w:rsid w:val="00051135"/>
    <w:rsid w:val="0005330D"/>
    <w:rsid w:val="000539B8"/>
    <w:rsid w:val="0005586D"/>
    <w:rsid w:val="00056AF7"/>
    <w:rsid w:val="0006006C"/>
    <w:rsid w:val="00060490"/>
    <w:rsid w:val="00060642"/>
    <w:rsid w:val="000625EC"/>
    <w:rsid w:val="00067F55"/>
    <w:rsid w:val="00080890"/>
    <w:rsid w:val="00082487"/>
    <w:rsid w:val="00085CF2"/>
    <w:rsid w:val="00087BB2"/>
    <w:rsid w:val="00090DB1"/>
    <w:rsid w:val="000914EE"/>
    <w:rsid w:val="00093C5E"/>
    <w:rsid w:val="00095455"/>
    <w:rsid w:val="00096678"/>
    <w:rsid w:val="000A523E"/>
    <w:rsid w:val="000A6C3C"/>
    <w:rsid w:val="000B1705"/>
    <w:rsid w:val="000B1804"/>
    <w:rsid w:val="000B7069"/>
    <w:rsid w:val="000B7AED"/>
    <w:rsid w:val="000C0550"/>
    <w:rsid w:val="000D034D"/>
    <w:rsid w:val="000D1B19"/>
    <w:rsid w:val="000D7C82"/>
    <w:rsid w:val="000E3457"/>
    <w:rsid w:val="000E53E0"/>
    <w:rsid w:val="000E5744"/>
    <w:rsid w:val="000F45AB"/>
    <w:rsid w:val="00100422"/>
    <w:rsid w:val="00105B57"/>
    <w:rsid w:val="00110760"/>
    <w:rsid w:val="00111732"/>
    <w:rsid w:val="001121F5"/>
    <w:rsid w:val="00112A2E"/>
    <w:rsid w:val="001154D3"/>
    <w:rsid w:val="00115BC4"/>
    <w:rsid w:val="00123B46"/>
    <w:rsid w:val="00126AF0"/>
    <w:rsid w:val="00126E5D"/>
    <w:rsid w:val="00132D99"/>
    <w:rsid w:val="00133A76"/>
    <w:rsid w:val="00135854"/>
    <w:rsid w:val="00137C4B"/>
    <w:rsid w:val="00141B6D"/>
    <w:rsid w:val="00143A98"/>
    <w:rsid w:val="00143CC0"/>
    <w:rsid w:val="0014539F"/>
    <w:rsid w:val="001463FA"/>
    <w:rsid w:val="0014759E"/>
    <w:rsid w:val="00155EF2"/>
    <w:rsid w:val="0015615B"/>
    <w:rsid w:val="00157923"/>
    <w:rsid w:val="00157E22"/>
    <w:rsid w:val="00164E99"/>
    <w:rsid w:val="00164F90"/>
    <w:rsid w:val="00167DF3"/>
    <w:rsid w:val="00170C27"/>
    <w:rsid w:val="00171B5B"/>
    <w:rsid w:val="0017539C"/>
    <w:rsid w:val="0017609F"/>
    <w:rsid w:val="001820F7"/>
    <w:rsid w:val="0018683E"/>
    <w:rsid w:val="0019164E"/>
    <w:rsid w:val="00191F72"/>
    <w:rsid w:val="001940E1"/>
    <w:rsid w:val="001947CC"/>
    <w:rsid w:val="00197BEB"/>
    <w:rsid w:val="001A1320"/>
    <w:rsid w:val="001A258D"/>
    <w:rsid w:val="001A44BC"/>
    <w:rsid w:val="001A4F5D"/>
    <w:rsid w:val="001A5A86"/>
    <w:rsid w:val="001B0AEB"/>
    <w:rsid w:val="001B1348"/>
    <w:rsid w:val="001B404B"/>
    <w:rsid w:val="001B731C"/>
    <w:rsid w:val="001C0E28"/>
    <w:rsid w:val="001C20D1"/>
    <w:rsid w:val="001C2533"/>
    <w:rsid w:val="001C3AEA"/>
    <w:rsid w:val="001C628E"/>
    <w:rsid w:val="001D0282"/>
    <w:rsid w:val="001D311E"/>
    <w:rsid w:val="001D427C"/>
    <w:rsid w:val="001D606E"/>
    <w:rsid w:val="001E0873"/>
    <w:rsid w:val="001E0F7B"/>
    <w:rsid w:val="001E3D67"/>
    <w:rsid w:val="001E5A96"/>
    <w:rsid w:val="001E5BEE"/>
    <w:rsid w:val="001F212B"/>
    <w:rsid w:val="001F4859"/>
    <w:rsid w:val="001F565C"/>
    <w:rsid w:val="001F59DB"/>
    <w:rsid w:val="002009E4"/>
    <w:rsid w:val="002034FE"/>
    <w:rsid w:val="00204837"/>
    <w:rsid w:val="00205911"/>
    <w:rsid w:val="0020628E"/>
    <w:rsid w:val="00207B40"/>
    <w:rsid w:val="00210827"/>
    <w:rsid w:val="00211C39"/>
    <w:rsid w:val="00213E72"/>
    <w:rsid w:val="00216668"/>
    <w:rsid w:val="00216864"/>
    <w:rsid w:val="002178B8"/>
    <w:rsid w:val="00223D03"/>
    <w:rsid w:val="00224812"/>
    <w:rsid w:val="00224F52"/>
    <w:rsid w:val="00230211"/>
    <w:rsid w:val="002323A7"/>
    <w:rsid w:val="0023345C"/>
    <w:rsid w:val="00233546"/>
    <w:rsid w:val="002372ED"/>
    <w:rsid w:val="00241C31"/>
    <w:rsid w:val="002424A8"/>
    <w:rsid w:val="002426F3"/>
    <w:rsid w:val="002461BA"/>
    <w:rsid w:val="00247618"/>
    <w:rsid w:val="002509C9"/>
    <w:rsid w:val="00252CDA"/>
    <w:rsid w:val="00262C55"/>
    <w:rsid w:val="00265875"/>
    <w:rsid w:val="002664D2"/>
    <w:rsid w:val="00266544"/>
    <w:rsid w:val="00266A38"/>
    <w:rsid w:val="0026797B"/>
    <w:rsid w:val="00270D09"/>
    <w:rsid w:val="0027303B"/>
    <w:rsid w:val="002751DA"/>
    <w:rsid w:val="00275642"/>
    <w:rsid w:val="0028109B"/>
    <w:rsid w:val="0028615C"/>
    <w:rsid w:val="002866D2"/>
    <w:rsid w:val="0028715B"/>
    <w:rsid w:val="00287A69"/>
    <w:rsid w:val="00290E00"/>
    <w:rsid w:val="00292600"/>
    <w:rsid w:val="00294E68"/>
    <w:rsid w:val="0029642F"/>
    <w:rsid w:val="00296819"/>
    <w:rsid w:val="002975E0"/>
    <w:rsid w:val="002A04DD"/>
    <w:rsid w:val="002A170F"/>
    <w:rsid w:val="002A1F81"/>
    <w:rsid w:val="002A3A0A"/>
    <w:rsid w:val="002B09AE"/>
    <w:rsid w:val="002B42B9"/>
    <w:rsid w:val="002B69CD"/>
    <w:rsid w:val="002C1C7A"/>
    <w:rsid w:val="002D3CA6"/>
    <w:rsid w:val="002D448E"/>
    <w:rsid w:val="002D47F7"/>
    <w:rsid w:val="002D48E4"/>
    <w:rsid w:val="002D6D0A"/>
    <w:rsid w:val="002D7052"/>
    <w:rsid w:val="002D7FCC"/>
    <w:rsid w:val="002E0872"/>
    <w:rsid w:val="002E3248"/>
    <w:rsid w:val="002E5A5D"/>
    <w:rsid w:val="002E5AC3"/>
    <w:rsid w:val="002E7E71"/>
    <w:rsid w:val="002F17BD"/>
    <w:rsid w:val="00302EB0"/>
    <w:rsid w:val="003104AE"/>
    <w:rsid w:val="003109EE"/>
    <w:rsid w:val="00311C3B"/>
    <w:rsid w:val="00311DA1"/>
    <w:rsid w:val="0031367D"/>
    <w:rsid w:val="003137E7"/>
    <w:rsid w:val="00314813"/>
    <w:rsid w:val="00314D4F"/>
    <w:rsid w:val="0032203B"/>
    <w:rsid w:val="003221B7"/>
    <w:rsid w:val="00324E20"/>
    <w:rsid w:val="003259C3"/>
    <w:rsid w:val="00325F02"/>
    <w:rsid w:val="003334B9"/>
    <w:rsid w:val="0033378B"/>
    <w:rsid w:val="0033535B"/>
    <w:rsid w:val="003368E5"/>
    <w:rsid w:val="0034515A"/>
    <w:rsid w:val="00346A46"/>
    <w:rsid w:val="00352973"/>
    <w:rsid w:val="0036205D"/>
    <w:rsid w:val="0036286A"/>
    <w:rsid w:val="00362FE9"/>
    <w:rsid w:val="003642D8"/>
    <w:rsid w:val="00370861"/>
    <w:rsid w:val="00373443"/>
    <w:rsid w:val="00375038"/>
    <w:rsid w:val="00375CE5"/>
    <w:rsid w:val="003811CD"/>
    <w:rsid w:val="00382DA7"/>
    <w:rsid w:val="0038348E"/>
    <w:rsid w:val="00384EED"/>
    <w:rsid w:val="00387B26"/>
    <w:rsid w:val="00390C61"/>
    <w:rsid w:val="003942D4"/>
    <w:rsid w:val="00394A9C"/>
    <w:rsid w:val="003958A8"/>
    <w:rsid w:val="0039606B"/>
    <w:rsid w:val="003969A8"/>
    <w:rsid w:val="003A0D4B"/>
    <w:rsid w:val="003A0F60"/>
    <w:rsid w:val="003A4E18"/>
    <w:rsid w:val="003A6515"/>
    <w:rsid w:val="003A77D9"/>
    <w:rsid w:val="003A7BA2"/>
    <w:rsid w:val="003B13DC"/>
    <w:rsid w:val="003C1736"/>
    <w:rsid w:val="003C3D8D"/>
    <w:rsid w:val="003C5406"/>
    <w:rsid w:val="003C7021"/>
    <w:rsid w:val="003D34FB"/>
    <w:rsid w:val="003D5EE4"/>
    <w:rsid w:val="003E103B"/>
    <w:rsid w:val="003E417E"/>
    <w:rsid w:val="003E6A2A"/>
    <w:rsid w:val="003E6AC0"/>
    <w:rsid w:val="003E6D41"/>
    <w:rsid w:val="003F59E8"/>
    <w:rsid w:val="003F5F61"/>
    <w:rsid w:val="004002BF"/>
    <w:rsid w:val="00412BB3"/>
    <w:rsid w:val="00413BFD"/>
    <w:rsid w:val="00415966"/>
    <w:rsid w:val="0041739B"/>
    <w:rsid w:val="00422F6E"/>
    <w:rsid w:val="00423CF3"/>
    <w:rsid w:val="0042461B"/>
    <w:rsid w:val="0042520B"/>
    <w:rsid w:val="00431EC5"/>
    <w:rsid w:val="00433CE8"/>
    <w:rsid w:val="00434B7B"/>
    <w:rsid w:val="004359BA"/>
    <w:rsid w:val="004372DC"/>
    <w:rsid w:val="00440A2A"/>
    <w:rsid w:val="00443FD3"/>
    <w:rsid w:val="00446741"/>
    <w:rsid w:val="00447830"/>
    <w:rsid w:val="00447A67"/>
    <w:rsid w:val="004522A4"/>
    <w:rsid w:val="004524CB"/>
    <w:rsid w:val="004544D9"/>
    <w:rsid w:val="00454720"/>
    <w:rsid w:val="00454CE8"/>
    <w:rsid w:val="0045696A"/>
    <w:rsid w:val="00462518"/>
    <w:rsid w:val="00462702"/>
    <w:rsid w:val="0046399B"/>
    <w:rsid w:val="00466356"/>
    <w:rsid w:val="00474091"/>
    <w:rsid w:val="00476CBB"/>
    <w:rsid w:val="00476EAD"/>
    <w:rsid w:val="004804F3"/>
    <w:rsid w:val="00481298"/>
    <w:rsid w:val="004824B2"/>
    <w:rsid w:val="00482596"/>
    <w:rsid w:val="00486526"/>
    <w:rsid w:val="004873E3"/>
    <w:rsid w:val="00487C87"/>
    <w:rsid w:val="004921C8"/>
    <w:rsid w:val="00494F0E"/>
    <w:rsid w:val="00495DB6"/>
    <w:rsid w:val="00497457"/>
    <w:rsid w:val="004A0168"/>
    <w:rsid w:val="004A2A4A"/>
    <w:rsid w:val="004A2D22"/>
    <w:rsid w:val="004A4AAA"/>
    <w:rsid w:val="004A6131"/>
    <w:rsid w:val="004A7476"/>
    <w:rsid w:val="004B01BB"/>
    <w:rsid w:val="004B413A"/>
    <w:rsid w:val="004B7CF2"/>
    <w:rsid w:val="004C1374"/>
    <w:rsid w:val="004C4CD5"/>
    <w:rsid w:val="004C581A"/>
    <w:rsid w:val="004C5F8D"/>
    <w:rsid w:val="004D672B"/>
    <w:rsid w:val="004D7E9F"/>
    <w:rsid w:val="004E1229"/>
    <w:rsid w:val="004E1AA9"/>
    <w:rsid w:val="004E1AEE"/>
    <w:rsid w:val="004E276F"/>
    <w:rsid w:val="004E2BB6"/>
    <w:rsid w:val="004E2EA5"/>
    <w:rsid w:val="004E3A5D"/>
    <w:rsid w:val="004E7D16"/>
    <w:rsid w:val="004F3682"/>
    <w:rsid w:val="0050223C"/>
    <w:rsid w:val="00502618"/>
    <w:rsid w:val="005030F2"/>
    <w:rsid w:val="00505720"/>
    <w:rsid w:val="0051396C"/>
    <w:rsid w:val="005166BA"/>
    <w:rsid w:val="00516BE8"/>
    <w:rsid w:val="00525421"/>
    <w:rsid w:val="0052758B"/>
    <w:rsid w:val="00530883"/>
    <w:rsid w:val="00533DB4"/>
    <w:rsid w:val="00534E85"/>
    <w:rsid w:val="005352F1"/>
    <w:rsid w:val="00542420"/>
    <w:rsid w:val="005431C5"/>
    <w:rsid w:val="0054413F"/>
    <w:rsid w:val="00546E2C"/>
    <w:rsid w:val="005476DB"/>
    <w:rsid w:val="005546E9"/>
    <w:rsid w:val="00555654"/>
    <w:rsid w:val="00557E06"/>
    <w:rsid w:val="0056199E"/>
    <w:rsid w:val="00563D37"/>
    <w:rsid w:val="00564FBC"/>
    <w:rsid w:val="0056725A"/>
    <w:rsid w:val="005703B3"/>
    <w:rsid w:val="00571358"/>
    <w:rsid w:val="00572976"/>
    <w:rsid w:val="00573657"/>
    <w:rsid w:val="00573F30"/>
    <w:rsid w:val="0057486A"/>
    <w:rsid w:val="00577EE5"/>
    <w:rsid w:val="00582442"/>
    <w:rsid w:val="0059460E"/>
    <w:rsid w:val="00594700"/>
    <w:rsid w:val="005974F5"/>
    <w:rsid w:val="00597F2F"/>
    <w:rsid w:val="005A07F8"/>
    <w:rsid w:val="005A1CA3"/>
    <w:rsid w:val="005A473B"/>
    <w:rsid w:val="005A56BD"/>
    <w:rsid w:val="005A5763"/>
    <w:rsid w:val="005A69BE"/>
    <w:rsid w:val="005A6AA8"/>
    <w:rsid w:val="005C11F1"/>
    <w:rsid w:val="005C472C"/>
    <w:rsid w:val="005C68C8"/>
    <w:rsid w:val="005C7EFB"/>
    <w:rsid w:val="005D0EF5"/>
    <w:rsid w:val="005D0F96"/>
    <w:rsid w:val="005D2735"/>
    <w:rsid w:val="005D7471"/>
    <w:rsid w:val="005E1AE5"/>
    <w:rsid w:val="005E1D6F"/>
    <w:rsid w:val="005E1DBF"/>
    <w:rsid w:val="005E2754"/>
    <w:rsid w:val="005E498B"/>
    <w:rsid w:val="005E75DF"/>
    <w:rsid w:val="005F0BF9"/>
    <w:rsid w:val="005F1DE7"/>
    <w:rsid w:val="005F5262"/>
    <w:rsid w:val="005F6291"/>
    <w:rsid w:val="0060136D"/>
    <w:rsid w:val="0060217F"/>
    <w:rsid w:val="006025D3"/>
    <w:rsid w:val="006036D2"/>
    <w:rsid w:val="00605375"/>
    <w:rsid w:val="006061F6"/>
    <w:rsid w:val="0060738E"/>
    <w:rsid w:val="00607A8F"/>
    <w:rsid w:val="00611121"/>
    <w:rsid w:val="0061529A"/>
    <w:rsid w:val="006245BD"/>
    <w:rsid w:val="00625110"/>
    <w:rsid w:val="00631445"/>
    <w:rsid w:val="00632E34"/>
    <w:rsid w:val="00634645"/>
    <w:rsid w:val="006353F4"/>
    <w:rsid w:val="00640350"/>
    <w:rsid w:val="00641642"/>
    <w:rsid w:val="00642818"/>
    <w:rsid w:val="00644588"/>
    <w:rsid w:val="006467EB"/>
    <w:rsid w:val="00651182"/>
    <w:rsid w:val="00652CDE"/>
    <w:rsid w:val="00654E72"/>
    <w:rsid w:val="006560E2"/>
    <w:rsid w:val="006615CB"/>
    <w:rsid w:val="00662984"/>
    <w:rsid w:val="006664D0"/>
    <w:rsid w:val="00667666"/>
    <w:rsid w:val="00667AD7"/>
    <w:rsid w:val="00670161"/>
    <w:rsid w:val="0067093C"/>
    <w:rsid w:val="00672360"/>
    <w:rsid w:val="006765A3"/>
    <w:rsid w:val="00676AC3"/>
    <w:rsid w:val="00677A11"/>
    <w:rsid w:val="006808CF"/>
    <w:rsid w:val="00682B32"/>
    <w:rsid w:val="00685352"/>
    <w:rsid w:val="00687324"/>
    <w:rsid w:val="00691226"/>
    <w:rsid w:val="00696C7C"/>
    <w:rsid w:val="006A0E9D"/>
    <w:rsid w:val="006A1507"/>
    <w:rsid w:val="006A5907"/>
    <w:rsid w:val="006A5EBB"/>
    <w:rsid w:val="006B4A4B"/>
    <w:rsid w:val="006B6DCC"/>
    <w:rsid w:val="006B7942"/>
    <w:rsid w:val="006C1FE5"/>
    <w:rsid w:val="006C4D1A"/>
    <w:rsid w:val="006C6ECC"/>
    <w:rsid w:val="006C7C0C"/>
    <w:rsid w:val="006D0D77"/>
    <w:rsid w:val="006D18AB"/>
    <w:rsid w:val="006D55D4"/>
    <w:rsid w:val="006E05BC"/>
    <w:rsid w:val="006E1542"/>
    <w:rsid w:val="006E32FA"/>
    <w:rsid w:val="006E3306"/>
    <w:rsid w:val="006E489B"/>
    <w:rsid w:val="006E6810"/>
    <w:rsid w:val="006F1998"/>
    <w:rsid w:val="006F51C9"/>
    <w:rsid w:val="007010ED"/>
    <w:rsid w:val="00703A3D"/>
    <w:rsid w:val="007059D0"/>
    <w:rsid w:val="00706C5F"/>
    <w:rsid w:val="00706E25"/>
    <w:rsid w:val="0071583E"/>
    <w:rsid w:val="00720059"/>
    <w:rsid w:val="007211C3"/>
    <w:rsid w:val="00723408"/>
    <w:rsid w:val="00723E17"/>
    <w:rsid w:val="00730711"/>
    <w:rsid w:val="007316F5"/>
    <w:rsid w:val="00733006"/>
    <w:rsid w:val="00733E52"/>
    <w:rsid w:val="00733F5A"/>
    <w:rsid w:val="0073494A"/>
    <w:rsid w:val="0073528C"/>
    <w:rsid w:val="00735ECA"/>
    <w:rsid w:val="00736B61"/>
    <w:rsid w:val="00740694"/>
    <w:rsid w:val="0074173F"/>
    <w:rsid w:val="007422DD"/>
    <w:rsid w:val="00743132"/>
    <w:rsid w:val="00743B89"/>
    <w:rsid w:val="00745BDB"/>
    <w:rsid w:val="0075057F"/>
    <w:rsid w:val="00750CB5"/>
    <w:rsid w:val="00752D78"/>
    <w:rsid w:val="0075359A"/>
    <w:rsid w:val="00755EEC"/>
    <w:rsid w:val="007579C3"/>
    <w:rsid w:val="00761159"/>
    <w:rsid w:val="00763AC3"/>
    <w:rsid w:val="0076793A"/>
    <w:rsid w:val="00776BD3"/>
    <w:rsid w:val="0077710D"/>
    <w:rsid w:val="0077759E"/>
    <w:rsid w:val="00782469"/>
    <w:rsid w:val="00782AF6"/>
    <w:rsid w:val="00786486"/>
    <w:rsid w:val="007877B8"/>
    <w:rsid w:val="00794BEC"/>
    <w:rsid w:val="0079687E"/>
    <w:rsid w:val="007969E9"/>
    <w:rsid w:val="00796FA5"/>
    <w:rsid w:val="007972A9"/>
    <w:rsid w:val="007976EF"/>
    <w:rsid w:val="007A05E1"/>
    <w:rsid w:val="007A3DA8"/>
    <w:rsid w:val="007A76B9"/>
    <w:rsid w:val="007B0746"/>
    <w:rsid w:val="007B48FF"/>
    <w:rsid w:val="007B6A8D"/>
    <w:rsid w:val="007C33FA"/>
    <w:rsid w:val="007C7D3F"/>
    <w:rsid w:val="007D1B5F"/>
    <w:rsid w:val="007D5356"/>
    <w:rsid w:val="007D58C8"/>
    <w:rsid w:val="007E0CC3"/>
    <w:rsid w:val="007E1756"/>
    <w:rsid w:val="007E59EB"/>
    <w:rsid w:val="007E73DD"/>
    <w:rsid w:val="007F0840"/>
    <w:rsid w:val="007F2124"/>
    <w:rsid w:val="007F3F26"/>
    <w:rsid w:val="007F4867"/>
    <w:rsid w:val="0080074C"/>
    <w:rsid w:val="00805138"/>
    <w:rsid w:val="00807BB9"/>
    <w:rsid w:val="00811C37"/>
    <w:rsid w:val="008121F1"/>
    <w:rsid w:val="00817A1E"/>
    <w:rsid w:val="00831957"/>
    <w:rsid w:val="00833550"/>
    <w:rsid w:val="00835301"/>
    <w:rsid w:val="0083581B"/>
    <w:rsid w:val="00836D34"/>
    <w:rsid w:val="00840993"/>
    <w:rsid w:val="0084140B"/>
    <w:rsid w:val="00841698"/>
    <w:rsid w:val="0084318B"/>
    <w:rsid w:val="00843FFC"/>
    <w:rsid w:val="00844A08"/>
    <w:rsid w:val="0085227D"/>
    <w:rsid w:val="0086214B"/>
    <w:rsid w:val="00862A59"/>
    <w:rsid w:val="008652DD"/>
    <w:rsid w:val="00870B34"/>
    <w:rsid w:val="00873188"/>
    <w:rsid w:val="008802BD"/>
    <w:rsid w:val="00880C96"/>
    <w:rsid w:val="00880F43"/>
    <w:rsid w:val="00882198"/>
    <w:rsid w:val="00893913"/>
    <w:rsid w:val="00894A8D"/>
    <w:rsid w:val="0089781C"/>
    <w:rsid w:val="008A22C5"/>
    <w:rsid w:val="008A453D"/>
    <w:rsid w:val="008A5FDD"/>
    <w:rsid w:val="008A6032"/>
    <w:rsid w:val="008B1669"/>
    <w:rsid w:val="008B1F57"/>
    <w:rsid w:val="008B1F62"/>
    <w:rsid w:val="008B2F6E"/>
    <w:rsid w:val="008B3026"/>
    <w:rsid w:val="008C2E71"/>
    <w:rsid w:val="008C30F7"/>
    <w:rsid w:val="008C561E"/>
    <w:rsid w:val="008C6C4C"/>
    <w:rsid w:val="008C7015"/>
    <w:rsid w:val="008D2C51"/>
    <w:rsid w:val="008D2D0A"/>
    <w:rsid w:val="008D494D"/>
    <w:rsid w:val="008E230B"/>
    <w:rsid w:val="008E5A16"/>
    <w:rsid w:val="008E6086"/>
    <w:rsid w:val="008E66A4"/>
    <w:rsid w:val="008F3EA7"/>
    <w:rsid w:val="0090058A"/>
    <w:rsid w:val="00902374"/>
    <w:rsid w:val="00902B88"/>
    <w:rsid w:val="0090483B"/>
    <w:rsid w:val="0090693C"/>
    <w:rsid w:val="009108A1"/>
    <w:rsid w:val="00911F7D"/>
    <w:rsid w:val="00912C48"/>
    <w:rsid w:val="00912E33"/>
    <w:rsid w:val="009163F3"/>
    <w:rsid w:val="00916E39"/>
    <w:rsid w:val="009173EF"/>
    <w:rsid w:val="00917ABA"/>
    <w:rsid w:val="00925131"/>
    <w:rsid w:val="00930D14"/>
    <w:rsid w:val="00932906"/>
    <w:rsid w:val="00935D3F"/>
    <w:rsid w:val="0094130F"/>
    <w:rsid w:val="009419D1"/>
    <w:rsid w:val="00944287"/>
    <w:rsid w:val="00945D18"/>
    <w:rsid w:val="00950214"/>
    <w:rsid w:val="009539B3"/>
    <w:rsid w:val="00956C8C"/>
    <w:rsid w:val="00961B0B"/>
    <w:rsid w:val="00962938"/>
    <w:rsid w:val="00963226"/>
    <w:rsid w:val="009659F0"/>
    <w:rsid w:val="00966A1B"/>
    <w:rsid w:val="00977602"/>
    <w:rsid w:val="00981F5D"/>
    <w:rsid w:val="009821AE"/>
    <w:rsid w:val="009822EB"/>
    <w:rsid w:val="00982ED4"/>
    <w:rsid w:val="00984458"/>
    <w:rsid w:val="00987718"/>
    <w:rsid w:val="009912FF"/>
    <w:rsid w:val="00995FD4"/>
    <w:rsid w:val="00997952"/>
    <w:rsid w:val="009A069F"/>
    <w:rsid w:val="009A6F1D"/>
    <w:rsid w:val="009B048E"/>
    <w:rsid w:val="009B637E"/>
    <w:rsid w:val="009C144F"/>
    <w:rsid w:val="009C4C63"/>
    <w:rsid w:val="009C5FD2"/>
    <w:rsid w:val="009D3B98"/>
    <w:rsid w:val="009D6EA5"/>
    <w:rsid w:val="009E00C1"/>
    <w:rsid w:val="009E17BD"/>
    <w:rsid w:val="009E3EED"/>
    <w:rsid w:val="009E6868"/>
    <w:rsid w:val="009E7651"/>
    <w:rsid w:val="009E777A"/>
    <w:rsid w:val="009E7DE0"/>
    <w:rsid w:val="009F15C5"/>
    <w:rsid w:val="009F1D4D"/>
    <w:rsid w:val="009F4698"/>
    <w:rsid w:val="009F4DF7"/>
    <w:rsid w:val="009F5BC3"/>
    <w:rsid w:val="00A02D2D"/>
    <w:rsid w:val="00A02E6F"/>
    <w:rsid w:val="00A04CEC"/>
    <w:rsid w:val="00A066D8"/>
    <w:rsid w:val="00A12C68"/>
    <w:rsid w:val="00A20884"/>
    <w:rsid w:val="00A21097"/>
    <w:rsid w:val="00A27F92"/>
    <w:rsid w:val="00A305AA"/>
    <w:rsid w:val="00A32654"/>
    <w:rsid w:val="00A33971"/>
    <w:rsid w:val="00A33B18"/>
    <w:rsid w:val="00A3595B"/>
    <w:rsid w:val="00A35E16"/>
    <w:rsid w:val="00A44101"/>
    <w:rsid w:val="00A5383B"/>
    <w:rsid w:val="00A55622"/>
    <w:rsid w:val="00A556C2"/>
    <w:rsid w:val="00A602CD"/>
    <w:rsid w:val="00A62467"/>
    <w:rsid w:val="00A63031"/>
    <w:rsid w:val="00A71E8E"/>
    <w:rsid w:val="00A72A30"/>
    <w:rsid w:val="00A76752"/>
    <w:rsid w:val="00A77EA6"/>
    <w:rsid w:val="00A806F2"/>
    <w:rsid w:val="00A81F23"/>
    <w:rsid w:val="00A8261D"/>
    <w:rsid w:val="00A82D0D"/>
    <w:rsid w:val="00A87B50"/>
    <w:rsid w:val="00A91DE4"/>
    <w:rsid w:val="00A94AD4"/>
    <w:rsid w:val="00A97A42"/>
    <w:rsid w:val="00AA025D"/>
    <w:rsid w:val="00AA5496"/>
    <w:rsid w:val="00AA5C97"/>
    <w:rsid w:val="00AB0340"/>
    <w:rsid w:val="00AB24CA"/>
    <w:rsid w:val="00AB29DA"/>
    <w:rsid w:val="00AB42F6"/>
    <w:rsid w:val="00AB69D8"/>
    <w:rsid w:val="00AC1E55"/>
    <w:rsid w:val="00AC2591"/>
    <w:rsid w:val="00AC6F74"/>
    <w:rsid w:val="00AC769F"/>
    <w:rsid w:val="00AD0AE5"/>
    <w:rsid w:val="00AD3E23"/>
    <w:rsid w:val="00AD5D3C"/>
    <w:rsid w:val="00AD7201"/>
    <w:rsid w:val="00AD7909"/>
    <w:rsid w:val="00AE0100"/>
    <w:rsid w:val="00AE26D6"/>
    <w:rsid w:val="00AE654A"/>
    <w:rsid w:val="00AE66FC"/>
    <w:rsid w:val="00AF2963"/>
    <w:rsid w:val="00AF2971"/>
    <w:rsid w:val="00AF4BAE"/>
    <w:rsid w:val="00AF5E3C"/>
    <w:rsid w:val="00AF69EA"/>
    <w:rsid w:val="00AF78F8"/>
    <w:rsid w:val="00B024D2"/>
    <w:rsid w:val="00B13315"/>
    <w:rsid w:val="00B170F6"/>
    <w:rsid w:val="00B2270F"/>
    <w:rsid w:val="00B2320C"/>
    <w:rsid w:val="00B23E7E"/>
    <w:rsid w:val="00B25B11"/>
    <w:rsid w:val="00B25B41"/>
    <w:rsid w:val="00B27123"/>
    <w:rsid w:val="00B332FB"/>
    <w:rsid w:val="00B371AF"/>
    <w:rsid w:val="00B40A81"/>
    <w:rsid w:val="00B41974"/>
    <w:rsid w:val="00B44910"/>
    <w:rsid w:val="00B54B8F"/>
    <w:rsid w:val="00B55639"/>
    <w:rsid w:val="00B576FA"/>
    <w:rsid w:val="00B6677E"/>
    <w:rsid w:val="00B7000E"/>
    <w:rsid w:val="00B702A5"/>
    <w:rsid w:val="00B72267"/>
    <w:rsid w:val="00B750EB"/>
    <w:rsid w:val="00B76EB6"/>
    <w:rsid w:val="00B77B71"/>
    <w:rsid w:val="00B824C8"/>
    <w:rsid w:val="00B82A28"/>
    <w:rsid w:val="00B8318C"/>
    <w:rsid w:val="00B83897"/>
    <w:rsid w:val="00B84652"/>
    <w:rsid w:val="00B8578D"/>
    <w:rsid w:val="00B8714F"/>
    <w:rsid w:val="00B902F2"/>
    <w:rsid w:val="00BA1CA1"/>
    <w:rsid w:val="00BA1CAA"/>
    <w:rsid w:val="00BA3A82"/>
    <w:rsid w:val="00BA4604"/>
    <w:rsid w:val="00BA7087"/>
    <w:rsid w:val="00BB0863"/>
    <w:rsid w:val="00BB0E88"/>
    <w:rsid w:val="00BB137B"/>
    <w:rsid w:val="00BB146D"/>
    <w:rsid w:val="00BB1F56"/>
    <w:rsid w:val="00BB2F3F"/>
    <w:rsid w:val="00BC2C12"/>
    <w:rsid w:val="00BC3CD2"/>
    <w:rsid w:val="00BC5A8A"/>
    <w:rsid w:val="00BD032B"/>
    <w:rsid w:val="00BD14D2"/>
    <w:rsid w:val="00BD1548"/>
    <w:rsid w:val="00BD73DC"/>
    <w:rsid w:val="00BE012E"/>
    <w:rsid w:val="00BE02D1"/>
    <w:rsid w:val="00BE1922"/>
    <w:rsid w:val="00BE2640"/>
    <w:rsid w:val="00BE2773"/>
    <w:rsid w:val="00BE355F"/>
    <w:rsid w:val="00BF1FFF"/>
    <w:rsid w:val="00BF27CF"/>
    <w:rsid w:val="00BF2BF9"/>
    <w:rsid w:val="00BF370B"/>
    <w:rsid w:val="00C01189"/>
    <w:rsid w:val="00C019B1"/>
    <w:rsid w:val="00C03AD5"/>
    <w:rsid w:val="00C104DD"/>
    <w:rsid w:val="00C108D2"/>
    <w:rsid w:val="00C17270"/>
    <w:rsid w:val="00C17609"/>
    <w:rsid w:val="00C17AF8"/>
    <w:rsid w:val="00C301A8"/>
    <w:rsid w:val="00C31C94"/>
    <w:rsid w:val="00C33313"/>
    <w:rsid w:val="00C36D0F"/>
    <w:rsid w:val="00C374DE"/>
    <w:rsid w:val="00C40EC5"/>
    <w:rsid w:val="00C4152B"/>
    <w:rsid w:val="00C42831"/>
    <w:rsid w:val="00C44DA7"/>
    <w:rsid w:val="00C50344"/>
    <w:rsid w:val="00C512A0"/>
    <w:rsid w:val="00C51F07"/>
    <w:rsid w:val="00C53A28"/>
    <w:rsid w:val="00C667DB"/>
    <w:rsid w:val="00C66E21"/>
    <w:rsid w:val="00C7397E"/>
    <w:rsid w:val="00C73A8D"/>
    <w:rsid w:val="00C74D1A"/>
    <w:rsid w:val="00C82306"/>
    <w:rsid w:val="00C83C71"/>
    <w:rsid w:val="00C90506"/>
    <w:rsid w:val="00C94145"/>
    <w:rsid w:val="00C9560A"/>
    <w:rsid w:val="00CA1BFF"/>
    <w:rsid w:val="00CA2A00"/>
    <w:rsid w:val="00CA4EB5"/>
    <w:rsid w:val="00CA6393"/>
    <w:rsid w:val="00CB0AC0"/>
    <w:rsid w:val="00CB1BB5"/>
    <w:rsid w:val="00CB45D7"/>
    <w:rsid w:val="00CB5846"/>
    <w:rsid w:val="00CB688A"/>
    <w:rsid w:val="00CC02B8"/>
    <w:rsid w:val="00CC2057"/>
    <w:rsid w:val="00CC5DAD"/>
    <w:rsid w:val="00CD0C08"/>
    <w:rsid w:val="00CD0F3C"/>
    <w:rsid w:val="00CD5BBD"/>
    <w:rsid w:val="00CD66E3"/>
    <w:rsid w:val="00CE00DE"/>
    <w:rsid w:val="00CE222A"/>
    <w:rsid w:val="00CE4B01"/>
    <w:rsid w:val="00CE554A"/>
    <w:rsid w:val="00CE60BA"/>
    <w:rsid w:val="00CF203C"/>
    <w:rsid w:val="00CF33F3"/>
    <w:rsid w:val="00CF3EC3"/>
    <w:rsid w:val="00CF6AD5"/>
    <w:rsid w:val="00D01238"/>
    <w:rsid w:val="00D01634"/>
    <w:rsid w:val="00D04FD6"/>
    <w:rsid w:val="00D05510"/>
    <w:rsid w:val="00D06183"/>
    <w:rsid w:val="00D10EA5"/>
    <w:rsid w:val="00D12D29"/>
    <w:rsid w:val="00D145D9"/>
    <w:rsid w:val="00D1570D"/>
    <w:rsid w:val="00D157A3"/>
    <w:rsid w:val="00D15841"/>
    <w:rsid w:val="00D16253"/>
    <w:rsid w:val="00D175B3"/>
    <w:rsid w:val="00D208E0"/>
    <w:rsid w:val="00D2236C"/>
    <w:rsid w:val="00D22C42"/>
    <w:rsid w:val="00D2455D"/>
    <w:rsid w:val="00D267AF"/>
    <w:rsid w:val="00D26FDF"/>
    <w:rsid w:val="00D27B70"/>
    <w:rsid w:val="00D309CF"/>
    <w:rsid w:val="00D30A39"/>
    <w:rsid w:val="00D336EE"/>
    <w:rsid w:val="00D337D8"/>
    <w:rsid w:val="00D33A9B"/>
    <w:rsid w:val="00D33BC1"/>
    <w:rsid w:val="00D4094B"/>
    <w:rsid w:val="00D41704"/>
    <w:rsid w:val="00D43116"/>
    <w:rsid w:val="00D43B52"/>
    <w:rsid w:val="00D442AF"/>
    <w:rsid w:val="00D4562C"/>
    <w:rsid w:val="00D46610"/>
    <w:rsid w:val="00D4769E"/>
    <w:rsid w:val="00D534B0"/>
    <w:rsid w:val="00D54A06"/>
    <w:rsid w:val="00D57E69"/>
    <w:rsid w:val="00D617BD"/>
    <w:rsid w:val="00D63AEF"/>
    <w:rsid w:val="00D7144D"/>
    <w:rsid w:val="00D71B7E"/>
    <w:rsid w:val="00D7225A"/>
    <w:rsid w:val="00D74B5A"/>
    <w:rsid w:val="00D7501A"/>
    <w:rsid w:val="00D76A33"/>
    <w:rsid w:val="00D77A00"/>
    <w:rsid w:val="00D86145"/>
    <w:rsid w:val="00D9217C"/>
    <w:rsid w:val="00DA18EC"/>
    <w:rsid w:val="00DA1A79"/>
    <w:rsid w:val="00DA313D"/>
    <w:rsid w:val="00DA3E70"/>
    <w:rsid w:val="00DA5B1F"/>
    <w:rsid w:val="00DB088B"/>
    <w:rsid w:val="00DB2B12"/>
    <w:rsid w:val="00DB6388"/>
    <w:rsid w:val="00DC0E33"/>
    <w:rsid w:val="00DC2187"/>
    <w:rsid w:val="00DC429C"/>
    <w:rsid w:val="00DC4A08"/>
    <w:rsid w:val="00DC65C1"/>
    <w:rsid w:val="00DC7F3A"/>
    <w:rsid w:val="00DD06C6"/>
    <w:rsid w:val="00DD4EA6"/>
    <w:rsid w:val="00DE06EB"/>
    <w:rsid w:val="00DE07E6"/>
    <w:rsid w:val="00DE0C72"/>
    <w:rsid w:val="00DE52DC"/>
    <w:rsid w:val="00DF608C"/>
    <w:rsid w:val="00DF720D"/>
    <w:rsid w:val="00E041F4"/>
    <w:rsid w:val="00E07153"/>
    <w:rsid w:val="00E07523"/>
    <w:rsid w:val="00E07718"/>
    <w:rsid w:val="00E07FE1"/>
    <w:rsid w:val="00E10E3B"/>
    <w:rsid w:val="00E10E80"/>
    <w:rsid w:val="00E124F0"/>
    <w:rsid w:val="00E137BC"/>
    <w:rsid w:val="00E1694D"/>
    <w:rsid w:val="00E17990"/>
    <w:rsid w:val="00E17CE7"/>
    <w:rsid w:val="00E237EC"/>
    <w:rsid w:val="00E2526B"/>
    <w:rsid w:val="00E264DB"/>
    <w:rsid w:val="00E342CF"/>
    <w:rsid w:val="00E3640B"/>
    <w:rsid w:val="00E40B6E"/>
    <w:rsid w:val="00E41136"/>
    <w:rsid w:val="00E4141B"/>
    <w:rsid w:val="00E4236E"/>
    <w:rsid w:val="00E4442D"/>
    <w:rsid w:val="00E544AC"/>
    <w:rsid w:val="00E54EE6"/>
    <w:rsid w:val="00E55559"/>
    <w:rsid w:val="00E569B6"/>
    <w:rsid w:val="00E603D2"/>
    <w:rsid w:val="00E77551"/>
    <w:rsid w:val="00E828D5"/>
    <w:rsid w:val="00E8417D"/>
    <w:rsid w:val="00E849B4"/>
    <w:rsid w:val="00E852C4"/>
    <w:rsid w:val="00E85DA7"/>
    <w:rsid w:val="00E90283"/>
    <w:rsid w:val="00E917D3"/>
    <w:rsid w:val="00E94D52"/>
    <w:rsid w:val="00E964F5"/>
    <w:rsid w:val="00EA3349"/>
    <w:rsid w:val="00EA4D1D"/>
    <w:rsid w:val="00EA5FA5"/>
    <w:rsid w:val="00EB1544"/>
    <w:rsid w:val="00EB2232"/>
    <w:rsid w:val="00EB2633"/>
    <w:rsid w:val="00EB2ED4"/>
    <w:rsid w:val="00EB43C8"/>
    <w:rsid w:val="00EB4849"/>
    <w:rsid w:val="00EB66CD"/>
    <w:rsid w:val="00EC3108"/>
    <w:rsid w:val="00EC3551"/>
    <w:rsid w:val="00EC553C"/>
    <w:rsid w:val="00ED029B"/>
    <w:rsid w:val="00ED063D"/>
    <w:rsid w:val="00ED1244"/>
    <w:rsid w:val="00ED1BE1"/>
    <w:rsid w:val="00ED308F"/>
    <w:rsid w:val="00ED3683"/>
    <w:rsid w:val="00ED50E7"/>
    <w:rsid w:val="00ED6491"/>
    <w:rsid w:val="00ED6E70"/>
    <w:rsid w:val="00EE00D4"/>
    <w:rsid w:val="00EE0185"/>
    <w:rsid w:val="00EE620A"/>
    <w:rsid w:val="00EE7FAE"/>
    <w:rsid w:val="00EF00BD"/>
    <w:rsid w:val="00EF0A70"/>
    <w:rsid w:val="00EF611A"/>
    <w:rsid w:val="00EF7D55"/>
    <w:rsid w:val="00F01FC4"/>
    <w:rsid w:val="00F02CE5"/>
    <w:rsid w:val="00F03FB0"/>
    <w:rsid w:val="00F046BB"/>
    <w:rsid w:val="00F07562"/>
    <w:rsid w:val="00F07765"/>
    <w:rsid w:val="00F1489D"/>
    <w:rsid w:val="00F15957"/>
    <w:rsid w:val="00F1663D"/>
    <w:rsid w:val="00F17005"/>
    <w:rsid w:val="00F1776B"/>
    <w:rsid w:val="00F2150A"/>
    <w:rsid w:val="00F21FB0"/>
    <w:rsid w:val="00F23CA9"/>
    <w:rsid w:val="00F2576B"/>
    <w:rsid w:val="00F26C3F"/>
    <w:rsid w:val="00F30BBC"/>
    <w:rsid w:val="00F33243"/>
    <w:rsid w:val="00F35D25"/>
    <w:rsid w:val="00F3600D"/>
    <w:rsid w:val="00F43265"/>
    <w:rsid w:val="00F5168B"/>
    <w:rsid w:val="00F523CD"/>
    <w:rsid w:val="00F524E4"/>
    <w:rsid w:val="00F54BEC"/>
    <w:rsid w:val="00F56FD6"/>
    <w:rsid w:val="00F61E82"/>
    <w:rsid w:val="00F6456B"/>
    <w:rsid w:val="00F6550B"/>
    <w:rsid w:val="00F6647A"/>
    <w:rsid w:val="00F70C1F"/>
    <w:rsid w:val="00F71EF8"/>
    <w:rsid w:val="00F73F0D"/>
    <w:rsid w:val="00F77CB0"/>
    <w:rsid w:val="00F83017"/>
    <w:rsid w:val="00F83B99"/>
    <w:rsid w:val="00F84005"/>
    <w:rsid w:val="00F90251"/>
    <w:rsid w:val="00F910A2"/>
    <w:rsid w:val="00F915D8"/>
    <w:rsid w:val="00F96900"/>
    <w:rsid w:val="00FA34B2"/>
    <w:rsid w:val="00FB0029"/>
    <w:rsid w:val="00FB3CFA"/>
    <w:rsid w:val="00FB4929"/>
    <w:rsid w:val="00FB4F5B"/>
    <w:rsid w:val="00FC1181"/>
    <w:rsid w:val="00FC3229"/>
    <w:rsid w:val="00FC3972"/>
    <w:rsid w:val="00FC4153"/>
    <w:rsid w:val="00FC4B12"/>
    <w:rsid w:val="00FD0557"/>
    <w:rsid w:val="00FD0BB9"/>
    <w:rsid w:val="00FD0E17"/>
    <w:rsid w:val="00FD3677"/>
    <w:rsid w:val="00FD687B"/>
    <w:rsid w:val="00FE12EA"/>
    <w:rsid w:val="00FE2E6C"/>
    <w:rsid w:val="00FE38D0"/>
    <w:rsid w:val="00FE65FD"/>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1855D5"/>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character" w:styleId="CommentReference">
    <w:name w:val="annotation reference"/>
    <w:basedOn w:val="DefaultParagraphFont"/>
    <w:semiHidden/>
    <w:unhideWhenUsed/>
    <w:rsid w:val="003A0F60"/>
    <w:rPr>
      <w:sz w:val="18"/>
      <w:szCs w:val="18"/>
    </w:rPr>
  </w:style>
  <w:style w:type="paragraph" w:styleId="CommentText">
    <w:name w:val="annotation text"/>
    <w:basedOn w:val="Normal"/>
    <w:link w:val="CommentTextChar"/>
    <w:semiHidden/>
    <w:unhideWhenUsed/>
    <w:rsid w:val="003A0F60"/>
    <w:rPr>
      <w:szCs w:val="24"/>
    </w:rPr>
  </w:style>
  <w:style w:type="character" w:customStyle="1" w:styleId="CommentTextChar">
    <w:name w:val="Comment Text Char"/>
    <w:basedOn w:val="DefaultParagraphFont"/>
    <w:link w:val="CommentText"/>
    <w:semiHidden/>
    <w:rsid w:val="003A0F60"/>
    <w:rPr>
      <w:rFonts w:ascii="Times New Roman" w:hAnsi="Times New Roman"/>
      <w:sz w:val="24"/>
      <w:szCs w:val="24"/>
      <w:lang w:val="en-GB" w:eastAsia="en-US"/>
    </w:rPr>
  </w:style>
  <w:style w:type="paragraph" w:styleId="CommentSubject">
    <w:name w:val="annotation subject"/>
    <w:basedOn w:val="CommentText"/>
    <w:next w:val="CommentText"/>
    <w:link w:val="CommentSubjectChar"/>
    <w:semiHidden/>
    <w:unhideWhenUsed/>
    <w:rsid w:val="003A0F60"/>
    <w:rPr>
      <w:b/>
      <w:bCs/>
      <w:sz w:val="20"/>
      <w:szCs w:val="20"/>
    </w:rPr>
  </w:style>
  <w:style w:type="character" w:customStyle="1" w:styleId="CommentSubjectChar">
    <w:name w:val="Comment Subject Char"/>
    <w:basedOn w:val="CommentTextChar"/>
    <w:link w:val="CommentSubject"/>
    <w:semiHidden/>
    <w:rsid w:val="003A0F60"/>
    <w:rPr>
      <w:rFonts w:ascii="Times New Roman" w:hAnsi="Times New Roman"/>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6861D0-287E-4915-846C-B27BF89260C7}">
  <ds:schemaRefs>
    <ds:schemaRef ds:uri="http://schemas.openxmlformats.org/officeDocument/2006/bibliography"/>
  </ds:schemaRefs>
</ds:datastoreItem>
</file>

<file path=customXml/itemProps2.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PE_C07.DOT</Template>
  <TotalTime>173</TotalTime>
  <Pages>6</Pages>
  <Words>3334</Words>
  <Characters>587</Characters>
  <Application>Microsoft Office Word</Application>
  <DocSecurity>0</DocSecurity>
  <Lines>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CDPG-C07/24-SCHEDULING OF COUNCIL SESSIONS AND PLENIPOTENTIARY CONFERENCES</vt:lpstr>
      <vt:lpstr>CDPG-C07/24-SCHEDULING OF COUNCIL SESSIONS AND PLENIPOTENTIARY CONFERENCES</vt:lpstr>
    </vt:vector>
  </TitlesOfParts>
  <Manager>General Secretariat - Pool</Manager>
  <Company>International Telecommunication Union (ITU)</Company>
  <LinksUpToDate>false</LinksUpToDate>
  <CharactersWithSpaces>3914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dc:description/>
  <cp:lastModifiedBy>Kong, Hongli</cp:lastModifiedBy>
  <cp:revision>14</cp:revision>
  <cp:lastPrinted>2020-08-21T06:44:00Z</cp:lastPrinted>
  <dcterms:created xsi:type="dcterms:W3CDTF">2021-01-29T10:41:00Z</dcterms:created>
  <dcterms:modified xsi:type="dcterms:W3CDTF">2021-01-29T13:36:00Z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_DocHome">
    <vt:i4>1632005657</vt:i4>
  </property>
</Properties>
</file>