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37" w:type="dxa"/>
        <w:tblLayout w:type="fixed"/>
        <w:tblLook w:val="0000" w:firstRow="0" w:lastRow="0" w:firstColumn="0" w:lastColumn="0" w:noHBand="0" w:noVBand="0"/>
      </w:tblPr>
      <w:tblGrid>
        <w:gridCol w:w="6345"/>
        <w:gridCol w:w="3492"/>
      </w:tblGrid>
      <w:tr w:rsidR="008512C1" w14:paraId="5CC7A80E" w14:textId="77777777">
        <w:trPr>
          <w:cantSplit/>
          <w:trHeight w:val="851"/>
        </w:trPr>
        <w:tc>
          <w:tcPr>
            <w:tcW w:w="6345" w:type="dxa"/>
            <w:vAlign w:val="center"/>
          </w:tcPr>
          <w:p w14:paraId="172FC4AB" w14:textId="77777777" w:rsidR="008512C1" w:rsidRDefault="002146E6">
            <w:pPr>
              <w:shd w:val="solid" w:color="FFFFFF" w:fill="FFFFFF"/>
              <w:spacing w:after="0"/>
              <w:rPr>
                <w:rFonts w:cs="Times"/>
                <w:b/>
                <w:lang w:val="en-US"/>
              </w:rPr>
            </w:pPr>
            <w:r>
              <w:rPr>
                <w:rFonts w:cs="Times"/>
                <w:b/>
                <w:sz w:val="32"/>
                <w:szCs w:val="32"/>
                <w:lang w:val="en-US"/>
              </w:rPr>
              <w:t>Expert Group on the International</w:t>
            </w:r>
            <w:r>
              <w:rPr>
                <w:rFonts w:cs="Times"/>
                <w:b/>
                <w:sz w:val="32"/>
                <w:szCs w:val="32"/>
                <w:lang w:val="en-US"/>
              </w:rPr>
              <w:br/>
              <w:t>Telecommunication Regulations (EG-ITRs)</w:t>
            </w:r>
          </w:p>
        </w:tc>
        <w:tc>
          <w:tcPr>
            <w:tcW w:w="3492" w:type="dxa"/>
          </w:tcPr>
          <w:p w14:paraId="1E9888DF" w14:textId="77777777" w:rsidR="008512C1" w:rsidRDefault="002146E6">
            <w:pPr>
              <w:pStyle w:val="dnum"/>
              <w:framePr w:hSpace="0" w:wrap="auto" w:vAnchor="margin" w:hAnchor="text" w:yAlign="inline"/>
              <w:spacing w:after="0"/>
            </w:pPr>
            <w:r>
              <w:rPr>
                <w:noProof/>
              </w:rPr>
              <w:drawing>
                <wp:inline distT="0" distB="0" distL="0" distR="0" wp14:anchorId="48EE3CB2" wp14:editId="769B5858">
                  <wp:extent cx="609600" cy="643281"/>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9280" cy="664048"/>
                          </a:xfrm>
                          <a:prstGeom prst="rect">
                            <a:avLst/>
                          </a:prstGeom>
                        </pic:spPr>
                      </pic:pic>
                    </a:graphicData>
                  </a:graphic>
                </wp:inline>
              </w:drawing>
            </w:r>
          </w:p>
        </w:tc>
      </w:tr>
      <w:tr w:rsidR="008512C1" w14:paraId="01B7DEF6" w14:textId="77777777">
        <w:trPr>
          <w:cantSplit/>
          <w:trHeight w:val="20"/>
        </w:trPr>
        <w:tc>
          <w:tcPr>
            <w:tcW w:w="6345" w:type="dxa"/>
            <w:tcBorders>
              <w:bottom w:val="single" w:sz="12" w:space="0" w:color="auto"/>
            </w:tcBorders>
          </w:tcPr>
          <w:p w14:paraId="72870124" w14:textId="77777777" w:rsidR="008512C1" w:rsidRDefault="002146E6">
            <w:pPr>
              <w:shd w:val="solid" w:color="FFFFFF" w:fill="FFFFFF"/>
              <w:spacing w:after="0"/>
              <w:rPr>
                <w:rFonts w:cs="Times"/>
                <w:b/>
                <w:lang w:val="en-US"/>
              </w:rPr>
            </w:pPr>
            <w:r>
              <w:rPr>
                <w:b/>
                <w:bCs/>
                <w:sz w:val="24"/>
                <w:szCs w:val="40"/>
                <w:lang w:val="en-US"/>
              </w:rPr>
              <w:t>Fourth meeting – Virtual meeting, 3-4 February 2021</w:t>
            </w:r>
          </w:p>
        </w:tc>
        <w:tc>
          <w:tcPr>
            <w:tcW w:w="3492" w:type="dxa"/>
            <w:tcBorders>
              <w:bottom w:val="single" w:sz="12" w:space="0" w:color="auto"/>
            </w:tcBorders>
          </w:tcPr>
          <w:p w14:paraId="4043BD09" w14:textId="77777777" w:rsidR="008512C1" w:rsidRDefault="008512C1">
            <w:pPr>
              <w:pStyle w:val="dnum"/>
              <w:framePr w:hSpace="0" w:wrap="auto" w:vAnchor="margin" w:hAnchor="text" w:yAlign="inline"/>
              <w:spacing w:after="0"/>
              <w:rPr>
                <w:rFonts w:ascii="Verdana" w:hAnsi="Verdana"/>
                <w:lang w:val="en-US"/>
              </w:rPr>
            </w:pPr>
          </w:p>
        </w:tc>
      </w:tr>
      <w:tr w:rsidR="008512C1" w14:paraId="3B2266D9" w14:textId="77777777">
        <w:trPr>
          <w:cantSplit/>
          <w:trHeight w:val="138"/>
        </w:trPr>
        <w:tc>
          <w:tcPr>
            <w:tcW w:w="6345" w:type="dxa"/>
            <w:tcBorders>
              <w:top w:val="single" w:sz="12" w:space="0" w:color="auto"/>
            </w:tcBorders>
          </w:tcPr>
          <w:p w14:paraId="05F12AEF" w14:textId="77777777" w:rsidR="008512C1" w:rsidRDefault="008512C1">
            <w:pPr>
              <w:shd w:val="solid" w:color="FFFFFF" w:fill="FFFFFF"/>
              <w:spacing w:after="0"/>
              <w:ind w:right="284"/>
              <w:rPr>
                <w:lang w:val="en-US"/>
              </w:rPr>
            </w:pPr>
          </w:p>
        </w:tc>
        <w:tc>
          <w:tcPr>
            <w:tcW w:w="3492" w:type="dxa"/>
            <w:tcBorders>
              <w:top w:val="single" w:sz="12" w:space="0" w:color="auto"/>
            </w:tcBorders>
          </w:tcPr>
          <w:p w14:paraId="1008C2B6" w14:textId="77777777" w:rsidR="008512C1" w:rsidRDefault="008512C1">
            <w:pPr>
              <w:tabs>
                <w:tab w:val="left" w:pos="851"/>
              </w:tabs>
              <w:spacing w:after="0"/>
              <w:ind w:right="284"/>
              <w:rPr>
                <w:rFonts w:ascii="Times New Roman Bold" w:hAnsi="Times New Roman Bold" w:cs="Times New Roman Bold"/>
                <w:b/>
                <w:lang w:val="en-US"/>
              </w:rPr>
            </w:pPr>
          </w:p>
        </w:tc>
      </w:tr>
      <w:tr w:rsidR="008512C1" w14:paraId="5B23AE3E" w14:textId="77777777">
        <w:trPr>
          <w:cantSplit/>
          <w:trHeight w:val="138"/>
        </w:trPr>
        <w:tc>
          <w:tcPr>
            <w:tcW w:w="6345" w:type="dxa"/>
          </w:tcPr>
          <w:p w14:paraId="31D059E7" w14:textId="77777777" w:rsidR="008512C1" w:rsidRDefault="008512C1">
            <w:pPr>
              <w:spacing w:after="0"/>
              <w:rPr>
                <w:b/>
                <w:bCs/>
                <w:sz w:val="24"/>
                <w:szCs w:val="24"/>
                <w:lang w:val="en-US"/>
              </w:rPr>
            </w:pPr>
          </w:p>
        </w:tc>
        <w:tc>
          <w:tcPr>
            <w:tcW w:w="3492" w:type="dxa"/>
          </w:tcPr>
          <w:p w14:paraId="2115C498" w14:textId="2A69DBC7" w:rsidR="008512C1" w:rsidRDefault="002146E6">
            <w:pPr>
              <w:spacing w:after="0"/>
              <w:rPr>
                <w:b/>
                <w:bCs/>
                <w:sz w:val="24"/>
                <w:szCs w:val="24"/>
                <w:lang w:val="es-ES"/>
              </w:rPr>
            </w:pPr>
            <w:proofErr w:type="spellStart"/>
            <w:r>
              <w:rPr>
                <w:b/>
                <w:bCs/>
                <w:sz w:val="24"/>
                <w:szCs w:val="24"/>
                <w:lang w:val="es-ES"/>
              </w:rPr>
              <w:t>Document</w:t>
            </w:r>
            <w:proofErr w:type="spellEnd"/>
            <w:r>
              <w:rPr>
                <w:b/>
                <w:bCs/>
                <w:sz w:val="24"/>
                <w:szCs w:val="24"/>
                <w:lang w:val="es-ES"/>
              </w:rPr>
              <w:t xml:space="preserve"> EG-ITRs-4\4</w:t>
            </w:r>
            <w:r>
              <w:rPr>
                <w:b/>
                <w:bCs/>
                <w:sz w:val="24"/>
                <w:szCs w:val="24"/>
                <w:lang w:val="es-ES"/>
              </w:rPr>
              <w:t>-E</w:t>
            </w:r>
          </w:p>
        </w:tc>
      </w:tr>
      <w:tr w:rsidR="008512C1" w14:paraId="3F46D3DD" w14:textId="77777777">
        <w:trPr>
          <w:cantSplit/>
          <w:trHeight w:val="138"/>
        </w:trPr>
        <w:tc>
          <w:tcPr>
            <w:tcW w:w="6345" w:type="dxa"/>
          </w:tcPr>
          <w:p w14:paraId="02E0751E" w14:textId="77777777" w:rsidR="008512C1" w:rsidRDefault="008512C1">
            <w:pPr>
              <w:shd w:val="solid" w:color="FFFFFF" w:fill="FFFFFF"/>
              <w:spacing w:after="0"/>
              <w:ind w:right="284"/>
              <w:rPr>
                <w:lang w:val="es-ES"/>
              </w:rPr>
            </w:pPr>
          </w:p>
        </w:tc>
        <w:tc>
          <w:tcPr>
            <w:tcW w:w="3492" w:type="dxa"/>
          </w:tcPr>
          <w:p w14:paraId="77F9A549" w14:textId="77777777" w:rsidR="008512C1" w:rsidRDefault="002146E6">
            <w:pPr>
              <w:tabs>
                <w:tab w:val="left" w:pos="851"/>
              </w:tabs>
              <w:spacing w:after="0"/>
              <w:ind w:right="284"/>
              <w:rPr>
                <w:b/>
                <w:sz w:val="24"/>
                <w:szCs w:val="24"/>
              </w:rPr>
            </w:pPr>
            <w:r>
              <w:rPr>
                <w:b/>
                <w:sz w:val="24"/>
                <w:szCs w:val="24"/>
              </w:rPr>
              <w:t>18 January 2021</w:t>
            </w:r>
          </w:p>
        </w:tc>
      </w:tr>
      <w:tr w:rsidR="008512C1" w14:paraId="74F49D06" w14:textId="77777777">
        <w:trPr>
          <w:cantSplit/>
          <w:trHeight w:val="138"/>
        </w:trPr>
        <w:tc>
          <w:tcPr>
            <w:tcW w:w="6345" w:type="dxa"/>
          </w:tcPr>
          <w:p w14:paraId="1B3A96E2" w14:textId="77777777" w:rsidR="008512C1" w:rsidRDefault="008512C1">
            <w:pPr>
              <w:shd w:val="solid" w:color="FFFFFF" w:fill="FFFFFF"/>
              <w:spacing w:after="0"/>
              <w:ind w:right="284"/>
            </w:pPr>
          </w:p>
        </w:tc>
        <w:tc>
          <w:tcPr>
            <w:tcW w:w="3492" w:type="dxa"/>
          </w:tcPr>
          <w:p w14:paraId="31BB2E86" w14:textId="77777777" w:rsidR="008512C1" w:rsidRDefault="002146E6">
            <w:pPr>
              <w:tabs>
                <w:tab w:val="left" w:pos="851"/>
              </w:tabs>
              <w:spacing w:after="0"/>
              <w:ind w:right="284"/>
              <w:rPr>
                <w:b/>
                <w:sz w:val="24"/>
                <w:szCs w:val="24"/>
              </w:rPr>
            </w:pPr>
            <w:r>
              <w:rPr>
                <w:b/>
                <w:sz w:val="24"/>
                <w:szCs w:val="24"/>
              </w:rPr>
              <w:t>Original: English</w:t>
            </w:r>
          </w:p>
        </w:tc>
      </w:tr>
      <w:tr w:rsidR="008512C1" w14:paraId="0C198D63" w14:textId="77777777">
        <w:trPr>
          <w:cantSplit/>
          <w:trHeight w:val="138"/>
        </w:trPr>
        <w:tc>
          <w:tcPr>
            <w:tcW w:w="9837" w:type="dxa"/>
            <w:gridSpan w:val="2"/>
          </w:tcPr>
          <w:p w14:paraId="6738E0EB" w14:textId="77777777" w:rsidR="008512C1" w:rsidRDefault="002146E6">
            <w:pPr>
              <w:pStyle w:val="Source"/>
            </w:pPr>
            <w:r>
              <w:t>The Netherlands</w:t>
            </w:r>
          </w:p>
        </w:tc>
      </w:tr>
      <w:tr w:rsidR="008512C1" w14:paraId="1B18D52A" w14:textId="77777777">
        <w:trPr>
          <w:cantSplit/>
          <w:trHeight w:val="138"/>
        </w:trPr>
        <w:tc>
          <w:tcPr>
            <w:tcW w:w="9837" w:type="dxa"/>
            <w:gridSpan w:val="2"/>
          </w:tcPr>
          <w:p w14:paraId="4B51C5AA" w14:textId="77777777" w:rsidR="008512C1" w:rsidRDefault="002146E6">
            <w:pPr>
              <w:pStyle w:val="Title1"/>
              <w:rPr>
                <w:lang w:val="en-US"/>
              </w:rPr>
            </w:pPr>
            <w:r>
              <w:rPr>
                <w:lang w:val="en-US"/>
              </w:rPr>
              <w:t>PROVISION-BY-PROVISION EXAMINATION OF THE ITRS</w:t>
            </w:r>
          </w:p>
        </w:tc>
      </w:tr>
      <w:tr w:rsidR="008512C1" w14:paraId="4BA2C887" w14:textId="77777777">
        <w:trPr>
          <w:cantSplit/>
          <w:trHeight w:val="138"/>
        </w:trPr>
        <w:tc>
          <w:tcPr>
            <w:tcW w:w="9837" w:type="dxa"/>
            <w:gridSpan w:val="2"/>
          </w:tcPr>
          <w:p w14:paraId="22B66DE6" w14:textId="77777777" w:rsidR="008512C1" w:rsidRDefault="008512C1">
            <w:pPr>
              <w:pStyle w:val="Title1"/>
              <w:rPr>
                <w:lang w:val="en-US"/>
              </w:rPr>
            </w:pPr>
          </w:p>
        </w:tc>
      </w:tr>
    </w:tbl>
    <w:p w14:paraId="3EF3B0D2" w14:textId="77777777" w:rsidR="008512C1" w:rsidRDefault="002146E6">
      <w:pPr>
        <w:spacing w:after="0" w:line="240" w:lineRule="auto"/>
        <w:rPr>
          <w:b/>
          <w:bCs/>
          <w:sz w:val="24"/>
          <w:szCs w:val="24"/>
          <w:lang w:val="en-US"/>
        </w:rPr>
      </w:pPr>
      <w:r>
        <w:rPr>
          <w:b/>
          <w:bCs/>
          <w:sz w:val="24"/>
          <w:szCs w:val="24"/>
          <w:lang w:val="en-US"/>
        </w:rPr>
        <w:t>Introduction</w:t>
      </w:r>
    </w:p>
    <w:p w14:paraId="25D33099" w14:textId="77777777" w:rsidR="008512C1" w:rsidRDefault="002146E6">
      <w:pPr>
        <w:spacing w:after="0" w:line="240" w:lineRule="auto"/>
        <w:rPr>
          <w:sz w:val="24"/>
          <w:szCs w:val="24"/>
          <w:lang w:val="en-US"/>
        </w:rPr>
      </w:pPr>
      <w:r>
        <w:rPr>
          <w:sz w:val="24"/>
          <w:szCs w:val="24"/>
          <w:lang w:val="en-US"/>
        </w:rPr>
        <w:t xml:space="preserve">The Netherlands is pleased to offer to the Expert Group on the ITRs its view on the Articles 9 to 14 and Appendix 2 of the ITRs, in accordance with the Terms of Reference and the draft </w:t>
      </w:r>
      <w:r>
        <w:rPr>
          <w:sz w:val="24"/>
          <w:szCs w:val="24"/>
          <w:lang w:val="en-US"/>
        </w:rPr>
        <w:t>Agenda of the fourth meeting of the EG-ITRs.</w:t>
      </w:r>
    </w:p>
    <w:p w14:paraId="31FC1BEC" w14:textId="77777777" w:rsidR="008512C1" w:rsidRDefault="008512C1">
      <w:pPr>
        <w:spacing w:after="0" w:line="240" w:lineRule="auto"/>
        <w:rPr>
          <w:sz w:val="24"/>
          <w:szCs w:val="24"/>
          <w:lang w:val="en-US"/>
        </w:rPr>
      </w:pPr>
    </w:p>
    <w:p w14:paraId="2FC80B5F" w14:textId="77777777" w:rsidR="008512C1" w:rsidRDefault="002146E6">
      <w:pPr>
        <w:spacing w:after="0" w:line="240" w:lineRule="auto"/>
        <w:rPr>
          <w:b/>
          <w:bCs/>
          <w:sz w:val="24"/>
          <w:szCs w:val="24"/>
          <w:lang w:val="en-US"/>
        </w:rPr>
      </w:pPr>
      <w:r>
        <w:rPr>
          <w:b/>
          <w:bCs/>
          <w:sz w:val="24"/>
          <w:szCs w:val="24"/>
          <w:lang w:val="en-US"/>
        </w:rPr>
        <w:t>Discussion</w:t>
      </w:r>
    </w:p>
    <w:p w14:paraId="2868FECD" w14:textId="77777777" w:rsidR="008512C1" w:rsidRDefault="002146E6">
      <w:pPr>
        <w:spacing w:after="0" w:line="240" w:lineRule="auto"/>
        <w:rPr>
          <w:sz w:val="24"/>
          <w:szCs w:val="24"/>
          <w:lang w:val="en-US"/>
        </w:rPr>
      </w:pPr>
      <w:r>
        <w:rPr>
          <w:sz w:val="24"/>
          <w:szCs w:val="24"/>
          <w:lang w:val="en-US"/>
        </w:rPr>
        <w:t xml:space="preserve">We are of the view that the provisions in the 2012 ITRs do not support a competitive market where operators plan and forecast their own national and international traffic and services. In that sense </w:t>
      </w:r>
      <w:r>
        <w:rPr>
          <w:sz w:val="24"/>
          <w:szCs w:val="24"/>
          <w:lang w:val="en-US"/>
        </w:rPr>
        <w:t>the ITRs are incompatible with a competitive market and regulatory environment, as these are developing, as are the technological advances. Revising the 2012 ITRs to address these developments will, in the view of The Netherlands, not lead to the support o</w:t>
      </w:r>
      <w:r>
        <w:rPr>
          <w:sz w:val="24"/>
          <w:szCs w:val="24"/>
          <w:lang w:val="en-US"/>
        </w:rPr>
        <w:t>f these developments but will limit it.</w:t>
      </w:r>
    </w:p>
    <w:p w14:paraId="5F03B64B" w14:textId="77777777" w:rsidR="008512C1" w:rsidRDefault="002146E6">
      <w:pPr>
        <w:spacing w:after="0" w:line="240" w:lineRule="auto"/>
        <w:rPr>
          <w:sz w:val="24"/>
          <w:szCs w:val="24"/>
          <w:lang w:val="en-US"/>
        </w:rPr>
      </w:pPr>
      <w:r>
        <w:rPr>
          <w:sz w:val="24"/>
          <w:szCs w:val="24"/>
          <w:lang w:val="en-US"/>
        </w:rPr>
        <w:t xml:space="preserve">The telecommunication/ICT landscape has experienced fundamental changes. Although many provisions in the ITRs were applicable in the past and have served their purpose in the former monopoly </w:t>
      </w:r>
      <w:proofErr w:type="gramStart"/>
      <w:r>
        <w:rPr>
          <w:sz w:val="24"/>
          <w:szCs w:val="24"/>
          <w:lang w:val="en-US"/>
        </w:rPr>
        <w:t>approach based</w:t>
      </w:r>
      <w:proofErr w:type="gramEnd"/>
      <w:r>
        <w:rPr>
          <w:sz w:val="24"/>
          <w:szCs w:val="24"/>
          <w:lang w:val="en-US"/>
        </w:rPr>
        <w:t xml:space="preserve"> telecommun</w:t>
      </w:r>
      <w:r>
        <w:rPr>
          <w:sz w:val="24"/>
          <w:szCs w:val="24"/>
          <w:lang w:val="en-US"/>
        </w:rPr>
        <w:t>ications environment, the provisions as part of a Treaty instrument are not suitable to accommodate the changing market environment and, when strictly enforced, may deter the introduction of new services essential to improving affordability and consumer ch</w:t>
      </w:r>
      <w:r>
        <w:rPr>
          <w:sz w:val="24"/>
          <w:szCs w:val="24"/>
          <w:lang w:val="en-US"/>
        </w:rPr>
        <w:t>oice.</w:t>
      </w:r>
    </w:p>
    <w:p w14:paraId="2C754173" w14:textId="77777777" w:rsidR="008512C1" w:rsidRDefault="002146E6">
      <w:pPr>
        <w:spacing w:after="0" w:line="240" w:lineRule="auto"/>
        <w:rPr>
          <w:sz w:val="24"/>
          <w:szCs w:val="24"/>
          <w:lang w:val="en-US"/>
        </w:rPr>
      </w:pPr>
      <w:r>
        <w:rPr>
          <w:sz w:val="24"/>
          <w:szCs w:val="24"/>
          <w:lang w:val="en-US"/>
        </w:rPr>
        <w:t xml:space="preserve">We are of the view that the increasing benefits of telecommunication/ICTs experienced during the past years are more and more a result from the open and dynamic telecommunications market. </w:t>
      </w:r>
    </w:p>
    <w:p w14:paraId="295CA954" w14:textId="77777777" w:rsidR="008512C1" w:rsidRDefault="008512C1">
      <w:pPr>
        <w:spacing w:after="0" w:line="240" w:lineRule="auto"/>
        <w:rPr>
          <w:sz w:val="24"/>
          <w:szCs w:val="24"/>
          <w:lang w:val="en-US"/>
        </w:rPr>
      </w:pPr>
    </w:p>
    <w:p w14:paraId="62D8B91B" w14:textId="77777777" w:rsidR="008512C1" w:rsidRDefault="002146E6">
      <w:pPr>
        <w:spacing w:after="0" w:line="240" w:lineRule="auto"/>
        <w:rPr>
          <w:b/>
          <w:bCs/>
          <w:sz w:val="24"/>
          <w:szCs w:val="24"/>
          <w:lang w:val="en-US"/>
        </w:rPr>
      </w:pPr>
      <w:r>
        <w:rPr>
          <w:b/>
          <w:bCs/>
          <w:sz w:val="24"/>
          <w:szCs w:val="24"/>
          <w:lang w:val="en-US"/>
        </w:rPr>
        <w:t>Summary</w:t>
      </w:r>
    </w:p>
    <w:p w14:paraId="2F42267D" w14:textId="77777777" w:rsidR="008512C1" w:rsidRDefault="002146E6">
      <w:pPr>
        <w:spacing w:after="0" w:line="240" w:lineRule="auto"/>
        <w:rPr>
          <w:sz w:val="24"/>
          <w:szCs w:val="24"/>
          <w:lang w:val="en-US"/>
        </w:rPr>
      </w:pPr>
      <w:r>
        <w:rPr>
          <w:sz w:val="24"/>
          <w:szCs w:val="24"/>
          <w:lang w:val="en-US"/>
        </w:rPr>
        <w:t>Given the dynamic, competitive nature of the communi</w:t>
      </w:r>
      <w:r>
        <w:rPr>
          <w:sz w:val="24"/>
          <w:szCs w:val="24"/>
          <w:lang w:val="en-US"/>
        </w:rPr>
        <w:t>cations market, and the fact that the telecommunications/ICT sector is increasingly being integrated into the broader digital economy, it is unclear how an inflexible treaty instrument such as the ITRs can play a role in promoting future growth and prosper</w:t>
      </w:r>
      <w:r>
        <w:rPr>
          <w:sz w:val="24"/>
          <w:szCs w:val="24"/>
          <w:lang w:val="en-US"/>
        </w:rPr>
        <w:t>ity in the international telecommunication marketplace.</w:t>
      </w:r>
    </w:p>
    <w:p w14:paraId="17CB4F8C" w14:textId="77777777" w:rsidR="008512C1" w:rsidRDefault="002146E6">
      <w:pPr>
        <w:spacing w:after="0" w:line="240" w:lineRule="auto"/>
        <w:rPr>
          <w:sz w:val="24"/>
          <w:szCs w:val="24"/>
          <w:lang w:val="en-US"/>
        </w:rPr>
      </w:pPr>
      <w:r>
        <w:rPr>
          <w:sz w:val="24"/>
          <w:szCs w:val="24"/>
          <w:lang w:val="en-US"/>
        </w:rPr>
        <w:t>We are not convinced that new treaty-level provisions will help any country build an enabling environment to attract investment and bridge a digital divide where this still exists.</w:t>
      </w:r>
    </w:p>
    <w:p w14:paraId="6DB761EF" w14:textId="77777777" w:rsidR="008512C1" w:rsidRDefault="002146E6">
      <w:pPr>
        <w:spacing w:after="0" w:line="240" w:lineRule="auto"/>
        <w:rPr>
          <w:sz w:val="24"/>
          <w:szCs w:val="24"/>
          <w:lang w:val="en-US"/>
        </w:rPr>
      </w:pPr>
      <w:r>
        <w:rPr>
          <w:sz w:val="24"/>
          <w:szCs w:val="24"/>
          <w:lang w:val="en-US"/>
        </w:rPr>
        <w:br w:type="page"/>
      </w:r>
    </w:p>
    <w:p w14:paraId="2F34F0E1" w14:textId="77777777" w:rsidR="008512C1" w:rsidRDefault="008512C1">
      <w:pPr>
        <w:spacing w:after="0" w:line="240" w:lineRule="auto"/>
        <w:rPr>
          <w:sz w:val="24"/>
          <w:szCs w:val="24"/>
          <w:lang w:val="en-US"/>
        </w:rPr>
        <w:sectPr w:rsidR="008512C1">
          <w:headerReference w:type="default" r:id="rId12"/>
          <w:footerReference w:type="first" r:id="rId13"/>
          <w:pgSz w:w="11907" w:h="16834"/>
          <w:pgMar w:top="1418" w:right="1134" w:bottom="1418" w:left="1134" w:header="720" w:footer="720" w:gutter="0"/>
          <w:paperSrc w:first="15" w:other="15"/>
          <w:cols w:space="720"/>
          <w:titlePg/>
        </w:sectPr>
      </w:pPr>
    </w:p>
    <w:tbl>
      <w:tblPr>
        <w:tblW w:w="15653" w:type="dxa"/>
        <w:jc w:val="center"/>
        <w:tblBorders>
          <w:top w:val="nil"/>
          <w:left w:val="nil"/>
          <w:bottom w:val="nil"/>
          <w:right w:val="nil"/>
          <w:insideH w:val="nil"/>
          <w:insideV w:val="nil"/>
        </w:tblBorders>
        <w:tblLayout w:type="fixed"/>
        <w:tblLook w:val="0600" w:firstRow="0" w:lastRow="0" w:firstColumn="0" w:lastColumn="0" w:noHBand="1" w:noVBand="1"/>
      </w:tblPr>
      <w:tblGrid>
        <w:gridCol w:w="794"/>
        <w:gridCol w:w="2985"/>
        <w:gridCol w:w="2955"/>
        <w:gridCol w:w="2973"/>
        <w:gridCol w:w="2973"/>
        <w:gridCol w:w="2973"/>
      </w:tblGrid>
      <w:tr w:rsidR="008512C1" w14:paraId="22763A34" w14:textId="77777777">
        <w:trPr>
          <w:trHeight w:val="8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60" w:type="dxa"/>
              <w:bottom w:w="100" w:type="dxa"/>
              <w:right w:w="60" w:type="dxa"/>
            </w:tcMar>
            <w:vAlign w:val="center"/>
          </w:tcPr>
          <w:p w14:paraId="1D09C6AD" w14:textId="77777777" w:rsidR="008512C1" w:rsidRDefault="002146E6">
            <w:pPr>
              <w:spacing w:after="0" w:line="276" w:lineRule="auto"/>
              <w:jc w:val="center"/>
              <w:rPr>
                <w:rFonts w:ascii="Arial" w:eastAsia="Arial" w:hAnsi="Arial" w:cs="Arial"/>
                <w:b/>
                <w:sz w:val="20"/>
                <w:szCs w:val="20"/>
                <w:lang w:eastAsia="en-GB"/>
              </w:rPr>
            </w:pPr>
            <w:r>
              <w:rPr>
                <w:rFonts w:ascii="Arial" w:eastAsia="Arial" w:hAnsi="Arial" w:cs="Arial"/>
                <w:b/>
                <w:sz w:val="20"/>
                <w:szCs w:val="20"/>
                <w:lang w:eastAsia="en-GB"/>
              </w:rPr>
              <w:lastRenderedPageBreak/>
              <w:t>2012 Article</w:t>
            </w:r>
          </w:p>
        </w:tc>
        <w:tc>
          <w:tcPr>
            <w:tcW w:w="298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1B1793A5" w14:textId="77777777" w:rsidR="008512C1" w:rsidRDefault="002146E6">
            <w:pPr>
              <w:spacing w:after="0" w:line="276" w:lineRule="auto"/>
              <w:jc w:val="center"/>
              <w:rPr>
                <w:rFonts w:ascii="Arial" w:eastAsia="Arial" w:hAnsi="Arial" w:cs="Arial"/>
                <w:b/>
                <w:sz w:val="20"/>
                <w:szCs w:val="20"/>
                <w:lang w:eastAsia="en-GB"/>
              </w:rPr>
            </w:pPr>
            <w:r>
              <w:rPr>
                <w:rFonts w:ascii="Arial" w:eastAsia="Arial" w:hAnsi="Arial" w:cs="Arial"/>
                <w:b/>
                <w:sz w:val="20"/>
                <w:szCs w:val="20"/>
                <w:lang w:eastAsia="en-GB"/>
              </w:rPr>
              <w:t>Sub article and Provision</w:t>
            </w:r>
          </w:p>
        </w:tc>
        <w:tc>
          <w:tcPr>
            <w:tcW w:w="2955"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7287EEA4" w14:textId="77777777" w:rsidR="008512C1" w:rsidRDefault="002146E6">
            <w:pPr>
              <w:spacing w:after="0" w:line="276" w:lineRule="auto"/>
              <w:jc w:val="center"/>
              <w:rPr>
                <w:rFonts w:ascii="Arial" w:eastAsia="Arial" w:hAnsi="Arial" w:cs="Arial"/>
                <w:b/>
                <w:sz w:val="20"/>
                <w:szCs w:val="20"/>
                <w:lang w:eastAsia="en-GB"/>
              </w:rPr>
            </w:pPr>
            <w:r>
              <w:rPr>
                <w:rFonts w:ascii="Arial" w:eastAsia="Arial" w:hAnsi="Arial" w:cs="Arial"/>
                <w:b/>
                <w:sz w:val="20"/>
                <w:szCs w:val="20"/>
                <w:lang w:eastAsia="en-GB"/>
              </w:rPr>
              <w:t>Related 1988 sub article and provision</w:t>
            </w:r>
          </w:p>
        </w:tc>
        <w:tc>
          <w:tcPr>
            <w:tcW w:w="297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3DAF147" w14:textId="77777777" w:rsidR="008512C1" w:rsidRDefault="002146E6">
            <w:pPr>
              <w:spacing w:before="60" w:after="60" w:line="276" w:lineRule="auto"/>
              <w:jc w:val="center"/>
              <w:rPr>
                <w:rFonts w:ascii="Arial" w:eastAsia="Arial" w:hAnsi="Arial" w:cs="Arial"/>
                <w:b/>
                <w:sz w:val="20"/>
                <w:szCs w:val="20"/>
                <w:lang w:eastAsia="en-GB"/>
              </w:rPr>
            </w:pPr>
            <w:r>
              <w:rPr>
                <w:rFonts w:ascii="Arial" w:eastAsia="Arial" w:hAnsi="Arial" w:cs="Arial"/>
                <w:b/>
                <w:sz w:val="20"/>
                <w:szCs w:val="20"/>
                <w:lang w:eastAsia="en-GB"/>
              </w:rPr>
              <w:t xml:space="preserve">Applicability in fostering provision and </w:t>
            </w:r>
            <w:r>
              <w:rPr>
                <w:rFonts w:ascii="Arial" w:eastAsia="Arial" w:hAnsi="Arial" w:cs="Arial"/>
                <w:b/>
                <w:sz w:val="20"/>
                <w:szCs w:val="20"/>
                <w:lang w:eastAsia="en-GB"/>
              </w:rPr>
              <w:t>development of networks and services</w:t>
            </w:r>
          </w:p>
        </w:tc>
        <w:tc>
          <w:tcPr>
            <w:tcW w:w="297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6167199E" w14:textId="77777777" w:rsidR="008512C1" w:rsidRDefault="002146E6">
            <w:pPr>
              <w:spacing w:after="0" w:line="276" w:lineRule="auto"/>
              <w:jc w:val="center"/>
              <w:rPr>
                <w:rFonts w:ascii="Arial" w:eastAsia="Arial" w:hAnsi="Arial" w:cs="Arial"/>
                <w:b/>
                <w:sz w:val="20"/>
                <w:szCs w:val="20"/>
                <w:lang w:eastAsia="en-GB"/>
              </w:rPr>
            </w:pPr>
            <w:r>
              <w:rPr>
                <w:rFonts w:ascii="Arial" w:eastAsia="Arial" w:hAnsi="Arial" w:cs="Arial"/>
                <w:b/>
                <w:sz w:val="20"/>
                <w:szCs w:val="20"/>
                <w:lang w:eastAsia="en-GB"/>
              </w:rPr>
              <w:t>Flexibility to accommodate New trends and Emergent issues</w:t>
            </w:r>
          </w:p>
        </w:tc>
        <w:tc>
          <w:tcPr>
            <w:tcW w:w="2973" w:type="dxa"/>
            <w:tcBorders>
              <w:top w:val="single" w:sz="8" w:space="0" w:color="000000"/>
              <w:left w:val="nil"/>
              <w:bottom w:val="single" w:sz="8" w:space="0" w:color="000000"/>
              <w:right w:val="single" w:sz="8" w:space="0" w:color="000000"/>
            </w:tcBorders>
            <w:tcMar>
              <w:top w:w="100" w:type="dxa"/>
              <w:left w:w="60" w:type="dxa"/>
              <w:bottom w:w="100" w:type="dxa"/>
              <w:right w:w="60" w:type="dxa"/>
            </w:tcMar>
          </w:tcPr>
          <w:p w14:paraId="4B4EA0A8" w14:textId="77777777" w:rsidR="008512C1" w:rsidRDefault="002146E6">
            <w:pPr>
              <w:spacing w:after="0" w:line="276" w:lineRule="auto"/>
              <w:jc w:val="center"/>
              <w:rPr>
                <w:rFonts w:ascii="Arial" w:eastAsia="Arial" w:hAnsi="Arial" w:cs="Arial"/>
                <w:b/>
                <w:sz w:val="20"/>
                <w:szCs w:val="20"/>
                <w:lang w:eastAsia="en-GB"/>
              </w:rPr>
            </w:pPr>
            <w:r>
              <w:rPr>
                <w:rFonts w:ascii="Arial" w:eastAsia="Arial" w:hAnsi="Arial" w:cs="Arial"/>
                <w:b/>
                <w:sz w:val="20"/>
                <w:szCs w:val="20"/>
                <w:lang w:eastAsia="en-GB"/>
              </w:rPr>
              <w:t>Summary Outcome</w:t>
            </w:r>
          </w:p>
        </w:tc>
      </w:tr>
      <w:tr w:rsidR="008512C1" w14:paraId="6FEC74DB" w14:textId="77777777">
        <w:trPr>
          <w:trHeight w:val="624"/>
          <w:jc w:val="center"/>
        </w:trPr>
        <w:tc>
          <w:tcPr>
            <w:tcW w:w="794"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2CA3A952" w14:textId="77777777" w:rsidR="008512C1" w:rsidRDefault="008512C1">
            <w:pPr>
              <w:spacing w:after="0" w:line="276" w:lineRule="auto"/>
              <w:jc w:val="center"/>
              <w:rPr>
                <w:rFonts w:ascii="Arial" w:eastAsia="Arial" w:hAnsi="Arial" w:cs="Arial"/>
                <w:sz w:val="20"/>
                <w:szCs w:val="20"/>
                <w:lang w:eastAsia="en-GB"/>
              </w:rPr>
            </w:pPr>
          </w:p>
        </w:tc>
        <w:tc>
          <w:tcPr>
            <w:tcW w:w="2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A36CC2" w14:textId="77777777" w:rsidR="008512C1" w:rsidRDefault="002146E6">
            <w:pPr>
              <w:spacing w:after="0" w:line="276" w:lineRule="auto"/>
              <w:rPr>
                <w:rFonts w:ascii="Arial" w:eastAsia="Arial" w:hAnsi="Arial" w:cs="Arial"/>
                <w:b/>
                <w:sz w:val="20"/>
                <w:szCs w:val="20"/>
                <w:lang w:eastAsia="en-GB"/>
              </w:rPr>
            </w:pPr>
            <w:r>
              <w:rPr>
                <w:rFonts w:ascii="Arial" w:eastAsia="Arial" w:hAnsi="Arial" w:cs="Arial"/>
                <w:b/>
                <w:sz w:val="20"/>
                <w:szCs w:val="20"/>
                <w:lang w:eastAsia="en-GB"/>
              </w:rPr>
              <w:t>Suspension of services</w:t>
            </w:r>
          </w:p>
        </w:tc>
        <w:tc>
          <w:tcPr>
            <w:tcW w:w="29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1900A46" w14:textId="77777777" w:rsidR="008512C1" w:rsidRDefault="002146E6">
            <w:pPr>
              <w:spacing w:after="0" w:line="276" w:lineRule="auto"/>
              <w:rPr>
                <w:rFonts w:ascii="Arial" w:eastAsia="Arial" w:hAnsi="Arial" w:cs="Arial"/>
                <w:b/>
                <w:sz w:val="20"/>
                <w:szCs w:val="20"/>
                <w:lang w:eastAsia="en-GB"/>
              </w:rPr>
            </w:pPr>
            <w:r>
              <w:rPr>
                <w:rFonts w:ascii="Arial" w:eastAsia="Arial" w:hAnsi="Arial" w:cs="Arial"/>
                <w:b/>
                <w:sz w:val="20"/>
                <w:szCs w:val="20"/>
                <w:lang w:eastAsia="en-GB"/>
              </w:rPr>
              <w:t xml:space="preserve">Article 7: Suspension of Services </w:t>
            </w:r>
          </w:p>
        </w:tc>
        <w:tc>
          <w:tcPr>
            <w:tcW w:w="297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DE6D0F5" w14:textId="77777777" w:rsidR="008512C1" w:rsidRDefault="008512C1">
            <w:pPr>
              <w:spacing w:after="0" w:line="276" w:lineRule="auto"/>
              <w:rPr>
                <w:rFonts w:ascii="Arial" w:eastAsia="Arial" w:hAnsi="Arial" w:cs="Arial"/>
                <w:sz w:val="20"/>
                <w:szCs w:val="20"/>
                <w:lang w:eastAsia="en-GB"/>
              </w:rPr>
            </w:pPr>
          </w:p>
        </w:tc>
        <w:tc>
          <w:tcPr>
            <w:tcW w:w="297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EB2352" w14:textId="77777777" w:rsidR="008512C1" w:rsidRDefault="008512C1">
            <w:pPr>
              <w:spacing w:after="0" w:line="276" w:lineRule="auto"/>
              <w:rPr>
                <w:rFonts w:ascii="Arial" w:eastAsia="Arial" w:hAnsi="Arial" w:cs="Arial"/>
                <w:sz w:val="20"/>
                <w:szCs w:val="20"/>
                <w:lang w:eastAsia="en-GB"/>
              </w:rPr>
            </w:pPr>
          </w:p>
        </w:tc>
        <w:tc>
          <w:tcPr>
            <w:tcW w:w="297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9B6ABDF" w14:textId="77777777" w:rsidR="008512C1" w:rsidRDefault="008512C1">
            <w:pPr>
              <w:spacing w:after="0" w:line="276" w:lineRule="auto"/>
              <w:rPr>
                <w:rFonts w:ascii="Arial" w:eastAsia="Arial" w:hAnsi="Arial" w:cs="Arial"/>
                <w:sz w:val="20"/>
                <w:szCs w:val="20"/>
                <w:lang w:eastAsia="en-GB"/>
              </w:rPr>
            </w:pPr>
          </w:p>
        </w:tc>
      </w:tr>
      <w:tr w:rsidR="008512C1" w14:paraId="15061123" w14:textId="77777777">
        <w:trPr>
          <w:trHeight w:val="1320"/>
          <w:jc w:val="center"/>
        </w:trPr>
        <w:tc>
          <w:tcPr>
            <w:tcW w:w="794"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5D4BF6A9" w14:textId="77777777" w:rsidR="008512C1" w:rsidRDefault="002146E6">
            <w:pPr>
              <w:spacing w:after="0" w:line="276" w:lineRule="auto"/>
              <w:jc w:val="center"/>
              <w:rPr>
                <w:rFonts w:ascii="Arial" w:eastAsia="Arial" w:hAnsi="Arial" w:cs="Arial"/>
                <w:sz w:val="20"/>
                <w:szCs w:val="20"/>
                <w:lang w:eastAsia="en-GB"/>
              </w:rPr>
            </w:pPr>
            <w:r>
              <w:rPr>
                <w:rFonts w:ascii="Arial" w:eastAsia="Arial" w:hAnsi="Arial" w:cs="Arial"/>
                <w:sz w:val="20"/>
                <w:szCs w:val="20"/>
                <w:lang w:eastAsia="en-GB"/>
              </w:rPr>
              <w:t>9.1</w:t>
            </w:r>
          </w:p>
        </w:tc>
        <w:tc>
          <w:tcPr>
            <w:tcW w:w="298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428A09"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If a Member State exercises its right in accordance with the </w:t>
            </w:r>
            <w:r>
              <w:rPr>
                <w:rFonts w:ascii="Arial" w:eastAsia="Arial" w:hAnsi="Arial" w:cs="Arial"/>
                <w:sz w:val="20"/>
                <w:szCs w:val="20"/>
                <w:lang w:eastAsia="en-GB"/>
              </w:rPr>
              <w:t>Constitution and the Convention to suspend international telecommunication services partially or totally, that Member State shall immediately notify the Secretary-General of the suspension and of the subsequent return to normal conditions by the most appro</w:t>
            </w:r>
            <w:r>
              <w:rPr>
                <w:rFonts w:ascii="Arial" w:eastAsia="Arial" w:hAnsi="Arial" w:cs="Arial"/>
                <w:sz w:val="20"/>
                <w:szCs w:val="20"/>
                <w:lang w:eastAsia="en-GB"/>
              </w:rPr>
              <w:t>priate means of communication.</w:t>
            </w:r>
          </w:p>
        </w:tc>
        <w:tc>
          <w:tcPr>
            <w:tcW w:w="295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1B6508B"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7.1 If a Member exercises its right in accordance with the Convention to </w:t>
            </w:r>
            <w:proofErr w:type="gramStart"/>
            <w:r>
              <w:rPr>
                <w:rFonts w:ascii="Arial" w:eastAsia="Arial" w:hAnsi="Arial" w:cs="Arial"/>
                <w:sz w:val="20"/>
                <w:szCs w:val="20"/>
                <w:lang w:eastAsia="en-GB"/>
              </w:rPr>
              <w:t>suspend</w:t>
            </w:r>
            <w:proofErr w:type="gramEnd"/>
          </w:p>
          <w:p w14:paraId="4A3C8CBB"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international telecommunication services partially or totally, that Member shall</w:t>
            </w:r>
          </w:p>
          <w:p w14:paraId="0FEFD089"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immediately notify the Secretary-General of the suspension and </w:t>
            </w:r>
            <w:r>
              <w:rPr>
                <w:rFonts w:ascii="Arial" w:eastAsia="Arial" w:hAnsi="Arial" w:cs="Arial"/>
                <w:sz w:val="20"/>
                <w:szCs w:val="20"/>
                <w:lang w:eastAsia="en-GB"/>
              </w:rPr>
              <w:t>of the subsequent</w:t>
            </w:r>
          </w:p>
          <w:p w14:paraId="7E1FBFC7"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return to normal conditions by the most appropriate means of communication. </w:t>
            </w:r>
          </w:p>
        </w:tc>
        <w:tc>
          <w:tcPr>
            <w:tcW w:w="297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30D3559"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This provision does not support provisioning of networks and services any more since the provisioning has moved from member state level to private </w:t>
            </w:r>
            <w:proofErr w:type="gramStart"/>
            <w:r>
              <w:rPr>
                <w:rFonts w:ascii="Arial" w:eastAsia="Arial" w:hAnsi="Arial" w:cs="Arial"/>
                <w:sz w:val="20"/>
                <w:szCs w:val="20"/>
                <w:lang w:eastAsia="en-GB"/>
              </w:rPr>
              <w:t>companies</w:t>
            </w:r>
            <w:proofErr w:type="gramEnd"/>
            <w:r>
              <w:rPr>
                <w:rFonts w:ascii="Arial" w:eastAsia="Arial" w:hAnsi="Arial" w:cs="Arial"/>
                <w:sz w:val="20"/>
                <w:szCs w:val="20"/>
                <w:lang w:eastAsia="en-GB"/>
              </w:rPr>
              <w:t xml:space="preserve"> leve</w:t>
            </w:r>
            <w:r>
              <w:rPr>
                <w:rFonts w:ascii="Arial" w:eastAsia="Arial" w:hAnsi="Arial" w:cs="Arial"/>
                <w:sz w:val="20"/>
                <w:szCs w:val="20"/>
                <w:lang w:eastAsia="en-GB"/>
              </w:rPr>
              <w:t xml:space="preserve">l. The provision is </w:t>
            </w:r>
            <w:proofErr w:type="gramStart"/>
            <w:r>
              <w:rPr>
                <w:rFonts w:ascii="Arial" w:eastAsia="Arial" w:hAnsi="Arial" w:cs="Arial"/>
                <w:sz w:val="20"/>
                <w:szCs w:val="20"/>
                <w:lang w:eastAsia="en-GB"/>
              </w:rPr>
              <w:t>superfluous</w:t>
            </w:r>
            <w:proofErr w:type="gramEnd"/>
            <w:r>
              <w:rPr>
                <w:rFonts w:ascii="Arial" w:eastAsia="Arial" w:hAnsi="Arial" w:cs="Arial"/>
                <w:sz w:val="20"/>
                <w:szCs w:val="20"/>
                <w:lang w:eastAsia="en-GB"/>
              </w:rPr>
              <w:t xml:space="preserve"> </w:t>
            </w:r>
          </w:p>
          <w:p w14:paraId="4CC45B24" w14:textId="77777777" w:rsidR="008512C1" w:rsidRDefault="008512C1">
            <w:pPr>
              <w:spacing w:after="0" w:line="276" w:lineRule="auto"/>
              <w:rPr>
                <w:rFonts w:ascii="Arial" w:eastAsia="Arial" w:hAnsi="Arial" w:cs="Arial"/>
                <w:sz w:val="20"/>
                <w:szCs w:val="20"/>
                <w:lang w:eastAsia="en-GB"/>
              </w:rPr>
            </w:pPr>
          </w:p>
          <w:p w14:paraId="23E95CAE"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 </w:t>
            </w:r>
          </w:p>
        </w:tc>
        <w:tc>
          <w:tcPr>
            <w:tcW w:w="297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A954891"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The provision does not serve benefits for accommodating new trends, since these trends and issues are being developed from private sector initiatives. An obligation to notify suspension of services has therefor become ou</w:t>
            </w:r>
            <w:r>
              <w:rPr>
                <w:rFonts w:ascii="Arial" w:eastAsia="Arial" w:hAnsi="Arial" w:cs="Arial"/>
                <w:sz w:val="20"/>
                <w:szCs w:val="20"/>
                <w:lang w:eastAsia="en-GB"/>
              </w:rPr>
              <w:t xml:space="preserve">tdated, and not needed any more. </w:t>
            </w:r>
          </w:p>
        </w:tc>
        <w:tc>
          <w:tcPr>
            <w:tcW w:w="297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C0DB5D8" w14:textId="77777777" w:rsidR="008512C1" w:rsidRDefault="008512C1">
            <w:pPr>
              <w:spacing w:after="0" w:line="276" w:lineRule="auto"/>
              <w:rPr>
                <w:rFonts w:ascii="Arial" w:eastAsia="Arial" w:hAnsi="Arial" w:cs="Arial"/>
                <w:sz w:val="20"/>
                <w:szCs w:val="20"/>
                <w:lang w:eastAsia="en-GB"/>
              </w:rPr>
            </w:pPr>
          </w:p>
        </w:tc>
      </w:tr>
      <w:tr w:rsidR="008512C1" w14:paraId="51C2B73F" w14:textId="77777777">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C343F" w14:textId="77777777" w:rsidR="008512C1" w:rsidRDefault="002146E6">
            <w:pPr>
              <w:keepNext/>
              <w:spacing w:after="0" w:line="276" w:lineRule="auto"/>
              <w:jc w:val="center"/>
              <w:rPr>
                <w:rFonts w:ascii="Arial" w:eastAsia="Arial" w:hAnsi="Arial" w:cs="Arial"/>
                <w:sz w:val="20"/>
                <w:szCs w:val="20"/>
                <w:lang w:eastAsia="en-GB"/>
              </w:rPr>
            </w:pPr>
            <w:r>
              <w:rPr>
                <w:rFonts w:ascii="Arial" w:eastAsia="Arial" w:hAnsi="Arial" w:cs="Arial"/>
                <w:sz w:val="20"/>
                <w:szCs w:val="20"/>
                <w:lang w:eastAsia="en-GB"/>
              </w:rPr>
              <w:lastRenderedPageBreak/>
              <w:t>9.2</w:t>
            </w:r>
          </w:p>
        </w:tc>
        <w:tc>
          <w:tcPr>
            <w:tcW w:w="2985"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FD2822" w14:textId="77777777" w:rsidR="008512C1" w:rsidRDefault="002146E6">
            <w:pPr>
              <w:keepNext/>
              <w:spacing w:after="0" w:line="276" w:lineRule="auto"/>
              <w:rPr>
                <w:rFonts w:ascii="Arial" w:eastAsia="Arial" w:hAnsi="Arial" w:cs="Arial"/>
                <w:sz w:val="20"/>
                <w:szCs w:val="20"/>
                <w:lang w:eastAsia="en-GB"/>
              </w:rPr>
            </w:pPr>
            <w:r>
              <w:rPr>
                <w:rFonts w:ascii="Arial" w:eastAsia="Arial" w:hAnsi="Arial" w:cs="Arial"/>
                <w:sz w:val="20"/>
                <w:szCs w:val="20"/>
                <w:lang w:eastAsia="en-GB"/>
              </w:rPr>
              <w:t>The Secretary-General shall immediately bring such information to the attention of all other Member States, using the most appropriate means of communication.</w:t>
            </w:r>
          </w:p>
        </w:tc>
        <w:tc>
          <w:tcPr>
            <w:tcW w:w="2955" w:type="dxa"/>
            <w:tcBorders>
              <w:top w:val="single" w:sz="4"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2F972A0" w14:textId="77777777" w:rsidR="008512C1" w:rsidRDefault="002146E6">
            <w:pPr>
              <w:keepNext/>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7.2 The Secretary-General shall immediately bring </w:t>
            </w:r>
            <w:r>
              <w:rPr>
                <w:rFonts w:ascii="Arial" w:eastAsia="Arial" w:hAnsi="Arial" w:cs="Arial"/>
                <w:sz w:val="20"/>
                <w:szCs w:val="20"/>
                <w:lang w:eastAsia="en-GB"/>
              </w:rPr>
              <w:t>such information to the attention of all other Members, using the most appropriate means of communication.</w:t>
            </w:r>
          </w:p>
        </w:tc>
        <w:tc>
          <w:tcPr>
            <w:tcW w:w="2973" w:type="dxa"/>
            <w:tcBorders>
              <w:top w:val="single" w:sz="4"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6AF2889" w14:textId="77777777" w:rsidR="008512C1" w:rsidRDefault="002146E6">
            <w:pPr>
              <w:keepNext/>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In line with provision 9.1 being superfluous, this obligation for the SG is also superfluous. Discontinuation of a service is primarily an action by </w:t>
            </w:r>
            <w:r>
              <w:rPr>
                <w:rFonts w:ascii="Arial" w:eastAsia="Arial" w:hAnsi="Arial" w:cs="Arial"/>
                <w:sz w:val="20"/>
                <w:szCs w:val="20"/>
                <w:lang w:eastAsia="en-GB"/>
              </w:rPr>
              <w:t xml:space="preserve">providers of the services ate sector. </w:t>
            </w:r>
          </w:p>
          <w:p w14:paraId="28B2E364" w14:textId="77777777" w:rsidR="008512C1" w:rsidRDefault="008512C1">
            <w:pPr>
              <w:keepNext/>
              <w:spacing w:after="0" w:line="276" w:lineRule="auto"/>
              <w:rPr>
                <w:rFonts w:ascii="Arial" w:eastAsia="Arial" w:hAnsi="Arial" w:cs="Arial"/>
                <w:sz w:val="20"/>
                <w:szCs w:val="20"/>
                <w:lang w:eastAsia="en-GB"/>
              </w:rPr>
            </w:pPr>
          </w:p>
        </w:tc>
        <w:tc>
          <w:tcPr>
            <w:tcW w:w="2973" w:type="dxa"/>
            <w:tcBorders>
              <w:top w:val="single" w:sz="4"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1CA4213" w14:textId="77777777" w:rsidR="008512C1" w:rsidRDefault="002146E6">
            <w:pPr>
              <w:keepNext/>
              <w:spacing w:after="0" w:line="276" w:lineRule="auto"/>
              <w:rPr>
                <w:rFonts w:ascii="Arial" w:eastAsia="Arial" w:hAnsi="Arial" w:cs="Arial"/>
                <w:sz w:val="20"/>
                <w:szCs w:val="20"/>
                <w:lang w:eastAsia="en-GB"/>
              </w:rPr>
            </w:pPr>
            <w:r>
              <w:rPr>
                <w:rFonts w:ascii="Arial" w:eastAsia="Arial" w:hAnsi="Arial" w:cs="Arial"/>
                <w:sz w:val="20"/>
                <w:szCs w:val="20"/>
                <w:lang w:eastAsia="en-GB"/>
              </w:rPr>
              <w:t>In line with provision 9.1 being not needed any more, this obligation for the SG is also superfluous. Discontinuation of a service related to a new trend or emerging issue is primarily an action by providers of the s</w:t>
            </w:r>
            <w:r>
              <w:rPr>
                <w:rFonts w:ascii="Arial" w:eastAsia="Arial" w:hAnsi="Arial" w:cs="Arial"/>
                <w:sz w:val="20"/>
                <w:szCs w:val="20"/>
                <w:lang w:eastAsia="en-GB"/>
              </w:rPr>
              <w:t xml:space="preserve">ervices ate sector. </w:t>
            </w:r>
          </w:p>
          <w:p w14:paraId="7755CF6E" w14:textId="77777777" w:rsidR="008512C1" w:rsidRDefault="008512C1">
            <w:pPr>
              <w:keepNext/>
              <w:spacing w:after="0" w:line="276" w:lineRule="auto"/>
              <w:rPr>
                <w:rFonts w:ascii="Arial" w:eastAsia="Arial" w:hAnsi="Arial" w:cs="Arial"/>
                <w:sz w:val="20"/>
                <w:szCs w:val="20"/>
                <w:lang w:eastAsia="en-GB"/>
              </w:rPr>
            </w:pPr>
          </w:p>
        </w:tc>
        <w:tc>
          <w:tcPr>
            <w:tcW w:w="2973" w:type="dxa"/>
            <w:tcBorders>
              <w:top w:val="single" w:sz="4"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203AAF8" w14:textId="77777777" w:rsidR="008512C1" w:rsidRDefault="008512C1">
            <w:pPr>
              <w:keepNext/>
              <w:spacing w:after="0" w:line="276" w:lineRule="auto"/>
              <w:rPr>
                <w:rFonts w:ascii="Arial" w:eastAsia="Arial" w:hAnsi="Arial" w:cs="Arial"/>
                <w:sz w:val="20"/>
                <w:szCs w:val="20"/>
                <w:lang w:eastAsia="en-GB"/>
              </w:rPr>
            </w:pPr>
          </w:p>
        </w:tc>
      </w:tr>
      <w:tr w:rsidR="008512C1" w14:paraId="5EC52FF9" w14:textId="77777777">
        <w:trPr>
          <w:trHeight w:val="907"/>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FCCCD8" w14:textId="77777777" w:rsidR="008512C1" w:rsidRDefault="008512C1">
            <w:pPr>
              <w:spacing w:after="0" w:line="276" w:lineRule="auto"/>
              <w:jc w:val="center"/>
              <w:rPr>
                <w:rFonts w:ascii="Arial" w:eastAsia="Arial" w:hAnsi="Arial" w:cs="Arial"/>
                <w:sz w:val="20"/>
                <w:szCs w:val="20"/>
                <w:lang w:eastAsia="en-GB"/>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4B55F5" w14:textId="77777777" w:rsidR="008512C1" w:rsidRDefault="008512C1">
            <w:pPr>
              <w:spacing w:after="0" w:line="276" w:lineRule="auto"/>
              <w:rPr>
                <w:rFonts w:ascii="Arial" w:eastAsia="Arial" w:hAnsi="Arial" w:cs="Arial"/>
                <w:sz w:val="20"/>
                <w:szCs w:val="20"/>
                <w:lang w:eastAsia="en-GB"/>
              </w:rPr>
            </w:pP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B2D6986" w14:textId="77777777" w:rsidR="008512C1" w:rsidRDefault="008512C1">
            <w:pPr>
              <w:spacing w:after="0" w:line="276" w:lineRule="auto"/>
              <w:rPr>
                <w:rFonts w:ascii="Arial" w:eastAsia="Arial" w:hAnsi="Arial" w:cs="Arial"/>
                <w:sz w:val="20"/>
                <w:szCs w:val="20"/>
                <w:lang w:eastAsia="en-GB"/>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8362B7F" w14:textId="77777777" w:rsidR="008512C1" w:rsidRDefault="008512C1">
            <w:pPr>
              <w:spacing w:after="0" w:line="276" w:lineRule="auto"/>
              <w:rPr>
                <w:rFonts w:ascii="Arial" w:eastAsia="Arial" w:hAnsi="Arial" w:cs="Arial"/>
                <w:sz w:val="20"/>
                <w:szCs w:val="20"/>
                <w:lang w:eastAsia="en-GB"/>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12F7DAD" w14:textId="77777777" w:rsidR="008512C1" w:rsidRDefault="008512C1">
            <w:pPr>
              <w:spacing w:after="0" w:line="276" w:lineRule="auto"/>
              <w:rPr>
                <w:rFonts w:ascii="Arial" w:eastAsia="Arial" w:hAnsi="Arial" w:cs="Arial"/>
                <w:sz w:val="20"/>
                <w:szCs w:val="20"/>
                <w:lang w:eastAsia="en-GB"/>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5F54E2E" w14:textId="77777777" w:rsidR="008512C1" w:rsidRDefault="008512C1">
            <w:pPr>
              <w:spacing w:after="0" w:line="276" w:lineRule="auto"/>
              <w:rPr>
                <w:rFonts w:ascii="Arial" w:eastAsia="Arial" w:hAnsi="Arial" w:cs="Arial"/>
                <w:sz w:val="20"/>
                <w:szCs w:val="20"/>
                <w:lang w:eastAsia="en-GB"/>
              </w:rPr>
            </w:pPr>
          </w:p>
        </w:tc>
      </w:tr>
      <w:tr w:rsidR="008512C1" w14:paraId="1BBCAA30" w14:textId="77777777">
        <w:trPr>
          <w:trHeight w:val="567"/>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CE47A3" w14:textId="77777777" w:rsidR="008512C1" w:rsidRDefault="008512C1">
            <w:pPr>
              <w:spacing w:after="0" w:line="276" w:lineRule="auto"/>
              <w:jc w:val="center"/>
              <w:rPr>
                <w:rFonts w:ascii="Arial" w:eastAsia="Arial" w:hAnsi="Arial" w:cs="Arial"/>
                <w:sz w:val="20"/>
                <w:szCs w:val="20"/>
                <w:lang w:eastAsia="en-GB"/>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9F0C6E" w14:textId="77777777" w:rsidR="008512C1" w:rsidRDefault="002146E6">
            <w:pPr>
              <w:spacing w:after="0" w:line="276" w:lineRule="auto"/>
              <w:rPr>
                <w:rFonts w:ascii="Arial" w:eastAsia="Arial" w:hAnsi="Arial" w:cs="Arial"/>
                <w:b/>
                <w:sz w:val="20"/>
                <w:szCs w:val="20"/>
                <w:lang w:eastAsia="en-GB"/>
              </w:rPr>
            </w:pPr>
            <w:r>
              <w:rPr>
                <w:rFonts w:ascii="Arial" w:eastAsia="Arial" w:hAnsi="Arial" w:cs="Arial"/>
                <w:b/>
                <w:sz w:val="20"/>
                <w:szCs w:val="20"/>
                <w:lang w:eastAsia="en-GB"/>
              </w:rPr>
              <w:t>Dissemination of information</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9ACDE75" w14:textId="77777777" w:rsidR="008512C1" w:rsidRDefault="002146E6">
            <w:pPr>
              <w:spacing w:after="0" w:line="276" w:lineRule="auto"/>
              <w:rPr>
                <w:rFonts w:ascii="Arial" w:eastAsia="Arial" w:hAnsi="Arial" w:cs="Arial"/>
                <w:b/>
                <w:sz w:val="20"/>
                <w:szCs w:val="20"/>
                <w:lang w:eastAsia="en-GB"/>
              </w:rPr>
            </w:pPr>
            <w:r>
              <w:rPr>
                <w:rFonts w:ascii="Arial" w:eastAsia="Arial" w:hAnsi="Arial" w:cs="Arial"/>
                <w:b/>
                <w:sz w:val="20"/>
                <w:szCs w:val="20"/>
                <w:lang w:eastAsia="en-GB"/>
              </w:rPr>
              <w:t xml:space="preserve">Article 8: Dissemination of Information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7DF0A24" w14:textId="77777777" w:rsidR="008512C1" w:rsidRDefault="008512C1">
            <w:pPr>
              <w:spacing w:after="0" w:line="276" w:lineRule="auto"/>
              <w:rPr>
                <w:rFonts w:ascii="Arial" w:eastAsia="Arial" w:hAnsi="Arial" w:cs="Arial"/>
                <w:sz w:val="20"/>
                <w:szCs w:val="20"/>
                <w:lang w:eastAsia="en-GB"/>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294E68A" w14:textId="77777777" w:rsidR="008512C1" w:rsidRDefault="008512C1">
            <w:pPr>
              <w:spacing w:after="0" w:line="276" w:lineRule="auto"/>
              <w:rPr>
                <w:rFonts w:ascii="Arial" w:eastAsia="Arial" w:hAnsi="Arial" w:cs="Arial"/>
                <w:sz w:val="20"/>
                <w:szCs w:val="20"/>
                <w:lang w:eastAsia="en-GB"/>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55CFF58" w14:textId="77777777" w:rsidR="008512C1" w:rsidRDefault="008512C1">
            <w:pPr>
              <w:spacing w:after="0" w:line="276" w:lineRule="auto"/>
              <w:rPr>
                <w:rFonts w:ascii="Arial" w:eastAsia="Arial" w:hAnsi="Arial" w:cs="Arial"/>
                <w:sz w:val="20"/>
                <w:szCs w:val="20"/>
                <w:lang w:eastAsia="en-GB"/>
              </w:rPr>
            </w:pPr>
          </w:p>
        </w:tc>
      </w:tr>
      <w:tr w:rsidR="008512C1" w14:paraId="194EE62D" w14:textId="77777777">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9B766" w14:textId="77777777" w:rsidR="008512C1" w:rsidRDefault="002146E6">
            <w:pPr>
              <w:spacing w:after="0" w:line="276" w:lineRule="auto"/>
              <w:jc w:val="center"/>
              <w:rPr>
                <w:rFonts w:ascii="Arial" w:eastAsia="Arial" w:hAnsi="Arial" w:cs="Arial"/>
                <w:sz w:val="20"/>
                <w:szCs w:val="20"/>
                <w:lang w:eastAsia="en-GB"/>
              </w:rPr>
            </w:pPr>
            <w:r>
              <w:rPr>
                <w:rFonts w:ascii="Arial" w:eastAsia="Arial" w:hAnsi="Arial" w:cs="Arial"/>
                <w:sz w:val="20"/>
                <w:szCs w:val="20"/>
                <w:lang w:eastAsia="en-GB"/>
              </w:rPr>
              <w:t>10.1</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5D943A"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Using the most suitable and economical means, the Secretary-General shall disseminate information provided, of an administrative, operational, or statistical nature, concerning international telecommunication services. Such information shall be disseminate</w:t>
            </w:r>
            <w:r>
              <w:rPr>
                <w:rFonts w:ascii="Arial" w:eastAsia="Arial" w:hAnsi="Arial" w:cs="Arial"/>
                <w:sz w:val="20"/>
                <w:szCs w:val="20"/>
                <w:lang w:eastAsia="en-GB"/>
              </w:rPr>
              <w:t xml:space="preserve">d in accordance with the relevant provisions of the Constitution and the Convention and of this Article, on the basis of decisions taken by the Council or by competent ITU </w:t>
            </w:r>
            <w:proofErr w:type="gramStart"/>
            <w:r>
              <w:rPr>
                <w:rFonts w:ascii="Arial" w:eastAsia="Arial" w:hAnsi="Arial" w:cs="Arial"/>
                <w:sz w:val="20"/>
                <w:szCs w:val="20"/>
                <w:lang w:eastAsia="en-GB"/>
              </w:rPr>
              <w:t>conferences, and</w:t>
            </w:r>
            <w:proofErr w:type="gramEnd"/>
            <w:r>
              <w:rPr>
                <w:rFonts w:ascii="Arial" w:eastAsia="Arial" w:hAnsi="Arial" w:cs="Arial"/>
                <w:sz w:val="20"/>
                <w:szCs w:val="20"/>
                <w:lang w:eastAsia="en-GB"/>
              </w:rPr>
              <w:t xml:space="preserve"> taking </w:t>
            </w:r>
            <w:r>
              <w:rPr>
                <w:rFonts w:ascii="Arial" w:eastAsia="Arial" w:hAnsi="Arial" w:cs="Arial"/>
                <w:sz w:val="20"/>
                <w:szCs w:val="20"/>
                <w:lang w:eastAsia="en-GB"/>
              </w:rPr>
              <w:lastRenderedPageBreak/>
              <w:t xml:space="preserve">account of conclusions or decisions of ITU assemblies. If </w:t>
            </w:r>
            <w:proofErr w:type="gramStart"/>
            <w:r>
              <w:rPr>
                <w:rFonts w:ascii="Arial" w:eastAsia="Arial" w:hAnsi="Arial" w:cs="Arial"/>
                <w:sz w:val="20"/>
                <w:szCs w:val="20"/>
                <w:lang w:eastAsia="en-GB"/>
              </w:rPr>
              <w:t>so</w:t>
            </w:r>
            <w:proofErr w:type="gramEnd"/>
            <w:r>
              <w:rPr>
                <w:rFonts w:ascii="Arial" w:eastAsia="Arial" w:hAnsi="Arial" w:cs="Arial"/>
                <w:sz w:val="20"/>
                <w:szCs w:val="20"/>
                <w:lang w:eastAsia="en-GB"/>
              </w:rPr>
              <w:t xml:space="preserve"> authorized by the Member State concerned, the information may be transmitted to the Secretary-General directly by an authorized operating agency, and shall then be disseminated by the Secretary-General. Member States should transmit such information to th</w:t>
            </w:r>
            <w:r>
              <w:rPr>
                <w:rFonts w:ascii="Arial" w:eastAsia="Arial" w:hAnsi="Arial" w:cs="Arial"/>
                <w:sz w:val="20"/>
                <w:szCs w:val="20"/>
                <w:lang w:eastAsia="en-GB"/>
              </w:rPr>
              <w:t xml:space="preserve">e Secretary-General in a timely manner, </w:t>
            </w:r>
            <w:proofErr w:type="gramStart"/>
            <w:r>
              <w:rPr>
                <w:rFonts w:ascii="Arial" w:eastAsia="Arial" w:hAnsi="Arial" w:cs="Arial"/>
                <w:sz w:val="20"/>
                <w:szCs w:val="20"/>
                <w:lang w:eastAsia="en-GB"/>
              </w:rPr>
              <w:t>taking into account</w:t>
            </w:r>
            <w:proofErr w:type="gramEnd"/>
            <w:r>
              <w:rPr>
                <w:rFonts w:ascii="Arial" w:eastAsia="Arial" w:hAnsi="Arial" w:cs="Arial"/>
                <w:sz w:val="20"/>
                <w:szCs w:val="20"/>
                <w:lang w:eastAsia="en-GB"/>
              </w:rPr>
              <w:t xml:space="preserve"> the relevant ITU-T Recommendations.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70C5C8B"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lastRenderedPageBreak/>
              <w:t xml:space="preserve">8.1 Using the most suitable and economical means, the Secretary-General </w:t>
            </w:r>
            <w:proofErr w:type="gramStart"/>
            <w:r>
              <w:rPr>
                <w:rFonts w:ascii="Arial" w:eastAsia="Arial" w:hAnsi="Arial" w:cs="Arial"/>
                <w:sz w:val="20"/>
                <w:szCs w:val="20"/>
                <w:lang w:eastAsia="en-GB"/>
              </w:rPr>
              <w:t>shall</w:t>
            </w:r>
            <w:proofErr w:type="gramEnd"/>
          </w:p>
          <w:p w14:paraId="30473AC8"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disseminate information, provided by administrations*, of an </w:t>
            </w:r>
            <w:r>
              <w:rPr>
                <w:rFonts w:ascii="Arial" w:eastAsia="Arial" w:hAnsi="Arial" w:cs="Arial"/>
                <w:sz w:val="20"/>
                <w:szCs w:val="20"/>
                <w:lang w:eastAsia="en-GB"/>
              </w:rPr>
              <w:t xml:space="preserve">administrative, operational, tariff or statistical nature concerning international telecommunication </w:t>
            </w:r>
            <w:proofErr w:type="gramStart"/>
            <w:r>
              <w:rPr>
                <w:rFonts w:ascii="Arial" w:eastAsia="Arial" w:hAnsi="Arial" w:cs="Arial"/>
                <w:sz w:val="20"/>
                <w:szCs w:val="20"/>
                <w:lang w:eastAsia="en-GB"/>
              </w:rPr>
              <w:t>routes</w:t>
            </w:r>
            <w:proofErr w:type="gramEnd"/>
          </w:p>
          <w:p w14:paraId="37A6CEEB"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and services. Such information shall be disseminated in accordance with the relevant</w:t>
            </w:r>
          </w:p>
          <w:p w14:paraId="155CD30F"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provisions of the Convention and of this Article, </w:t>
            </w:r>
            <w:proofErr w:type="gramStart"/>
            <w:r>
              <w:rPr>
                <w:rFonts w:ascii="Arial" w:eastAsia="Arial" w:hAnsi="Arial" w:cs="Arial"/>
                <w:sz w:val="20"/>
                <w:szCs w:val="20"/>
                <w:lang w:eastAsia="en-GB"/>
              </w:rPr>
              <w:t xml:space="preserve">on the basis </w:t>
            </w:r>
            <w:r>
              <w:rPr>
                <w:rFonts w:ascii="Arial" w:eastAsia="Arial" w:hAnsi="Arial" w:cs="Arial"/>
                <w:sz w:val="20"/>
                <w:szCs w:val="20"/>
                <w:lang w:eastAsia="en-GB"/>
              </w:rPr>
              <w:t>of</w:t>
            </w:r>
            <w:proofErr w:type="gramEnd"/>
            <w:r>
              <w:rPr>
                <w:rFonts w:ascii="Arial" w:eastAsia="Arial" w:hAnsi="Arial" w:cs="Arial"/>
                <w:sz w:val="20"/>
                <w:szCs w:val="20"/>
                <w:lang w:eastAsia="en-GB"/>
              </w:rPr>
              <w:t xml:space="preserve"> decisions taken by the</w:t>
            </w:r>
          </w:p>
          <w:p w14:paraId="25199714"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lastRenderedPageBreak/>
              <w:t xml:space="preserve">Administrative Council or by competent administrative conferences, and </w:t>
            </w:r>
            <w:proofErr w:type="gramStart"/>
            <w:r>
              <w:rPr>
                <w:rFonts w:ascii="Arial" w:eastAsia="Arial" w:hAnsi="Arial" w:cs="Arial"/>
                <w:sz w:val="20"/>
                <w:szCs w:val="20"/>
                <w:lang w:eastAsia="en-GB"/>
              </w:rPr>
              <w:t>taking</w:t>
            </w:r>
            <w:proofErr w:type="gramEnd"/>
          </w:p>
          <w:p w14:paraId="61C5AFAF"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account of conclusions or decisions of Plenary Assemblies of the International</w:t>
            </w:r>
          </w:p>
          <w:p w14:paraId="77F1A91C"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Consultative Committees. </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0CF17D87"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lastRenderedPageBreak/>
              <w:t>This provision does not help in fostering provi</w:t>
            </w:r>
            <w:r>
              <w:rPr>
                <w:rFonts w:ascii="Arial" w:eastAsia="Arial" w:hAnsi="Arial" w:cs="Arial"/>
                <w:sz w:val="20"/>
                <w:szCs w:val="20"/>
                <w:lang w:eastAsia="en-GB"/>
              </w:rPr>
              <w:t xml:space="preserve">sion and development of networks and services; it also should not be set on </w:t>
            </w:r>
            <w:proofErr w:type="gramStart"/>
            <w:r>
              <w:rPr>
                <w:rFonts w:ascii="Arial" w:eastAsia="Arial" w:hAnsi="Arial" w:cs="Arial"/>
                <w:sz w:val="20"/>
                <w:szCs w:val="20"/>
                <w:lang w:eastAsia="en-GB"/>
              </w:rPr>
              <w:t>an</w:t>
            </w:r>
            <w:proofErr w:type="gramEnd"/>
            <w:r>
              <w:rPr>
                <w:rFonts w:ascii="Arial" w:eastAsia="Arial" w:hAnsi="Arial" w:cs="Arial"/>
                <w:sz w:val="20"/>
                <w:szCs w:val="20"/>
                <w:lang w:eastAsia="en-GB"/>
              </w:rPr>
              <w:t xml:space="preserve"> treaty level, since it is an element of the role of ITU to share and disseminate information between all members. </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27695C51" w14:textId="77777777" w:rsidR="008512C1" w:rsidRDefault="002146E6">
            <w:pPr>
              <w:spacing w:after="0" w:line="276" w:lineRule="auto"/>
              <w:rPr>
                <w:rFonts w:ascii="Arial" w:eastAsia="Arial" w:hAnsi="Arial" w:cs="Arial"/>
                <w:sz w:val="20"/>
                <w:szCs w:val="20"/>
                <w:highlight w:val="yellow"/>
                <w:lang w:eastAsia="en-GB"/>
              </w:rPr>
            </w:pPr>
            <w:r>
              <w:rPr>
                <w:rFonts w:ascii="Arial" w:eastAsia="Arial" w:hAnsi="Arial" w:cs="Arial"/>
                <w:sz w:val="20"/>
                <w:szCs w:val="20"/>
                <w:lang w:eastAsia="en-GB"/>
              </w:rPr>
              <w:t>This provision does not help in provide flexibility in accommo</w:t>
            </w:r>
            <w:r>
              <w:rPr>
                <w:rFonts w:ascii="Arial" w:eastAsia="Arial" w:hAnsi="Arial" w:cs="Arial"/>
                <w:sz w:val="20"/>
                <w:szCs w:val="20"/>
                <w:lang w:eastAsia="en-GB"/>
              </w:rPr>
              <w:t xml:space="preserve">dating new trends and emergent issues; it also should not be set on </w:t>
            </w:r>
            <w:proofErr w:type="gramStart"/>
            <w:r>
              <w:rPr>
                <w:rFonts w:ascii="Arial" w:eastAsia="Arial" w:hAnsi="Arial" w:cs="Arial"/>
                <w:sz w:val="20"/>
                <w:szCs w:val="20"/>
                <w:lang w:eastAsia="en-GB"/>
              </w:rPr>
              <w:t>an</w:t>
            </w:r>
            <w:proofErr w:type="gramEnd"/>
            <w:r>
              <w:rPr>
                <w:rFonts w:ascii="Arial" w:eastAsia="Arial" w:hAnsi="Arial" w:cs="Arial"/>
                <w:sz w:val="20"/>
                <w:szCs w:val="20"/>
                <w:lang w:eastAsia="en-GB"/>
              </w:rPr>
              <w:t xml:space="preserve"> treaty level, since it is an element of the role of ITU to share and disseminate information between all members.</w:t>
            </w:r>
          </w:p>
          <w:p w14:paraId="100752B7"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3FCEE4E" w14:textId="77777777" w:rsidR="008512C1" w:rsidRDefault="008512C1">
            <w:pPr>
              <w:spacing w:after="0" w:line="276" w:lineRule="auto"/>
              <w:rPr>
                <w:rFonts w:ascii="Arial" w:eastAsia="Arial" w:hAnsi="Arial" w:cs="Arial"/>
                <w:sz w:val="20"/>
                <w:szCs w:val="20"/>
                <w:lang w:eastAsia="en-GB"/>
              </w:rPr>
            </w:pPr>
          </w:p>
        </w:tc>
      </w:tr>
      <w:tr w:rsidR="008512C1" w14:paraId="50439DC5" w14:textId="77777777">
        <w:trPr>
          <w:trHeight w:val="567"/>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E11CE6" w14:textId="77777777" w:rsidR="008512C1" w:rsidRDefault="008512C1">
            <w:pPr>
              <w:spacing w:after="0" w:line="276" w:lineRule="auto"/>
              <w:jc w:val="center"/>
              <w:rPr>
                <w:rFonts w:ascii="Arial" w:eastAsia="Arial" w:hAnsi="Arial" w:cs="Arial"/>
                <w:sz w:val="20"/>
                <w:szCs w:val="20"/>
                <w:lang w:eastAsia="en-GB"/>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1E6126" w14:textId="77777777" w:rsidR="008512C1" w:rsidRDefault="002146E6">
            <w:pPr>
              <w:spacing w:after="0" w:line="276" w:lineRule="auto"/>
              <w:rPr>
                <w:rFonts w:ascii="Arial" w:eastAsia="Arial" w:hAnsi="Arial" w:cs="Arial"/>
                <w:b/>
                <w:sz w:val="20"/>
                <w:szCs w:val="20"/>
                <w:lang w:eastAsia="en-GB"/>
              </w:rPr>
            </w:pPr>
            <w:r>
              <w:rPr>
                <w:rFonts w:ascii="Arial" w:eastAsia="Arial" w:hAnsi="Arial" w:cs="Arial"/>
                <w:b/>
                <w:sz w:val="20"/>
                <w:szCs w:val="20"/>
                <w:lang w:eastAsia="en-GB"/>
              </w:rPr>
              <w:t>Energy efficiency/e-waste</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581AE1F" w14:textId="77777777" w:rsidR="008512C1" w:rsidRDefault="008512C1">
            <w:pPr>
              <w:spacing w:after="0" w:line="276" w:lineRule="auto"/>
              <w:rPr>
                <w:rFonts w:ascii="Arial" w:eastAsia="Arial" w:hAnsi="Arial" w:cs="Arial"/>
                <w:sz w:val="20"/>
                <w:szCs w:val="20"/>
                <w:lang w:eastAsia="en-GB"/>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B01B865" w14:textId="77777777" w:rsidR="008512C1" w:rsidRDefault="008512C1">
            <w:pPr>
              <w:spacing w:after="0" w:line="276" w:lineRule="auto"/>
              <w:rPr>
                <w:rFonts w:ascii="Arial" w:eastAsia="Arial" w:hAnsi="Arial" w:cs="Arial"/>
                <w:sz w:val="20"/>
                <w:szCs w:val="20"/>
                <w:lang w:eastAsia="en-GB"/>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C0BF26D" w14:textId="77777777" w:rsidR="008512C1" w:rsidRDefault="008512C1">
            <w:pPr>
              <w:spacing w:after="0" w:line="276" w:lineRule="auto"/>
              <w:rPr>
                <w:rFonts w:ascii="Arial" w:eastAsia="Arial" w:hAnsi="Arial" w:cs="Arial"/>
                <w:sz w:val="20"/>
                <w:szCs w:val="20"/>
                <w:lang w:eastAsia="en-GB"/>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316023A1" w14:textId="77777777" w:rsidR="008512C1" w:rsidRDefault="008512C1">
            <w:pPr>
              <w:spacing w:after="0" w:line="276" w:lineRule="auto"/>
              <w:rPr>
                <w:rFonts w:ascii="Arial" w:eastAsia="Arial" w:hAnsi="Arial" w:cs="Arial"/>
                <w:sz w:val="20"/>
                <w:szCs w:val="20"/>
                <w:lang w:eastAsia="en-GB"/>
              </w:rPr>
            </w:pPr>
          </w:p>
        </w:tc>
      </w:tr>
      <w:tr w:rsidR="008512C1" w14:paraId="7ADA5FAF" w14:textId="77777777">
        <w:trPr>
          <w:trHeight w:val="624"/>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0876F1" w14:textId="77777777" w:rsidR="008512C1" w:rsidRDefault="002146E6">
            <w:pPr>
              <w:spacing w:after="0" w:line="276" w:lineRule="auto"/>
              <w:jc w:val="center"/>
              <w:rPr>
                <w:rFonts w:ascii="Arial" w:eastAsia="Arial" w:hAnsi="Arial" w:cs="Arial"/>
                <w:sz w:val="20"/>
                <w:szCs w:val="20"/>
                <w:lang w:eastAsia="en-GB"/>
              </w:rPr>
            </w:pPr>
            <w:r>
              <w:rPr>
                <w:rFonts w:ascii="Arial" w:eastAsia="Arial" w:hAnsi="Arial" w:cs="Arial"/>
                <w:sz w:val="20"/>
                <w:szCs w:val="20"/>
                <w:lang w:eastAsia="en-GB"/>
              </w:rPr>
              <w:t>11.1</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7D65D"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Member States are </w:t>
            </w:r>
            <w:r>
              <w:rPr>
                <w:rFonts w:ascii="Arial" w:eastAsia="Arial" w:hAnsi="Arial" w:cs="Arial"/>
                <w:sz w:val="20"/>
                <w:szCs w:val="20"/>
                <w:lang w:eastAsia="en-GB"/>
              </w:rPr>
              <w:t xml:space="preserve">encouraged to adopt energy-efficiency and e-waste best practices </w:t>
            </w:r>
            <w:proofErr w:type="gramStart"/>
            <w:r>
              <w:rPr>
                <w:rFonts w:ascii="Arial" w:eastAsia="Arial" w:hAnsi="Arial" w:cs="Arial"/>
                <w:sz w:val="20"/>
                <w:szCs w:val="20"/>
                <w:lang w:eastAsia="en-GB"/>
              </w:rPr>
              <w:t>taking into account</w:t>
            </w:r>
            <w:proofErr w:type="gramEnd"/>
            <w:r>
              <w:rPr>
                <w:rFonts w:ascii="Arial" w:eastAsia="Arial" w:hAnsi="Arial" w:cs="Arial"/>
                <w:sz w:val="20"/>
                <w:szCs w:val="20"/>
                <w:lang w:eastAsia="en-GB"/>
              </w:rPr>
              <w:t xml:space="preserve"> the relevant ITU-T Recommendations.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5778D53" w14:textId="77777777" w:rsidR="008512C1" w:rsidRDefault="008512C1">
            <w:pPr>
              <w:spacing w:after="0" w:line="276" w:lineRule="auto"/>
              <w:rPr>
                <w:rFonts w:ascii="Arial" w:eastAsia="Arial" w:hAnsi="Arial" w:cs="Arial"/>
                <w:sz w:val="20"/>
                <w:szCs w:val="20"/>
                <w:lang w:eastAsia="en-GB"/>
              </w:rPr>
            </w:pP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56754CF8"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This provision is not necessary since the issue is covered in the Basel Convention. </w:t>
            </w:r>
          </w:p>
          <w:p w14:paraId="6D169930" w14:textId="77777777" w:rsidR="008512C1" w:rsidRDefault="008512C1">
            <w:pPr>
              <w:spacing w:after="0" w:line="276" w:lineRule="auto"/>
              <w:rPr>
                <w:rFonts w:ascii="Arial" w:eastAsia="Arial" w:hAnsi="Arial" w:cs="Arial"/>
                <w:sz w:val="20"/>
                <w:szCs w:val="20"/>
                <w:lang w:eastAsia="en-GB"/>
              </w:rPr>
            </w:pPr>
          </w:p>
          <w:p w14:paraId="16FFB123" w14:textId="77777777" w:rsidR="008512C1" w:rsidRDefault="008512C1">
            <w:pPr>
              <w:spacing w:after="0" w:line="276" w:lineRule="auto"/>
              <w:rPr>
                <w:rFonts w:ascii="Arial" w:eastAsia="Arial" w:hAnsi="Arial" w:cs="Arial"/>
                <w:sz w:val="20"/>
                <w:szCs w:val="20"/>
                <w:lang w:eastAsia="en-GB"/>
              </w:rPr>
            </w:pP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6A3B585D"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This provision is not necessary since the issue</w:t>
            </w:r>
            <w:r>
              <w:rPr>
                <w:rFonts w:ascii="Arial" w:eastAsia="Arial" w:hAnsi="Arial" w:cs="Arial"/>
                <w:sz w:val="20"/>
                <w:szCs w:val="20"/>
                <w:lang w:eastAsia="en-GB"/>
              </w:rPr>
              <w:t xml:space="preserve"> is covered in the Basel Convention.</w:t>
            </w:r>
          </w:p>
          <w:p w14:paraId="01B9E106" w14:textId="77777777" w:rsidR="008512C1" w:rsidRDefault="008512C1">
            <w:pPr>
              <w:spacing w:after="0" w:line="276" w:lineRule="auto"/>
              <w:rPr>
                <w:rFonts w:ascii="Arial" w:eastAsia="Arial" w:hAnsi="Arial" w:cs="Arial"/>
                <w:sz w:val="20"/>
                <w:szCs w:val="20"/>
                <w:lang w:eastAsia="en-GB"/>
              </w:rPr>
            </w:pPr>
          </w:p>
          <w:p w14:paraId="52FA529C" w14:textId="77777777" w:rsidR="008512C1" w:rsidRDefault="008512C1">
            <w:pPr>
              <w:spacing w:after="0" w:line="276" w:lineRule="auto"/>
              <w:rPr>
                <w:rFonts w:ascii="Arial" w:eastAsia="Arial" w:hAnsi="Arial" w:cs="Arial"/>
                <w:sz w:val="20"/>
                <w:szCs w:val="20"/>
                <w:lang w:eastAsia="en-GB"/>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84003B0" w14:textId="77777777" w:rsidR="008512C1" w:rsidRDefault="008512C1">
            <w:pPr>
              <w:spacing w:after="0" w:line="276" w:lineRule="auto"/>
              <w:rPr>
                <w:rFonts w:ascii="Arial" w:eastAsia="Arial" w:hAnsi="Arial" w:cs="Arial"/>
                <w:sz w:val="20"/>
                <w:szCs w:val="20"/>
                <w:lang w:eastAsia="en-GB"/>
              </w:rPr>
            </w:pPr>
          </w:p>
        </w:tc>
      </w:tr>
      <w:tr w:rsidR="008512C1" w14:paraId="30E1A514" w14:textId="77777777">
        <w:trPr>
          <w:trHeight w:val="567"/>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95BA3B" w14:textId="77777777" w:rsidR="008512C1" w:rsidRDefault="008512C1">
            <w:pPr>
              <w:spacing w:after="0" w:line="276" w:lineRule="auto"/>
              <w:jc w:val="center"/>
              <w:rPr>
                <w:rFonts w:ascii="Arial" w:eastAsia="Arial" w:hAnsi="Arial" w:cs="Arial"/>
                <w:sz w:val="20"/>
                <w:szCs w:val="20"/>
                <w:lang w:eastAsia="en-GB"/>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163470" w14:textId="77777777" w:rsidR="008512C1" w:rsidRDefault="002146E6">
            <w:pPr>
              <w:spacing w:after="0" w:line="276" w:lineRule="auto"/>
              <w:rPr>
                <w:rFonts w:ascii="Arial" w:eastAsia="Arial" w:hAnsi="Arial" w:cs="Arial"/>
                <w:b/>
                <w:sz w:val="20"/>
                <w:szCs w:val="20"/>
                <w:lang w:eastAsia="en-GB"/>
              </w:rPr>
            </w:pPr>
            <w:r>
              <w:rPr>
                <w:rFonts w:ascii="Arial" w:eastAsia="Arial" w:hAnsi="Arial" w:cs="Arial"/>
                <w:b/>
                <w:sz w:val="20"/>
                <w:szCs w:val="20"/>
                <w:lang w:eastAsia="en-GB"/>
              </w:rPr>
              <w:t>Accessibility</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3E67FB5" w14:textId="77777777" w:rsidR="008512C1" w:rsidRDefault="008512C1">
            <w:pPr>
              <w:spacing w:after="0" w:line="276" w:lineRule="auto"/>
              <w:rPr>
                <w:rFonts w:ascii="Arial" w:eastAsia="Arial" w:hAnsi="Arial" w:cs="Arial"/>
                <w:sz w:val="20"/>
                <w:szCs w:val="20"/>
                <w:lang w:eastAsia="en-GB"/>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CBE267B" w14:textId="77777777" w:rsidR="008512C1" w:rsidRDefault="008512C1">
            <w:pPr>
              <w:spacing w:after="0" w:line="276" w:lineRule="auto"/>
              <w:rPr>
                <w:rFonts w:ascii="Arial" w:eastAsia="Arial" w:hAnsi="Arial" w:cs="Arial"/>
                <w:sz w:val="20"/>
                <w:szCs w:val="20"/>
                <w:lang w:eastAsia="en-GB"/>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5D733D2" w14:textId="77777777" w:rsidR="008512C1" w:rsidRDefault="008512C1">
            <w:pPr>
              <w:spacing w:after="0" w:line="276" w:lineRule="auto"/>
              <w:rPr>
                <w:rFonts w:ascii="Arial" w:eastAsia="Arial" w:hAnsi="Arial" w:cs="Arial"/>
                <w:sz w:val="20"/>
                <w:szCs w:val="20"/>
                <w:lang w:eastAsia="en-GB"/>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4BEBD1EF" w14:textId="77777777" w:rsidR="008512C1" w:rsidRDefault="008512C1">
            <w:pPr>
              <w:spacing w:after="0" w:line="276" w:lineRule="auto"/>
              <w:rPr>
                <w:rFonts w:ascii="Arial" w:eastAsia="Arial" w:hAnsi="Arial" w:cs="Arial"/>
                <w:sz w:val="20"/>
                <w:szCs w:val="20"/>
                <w:lang w:eastAsia="en-GB"/>
              </w:rPr>
            </w:pPr>
          </w:p>
        </w:tc>
      </w:tr>
      <w:tr w:rsidR="008512C1" w14:paraId="53FD58B6" w14:textId="77777777">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86AF47" w14:textId="77777777" w:rsidR="008512C1" w:rsidRDefault="002146E6">
            <w:pPr>
              <w:spacing w:after="0" w:line="276" w:lineRule="auto"/>
              <w:jc w:val="center"/>
              <w:rPr>
                <w:rFonts w:ascii="Arial" w:eastAsia="Arial" w:hAnsi="Arial" w:cs="Arial"/>
                <w:sz w:val="20"/>
                <w:szCs w:val="20"/>
                <w:lang w:eastAsia="en-GB"/>
              </w:rPr>
            </w:pPr>
            <w:r>
              <w:rPr>
                <w:rFonts w:ascii="Arial" w:eastAsia="Arial" w:hAnsi="Arial" w:cs="Arial"/>
                <w:sz w:val="20"/>
                <w:szCs w:val="20"/>
                <w:lang w:eastAsia="en-GB"/>
              </w:rPr>
              <w:t>12.1</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F2DC7"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Member States should promote access for persons with disabilities to international telecommunication services, </w:t>
            </w:r>
            <w:proofErr w:type="gramStart"/>
            <w:r>
              <w:rPr>
                <w:rFonts w:ascii="Arial" w:eastAsia="Arial" w:hAnsi="Arial" w:cs="Arial"/>
                <w:sz w:val="20"/>
                <w:szCs w:val="20"/>
                <w:lang w:eastAsia="en-GB"/>
              </w:rPr>
              <w:t>taking into account</w:t>
            </w:r>
            <w:proofErr w:type="gramEnd"/>
            <w:r>
              <w:rPr>
                <w:rFonts w:ascii="Arial" w:eastAsia="Arial" w:hAnsi="Arial" w:cs="Arial"/>
                <w:sz w:val="20"/>
                <w:szCs w:val="20"/>
                <w:lang w:eastAsia="en-GB"/>
              </w:rPr>
              <w:t xml:space="preserve"> the relevant ITU-T Recommendations.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08C1637" w14:textId="77777777" w:rsidR="008512C1" w:rsidRDefault="008512C1">
            <w:pPr>
              <w:spacing w:after="0" w:line="276" w:lineRule="auto"/>
              <w:rPr>
                <w:rFonts w:ascii="Arial" w:eastAsia="Arial" w:hAnsi="Arial" w:cs="Arial"/>
                <w:sz w:val="20"/>
                <w:szCs w:val="20"/>
                <w:lang w:eastAsia="en-GB"/>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93D1D8A"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Access for persons with disabilities is an important issue, but the mere promoting of access should not be a provision in a </w:t>
            </w:r>
            <w:proofErr w:type="gramStart"/>
            <w:r>
              <w:rPr>
                <w:rFonts w:ascii="Arial" w:eastAsia="Arial" w:hAnsi="Arial" w:cs="Arial"/>
                <w:sz w:val="20"/>
                <w:szCs w:val="20"/>
                <w:lang w:eastAsia="en-GB"/>
              </w:rPr>
              <w:t xml:space="preserve">telecommunications treaty, </w:t>
            </w:r>
            <w:r>
              <w:rPr>
                <w:rFonts w:ascii="Arial" w:eastAsia="Arial" w:hAnsi="Arial" w:cs="Arial"/>
                <w:sz w:val="20"/>
                <w:szCs w:val="20"/>
                <w:lang w:eastAsia="en-GB"/>
              </w:rPr>
              <w:lastRenderedPageBreak/>
              <w:t>since</w:t>
            </w:r>
            <w:proofErr w:type="gramEnd"/>
            <w:r>
              <w:rPr>
                <w:rFonts w:ascii="Arial" w:eastAsia="Arial" w:hAnsi="Arial" w:cs="Arial"/>
                <w:sz w:val="20"/>
                <w:szCs w:val="20"/>
                <w:lang w:eastAsia="en-GB"/>
              </w:rPr>
              <w:t xml:space="preserve"> this issue is part of change in societal and cultural environments and frameworks. The issue should</w:t>
            </w:r>
            <w:r>
              <w:rPr>
                <w:rFonts w:ascii="Arial" w:eastAsia="Arial" w:hAnsi="Arial" w:cs="Arial"/>
                <w:sz w:val="20"/>
                <w:szCs w:val="20"/>
                <w:lang w:eastAsia="en-GB"/>
              </w:rPr>
              <w:t xml:space="preserve"> be addressed on a higher level to be able to foster the provision and development of networks and services. </w:t>
            </w:r>
          </w:p>
          <w:p w14:paraId="28A2FDA4" w14:textId="77777777" w:rsidR="008512C1" w:rsidRDefault="008512C1">
            <w:pPr>
              <w:spacing w:after="0" w:line="276" w:lineRule="auto"/>
              <w:rPr>
                <w:rFonts w:ascii="Arial" w:eastAsia="Arial" w:hAnsi="Arial" w:cs="Arial"/>
                <w:sz w:val="20"/>
                <w:szCs w:val="20"/>
                <w:lang w:eastAsia="en-GB"/>
              </w:rPr>
            </w:pPr>
          </w:p>
          <w:p w14:paraId="0FE95380" w14:textId="77777777" w:rsidR="008512C1" w:rsidRDefault="008512C1">
            <w:pPr>
              <w:spacing w:after="0" w:line="276" w:lineRule="auto"/>
              <w:rPr>
                <w:rFonts w:ascii="Arial" w:eastAsia="Arial" w:hAnsi="Arial" w:cs="Arial"/>
                <w:sz w:val="20"/>
                <w:szCs w:val="20"/>
                <w:lang w:eastAsia="en-GB"/>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534FD97"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lastRenderedPageBreak/>
              <w:t>Access for persons with disabilities is an important issue, but the mere promoting of access should not be a provision in a telecommunications t</w:t>
            </w:r>
            <w:r>
              <w:rPr>
                <w:rFonts w:ascii="Arial" w:eastAsia="Arial" w:hAnsi="Arial" w:cs="Arial"/>
                <w:sz w:val="20"/>
                <w:szCs w:val="20"/>
                <w:lang w:eastAsia="en-GB"/>
              </w:rPr>
              <w:t xml:space="preserve">reaty, but </w:t>
            </w:r>
            <w:r>
              <w:rPr>
                <w:rFonts w:ascii="Arial" w:eastAsia="Arial" w:hAnsi="Arial" w:cs="Arial"/>
                <w:sz w:val="20"/>
                <w:szCs w:val="20"/>
                <w:lang w:eastAsia="en-GB"/>
              </w:rPr>
              <w:lastRenderedPageBreak/>
              <w:t xml:space="preserve">on a higher level to be able to accommodate new trends and emergent issues. </w:t>
            </w:r>
          </w:p>
          <w:p w14:paraId="5CF14426"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The provision does not provide the needed flexibility. </w:t>
            </w:r>
          </w:p>
          <w:p w14:paraId="2ED04BC9"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07F819AB" w14:textId="77777777" w:rsidR="008512C1" w:rsidRDefault="008512C1">
            <w:pPr>
              <w:spacing w:after="0" w:line="276" w:lineRule="auto"/>
              <w:rPr>
                <w:rFonts w:ascii="Arial" w:eastAsia="Arial" w:hAnsi="Arial" w:cs="Arial"/>
                <w:sz w:val="20"/>
                <w:szCs w:val="20"/>
                <w:lang w:eastAsia="en-GB"/>
              </w:rPr>
            </w:pPr>
          </w:p>
        </w:tc>
      </w:tr>
      <w:tr w:rsidR="008512C1" w14:paraId="1585C543" w14:textId="77777777">
        <w:trPr>
          <w:trHeight w:val="567"/>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4122AC" w14:textId="77777777" w:rsidR="008512C1" w:rsidRDefault="008512C1">
            <w:pPr>
              <w:spacing w:after="0" w:line="276" w:lineRule="auto"/>
              <w:jc w:val="center"/>
              <w:rPr>
                <w:rFonts w:ascii="Arial" w:eastAsia="Arial" w:hAnsi="Arial" w:cs="Arial"/>
                <w:sz w:val="20"/>
                <w:szCs w:val="20"/>
                <w:lang w:eastAsia="en-GB"/>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DBF12F" w14:textId="77777777" w:rsidR="008512C1" w:rsidRDefault="002146E6">
            <w:pPr>
              <w:spacing w:after="0" w:line="276" w:lineRule="auto"/>
              <w:rPr>
                <w:rFonts w:ascii="Arial" w:eastAsia="Arial" w:hAnsi="Arial" w:cs="Arial"/>
                <w:b/>
                <w:sz w:val="20"/>
                <w:szCs w:val="20"/>
                <w:lang w:eastAsia="en-GB"/>
              </w:rPr>
            </w:pPr>
            <w:r>
              <w:rPr>
                <w:rFonts w:ascii="Arial" w:eastAsia="Arial" w:hAnsi="Arial" w:cs="Arial"/>
                <w:b/>
                <w:sz w:val="20"/>
                <w:szCs w:val="20"/>
                <w:lang w:eastAsia="en-GB"/>
              </w:rPr>
              <w:t>Special arrangements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AC0639B" w14:textId="77777777" w:rsidR="008512C1" w:rsidRDefault="002146E6">
            <w:pPr>
              <w:spacing w:after="0" w:line="276" w:lineRule="auto"/>
              <w:rPr>
                <w:rFonts w:ascii="Arial" w:eastAsia="Arial" w:hAnsi="Arial" w:cs="Arial"/>
                <w:b/>
                <w:sz w:val="20"/>
                <w:szCs w:val="20"/>
                <w:lang w:eastAsia="en-GB"/>
              </w:rPr>
            </w:pPr>
            <w:r>
              <w:rPr>
                <w:rFonts w:ascii="Arial" w:eastAsia="Arial" w:hAnsi="Arial" w:cs="Arial"/>
                <w:b/>
                <w:sz w:val="20"/>
                <w:szCs w:val="20"/>
                <w:lang w:eastAsia="en-GB"/>
              </w:rPr>
              <w:t xml:space="preserve">Article 9: Special Arrangements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61B9E861" w14:textId="77777777" w:rsidR="008512C1" w:rsidRDefault="008512C1">
            <w:pPr>
              <w:spacing w:after="0" w:line="276" w:lineRule="auto"/>
              <w:rPr>
                <w:rFonts w:ascii="Arial" w:eastAsia="Arial" w:hAnsi="Arial" w:cs="Arial"/>
                <w:sz w:val="20"/>
                <w:szCs w:val="20"/>
                <w:lang w:eastAsia="en-GB"/>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414BE7C" w14:textId="77777777" w:rsidR="008512C1" w:rsidRDefault="008512C1">
            <w:pPr>
              <w:spacing w:after="0" w:line="276" w:lineRule="auto"/>
              <w:rPr>
                <w:rFonts w:ascii="Arial" w:eastAsia="Arial" w:hAnsi="Arial" w:cs="Arial"/>
                <w:sz w:val="20"/>
                <w:szCs w:val="20"/>
                <w:lang w:eastAsia="en-GB"/>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1ADC6E72" w14:textId="77777777" w:rsidR="008512C1" w:rsidRDefault="008512C1">
            <w:pPr>
              <w:spacing w:after="0" w:line="276" w:lineRule="auto"/>
              <w:rPr>
                <w:rFonts w:ascii="Arial" w:eastAsia="Arial" w:hAnsi="Arial" w:cs="Arial"/>
                <w:sz w:val="20"/>
                <w:szCs w:val="20"/>
                <w:lang w:eastAsia="en-GB"/>
              </w:rPr>
            </w:pPr>
          </w:p>
        </w:tc>
      </w:tr>
      <w:tr w:rsidR="008512C1" w14:paraId="722E9A8D" w14:textId="77777777">
        <w:trPr>
          <w:trHeight w:val="1304"/>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ED5782" w14:textId="77777777" w:rsidR="008512C1" w:rsidRDefault="002146E6">
            <w:pPr>
              <w:spacing w:after="0" w:line="276" w:lineRule="auto"/>
              <w:jc w:val="center"/>
              <w:rPr>
                <w:rFonts w:ascii="Arial" w:eastAsia="Arial" w:hAnsi="Arial" w:cs="Arial"/>
                <w:sz w:val="20"/>
                <w:szCs w:val="20"/>
                <w:lang w:eastAsia="en-GB"/>
              </w:rPr>
            </w:pPr>
            <w:r>
              <w:rPr>
                <w:rFonts w:ascii="Arial" w:eastAsia="Arial" w:hAnsi="Arial" w:cs="Arial"/>
                <w:sz w:val="20"/>
                <w:szCs w:val="20"/>
                <w:lang w:eastAsia="en-GB"/>
              </w:rPr>
              <w:t>13.1</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42EA98"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a) Pursuant to Article 42 of the Constitution, special arrangements may be entered into on telecommunication matters which do not concern Member States in general. Subject to national laws, Member States may allow authorized operating agencies or other org</w:t>
            </w:r>
            <w:r>
              <w:rPr>
                <w:rFonts w:ascii="Arial" w:eastAsia="Arial" w:hAnsi="Arial" w:cs="Arial"/>
                <w:sz w:val="20"/>
                <w:szCs w:val="20"/>
                <w:lang w:eastAsia="en-GB"/>
              </w:rPr>
              <w:t>anizations or persons to enter into such special mutual arrangements with Member States and authorized operating agencies, or other organizations or persons that are so allowed in another country for the establishment, operation and use of special internat</w:t>
            </w:r>
            <w:r>
              <w:rPr>
                <w:rFonts w:ascii="Arial" w:eastAsia="Arial" w:hAnsi="Arial" w:cs="Arial"/>
                <w:sz w:val="20"/>
                <w:szCs w:val="20"/>
                <w:lang w:eastAsia="en-GB"/>
              </w:rPr>
              <w:t xml:space="preserve">ional telecommunication networks, systems and services, in order </w:t>
            </w:r>
            <w:r>
              <w:rPr>
                <w:rFonts w:ascii="Arial" w:eastAsia="Arial" w:hAnsi="Arial" w:cs="Arial"/>
                <w:sz w:val="20"/>
                <w:szCs w:val="20"/>
                <w:lang w:eastAsia="en-GB"/>
              </w:rPr>
              <w:lastRenderedPageBreak/>
              <w:t>to meet specialized international telecommunication needs within and/or between the territories of the Member States concerned, and including, as necessary, the financial, technical or operat</w:t>
            </w:r>
            <w:r>
              <w:rPr>
                <w:rFonts w:ascii="Arial" w:eastAsia="Arial" w:hAnsi="Arial" w:cs="Arial"/>
                <w:sz w:val="20"/>
                <w:szCs w:val="20"/>
                <w:lang w:eastAsia="en-GB"/>
              </w:rPr>
              <w:t>ing conditions to be observed.</w:t>
            </w:r>
          </w:p>
          <w:p w14:paraId="5D2EB749" w14:textId="77777777" w:rsidR="008512C1" w:rsidRDefault="008512C1">
            <w:pPr>
              <w:spacing w:after="0" w:line="276" w:lineRule="auto"/>
              <w:rPr>
                <w:rFonts w:ascii="Arial" w:eastAsia="Arial" w:hAnsi="Arial" w:cs="Arial"/>
                <w:sz w:val="20"/>
                <w:szCs w:val="20"/>
                <w:lang w:eastAsia="en-GB"/>
              </w:rPr>
            </w:pPr>
          </w:p>
          <w:p w14:paraId="643A6547"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b) Any such special arrangements shall endeavour to avoid technical harm to the operation of the telecommunication facilities of third countries.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F4C3501"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lastRenderedPageBreak/>
              <w:t>9.1 a) Pursuant to Article 31 of the International Telecommunication Conventio</w:t>
            </w:r>
            <w:r>
              <w:rPr>
                <w:rFonts w:ascii="Arial" w:eastAsia="Arial" w:hAnsi="Arial" w:cs="Arial"/>
                <w:sz w:val="20"/>
                <w:szCs w:val="20"/>
                <w:lang w:eastAsia="en-GB"/>
              </w:rPr>
              <w:t>n</w:t>
            </w:r>
          </w:p>
          <w:p w14:paraId="199A2389"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(Nairobi, 1982), special arrangements may be entered into on telecommunication matters which do not concern Members in general. Subject to national laws, Members may</w:t>
            </w:r>
          </w:p>
          <w:p w14:paraId="4951ECC6"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allow administrations* or other organizations or persons to </w:t>
            </w:r>
            <w:proofErr w:type="gramStart"/>
            <w:r>
              <w:rPr>
                <w:rFonts w:ascii="Arial" w:eastAsia="Arial" w:hAnsi="Arial" w:cs="Arial"/>
                <w:sz w:val="20"/>
                <w:szCs w:val="20"/>
                <w:lang w:eastAsia="en-GB"/>
              </w:rPr>
              <w:t>enter into</w:t>
            </w:r>
            <w:proofErr w:type="gramEnd"/>
            <w:r>
              <w:rPr>
                <w:rFonts w:ascii="Arial" w:eastAsia="Arial" w:hAnsi="Arial" w:cs="Arial"/>
                <w:sz w:val="20"/>
                <w:szCs w:val="20"/>
                <w:lang w:eastAsia="en-GB"/>
              </w:rPr>
              <w:t xml:space="preserve"> such special</w:t>
            </w:r>
          </w:p>
          <w:p w14:paraId="66F555FF"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mutu</w:t>
            </w:r>
            <w:r>
              <w:rPr>
                <w:rFonts w:ascii="Arial" w:eastAsia="Arial" w:hAnsi="Arial" w:cs="Arial"/>
                <w:sz w:val="20"/>
                <w:szCs w:val="20"/>
                <w:lang w:eastAsia="en-GB"/>
              </w:rPr>
              <w:t xml:space="preserve">al arrangements with Members, administrations* or other organizations or persons that are so allowed in another country for the establishment, operation, and </w:t>
            </w:r>
            <w:proofErr w:type="gramStart"/>
            <w:r>
              <w:rPr>
                <w:rFonts w:ascii="Arial" w:eastAsia="Arial" w:hAnsi="Arial" w:cs="Arial"/>
                <w:sz w:val="20"/>
                <w:szCs w:val="20"/>
                <w:lang w:eastAsia="en-GB"/>
              </w:rPr>
              <w:t>use</w:t>
            </w:r>
            <w:proofErr w:type="gramEnd"/>
          </w:p>
          <w:p w14:paraId="6CF11151"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of special telecommunication networks, </w:t>
            </w:r>
            <w:proofErr w:type="gramStart"/>
            <w:r>
              <w:rPr>
                <w:rFonts w:ascii="Arial" w:eastAsia="Arial" w:hAnsi="Arial" w:cs="Arial"/>
                <w:sz w:val="20"/>
                <w:szCs w:val="20"/>
                <w:lang w:eastAsia="en-GB"/>
              </w:rPr>
              <w:t>systems</w:t>
            </w:r>
            <w:proofErr w:type="gramEnd"/>
            <w:r>
              <w:rPr>
                <w:rFonts w:ascii="Arial" w:eastAsia="Arial" w:hAnsi="Arial" w:cs="Arial"/>
                <w:sz w:val="20"/>
                <w:szCs w:val="20"/>
                <w:lang w:eastAsia="en-GB"/>
              </w:rPr>
              <w:t xml:space="preserve"> and services, in order to meet </w:t>
            </w:r>
            <w:r>
              <w:rPr>
                <w:rFonts w:ascii="Arial" w:eastAsia="Arial" w:hAnsi="Arial" w:cs="Arial"/>
                <w:sz w:val="20"/>
                <w:szCs w:val="20"/>
                <w:lang w:eastAsia="en-GB"/>
              </w:rPr>
              <w:lastRenderedPageBreak/>
              <w:t>specialized inte</w:t>
            </w:r>
            <w:r>
              <w:rPr>
                <w:rFonts w:ascii="Arial" w:eastAsia="Arial" w:hAnsi="Arial" w:cs="Arial"/>
                <w:sz w:val="20"/>
                <w:szCs w:val="20"/>
                <w:lang w:eastAsia="en-GB"/>
              </w:rPr>
              <w:t>rnational telecommunication needs within and/or between the territories of</w:t>
            </w:r>
          </w:p>
          <w:p w14:paraId="77325007"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the Members concerned, and including, as necessary, those financial, technical, or</w:t>
            </w:r>
          </w:p>
          <w:p w14:paraId="60350345"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operating conditions to be observed. </w:t>
            </w:r>
          </w:p>
          <w:p w14:paraId="6CCB491A" w14:textId="77777777" w:rsidR="008512C1" w:rsidRDefault="008512C1">
            <w:pPr>
              <w:spacing w:after="0" w:line="276" w:lineRule="auto"/>
              <w:rPr>
                <w:rFonts w:ascii="Arial" w:eastAsia="Arial" w:hAnsi="Arial" w:cs="Arial"/>
                <w:sz w:val="20"/>
                <w:szCs w:val="20"/>
                <w:lang w:eastAsia="en-GB"/>
              </w:rPr>
            </w:pPr>
          </w:p>
          <w:p w14:paraId="4DC05EE2"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b) Any such special arrangements should avoid </w:t>
            </w:r>
            <w:r>
              <w:rPr>
                <w:rFonts w:ascii="Arial" w:eastAsia="Arial" w:hAnsi="Arial" w:cs="Arial"/>
                <w:sz w:val="20"/>
                <w:szCs w:val="20"/>
                <w:lang w:eastAsia="en-GB"/>
              </w:rPr>
              <w:t>technical harm to the operation</w:t>
            </w:r>
          </w:p>
          <w:p w14:paraId="6804E86E"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of the telecommunication facilities of third countries. </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1F55A61F"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lastRenderedPageBreak/>
              <w:t>This provision intends to set out a procedure for specific non-regular, and unforeseen, issues that might come into play between Member States and which are not covere</w:t>
            </w:r>
            <w:r>
              <w:rPr>
                <w:rFonts w:ascii="Arial" w:eastAsia="Arial" w:hAnsi="Arial" w:cs="Arial"/>
                <w:sz w:val="20"/>
                <w:szCs w:val="20"/>
                <w:lang w:eastAsia="en-GB"/>
              </w:rPr>
              <w:t xml:space="preserve">d by the Treaty. </w:t>
            </w:r>
          </w:p>
          <w:p w14:paraId="33D2A4CA"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Since </w:t>
            </w:r>
            <w:proofErr w:type="gramStart"/>
            <w:r>
              <w:rPr>
                <w:rFonts w:ascii="Arial" w:eastAsia="Arial" w:hAnsi="Arial" w:cs="Arial"/>
                <w:sz w:val="20"/>
                <w:szCs w:val="20"/>
                <w:lang w:eastAsia="en-GB"/>
              </w:rPr>
              <w:t>this covers</w:t>
            </w:r>
            <w:proofErr w:type="gramEnd"/>
            <w:r>
              <w:rPr>
                <w:rFonts w:ascii="Arial" w:eastAsia="Arial" w:hAnsi="Arial" w:cs="Arial"/>
                <w:sz w:val="20"/>
                <w:szCs w:val="20"/>
                <w:lang w:eastAsia="en-GB"/>
              </w:rPr>
              <w:t xml:space="preserve"> dedicated specific issues it does not facilitate the provision and development of networks and services. </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3308B5B2"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This provision intends to set out a procedure for specific non-regular, and unforeseen, issues that might come int</w:t>
            </w:r>
            <w:r>
              <w:rPr>
                <w:rFonts w:ascii="Arial" w:eastAsia="Arial" w:hAnsi="Arial" w:cs="Arial"/>
                <w:sz w:val="20"/>
                <w:szCs w:val="20"/>
                <w:lang w:eastAsia="en-GB"/>
              </w:rPr>
              <w:t>o play between Member States and which are not covered by the Treaty.</w:t>
            </w:r>
          </w:p>
          <w:p w14:paraId="702F3F1C"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Since </w:t>
            </w:r>
            <w:proofErr w:type="gramStart"/>
            <w:r>
              <w:rPr>
                <w:rFonts w:ascii="Arial" w:eastAsia="Arial" w:hAnsi="Arial" w:cs="Arial"/>
                <w:sz w:val="20"/>
                <w:szCs w:val="20"/>
                <w:lang w:eastAsia="en-GB"/>
              </w:rPr>
              <w:t>this covers</w:t>
            </w:r>
            <w:proofErr w:type="gramEnd"/>
            <w:r>
              <w:rPr>
                <w:rFonts w:ascii="Arial" w:eastAsia="Arial" w:hAnsi="Arial" w:cs="Arial"/>
                <w:sz w:val="20"/>
                <w:szCs w:val="20"/>
                <w:lang w:eastAsia="en-GB"/>
              </w:rPr>
              <w:t xml:space="preserve"> dedicated specific issues it is not relevant with regard to providing flexibility in accommodating new trends and emergent issues.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F950005" w14:textId="77777777" w:rsidR="008512C1" w:rsidRDefault="008512C1">
            <w:pPr>
              <w:spacing w:after="0" w:line="276" w:lineRule="auto"/>
              <w:rPr>
                <w:rFonts w:ascii="Arial" w:eastAsia="Arial" w:hAnsi="Arial" w:cs="Arial"/>
                <w:sz w:val="20"/>
                <w:szCs w:val="20"/>
                <w:lang w:eastAsia="en-GB"/>
              </w:rPr>
            </w:pPr>
          </w:p>
        </w:tc>
      </w:tr>
      <w:tr w:rsidR="008512C1" w14:paraId="6BCE78FB" w14:textId="77777777">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C1228" w14:textId="77777777" w:rsidR="008512C1" w:rsidRDefault="002146E6">
            <w:pPr>
              <w:spacing w:after="0" w:line="276" w:lineRule="auto"/>
              <w:jc w:val="center"/>
              <w:rPr>
                <w:rFonts w:ascii="Arial" w:eastAsia="Arial" w:hAnsi="Arial" w:cs="Arial"/>
                <w:sz w:val="20"/>
                <w:szCs w:val="20"/>
                <w:lang w:eastAsia="en-GB"/>
              </w:rPr>
            </w:pPr>
            <w:r>
              <w:rPr>
                <w:rFonts w:ascii="Arial" w:eastAsia="Arial" w:hAnsi="Arial" w:cs="Arial"/>
                <w:sz w:val="20"/>
                <w:szCs w:val="20"/>
                <w:lang w:eastAsia="en-GB"/>
              </w:rPr>
              <w:t>13.2</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81309D"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Member States should, </w:t>
            </w:r>
            <w:r>
              <w:rPr>
                <w:rFonts w:ascii="Arial" w:eastAsia="Arial" w:hAnsi="Arial" w:cs="Arial"/>
                <w:sz w:val="20"/>
                <w:szCs w:val="20"/>
                <w:lang w:eastAsia="en-GB"/>
              </w:rPr>
              <w:t xml:space="preserve">where appropriate, encourage the parties to any special arrangements that are made pursuant to No. 73 (13.1) above to </w:t>
            </w:r>
            <w:proofErr w:type="gramStart"/>
            <w:r>
              <w:rPr>
                <w:rFonts w:ascii="Arial" w:eastAsia="Arial" w:hAnsi="Arial" w:cs="Arial"/>
                <w:sz w:val="20"/>
                <w:szCs w:val="20"/>
                <w:lang w:eastAsia="en-GB"/>
              </w:rPr>
              <w:t>take into account</w:t>
            </w:r>
            <w:proofErr w:type="gramEnd"/>
            <w:r>
              <w:rPr>
                <w:rFonts w:ascii="Arial" w:eastAsia="Arial" w:hAnsi="Arial" w:cs="Arial"/>
                <w:sz w:val="20"/>
                <w:szCs w:val="20"/>
                <w:lang w:eastAsia="en-GB"/>
              </w:rPr>
              <w:t xml:space="preserve"> relevant provisions of ITU-T Recommendations.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632FE0F"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9.2 Members should, where appropriate, encourage the parties to any specia</w:t>
            </w:r>
            <w:r>
              <w:rPr>
                <w:rFonts w:ascii="Arial" w:eastAsia="Arial" w:hAnsi="Arial" w:cs="Arial"/>
                <w:sz w:val="20"/>
                <w:szCs w:val="20"/>
                <w:lang w:eastAsia="en-GB"/>
              </w:rPr>
              <w:t>l</w:t>
            </w:r>
          </w:p>
          <w:p w14:paraId="0D49509B"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arrangements that are made pursuant to No. 58 to </w:t>
            </w:r>
            <w:proofErr w:type="gramStart"/>
            <w:r>
              <w:rPr>
                <w:rFonts w:ascii="Arial" w:eastAsia="Arial" w:hAnsi="Arial" w:cs="Arial"/>
                <w:sz w:val="20"/>
                <w:szCs w:val="20"/>
                <w:lang w:eastAsia="en-GB"/>
              </w:rPr>
              <w:t>take into account</w:t>
            </w:r>
            <w:proofErr w:type="gramEnd"/>
            <w:r>
              <w:rPr>
                <w:rFonts w:ascii="Arial" w:eastAsia="Arial" w:hAnsi="Arial" w:cs="Arial"/>
                <w:sz w:val="20"/>
                <w:szCs w:val="20"/>
                <w:lang w:eastAsia="en-GB"/>
              </w:rPr>
              <w:t xml:space="preserve"> relevant provisions of CCITT Recommendations.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50A604E7"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The provision 13.1 intends to set out a procedure for specific non-regular, and unforeseen, issues that might come into play between Member </w:t>
            </w:r>
            <w:r>
              <w:rPr>
                <w:rFonts w:ascii="Arial" w:eastAsia="Arial" w:hAnsi="Arial" w:cs="Arial"/>
                <w:sz w:val="20"/>
                <w:szCs w:val="20"/>
                <w:lang w:eastAsia="en-GB"/>
              </w:rPr>
              <w:t>States and which are not covered by the Treaty.</w:t>
            </w:r>
          </w:p>
          <w:p w14:paraId="0C16ED69" w14:textId="77777777" w:rsidR="008512C1" w:rsidRDefault="008512C1">
            <w:pPr>
              <w:spacing w:after="0" w:line="276" w:lineRule="auto"/>
              <w:rPr>
                <w:rFonts w:ascii="Arial" w:eastAsia="Arial" w:hAnsi="Arial" w:cs="Arial"/>
                <w:sz w:val="20"/>
                <w:szCs w:val="20"/>
                <w:lang w:eastAsia="en-GB"/>
              </w:rPr>
            </w:pPr>
          </w:p>
          <w:p w14:paraId="669E804D"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Since provision 13.2 sets a working process related to provision 13.1, this provision also does not facilitate the provision and development of networks and services.</w:t>
            </w:r>
          </w:p>
          <w:p w14:paraId="69ACFBC9" w14:textId="77777777" w:rsidR="008512C1" w:rsidRDefault="008512C1">
            <w:pPr>
              <w:spacing w:after="0" w:line="276" w:lineRule="auto"/>
              <w:rPr>
                <w:rFonts w:ascii="Arial" w:eastAsia="Arial" w:hAnsi="Arial" w:cs="Arial"/>
                <w:sz w:val="20"/>
                <w:szCs w:val="20"/>
                <w:lang w:eastAsia="en-GB"/>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C444ADA"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The provision 13.1 intends to set out a</w:t>
            </w:r>
            <w:r>
              <w:rPr>
                <w:rFonts w:ascii="Arial" w:eastAsia="Arial" w:hAnsi="Arial" w:cs="Arial"/>
                <w:sz w:val="20"/>
                <w:szCs w:val="20"/>
                <w:lang w:eastAsia="en-GB"/>
              </w:rPr>
              <w:t xml:space="preserve"> procedure for specific non-regular, and unforeseen, issues that might come into play between Member States and which are not covered by the Treaty.</w:t>
            </w:r>
          </w:p>
          <w:p w14:paraId="52F85833" w14:textId="77777777" w:rsidR="008512C1" w:rsidRDefault="008512C1">
            <w:pPr>
              <w:spacing w:after="0" w:line="276" w:lineRule="auto"/>
              <w:rPr>
                <w:rFonts w:ascii="Arial" w:eastAsia="Arial" w:hAnsi="Arial" w:cs="Arial"/>
                <w:sz w:val="20"/>
                <w:szCs w:val="20"/>
                <w:lang w:eastAsia="en-GB"/>
              </w:rPr>
            </w:pPr>
          </w:p>
          <w:p w14:paraId="1C5C6F8D"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Since provision 13.2 sets a working process related to provision 13.1, this provision it is not relevant </w:t>
            </w:r>
            <w:proofErr w:type="gramStart"/>
            <w:r>
              <w:rPr>
                <w:rFonts w:ascii="Arial" w:eastAsia="Arial" w:hAnsi="Arial" w:cs="Arial"/>
                <w:sz w:val="20"/>
                <w:szCs w:val="20"/>
                <w:lang w:eastAsia="en-GB"/>
              </w:rPr>
              <w:t>w</w:t>
            </w:r>
            <w:r>
              <w:rPr>
                <w:rFonts w:ascii="Arial" w:eastAsia="Arial" w:hAnsi="Arial" w:cs="Arial"/>
                <w:sz w:val="20"/>
                <w:szCs w:val="20"/>
                <w:lang w:eastAsia="en-GB"/>
              </w:rPr>
              <w:t>ith regard to</w:t>
            </w:r>
            <w:proofErr w:type="gramEnd"/>
            <w:r>
              <w:rPr>
                <w:rFonts w:ascii="Arial" w:eastAsia="Arial" w:hAnsi="Arial" w:cs="Arial"/>
                <w:sz w:val="20"/>
                <w:szCs w:val="20"/>
                <w:lang w:eastAsia="en-GB"/>
              </w:rPr>
              <w:t xml:space="preserve"> providing flexibility in accommodating new trends and emergent issues.</w:t>
            </w:r>
          </w:p>
          <w:p w14:paraId="21303197" w14:textId="77777777" w:rsidR="008512C1" w:rsidRDefault="008512C1">
            <w:pPr>
              <w:spacing w:after="0" w:line="276" w:lineRule="auto"/>
              <w:rPr>
                <w:rFonts w:ascii="Arial" w:eastAsia="Arial" w:hAnsi="Arial" w:cs="Arial"/>
                <w:sz w:val="20"/>
                <w:szCs w:val="20"/>
                <w:lang w:eastAsia="en-GB"/>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0EB3EA1" w14:textId="77777777" w:rsidR="008512C1" w:rsidRDefault="008512C1">
            <w:pPr>
              <w:spacing w:after="0" w:line="276" w:lineRule="auto"/>
              <w:rPr>
                <w:rFonts w:ascii="Arial" w:eastAsia="Arial" w:hAnsi="Arial" w:cs="Arial"/>
                <w:sz w:val="20"/>
                <w:szCs w:val="20"/>
                <w:lang w:eastAsia="en-GB"/>
              </w:rPr>
            </w:pPr>
          </w:p>
        </w:tc>
      </w:tr>
      <w:tr w:rsidR="008512C1" w14:paraId="541B4533" w14:textId="77777777">
        <w:trPr>
          <w:trHeight w:val="567"/>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0434DC" w14:textId="77777777" w:rsidR="008512C1" w:rsidRDefault="008512C1">
            <w:pPr>
              <w:spacing w:after="0" w:line="276" w:lineRule="auto"/>
              <w:jc w:val="center"/>
              <w:rPr>
                <w:rFonts w:ascii="Arial" w:eastAsia="Arial" w:hAnsi="Arial" w:cs="Arial"/>
                <w:sz w:val="20"/>
                <w:szCs w:val="20"/>
                <w:lang w:eastAsia="en-GB"/>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CC98B" w14:textId="77777777" w:rsidR="008512C1" w:rsidRDefault="002146E6">
            <w:pPr>
              <w:spacing w:after="0" w:line="276" w:lineRule="auto"/>
              <w:rPr>
                <w:rFonts w:ascii="Arial" w:eastAsia="Arial" w:hAnsi="Arial" w:cs="Arial"/>
                <w:b/>
                <w:sz w:val="20"/>
                <w:szCs w:val="20"/>
                <w:lang w:eastAsia="en-GB"/>
              </w:rPr>
            </w:pPr>
            <w:r>
              <w:rPr>
                <w:rFonts w:ascii="Arial" w:eastAsia="Arial" w:hAnsi="Arial" w:cs="Arial"/>
                <w:b/>
                <w:sz w:val="20"/>
                <w:szCs w:val="20"/>
                <w:lang w:eastAsia="en-GB"/>
              </w:rPr>
              <w:t>Final provisions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77CA972" w14:textId="77777777" w:rsidR="008512C1" w:rsidRDefault="002146E6">
            <w:pPr>
              <w:spacing w:after="0" w:line="276" w:lineRule="auto"/>
              <w:rPr>
                <w:rFonts w:ascii="Arial" w:eastAsia="Arial" w:hAnsi="Arial" w:cs="Arial"/>
                <w:b/>
                <w:sz w:val="20"/>
                <w:szCs w:val="20"/>
                <w:lang w:eastAsia="en-GB"/>
              </w:rPr>
            </w:pPr>
            <w:r>
              <w:rPr>
                <w:rFonts w:ascii="Arial" w:eastAsia="Arial" w:hAnsi="Arial" w:cs="Arial"/>
                <w:b/>
                <w:sz w:val="20"/>
                <w:szCs w:val="20"/>
                <w:lang w:eastAsia="en-GB"/>
              </w:rPr>
              <w:t xml:space="preserve">Article 10: Final Provisions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447D4CFC" w14:textId="77777777" w:rsidR="008512C1" w:rsidRDefault="008512C1">
            <w:pPr>
              <w:spacing w:after="0" w:line="276" w:lineRule="auto"/>
              <w:rPr>
                <w:rFonts w:ascii="Arial" w:eastAsia="Arial" w:hAnsi="Arial" w:cs="Arial"/>
                <w:sz w:val="20"/>
                <w:szCs w:val="20"/>
                <w:lang w:eastAsia="en-GB"/>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15FF3FD5" w14:textId="77777777" w:rsidR="008512C1" w:rsidRDefault="008512C1">
            <w:pPr>
              <w:spacing w:after="0" w:line="276" w:lineRule="auto"/>
              <w:rPr>
                <w:rFonts w:ascii="Arial" w:eastAsia="Arial" w:hAnsi="Arial" w:cs="Arial"/>
                <w:sz w:val="20"/>
                <w:szCs w:val="20"/>
                <w:lang w:eastAsia="en-GB"/>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C409183" w14:textId="77777777" w:rsidR="008512C1" w:rsidRDefault="008512C1">
            <w:pPr>
              <w:spacing w:after="0" w:line="276" w:lineRule="auto"/>
              <w:rPr>
                <w:rFonts w:ascii="Arial" w:eastAsia="Arial" w:hAnsi="Arial" w:cs="Arial"/>
                <w:sz w:val="20"/>
                <w:szCs w:val="20"/>
                <w:lang w:eastAsia="en-GB"/>
              </w:rPr>
            </w:pPr>
          </w:p>
        </w:tc>
      </w:tr>
      <w:tr w:rsidR="008512C1" w14:paraId="1122BB66" w14:textId="77777777">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3AA40C" w14:textId="77777777" w:rsidR="008512C1" w:rsidRDefault="002146E6">
            <w:pPr>
              <w:spacing w:after="0" w:line="276" w:lineRule="auto"/>
              <w:jc w:val="center"/>
              <w:rPr>
                <w:rFonts w:ascii="Arial" w:eastAsia="Arial" w:hAnsi="Arial" w:cs="Arial"/>
                <w:sz w:val="20"/>
                <w:szCs w:val="20"/>
                <w:lang w:eastAsia="en-GB"/>
              </w:rPr>
            </w:pPr>
            <w:r>
              <w:rPr>
                <w:rFonts w:ascii="Arial" w:eastAsia="Arial" w:hAnsi="Arial" w:cs="Arial"/>
                <w:sz w:val="20"/>
                <w:szCs w:val="20"/>
                <w:lang w:eastAsia="en-GB"/>
              </w:rPr>
              <w:t>14.1</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B43721"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These Regulations, of which Appendices 1 and 2 form integral parts, shall enter into force on 1 January </w:t>
            </w:r>
            <w:r>
              <w:rPr>
                <w:rFonts w:ascii="Arial" w:eastAsia="Arial" w:hAnsi="Arial" w:cs="Arial"/>
                <w:sz w:val="20"/>
                <w:szCs w:val="20"/>
                <w:lang w:eastAsia="en-GB"/>
              </w:rPr>
              <w:t>2015, and shall be applied as of that date, consistent with all the provisions of Article 54 of the Constitution.</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0DB3AD81"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10.1 These Regulations, of which Appendices 1, 2 and 3 form integral parts, shall</w:t>
            </w:r>
          </w:p>
          <w:p w14:paraId="4113F066"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enter into force on 1 July 1990 at 0001 hours UTC. </w:t>
            </w:r>
          </w:p>
          <w:p w14:paraId="34FA5E49" w14:textId="77777777" w:rsidR="008512C1" w:rsidRDefault="008512C1">
            <w:pPr>
              <w:spacing w:after="0" w:line="276" w:lineRule="auto"/>
              <w:rPr>
                <w:rFonts w:ascii="Arial" w:eastAsia="Arial" w:hAnsi="Arial" w:cs="Arial"/>
                <w:sz w:val="20"/>
                <w:szCs w:val="20"/>
                <w:lang w:eastAsia="en-GB"/>
              </w:rPr>
            </w:pPr>
          </w:p>
          <w:p w14:paraId="03FFD936"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10.2 On the date specified in No. 61, the Telegraph Regulations (Geneva, 1973) and the Telephone Regulations (Geneva, 1973) shall be replaced by these International</w:t>
            </w:r>
          </w:p>
          <w:p w14:paraId="093C930F"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Telecommunication Regulations (Melbourne, 1988) pursuant to the International</w:t>
            </w:r>
          </w:p>
          <w:p w14:paraId="73E260E4"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Telecommunica</w:t>
            </w:r>
            <w:r>
              <w:rPr>
                <w:rFonts w:ascii="Arial" w:eastAsia="Arial" w:hAnsi="Arial" w:cs="Arial"/>
                <w:sz w:val="20"/>
                <w:szCs w:val="20"/>
                <w:lang w:eastAsia="en-GB"/>
              </w:rPr>
              <w:t>tion Convention.</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4EABFEBE"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This provision addresses the entering into force is irrelevant to the provision and development of networks and services. </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375898DD"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This provision addresses the entering into force and </w:t>
            </w:r>
            <w:proofErr w:type="gramStart"/>
            <w:r>
              <w:rPr>
                <w:rFonts w:ascii="Arial" w:eastAsia="Arial" w:hAnsi="Arial" w:cs="Arial"/>
                <w:sz w:val="20"/>
                <w:szCs w:val="20"/>
                <w:lang w:eastAsia="en-GB"/>
              </w:rPr>
              <w:t>therefor  is</w:t>
            </w:r>
            <w:proofErr w:type="gramEnd"/>
            <w:r>
              <w:rPr>
                <w:rFonts w:ascii="Arial" w:eastAsia="Arial" w:hAnsi="Arial" w:cs="Arial"/>
                <w:sz w:val="20"/>
                <w:szCs w:val="20"/>
                <w:lang w:eastAsia="en-GB"/>
              </w:rPr>
              <w:t xml:space="preserve"> irrelevant to the provision of flexibility in acco</w:t>
            </w:r>
            <w:r>
              <w:rPr>
                <w:rFonts w:ascii="Arial" w:eastAsia="Arial" w:hAnsi="Arial" w:cs="Arial"/>
                <w:sz w:val="20"/>
                <w:szCs w:val="20"/>
                <w:lang w:eastAsia="en-GB"/>
              </w:rPr>
              <w:t xml:space="preserve">mmodating new trends and emergent issues.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5CED27F5" w14:textId="77777777" w:rsidR="008512C1" w:rsidRDefault="008512C1">
            <w:pPr>
              <w:spacing w:after="0" w:line="276" w:lineRule="auto"/>
              <w:rPr>
                <w:rFonts w:ascii="Arial" w:eastAsia="Arial" w:hAnsi="Arial" w:cs="Arial"/>
                <w:sz w:val="20"/>
                <w:szCs w:val="20"/>
                <w:lang w:eastAsia="en-GB"/>
              </w:rPr>
            </w:pPr>
          </w:p>
        </w:tc>
      </w:tr>
      <w:tr w:rsidR="008512C1" w14:paraId="60F415EA" w14:textId="77777777">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7BDFEA" w14:textId="77777777" w:rsidR="008512C1" w:rsidRDefault="002146E6">
            <w:pPr>
              <w:spacing w:after="0" w:line="276" w:lineRule="auto"/>
              <w:jc w:val="center"/>
              <w:rPr>
                <w:rFonts w:ascii="Arial" w:eastAsia="Arial" w:hAnsi="Arial" w:cs="Arial"/>
                <w:sz w:val="20"/>
                <w:szCs w:val="20"/>
                <w:lang w:eastAsia="en-GB"/>
              </w:rPr>
            </w:pPr>
            <w:r>
              <w:rPr>
                <w:rFonts w:ascii="Arial" w:eastAsia="Arial" w:hAnsi="Arial" w:cs="Arial"/>
                <w:sz w:val="20"/>
                <w:szCs w:val="20"/>
                <w:lang w:eastAsia="en-GB"/>
              </w:rPr>
              <w:t>14.2</w:t>
            </w: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4A0620"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If a Member State makes reservations </w:t>
            </w:r>
            <w:proofErr w:type="gramStart"/>
            <w:r>
              <w:rPr>
                <w:rFonts w:ascii="Arial" w:eastAsia="Arial" w:hAnsi="Arial" w:cs="Arial"/>
                <w:sz w:val="20"/>
                <w:szCs w:val="20"/>
                <w:lang w:eastAsia="en-GB"/>
              </w:rPr>
              <w:t>with regard to</w:t>
            </w:r>
            <w:proofErr w:type="gramEnd"/>
            <w:r>
              <w:rPr>
                <w:rFonts w:ascii="Arial" w:eastAsia="Arial" w:hAnsi="Arial" w:cs="Arial"/>
                <w:sz w:val="20"/>
                <w:szCs w:val="20"/>
                <w:lang w:eastAsia="en-GB"/>
              </w:rPr>
              <w:t xml:space="preserve"> the application of one or more of the provisions of these Regulations, other Member States shall be free to disregard the said provision or provisions in </w:t>
            </w:r>
            <w:r>
              <w:rPr>
                <w:rFonts w:ascii="Arial" w:eastAsia="Arial" w:hAnsi="Arial" w:cs="Arial"/>
                <w:sz w:val="20"/>
                <w:szCs w:val="20"/>
                <w:lang w:eastAsia="en-GB"/>
              </w:rPr>
              <w:t>their relations with the Member State which has made such reservations.</w:t>
            </w: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DD9C5AE"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10.3 If a Member makes reservations with regard to the application of one or </w:t>
            </w:r>
            <w:proofErr w:type="gramStart"/>
            <w:r>
              <w:rPr>
                <w:rFonts w:ascii="Arial" w:eastAsia="Arial" w:hAnsi="Arial" w:cs="Arial"/>
                <w:sz w:val="20"/>
                <w:szCs w:val="20"/>
                <w:lang w:eastAsia="en-GB"/>
              </w:rPr>
              <w:t>more</w:t>
            </w:r>
            <w:proofErr w:type="gramEnd"/>
          </w:p>
          <w:p w14:paraId="168165B3"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of the provisions of these Regulations, other </w:t>
            </w:r>
            <w:proofErr w:type="gramStart"/>
            <w:r>
              <w:rPr>
                <w:rFonts w:ascii="Arial" w:eastAsia="Arial" w:hAnsi="Arial" w:cs="Arial"/>
                <w:sz w:val="20"/>
                <w:szCs w:val="20"/>
                <w:lang w:eastAsia="en-GB"/>
              </w:rPr>
              <w:t>Members</w:t>
            </w:r>
            <w:proofErr w:type="gramEnd"/>
            <w:r>
              <w:rPr>
                <w:rFonts w:ascii="Arial" w:eastAsia="Arial" w:hAnsi="Arial" w:cs="Arial"/>
                <w:sz w:val="20"/>
                <w:szCs w:val="20"/>
                <w:lang w:eastAsia="en-GB"/>
              </w:rPr>
              <w:t xml:space="preserve"> and their administrations*</w:t>
            </w:r>
          </w:p>
          <w:p w14:paraId="7D27546C"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shall be free to </w:t>
            </w:r>
            <w:r>
              <w:rPr>
                <w:rFonts w:ascii="Arial" w:eastAsia="Arial" w:hAnsi="Arial" w:cs="Arial"/>
                <w:sz w:val="20"/>
                <w:szCs w:val="20"/>
                <w:lang w:eastAsia="en-GB"/>
              </w:rPr>
              <w:t>disregard the said provision or provisions in their relations with the</w:t>
            </w:r>
          </w:p>
          <w:p w14:paraId="68DEAF9D"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Member which has made such reservations and its administrations*. </w:t>
            </w:r>
          </w:p>
          <w:p w14:paraId="420407F5"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or recognized private operating agency(</w:t>
            </w:r>
            <w:proofErr w:type="spellStart"/>
            <w:r>
              <w:rPr>
                <w:rFonts w:ascii="Arial" w:eastAsia="Arial" w:hAnsi="Arial" w:cs="Arial"/>
                <w:sz w:val="20"/>
                <w:szCs w:val="20"/>
                <w:lang w:eastAsia="en-GB"/>
              </w:rPr>
              <w:t>ies</w:t>
            </w:r>
            <w:proofErr w:type="spellEnd"/>
            <w:r>
              <w:rPr>
                <w:rFonts w:ascii="Arial" w:eastAsia="Arial" w:hAnsi="Arial" w:cs="Arial"/>
                <w:sz w:val="20"/>
                <w:szCs w:val="20"/>
                <w:lang w:eastAsia="en-GB"/>
              </w:rPr>
              <w:t xml:space="preserve">) </w:t>
            </w: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2FB20764"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Since this provision allows Member States to make reservations on any p</w:t>
            </w:r>
            <w:r>
              <w:rPr>
                <w:rFonts w:ascii="Arial" w:eastAsia="Arial" w:hAnsi="Arial" w:cs="Arial"/>
                <w:sz w:val="20"/>
                <w:szCs w:val="20"/>
                <w:lang w:eastAsia="en-GB"/>
              </w:rPr>
              <w:t>rovision of the Treaty, the effectiveness of the Treaty is weakened.</w:t>
            </w:r>
          </w:p>
          <w:p w14:paraId="5BD24272"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This provision therefore does not help in fostering the provision and development of networks and services.</w:t>
            </w:r>
          </w:p>
          <w:p w14:paraId="2C4BF551" w14:textId="77777777" w:rsidR="008512C1" w:rsidRDefault="008512C1">
            <w:pPr>
              <w:spacing w:after="0" w:line="276" w:lineRule="auto"/>
              <w:rPr>
                <w:rFonts w:ascii="Arial" w:eastAsia="Arial" w:hAnsi="Arial" w:cs="Arial"/>
                <w:sz w:val="20"/>
                <w:szCs w:val="20"/>
                <w:lang w:eastAsia="en-GB"/>
              </w:rPr>
            </w:pPr>
          </w:p>
        </w:tc>
        <w:tc>
          <w:tcPr>
            <w:tcW w:w="2973"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790EFF76"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Since this provision allows Member States to make reservations on any provisio</w:t>
            </w:r>
            <w:r>
              <w:rPr>
                <w:rFonts w:ascii="Arial" w:eastAsia="Arial" w:hAnsi="Arial" w:cs="Arial"/>
                <w:sz w:val="20"/>
                <w:szCs w:val="20"/>
                <w:lang w:eastAsia="en-GB"/>
              </w:rPr>
              <w:t xml:space="preserve">n of the Treaty, the effectiveness the Treaty is weakened. This does not support flexibility when new trends or emerging issues arise.  </w:t>
            </w:r>
          </w:p>
          <w:p w14:paraId="4F6B464E"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 </w:t>
            </w: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617502AA" w14:textId="77777777" w:rsidR="008512C1" w:rsidRDefault="008512C1">
            <w:pPr>
              <w:spacing w:after="0" w:line="276" w:lineRule="auto"/>
              <w:rPr>
                <w:rFonts w:ascii="Arial" w:eastAsia="Arial" w:hAnsi="Arial" w:cs="Arial"/>
                <w:sz w:val="20"/>
                <w:szCs w:val="20"/>
                <w:lang w:eastAsia="en-GB"/>
              </w:rPr>
            </w:pPr>
          </w:p>
        </w:tc>
      </w:tr>
      <w:tr w:rsidR="008512C1" w14:paraId="24790D35" w14:textId="77777777">
        <w:trPr>
          <w:trHeight w:val="1320"/>
          <w:jc w:val="center"/>
        </w:trPr>
        <w:tc>
          <w:tcPr>
            <w:tcW w:w="7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F989E7" w14:textId="77777777" w:rsidR="008512C1" w:rsidRDefault="008512C1">
            <w:pPr>
              <w:spacing w:after="0" w:line="276" w:lineRule="auto"/>
              <w:jc w:val="center"/>
              <w:rPr>
                <w:rFonts w:ascii="Arial" w:eastAsia="Arial" w:hAnsi="Arial" w:cs="Arial"/>
                <w:sz w:val="20"/>
                <w:szCs w:val="20"/>
                <w:lang w:eastAsia="en-GB"/>
              </w:rPr>
            </w:pPr>
          </w:p>
        </w:tc>
        <w:tc>
          <w:tcPr>
            <w:tcW w:w="2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2C18DF" w14:textId="77777777" w:rsidR="008512C1" w:rsidRDefault="008512C1">
            <w:pPr>
              <w:spacing w:after="0" w:line="276" w:lineRule="auto"/>
              <w:rPr>
                <w:rFonts w:ascii="Arial" w:eastAsia="Arial" w:hAnsi="Arial" w:cs="Arial"/>
                <w:sz w:val="20"/>
                <w:szCs w:val="20"/>
                <w:lang w:eastAsia="en-GB"/>
              </w:rPr>
            </w:pPr>
          </w:p>
        </w:tc>
        <w:tc>
          <w:tcPr>
            <w:tcW w:w="2955" w:type="dxa"/>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tcPr>
          <w:p w14:paraId="34C2CE19"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10.4 Members of the Union shall inform the Secretary-General of their approval of the International </w:t>
            </w:r>
            <w:r>
              <w:rPr>
                <w:rFonts w:ascii="Arial" w:eastAsia="Arial" w:hAnsi="Arial" w:cs="Arial"/>
                <w:sz w:val="20"/>
                <w:szCs w:val="20"/>
                <w:lang w:eastAsia="en-GB"/>
              </w:rPr>
              <w:t xml:space="preserve">Telecommunication Regulations adopted by the Conference. The Secretary-General shall inform Members promptly of the receipt of such </w:t>
            </w:r>
            <w:proofErr w:type="gramStart"/>
            <w:r>
              <w:rPr>
                <w:rFonts w:ascii="Arial" w:eastAsia="Arial" w:hAnsi="Arial" w:cs="Arial"/>
                <w:sz w:val="20"/>
                <w:szCs w:val="20"/>
                <w:lang w:eastAsia="en-GB"/>
              </w:rPr>
              <w:t>notifications</w:t>
            </w:r>
            <w:proofErr w:type="gramEnd"/>
          </w:p>
          <w:p w14:paraId="30695991" w14:textId="77777777" w:rsidR="008512C1" w:rsidRDefault="002146E6">
            <w:pPr>
              <w:spacing w:after="0" w:line="276" w:lineRule="auto"/>
              <w:rPr>
                <w:rFonts w:ascii="Arial" w:eastAsia="Arial" w:hAnsi="Arial" w:cs="Arial"/>
                <w:sz w:val="20"/>
                <w:szCs w:val="20"/>
                <w:lang w:eastAsia="en-GB"/>
              </w:rPr>
            </w:pPr>
            <w:r>
              <w:rPr>
                <w:rFonts w:ascii="Arial" w:eastAsia="Arial" w:hAnsi="Arial" w:cs="Arial"/>
                <w:sz w:val="20"/>
                <w:szCs w:val="20"/>
                <w:lang w:eastAsia="en-GB"/>
              </w:rPr>
              <w:t xml:space="preserve">of approval. </w:t>
            </w: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549DEA43" w14:textId="77777777" w:rsidR="008512C1" w:rsidRDefault="008512C1">
            <w:pPr>
              <w:spacing w:after="0" w:line="276" w:lineRule="auto"/>
              <w:rPr>
                <w:rFonts w:ascii="Arial" w:eastAsia="Arial" w:hAnsi="Arial" w:cs="Arial"/>
                <w:sz w:val="20"/>
                <w:szCs w:val="20"/>
                <w:lang w:eastAsia="en-GB"/>
              </w:rPr>
            </w:pPr>
          </w:p>
        </w:tc>
        <w:tc>
          <w:tcPr>
            <w:tcW w:w="2973" w:type="dxa"/>
            <w:tcBorders>
              <w:top w:val="nil"/>
              <w:left w:val="nil"/>
              <w:bottom w:val="single" w:sz="8" w:space="0" w:color="000000"/>
              <w:right w:val="single" w:sz="8" w:space="0" w:color="000000"/>
            </w:tcBorders>
            <w:tcMar>
              <w:top w:w="56" w:type="dxa"/>
              <w:left w:w="56" w:type="dxa"/>
              <w:bottom w:w="56" w:type="dxa"/>
              <w:right w:w="56" w:type="dxa"/>
            </w:tcMar>
          </w:tcPr>
          <w:p w14:paraId="4930FD55" w14:textId="77777777" w:rsidR="008512C1" w:rsidRDefault="008512C1">
            <w:pPr>
              <w:spacing w:after="0" w:line="276" w:lineRule="auto"/>
              <w:rPr>
                <w:rFonts w:ascii="Arial" w:eastAsia="Arial" w:hAnsi="Arial" w:cs="Arial"/>
                <w:sz w:val="20"/>
                <w:szCs w:val="20"/>
                <w:lang w:eastAsia="en-GB"/>
              </w:rPr>
            </w:pPr>
          </w:p>
        </w:tc>
        <w:tc>
          <w:tcPr>
            <w:tcW w:w="2973" w:type="dxa"/>
            <w:tcBorders>
              <w:top w:val="nil"/>
              <w:left w:val="single" w:sz="8" w:space="0" w:color="000000"/>
              <w:bottom w:val="single" w:sz="8" w:space="0" w:color="000000"/>
              <w:right w:val="single" w:sz="8" w:space="0" w:color="000000"/>
            </w:tcBorders>
            <w:tcMar>
              <w:top w:w="56" w:type="dxa"/>
              <w:left w:w="56" w:type="dxa"/>
              <w:bottom w:w="56" w:type="dxa"/>
              <w:right w:w="56" w:type="dxa"/>
            </w:tcMar>
          </w:tcPr>
          <w:p w14:paraId="77737C6B" w14:textId="77777777" w:rsidR="008512C1" w:rsidRDefault="008512C1">
            <w:pPr>
              <w:spacing w:after="0" w:line="276" w:lineRule="auto"/>
              <w:rPr>
                <w:rFonts w:ascii="Arial" w:eastAsia="Arial" w:hAnsi="Arial" w:cs="Arial"/>
                <w:sz w:val="20"/>
                <w:szCs w:val="20"/>
                <w:lang w:eastAsia="en-GB"/>
              </w:rPr>
            </w:pPr>
          </w:p>
        </w:tc>
      </w:tr>
    </w:tbl>
    <w:p w14:paraId="52FC794D" w14:textId="77777777" w:rsidR="008512C1" w:rsidRDefault="008512C1">
      <w:pPr>
        <w:spacing w:after="0" w:line="240" w:lineRule="auto"/>
        <w:rPr>
          <w:sz w:val="24"/>
          <w:szCs w:val="24"/>
          <w:lang w:val="en-US"/>
        </w:rPr>
      </w:pPr>
    </w:p>
    <w:p w14:paraId="3AC67104" w14:textId="77777777" w:rsidR="008512C1" w:rsidRDefault="008512C1">
      <w:pPr>
        <w:spacing w:after="0" w:line="240" w:lineRule="auto"/>
        <w:rPr>
          <w:sz w:val="24"/>
          <w:szCs w:val="24"/>
          <w:lang w:val="en-US"/>
        </w:rPr>
      </w:pPr>
    </w:p>
    <w:p w14:paraId="69EA6B76" w14:textId="5570F53E" w:rsidR="008512C1" w:rsidRDefault="002146E6">
      <w:pPr>
        <w:spacing w:after="0" w:line="240" w:lineRule="auto"/>
        <w:rPr>
          <w:sz w:val="24"/>
          <w:szCs w:val="24"/>
          <w:lang w:val="en-US"/>
        </w:rPr>
      </w:pPr>
      <w:r>
        <w:rPr>
          <w:sz w:val="24"/>
          <w:szCs w:val="24"/>
          <w:lang w:val="en-US"/>
        </w:rPr>
        <w:t>Our view on Appendix 2 is already covered by our general view and the analysis of the prov</w:t>
      </w:r>
      <w:r>
        <w:rPr>
          <w:sz w:val="24"/>
          <w:szCs w:val="24"/>
          <w:lang w:val="en-US"/>
        </w:rPr>
        <w:t>isions, in particular Article 8</w:t>
      </w:r>
      <w:r>
        <w:rPr>
          <w:sz w:val="24"/>
          <w:szCs w:val="24"/>
          <w:lang w:val="en-US"/>
        </w:rPr>
        <w:t>, therefore it is not included again to avoid duplication.</w:t>
      </w:r>
    </w:p>
    <w:p w14:paraId="612972DE" w14:textId="77777777" w:rsidR="008512C1" w:rsidRDefault="002146E6">
      <w:pPr>
        <w:spacing w:before="840" w:after="0"/>
        <w:jc w:val="center"/>
        <w:rPr>
          <w:sz w:val="24"/>
          <w:szCs w:val="24"/>
        </w:rPr>
      </w:pPr>
      <w:r>
        <w:rPr>
          <w:sz w:val="24"/>
          <w:szCs w:val="24"/>
        </w:rPr>
        <w:t>_________________</w:t>
      </w:r>
    </w:p>
    <w:p w14:paraId="0E28A929" w14:textId="77777777" w:rsidR="008512C1" w:rsidRDefault="008512C1">
      <w:pPr>
        <w:spacing w:after="0" w:line="240" w:lineRule="auto"/>
        <w:rPr>
          <w:sz w:val="24"/>
          <w:szCs w:val="24"/>
          <w:lang w:val="en-US"/>
        </w:rPr>
      </w:pPr>
    </w:p>
    <w:sectPr w:rsidR="008512C1">
      <w:pgSz w:w="16834" w:h="11907" w:orient="landscape"/>
      <w:pgMar w:top="1134" w:right="1418" w:bottom="1134"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47523" w14:textId="77777777" w:rsidR="008512C1" w:rsidRDefault="002146E6">
      <w:r>
        <w:separator/>
      </w:r>
    </w:p>
  </w:endnote>
  <w:endnote w:type="continuationSeparator" w:id="0">
    <w:p w14:paraId="4B6A70FD" w14:textId="77777777" w:rsidR="008512C1" w:rsidRDefault="0021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989BF" w14:textId="77777777" w:rsidR="008512C1" w:rsidRDefault="002146E6">
    <w:pPr>
      <w:spacing w:after="120"/>
      <w:jc w:val="center"/>
      <w:rPr>
        <w:lang w:val="es-ES"/>
      </w:rPr>
    </w:pPr>
    <w:r>
      <w:rPr>
        <w:lang w:val="es-ES"/>
      </w:rPr>
      <w:t xml:space="preserve">• </w:t>
    </w:r>
    <w:hyperlink r:id="rId1" w:history="1">
      <w:r>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92673" w14:textId="77777777" w:rsidR="008512C1" w:rsidRDefault="002146E6">
      <w:r>
        <w:t>____________________</w:t>
      </w:r>
    </w:p>
  </w:footnote>
  <w:footnote w:type="continuationSeparator" w:id="0">
    <w:p w14:paraId="0D3E0FF0" w14:textId="77777777" w:rsidR="008512C1" w:rsidRDefault="00214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582BF" w14:textId="5F94403B" w:rsidR="008512C1" w:rsidRDefault="002146E6">
    <w:pPr>
      <w:pStyle w:val="Header"/>
      <w:spacing w:after="120"/>
    </w:pPr>
    <w:r>
      <w:fldChar w:fldCharType="begin"/>
    </w:r>
    <w:r>
      <w:instrText xml:space="preserve"> PAGE   \* MERGE</w:instrText>
    </w:r>
    <w:r>
      <w:instrText xml:space="preserve">FORMAT </w:instrText>
    </w:r>
    <w:r>
      <w:fldChar w:fldCharType="separate"/>
    </w:r>
    <w:r>
      <w:rPr>
        <w:noProof/>
      </w:rPr>
      <w:t>2</w:t>
    </w:r>
    <w:r>
      <w:rPr>
        <w:noProof/>
      </w:rPr>
      <w:fldChar w:fldCharType="end"/>
    </w:r>
    <w:r>
      <w:rPr>
        <w:noProof/>
      </w:rPr>
      <w:br/>
      <w:t>EG-ITRs-4</w:t>
    </w:r>
    <w:r>
      <w:rPr>
        <w:noProof/>
      </w:rPr>
      <w:t>\4</w:t>
    </w:r>
    <w:r>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7"/>
  </w:num>
  <w:num w:numId="3">
    <w:abstractNumId w:val="11"/>
  </w:num>
  <w:num w:numId="4">
    <w:abstractNumId w:val="14"/>
  </w:num>
  <w:num w:numId="5">
    <w:abstractNumId w:val="19"/>
  </w:num>
  <w:num w:numId="6">
    <w:abstractNumId w:val="12"/>
  </w:num>
  <w:num w:numId="7">
    <w:abstractNumId w:val="18"/>
  </w:num>
  <w:num w:numId="8">
    <w:abstractNumId w:val="16"/>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2C1"/>
    <w:rsid w:val="002146E6"/>
    <w:rsid w:val="008512C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B0D79B3"/>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46E6"/>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qFormat/>
    <w:pPr>
      <w:keepNext/>
      <w:keepLines/>
      <w:numPr>
        <w:numId w:val="8"/>
      </w:numPr>
      <w:spacing w:before="480"/>
      <w:outlineLvl w:val="0"/>
    </w:pPr>
    <w:rPr>
      <w:b/>
      <w:sz w:val="28"/>
    </w:rPr>
  </w:style>
  <w:style w:type="paragraph" w:styleId="Heading2">
    <w:name w:val="heading 2"/>
    <w:basedOn w:val="Heading1"/>
    <w:next w:val="Normal"/>
    <w:qFormat/>
    <w:pPr>
      <w:numPr>
        <w:ilvl w:val="1"/>
      </w:numPr>
      <w:spacing w:before="320"/>
      <w:outlineLvl w:val="1"/>
    </w:pPr>
    <w:rPr>
      <w:sz w:val="24"/>
    </w:rPr>
  </w:style>
  <w:style w:type="paragraph" w:styleId="Heading3">
    <w:name w:val="heading 3"/>
    <w:basedOn w:val="Heading1"/>
    <w:next w:val="Normal"/>
    <w:qFormat/>
    <w:pPr>
      <w:numPr>
        <w:ilvl w:val="2"/>
      </w:numPr>
      <w:spacing w:before="200"/>
      <w:outlineLvl w:val="2"/>
    </w:pPr>
    <w:rPr>
      <w:sz w:val="24"/>
    </w:rPr>
  </w:style>
  <w:style w:type="paragraph" w:styleId="Heading4">
    <w:name w:val="heading 4"/>
    <w:basedOn w:val="Heading3"/>
    <w:next w:val="Normal"/>
    <w:qFormat/>
    <w:pPr>
      <w:numPr>
        <w:ilvl w:val="3"/>
      </w:numPr>
      <w:outlineLvl w:val="3"/>
    </w:pPr>
  </w:style>
  <w:style w:type="paragraph" w:styleId="Heading5">
    <w:name w:val="heading 5"/>
    <w:basedOn w:val="Heading4"/>
    <w:next w:val="Normal"/>
    <w:qFormat/>
    <w:pPr>
      <w:numPr>
        <w:ilvl w:val="4"/>
      </w:numPr>
      <w:outlineLvl w:val="4"/>
    </w:pPr>
  </w:style>
  <w:style w:type="paragraph" w:styleId="Heading6">
    <w:name w:val="heading 6"/>
    <w:basedOn w:val="Heading4"/>
    <w:next w:val="Normal"/>
    <w:qFormat/>
    <w:pPr>
      <w:numPr>
        <w:ilvl w:val="5"/>
      </w:numPr>
      <w:outlineLvl w:val="5"/>
    </w:pPr>
  </w:style>
  <w:style w:type="paragraph" w:styleId="Heading7">
    <w:name w:val="heading 7"/>
    <w:basedOn w:val="Heading4"/>
    <w:next w:val="Normal"/>
    <w:qFormat/>
    <w:pPr>
      <w:numPr>
        <w:ilvl w:val="6"/>
      </w:numPr>
      <w:outlineLvl w:val="6"/>
    </w:pPr>
  </w:style>
  <w:style w:type="paragraph" w:styleId="Heading8">
    <w:name w:val="heading 8"/>
    <w:basedOn w:val="Heading4"/>
    <w:next w:val="Normal"/>
    <w:qFormat/>
    <w:pPr>
      <w:numPr>
        <w:ilvl w:val="7"/>
      </w:numPr>
      <w:outlineLvl w:val="7"/>
    </w:pPr>
  </w:style>
  <w:style w:type="paragraph" w:styleId="Heading9">
    <w:name w:val="heading 9"/>
    <w:basedOn w:val="Heading4"/>
    <w:next w:val="Normal"/>
    <w:qFormat/>
    <w:pPr>
      <w:numPr>
        <w:ilvl w:val="8"/>
      </w:numPr>
      <w:outlineLvl w:val="8"/>
    </w:pPr>
  </w:style>
  <w:style w:type="character" w:default="1" w:styleId="DefaultParagraphFont">
    <w:name w:val="Default Paragraph Font"/>
    <w:uiPriority w:val="1"/>
    <w:semiHidden/>
    <w:unhideWhenUsed/>
    <w:rsid w:val="002146E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46E6"/>
  </w:style>
  <w:style w:type="paragraph" w:styleId="TOC8">
    <w:name w:val="toc 8"/>
    <w:basedOn w:val="Normal"/>
    <w:next w:val="Normal"/>
    <w:pPr>
      <w:tabs>
        <w:tab w:val="left" w:pos="964"/>
        <w:tab w:val="left" w:leader="dot" w:pos="8789"/>
        <w:tab w:val="right" w:pos="9639"/>
      </w:tabs>
      <w:ind w:left="964" w:hanging="964"/>
    </w:pPr>
  </w:style>
  <w:style w:type="paragraph" w:styleId="TOC4">
    <w:name w:val="toc 4"/>
    <w:basedOn w:val="Normal"/>
    <w:next w:val="Normal"/>
    <w:pPr>
      <w:tabs>
        <w:tab w:val="left" w:pos="964"/>
        <w:tab w:val="left" w:pos="8789"/>
        <w:tab w:val="right" w:pos="9639"/>
      </w:tabs>
      <w:ind w:left="964" w:hanging="964"/>
    </w:pPr>
  </w:style>
  <w:style w:type="paragraph" w:styleId="TOC3">
    <w:name w:val="toc 3"/>
    <w:basedOn w:val="Normal"/>
    <w:next w:val="Normal"/>
    <w:pPr>
      <w:tabs>
        <w:tab w:val="left" w:pos="964"/>
        <w:tab w:val="left" w:leader="dot" w:pos="8789"/>
        <w:tab w:val="right" w:pos="9639"/>
      </w:tabs>
      <w:ind w:left="964" w:hanging="964"/>
    </w:pPr>
  </w:style>
  <w:style w:type="paragraph" w:styleId="TOC2">
    <w:name w:val="toc 2"/>
    <w:basedOn w:val="Normal"/>
    <w:next w:val="Normal"/>
    <w:pPr>
      <w:tabs>
        <w:tab w:val="left" w:pos="964"/>
        <w:tab w:val="left" w:leader="dot" w:pos="8789"/>
        <w:tab w:val="right" w:pos="9639"/>
      </w:tabs>
      <w:ind w:left="964" w:hanging="964"/>
    </w:pPr>
  </w:style>
  <w:style w:type="paragraph" w:styleId="TOC1">
    <w:name w:val="toc 1"/>
    <w:basedOn w:val="Normal"/>
    <w:pPr>
      <w:tabs>
        <w:tab w:val="left" w:pos="964"/>
        <w:tab w:val="left" w:leader="dot" w:pos="8789"/>
        <w:tab w:val="right" w:pos="9639"/>
      </w:tabs>
      <w:spacing w:before="240"/>
      <w:ind w:left="964" w:hanging="964"/>
    </w:pPr>
  </w:style>
  <w:style w:type="paragraph" w:styleId="TOC7">
    <w:name w:val="toc 7"/>
    <w:basedOn w:val="Normal"/>
    <w:next w:val="Normal"/>
    <w:pPr>
      <w:tabs>
        <w:tab w:val="left" w:pos="964"/>
        <w:tab w:val="left" w:leader="dot" w:pos="8789"/>
        <w:tab w:val="right" w:pos="9639"/>
      </w:tabs>
      <w:ind w:left="964" w:hanging="964"/>
    </w:pPr>
  </w:style>
  <w:style w:type="paragraph" w:styleId="TOC6">
    <w:name w:val="toc 6"/>
    <w:basedOn w:val="Normal"/>
    <w:next w:val="Normal"/>
    <w:pPr>
      <w:tabs>
        <w:tab w:val="left" w:pos="964"/>
        <w:tab w:val="left" w:leader="dot" w:pos="8789"/>
        <w:tab w:val="right" w:pos="9639"/>
      </w:tabs>
      <w:ind w:left="964" w:hanging="964"/>
    </w:pPr>
  </w:style>
  <w:style w:type="paragraph" w:styleId="TOC5">
    <w:name w:val="toc 5"/>
    <w:basedOn w:val="Normal"/>
    <w:next w:val="Normal"/>
    <w:pPr>
      <w:tabs>
        <w:tab w:val="left" w:pos="964"/>
        <w:tab w:val="left" w:leader="dot" w:pos="8789"/>
        <w:tab w:val="right" w:pos="9639"/>
      </w:tabs>
      <w:ind w:left="964" w:hanging="964"/>
    </w:pPr>
  </w:style>
  <w:style w:type="paragraph" w:styleId="Index7">
    <w:name w:val="index 7"/>
    <w:basedOn w:val="Normal"/>
    <w:next w:val="Normal"/>
    <w:pPr>
      <w:ind w:left="1698"/>
    </w:pPr>
  </w:style>
  <w:style w:type="paragraph" w:styleId="Index6">
    <w:name w:val="index 6"/>
    <w:basedOn w:val="Normal"/>
    <w:next w:val="Normal"/>
    <w:pPr>
      <w:ind w:left="1415"/>
    </w:pPr>
  </w:style>
  <w:style w:type="paragraph" w:styleId="Index5">
    <w:name w:val="index 5"/>
    <w:basedOn w:val="Normal"/>
    <w:next w:val="Normal"/>
    <w:pPr>
      <w:ind w:left="1132"/>
    </w:pPr>
  </w:style>
  <w:style w:type="paragraph" w:styleId="Index4">
    <w:name w:val="index 4"/>
    <w:basedOn w:val="Normal"/>
    <w:next w:val="Normal"/>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tyle>
  <w:style w:type="paragraph" w:styleId="Footer">
    <w:name w:val="footer"/>
    <w:basedOn w:val="Normal"/>
    <w:pPr>
      <w:tabs>
        <w:tab w:val="left" w:pos="5954"/>
        <w:tab w:val="right" w:pos="9639"/>
      </w:tabs>
    </w:pPr>
    <w:rPr>
      <w:caps/>
      <w:noProof/>
      <w:sz w:val="16"/>
    </w:rPr>
  </w:style>
  <w:style w:type="paragraph" w:styleId="Header">
    <w:name w:val="header"/>
    <w:basedOn w:val="Normal"/>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pPr>
      <w:keepLines/>
      <w:tabs>
        <w:tab w:val="left" w:pos="256"/>
      </w:tabs>
      <w:ind w:left="256" w:hanging="256"/>
    </w:pPr>
  </w:style>
  <w:style w:type="paragraph" w:styleId="NormalIndent">
    <w:name w:val="Normal Indent"/>
    <w:basedOn w:val="Normal"/>
    <w:pPr>
      <w:ind w:left="567"/>
    </w:pPr>
  </w:style>
  <w:style w:type="paragraph" w:customStyle="1" w:styleId="enumlev1">
    <w:name w:val="enumlev1"/>
    <w:basedOn w:val="Normal"/>
    <w:link w:val="enumlev1Char"/>
    <w:qFormat/>
    <w:pPr>
      <w:spacing w:before="86"/>
      <w:ind w:left="567" w:hanging="567"/>
    </w:pPr>
  </w:style>
  <w:style w:type="paragraph" w:customStyle="1" w:styleId="enumlev2">
    <w:name w:val="enumlev2"/>
    <w:basedOn w:val="enumlev1"/>
    <w:pPr>
      <w:ind w:left="1134"/>
    </w:pPr>
  </w:style>
  <w:style w:type="paragraph" w:customStyle="1" w:styleId="enumlev3">
    <w:name w:val="enumlev3"/>
    <w:basedOn w:val="enumlev2"/>
    <w:pPr>
      <w:ind w:left="1701"/>
    </w:pPr>
  </w:style>
  <w:style w:type="paragraph" w:customStyle="1" w:styleId="Normalaftertitle">
    <w:name w:val="Normal after title"/>
    <w:basedOn w:val="Normal"/>
    <w:next w:val="Normal"/>
    <w:link w:val="NormalaftertitleChar"/>
    <w:pPr>
      <w:spacing w:before="240"/>
    </w:pPr>
  </w:style>
  <w:style w:type="paragraph" w:customStyle="1" w:styleId="Equation">
    <w:name w:val="Equation"/>
    <w:basedOn w:val="Normal"/>
    <w:pPr>
      <w:tabs>
        <w:tab w:val="center" w:pos="4820"/>
        <w:tab w:val="right" w:pos="9639"/>
      </w:tabs>
    </w:pPr>
  </w:style>
  <w:style w:type="paragraph" w:customStyle="1" w:styleId="Head">
    <w:name w:val="Head"/>
    <w:basedOn w:val="Normal"/>
    <w:pPr>
      <w:tabs>
        <w:tab w:val="left" w:pos="6663"/>
      </w:tabs>
    </w:pPr>
  </w:style>
  <w:style w:type="paragraph" w:customStyle="1" w:styleId="toc0">
    <w:name w:val="toc 0"/>
    <w:basedOn w:val="Normal"/>
    <w:next w:val="TOC1"/>
    <w:pPr>
      <w:tabs>
        <w:tab w:val="right" w:pos="9781"/>
      </w:tabs>
    </w:pPr>
    <w:rPr>
      <w:b/>
    </w:rPr>
  </w:style>
  <w:style w:type="paragraph" w:styleId="List">
    <w:name w:val="List"/>
    <w:basedOn w:val="Normal"/>
    <w:pPr>
      <w:tabs>
        <w:tab w:val="left" w:pos="2127"/>
      </w:tabs>
      <w:ind w:left="2127" w:hanging="2127"/>
    </w:pPr>
  </w:style>
  <w:style w:type="paragraph" w:customStyle="1" w:styleId="Part">
    <w:name w:val="Part"/>
    <w:basedOn w:val="Normal"/>
    <w:next w:val="Normal"/>
    <w:pPr>
      <w:spacing w:before="600"/>
      <w:jc w:val="center"/>
    </w:pPr>
    <w:rPr>
      <w:caps/>
      <w:sz w:val="28"/>
    </w:rPr>
  </w:style>
  <w:style w:type="paragraph" w:customStyle="1" w:styleId="docnoted">
    <w:name w:val="docnoted"/>
    <w:basedOn w:val="Normal"/>
    <w:next w:val="Hea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pPr>
      <w:spacing w:before="480" w:after="0"/>
      <w:jc w:val="center"/>
    </w:pPr>
    <w:rPr>
      <w:b/>
      <w:sz w:val="28"/>
    </w:rPr>
  </w:style>
  <w:style w:type="paragraph" w:customStyle="1" w:styleId="meeting">
    <w:name w:val="meeting"/>
    <w:basedOn w:val="Head"/>
    <w:next w:val="Head"/>
    <w:pPr>
      <w:tabs>
        <w:tab w:val="left" w:pos="7371"/>
      </w:tabs>
      <w:spacing w:after="567"/>
    </w:pPr>
  </w:style>
  <w:style w:type="paragraph" w:customStyle="1" w:styleId="Subject">
    <w:name w:val="Subject"/>
    <w:basedOn w:val="Normal"/>
    <w:next w:val="Source"/>
    <w:pPr>
      <w:ind w:left="1134" w:hanging="1134"/>
    </w:pPr>
  </w:style>
  <w:style w:type="paragraph" w:customStyle="1" w:styleId="Object">
    <w:name w:val="Object"/>
    <w:basedOn w:val="Subject"/>
    <w:next w:val="Subject"/>
  </w:style>
  <w:style w:type="paragraph" w:customStyle="1" w:styleId="Data">
    <w:name w:val="Data"/>
    <w:basedOn w:val="Subject"/>
    <w:next w:val="Subject"/>
  </w:style>
  <w:style w:type="paragraph" w:customStyle="1" w:styleId="Reasons">
    <w:name w:val="Reasons"/>
    <w:basedOn w:val="Normal"/>
  </w:style>
  <w:style w:type="character" w:styleId="Hyperlink">
    <w:name w:val="Hyperlink"/>
    <w:basedOn w:val="DefaultParagraphFont"/>
    <w:rPr>
      <w:color w:val="0000FF"/>
      <w:u w:val="single"/>
    </w:rPr>
  </w:style>
  <w:style w:type="paragraph" w:customStyle="1" w:styleId="FirstFooter">
    <w:name w:val="FirstFooter"/>
    <w:basedOn w:val="Footer"/>
    <w:rPr>
      <w:caps w:val="0"/>
    </w:rPr>
  </w:style>
  <w:style w:type="paragraph" w:customStyle="1" w:styleId="Note">
    <w:name w:val="Note"/>
    <w:basedOn w:val="Normal"/>
    <w:pPr>
      <w:tabs>
        <w:tab w:val="left" w:pos="851"/>
      </w:tabs>
    </w:pPr>
  </w:style>
  <w:style w:type="paragraph" w:styleId="TOC9">
    <w:name w:val="toc 9"/>
    <w:basedOn w:val="TOC4"/>
  </w:style>
  <w:style w:type="paragraph" w:customStyle="1" w:styleId="Headingb">
    <w:name w:val="Heading_b"/>
    <w:basedOn w:val="Heading3"/>
    <w:next w:val="Normal"/>
    <w:pPr>
      <w:spacing w:before="160"/>
      <w:outlineLvl w:val="0"/>
    </w:pPr>
  </w:style>
  <w:style w:type="character" w:styleId="FollowedHyperlink">
    <w:name w:val="FollowedHyperlink"/>
    <w:basedOn w:val="DefaultParagraphFont"/>
    <w:rPr>
      <w:color w:val="800080"/>
      <w:u w:val="single"/>
    </w:rPr>
  </w:style>
  <w:style w:type="paragraph" w:customStyle="1" w:styleId="Title1">
    <w:name w:val="Title 1"/>
    <w:basedOn w:val="Source"/>
    <w:next w:val="Title2"/>
    <w:pPr>
      <w:spacing w:before="240"/>
    </w:pPr>
    <w:rPr>
      <w:b w:val="0"/>
      <w:caps/>
    </w:rPr>
  </w:style>
  <w:style w:type="paragraph" w:customStyle="1" w:styleId="Title2">
    <w:name w:val="Title 2"/>
    <w:basedOn w:val="Source"/>
    <w:next w:val="Title3"/>
    <w:pPr>
      <w:spacing w:before="240"/>
    </w:pPr>
    <w:rPr>
      <w:b w:val="0"/>
      <w:caps/>
    </w:rPr>
  </w:style>
  <w:style w:type="paragraph" w:customStyle="1" w:styleId="Title3">
    <w:name w:val="Title 3"/>
    <w:basedOn w:val="Title2"/>
    <w:next w:val="Normalaftertitle"/>
    <w:rPr>
      <w:caps w:val="0"/>
    </w:rPr>
  </w:style>
  <w:style w:type="paragraph" w:customStyle="1" w:styleId="Title4">
    <w:name w:val="Title 4"/>
    <w:basedOn w:val="Title3"/>
    <w:next w:val="Heading1"/>
    <w:rPr>
      <w:b/>
    </w:rPr>
  </w:style>
  <w:style w:type="paragraph" w:customStyle="1" w:styleId="dnum">
    <w:name w:val="dnum"/>
    <w:basedOn w:val="Normal"/>
    <w:pPr>
      <w:framePr w:hSpace="181" w:wrap="around" w:vAnchor="page" w:hAnchor="margin" w:y="852"/>
      <w:shd w:val="solid" w:color="FFFFFF" w:fill="FFFFFF"/>
      <w:tabs>
        <w:tab w:val="left" w:pos="1871"/>
      </w:tabs>
    </w:pPr>
    <w:rPr>
      <w:b/>
      <w:bCs/>
    </w:rPr>
  </w:style>
  <w:style w:type="paragraph" w:customStyle="1" w:styleId="ddate">
    <w:name w:val="ddate"/>
    <w:basedOn w:val="Normal"/>
    <w:pPr>
      <w:framePr w:hSpace="181" w:wrap="around" w:vAnchor="page" w:hAnchor="margin" w:y="852"/>
      <w:shd w:val="solid" w:color="FFFFFF" w:fill="FFFFFF"/>
      <w:tabs>
        <w:tab w:val="left" w:pos="1871"/>
      </w:tabs>
    </w:pPr>
    <w:rPr>
      <w:b/>
      <w:bCs/>
    </w:rPr>
  </w:style>
  <w:style w:type="paragraph" w:customStyle="1" w:styleId="dorlang">
    <w:name w:val="dorlang"/>
    <w:basedOn w:val="Normal"/>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pPr>
      <w:spacing w:before="720"/>
      <w:jc w:val="center"/>
    </w:pPr>
    <w:rPr>
      <w:caps/>
      <w:sz w:val="28"/>
    </w:rPr>
  </w:style>
  <w:style w:type="paragraph" w:customStyle="1" w:styleId="Annextitle">
    <w:name w:val="Annex_title"/>
    <w:basedOn w:val="Normal"/>
    <w:next w:val="Normal"/>
    <w:link w:val="AnnextitleChar"/>
    <w:pPr>
      <w:spacing w:before="240" w:after="240"/>
      <w:jc w:val="center"/>
    </w:pPr>
    <w:rPr>
      <w:b/>
      <w:sz w:val="28"/>
    </w:rPr>
  </w:style>
  <w:style w:type="paragraph" w:customStyle="1" w:styleId="Annexref">
    <w:name w:val="Annex_ref"/>
    <w:basedOn w:val="Normal"/>
    <w:next w:val="Annextitle"/>
    <w:pPr>
      <w:jc w:val="center"/>
    </w:pPr>
  </w:style>
  <w:style w:type="paragraph" w:customStyle="1" w:styleId="AppendixNo">
    <w:name w:val="Appendix_No"/>
    <w:basedOn w:val="AnnexNo"/>
    <w:next w:val="Appendixref"/>
  </w:style>
  <w:style w:type="paragraph" w:customStyle="1" w:styleId="Appendixtitle">
    <w:name w:val="Appendix_title"/>
    <w:basedOn w:val="Annextitle"/>
    <w:next w:val="Normal"/>
  </w:style>
  <w:style w:type="paragraph" w:customStyle="1" w:styleId="Appendixref">
    <w:name w:val="Appendix_ref"/>
    <w:basedOn w:val="Annexref"/>
    <w:next w:val="Appendixtitle"/>
  </w:style>
  <w:style w:type="paragraph" w:customStyle="1" w:styleId="Call">
    <w:name w:val="Call"/>
    <w:basedOn w:val="Normal"/>
    <w:next w:val="Normal"/>
    <w:link w:val="CallChar"/>
    <w:pPr>
      <w:keepNext/>
      <w:keepLines/>
      <w:spacing w:before="160"/>
      <w:ind w:left="567"/>
    </w:pPr>
    <w:rPr>
      <w:i/>
    </w:rPr>
  </w:style>
  <w:style w:type="character" w:styleId="EndnoteReference">
    <w:name w:val="endnote reference"/>
    <w:basedOn w:val="DefaultParagraphFont"/>
    <w:rPr>
      <w:vertAlign w:val="superscript"/>
    </w:rPr>
  </w:style>
  <w:style w:type="paragraph" w:customStyle="1" w:styleId="Equationlegend">
    <w:name w:val="Equation_legend"/>
    <w:basedOn w:val="Normal"/>
    <w:pPr>
      <w:tabs>
        <w:tab w:val="right" w:pos="1531"/>
      </w:tabs>
      <w:spacing w:before="80"/>
      <w:ind w:left="1701" w:hanging="1701"/>
    </w:pPr>
  </w:style>
  <w:style w:type="paragraph" w:customStyle="1" w:styleId="Figure">
    <w:name w:val="Figure"/>
    <w:basedOn w:val="Normal"/>
    <w:next w:val="Figuretitle"/>
    <w:pPr>
      <w:keepNext/>
      <w:keepLines/>
      <w:spacing w:after="120"/>
      <w:jc w:val="center"/>
    </w:pPr>
  </w:style>
  <w:style w:type="paragraph" w:customStyle="1" w:styleId="Figuretitle">
    <w:name w:val="Figure_title"/>
    <w:basedOn w:val="Tabletitle"/>
    <w:next w:val="Normalaftertitle"/>
    <w:pPr>
      <w:spacing w:before="240" w:after="480"/>
    </w:pPr>
  </w:style>
  <w:style w:type="paragraph" w:customStyle="1" w:styleId="Tabletitle">
    <w:name w:val="Table_title"/>
    <w:basedOn w:val="TableNo"/>
    <w:next w:val="Tabletext"/>
    <w:pPr>
      <w:tabs>
        <w:tab w:val="left" w:pos="2948"/>
        <w:tab w:val="left" w:pos="4082"/>
      </w:tabs>
      <w:spacing w:before="0"/>
    </w:pPr>
    <w:rPr>
      <w:b/>
      <w:caps w:val="0"/>
    </w:rPr>
  </w:style>
  <w:style w:type="paragraph" w:customStyle="1" w:styleId="TableNo">
    <w:name w:val="Table_No"/>
    <w:basedOn w:val="Normal"/>
    <w:next w:val="Tabletitle"/>
    <w:pPr>
      <w:keepNext/>
      <w:spacing w:before="560" w:after="120"/>
      <w:jc w:val="center"/>
    </w:pPr>
    <w:rPr>
      <w:caps/>
    </w:rPr>
  </w:style>
  <w:style w:type="paragraph" w:customStyle="1" w:styleId="Tabletext">
    <w:name w:val="Table_text"/>
    <w:basedOn w:val="Normal"/>
    <w:pPr>
      <w:spacing w:before="60" w:after="60"/>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240" w:after="120"/>
      <w:jc w:val="center"/>
    </w:pPr>
    <w:rPr>
      <w:caps/>
    </w:rPr>
  </w:style>
  <w:style w:type="paragraph" w:customStyle="1" w:styleId="Figurewithouttitle">
    <w:name w:val="Figure_without_title"/>
    <w:basedOn w:val="Figure"/>
    <w:next w:val="Normalaftertitle"/>
    <w:pPr>
      <w:keepNext w:val="0"/>
      <w:spacing w:after="240"/>
    </w:pPr>
  </w:style>
  <w:style w:type="paragraph" w:customStyle="1" w:styleId="Headingi">
    <w:name w:val="Heading_i"/>
    <w:basedOn w:val="Heading3"/>
    <w:next w:val="Normal"/>
    <w:pPr>
      <w:spacing w:before="160"/>
      <w:outlineLvl w:val="0"/>
    </w:pPr>
    <w:rPr>
      <w:b w:val="0"/>
      <w:i/>
    </w:rPr>
  </w:style>
  <w:style w:type="character" w:styleId="PageNumber">
    <w:name w:val="page number"/>
    <w:basedOn w:val="DefaultParagraphFont"/>
    <w:rPr>
      <w:rFonts w:ascii="Calibri" w:hAnsi="Calibri"/>
    </w:rPr>
  </w:style>
  <w:style w:type="paragraph" w:customStyle="1" w:styleId="PartNo">
    <w:name w:val="Part_No"/>
    <w:basedOn w:val="AnnexNo"/>
    <w:next w:val="Parttitle"/>
  </w:style>
  <w:style w:type="paragraph" w:customStyle="1" w:styleId="Parttitle">
    <w:name w:val="Part_title"/>
    <w:basedOn w:val="Annextitle"/>
    <w:next w:val="Partref"/>
  </w:style>
  <w:style w:type="paragraph" w:customStyle="1" w:styleId="Partref">
    <w:name w:val="Part_ref"/>
    <w:basedOn w:val="Annexref"/>
    <w:next w:val="Normalaftertitle"/>
  </w:style>
  <w:style w:type="paragraph" w:customStyle="1" w:styleId="RecNo">
    <w:name w:val="Rec_No"/>
    <w:basedOn w:val="Normal"/>
    <w:next w:val="Rectitle"/>
    <w:pPr>
      <w:spacing w:before="720"/>
      <w:jc w:val="center"/>
    </w:pPr>
    <w:rPr>
      <w:caps/>
      <w:sz w:val="28"/>
    </w:rPr>
  </w:style>
  <w:style w:type="paragraph" w:customStyle="1" w:styleId="Rectitle">
    <w:name w:val="Rec_title"/>
    <w:basedOn w:val="Normal"/>
    <w:next w:val="Heading1"/>
    <w:pPr>
      <w:spacing w:before="240"/>
      <w:jc w:val="center"/>
    </w:pPr>
    <w:rPr>
      <w:b/>
      <w:sz w:val="28"/>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ref">
    <w:name w:val="Question_ref"/>
    <w:basedOn w:val="Recref"/>
    <w:next w:val="Questiondate"/>
  </w:style>
  <w:style w:type="paragraph" w:customStyle="1" w:styleId="Questiontitle">
    <w:name w:val="Question_title"/>
    <w:basedOn w:val="Rectitle"/>
    <w:next w:val="Questionref"/>
  </w:style>
  <w:style w:type="paragraph" w:customStyle="1" w:styleId="Reftext">
    <w:name w:val="Ref_text"/>
    <w:basedOn w:val="Normal"/>
    <w:pPr>
      <w:ind w:left="567" w:hanging="567"/>
    </w:pPr>
  </w:style>
  <w:style w:type="paragraph" w:customStyle="1" w:styleId="Reftitle">
    <w:name w:val="Ref_title"/>
    <w:basedOn w:val="Normal"/>
    <w:next w:val="Reftext"/>
    <w:pPr>
      <w:spacing w:before="480"/>
      <w:jc w:val="center"/>
    </w:pPr>
    <w:rPr>
      <w:caps/>
      <w:sz w:val="28"/>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AnnexNo"/>
    <w:next w:val="Restitle"/>
  </w:style>
  <w:style w:type="paragraph" w:customStyle="1" w:styleId="Restitle">
    <w:name w:val="Res_title"/>
    <w:basedOn w:val="Annextitle"/>
    <w:next w:val="Normal"/>
    <w:link w:val="RestitleChar"/>
  </w:style>
  <w:style w:type="paragraph" w:customStyle="1" w:styleId="Resref">
    <w:name w:val="Res_ref"/>
    <w:basedOn w:val="Recref"/>
    <w:next w:val="Resdate"/>
  </w:style>
  <w:style w:type="paragraph" w:customStyle="1" w:styleId="SectionNo">
    <w:name w:val="Section_No"/>
    <w:basedOn w:val="AnnexNo"/>
    <w:next w:val="Sectiontitle"/>
  </w:style>
  <w:style w:type="paragraph" w:customStyle="1" w:styleId="Sectiontitle">
    <w:name w:val="Section_title"/>
    <w:basedOn w:val="Normal"/>
    <w:next w:val="Normalaftertitle"/>
    <w:rPr>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pPr>
      <w:spacing w:before="120" w:after="120"/>
      <w:jc w:val="center"/>
    </w:pPr>
    <w:rPr>
      <w:b/>
    </w:rPr>
  </w:style>
  <w:style w:type="paragraph" w:customStyle="1" w:styleId="Tablelegend">
    <w:name w:val="Table_legend"/>
    <w:basedOn w:val="Tabletext"/>
    <w:pPr>
      <w:spacing w:before="120"/>
    </w:pPr>
  </w:style>
  <w:style w:type="paragraph" w:customStyle="1" w:styleId="Tableref">
    <w:name w:val="Table_ref"/>
    <w:basedOn w:val="Normal"/>
    <w:next w:val="Tabletitle"/>
    <w:pPr>
      <w:keepNext/>
      <w:spacing w:before="567"/>
      <w:jc w:val="center"/>
    </w:pPr>
  </w:style>
  <w:style w:type="paragraph" w:customStyle="1" w:styleId="Artheading">
    <w:name w:val="Art_heading"/>
    <w:basedOn w:val="Normal"/>
    <w:next w:val="Normalaftertitle"/>
    <w:pPr>
      <w:spacing w:before="480"/>
      <w:jc w:val="center"/>
    </w:pPr>
    <w:rPr>
      <w:b/>
    </w:rPr>
  </w:style>
  <w:style w:type="paragraph" w:customStyle="1" w:styleId="ArtNo">
    <w:name w:val="Art_No"/>
    <w:basedOn w:val="Normal"/>
    <w:next w:val="Arttitle"/>
    <w:pPr>
      <w:spacing w:before="600"/>
      <w:jc w:val="center"/>
    </w:pPr>
    <w:rPr>
      <w:caps/>
      <w:sz w:val="28"/>
    </w:rPr>
  </w:style>
  <w:style w:type="paragraph" w:customStyle="1" w:styleId="Arttitle">
    <w:name w:val="Art_title"/>
    <w:basedOn w:val="Normal"/>
    <w:next w:val="Normal"/>
    <w:pPr>
      <w:spacing w:before="240" w:after="240"/>
      <w:jc w:val="center"/>
    </w:pPr>
    <w:rPr>
      <w:b/>
      <w:sz w:val="28"/>
    </w:rPr>
  </w:style>
  <w:style w:type="paragraph" w:customStyle="1" w:styleId="ChapNo">
    <w:name w:val="Chap_No"/>
    <w:basedOn w:val="ArtNo"/>
    <w:next w:val="Chaptitle"/>
  </w:style>
  <w:style w:type="paragraph" w:customStyle="1" w:styleId="Chaptitle">
    <w:name w:val="Chap_title"/>
    <w:basedOn w:val="Arttitle"/>
    <w:next w:val="Normal"/>
  </w:style>
  <w:style w:type="paragraph" w:customStyle="1" w:styleId="firstfooter0">
    <w:name w:val="firstfooter"/>
    <w:basedOn w:val="Normal"/>
    <w:pPr>
      <w:spacing w:before="100" w:beforeAutospacing="1" w:after="100" w:afterAutospacing="1"/>
    </w:pPr>
    <w:rPr>
      <w:rFonts w:eastAsia="SimSun"/>
    </w:rPr>
  </w:style>
  <w:style w:type="paragraph" w:customStyle="1" w:styleId="Table">
    <w:name w:val="Table_#"/>
    <w:basedOn w:val="Normal"/>
    <w:next w:val="Normal"/>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Pr>
      <w:rFonts w:ascii="Calibri" w:hAnsi="Calibri"/>
      <w:i/>
      <w:sz w:val="24"/>
      <w:lang w:val="en-GB" w:eastAsia="en-US"/>
    </w:rPr>
  </w:style>
  <w:style w:type="character" w:customStyle="1" w:styleId="NormalaftertitleChar">
    <w:name w:val="Normal after title Char"/>
    <w:basedOn w:val="DefaultParagraphFont"/>
    <w:link w:val="Normalaftertitle"/>
    <w:rPr>
      <w:rFonts w:ascii="Calibri" w:hAnsi="Calibri"/>
      <w:sz w:val="24"/>
      <w:lang w:val="en-GB" w:eastAsia="en-US"/>
    </w:rPr>
  </w:style>
  <w:style w:type="character" w:customStyle="1" w:styleId="enumlev1Char">
    <w:name w:val="enumlev1 Char"/>
    <w:basedOn w:val="DefaultParagraphFont"/>
    <w:link w:val="enumlev1"/>
    <w:rPr>
      <w:rFonts w:ascii="Calibri" w:hAnsi="Calibri"/>
      <w:sz w:val="24"/>
      <w:lang w:val="en-GB" w:eastAsia="en-US"/>
    </w:rPr>
  </w:style>
  <w:style w:type="character" w:customStyle="1" w:styleId="RestitleChar">
    <w:name w:val="Res_title Char"/>
    <w:basedOn w:val="DefaultParagraphFont"/>
    <w:link w:val="Restitle"/>
    <w:rPr>
      <w:rFonts w:ascii="Calibri" w:hAnsi="Calibri"/>
      <w:b/>
      <w:sz w:val="28"/>
      <w:lang w:val="en-GB" w:eastAsia="en-US"/>
    </w:rPr>
  </w:style>
  <w:style w:type="character" w:customStyle="1" w:styleId="AnnexNoChar">
    <w:name w:val="Annex_No Char"/>
    <w:basedOn w:val="DefaultParagraphFont"/>
    <w:link w:val="AnnexNo"/>
    <w:rPr>
      <w:rFonts w:ascii="Calibri" w:hAnsi="Calibri"/>
      <w:caps/>
      <w:sz w:val="28"/>
      <w:lang w:val="en-GB" w:eastAsia="en-US"/>
    </w:rPr>
  </w:style>
  <w:style w:type="character" w:customStyle="1" w:styleId="AnnextitleChar">
    <w:name w:val="Annex_title Char"/>
    <w:basedOn w:val="DefaultParagraphFont"/>
    <w:link w:val="Annextitle"/>
    <w:rPr>
      <w:rFonts w:ascii="Calibri" w:hAnsi="Calibri"/>
      <w:b/>
      <w:sz w:val="28"/>
      <w:lang w:val="en-GB" w:eastAsia="en-US"/>
    </w:rPr>
  </w:style>
  <w:style w:type="paragraph" w:styleId="BalloonText">
    <w:name w:val="Balloon Text"/>
    <w:basedOn w:val="Normal"/>
    <w:link w:val="BalloonTextChar"/>
    <w:semiHidden/>
    <w:unhideWhenUsed/>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EastAsia" w:hAnsi="Segoe UI" w:cs="Segoe UI"/>
      <w:sz w:val="18"/>
      <w:szCs w:val="18"/>
      <w:lang w:val="en-GB"/>
    </w:r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Pr>
      <w:rFonts w:asciiTheme="minorHAnsi" w:eastAsiaTheme="minorEastAsia" w:hAnsiTheme="minorHAnsi" w:cstheme="minorBidi"/>
      <w:sz w:val="22"/>
      <w:szCs w:val="22"/>
      <w:lang w:val="en-GB"/>
    </w:rPr>
  </w:style>
  <w:style w:type="paragraph" w:styleId="Revision">
    <w:name w:val="Revision"/>
    <w:hidden/>
    <w:uiPriority w:val="99"/>
    <w:semiHidden/>
    <w:rPr>
      <w:rFonts w:asciiTheme="minorHAnsi" w:eastAsiaTheme="minorEastAsia" w:hAnsiTheme="minorHAnsi" w:cstheme="minorBidi"/>
      <w:sz w:val="22"/>
      <w:szCs w:val="22"/>
      <w:lang w:val="en-GB"/>
    </w:rPr>
  </w:style>
  <w:style w:type="table" w:styleId="TableGrid">
    <w:name w:val="Table Grid"/>
    <w:basedOn w:val="TableNormal"/>
    <w:uiPriority w:val="39"/>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heme="minorHAnsi" w:eastAsiaTheme="minorEastAsia"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E46BE2403204D4E844191C3480CD35B" ma:contentTypeVersion="4" ma:contentTypeDescription="Create a new document." ma:contentTypeScope="" ma:versionID="1fd4cf0dcf1c335fa3625c517989e046">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811E49-6EBD-4895-B531-AC55B41A2FCD}">
  <ds:schemaRefs>
    <ds:schemaRef ds:uri="http://schemas.openxmlformats.org/officeDocument/2006/bibliography"/>
  </ds:schemaRefs>
</ds:datastoreItem>
</file>

<file path=customXml/itemProps2.xml><?xml version="1.0" encoding="utf-8"?>
<ds:datastoreItem xmlns:ds="http://schemas.openxmlformats.org/officeDocument/2006/customXml" ds:itemID="{F350B736-356C-4BED-8811-AD6E31395FD9}">
  <ds:schemaRefs>
    <ds:schemaRef ds:uri="http://schemas.microsoft.com/sharepoint/v3/contenttype/forms"/>
  </ds:schemaRefs>
</ds:datastoreItem>
</file>

<file path=customXml/itemProps3.xml><?xml version="1.0" encoding="utf-8"?>
<ds:datastoreItem xmlns:ds="http://schemas.openxmlformats.org/officeDocument/2006/customXml" ds:itemID="{734FD361-57E9-4D14-9E91-2CAEBE4DDBF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091C08F-1F4D-488F-BCDD-BA0C633EA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ea1ea-72e4-4374-b05e-72e2f16f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2049</Words>
  <Characters>11875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R 1379 - ITRs</vt:lpstr>
    </vt:vector>
  </TitlesOfParts>
  <Manager>General Secretariat - Pool</Manager>
  <Company>International Telecommunication Union (ITU)</Company>
  <LinksUpToDate>false</LinksUpToDate>
  <CharactersWithSpaces>13897</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1379 - ITRs</dc:title>
  <dc:subject>Council 2016</dc:subject>
  <dc:creator>Brouard, Ricarda</dc:creator>
  <cp:keywords>C2019, C19</cp:keywords>
  <dc:description/>
  <cp:lastModifiedBy>Janin, Patricia</cp:lastModifiedBy>
  <cp:revision>2</cp:revision>
  <cp:lastPrinted>2000-07-18T13:30:00Z</cp:lastPrinted>
  <dcterms:created xsi:type="dcterms:W3CDTF">2021-01-18T15:42:00Z</dcterms:created>
  <dcterms:modified xsi:type="dcterms:W3CDTF">2021-01-18T15:42:00Z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0x0101001E46BE2403204D4E844191C3480CD35B</vt:lpwstr>
  </property>
</Properties>
</file>