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90"/>
        <w:tblW w:w="9356" w:type="dxa"/>
        <w:tblLayout w:type="fixed"/>
        <w:tblLook w:val="0000" w:firstRow="0" w:lastRow="0" w:firstColumn="0" w:lastColumn="0" w:noHBand="0" w:noVBand="0"/>
      </w:tblPr>
      <w:tblGrid>
        <w:gridCol w:w="6379"/>
        <w:gridCol w:w="2977"/>
      </w:tblGrid>
      <w:tr w:rsidR="00520F36" w:rsidRPr="00E27354" w14:paraId="27F937BF" w14:textId="77777777" w:rsidTr="00FD0441">
        <w:trPr>
          <w:cantSplit/>
        </w:trPr>
        <w:tc>
          <w:tcPr>
            <w:tcW w:w="6379" w:type="dxa"/>
          </w:tcPr>
          <w:p w14:paraId="460F683C" w14:textId="3239A204" w:rsidR="00520F36" w:rsidRPr="00E27354" w:rsidRDefault="00D837AA" w:rsidP="00F44A82">
            <w:pPr>
              <w:spacing w:before="240"/>
            </w:pPr>
            <w:r w:rsidRPr="00E27354">
              <w:rPr>
                <w:rFonts w:eastAsia="Calibri" w:cs="Calibri"/>
                <w:b/>
                <w:bCs/>
                <w:color w:val="000000"/>
                <w:position w:val="6"/>
                <w:sz w:val="30"/>
                <w:szCs w:val="30"/>
              </w:rPr>
              <w:t>Groupe d</w:t>
            </w:r>
            <w:r w:rsidR="00622BAC" w:rsidRPr="00E27354">
              <w:rPr>
                <w:rFonts w:eastAsia="Calibri" w:cs="Calibri"/>
                <w:b/>
                <w:bCs/>
                <w:color w:val="000000"/>
                <w:position w:val="6"/>
                <w:sz w:val="30"/>
                <w:szCs w:val="30"/>
              </w:rPr>
              <w:t>'</w:t>
            </w:r>
            <w:r w:rsidRPr="00E27354">
              <w:rPr>
                <w:rFonts w:eastAsia="Calibri" w:cs="Calibri"/>
                <w:b/>
                <w:bCs/>
                <w:color w:val="000000"/>
                <w:position w:val="6"/>
                <w:sz w:val="30"/>
                <w:szCs w:val="30"/>
              </w:rPr>
              <w:t>experts sur le Règlement des télécommunications internationales (EG</w:t>
            </w:r>
            <w:r w:rsidRPr="00E27354">
              <w:rPr>
                <w:rFonts w:eastAsia="Calibri" w:cs="Calibri"/>
                <w:b/>
                <w:bCs/>
                <w:color w:val="000000"/>
                <w:position w:val="6"/>
                <w:sz w:val="30"/>
                <w:szCs w:val="30"/>
              </w:rPr>
              <w:noBreakHyphen/>
              <w:t>RTI)</w:t>
            </w:r>
          </w:p>
        </w:tc>
        <w:tc>
          <w:tcPr>
            <w:tcW w:w="2977" w:type="dxa"/>
          </w:tcPr>
          <w:p w14:paraId="581E92F9" w14:textId="77777777" w:rsidR="00520F36" w:rsidRPr="00E27354" w:rsidRDefault="00B84194" w:rsidP="00F44A82">
            <w:pPr>
              <w:spacing w:before="0"/>
            </w:pPr>
            <w:bookmarkStart w:id="0" w:name="ditulogo"/>
            <w:bookmarkEnd w:id="0"/>
            <w:r w:rsidRPr="00E27354">
              <w:rPr>
                <w:noProof/>
                <w:lang w:val="en-US"/>
              </w:rPr>
              <w:drawing>
                <wp:inline distT="0" distB="0" distL="0" distR="0" wp14:anchorId="6C924264" wp14:editId="4209F661">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E27354" w14:paraId="11410A6A" w14:textId="77777777" w:rsidTr="00FD0441">
        <w:trPr>
          <w:cantSplit/>
          <w:trHeight w:val="20"/>
        </w:trPr>
        <w:tc>
          <w:tcPr>
            <w:tcW w:w="6379" w:type="dxa"/>
            <w:tcBorders>
              <w:bottom w:val="single" w:sz="12" w:space="0" w:color="auto"/>
            </w:tcBorders>
            <w:vAlign w:val="center"/>
          </w:tcPr>
          <w:p w14:paraId="1EDC5356" w14:textId="47D2EAF7" w:rsidR="00520F36" w:rsidRPr="00E27354" w:rsidRDefault="001D12D8" w:rsidP="00F44A82">
            <w:pPr>
              <w:spacing w:before="0"/>
              <w:rPr>
                <w:b/>
                <w:bCs/>
                <w:szCs w:val="24"/>
              </w:rPr>
            </w:pPr>
            <w:r w:rsidRPr="00E27354">
              <w:rPr>
                <w:b/>
                <w:bCs/>
                <w:szCs w:val="24"/>
              </w:rPr>
              <w:t xml:space="preserve">Quatrième </w:t>
            </w:r>
            <w:r w:rsidR="00D837AA" w:rsidRPr="00E27354">
              <w:rPr>
                <w:b/>
                <w:bCs/>
                <w:szCs w:val="24"/>
              </w:rPr>
              <w:t>réunion –</w:t>
            </w:r>
            <w:r w:rsidR="00F06D00" w:rsidRPr="00E27354">
              <w:rPr>
                <w:b/>
                <w:bCs/>
                <w:szCs w:val="24"/>
              </w:rPr>
              <w:t xml:space="preserve"> </w:t>
            </w:r>
            <w:r w:rsidR="00F02BC8" w:rsidRPr="00E27354">
              <w:rPr>
                <w:b/>
                <w:bCs/>
                <w:szCs w:val="24"/>
              </w:rPr>
              <w:t>Réunion virtuelle</w:t>
            </w:r>
            <w:r w:rsidR="00D837AA" w:rsidRPr="00E27354">
              <w:rPr>
                <w:b/>
                <w:bCs/>
                <w:szCs w:val="24"/>
              </w:rPr>
              <w:t xml:space="preserve">, </w:t>
            </w:r>
            <w:r w:rsidRPr="00E27354">
              <w:rPr>
                <w:b/>
                <w:bCs/>
                <w:szCs w:val="24"/>
              </w:rPr>
              <w:t>3-4 février</w:t>
            </w:r>
            <w:r w:rsidR="00D837AA" w:rsidRPr="00E27354">
              <w:rPr>
                <w:b/>
                <w:bCs/>
                <w:szCs w:val="24"/>
              </w:rPr>
              <w:t xml:space="preserve"> 20</w:t>
            </w:r>
            <w:r w:rsidR="00D06D06" w:rsidRPr="00E27354">
              <w:rPr>
                <w:b/>
                <w:bCs/>
                <w:szCs w:val="24"/>
              </w:rPr>
              <w:t>2</w:t>
            </w:r>
            <w:r w:rsidRPr="00E27354">
              <w:rPr>
                <w:b/>
                <w:bCs/>
                <w:szCs w:val="24"/>
              </w:rPr>
              <w:t>1</w:t>
            </w:r>
          </w:p>
        </w:tc>
        <w:tc>
          <w:tcPr>
            <w:tcW w:w="2977" w:type="dxa"/>
            <w:tcBorders>
              <w:bottom w:val="single" w:sz="12" w:space="0" w:color="auto"/>
            </w:tcBorders>
          </w:tcPr>
          <w:p w14:paraId="0575BF85" w14:textId="77777777" w:rsidR="00520F36" w:rsidRPr="00E27354" w:rsidRDefault="00520F36" w:rsidP="00F44A82">
            <w:pPr>
              <w:spacing w:before="0"/>
              <w:rPr>
                <w:b/>
                <w:bCs/>
              </w:rPr>
            </w:pPr>
          </w:p>
        </w:tc>
      </w:tr>
      <w:tr w:rsidR="00520F36" w:rsidRPr="00E27354" w14:paraId="66DD6AC5" w14:textId="77777777" w:rsidTr="00FD0441">
        <w:trPr>
          <w:cantSplit/>
          <w:trHeight w:val="20"/>
        </w:trPr>
        <w:tc>
          <w:tcPr>
            <w:tcW w:w="6379" w:type="dxa"/>
            <w:tcBorders>
              <w:top w:val="single" w:sz="12" w:space="0" w:color="auto"/>
            </w:tcBorders>
          </w:tcPr>
          <w:p w14:paraId="073947B9" w14:textId="77777777" w:rsidR="00520F36" w:rsidRPr="00E27354" w:rsidRDefault="00520F36" w:rsidP="00F44A82">
            <w:pPr>
              <w:spacing w:before="0"/>
              <w:rPr>
                <w:smallCaps/>
                <w:sz w:val="22"/>
              </w:rPr>
            </w:pPr>
          </w:p>
        </w:tc>
        <w:tc>
          <w:tcPr>
            <w:tcW w:w="2977" w:type="dxa"/>
            <w:tcBorders>
              <w:top w:val="single" w:sz="12" w:space="0" w:color="auto"/>
            </w:tcBorders>
          </w:tcPr>
          <w:p w14:paraId="3B813510" w14:textId="77777777" w:rsidR="00520F36" w:rsidRPr="00E27354" w:rsidRDefault="00520F36" w:rsidP="00F44A82">
            <w:pPr>
              <w:spacing w:before="0"/>
              <w:rPr>
                <w:b/>
                <w:bCs/>
              </w:rPr>
            </w:pPr>
          </w:p>
        </w:tc>
      </w:tr>
      <w:tr w:rsidR="00520F36" w:rsidRPr="00E27354" w14:paraId="7F9CBBA7" w14:textId="77777777" w:rsidTr="00FD0441">
        <w:trPr>
          <w:cantSplit/>
          <w:trHeight w:val="20"/>
        </w:trPr>
        <w:tc>
          <w:tcPr>
            <w:tcW w:w="6379" w:type="dxa"/>
            <w:vMerge w:val="restart"/>
          </w:tcPr>
          <w:p w14:paraId="5755FE1A" w14:textId="77777777" w:rsidR="00520F36" w:rsidRPr="00E27354" w:rsidRDefault="00520F36" w:rsidP="00F44A82">
            <w:pPr>
              <w:spacing w:before="0"/>
              <w:rPr>
                <w:rFonts w:cs="Times"/>
                <w:b/>
                <w:bCs/>
                <w:szCs w:val="24"/>
              </w:rPr>
            </w:pPr>
            <w:bookmarkStart w:id="1" w:name="dnum" w:colFirst="1" w:colLast="1"/>
            <w:bookmarkStart w:id="2" w:name="dmeeting" w:colFirst="0" w:colLast="0"/>
          </w:p>
        </w:tc>
        <w:tc>
          <w:tcPr>
            <w:tcW w:w="2977" w:type="dxa"/>
          </w:tcPr>
          <w:p w14:paraId="190212ED" w14:textId="79D2AC32" w:rsidR="00520F36" w:rsidRPr="00E27354" w:rsidRDefault="00520F36" w:rsidP="00F44A82">
            <w:pPr>
              <w:spacing w:before="0"/>
              <w:rPr>
                <w:b/>
                <w:bCs/>
              </w:rPr>
            </w:pPr>
            <w:r w:rsidRPr="00E27354">
              <w:rPr>
                <w:b/>
                <w:bCs/>
              </w:rPr>
              <w:t xml:space="preserve">Document </w:t>
            </w:r>
            <w:r w:rsidR="00D837AA" w:rsidRPr="00E27354">
              <w:rPr>
                <w:b/>
              </w:rPr>
              <w:t>EG-ITRs</w:t>
            </w:r>
            <w:r w:rsidR="00F06D00" w:rsidRPr="00E27354">
              <w:rPr>
                <w:b/>
              </w:rPr>
              <w:t>-</w:t>
            </w:r>
            <w:r w:rsidR="001D12D8" w:rsidRPr="00E27354">
              <w:rPr>
                <w:b/>
              </w:rPr>
              <w:t>4</w:t>
            </w:r>
            <w:r w:rsidR="00D837AA" w:rsidRPr="00E27354">
              <w:rPr>
                <w:b/>
              </w:rPr>
              <w:t>/</w:t>
            </w:r>
            <w:r w:rsidR="002B4C59" w:rsidRPr="00E27354">
              <w:rPr>
                <w:b/>
              </w:rPr>
              <w:t>8</w:t>
            </w:r>
            <w:r w:rsidR="00D837AA" w:rsidRPr="00E27354">
              <w:rPr>
                <w:b/>
              </w:rPr>
              <w:t>-F</w:t>
            </w:r>
          </w:p>
        </w:tc>
      </w:tr>
      <w:tr w:rsidR="00520F36" w:rsidRPr="00E27354" w14:paraId="3716FB53" w14:textId="77777777" w:rsidTr="00FD0441">
        <w:trPr>
          <w:cantSplit/>
          <w:trHeight w:val="20"/>
        </w:trPr>
        <w:tc>
          <w:tcPr>
            <w:tcW w:w="6379" w:type="dxa"/>
            <w:vMerge/>
          </w:tcPr>
          <w:p w14:paraId="3AD7E04B" w14:textId="77777777" w:rsidR="00520F36" w:rsidRPr="00E27354" w:rsidRDefault="00520F36" w:rsidP="00F44A82">
            <w:pPr>
              <w:shd w:val="solid" w:color="FFFFFF" w:fill="FFFFFF"/>
              <w:spacing w:before="180"/>
              <w:rPr>
                <w:smallCaps/>
              </w:rPr>
            </w:pPr>
            <w:bookmarkStart w:id="3" w:name="ddate" w:colFirst="1" w:colLast="1"/>
            <w:bookmarkEnd w:id="1"/>
            <w:bookmarkEnd w:id="2"/>
          </w:p>
        </w:tc>
        <w:tc>
          <w:tcPr>
            <w:tcW w:w="2977" w:type="dxa"/>
          </w:tcPr>
          <w:p w14:paraId="06C46302" w14:textId="789435E1" w:rsidR="00520F36" w:rsidRPr="00E27354" w:rsidRDefault="001D12D8" w:rsidP="00F44A82">
            <w:pPr>
              <w:spacing w:before="0"/>
              <w:rPr>
                <w:b/>
                <w:bCs/>
              </w:rPr>
            </w:pPr>
            <w:r w:rsidRPr="00E27354">
              <w:rPr>
                <w:b/>
                <w:bCs/>
              </w:rPr>
              <w:t xml:space="preserve">7 </w:t>
            </w:r>
            <w:r w:rsidR="00AD60C0" w:rsidRPr="00E27354">
              <w:rPr>
                <w:b/>
                <w:bCs/>
              </w:rPr>
              <w:t xml:space="preserve">avril </w:t>
            </w:r>
            <w:r w:rsidR="00520F36" w:rsidRPr="00E27354">
              <w:rPr>
                <w:b/>
                <w:bCs/>
              </w:rPr>
              <w:t>20</w:t>
            </w:r>
            <w:r w:rsidR="00D06D06" w:rsidRPr="00E27354">
              <w:rPr>
                <w:b/>
                <w:bCs/>
              </w:rPr>
              <w:t>2</w:t>
            </w:r>
            <w:r w:rsidR="00AD60C0" w:rsidRPr="00E27354">
              <w:rPr>
                <w:b/>
                <w:bCs/>
              </w:rPr>
              <w:t>1</w:t>
            </w:r>
          </w:p>
        </w:tc>
      </w:tr>
      <w:tr w:rsidR="00520F36" w:rsidRPr="00E27354" w14:paraId="4001EAC5" w14:textId="77777777" w:rsidTr="00FD0441">
        <w:trPr>
          <w:cantSplit/>
          <w:trHeight w:val="20"/>
        </w:trPr>
        <w:tc>
          <w:tcPr>
            <w:tcW w:w="6379" w:type="dxa"/>
            <w:vMerge/>
          </w:tcPr>
          <w:p w14:paraId="07B47074" w14:textId="77777777" w:rsidR="00520F36" w:rsidRPr="00E27354" w:rsidRDefault="00520F36" w:rsidP="00F44A82">
            <w:pPr>
              <w:shd w:val="solid" w:color="FFFFFF" w:fill="FFFFFF"/>
              <w:spacing w:before="180"/>
              <w:rPr>
                <w:smallCaps/>
              </w:rPr>
            </w:pPr>
            <w:bookmarkStart w:id="4" w:name="dorlang" w:colFirst="1" w:colLast="1"/>
            <w:bookmarkEnd w:id="3"/>
          </w:p>
        </w:tc>
        <w:tc>
          <w:tcPr>
            <w:tcW w:w="2977" w:type="dxa"/>
          </w:tcPr>
          <w:p w14:paraId="304AC8B1" w14:textId="77777777" w:rsidR="00520F36" w:rsidRPr="00E27354" w:rsidRDefault="00520F36" w:rsidP="00F44A82">
            <w:pPr>
              <w:spacing w:before="0"/>
              <w:rPr>
                <w:b/>
                <w:bCs/>
              </w:rPr>
            </w:pPr>
            <w:proofErr w:type="gramStart"/>
            <w:r w:rsidRPr="00E27354">
              <w:rPr>
                <w:b/>
                <w:bCs/>
              </w:rPr>
              <w:t>Original:</w:t>
            </w:r>
            <w:proofErr w:type="gramEnd"/>
            <w:r w:rsidRPr="00E27354">
              <w:rPr>
                <w:b/>
                <w:bCs/>
              </w:rPr>
              <w:t xml:space="preserve"> anglais</w:t>
            </w:r>
          </w:p>
        </w:tc>
      </w:tr>
      <w:tr w:rsidR="00520F36" w:rsidRPr="00E27354" w14:paraId="02796001" w14:textId="77777777" w:rsidTr="00FD0441">
        <w:trPr>
          <w:cantSplit/>
        </w:trPr>
        <w:tc>
          <w:tcPr>
            <w:tcW w:w="9356" w:type="dxa"/>
            <w:gridSpan w:val="2"/>
          </w:tcPr>
          <w:p w14:paraId="24985173" w14:textId="32AA69B5" w:rsidR="00520F36" w:rsidRPr="00E27354" w:rsidRDefault="00DA34E6" w:rsidP="00F44A82">
            <w:pPr>
              <w:pStyle w:val="Source"/>
              <w:rPr>
                <w:rFonts w:eastAsia="Calibri"/>
              </w:rPr>
            </w:pPr>
            <w:bookmarkStart w:id="5" w:name="dsource" w:colFirst="0" w:colLast="0"/>
            <w:bookmarkEnd w:id="4"/>
            <w:r w:rsidRPr="00E27354">
              <w:rPr>
                <w:rFonts w:eastAsia="Calibri"/>
              </w:rPr>
              <w:t>Rapport du Président</w:t>
            </w:r>
          </w:p>
        </w:tc>
      </w:tr>
      <w:tr w:rsidR="00DA34E6" w:rsidRPr="00E27354" w14:paraId="64AEF87C" w14:textId="77777777" w:rsidTr="00FD0441">
        <w:trPr>
          <w:cantSplit/>
        </w:trPr>
        <w:tc>
          <w:tcPr>
            <w:tcW w:w="9356" w:type="dxa"/>
            <w:gridSpan w:val="2"/>
          </w:tcPr>
          <w:p w14:paraId="0B4156E3" w14:textId="47854C51" w:rsidR="00DA34E6" w:rsidRPr="00E27354" w:rsidRDefault="00FD0441" w:rsidP="00F44A82">
            <w:pPr>
              <w:pStyle w:val="Title1"/>
              <w:rPr>
                <w:rFonts w:eastAsia="Calibri" w:cs="Calibri"/>
                <w:b/>
                <w:color w:val="000000"/>
                <w:position w:val="6"/>
                <w:szCs w:val="28"/>
              </w:rPr>
            </w:pPr>
            <w:bookmarkStart w:id="6" w:name="_Hlk70491886"/>
            <w:r w:rsidRPr="00E27354">
              <w:rPr>
                <w:rFonts w:eastAsia="Calibri"/>
              </w:rPr>
              <w:t>rapport de la quatrième réunion virtuelle du Groupe d</w:t>
            </w:r>
            <w:r w:rsidR="00622BAC" w:rsidRPr="00E27354">
              <w:rPr>
                <w:rFonts w:eastAsia="Calibri"/>
              </w:rPr>
              <w:t>'</w:t>
            </w:r>
            <w:r w:rsidRPr="00E27354">
              <w:rPr>
                <w:rFonts w:eastAsia="Calibri"/>
              </w:rPr>
              <w:t xml:space="preserve">experts </w:t>
            </w:r>
            <w:r w:rsidRPr="00E27354">
              <w:rPr>
                <w:rFonts w:eastAsia="Calibri"/>
              </w:rPr>
              <w:br/>
              <w:t xml:space="preserve">sur le règlement des télécommunications </w:t>
            </w:r>
            <w:r w:rsidRPr="00E27354">
              <w:rPr>
                <w:rFonts w:eastAsia="Calibri"/>
              </w:rPr>
              <w:br/>
              <w:t>internationales (eg-RTI)</w:t>
            </w:r>
            <w:bookmarkEnd w:id="6"/>
          </w:p>
        </w:tc>
      </w:tr>
    </w:tbl>
    <w:bookmarkEnd w:id="5"/>
    <w:p w14:paraId="7D8C2F82" w14:textId="1EC1492D" w:rsidR="00FD0441" w:rsidRPr="00E27354" w:rsidRDefault="00DA34E6" w:rsidP="00F44A82">
      <w:pPr>
        <w:pStyle w:val="Heading1"/>
      </w:pPr>
      <w:r w:rsidRPr="00E27354">
        <w:t>1</w:t>
      </w:r>
      <w:r w:rsidRPr="00E27354">
        <w:tab/>
      </w:r>
      <w:r w:rsidR="00FD0441" w:rsidRPr="00E27354">
        <w:t>Remarques liminaires</w:t>
      </w:r>
    </w:p>
    <w:p w14:paraId="5AF03AB6" w14:textId="7D4D7855" w:rsidR="00DA34E6" w:rsidRPr="00E27354" w:rsidRDefault="00DA34E6" w:rsidP="00F44A82">
      <w:pPr>
        <w:rPr>
          <w:rFonts w:cs="Calibri"/>
          <w:b/>
        </w:rPr>
      </w:pPr>
      <w:r w:rsidRPr="00E27354">
        <w:rPr>
          <w:b/>
        </w:rPr>
        <w:t>1.1</w:t>
      </w:r>
      <w:r w:rsidRPr="00E27354">
        <w:tab/>
      </w:r>
      <w:r w:rsidR="00A26064" w:rsidRPr="00E27354">
        <w:t>Le Secrétaire général, M. Houlin Zhao, a souhaité la bienvenue aux participants à la quatrième réunion du Groupe EG-RTI.</w:t>
      </w:r>
      <w:r w:rsidR="00220608" w:rsidRPr="00E27354">
        <w:t xml:space="preserve"> Il a salué le travail considérable accompli par les membres de l</w:t>
      </w:r>
      <w:r w:rsidR="00622BAC" w:rsidRPr="00E27354">
        <w:t>'</w:t>
      </w:r>
      <w:r w:rsidR="00220608" w:rsidRPr="00E27354">
        <w:t>UIT et les entreprises pour faire face à l</w:t>
      </w:r>
      <w:r w:rsidR="00622BAC" w:rsidRPr="00E27354">
        <w:t>'</w:t>
      </w:r>
      <w:r w:rsidR="00220608" w:rsidRPr="00E27354">
        <w:t>explosion sans précédent du trafic et de la demande tout en continuant à garantir la résilience des réseaux mondiaux de communication pendant la pandémie de COVID-19. Il a en outre fai</w:t>
      </w:r>
      <w:r w:rsidR="00D82F40" w:rsidRPr="00E27354">
        <w:t>t</w:t>
      </w:r>
      <w:r w:rsidR="00220608" w:rsidRPr="00E27354">
        <w:t xml:space="preserve"> observer que le RTI reste à ce jour le seul traité international établissant des principes généraux visant à faciliter la fourniture des télécommunications internationales et</w:t>
      </w:r>
      <w:r w:rsidR="00D82F40" w:rsidRPr="00E27354">
        <w:t xml:space="preserve"> que de ce fait, c</w:t>
      </w:r>
      <w:r w:rsidR="00622BAC" w:rsidRPr="00E27354">
        <w:t>'</w:t>
      </w:r>
      <w:r w:rsidR="00D82F40" w:rsidRPr="00E27354">
        <w:t>est grâce à lui qu</w:t>
      </w:r>
      <w:r w:rsidR="00622BAC" w:rsidRPr="00E27354">
        <w:t>'</w:t>
      </w:r>
      <w:r w:rsidR="00817DF0" w:rsidRPr="00E27354">
        <w:t>une grande partie de l</w:t>
      </w:r>
      <w:r w:rsidR="00622BAC" w:rsidRPr="00E27354">
        <w:t>'</w:t>
      </w:r>
      <w:r w:rsidR="00817DF0" w:rsidRPr="00E27354">
        <w:t>infrastructure qui permet aux économies et aux sociétés de continuer à fonctionner en ces temps difficiles</w:t>
      </w:r>
      <w:r w:rsidR="00D82F40" w:rsidRPr="00E27354">
        <w:t xml:space="preserve"> a été mise en place</w:t>
      </w:r>
      <w:r w:rsidR="00817DF0" w:rsidRPr="00E27354">
        <w:t xml:space="preserve">. </w:t>
      </w:r>
      <w:r w:rsidR="00D12722" w:rsidRPr="00E27354">
        <w:t xml:space="preserve">Le Secrétaire général </w:t>
      </w:r>
      <w:r w:rsidR="00D82F40" w:rsidRPr="00E27354">
        <w:t>a</w:t>
      </w:r>
      <w:r w:rsidR="00D12722" w:rsidRPr="00E27354">
        <w:t xml:space="preserve"> souligné qu</w:t>
      </w:r>
      <w:r w:rsidR="00622BAC" w:rsidRPr="00E27354">
        <w:t>'</w:t>
      </w:r>
      <w:r w:rsidR="00D12722" w:rsidRPr="00E27354">
        <w:t>alors que l</w:t>
      </w:r>
      <w:r w:rsidR="00622BAC" w:rsidRPr="00E27354">
        <w:t>'</w:t>
      </w:r>
      <w:r w:rsidR="00D12722" w:rsidRPr="00E27354">
        <w:t>interconnexion entre l</w:t>
      </w:r>
      <w:r w:rsidR="00622BAC" w:rsidRPr="00E27354">
        <w:t>'</w:t>
      </w:r>
      <w:r w:rsidR="00D12722" w:rsidRPr="00E27354">
        <w:t>infrastructure essentielle et les réseaux en ligne est de plus en plus grande, il est essentiel d</w:t>
      </w:r>
      <w:r w:rsidR="00622BAC" w:rsidRPr="00E27354">
        <w:t>'</w:t>
      </w:r>
      <w:r w:rsidR="00D12722" w:rsidRPr="00E27354">
        <w:t>encourager un environnement favorable capable d</w:t>
      </w:r>
      <w:r w:rsidR="00622BAC" w:rsidRPr="00E27354">
        <w:t>'</w:t>
      </w:r>
      <w:r w:rsidR="00D12722" w:rsidRPr="00E27354">
        <w:t>évoluer aussi vite que l</w:t>
      </w:r>
      <w:r w:rsidR="00622BAC" w:rsidRPr="00E27354">
        <w:t>'</w:t>
      </w:r>
      <w:r w:rsidR="00D12722" w:rsidRPr="00E27354">
        <w:t>écosystème des TIC.</w:t>
      </w:r>
      <w:r w:rsidRPr="00E27354">
        <w:t xml:space="preserve"> </w:t>
      </w:r>
      <w:r w:rsidR="00FD0441" w:rsidRPr="00E27354">
        <w:rPr>
          <w:rFonts w:asciiTheme="minorHAnsi" w:hAnsiTheme="minorHAnsi" w:cstheme="minorHAnsi"/>
          <w:szCs w:val="24"/>
        </w:rPr>
        <w:t>Il a souhaité au Groupe plein succès dans l</w:t>
      </w:r>
      <w:r w:rsidR="00622BAC" w:rsidRPr="00E27354">
        <w:rPr>
          <w:rFonts w:asciiTheme="minorHAnsi" w:hAnsiTheme="minorHAnsi" w:cstheme="minorHAnsi"/>
          <w:szCs w:val="24"/>
        </w:rPr>
        <w:t>'</w:t>
      </w:r>
      <w:r w:rsidR="00FD0441" w:rsidRPr="00E27354">
        <w:rPr>
          <w:rFonts w:asciiTheme="minorHAnsi" w:hAnsiTheme="minorHAnsi" w:cstheme="minorHAnsi"/>
          <w:szCs w:val="24"/>
        </w:rPr>
        <w:t xml:space="preserve">examen de chacune des dispositions du RTI </w:t>
      </w:r>
      <w:r w:rsidR="00D12722" w:rsidRPr="00E27354">
        <w:rPr>
          <w:rFonts w:asciiTheme="minorHAnsi" w:hAnsiTheme="minorHAnsi" w:cstheme="minorHAnsi"/>
          <w:szCs w:val="24"/>
        </w:rPr>
        <w:t xml:space="preserve">de 2012 </w:t>
      </w:r>
      <w:r w:rsidR="00FD0441" w:rsidRPr="00E27354">
        <w:rPr>
          <w:rFonts w:asciiTheme="minorHAnsi" w:hAnsiTheme="minorHAnsi" w:cstheme="minorHAnsi"/>
          <w:szCs w:val="24"/>
        </w:rPr>
        <w:t>et a redit que le Secrétariat se tenait à la disposition du Groupe pour l</w:t>
      </w:r>
      <w:r w:rsidR="00622BAC" w:rsidRPr="00E27354">
        <w:rPr>
          <w:rFonts w:asciiTheme="minorHAnsi" w:hAnsiTheme="minorHAnsi" w:cstheme="minorHAnsi"/>
          <w:szCs w:val="24"/>
        </w:rPr>
        <w:t>'</w:t>
      </w:r>
      <w:r w:rsidR="00FD0441" w:rsidRPr="00E27354">
        <w:rPr>
          <w:rFonts w:asciiTheme="minorHAnsi" w:hAnsiTheme="minorHAnsi" w:cstheme="minorHAnsi"/>
          <w:szCs w:val="24"/>
        </w:rPr>
        <w:t xml:space="preserve">appuyer </w:t>
      </w:r>
      <w:r w:rsidR="00D12722" w:rsidRPr="00E27354">
        <w:rPr>
          <w:rFonts w:asciiTheme="minorHAnsi" w:hAnsiTheme="minorHAnsi" w:cstheme="minorHAnsi"/>
          <w:szCs w:val="24"/>
        </w:rPr>
        <w:t>et l</w:t>
      </w:r>
      <w:r w:rsidR="00622BAC" w:rsidRPr="00E27354">
        <w:rPr>
          <w:rFonts w:asciiTheme="minorHAnsi" w:hAnsiTheme="minorHAnsi" w:cstheme="minorHAnsi"/>
          <w:szCs w:val="24"/>
        </w:rPr>
        <w:t>'</w:t>
      </w:r>
      <w:r w:rsidR="00D12722" w:rsidRPr="00E27354">
        <w:rPr>
          <w:rFonts w:asciiTheme="minorHAnsi" w:hAnsiTheme="minorHAnsi" w:cstheme="minorHAnsi"/>
          <w:szCs w:val="24"/>
        </w:rPr>
        <w:t xml:space="preserve">assister </w:t>
      </w:r>
      <w:r w:rsidR="00FD0441" w:rsidRPr="00E27354">
        <w:rPr>
          <w:rFonts w:asciiTheme="minorHAnsi" w:hAnsiTheme="minorHAnsi" w:cstheme="minorHAnsi"/>
          <w:szCs w:val="24"/>
        </w:rPr>
        <w:t>dans ses travaux, si nécessaire.</w:t>
      </w:r>
    </w:p>
    <w:p w14:paraId="5E068E43" w14:textId="71D74BA7" w:rsidR="00966142" w:rsidRPr="00E27354" w:rsidRDefault="00DA34E6" w:rsidP="00F44A82">
      <w:pPr>
        <w:rPr>
          <w:rFonts w:asciiTheme="minorHAnsi" w:hAnsiTheme="minorHAnsi"/>
          <w:szCs w:val="24"/>
        </w:rPr>
      </w:pPr>
      <w:r w:rsidRPr="00E27354">
        <w:rPr>
          <w:rFonts w:asciiTheme="minorHAnsi" w:hAnsiTheme="minorHAnsi"/>
          <w:b/>
          <w:szCs w:val="24"/>
        </w:rPr>
        <w:t>1.2</w:t>
      </w:r>
      <w:r w:rsidRPr="00E27354">
        <w:rPr>
          <w:rFonts w:asciiTheme="minorHAnsi" w:hAnsiTheme="minorHAnsi"/>
          <w:szCs w:val="24"/>
        </w:rPr>
        <w:tab/>
      </w:r>
      <w:r w:rsidR="00966142" w:rsidRPr="00E27354">
        <w:rPr>
          <w:rFonts w:asciiTheme="minorHAnsi" w:hAnsiTheme="minorHAnsi"/>
          <w:szCs w:val="24"/>
        </w:rPr>
        <w:t xml:space="preserve">Dans son allocution liminaire, le Directeur du Bureau de la normalisation des télécommunications (TSB), M. Chaesub Lee, a insisté sur le fait que les TIC ne sont plus une </w:t>
      </w:r>
      <w:r w:rsidR="00D82F40" w:rsidRPr="00E27354">
        <w:rPr>
          <w:rFonts w:asciiTheme="minorHAnsi" w:hAnsiTheme="minorHAnsi"/>
          <w:szCs w:val="24"/>
        </w:rPr>
        <w:t>possibilité</w:t>
      </w:r>
      <w:r w:rsidR="00966142" w:rsidRPr="00E27354">
        <w:rPr>
          <w:rFonts w:asciiTheme="minorHAnsi" w:hAnsiTheme="minorHAnsi"/>
          <w:szCs w:val="24"/>
        </w:rPr>
        <w:t xml:space="preserve"> mais un</w:t>
      </w:r>
      <w:r w:rsidR="00D82F40" w:rsidRPr="00E27354">
        <w:rPr>
          <w:rFonts w:asciiTheme="minorHAnsi" w:hAnsiTheme="minorHAnsi"/>
          <w:szCs w:val="24"/>
        </w:rPr>
        <w:t xml:space="preserve"> aspect</w:t>
      </w:r>
      <w:r w:rsidR="00966142" w:rsidRPr="00E27354">
        <w:rPr>
          <w:rFonts w:asciiTheme="minorHAnsi" w:hAnsiTheme="minorHAnsi"/>
          <w:szCs w:val="24"/>
        </w:rPr>
        <w:t xml:space="preserve"> essentiel</w:t>
      </w:r>
      <w:r w:rsidR="00D82F40" w:rsidRPr="00E27354">
        <w:rPr>
          <w:rFonts w:asciiTheme="minorHAnsi" w:hAnsiTheme="minorHAnsi"/>
          <w:szCs w:val="24"/>
        </w:rPr>
        <w:t xml:space="preserve"> dans</w:t>
      </w:r>
      <w:r w:rsidR="00966142" w:rsidRPr="00E27354">
        <w:rPr>
          <w:rFonts w:asciiTheme="minorHAnsi" w:hAnsiTheme="minorHAnsi"/>
          <w:szCs w:val="24"/>
        </w:rPr>
        <w:t xml:space="preserve"> la vie des gens, non seulement en ce qui concerne la connectivité, mais aussi </w:t>
      </w:r>
      <w:r w:rsidR="00D82F40" w:rsidRPr="00E27354">
        <w:rPr>
          <w:rFonts w:asciiTheme="minorHAnsi" w:hAnsiTheme="minorHAnsi"/>
          <w:szCs w:val="24"/>
        </w:rPr>
        <w:t>le contrôle</w:t>
      </w:r>
      <w:r w:rsidR="00966142" w:rsidRPr="00E27354">
        <w:rPr>
          <w:rFonts w:asciiTheme="minorHAnsi" w:hAnsiTheme="minorHAnsi"/>
          <w:szCs w:val="24"/>
        </w:rPr>
        <w:t xml:space="preserve"> de nombreux services, en particulier </w:t>
      </w:r>
      <w:r w:rsidR="00D82F40" w:rsidRPr="00E27354">
        <w:rPr>
          <w:rFonts w:asciiTheme="minorHAnsi" w:hAnsiTheme="minorHAnsi"/>
          <w:szCs w:val="24"/>
        </w:rPr>
        <w:t>l</w:t>
      </w:r>
      <w:r w:rsidR="00966142" w:rsidRPr="00E27354">
        <w:rPr>
          <w:rFonts w:asciiTheme="minorHAnsi" w:hAnsiTheme="minorHAnsi"/>
          <w:szCs w:val="24"/>
        </w:rPr>
        <w:t xml:space="preserve">es services </w:t>
      </w:r>
      <w:r w:rsidR="00D82F40" w:rsidRPr="00E27354">
        <w:rPr>
          <w:rFonts w:asciiTheme="minorHAnsi" w:hAnsiTheme="minorHAnsi"/>
          <w:szCs w:val="24"/>
        </w:rPr>
        <w:t>vocaux</w:t>
      </w:r>
      <w:r w:rsidR="00966142" w:rsidRPr="00E27354">
        <w:rPr>
          <w:rFonts w:asciiTheme="minorHAnsi" w:hAnsiTheme="minorHAnsi"/>
          <w:szCs w:val="24"/>
        </w:rPr>
        <w:t xml:space="preserve"> et </w:t>
      </w:r>
      <w:proofErr w:type="gramStart"/>
      <w:r w:rsidR="00966142" w:rsidRPr="00E27354">
        <w:rPr>
          <w:rFonts w:asciiTheme="minorHAnsi" w:hAnsiTheme="minorHAnsi"/>
          <w:szCs w:val="24"/>
        </w:rPr>
        <w:t>vidéos</w:t>
      </w:r>
      <w:proofErr w:type="gramEnd"/>
      <w:r w:rsidR="00966142" w:rsidRPr="00E27354">
        <w:rPr>
          <w:rFonts w:asciiTheme="minorHAnsi" w:hAnsiTheme="minorHAnsi"/>
          <w:szCs w:val="24"/>
        </w:rPr>
        <w:t xml:space="preserve">. Après avoir fait remarquer que les discussions du Groupe ont un lien avec les Recommandations </w:t>
      </w:r>
      <w:r w:rsidR="009F5402">
        <w:rPr>
          <w:rFonts w:asciiTheme="minorHAnsi" w:hAnsiTheme="minorHAnsi"/>
          <w:szCs w:val="24"/>
        </w:rPr>
        <w:t>UIT-T</w:t>
      </w:r>
      <w:r w:rsidR="00966142" w:rsidRPr="00E27354">
        <w:rPr>
          <w:rFonts w:asciiTheme="minorHAnsi" w:hAnsiTheme="minorHAnsi"/>
          <w:szCs w:val="24"/>
        </w:rPr>
        <w:t>, il a indiqué que le TSB appuie les travaux du groupe et a présenté aux membres des informations mises à jour sur les travaux pertinents examinés lors des dernières réunions des Commissions d</w:t>
      </w:r>
      <w:r w:rsidR="00622BAC" w:rsidRPr="00E27354">
        <w:rPr>
          <w:rFonts w:asciiTheme="minorHAnsi" w:hAnsiTheme="minorHAnsi"/>
          <w:szCs w:val="24"/>
        </w:rPr>
        <w:t>'</w:t>
      </w:r>
      <w:r w:rsidR="00966142" w:rsidRPr="00E27354">
        <w:rPr>
          <w:rFonts w:asciiTheme="minorHAnsi" w:hAnsiTheme="minorHAnsi"/>
          <w:szCs w:val="24"/>
        </w:rPr>
        <w:t>études.</w:t>
      </w:r>
    </w:p>
    <w:p w14:paraId="61A7833D" w14:textId="2C8AED4C" w:rsidR="00966142" w:rsidRPr="00E27354" w:rsidRDefault="00DA34E6" w:rsidP="00F44A82">
      <w:pPr>
        <w:rPr>
          <w:rFonts w:asciiTheme="minorHAnsi" w:hAnsiTheme="minorHAnsi"/>
          <w:szCs w:val="24"/>
        </w:rPr>
      </w:pPr>
      <w:bookmarkStart w:id="7" w:name="_Hlk63964279"/>
      <w:r w:rsidRPr="00E27354">
        <w:rPr>
          <w:rFonts w:asciiTheme="minorHAnsi" w:hAnsiTheme="minorHAnsi"/>
          <w:b/>
          <w:szCs w:val="24"/>
        </w:rPr>
        <w:t>1.3</w:t>
      </w:r>
      <w:r w:rsidRPr="00E27354">
        <w:rPr>
          <w:rFonts w:asciiTheme="minorHAnsi" w:hAnsiTheme="minorHAnsi"/>
          <w:szCs w:val="24"/>
        </w:rPr>
        <w:tab/>
      </w:r>
      <w:r w:rsidR="00966142" w:rsidRPr="00E27354">
        <w:rPr>
          <w:rFonts w:asciiTheme="minorHAnsi" w:hAnsiTheme="minorHAnsi"/>
          <w:szCs w:val="24"/>
        </w:rPr>
        <w:t>La Directrice du Bureau de développement des télécommunications</w:t>
      </w:r>
      <w:r w:rsidRPr="00E27354">
        <w:rPr>
          <w:rFonts w:asciiTheme="minorHAnsi" w:hAnsiTheme="minorHAnsi"/>
          <w:szCs w:val="24"/>
        </w:rPr>
        <w:t xml:space="preserve"> (BDT), </w:t>
      </w:r>
      <w:r w:rsidR="00966142" w:rsidRPr="00E27354">
        <w:rPr>
          <w:rFonts w:asciiTheme="minorHAnsi" w:hAnsiTheme="minorHAnsi"/>
          <w:szCs w:val="24"/>
        </w:rPr>
        <w:t>Mme</w:t>
      </w:r>
      <w:r w:rsidR="009F5402">
        <w:rPr>
          <w:rFonts w:asciiTheme="minorHAnsi" w:hAnsiTheme="minorHAnsi"/>
          <w:szCs w:val="24"/>
        </w:rPr>
        <w:t> </w:t>
      </w:r>
      <w:r w:rsidRPr="00E27354">
        <w:rPr>
          <w:rFonts w:asciiTheme="minorHAnsi" w:hAnsiTheme="minorHAnsi"/>
          <w:szCs w:val="24"/>
        </w:rPr>
        <w:t>Doreen</w:t>
      </w:r>
      <w:r w:rsidR="009F5402">
        <w:rPr>
          <w:rFonts w:asciiTheme="minorHAnsi" w:hAnsiTheme="minorHAnsi"/>
          <w:szCs w:val="24"/>
        </w:rPr>
        <w:t> </w:t>
      </w:r>
      <w:r w:rsidRPr="00E27354">
        <w:rPr>
          <w:rFonts w:asciiTheme="minorHAnsi" w:hAnsiTheme="minorHAnsi"/>
          <w:szCs w:val="24"/>
        </w:rPr>
        <w:t>Bogdan-Martin</w:t>
      </w:r>
      <w:r w:rsidR="00966142" w:rsidRPr="00E27354">
        <w:rPr>
          <w:rFonts w:asciiTheme="minorHAnsi" w:hAnsiTheme="minorHAnsi"/>
          <w:szCs w:val="24"/>
        </w:rPr>
        <w:t>, a assuré le Groupe du soutien indéfectible du BDT et a salué l</w:t>
      </w:r>
      <w:r w:rsidR="00622BAC" w:rsidRPr="00E27354">
        <w:rPr>
          <w:rFonts w:asciiTheme="minorHAnsi" w:hAnsiTheme="minorHAnsi"/>
          <w:szCs w:val="24"/>
        </w:rPr>
        <w:t>'</w:t>
      </w:r>
      <w:r w:rsidR="00966142" w:rsidRPr="00E27354">
        <w:rPr>
          <w:rFonts w:asciiTheme="minorHAnsi" w:hAnsiTheme="minorHAnsi"/>
          <w:szCs w:val="24"/>
        </w:rPr>
        <w:t>accent mis sur la connectivité dans les discussions du Groupe, notant que le déploiement ininterrompu de la connectivité</w:t>
      </w:r>
      <w:r w:rsidR="00D82F40" w:rsidRPr="00E27354">
        <w:rPr>
          <w:rFonts w:asciiTheme="minorHAnsi" w:hAnsiTheme="minorHAnsi"/>
          <w:szCs w:val="24"/>
        </w:rPr>
        <w:t>,</w:t>
      </w:r>
      <w:r w:rsidR="00966142" w:rsidRPr="00E27354">
        <w:rPr>
          <w:rFonts w:asciiTheme="minorHAnsi" w:hAnsiTheme="minorHAnsi"/>
          <w:szCs w:val="24"/>
        </w:rPr>
        <w:t xml:space="preserve"> qui permet la progression des réseaux et technologies de demain susceptibles d</w:t>
      </w:r>
      <w:r w:rsidR="00622BAC" w:rsidRPr="00E27354">
        <w:rPr>
          <w:rFonts w:asciiTheme="minorHAnsi" w:hAnsiTheme="minorHAnsi"/>
          <w:szCs w:val="24"/>
        </w:rPr>
        <w:t>'</w:t>
      </w:r>
      <w:r w:rsidR="00966142" w:rsidRPr="00E27354">
        <w:rPr>
          <w:rFonts w:asciiTheme="minorHAnsi" w:hAnsiTheme="minorHAnsi"/>
          <w:szCs w:val="24"/>
        </w:rPr>
        <w:t xml:space="preserve">aider les pays </w:t>
      </w:r>
      <w:r w:rsidR="00D82F40" w:rsidRPr="00E27354">
        <w:rPr>
          <w:rFonts w:asciiTheme="minorHAnsi" w:hAnsiTheme="minorHAnsi"/>
          <w:szCs w:val="24"/>
        </w:rPr>
        <w:t>à</w:t>
      </w:r>
      <w:r w:rsidR="00966142" w:rsidRPr="00E27354">
        <w:rPr>
          <w:rFonts w:asciiTheme="minorHAnsi" w:hAnsiTheme="minorHAnsi"/>
          <w:szCs w:val="24"/>
        </w:rPr>
        <w:t xml:space="preserve"> sauter des étapes dans le domaine du développement</w:t>
      </w:r>
      <w:r w:rsidR="00D82F40" w:rsidRPr="00E27354">
        <w:rPr>
          <w:rFonts w:asciiTheme="minorHAnsi" w:hAnsiTheme="minorHAnsi"/>
          <w:szCs w:val="24"/>
        </w:rPr>
        <w:t>,</w:t>
      </w:r>
      <w:r w:rsidR="00966142" w:rsidRPr="00E27354">
        <w:rPr>
          <w:rFonts w:asciiTheme="minorHAnsi" w:hAnsiTheme="minorHAnsi"/>
          <w:szCs w:val="24"/>
        </w:rPr>
        <w:t xml:space="preserve"> est crucial pour atteindre les ODD et instaurer une période durable de croissance fondée sur les technologies dans le monde entier, </w:t>
      </w:r>
      <w:r w:rsidR="00DF0BD8" w:rsidRPr="00E27354">
        <w:rPr>
          <w:rFonts w:asciiTheme="minorHAnsi" w:hAnsiTheme="minorHAnsi"/>
          <w:szCs w:val="24"/>
        </w:rPr>
        <w:t>ce qui sera le thème de la CMDT-</w:t>
      </w:r>
      <w:r w:rsidR="00966142" w:rsidRPr="00E27354">
        <w:rPr>
          <w:rFonts w:asciiTheme="minorHAnsi" w:hAnsiTheme="minorHAnsi"/>
          <w:szCs w:val="24"/>
        </w:rPr>
        <w:t>21.</w:t>
      </w:r>
    </w:p>
    <w:bookmarkEnd w:id="7"/>
    <w:p w14:paraId="3D8D566F" w14:textId="26025DC1" w:rsidR="00FD0441" w:rsidRPr="00E27354" w:rsidRDefault="00DA34E6" w:rsidP="00F44A82">
      <w:pPr>
        <w:rPr>
          <w:rFonts w:asciiTheme="minorHAnsi" w:hAnsiTheme="minorHAnsi"/>
          <w:szCs w:val="24"/>
        </w:rPr>
      </w:pPr>
      <w:r w:rsidRPr="00E27354">
        <w:rPr>
          <w:rFonts w:asciiTheme="minorHAnsi" w:hAnsiTheme="minorHAnsi"/>
          <w:b/>
          <w:szCs w:val="24"/>
        </w:rPr>
        <w:lastRenderedPageBreak/>
        <w:t>1.4</w:t>
      </w:r>
      <w:r w:rsidRPr="00E27354">
        <w:rPr>
          <w:rFonts w:asciiTheme="minorHAnsi" w:hAnsiTheme="minorHAnsi"/>
          <w:szCs w:val="24"/>
        </w:rPr>
        <w:tab/>
      </w:r>
      <w:r w:rsidR="00FD0441" w:rsidRPr="00E27354">
        <w:rPr>
          <w:rFonts w:asciiTheme="minorHAnsi" w:hAnsiTheme="minorHAnsi"/>
          <w:szCs w:val="24"/>
        </w:rPr>
        <w:t>Le Président a remercié les fonctionnaires élus de leur présence et de leur appui à la réunion. En raison du format virtuel et de la durée réduite de la réunion, il a souligné la nécessité, pour le Groupe, de collaborer de manière concrète et efficace, dans un esprit de consensus pour mener à bien la partie du programme de travail définie pour la quatrième réunion. Il a également remercié son Vice-Président pour son soutien et sa détermination à faire progresser les travaux du Groupe.</w:t>
      </w:r>
    </w:p>
    <w:p w14:paraId="6B4F7917" w14:textId="6794FC6A" w:rsidR="00DA34E6" w:rsidRPr="00E27354" w:rsidRDefault="00DA34E6" w:rsidP="00F44A82">
      <w:pPr>
        <w:pStyle w:val="Heading1"/>
      </w:pPr>
      <w:r w:rsidRPr="00E27354">
        <w:t>2</w:t>
      </w:r>
      <w:r w:rsidRPr="00E27354">
        <w:tab/>
      </w:r>
      <w:r w:rsidR="00FD0441" w:rsidRPr="00E27354">
        <w:t>Adoption de l</w:t>
      </w:r>
      <w:r w:rsidR="00622BAC" w:rsidRPr="00E27354">
        <w:t>'</w:t>
      </w:r>
      <w:r w:rsidR="00FD0441" w:rsidRPr="00E27354">
        <w:t>ordre du jour</w:t>
      </w:r>
    </w:p>
    <w:p w14:paraId="4AD6F347" w14:textId="1B61A169" w:rsidR="00822A38" w:rsidRPr="00E27354" w:rsidRDefault="00DA34E6" w:rsidP="00F44A82">
      <w:pPr>
        <w:rPr>
          <w:rFonts w:asciiTheme="minorHAnsi" w:hAnsiTheme="minorHAnsi"/>
          <w:szCs w:val="24"/>
        </w:rPr>
      </w:pPr>
      <w:r w:rsidRPr="00E27354">
        <w:rPr>
          <w:rFonts w:asciiTheme="minorHAnsi" w:hAnsiTheme="minorHAnsi"/>
          <w:b/>
          <w:szCs w:val="24"/>
        </w:rPr>
        <w:t>2.1</w:t>
      </w:r>
      <w:r w:rsidRPr="00E27354">
        <w:rPr>
          <w:rFonts w:asciiTheme="minorHAnsi" w:hAnsiTheme="minorHAnsi"/>
          <w:szCs w:val="24"/>
        </w:rPr>
        <w:tab/>
      </w:r>
      <w:r w:rsidR="00822A38" w:rsidRPr="00E27354">
        <w:rPr>
          <w:rFonts w:asciiTheme="minorHAnsi" w:hAnsiTheme="minorHAnsi"/>
          <w:szCs w:val="24"/>
        </w:rPr>
        <w:t>Le Président a présenté l</w:t>
      </w:r>
      <w:r w:rsidR="00622BAC" w:rsidRPr="00E27354">
        <w:rPr>
          <w:rFonts w:asciiTheme="minorHAnsi" w:hAnsiTheme="minorHAnsi"/>
          <w:szCs w:val="24"/>
        </w:rPr>
        <w:t>'</w:t>
      </w:r>
      <w:r w:rsidR="00822A38" w:rsidRPr="00E27354">
        <w:rPr>
          <w:rFonts w:asciiTheme="minorHAnsi" w:hAnsiTheme="minorHAnsi"/>
          <w:szCs w:val="24"/>
        </w:rPr>
        <w:t>ordre du jour (</w:t>
      </w:r>
      <w:hyperlink r:id="rId9" w:history="1">
        <w:r w:rsidR="00822A38" w:rsidRPr="00E27354">
          <w:rPr>
            <w:rStyle w:val="Hyperlink"/>
            <w:rFonts w:asciiTheme="minorHAnsi" w:hAnsiTheme="minorHAnsi"/>
            <w:szCs w:val="24"/>
          </w:rPr>
          <w:t>Document EG-ITRs-4/1(Rév.1)</w:t>
        </w:r>
      </w:hyperlink>
      <w:r w:rsidR="00822A38" w:rsidRPr="00E27354">
        <w:rPr>
          <w:rFonts w:asciiTheme="minorHAnsi" w:hAnsiTheme="minorHAnsi"/>
          <w:szCs w:val="24"/>
        </w:rPr>
        <w:t>). Il a également proposé, afin de gagner du temps et de faire en sorte que toutes les dispositions du Tableau d</w:t>
      </w:r>
      <w:r w:rsidR="00622BAC" w:rsidRPr="00E27354">
        <w:rPr>
          <w:rFonts w:asciiTheme="minorHAnsi" w:hAnsiTheme="minorHAnsi"/>
          <w:szCs w:val="24"/>
        </w:rPr>
        <w:t>'</w:t>
      </w:r>
      <w:r w:rsidR="00822A38" w:rsidRPr="00E27354">
        <w:rPr>
          <w:rFonts w:asciiTheme="minorHAnsi" w:hAnsiTheme="minorHAnsi"/>
          <w:szCs w:val="24"/>
        </w:rPr>
        <w:t>examen confiées à l</w:t>
      </w:r>
      <w:r w:rsidR="00622BAC" w:rsidRPr="00E27354">
        <w:rPr>
          <w:rFonts w:asciiTheme="minorHAnsi" w:hAnsiTheme="minorHAnsi"/>
          <w:szCs w:val="24"/>
        </w:rPr>
        <w:t>'</w:t>
      </w:r>
      <w:r w:rsidR="00822A38" w:rsidRPr="00E27354">
        <w:rPr>
          <w:rFonts w:asciiTheme="minorHAnsi" w:hAnsiTheme="minorHAnsi"/>
          <w:szCs w:val="24"/>
        </w:rPr>
        <w:t xml:space="preserve">attention de la </w:t>
      </w:r>
      <w:r w:rsidR="00966142" w:rsidRPr="00E27354">
        <w:rPr>
          <w:rFonts w:asciiTheme="minorHAnsi" w:hAnsiTheme="minorHAnsi"/>
          <w:szCs w:val="24"/>
        </w:rPr>
        <w:t>quatrième</w:t>
      </w:r>
      <w:r w:rsidR="00822A38" w:rsidRPr="00E27354">
        <w:rPr>
          <w:rFonts w:asciiTheme="minorHAnsi" w:hAnsiTheme="minorHAnsi"/>
          <w:szCs w:val="24"/>
        </w:rPr>
        <w:t xml:space="preserve"> réunion du Groupe puissent être examinées, de procéder d</w:t>
      </w:r>
      <w:r w:rsidR="00622BAC" w:rsidRPr="00E27354">
        <w:rPr>
          <w:rFonts w:asciiTheme="minorHAnsi" w:hAnsiTheme="minorHAnsi"/>
          <w:szCs w:val="24"/>
        </w:rPr>
        <w:t>'</w:t>
      </w:r>
      <w:r w:rsidR="00822A38" w:rsidRPr="00E27354">
        <w:rPr>
          <w:rFonts w:asciiTheme="minorHAnsi" w:hAnsiTheme="minorHAnsi"/>
          <w:szCs w:val="24"/>
        </w:rPr>
        <w:t>abord</w:t>
      </w:r>
      <w:r w:rsidR="00D82F40" w:rsidRPr="00E27354">
        <w:rPr>
          <w:rFonts w:asciiTheme="minorHAnsi" w:hAnsiTheme="minorHAnsi"/>
          <w:szCs w:val="24"/>
        </w:rPr>
        <w:t>,</w:t>
      </w:r>
      <w:r w:rsidR="00903E86" w:rsidRPr="00E27354">
        <w:rPr>
          <w:rFonts w:asciiTheme="minorHAnsi" w:hAnsiTheme="minorHAnsi"/>
          <w:szCs w:val="24"/>
        </w:rPr>
        <w:t xml:space="preserve"> au titre du point 3 de l</w:t>
      </w:r>
      <w:r w:rsidR="00622BAC" w:rsidRPr="00E27354">
        <w:rPr>
          <w:rFonts w:asciiTheme="minorHAnsi" w:hAnsiTheme="minorHAnsi"/>
          <w:szCs w:val="24"/>
        </w:rPr>
        <w:t>'</w:t>
      </w:r>
      <w:r w:rsidR="00903E86" w:rsidRPr="00E27354">
        <w:rPr>
          <w:rFonts w:asciiTheme="minorHAnsi" w:hAnsiTheme="minorHAnsi"/>
          <w:szCs w:val="24"/>
        </w:rPr>
        <w:t>ordre du jour</w:t>
      </w:r>
      <w:r w:rsidR="00D82F40" w:rsidRPr="00E27354">
        <w:rPr>
          <w:rFonts w:asciiTheme="minorHAnsi" w:hAnsiTheme="minorHAnsi"/>
          <w:szCs w:val="24"/>
        </w:rPr>
        <w:t>,</w:t>
      </w:r>
      <w:r w:rsidR="00822A38" w:rsidRPr="00E27354">
        <w:rPr>
          <w:rFonts w:asciiTheme="minorHAnsi" w:hAnsiTheme="minorHAnsi"/>
          <w:szCs w:val="24"/>
        </w:rPr>
        <w:t xml:space="preserve"> à une rapide présentation de toutes les contributions</w:t>
      </w:r>
      <w:r w:rsidR="00903E86" w:rsidRPr="00E27354">
        <w:rPr>
          <w:rFonts w:asciiTheme="minorHAnsi" w:hAnsiTheme="minorHAnsi"/>
          <w:szCs w:val="24"/>
        </w:rPr>
        <w:t xml:space="preserve"> soumises à la réunion</w:t>
      </w:r>
      <w:r w:rsidR="00822A38" w:rsidRPr="00E27354">
        <w:rPr>
          <w:rFonts w:asciiTheme="minorHAnsi" w:hAnsiTheme="minorHAnsi"/>
          <w:szCs w:val="24"/>
        </w:rPr>
        <w:t>, et de poursuivre par une discussion commune qui serait rapportée dans le Tableau d</w:t>
      </w:r>
      <w:r w:rsidR="00622BAC" w:rsidRPr="00E27354">
        <w:rPr>
          <w:rFonts w:asciiTheme="minorHAnsi" w:hAnsiTheme="minorHAnsi"/>
          <w:szCs w:val="24"/>
        </w:rPr>
        <w:t>'</w:t>
      </w:r>
      <w:r w:rsidR="00822A38" w:rsidRPr="00E27354">
        <w:rPr>
          <w:rFonts w:asciiTheme="minorHAnsi" w:hAnsiTheme="minorHAnsi"/>
          <w:szCs w:val="24"/>
        </w:rPr>
        <w:t>examen.</w:t>
      </w:r>
    </w:p>
    <w:p w14:paraId="33CD65DF" w14:textId="3A03D875" w:rsidR="00822A38" w:rsidRPr="00E27354" w:rsidRDefault="00DA34E6" w:rsidP="00F44A82">
      <w:pPr>
        <w:rPr>
          <w:bCs/>
        </w:rPr>
      </w:pPr>
      <w:r w:rsidRPr="00E27354">
        <w:rPr>
          <w:rFonts w:asciiTheme="minorHAnsi" w:hAnsiTheme="minorHAnsi"/>
          <w:b/>
          <w:szCs w:val="24"/>
        </w:rPr>
        <w:t>2.2</w:t>
      </w:r>
      <w:r w:rsidRPr="00E27354">
        <w:rPr>
          <w:rFonts w:asciiTheme="minorHAnsi" w:hAnsiTheme="minorHAnsi"/>
          <w:szCs w:val="24"/>
        </w:rPr>
        <w:tab/>
      </w:r>
      <w:r w:rsidR="00097E41" w:rsidRPr="00E27354">
        <w:t>Le Président a en outre proposé que, conformément à la pratique habituelle,</w:t>
      </w:r>
      <w:r w:rsidR="00822A38" w:rsidRPr="00E27354">
        <w:t xml:space="preserve"> la colonne "Résumé des résultats" du Tableau d</w:t>
      </w:r>
      <w:r w:rsidR="00622BAC" w:rsidRPr="00E27354">
        <w:t>'</w:t>
      </w:r>
      <w:r w:rsidR="00822A38" w:rsidRPr="00E27354">
        <w:t xml:space="preserve">examen </w:t>
      </w:r>
      <w:r w:rsidR="00097E41" w:rsidRPr="00E27354">
        <w:t>soit</w:t>
      </w:r>
      <w:r w:rsidR="00822A38" w:rsidRPr="00E27354">
        <w:t xml:space="preserve"> remplie</w:t>
      </w:r>
      <w:r w:rsidR="00097E41" w:rsidRPr="00E27354">
        <w:t xml:space="preserve"> pendant la réunion</w:t>
      </w:r>
      <w:r w:rsidR="00822A38" w:rsidRPr="00E27354">
        <w:t xml:space="preserve"> comme convenu par les membres, tandis que les deux autres colonnes, respectivement "</w:t>
      </w:r>
      <w:bookmarkStart w:id="8" w:name="lt_pId260"/>
      <w:r w:rsidR="00822A38" w:rsidRPr="00E27354">
        <w:t>Applicabilité pour ce qui est de favoriser la fourniture et le développement des réseaux et des services" et "</w:t>
      </w:r>
      <w:bookmarkStart w:id="9" w:name="lt_pId261"/>
      <w:r w:rsidR="00822A38" w:rsidRPr="00E27354">
        <w:t>Souplesse pour tenir compte des nouvelles tendances et des nouveaux problèmes qui se font jour</w:t>
      </w:r>
      <w:bookmarkEnd w:id="9"/>
      <w:r w:rsidR="00822A38" w:rsidRPr="00E27354">
        <w:t>"</w:t>
      </w:r>
      <w:bookmarkEnd w:id="8"/>
      <w:r w:rsidR="00822A38" w:rsidRPr="00E27354">
        <w:t>, seraient complétées après la réunion par les Vice-Présidents, en concertation avec les membres de leurs régions, sur la base des contributions reçues et des discussions tenues à la réunion. Le Tableau d</w:t>
      </w:r>
      <w:r w:rsidR="00622BAC" w:rsidRPr="00E27354">
        <w:t>'</w:t>
      </w:r>
      <w:r w:rsidR="00822A38" w:rsidRPr="00E27354">
        <w:t xml:space="preserve">examen complet </w:t>
      </w:r>
      <w:r w:rsidR="00822A38" w:rsidRPr="00E27354">
        <w:rPr>
          <w:bCs/>
        </w:rPr>
        <w:t>(Articles 9 à 14/Appendice 2) est annexé au présent rapport de réunion.</w:t>
      </w:r>
    </w:p>
    <w:p w14:paraId="37A07A3A" w14:textId="037CB006" w:rsidR="00822A38" w:rsidRPr="00E27354" w:rsidRDefault="00822A38" w:rsidP="00F44A82">
      <w:pPr>
        <w:jc w:val="both"/>
        <w:rPr>
          <w:rFonts w:asciiTheme="minorHAnsi" w:hAnsiTheme="minorHAnsi"/>
          <w:szCs w:val="24"/>
        </w:rPr>
      </w:pPr>
      <w:r w:rsidRPr="00E27354">
        <w:t>L</w:t>
      </w:r>
      <w:r w:rsidR="00622BAC" w:rsidRPr="00E27354">
        <w:t>'</w:t>
      </w:r>
      <w:r w:rsidRPr="00E27354">
        <w:t>ordre du jour a été adopté.</w:t>
      </w:r>
    </w:p>
    <w:p w14:paraId="1F1E163F" w14:textId="182DA93A" w:rsidR="00822A38" w:rsidRPr="00E27354" w:rsidRDefault="00822A38" w:rsidP="00F44A82">
      <w:pPr>
        <w:pStyle w:val="Heading1"/>
      </w:pPr>
      <w:r w:rsidRPr="00E27354">
        <w:t>3</w:t>
      </w:r>
      <w:r w:rsidR="00DA34E6" w:rsidRPr="00E27354">
        <w:tab/>
      </w:r>
      <w:r w:rsidRPr="00E27354">
        <w:t>Examen des contributions reçues sur les dispositions suivantes du RTI (sur la base du programme de travail approuvé à la première réunion du Groupe EG</w:t>
      </w:r>
      <w:r w:rsidRPr="00E27354">
        <w:noBreakHyphen/>
        <w:t>RTI)</w:t>
      </w:r>
    </w:p>
    <w:p w14:paraId="303B3834" w14:textId="58AA7A2E" w:rsidR="00DA34E6" w:rsidRPr="00E27354" w:rsidRDefault="00DA34E6" w:rsidP="00F44A82">
      <w:pPr>
        <w:pStyle w:val="Heading2"/>
      </w:pPr>
      <w:r w:rsidRPr="00E27354">
        <w:t>3.1</w:t>
      </w:r>
      <w:r w:rsidRPr="00E27354">
        <w:tab/>
      </w:r>
      <w:proofErr w:type="gramStart"/>
      <w:r w:rsidRPr="00E27354">
        <w:t>Contributions:</w:t>
      </w:r>
      <w:proofErr w:type="gramEnd"/>
    </w:p>
    <w:p w14:paraId="6AE7E773" w14:textId="79EEDF8D" w:rsidR="00DA34E6" w:rsidRPr="00E27354" w:rsidRDefault="00DA34E6" w:rsidP="00F44A82">
      <w:pPr>
        <w:spacing w:after="120"/>
        <w:rPr>
          <w:rFonts w:asciiTheme="minorHAnsi" w:hAnsiTheme="minorHAnsi" w:cs="Calibri"/>
          <w:b/>
          <w:szCs w:val="24"/>
        </w:rPr>
      </w:pPr>
      <w:r w:rsidRPr="00E27354">
        <w:rPr>
          <w:rFonts w:asciiTheme="minorHAnsi" w:hAnsiTheme="minorHAnsi"/>
          <w:b/>
          <w:szCs w:val="24"/>
        </w:rPr>
        <w:t>3.1.1</w:t>
      </w:r>
      <w:r w:rsidRPr="00E27354">
        <w:rPr>
          <w:rFonts w:asciiTheme="minorHAnsi" w:hAnsiTheme="minorHAnsi"/>
          <w:b/>
          <w:szCs w:val="24"/>
        </w:rPr>
        <w:tab/>
      </w:r>
      <w:hyperlink r:id="rId10" w:history="1">
        <w:r w:rsidRPr="00E27354">
          <w:rPr>
            <w:rStyle w:val="Hyperlink"/>
            <w:rFonts w:asciiTheme="minorHAnsi" w:hAnsiTheme="minorHAnsi"/>
            <w:b/>
            <w:szCs w:val="24"/>
          </w:rPr>
          <w:t>Contribution EG-ITRs-4/2</w:t>
        </w:r>
      </w:hyperlink>
      <w:r w:rsidRPr="00E27354">
        <w:rPr>
          <w:rFonts w:asciiTheme="minorHAnsi" w:hAnsiTheme="minorHAnsi"/>
          <w:b/>
          <w:szCs w:val="24"/>
        </w:rPr>
        <w:t xml:space="preserve"> </w:t>
      </w:r>
      <w:r w:rsidR="00822A38" w:rsidRPr="00E27354">
        <w:rPr>
          <w:rFonts w:asciiTheme="minorHAnsi" w:hAnsiTheme="minorHAnsi"/>
          <w:b/>
          <w:szCs w:val="24"/>
        </w:rPr>
        <w:t>de la Fédération de Russie</w:t>
      </w:r>
      <w:r w:rsidRPr="00E27354">
        <w:rPr>
          <w:rFonts w:asciiTheme="minorHAnsi" w:hAnsiTheme="minorHAnsi"/>
          <w:b/>
          <w:szCs w:val="24"/>
        </w:rPr>
        <w:t xml:space="preserve"> </w:t>
      </w:r>
      <w:r w:rsidR="00822A38" w:rsidRPr="00E27354">
        <w:rPr>
          <w:rFonts w:asciiTheme="minorHAnsi" w:hAnsiTheme="minorHAnsi"/>
          <w:b/>
          <w:szCs w:val="24"/>
        </w:rPr>
        <w:t>–</w:t>
      </w:r>
      <w:r w:rsidRPr="00E27354">
        <w:rPr>
          <w:rFonts w:asciiTheme="minorHAnsi" w:hAnsiTheme="minorHAnsi"/>
          <w:b/>
          <w:szCs w:val="24"/>
        </w:rPr>
        <w:t xml:space="preserve"> </w:t>
      </w:r>
      <w:r w:rsidR="00822A38" w:rsidRPr="00E27354">
        <w:rPr>
          <w:rFonts w:asciiTheme="minorHAnsi" w:hAnsiTheme="minorHAnsi"/>
          <w:b/>
          <w:bCs/>
          <w:szCs w:val="24"/>
        </w:rPr>
        <w:t>Examen disposition par disposition des parties du Règlement des télécommunications internationales à la quatrième réunion du Groupe </w:t>
      </w:r>
      <w:r w:rsidR="00822A38" w:rsidRPr="00E27354">
        <w:rPr>
          <w:rFonts w:asciiTheme="minorHAnsi" w:hAnsiTheme="minorHAnsi"/>
          <w:b/>
          <w:bCs/>
          <w:caps/>
          <w:szCs w:val="24"/>
        </w:rPr>
        <w:t>eg</w:t>
      </w:r>
      <w:r w:rsidR="00822A38" w:rsidRPr="00E27354">
        <w:rPr>
          <w:rFonts w:asciiTheme="minorHAnsi" w:hAnsiTheme="minorHAnsi"/>
          <w:b/>
          <w:bCs/>
          <w:caps/>
          <w:szCs w:val="24"/>
        </w:rPr>
        <w:noBreakHyphen/>
        <w:t>rti</w:t>
      </w:r>
      <w:r w:rsidR="00822A38" w:rsidRPr="00E27354">
        <w:rPr>
          <w:rFonts w:asciiTheme="minorHAnsi" w:hAnsiTheme="minorHAnsi"/>
          <w:b/>
          <w:bCs/>
          <w:szCs w:val="24"/>
        </w:rPr>
        <w:t xml:space="preserve"> conformément au programme de travail adopté à la première réunion du groupe</w:t>
      </w:r>
    </w:p>
    <w:p w14:paraId="5DA70855" w14:textId="654F07F7" w:rsidR="00DA34E6" w:rsidRPr="00E27354" w:rsidRDefault="00097E41" w:rsidP="00F44A82">
      <w:pPr>
        <w:rPr>
          <w:rFonts w:cs="Calibri"/>
          <w:b/>
        </w:rPr>
      </w:pPr>
      <w:r w:rsidRPr="00E27354">
        <w:t>La Fédération de Russie considère elle aussi que le RTI en tant que traité international est important et utile pour la régulation des télécommunications.</w:t>
      </w:r>
      <w:r w:rsidR="00DA34E6" w:rsidRPr="00E27354">
        <w:t xml:space="preserve"> </w:t>
      </w:r>
      <w:r w:rsidR="00822A38" w:rsidRPr="00E27354">
        <w:t>La position de la Fédération de Russie en ce qui concerne les dispositions du RTI qui seront examinées à la quatrième réunion du Groupe EG-RTI est présentée dans le Tableau 1 ci-après.</w:t>
      </w:r>
    </w:p>
    <w:p w14:paraId="4F87EC92" w14:textId="4FA4438D" w:rsidR="004112C4" w:rsidRPr="00E27354" w:rsidRDefault="004112C4" w:rsidP="00F44A82">
      <w:r w:rsidRPr="00E27354">
        <w:t>Dans le cadre du processus visant à améliorer encore le RTI, il serait utile de faire figurer dans le texte du Règlement des termes ou des dispositions concernant différents aspects de la réglementation internationale qui contribueront à accélérer le développement, la mise en œuvre et l</w:t>
      </w:r>
      <w:r w:rsidR="00622BAC" w:rsidRPr="00E27354">
        <w:t>'</w:t>
      </w:r>
      <w:r w:rsidRPr="00E27354">
        <w:t>utilisation des télécommunications/TIC, en particulier dans les pays en développement. Il est impératif que les dispositions du RTI contribuent à la réduction de la fracture numérique, à la transformation numérique, à la protection des données personnelles et de la vie privée, à l</w:t>
      </w:r>
      <w:r w:rsidR="00622BAC" w:rsidRPr="00E27354">
        <w:t>'</w:t>
      </w:r>
      <w:r w:rsidRPr="00E27354">
        <w:t>utilisation des télécommunications/TIC dans les situations d</w:t>
      </w:r>
      <w:r w:rsidR="00622BAC" w:rsidRPr="00E27354">
        <w:t>'</w:t>
      </w:r>
      <w:r w:rsidRPr="00E27354">
        <w:t xml:space="preserve">urgence, y compris les pandémies, et </w:t>
      </w:r>
      <w:r w:rsidRPr="00E27354">
        <w:lastRenderedPageBreak/>
        <w:t>à la réalisation des ODD. Le RTI devrait faciliter la fourniture de services universels, la réduction des coûts de l</w:t>
      </w:r>
      <w:r w:rsidR="00622BAC" w:rsidRPr="00E27354">
        <w:t>'</w:t>
      </w:r>
      <w:r w:rsidRPr="00E27354">
        <w:t>itinérance, la limitation des messages de télécommunication non sollicités (y compris le spam) et la mise en œuvre des décisions importantes de la Conférence de plénipotentiaires, de la Conférence mondiale des radiocommunications, de l</w:t>
      </w:r>
      <w:r w:rsidR="00622BAC" w:rsidRPr="00E27354">
        <w:t>'</w:t>
      </w:r>
      <w:r w:rsidRPr="00E27354">
        <w:t>Assemblée des radiocommunications, de l</w:t>
      </w:r>
      <w:r w:rsidR="00622BAC" w:rsidRPr="00E27354">
        <w:t>'</w:t>
      </w:r>
      <w:r w:rsidRPr="00E27354">
        <w:t>Assemblée mondiale de normalisation des télécommunications et de la Conférence mondiale de développement des télécommunications. Un objectif extrêmement important du RTI est d</w:t>
      </w:r>
      <w:r w:rsidR="00622BAC" w:rsidRPr="00E27354">
        <w:t>'</w:t>
      </w:r>
      <w:r w:rsidRPr="00E27354">
        <w:t>instaurer la confiance et la sécurité dans l</w:t>
      </w:r>
      <w:r w:rsidR="00622BAC" w:rsidRPr="00E27354">
        <w:t>'</w:t>
      </w:r>
      <w:r w:rsidRPr="00E27354">
        <w:t>utilisation des télécommunications/TIC au niveau international.</w:t>
      </w:r>
    </w:p>
    <w:p w14:paraId="13A50969" w14:textId="0C42CA06" w:rsidR="00DA34E6" w:rsidRPr="00E27354" w:rsidRDefault="00DA34E6" w:rsidP="00F44A82">
      <w:pPr>
        <w:rPr>
          <w:b/>
          <w:szCs w:val="24"/>
        </w:rPr>
      </w:pPr>
      <w:r w:rsidRPr="00E27354">
        <w:rPr>
          <w:b/>
          <w:szCs w:val="24"/>
        </w:rPr>
        <w:t>3.1.2</w:t>
      </w:r>
      <w:r w:rsidRPr="00E27354">
        <w:rPr>
          <w:b/>
          <w:szCs w:val="24"/>
        </w:rPr>
        <w:tab/>
      </w:r>
      <w:hyperlink r:id="rId11" w:history="1">
        <w:r w:rsidRPr="00E27354">
          <w:rPr>
            <w:rStyle w:val="Hyperlink"/>
            <w:b/>
          </w:rPr>
          <w:t>Contribution EG-ITRs-4/3</w:t>
        </w:r>
      </w:hyperlink>
      <w:r w:rsidRPr="00E27354">
        <w:rPr>
          <w:b/>
          <w:szCs w:val="24"/>
        </w:rPr>
        <w:t xml:space="preserve"> </w:t>
      </w:r>
      <w:r w:rsidR="004112C4" w:rsidRPr="00E27354">
        <w:rPr>
          <w:b/>
          <w:szCs w:val="24"/>
        </w:rPr>
        <w:t>du Royaume-Uni</w:t>
      </w:r>
      <w:r w:rsidRPr="00E27354">
        <w:rPr>
          <w:b/>
          <w:szCs w:val="24"/>
        </w:rPr>
        <w:t xml:space="preserve"> </w:t>
      </w:r>
      <w:r w:rsidR="004112C4" w:rsidRPr="00E27354">
        <w:rPr>
          <w:b/>
          <w:szCs w:val="24"/>
        </w:rPr>
        <w:t>–</w:t>
      </w:r>
      <w:r w:rsidRPr="00E27354">
        <w:rPr>
          <w:b/>
          <w:szCs w:val="24"/>
        </w:rPr>
        <w:t xml:space="preserve"> </w:t>
      </w:r>
      <w:r w:rsidR="004112C4" w:rsidRPr="00E27354">
        <w:rPr>
          <w:b/>
          <w:szCs w:val="24"/>
        </w:rPr>
        <w:t>Examen de chacune des dispositions du RTI</w:t>
      </w:r>
    </w:p>
    <w:p w14:paraId="794D052B" w14:textId="618B5429" w:rsidR="004112C4" w:rsidRPr="00E27354" w:rsidRDefault="004112C4" w:rsidP="00F44A82">
      <w:bookmarkStart w:id="10" w:name="lt_pId018"/>
      <w:r w:rsidRPr="00E27354">
        <w:t>Le Royaume-Uni a l</w:t>
      </w:r>
      <w:r w:rsidR="00622BAC" w:rsidRPr="00E27354">
        <w:t>'</w:t>
      </w:r>
      <w:r w:rsidRPr="00E27354">
        <w:t>honneur de soumettre la présente contribution à la quatrième réunion du Groupe d</w:t>
      </w:r>
      <w:r w:rsidR="00622BAC" w:rsidRPr="00E27354">
        <w:t>'</w:t>
      </w:r>
      <w:r w:rsidRPr="00E27354">
        <w:t>experts sur le RTI.</w:t>
      </w:r>
      <w:bookmarkEnd w:id="10"/>
      <w:r w:rsidRPr="00E27354">
        <w:t xml:space="preserve"> Nous nous félicitons de l</w:t>
      </w:r>
      <w:r w:rsidR="00622BAC" w:rsidRPr="00E27354">
        <w:t>'</w:t>
      </w:r>
      <w:r w:rsidRPr="00E27354">
        <w:t>invitation qui nous est faite de soumettre des contributions pour appuyer l</w:t>
      </w:r>
      <w:r w:rsidR="00622BAC" w:rsidRPr="00E27354">
        <w:t>'</w:t>
      </w:r>
      <w:r w:rsidRPr="00E27354">
        <w:t xml:space="preserve">examen de chacune des dispositions du </w:t>
      </w:r>
      <w:bookmarkStart w:id="11" w:name="lt_pId019"/>
      <w:r w:rsidRPr="00E27354">
        <w:t>RTI, conformément au mandat du Groupe. La présente contribution porte sur les Articles 9 à 14 du</w:t>
      </w:r>
      <w:bookmarkEnd w:id="11"/>
      <w:r w:rsidRPr="00E27354">
        <w:t xml:space="preserve"> </w:t>
      </w:r>
      <w:bookmarkStart w:id="12" w:name="lt_pId020"/>
      <w:r w:rsidRPr="00E27354">
        <w:t>RTI mais ne traite pas de l</w:t>
      </w:r>
      <w:r w:rsidR="00622BAC" w:rsidRPr="00E27354">
        <w:t>'</w:t>
      </w:r>
      <w:r w:rsidRPr="00E27354">
        <w:t>Appendice 2 afin d</w:t>
      </w:r>
      <w:r w:rsidR="00622BAC" w:rsidRPr="00E27354">
        <w:t>'</w:t>
      </w:r>
      <w:r w:rsidRPr="00E27354">
        <w:t>éviter les répétitions, notre position concernant l</w:t>
      </w:r>
      <w:r w:rsidR="00622BAC" w:rsidRPr="00E27354">
        <w:t>'</w:t>
      </w:r>
      <w:r w:rsidRPr="00E27354">
        <w:t>Appendice 2 étant déjà présentée dans l</w:t>
      </w:r>
      <w:r w:rsidR="00622BAC" w:rsidRPr="00E27354">
        <w:t>'</w:t>
      </w:r>
      <w:r w:rsidRPr="00E27354">
        <w:t>analyse des dispositions du RTI.</w:t>
      </w:r>
      <w:bookmarkEnd w:id="12"/>
      <w:r w:rsidRPr="00E27354">
        <w:t xml:space="preserve"> </w:t>
      </w:r>
      <w:bookmarkStart w:id="13" w:name="lt_pId021"/>
      <w:r w:rsidRPr="00E27354">
        <w:t>Nous attendons avec intérêt les discussions relatives au Tableau d</w:t>
      </w:r>
      <w:r w:rsidR="00622BAC" w:rsidRPr="00E27354">
        <w:t>'</w:t>
      </w:r>
      <w:r w:rsidRPr="00E27354">
        <w:t>examen de ces dispositions à la quatrième réunion du Groupe d</w:t>
      </w:r>
      <w:r w:rsidR="00622BAC" w:rsidRPr="00E27354">
        <w:t>'</w:t>
      </w:r>
      <w:r w:rsidRPr="00E27354">
        <w:t>experts</w:t>
      </w:r>
      <w:bookmarkEnd w:id="13"/>
      <w:r w:rsidRPr="00E27354">
        <w:t>.</w:t>
      </w:r>
    </w:p>
    <w:p w14:paraId="73D126BD" w14:textId="7C1C5C3E" w:rsidR="004112C4" w:rsidRPr="00E27354" w:rsidRDefault="00DA34E6" w:rsidP="00F44A82">
      <w:pPr>
        <w:pStyle w:val="Heading3"/>
      </w:pPr>
      <w:r w:rsidRPr="00E27354">
        <w:rPr>
          <w:rFonts w:asciiTheme="minorHAnsi" w:hAnsiTheme="minorHAnsi"/>
          <w:szCs w:val="24"/>
        </w:rPr>
        <w:t>3.1.3</w:t>
      </w:r>
      <w:r w:rsidRPr="00E27354">
        <w:rPr>
          <w:rFonts w:asciiTheme="minorHAnsi" w:hAnsiTheme="minorHAnsi"/>
          <w:szCs w:val="24"/>
        </w:rPr>
        <w:tab/>
      </w:r>
      <w:hyperlink r:id="rId12" w:history="1">
        <w:r w:rsidR="004112C4" w:rsidRPr="00E27354">
          <w:rPr>
            <w:rStyle w:val="Hyperlink"/>
          </w:rPr>
          <w:t>Contribution EG-ITRs-4/4</w:t>
        </w:r>
      </w:hyperlink>
      <w:r w:rsidR="004112C4" w:rsidRPr="00E27354">
        <w:t xml:space="preserve"> des Pays-Bas – Examen de chacune des dispositions du RTI</w:t>
      </w:r>
    </w:p>
    <w:p w14:paraId="39C81014" w14:textId="6394FBF6" w:rsidR="004112C4" w:rsidRPr="00E27354" w:rsidRDefault="004112C4" w:rsidP="00F44A82">
      <w:r w:rsidRPr="00E27354">
        <w:t>Les Pays-Bas considèrent que, compte tenu du caractère dynamique et concurrentiel du marché des communications et de l</w:t>
      </w:r>
      <w:r w:rsidR="00622BAC" w:rsidRPr="00E27354">
        <w:t>'</w:t>
      </w:r>
      <w:r w:rsidRPr="00E27354">
        <w:t>intégration croissante du secteur des télécommunications/TIC dans l</w:t>
      </w:r>
      <w:r w:rsidR="00622BAC" w:rsidRPr="00E27354">
        <w:t>'</w:t>
      </w:r>
      <w:r w:rsidRPr="00E27354">
        <w:t>économie numérique au sens large, il est difficile de dire si un instrument ayant valeur de traité rigide comme le RTI peut jouer un rôle positif pour promouvoir la croissance et la prospérité futures sur le marché des télécommunications internationales.</w:t>
      </w:r>
    </w:p>
    <w:p w14:paraId="4A6B8802" w14:textId="51E9C99A" w:rsidR="004112C4" w:rsidRPr="00E27354" w:rsidRDefault="004112C4" w:rsidP="00F44A82">
      <w:pPr>
        <w:rPr>
          <w:rFonts w:asciiTheme="minorHAnsi" w:hAnsiTheme="minorHAnsi"/>
          <w:b/>
          <w:szCs w:val="24"/>
        </w:rPr>
      </w:pPr>
      <w:r w:rsidRPr="00E27354">
        <w:t xml:space="preserve">Les Pays-Bas estiment que </w:t>
      </w:r>
      <w:r w:rsidRPr="00E27354">
        <w:rPr>
          <w:spacing w:val="-2"/>
          <w:szCs w:val="24"/>
        </w:rPr>
        <w:t>des dispositions intégrées dans un traité ne permettent pas de tenir compte de l</w:t>
      </w:r>
      <w:r w:rsidR="00622BAC" w:rsidRPr="00E27354">
        <w:rPr>
          <w:spacing w:val="-2"/>
          <w:szCs w:val="24"/>
        </w:rPr>
        <w:t>'</w:t>
      </w:r>
      <w:r w:rsidRPr="00E27354">
        <w:rPr>
          <w:spacing w:val="-2"/>
          <w:szCs w:val="24"/>
        </w:rPr>
        <w:t>évolution de l</w:t>
      </w:r>
      <w:r w:rsidR="00622BAC" w:rsidRPr="00E27354">
        <w:rPr>
          <w:spacing w:val="-2"/>
          <w:szCs w:val="24"/>
        </w:rPr>
        <w:t>'</w:t>
      </w:r>
      <w:r w:rsidRPr="00E27354">
        <w:rPr>
          <w:spacing w:val="-2"/>
          <w:szCs w:val="24"/>
        </w:rPr>
        <w:t xml:space="preserve">environnement commercial, et </w:t>
      </w:r>
      <w:r w:rsidRPr="00E27354">
        <w:t>ne sont pas certains que de nouvelles dispositions ayant valeur de traité aideront les pays à créer un environnement propice aux investissements et à combler le retard en matière de numérique dans les régions concernées.</w:t>
      </w:r>
    </w:p>
    <w:p w14:paraId="658DBE7E" w14:textId="00EEAB72" w:rsidR="00DA34E6" w:rsidRPr="00E27354" w:rsidRDefault="00DA34E6" w:rsidP="00F44A82">
      <w:pPr>
        <w:spacing w:after="120"/>
        <w:rPr>
          <w:rFonts w:asciiTheme="minorHAnsi" w:hAnsiTheme="minorHAnsi" w:cs="Calibri"/>
          <w:b/>
          <w:szCs w:val="24"/>
        </w:rPr>
      </w:pPr>
      <w:r w:rsidRPr="00E27354">
        <w:rPr>
          <w:rFonts w:asciiTheme="minorHAnsi" w:hAnsiTheme="minorHAnsi"/>
          <w:b/>
          <w:szCs w:val="24"/>
        </w:rPr>
        <w:t>3.1.4</w:t>
      </w:r>
      <w:r w:rsidRPr="00E27354">
        <w:rPr>
          <w:rFonts w:asciiTheme="minorHAnsi" w:hAnsiTheme="minorHAnsi"/>
          <w:b/>
          <w:szCs w:val="24"/>
        </w:rPr>
        <w:tab/>
      </w:r>
      <w:hyperlink r:id="rId13" w:history="1">
        <w:r w:rsidRPr="00E27354">
          <w:rPr>
            <w:rStyle w:val="Hyperlink"/>
            <w:rFonts w:asciiTheme="minorHAnsi" w:hAnsiTheme="minorHAnsi"/>
            <w:b/>
            <w:szCs w:val="24"/>
          </w:rPr>
          <w:t>Contribution EG-ITRs-4/5</w:t>
        </w:r>
      </w:hyperlink>
      <w:r w:rsidRPr="00E27354">
        <w:rPr>
          <w:rFonts w:asciiTheme="minorHAnsi" w:hAnsiTheme="minorHAnsi"/>
          <w:b/>
          <w:szCs w:val="24"/>
        </w:rPr>
        <w:t xml:space="preserve"> </w:t>
      </w:r>
      <w:r w:rsidR="0038495D" w:rsidRPr="00E27354">
        <w:rPr>
          <w:rFonts w:asciiTheme="minorHAnsi" w:hAnsiTheme="minorHAnsi"/>
          <w:b/>
          <w:szCs w:val="24"/>
        </w:rPr>
        <w:t>de l</w:t>
      </w:r>
      <w:r w:rsidR="00622BAC" w:rsidRPr="00E27354">
        <w:rPr>
          <w:rFonts w:asciiTheme="minorHAnsi" w:hAnsiTheme="minorHAnsi"/>
          <w:b/>
          <w:szCs w:val="24"/>
        </w:rPr>
        <w:t>'</w:t>
      </w:r>
      <w:r w:rsidR="0038495D" w:rsidRPr="00E27354">
        <w:rPr>
          <w:rFonts w:asciiTheme="minorHAnsi" w:hAnsiTheme="minorHAnsi"/>
          <w:b/>
          <w:szCs w:val="24"/>
        </w:rPr>
        <w:t>Arabie saoudite, de l</w:t>
      </w:r>
      <w:r w:rsidR="00622BAC" w:rsidRPr="00E27354">
        <w:rPr>
          <w:rFonts w:asciiTheme="minorHAnsi" w:hAnsiTheme="minorHAnsi"/>
          <w:b/>
          <w:szCs w:val="24"/>
        </w:rPr>
        <w:t>'</w:t>
      </w:r>
      <w:r w:rsidR="0038495D" w:rsidRPr="00E27354">
        <w:rPr>
          <w:rFonts w:asciiTheme="minorHAnsi" w:hAnsiTheme="minorHAnsi"/>
          <w:b/>
          <w:caps/>
          <w:szCs w:val="24"/>
        </w:rPr>
        <w:t>é</w:t>
      </w:r>
      <w:r w:rsidR="0038495D" w:rsidRPr="00E27354">
        <w:rPr>
          <w:rFonts w:asciiTheme="minorHAnsi" w:hAnsiTheme="minorHAnsi"/>
          <w:b/>
          <w:szCs w:val="24"/>
        </w:rPr>
        <w:t>gypte, de la Jordanie et du Koweït</w:t>
      </w:r>
      <w:r w:rsidR="00387E79">
        <w:rPr>
          <w:rFonts w:asciiTheme="minorHAnsi" w:hAnsiTheme="minorHAnsi"/>
          <w:b/>
          <w:szCs w:val="24"/>
        </w:rPr>
        <w:t> </w:t>
      </w:r>
      <w:r w:rsidR="0038495D" w:rsidRPr="00E27354">
        <w:rPr>
          <w:rFonts w:asciiTheme="minorHAnsi" w:hAnsiTheme="minorHAnsi"/>
          <w:b/>
          <w:szCs w:val="24"/>
        </w:rPr>
        <w:t>–</w:t>
      </w:r>
      <w:r w:rsidR="00AD60C0" w:rsidRPr="00E27354">
        <w:rPr>
          <w:rFonts w:asciiTheme="minorHAnsi" w:hAnsiTheme="minorHAnsi"/>
          <w:b/>
          <w:szCs w:val="24"/>
        </w:rPr>
        <w:t> </w:t>
      </w:r>
      <w:r w:rsidR="0038495D" w:rsidRPr="00E27354">
        <w:rPr>
          <w:b/>
        </w:rPr>
        <w:t>Examen disposition par disposition des Articles 9 à 14 et de l</w:t>
      </w:r>
      <w:r w:rsidR="00622BAC" w:rsidRPr="00E27354">
        <w:rPr>
          <w:b/>
        </w:rPr>
        <w:t>'</w:t>
      </w:r>
      <w:r w:rsidR="0038495D" w:rsidRPr="00E27354">
        <w:rPr>
          <w:b/>
        </w:rPr>
        <w:t>Appendice 2 de la version de 2012 du Règlement des télécommunications internationales</w:t>
      </w:r>
    </w:p>
    <w:p w14:paraId="26A177C6" w14:textId="7F6CD827" w:rsidR="004112C4" w:rsidRPr="00E27354" w:rsidRDefault="004112C4" w:rsidP="00F44A82">
      <w:pPr>
        <w:rPr>
          <w:rFonts w:asciiTheme="minorHAnsi" w:hAnsiTheme="minorHAnsi" w:cs="Calibri"/>
          <w:b/>
          <w:szCs w:val="24"/>
        </w:rPr>
      </w:pPr>
      <w:proofErr w:type="gramStart"/>
      <w:r w:rsidRPr="00E27354">
        <w:t>Suite à</w:t>
      </w:r>
      <w:proofErr w:type="gramEnd"/>
      <w:r w:rsidRPr="00E27354">
        <w:t xml:space="preserve"> la troisième réunion du Groupe d</w:t>
      </w:r>
      <w:r w:rsidR="00622BAC" w:rsidRPr="00E27354">
        <w:t>'</w:t>
      </w:r>
      <w:r w:rsidRPr="00E27354">
        <w:t>experts sur le Règlement des télécommunications internationales (EG-RTI), l</w:t>
      </w:r>
      <w:r w:rsidR="00622BAC" w:rsidRPr="00E27354">
        <w:t>'</w:t>
      </w:r>
      <w:r w:rsidRPr="00E27354">
        <w:t>Arabie saoudite, l</w:t>
      </w:r>
      <w:r w:rsidR="00622BAC" w:rsidRPr="00E27354">
        <w:t>'</w:t>
      </w:r>
      <w:r w:rsidRPr="00E27354">
        <w:t>Égypte, le Koweït et la Jordanie ont l</w:t>
      </w:r>
      <w:r w:rsidR="00622BAC" w:rsidRPr="00E27354">
        <w:t>'</w:t>
      </w:r>
      <w:r w:rsidRPr="00E27354">
        <w:t>honneur de soumettre la présente contribution à la quatrième réunion du Groupe d</w:t>
      </w:r>
      <w:r w:rsidR="00622BAC" w:rsidRPr="00E27354">
        <w:t>'</w:t>
      </w:r>
      <w:r w:rsidRPr="00E27354">
        <w:t>experts sur le RTI. L</w:t>
      </w:r>
      <w:r w:rsidR="00622BAC" w:rsidRPr="00E27354">
        <w:t>'</w:t>
      </w:r>
      <w:r w:rsidRPr="00E27354">
        <w:t>Annexe 1 contient le tableau d</w:t>
      </w:r>
      <w:r w:rsidR="00622BAC" w:rsidRPr="00E27354">
        <w:t>'</w:t>
      </w:r>
      <w:r w:rsidRPr="00E27354">
        <w:t>examen des dispositions des Articles 9 à 14 et de l</w:t>
      </w:r>
      <w:r w:rsidR="00622BAC" w:rsidRPr="00E27354">
        <w:t>'</w:t>
      </w:r>
      <w:r w:rsidRPr="00E27354">
        <w:t>Appendice 2 de la version de 2012 du RTI. Nous nous réjouissons à la perspective de travailler en collaboration avec les autres États Membres pour permettre au Groupe EG-RTI d</w:t>
      </w:r>
      <w:r w:rsidR="00622BAC" w:rsidRPr="00E27354">
        <w:t>'</w:t>
      </w:r>
      <w:r w:rsidRPr="00E27354">
        <w:t>atteindre ses objectifs.</w:t>
      </w:r>
    </w:p>
    <w:p w14:paraId="50A402B2" w14:textId="66B297B9" w:rsidR="00DA34E6" w:rsidRPr="00E27354" w:rsidRDefault="00DA34E6" w:rsidP="00F44A82">
      <w:pPr>
        <w:spacing w:after="120"/>
        <w:rPr>
          <w:rFonts w:asciiTheme="minorHAnsi" w:hAnsiTheme="minorHAnsi"/>
          <w:b/>
          <w:szCs w:val="24"/>
        </w:rPr>
      </w:pPr>
      <w:r w:rsidRPr="00E27354">
        <w:rPr>
          <w:rFonts w:asciiTheme="minorHAnsi" w:hAnsiTheme="minorHAnsi"/>
          <w:b/>
          <w:szCs w:val="24"/>
        </w:rPr>
        <w:t>3.1.5</w:t>
      </w:r>
      <w:r w:rsidRPr="00E27354">
        <w:rPr>
          <w:rFonts w:asciiTheme="minorHAnsi" w:hAnsiTheme="minorHAnsi"/>
          <w:b/>
          <w:szCs w:val="24"/>
        </w:rPr>
        <w:tab/>
      </w:r>
      <w:hyperlink r:id="rId14" w:history="1">
        <w:r w:rsidRPr="00E27354">
          <w:rPr>
            <w:rStyle w:val="Hyperlink"/>
            <w:rFonts w:asciiTheme="minorHAnsi" w:hAnsiTheme="minorHAnsi"/>
            <w:b/>
            <w:szCs w:val="24"/>
          </w:rPr>
          <w:t>Contribution EG-ITRs-4/6</w:t>
        </w:r>
      </w:hyperlink>
      <w:r w:rsidRPr="00E27354">
        <w:rPr>
          <w:rFonts w:asciiTheme="minorHAnsi" w:hAnsiTheme="minorHAnsi"/>
          <w:b/>
          <w:szCs w:val="24"/>
        </w:rPr>
        <w:t xml:space="preserve"> </w:t>
      </w:r>
      <w:r w:rsidR="0038495D" w:rsidRPr="00E27354">
        <w:rPr>
          <w:rFonts w:asciiTheme="minorHAnsi" w:hAnsiTheme="minorHAnsi"/>
          <w:b/>
          <w:szCs w:val="24"/>
        </w:rPr>
        <w:t xml:space="preserve">du Canada et des </w:t>
      </w:r>
      <w:r w:rsidR="0038495D" w:rsidRPr="00E27354">
        <w:rPr>
          <w:rFonts w:asciiTheme="minorHAnsi" w:hAnsiTheme="minorHAnsi"/>
          <w:b/>
          <w:caps/>
          <w:szCs w:val="24"/>
        </w:rPr>
        <w:t>é</w:t>
      </w:r>
      <w:r w:rsidR="0038495D" w:rsidRPr="00E27354">
        <w:rPr>
          <w:rFonts w:asciiTheme="minorHAnsi" w:hAnsiTheme="minorHAnsi"/>
          <w:b/>
          <w:szCs w:val="24"/>
        </w:rPr>
        <w:t>tats-Unis</w:t>
      </w:r>
      <w:r w:rsidRPr="00E27354">
        <w:rPr>
          <w:rFonts w:asciiTheme="minorHAnsi" w:hAnsiTheme="minorHAnsi"/>
          <w:b/>
          <w:szCs w:val="24"/>
        </w:rPr>
        <w:t xml:space="preserve"> </w:t>
      </w:r>
      <w:r w:rsidR="0038495D" w:rsidRPr="00E27354">
        <w:rPr>
          <w:rFonts w:asciiTheme="minorHAnsi" w:hAnsiTheme="minorHAnsi"/>
          <w:b/>
          <w:szCs w:val="24"/>
        </w:rPr>
        <w:t>–</w:t>
      </w:r>
      <w:r w:rsidRPr="00E27354">
        <w:rPr>
          <w:rFonts w:asciiTheme="minorHAnsi" w:hAnsiTheme="minorHAnsi"/>
          <w:b/>
          <w:szCs w:val="24"/>
        </w:rPr>
        <w:t xml:space="preserve"> </w:t>
      </w:r>
      <w:bookmarkStart w:id="14" w:name="lt_pId013"/>
      <w:r w:rsidR="0038495D" w:rsidRPr="00E27354">
        <w:rPr>
          <w:rFonts w:asciiTheme="minorHAnsi" w:hAnsiTheme="minorHAnsi"/>
          <w:b/>
          <w:szCs w:val="24"/>
        </w:rPr>
        <w:t>Points de vue concernant les</w:t>
      </w:r>
      <w:r w:rsidR="00217597" w:rsidRPr="00E27354">
        <w:rPr>
          <w:rFonts w:asciiTheme="minorHAnsi" w:hAnsiTheme="minorHAnsi"/>
          <w:b/>
          <w:szCs w:val="24"/>
        </w:rPr>
        <w:t xml:space="preserve"> </w:t>
      </w:r>
      <w:r w:rsidR="0038495D" w:rsidRPr="00E27354">
        <w:rPr>
          <w:rFonts w:asciiTheme="minorHAnsi" w:hAnsiTheme="minorHAnsi"/>
          <w:b/>
          <w:szCs w:val="24"/>
        </w:rPr>
        <w:t>Articles </w:t>
      </w:r>
      <w:r w:rsidR="00217597" w:rsidRPr="00E27354">
        <w:rPr>
          <w:rFonts w:asciiTheme="minorHAnsi" w:hAnsiTheme="minorHAnsi"/>
          <w:b/>
          <w:szCs w:val="24"/>
        </w:rPr>
        <w:t xml:space="preserve">9 </w:t>
      </w:r>
      <w:r w:rsidR="00387E79">
        <w:rPr>
          <w:rFonts w:asciiTheme="minorHAnsi" w:hAnsiTheme="minorHAnsi"/>
          <w:b/>
          <w:szCs w:val="24"/>
        </w:rPr>
        <w:t>à</w:t>
      </w:r>
      <w:r w:rsidR="00217597" w:rsidRPr="00E27354">
        <w:rPr>
          <w:rFonts w:asciiTheme="minorHAnsi" w:hAnsiTheme="minorHAnsi"/>
          <w:b/>
          <w:szCs w:val="24"/>
        </w:rPr>
        <w:t xml:space="preserve"> 14 et l</w:t>
      </w:r>
      <w:r w:rsidR="00622BAC" w:rsidRPr="00E27354">
        <w:rPr>
          <w:rFonts w:asciiTheme="minorHAnsi" w:hAnsiTheme="minorHAnsi"/>
          <w:b/>
          <w:szCs w:val="24"/>
        </w:rPr>
        <w:t>'</w:t>
      </w:r>
      <w:r w:rsidR="0038495D" w:rsidRPr="00E27354">
        <w:rPr>
          <w:rFonts w:asciiTheme="minorHAnsi" w:hAnsiTheme="minorHAnsi"/>
          <w:b/>
          <w:szCs w:val="24"/>
        </w:rPr>
        <w:t>A</w:t>
      </w:r>
      <w:r w:rsidR="00217597" w:rsidRPr="00E27354">
        <w:rPr>
          <w:rFonts w:asciiTheme="minorHAnsi" w:hAnsiTheme="minorHAnsi"/>
          <w:b/>
          <w:szCs w:val="24"/>
        </w:rPr>
        <w:t>ppendice 2 d</w:t>
      </w:r>
      <w:r w:rsidR="0038495D" w:rsidRPr="00E27354">
        <w:rPr>
          <w:rFonts w:asciiTheme="minorHAnsi" w:hAnsiTheme="minorHAnsi"/>
          <w:b/>
          <w:szCs w:val="24"/>
        </w:rPr>
        <w:t>e la version de 2012 du</w:t>
      </w:r>
      <w:r w:rsidR="00217597" w:rsidRPr="00E27354">
        <w:rPr>
          <w:rFonts w:asciiTheme="minorHAnsi" w:hAnsiTheme="minorHAnsi"/>
          <w:b/>
          <w:szCs w:val="24"/>
        </w:rPr>
        <w:t xml:space="preserve"> </w:t>
      </w:r>
      <w:r w:rsidR="0038495D" w:rsidRPr="00E27354">
        <w:rPr>
          <w:rFonts w:asciiTheme="minorHAnsi" w:hAnsiTheme="minorHAnsi"/>
          <w:b/>
          <w:szCs w:val="24"/>
        </w:rPr>
        <w:t>Rè</w:t>
      </w:r>
      <w:r w:rsidR="00217597" w:rsidRPr="00E27354">
        <w:rPr>
          <w:rFonts w:asciiTheme="minorHAnsi" w:hAnsiTheme="minorHAnsi"/>
          <w:b/>
          <w:szCs w:val="24"/>
        </w:rPr>
        <w:t>glement des t</w:t>
      </w:r>
      <w:r w:rsidR="0038495D" w:rsidRPr="00E27354">
        <w:rPr>
          <w:rFonts w:asciiTheme="minorHAnsi" w:hAnsiTheme="minorHAnsi"/>
          <w:b/>
          <w:szCs w:val="24"/>
        </w:rPr>
        <w:t>élé</w:t>
      </w:r>
      <w:r w:rsidR="00217597" w:rsidRPr="00E27354">
        <w:rPr>
          <w:rFonts w:asciiTheme="minorHAnsi" w:hAnsiTheme="minorHAnsi"/>
          <w:b/>
          <w:szCs w:val="24"/>
        </w:rPr>
        <w:t>communications internationales</w:t>
      </w:r>
      <w:bookmarkEnd w:id="14"/>
    </w:p>
    <w:p w14:paraId="0A4F55A4" w14:textId="12EF0F38" w:rsidR="0038495D" w:rsidRPr="00E27354" w:rsidRDefault="0038495D" w:rsidP="00F44A82">
      <w:r w:rsidRPr="00E27354">
        <w:t>Les Articles 9 à 14 et l</w:t>
      </w:r>
      <w:r w:rsidR="00622BAC" w:rsidRPr="00E27354">
        <w:t>'</w:t>
      </w:r>
      <w:r w:rsidRPr="00E27354">
        <w:t>Appendice 2 du RTI dans sa version de 2012 ne sont ni applicables, ni suffisamment souples compte tenu de l</w:t>
      </w:r>
      <w:r w:rsidR="00622BAC" w:rsidRPr="00E27354">
        <w:t>'</w:t>
      </w:r>
      <w:r w:rsidRPr="00E27354">
        <w:t>environnement actuel des communications. Parallèlement, il est évident qu</w:t>
      </w:r>
      <w:r w:rsidR="00622BAC" w:rsidRPr="00E27354">
        <w:t>'</w:t>
      </w:r>
      <w:r w:rsidRPr="00E27354">
        <w:t>une révision éventuelle de ces dispositions ne permettrait pas de suivre le rythme rapide des progrès technologiques et de l</w:t>
      </w:r>
      <w:r w:rsidR="00622BAC" w:rsidRPr="00E27354">
        <w:t>'</w:t>
      </w:r>
      <w:r w:rsidRPr="00E27354">
        <w:t>évolution du marché.</w:t>
      </w:r>
    </w:p>
    <w:p w14:paraId="3BC1B979" w14:textId="606B2E49" w:rsidR="00DA34E6" w:rsidRPr="00E27354" w:rsidRDefault="00DA34E6" w:rsidP="00F44A82">
      <w:pPr>
        <w:spacing w:after="120"/>
        <w:rPr>
          <w:b/>
        </w:rPr>
      </w:pPr>
      <w:r w:rsidRPr="00E27354">
        <w:rPr>
          <w:rFonts w:asciiTheme="minorHAnsi" w:hAnsiTheme="minorHAnsi"/>
          <w:b/>
          <w:szCs w:val="24"/>
        </w:rPr>
        <w:lastRenderedPageBreak/>
        <w:t>3.1.6</w:t>
      </w:r>
      <w:r w:rsidRPr="00E27354">
        <w:rPr>
          <w:rFonts w:asciiTheme="minorHAnsi" w:hAnsiTheme="minorHAnsi"/>
          <w:b/>
          <w:szCs w:val="24"/>
        </w:rPr>
        <w:tab/>
      </w:r>
      <w:hyperlink r:id="rId15" w:history="1">
        <w:r w:rsidRPr="00E27354">
          <w:rPr>
            <w:rStyle w:val="Hyperlink"/>
            <w:rFonts w:asciiTheme="minorHAnsi" w:hAnsiTheme="minorHAnsi"/>
            <w:b/>
            <w:szCs w:val="24"/>
          </w:rPr>
          <w:t>Contribution EG-ITRs-4/7</w:t>
        </w:r>
      </w:hyperlink>
      <w:r w:rsidRPr="00E27354">
        <w:rPr>
          <w:rFonts w:asciiTheme="minorHAnsi" w:hAnsiTheme="minorHAnsi"/>
          <w:b/>
          <w:szCs w:val="24"/>
        </w:rPr>
        <w:t xml:space="preserve"> </w:t>
      </w:r>
      <w:r w:rsidR="00C44C8B" w:rsidRPr="00E27354">
        <w:rPr>
          <w:rFonts w:asciiTheme="minorHAnsi" w:hAnsiTheme="minorHAnsi"/>
          <w:b/>
          <w:szCs w:val="24"/>
        </w:rPr>
        <w:t>de la République populaire de Chine</w:t>
      </w:r>
      <w:r w:rsidRPr="00E27354">
        <w:rPr>
          <w:rFonts w:asciiTheme="minorHAnsi" w:hAnsiTheme="minorHAnsi"/>
          <w:b/>
          <w:szCs w:val="24"/>
        </w:rPr>
        <w:t xml:space="preserve"> </w:t>
      </w:r>
      <w:r w:rsidR="00C44C8B" w:rsidRPr="00E27354">
        <w:rPr>
          <w:rFonts w:asciiTheme="minorHAnsi" w:hAnsiTheme="minorHAnsi"/>
          <w:b/>
          <w:szCs w:val="24"/>
        </w:rPr>
        <w:t>–</w:t>
      </w:r>
      <w:r w:rsidRPr="00E27354">
        <w:rPr>
          <w:rFonts w:asciiTheme="minorHAnsi" w:hAnsiTheme="minorHAnsi"/>
          <w:b/>
          <w:szCs w:val="24"/>
        </w:rPr>
        <w:t xml:space="preserve"> </w:t>
      </w:r>
      <w:r w:rsidR="00C44C8B" w:rsidRPr="00E27354">
        <w:rPr>
          <w:b/>
        </w:rPr>
        <w:t>Examen disposition par disposition des Articles 9 à 12 et de l</w:t>
      </w:r>
      <w:r w:rsidR="00622BAC" w:rsidRPr="00E27354">
        <w:rPr>
          <w:b/>
        </w:rPr>
        <w:t>'</w:t>
      </w:r>
      <w:r w:rsidR="00C44C8B" w:rsidRPr="00E27354">
        <w:rPr>
          <w:b/>
        </w:rPr>
        <w:t>Appendice 2 de la version de 2012 du Règlement des télécommunications internationales</w:t>
      </w:r>
      <w:r w:rsidR="00C44C8B" w:rsidRPr="00E27354">
        <w:rPr>
          <w:rFonts w:asciiTheme="minorHAnsi" w:hAnsiTheme="minorHAnsi"/>
          <w:b/>
          <w:szCs w:val="24"/>
        </w:rPr>
        <w:t xml:space="preserve"> –</w:t>
      </w:r>
      <w:r w:rsidRPr="00E27354">
        <w:rPr>
          <w:rFonts w:asciiTheme="minorHAnsi" w:hAnsiTheme="minorHAnsi"/>
          <w:b/>
          <w:szCs w:val="24"/>
        </w:rPr>
        <w:t xml:space="preserve"> </w:t>
      </w:r>
      <w:r w:rsidR="00C44C8B" w:rsidRPr="00E27354">
        <w:rPr>
          <w:b/>
        </w:rPr>
        <w:t xml:space="preserve">Examen disposition par disposition des </w:t>
      </w:r>
      <w:r w:rsidR="002960F9" w:rsidRPr="00E27354">
        <w:rPr>
          <w:rFonts w:asciiTheme="minorHAnsi" w:hAnsiTheme="minorHAnsi"/>
          <w:b/>
          <w:szCs w:val="24"/>
        </w:rPr>
        <w:t>Articles 5, 6, 7 et</w:t>
      </w:r>
      <w:r w:rsidR="007711C6">
        <w:rPr>
          <w:rFonts w:asciiTheme="minorHAnsi" w:hAnsiTheme="minorHAnsi"/>
          <w:b/>
          <w:szCs w:val="24"/>
        </w:rPr>
        <w:t> </w:t>
      </w:r>
      <w:r w:rsidRPr="00E27354">
        <w:rPr>
          <w:rFonts w:asciiTheme="minorHAnsi" w:hAnsiTheme="minorHAnsi"/>
          <w:b/>
          <w:szCs w:val="24"/>
        </w:rPr>
        <w:t>8</w:t>
      </w:r>
      <w:r w:rsidR="00845623" w:rsidRPr="00E27354">
        <w:rPr>
          <w:rFonts w:asciiTheme="minorHAnsi" w:hAnsiTheme="minorHAnsi"/>
          <w:b/>
          <w:szCs w:val="24"/>
        </w:rPr>
        <w:t> </w:t>
      </w:r>
      <w:r w:rsidR="00C44C8B" w:rsidRPr="00E27354">
        <w:rPr>
          <w:rFonts w:asciiTheme="minorHAnsi" w:hAnsiTheme="minorHAnsi"/>
          <w:b/>
          <w:szCs w:val="24"/>
        </w:rPr>
        <w:t>et de</w:t>
      </w:r>
      <w:r w:rsidRPr="00E27354">
        <w:rPr>
          <w:rFonts w:asciiTheme="minorHAnsi" w:hAnsiTheme="minorHAnsi"/>
          <w:b/>
          <w:szCs w:val="24"/>
        </w:rPr>
        <w:t xml:space="preserve"> </w:t>
      </w:r>
      <w:r w:rsidR="00C44C8B" w:rsidRPr="00E27354">
        <w:rPr>
          <w:rFonts w:asciiTheme="minorHAnsi" w:hAnsiTheme="minorHAnsi"/>
          <w:b/>
          <w:szCs w:val="24"/>
        </w:rPr>
        <w:t>l</w:t>
      </w:r>
      <w:r w:rsidR="00622BAC" w:rsidRPr="00E27354">
        <w:rPr>
          <w:rFonts w:asciiTheme="minorHAnsi" w:hAnsiTheme="minorHAnsi"/>
          <w:b/>
          <w:szCs w:val="24"/>
        </w:rPr>
        <w:t>'</w:t>
      </w:r>
      <w:r w:rsidR="00C44C8B" w:rsidRPr="00E27354">
        <w:rPr>
          <w:rFonts w:asciiTheme="minorHAnsi" w:hAnsiTheme="minorHAnsi"/>
          <w:b/>
          <w:szCs w:val="24"/>
        </w:rPr>
        <w:t>Appendice</w:t>
      </w:r>
      <w:r w:rsidRPr="00E27354">
        <w:rPr>
          <w:rFonts w:asciiTheme="minorHAnsi" w:hAnsiTheme="minorHAnsi"/>
          <w:b/>
          <w:szCs w:val="24"/>
        </w:rPr>
        <w:t xml:space="preserve"> 1 </w:t>
      </w:r>
      <w:r w:rsidR="00C44C8B" w:rsidRPr="00E27354">
        <w:rPr>
          <w:rFonts w:asciiTheme="minorHAnsi" w:hAnsiTheme="minorHAnsi"/>
          <w:b/>
          <w:szCs w:val="24"/>
        </w:rPr>
        <w:t xml:space="preserve">du </w:t>
      </w:r>
      <w:r w:rsidR="00C44C8B" w:rsidRPr="00E27354">
        <w:rPr>
          <w:b/>
        </w:rPr>
        <w:t>Règlement des télécommunications internationales</w:t>
      </w:r>
    </w:p>
    <w:p w14:paraId="3F1BD57A" w14:textId="1A648D1E" w:rsidR="002960F9" w:rsidRPr="00E27354" w:rsidRDefault="002960F9" w:rsidP="00F44A82">
      <w:pPr>
        <w:rPr>
          <w:rFonts w:asciiTheme="minorHAnsi" w:hAnsiTheme="minorHAnsi"/>
          <w:szCs w:val="24"/>
        </w:rPr>
      </w:pPr>
      <w:r w:rsidRPr="00E27354">
        <w:t>À l</w:t>
      </w:r>
      <w:r w:rsidR="00622BAC" w:rsidRPr="00E27354">
        <w:t>'</w:t>
      </w:r>
      <w:r w:rsidRPr="00E27354">
        <w:t>heure actuelle, la participation aux conférences, la conduite des activités et la réalisation des études à distance au moyen des TIC pourraient devenir la "nouvelle normalité" dans la vie professionnelle et personnelle de tous. En conséquence, la République populaire de Chine propose, lors de l</w:t>
      </w:r>
      <w:r w:rsidR="00622BAC" w:rsidRPr="00E27354">
        <w:t>'</w:t>
      </w:r>
      <w:r w:rsidRPr="00E27354">
        <w:t>examen des Articles 9 à 14 du RTI dans sa version de 2012, qu</w:t>
      </w:r>
      <w:r w:rsidR="00622BAC" w:rsidRPr="00E27354">
        <w:t>'</w:t>
      </w:r>
      <w:r w:rsidRPr="00E27354">
        <w:t>il soit tenu compte des incidences de la pandémie de COVID-19 sur la transformation numérique et que l</w:t>
      </w:r>
      <w:r w:rsidR="00622BAC" w:rsidRPr="00E27354">
        <w:t>'</w:t>
      </w:r>
      <w:r w:rsidRPr="00E27354">
        <w:t>on prévoie de nouvelles dispositions, afin d</w:t>
      </w:r>
      <w:r w:rsidR="00622BAC" w:rsidRPr="00E27354">
        <w:t>'</w:t>
      </w:r>
      <w:r w:rsidRPr="00E27354">
        <w:t>encourager les États Membres à participer aux conférences et aux activités en mode numérique et connecté et de manière intelligente, afin de réaliser des économies sur les coûts de la main-d</w:t>
      </w:r>
      <w:r w:rsidR="00622BAC" w:rsidRPr="00E27354">
        <w:t>'</w:t>
      </w:r>
      <w:r w:rsidRPr="00E27354">
        <w:t>œuvre, les frais de voyage et les dépenses des conférences et de promouvoir l</w:t>
      </w:r>
      <w:r w:rsidR="00622BAC" w:rsidRPr="00E27354">
        <w:t>'</w:t>
      </w:r>
      <w:r w:rsidRPr="00E27354">
        <w:t>efficacité énergétique ainsi que la réduction des émissions. Parallèlement, il conviendrait d</w:t>
      </w:r>
      <w:r w:rsidR="00622BAC" w:rsidRPr="00E27354">
        <w:t>'</w:t>
      </w:r>
      <w:r w:rsidRPr="00E27354">
        <w:t>encourager les États Membres à renforcer la coopération à cet égard, afin de faire en sorte que les technologies de l</w:t>
      </w:r>
      <w:r w:rsidR="00622BAC" w:rsidRPr="00E27354">
        <w:t>'</w:t>
      </w:r>
      <w:r w:rsidRPr="00E27354">
        <w:t>information et des télécommunications jouent un rôle plus important dans les économies d</w:t>
      </w:r>
      <w:r w:rsidR="00622BAC" w:rsidRPr="00E27354">
        <w:t>'</w:t>
      </w:r>
      <w:r w:rsidRPr="00E27354">
        <w:t>énergie et la réduction des émissions.</w:t>
      </w:r>
    </w:p>
    <w:p w14:paraId="0D43E28F" w14:textId="77777777" w:rsidR="007F38ED" w:rsidRPr="00E27354" w:rsidRDefault="00DA34E6" w:rsidP="00F44A82">
      <w:pPr>
        <w:pStyle w:val="Heading2"/>
      </w:pPr>
      <w:r w:rsidRPr="00E27354">
        <w:t>3.2</w:t>
      </w:r>
      <w:r w:rsidRPr="00E27354">
        <w:tab/>
      </w:r>
      <w:r w:rsidR="007F38ED" w:rsidRPr="00E27354">
        <w:t>Discussions sur les contributions</w:t>
      </w:r>
    </w:p>
    <w:p w14:paraId="0489DAFA" w14:textId="5EDB3A98" w:rsidR="007F38ED" w:rsidRPr="00E27354" w:rsidRDefault="006A6A60" w:rsidP="00F44A82">
      <w:r w:rsidRPr="00E27354">
        <w:rPr>
          <w:b/>
        </w:rPr>
        <w:t>3</w:t>
      </w:r>
      <w:r w:rsidR="007F38ED" w:rsidRPr="00E27354">
        <w:rPr>
          <w:b/>
        </w:rPr>
        <w:t>.2.1</w:t>
      </w:r>
      <w:r w:rsidR="007F38ED" w:rsidRPr="00E27354">
        <w:rPr>
          <w:b/>
        </w:rPr>
        <w:tab/>
      </w:r>
      <w:r w:rsidR="007F38ED" w:rsidRPr="00E27354">
        <w:t>Les vues exprimées sur les différentes dispositions dans les contributions et pendant les délibérations du Groupe, au cours de la deuxième réunion, ont été rassemblées dans le Tableau d</w:t>
      </w:r>
      <w:r w:rsidR="00622BAC" w:rsidRPr="00E27354">
        <w:t>'</w:t>
      </w:r>
      <w:r w:rsidR="007F38ED" w:rsidRPr="00E27354">
        <w:t xml:space="preserve">examen (Articles </w:t>
      </w:r>
      <w:r w:rsidRPr="00E27354">
        <w:t>9</w:t>
      </w:r>
      <w:r w:rsidR="007F38ED" w:rsidRPr="00E27354">
        <w:t xml:space="preserve"> à </w:t>
      </w:r>
      <w:r w:rsidRPr="00E27354">
        <w:t>14</w:t>
      </w:r>
      <w:r w:rsidR="007F38ED" w:rsidRPr="00E27354">
        <w:t xml:space="preserve">/Appendice </w:t>
      </w:r>
      <w:r w:rsidRPr="00E27354">
        <w:t>2</w:t>
      </w:r>
      <w:r w:rsidR="007F38ED" w:rsidRPr="00E27354">
        <w:t>) figurant dans l</w:t>
      </w:r>
      <w:r w:rsidR="00622BAC" w:rsidRPr="00E27354">
        <w:t>'</w:t>
      </w:r>
      <w:r w:rsidR="007F38ED" w:rsidRPr="00E27354">
        <w:t xml:space="preserve">Annexe I au présent document. La colonne "Résumé des résultats" a été remplie, comme convenu, par les membres pendant la réunion, tandis que les deux autres colonnes, respectivement "Applicabilité pour ce qui est de favoriser la fourniture et le développement des réseaux et des services" et "Souplesse pour tenir compte des nouvelles tendances et des nouveaux problèmes qui se font jour", ont été complétées </w:t>
      </w:r>
      <w:r w:rsidR="00097E41" w:rsidRPr="00E27354">
        <w:t>par correspondance</w:t>
      </w:r>
      <w:r w:rsidR="007F38ED" w:rsidRPr="00E27354">
        <w:t xml:space="preserve"> par les Vice-Présidents, en concertation avec les membres de leurs régions, sur la base des contributions reçues et des discussions tenues à la réunion.</w:t>
      </w:r>
    </w:p>
    <w:p w14:paraId="2F771D25" w14:textId="245CE802" w:rsidR="008619EB" w:rsidRPr="00E27354" w:rsidRDefault="00DA34E6" w:rsidP="00387E79">
      <w:pPr>
        <w:rPr>
          <w:rFonts w:asciiTheme="minorHAnsi" w:hAnsiTheme="minorHAnsi"/>
          <w:szCs w:val="24"/>
        </w:rPr>
      </w:pPr>
      <w:r w:rsidRPr="00E27354">
        <w:rPr>
          <w:rFonts w:asciiTheme="minorHAnsi" w:hAnsiTheme="minorHAnsi"/>
          <w:b/>
          <w:bCs/>
          <w:szCs w:val="24"/>
        </w:rPr>
        <w:t>3.2.2</w:t>
      </w:r>
      <w:r w:rsidRPr="00E27354">
        <w:rPr>
          <w:rFonts w:asciiTheme="minorHAnsi" w:hAnsiTheme="minorHAnsi"/>
          <w:szCs w:val="24"/>
        </w:rPr>
        <w:tab/>
      </w:r>
      <w:r w:rsidR="008619EB" w:rsidRPr="00E27354">
        <w:rPr>
          <w:rFonts w:asciiTheme="minorHAnsi" w:hAnsiTheme="minorHAnsi"/>
          <w:szCs w:val="24"/>
        </w:rPr>
        <w:t>De l</w:t>
      </w:r>
      <w:r w:rsidR="00622BAC" w:rsidRPr="00E27354">
        <w:rPr>
          <w:rFonts w:asciiTheme="minorHAnsi" w:hAnsiTheme="minorHAnsi"/>
          <w:szCs w:val="24"/>
        </w:rPr>
        <w:t>'</w:t>
      </w:r>
      <w:r w:rsidR="008619EB" w:rsidRPr="00E27354">
        <w:rPr>
          <w:rFonts w:asciiTheme="minorHAnsi" w:hAnsiTheme="minorHAnsi"/>
          <w:szCs w:val="24"/>
        </w:rPr>
        <w:t xml:space="preserve">avis de certains membres, la plupart des </w:t>
      </w:r>
      <w:r w:rsidR="00387E79">
        <w:rPr>
          <w:rFonts w:asciiTheme="minorHAnsi" w:hAnsiTheme="minorHAnsi"/>
          <w:szCs w:val="24"/>
        </w:rPr>
        <w:t>a</w:t>
      </w:r>
      <w:r w:rsidR="008619EB" w:rsidRPr="00E27354">
        <w:rPr>
          <w:rFonts w:asciiTheme="minorHAnsi" w:hAnsiTheme="minorHAnsi"/>
          <w:szCs w:val="24"/>
        </w:rPr>
        <w:t>rticles actuellement examinés par le Groupe sont déjà couverts par les dispositions correspondantes dans la Constitution/Convention de l</w:t>
      </w:r>
      <w:r w:rsidR="00622BAC" w:rsidRPr="00E27354">
        <w:rPr>
          <w:rFonts w:asciiTheme="minorHAnsi" w:hAnsiTheme="minorHAnsi"/>
          <w:szCs w:val="24"/>
        </w:rPr>
        <w:t>'</w:t>
      </w:r>
      <w:r w:rsidR="008619EB" w:rsidRPr="00E27354">
        <w:rPr>
          <w:rFonts w:asciiTheme="minorHAnsi" w:hAnsiTheme="minorHAnsi"/>
          <w:szCs w:val="24"/>
        </w:rPr>
        <w:t xml:space="preserve">UIT. </w:t>
      </w:r>
    </w:p>
    <w:p w14:paraId="333871E5" w14:textId="1907C491" w:rsidR="008619EB" w:rsidRPr="00E27354" w:rsidRDefault="008619EB" w:rsidP="00387E79">
      <w:pPr>
        <w:rPr>
          <w:rFonts w:asciiTheme="minorHAnsi" w:hAnsiTheme="minorHAnsi"/>
          <w:szCs w:val="24"/>
        </w:rPr>
      </w:pPr>
      <w:r w:rsidRPr="00E27354">
        <w:rPr>
          <w:rFonts w:asciiTheme="minorHAnsi" w:hAnsiTheme="minorHAnsi"/>
          <w:szCs w:val="24"/>
        </w:rPr>
        <w:t>Certains Membres ont estimé que l</w:t>
      </w:r>
      <w:r w:rsidR="00622BAC" w:rsidRPr="00E27354">
        <w:rPr>
          <w:rFonts w:asciiTheme="minorHAnsi" w:hAnsiTheme="minorHAnsi"/>
          <w:szCs w:val="24"/>
        </w:rPr>
        <w:t>'</w:t>
      </w:r>
      <w:r w:rsidRPr="00E27354">
        <w:rPr>
          <w:rFonts w:asciiTheme="minorHAnsi" w:hAnsiTheme="minorHAnsi"/>
          <w:szCs w:val="24"/>
        </w:rPr>
        <w:t xml:space="preserve">on peut comprendre la répétition de ces </w:t>
      </w:r>
      <w:r w:rsidR="00387E79">
        <w:rPr>
          <w:rFonts w:asciiTheme="minorHAnsi" w:hAnsiTheme="minorHAnsi"/>
          <w:szCs w:val="24"/>
        </w:rPr>
        <w:t>a</w:t>
      </w:r>
      <w:r w:rsidRPr="00E27354">
        <w:rPr>
          <w:rFonts w:asciiTheme="minorHAnsi" w:hAnsiTheme="minorHAnsi"/>
          <w:szCs w:val="24"/>
        </w:rPr>
        <w:t>rticles dans le contexte du RTI.</w:t>
      </w:r>
    </w:p>
    <w:p w14:paraId="76A5DCB9" w14:textId="31839F4B" w:rsidR="008619EB" w:rsidRPr="00E27354" w:rsidRDefault="00DA34E6" w:rsidP="00387E79">
      <w:pPr>
        <w:rPr>
          <w:rFonts w:asciiTheme="minorHAnsi" w:hAnsiTheme="minorHAnsi"/>
          <w:szCs w:val="24"/>
        </w:rPr>
      </w:pPr>
      <w:r w:rsidRPr="00E27354">
        <w:rPr>
          <w:rFonts w:asciiTheme="minorHAnsi" w:hAnsiTheme="minorHAnsi"/>
          <w:b/>
          <w:szCs w:val="24"/>
        </w:rPr>
        <w:t>3.2.3</w:t>
      </w:r>
      <w:r w:rsidRPr="00E27354">
        <w:rPr>
          <w:rFonts w:asciiTheme="minorHAnsi" w:hAnsiTheme="minorHAnsi"/>
          <w:szCs w:val="24"/>
        </w:rPr>
        <w:tab/>
      </w:r>
      <w:r w:rsidR="008619EB" w:rsidRPr="00E27354">
        <w:rPr>
          <w:rFonts w:asciiTheme="minorHAnsi" w:hAnsiTheme="minorHAnsi"/>
          <w:szCs w:val="24"/>
        </w:rPr>
        <w:t>Certains membres ont noté que le Groupe devrait tenir dûment compte du rôle et des activités pertinentes de l</w:t>
      </w:r>
      <w:r w:rsidR="00622BAC" w:rsidRPr="00E27354">
        <w:rPr>
          <w:rFonts w:asciiTheme="minorHAnsi" w:hAnsiTheme="minorHAnsi"/>
          <w:szCs w:val="24"/>
        </w:rPr>
        <w:t>'</w:t>
      </w:r>
      <w:r w:rsidR="008619EB" w:rsidRPr="00E27354">
        <w:rPr>
          <w:rFonts w:asciiTheme="minorHAnsi" w:hAnsiTheme="minorHAnsi"/>
          <w:szCs w:val="24"/>
        </w:rPr>
        <w:t>UIT-R en lien avec les travaux du Groupe EG-RTI.</w:t>
      </w:r>
    </w:p>
    <w:p w14:paraId="46FD0EBB" w14:textId="77777777" w:rsidR="006A6A60" w:rsidRPr="00E27354" w:rsidRDefault="00DA34E6" w:rsidP="00387E79">
      <w:pPr>
        <w:rPr>
          <w:rFonts w:asciiTheme="minorHAnsi" w:hAnsiTheme="minorHAnsi"/>
          <w:szCs w:val="24"/>
        </w:rPr>
      </w:pPr>
      <w:r w:rsidRPr="00E27354">
        <w:rPr>
          <w:rFonts w:asciiTheme="minorHAnsi" w:hAnsiTheme="minorHAnsi"/>
          <w:b/>
          <w:szCs w:val="24"/>
        </w:rPr>
        <w:t>3.2.4</w:t>
      </w:r>
      <w:r w:rsidRPr="00E27354">
        <w:rPr>
          <w:rFonts w:asciiTheme="minorHAnsi" w:hAnsiTheme="minorHAnsi"/>
          <w:szCs w:val="24"/>
        </w:rPr>
        <w:tab/>
      </w:r>
      <w:bookmarkStart w:id="15" w:name="lt_pId120"/>
      <w:r w:rsidR="006A6A60" w:rsidRPr="00E27354">
        <w:rPr>
          <w:rFonts w:asciiTheme="minorHAnsi" w:hAnsiTheme="minorHAnsi"/>
          <w:szCs w:val="24"/>
        </w:rPr>
        <w:t xml:space="preserve">Enfin, certains membres ont demandé que leurs observations sur certaines dispositions de la version de 2012 du RTI figurent dans le présent </w:t>
      </w:r>
      <w:proofErr w:type="gramStart"/>
      <w:r w:rsidR="006A6A60" w:rsidRPr="00E27354">
        <w:rPr>
          <w:rFonts w:asciiTheme="minorHAnsi" w:hAnsiTheme="minorHAnsi"/>
          <w:szCs w:val="24"/>
        </w:rPr>
        <w:t>rapport:</w:t>
      </w:r>
      <w:bookmarkEnd w:id="15"/>
      <w:proofErr w:type="gramEnd"/>
    </w:p>
    <w:p w14:paraId="678CA75A" w14:textId="1E9264C9" w:rsidR="008619EB" w:rsidRPr="00E27354" w:rsidRDefault="00DA34E6" w:rsidP="00387E79">
      <w:pPr>
        <w:rPr>
          <w:rFonts w:asciiTheme="minorHAnsi" w:hAnsiTheme="minorHAnsi"/>
          <w:szCs w:val="24"/>
        </w:rPr>
      </w:pPr>
      <w:r w:rsidRPr="00E27354">
        <w:rPr>
          <w:rFonts w:asciiTheme="minorHAnsi" w:hAnsiTheme="minorHAnsi"/>
          <w:b/>
          <w:szCs w:val="24"/>
        </w:rPr>
        <w:t>a)</w:t>
      </w:r>
      <w:r w:rsidRPr="00E27354">
        <w:rPr>
          <w:rFonts w:asciiTheme="minorHAnsi" w:hAnsiTheme="minorHAnsi"/>
          <w:szCs w:val="24"/>
        </w:rPr>
        <w:tab/>
      </w:r>
      <w:r w:rsidR="008619EB" w:rsidRPr="00E27354">
        <w:rPr>
          <w:rFonts w:asciiTheme="minorHAnsi" w:hAnsiTheme="minorHAnsi"/>
          <w:b/>
          <w:szCs w:val="24"/>
        </w:rPr>
        <w:t>Disposition</w:t>
      </w:r>
      <w:r w:rsidRPr="00E27354">
        <w:rPr>
          <w:rFonts w:asciiTheme="minorHAnsi" w:hAnsiTheme="minorHAnsi"/>
          <w:b/>
          <w:szCs w:val="24"/>
        </w:rPr>
        <w:t xml:space="preserve"> 10.1</w:t>
      </w:r>
      <w:r w:rsidRPr="00E27354">
        <w:rPr>
          <w:rFonts w:asciiTheme="minorHAnsi" w:hAnsiTheme="minorHAnsi"/>
          <w:szCs w:val="24"/>
        </w:rPr>
        <w:t xml:space="preserve">: </w:t>
      </w:r>
      <w:r w:rsidR="008619EB" w:rsidRPr="00E27354">
        <w:rPr>
          <w:rFonts w:asciiTheme="minorHAnsi" w:hAnsiTheme="minorHAnsi"/>
          <w:szCs w:val="24"/>
        </w:rPr>
        <w:t>Certains membres ont indiqué qu</w:t>
      </w:r>
      <w:r w:rsidR="00622BAC" w:rsidRPr="00E27354">
        <w:rPr>
          <w:rFonts w:asciiTheme="minorHAnsi" w:hAnsiTheme="minorHAnsi"/>
          <w:szCs w:val="24"/>
        </w:rPr>
        <w:t>'</w:t>
      </w:r>
      <w:r w:rsidR="008619EB" w:rsidRPr="00E27354">
        <w:rPr>
          <w:rFonts w:asciiTheme="minorHAnsi" w:hAnsiTheme="minorHAnsi"/>
          <w:szCs w:val="24"/>
        </w:rPr>
        <w:t>il est pertinent de not</w:t>
      </w:r>
      <w:r w:rsidR="0004751A" w:rsidRPr="00E27354">
        <w:rPr>
          <w:rFonts w:asciiTheme="minorHAnsi" w:hAnsiTheme="minorHAnsi"/>
          <w:szCs w:val="24"/>
        </w:rPr>
        <w:t>er</w:t>
      </w:r>
      <w:r w:rsidR="008619EB" w:rsidRPr="00E27354">
        <w:rPr>
          <w:rFonts w:asciiTheme="minorHAnsi" w:hAnsiTheme="minorHAnsi"/>
          <w:szCs w:val="24"/>
        </w:rPr>
        <w:t xml:space="preserve"> que certaines dispositions de la version de 1988 du RTI renvoient à des organismes et des conférences qui n</w:t>
      </w:r>
      <w:r w:rsidR="00622BAC" w:rsidRPr="00E27354">
        <w:rPr>
          <w:rFonts w:asciiTheme="minorHAnsi" w:hAnsiTheme="minorHAnsi"/>
          <w:szCs w:val="24"/>
        </w:rPr>
        <w:t>'</w:t>
      </w:r>
      <w:r w:rsidR="008619EB" w:rsidRPr="00E27354">
        <w:rPr>
          <w:rFonts w:asciiTheme="minorHAnsi" w:hAnsiTheme="minorHAnsi"/>
          <w:szCs w:val="24"/>
        </w:rPr>
        <w:t xml:space="preserve">existent plus. </w:t>
      </w:r>
    </w:p>
    <w:p w14:paraId="4E71AF79" w14:textId="3CA9C7F5" w:rsidR="006A6A60" w:rsidRPr="00E27354" w:rsidRDefault="006A6A60" w:rsidP="00387E79">
      <w:pPr>
        <w:rPr>
          <w:rFonts w:asciiTheme="minorHAnsi" w:hAnsiTheme="minorHAnsi"/>
          <w:iCs/>
          <w:szCs w:val="24"/>
        </w:rPr>
      </w:pPr>
      <w:bookmarkStart w:id="16" w:name="lt_pId125"/>
      <w:r w:rsidRPr="00E27354">
        <w:rPr>
          <w:rFonts w:asciiTheme="minorHAnsi" w:hAnsiTheme="minorHAnsi"/>
          <w:iCs/>
          <w:szCs w:val="24"/>
        </w:rPr>
        <w:t xml:space="preserve">Pour certains membres, le libellé actuel figurant dans la colonne </w:t>
      </w:r>
      <w:r w:rsidR="00AC0F2E">
        <w:rPr>
          <w:rFonts w:asciiTheme="minorHAnsi" w:hAnsiTheme="minorHAnsi"/>
          <w:iCs/>
          <w:szCs w:val="24"/>
        </w:rPr>
        <w:t>"</w:t>
      </w:r>
      <w:r w:rsidRPr="00E27354">
        <w:rPr>
          <w:rFonts w:asciiTheme="minorHAnsi" w:hAnsiTheme="minorHAnsi"/>
          <w:iCs/>
          <w:szCs w:val="24"/>
        </w:rPr>
        <w:t>Résumé des résultats</w:t>
      </w:r>
      <w:r w:rsidR="00AC0F2E">
        <w:rPr>
          <w:rFonts w:asciiTheme="minorHAnsi" w:hAnsiTheme="minorHAnsi"/>
          <w:iCs/>
          <w:szCs w:val="24"/>
        </w:rPr>
        <w:t>"</w:t>
      </w:r>
      <w:r w:rsidRPr="00E27354">
        <w:rPr>
          <w:rFonts w:asciiTheme="minorHAnsi" w:hAnsiTheme="minorHAnsi"/>
          <w:iCs/>
          <w:szCs w:val="24"/>
        </w:rPr>
        <w:t xml:space="preserve"> est suffisamment large pour rendre compte des différents points de vue au sein du Groupe et les Vice</w:t>
      </w:r>
      <w:r w:rsidRPr="00E27354">
        <w:rPr>
          <w:rFonts w:asciiTheme="minorHAnsi" w:hAnsiTheme="minorHAnsi"/>
          <w:iCs/>
          <w:szCs w:val="24"/>
        </w:rPr>
        <w:noBreakHyphen/>
        <w:t>Présidents pourraient rendre compte des contributions et discussions de manière plus précise dans les colonnes consacrées à l</w:t>
      </w:r>
      <w:r w:rsidR="00622BAC" w:rsidRPr="00E27354">
        <w:rPr>
          <w:rFonts w:asciiTheme="minorHAnsi" w:hAnsiTheme="minorHAnsi"/>
          <w:iCs/>
          <w:szCs w:val="24"/>
        </w:rPr>
        <w:t>'</w:t>
      </w:r>
      <w:r w:rsidRPr="00E27354">
        <w:rPr>
          <w:rFonts w:asciiTheme="minorHAnsi" w:hAnsiTheme="minorHAnsi"/>
          <w:iCs/>
          <w:szCs w:val="24"/>
        </w:rPr>
        <w:t>applicabilité et à la souplesse.</w:t>
      </w:r>
      <w:bookmarkEnd w:id="16"/>
    </w:p>
    <w:p w14:paraId="25C2E24E" w14:textId="7FF41F13" w:rsidR="006A6A60" w:rsidRPr="00E27354" w:rsidRDefault="00DA34E6" w:rsidP="00F44A82">
      <w:pPr>
        <w:keepNext/>
        <w:keepLines/>
        <w:rPr>
          <w:rFonts w:asciiTheme="minorHAnsi" w:hAnsiTheme="minorHAnsi"/>
          <w:szCs w:val="24"/>
          <w:highlight w:val="cyan"/>
        </w:rPr>
      </w:pPr>
      <w:r w:rsidRPr="00E27354">
        <w:rPr>
          <w:rFonts w:asciiTheme="minorHAnsi" w:hAnsiTheme="minorHAnsi"/>
          <w:b/>
          <w:iCs/>
          <w:szCs w:val="24"/>
        </w:rPr>
        <w:lastRenderedPageBreak/>
        <w:t>b)</w:t>
      </w:r>
      <w:r w:rsidRPr="00E27354">
        <w:rPr>
          <w:rFonts w:asciiTheme="minorHAnsi" w:hAnsiTheme="minorHAnsi"/>
          <w:b/>
          <w:iCs/>
          <w:szCs w:val="24"/>
        </w:rPr>
        <w:tab/>
        <w:t xml:space="preserve">Article </w:t>
      </w:r>
      <w:proofErr w:type="gramStart"/>
      <w:r w:rsidRPr="00E27354">
        <w:rPr>
          <w:rFonts w:asciiTheme="minorHAnsi" w:hAnsiTheme="minorHAnsi"/>
          <w:b/>
          <w:iCs/>
          <w:szCs w:val="24"/>
        </w:rPr>
        <w:t>11</w:t>
      </w:r>
      <w:r w:rsidRPr="00E27354">
        <w:rPr>
          <w:rFonts w:asciiTheme="minorHAnsi" w:hAnsiTheme="minorHAnsi"/>
          <w:iCs/>
          <w:szCs w:val="24"/>
        </w:rPr>
        <w:t>:</w:t>
      </w:r>
      <w:proofErr w:type="gramEnd"/>
      <w:r w:rsidRPr="00E27354">
        <w:rPr>
          <w:rFonts w:asciiTheme="minorHAnsi" w:hAnsiTheme="minorHAnsi"/>
          <w:iCs/>
          <w:szCs w:val="24"/>
        </w:rPr>
        <w:t xml:space="preserve"> </w:t>
      </w:r>
      <w:r w:rsidR="008619EB" w:rsidRPr="00E27354">
        <w:rPr>
          <w:rFonts w:asciiTheme="minorHAnsi" w:hAnsiTheme="minorHAnsi"/>
          <w:iCs/>
          <w:szCs w:val="24"/>
        </w:rPr>
        <w:t>Certains membres ont proposé</w:t>
      </w:r>
      <w:r w:rsidR="006A6A60" w:rsidRPr="00E27354">
        <w:rPr>
          <w:rFonts w:asciiTheme="minorHAnsi" w:hAnsiTheme="minorHAnsi"/>
          <w:iCs/>
          <w:szCs w:val="24"/>
        </w:rPr>
        <w:t xml:space="preserve"> qu</w:t>
      </w:r>
      <w:r w:rsidR="00622BAC" w:rsidRPr="00E27354">
        <w:rPr>
          <w:rFonts w:asciiTheme="minorHAnsi" w:hAnsiTheme="minorHAnsi"/>
          <w:iCs/>
          <w:szCs w:val="24"/>
        </w:rPr>
        <w:t>'</w:t>
      </w:r>
      <w:r w:rsidR="006A6A60" w:rsidRPr="00E27354">
        <w:rPr>
          <w:rFonts w:asciiTheme="minorHAnsi" w:hAnsiTheme="minorHAnsi"/>
          <w:iCs/>
          <w:szCs w:val="24"/>
        </w:rPr>
        <w:t xml:space="preserve">il soit tenu compte des incidences de la pandémie de COVID-19 sur la transformation numérique </w:t>
      </w:r>
      <w:r w:rsidR="008619EB" w:rsidRPr="00E27354">
        <w:rPr>
          <w:rFonts w:asciiTheme="minorHAnsi" w:hAnsiTheme="minorHAnsi"/>
          <w:iCs/>
          <w:szCs w:val="24"/>
        </w:rPr>
        <w:t>lors de l</w:t>
      </w:r>
      <w:r w:rsidR="00622BAC" w:rsidRPr="00E27354">
        <w:rPr>
          <w:rFonts w:asciiTheme="minorHAnsi" w:hAnsiTheme="minorHAnsi"/>
          <w:iCs/>
          <w:szCs w:val="24"/>
        </w:rPr>
        <w:t>'</w:t>
      </w:r>
      <w:r w:rsidR="008619EB" w:rsidRPr="00E27354">
        <w:rPr>
          <w:rFonts w:asciiTheme="minorHAnsi" w:hAnsiTheme="minorHAnsi"/>
          <w:iCs/>
          <w:szCs w:val="24"/>
        </w:rPr>
        <w:t xml:space="preserve">examen de cet </w:t>
      </w:r>
      <w:r w:rsidR="00387E79">
        <w:rPr>
          <w:rFonts w:asciiTheme="minorHAnsi" w:hAnsiTheme="minorHAnsi"/>
          <w:iCs/>
          <w:szCs w:val="24"/>
        </w:rPr>
        <w:t>a</w:t>
      </w:r>
      <w:r w:rsidR="008619EB" w:rsidRPr="00E27354">
        <w:rPr>
          <w:rFonts w:asciiTheme="minorHAnsi" w:hAnsiTheme="minorHAnsi"/>
          <w:iCs/>
          <w:szCs w:val="24"/>
        </w:rPr>
        <w:t xml:space="preserve">rticle </w:t>
      </w:r>
      <w:r w:rsidR="006A6A60" w:rsidRPr="00E27354">
        <w:rPr>
          <w:rFonts w:asciiTheme="minorHAnsi" w:hAnsiTheme="minorHAnsi"/>
          <w:iCs/>
          <w:szCs w:val="24"/>
        </w:rPr>
        <w:t>et que l</w:t>
      </w:r>
      <w:r w:rsidR="00622BAC" w:rsidRPr="00E27354">
        <w:rPr>
          <w:rFonts w:asciiTheme="minorHAnsi" w:hAnsiTheme="minorHAnsi"/>
          <w:iCs/>
          <w:szCs w:val="24"/>
        </w:rPr>
        <w:t>'</w:t>
      </w:r>
      <w:r w:rsidR="006A6A60" w:rsidRPr="00E27354">
        <w:rPr>
          <w:rFonts w:asciiTheme="minorHAnsi" w:hAnsiTheme="minorHAnsi"/>
          <w:iCs/>
          <w:szCs w:val="24"/>
        </w:rPr>
        <w:t>on prévoie de nouvelles dispositions afin d</w:t>
      </w:r>
      <w:r w:rsidR="00622BAC" w:rsidRPr="00E27354">
        <w:rPr>
          <w:rFonts w:asciiTheme="minorHAnsi" w:hAnsiTheme="minorHAnsi"/>
          <w:iCs/>
          <w:szCs w:val="24"/>
        </w:rPr>
        <w:t>'</w:t>
      </w:r>
      <w:r w:rsidR="006A6A60" w:rsidRPr="00E27354">
        <w:rPr>
          <w:rFonts w:asciiTheme="minorHAnsi" w:hAnsiTheme="minorHAnsi"/>
          <w:iCs/>
          <w:szCs w:val="24"/>
        </w:rPr>
        <w:t xml:space="preserve">encourager les États Membres à participer aux conférences et aux activités </w:t>
      </w:r>
      <w:r w:rsidR="008619EB" w:rsidRPr="00E27354">
        <w:rPr>
          <w:rFonts w:asciiTheme="minorHAnsi" w:hAnsiTheme="minorHAnsi"/>
          <w:iCs/>
          <w:szCs w:val="24"/>
        </w:rPr>
        <w:t>en utilisant des moyens</w:t>
      </w:r>
      <w:r w:rsidR="006A6A60" w:rsidRPr="00E27354">
        <w:rPr>
          <w:rFonts w:asciiTheme="minorHAnsi" w:hAnsiTheme="minorHAnsi"/>
          <w:iCs/>
          <w:szCs w:val="24"/>
        </w:rPr>
        <w:t xml:space="preserve"> numérique</w:t>
      </w:r>
      <w:r w:rsidR="008619EB" w:rsidRPr="00E27354">
        <w:rPr>
          <w:rFonts w:asciiTheme="minorHAnsi" w:hAnsiTheme="minorHAnsi"/>
          <w:iCs/>
          <w:szCs w:val="24"/>
        </w:rPr>
        <w:t>s</w:t>
      </w:r>
      <w:r w:rsidR="006A6A60" w:rsidRPr="00E27354">
        <w:rPr>
          <w:rFonts w:asciiTheme="minorHAnsi" w:hAnsiTheme="minorHAnsi"/>
          <w:iCs/>
          <w:szCs w:val="24"/>
        </w:rPr>
        <w:t xml:space="preserve"> afin de promouvoir l</w:t>
      </w:r>
      <w:r w:rsidR="00622BAC" w:rsidRPr="00E27354">
        <w:rPr>
          <w:rFonts w:asciiTheme="minorHAnsi" w:hAnsiTheme="minorHAnsi"/>
          <w:iCs/>
          <w:szCs w:val="24"/>
        </w:rPr>
        <w:t>'</w:t>
      </w:r>
      <w:r w:rsidR="006A6A60" w:rsidRPr="00E27354">
        <w:rPr>
          <w:rFonts w:asciiTheme="minorHAnsi" w:hAnsiTheme="minorHAnsi"/>
          <w:iCs/>
          <w:szCs w:val="24"/>
        </w:rPr>
        <w:t xml:space="preserve">efficacité énergétique </w:t>
      </w:r>
      <w:r w:rsidR="008619EB" w:rsidRPr="00E27354">
        <w:rPr>
          <w:rFonts w:asciiTheme="minorHAnsi" w:hAnsiTheme="minorHAnsi"/>
          <w:iCs/>
          <w:szCs w:val="24"/>
        </w:rPr>
        <w:t>et</w:t>
      </w:r>
      <w:r w:rsidR="006A6A60" w:rsidRPr="00E27354">
        <w:rPr>
          <w:rFonts w:asciiTheme="minorHAnsi" w:hAnsiTheme="minorHAnsi"/>
          <w:iCs/>
          <w:szCs w:val="24"/>
        </w:rPr>
        <w:t xml:space="preserve"> la réduction des émissions.</w:t>
      </w:r>
    </w:p>
    <w:p w14:paraId="01BD7010" w14:textId="7F46B9EF" w:rsidR="0023668D" w:rsidRPr="00E27354" w:rsidRDefault="008619EB" w:rsidP="00F44A82">
      <w:bookmarkStart w:id="17" w:name="lt_pId335"/>
      <w:r w:rsidRPr="00E27354">
        <w:t xml:space="preserve">Certains membres ont estimé que cet </w:t>
      </w:r>
      <w:r w:rsidR="0023668D" w:rsidRPr="00E27354">
        <w:t>Article tient compte des dispositions largement reconnues des résolutions de l</w:t>
      </w:r>
      <w:r w:rsidR="00622BAC" w:rsidRPr="00E27354">
        <w:t>'</w:t>
      </w:r>
      <w:r w:rsidRPr="00E27354">
        <w:t>Assemblée générale des Nations Unies</w:t>
      </w:r>
      <w:r w:rsidR="0023668D" w:rsidRPr="00E27354">
        <w:t xml:space="preserve"> et d</w:t>
      </w:r>
      <w:r w:rsidR="00622BAC" w:rsidRPr="00E27354">
        <w:t>'</w:t>
      </w:r>
      <w:r w:rsidR="0023668D" w:rsidRPr="00E27354">
        <w:t>autres organisations internationales et reflète les législations de nombreux États Membres de l</w:t>
      </w:r>
      <w:r w:rsidR="00622BAC" w:rsidRPr="00E27354">
        <w:t>'</w:t>
      </w:r>
      <w:r w:rsidR="0023668D" w:rsidRPr="00E27354">
        <w:t>UIT relatives à la protection de l</w:t>
      </w:r>
      <w:r w:rsidR="00622BAC" w:rsidRPr="00E27354">
        <w:t>'</w:t>
      </w:r>
      <w:r w:rsidR="0023668D" w:rsidRPr="00E27354">
        <w:t>environnement.</w:t>
      </w:r>
      <w:bookmarkEnd w:id="17"/>
    </w:p>
    <w:p w14:paraId="30DBD65F" w14:textId="4967E368" w:rsidR="0023668D" w:rsidRPr="00E27354" w:rsidRDefault="0023668D" w:rsidP="00F44A82">
      <w:r w:rsidRPr="00E27354">
        <w:t xml:space="preserve">Pour certains membres, </w:t>
      </w:r>
      <w:r w:rsidR="008619EB" w:rsidRPr="00E27354">
        <w:t xml:space="preserve">cet Article est superflu et redondant et </w:t>
      </w:r>
      <w:r w:rsidRPr="00E27354">
        <w:t xml:space="preserve">le libellé actuel figurant dans la colonne </w:t>
      </w:r>
      <w:r w:rsidR="00AC0F2E">
        <w:t>"</w:t>
      </w:r>
      <w:r w:rsidRPr="00E27354">
        <w:t>Résumé des résultats</w:t>
      </w:r>
      <w:r w:rsidR="00AC0F2E">
        <w:t>"</w:t>
      </w:r>
      <w:r w:rsidRPr="00E27354">
        <w:t xml:space="preserve"> est suffisamment large pour rendre compte des différents points de vue au sein du Groupe et les Vice</w:t>
      </w:r>
      <w:r w:rsidRPr="00E27354">
        <w:noBreakHyphen/>
        <w:t>Présidents pourraient rendre compte des contributions et discussions de manière plus précise dans les colonnes consacrées à l</w:t>
      </w:r>
      <w:r w:rsidR="00622BAC" w:rsidRPr="00E27354">
        <w:t>'</w:t>
      </w:r>
      <w:r w:rsidRPr="00E27354">
        <w:t>applicabilité et à la souplesse.</w:t>
      </w:r>
    </w:p>
    <w:p w14:paraId="08E1E786" w14:textId="14E29070" w:rsidR="0023668D" w:rsidRPr="00E27354" w:rsidRDefault="00DA34E6" w:rsidP="00F44A82">
      <w:pPr>
        <w:rPr>
          <w:rFonts w:asciiTheme="minorHAnsi" w:hAnsiTheme="minorHAnsi"/>
          <w:iCs/>
          <w:szCs w:val="24"/>
        </w:rPr>
      </w:pPr>
      <w:r w:rsidRPr="00E27354">
        <w:rPr>
          <w:rFonts w:asciiTheme="minorHAnsi" w:hAnsiTheme="minorHAnsi"/>
          <w:b/>
          <w:iCs/>
          <w:szCs w:val="24"/>
        </w:rPr>
        <w:t>c)</w:t>
      </w:r>
      <w:r w:rsidRPr="00E27354">
        <w:rPr>
          <w:rFonts w:asciiTheme="minorHAnsi" w:hAnsiTheme="minorHAnsi"/>
          <w:b/>
          <w:iCs/>
          <w:szCs w:val="24"/>
        </w:rPr>
        <w:tab/>
        <w:t xml:space="preserve">Article </w:t>
      </w:r>
      <w:proofErr w:type="gramStart"/>
      <w:r w:rsidRPr="00E27354">
        <w:rPr>
          <w:rFonts w:asciiTheme="minorHAnsi" w:hAnsiTheme="minorHAnsi"/>
          <w:b/>
          <w:iCs/>
          <w:szCs w:val="24"/>
        </w:rPr>
        <w:t>12</w:t>
      </w:r>
      <w:r w:rsidRPr="00E27354">
        <w:rPr>
          <w:rFonts w:asciiTheme="minorHAnsi" w:hAnsiTheme="minorHAnsi"/>
          <w:iCs/>
          <w:szCs w:val="24"/>
        </w:rPr>
        <w:t>:</w:t>
      </w:r>
      <w:proofErr w:type="gramEnd"/>
      <w:r w:rsidRPr="00E27354">
        <w:rPr>
          <w:rFonts w:asciiTheme="minorHAnsi" w:hAnsiTheme="minorHAnsi"/>
          <w:b/>
          <w:iCs/>
          <w:szCs w:val="24"/>
        </w:rPr>
        <w:t xml:space="preserve"> </w:t>
      </w:r>
      <w:bookmarkStart w:id="18" w:name="lt_pId342"/>
      <w:r w:rsidR="008619EB" w:rsidRPr="00E27354">
        <w:rPr>
          <w:rFonts w:asciiTheme="minorHAnsi" w:hAnsiTheme="minorHAnsi"/>
          <w:bCs/>
          <w:iCs/>
          <w:szCs w:val="24"/>
        </w:rPr>
        <w:t>De l</w:t>
      </w:r>
      <w:r w:rsidR="00622BAC" w:rsidRPr="00E27354">
        <w:rPr>
          <w:rFonts w:asciiTheme="minorHAnsi" w:hAnsiTheme="minorHAnsi"/>
          <w:bCs/>
          <w:iCs/>
          <w:szCs w:val="24"/>
        </w:rPr>
        <w:t>'</w:t>
      </w:r>
      <w:r w:rsidR="008619EB" w:rsidRPr="00E27354">
        <w:rPr>
          <w:rFonts w:asciiTheme="minorHAnsi" w:hAnsiTheme="minorHAnsi"/>
          <w:bCs/>
          <w:iCs/>
          <w:szCs w:val="24"/>
        </w:rPr>
        <w:t xml:space="preserve">avis de certains membres, cet Article </w:t>
      </w:r>
      <w:r w:rsidR="0023668D" w:rsidRPr="00E27354">
        <w:rPr>
          <w:rFonts w:asciiTheme="minorHAnsi" w:hAnsiTheme="minorHAnsi"/>
          <w:iCs/>
          <w:szCs w:val="24"/>
        </w:rPr>
        <w:t xml:space="preserve">tient compte des dispositions largement reconnues des résolutions </w:t>
      </w:r>
      <w:r w:rsidR="008619EB" w:rsidRPr="00E27354">
        <w:t>de l</w:t>
      </w:r>
      <w:r w:rsidR="00622BAC" w:rsidRPr="00E27354">
        <w:t>'</w:t>
      </w:r>
      <w:r w:rsidR="008619EB" w:rsidRPr="00E27354">
        <w:t xml:space="preserve">Assemblée générale des Nations Unies </w:t>
      </w:r>
      <w:r w:rsidR="0023668D" w:rsidRPr="00E27354">
        <w:rPr>
          <w:rFonts w:asciiTheme="minorHAnsi" w:hAnsiTheme="minorHAnsi"/>
          <w:iCs/>
          <w:szCs w:val="24"/>
        </w:rPr>
        <w:t>et d</w:t>
      </w:r>
      <w:r w:rsidR="00622BAC" w:rsidRPr="00E27354">
        <w:rPr>
          <w:rFonts w:asciiTheme="minorHAnsi" w:hAnsiTheme="minorHAnsi"/>
          <w:iCs/>
          <w:szCs w:val="24"/>
        </w:rPr>
        <w:t>'</w:t>
      </w:r>
      <w:r w:rsidR="0023668D" w:rsidRPr="00E27354">
        <w:rPr>
          <w:rFonts w:asciiTheme="minorHAnsi" w:hAnsiTheme="minorHAnsi"/>
          <w:iCs/>
          <w:szCs w:val="24"/>
        </w:rPr>
        <w:t>autres organisations internationales et reflète les législations de nombreux États Membres de l</w:t>
      </w:r>
      <w:r w:rsidR="00622BAC" w:rsidRPr="00E27354">
        <w:rPr>
          <w:rFonts w:asciiTheme="minorHAnsi" w:hAnsiTheme="minorHAnsi"/>
          <w:iCs/>
          <w:szCs w:val="24"/>
        </w:rPr>
        <w:t>'</w:t>
      </w:r>
      <w:r w:rsidR="0023668D" w:rsidRPr="00E27354">
        <w:rPr>
          <w:rFonts w:asciiTheme="minorHAnsi" w:hAnsiTheme="minorHAnsi"/>
          <w:iCs/>
          <w:szCs w:val="24"/>
        </w:rPr>
        <w:t>UIT relatives à la promotion de l</w:t>
      </w:r>
      <w:r w:rsidR="00622BAC" w:rsidRPr="00E27354">
        <w:rPr>
          <w:rFonts w:asciiTheme="minorHAnsi" w:hAnsiTheme="minorHAnsi"/>
          <w:iCs/>
          <w:szCs w:val="24"/>
        </w:rPr>
        <w:t>'</w:t>
      </w:r>
      <w:r w:rsidR="0023668D" w:rsidRPr="00E27354">
        <w:rPr>
          <w:rFonts w:asciiTheme="minorHAnsi" w:hAnsiTheme="minorHAnsi"/>
          <w:iCs/>
          <w:szCs w:val="24"/>
        </w:rPr>
        <w:t>accès des personnes handicapées</w:t>
      </w:r>
      <w:bookmarkEnd w:id="18"/>
      <w:r w:rsidR="0023668D" w:rsidRPr="00E27354">
        <w:rPr>
          <w:rFonts w:asciiTheme="minorHAnsi" w:hAnsiTheme="minorHAnsi"/>
          <w:iCs/>
          <w:szCs w:val="24"/>
        </w:rPr>
        <w:t>.</w:t>
      </w:r>
    </w:p>
    <w:p w14:paraId="23FFE9EE" w14:textId="41A82315" w:rsidR="00DA34E6" w:rsidRPr="00E27354" w:rsidRDefault="00B168F0" w:rsidP="00F44A82">
      <w:pPr>
        <w:rPr>
          <w:b/>
        </w:rPr>
      </w:pPr>
      <w:r w:rsidRPr="00E27354">
        <w:t>Certains membres ont estimé que cet Article n</w:t>
      </w:r>
      <w:r w:rsidR="00622BAC" w:rsidRPr="00E27354">
        <w:t>'</w:t>
      </w:r>
      <w:r w:rsidRPr="00E27354">
        <w:t>aide pas à favoriser la fourniture et le développement des réseaux et des services et n</w:t>
      </w:r>
      <w:r w:rsidR="00622BAC" w:rsidRPr="00E27354">
        <w:t>'</w:t>
      </w:r>
      <w:r w:rsidRPr="00E27354">
        <w:t>offre pas non plus de souplesse pour tenir compte des nouvelles tendances et des nouveaux problèmes.</w:t>
      </w:r>
    </w:p>
    <w:p w14:paraId="2063C56C" w14:textId="5AE0B6E0" w:rsidR="00B168F0" w:rsidRPr="00E27354" w:rsidRDefault="00DA34E6" w:rsidP="00F44A82">
      <w:pPr>
        <w:rPr>
          <w:rFonts w:asciiTheme="minorHAnsi" w:hAnsiTheme="minorHAnsi"/>
          <w:bCs/>
          <w:szCs w:val="24"/>
        </w:rPr>
      </w:pPr>
      <w:r w:rsidRPr="00E27354">
        <w:rPr>
          <w:rFonts w:asciiTheme="minorHAnsi" w:hAnsiTheme="minorHAnsi"/>
          <w:b/>
          <w:iCs/>
          <w:szCs w:val="24"/>
        </w:rPr>
        <w:t>d)</w:t>
      </w:r>
      <w:r w:rsidRPr="00E27354">
        <w:rPr>
          <w:rFonts w:asciiTheme="minorHAnsi" w:hAnsiTheme="minorHAnsi"/>
          <w:szCs w:val="24"/>
        </w:rPr>
        <w:tab/>
      </w:r>
      <w:r w:rsidR="00217597" w:rsidRPr="00E27354">
        <w:rPr>
          <w:rFonts w:asciiTheme="minorHAnsi" w:hAnsiTheme="minorHAnsi"/>
          <w:b/>
          <w:szCs w:val="24"/>
        </w:rPr>
        <w:t>Article</w:t>
      </w:r>
      <w:r w:rsidRPr="00E27354">
        <w:rPr>
          <w:rFonts w:asciiTheme="minorHAnsi" w:hAnsiTheme="minorHAnsi"/>
          <w:b/>
          <w:szCs w:val="24"/>
        </w:rPr>
        <w:t xml:space="preserve"> </w:t>
      </w:r>
      <w:proofErr w:type="gramStart"/>
      <w:r w:rsidRPr="00E27354">
        <w:rPr>
          <w:rFonts w:asciiTheme="minorHAnsi" w:hAnsiTheme="minorHAnsi"/>
          <w:b/>
          <w:szCs w:val="24"/>
        </w:rPr>
        <w:t>13</w:t>
      </w:r>
      <w:r w:rsidRPr="00E27354">
        <w:rPr>
          <w:rFonts w:asciiTheme="minorHAnsi" w:hAnsiTheme="minorHAnsi"/>
          <w:szCs w:val="24"/>
        </w:rPr>
        <w:t>:</w:t>
      </w:r>
      <w:proofErr w:type="gramEnd"/>
      <w:r w:rsidRPr="00E27354">
        <w:rPr>
          <w:rFonts w:asciiTheme="minorHAnsi" w:hAnsiTheme="minorHAnsi"/>
          <w:bCs/>
          <w:szCs w:val="24"/>
        </w:rPr>
        <w:t xml:space="preserve"> </w:t>
      </w:r>
      <w:r w:rsidR="00B168F0" w:rsidRPr="00E27354">
        <w:rPr>
          <w:rFonts w:asciiTheme="minorHAnsi" w:hAnsiTheme="minorHAnsi"/>
          <w:bCs/>
          <w:szCs w:val="24"/>
        </w:rPr>
        <w:t>Certains membres ont proposé que les discussions sur cette Article mettent davantage l</w:t>
      </w:r>
      <w:r w:rsidR="00622BAC" w:rsidRPr="00E27354">
        <w:rPr>
          <w:rFonts w:asciiTheme="minorHAnsi" w:hAnsiTheme="minorHAnsi"/>
          <w:bCs/>
          <w:szCs w:val="24"/>
        </w:rPr>
        <w:t>'</w:t>
      </w:r>
      <w:r w:rsidR="00B168F0" w:rsidRPr="00E27354">
        <w:rPr>
          <w:rFonts w:asciiTheme="minorHAnsi" w:hAnsiTheme="minorHAnsi"/>
          <w:bCs/>
          <w:szCs w:val="24"/>
        </w:rPr>
        <w:t>accent sur son importance pour</w:t>
      </w:r>
      <w:r w:rsidR="00BB4B2A" w:rsidRPr="00E27354">
        <w:rPr>
          <w:rFonts w:asciiTheme="minorHAnsi" w:hAnsiTheme="minorHAnsi"/>
          <w:bCs/>
          <w:szCs w:val="24"/>
        </w:rPr>
        <w:t xml:space="preserve"> </w:t>
      </w:r>
      <w:r w:rsidR="00B168F0" w:rsidRPr="00E27354">
        <w:rPr>
          <w:rFonts w:asciiTheme="minorHAnsi" w:hAnsiTheme="minorHAnsi"/>
          <w:bCs/>
          <w:szCs w:val="24"/>
        </w:rPr>
        <w:t>l</w:t>
      </w:r>
      <w:r w:rsidR="00622BAC" w:rsidRPr="00E27354">
        <w:rPr>
          <w:rFonts w:asciiTheme="minorHAnsi" w:hAnsiTheme="minorHAnsi"/>
          <w:bCs/>
          <w:szCs w:val="24"/>
        </w:rPr>
        <w:t>'</w:t>
      </w:r>
      <w:r w:rsidR="00B168F0" w:rsidRPr="00E27354">
        <w:rPr>
          <w:rFonts w:asciiTheme="minorHAnsi" w:hAnsiTheme="minorHAnsi"/>
          <w:bCs/>
          <w:szCs w:val="24"/>
        </w:rPr>
        <w:t>écosystème des télécommunications internationales.</w:t>
      </w:r>
    </w:p>
    <w:p w14:paraId="46BD634A" w14:textId="622BF020" w:rsidR="0023668D" w:rsidRPr="00E27354" w:rsidRDefault="0023668D" w:rsidP="00F44A82">
      <w:pPr>
        <w:rPr>
          <w:rFonts w:asciiTheme="minorHAnsi" w:hAnsiTheme="minorHAnsi"/>
          <w:szCs w:val="24"/>
        </w:rPr>
      </w:pPr>
      <w:r w:rsidRPr="00E27354">
        <w:t xml:space="preserve">Pour certains membres, le libellé actuel figurant dans la colonne </w:t>
      </w:r>
      <w:r w:rsidR="00AC0F2E">
        <w:t>"</w:t>
      </w:r>
      <w:r w:rsidRPr="00E27354">
        <w:t>Résumé des résultats</w:t>
      </w:r>
      <w:r w:rsidR="00AC0F2E">
        <w:t>"</w:t>
      </w:r>
      <w:r w:rsidRPr="00E27354">
        <w:t xml:space="preserve"> est suffisamment large pour rendre compte des différents points de vue au sein du Groupe et les Vice</w:t>
      </w:r>
      <w:r w:rsidRPr="00E27354">
        <w:noBreakHyphen/>
        <w:t>Présidents pourraient rendre compte des contributions et discussions de manière plus précise dans les colonnes consacrées à l</w:t>
      </w:r>
      <w:r w:rsidR="00622BAC" w:rsidRPr="00E27354">
        <w:t>'</w:t>
      </w:r>
      <w:r w:rsidRPr="00E27354">
        <w:t>applicabilité et à la souplesse.</w:t>
      </w:r>
    </w:p>
    <w:p w14:paraId="428992AB" w14:textId="02CA05AB" w:rsidR="00DA34E6" w:rsidRPr="00E27354" w:rsidRDefault="00DA34E6" w:rsidP="00F44A82">
      <w:pPr>
        <w:rPr>
          <w:rFonts w:asciiTheme="minorHAnsi" w:hAnsiTheme="minorHAnsi"/>
          <w:szCs w:val="24"/>
        </w:rPr>
      </w:pPr>
      <w:r w:rsidRPr="00E27354">
        <w:rPr>
          <w:rFonts w:asciiTheme="minorHAnsi" w:hAnsiTheme="minorHAnsi"/>
          <w:b/>
          <w:bCs/>
          <w:szCs w:val="24"/>
        </w:rPr>
        <w:t>e)</w:t>
      </w:r>
      <w:r w:rsidRPr="00E27354">
        <w:rPr>
          <w:rFonts w:asciiTheme="minorHAnsi" w:hAnsiTheme="minorHAnsi"/>
          <w:b/>
          <w:bCs/>
          <w:szCs w:val="24"/>
        </w:rPr>
        <w:tab/>
      </w:r>
      <w:bookmarkStart w:id="19" w:name="_Hlk68776523"/>
      <w:r w:rsidRPr="00E27354">
        <w:rPr>
          <w:rFonts w:asciiTheme="minorHAnsi" w:hAnsiTheme="minorHAnsi"/>
          <w:b/>
          <w:bCs/>
          <w:szCs w:val="24"/>
        </w:rPr>
        <w:t xml:space="preserve">Article </w:t>
      </w:r>
      <w:proofErr w:type="gramStart"/>
      <w:r w:rsidRPr="00E27354">
        <w:rPr>
          <w:rFonts w:asciiTheme="minorHAnsi" w:hAnsiTheme="minorHAnsi"/>
          <w:b/>
          <w:bCs/>
          <w:szCs w:val="24"/>
        </w:rPr>
        <w:t>14</w:t>
      </w:r>
      <w:r w:rsidRPr="00E27354">
        <w:rPr>
          <w:rFonts w:asciiTheme="minorHAnsi" w:hAnsiTheme="minorHAnsi"/>
          <w:bCs/>
          <w:szCs w:val="24"/>
        </w:rPr>
        <w:t>:</w:t>
      </w:r>
      <w:proofErr w:type="gramEnd"/>
      <w:r w:rsidRPr="00E27354">
        <w:rPr>
          <w:rFonts w:asciiTheme="minorHAnsi" w:hAnsiTheme="minorHAnsi"/>
          <w:szCs w:val="24"/>
        </w:rPr>
        <w:t xml:space="preserve"> </w:t>
      </w:r>
      <w:r w:rsidR="005A5257" w:rsidRPr="00E27354">
        <w:rPr>
          <w:rFonts w:asciiTheme="minorHAnsi" w:hAnsiTheme="minorHAnsi"/>
          <w:szCs w:val="24"/>
        </w:rPr>
        <w:t>Certains membres ont estimé que</w:t>
      </w:r>
      <w:r w:rsidR="00BB4B2A" w:rsidRPr="00E27354">
        <w:rPr>
          <w:rFonts w:asciiTheme="minorHAnsi" w:hAnsiTheme="minorHAnsi"/>
          <w:szCs w:val="24"/>
        </w:rPr>
        <w:t xml:space="preserve"> les critères </w:t>
      </w:r>
      <w:bookmarkStart w:id="20" w:name="_Hlk69288519"/>
      <w:r w:rsidR="00BB4B2A" w:rsidRPr="00E27354">
        <w:rPr>
          <w:rFonts w:asciiTheme="minorHAnsi" w:hAnsiTheme="minorHAnsi"/>
          <w:szCs w:val="24"/>
        </w:rPr>
        <w:t>"</w:t>
      </w:r>
      <w:r w:rsidR="005A5257" w:rsidRPr="00E27354">
        <w:rPr>
          <w:rFonts w:asciiTheme="minorHAnsi" w:hAnsiTheme="minorHAnsi"/>
          <w:i/>
          <w:iCs/>
          <w:szCs w:val="24"/>
        </w:rPr>
        <w:t>A</w:t>
      </w:r>
      <w:r w:rsidR="00BB4B2A" w:rsidRPr="00E27354">
        <w:rPr>
          <w:rFonts w:asciiTheme="minorHAnsi" w:hAnsiTheme="minorHAnsi"/>
          <w:i/>
          <w:iCs/>
          <w:szCs w:val="24"/>
        </w:rPr>
        <w:t xml:space="preserve">pplicabilité </w:t>
      </w:r>
      <w:r w:rsidR="00BB4B2A" w:rsidRPr="00E27354">
        <w:rPr>
          <w:i/>
          <w:iCs/>
        </w:rPr>
        <w:t xml:space="preserve">pour ce qui est </w:t>
      </w:r>
      <w:bookmarkEnd w:id="20"/>
      <w:r w:rsidR="00BB4B2A" w:rsidRPr="00E27354">
        <w:rPr>
          <w:i/>
          <w:iCs/>
        </w:rPr>
        <w:t>de favoriser la fourniture et le développement des réseaux et des services</w:t>
      </w:r>
      <w:r w:rsidR="00BB4B2A" w:rsidRPr="00E27354">
        <w:t>" et "</w:t>
      </w:r>
      <w:r w:rsidR="005A5257" w:rsidRPr="00E27354">
        <w:rPr>
          <w:i/>
          <w:iCs/>
        </w:rPr>
        <w:t>S</w:t>
      </w:r>
      <w:r w:rsidR="00BB4B2A" w:rsidRPr="00E27354">
        <w:rPr>
          <w:i/>
          <w:iCs/>
        </w:rPr>
        <w:t>ouplesse pour tenir compte des nouvelles tendances et des nouveaux problèmes qui se font jour</w:t>
      </w:r>
      <w:r w:rsidR="00BB4B2A" w:rsidRPr="00E27354">
        <w:t xml:space="preserve">" ne sont pas pertinents pour ces dispositions étant donné </w:t>
      </w:r>
      <w:r w:rsidR="005A5257" w:rsidRPr="00E27354">
        <w:t>que celles-ci</w:t>
      </w:r>
      <w:r w:rsidR="00BB4B2A" w:rsidRPr="00E27354">
        <w:t xml:space="preserve"> traitent des modalités de mise en œuvre du traité</w:t>
      </w:r>
      <w:r w:rsidR="005A5257" w:rsidRPr="00E27354">
        <w:t>,</w:t>
      </w:r>
      <w:r w:rsidR="00BB4B2A" w:rsidRPr="00E27354">
        <w:t xml:space="preserve"> et ont demandé l</w:t>
      </w:r>
      <w:r w:rsidR="00622BAC" w:rsidRPr="00E27354">
        <w:t>'</w:t>
      </w:r>
      <w:r w:rsidR="00BB4B2A" w:rsidRPr="00E27354">
        <w:t>avis du Conseiller juridique de l</w:t>
      </w:r>
      <w:r w:rsidR="00622BAC" w:rsidRPr="00E27354">
        <w:t>'</w:t>
      </w:r>
      <w:r w:rsidR="00BB4B2A" w:rsidRPr="00E27354">
        <w:t>UIT sur cette question.</w:t>
      </w:r>
    </w:p>
    <w:p w14:paraId="0B1D8ED2" w14:textId="45AA5F15" w:rsidR="0088044F" w:rsidRPr="00E27354" w:rsidRDefault="00EB1E00" w:rsidP="00F44A82">
      <w:r w:rsidRPr="00E27354">
        <w:t>De l</w:t>
      </w:r>
      <w:r w:rsidR="00622BAC" w:rsidRPr="00E27354">
        <w:t>'</w:t>
      </w:r>
      <w:r w:rsidRPr="00E27354">
        <w:t>avis de certains membres,</w:t>
      </w:r>
      <w:r w:rsidR="0088044F" w:rsidRPr="00E27354">
        <w:t xml:space="preserve"> les participants à la réunion devraient s</w:t>
      </w:r>
      <w:r w:rsidR="00622BAC" w:rsidRPr="00E27354">
        <w:t>'</w:t>
      </w:r>
      <w:r w:rsidR="0088044F" w:rsidRPr="00E27354">
        <w:t>abstenir d</w:t>
      </w:r>
      <w:r w:rsidR="00622BAC" w:rsidRPr="00E27354">
        <w:t>'</w:t>
      </w:r>
      <w:r w:rsidR="0088044F" w:rsidRPr="00E27354">
        <w:t>examiner l</w:t>
      </w:r>
      <w:r w:rsidR="00622BAC" w:rsidRPr="00E27354">
        <w:t>'</w:t>
      </w:r>
      <w:r w:rsidR="0088044F" w:rsidRPr="00E27354">
        <w:t>applicabilité sur le plan juridique de ces disposition, puisque ces questions ne relèvent pas du mandat du Groupe</w:t>
      </w:r>
      <w:r w:rsidR="002607B6" w:rsidRPr="00E27354">
        <w:t>,</w:t>
      </w:r>
      <w:r w:rsidR="00BB4B2A" w:rsidRPr="00E27354">
        <w:t xml:space="preserve"> et</w:t>
      </w:r>
      <w:r w:rsidR="0088044F" w:rsidRPr="00E27354">
        <w:t xml:space="preserve"> les critères d</w:t>
      </w:r>
      <w:r w:rsidR="00622BAC" w:rsidRPr="00E27354">
        <w:t>'</w:t>
      </w:r>
      <w:r w:rsidR="0088044F" w:rsidRPr="00E27354">
        <w:t xml:space="preserve">examen </w:t>
      </w:r>
      <w:r w:rsidR="005A5257" w:rsidRPr="00E27354">
        <w:t>"</w:t>
      </w:r>
      <w:r w:rsidR="005A5257" w:rsidRPr="00AC0F2E">
        <w:rPr>
          <w:i/>
          <w:iCs/>
        </w:rPr>
        <w:t>A</w:t>
      </w:r>
      <w:r w:rsidR="0088044F" w:rsidRPr="00AC0F2E">
        <w:rPr>
          <w:i/>
          <w:iCs/>
        </w:rPr>
        <w:t>pplicabilité pour ce qui est de favoriser la fourniture et le développement des réseaux et des services</w:t>
      </w:r>
      <w:r w:rsidR="0088044F" w:rsidRPr="00E27354">
        <w:t>" et "</w:t>
      </w:r>
      <w:r w:rsidR="005A5257" w:rsidRPr="00AC0F2E">
        <w:rPr>
          <w:i/>
          <w:iCs/>
        </w:rPr>
        <w:t>S</w:t>
      </w:r>
      <w:r w:rsidR="0088044F" w:rsidRPr="00AC0F2E">
        <w:rPr>
          <w:i/>
          <w:iCs/>
        </w:rPr>
        <w:t>ouplesse pour tenir compte des nouvelles tendances et des nouveaux problèmes qui se font jour</w:t>
      </w:r>
      <w:r w:rsidR="0088044F" w:rsidRPr="00E27354">
        <w:t>"</w:t>
      </w:r>
      <w:r w:rsidR="00BB4B2A" w:rsidRPr="00E27354">
        <w:t xml:space="preserve"> restent pertinents à l</w:t>
      </w:r>
      <w:r w:rsidR="00622BAC" w:rsidRPr="00E27354">
        <w:t>'</w:t>
      </w:r>
      <w:r w:rsidR="00BB4B2A" w:rsidRPr="00E27354">
        <w:t>égard des dispositions de l</w:t>
      </w:r>
      <w:r w:rsidR="00622BAC" w:rsidRPr="00E27354">
        <w:t>'</w:t>
      </w:r>
      <w:r w:rsidR="00BB4B2A" w:rsidRPr="00E27354">
        <w:t xml:space="preserve">Article 14. </w:t>
      </w:r>
      <w:r w:rsidR="002607B6" w:rsidRPr="00E27354">
        <w:t>Ces membres</w:t>
      </w:r>
      <w:r w:rsidR="00F03330" w:rsidRPr="00E27354">
        <w:t xml:space="preserve"> ont demandé que leurs vues sur ce point soient consignées en conséquence dans le Tableau d</w:t>
      </w:r>
      <w:r w:rsidR="00622BAC" w:rsidRPr="00E27354">
        <w:t>'</w:t>
      </w:r>
      <w:r w:rsidR="00F03330" w:rsidRPr="00E27354">
        <w:t>examen.</w:t>
      </w:r>
    </w:p>
    <w:bookmarkEnd w:id="19"/>
    <w:p w14:paraId="67F5884F" w14:textId="21BB01AB" w:rsidR="00DA34E6" w:rsidRPr="00E27354" w:rsidRDefault="00DA34E6" w:rsidP="00F44A82">
      <w:pPr>
        <w:pStyle w:val="Heading1"/>
      </w:pPr>
      <w:r w:rsidRPr="00E27354">
        <w:lastRenderedPageBreak/>
        <w:t>4</w:t>
      </w:r>
      <w:r w:rsidRPr="00E27354">
        <w:tab/>
      </w:r>
      <w:r w:rsidR="0023668D" w:rsidRPr="00E27354">
        <w:t>Examen des prochaines étapes</w:t>
      </w:r>
    </w:p>
    <w:p w14:paraId="1AF35A8A" w14:textId="23E5DED6" w:rsidR="00217597" w:rsidRPr="00E27354" w:rsidRDefault="005A6DF9" w:rsidP="00F44A82">
      <w:pPr>
        <w:keepNext/>
        <w:keepLines/>
      </w:pPr>
      <w:r w:rsidRPr="00E27354">
        <w:t>Les participants ont examiné et approuvé le présent rapport, dans l</w:t>
      </w:r>
      <w:r w:rsidR="00622BAC" w:rsidRPr="00E27354">
        <w:t>'</w:t>
      </w:r>
      <w:r w:rsidRPr="00E27354">
        <w:t>attente de l</w:t>
      </w:r>
      <w:r w:rsidR="00622BAC" w:rsidRPr="00E27354">
        <w:t>'</w:t>
      </w:r>
      <w:r w:rsidRPr="00E27354">
        <w:t>examen et de l</w:t>
      </w:r>
      <w:r w:rsidR="00622BAC" w:rsidRPr="00E27354">
        <w:t>'</w:t>
      </w:r>
      <w:r w:rsidRPr="00E27354">
        <w:t>approbation de l</w:t>
      </w:r>
      <w:r w:rsidR="00622BAC" w:rsidRPr="00E27354">
        <w:t>'</w:t>
      </w:r>
      <w:r w:rsidRPr="00E27354">
        <w:t>Annexe qui y sera</w:t>
      </w:r>
      <w:r w:rsidR="005A5257" w:rsidRPr="00E27354">
        <w:t>it</w:t>
      </w:r>
      <w:r w:rsidRPr="00E27354">
        <w:t xml:space="preserve"> joint</w:t>
      </w:r>
      <w:r w:rsidR="005A5257" w:rsidRPr="00E27354">
        <w:t>e</w:t>
      </w:r>
      <w:r w:rsidRPr="00E27354">
        <w:t xml:space="preserve">. </w:t>
      </w:r>
      <w:bookmarkStart w:id="21" w:name="lt_pId238"/>
      <w:r w:rsidR="00217597" w:rsidRPr="00E27354">
        <w:t xml:space="preserve">Conformément à la pratique, le Président a proposé que le </w:t>
      </w:r>
      <w:r w:rsidRPr="00E27354">
        <w:t>Tableau d</w:t>
      </w:r>
      <w:r w:rsidR="00622BAC" w:rsidRPr="00E27354">
        <w:t>'</w:t>
      </w:r>
      <w:r w:rsidRPr="00E27354">
        <w:t>examen (</w:t>
      </w:r>
      <w:r w:rsidR="005A5257" w:rsidRPr="00E27354">
        <w:t xml:space="preserve">Articles </w:t>
      </w:r>
      <w:r w:rsidRPr="00E27354">
        <w:t>9</w:t>
      </w:r>
      <w:r w:rsidR="005A5257" w:rsidRPr="00E27354">
        <w:t xml:space="preserve"> à </w:t>
      </w:r>
      <w:r w:rsidRPr="00E27354">
        <w:t xml:space="preserve">14/Appendice 2) en Annexe ci-après, soit rempli par correspondance par les Vice-Présidents </w:t>
      </w:r>
      <w:r w:rsidR="00217597" w:rsidRPr="00E27354">
        <w:t>afin que ceux-ci le diffusent dans leur région/leurs réseaux pour examen selon la procédure convenue pendant la réunion</w:t>
      </w:r>
      <w:bookmarkEnd w:id="21"/>
      <w:r w:rsidR="00217597" w:rsidRPr="00E27354">
        <w:t xml:space="preserve"> </w:t>
      </w:r>
      <w:bookmarkStart w:id="22" w:name="lt_pId239"/>
      <w:r w:rsidR="00217597" w:rsidRPr="00E27354">
        <w:rPr>
          <w:bCs/>
        </w:rPr>
        <w:t>(</w:t>
      </w:r>
      <w:hyperlink r:id="rId16">
        <w:r w:rsidR="00217597" w:rsidRPr="00E27354">
          <w:rPr>
            <w:rStyle w:val="Hyperlink"/>
            <w:bCs/>
          </w:rPr>
          <w:t>Document EG-ITRs-4/DL/2-E</w:t>
        </w:r>
      </w:hyperlink>
      <w:r w:rsidR="00217597" w:rsidRPr="00E27354">
        <w:rPr>
          <w:bCs/>
        </w:rPr>
        <w:t xml:space="preserve">). Une synthèse </w:t>
      </w:r>
      <w:r w:rsidRPr="00E27354">
        <w:rPr>
          <w:bCs/>
        </w:rPr>
        <w:t>des</w:t>
      </w:r>
      <w:r w:rsidR="00217597" w:rsidRPr="00E27354">
        <w:t xml:space="preserve"> rapports de</w:t>
      </w:r>
      <w:r w:rsidRPr="00E27354">
        <w:t>s</w:t>
      </w:r>
      <w:r w:rsidR="00217597" w:rsidRPr="00E27354">
        <w:t xml:space="preserve"> réunions</w:t>
      </w:r>
      <w:r w:rsidR="00217597" w:rsidRPr="00E27354">
        <w:rPr>
          <w:bCs/>
        </w:rPr>
        <w:t xml:space="preserve"> </w:t>
      </w:r>
      <w:r w:rsidR="00217597" w:rsidRPr="00E27354">
        <w:t xml:space="preserve">tenues </w:t>
      </w:r>
      <w:r w:rsidRPr="00E27354">
        <w:t>en septembre 2020 et février 2021</w:t>
      </w:r>
      <w:r w:rsidR="00217597" w:rsidRPr="00E27354">
        <w:t xml:space="preserve"> qui prendra la forme d</w:t>
      </w:r>
      <w:r w:rsidR="00622BAC" w:rsidRPr="00E27354">
        <w:t>'</w:t>
      </w:r>
      <w:r w:rsidR="00217597" w:rsidRPr="00E27354">
        <w:t>un rapport d</w:t>
      </w:r>
      <w:r w:rsidR="00622BAC" w:rsidRPr="00E27354">
        <w:t>'</w:t>
      </w:r>
      <w:r w:rsidR="00217597" w:rsidRPr="00E27354">
        <w:t>activité sera élaborée et présentée au Conseil à sa prochaine session.</w:t>
      </w:r>
      <w:bookmarkEnd w:id="22"/>
    </w:p>
    <w:p w14:paraId="2DD26C36" w14:textId="5F1FC940" w:rsidR="00217597" w:rsidRPr="00E27354" w:rsidRDefault="00DA34E6" w:rsidP="00F44A82">
      <w:pPr>
        <w:pStyle w:val="Heading1"/>
      </w:pPr>
      <w:r w:rsidRPr="00E27354">
        <w:t>5</w:t>
      </w:r>
      <w:r w:rsidRPr="00E27354">
        <w:tab/>
      </w:r>
      <w:bookmarkStart w:id="23" w:name="lt_pId250"/>
      <w:r w:rsidR="00217597" w:rsidRPr="00E27354">
        <w:t>Clôture de la réunion</w:t>
      </w:r>
      <w:bookmarkEnd w:id="23"/>
    </w:p>
    <w:p w14:paraId="7C8E2715" w14:textId="32098D4C" w:rsidR="00217597" w:rsidRPr="00E27354" w:rsidRDefault="00217597" w:rsidP="00F44A82">
      <w:pPr>
        <w:rPr>
          <w:b/>
        </w:rPr>
      </w:pPr>
      <w:bookmarkStart w:id="24" w:name="lt_pId251"/>
      <w:r w:rsidRPr="00E27354">
        <w:t>En conclusion, le Président a remercié tous les États Membres et tous les Membres de Secteur de l</w:t>
      </w:r>
      <w:r w:rsidR="00622BAC" w:rsidRPr="00E27354">
        <w:t>'</w:t>
      </w:r>
      <w:r w:rsidRPr="00E27354">
        <w:t>UIT ayant présenté des contributions et participé aux travaux du Groupe d</w:t>
      </w:r>
      <w:r w:rsidR="00622BAC" w:rsidRPr="00E27354">
        <w:t>'</w:t>
      </w:r>
      <w:r w:rsidRPr="00E27354">
        <w:t>experts, les Vice</w:t>
      </w:r>
      <w:r w:rsidRPr="00E27354">
        <w:noBreakHyphen/>
        <w:t>Présidents ainsi que les fonctionnaires élus de l</w:t>
      </w:r>
      <w:r w:rsidR="00622BAC" w:rsidRPr="00E27354">
        <w:t>'</w:t>
      </w:r>
      <w:r w:rsidRPr="00E27354">
        <w:t>UIT, ainsi que le secrétariat et les interprètes, pour leur précieux concours pendant la réunion.</w:t>
      </w:r>
      <w:bookmarkEnd w:id="24"/>
    </w:p>
    <w:p w14:paraId="747E5E2A" w14:textId="32C35C93" w:rsidR="00217597" w:rsidRPr="00E27354" w:rsidRDefault="00217597" w:rsidP="00F44A82">
      <w:pPr>
        <w:rPr>
          <w:b/>
        </w:rPr>
      </w:pPr>
      <w:bookmarkStart w:id="25" w:name="lt_pId252"/>
      <w:r w:rsidRPr="00E27354">
        <w:t>Le Groupe a remercié le Président et le secrétariat pour l</w:t>
      </w:r>
      <w:r w:rsidR="00622BAC" w:rsidRPr="00E27354">
        <w:t>'</w:t>
      </w:r>
      <w:r w:rsidRPr="00E27354">
        <w:t>efficacité de l</w:t>
      </w:r>
      <w:r w:rsidR="00622BAC" w:rsidRPr="00E27354">
        <w:t>'</w:t>
      </w:r>
      <w:r w:rsidRPr="00E27354">
        <w:t>organisation et de la gestion des travaux du Groupe.</w:t>
      </w:r>
      <w:bookmarkEnd w:id="25"/>
    </w:p>
    <w:p w14:paraId="7B5CA213" w14:textId="0F8018B5" w:rsidR="00DA34E6" w:rsidRPr="00E27354" w:rsidRDefault="00217597" w:rsidP="00F44A82">
      <w:pPr>
        <w:spacing w:before="360" w:after="120"/>
        <w:outlineLvl w:val="0"/>
        <w:rPr>
          <w:b/>
          <w:bCs/>
        </w:rPr>
      </w:pPr>
      <w:bookmarkStart w:id="26" w:name="lt_pId253"/>
      <w:proofErr w:type="gramStart"/>
      <w:r w:rsidRPr="00E27354">
        <w:rPr>
          <w:b/>
          <w:bCs/>
        </w:rPr>
        <w:t>Président:</w:t>
      </w:r>
      <w:proofErr w:type="gramEnd"/>
      <w:r w:rsidRPr="00E27354">
        <w:rPr>
          <w:b/>
          <w:bCs/>
        </w:rPr>
        <w:t xml:space="preserve"> M. </w:t>
      </w:r>
      <w:proofErr w:type="spellStart"/>
      <w:r w:rsidRPr="00E27354">
        <w:rPr>
          <w:b/>
          <w:bCs/>
        </w:rPr>
        <w:t>Lwando</w:t>
      </w:r>
      <w:proofErr w:type="spellEnd"/>
      <w:r w:rsidRPr="00E27354">
        <w:rPr>
          <w:b/>
          <w:bCs/>
        </w:rPr>
        <w:t xml:space="preserve"> </w:t>
      </w:r>
      <w:proofErr w:type="spellStart"/>
      <w:r w:rsidRPr="00E27354">
        <w:rPr>
          <w:b/>
          <w:bCs/>
        </w:rPr>
        <w:t>Bbuku</w:t>
      </w:r>
      <w:proofErr w:type="spellEnd"/>
      <w:r w:rsidRPr="00E27354">
        <w:rPr>
          <w:b/>
          <w:bCs/>
        </w:rPr>
        <w:t xml:space="preserve"> (Zambie)</w:t>
      </w:r>
      <w:bookmarkEnd w:id="26"/>
    </w:p>
    <w:p w14:paraId="40409831" w14:textId="77777777" w:rsidR="0081493E" w:rsidRPr="00E27354" w:rsidRDefault="0081493E" w:rsidP="00F44A82">
      <w:pPr>
        <w:spacing w:before="360" w:after="120"/>
        <w:outlineLvl w:val="0"/>
        <w:rPr>
          <w:rFonts w:asciiTheme="minorHAnsi" w:hAnsiTheme="minorHAnsi"/>
          <w:b/>
          <w:szCs w:val="24"/>
        </w:rPr>
      </w:pPr>
    </w:p>
    <w:p w14:paraId="2BC2BDBF" w14:textId="77777777" w:rsidR="00DA34E6" w:rsidRPr="00E27354" w:rsidRDefault="00DA34E6" w:rsidP="00F44A82">
      <w:pPr>
        <w:rPr>
          <w:rFonts w:asciiTheme="minorHAnsi" w:hAnsiTheme="minorHAnsi"/>
          <w:b/>
          <w:szCs w:val="24"/>
        </w:rPr>
        <w:sectPr w:rsidR="00DA34E6" w:rsidRPr="00E27354" w:rsidSect="00FD0441">
          <w:headerReference w:type="default" r:id="rId17"/>
          <w:footerReference w:type="default" r:id="rId18"/>
          <w:footerReference w:type="first" r:id="rId19"/>
          <w:pgSz w:w="11909" w:h="16834" w:code="9"/>
          <w:pgMar w:top="1418" w:right="1134" w:bottom="1418" w:left="1134" w:header="720" w:footer="720" w:gutter="0"/>
          <w:pgNumType w:start="1"/>
          <w:cols w:space="720"/>
          <w:titlePg/>
          <w:docGrid w:linePitch="299"/>
        </w:sectPr>
      </w:pPr>
    </w:p>
    <w:p w14:paraId="37D7E795" w14:textId="7554D3CA" w:rsidR="003C2B39" w:rsidRPr="00E27354" w:rsidRDefault="00DA34E6" w:rsidP="00F44A82">
      <w:pPr>
        <w:spacing w:after="240"/>
        <w:jc w:val="center"/>
        <w:rPr>
          <w:b/>
        </w:rPr>
      </w:pPr>
      <w:r w:rsidRPr="00E27354">
        <w:rPr>
          <w:rFonts w:asciiTheme="minorHAnsi" w:hAnsiTheme="minorHAnsi" w:cstheme="majorHAnsi"/>
          <w:b/>
          <w:szCs w:val="24"/>
        </w:rPr>
        <w:lastRenderedPageBreak/>
        <w:t>Annex</w:t>
      </w:r>
      <w:r w:rsidR="001129FE" w:rsidRPr="00E27354">
        <w:rPr>
          <w:rFonts w:asciiTheme="minorHAnsi" w:hAnsiTheme="minorHAnsi" w:cstheme="majorHAnsi"/>
          <w:b/>
          <w:szCs w:val="24"/>
        </w:rPr>
        <w:t>e</w:t>
      </w:r>
      <w:r w:rsidRPr="00E27354">
        <w:rPr>
          <w:rFonts w:asciiTheme="minorHAnsi" w:hAnsiTheme="minorHAnsi" w:cstheme="majorHAnsi"/>
          <w:b/>
          <w:szCs w:val="24"/>
        </w:rPr>
        <w:t xml:space="preserve"> I</w:t>
      </w:r>
      <w:r w:rsidR="00DF0BD8" w:rsidRPr="00E27354">
        <w:rPr>
          <w:rFonts w:asciiTheme="minorHAnsi" w:hAnsiTheme="minorHAnsi" w:cstheme="majorHAnsi"/>
          <w:b/>
          <w:szCs w:val="24"/>
        </w:rPr>
        <w:br/>
      </w:r>
      <w:r w:rsidR="00DF0BD8" w:rsidRPr="00E27354">
        <w:rPr>
          <w:rFonts w:asciiTheme="minorHAnsi" w:hAnsiTheme="minorHAnsi" w:cstheme="majorHAnsi"/>
          <w:b/>
          <w:szCs w:val="24"/>
        </w:rPr>
        <w:br/>
      </w:r>
      <w:r w:rsidR="003C2B39" w:rsidRPr="00E27354">
        <w:rPr>
          <w:b/>
        </w:rPr>
        <w:t>Tableau d</w:t>
      </w:r>
      <w:r w:rsidR="00622BAC" w:rsidRPr="00E27354">
        <w:rPr>
          <w:b/>
        </w:rPr>
        <w:t>'</w:t>
      </w:r>
      <w:r w:rsidR="003C2B39" w:rsidRPr="00E27354">
        <w:rPr>
          <w:b/>
        </w:rPr>
        <w:t>examen (</w:t>
      </w:r>
      <w:r w:rsidR="001129FE" w:rsidRPr="00E27354">
        <w:rPr>
          <w:b/>
        </w:rPr>
        <w:t>9</w:t>
      </w:r>
      <w:r w:rsidR="003C2B39" w:rsidRPr="00E27354">
        <w:rPr>
          <w:b/>
        </w:rPr>
        <w:t>-</w:t>
      </w:r>
      <w:r w:rsidR="001129FE" w:rsidRPr="00E27354">
        <w:rPr>
          <w:b/>
        </w:rPr>
        <w:t>14</w:t>
      </w:r>
      <w:r w:rsidR="003C2B39" w:rsidRPr="00E27354">
        <w:rPr>
          <w:b/>
        </w:rPr>
        <w:t xml:space="preserve">/Appendice </w:t>
      </w:r>
      <w:r w:rsidR="001129FE" w:rsidRPr="00E27354">
        <w:rPr>
          <w:b/>
        </w:rPr>
        <w:t>2</w:t>
      </w:r>
      <w:r w:rsidR="003C2B39" w:rsidRPr="00E27354">
        <w:rPr>
          <w:b/>
        </w:rPr>
        <w:t>)</w:t>
      </w:r>
    </w:p>
    <w:tbl>
      <w:tblPr>
        <w:tblW w:w="151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800"/>
        <w:gridCol w:w="3560"/>
        <w:gridCol w:w="2911"/>
        <w:gridCol w:w="2554"/>
        <w:gridCol w:w="2375"/>
      </w:tblGrid>
      <w:tr w:rsidR="003F3E63" w:rsidRPr="00E27354" w14:paraId="34CA8AC9" w14:textId="77777777" w:rsidTr="007711C6">
        <w:trPr>
          <w:tblHeader/>
        </w:trPr>
        <w:tc>
          <w:tcPr>
            <w:tcW w:w="977" w:type="dxa"/>
          </w:tcPr>
          <w:p w14:paraId="70DC0B2E" w14:textId="77777777" w:rsidR="003C2B39" w:rsidRPr="00E27354" w:rsidRDefault="003C2B39" w:rsidP="00F44A82">
            <w:pPr>
              <w:pStyle w:val="Tablehead"/>
              <w:rPr>
                <w:rFonts w:asciiTheme="minorHAnsi" w:hAnsiTheme="minorHAnsi" w:cstheme="minorHAnsi"/>
                <w:sz w:val="20"/>
              </w:rPr>
            </w:pPr>
            <w:r w:rsidRPr="00E27354">
              <w:rPr>
                <w:sz w:val="20"/>
              </w:rPr>
              <w:t>Article de la version de 2012</w:t>
            </w:r>
          </w:p>
        </w:tc>
        <w:tc>
          <w:tcPr>
            <w:tcW w:w="2800" w:type="dxa"/>
          </w:tcPr>
          <w:p w14:paraId="44A5CB90" w14:textId="77777777" w:rsidR="003C2B39" w:rsidRPr="00E27354" w:rsidRDefault="003C2B39" w:rsidP="00F44A82">
            <w:pPr>
              <w:pStyle w:val="Tablehead"/>
              <w:rPr>
                <w:rFonts w:asciiTheme="minorHAnsi" w:hAnsiTheme="minorHAnsi" w:cstheme="minorHAnsi"/>
                <w:sz w:val="20"/>
              </w:rPr>
            </w:pPr>
            <w:bookmarkStart w:id="27" w:name="lt_pId258"/>
            <w:r w:rsidRPr="00E27354">
              <w:rPr>
                <w:sz w:val="20"/>
              </w:rPr>
              <w:t>Paragraphe et disposition</w:t>
            </w:r>
            <w:bookmarkEnd w:id="27"/>
          </w:p>
        </w:tc>
        <w:tc>
          <w:tcPr>
            <w:tcW w:w="3560" w:type="dxa"/>
          </w:tcPr>
          <w:p w14:paraId="277F23DD" w14:textId="46480286" w:rsidR="003C2B39" w:rsidRPr="00E27354" w:rsidRDefault="003C2B39" w:rsidP="00F44A82">
            <w:pPr>
              <w:pStyle w:val="Tablehead"/>
              <w:rPr>
                <w:rFonts w:asciiTheme="minorHAnsi" w:hAnsiTheme="minorHAnsi" w:cstheme="minorHAnsi"/>
                <w:sz w:val="20"/>
              </w:rPr>
            </w:pPr>
            <w:r w:rsidRPr="00E27354">
              <w:rPr>
                <w:sz w:val="20"/>
              </w:rPr>
              <w:t xml:space="preserve">Paragraphe et disposition correspondants dans </w:t>
            </w:r>
            <w:r w:rsidR="00AD60C0" w:rsidRPr="00E27354">
              <w:rPr>
                <w:sz w:val="20"/>
              </w:rPr>
              <w:br/>
            </w:r>
            <w:r w:rsidRPr="00E27354">
              <w:rPr>
                <w:sz w:val="20"/>
              </w:rPr>
              <w:t>la version de 1988</w:t>
            </w:r>
          </w:p>
        </w:tc>
        <w:tc>
          <w:tcPr>
            <w:tcW w:w="2911" w:type="dxa"/>
          </w:tcPr>
          <w:p w14:paraId="538F92E0" w14:textId="77777777" w:rsidR="003C2B39" w:rsidRPr="00E27354" w:rsidRDefault="003C2B39" w:rsidP="00F44A82">
            <w:pPr>
              <w:pStyle w:val="Tablehead"/>
              <w:rPr>
                <w:rFonts w:asciiTheme="minorHAnsi" w:hAnsiTheme="minorHAnsi" w:cstheme="minorHAnsi"/>
                <w:sz w:val="20"/>
              </w:rPr>
            </w:pPr>
            <w:r w:rsidRPr="00E27354">
              <w:rPr>
                <w:sz w:val="20"/>
              </w:rPr>
              <w:t>Applicabilité pour ce qui est de favoriser la fourniture et le développement des réseaux et des services</w:t>
            </w:r>
          </w:p>
        </w:tc>
        <w:tc>
          <w:tcPr>
            <w:tcW w:w="2554" w:type="dxa"/>
          </w:tcPr>
          <w:p w14:paraId="4602810D" w14:textId="77777777" w:rsidR="003C2B39" w:rsidRPr="00E27354" w:rsidRDefault="003C2B39" w:rsidP="00F44A82">
            <w:pPr>
              <w:pStyle w:val="Tablehead"/>
              <w:rPr>
                <w:rFonts w:asciiTheme="minorHAnsi" w:hAnsiTheme="minorHAnsi" w:cstheme="minorHAnsi"/>
                <w:sz w:val="20"/>
              </w:rPr>
            </w:pPr>
            <w:r w:rsidRPr="00E27354">
              <w:rPr>
                <w:sz w:val="20"/>
              </w:rPr>
              <w:t>Souplesse pour tenir compte des nouvelles tendances et des nouveaux problèmes qui se font jour</w:t>
            </w:r>
          </w:p>
        </w:tc>
        <w:tc>
          <w:tcPr>
            <w:tcW w:w="2375" w:type="dxa"/>
          </w:tcPr>
          <w:p w14:paraId="691DBC37" w14:textId="77777777" w:rsidR="003C2B39" w:rsidRPr="00E27354" w:rsidRDefault="003C2B39" w:rsidP="00F44A82">
            <w:pPr>
              <w:pStyle w:val="Tablehead"/>
              <w:rPr>
                <w:rFonts w:asciiTheme="minorHAnsi" w:hAnsiTheme="minorHAnsi" w:cstheme="minorHAnsi"/>
                <w:sz w:val="20"/>
              </w:rPr>
            </w:pPr>
            <w:r w:rsidRPr="00E27354">
              <w:rPr>
                <w:sz w:val="20"/>
              </w:rPr>
              <w:t>Résumé des résultats</w:t>
            </w:r>
          </w:p>
        </w:tc>
      </w:tr>
      <w:tr w:rsidR="003F3E63" w:rsidRPr="00E27354" w14:paraId="463DDDE7" w14:textId="77777777" w:rsidTr="00EC1CB3">
        <w:tc>
          <w:tcPr>
            <w:tcW w:w="977" w:type="dxa"/>
          </w:tcPr>
          <w:p w14:paraId="593AFDB6" w14:textId="7B35F2B1" w:rsidR="003C2B39" w:rsidRPr="00E27354" w:rsidRDefault="001215B7" w:rsidP="00F44A82">
            <w:pPr>
              <w:pStyle w:val="Tablehead"/>
              <w:spacing w:before="60"/>
              <w:rPr>
                <w:sz w:val="20"/>
              </w:rPr>
            </w:pPr>
            <w:r w:rsidRPr="00E27354">
              <w:rPr>
                <w:sz w:val="20"/>
              </w:rPr>
              <w:t>68</w:t>
            </w:r>
          </w:p>
        </w:tc>
        <w:tc>
          <w:tcPr>
            <w:tcW w:w="2800" w:type="dxa"/>
          </w:tcPr>
          <w:p w14:paraId="47240DE7" w14:textId="60582491" w:rsidR="003C2B39" w:rsidRPr="00E27354" w:rsidRDefault="001215B7" w:rsidP="007711C6">
            <w:pPr>
              <w:pStyle w:val="Tabletext"/>
              <w:rPr>
                <w:b/>
                <w:sz w:val="20"/>
                <w:lang w:eastAsia="zh-CN"/>
              </w:rPr>
            </w:pPr>
            <w:r w:rsidRPr="00E27354">
              <w:rPr>
                <w:b/>
                <w:sz w:val="20"/>
              </w:rPr>
              <w:t>9.1</w:t>
            </w:r>
            <w:r w:rsidRPr="00E27354">
              <w:rPr>
                <w:b/>
                <w:sz w:val="20"/>
              </w:rPr>
              <w:tab/>
              <w:t xml:space="preserve">Si un </w:t>
            </w:r>
            <w:r w:rsidR="007711C6" w:rsidRPr="007711C6">
              <w:rPr>
                <w:b/>
                <w:caps/>
                <w:sz w:val="20"/>
              </w:rPr>
              <w:t>é</w:t>
            </w:r>
            <w:r w:rsidRPr="00E27354">
              <w:rPr>
                <w:b/>
                <w:sz w:val="20"/>
              </w:rPr>
              <w:t>tat Membre exerce son droit conformément à la Constitution et à la Convention de suspendre les services internationaux de télécommunication partiellement ou totalement, il notifie immédiatement la suspension et le retour ultérieur aux conditions normales au Secrétaire général par les moyens de communication les plus appropriés.</w:t>
            </w:r>
          </w:p>
        </w:tc>
        <w:tc>
          <w:tcPr>
            <w:tcW w:w="3560" w:type="dxa"/>
          </w:tcPr>
          <w:p w14:paraId="4D362824" w14:textId="6CA71BAD" w:rsidR="003C2B39" w:rsidRPr="00E27354" w:rsidRDefault="001215B7" w:rsidP="00F44A82">
            <w:pPr>
              <w:pStyle w:val="Tabletext"/>
              <w:rPr>
                <w:sz w:val="20"/>
              </w:rPr>
            </w:pPr>
            <w:r w:rsidRPr="00E27354">
              <w:rPr>
                <w:sz w:val="20"/>
              </w:rPr>
              <w:t>7.1</w:t>
            </w:r>
            <w:r w:rsidRPr="00E27354">
              <w:rPr>
                <w:sz w:val="20"/>
              </w:rPr>
              <w:tab/>
              <w:t>Si un Membre exerce son droit conformément à la Convention de suspendre les services internationaux de télécommunication partiellement ou totalement, il notifie immédiatement la suspension et le retour subséquent aux conditions normales au Secrétaire général par les moyens de communication les plus appropriés.</w:t>
            </w:r>
          </w:p>
        </w:tc>
        <w:tc>
          <w:tcPr>
            <w:tcW w:w="2911" w:type="dxa"/>
          </w:tcPr>
          <w:p w14:paraId="651BB538" w14:textId="067AECC8" w:rsidR="001215B7" w:rsidRPr="00E27354" w:rsidRDefault="009256C6" w:rsidP="00F44A82">
            <w:pPr>
              <w:pStyle w:val="Tabletext"/>
              <w:rPr>
                <w:sz w:val="20"/>
              </w:rPr>
            </w:pPr>
            <w:r w:rsidRPr="00E27354">
              <w:rPr>
                <w:sz w:val="20"/>
              </w:rPr>
              <w:t>Certains membres ont estimé que cette disposition est applicable, également car il faut tenir compte de l</w:t>
            </w:r>
            <w:r w:rsidR="00622BAC" w:rsidRPr="00E27354">
              <w:rPr>
                <w:sz w:val="20"/>
              </w:rPr>
              <w:t>'</w:t>
            </w:r>
            <w:r w:rsidRPr="00E27354">
              <w:rPr>
                <w:sz w:val="20"/>
              </w:rPr>
              <w:t>importance d</w:t>
            </w:r>
            <w:r w:rsidR="00622BAC" w:rsidRPr="00E27354">
              <w:rPr>
                <w:sz w:val="20"/>
              </w:rPr>
              <w:t>'</w:t>
            </w:r>
            <w:r w:rsidRPr="00E27354">
              <w:rPr>
                <w:sz w:val="20"/>
              </w:rPr>
              <w:t>une coordination appropriée lorsque l</w:t>
            </w:r>
            <w:r w:rsidR="00622BAC" w:rsidRPr="00E27354">
              <w:rPr>
                <w:sz w:val="20"/>
              </w:rPr>
              <w:t>'</w:t>
            </w:r>
            <w:r w:rsidRPr="00E27354">
              <w:rPr>
                <w:sz w:val="20"/>
              </w:rPr>
              <w:t>on s</w:t>
            </w:r>
            <w:r w:rsidR="00622BAC" w:rsidRPr="00E27354">
              <w:rPr>
                <w:sz w:val="20"/>
              </w:rPr>
              <w:t>'</w:t>
            </w:r>
            <w:r w:rsidRPr="00E27354">
              <w:rPr>
                <w:sz w:val="20"/>
              </w:rPr>
              <w:t>attend à une suspension des services.</w:t>
            </w:r>
          </w:p>
          <w:p w14:paraId="7AF1B811" w14:textId="38C5BE70" w:rsidR="003C2B39" w:rsidRPr="00E27354" w:rsidRDefault="001A1D46" w:rsidP="00F44A82">
            <w:pPr>
              <w:pStyle w:val="Tabletext"/>
              <w:rPr>
                <w:sz w:val="20"/>
              </w:rPr>
            </w:pPr>
            <w:r w:rsidRPr="00E27354">
              <w:rPr>
                <w:sz w:val="20"/>
              </w:rPr>
              <w:t>Certains membres ont estimé que cette disposition n</w:t>
            </w:r>
            <w:r w:rsidR="00622BAC" w:rsidRPr="00E27354">
              <w:rPr>
                <w:sz w:val="20"/>
              </w:rPr>
              <w:t>'</w:t>
            </w:r>
            <w:r w:rsidRPr="00E27354">
              <w:rPr>
                <w:sz w:val="20"/>
              </w:rPr>
              <w:t>amène aucun bénéfice, est superflue ou est redondante avec les dispositions de la Constitution/Convention.</w:t>
            </w:r>
          </w:p>
        </w:tc>
        <w:tc>
          <w:tcPr>
            <w:tcW w:w="2554" w:type="dxa"/>
          </w:tcPr>
          <w:p w14:paraId="1564E180" w14:textId="411A7EFB" w:rsidR="003C2B39" w:rsidRPr="00E27354" w:rsidRDefault="003C2B39" w:rsidP="00F44A82">
            <w:pPr>
              <w:pStyle w:val="Tabletext"/>
              <w:rPr>
                <w:sz w:val="20"/>
              </w:rPr>
            </w:pPr>
            <w:r w:rsidRPr="00E27354">
              <w:rPr>
                <w:sz w:val="20"/>
              </w:rPr>
              <w:t>Certains membres ont estimé que cette disposition était suffisamment souple pour prendre en compte les nouvelles tendances et les nouveaux problèmes qui se font jour</w:t>
            </w:r>
            <w:r w:rsidR="00DB41A3" w:rsidRPr="00E27354">
              <w:rPr>
                <w:sz w:val="20"/>
              </w:rPr>
              <w:t xml:space="preserve"> pour différentes raisons comme la modernisation, la maintenance ou le contexte national.</w:t>
            </w:r>
          </w:p>
          <w:p w14:paraId="23635D2A" w14:textId="2F33C0CD" w:rsidR="001215B7" w:rsidRPr="00E27354" w:rsidRDefault="00DB41A3" w:rsidP="00F44A82">
            <w:pPr>
              <w:pStyle w:val="Tabletext"/>
              <w:rPr>
                <w:sz w:val="20"/>
              </w:rPr>
            </w:pPr>
            <w:r w:rsidRPr="00E27354">
              <w:rPr>
                <w:sz w:val="20"/>
              </w:rPr>
              <w:t>Certains membres ont estimé que cette disposition n</w:t>
            </w:r>
            <w:r w:rsidR="00622BAC" w:rsidRPr="00E27354">
              <w:rPr>
                <w:sz w:val="20"/>
              </w:rPr>
              <w:t>'</w:t>
            </w:r>
            <w:r w:rsidRPr="00E27354">
              <w:rPr>
                <w:sz w:val="20"/>
              </w:rPr>
              <w:t>amène aucun bénéfice, est obsolète ou est redondante avec les dispositions de la Constitution/Convention</w:t>
            </w:r>
            <w:r w:rsidR="001215B7" w:rsidRPr="00E27354">
              <w:rPr>
                <w:sz w:val="20"/>
              </w:rPr>
              <w:t>.</w:t>
            </w:r>
          </w:p>
        </w:tc>
        <w:tc>
          <w:tcPr>
            <w:tcW w:w="2375" w:type="dxa"/>
          </w:tcPr>
          <w:p w14:paraId="35F9E3AF" w14:textId="51FFBA15" w:rsidR="003C2B39" w:rsidRPr="00E27354" w:rsidRDefault="003C2B39" w:rsidP="00F44A82">
            <w:pPr>
              <w:pStyle w:val="Tabletext"/>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7D4474B2" w14:textId="394CB4D9" w:rsidR="003C2B39" w:rsidRPr="00E27354" w:rsidRDefault="003C2B39"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963190" w:rsidRPr="00E27354" w14:paraId="286DAD8F" w14:textId="77777777" w:rsidTr="00EC1CB3">
        <w:tc>
          <w:tcPr>
            <w:tcW w:w="977" w:type="dxa"/>
          </w:tcPr>
          <w:p w14:paraId="1089B483" w14:textId="0FF43E43" w:rsidR="00963190" w:rsidRPr="00E27354" w:rsidRDefault="00963190" w:rsidP="00F44A82">
            <w:pPr>
              <w:pStyle w:val="Tablehead"/>
              <w:spacing w:before="60"/>
              <w:rPr>
                <w:sz w:val="20"/>
              </w:rPr>
            </w:pPr>
            <w:r w:rsidRPr="00E27354">
              <w:rPr>
                <w:sz w:val="20"/>
              </w:rPr>
              <w:t>69</w:t>
            </w:r>
          </w:p>
        </w:tc>
        <w:tc>
          <w:tcPr>
            <w:tcW w:w="2800" w:type="dxa"/>
          </w:tcPr>
          <w:p w14:paraId="0DDED2D8" w14:textId="6EF3D02F" w:rsidR="00963190" w:rsidRPr="00E27354" w:rsidRDefault="00963190" w:rsidP="00F44A82">
            <w:pPr>
              <w:pStyle w:val="Tabletext"/>
              <w:rPr>
                <w:b/>
                <w:sz w:val="20"/>
              </w:rPr>
            </w:pPr>
            <w:r w:rsidRPr="00E27354">
              <w:rPr>
                <w:b/>
                <w:sz w:val="20"/>
              </w:rPr>
              <w:t>9.2</w:t>
            </w:r>
            <w:r w:rsidRPr="00E27354">
              <w:rPr>
                <w:b/>
                <w:sz w:val="20"/>
              </w:rPr>
              <w:tab/>
              <w:t xml:space="preserve">Le Secrétaire général communique immédiatement cette information à tous les autres </w:t>
            </w:r>
            <w:r w:rsidR="007711C6" w:rsidRPr="007711C6">
              <w:rPr>
                <w:b/>
                <w:caps/>
                <w:sz w:val="20"/>
              </w:rPr>
              <w:t>é</w:t>
            </w:r>
            <w:r w:rsidRPr="00E27354">
              <w:rPr>
                <w:b/>
                <w:sz w:val="20"/>
              </w:rPr>
              <w:t>tats Membres en utilisant les moyens de communication les plus appropriés.</w:t>
            </w:r>
          </w:p>
        </w:tc>
        <w:tc>
          <w:tcPr>
            <w:tcW w:w="3560" w:type="dxa"/>
          </w:tcPr>
          <w:p w14:paraId="384B665C" w14:textId="6F911D5E" w:rsidR="00963190" w:rsidRPr="00E27354" w:rsidRDefault="00963190" w:rsidP="00F44A82">
            <w:pPr>
              <w:pStyle w:val="Tabletext"/>
              <w:rPr>
                <w:sz w:val="20"/>
              </w:rPr>
            </w:pPr>
            <w:r w:rsidRPr="00E27354">
              <w:rPr>
                <w:sz w:val="20"/>
              </w:rPr>
              <w:t>7.2</w:t>
            </w:r>
            <w:r w:rsidRPr="00E27354">
              <w:rPr>
                <w:sz w:val="20"/>
              </w:rPr>
              <w:tab/>
              <w:t>Le Secrétaire général communique immédiatement cette information à tous les autres Membres en utilisant les moyens de communication les plus appropriés.</w:t>
            </w:r>
          </w:p>
        </w:tc>
        <w:tc>
          <w:tcPr>
            <w:tcW w:w="2911" w:type="dxa"/>
          </w:tcPr>
          <w:p w14:paraId="2D209443" w14:textId="1C3940F3" w:rsidR="00963190" w:rsidRPr="00E27354" w:rsidRDefault="00963190" w:rsidP="00F44A82">
            <w:pPr>
              <w:pStyle w:val="Tabletext"/>
              <w:rPr>
                <w:sz w:val="20"/>
              </w:rPr>
            </w:pPr>
            <w:r w:rsidRPr="00E27354">
              <w:rPr>
                <w:sz w:val="20"/>
              </w:rPr>
              <w:t>Certains membres ont estimé que cette disposition est applicable, également car il faut tenir compte de l</w:t>
            </w:r>
            <w:r w:rsidR="00622BAC" w:rsidRPr="00E27354">
              <w:rPr>
                <w:sz w:val="20"/>
              </w:rPr>
              <w:t>'</w:t>
            </w:r>
            <w:r w:rsidRPr="00E27354">
              <w:rPr>
                <w:sz w:val="20"/>
              </w:rPr>
              <w:t>importance d</w:t>
            </w:r>
            <w:r w:rsidR="00622BAC" w:rsidRPr="00E27354">
              <w:rPr>
                <w:sz w:val="20"/>
              </w:rPr>
              <w:t>'</w:t>
            </w:r>
            <w:r w:rsidRPr="00E27354">
              <w:rPr>
                <w:sz w:val="20"/>
              </w:rPr>
              <w:t>une coordination appropriée lorsque l</w:t>
            </w:r>
            <w:r w:rsidR="00622BAC" w:rsidRPr="00E27354">
              <w:rPr>
                <w:sz w:val="20"/>
              </w:rPr>
              <w:t>'</w:t>
            </w:r>
            <w:r w:rsidRPr="00E27354">
              <w:rPr>
                <w:sz w:val="20"/>
              </w:rPr>
              <w:t>on s</w:t>
            </w:r>
            <w:r w:rsidR="00622BAC" w:rsidRPr="00E27354">
              <w:rPr>
                <w:sz w:val="20"/>
              </w:rPr>
              <w:t>'</w:t>
            </w:r>
            <w:r w:rsidRPr="00E27354">
              <w:rPr>
                <w:sz w:val="20"/>
              </w:rPr>
              <w:t>attend à une suspension des services.</w:t>
            </w:r>
          </w:p>
          <w:p w14:paraId="3FA2B29C" w14:textId="734BE93D" w:rsidR="00963190" w:rsidRPr="00E27354" w:rsidRDefault="00963190" w:rsidP="00F44A82">
            <w:pPr>
              <w:pStyle w:val="Tabletext"/>
              <w:rPr>
                <w:sz w:val="20"/>
              </w:rPr>
            </w:pPr>
            <w:r w:rsidRPr="00E27354">
              <w:rPr>
                <w:sz w:val="20"/>
              </w:rPr>
              <w:t>Certains membres ont estimé que cette disposition n</w:t>
            </w:r>
            <w:r w:rsidR="00622BAC" w:rsidRPr="00E27354">
              <w:rPr>
                <w:sz w:val="20"/>
              </w:rPr>
              <w:t>'</w:t>
            </w:r>
            <w:r w:rsidRPr="00E27354">
              <w:rPr>
                <w:sz w:val="20"/>
              </w:rPr>
              <w:t xml:space="preserve">amène aucun bénéfice, est superflue ou </w:t>
            </w:r>
            <w:r w:rsidRPr="00E27354">
              <w:rPr>
                <w:sz w:val="20"/>
              </w:rPr>
              <w:lastRenderedPageBreak/>
              <w:t>est redondante avec les dispositions de la Constitution/Convention.</w:t>
            </w:r>
          </w:p>
        </w:tc>
        <w:tc>
          <w:tcPr>
            <w:tcW w:w="2554" w:type="dxa"/>
          </w:tcPr>
          <w:p w14:paraId="3F8AC497" w14:textId="77777777" w:rsidR="00963190" w:rsidRPr="00E27354" w:rsidRDefault="00963190" w:rsidP="00F44A82">
            <w:pPr>
              <w:pStyle w:val="Tabletext"/>
              <w:rPr>
                <w:sz w:val="20"/>
              </w:rPr>
            </w:pPr>
            <w:r w:rsidRPr="00E27354">
              <w:rPr>
                <w:sz w:val="20"/>
              </w:rPr>
              <w:lastRenderedPageBreak/>
              <w:t xml:space="preserve">Certains membres ont estimé que cette disposition était suffisamment souple pour prendre en compte les nouvelles tendances et les nouveaux problèmes qui se font jour pour différentes raisons comme la modernisation, la </w:t>
            </w:r>
            <w:r w:rsidRPr="00E27354">
              <w:rPr>
                <w:sz w:val="20"/>
              </w:rPr>
              <w:lastRenderedPageBreak/>
              <w:t>maintenance ou le contexte national.</w:t>
            </w:r>
          </w:p>
          <w:p w14:paraId="5FAAE6AF" w14:textId="2447E4AB" w:rsidR="00963190" w:rsidRPr="00E27354" w:rsidRDefault="00963190" w:rsidP="00F44A82">
            <w:pPr>
              <w:pStyle w:val="Tabletext"/>
              <w:rPr>
                <w:sz w:val="20"/>
              </w:rPr>
            </w:pPr>
            <w:r w:rsidRPr="00E27354">
              <w:rPr>
                <w:sz w:val="20"/>
              </w:rPr>
              <w:t>Certains membres ont estimé que cette disposition n</w:t>
            </w:r>
            <w:r w:rsidR="00622BAC" w:rsidRPr="00E27354">
              <w:rPr>
                <w:sz w:val="20"/>
              </w:rPr>
              <w:t>'</w:t>
            </w:r>
            <w:r w:rsidRPr="00E27354">
              <w:rPr>
                <w:sz w:val="20"/>
              </w:rPr>
              <w:t>amène aucun bénéfice, est superflue ou est redondante avec les dispositions de la Constitution/Convention.</w:t>
            </w:r>
          </w:p>
        </w:tc>
        <w:tc>
          <w:tcPr>
            <w:tcW w:w="2375" w:type="dxa"/>
          </w:tcPr>
          <w:p w14:paraId="4EA36AC4" w14:textId="6B305764" w:rsidR="00963190" w:rsidRPr="00E27354" w:rsidRDefault="00963190" w:rsidP="00F44A82">
            <w:pPr>
              <w:pStyle w:val="Tabletext"/>
              <w:keepNext/>
              <w:keepLines/>
              <w:rPr>
                <w:sz w:val="20"/>
              </w:rPr>
            </w:pPr>
            <w:r w:rsidRPr="00E27354">
              <w:rPr>
                <w:sz w:val="20"/>
              </w:rPr>
              <w:lastRenderedPageBreak/>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3A60A383" w14:textId="65E81E8D" w:rsidR="00963190" w:rsidRPr="00E27354" w:rsidRDefault="00963190"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 xml:space="preserve">elle </w:t>
            </w:r>
            <w:r w:rsidRPr="00E27354">
              <w:rPr>
                <w:sz w:val="20"/>
              </w:rPr>
              <w:lastRenderedPageBreak/>
              <w:t>n</w:t>
            </w:r>
            <w:r w:rsidR="00622BAC" w:rsidRPr="00E27354">
              <w:rPr>
                <w:sz w:val="20"/>
              </w:rPr>
              <w:t>'</w:t>
            </w:r>
            <w:r w:rsidRPr="00E27354">
              <w:rPr>
                <w:sz w:val="20"/>
              </w:rPr>
              <w:t>est plus applicable ni souple.</w:t>
            </w:r>
          </w:p>
        </w:tc>
      </w:tr>
      <w:tr w:rsidR="00963190" w:rsidRPr="00E27354" w14:paraId="29909090" w14:textId="77777777" w:rsidTr="00686964">
        <w:tc>
          <w:tcPr>
            <w:tcW w:w="977" w:type="dxa"/>
          </w:tcPr>
          <w:p w14:paraId="02BCF296" w14:textId="1DF1F843" w:rsidR="00963190" w:rsidRPr="00E27354" w:rsidRDefault="00963190" w:rsidP="00F44A82">
            <w:pPr>
              <w:pStyle w:val="Tablehead"/>
              <w:spacing w:before="60"/>
              <w:rPr>
                <w:sz w:val="20"/>
              </w:rPr>
            </w:pPr>
            <w:r w:rsidRPr="00E27354">
              <w:rPr>
                <w:sz w:val="20"/>
              </w:rPr>
              <w:lastRenderedPageBreak/>
              <w:t>70</w:t>
            </w:r>
          </w:p>
        </w:tc>
        <w:tc>
          <w:tcPr>
            <w:tcW w:w="2800" w:type="dxa"/>
          </w:tcPr>
          <w:p w14:paraId="25B3229C" w14:textId="763EC5BC" w:rsidR="00963190" w:rsidRPr="00E27354" w:rsidRDefault="00963190" w:rsidP="007711C6">
            <w:pPr>
              <w:pStyle w:val="Tabletext"/>
              <w:rPr>
                <w:b/>
                <w:sz w:val="20"/>
              </w:rPr>
            </w:pPr>
            <w:r w:rsidRPr="00E27354">
              <w:rPr>
                <w:b/>
                <w:sz w:val="20"/>
              </w:rPr>
              <w:t>10.1</w:t>
            </w:r>
            <w:r w:rsidRPr="00E27354">
              <w:rPr>
                <w:b/>
                <w:sz w:val="20"/>
              </w:rPr>
              <w:tab/>
              <w:t xml:space="preserve">En utilisant les moyens les mieux adaptés et les plus économiques, le Secrétaire général diffuse les informations à caractère administratif, opérationnel ou </w:t>
            </w:r>
            <w:proofErr w:type="gramStart"/>
            <w:r w:rsidRPr="00E27354">
              <w:rPr>
                <w:b/>
                <w:sz w:val="20"/>
              </w:rPr>
              <w:t>statistique fournies</w:t>
            </w:r>
            <w:proofErr w:type="gramEnd"/>
            <w:r w:rsidRPr="00E27354">
              <w:rPr>
                <w:b/>
                <w:sz w:val="20"/>
              </w:rPr>
              <w:t xml:space="preserve"> en ce qui concerne les services internationaux de télécommunication. Ces informations sont diffusées conformément aux dispositions pertinentes de la Constitution et de la Convention ainsi que du présent Article, sur la base des décisions prises par le Conseil ou par les conférences compétentes de l</w:t>
            </w:r>
            <w:r w:rsidR="00622BAC" w:rsidRPr="00E27354">
              <w:rPr>
                <w:b/>
                <w:sz w:val="20"/>
              </w:rPr>
              <w:t>'</w:t>
            </w:r>
            <w:r w:rsidRPr="00E27354">
              <w:rPr>
                <w:b/>
                <w:sz w:val="20"/>
              </w:rPr>
              <w:t>UIT, et compte tenu des conclusions ou décisions des assemblées de l</w:t>
            </w:r>
            <w:r w:rsidR="00622BAC" w:rsidRPr="00E27354">
              <w:rPr>
                <w:b/>
                <w:sz w:val="20"/>
              </w:rPr>
              <w:t>'</w:t>
            </w:r>
            <w:r w:rsidRPr="00E27354">
              <w:rPr>
                <w:b/>
                <w:sz w:val="20"/>
              </w:rPr>
              <w:t xml:space="preserve">UIT. </w:t>
            </w:r>
            <w:r w:rsidR="007711C6" w:rsidRPr="007711C6">
              <w:rPr>
                <w:b/>
                <w:caps/>
                <w:sz w:val="20"/>
              </w:rPr>
              <w:t>à</w:t>
            </w:r>
            <w:r w:rsidRPr="007711C6">
              <w:rPr>
                <w:b/>
                <w:caps/>
                <w:sz w:val="20"/>
              </w:rPr>
              <w:t xml:space="preserve"> </w:t>
            </w:r>
            <w:r w:rsidRPr="00E27354">
              <w:rPr>
                <w:b/>
                <w:sz w:val="20"/>
              </w:rPr>
              <w:t>condition d</w:t>
            </w:r>
            <w:r w:rsidR="00622BAC" w:rsidRPr="00E27354">
              <w:rPr>
                <w:b/>
                <w:sz w:val="20"/>
              </w:rPr>
              <w:t>'</w:t>
            </w:r>
            <w:r w:rsidRPr="00E27354">
              <w:rPr>
                <w:b/>
                <w:sz w:val="20"/>
              </w:rPr>
              <w:t>y être autorisée par l</w:t>
            </w:r>
            <w:r w:rsidR="00622BAC" w:rsidRPr="00E27354">
              <w:rPr>
                <w:b/>
                <w:sz w:val="20"/>
              </w:rPr>
              <w:t>'</w:t>
            </w:r>
            <w:r w:rsidR="007711C6" w:rsidRPr="007711C6">
              <w:rPr>
                <w:b/>
                <w:caps/>
                <w:sz w:val="20"/>
              </w:rPr>
              <w:t>é</w:t>
            </w:r>
            <w:r w:rsidRPr="00E27354">
              <w:rPr>
                <w:b/>
                <w:sz w:val="20"/>
              </w:rPr>
              <w:t xml:space="preserve">tat Membre concerné, une exploitation autorisée peut transmettre </w:t>
            </w:r>
            <w:r w:rsidRPr="00E27354">
              <w:rPr>
                <w:b/>
                <w:sz w:val="20"/>
              </w:rPr>
              <w:lastRenderedPageBreak/>
              <w:t xml:space="preserve">directement les informations au Secrétaire général, qui les diffusera ensuite. Les </w:t>
            </w:r>
            <w:r w:rsidR="007711C6" w:rsidRPr="007711C6">
              <w:rPr>
                <w:b/>
                <w:caps/>
                <w:sz w:val="20"/>
              </w:rPr>
              <w:t>é</w:t>
            </w:r>
            <w:r w:rsidRPr="00E27354">
              <w:rPr>
                <w:b/>
                <w:sz w:val="20"/>
              </w:rPr>
              <w:t>tats Membres devraient communiquer ces informations au Secrétaire général sans délai, en tenant compte des Recommandations UIT-T pertinentes.</w:t>
            </w:r>
          </w:p>
        </w:tc>
        <w:tc>
          <w:tcPr>
            <w:tcW w:w="3560" w:type="dxa"/>
          </w:tcPr>
          <w:p w14:paraId="052E1AF5" w14:textId="4D6A6729" w:rsidR="00963190" w:rsidRPr="00E27354" w:rsidRDefault="00963190" w:rsidP="00F44A82">
            <w:pPr>
              <w:pStyle w:val="Tabletext"/>
              <w:keepNext/>
              <w:keepLines/>
              <w:rPr>
                <w:sz w:val="20"/>
              </w:rPr>
            </w:pPr>
            <w:r w:rsidRPr="00E27354">
              <w:rPr>
                <w:sz w:val="20"/>
              </w:rPr>
              <w:lastRenderedPageBreak/>
              <w:t>8</w:t>
            </w:r>
            <w:r w:rsidRPr="00E27354">
              <w:rPr>
                <w:sz w:val="20"/>
              </w:rPr>
              <w:tab/>
              <w:t xml:space="preserve">En utilisant les moyens les mieux adaptés et les plus économiques, le Secrétaire général diffuse les informations, à caractère administratif, opérationnel, tarifaire ou </w:t>
            </w:r>
            <w:proofErr w:type="gramStart"/>
            <w:r w:rsidRPr="00E27354">
              <w:rPr>
                <w:sz w:val="20"/>
              </w:rPr>
              <w:t>statistique relatives</w:t>
            </w:r>
            <w:proofErr w:type="gramEnd"/>
            <w:r w:rsidRPr="00E27354">
              <w:rPr>
                <w:sz w:val="20"/>
              </w:rPr>
              <w:t xml:space="preserve"> aux voies d</w:t>
            </w:r>
            <w:r w:rsidR="00622BAC" w:rsidRPr="00E27354">
              <w:rPr>
                <w:sz w:val="20"/>
              </w:rPr>
              <w:t>'</w:t>
            </w:r>
            <w:r w:rsidRPr="00E27354">
              <w:rPr>
                <w:sz w:val="20"/>
              </w:rPr>
              <w:t>acheminement et aux services internationaux de télécommunication, fournies par les administrations</w:t>
            </w:r>
            <w:r w:rsidRPr="00E27354">
              <w:rPr>
                <w:sz w:val="20"/>
              </w:rPr>
              <w:fldChar w:fldCharType="begin"/>
            </w:r>
            <w:r w:rsidRPr="00E27354">
              <w:rPr>
                <w:sz w:val="20"/>
              </w:rPr>
              <w:instrText xml:space="preserve"> NOTEREF _Ref319329538 \f  \* MERGEFORMAT </w:instrText>
            </w:r>
            <w:r w:rsidRPr="00E27354">
              <w:rPr>
                <w:sz w:val="20"/>
              </w:rPr>
              <w:fldChar w:fldCharType="separate"/>
            </w:r>
            <w:r w:rsidRPr="00E27354">
              <w:rPr>
                <w:sz w:val="20"/>
              </w:rPr>
              <w:t>*</w:t>
            </w:r>
            <w:r w:rsidRPr="00E27354">
              <w:rPr>
                <w:sz w:val="20"/>
              </w:rPr>
              <w:fldChar w:fldCharType="end"/>
            </w:r>
            <w:r w:rsidRPr="00E27354">
              <w:rPr>
                <w:sz w:val="20"/>
              </w:rPr>
              <w:t>. Ces informations sont diffusées conformément aux dispositions pertinentes de la Convention et du présent Article, en se fondant sur les décisions prises par le Conseil d</w:t>
            </w:r>
            <w:r w:rsidR="00622BAC" w:rsidRPr="00E27354">
              <w:rPr>
                <w:sz w:val="20"/>
              </w:rPr>
              <w:t>'</w:t>
            </w:r>
            <w:r w:rsidRPr="00E27354">
              <w:rPr>
                <w:sz w:val="20"/>
              </w:rPr>
              <w:t>administration ou par les conférences administratives compétentes et en tenant compte des conclusions ou décisions des Assemblées plénières des Comités consultatifs internationaux.</w:t>
            </w:r>
          </w:p>
          <w:p w14:paraId="64438467" w14:textId="54CCEBC4" w:rsidR="00963190" w:rsidRPr="00E27354" w:rsidRDefault="00963190" w:rsidP="007711C6">
            <w:pPr>
              <w:pStyle w:val="Tabletext"/>
              <w:tabs>
                <w:tab w:val="left" w:pos="225"/>
              </w:tabs>
              <w:rPr>
                <w:sz w:val="20"/>
              </w:rPr>
            </w:pPr>
            <w:r w:rsidRPr="00E27354">
              <w:rPr>
                <w:sz w:val="20"/>
              </w:rPr>
              <w:t>*</w:t>
            </w:r>
            <w:r w:rsidRPr="00E27354">
              <w:rPr>
                <w:sz w:val="20"/>
              </w:rPr>
              <w:tab/>
              <w:t>ou exploitation(s) privée(s) reconnue(s).</w:t>
            </w:r>
          </w:p>
        </w:tc>
        <w:tc>
          <w:tcPr>
            <w:tcW w:w="2911" w:type="dxa"/>
          </w:tcPr>
          <w:p w14:paraId="547D91F9" w14:textId="555E2D02" w:rsidR="00963190" w:rsidRPr="00E27354" w:rsidRDefault="00963190" w:rsidP="00F44A82">
            <w:pPr>
              <w:spacing w:before="60" w:after="60"/>
              <w:rPr>
                <w:sz w:val="20"/>
              </w:rPr>
            </w:pPr>
            <w:r w:rsidRPr="00E27354">
              <w:rPr>
                <w:sz w:val="20"/>
              </w:rPr>
              <w:t xml:space="preserve">Certains membres ont estimé que cette disposition est </w:t>
            </w:r>
            <w:proofErr w:type="gramStart"/>
            <w:r w:rsidRPr="00E27354">
              <w:rPr>
                <w:sz w:val="20"/>
              </w:rPr>
              <w:t>applicable;</w:t>
            </w:r>
            <w:proofErr w:type="gramEnd"/>
            <w:r w:rsidRPr="00E27354">
              <w:rPr>
                <w:sz w:val="20"/>
              </w:rPr>
              <w:t xml:space="preserve"> la coordination et la diffusion d</w:t>
            </w:r>
            <w:r w:rsidR="00622BAC" w:rsidRPr="00E27354">
              <w:rPr>
                <w:sz w:val="20"/>
              </w:rPr>
              <w:t>'</w:t>
            </w:r>
            <w:r w:rsidRPr="00E27354">
              <w:rPr>
                <w:sz w:val="20"/>
              </w:rPr>
              <w:t>informations constituent la pierre angulaire de l</w:t>
            </w:r>
            <w:r w:rsidR="00622BAC" w:rsidRPr="00E27354">
              <w:rPr>
                <w:sz w:val="20"/>
              </w:rPr>
              <w:t>'</w:t>
            </w:r>
            <w:r w:rsidRPr="00E27354">
              <w:rPr>
                <w:sz w:val="20"/>
              </w:rPr>
              <w:t>acheminement et des flux des réseaux et des services internationaux de télécommunication/technologies de l</w:t>
            </w:r>
            <w:r w:rsidR="00622BAC" w:rsidRPr="00E27354">
              <w:rPr>
                <w:sz w:val="20"/>
              </w:rPr>
              <w:t>'</w:t>
            </w:r>
            <w:r w:rsidRPr="00E27354">
              <w:rPr>
                <w:sz w:val="20"/>
              </w:rPr>
              <w:t>information et de la communication et continuent de jouer un rôle déterminant dans les réseaux de télécommunication/TIC actuels et futurs.</w:t>
            </w:r>
          </w:p>
          <w:p w14:paraId="0D3B4A13" w14:textId="1FADB56F" w:rsidR="00963190" w:rsidRPr="00E27354" w:rsidRDefault="00963190" w:rsidP="00F44A82">
            <w:pPr>
              <w:pStyle w:val="Tabletext"/>
              <w:rPr>
                <w:sz w:val="20"/>
              </w:rPr>
            </w:pPr>
            <w:r w:rsidRPr="00E27354">
              <w:rPr>
                <w:sz w:val="20"/>
              </w:rPr>
              <w:t>Certains membres ont estimé que cette disposition ne permet pas de tenir compte des nouvelles tendances et les nouveaux problèmes qui se font jour, elle est redondante avec la Constitution/Convention, il s</w:t>
            </w:r>
            <w:r w:rsidR="00622BAC" w:rsidRPr="00E27354">
              <w:rPr>
                <w:sz w:val="20"/>
              </w:rPr>
              <w:t>'</w:t>
            </w:r>
            <w:r w:rsidRPr="00E27354">
              <w:rPr>
                <w:sz w:val="20"/>
              </w:rPr>
              <w:t>agit d</w:t>
            </w:r>
            <w:r w:rsidR="00622BAC" w:rsidRPr="00E27354">
              <w:rPr>
                <w:sz w:val="20"/>
              </w:rPr>
              <w:t>'</w:t>
            </w:r>
            <w:r w:rsidRPr="00E27354">
              <w:rPr>
                <w:sz w:val="20"/>
              </w:rPr>
              <w:t>un des rôles de l</w:t>
            </w:r>
            <w:r w:rsidR="00622BAC" w:rsidRPr="00E27354">
              <w:rPr>
                <w:sz w:val="20"/>
              </w:rPr>
              <w:t>'</w:t>
            </w:r>
            <w:r w:rsidRPr="00E27354">
              <w:rPr>
                <w:sz w:val="20"/>
              </w:rPr>
              <w:t>UIT.</w:t>
            </w:r>
          </w:p>
        </w:tc>
        <w:tc>
          <w:tcPr>
            <w:tcW w:w="2554" w:type="dxa"/>
          </w:tcPr>
          <w:p w14:paraId="289E8B5E" w14:textId="77777777" w:rsidR="00963190" w:rsidRPr="00E27354" w:rsidRDefault="00963190" w:rsidP="00F44A82">
            <w:pPr>
              <w:pStyle w:val="Tabletext"/>
              <w:keepNext/>
              <w:keepLines/>
              <w:rPr>
                <w:sz w:val="20"/>
              </w:rPr>
            </w:pPr>
            <w:r w:rsidRPr="00E27354">
              <w:rPr>
                <w:sz w:val="20"/>
              </w:rPr>
              <w:t>Certains membres ont estimé que cette disposition était suffisamment souple pour prendre en compte les nouvelles tendances et les nouveaux problèmes qui se font jour pour différentes raisons comme la modernisation, la maintenance ou le contexte national.</w:t>
            </w:r>
          </w:p>
          <w:p w14:paraId="36956889" w14:textId="35F7E4ED" w:rsidR="00963190" w:rsidRPr="00E27354" w:rsidRDefault="00963190" w:rsidP="00F44A82">
            <w:pPr>
              <w:pStyle w:val="Tabletext"/>
              <w:rPr>
                <w:sz w:val="20"/>
              </w:rPr>
            </w:pPr>
            <w:r w:rsidRPr="00E27354">
              <w:rPr>
                <w:sz w:val="20"/>
              </w:rPr>
              <w:t>Certains membres ont estimé que cette disposition ne permet pas de tenir compte des nouvelles tendances et les nouveaux problèmes qui se font jour, elle est redondante avec la Constitution/Convention, il s</w:t>
            </w:r>
            <w:r w:rsidR="00622BAC" w:rsidRPr="00E27354">
              <w:rPr>
                <w:sz w:val="20"/>
              </w:rPr>
              <w:t>'</w:t>
            </w:r>
            <w:r w:rsidRPr="00E27354">
              <w:rPr>
                <w:sz w:val="20"/>
              </w:rPr>
              <w:t>agit d</w:t>
            </w:r>
            <w:r w:rsidR="00622BAC" w:rsidRPr="00E27354">
              <w:rPr>
                <w:sz w:val="20"/>
              </w:rPr>
              <w:t>'</w:t>
            </w:r>
            <w:r w:rsidRPr="00E27354">
              <w:rPr>
                <w:sz w:val="20"/>
              </w:rPr>
              <w:t>un des rôles de l</w:t>
            </w:r>
            <w:r w:rsidR="00622BAC" w:rsidRPr="00E27354">
              <w:rPr>
                <w:sz w:val="20"/>
              </w:rPr>
              <w:t>'</w:t>
            </w:r>
            <w:r w:rsidRPr="00E27354">
              <w:rPr>
                <w:sz w:val="20"/>
              </w:rPr>
              <w:t>UIT.</w:t>
            </w:r>
          </w:p>
        </w:tc>
        <w:tc>
          <w:tcPr>
            <w:tcW w:w="2375" w:type="dxa"/>
            <w:tcBorders>
              <w:bottom w:val="single" w:sz="4" w:space="0" w:color="auto"/>
            </w:tcBorders>
          </w:tcPr>
          <w:p w14:paraId="1905B7CB" w14:textId="2EED182A" w:rsidR="00963190" w:rsidRPr="00E27354" w:rsidRDefault="00963190" w:rsidP="00F44A82">
            <w:pPr>
              <w:pStyle w:val="Tabletext"/>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0B689FC5" w14:textId="1C5FF587" w:rsidR="00963190" w:rsidRPr="00E27354" w:rsidRDefault="00963190"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p w14:paraId="1CD81B00" w14:textId="439253C4" w:rsidR="00963190" w:rsidRPr="00E27354" w:rsidRDefault="00963190" w:rsidP="00F44A82">
            <w:pPr>
              <w:pStyle w:val="Tabletext"/>
              <w:keepNext/>
              <w:keepLines/>
              <w:rPr>
                <w:sz w:val="20"/>
              </w:rPr>
            </w:pPr>
            <w:r w:rsidRPr="00E27354">
              <w:rPr>
                <w:sz w:val="20"/>
              </w:rPr>
              <w:t>Certains autres membres ont fait valoir que cette disposition doit être mise à jour afin de tenir compte des évolutions constatées dans la fourniture des services de télécommunication/TIC à l</w:t>
            </w:r>
            <w:r w:rsidR="00622BAC" w:rsidRPr="00E27354">
              <w:rPr>
                <w:sz w:val="20"/>
              </w:rPr>
              <w:t>'</w:t>
            </w:r>
            <w:r w:rsidRPr="00E27354">
              <w:rPr>
                <w:sz w:val="20"/>
              </w:rPr>
              <w:t>utilisateur final.</w:t>
            </w:r>
          </w:p>
        </w:tc>
      </w:tr>
      <w:tr w:rsidR="00686964" w:rsidRPr="00E27354" w14:paraId="011B0FA1" w14:textId="77777777" w:rsidTr="00686964">
        <w:tc>
          <w:tcPr>
            <w:tcW w:w="977" w:type="dxa"/>
          </w:tcPr>
          <w:p w14:paraId="2C3D0001" w14:textId="79777C58" w:rsidR="00686964" w:rsidRPr="00E27354" w:rsidRDefault="00686964" w:rsidP="00F44A82">
            <w:pPr>
              <w:pStyle w:val="Tablehead"/>
              <w:spacing w:before="60"/>
              <w:rPr>
                <w:sz w:val="20"/>
              </w:rPr>
            </w:pPr>
            <w:r w:rsidRPr="00E27354">
              <w:rPr>
                <w:sz w:val="20"/>
              </w:rPr>
              <w:t>71</w:t>
            </w:r>
          </w:p>
        </w:tc>
        <w:tc>
          <w:tcPr>
            <w:tcW w:w="2800" w:type="dxa"/>
          </w:tcPr>
          <w:p w14:paraId="3B35F7D0" w14:textId="01E0E44C" w:rsidR="00686964" w:rsidRPr="00E27354" w:rsidRDefault="00686964" w:rsidP="00F44A82">
            <w:pPr>
              <w:pStyle w:val="Tabletext"/>
              <w:rPr>
                <w:b/>
                <w:sz w:val="20"/>
              </w:rPr>
            </w:pPr>
            <w:r w:rsidRPr="00E27354">
              <w:rPr>
                <w:b/>
                <w:sz w:val="20"/>
              </w:rPr>
              <w:t>11.1</w:t>
            </w:r>
            <w:r w:rsidRPr="00E27354">
              <w:rPr>
                <w:b/>
                <w:sz w:val="20"/>
              </w:rPr>
              <w:tab/>
              <w:t xml:space="preserve">Les </w:t>
            </w:r>
            <w:r w:rsidR="007711C6" w:rsidRPr="007711C6">
              <w:rPr>
                <w:b/>
                <w:caps/>
                <w:sz w:val="20"/>
              </w:rPr>
              <w:t>é</w:t>
            </w:r>
            <w:r w:rsidRPr="00E27354">
              <w:rPr>
                <w:b/>
                <w:sz w:val="20"/>
              </w:rPr>
              <w:t>tats Membres sont encouragés à adopter des bonnes pratiques en matière d</w:t>
            </w:r>
            <w:r w:rsidR="00622BAC" w:rsidRPr="00E27354">
              <w:rPr>
                <w:b/>
                <w:sz w:val="20"/>
              </w:rPr>
              <w:t>'</w:t>
            </w:r>
            <w:r w:rsidRPr="00E27354">
              <w:rPr>
                <w:b/>
                <w:sz w:val="20"/>
              </w:rPr>
              <w:t>efficacité énergétique et de déchets d</w:t>
            </w:r>
            <w:r w:rsidR="00622BAC" w:rsidRPr="00E27354">
              <w:rPr>
                <w:b/>
                <w:sz w:val="20"/>
              </w:rPr>
              <w:t>'</w:t>
            </w:r>
            <w:r w:rsidRPr="00E27354">
              <w:rPr>
                <w:b/>
                <w:sz w:val="20"/>
              </w:rPr>
              <w:t>équipements électriques et électroniques, compte tenu des Recommandations UIT-T pertinentes.</w:t>
            </w:r>
          </w:p>
        </w:tc>
        <w:tc>
          <w:tcPr>
            <w:tcW w:w="3560" w:type="dxa"/>
          </w:tcPr>
          <w:p w14:paraId="2070AB0D" w14:textId="77777777" w:rsidR="00686964" w:rsidRPr="00E27354" w:rsidRDefault="00686964" w:rsidP="00F44A82">
            <w:pPr>
              <w:pStyle w:val="Tabletext"/>
              <w:keepNext/>
              <w:keepLines/>
              <w:rPr>
                <w:sz w:val="20"/>
              </w:rPr>
            </w:pPr>
          </w:p>
        </w:tc>
        <w:tc>
          <w:tcPr>
            <w:tcW w:w="2911" w:type="dxa"/>
          </w:tcPr>
          <w:p w14:paraId="54F5A262" w14:textId="5EBE674A" w:rsidR="00686964" w:rsidRPr="00E27354" w:rsidRDefault="00686964" w:rsidP="00F44A82">
            <w:pPr>
              <w:spacing w:before="60" w:after="60"/>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L</w:t>
            </w:r>
            <w:r w:rsidR="00622BAC" w:rsidRPr="00E27354">
              <w:rPr>
                <w:sz w:val="20"/>
              </w:rPr>
              <w:t>'</w:t>
            </w:r>
            <w:r w:rsidRPr="00E27354">
              <w:rPr>
                <w:sz w:val="20"/>
              </w:rPr>
              <w:t>Article 11 de la version de 2012 du RTI tient compte des dispositions largement reconnues des résolutions de l</w:t>
            </w:r>
            <w:r w:rsidR="00622BAC" w:rsidRPr="00E27354">
              <w:rPr>
                <w:sz w:val="20"/>
              </w:rPr>
              <w:t>'</w:t>
            </w:r>
            <w:r w:rsidRPr="00E27354">
              <w:rPr>
                <w:sz w:val="20"/>
              </w:rPr>
              <w:t>ONU et d</w:t>
            </w:r>
            <w:r w:rsidR="00622BAC" w:rsidRPr="00E27354">
              <w:rPr>
                <w:sz w:val="20"/>
              </w:rPr>
              <w:t>'</w:t>
            </w:r>
            <w:r w:rsidRPr="00E27354">
              <w:rPr>
                <w:sz w:val="20"/>
              </w:rPr>
              <w:t>autres organisations internationales et reflète les législations de nombreux États Membres de l</w:t>
            </w:r>
            <w:r w:rsidR="00622BAC" w:rsidRPr="00E27354">
              <w:rPr>
                <w:sz w:val="20"/>
              </w:rPr>
              <w:t>'</w:t>
            </w:r>
            <w:r w:rsidRPr="00E27354">
              <w:rPr>
                <w:sz w:val="20"/>
              </w:rPr>
              <w:t>UIT relatives à la protection de l</w:t>
            </w:r>
            <w:r w:rsidR="00622BAC" w:rsidRPr="00E27354">
              <w:rPr>
                <w:sz w:val="20"/>
              </w:rPr>
              <w:t>'</w:t>
            </w:r>
            <w:r w:rsidRPr="00E27354">
              <w:rPr>
                <w:sz w:val="20"/>
              </w:rPr>
              <w:t>environnement. De plus, il semble opportun de remplacer la référence aux Recommandations de l</w:t>
            </w:r>
            <w:r w:rsidR="00622BAC" w:rsidRPr="00E27354">
              <w:rPr>
                <w:sz w:val="20"/>
              </w:rPr>
              <w:t>'</w:t>
            </w:r>
            <w:r w:rsidRPr="00E27354">
              <w:rPr>
                <w:sz w:val="20"/>
              </w:rPr>
              <w:t>UIT-T par une référence aux Recommandations de l</w:t>
            </w:r>
            <w:r w:rsidR="00622BAC" w:rsidRPr="00E27354">
              <w:rPr>
                <w:sz w:val="20"/>
              </w:rPr>
              <w:t>'</w:t>
            </w:r>
            <w:r w:rsidRPr="00E27354">
              <w:rPr>
                <w:sz w:val="20"/>
              </w:rPr>
              <w:t>UIT, dans la mesure où les questions traitées dans cet Article concernent tous les dispositifs, systèmes et réseaux de télécommunication/TIC.</w:t>
            </w:r>
          </w:p>
          <w:p w14:paraId="1D5EC5F3" w14:textId="6DFDD59B" w:rsidR="00F27D5D" w:rsidRPr="00E27354" w:rsidRDefault="00F27D5D" w:rsidP="00F44A82">
            <w:pPr>
              <w:spacing w:before="60" w:after="60"/>
              <w:rPr>
                <w:sz w:val="20"/>
              </w:rPr>
            </w:pPr>
            <w:r w:rsidRPr="00E27354">
              <w:rPr>
                <w:sz w:val="20"/>
              </w:rPr>
              <w:t>Certains membres ont en outre</w:t>
            </w:r>
          </w:p>
        </w:tc>
        <w:tc>
          <w:tcPr>
            <w:tcW w:w="2554" w:type="dxa"/>
          </w:tcPr>
          <w:p w14:paraId="57DCC5E8" w14:textId="6098D9C4" w:rsidR="00686964" w:rsidRPr="00E27354" w:rsidRDefault="00686964" w:rsidP="00F44A82">
            <w:pPr>
              <w:pStyle w:val="Tabletext"/>
              <w:keepNext/>
              <w:keepLines/>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souple. L</w:t>
            </w:r>
            <w:r w:rsidR="00622BAC" w:rsidRPr="00E27354">
              <w:rPr>
                <w:sz w:val="20"/>
              </w:rPr>
              <w:t>'</w:t>
            </w:r>
            <w:r w:rsidRPr="00E27354">
              <w:rPr>
                <w:sz w:val="20"/>
              </w:rPr>
              <w:t>Article 11 de la version de 2012 du RTI tient compte des dispositions largement reconnues des résolutions de l</w:t>
            </w:r>
            <w:r w:rsidR="00622BAC" w:rsidRPr="00E27354">
              <w:rPr>
                <w:sz w:val="20"/>
              </w:rPr>
              <w:t>'</w:t>
            </w:r>
            <w:r w:rsidRPr="00E27354">
              <w:rPr>
                <w:sz w:val="20"/>
              </w:rPr>
              <w:t>ONU et d</w:t>
            </w:r>
            <w:r w:rsidR="00622BAC" w:rsidRPr="00E27354">
              <w:rPr>
                <w:sz w:val="20"/>
              </w:rPr>
              <w:t>'</w:t>
            </w:r>
            <w:r w:rsidRPr="00E27354">
              <w:rPr>
                <w:sz w:val="20"/>
              </w:rPr>
              <w:t>autres organisations internationales et reflète les législations de nombreux États Membres de l</w:t>
            </w:r>
            <w:r w:rsidR="00622BAC" w:rsidRPr="00E27354">
              <w:rPr>
                <w:sz w:val="20"/>
              </w:rPr>
              <w:t>'</w:t>
            </w:r>
            <w:r w:rsidRPr="00E27354">
              <w:rPr>
                <w:sz w:val="20"/>
              </w:rPr>
              <w:t>UIT relatives à la protection de l</w:t>
            </w:r>
            <w:r w:rsidR="00622BAC" w:rsidRPr="00E27354">
              <w:rPr>
                <w:sz w:val="20"/>
              </w:rPr>
              <w:t>'</w:t>
            </w:r>
            <w:r w:rsidRPr="00E27354">
              <w:rPr>
                <w:sz w:val="20"/>
              </w:rPr>
              <w:t>environnement. De plus, il semble opportun de remplacer la référence aux Recommandations de l</w:t>
            </w:r>
            <w:r w:rsidR="00622BAC" w:rsidRPr="00E27354">
              <w:rPr>
                <w:sz w:val="20"/>
              </w:rPr>
              <w:t>'</w:t>
            </w:r>
            <w:r w:rsidRPr="00E27354">
              <w:rPr>
                <w:sz w:val="20"/>
              </w:rPr>
              <w:t>UIT</w:t>
            </w:r>
            <w:r w:rsidRPr="00E27354">
              <w:rPr>
                <w:sz w:val="20"/>
              </w:rPr>
              <w:noBreakHyphen/>
              <w:t>T par une référence aux Recommandations de l</w:t>
            </w:r>
            <w:r w:rsidR="00622BAC" w:rsidRPr="00E27354">
              <w:rPr>
                <w:sz w:val="20"/>
              </w:rPr>
              <w:t>'</w:t>
            </w:r>
            <w:r w:rsidRPr="00E27354">
              <w:rPr>
                <w:sz w:val="20"/>
              </w:rPr>
              <w:t>UIT, dans la mesure où les questions traitées dans cet Article concernent tous les dispositifs, systèmes et</w:t>
            </w:r>
            <w:r w:rsidR="00F27D5D" w:rsidRPr="00E27354">
              <w:rPr>
                <w:sz w:val="20"/>
              </w:rPr>
              <w:t xml:space="preserve"> </w:t>
            </w:r>
          </w:p>
        </w:tc>
        <w:tc>
          <w:tcPr>
            <w:tcW w:w="2375" w:type="dxa"/>
            <w:tcBorders>
              <w:bottom w:val="single" w:sz="4" w:space="0" w:color="auto"/>
            </w:tcBorders>
          </w:tcPr>
          <w:p w14:paraId="23DA106F" w14:textId="579ACE64" w:rsidR="0085299F" w:rsidRPr="00E27354" w:rsidRDefault="0085299F" w:rsidP="0085299F">
            <w:pPr>
              <w:pStyle w:val="Tabletext"/>
              <w:keepNext/>
              <w:keepLines/>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7FB53F1F" w14:textId="57C9664D" w:rsidR="0085299F" w:rsidRPr="00E27354" w:rsidRDefault="0085299F" w:rsidP="0085299F">
            <w:pPr>
              <w:pStyle w:val="Tabletext"/>
              <w:keepNext/>
              <w:keepLines/>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p w14:paraId="4BA12BD3" w14:textId="49068BC9" w:rsidR="00686964" w:rsidRPr="00E27354" w:rsidRDefault="0085299F" w:rsidP="0085299F">
            <w:pPr>
              <w:pStyle w:val="Tabletext"/>
              <w:rPr>
                <w:sz w:val="20"/>
              </w:rPr>
            </w:pPr>
            <w:r w:rsidRPr="00E27354">
              <w:rPr>
                <w:sz w:val="20"/>
              </w:rPr>
              <w:t>Certains autres membres ont fait valoir que cette disposition doit être mise à jour afin de tenir compte des évolutions constatées dans la fourniture des services de télécommunication/TIC à l</w:t>
            </w:r>
            <w:r w:rsidR="00622BAC" w:rsidRPr="00E27354">
              <w:rPr>
                <w:sz w:val="20"/>
              </w:rPr>
              <w:t>'</w:t>
            </w:r>
            <w:r w:rsidRPr="00E27354">
              <w:rPr>
                <w:sz w:val="20"/>
              </w:rPr>
              <w:t>utilisateur final.</w:t>
            </w:r>
          </w:p>
        </w:tc>
      </w:tr>
      <w:tr w:rsidR="00F27D5D" w:rsidRPr="00E27354" w14:paraId="74FCF61B" w14:textId="77777777" w:rsidTr="00686964">
        <w:tc>
          <w:tcPr>
            <w:tcW w:w="977" w:type="dxa"/>
          </w:tcPr>
          <w:p w14:paraId="32EB4081" w14:textId="77777777" w:rsidR="00F27D5D" w:rsidRPr="00E27354" w:rsidRDefault="00F27D5D" w:rsidP="00F44A82">
            <w:pPr>
              <w:pStyle w:val="Tablehead"/>
              <w:spacing w:before="60"/>
              <w:rPr>
                <w:sz w:val="20"/>
                <w:highlight w:val="yellow"/>
              </w:rPr>
            </w:pPr>
          </w:p>
        </w:tc>
        <w:tc>
          <w:tcPr>
            <w:tcW w:w="2800" w:type="dxa"/>
          </w:tcPr>
          <w:p w14:paraId="06166BEF" w14:textId="77777777" w:rsidR="00F27D5D" w:rsidRPr="00E27354" w:rsidRDefault="00F27D5D" w:rsidP="00F44A82">
            <w:pPr>
              <w:pStyle w:val="Tabletext"/>
              <w:rPr>
                <w:b/>
                <w:sz w:val="20"/>
                <w:highlight w:val="yellow"/>
              </w:rPr>
            </w:pPr>
          </w:p>
        </w:tc>
        <w:tc>
          <w:tcPr>
            <w:tcW w:w="3560" w:type="dxa"/>
          </w:tcPr>
          <w:p w14:paraId="253765D9" w14:textId="77777777" w:rsidR="00F27D5D" w:rsidRPr="00E27354" w:rsidRDefault="00F27D5D" w:rsidP="00F44A82">
            <w:pPr>
              <w:pStyle w:val="Tabletext"/>
              <w:keepNext/>
              <w:keepLines/>
              <w:rPr>
                <w:sz w:val="20"/>
              </w:rPr>
            </w:pPr>
          </w:p>
        </w:tc>
        <w:tc>
          <w:tcPr>
            <w:tcW w:w="2911" w:type="dxa"/>
          </w:tcPr>
          <w:p w14:paraId="435B4006" w14:textId="17A9BB43" w:rsidR="00F27D5D" w:rsidRPr="00E27354" w:rsidRDefault="00F27D5D" w:rsidP="00F44A82">
            <w:pPr>
              <w:spacing w:before="60" w:after="60"/>
              <w:rPr>
                <w:sz w:val="20"/>
              </w:rPr>
            </w:pPr>
            <w:proofErr w:type="gramStart"/>
            <w:r w:rsidRPr="00E27354">
              <w:rPr>
                <w:sz w:val="20"/>
              </w:rPr>
              <w:t>indiqué</w:t>
            </w:r>
            <w:proofErr w:type="gramEnd"/>
            <w:r w:rsidRPr="00E27354">
              <w:rPr>
                <w:sz w:val="20"/>
              </w:rPr>
              <w:t xml:space="preserve"> qu</w:t>
            </w:r>
            <w:r w:rsidR="00622BAC" w:rsidRPr="00E27354">
              <w:rPr>
                <w:sz w:val="20"/>
              </w:rPr>
              <w:t>'</w:t>
            </w:r>
            <w:r w:rsidRPr="00E27354">
              <w:rPr>
                <w:sz w:val="20"/>
              </w:rPr>
              <w:t>en raison de la dépendance accrue à l</w:t>
            </w:r>
            <w:r w:rsidR="00622BAC" w:rsidRPr="00E27354">
              <w:rPr>
                <w:sz w:val="20"/>
              </w:rPr>
              <w:t>'</w:t>
            </w:r>
            <w:r w:rsidRPr="00E27354">
              <w:rPr>
                <w:sz w:val="20"/>
              </w:rPr>
              <w:t>égard des réseaux et services de télécommunication/TIC dans le monde actuel, il est plus que jamais nécessaire d</w:t>
            </w:r>
            <w:r w:rsidR="00622BAC" w:rsidRPr="00E27354">
              <w:rPr>
                <w:sz w:val="20"/>
              </w:rPr>
              <w:t>'</w:t>
            </w:r>
            <w:r w:rsidRPr="00E27354">
              <w:rPr>
                <w:sz w:val="20"/>
              </w:rPr>
              <w:t>adopter des stratégies à l</w:t>
            </w:r>
            <w:r w:rsidR="00622BAC" w:rsidRPr="00E27354">
              <w:rPr>
                <w:sz w:val="20"/>
              </w:rPr>
              <w:t>'</w:t>
            </w:r>
            <w:r w:rsidRPr="00E27354">
              <w:rPr>
                <w:sz w:val="20"/>
              </w:rPr>
              <w:t>échelle mondiale en matière de déchets d</w:t>
            </w:r>
            <w:r w:rsidR="00622BAC" w:rsidRPr="00E27354">
              <w:rPr>
                <w:sz w:val="20"/>
              </w:rPr>
              <w:t>'</w:t>
            </w:r>
            <w:r w:rsidRPr="00E27354">
              <w:rPr>
                <w:sz w:val="20"/>
              </w:rPr>
              <w:t>équipements électriques et électroniques et d</w:t>
            </w:r>
            <w:r w:rsidR="00622BAC" w:rsidRPr="00E27354">
              <w:rPr>
                <w:sz w:val="20"/>
              </w:rPr>
              <w:t>'</w:t>
            </w:r>
            <w:r w:rsidRPr="00E27354">
              <w:rPr>
                <w:sz w:val="20"/>
              </w:rPr>
              <w:t>efficacité énergétique. Ils ont estimé que cet Article pourrait être rattaché à l</w:t>
            </w:r>
            <w:r w:rsidR="00622BAC" w:rsidRPr="00E27354">
              <w:rPr>
                <w:sz w:val="20"/>
              </w:rPr>
              <w:t>'</w:t>
            </w:r>
            <w:r w:rsidRPr="00E27354">
              <w:rPr>
                <w:sz w:val="20"/>
              </w:rPr>
              <w:t>ODD 7 (Énergie propre et d</w:t>
            </w:r>
            <w:r w:rsidR="00622BAC" w:rsidRPr="00E27354">
              <w:rPr>
                <w:sz w:val="20"/>
              </w:rPr>
              <w:t>'</w:t>
            </w:r>
            <w:r w:rsidRPr="00E27354">
              <w:rPr>
                <w:sz w:val="20"/>
              </w:rPr>
              <w:t>un coût abordable), à l</w:t>
            </w:r>
            <w:r w:rsidR="00622BAC" w:rsidRPr="00E27354">
              <w:rPr>
                <w:sz w:val="20"/>
              </w:rPr>
              <w:t>'</w:t>
            </w:r>
            <w:r w:rsidRPr="00E27354">
              <w:rPr>
                <w:sz w:val="20"/>
              </w:rPr>
              <w:t>ODD 8 (</w:t>
            </w:r>
            <w:r w:rsidR="00AD60C0" w:rsidRPr="00E27354">
              <w:rPr>
                <w:sz w:val="20"/>
              </w:rPr>
              <w:t>T</w:t>
            </w:r>
            <w:r w:rsidRPr="00E27354">
              <w:rPr>
                <w:sz w:val="20"/>
              </w:rPr>
              <w:t>ravail décent et croissance économique), à l</w:t>
            </w:r>
            <w:r w:rsidR="00622BAC" w:rsidRPr="00E27354">
              <w:rPr>
                <w:sz w:val="20"/>
              </w:rPr>
              <w:t>'</w:t>
            </w:r>
            <w:r w:rsidRPr="00E27354">
              <w:rPr>
                <w:sz w:val="20"/>
              </w:rPr>
              <w:t>ODD 11 (</w:t>
            </w:r>
            <w:r w:rsidR="00AD60C0" w:rsidRPr="00E27354">
              <w:rPr>
                <w:sz w:val="20"/>
              </w:rPr>
              <w:t>Vi</w:t>
            </w:r>
            <w:r w:rsidRPr="00E27354">
              <w:rPr>
                <w:sz w:val="20"/>
              </w:rPr>
              <w:t>lles et communautés durables) et à l</w:t>
            </w:r>
            <w:r w:rsidR="00622BAC" w:rsidRPr="00E27354">
              <w:rPr>
                <w:sz w:val="20"/>
              </w:rPr>
              <w:t>'</w:t>
            </w:r>
            <w:r w:rsidRPr="00E27354">
              <w:rPr>
                <w:sz w:val="20"/>
              </w:rPr>
              <w:t xml:space="preserve">ODD 12 (Consommation et production responsables). </w:t>
            </w:r>
          </w:p>
          <w:p w14:paraId="594B0E3F" w14:textId="0D968541" w:rsidR="00F27D5D" w:rsidRPr="00E27354" w:rsidRDefault="00F27D5D" w:rsidP="00F44A82">
            <w:pPr>
              <w:spacing w:before="60" w:after="60"/>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Ils ont en outre noté que les dispositions de l</w:t>
            </w:r>
            <w:r w:rsidR="00622BAC" w:rsidRPr="00E27354">
              <w:rPr>
                <w:sz w:val="20"/>
              </w:rPr>
              <w:t>'</w:t>
            </w:r>
            <w:r w:rsidRPr="00E27354">
              <w:rPr>
                <w:sz w:val="20"/>
              </w:rPr>
              <w:t>Article 11, qui répondent certes à de bonnes intentions, reprennent des arguments déjà avancés ailleurs dans des Résolutions de la Conférence de plénipotentiaires, de sorte qu</w:t>
            </w:r>
            <w:r w:rsidR="00622BAC" w:rsidRPr="00E27354">
              <w:rPr>
                <w:sz w:val="20"/>
              </w:rPr>
              <w:t>'</w:t>
            </w:r>
            <w:r w:rsidRPr="00E27354">
              <w:rPr>
                <w:sz w:val="20"/>
              </w:rPr>
              <w:t>il n</w:t>
            </w:r>
            <w:r w:rsidR="00622BAC" w:rsidRPr="00E27354">
              <w:rPr>
                <w:sz w:val="20"/>
              </w:rPr>
              <w:t>'</w:t>
            </w:r>
            <w:r w:rsidRPr="00E27354">
              <w:rPr>
                <w:sz w:val="20"/>
              </w:rPr>
              <w:t>y a pas forcément lieu de les faire figurer dans un traité tel que le RTI.</w:t>
            </w:r>
          </w:p>
        </w:tc>
        <w:tc>
          <w:tcPr>
            <w:tcW w:w="2554" w:type="dxa"/>
          </w:tcPr>
          <w:p w14:paraId="44F9F755" w14:textId="77777777" w:rsidR="00F27D5D" w:rsidRPr="00E27354" w:rsidRDefault="00F27D5D" w:rsidP="00F44A82">
            <w:pPr>
              <w:pStyle w:val="Tabletext"/>
              <w:keepNext/>
              <w:keepLines/>
              <w:rPr>
                <w:sz w:val="20"/>
              </w:rPr>
            </w:pPr>
            <w:proofErr w:type="gramStart"/>
            <w:r w:rsidRPr="00E27354">
              <w:rPr>
                <w:sz w:val="20"/>
              </w:rPr>
              <w:t>réseaux</w:t>
            </w:r>
            <w:proofErr w:type="gramEnd"/>
            <w:r w:rsidRPr="00E27354">
              <w:rPr>
                <w:sz w:val="20"/>
              </w:rPr>
              <w:t xml:space="preserve"> de télécommunication/TIC.</w:t>
            </w:r>
          </w:p>
          <w:p w14:paraId="2F6E6D9D" w14:textId="22984B8D" w:rsidR="00F27D5D" w:rsidRPr="00E27354" w:rsidRDefault="00F27D5D" w:rsidP="00F44A82">
            <w:pPr>
              <w:pStyle w:val="Tabletext"/>
              <w:keepNext/>
              <w:keepLines/>
              <w:rPr>
                <w:sz w:val="20"/>
              </w:rPr>
            </w:pPr>
            <w:r w:rsidRPr="00E27354">
              <w:rPr>
                <w:sz w:val="20"/>
              </w:rPr>
              <w:t>Certains membres ont en outre indiqué qu</w:t>
            </w:r>
            <w:r w:rsidR="00622BAC" w:rsidRPr="00E27354">
              <w:rPr>
                <w:sz w:val="20"/>
              </w:rPr>
              <w:t>'</w:t>
            </w:r>
            <w:r w:rsidRPr="00E27354">
              <w:rPr>
                <w:sz w:val="20"/>
              </w:rPr>
              <w:t>en raison de la dépendance accrue à l</w:t>
            </w:r>
            <w:r w:rsidR="00622BAC" w:rsidRPr="00E27354">
              <w:rPr>
                <w:sz w:val="20"/>
              </w:rPr>
              <w:t>'</w:t>
            </w:r>
            <w:r w:rsidRPr="00E27354">
              <w:rPr>
                <w:sz w:val="20"/>
              </w:rPr>
              <w:t>égard des réseaux et services de télécommunication/TIC dans le monde actuel, il est plus que jamais nécessaire d</w:t>
            </w:r>
            <w:r w:rsidR="00622BAC" w:rsidRPr="00E27354">
              <w:rPr>
                <w:sz w:val="20"/>
              </w:rPr>
              <w:t>'</w:t>
            </w:r>
            <w:r w:rsidRPr="00E27354">
              <w:rPr>
                <w:sz w:val="20"/>
              </w:rPr>
              <w:t>adopter des stratégies à l</w:t>
            </w:r>
            <w:r w:rsidR="00622BAC" w:rsidRPr="00E27354">
              <w:rPr>
                <w:sz w:val="20"/>
              </w:rPr>
              <w:t>'</w:t>
            </w:r>
            <w:r w:rsidRPr="00E27354">
              <w:rPr>
                <w:sz w:val="20"/>
              </w:rPr>
              <w:t>échelle mondiale en matière de déchets d</w:t>
            </w:r>
            <w:r w:rsidR="00622BAC" w:rsidRPr="00E27354">
              <w:rPr>
                <w:sz w:val="20"/>
              </w:rPr>
              <w:t>'</w:t>
            </w:r>
            <w:r w:rsidRPr="00E27354">
              <w:rPr>
                <w:sz w:val="20"/>
              </w:rPr>
              <w:t>équipements électriques et électroniques et d</w:t>
            </w:r>
            <w:r w:rsidR="00622BAC" w:rsidRPr="00E27354">
              <w:rPr>
                <w:sz w:val="20"/>
              </w:rPr>
              <w:t>'</w:t>
            </w:r>
            <w:r w:rsidRPr="00E27354">
              <w:rPr>
                <w:sz w:val="20"/>
              </w:rPr>
              <w:t>efficacité énergétique. Ils ont estimé que cet Article pourrait être rattaché à l</w:t>
            </w:r>
            <w:r w:rsidR="00622BAC" w:rsidRPr="00E27354">
              <w:rPr>
                <w:sz w:val="20"/>
              </w:rPr>
              <w:t>'</w:t>
            </w:r>
            <w:r w:rsidRPr="00E27354">
              <w:rPr>
                <w:sz w:val="20"/>
              </w:rPr>
              <w:t>ODD 7 (Énergie propre et d</w:t>
            </w:r>
            <w:r w:rsidR="00622BAC" w:rsidRPr="00E27354">
              <w:rPr>
                <w:sz w:val="20"/>
              </w:rPr>
              <w:t>'</w:t>
            </w:r>
            <w:r w:rsidRPr="00E27354">
              <w:rPr>
                <w:sz w:val="20"/>
              </w:rPr>
              <w:t>un coût abordable), à l</w:t>
            </w:r>
            <w:r w:rsidR="00622BAC" w:rsidRPr="00E27354">
              <w:rPr>
                <w:sz w:val="20"/>
              </w:rPr>
              <w:t>'</w:t>
            </w:r>
            <w:r w:rsidRPr="00E27354">
              <w:rPr>
                <w:sz w:val="20"/>
              </w:rPr>
              <w:t>ODD 8 (</w:t>
            </w:r>
            <w:r w:rsidR="00AD60C0" w:rsidRPr="00E27354">
              <w:rPr>
                <w:sz w:val="20"/>
              </w:rPr>
              <w:t>T</w:t>
            </w:r>
            <w:r w:rsidRPr="00E27354">
              <w:rPr>
                <w:sz w:val="20"/>
              </w:rPr>
              <w:t>ravail décent et croissance économique), à l</w:t>
            </w:r>
            <w:r w:rsidR="00622BAC" w:rsidRPr="00E27354">
              <w:rPr>
                <w:sz w:val="20"/>
              </w:rPr>
              <w:t>'</w:t>
            </w:r>
            <w:r w:rsidRPr="00E27354">
              <w:rPr>
                <w:sz w:val="20"/>
              </w:rPr>
              <w:t>ODD 11 (</w:t>
            </w:r>
            <w:r w:rsidR="00AD60C0" w:rsidRPr="00E27354">
              <w:rPr>
                <w:sz w:val="20"/>
              </w:rPr>
              <w:t>V</w:t>
            </w:r>
            <w:r w:rsidRPr="00E27354">
              <w:rPr>
                <w:sz w:val="20"/>
              </w:rPr>
              <w:t>illes et communautés durables) et à l</w:t>
            </w:r>
            <w:r w:rsidR="00622BAC" w:rsidRPr="00E27354">
              <w:rPr>
                <w:sz w:val="20"/>
              </w:rPr>
              <w:t>'</w:t>
            </w:r>
            <w:r w:rsidRPr="00E27354">
              <w:rPr>
                <w:sz w:val="20"/>
              </w:rPr>
              <w:t>ODD 12 (Consommation et production responsables) et que cet Article</w:t>
            </w:r>
            <w:r w:rsidR="00E27354" w:rsidRPr="00E27354">
              <w:rPr>
                <w:sz w:val="20"/>
              </w:rPr>
              <w:t xml:space="preserve"> offre </w:t>
            </w:r>
            <w:r w:rsidRPr="00E27354">
              <w:rPr>
                <w:sz w:val="20"/>
              </w:rPr>
              <w:t xml:space="preserve">une souplesse suffisante pour tenir compte des nouvelles tendances et des nouveaux problèmes qui se font jour ainsi que des besoins exprimés en matière de TIC. </w:t>
            </w:r>
          </w:p>
        </w:tc>
        <w:tc>
          <w:tcPr>
            <w:tcW w:w="2375" w:type="dxa"/>
            <w:tcBorders>
              <w:bottom w:val="single" w:sz="4" w:space="0" w:color="auto"/>
            </w:tcBorders>
          </w:tcPr>
          <w:p w14:paraId="3A6FFB00" w14:textId="77777777" w:rsidR="00F27D5D" w:rsidRPr="00E27354" w:rsidRDefault="00F27D5D" w:rsidP="00F44A82">
            <w:pPr>
              <w:pStyle w:val="Tabletext"/>
              <w:rPr>
                <w:sz w:val="20"/>
              </w:rPr>
            </w:pPr>
          </w:p>
        </w:tc>
      </w:tr>
      <w:tr w:rsidR="00F27D5D" w:rsidRPr="00E27354" w14:paraId="1B29DE85" w14:textId="77777777" w:rsidTr="00686964">
        <w:tc>
          <w:tcPr>
            <w:tcW w:w="977" w:type="dxa"/>
          </w:tcPr>
          <w:p w14:paraId="72597C67" w14:textId="77777777" w:rsidR="00F27D5D" w:rsidRPr="00E27354" w:rsidRDefault="00F27D5D" w:rsidP="00F44A82">
            <w:pPr>
              <w:pStyle w:val="Tablehead"/>
              <w:spacing w:before="60"/>
              <w:rPr>
                <w:sz w:val="20"/>
                <w:highlight w:val="yellow"/>
              </w:rPr>
            </w:pPr>
          </w:p>
        </w:tc>
        <w:tc>
          <w:tcPr>
            <w:tcW w:w="2800" w:type="dxa"/>
          </w:tcPr>
          <w:p w14:paraId="6E06789F" w14:textId="77777777" w:rsidR="00F27D5D" w:rsidRPr="00E27354" w:rsidRDefault="00F27D5D" w:rsidP="00F44A82">
            <w:pPr>
              <w:pStyle w:val="Tabletext"/>
              <w:rPr>
                <w:b/>
                <w:sz w:val="20"/>
                <w:highlight w:val="yellow"/>
              </w:rPr>
            </w:pPr>
          </w:p>
        </w:tc>
        <w:tc>
          <w:tcPr>
            <w:tcW w:w="3560" w:type="dxa"/>
          </w:tcPr>
          <w:p w14:paraId="094E59AF" w14:textId="77777777" w:rsidR="00F27D5D" w:rsidRPr="00E27354" w:rsidRDefault="00F27D5D" w:rsidP="00F44A82">
            <w:pPr>
              <w:pStyle w:val="Tabletext"/>
              <w:keepNext/>
              <w:keepLines/>
              <w:rPr>
                <w:sz w:val="20"/>
              </w:rPr>
            </w:pPr>
          </w:p>
        </w:tc>
        <w:tc>
          <w:tcPr>
            <w:tcW w:w="2911" w:type="dxa"/>
          </w:tcPr>
          <w:p w14:paraId="56F8FD06" w14:textId="35B288C8" w:rsidR="00F27D5D" w:rsidRPr="00E27354" w:rsidRDefault="00F27D5D" w:rsidP="00F44A82">
            <w:pPr>
              <w:pStyle w:val="Tabletext"/>
              <w:keepNext/>
              <w:keepLines/>
              <w:rPr>
                <w:sz w:val="20"/>
              </w:rPr>
            </w:pPr>
            <w:r w:rsidRPr="00E27354">
              <w:rPr>
                <w:sz w:val="20"/>
              </w:rPr>
              <w:t>Certains membres ont fait valoir que cette disposition doit être mise à jour afin de tenir compte des évolutions constatées dans la fourniture des services de télécommunication/TIC à l</w:t>
            </w:r>
            <w:r w:rsidR="00622BAC" w:rsidRPr="00E27354">
              <w:rPr>
                <w:sz w:val="20"/>
              </w:rPr>
              <w:t>'</w:t>
            </w:r>
            <w:r w:rsidRPr="00E27354">
              <w:rPr>
                <w:sz w:val="20"/>
              </w:rPr>
              <w:t>utilisateur final.</w:t>
            </w:r>
          </w:p>
          <w:p w14:paraId="1DD35409" w14:textId="30833239" w:rsidR="00F27D5D" w:rsidRPr="00E27354" w:rsidRDefault="00F27D5D" w:rsidP="00F44A82">
            <w:pPr>
              <w:pStyle w:val="Tabletext"/>
              <w:keepNext/>
              <w:keepLines/>
              <w:rPr>
                <w:sz w:val="20"/>
              </w:rPr>
            </w:pPr>
            <w:r w:rsidRPr="00E27354">
              <w:rPr>
                <w:sz w:val="20"/>
              </w:rPr>
              <w:t>Certains membres ont estimé que le membre de phrase "Les États Membres sont encouragés à adopter" n</w:t>
            </w:r>
            <w:r w:rsidR="00622BAC" w:rsidRPr="00E27354">
              <w:rPr>
                <w:sz w:val="20"/>
              </w:rPr>
              <w:t>'</w:t>
            </w:r>
            <w:r w:rsidRPr="00E27354">
              <w:rPr>
                <w:sz w:val="20"/>
              </w:rPr>
              <w:t>est pas juridiquement exécutoire et ne permet donc pas d</w:t>
            </w:r>
            <w:r w:rsidR="00622BAC" w:rsidRPr="00E27354">
              <w:rPr>
                <w:sz w:val="20"/>
              </w:rPr>
              <w:t>'</w:t>
            </w:r>
            <w:r w:rsidRPr="00E27354">
              <w:rPr>
                <w:sz w:val="20"/>
              </w:rPr>
              <w:t>aider à favoriser le développement des réseaux et des services. Ils ont en outre estimé que cet Article est inutile étant donné que cette question est couverte dans la Convention de Bâle. De plus, le fait de faire référence aux Recommandations UIT-T pourrait rendre l</w:t>
            </w:r>
            <w:r w:rsidR="00622BAC" w:rsidRPr="00E27354">
              <w:rPr>
                <w:sz w:val="20"/>
              </w:rPr>
              <w:t>'</w:t>
            </w:r>
            <w:r w:rsidRPr="00E27354">
              <w:rPr>
                <w:sz w:val="20"/>
              </w:rPr>
              <w:t>environnement réglementaire confus.</w:t>
            </w:r>
          </w:p>
        </w:tc>
        <w:tc>
          <w:tcPr>
            <w:tcW w:w="2554" w:type="dxa"/>
          </w:tcPr>
          <w:p w14:paraId="5F5B828E" w14:textId="30550CBF" w:rsidR="00F27D5D" w:rsidRPr="00E27354" w:rsidRDefault="00F27D5D" w:rsidP="00F44A82">
            <w:pPr>
              <w:pStyle w:val="Tabletext"/>
              <w:keepNext/>
              <w:keepLines/>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souple. Ils ont en outre noté que les dispositions de l</w:t>
            </w:r>
            <w:r w:rsidR="00622BAC" w:rsidRPr="00E27354">
              <w:rPr>
                <w:sz w:val="20"/>
              </w:rPr>
              <w:t>'</w:t>
            </w:r>
            <w:r w:rsidRPr="00E27354">
              <w:rPr>
                <w:sz w:val="20"/>
              </w:rPr>
              <w:t>Article 11, qui répondent certes à de bonnes intentions, reprennent des arguments déjà avancés ailleurs dans des Résolutions de la Conférence de plénipotentiaires, de sorte qu</w:t>
            </w:r>
            <w:r w:rsidR="00622BAC" w:rsidRPr="00E27354">
              <w:rPr>
                <w:sz w:val="20"/>
              </w:rPr>
              <w:t>'</w:t>
            </w:r>
            <w:r w:rsidRPr="00E27354">
              <w:rPr>
                <w:sz w:val="20"/>
              </w:rPr>
              <w:t>il n</w:t>
            </w:r>
            <w:r w:rsidR="00622BAC" w:rsidRPr="00E27354">
              <w:rPr>
                <w:sz w:val="20"/>
              </w:rPr>
              <w:t>'</w:t>
            </w:r>
            <w:r w:rsidRPr="00E27354">
              <w:rPr>
                <w:sz w:val="20"/>
              </w:rPr>
              <w:t>y a pas forcément lieu de les faire figurer dans un traité tel que le RTI.</w:t>
            </w:r>
          </w:p>
          <w:p w14:paraId="54AC5DBF" w14:textId="4F747E20" w:rsidR="00F27D5D" w:rsidRPr="00E27354" w:rsidRDefault="00F27D5D" w:rsidP="00F44A82">
            <w:pPr>
              <w:pStyle w:val="Tabletext"/>
              <w:keepNext/>
              <w:keepLines/>
              <w:rPr>
                <w:sz w:val="20"/>
              </w:rPr>
            </w:pPr>
            <w:r w:rsidRPr="00E27354">
              <w:rPr>
                <w:sz w:val="20"/>
              </w:rPr>
              <w:t>Certains membres ont fait valoir que cette disposition doit être mise à jour afin de tenir compte des évolutions constatées dans la fourniture des services de télécommunication/TIC à l</w:t>
            </w:r>
            <w:r w:rsidR="00622BAC" w:rsidRPr="00E27354">
              <w:rPr>
                <w:sz w:val="20"/>
              </w:rPr>
              <w:t>'</w:t>
            </w:r>
            <w:r w:rsidRPr="00E27354">
              <w:rPr>
                <w:sz w:val="20"/>
              </w:rPr>
              <w:t>utilisateur final.</w:t>
            </w:r>
          </w:p>
          <w:p w14:paraId="4F4B9F5B" w14:textId="73C4A2DC" w:rsidR="00F27D5D" w:rsidRPr="00E27354" w:rsidRDefault="00F27D5D" w:rsidP="00F44A82">
            <w:pPr>
              <w:pStyle w:val="Tabletext"/>
              <w:keepNext/>
              <w:keepLines/>
              <w:rPr>
                <w:sz w:val="20"/>
              </w:rPr>
            </w:pPr>
            <w:r w:rsidRPr="00E27354">
              <w:rPr>
                <w:sz w:val="20"/>
              </w:rPr>
              <w:t>Certains membres ont estimé que le membre de phrase "Les États Membres sont encouragés à adopter" n</w:t>
            </w:r>
            <w:r w:rsidR="00622BAC" w:rsidRPr="00E27354">
              <w:rPr>
                <w:sz w:val="20"/>
              </w:rPr>
              <w:t>'</w:t>
            </w:r>
            <w:r w:rsidRPr="00E27354">
              <w:rPr>
                <w:sz w:val="20"/>
              </w:rPr>
              <w:t>est pas juridiquement exécutoire et ne permet donc pas d</w:t>
            </w:r>
            <w:r w:rsidR="00622BAC" w:rsidRPr="00E27354">
              <w:rPr>
                <w:sz w:val="20"/>
              </w:rPr>
              <w:t>'</w:t>
            </w:r>
            <w:r w:rsidRPr="00E27354">
              <w:rPr>
                <w:sz w:val="20"/>
              </w:rPr>
              <w:t>aider à favoriser le développement des réseaux et des services. Ce</w:t>
            </w:r>
          </w:p>
        </w:tc>
        <w:tc>
          <w:tcPr>
            <w:tcW w:w="2375" w:type="dxa"/>
            <w:tcBorders>
              <w:bottom w:val="single" w:sz="4" w:space="0" w:color="auto"/>
            </w:tcBorders>
          </w:tcPr>
          <w:p w14:paraId="232D47D8" w14:textId="77777777" w:rsidR="00F27D5D" w:rsidRPr="00E27354" w:rsidRDefault="00F27D5D" w:rsidP="00F44A82">
            <w:pPr>
              <w:pStyle w:val="Tabletext"/>
              <w:rPr>
                <w:sz w:val="20"/>
              </w:rPr>
            </w:pPr>
          </w:p>
        </w:tc>
      </w:tr>
      <w:tr w:rsidR="00F27D5D" w:rsidRPr="00E27354" w14:paraId="528BB1E6" w14:textId="77777777" w:rsidTr="00686964">
        <w:tc>
          <w:tcPr>
            <w:tcW w:w="977" w:type="dxa"/>
          </w:tcPr>
          <w:p w14:paraId="48EFB5CA" w14:textId="77777777" w:rsidR="00F27D5D" w:rsidRPr="00E27354" w:rsidRDefault="00F27D5D" w:rsidP="00F44A82">
            <w:pPr>
              <w:pStyle w:val="Tablehead"/>
              <w:spacing w:before="60"/>
              <w:rPr>
                <w:sz w:val="20"/>
                <w:highlight w:val="yellow"/>
              </w:rPr>
            </w:pPr>
          </w:p>
        </w:tc>
        <w:tc>
          <w:tcPr>
            <w:tcW w:w="2800" w:type="dxa"/>
          </w:tcPr>
          <w:p w14:paraId="2F1DD0DD" w14:textId="77777777" w:rsidR="00F27D5D" w:rsidRPr="00E27354" w:rsidRDefault="00F27D5D" w:rsidP="00F44A82">
            <w:pPr>
              <w:pStyle w:val="Tabletext"/>
              <w:rPr>
                <w:b/>
                <w:sz w:val="20"/>
                <w:highlight w:val="yellow"/>
              </w:rPr>
            </w:pPr>
          </w:p>
        </w:tc>
        <w:tc>
          <w:tcPr>
            <w:tcW w:w="3560" w:type="dxa"/>
          </w:tcPr>
          <w:p w14:paraId="25E276E5" w14:textId="77777777" w:rsidR="00F27D5D" w:rsidRPr="00E27354" w:rsidRDefault="00F27D5D" w:rsidP="00F44A82">
            <w:pPr>
              <w:pStyle w:val="Tabletext"/>
              <w:keepNext/>
              <w:keepLines/>
              <w:rPr>
                <w:sz w:val="20"/>
              </w:rPr>
            </w:pPr>
          </w:p>
        </w:tc>
        <w:tc>
          <w:tcPr>
            <w:tcW w:w="2911" w:type="dxa"/>
          </w:tcPr>
          <w:p w14:paraId="7BF7E30A" w14:textId="62DA0A83" w:rsidR="00F27D5D" w:rsidRPr="00E27354" w:rsidRDefault="00F27D5D" w:rsidP="00F44A82">
            <w:pPr>
              <w:spacing w:before="60" w:after="60"/>
              <w:rPr>
                <w:sz w:val="20"/>
              </w:rPr>
            </w:pPr>
          </w:p>
        </w:tc>
        <w:tc>
          <w:tcPr>
            <w:tcW w:w="2554" w:type="dxa"/>
          </w:tcPr>
          <w:p w14:paraId="6FCDEB25" w14:textId="39252EE4" w:rsidR="00F27D5D" w:rsidRPr="00E27354" w:rsidRDefault="00F27D5D" w:rsidP="00F44A82">
            <w:pPr>
              <w:pStyle w:val="Tabletext"/>
              <w:keepNext/>
              <w:keepLines/>
              <w:rPr>
                <w:sz w:val="20"/>
              </w:rPr>
            </w:pPr>
            <w:proofErr w:type="gramStart"/>
            <w:r w:rsidRPr="00E27354">
              <w:rPr>
                <w:sz w:val="20"/>
              </w:rPr>
              <w:t>point</w:t>
            </w:r>
            <w:proofErr w:type="gramEnd"/>
            <w:r w:rsidRPr="00E27354">
              <w:rPr>
                <w:sz w:val="20"/>
              </w:rPr>
              <w:t xml:space="preserve"> est inutile étant donné que cette question est couverte dans la Convention de Bâle. De plus, le fait de faire référence aux Recommandations UIT-T pourrait rendre l</w:t>
            </w:r>
            <w:r w:rsidR="00622BAC" w:rsidRPr="00E27354">
              <w:rPr>
                <w:sz w:val="20"/>
              </w:rPr>
              <w:t>'</w:t>
            </w:r>
            <w:r w:rsidRPr="00E27354">
              <w:rPr>
                <w:sz w:val="20"/>
              </w:rPr>
              <w:t>environnement réglementaire confus.</w:t>
            </w:r>
          </w:p>
        </w:tc>
        <w:tc>
          <w:tcPr>
            <w:tcW w:w="2375" w:type="dxa"/>
            <w:tcBorders>
              <w:bottom w:val="single" w:sz="4" w:space="0" w:color="auto"/>
            </w:tcBorders>
          </w:tcPr>
          <w:p w14:paraId="49C2D5AA" w14:textId="77777777" w:rsidR="00F27D5D" w:rsidRPr="00E27354" w:rsidRDefault="00F27D5D" w:rsidP="00F44A82">
            <w:pPr>
              <w:pStyle w:val="Tabletext"/>
              <w:rPr>
                <w:sz w:val="20"/>
              </w:rPr>
            </w:pPr>
          </w:p>
        </w:tc>
      </w:tr>
      <w:tr w:rsidR="00723857" w:rsidRPr="00E27354" w14:paraId="73509CDC" w14:textId="77777777" w:rsidTr="00686964">
        <w:tc>
          <w:tcPr>
            <w:tcW w:w="977" w:type="dxa"/>
          </w:tcPr>
          <w:p w14:paraId="2EADF0D7" w14:textId="224153F2" w:rsidR="00723857" w:rsidRPr="00E27354" w:rsidRDefault="00723857" w:rsidP="00F44A82">
            <w:pPr>
              <w:pStyle w:val="Tablehead"/>
              <w:spacing w:before="60"/>
              <w:rPr>
                <w:sz w:val="20"/>
                <w:highlight w:val="yellow"/>
              </w:rPr>
            </w:pPr>
            <w:r w:rsidRPr="00E27354">
              <w:rPr>
                <w:sz w:val="20"/>
              </w:rPr>
              <w:t>72</w:t>
            </w:r>
          </w:p>
        </w:tc>
        <w:tc>
          <w:tcPr>
            <w:tcW w:w="2800" w:type="dxa"/>
          </w:tcPr>
          <w:p w14:paraId="61FD447E" w14:textId="7BAF9E51" w:rsidR="00723857" w:rsidRPr="00E27354" w:rsidRDefault="00723857" w:rsidP="00F44A82">
            <w:pPr>
              <w:pStyle w:val="Tabletext"/>
              <w:rPr>
                <w:b/>
                <w:sz w:val="20"/>
                <w:highlight w:val="yellow"/>
              </w:rPr>
            </w:pPr>
            <w:r w:rsidRPr="00E27354">
              <w:rPr>
                <w:b/>
                <w:sz w:val="20"/>
              </w:rPr>
              <w:t>12.1</w:t>
            </w:r>
            <w:r w:rsidRPr="00E27354">
              <w:rPr>
                <w:b/>
                <w:sz w:val="20"/>
              </w:rPr>
              <w:tab/>
              <w:t xml:space="preserve">Les </w:t>
            </w:r>
            <w:r w:rsidR="007711C6" w:rsidRPr="007711C6">
              <w:rPr>
                <w:b/>
                <w:caps/>
                <w:sz w:val="20"/>
              </w:rPr>
              <w:t>é</w:t>
            </w:r>
            <w:r w:rsidRPr="00E27354">
              <w:rPr>
                <w:b/>
                <w:sz w:val="20"/>
              </w:rPr>
              <w:t>tats Membres devraient promouvoir l</w:t>
            </w:r>
            <w:r w:rsidR="00622BAC" w:rsidRPr="00E27354">
              <w:rPr>
                <w:b/>
                <w:sz w:val="20"/>
              </w:rPr>
              <w:t>'</w:t>
            </w:r>
            <w:r w:rsidRPr="00E27354">
              <w:rPr>
                <w:b/>
                <w:sz w:val="20"/>
              </w:rPr>
              <w:t>accès des personnes handicapées aux services internationaux de télécommunication, compte tenu des Recommandations UIT</w:t>
            </w:r>
            <w:r w:rsidRPr="00E27354">
              <w:rPr>
                <w:b/>
                <w:sz w:val="20"/>
              </w:rPr>
              <w:noBreakHyphen/>
              <w:t>T pertinentes.</w:t>
            </w:r>
          </w:p>
        </w:tc>
        <w:tc>
          <w:tcPr>
            <w:tcW w:w="3560" w:type="dxa"/>
          </w:tcPr>
          <w:p w14:paraId="4C396E30" w14:textId="77777777" w:rsidR="00723857" w:rsidRPr="00E27354" w:rsidRDefault="00723857" w:rsidP="00F44A82">
            <w:pPr>
              <w:pStyle w:val="Tabletext"/>
              <w:keepNext/>
              <w:keepLines/>
              <w:rPr>
                <w:sz w:val="20"/>
              </w:rPr>
            </w:pPr>
          </w:p>
        </w:tc>
        <w:tc>
          <w:tcPr>
            <w:tcW w:w="2911" w:type="dxa"/>
          </w:tcPr>
          <w:p w14:paraId="51FA7C21" w14:textId="1621F4E8" w:rsidR="00723857" w:rsidRPr="00E27354" w:rsidRDefault="00723857" w:rsidP="00F44A82">
            <w:pPr>
              <w:pStyle w:val="Tabletext"/>
              <w:rPr>
                <w:sz w:val="20"/>
              </w:rPr>
            </w:pPr>
            <w:r w:rsidRPr="00E27354">
              <w:rPr>
                <w:sz w:val="20"/>
              </w:rPr>
              <w:t>De l</w:t>
            </w:r>
            <w:r w:rsidR="00622BAC" w:rsidRPr="00E27354">
              <w:rPr>
                <w:sz w:val="20"/>
              </w:rPr>
              <w:t>'</w:t>
            </w:r>
            <w:r w:rsidRPr="00E27354">
              <w:rPr>
                <w:sz w:val="20"/>
              </w:rPr>
              <w:t>avis de certains membres, cette disposition est applicable pour ce qui est de favoriser la fourniture et le développement des réseaux et des services.</w:t>
            </w:r>
          </w:p>
          <w:p w14:paraId="52450E2A" w14:textId="1ED04CC9" w:rsidR="00723857" w:rsidRPr="00E27354" w:rsidRDefault="00723857" w:rsidP="00F44A82">
            <w:pPr>
              <w:spacing w:before="60" w:after="60"/>
              <w:rPr>
                <w:sz w:val="20"/>
              </w:rPr>
            </w:pPr>
            <w:r w:rsidRPr="00E27354">
              <w:rPr>
                <w:sz w:val="20"/>
              </w:rPr>
              <w:t>De l</w:t>
            </w:r>
            <w:r w:rsidR="00622BAC" w:rsidRPr="00E27354">
              <w:rPr>
                <w:sz w:val="20"/>
              </w:rPr>
              <w:t>'</w:t>
            </w:r>
            <w:r w:rsidRPr="00E27354">
              <w:rPr>
                <w:sz w:val="20"/>
              </w:rPr>
              <w:t>avis de certains membres, l</w:t>
            </w:r>
            <w:r w:rsidR="00622BAC" w:rsidRPr="00E27354">
              <w:rPr>
                <w:sz w:val="20"/>
              </w:rPr>
              <w:t>'</w:t>
            </w:r>
            <w:r w:rsidRPr="00E27354">
              <w:rPr>
                <w:sz w:val="20"/>
              </w:rPr>
              <w:t>accès des personnes handicapées est une question importante, mais la promotion de l</w:t>
            </w:r>
            <w:r w:rsidR="00622BAC" w:rsidRPr="00E27354">
              <w:rPr>
                <w:sz w:val="20"/>
              </w:rPr>
              <w:t>'</w:t>
            </w:r>
            <w:r w:rsidRPr="00E27354">
              <w:rPr>
                <w:sz w:val="20"/>
              </w:rPr>
              <w:t>accès ne devrait pas être une simple disposition dans un traité relatif aux télécommunications, étant donné que cette question suppose de faire évoluer les environnements et cadres sociétaux et culturels. Cette question devrait être traitée à plus haut niveau, afin qu</w:t>
            </w:r>
            <w:r w:rsidR="00622BAC" w:rsidRPr="00E27354">
              <w:rPr>
                <w:sz w:val="20"/>
              </w:rPr>
              <w:t>'</w:t>
            </w:r>
            <w:r w:rsidRPr="00E27354">
              <w:rPr>
                <w:sz w:val="20"/>
              </w:rPr>
              <w:t>il soit possible de favoriser la fourniture et le développement des réseaux et des services.</w:t>
            </w:r>
          </w:p>
        </w:tc>
        <w:tc>
          <w:tcPr>
            <w:tcW w:w="2554" w:type="dxa"/>
          </w:tcPr>
          <w:p w14:paraId="67554B25" w14:textId="77777777" w:rsidR="00723857" w:rsidRPr="00E27354" w:rsidRDefault="00723857" w:rsidP="00F44A82">
            <w:pPr>
              <w:pStyle w:val="Tabletext"/>
              <w:rPr>
                <w:sz w:val="20"/>
              </w:rPr>
            </w:pPr>
            <w:r w:rsidRPr="00E27354">
              <w:rPr>
                <w:sz w:val="20"/>
              </w:rPr>
              <w:t>Certains membres ont estimé que cette disposition était suffisamment souple pour prendre en compte les nouvelles tendances et les nouveaux problèmes qui se font jour.</w:t>
            </w:r>
          </w:p>
          <w:p w14:paraId="4E30C9BE" w14:textId="21812E4F" w:rsidR="00723857" w:rsidRPr="00E27354" w:rsidRDefault="00723857" w:rsidP="00F44A82">
            <w:pPr>
              <w:pStyle w:val="Tabletext"/>
              <w:rPr>
                <w:sz w:val="20"/>
              </w:rPr>
            </w:pPr>
            <w:r w:rsidRPr="00E27354">
              <w:rPr>
                <w:sz w:val="20"/>
              </w:rPr>
              <w:t>De l</w:t>
            </w:r>
            <w:r w:rsidR="00622BAC" w:rsidRPr="00E27354">
              <w:rPr>
                <w:sz w:val="20"/>
              </w:rPr>
              <w:t>'</w:t>
            </w:r>
            <w:r w:rsidRPr="00E27354">
              <w:rPr>
                <w:sz w:val="20"/>
              </w:rPr>
              <w:t>avis de certains membres, l</w:t>
            </w:r>
            <w:r w:rsidR="00622BAC" w:rsidRPr="00E27354">
              <w:rPr>
                <w:sz w:val="20"/>
              </w:rPr>
              <w:t>'</w:t>
            </w:r>
            <w:r w:rsidRPr="00E27354">
              <w:rPr>
                <w:sz w:val="20"/>
              </w:rPr>
              <w:t>accès des personnes handicapées est une question importante, mais la promotion de l</w:t>
            </w:r>
            <w:r w:rsidR="00622BAC" w:rsidRPr="00E27354">
              <w:rPr>
                <w:sz w:val="20"/>
              </w:rPr>
              <w:t>'</w:t>
            </w:r>
            <w:r w:rsidRPr="00E27354">
              <w:rPr>
                <w:sz w:val="20"/>
              </w:rPr>
              <w:t>accès ne devrait pas être une simple disposition dans un traité relatif aux télécommunications, mais être traitée à plus haut niveau, afin qu</w:t>
            </w:r>
            <w:r w:rsidR="00622BAC" w:rsidRPr="00E27354">
              <w:rPr>
                <w:sz w:val="20"/>
              </w:rPr>
              <w:t>'</w:t>
            </w:r>
            <w:r w:rsidRPr="00E27354">
              <w:rPr>
                <w:sz w:val="20"/>
              </w:rPr>
              <w:t xml:space="preserve">il soit possible de tenir compte des nouvelles tendances et des nouveaux problèmes qui se font jour. </w:t>
            </w:r>
          </w:p>
          <w:p w14:paraId="3E3D3C39" w14:textId="1BFE74EC" w:rsidR="00723857" w:rsidRPr="00E27354" w:rsidRDefault="00723857" w:rsidP="00F44A82">
            <w:pPr>
              <w:pStyle w:val="Tabletext"/>
              <w:keepNext/>
              <w:keepLines/>
              <w:rPr>
                <w:sz w:val="20"/>
              </w:rPr>
            </w:pPr>
            <w:r w:rsidRPr="00E27354">
              <w:rPr>
                <w:sz w:val="20"/>
              </w:rPr>
              <w:lastRenderedPageBreak/>
              <w:t>Cette disposition n</w:t>
            </w:r>
            <w:r w:rsidR="00622BAC" w:rsidRPr="00E27354">
              <w:rPr>
                <w:sz w:val="20"/>
              </w:rPr>
              <w:t>'</w:t>
            </w:r>
            <w:r w:rsidRPr="00E27354">
              <w:rPr>
                <w:sz w:val="20"/>
              </w:rPr>
              <w:t>offre pas la souplesse nécessaire.</w:t>
            </w:r>
          </w:p>
        </w:tc>
        <w:tc>
          <w:tcPr>
            <w:tcW w:w="2375" w:type="dxa"/>
            <w:tcBorders>
              <w:bottom w:val="single" w:sz="4" w:space="0" w:color="auto"/>
            </w:tcBorders>
          </w:tcPr>
          <w:p w14:paraId="7E8D82BC" w14:textId="35CDB2C1" w:rsidR="00723857" w:rsidRPr="00E27354" w:rsidRDefault="00723857" w:rsidP="00F44A82">
            <w:pPr>
              <w:pStyle w:val="Tabletext"/>
              <w:rPr>
                <w:sz w:val="20"/>
              </w:rPr>
            </w:pPr>
            <w:r w:rsidRPr="00E27354">
              <w:rPr>
                <w:sz w:val="20"/>
              </w:rPr>
              <w:lastRenderedPageBreak/>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15DD5664" w14:textId="7D418774" w:rsidR="00723857" w:rsidRPr="00E27354" w:rsidRDefault="00723857"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p w14:paraId="4E3C1DD0" w14:textId="672CF8FA" w:rsidR="00723857" w:rsidRPr="00E27354" w:rsidRDefault="00723857" w:rsidP="00F44A82">
            <w:pPr>
              <w:pStyle w:val="Tabletext"/>
              <w:rPr>
                <w:sz w:val="20"/>
              </w:rPr>
            </w:pPr>
            <w:r w:rsidRPr="00E27354">
              <w:rPr>
                <w:sz w:val="20"/>
              </w:rPr>
              <w:t>Certains autres membres ont fait valoir que cette disposition doit être mise à jour afin de tenir compte des évolutions constatées dans la fourniture des services de télécommunication/TIC à l</w:t>
            </w:r>
            <w:r w:rsidR="00622BAC" w:rsidRPr="00E27354">
              <w:rPr>
                <w:sz w:val="20"/>
              </w:rPr>
              <w:t>'</w:t>
            </w:r>
            <w:r w:rsidRPr="00E27354">
              <w:rPr>
                <w:sz w:val="20"/>
              </w:rPr>
              <w:t>utilisateur final.</w:t>
            </w:r>
          </w:p>
        </w:tc>
      </w:tr>
      <w:tr w:rsidR="00723857" w:rsidRPr="00E27354" w14:paraId="05FF6F20" w14:textId="77777777" w:rsidTr="00686964">
        <w:tc>
          <w:tcPr>
            <w:tcW w:w="977" w:type="dxa"/>
          </w:tcPr>
          <w:p w14:paraId="293F3C65" w14:textId="31B05604" w:rsidR="00723857" w:rsidRPr="00E27354" w:rsidRDefault="00723857" w:rsidP="00F44A82">
            <w:pPr>
              <w:pStyle w:val="Tablehead"/>
              <w:spacing w:before="60"/>
              <w:rPr>
                <w:sz w:val="20"/>
              </w:rPr>
            </w:pPr>
            <w:r w:rsidRPr="00E27354">
              <w:rPr>
                <w:sz w:val="20"/>
              </w:rPr>
              <w:t>73</w:t>
            </w:r>
          </w:p>
        </w:tc>
        <w:tc>
          <w:tcPr>
            <w:tcW w:w="2800" w:type="dxa"/>
          </w:tcPr>
          <w:p w14:paraId="79FCA6F6" w14:textId="626ABDA5" w:rsidR="00723857" w:rsidRPr="00E27354" w:rsidRDefault="00723857" w:rsidP="00F44A82">
            <w:pPr>
              <w:pStyle w:val="Tabletext"/>
              <w:rPr>
                <w:b/>
                <w:sz w:val="20"/>
              </w:rPr>
            </w:pPr>
            <w:r w:rsidRPr="00E27354">
              <w:rPr>
                <w:b/>
                <w:sz w:val="20"/>
              </w:rPr>
              <w:t>13.1</w:t>
            </w:r>
            <w:r w:rsidRPr="00E27354">
              <w:rPr>
                <w:b/>
                <w:sz w:val="20"/>
              </w:rPr>
              <w:tab/>
            </w:r>
            <w:r w:rsidRPr="00E27354">
              <w:rPr>
                <w:b/>
                <w:i/>
                <w:iCs/>
                <w:sz w:val="20"/>
              </w:rPr>
              <w:t>a)</w:t>
            </w:r>
            <w:r w:rsidRPr="00E27354">
              <w:rPr>
                <w:b/>
                <w:sz w:val="20"/>
              </w:rPr>
              <w:t xml:space="preserve"> Conformément à l</w:t>
            </w:r>
            <w:r w:rsidR="00622BAC" w:rsidRPr="00E27354">
              <w:rPr>
                <w:b/>
                <w:sz w:val="20"/>
              </w:rPr>
              <w:t>'</w:t>
            </w:r>
            <w:r w:rsidRPr="00E27354">
              <w:rPr>
                <w:b/>
                <w:sz w:val="20"/>
              </w:rPr>
              <w:t>article 42 de la Constitution, des arrangements particuliers peuvent être conclus sur des questions de télécommunication qui ne concernent pas les États Membres en général. Sous réserve de la législation nationale, les États Membres peuvent habiliter des exploitations autorisées ou d</w:t>
            </w:r>
            <w:r w:rsidR="00622BAC" w:rsidRPr="00E27354">
              <w:rPr>
                <w:b/>
                <w:sz w:val="20"/>
              </w:rPr>
              <w:t>'</w:t>
            </w:r>
            <w:r w:rsidRPr="00E27354">
              <w:rPr>
                <w:b/>
                <w:sz w:val="20"/>
              </w:rPr>
              <w:t>autres organisations ou personnes à conclure de tels arrangements mutuels particuliers avec des États Membres et des exploitations autorisées, ou d</w:t>
            </w:r>
            <w:r w:rsidR="00622BAC" w:rsidRPr="00E27354">
              <w:rPr>
                <w:b/>
                <w:sz w:val="20"/>
              </w:rPr>
              <w:t>'</w:t>
            </w:r>
            <w:r w:rsidRPr="00E27354">
              <w:rPr>
                <w:b/>
                <w:sz w:val="20"/>
              </w:rPr>
              <w:t>autres organisations ou personnes qui y sont habilitées dans un autre pays, dans le but d</w:t>
            </w:r>
            <w:r w:rsidR="00622BAC" w:rsidRPr="00E27354">
              <w:rPr>
                <w:b/>
                <w:sz w:val="20"/>
              </w:rPr>
              <w:t>'</w:t>
            </w:r>
            <w:r w:rsidRPr="00E27354">
              <w:rPr>
                <w:b/>
                <w:sz w:val="20"/>
              </w:rPr>
              <w:t>établir, d</w:t>
            </w:r>
            <w:r w:rsidR="00622BAC" w:rsidRPr="00E27354">
              <w:rPr>
                <w:b/>
                <w:sz w:val="20"/>
              </w:rPr>
              <w:t>'</w:t>
            </w:r>
            <w:r w:rsidRPr="00E27354">
              <w:rPr>
                <w:b/>
                <w:sz w:val="20"/>
              </w:rPr>
              <w:t>exploiter et d</w:t>
            </w:r>
            <w:r w:rsidR="00622BAC" w:rsidRPr="00E27354">
              <w:rPr>
                <w:b/>
                <w:sz w:val="20"/>
              </w:rPr>
              <w:t>'</w:t>
            </w:r>
            <w:r w:rsidRPr="00E27354">
              <w:rPr>
                <w:b/>
                <w:sz w:val="20"/>
              </w:rPr>
              <w:t xml:space="preserve">utiliser des réseaux, des systèmes et des services internationaux de télécommunication particuliers et de satisfaire ainsi à des besoins spécialisés de télécommunications internationales sur les territoires ou entre les </w:t>
            </w:r>
            <w:r w:rsidRPr="00E27354">
              <w:rPr>
                <w:b/>
                <w:sz w:val="20"/>
              </w:rPr>
              <w:lastRenderedPageBreak/>
              <w:t>territoires des États Membres concernés, ces arrangements pouvant comprendre, si nécessaire, les conditions financières, techniques ou opérationnelles à observer.</w:t>
            </w:r>
          </w:p>
        </w:tc>
        <w:tc>
          <w:tcPr>
            <w:tcW w:w="3560" w:type="dxa"/>
          </w:tcPr>
          <w:p w14:paraId="3960AC02" w14:textId="1800E52F" w:rsidR="00723857" w:rsidRPr="00E27354" w:rsidRDefault="00723857" w:rsidP="00F44A82">
            <w:pPr>
              <w:pStyle w:val="Tabletext"/>
              <w:rPr>
                <w:sz w:val="20"/>
              </w:rPr>
            </w:pPr>
            <w:r w:rsidRPr="00E27354">
              <w:rPr>
                <w:sz w:val="20"/>
              </w:rPr>
              <w:lastRenderedPageBreak/>
              <w:t>9.1</w:t>
            </w:r>
            <w:r w:rsidRPr="00E27354">
              <w:rPr>
                <w:sz w:val="20"/>
              </w:rPr>
              <w:tab/>
            </w:r>
            <w:r w:rsidRPr="00E27354">
              <w:rPr>
                <w:i/>
                <w:iCs/>
                <w:sz w:val="20"/>
              </w:rPr>
              <w:t>a)</w:t>
            </w:r>
            <w:r w:rsidR="007711C6">
              <w:rPr>
                <w:i/>
                <w:iCs/>
                <w:sz w:val="20"/>
              </w:rPr>
              <w:t xml:space="preserve"> </w:t>
            </w:r>
            <w:r w:rsidRPr="00E27354">
              <w:rPr>
                <w:sz w:val="20"/>
              </w:rPr>
              <w:t>Conformément à l</w:t>
            </w:r>
            <w:r w:rsidR="00622BAC" w:rsidRPr="00E27354">
              <w:rPr>
                <w:sz w:val="20"/>
              </w:rPr>
              <w:t>'</w:t>
            </w:r>
            <w:r w:rsidRPr="00E27354">
              <w:rPr>
                <w:sz w:val="20"/>
              </w:rPr>
              <w:t>Article 31 de la Convention internationale des télécommunications (Nairobi, 1982), des arrangements particuliers peuvent être conclus sur des questions de télécommunication qui ne concernent pas la généralité des Membres. Sous réserve de la législation nationale, les Membres peuvent habiliter des administrations</w:t>
            </w:r>
            <w:r w:rsidRPr="00E27354">
              <w:rPr>
                <w:sz w:val="20"/>
              </w:rPr>
              <w:fldChar w:fldCharType="begin"/>
            </w:r>
            <w:r w:rsidRPr="00E27354">
              <w:rPr>
                <w:sz w:val="20"/>
              </w:rPr>
              <w:instrText xml:space="preserve"> NOTEREF _Ref319329538 \f  \* MERGEFORMAT </w:instrText>
            </w:r>
            <w:r w:rsidRPr="00E27354">
              <w:rPr>
                <w:sz w:val="20"/>
              </w:rPr>
              <w:fldChar w:fldCharType="separate"/>
            </w:r>
            <w:r w:rsidRPr="00E27354">
              <w:rPr>
                <w:sz w:val="20"/>
              </w:rPr>
              <w:t>*</w:t>
            </w:r>
            <w:r w:rsidRPr="00E27354">
              <w:rPr>
                <w:sz w:val="20"/>
              </w:rPr>
              <w:fldChar w:fldCharType="end"/>
            </w:r>
            <w:r w:rsidRPr="00E27354">
              <w:rPr>
                <w:sz w:val="20"/>
              </w:rPr>
              <w:t xml:space="preserve"> ou d</w:t>
            </w:r>
            <w:r w:rsidR="00622BAC" w:rsidRPr="00E27354">
              <w:rPr>
                <w:sz w:val="20"/>
              </w:rPr>
              <w:t>'</w:t>
            </w:r>
            <w:r w:rsidRPr="00E27354">
              <w:rPr>
                <w:sz w:val="20"/>
              </w:rPr>
              <w:t>autres organisations ou personnes à conclure de tels arrangements mutuels particuliers avec des Membres, des administrations* ou d</w:t>
            </w:r>
            <w:r w:rsidR="00622BAC" w:rsidRPr="00E27354">
              <w:rPr>
                <w:sz w:val="20"/>
              </w:rPr>
              <w:t>'</w:t>
            </w:r>
            <w:r w:rsidRPr="00E27354">
              <w:rPr>
                <w:sz w:val="20"/>
              </w:rPr>
              <w:t>autres organisations ou personnes qui y sont habilitées dans un autre pays, dans le but d</w:t>
            </w:r>
            <w:r w:rsidR="00622BAC" w:rsidRPr="00E27354">
              <w:rPr>
                <w:sz w:val="20"/>
              </w:rPr>
              <w:t>'</w:t>
            </w:r>
            <w:r w:rsidRPr="00E27354">
              <w:rPr>
                <w:sz w:val="20"/>
              </w:rPr>
              <w:t>établir, d</w:t>
            </w:r>
            <w:r w:rsidR="00622BAC" w:rsidRPr="00E27354">
              <w:rPr>
                <w:sz w:val="20"/>
              </w:rPr>
              <w:t>'</w:t>
            </w:r>
            <w:r w:rsidRPr="00E27354">
              <w:rPr>
                <w:sz w:val="20"/>
              </w:rPr>
              <w:t>exploiter et d</w:t>
            </w:r>
            <w:r w:rsidR="00622BAC" w:rsidRPr="00E27354">
              <w:rPr>
                <w:sz w:val="20"/>
              </w:rPr>
              <w:t>'</w:t>
            </w:r>
            <w:r w:rsidRPr="00E27354">
              <w:rPr>
                <w:sz w:val="20"/>
              </w:rPr>
              <w:t>utiliser des réseaux, des systèmes et des services de télécommunication particuliers et de satisfaire ainsi à des besoins spécialisés de télécommunications internationales dans les territoires ou entre les territoires des Membres concernés, ces arrangements pouvant comprendre, si nécessaire, les conditions financières, techniques ou opérationnelles à observer.</w:t>
            </w:r>
          </w:p>
          <w:p w14:paraId="6C9E1504" w14:textId="4CB39035" w:rsidR="00723857" w:rsidRPr="00E27354" w:rsidRDefault="00723857" w:rsidP="007711C6">
            <w:pPr>
              <w:pStyle w:val="Tabletext"/>
              <w:keepNext/>
              <w:keepLines/>
              <w:tabs>
                <w:tab w:val="left" w:pos="321"/>
              </w:tabs>
              <w:rPr>
                <w:sz w:val="20"/>
              </w:rPr>
            </w:pPr>
            <w:r w:rsidRPr="00E27354">
              <w:rPr>
                <w:sz w:val="20"/>
              </w:rPr>
              <w:t>*</w:t>
            </w:r>
            <w:r w:rsidRPr="00E27354">
              <w:rPr>
                <w:sz w:val="20"/>
              </w:rPr>
              <w:tab/>
              <w:t>ou exploitation(s) privée(s) reconnue(s).</w:t>
            </w:r>
          </w:p>
        </w:tc>
        <w:tc>
          <w:tcPr>
            <w:tcW w:w="2911" w:type="dxa"/>
          </w:tcPr>
          <w:p w14:paraId="1FB02609" w14:textId="1771C7C8" w:rsidR="00723857" w:rsidRPr="00E27354" w:rsidRDefault="00723857" w:rsidP="00F44A82">
            <w:pPr>
              <w:pStyle w:val="Tabletext"/>
              <w:rPr>
                <w:sz w:val="20"/>
              </w:rPr>
            </w:pPr>
            <w:r w:rsidRPr="00E27354">
              <w:rPr>
                <w:sz w:val="20"/>
              </w:rPr>
              <w:t>Certains membres ont estimé que cette disposition est applicable pour ce qui est de favoriser la fourniture et le développement des réseaux et des services car il s</w:t>
            </w:r>
            <w:r w:rsidR="00622BAC" w:rsidRPr="00E27354">
              <w:rPr>
                <w:sz w:val="20"/>
              </w:rPr>
              <w:t>'</w:t>
            </w:r>
            <w:r w:rsidRPr="00E27354">
              <w:rPr>
                <w:sz w:val="20"/>
              </w:rPr>
              <w:t>agit d</w:t>
            </w:r>
            <w:r w:rsidR="00622BAC" w:rsidRPr="00E27354">
              <w:rPr>
                <w:sz w:val="20"/>
              </w:rPr>
              <w:t>'</w:t>
            </w:r>
            <w:r w:rsidRPr="00E27354">
              <w:rPr>
                <w:sz w:val="20"/>
              </w:rPr>
              <w:t>une disposition pratique importante et applicable qui permet à différentes entités de conclure des arrangements particuliers avec des entités différentes.</w:t>
            </w:r>
          </w:p>
          <w:p w14:paraId="43AFE682" w14:textId="315A7984" w:rsidR="00723857" w:rsidRPr="00E27354" w:rsidRDefault="00723857" w:rsidP="00F44A82">
            <w:pPr>
              <w:pStyle w:val="Tabletext"/>
              <w:rPr>
                <w:sz w:val="20"/>
              </w:rPr>
            </w:pPr>
            <w:r w:rsidRPr="00E27354">
              <w:rPr>
                <w:sz w:val="20"/>
              </w:rPr>
              <w:t>De l</w:t>
            </w:r>
            <w:r w:rsidR="00622BAC" w:rsidRPr="00E27354">
              <w:rPr>
                <w:sz w:val="20"/>
              </w:rPr>
              <w:t>'</w:t>
            </w:r>
            <w:r w:rsidRPr="00E27354">
              <w:rPr>
                <w:sz w:val="20"/>
              </w:rPr>
              <w:t>avis de certains membres, cette disposition vise à établir une procédure pour résoudre des problèmes ponctuels et imprévus précis, qui pourraient se poser entre États Membres et qui ne sont pas couverts par le traité.</w:t>
            </w:r>
          </w:p>
          <w:p w14:paraId="079918CB" w14:textId="4E2AEEC1" w:rsidR="00723857" w:rsidRPr="00E27354" w:rsidRDefault="00723857" w:rsidP="00F44A82">
            <w:pPr>
              <w:pStyle w:val="Tabletext"/>
              <w:rPr>
                <w:sz w:val="20"/>
              </w:rPr>
            </w:pPr>
            <w:r w:rsidRPr="00E27354">
              <w:rPr>
                <w:sz w:val="20"/>
              </w:rPr>
              <w:t>Étant donné que cette disposition couvre les problèmes particuliers ponctuels, elle ne facilite pas la fourniture et le développement des réseaux et des services.</w:t>
            </w:r>
          </w:p>
        </w:tc>
        <w:tc>
          <w:tcPr>
            <w:tcW w:w="2554" w:type="dxa"/>
          </w:tcPr>
          <w:p w14:paraId="601640AC" w14:textId="77777777" w:rsidR="00723857" w:rsidRPr="00E27354" w:rsidRDefault="00723857" w:rsidP="00F44A82">
            <w:pPr>
              <w:pStyle w:val="Tabletext"/>
              <w:rPr>
                <w:sz w:val="20"/>
              </w:rPr>
            </w:pPr>
            <w:r w:rsidRPr="00E27354">
              <w:rPr>
                <w:sz w:val="20"/>
              </w:rPr>
              <w:t>Certains membres ont estimé que cette disposition était suffisamment souple pour prendre en compte les nouvelles tendances et les nouveaux problèmes qui se font jour.</w:t>
            </w:r>
          </w:p>
          <w:p w14:paraId="50BBE92A" w14:textId="1CFF9851" w:rsidR="00723857" w:rsidRPr="00E27354" w:rsidRDefault="00723857" w:rsidP="00F44A82">
            <w:pPr>
              <w:pStyle w:val="Tabletext"/>
              <w:rPr>
                <w:sz w:val="20"/>
              </w:rPr>
            </w:pPr>
            <w:r w:rsidRPr="00E27354">
              <w:rPr>
                <w:sz w:val="20"/>
              </w:rPr>
              <w:t>De l</w:t>
            </w:r>
            <w:r w:rsidR="00622BAC" w:rsidRPr="00E27354">
              <w:rPr>
                <w:sz w:val="20"/>
              </w:rPr>
              <w:t>'</w:t>
            </w:r>
            <w:r w:rsidRPr="00E27354">
              <w:rPr>
                <w:sz w:val="20"/>
              </w:rPr>
              <w:t>avis de certains membres, cette disposition vise à établir une procédure pour résoudre des problèmes ponctuels et imprévus précis, qui pourraient se poser entre États Membres et qui ne sont pas couverts par le traité.</w:t>
            </w:r>
          </w:p>
          <w:p w14:paraId="1758CB3C" w14:textId="042CF698" w:rsidR="00723857" w:rsidRPr="00E27354" w:rsidRDefault="00723857" w:rsidP="00F44A82">
            <w:pPr>
              <w:pStyle w:val="Tabletext"/>
              <w:rPr>
                <w:sz w:val="20"/>
              </w:rPr>
            </w:pPr>
            <w:r w:rsidRPr="00E27354">
              <w:rPr>
                <w:sz w:val="20"/>
              </w:rPr>
              <w:t>Étant donné que cette disposition couvre les problèmes particuliers ponctuels, elle ne permet pas d</w:t>
            </w:r>
            <w:r w:rsidR="00622BAC" w:rsidRPr="00E27354">
              <w:rPr>
                <w:sz w:val="20"/>
              </w:rPr>
              <w:t>'</w:t>
            </w:r>
            <w:r w:rsidRPr="00E27354">
              <w:rPr>
                <w:sz w:val="20"/>
              </w:rPr>
              <w:t>offrir de la souplesse pour tenir compte des nouvelles tendances et des nouveaux problèmes qui se font jour.</w:t>
            </w:r>
          </w:p>
        </w:tc>
        <w:tc>
          <w:tcPr>
            <w:tcW w:w="2375" w:type="dxa"/>
            <w:tcBorders>
              <w:bottom w:val="single" w:sz="4" w:space="0" w:color="auto"/>
            </w:tcBorders>
          </w:tcPr>
          <w:p w14:paraId="3F56C424" w14:textId="6FE40A6F" w:rsidR="00723857" w:rsidRPr="00E27354" w:rsidRDefault="00723857" w:rsidP="00F44A82">
            <w:pPr>
              <w:pStyle w:val="Tabletext"/>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44798C12" w14:textId="49F42BF7" w:rsidR="00723857" w:rsidRPr="00E27354" w:rsidRDefault="00723857"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723857" w:rsidRPr="00E27354" w14:paraId="1CADD832" w14:textId="77777777" w:rsidTr="00686964">
        <w:tc>
          <w:tcPr>
            <w:tcW w:w="977" w:type="dxa"/>
          </w:tcPr>
          <w:p w14:paraId="461C7772" w14:textId="7E946CE0" w:rsidR="00723857" w:rsidRPr="00E27354" w:rsidRDefault="00723857" w:rsidP="00F44A82">
            <w:pPr>
              <w:pStyle w:val="Tablehead"/>
              <w:spacing w:before="60"/>
              <w:rPr>
                <w:sz w:val="20"/>
              </w:rPr>
            </w:pPr>
            <w:r w:rsidRPr="00E27354">
              <w:rPr>
                <w:sz w:val="20"/>
              </w:rPr>
              <w:t>74</w:t>
            </w:r>
          </w:p>
        </w:tc>
        <w:tc>
          <w:tcPr>
            <w:tcW w:w="2800" w:type="dxa"/>
          </w:tcPr>
          <w:p w14:paraId="4D1F223C" w14:textId="38191D78" w:rsidR="00723857" w:rsidRPr="00E27354" w:rsidRDefault="00723857" w:rsidP="00F44A82">
            <w:pPr>
              <w:pStyle w:val="Tabletext"/>
              <w:rPr>
                <w:b/>
                <w:sz w:val="20"/>
              </w:rPr>
            </w:pPr>
            <w:r w:rsidRPr="00E27354">
              <w:rPr>
                <w:b/>
                <w:sz w:val="20"/>
              </w:rPr>
              <w:t>13.1</w:t>
            </w:r>
            <w:r w:rsidRPr="00E27354">
              <w:rPr>
                <w:b/>
                <w:sz w:val="20"/>
              </w:rPr>
              <w:tab/>
            </w:r>
            <w:r w:rsidRPr="00E27354">
              <w:rPr>
                <w:b/>
                <w:i/>
                <w:iCs/>
                <w:sz w:val="20"/>
              </w:rPr>
              <w:t>b)</w:t>
            </w:r>
            <w:r w:rsidRPr="00E27354">
              <w:rPr>
                <w:b/>
                <w:sz w:val="20"/>
              </w:rPr>
              <w:t xml:space="preserve"> Tous les arrangements particuliers de ce type doivent s</w:t>
            </w:r>
            <w:r w:rsidR="00622BAC" w:rsidRPr="00E27354">
              <w:rPr>
                <w:b/>
                <w:sz w:val="20"/>
              </w:rPr>
              <w:t>'</w:t>
            </w:r>
            <w:r w:rsidRPr="00E27354">
              <w:rPr>
                <w:b/>
                <w:sz w:val="20"/>
              </w:rPr>
              <w:t>efforcer d</w:t>
            </w:r>
            <w:r w:rsidR="00622BAC" w:rsidRPr="00E27354">
              <w:rPr>
                <w:b/>
                <w:sz w:val="20"/>
              </w:rPr>
              <w:t>'</w:t>
            </w:r>
            <w:r w:rsidRPr="00E27354">
              <w:rPr>
                <w:b/>
                <w:sz w:val="20"/>
              </w:rPr>
              <w:t>éviter de causer un préjudice technique à l</w:t>
            </w:r>
            <w:r w:rsidR="00622BAC" w:rsidRPr="00E27354">
              <w:rPr>
                <w:b/>
                <w:sz w:val="20"/>
              </w:rPr>
              <w:t>'</w:t>
            </w:r>
            <w:r w:rsidRPr="00E27354">
              <w:rPr>
                <w:b/>
                <w:sz w:val="20"/>
              </w:rPr>
              <w:t>exploitation des moyens de télécommunication de pays tiers.</w:t>
            </w:r>
          </w:p>
        </w:tc>
        <w:tc>
          <w:tcPr>
            <w:tcW w:w="3560" w:type="dxa"/>
          </w:tcPr>
          <w:p w14:paraId="3E713F20" w14:textId="3E77C361" w:rsidR="00723857" w:rsidRPr="00E27354" w:rsidRDefault="00723857" w:rsidP="00F44A82">
            <w:pPr>
              <w:pStyle w:val="Tabletext"/>
              <w:keepNext/>
              <w:keepLines/>
              <w:rPr>
                <w:sz w:val="20"/>
              </w:rPr>
            </w:pPr>
            <w:r w:rsidRPr="00E27354">
              <w:rPr>
                <w:i/>
                <w:iCs/>
                <w:sz w:val="20"/>
              </w:rPr>
              <w:t>b)</w:t>
            </w:r>
            <w:r w:rsidRPr="00E27354">
              <w:rPr>
                <w:sz w:val="20"/>
              </w:rPr>
              <w:tab/>
              <w:t>Tous les arrangements particuliers de ce type devraient éviter de causer un préjudice technique à l</w:t>
            </w:r>
            <w:r w:rsidR="00622BAC" w:rsidRPr="00E27354">
              <w:rPr>
                <w:sz w:val="20"/>
              </w:rPr>
              <w:t>'</w:t>
            </w:r>
            <w:r w:rsidRPr="00E27354">
              <w:rPr>
                <w:sz w:val="20"/>
              </w:rPr>
              <w:t>exploitation des moyens de télécommunication de pays tiers.</w:t>
            </w:r>
          </w:p>
        </w:tc>
        <w:tc>
          <w:tcPr>
            <w:tcW w:w="2911" w:type="dxa"/>
          </w:tcPr>
          <w:p w14:paraId="54BA308D" w14:textId="514743C8" w:rsidR="00723857" w:rsidRPr="00E27354" w:rsidRDefault="00723857" w:rsidP="00F44A82">
            <w:pPr>
              <w:pStyle w:val="Tabletext"/>
              <w:rPr>
                <w:sz w:val="20"/>
              </w:rPr>
            </w:pPr>
            <w:r w:rsidRPr="00E27354">
              <w:rPr>
                <w:sz w:val="20"/>
              </w:rPr>
              <w:t>Certains membres ont estimé que cette disposition est applicable pour ce qui est de favoriser la fourniture et le développement des réseaux et des services car il s</w:t>
            </w:r>
            <w:r w:rsidR="00622BAC" w:rsidRPr="00E27354">
              <w:rPr>
                <w:sz w:val="20"/>
              </w:rPr>
              <w:t>'</w:t>
            </w:r>
            <w:r w:rsidRPr="00E27354">
              <w:rPr>
                <w:sz w:val="20"/>
              </w:rPr>
              <w:t>agit d</w:t>
            </w:r>
            <w:r w:rsidR="00622BAC" w:rsidRPr="00E27354">
              <w:rPr>
                <w:sz w:val="20"/>
              </w:rPr>
              <w:t>'</w:t>
            </w:r>
            <w:r w:rsidRPr="00E27354">
              <w:rPr>
                <w:sz w:val="20"/>
              </w:rPr>
              <w:t>une disposition pratique importante et applicable qui permet à différentes entités de conclure des arrangements particuliers avec des entités différentes.</w:t>
            </w:r>
          </w:p>
          <w:p w14:paraId="05E576FB" w14:textId="3DC67002" w:rsidR="00723857" w:rsidRPr="00E27354" w:rsidRDefault="00723857" w:rsidP="00F44A82">
            <w:pPr>
              <w:pStyle w:val="Tabletext"/>
              <w:rPr>
                <w:sz w:val="20"/>
              </w:rPr>
            </w:pPr>
            <w:r w:rsidRPr="00E27354">
              <w:rPr>
                <w:sz w:val="20"/>
              </w:rPr>
              <w:t>De l</w:t>
            </w:r>
            <w:r w:rsidR="00622BAC" w:rsidRPr="00E27354">
              <w:rPr>
                <w:sz w:val="20"/>
              </w:rPr>
              <w:t>'</w:t>
            </w:r>
            <w:r w:rsidRPr="00E27354">
              <w:rPr>
                <w:sz w:val="20"/>
              </w:rPr>
              <w:t>avis de certains membres, cette disposition vise à établir une procédure pour résoudre des problèmes ponctuels et imprévus précis, qui pourraient se poser entre États Membres et qui ne sont pas couverts par le traité.</w:t>
            </w:r>
          </w:p>
          <w:p w14:paraId="198F749C" w14:textId="4F1221EC" w:rsidR="00723857" w:rsidRPr="00E27354" w:rsidRDefault="00723857" w:rsidP="00F44A82">
            <w:pPr>
              <w:pStyle w:val="Tabletext"/>
              <w:rPr>
                <w:sz w:val="20"/>
              </w:rPr>
            </w:pPr>
            <w:r w:rsidRPr="00E27354">
              <w:rPr>
                <w:sz w:val="20"/>
              </w:rPr>
              <w:t>Étant donné que cette disposition couvre les problèmes particuliers ponctuels, elle ne facilite pas la fourniture et le développement des réseaux et des services.</w:t>
            </w:r>
          </w:p>
        </w:tc>
        <w:tc>
          <w:tcPr>
            <w:tcW w:w="2554" w:type="dxa"/>
          </w:tcPr>
          <w:p w14:paraId="05AC310E" w14:textId="77777777" w:rsidR="00723857" w:rsidRPr="00E27354" w:rsidRDefault="00723857" w:rsidP="00F44A82">
            <w:pPr>
              <w:pStyle w:val="Tabletext"/>
              <w:rPr>
                <w:sz w:val="20"/>
              </w:rPr>
            </w:pPr>
            <w:r w:rsidRPr="00E27354">
              <w:rPr>
                <w:sz w:val="20"/>
              </w:rPr>
              <w:t>Certains membres ont estimé que cette disposition était suffisamment souple pour prendre en compte les nouvelles tendances et les nouveaux problèmes qui se font jour.</w:t>
            </w:r>
          </w:p>
          <w:p w14:paraId="39E2A327" w14:textId="75A0981C" w:rsidR="00723857" w:rsidRPr="00E27354" w:rsidRDefault="00723857" w:rsidP="00F44A82">
            <w:pPr>
              <w:pStyle w:val="Tabletext"/>
              <w:rPr>
                <w:sz w:val="20"/>
              </w:rPr>
            </w:pPr>
            <w:r w:rsidRPr="00E27354">
              <w:rPr>
                <w:sz w:val="20"/>
              </w:rPr>
              <w:t>De l</w:t>
            </w:r>
            <w:r w:rsidR="00622BAC" w:rsidRPr="00E27354">
              <w:rPr>
                <w:sz w:val="20"/>
              </w:rPr>
              <w:t>'</w:t>
            </w:r>
            <w:r w:rsidRPr="00E27354">
              <w:rPr>
                <w:sz w:val="20"/>
              </w:rPr>
              <w:t>avis de certains membres, cette disposition vise à établir une procédure pour résoudre des problèmes ponctuels et imprévus précis, qui pourraient se poser entre États Membres et qui ne sont pas couverts par le traité.</w:t>
            </w:r>
          </w:p>
          <w:p w14:paraId="2F79512D" w14:textId="502CEC8F" w:rsidR="00723857" w:rsidRPr="00E27354" w:rsidRDefault="00723857" w:rsidP="00F44A82">
            <w:pPr>
              <w:pStyle w:val="Tabletext"/>
              <w:rPr>
                <w:sz w:val="20"/>
              </w:rPr>
            </w:pPr>
            <w:r w:rsidRPr="00E27354">
              <w:rPr>
                <w:sz w:val="20"/>
              </w:rPr>
              <w:t>Étant donné que cette disposition couvre les problèmes particuliers ponctuels, elle ne permet pas d</w:t>
            </w:r>
            <w:r w:rsidR="00622BAC" w:rsidRPr="00E27354">
              <w:rPr>
                <w:sz w:val="20"/>
              </w:rPr>
              <w:t>'</w:t>
            </w:r>
            <w:r w:rsidRPr="00E27354">
              <w:rPr>
                <w:sz w:val="20"/>
              </w:rPr>
              <w:t>offrir de la souplesse pour tenir compte des nouvelles tendances et des nouveaux problèmes qui se font jour.</w:t>
            </w:r>
          </w:p>
        </w:tc>
        <w:tc>
          <w:tcPr>
            <w:tcW w:w="2375" w:type="dxa"/>
            <w:tcBorders>
              <w:bottom w:val="single" w:sz="4" w:space="0" w:color="auto"/>
            </w:tcBorders>
          </w:tcPr>
          <w:p w14:paraId="19C360F2" w14:textId="0DAA684D" w:rsidR="00723857" w:rsidRPr="00E27354" w:rsidRDefault="00723857" w:rsidP="00F44A82">
            <w:pPr>
              <w:pStyle w:val="Tabletext"/>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5C2BF048" w14:textId="5B4E2C19" w:rsidR="00723857" w:rsidRPr="00E27354" w:rsidRDefault="00723857"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723857" w:rsidRPr="00E27354" w14:paraId="6F36C93A" w14:textId="77777777" w:rsidTr="00EC1CB3">
        <w:tc>
          <w:tcPr>
            <w:tcW w:w="977" w:type="dxa"/>
          </w:tcPr>
          <w:p w14:paraId="4B04DA6D" w14:textId="312792B6" w:rsidR="00723857" w:rsidRPr="00E27354" w:rsidRDefault="00723857" w:rsidP="00F44A82">
            <w:pPr>
              <w:pStyle w:val="Tablehead"/>
              <w:spacing w:before="60"/>
              <w:rPr>
                <w:sz w:val="20"/>
              </w:rPr>
            </w:pPr>
            <w:r w:rsidRPr="00E27354">
              <w:rPr>
                <w:sz w:val="20"/>
              </w:rPr>
              <w:lastRenderedPageBreak/>
              <w:t>75</w:t>
            </w:r>
          </w:p>
        </w:tc>
        <w:tc>
          <w:tcPr>
            <w:tcW w:w="2800" w:type="dxa"/>
          </w:tcPr>
          <w:p w14:paraId="143C72C0" w14:textId="250AEC39" w:rsidR="00723857" w:rsidRPr="00E27354" w:rsidRDefault="00723857" w:rsidP="00F44A82">
            <w:pPr>
              <w:pStyle w:val="Tabletext"/>
              <w:rPr>
                <w:b/>
                <w:sz w:val="20"/>
              </w:rPr>
            </w:pPr>
            <w:r w:rsidRPr="00E27354">
              <w:rPr>
                <w:b/>
                <w:sz w:val="20"/>
              </w:rPr>
              <w:t>13.2</w:t>
            </w:r>
            <w:r w:rsidRPr="00E27354">
              <w:rPr>
                <w:b/>
                <w:sz w:val="20"/>
              </w:rPr>
              <w:tab/>
              <w:t>Les États Membres devraient, lorsqu</w:t>
            </w:r>
            <w:r w:rsidR="00622BAC" w:rsidRPr="00E27354">
              <w:rPr>
                <w:b/>
                <w:sz w:val="20"/>
              </w:rPr>
              <w:t>'</w:t>
            </w:r>
            <w:r w:rsidRPr="00E27354">
              <w:rPr>
                <w:b/>
                <w:sz w:val="20"/>
              </w:rPr>
              <w:t>il y a lieu, encourager les parties à tout arrangement particulier conclu en vertu du numéro 73 (disposition 13.1) ci-dessus, à tenir compte des dispositions pertinentes des Recommandations UIT-T.</w:t>
            </w:r>
          </w:p>
        </w:tc>
        <w:tc>
          <w:tcPr>
            <w:tcW w:w="3560" w:type="dxa"/>
          </w:tcPr>
          <w:p w14:paraId="6E0AD97C" w14:textId="555571A6" w:rsidR="00723857" w:rsidRPr="00E27354" w:rsidRDefault="00723857" w:rsidP="00F44A82">
            <w:pPr>
              <w:pStyle w:val="Tabletext"/>
              <w:rPr>
                <w:sz w:val="20"/>
              </w:rPr>
            </w:pPr>
            <w:r w:rsidRPr="00E27354">
              <w:rPr>
                <w:sz w:val="20"/>
              </w:rPr>
              <w:t>9.2</w:t>
            </w:r>
            <w:r w:rsidRPr="00E27354">
              <w:rPr>
                <w:sz w:val="20"/>
              </w:rPr>
              <w:tab/>
              <w:t>Les Membres devraient, lorsqu</w:t>
            </w:r>
            <w:r w:rsidR="00622BAC" w:rsidRPr="00E27354">
              <w:rPr>
                <w:sz w:val="20"/>
              </w:rPr>
              <w:t>'</w:t>
            </w:r>
            <w:r w:rsidRPr="00E27354">
              <w:rPr>
                <w:sz w:val="20"/>
              </w:rPr>
              <w:t>il y a lieu, encourager les parties à tout arrangement particulier conclu en vertu du numéro 58, à tenir compte des dispositions pertinentes des Recommandations du CCITT.</w:t>
            </w:r>
          </w:p>
        </w:tc>
        <w:tc>
          <w:tcPr>
            <w:tcW w:w="2911" w:type="dxa"/>
          </w:tcPr>
          <w:p w14:paraId="4F68FB6C" w14:textId="73DA5423" w:rsidR="00723857" w:rsidRPr="00E27354" w:rsidRDefault="00723857" w:rsidP="00F44A82">
            <w:pPr>
              <w:pStyle w:val="Tabletext"/>
              <w:rPr>
                <w:sz w:val="20"/>
              </w:rPr>
            </w:pPr>
            <w:r w:rsidRPr="00E27354">
              <w:rPr>
                <w:sz w:val="20"/>
              </w:rPr>
              <w:t>Certains membres ont estimé que cette disposition est applicable pour ce qui est de favoriser la fourniture et le développement des réseaux et des services car elle encourage les parties – sans obligation – à tenir compte des Recommandations de l</w:t>
            </w:r>
            <w:r w:rsidR="00622BAC" w:rsidRPr="00E27354">
              <w:rPr>
                <w:sz w:val="20"/>
              </w:rPr>
              <w:t>'</w:t>
            </w:r>
            <w:r w:rsidRPr="00E27354">
              <w:rPr>
                <w:sz w:val="20"/>
              </w:rPr>
              <w:t>UIT-T.</w:t>
            </w:r>
          </w:p>
          <w:p w14:paraId="31464A8E" w14:textId="740BFA57" w:rsidR="00723857" w:rsidRPr="00E27354" w:rsidRDefault="00723857" w:rsidP="00F44A82">
            <w:pPr>
              <w:pStyle w:val="Tabletext"/>
              <w:rPr>
                <w:sz w:val="20"/>
              </w:rPr>
            </w:pPr>
            <w:r w:rsidRPr="00E27354">
              <w:rPr>
                <w:sz w:val="20"/>
              </w:rPr>
              <w:t>De l</w:t>
            </w:r>
            <w:r w:rsidR="00622BAC" w:rsidRPr="00E27354">
              <w:rPr>
                <w:sz w:val="20"/>
              </w:rPr>
              <w:t>'</w:t>
            </w:r>
            <w:r w:rsidRPr="00E27354">
              <w:rPr>
                <w:sz w:val="20"/>
              </w:rPr>
              <w:t>avis de certains membres, le membre de phrase "Les États Membres devraient, lorsqu</w:t>
            </w:r>
            <w:r w:rsidR="00622BAC" w:rsidRPr="00E27354">
              <w:rPr>
                <w:sz w:val="20"/>
              </w:rPr>
              <w:t>'</w:t>
            </w:r>
            <w:r w:rsidRPr="00E27354">
              <w:rPr>
                <w:sz w:val="20"/>
              </w:rPr>
              <w:t>il y a lieu, encourager" n</w:t>
            </w:r>
            <w:r w:rsidR="00622BAC" w:rsidRPr="00E27354">
              <w:rPr>
                <w:sz w:val="20"/>
              </w:rPr>
              <w:t>'</w:t>
            </w:r>
            <w:r w:rsidRPr="00E27354">
              <w:rPr>
                <w:sz w:val="20"/>
              </w:rPr>
              <w:t>est pas juridiquement exécutoire et, de plus, est vraisemblablement appliqué de manière très différente d</w:t>
            </w:r>
            <w:r w:rsidR="00622BAC" w:rsidRPr="00E27354">
              <w:rPr>
                <w:sz w:val="20"/>
              </w:rPr>
              <w:t>'</w:t>
            </w:r>
            <w:r w:rsidRPr="00E27354">
              <w:rPr>
                <w:sz w:val="20"/>
              </w:rPr>
              <w:t>un État à l</w:t>
            </w:r>
            <w:r w:rsidR="00622BAC" w:rsidRPr="00E27354">
              <w:rPr>
                <w:sz w:val="20"/>
              </w:rPr>
              <w:t>'</w:t>
            </w:r>
            <w:r w:rsidRPr="00E27354">
              <w:rPr>
                <w:sz w:val="20"/>
              </w:rPr>
              <w:t>autre en raison des interprétations différentes des expressions "lorsqu</w:t>
            </w:r>
            <w:r w:rsidR="00622BAC" w:rsidRPr="00E27354">
              <w:rPr>
                <w:sz w:val="20"/>
              </w:rPr>
              <w:t>'</w:t>
            </w:r>
            <w:r w:rsidRPr="00E27354">
              <w:rPr>
                <w:sz w:val="20"/>
              </w:rPr>
              <w:t>il y a lieu" et "encourager". De plus, étant donné que la disposition 13.2 définit une manière de procéder au regard de la disposition 13.1, elle ne facilite pas la fourniture et le développement des réseaux et des services.</w:t>
            </w:r>
          </w:p>
        </w:tc>
        <w:tc>
          <w:tcPr>
            <w:tcW w:w="2554" w:type="dxa"/>
          </w:tcPr>
          <w:p w14:paraId="261FFDF1" w14:textId="77777777" w:rsidR="00723857" w:rsidRPr="00E27354" w:rsidRDefault="00723857" w:rsidP="00F44A82">
            <w:pPr>
              <w:pStyle w:val="Tabletext"/>
              <w:keepNext/>
              <w:keepLines/>
              <w:rPr>
                <w:sz w:val="20"/>
              </w:rPr>
            </w:pPr>
            <w:r w:rsidRPr="00E27354">
              <w:rPr>
                <w:sz w:val="20"/>
              </w:rPr>
              <w:t>Certains membres ont estimé que cette disposition offre la souplesse nécessaire pour tenir compte des nouvelles tendances et des nouveaux problèmes qui se font jour.</w:t>
            </w:r>
          </w:p>
          <w:p w14:paraId="07F6DD75" w14:textId="77777777" w:rsidR="00723857" w:rsidRPr="00E27354" w:rsidRDefault="00723857" w:rsidP="00F44A82">
            <w:pPr>
              <w:pStyle w:val="Tabletext"/>
              <w:rPr>
                <w:sz w:val="20"/>
              </w:rPr>
            </w:pPr>
            <w:r w:rsidRPr="00E27354">
              <w:rPr>
                <w:sz w:val="20"/>
              </w:rPr>
              <w:t>Pour certains membres, un grand nombre de nouvelles Recommandations UIT-T sont publiées chaque année pour tenir compte des nouvelles tendances et des nouveaux problèmes qui se font jour.</w:t>
            </w:r>
          </w:p>
          <w:p w14:paraId="3A752257" w14:textId="79A3C9E6" w:rsidR="00723857" w:rsidRPr="00E27354" w:rsidRDefault="00723857" w:rsidP="00F44A82">
            <w:pPr>
              <w:pStyle w:val="Tabletext"/>
              <w:rPr>
                <w:sz w:val="20"/>
              </w:rPr>
            </w:pPr>
            <w:r w:rsidRPr="00E27354">
              <w:rPr>
                <w:sz w:val="20"/>
              </w:rPr>
              <w:t>Toutefois, cela signifie aussi qu</w:t>
            </w:r>
            <w:r w:rsidR="00622BAC" w:rsidRPr="00E27354">
              <w:rPr>
                <w:sz w:val="20"/>
              </w:rPr>
              <w:t>'</w:t>
            </w:r>
            <w:r w:rsidRPr="00E27354">
              <w:rPr>
                <w:sz w:val="20"/>
              </w:rPr>
              <w:t>il existe toujours un ensemble de Recommandations obsolètes et redondantes. Selon ces dispositions, les États Membres sont tenus d</w:t>
            </w:r>
            <w:r w:rsidR="00622BAC" w:rsidRPr="00E27354">
              <w:rPr>
                <w:sz w:val="20"/>
              </w:rPr>
              <w:t>'</w:t>
            </w:r>
            <w:r w:rsidRPr="00E27354">
              <w:rPr>
                <w:sz w:val="20"/>
              </w:rPr>
              <w:t>encourager les parties à tout arrangement particulier à tenir compte de ces Recommandations redondantes. De plus, étant donné que la disposition 13.2 définit une manière de procé</w:t>
            </w:r>
            <w:r w:rsidR="007711C6">
              <w:rPr>
                <w:sz w:val="20"/>
              </w:rPr>
              <w:t>der au regard de la disposition </w:t>
            </w:r>
            <w:r w:rsidRPr="00E27354">
              <w:rPr>
                <w:sz w:val="20"/>
              </w:rPr>
              <w:t>13.1, elle ne permet pas d</w:t>
            </w:r>
            <w:r w:rsidR="00622BAC" w:rsidRPr="00E27354">
              <w:rPr>
                <w:sz w:val="20"/>
              </w:rPr>
              <w:t>'</w:t>
            </w:r>
            <w:r w:rsidRPr="00E27354">
              <w:rPr>
                <w:sz w:val="20"/>
              </w:rPr>
              <w:t xml:space="preserve">offrir de la </w:t>
            </w:r>
            <w:r w:rsidRPr="00E27354">
              <w:rPr>
                <w:sz w:val="20"/>
              </w:rPr>
              <w:lastRenderedPageBreak/>
              <w:t>souplesse pour tenir compte des nouvelles tendances et des nouveaux problèmes qui se font jour.</w:t>
            </w:r>
          </w:p>
          <w:p w14:paraId="70A701A0" w14:textId="62A22AAD" w:rsidR="00723857" w:rsidRPr="00E27354" w:rsidRDefault="00723857" w:rsidP="00F44A82">
            <w:pPr>
              <w:pStyle w:val="Tabletext"/>
              <w:rPr>
                <w:sz w:val="20"/>
              </w:rPr>
            </w:pPr>
            <w:r w:rsidRPr="00E27354">
              <w:rPr>
                <w:sz w:val="20"/>
              </w:rPr>
              <w:t>Certains membres ont estimé que cette disposition pourrait être actualisée afin qu</w:t>
            </w:r>
            <w:r w:rsidR="00622BAC" w:rsidRPr="00E27354">
              <w:rPr>
                <w:sz w:val="20"/>
              </w:rPr>
              <w:t>'</w:t>
            </w:r>
            <w:r w:rsidRPr="00E27354">
              <w:rPr>
                <w:sz w:val="20"/>
              </w:rPr>
              <w:t>elle fasse référence aux Recommandations de l</w:t>
            </w:r>
            <w:r w:rsidR="00622BAC" w:rsidRPr="00E27354">
              <w:rPr>
                <w:sz w:val="20"/>
              </w:rPr>
              <w:t>'</w:t>
            </w:r>
            <w:r w:rsidRPr="00E27354">
              <w:rPr>
                <w:sz w:val="20"/>
              </w:rPr>
              <w:t>UIT en général.</w:t>
            </w:r>
          </w:p>
        </w:tc>
        <w:tc>
          <w:tcPr>
            <w:tcW w:w="2375" w:type="dxa"/>
          </w:tcPr>
          <w:p w14:paraId="3A5BCA9D" w14:textId="352A1855" w:rsidR="005010B8" w:rsidRPr="00E27354" w:rsidRDefault="005010B8" w:rsidP="00F44A82">
            <w:pPr>
              <w:pStyle w:val="Tabletext"/>
              <w:keepNext/>
              <w:keepLines/>
              <w:rPr>
                <w:sz w:val="20"/>
              </w:rPr>
            </w:pPr>
            <w:r w:rsidRPr="00E27354">
              <w:rPr>
                <w:sz w:val="20"/>
              </w:rPr>
              <w:lastRenderedPageBreak/>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6E78B070" w14:textId="3955804B" w:rsidR="005010B8" w:rsidRPr="00E27354" w:rsidRDefault="005010B8" w:rsidP="00F44A82">
            <w:pPr>
              <w:pStyle w:val="Tabletext"/>
              <w:keepNext/>
              <w:keepLines/>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p w14:paraId="51F6415F" w14:textId="2B09D979" w:rsidR="00723857" w:rsidRPr="00E27354" w:rsidRDefault="005010B8" w:rsidP="00F44A82">
            <w:pPr>
              <w:pStyle w:val="Tabletext"/>
              <w:rPr>
                <w:sz w:val="20"/>
              </w:rPr>
            </w:pPr>
            <w:r w:rsidRPr="00E27354">
              <w:rPr>
                <w:sz w:val="20"/>
              </w:rPr>
              <w:t>Certains autres membres ont fait valoir que cette disposition doit être mise à jour afin de tenir compte des évolutions constatées dans la fourniture des services de télécommunication/TIC à l</w:t>
            </w:r>
            <w:r w:rsidR="00622BAC" w:rsidRPr="00E27354">
              <w:rPr>
                <w:sz w:val="20"/>
              </w:rPr>
              <w:t>'</w:t>
            </w:r>
            <w:r w:rsidRPr="00E27354">
              <w:rPr>
                <w:sz w:val="20"/>
              </w:rPr>
              <w:t>utilisateur final.</w:t>
            </w:r>
          </w:p>
        </w:tc>
      </w:tr>
      <w:tr w:rsidR="005010B8" w:rsidRPr="00E27354" w14:paraId="634AEEF2" w14:textId="77777777" w:rsidTr="00EC1CB3">
        <w:tc>
          <w:tcPr>
            <w:tcW w:w="977" w:type="dxa"/>
          </w:tcPr>
          <w:p w14:paraId="43058109" w14:textId="20897CE6" w:rsidR="005010B8" w:rsidRPr="00E27354" w:rsidRDefault="005010B8" w:rsidP="00F44A82">
            <w:pPr>
              <w:pStyle w:val="Tablehead"/>
              <w:spacing w:before="60"/>
              <w:rPr>
                <w:sz w:val="20"/>
              </w:rPr>
            </w:pPr>
            <w:r w:rsidRPr="00E27354">
              <w:rPr>
                <w:sz w:val="20"/>
              </w:rPr>
              <w:t>76</w:t>
            </w:r>
          </w:p>
        </w:tc>
        <w:tc>
          <w:tcPr>
            <w:tcW w:w="2800" w:type="dxa"/>
          </w:tcPr>
          <w:p w14:paraId="4533FF1A" w14:textId="267DF466" w:rsidR="005010B8" w:rsidRPr="00E27354" w:rsidRDefault="005010B8" w:rsidP="00F44A82">
            <w:pPr>
              <w:pStyle w:val="Tabletext"/>
              <w:rPr>
                <w:b/>
                <w:sz w:val="20"/>
              </w:rPr>
            </w:pPr>
            <w:r w:rsidRPr="00E27354">
              <w:rPr>
                <w:b/>
                <w:sz w:val="20"/>
              </w:rPr>
              <w:t>14.1</w:t>
            </w:r>
            <w:r w:rsidRPr="00E27354">
              <w:rPr>
                <w:rStyle w:val="FootnoteReference"/>
                <w:b/>
              </w:rPr>
              <w:footnoteReference w:id="1"/>
            </w:r>
            <w:r w:rsidRPr="00E27354">
              <w:rPr>
                <w:b/>
                <w:sz w:val="20"/>
              </w:rPr>
              <w:tab/>
              <w:t>Le présent Règlement, dont les Appendices 1 et 2 font partie intégrante, entrera en vigueur le 1er janvier 2015 et s</w:t>
            </w:r>
            <w:r w:rsidR="00622BAC" w:rsidRPr="00E27354">
              <w:rPr>
                <w:b/>
                <w:sz w:val="20"/>
              </w:rPr>
              <w:t>'</w:t>
            </w:r>
            <w:r w:rsidRPr="00E27354">
              <w:rPr>
                <w:b/>
                <w:sz w:val="20"/>
              </w:rPr>
              <w:t>appliquera à compter de cette date, conformément à toutes les dispositions de l</w:t>
            </w:r>
            <w:r w:rsidR="00622BAC" w:rsidRPr="00E27354">
              <w:rPr>
                <w:b/>
                <w:sz w:val="20"/>
              </w:rPr>
              <w:t>'</w:t>
            </w:r>
            <w:r w:rsidRPr="00E27354">
              <w:rPr>
                <w:b/>
                <w:sz w:val="20"/>
              </w:rPr>
              <w:t>article 54 de la Constitution.</w:t>
            </w:r>
          </w:p>
        </w:tc>
        <w:tc>
          <w:tcPr>
            <w:tcW w:w="3560" w:type="dxa"/>
          </w:tcPr>
          <w:p w14:paraId="76CE5133" w14:textId="602293D5" w:rsidR="005010B8" w:rsidRPr="00E27354" w:rsidRDefault="005010B8" w:rsidP="00F44A82">
            <w:pPr>
              <w:pStyle w:val="Tabletext"/>
              <w:rPr>
                <w:sz w:val="20"/>
              </w:rPr>
            </w:pPr>
            <w:r w:rsidRPr="00E27354">
              <w:rPr>
                <w:sz w:val="20"/>
              </w:rPr>
              <w:t>10.1</w:t>
            </w:r>
            <w:r w:rsidRPr="00E27354">
              <w:rPr>
                <w:sz w:val="20"/>
              </w:rPr>
              <w:tab/>
              <w:t>Le présent Règlement, dont les Appendices 1, 2 et 3 font partie intégrante, entrera en vigueur le 1er janvier 1990 à 0001 heure UTC.</w:t>
            </w:r>
          </w:p>
        </w:tc>
        <w:tc>
          <w:tcPr>
            <w:tcW w:w="2911" w:type="dxa"/>
          </w:tcPr>
          <w:p w14:paraId="298E4459" w14:textId="623FDF16" w:rsidR="005010B8" w:rsidRPr="00E27354" w:rsidRDefault="005010B8" w:rsidP="00F44A82">
            <w:pPr>
              <w:pStyle w:val="Tabletext"/>
              <w:rPr>
                <w:sz w:val="20"/>
              </w:rPr>
            </w:pPr>
            <w:r w:rsidRPr="00E27354">
              <w:rPr>
                <w:sz w:val="20"/>
              </w:rPr>
              <w:t>De l</w:t>
            </w:r>
            <w:r w:rsidR="00622BAC" w:rsidRPr="00E27354">
              <w:rPr>
                <w:sz w:val="20"/>
              </w:rPr>
              <w:t>'</w:t>
            </w:r>
            <w:r w:rsidRPr="00E27354">
              <w:rPr>
                <w:sz w:val="20"/>
              </w:rPr>
              <w:t>avis de certains membres, cette disposition est applicable pour ce qui est de favoriser la fourniture et le développement des réseaux et des services.</w:t>
            </w:r>
          </w:p>
          <w:p w14:paraId="640DF9AD" w14:textId="6FDDDBA6" w:rsidR="005010B8" w:rsidRPr="00E27354" w:rsidRDefault="005010B8" w:rsidP="00F44A82">
            <w:pPr>
              <w:pStyle w:val="Tabletext"/>
              <w:rPr>
                <w:sz w:val="20"/>
              </w:rPr>
            </w:pPr>
            <w:r w:rsidRPr="00E27354">
              <w:rPr>
                <w:sz w:val="20"/>
              </w:rPr>
              <w:t>Certains membres ont estimé qu</w:t>
            </w:r>
            <w:r w:rsidR="00622BAC" w:rsidRPr="00E27354">
              <w:rPr>
                <w:sz w:val="20"/>
              </w:rPr>
              <w:t>'</w:t>
            </w:r>
            <w:r w:rsidRPr="00E27354">
              <w:rPr>
                <w:sz w:val="20"/>
              </w:rPr>
              <w:t>étant donné que cette disposition porte sur l</w:t>
            </w:r>
            <w:r w:rsidR="00622BAC" w:rsidRPr="00E27354">
              <w:rPr>
                <w:sz w:val="20"/>
              </w:rPr>
              <w:t>'</w:t>
            </w:r>
            <w:r w:rsidRPr="00E27354">
              <w:rPr>
                <w:sz w:val="20"/>
              </w:rPr>
              <w:t>entrée en vigueur du traité, elle n</w:t>
            </w:r>
            <w:r w:rsidR="00622BAC" w:rsidRPr="00E27354">
              <w:rPr>
                <w:sz w:val="20"/>
              </w:rPr>
              <w:t>'</w:t>
            </w:r>
            <w:r w:rsidRPr="00E27354">
              <w:rPr>
                <w:sz w:val="20"/>
              </w:rPr>
              <w:t>a aucune utilité pour ce qui est de la fourniture et du développement des réseaux et des services.</w:t>
            </w:r>
          </w:p>
        </w:tc>
        <w:tc>
          <w:tcPr>
            <w:tcW w:w="2554" w:type="dxa"/>
          </w:tcPr>
          <w:p w14:paraId="3773CDA3" w14:textId="67D9DAD8" w:rsidR="005010B8" w:rsidRPr="00E27354" w:rsidRDefault="005010B8" w:rsidP="00F44A82">
            <w:pPr>
              <w:pStyle w:val="Tabletext"/>
              <w:rPr>
                <w:sz w:val="20"/>
              </w:rPr>
            </w:pPr>
            <w:r w:rsidRPr="00E27354">
              <w:rPr>
                <w:sz w:val="20"/>
              </w:rPr>
              <w:t>Certains membres ont estimé que la question de la souplesse ne s</w:t>
            </w:r>
            <w:r w:rsidR="00622BAC" w:rsidRPr="00E27354">
              <w:rPr>
                <w:sz w:val="20"/>
              </w:rPr>
              <w:t>'</w:t>
            </w:r>
            <w:r w:rsidRPr="00E27354">
              <w:rPr>
                <w:sz w:val="20"/>
              </w:rPr>
              <w:t>applique pas à l</w:t>
            </w:r>
            <w:r w:rsidR="00622BAC" w:rsidRPr="00E27354">
              <w:rPr>
                <w:sz w:val="20"/>
              </w:rPr>
              <w:t>'</w:t>
            </w:r>
            <w:r w:rsidRPr="00E27354">
              <w:rPr>
                <w:sz w:val="20"/>
              </w:rPr>
              <w:t>égard de cette disposition.</w:t>
            </w:r>
          </w:p>
          <w:p w14:paraId="07304E46" w14:textId="2292BB33" w:rsidR="005010B8" w:rsidRPr="00E27354" w:rsidRDefault="0085299F" w:rsidP="0085299F">
            <w:pPr>
              <w:pStyle w:val="Tabletext"/>
              <w:rPr>
                <w:sz w:val="20"/>
              </w:rPr>
            </w:pPr>
            <w:r w:rsidRPr="00E27354">
              <w:rPr>
                <w:sz w:val="20"/>
              </w:rPr>
              <w:t>Certains membres ont estimé qu</w:t>
            </w:r>
            <w:r w:rsidR="00622BAC" w:rsidRPr="00E27354">
              <w:rPr>
                <w:sz w:val="20"/>
              </w:rPr>
              <w:t>'</w:t>
            </w:r>
            <w:r w:rsidRPr="00E27354">
              <w:rPr>
                <w:sz w:val="20"/>
              </w:rPr>
              <w:t>étant donné que cette disposition porte sur l</w:t>
            </w:r>
            <w:r w:rsidR="00622BAC" w:rsidRPr="00E27354">
              <w:rPr>
                <w:sz w:val="20"/>
              </w:rPr>
              <w:t>'</w:t>
            </w:r>
            <w:r w:rsidRPr="00E27354">
              <w:rPr>
                <w:sz w:val="20"/>
              </w:rPr>
              <w:t>entrée en vigueur du traité, elle n</w:t>
            </w:r>
            <w:r w:rsidR="00622BAC" w:rsidRPr="00E27354">
              <w:rPr>
                <w:sz w:val="20"/>
              </w:rPr>
              <w:t>'</w:t>
            </w:r>
            <w:r w:rsidRPr="00E27354">
              <w:rPr>
                <w:sz w:val="20"/>
              </w:rPr>
              <w:t>a aucune utilité pour ce qui est d</w:t>
            </w:r>
            <w:r w:rsidR="00622BAC" w:rsidRPr="00E27354">
              <w:rPr>
                <w:sz w:val="20"/>
              </w:rPr>
              <w:t>'</w:t>
            </w:r>
            <w:r w:rsidRPr="00E27354">
              <w:rPr>
                <w:sz w:val="20"/>
              </w:rPr>
              <w:t xml:space="preserve">offrir de la souplesse </w:t>
            </w:r>
            <w:r w:rsidR="005010B8" w:rsidRPr="00E27354">
              <w:rPr>
                <w:sz w:val="20"/>
              </w:rPr>
              <w:t xml:space="preserve">pour tenir compte </w:t>
            </w:r>
            <w:r w:rsidR="005010B8" w:rsidRPr="00E27354">
              <w:rPr>
                <w:sz w:val="20"/>
              </w:rPr>
              <w:lastRenderedPageBreak/>
              <w:t>des nouvelles tendances et des nouveaux problèmes qui se font jour.</w:t>
            </w:r>
          </w:p>
        </w:tc>
        <w:tc>
          <w:tcPr>
            <w:tcW w:w="2375" w:type="dxa"/>
          </w:tcPr>
          <w:p w14:paraId="7A7FD53B" w14:textId="68ECE8E1" w:rsidR="005010B8" w:rsidRPr="00E27354" w:rsidRDefault="005010B8" w:rsidP="00F44A82">
            <w:pPr>
              <w:pStyle w:val="Tabletext"/>
              <w:rPr>
                <w:sz w:val="20"/>
              </w:rPr>
            </w:pPr>
            <w:r w:rsidRPr="00E27354">
              <w:rPr>
                <w:sz w:val="20"/>
              </w:rPr>
              <w:lastRenderedPageBreak/>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63378089" w14:textId="701326B9" w:rsidR="005010B8" w:rsidRPr="00E27354" w:rsidRDefault="0085299F" w:rsidP="0085299F">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5010B8" w:rsidRPr="00E27354" w14:paraId="66EF3291" w14:textId="77777777" w:rsidTr="00EC1CB3">
        <w:tc>
          <w:tcPr>
            <w:tcW w:w="977" w:type="dxa"/>
          </w:tcPr>
          <w:p w14:paraId="2152FD60" w14:textId="4185639C" w:rsidR="005010B8" w:rsidRPr="00E27354" w:rsidRDefault="005010B8" w:rsidP="00F44A82">
            <w:pPr>
              <w:pStyle w:val="Tablehead"/>
              <w:spacing w:before="60"/>
              <w:rPr>
                <w:sz w:val="20"/>
              </w:rPr>
            </w:pPr>
            <w:r w:rsidRPr="00E27354">
              <w:rPr>
                <w:sz w:val="20"/>
              </w:rPr>
              <w:t>77</w:t>
            </w:r>
          </w:p>
        </w:tc>
        <w:tc>
          <w:tcPr>
            <w:tcW w:w="2800" w:type="dxa"/>
          </w:tcPr>
          <w:p w14:paraId="07CF14C9" w14:textId="38E23BFB" w:rsidR="005010B8" w:rsidRPr="00E27354" w:rsidRDefault="005010B8" w:rsidP="00F44A82">
            <w:pPr>
              <w:pStyle w:val="Tabletext"/>
              <w:rPr>
                <w:b/>
                <w:sz w:val="20"/>
              </w:rPr>
            </w:pPr>
            <w:r w:rsidRPr="00E27354">
              <w:rPr>
                <w:b/>
                <w:sz w:val="20"/>
              </w:rPr>
              <w:t>14.2</w:t>
            </w:r>
            <w:r w:rsidRPr="00E27354">
              <w:rPr>
                <w:b/>
                <w:sz w:val="20"/>
              </w:rPr>
              <w:tab/>
              <w:t>Si un État Membre formule des réserves au sujet de l</w:t>
            </w:r>
            <w:r w:rsidR="00622BAC" w:rsidRPr="00E27354">
              <w:rPr>
                <w:b/>
                <w:sz w:val="20"/>
              </w:rPr>
              <w:t>'</w:t>
            </w:r>
            <w:r w:rsidRPr="00E27354">
              <w:rPr>
                <w:b/>
                <w:sz w:val="20"/>
              </w:rPr>
              <w:t>application d</w:t>
            </w:r>
            <w:r w:rsidR="00622BAC" w:rsidRPr="00E27354">
              <w:rPr>
                <w:b/>
                <w:sz w:val="20"/>
              </w:rPr>
              <w:t>'</w:t>
            </w:r>
            <w:r w:rsidRPr="00E27354">
              <w:rPr>
                <w:b/>
                <w:sz w:val="20"/>
              </w:rPr>
              <w:t>une ou de plusieurs dispositions du présent Règlement, les autres États Membres ne sont pas obligés d</w:t>
            </w:r>
            <w:r w:rsidR="00622BAC" w:rsidRPr="00E27354">
              <w:rPr>
                <w:b/>
                <w:sz w:val="20"/>
              </w:rPr>
              <w:t>'</w:t>
            </w:r>
            <w:r w:rsidRPr="00E27354">
              <w:rPr>
                <w:b/>
                <w:sz w:val="20"/>
              </w:rPr>
              <w:t xml:space="preserve">observer </w:t>
            </w:r>
            <w:proofErr w:type="spellStart"/>
            <w:r w:rsidRPr="00E27354">
              <w:rPr>
                <w:b/>
                <w:sz w:val="20"/>
              </w:rPr>
              <w:t>la</w:t>
            </w:r>
            <w:proofErr w:type="spellEnd"/>
            <w:r w:rsidRPr="00E27354">
              <w:rPr>
                <w:b/>
                <w:sz w:val="20"/>
              </w:rPr>
              <w:t xml:space="preserve"> ou lesdites dispositions dans leurs relations avec l</w:t>
            </w:r>
            <w:r w:rsidR="00622BAC" w:rsidRPr="00E27354">
              <w:rPr>
                <w:b/>
                <w:sz w:val="20"/>
              </w:rPr>
              <w:t>'</w:t>
            </w:r>
            <w:r w:rsidRPr="00E27354">
              <w:rPr>
                <w:b/>
                <w:sz w:val="20"/>
              </w:rPr>
              <w:t>État Membre qui a formulé de telles réserves.</w:t>
            </w:r>
          </w:p>
        </w:tc>
        <w:tc>
          <w:tcPr>
            <w:tcW w:w="3560" w:type="dxa"/>
          </w:tcPr>
          <w:p w14:paraId="2E5D0C62" w14:textId="2024A6DC" w:rsidR="005010B8" w:rsidRPr="00E27354" w:rsidRDefault="005010B8" w:rsidP="00F44A82">
            <w:pPr>
              <w:pStyle w:val="Tabletext"/>
              <w:rPr>
                <w:sz w:val="20"/>
              </w:rPr>
            </w:pPr>
            <w:r w:rsidRPr="00E27354">
              <w:rPr>
                <w:sz w:val="20"/>
              </w:rPr>
              <w:t>10.2</w:t>
            </w:r>
            <w:r w:rsidRPr="00E27354">
              <w:rPr>
                <w:sz w:val="20"/>
              </w:rPr>
              <w:tab/>
              <w:t>A la date spécifiée au numéro 61, le Règlement télégraphique (Genève, 1973) et le Règlement téléphonique (Genève, 1973) seront remplacés par le présent Règlement des télécommunications internationales (Melbourne, 1988), conformément à la Convention internationale des télécommunications.</w:t>
            </w:r>
          </w:p>
        </w:tc>
        <w:tc>
          <w:tcPr>
            <w:tcW w:w="2911" w:type="dxa"/>
          </w:tcPr>
          <w:p w14:paraId="39220B4E" w14:textId="097FD238" w:rsidR="005010B8" w:rsidRPr="00E27354" w:rsidRDefault="005010B8" w:rsidP="00F44A82">
            <w:pPr>
              <w:pStyle w:val="Tabletext"/>
              <w:rPr>
                <w:sz w:val="20"/>
              </w:rPr>
            </w:pPr>
            <w:r w:rsidRPr="00E27354">
              <w:rPr>
                <w:sz w:val="20"/>
              </w:rPr>
              <w:t>De l</w:t>
            </w:r>
            <w:r w:rsidR="00622BAC" w:rsidRPr="00E27354">
              <w:rPr>
                <w:sz w:val="20"/>
              </w:rPr>
              <w:t>'</w:t>
            </w:r>
            <w:r w:rsidRPr="00E27354">
              <w:rPr>
                <w:sz w:val="20"/>
              </w:rPr>
              <w:t>avis de certains membres, cette disposition est applicable pour ce qui est de favoriser la fourniture et le développement des réseaux et des services et il n</w:t>
            </w:r>
            <w:r w:rsidR="00622BAC" w:rsidRPr="00E27354">
              <w:rPr>
                <w:sz w:val="20"/>
              </w:rPr>
              <w:t>'</w:t>
            </w:r>
            <w:r w:rsidRPr="00E27354">
              <w:rPr>
                <w:sz w:val="20"/>
              </w:rPr>
              <w:t>y a pas de changement par rapport à la disposition du RTI dans sa version de 1988, exception faite de la mention des États Membres au lieu des administrations.</w:t>
            </w:r>
          </w:p>
          <w:p w14:paraId="42B0C945" w14:textId="1036A82B" w:rsidR="005010B8" w:rsidRPr="00E27354" w:rsidRDefault="005010B8" w:rsidP="00F44A82">
            <w:pPr>
              <w:pStyle w:val="Tabletext"/>
              <w:rPr>
                <w:sz w:val="20"/>
              </w:rPr>
            </w:pPr>
            <w:r w:rsidRPr="00E27354">
              <w:rPr>
                <w:sz w:val="20"/>
              </w:rPr>
              <w:t>De l</w:t>
            </w:r>
            <w:r w:rsidR="00622BAC" w:rsidRPr="00E27354">
              <w:rPr>
                <w:sz w:val="20"/>
              </w:rPr>
              <w:t>'</w:t>
            </w:r>
            <w:r w:rsidRPr="00E27354">
              <w:rPr>
                <w:sz w:val="20"/>
              </w:rPr>
              <w:t>avis de certains membres, le fait que, en vertu de cette disposition, les États Membres sont autorisés à formuler des réserves au sujet de toute disposition du traité nuit à l</w:t>
            </w:r>
            <w:r w:rsidR="00622BAC" w:rsidRPr="00E27354">
              <w:rPr>
                <w:sz w:val="20"/>
              </w:rPr>
              <w:t>'</w:t>
            </w:r>
            <w:r w:rsidRPr="00E27354">
              <w:rPr>
                <w:sz w:val="20"/>
              </w:rPr>
              <w:t>efficacité du traité. Par conséquent, cette disposition n</w:t>
            </w:r>
            <w:r w:rsidR="00622BAC" w:rsidRPr="00E27354">
              <w:rPr>
                <w:sz w:val="20"/>
              </w:rPr>
              <w:t>'</w:t>
            </w:r>
            <w:r w:rsidRPr="00E27354">
              <w:rPr>
                <w:sz w:val="20"/>
              </w:rPr>
              <w:t>aide pas à favoriser la fourniture et le développement des réseaux et des services.</w:t>
            </w:r>
          </w:p>
        </w:tc>
        <w:tc>
          <w:tcPr>
            <w:tcW w:w="2554" w:type="dxa"/>
          </w:tcPr>
          <w:p w14:paraId="6E341437" w14:textId="23FB7216" w:rsidR="005010B8" w:rsidRPr="00E27354" w:rsidRDefault="005010B8" w:rsidP="00F44A82">
            <w:pPr>
              <w:pStyle w:val="Tabletext"/>
              <w:rPr>
                <w:sz w:val="20"/>
              </w:rPr>
            </w:pPr>
            <w:r w:rsidRPr="00E27354">
              <w:rPr>
                <w:sz w:val="20"/>
              </w:rPr>
              <w:t>Cette disposition prévoit un régime spécial pour les réserves et les déclarations, de sorte qu</w:t>
            </w:r>
            <w:r w:rsidR="00622BAC" w:rsidRPr="00E27354">
              <w:rPr>
                <w:sz w:val="20"/>
              </w:rPr>
              <w:t>'</w:t>
            </w:r>
            <w:r w:rsidRPr="00E27354">
              <w:rPr>
                <w:sz w:val="20"/>
              </w:rPr>
              <w:t>aucune souplesse n</w:t>
            </w:r>
            <w:r w:rsidR="00622BAC" w:rsidRPr="00E27354">
              <w:rPr>
                <w:sz w:val="20"/>
              </w:rPr>
              <w:t>'</w:t>
            </w:r>
            <w:r w:rsidRPr="00E27354">
              <w:rPr>
                <w:sz w:val="20"/>
              </w:rPr>
              <w:t>est requise.</w:t>
            </w:r>
          </w:p>
          <w:p w14:paraId="1326225A" w14:textId="1FA933CC" w:rsidR="005010B8" w:rsidRPr="00E27354" w:rsidRDefault="005010B8" w:rsidP="00F44A82">
            <w:pPr>
              <w:pStyle w:val="Tabletext"/>
              <w:rPr>
                <w:sz w:val="20"/>
              </w:rPr>
            </w:pPr>
            <w:r w:rsidRPr="00E27354">
              <w:rPr>
                <w:sz w:val="20"/>
              </w:rPr>
              <w:t>De l</w:t>
            </w:r>
            <w:r w:rsidR="00622BAC" w:rsidRPr="00E27354">
              <w:rPr>
                <w:sz w:val="20"/>
              </w:rPr>
              <w:t>'</w:t>
            </w:r>
            <w:r w:rsidRPr="00E27354">
              <w:rPr>
                <w:sz w:val="20"/>
              </w:rPr>
              <w:t>avis de certains membres, le fait que, en vertu de cette disposition, les États Membres sont autorisés à formuler des réserves au sujet de toute disposition du traité nuit à l</w:t>
            </w:r>
            <w:r w:rsidR="00622BAC" w:rsidRPr="00E27354">
              <w:rPr>
                <w:sz w:val="20"/>
              </w:rPr>
              <w:t>'</w:t>
            </w:r>
            <w:r w:rsidRPr="00E27354">
              <w:rPr>
                <w:sz w:val="20"/>
              </w:rPr>
              <w:t xml:space="preserve">efficacité du traité. Elle ne contribue pas </w:t>
            </w:r>
            <w:r w:rsidR="00EF2819" w:rsidRPr="00E27354">
              <w:rPr>
                <w:sz w:val="20"/>
              </w:rPr>
              <w:t xml:space="preserve">à </w:t>
            </w:r>
            <w:r w:rsidRPr="00E27354">
              <w:rPr>
                <w:sz w:val="20"/>
              </w:rPr>
              <w:t>offrir de la souplesse pour tenir compte des nouvelles tendances et des nouveaux problèmes qui se font jour.</w:t>
            </w:r>
          </w:p>
        </w:tc>
        <w:tc>
          <w:tcPr>
            <w:tcW w:w="2375" w:type="dxa"/>
          </w:tcPr>
          <w:p w14:paraId="7A8B0627" w14:textId="0AE8DD89" w:rsidR="005010B8" w:rsidRPr="00E27354" w:rsidRDefault="005010B8" w:rsidP="00F44A82">
            <w:pPr>
              <w:pStyle w:val="Tabletext"/>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390098B5" w14:textId="14804FCA" w:rsidR="005010B8" w:rsidRPr="00E27354" w:rsidRDefault="005010B8"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5010B8" w:rsidRPr="00E27354" w14:paraId="43A84ABC" w14:textId="77777777" w:rsidTr="00EC1CB3">
        <w:tc>
          <w:tcPr>
            <w:tcW w:w="977" w:type="dxa"/>
          </w:tcPr>
          <w:p w14:paraId="2471ADA1" w14:textId="5F59EF6C" w:rsidR="005010B8" w:rsidRPr="00E27354" w:rsidRDefault="005010B8" w:rsidP="00F44A82">
            <w:pPr>
              <w:pStyle w:val="Tablehead"/>
              <w:spacing w:before="60"/>
              <w:rPr>
                <w:sz w:val="20"/>
              </w:rPr>
            </w:pPr>
            <w:r w:rsidRPr="00E27354">
              <w:rPr>
                <w:sz w:val="20"/>
              </w:rPr>
              <w:t>2/1</w:t>
            </w:r>
          </w:p>
        </w:tc>
        <w:tc>
          <w:tcPr>
            <w:tcW w:w="2800" w:type="dxa"/>
          </w:tcPr>
          <w:p w14:paraId="381EB0B6" w14:textId="1842FCD2" w:rsidR="005010B8" w:rsidRPr="00E27354" w:rsidRDefault="005010B8" w:rsidP="00F44A82">
            <w:pPr>
              <w:pStyle w:val="Tabletext"/>
              <w:rPr>
                <w:b/>
                <w:sz w:val="20"/>
              </w:rPr>
            </w:pPr>
            <w:r w:rsidRPr="00E27354">
              <w:rPr>
                <w:b/>
                <w:sz w:val="20"/>
              </w:rPr>
              <w:t>1</w:t>
            </w:r>
            <w:r w:rsidRPr="00E27354">
              <w:rPr>
                <w:b/>
                <w:sz w:val="20"/>
              </w:rPr>
              <w:tab/>
              <w:t>Généralités</w:t>
            </w:r>
          </w:p>
        </w:tc>
        <w:tc>
          <w:tcPr>
            <w:tcW w:w="3560" w:type="dxa"/>
          </w:tcPr>
          <w:p w14:paraId="0C6E0AF1" w14:textId="5CE9BE0F" w:rsidR="005010B8" w:rsidRPr="00E27354" w:rsidRDefault="005010B8" w:rsidP="00F44A82">
            <w:pPr>
              <w:pStyle w:val="Tabletext"/>
              <w:rPr>
                <w:sz w:val="20"/>
              </w:rPr>
            </w:pPr>
            <w:r w:rsidRPr="00E27354">
              <w:rPr>
                <w:sz w:val="20"/>
              </w:rPr>
              <w:t>1</w:t>
            </w:r>
            <w:r w:rsidRPr="00E27354">
              <w:rPr>
                <w:sz w:val="20"/>
              </w:rPr>
              <w:tab/>
              <w:t>Généralités</w:t>
            </w:r>
          </w:p>
        </w:tc>
        <w:tc>
          <w:tcPr>
            <w:tcW w:w="2911" w:type="dxa"/>
          </w:tcPr>
          <w:p w14:paraId="0E2D2104" w14:textId="21B393D2" w:rsidR="005010B8" w:rsidRPr="00E27354" w:rsidRDefault="005010B8" w:rsidP="00F44A82">
            <w:pPr>
              <w:pStyle w:val="Tabletext"/>
              <w:rPr>
                <w:sz w:val="20"/>
              </w:rPr>
            </w:pPr>
            <w:r w:rsidRPr="00E27354">
              <w:rPr>
                <w:sz w:val="20"/>
              </w:rPr>
              <w:t>Certains membres ont déclaré qu</w:t>
            </w:r>
            <w:r w:rsidR="00622BAC" w:rsidRPr="00E27354">
              <w:rPr>
                <w:sz w:val="20"/>
              </w:rPr>
              <w:t>'</w:t>
            </w:r>
            <w:r w:rsidRPr="00E27354">
              <w:rPr>
                <w:sz w:val="20"/>
              </w:rPr>
              <w:t>aucune révision de ces dispositions, y compris de celles de l</w:t>
            </w:r>
            <w:r w:rsidR="00622BAC" w:rsidRPr="00E27354">
              <w:rPr>
                <w:sz w:val="20"/>
              </w:rPr>
              <w:t>'</w:t>
            </w:r>
            <w:r w:rsidRPr="00E27354">
              <w:rPr>
                <w:sz w:val="20"/>
              </w:rPr>
              <w:t>Appendice 2, ne permettrait de suivre le rythme rapide des</w:t>
            </w:r>
            <w:r w:rsidR="0085299F" w:rsidRPr="00E27354">
              <w:rPr>
                <w:sz w:val="20"/>
              </w:rPr>
              <w:t xml:space="preserve"> </w:t>
            </w:r>
            <w:r w:rsidRPr="00E27354">
              <w:rPr>
                <w:sz w:val="20"/>
              </w:rPr>
              <w:t>progrès technologiques et de l</w:t>
            </w:r>
            <w:r w:rsidR="00622BAC" w:rsidRPr="00E27354">
              <w:rPr>
                <w:sz w:val="20"/>
              </w:rPr>
              <w:t>'</w:t>
            </w:r>
            <w:r w:rsidRPr="00E27354">
              <w:rPr>
                <w:sz w:val="20"/>
              </w:rPr>
              <w:t xml:space="preserve">évolution du marché. </w:t>
            </w:r>
          </w:p>
          <w:p w14:paraId="74A66456" w14:textId="4B73F6AB" w:rsidR="005010B8" w:rsidRPr="00E27354" w:rsidRDefault="005010B8" w:rsidP="00F44A82">
            <w:pPr>
              <w:pStyle w:val="Tabletext"/>
              <w:rPr>
                <w:sz w:val="20"/>
              </w:rPr>
            </w:pPr>
            <w:r w:rsidRPr="00E27354">
              <w:rPr>
                <w:sz w:val="20"/>
              </w:rPr>
              <w:lastRenderedPageBreak/>
              <w:t>Certains membres ont estimé qu</w:t>
            </w:r>
            <w:r w:rsidR="00622BAC" w:rsidRPr="00E27354">
              <w:rPr>
                <w:sz w:val="20"/>
              </w:rPr>
              <w:t>'</w:t>
            </w:r>
            <w:r w:rsidR="007711C6">
              <w:rPr>
                <w:sz w:val="20"/>
              </w:rPr>
              <w:t>il est nécessaire de réviser le </w:t>
            </w:r>
            <w:r w:rsidRPr="00E27354">
              <w:rPr>
                <w:sz w:val="20"/>
              </w:rPr>
              <w:t>RTI et que l</w:t>
            </w:r>
            <w:r w:rsidR="00622BAC" w:rsidRPr="00E27354">
              <w:rPr>
                <w:sz w:val="20"/>
              </w:rPr>
              <w:t>'</w:t>
            </w:r>
            <w:r w:rsidRPr="00E27354">
              <w:rPr>
                <w:sz w:val="20"/>
              </w:rPr>
              <w:t>Appendice 2 fait partie intégrante de ce traité.</w:t>
            </w:r>
          </w:p>
        </w:tc>
        <w:tc>
          <w:tcPr>
            <w:tcW w:w="2554" w:type="dxa"/>
          </w:tcPr>
          <w:p w14:paraId="79E54375" w14:textId="170CB34B" w:rsidR="005010B8" w:rsidRPr="00E27354" w:rsidRDefault="005010B8" w:rsidP="00F44A82">
            <w:pPr>
              <w:pStyle w:val="Tabletext"/>
              <w:rPr>
                <w:sz w:val="20"/>
              </w:rPr>
            </w:pPr>
            <w:r w:rsidRPr="00E27354">
              <w:rPr>
                <w:sz w:val="20"/>
              </w:rPr>
              <w:lastRenderedPageBreak/>
              <w:t>Certains membres ont déclaré qu</w:t>
            </w:r>
            <w:r w:rsidR="00622BAC" w:rsidRPr="00E27354">
              <w:rPr>
                <w:sz w:val="20"/>
              </w:rPr>
              <w:t>'</w:t>
            </w:r>
            <w:r w:rsidRPr="00E27354">
              <w:rPr>
                <w:sz w:val="20"/>
              </w:rPr>
              <w:t>aucune révision de ces dispositions, y compris de celles de l</w:t>
            </w:r>
            <w:r w:rsidR="00622BAC" w:rsidRPr="00E27354">
              <w:rPr>
                <w:sz w:val="20"/>
              </w:rPr>
              <w:t>'</w:t>
            </w:r>
            <w:r w:rsidRPr="00E27354">
              <w:rPr>
                <w:sz w:val="20"/>
              </w:rPr>
              <w:t xml:space="preserve">Appendice 2, ne permettrait de suivre le rythme rapide des progrès </w:t>
            </w:r>
            <w:r w:rsidRPr="00E27354">
              <w:rPr>
                <w:sz w:val="20"/>
              </w:rPr>
              <w:lastRenderedPageBreak/>
              <w:t>technologiques et de l</w:t>
            </w:r>
            <w:r w:rsidR="00622BAC" w:rsidRPr="00E27354">
              <w:rPr>
                <w:sz w:val="20"/>
              </w:rPr>
              <w:t>'</w:t>
            </w:r>
            <w:r w:rsidRPr="00E27354">
              <w:rPr>
                <w:sz w:val="20"/>
              </w:rPr>
              <w:t xml:space="preserve">évolution du marché. </w:t>
            </w:r>
          </w:p>
          <w:p w14:paraId="2E643E90" w14:textId="7F2DF9E1" w:rsidR="005010B8" w:rsidRPr="00E27354" w:rsidRDefault="005010B8" w:rsidP="00F44A82">
            <w:pPr>
              <w:pStyle w:val="Tabletext"/>
              <w:rPr>
                <w:sz w:val="20"/>
              </w:rPr>
            </w:pPr>
            <w:r w:rsidRPr="00E27354">
              <w:rPr>
                <w:sz w:val="20"/>
              </w:rPr>
              <w:t>Certains membres ont estimé qu</w:t>
            </w:r>
            <w:r w:rsidR="00622BAC" w:rsidRPr="00E27354">
              <w:rPr>
                <w:sz w:val="20"/>
              </w:rPr>
              <w:t>'</w:t>
            </w:r>
            <w:r w:rsidRPr="00E27354">
              <w:rPr>
                <w:sz w:val="20"/>
              </w:rPr>
              <w:t>il est nécessaire de réviser le RTI et que l</w:t>
            </w:r>
            <w:r w:rsidR="00622BAC" w:rsidRPr="00E27354">
              <w:rPr>
                <w:sz w:val="20"/>
              </w:rPr>
              <w:t>'</w:t>
            </w:r>
            <w:r w:rsidRPr="00E27354">
              <w:rPr>
                <w:sz w:val="20"/>
              </w:rPr>
              <w:t>Appendice 2 fait partie intégrante de ce traité.</w:t>
            </w:r>
          </w:p>
        </w:tc>
        <w:tc>
          <w:tcPr>
            <w:tcW w:w="2375" w:type="dxa"/>
          </w:tcPr>
          <w:p w14:paraId="7174F9AC" w14:textId="7FC7C6A7" w:rsidR="005010B8" w:rsidRPr="00E27354" w:rsidRDefault="005010B8" w:rsidP="00F44A82">
            <w:pPr>
              <w:pStyle w:val="Tabletext"/>
              <w:rPr>
                <w:sz w:val="20"/>
              </w:rPr>
            </w:pPr>
            <w:r w:rsidRPr="00E27354">
              <w:rPr>
                <w:sz w:val="20"/>
              </w:rPr>
              <w:lastRenderedPageBreak/>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2F9B274F" w14:textId="4C33DD19" w:rsidR="005010B8" w:rsidRPr="00E27354" w:rsidRDefault="005010B8" w:rsidP="00F44A82">
            <w:pPr>
              <w:pStyle w:val="Tabletext"/>
              <w:rPr>
                <w:sz w:val="20"/>
              </w:rPr>
            </w:pPr>
            <w:r w:rsidRPr="00E27354">
              <w:rPr>
                <w:sz w:val="20"/>
              </w:rPr>
              <w:lastRenderedPageBreak/>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p w14:paraId="56C0F5F3" w14:textId="5F6FD742" w:rsidR="005010B8" w:rsidRPr="00E27354" w:rsidRDefault="005010B8" w:rsidP="00F44A82">
            <w:pPr>
              <w:pStyle w:val="Tabletext"/>
              <w:rPr>
                <w:sz w:val="20"/>
              </w:rPr>
            </w:pPr>
            <w:r w:rsidRPr="00E27354">
              <w:rPr>
                <w:sz w:val="20"/>
              </w:rPr>
              <w:t>De l</w:t>
            </w:r>
            <w:r w:rsidR="00622BAC" w:rsidRPr="00E27354">
              <w:rPr>
                <w:sz w:val="20"/>
              </w:rPr>
              <w:t>'</w:t>
            </w:r>
            <w:r w:rsidRPr="00E27354">
              <w:rPr>
                <w:sz w:val="20"/>
              </w:rPr>
              <w:t>avis de certains membres, il se peut que cette disposition ne présente pas d</w:t>
            </w:r>
            <w:r w:rsidR="00622BAC" w:rsidRPr="00E27354">
              <w:rPr>
                <w:sz w:val="20"/>
              </w:rPr>
              <w:t>'</w:t>
            </w:r>
            <w:r w:rsidRPr="00E27354">
              <w:rPr>
                <w:sz w:val="20"/>
              </w:rPr>
              <w:t>intérêt au regard des critères d</w:t>
            </w:r>
            <w:r w:rsidR="00622BAC" w:rsidRPr="00E27354">
              <w:rPr>
                <w:sz w:val="20"/>
              </w:rPr>
              <w:t>'</w:t>
            </w:r>
            <w:r w:rsidRPr="00E27354">
              <w:rPr>
                <w:sz w:val="20"/>
              </w:rPr>
              <w:t>examen qui ont été fixés.</w:t>
            </w:r>
          </w:p>
        </w:tc>
      </w:tr>
      <w:tr w:rsidR="005010B8" w:rsidRPr="00E27354" w14:paraId="24191B16" w14:textId="77777777" w:rsidTr="00EC1CB3">
        <w:tc>
          <w:tcPr>
            <w:tcW w:w="977" w:type="dxa"/>
          </w:tcPr>
          <w:p w14:paraId="625FD7D6" w14:textId="7A5B129C" w:rsidR="005010B8" w:rsidRPr="00E27354" w:rsidRDefault="005010B8" w:rsidP="00F44A82">
            <w:pPr>
              <w:pStyle w:val="Tablehead"/>
              <w:spacing w:before="60"/>
              <w:rPr>
                <w:sz w:val="20"/>
              </w:rPr>
            </w:pPr>
            <w:r w:rsidRPr="00E27354">
              <w:rPr>
                <w:sz w:val="20"/>
              </w:rPr>
              <w:lastRenderedPageBreak/>
              <w:t>2/2</w:t>
            </w:r>
          </w:p>
        </w:tc>
        <w:tc>
          <w:tcPr>
            <w:tcW w:w="2800" w:type="dxa"/>
          </w:tcPr>
          <w:p w14:paraId="11E81E90" w14:textId="43C31594" w:rsidR="005010B8" w:rsidRPr="00E27354" w:rsidRDefault="005010B8" w:rsidP="00F44A82">
            <w:pPr>
              <w:pStyle w:val="Tabletext"/>
              <w:rPr>
                <w:b/>
                <w:sz w:val="20"/>
              </w:rPr>
            </w:pPr>
            <w:r w:rsidRPr="00E27354">
              <w:rPr>
                <w:b/>
                <w:sz w:val="20"/>
              </w:rPr>
              <w:t>1.1</w:t>
            </w:r>
            <w:r w:rsidRPr="00E27354">
              <w:rPr>
                <w:b/>
                <w:sz w:val="20"/>
              </w:rPr>
              <w:tab/>
              <w:t>Les dispositions de l</w:t>
            </w:r>
            <w:r w:rsidR="00622BAC" w:rsidRPr="00E27354">
              <w:rPr>
                <w:b/>
                <w:sz w:val="20"/>
              </w:rPr>
              <w:t>'</w:t>
            </w:r>
            <w:r w:rsidRPr="00E27354">
              <w:rPr>
                <w:b/>
                <w:sz w:val="20"/>
              </w:rPr>
              <w:t>Article 8 et de l</w:t>
            </w:r>
            <w:r w:rsidR="00622BAC" w:rsidRPr="00E27354">
              <w:rPr>
                <w:b/>
                <w:sz w:val="20"/>
              </w:rPr>
              <w:t>'</w:t>
            </w:r>
            <w:r w:rsidRPr="00E27354">
              <w:rPr>
                <w:b/>
                <w:sz w:val="20"/>
              </w:rPr>
              <w:t>Appendice 1, compte tenu des Recommandations UIT-T pertinentes, s</w:t>
            </w:r>
            <w:r w:rsidR="00622BAC" w:rsidRPr="00E27354">
              <w:rPr>
                <w:b/>
                <w:sz w:val="20"/>
              </w:rPr>
              <w:t>'</w:t>
            </w:r>
            <w:r w:rsidRPr="00E27354">
              <w:rPr>
                <w:b/>
                <w:sz w:val="20"/>
              </w:rPr>
              <w:t>appliquent également aux télécommunications maritimes pour l</w:t>
            </w:r>
            <w:r w:rsidR="00622BAC" w:rsidRPr="00E27354">
              <w:rPr>
                <w:b/>
                <w:sz w:val="20"/>
              </w:rPr>
              <w:t>'</w:t>
            </w:r>
            <w:r w:rsidRPr="00E27354">
              <w:rPr>
                <w:b/>
                <w:sz w:val="20"/>
              </w:rPr>
              <w:t>établissement et le règlement des comptes au titre du présent Appendice, dans la mesure où les dispositions ci-après n</w:t>
            </w:r>
            <w:r w:rsidR="00622BAC" w:rsidRPr="00E27354">
              <w:rPr>
                <w:b/>
                <w:sz w:val="20"/>
              </w:rPr>
              <w:t>'</w:t>
            </w:r>
            <w:r w:rsidRPr="00E27354">
              <w:rPr>
                <w:b/>
                <w:sz w:val="20"/>
              </w:rPr>
              <w:t>en disposent pas autrement.</w:t>
            </w:r>
          </w:p>
        </w:tc>
        <w:tc>
          <w:tcPr>
            <w:tcW w:w="3560" w:type="dxa"/>
          </w:tcPr>
          <w:p w14:paraId="10E92A6B" w14:textId="3769E5E5" w:rsidR="005010B8" w:rsidRPr="00E27354" w:rsidRDefault="005010B8" w:rsidP="00F44A82">
            <w:pPr>
              <w:pStyle w:val="Tabletext"/>
              <w:rPr>
                <w:sz w:val="20"/>
              </w:rPr>
            </w:pPr>
            <w:r w:rsidRPr="00E27354">
              <w:rPr>
                <w:sz w:val="20"/>
              </w:rPr>
              <w:t>Les dispositions de l</w:t>
            </w:r>
            <w:r w:rsidR="00622BAC" w:rsidRPr="00E27354">
              <w:rPr>
                <w:sz w:val="20"/>
              </w:rPr>
              <w:t>'</w:t>
            </w:r>
            <w:r w:rsidRPr="00E27354">
              <w:rPr>
                <w:sz w:val="20"/>
              </w:rPr>
              <w:t>Article 6 et de l</w:t>
            </w:r>
            <w:r w:rsidR="00622BAC" w:rsidRPr="00E27354">
              <w:rPr>
                <w:sz w:val="20"/>
              </w:rPr>
              <w:t>'</w:t>
            </w:r>
            <w:r w:rsidRPr="00E27354">
              <w:rPr>
                <w:sz w:val="20"/>
              </w:rPr>
              <w:t>Appendice 1, compte tenu des Recommandations du CCITT, s</w:t>
            </w:r>
            <w:r w:rsidR="00622BAC" w:rsidRPr="00E27354">
              <w:rPr>
                <w:sz w:val="20"/>
              </w:rPr>
              <w:t>'</w:t>
            </w:r>
            <w:r w:rsidRPr="00E27354">
              <w:rPr>
                <w:sz w:val="20"/>
              </w:rPr>
              <w:t>appliquent également aux télécommunications maritimes dans la mesure où les dispositions ci</w:t>
            </w:r>
            <w:r w:rsidRPr="00E27354">
              <w:rPr>
                <w:sz w:val="20"/>
              </w:rPr>
              <w:noBreakHyphen/>
              <w:t>après n</w:t>
            </w:r>
            <w:r w:rsidR="00622BAC" w:rsidRPr="00E27354">
              <w:rPr>
                <w:sz w:val="20"/>
              </w:rPr>
              <w:t>'</w:t>
            </w:r>
            <w:r w:rsidRPr="00E27354">
              <w:rPr>
                <w:sz w:val="20"/>
              </w:rPr>
              <w:t>en disposent pas autrement.</w:t>
            </w:r>
          </w:p>
        </w:tc>
        <w:tc>
          <w:tcPr>
            <w:tcW w:w="2911" w:type="dxa"/>
          </w:tcPr>
          <w:p w14:paraId="7687F7D4" w14:textId="03F206A5" w:rsidR="005010B8" w:rsidRPr="00E27354" w:rsidRDefault="005010B8"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593B7487" w14:textId="316C3369" w:rsidR="005010B8" w:rsidRPr="00E27354" w:rsidRDefault="005010B8"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5C0D15DF" w14:textId="3EE039F6" w:rsidR="005010B8" w:rsidRPr="00E27354" w:rsidRDefault="005010B8" w:rsidP="00F44A82">
            <w:pPr>
              <w:pStyle w:val="Tabletext"/>
              <w:rPr>
                <w:sz w:val="20"/>
              </w:rPr>
            </w:pPr>
            <w:r w:rsidRPr="00E27354">
              <w:rPr>
                <w:sz w:val="20"/>
              </w:rPr>
              <w:t>Certains autres membres ont fait valoir que l</w:t>
            </w:r>
            <w:r w:rsidR="00622BAC" w:rsidRPr="00E27354">
              <w:rPr>
                <w:sz w:val="20"/>
              </w:rPr>
              <w:t>'</w:t>
            </w:r>
            <w:r w:rsidRPr="00E27354">
              <w:rPr>
                <w:sz w:val="20"/>
              </w:rPr>
              <w:t>Appendice</w:t>
            </w:r>
            <w:r w:rsidR="003504D7" w:rsidRPr="00E27354">
              <w:rPr>
                <w:sz w:val="20"/>
              </w:rPr>
              <w:t xml:space="preserve"> 2</w:t>
            </w:r>
            <w:r w:rsidRPr="00E27354">
              <w:rPr>
                <w:sz w:val="20"/>
              </w:rPr>
              <w:t xml:space="preserve">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554" w:type="dxa"/>
          </w:tcPr>
          <w:p w14:paraId="6217E9C5" w14:textId="22B3839A" w:rsidR="005010B8" w:rsidRPr="00E27354" w:rsidRDefault="005010B8"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4A7006F4" w14:textId="2C1B57A7" w:rsidR="005010B8" w:rsidRPr="00E27354" w:rsidRDefault="005010B8"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7D0D0564" w14:textId="246D90C8" w:rsidR="005010B8" w:rsidRPr="00E27354" w:rsidRDefault="005010B8" w:rsidP="00F44A82">
            <w:pPr>
              <w:pStyle w:val="Tabletext"/>
              <w:rPr>
                <w:sz w:val="20"/>
              </w:rPr>
            </w:pPr>
            <w:r w:rsidRPr="00E27354">
              <w:rPr>
                <w:sz w:val="20"/>
              </w:rPr>
              <w:t>Certains autres membres ont fait valoir que l</w:t>
            </w:r>
            <w:r w:rsidR="00622BAC" w:rsidRPr="00E27354">
              <w:rPr>
                <w:sz w:val="20"/>
              </w:rPr>
              <w:t>'</w:t>
            </w:r>
            <w:r w:rsidRPr="00E27354">
              <w:rPr>
                <w:sz w:val="20"/>
              </w:rPr>
              <w:t xml:space="preserve">Appendice </w:t>
            </w:r>
            <w:r w:rsidR="003504D7" w:rsidRPr="00E27354">
              <w:rPr>
                <w:sz w:val="20"/>
              </w:rPr>
              <w:t xml:space="preserve">2 </w:t>
            </w:r>
            <w:r w:rsidRPr="00E27354">
              <w:rPr>
                <w:sz w:val="20"/>
              </w:rPr>
              <w:t>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375" w:type="dxa"/>
          </w:tcPr>
          <w:p w14:paraId="71FADACF" w14:textId="666730E0" w:rsidR="005010B8" w:rsidRPr="00E27354" w:rsidRDefault="005010B8" w:rsidP="00F44A82">
            <w:pPr>
              <w:pStyle w:val="Tabletext"/>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7794D76B" w14:textId="330AD90C" w:rsidR="005010B8" w:rsidRPr="00E27354" w:rsidRDefault="005010B8"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F44A82" w:rsidRPr="00E27354" w14:paraId="1481406D" w14:textId="77777777" w:rsidTr="00EC1CB3">
        <w:tc>
          <w:tcPr>
            <w:tcW w:w="977" w:type="dxa"/>
          </w:tcPr>
          <w:p w14:paraId="35B9D3BA" w14:textId="545F19AF" w:rsidR="00F44A82" w:rsidRPr="00E27354" w:rsidRDefault="00F44A82" w:rsidP="00985D52">
            <w:pPr>
              <w:pStyle w:val="Tablehead"/>
              <w:keepNext/>
              <w:keepLines/>
              <w:spacing w:before="60"/>
              <w:rPr>
                <w:sz w:val="20"/>
              </w:rPr>
            </w:pPr>
            <w:r w:rsidRPr="00E27354">
              <w:rPr>
                <w:sz w:val="20"/>
              </w:rPr>
              <w:lastRenderedPageBreak/>
              <w:t>2/3</w:t>
            </w:r>
          </w:p>
        </w:tc>
        <w:tc>
          <w:tcPr>
            <w:tcW w:w="2800" w:type="dxa"/>
          </w:tcPr>
          <w:p w14:paraId="34FC69DA" w14:textId="5F693EAA" w:rsidR="00F44A82" w:rsidRPr="00E27354" w:rsidRDefault="00F44A82" w:rsidP="00985D52">
            <w:pPr>
              <w:pStyle w:val="Tabletext"/>
              <w:keepNext/>
              <w:keepLines/>
              <w:rPr>
                <w:b/>
                <w:sz w:val="20"/>
              </w:rPr>
            </w:pPr>
            <w:r w:rsidRPr="00E27354">
              <w:rPr>
                <w:b/>
                <w:sz w:val="20"/>
              </w:rPr>
              <w:t>2</w:t>
            </w:r>
            <w:r w:rsidRPr="00E27354">
              <w:rPr>
                <w:b/>
                <w:sz w:val="20"/>
              </w:rPr>
              <w:tab/>
              <w:t>Autorité chargée de la comptabilité</w:t>
            </w:r>
          </w:p>
        </w:tc>
        <w:tc>
          <w:tcPr>
            <w:tcW w:w="3560" w:type="dxa"/>
          </w:tcPr>
          <w:p w14:paraId="52759D85" w14:textId="6395F5C5" w:rsidR="00F44A82" w:rsidRPr="00E27354" w:rsidRDefault="00F44A82" w:rsidP="00985D52">
            <w:pPr>
              <w:pStyle w:val="Tabletext"/>
              <w:keepNext/>
              <w:keepLines/>
              <w:rPr>
                <w:sz w:val="20"/>
              </w:rPr>
            </w:pPr>
            <w:r w:rsidRPr="00E27354">
              <w:rPr>
                <w:sz w:val="20"/>
              </w:rPr>
              <w:t>2</w:t>
            </w:r>
            <w:r w:rsidRPr="00E27354">
              <w:rPr>
                <w:sz w:val="20"/>
              </w:rPr>
              <w:tab/>
              <w:t>Autorité chargée de la comptabilité</w:t>
            </w:r>
          </w:p>
        </w:tc>
        <w:tc>
          <w:tcPr>
            <w:tcW w:w="2911" w:type="dxa"/>
          </w:tcPr>
          <w:p w14:paraId="748439A1" w14:textId="71B2EDE2" w:rsidR="00F44A82" w:rsidRPr="00E27354" w:rsidRDefault="00F44A82" w:rsidP="00985D52">
            <w:pPr>
              <w:pStyle w:val="Tabletext"/>
              <w:keepNext/>
              <w:keepLines/>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3ACE4DDA" w14:textId="42039B18" w:rsidR="00F44A82" w:rsidRPr="00E27354" w:rsidRDefault="00F44A82" w:rsidP="00985D52">
            <w:pPr>
              <w:pStyle w:val="Tabletext"/>
              <w:keepNext/>
              <w:keepLines/>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0528E28B" w14:textId="2F10A645" w:rsidR="00F44A82" w:rsidRPr="00E27354" w:rsidRDefault="00F44A82" w:rsidP="00985D52">
            <w:pPr>
              <w:pStyle w:val="Tabletext"/>
              <w:keepNext/>
              <w:keepLines/>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554" w:type="dxa"/>
          </w:tcPr>
          <w:p w14:paraId="4209F456" w14:textId="609A9E6B" w:rsidR="0085299F" w:rsidRPr="00E27354" w:rsidRDefault="00F44A82" w:rsidP="00985D52">
            <w:pPr>
              <w:pStyle w:val="Tabletext"/>
              <w:keepNext/>
              <w:keepLines/>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6F38E693" w14:textId="6C17167F" w:rsidR="00F44A82" w:rsidRPr="00E27354" w:rsidRDefault="00F44A82" w:rsidP="00985D52">
            <w:pPr>
              <w:pStyle w:val="Tabletext"/>
              <w:keepNext/>
              <w:keepLines/>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0C879F34" w14:textId="7E386597" w:rsidR="00F44A82" w:rsidRPr="00E27354" w:rsidRDefault="00F44A82" w:rsidP="00985D52">
            <w:pPr>
              <w:pStyle w:val="Tabletext"/>
              <w:keepNext/>
              <w:keepLines/>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375" w:type="dxa"/>
          </w:tcPr>
          <w:p w14:paraId="188D76A1" w14:textId="5280ED93" w:rsidR="00F44A82" w:rsidRPr="00E27354" w:rsidRDefault="00F44A82" w:rsidP="00985D52">
            <w:pPr>
              <w:pStyle w:val="Tabletext"/>
              <w:keepNext/>
              <w:keepLines/>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49F343EA" w14:textId="1E2CB610" w:rsidR="00F44A82" w:rsidRPr="00E27354" w:rsidRDefault="00F44A82" w:rsidP="00985D52">
            <w:pPr>
              <w:pStyle w:val="Tabletext"/>
              <w:keepNext/>
              <w:keepLines/>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F44A82" w:rsidRPr="00E27354" w14:paraId="2F623B7F" w14:textId="77777777" w:rsidTr="00EC1CB3">
        <w:tc>
          <w:tcPr>
            <w:tcW w:w="977" w:type="dxa"/>
          </w:tcPr>
          <w:p w14:paraId="597F2402" w14:textId="2F92A08B" w:rsidR="00F44A82" w:rsidRPr="00E27354" w:rsidRDefault="00F44A82" w:rsidP="00F44A82">
            <w:pPr>
              <w:pStyle w:val="Tablehead"/>
              <w:spacing w:before="60"/>
              <w:rPr>
                <w:sz w:val="20"/>
              </w:rPr>
            </w:pPr>
            <w:r w:rsidRPr="00E27354">
              <w:rPr>
                <w:sz w:val="20"/>
              </w:rPr>
              <w:t>2/4</w:t>
            </w:r>
          </w:p>
        </w:tc>
        <w:tc>
          <w:tcPr>
            <w:tcW w:w="2800" w:type="dxa"/>
          </w:tcPr>
          <w:p w14:paraId="7D955503" w14:textId="2725BF0D" w:rsidR="00F44A82" w:rsidRPr="00E27354" w:rsidRDefault="00F44A82" w:rsidP="00F44A82">
            <w:pPr>
              <w:pStyle w:val="Tabletext"/>
              <w:rPr>
                <w:b/>
                <w:sz w:val="20"/>
              </w:rPr>
            </w:pPr>
            <w:r w:rsidRPr="00E27354">
              <w:rPr>
                <w:b/>
                <w:sz w:val="20"/>
              </w:rPr>
              <w:t>2.1</w:t>
            </w:r>
            <w:r w:rsidRPr="00E27354">
              <w:rPr>
                <w:b/>
                <w:sz w:val="20"/>
              </w:rPr>
              <w:tab/>
              <w:t xml:space="preserve">Les taxes pour les télécommunications maritimes dans le service mobile maritime et dans le service mobile maritime par satellite doivent en principe, et conformément à la législation et à la pratique nationales, être perçues auprès du détenteur de la licence de la station mobile </w:t>
            </w:r>
            <w:proofErr w:type="gramStart"/>
            <w:r w:rsidRPr="00E27354">
              <w:rPr>
                <w:b/>
                <w:sz w:val="20"/>
              </w:rPr>
              <w:t>maritime:</w:t>
            </w:r>
            <w:proofErr w:type="gramEnd"/>
          </w:p>
        </w:tc>
        <w:tc>
          <w:tcPr>
            <w:tcW w:w="3560" w:type="dxa"/>
          </w:tcPr>
          <w:p w14:paraId="64EB50B2" w14:textId="6E1F254B" w:rsidR="00F44A82" w:rsidRPr="00E27354" w:rsidRDefault="00F44A82" w:rsidP="00F44A82">
            <w:pPr>
              <w:pStyle w:val="Tabletext"/>
              <w:rPr>
                <w:sz w:val="20"/>
              </w:rPr>
            </w:pPr>
            <w:r w:rsidRPr="00E27354">
              <w:rPr>
                <w:sz w:val="20"/>
              </w:rPr>
              <w:t>2.1</w:t>
            </w:r>
            <w:r w:rsidRPr="00E27354">
              <w:rPr>
                <w:sz w:val="20"/>
              </w:rPr>
              <w:tab/>
              <w:t xml:space="preserve">Les taxes pour les télécommunications maritimes dans le service mobile maritime et dans le service mobile maritime par satellite doivent en principe, et conformément à la législation et à la pratique nationales, être perçues auprès du détenteur de la licence de la station mobile </w:t>
            </w:r>
            <w:proofErr w:type="gramStart"/>
            <w:r w:rsidRPr="00E27354">
              <w:rPr>
                <w:sz w:val="20"/>
              </w:rPr>
              <w:t>maritime:</w:t>
            </w:r>
            <w:proofErr w:type="gramEnd"/>
          </w:p>
        </w:tc>
        <w:tc>
          <w:tcPr>
            <w:tcW w:w="2911" w:type="dxa"/>
          </w:tcPr>
          <w:p w14:paraId="3BE6AAB4" w14:textId="6B9FA82C"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1B2F89FE" w14:textId="527C1A93"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32839934" w14:textId="58ABB648"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 xml:space="preserve">Appendice 2 doit être mis à jour afin de tenir compte des évolutions constatées dans la fourniture des services de </w:t>
            </w:r>
            <w:r w:rsidRPr="00E27354">
              <w:rPr>
                <w:sz w:val="20"/>
              </w:rPr>
              <w:lastRenderedPageBreak/>
              <w:t>télécommunication/TIC à l</w:t>
            </w:r>
            <w:r w:rsidR="00622BAC" w:rsidRPr="00E27354">
              <w:rPr>
                <w:sz w:val="20"/>
              </w:rPr>
              <w:t>'</w:t>
            </w:r>
            <w:r w:rsidRPr="00E27354">
              <w:rPr>
                <w:sz w:val="20"/>
              </w:rPr>
              <w:t>utilisateur final.</w:t>
            </w:r>
          </w:p>
        </w:tc>
        <w:tc>
          <w:tcPr>
            <w:tcW w:w="2554" w:type="dxa"/>
          </w:tcPr>
          <w:p w14:paraId="30203B9A" w14:textId="7B5B0B05" w:rsidR="00F44A82" w:rsidRPr="00E27354" w:rsidRDefault="00F44A82" w:rsidP="00F44A82">
            <w:pPr>
              <w:pStyle w:val="Tabletext"/>
              <w:rPr>
                <w:sz w:val="20"/>
              </w:rPr>
            </w:pPr>
            <w:r w:rsidRPr="00E27354">
              <w:rPr>
                <w:sz w:val="20"/>
              </w:rPr>
              <w:lastRenderedPageBreak/>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5F9B3F56" w14:textId="270BAF3B"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7D991FE0" w14:textId="2BBFCAAA"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 xml:space="preserve">Appendice 2 doit être mis à jour afin de tenir compte des évolutions constatées dans la fourniture des services de </w:t>
            </w:r>
            <w:r w:rsidRPr="00E27354">
              <w:rPr>
                <w:sz w:val="20"/>
              </w:rPr>
              <w:lastRenderedPageBreak/>
              <w:t>télécommunication/TIC à l</w:t>
            </w:r>
            <w:r w:rsidR="00622BAC" w:rsidRPr="00E27354">
              <w:rPr>
                <w:sz w:val="20"/>
              </w:rPr>
              <w:t>'</w:t>
            </w:r>
            <w:r w:rsidRPr="00E27354">
              <w:rPr>
                <w:sz w:val="20"/>
              </w:rPr>
              <w:t>utilisateur final.</w:t>
            </w:r>
          </w:p>
        </w:tc>
        <w:tc>
          <w:tcPr>
            <w:tcW w:w="2375" w:type="dxa"/>
          </w:tcPr>
          <w:p w14:paraId="772F3CA8" w14:textId="470008C3" w:rsidR="00F44A82" w:rsidRPr="00E27354" w:rsidRDefault="00F44A82" w:rsidP="00F44A82">
            <w:pPr>
              <w:pStyle w:val="Tabletext"/>
              <w:keepNext/>
              <w:keepLines/>
              <w:rPr>
                <w:sz w:val="20"/>
              </w:rPr>
            </w:pPr>
            <w:r w:rsidRPr="00E27354">
              <w:rPr>
                <w:sz w:val="20"/>
              </w:rPr>
              <w:lastRenderedPageBreak/>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7668D938" w14:textId="365503F5"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F44A82" w:rsidRPr="00E27354" w14:paraId="4B5BC475" w14:textId="77777777" w:rsidTr="00EC1CB3">
        <w:tc>
          <w:tcPr>
            <w:tcW w:w="977" w:type="dxa"/>
          </w:tcPr>
          <w:p w14:paraId="0E109914" w14:textId="548403DC" w:rsidR="00F44A82" w:rsidRPr="00E27354" w:rsidRDefault="00F44A82" w:rsidP="00F44A82">
            <w:pPr>
              <w:pStyle w:val="Tablehead"/>
              <w:spacing w:before="60"/>
              <w:rPr>
                <w:sz w:val="20"/>
              </w:rPr>
            </w:pPr>
            <w:r w:rsidRPr="00E27354">
              <w:rPr>
                <w:sz w:val="20"/>
              </w:rPr>
              <w:t>2/5</w:t>
            </w:r>
          </w:p>
        </w:tc>
        <w:tc>
          <w:tcPr>
            <w:tcW w:w="2800" w:type="dxa"/>
          </w:tcPr>
          <w:p w14:paraId="2DCD5335" w14:textId="7FBBBB31" w:rsidR="00F44A82" w:rsidRPr="00E27354" w:rsidRDefault="00F44A82" w:rsidP="00F44A82">
            <w:pPr>
              <w:pStyle w:val="Tabletext"/>
              <w:rPr>
                <w:b/>
                <w:sz w:val="20"/>
              </w:rPr>
            </w:pPr>
            <w:r w:rsidRPr="00E27354">
              <w:rPr>
                <w:b/>
                <w:i/>
                <w:iCs/>
                <w:sz w:val="20"/>
              </w:rPr>
              <w:t>a)</w:t>
            </w:r>
            <w:r w:rsidRPr="00E27354">
              <w:rPr>
                <w:b/>
                <w:sz w:val="20"/>
              </w:rPr>
              <w:tab/>
              <w:t>par l</w:t>
            </w:r>
            <w:r w:rsidR="00622BAC" w:rsidRPr="00E27354">
              <w:rPr>
                <w:b/>
                <w:sz w:val="20"/>
              </w:rPr>
              <w:t>'</w:t>
            </w:r>
            <w:r w:rsidRPr="00E27354">
              <w:rPr>
                <w:b/>
                <w:sz w:val="20"/>
              </w:rPr>
              <w:t xml:space="preserve">administration qui a délivré la </w:t>
            </w:r>
            <w:proofErr w:type="gramStart"/>
            <w:r w:rsidRPr="00E27354">
              <w:rPr>
                <w:b/>
                <w:sz w:val="20"/>
              </w:rPr>
              <w:t>licence;</w:t>
            </w:r>
            <w:proofErr w:type="gramEnd"/>
            <w:r w:rsidRPr="00E27354">
              <w:rPr>
                <w:b/>
                <w:sz w:val="20"/>
              </w:rPr>
              <w:t xml:space="preserve"> ou</w:t>
            </w:r>
          </w:p>
        </w:tc>
        <w:tc>
          <w:tcPr>
            <w:tcW w:w="3560" w:type="dxa"/>
          </w:tcPr>
          <w:p w14:paraId="38FDE1E9" w14:textId="60883101" w:rsidR="00F44A82" w:rsidRPr="00E27354" w:rsidRDefault="00F44A82" w:rsidP="00F44A82">
            <w:pPr>
              <w:pStyle w:val="Tabletext"/>
              <w:rPr>
                <w:sz w:val="20"/>
              </w:rPr>
            </w:pPr>
            <w:r w:rsidRPr="00E27354">
              <w:rPr>
                <w:i/>
                <w:iCs/>
                <w:sz w:val="20"/>
              </w:rPr>
              <w:t>a)</w:t>
            </w:r>
            <w:r w:rsidRPr="00E27354">
              <w:rPr>
                <w:sz w:val="20"/>
              </w:rPr>
              <w:tab/>
              <w:t>par l</w:t>
            </w:r>
            <w:r w:rsidR="00622BAC" w:rsidRPr="00E27354">
              <w:rPr>
                <w:sz w:val="20"/>
              </w:rPr>
              <w:t>'</w:t>
            </w:r>
            <w:r w:rsidRPr="00E27354">
              <w:rPr>
                <w:sz w:val="20"/>
              </w:rPr>
              <w:t xml:space="preserve">administration qui a délivré la </w:t>
            </w:r>
            <w:proofErr w:type="gramStart"/>
            <w:r w:rsidRPr="00E27354">
              <w:rPr>
                <w:sz w:val="20"/>
              </w:rPr>
              <w:t>licence;</w:t>
            </w:r>
            <w:proofErr w:type="gramEnd"/>
            <w:r w:rsidRPr="00E27354">
              <w:rPr>
                <w:sz w:val="20"/>
              </w:rPr>
              <w:t xml:space="preserve"> ou</w:t>
            </w:r>
          </w:p>
        </w:tc>
        <w:tc>
          <w:tcPr>
            <w:tcW w:w="2911" w:type="dxa"/>
          </w:tcPr>
          <w:p w14:paraId="4702CD18" w14:textId="502A5085"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5182E929" w14:textId="6CB8B7BA"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7ED07052" w14:textId="611A7AF3"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554" w:type="dxa"/>
          </w:tcPr>
          <w:p w14:paraId="3F6BD6A6" w14:textId="7F7D7A56"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271686E8" w14:textId="1A4324FD"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1D720156" w14:textId="3FFD7308"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375" w:type="dxa"/>
          </w:tcPr>
          <w:p w14:paraId="55F6AF62" w14:textId="11067CA2"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39AA0A59" w14:textId="05F3FB32" w:rsidR="00F44A82" w:rsidRPr="00E27354" w:rsidRDefault="00F44A82" w:rsidP="00F44A82">
            <w:pPr>
              <w:pStyle w:val="Tabletext"/>
              <w:keepNext/>
              <w:keepLines/>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F44A82" w:rsidRPr="00E27354" w14:paraId="1E95A216" w14:textId="77777777" w:rsidTr="00EC1CB3">
        <w:tc>
          <w:tcPr>
            <w:tcW w:w="977" w:type="dxa"/>
          </w:tcPr>
          <w:p w14:paraId="6E34CF9F" w14:textId="60443E48" w:rsidR="00F44A82" w:rsidRPr="00E27354" w:rsidRDefault="00F44A82" w:rsidP="00F44A82">
            <w:pPr>
              <w:pStyle w:val="Tablehead"/>
              <w:spacing w:before="60"/>
              <w:rPr>
                <w:sz w:val="20"/>
              </w:rPr>
            </w:pPr>
            <w:r w:rsidRPr="00E27354">
              <w:rPr>
                <w:sz w:val="20"/>
              </w:rPr>
              <w:t>2/6</w:t>
            </w:r>
          </w:p>
        </w:tc>
        <w:tc>
          <w:tcPr>
            <w:tcW w:w="2800" w:type="dxa"/>
          </w:tcPr>
          <w:p w14:paraId="7B0DF713" w14:textId="351647E5" w:rsidR="00F44A82" w:rsidRPr="00E27354" w:rsidRDefault="00F44A82" w:rsidP="00F44A82">
            <w:pPr>
              <w:pStyle w:val="Tabletext"/>
              <w:rPr>
                <w:b/>
                <w:i/>
                <w:iCs/>
                <w:sz w:val="20"/>
              </w:rPr>
            </w:pPr>
            <w:r w:rsidRPr="00E27354">
              <w:rPr>
                <w:b/>
                <w:i/>
                <w:iCs/>
                <w:sz w:val="20"/>
              </w:rPr>
              <w:t>b)</w:t>
            </w:r>
            <w:r w:rsidRPr="00E27354">
              <w:rPr>
                <w:b/>
                <w:i/>
                <w:iCs/>
                <w:sz w:val="20"/>
              </w:rPr>
              <w:tab/>
              <w:t xml:space="preserve">par une exploitation </w:t>
            </w:r>
            <w:proofErr w:type="gramStart"/>
            <w:r w:rsidRPr="00E27354">
              <w:rPr>
                <w:b/>
                <w:i/>
                <w:iCs/>
                <w:sz w:val="20"/>
              </w:rPr>
              <w:t>autorisée;</w:t>
            </w:r>
            <w:proofErr w:type="gramEnd"/>
            <w:r w:rsidRPr="00E27354">
              <w:rPr>
                <w:b/>
                <w:i/>
                <w:iCs/>
                <w:sz w:val="20"/>
              </w:rPr>
              <w:t xml:space="preserve"> ou</w:t>
            </w:r>
          </w:p>
        </w:tc>
        <w:tc>
          <w:tcPr>
            <w:tcW w:w="3560" w:type="dxa"/>
          </w:tcPr>
          <w:p w14:paraId="61CC9EE5" w14:textId="32D0D9B5" w:rsidR="00F44A82" w:rsidRPr="00E27354" w:rsidRDefault="00F44A82" w:rsidP="00F44A82">
            <w:pPr>
              <w:pStyle w:val="Tabletext"/>
              <w:rPr>
                <w:i/>
                <w:iCs/>
                <w:sz w:val="20"/>
              </w:rPr>
            </w:pPr>
            <w:r w:rsidRPr="00E27354">
              <w:rPr>
                <w:i/>
                <w:iCs/>
                <w:sz w:val="20"/>
              </w:rPr>
              <w:t>b)</w:t>
            </w:r>
            <w:r w:rsidRPr="00E27354">
              <w:rPr>
                <w:sz w:val="20"/>
              </w:rPr>
              <w:tab/>
              <w:t xml:space="preserve">par une exploitation privée </w:t>
            </w:r>
            <w:proofErr w:type="gramStart"/>
            <w:r w:rsidRPr="00E27354">
              <w:rPr>
                <w:sz w:val="20"/>
              </w:rPr>
              <w:t>reconnue;</w:t>
            </w:r>
            <w:proofErr w:type="gramEnd"/>
            <w:r w:rsidRPr="00E27354">
              <w:rPr>
                <w:sz w:val="20"/>
              </w:rPr>
              <w:t xml:space="preserve"> ou</w:t>
            </w:r>
          </w:p>
        </w:tc>
        <w:tc>
          <w:tcPr>
            <w:tcW w:w="2911" w:type="dxa"/>
          </w:tcPr>
          <w:p w14:paraId="113CD377" w14:textId="1FEE3801"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6589467C" w14:textId="4C3B88BC"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01F88EF0" w14:textId="342E7092"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 xml:space="preserve">Appendice 2 doit être mis à jour afin de tenir compte des évolutions constatées dans la fourniture </w:t>
            </w:r>
            <w:r w:rsidRPr="00E27354">
              <w:rPr>
                <w:sz w:val="20"/>
              </w:rPr>
              <w:lastRenderedPageBreak/>
              <w:t>des services de télécommunication/TIC à l</w:t>
            </w:r>
            <w:r w:rsidR="00622BAC" w:rsidRPr="00E27354">
              <w:rPr>
                <w:sz w:val="20"/>
              </w:rPr>
              <w:t>'</w:t>
            </w:r>
            <w:r w:rsidRPr="00E27354">
              <w:rPr>
                <w:sz w:val="20"/>
              </w:rPr>
              <w:t>utilisateur final.</w:t>
            </w:r>
          </w:p>
        </w:tc>
        <w:tc>
          <w:tcPr>
            <w:tcW w:w="2554" w:type="dxa"/>
          </w:tcPr>
          <w:p w14:paraId="6B6C61BF" w14:textId="0E03DA86" w:rsidR="00F44A82" w:rsidRPr="00E27354" w:rsidRDefault="00F44A82" w:rsidP="00F44A82">
            <w:pPr>
              <w:pStyle w:val="Tabletext"/>
              <w:rPr>
                <w:sz w:val="20"/>
              </w:rPr>
            </w:pPr>
            <w:r w:rsidRPr="00E27354">
              <w:rPr>
                <w:sz w:val="20"/>
              </w:rPr>
              <w:lastRenderedPageBreak/>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37EECFC7" w14:textId="16BED290"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37903533" w14:textId="59AF9BBC"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 xml:space="preserve">Appendice 2 doit être mis à jour afin de tenir compte des évolutions constatées </w:t>
            </w:r>
            <w:r w:rsidRPr="00E27354">
              <w:rPr>
                <w:sz w:val="20"/>
              </w:rPr>
              <w:lastRenderedPageBreak/>
              <w:t>dans la fourniture des services de télécommunication/TIC à l</w:t>
            </w:r>
            <w:r w:rsidR="00622BAC" w:rsidRPr="00E27354">
              <w:rPr>
                <w:sz w:val="20"/>
              </w:rPr>
              <w:t>'</w:t>
            </w:r>
            <w:r w:rsidRPr="00E27354">
              <w:rPr>
                <w:sz w:val="20"/>
              </w:rPr>
              <w:t>utilisateur final.</w:t>
            </w:r>
          </w:p>
        </w:tc>
        <w:tc>
          <w:tcPr>
            <w:tcW w:w="2375" w:type="dxa"/>
          </w:tcPr>
          <w:p w14:paraId="77DB7F20" w14:textId="483942A9" w:rsidR="00F44A82" w:rsidRPr="00E27354" w:rsidRDefault="00F44A82" w:rsidP="00F44A82">
            <w:pPr>
              <w:pStyle w:val="Tabletext"/>
              <w:rPr>
                <w:sz w:val="20"/>
              </w:rPr>
            </w:pPr>
            <w:r w:rsidRPr="00E27354">
              <w:rPr>
                <w:sz w:val="20"/>
              </w:rPr>
              <w:lastRenderedPageBreak/>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3255BF38" w14:textId="595A0612"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F44A82" w:rsidRPr="00E27354" w14:paraId="31E552BF" w14:textId="77777777" w:rsidTr="00EC1CB3">
        <w:tc>
          <w:tcPr>
            <w:tcW w:w="977" w:type="dxa"/>
          </w:tcPr>
          <w:p w14:paraId="4496702D" w14:textId="102A0432" w:rsidR="00F44A82" w:rsidRPr="00E27354" w:rsidRDefault="00F44A82" w:rsidP="00F44A82">
            <w:pPr>
              <w:pStyle w:val="Tablehead"/>
              <w:spacing w:before="60"/>
              <w:rPr>
                <w:sz w:val="20"/>
              </w:rPr>
            </w:pPr>
            <w:r w:rsidRPr="00E27354">
              <w:rPr>
                <w:sz w:val="20"/>
              </w:rPr>
              <w:t>2/7</w:t>
            </w:r>
          </w:p>
        </w:tc>
        <w:tc>
          <w:tcPr>
            <w:tcW w:w="2800" w:type="dxa"/>
          </w:tcPr>
          <w:p w14:paraId="5A5A37ED" w14:textId="57A2E187" w:rsidR="00F44A82" w:rsidRPr="00E27354" w:rsidRDefault="00F44A82" w:rsidP="00F44A82">
            <w:pPr>
              <w:pStyle w:val="Tabletext"/>
              <w:rPr>
                <w:b/>
                <w:i/>
                <w:iCs/>
                <w:sz w:val="20"/>
              </w:rPr>
            </w:pPr>
            <w:r w:rsidRPr="00E27354">
              <w:rPr>
                <w:b/>
                <w:i/>
                <w:iCs/>
                <w:sz w:val="20"/>
              </w:rPr>
              <w:t>c)</w:t>
            </w:r>
            <w:r w:rsidRPr="00E27354">
              <w:rPr>
                <w:b/>
                <w:i/>
                <w:iCs/>
                <w:sz w:val="20"/>
              </w:rPr>
              <w:tab/>
              <w:t>par toute(s) autre(s) entité(s) désignée(s) à cet effet par l</w:t>
            </w:r>
            <w:r w:rsidR="00622BAC" w:rsidRPr="00E27354">
              <w:rPr>
                <w:b/>
                <w:i/>
                <w:iCs/>
                <w:sz w:val="20"/>
              </w:rPr>
              <w:t>'</w:t>
            </w:r>
            <w:r w:rsidRPr="00E27354">
              <w:rPr>
                <w:b/>
                <w:i/>
                <w:iCs/>
                <w:sz w:val="20"/>
              </w:rPr>
              <w:t>administration visée au point 2/5 (2.1 a)) ci</w:t>
            </w:r>
            <w:r w:rsidRPr="00E27354">
              <w:rPr>
                <w:b/>
                <w:i/>
                <w:iCs/>
                <w:sz w:val="20"/>
              </w:rPr>
              <w:noBreakHyphen/>
              <w:t>dessus.</w:t>
            </w:r>
          </w:p>
        </w:tc>
        <w:tc>
          <w:tcPr>
            <w:tcW w:w="3560" w:type="dxa"/>
          </w:tcPr>
          <w:p w14:paraId="5220672C" w14:textId="5043F914" w:rsidR="00F44A82" w:rsidRPr="00E27354" w:rsidRDefault="00F44A82" w:rsidP="00F44A82">
            <w:pPr>
              <w:pStyle w:val="Tabletext"/>
              <w:rPr>
                <w:i/>
                <w:iCs/>
                <w:sz w:val="20"/>
              </w:rPr>
            </w:pPr>
            <w:r w:rsidRPr="00E27354">
              <w:rPr>
                <w:i/>
                <w:iCs/>
                <w:sz w:val="20"/>
              </w:rPr>
              <w:t>c)</w:t>
            </w:r>
            <w:r w:rsidRPr="00E27354">
              <w:rPr>
                <w:sz w:val="20"/>
              </w:rPr>
              <w:tab/>
              <w:t>par tout autre organisme ou organismes désignés à cet effet par l</w:t>
            </w:r>
            <w:r w:rsidR="00622BAC" w:rsidRPr="00E27354">
              <w:rPr>
                <w:sz w:val="20"/>
              </w:rPr>
              <w:t>'</w:t>
            </w:r>
            <w:r w:rsidRPr="00E27354">
              <w:rPr>
                <w:sz w:val="20"/>
              </w:rPr>
              <w:t>administration mentionnée dans le point a) ci</w:t>
            </w:r>
            <w:r w:rsidRPr="00E27354">
              <w:rPr>
                <w:sz w:val="20"/>
              </w:rPr>
              <w:noBreakHyphen/>
              <w:t>dessus.</w:t>
            </w:r>
          </w:p>
        </w:tc>
        <w:tc>
          <w:tcPr>
            <w:tcW w:w="2911" w:type="dxa"/>
          </w:tcPr>
          <w:p w14:paraId="4A3D1063" w14:textId="413B733E"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23AA9490" w14:textId="59CD2675"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4022E84A" w14:textId="670904DB"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554" w:type="dxa"/>
          </w:tcPr>
          <w:p w14:paraId="69F08F54" w14:textId="40A535DC"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4CB772CA" w14:textId="127CDF4D"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1636288A" w14:textId="72B9D439"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375" w:type="dxa"/>
          </w:tcPr>
          <w:p w14:paraId="1AB9F3CD" w14:textId="0F488866"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36BDFED0" w14:textId="682F95EF"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F44A82" w:rsidRPr="00E27354" w14:paraId="24D9BC72" w14:textId="77777777" w:rsidTr="00EC1CB3">
        <w:tc>
          <w:tcPr>
            <w:tcW w:w="977" w:type="dxa"/>
          </w:tcPr>
          <w:p w14:paraId="41D28D8F" w14:textId="4F1EEB87" w:rsidR="00F44A82" w:rsidRPr="00E27354" w:rsidRDefault="00F44A82" w:rsidP="00F44A82">
            <w:pPr>
              <w:pStyle w:val="Tablehead"/>
              <w:spacing w:before="60"/>
              <w:rPr>
                <w:sz w:val="20"/>
              </w:rPr>
            </w:pPr>
            <w:r w:rsidRPr="00E27354">
              <w:rPr>
                <w:sz w:val="20"/>
              </w:rPr>
              <w:t>2/8</w:t>
            </w:r>
          </w:p>
        </w:tc>
        <w:tc>
          <w:tcPr>
            <w:tcW w:w="2800" w:type="dxa"/>
          </w:tcPr>
          <w:p w14:paraId="458D7ED7" w14:textId="653DB5B1" w:rsidR="00F44A82" w:rsidRPr="00E27354" w:rsidRDefault="00F44A82" w:rsidP="00F44A82">
            <w:pPr>
              <w:pStyle w:val="Tabletext"/>
              <w:rPr>
                <w:b/>
                <w:i/>
                <w:iCs/>
                <w:sz w:val="20"/>
              </w:rPr>
            </w:pPr>
            <w:r w:rsidRPr="00E27354">
              <w:rPr>
                <w:b/>
                <w:sz w:val="20"/>
              </w:rPr>
              <w:t>2.2</w:t>
            </w:r>
            <w:r w:rsidRPr="00E27354">
              <w:rPr>
                <w:b/>
                <w:sz w:val="20"/>
              </w:rPr>
              <w:tab/>
              <w:t>Dans le présent Appendice, l</w:t>
            </w:r>
            <w:r w:rsidR="00622BAC" w:rsidRPr="00E27354">
              <w:rPr>
                <w:b/>
                <w:sz w:val="20"/>
              </w:rPr>
              <w:t>'</w:t>
            </w:r>
            <w:r w:rsidRPr="00E27354">
              <w:rPr>
                <w:b/>
                <w:sz w:val="20"/>
              </w:rPr>
              <w:t>administration ou l</w:t>
            </w:r>
            <w:r w:rsidR="00622BAC" w:rsidRPr="00E27354">
              <w:rPr>
                <w:b/>
                <w:sz w:val="20"/>
              </w:rPr>
              <w:t>'</w:t>
            </w:r>
            <w:r w:rsidRPr="00E27354">
              <w:rPr>
                <w:b/>
                <w:sz w:val="20"/>
              </w:rPr>
              <w:t>exploitation autorisée ou encore la ou les entités désignées, telles qu</w:t>
            </w:r>
            <w:r w:rsidR="00622BAC" w:rsidRPr="00E27354">
              <w:rPr>
                <w:b/>
                <w:sz w:val="20"/>
              </w:rPr>
              <w:t>'</w:t>
            </w:r>
            <w:r w:rsidRPr="00E27354">
              <w:rPr>
                <w:b/>
                <w:sz w:val="20"/>
              </w:rPr>
              <w:t>elles sont énumérées dans le paragraphe 2.1 ci</w:t>
            </w:r>
            <w:r w:rsidRPr="00E27354">
              <w:rPr>
                <w:b/>
                <w:sz w:val="20"/>
              </w:rPr>
              <w:noBreakHyphen/>
              <w:t>dessus, sont dénommées "autorité chargée de la comptabilité".</w:t>
            </w:r>
          </w:p>
        </w:tc>
        <w:tc>
          <w:tcPr>
            <w:tcW w:w="3560" w:type="dxa"/>
          </w:tcPr>
          <w:p w14:paraId="6047DA6A" w14:textId="5A405DDC" w:rsidR="00F44A82" w:rsidRPr="00E27354" w:rsidRDefault="00F44A82" w:rsidP="00F44A82">
            <w:pPr>
              <w:pStyle w:val="Tabletext"/>
              <w:rPr>
                <w:i/>
                <w:iCs/>
                <w:sz w:val="20"/>
              </w:rPr>
            </w:pPr>
            <w:r w:rsidRPr="00E27354">
              <w:rPr>
                <w:sz w:val="20"/>
              </w:rPr>
              <w:t>2.2</w:t>
            </w:r>
            <w:r w:rsidRPr="00E27354">
              <w:rPr>
                <w:sz w:val="20"/>
              </w:rPr>
              <w:tab/>
              <w:t>Dans le présent Appendice, l</w:t>
            </w:r>
            <w:r w:rsidR="00622BAC" w:rsidRPr="00E27354">
              <w:rPr>
                <w:sz w:val="20"/>
              </w:rPr>
              <w:t>'</w:t>
            </w:r>
            <w:r w:rsidRPr="00E27354">
              <w:rPr>
                <w:sz w:val="20"/>
              </w:rPr>
              <w:t>administration ou l</w:t>
            </w:r>
            <w:r w:rsidR="00622BAC" w:rsidRPr="00E27354">
              <w:rPr>
                <w:sz w:val="20"/>
              </w:rPr>
              <w:t>'</w:t>
            </w:r>
            <w:r w:rsidRPr="00E27354">
              <w:rPr>
                <w:sz w:val="20"/>
              </w:rPr>
              <w:t>exploitation privée reconnue ou encore l</w:t>
            </w:r>
            <w:r w:rsidR="00622BAC" w:rsidRPr="00E27354">
              <w:rPr>
                <w:sz w:val="20"/>
              </w:rPr>
              <w:t>'</w:t>
            </w:r>
            <w:r w:rsidRPr="00E27354">
              <w:rPr>
                <w:sz w:val="20"/>
              </w:rPr>
              <w:t>organisme désigné tels qu</w:t>
            </w:r>
            <w:r w:rsidR="00622BAC" w:rsidRPr="00E27354">
              <w:rPr>
                <w:sz w:val="20"/>
              </w:rPr>
              <w:t>'</w:t>
            </w:r>
            <w:r w:rsidRPr="00E27354">
              <w:rPr>
                <w:sz w:val="20"/>
              </w:rPr>
              <w:t>ils sont énumérés dans le paragraphe 2.1, sont dénommés "autorité chargée de la comptabilité".</w:t>
            </w:r>
          </w:p>
        </w:tc>
        <w:tc>
          <w:tcPr>
            <w:tcW w:w="2911" w:type="dxa"/>
          </w:tcPr>
          <w:p w14:paraId="26D8CE7A" w14:textId="563279A7"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6675F5AF" w14:textId="7D832989"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3F930C52" w14:textId="0A7698A3"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 xml:space="preserve">Appendice 2 doit être mis à jour afin de tenir </w:t>
            </w:r>
            <w:r w:rsidRPr="00E27354">
              <w:rPr>
                <w:sz w:val="20"/>
              </w:rPr>
              <w:lastRenderedPageBreak/>
              <w:t>compte des évolutions constatées dans la fourniture des services de télécommunication/TIC à l</w:t>
            </w:r>
            <w:r w:rsidR="00622BAC" w:rsidRPr="00E27354">
              <w:rPr>
                <w:sz w:val="20"/>
              </w:rPr>
              <w:t>'</w:t>
            </w:r>
            <w:r w:rsidRPr="00E27354">
              <w:rPr>
                <w:sz w:val="20"/>
              </w:rPr>
              <w:t>utilisateur final.</w:t>
            </w:r>
          </w:p>
        </w:tc>
        <w:tc>
          <w:tcPr>
            <w:tcW w:w="2554" w:type="dxa"/>
          </w:tcPr>
          <w:p w14:paraId="1D2E03AD" w14:textId="3C88C134" w:rsidR="00F44A82" w:rsidRPr="00E27354" w:rsidRDefault="00F44A82" w:rsidP="00F44A82">
            <w:pPr>
              <w:pStyle w:val="Tabletext"/>
              <w:rPr>
                <w:sz w:val="20"/>
              </w:rPr>
            </w:pPr>
            <w:r w:rsidRPr="00E27354">
              <w:rPr>
                <w:sz w:val="20"/>
              </w:rPr>
              <w:lastRenderedPageBreak/>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094FC5B7" w14:textId="076C6CE3"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074C6A47" w14:textId="7E1FFF40"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 xml:space="preserve">Appendice 2 doit être mis à </w:t>
            </w:r>
            <w:r w:rsidRPr="00E27354">
              <w:rPr>
                <w:sz w:val="20"/>
              </w:rPr>
              <w:lastRenderedPageBreak/>
              <w:t>jour afin de tenir compte des évolutions constatées dans la fourniture des services de télécommunication/TIC à l</w:t>
            </w:r>
            <w:r w:rsidR="00622BAC" w:rsidRPr="00E27354">
              <w:rPr>
                <w:sz w:val="20"/>
              </w:rPr>
              <w:t>'</w:t>
            </w:r>
            <w:r w:rsidRPr="00E27354">
              <w:rPr>
                <w:sz w:val="20"/>
              </w:rPr>
              <w:t>utilisateur final.</w:t>
            </w:r>
          </w:p>
        </w:tc>
        <w:tc>
          <w:tcPr>
            <w:tcW w:w="2375" w:type="dxa"/>
          </w:tcPr>
          <w:p w14:paraId="1A802F0D" w14:textId="6460E301" w:rsidR="00F44A82" w:rsidRPr="00E27354" w:rsidRDefault="00F44A82" w:rsidP="00F44A82">
            <w:pPr>
              <w:pStyle w:val="Tabletext"/>
              <w:rPr>
                <w:sz w:val="20"/>
              </w:rPr>
            </w:pPr>
            <w:r w:rsidRPr="00E27354">
              <w:rPr>
                <w:sz w:val="20"/>
              </w:rPr>
              <w:lastRenderedPageBreak/>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1995DA05" w14:textId="00C124E3"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 xml:space="preserve">elle </w:t>
            </w:r>
            <w:r w:rsidRPr="00E27354">
              <w:rPr>
                <w:sz w:val="20"/>
              </w:rPr>
              <w:lastRenderedPageBreak/>
              <w:t>n</w:t>
            </w:r>
            <w:r w:rsidR="00622BAC" w:rsidRPr="00E27354">
              <w:rPr>
                <w:sz w:val="20"/>
              </w:rPr>
              <w:t>'</w:t>
            </w:r>
            <w:r w:rsidRPr="00E27354">
              <w:rPr>
                <w:sz w:val="20"/>
              </w:rPr>
              <w:t>est plus applicable ni souple.</w:t>
            </w:r>
          </w:p>
        </w:tc>
      </w:tr>
      <w:tr w:rsidR="00F44A82" w:rsidRPr="00E27354" w14:paraId="075C698B" w14:textId="77777777" w:rsidTr="00EC1CB3">
        <w:tc>
          <w:tcPr>
            <w:tcW w:w="977" w:type="dxa"/>
          </w:tcPr>
          <w:p w14:paraId="0D60D416" w14:textId="7EE44A73" w:rsidR="00F44A82" w:rsidRPr="00E27354" w:rsidRDefault="00F44A82" w:rsidP="00F44A82">
            <w:pPr>
              <w:pStyle w:val="Tablehead"/>
              <w:spacing w:before="60"/>
              <w:rPr>
                <w:sz w:val="20"/>
              </w:rPr>
            </w:pPr>
            <w:r w:rsidRPr="00E27354">
              <w:rPr>
                <w:sz w:val="20"/>
              </w:rPr>
              <w:lastRenderedPageBreak/>
              <w:t>2/9</w:t>
            </w:r>
          </w:p>
        </w:tc>
        <w:tc>
          <w:tcPr>
            <w:tcW w:w="2800" w:type="dxa"/>
          </w:tcPr>
          <w:p w14:paraId="56B4FE39" w14:textId="2670A858" w:rsidR="00F44A82" w:rsidRPr="00E27354" w:rsidRDefault="00F44A82" w:rsidP="00F44A82">
            <w:pPr>
              <w:pStyle w:val="Tabletext"/>
              <w:rPr>
                <w:b/>
                <w:sz w:val="20"/>
              </w:rPr>
            </w:pPr>
            <w:r w:rsidRPr="00E27354">
              <w:rPr>
                <w:b/>
                <w:sz w:val="20"/>
              </w:rPr>
              <w:t>2.3</w:t>
            </w:r>
            <w:r w:rsidRPr="00E27354">
              <w:rPr>
                <w:b/>
                <w:sz w:val="20"/>
              </w:rPr>
              <w:tab/>
              <w:t>Les références à l</w:t>
            </w:r>
            <w:r w:rsidR="00622BAC" w:rsidRPr="00E27354">
              <w:rPr>
                <w:b/>
                <w:sz w:val="20"/>
              </w:rPr>
              <w:t>'</w:t>
            </w:r>
            <w:r w:rsidRPr="00E27354">
              <w:rPr>
                <w:b/>
                <w:sz w:val="20"/>
              </w:rPr>
              <w:t>exploitation autorisée figurant dans l</w:t>
            </w:r>
            <w:r w:rsidR="00622BAC" w:rsidRPr="00E27354">
              <w:rPr>
                <w:b/>
                <w:sz w:val="20"/>
              </w:rPr>
              <w:t>'</w:t>
            </w:r>
            <w:r w:rsidRPr="00E27354">
              <w:rPr>
                <w:b/>
                <w:sz w:val="20"/>
              </w:rPr>
              <w:t>Article 8 et dans l</w:t>
            </w:r>
            <w:r w:rsidR="00622BAC" w:rsidRPr="00E27354">
              <w:rPr>
                <w:b/>
                <w:sz w:val="20"/>
              </w:rPr>
              <w:t>'</w:t>
            </w:r>
            <w:r w:rsidRPr="00E27354">
              <w:rPr>
                <w:b/>
                <w:sz w:val="20"/>
              </w:rPr>
              <w:t>Appendice 1 doivent se lire "autorité chargée de la comptabilité" lors de l</w:t>
            </w:r>
            <w:r w:rsidR="00622BAC" w:rsidRPr="00E27354">
              <w:rPr>
                <w:b/>
                <w:sz w:val="20"/>
              </w:rPr>
              <w:t>'</w:t>
            </w:r>
            <w:r w:rsidRPr="00E27354">
              <w:rPr>
                <w:b/>
                <w:sz w:val="20"/>
              </w:rPr>
              <w:t>application aux télécommunications maritimes des dispositions de l</w:t>
            </w:r>
            <w:r w:rsidR="00622BAC" w:rsidRPr="00E27354">
              <w:rPr>
                <w:b/>
                <w:sz w:val="20"/>
              </w:rPr>
              <w:t>'</w:t>
            </w:r>
            <w:r w:rsidRPr="00E27354">
              <w:rPr>
                <w:b/>
                <w:sz w:val="20"/>
              </w:rPr>
              <w:t>Article 6 et de l</w:t>
            </w:r>
            <w:r w:rsidR="00622BAC" w:rsidRPr="00E27354">
              <w:rPr>
                <w:b/>
                <w:sz w:val="20"/>
              </w:rPr>
              <w:t>'</w:t>
            </w:r>
            <w:r w:rsidRPr="00E27354">
              <w:rPr>
                <w:b/>
                <w:sz w:val="20"/>
              </w:rPr>
              <w:t>Appendice 1.</w:t>
            </w:r>
          </w:p>
        </w:tc>
        <w:tc>
          <w:tcPr>
            <w:tcW w:w="3560" w:type="dxa"/>
          </w:tcPr>
          <w:p w14:paraId="3E97CDE2" w14:textId="28EF48DC" w:rsidR="00F44A82" w:rsidRPr="00E27354" w:rsidRDefault="00F44A82" w:rsidP="00F44A82">
            <w:pPr>
              <w:pStyle w:val="Tabletext"/>
              <w:rPr>
                <w:sz w:val="20"/>
              </w:rPr>
            </w:pPr>
            <w:r w:rsidRPr="00E27354">
              <w:rPr>
                <w:sz w:val="20"/>
              </w:rPr>
              <w:t>2.3</w:t>
            </w:r>
            <w:r w:rsidRPr="00E27354">
              <w:rPr>
                <w:sz w:val="20"/>
              </w:rPr>
              <w:tab/>
              <w:t>Les références à l</w:t>
            </w:r>
            <w:r w:rsidR="00622BAC" w:rsidRPr="00E27354">
              <w:rPr>
                <w:sz w:val="20"/>
              </w:rPr>
              <w:t>'</w:t>
            </w:r>
            <w:r w:rsidRPr="00E27354">
              <w:rPr>
                <w:sz w:val="20"/>
              </w:rPr>
              <w:t>administration</w:t>
            </w:r>
            <w:r w:rsidRPr="00E27354">
              <w:rPr>
                <w:sz w:val="20"/>
              </w:rPr>
              <w:fldChar w:fldCharType="begin"/>
            </w:r>
            <w:r w:rsidRPr="00E27354">
              <w:rPr>
                <w:sz w:val="20"/>
              </w:rPr>
              <w:instrText xml:space="preserve"> NOTEREF _Ref319329538 \f  \* MERGEFORMAT </w:instrText>
            </w:r>
            <w:r w:rsidRPr="00E27354">
              <w:rPr>
                <w:sz w:val="20"/>
              </w:rPr>
              <w:fldChar w:fldCharType="separate"/>
            </w:r>
            <w:r w:rsidRPr="00E27354">
              <w:rPr>
                <w:sz w:val="20"/>
              </w:rPr>
              <w:t>*</w:t>
            </w:r>
            <w:r w:rsidRPr="00E27354">
              <w:rPr>
                <w:sz w:val="20"/>
              </w:rPr>
              <w:fldChar w:fldCharType="end"/>
            </w:r>
            <w:r w:rsidRPr="00E27354">
              <w:rPr>
                <w:sz w:val="20"/>
              </w:rPr>
              <w:t xml:space="preserve"> figurant dans l</w:t>
            </w:r>
            <w:r w:rsidR="00622BAC" w:rsidRPr="00E27354">
              <w:rPr>
                <w:sz w:val="20"/>
              </w:rPr>
              <w:t>'</w:t>
            </w:r>
            <w:r w:rsidRPr="00E27354">
              <w:rPr>
                <w:sz w:val="20"/>
              </w:rPr>
              <w:t>Article 6 et dans l</w:t>
            </w:r>
            <w:r w:rsidR="00622BAC" w:rsidRPr="00E27354">
              <w:rPr>
                <w:sz w:val="20"/>
              </w:rPr>
              <w:t>'</w:t>
            </w:r>
            <w:r w:rsidRPr="00E27354">
              <w:rPr>
                <w:sz w:val="20"/>
              </w:rPr>
              <w:t>Appendice 1 doivent se lire "autorité chargée de la comptabilité" lors de l</w:t>
            </w:r>
            <w:r w:rsidR="00622BAC" w:rsidRPr="00E27354">
              <w:rPr>
                <w:sz w:val="20"/>
              </w:rPr>
              <w:t>'</w:t>
            </w:r>
            <w:r w:rsidRPr="00E27354">
              <w:rPr>
                <w:sz w:val="20"/>
              </w:rPr>
              <w:t>application aux télécommunications maritimes des dispositions de l</w:t>
            </w:r>
            <w:r w:rsidR="00622BAC" w:rsidRPr="00E27354">
              <w:rPr>
                <w:sz w:val="20"/>
              </w:rPr>
              <w:t>'</w:t>
            </w:r>
            <w:r w:rsidRPr="00E27354">
              <w:rPr>
                <w:sz w:val="20"/>
              </w:rPr>
              <w:t>Article 6 et de l</w:t>
            </w:r>
            <w:r w:rsidR="00622BAC" w:rsidRPr="00E27354">
              <w:rPr>
                <w:sz w:val="20"/>
              </w:rPr>
              <w:t>'</w:t>
            </w:r>
            <w:r w:rsidRPr="00E27354">
              <w:rPr>
                <w:sz w:val="20"/>
              </w:rPr>
              <w:t>Appendice 1 précités.</w:t>
            </w:r>
          </w:p>
          <w:p w14:paraId="7889AD51" w14:textId="6AD227D7" w:rsidR="00F44A82" w:rsidRPr="00E27354" w:rsidRDefault="006B3E22" w:rsidP="007711C6">
            <w:pPr>
              <w:pStyle w:val="Tabletext"/>
              <w:tabs>
                <w:tab w:val="left" w:pos="321"/>
              </w:tabs>
              <w:rPr>
                <w:sz w:val="20"/>
              </w:rPr>
            </w:pPr>
            <w:r w:rsidRPr="00E27354">
              <w:rPr>
                <w:sz w:val="20"/>
              </w:rPr>
              <w:t>*</w:t>
            </w:r>
            <w:r w:rsidR="00F44A82" w:rsidRPr="00E27354">
              <w:rPr>
                <w:sz w:val="20"/>
              </w:rPr>
              <w:tab/>
              <w:t>ou exploitation(s) privée(s) reconnue(s).</w:t>
            </w:r>
          </w:p>
        </w:tc>
        <w:tc>
          <w:tcPr>
            <w:tcW w:w="2911" w:type="dxa"/>
          </w:tcPr>
          <w:p w14:paraId="2C825FA3" w14:textId="1F120E7C"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209BACFC" w14:textId="32F7439A"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54CAE9BF" w14:textId="2E884197"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554" w:type="dxa"/>
          </w:tcPr>
          <w:p w14:paraId="431F3174" w14:textId="5A5C2EBA"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1EB90576" w14:textId="7B2061DC"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07761ED4" w14:textId="57D76E4E"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375" w:type="dxa"/>
          </w:tcPr>
          <w:p w14:paraId="61BD08DC" w14:textId="00D84967"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598967B5" w14:textId="419C4103"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F44A82" w:rsidRPr="00E27354" w14:paraId="3956D009" w14:textId="77777777" w:rsidTr="00EC1CB3">
        <w:tc>
          <w:tcPr>
            <w:tcW w:w="977" w:type="dxa"/>
          </w:tcPr>
          <w:p w14:paraId="0E9D3D7E" w14:textId="3635E151" w:rsidR="00F44A82" w:rsidRPr="00E27354" w:rsidRDefault="00F44A82" w:rsidP="00F44A82">
            <w:pPr>
              <w:pStyle w:val="Tablehead"/>
              <w:spacing w:before="60"/>
              <w:rPr>
                <w:sz w:val="20"/>
              </w:rPr>
            </w:pPr>
            <w:r w:rsidRPr="00E27354">
              <w:rPr>
                <w:sz w:val="20"/>
              </w:rPr>
              <w:t>2/10</w:t>
            </w:r>
          </w:p>
        </w:tc>
        <w:tc>
          <w:tcPr>
            <w:tcW w:w="2800" w:type="dxa"/>
          </w:tcPr>
          <w:p w14:paraId="414CC9A3" w14:textId="0ABDB4D4" w:rsidR="00F44A82" w:rsidRPr="00E27354" w:rsidRDefault="00F44A82" w:rsidP="00F44A82">
            <w:pPr>
              <w:pStyle w:val="Tabletext"/>
              <w:rPr>
                <w:b/>
                <w:sz w:val="20"/>
              </w:rPr>
            </w:pPr>
            <w:r w:rsidRPr="00E27354">
              <w:rPr>
                <w:b/>
                <w:sz w:val="20"/>
              </w:rPr>
              <w:t>2.4</w:t>
            </w:r>
            <w:r w:rsidRPr="00E27354">
              <w:rPr>
                <w:b/>
                <w:sz w:val="20"/>
              </w:rPr>
              <w:tab/>
              <w:t>Les Etats Membres doivent désigner leur autorité ou leurs autorités chargées de la comptabilité pour l</w:t>
            </w:r>
            <w:r w:rsidR="00622BAC" w:rsidRPr="00E27354">
              <w:rPr>
                <w:b/>
                <w:sz w:val="20"/>
              </w:rPr>
              <w:t>'</w:t>
            </w:r>
            <w:r w:rsidRPr="00E27354">
              <w:rPr>
                <w:b/>
                <w:sz w:val="20"/>
              </w:rPr>
              <w:t>application du présent Appendice et notifier au Secrétaire général le nom, le code d</w:t>
            </w:r>
            <w:r w:rsidR="00622BAC" w:rsidRPr="00E27354">
              <w:rPr>
                <w:b/>
                <w:sz w:val="20"/>
              </w:rPr>
              <w:t>'</w:t>
            </w:r>
            <w:r w:rsidRPr="00E27354">
              <w:rPr>
                <w:b/>
                <w:sz w:val="20"/>
              </w:rPr>
              <w:t>identification et l</w:t>
            </w:r>
            <w:r w:rsidR="00622BAC" w:rsidRPr="00E27354">
              <w:rPr>
                <w:b/>
                <w:sz w:val="20"/>
              </w:rPr>
              <w:t>'</w:t>
            </w:r>
            <w:r w:rsidRPr="00E27354">
              <w:rPr>
                <w:b/>
                <w:sz w:val="20"/>
              </w:rPr>
              <w:t xml:space="preserve">adresse de ces autorités, en </w:t>
            </w:r>
            <w:r w:rsidRPr="00E27354">
              <w:rPr>
                <w:b/>
                <w:sz w:val="20"/>
              </w:rPr>
              <w:lastRenderedPageBreak/>
              <w:t>vue de leur publication dans la Nomenclature des stations de navire et des identités du service mobile maritime assignées. Le nombre de ces noms et adresses doit être réduit, compte tenu des Recommandations UIT-T pertinentes.</w:t>
            </w:r>
          </w:p>
        </w:tc>
        <w:tc>
          <w:tcPr>
            <w:tcW w:w="3560" w:type="dxa"/>
          </w:tcPr>
          <w:p w14:paraId="39E05B44" w14:textId="0CA3B8EF" w:rsidR="00F44A82" w:rsidRPr="00E27354" w:rsidRDefault="00F44A82" w:rsidP="00F44A82">
            <w:pPr>
              <w:pStyle w:val="Tabletext"/>
              <w:rPr>
                <w:sz w:val="20"/>
              </w:rPr>
            </w:pPr>
            <w:r w:rsidRPr="00E27354">
              <w:rPr>
                <w:sz w:val="20"/>
              </w:rPr>
              <w:lastRenderedPageBreak/>
              <w:t>2.4</w:t>
            </w:r>
            <w:r w:rsidRPr="00E27354">
              <w:rPr>
                <w:sz w:val="20"/>
              </w:rPr>
              <w:tab/>
              <w:t>Les Membres doivent désigner leur autorité ou leurs autorités chargées de la comptabilité pour l</w:t>
            </w:r>
            <w:r w:rsidR="00622BAC" w:rsidRPr="00E27354">
              <w:rPr>
                <w:sz w:val="20"/>
              </w:rPr>
              <w:t>'</w:t>
            </w:r>
            <w:r w:rsidRPr="00E27354">
              <w:rPr>
                <w:sz w:val="20"/>
              </w:rPr>
              <w:t>application du présent Appendice et notifier au Secrétaire général le nom, le code d</w:t>
            </w:r>
            <w:r w:rsidR="00622BAC" w:rsidRPr="00E27354">
              <w:rPr>
                <w:sz w:val="20"/>
              </w:rPr>
              <w:t>'</w:t>
            </w:r>
            <w:r w:rsidRPr="00E27354">
              <w:rPr>
                <w:sz w:val="20"/>
              </w:rPr>
              <w:t>identification et l</w:t>
            </w:r>
            <w:r w:rsidR="00622BAC" w:rsidRPr="00E27354">
              <w:rPr>
                <w:sz w:val="20"/>
              </w:rPr>
              <w:t>'</w:t>
            </w:r>
            <w:r w:rsidRPr="00E27354">
              <w:rPr>
                <w:sz w:val="20"/>
              </w:rPr>
              <w:t xml:space="preserve">adresse de ces autorités, en vue de leur publication dans la Nomenclature des stations de </w:t>
            </w:r>
            <w:proofErr w:type="gramStart"/>
            <w:r w:rsidRPr="00E27354">
              <w:rPr>
                <w:sz w:val="20"/>
              </w:rPr>
              <w:t>navire;</w:t>
            </w:r>
            <w:proofErr w:type="gramEnd"/>
            <w:r w:rsidRPr="00E27354">
              <w:rPr>
                <w:sz w:val="20"/>
              </w:rPr>
              <w:t xml:space="preserve"> le nombre de ces noms et </w:t>
            </w:r>
            <w:r w:rsidRPr="00E27354">
              <w:rPr>
                <w:sz w:val="20"/>
              </w:rPr>
              <w:lastRenderedPageBreak/>
              <w:t>adresses doit être réduit compte tenu des</w:t>
            </w:r>
            <w:r w:rsidR="007711C6">
              <w:rPr>
                <w:sz w:val="20"/>
              </w:rPr>
              <w:t xml:space="preserve"> Recommandations pertinentes du </w:t>
            </w:r>
            <w:r w:rsidRPr="00E27354">
              <w:rPr>
                <w:sz w:val="20"/>
              </w:rPr>
              <w:t>CCITT.</w:t>
            </w:r>
          </w:p>
        </w:tc>
        <w:tc>
          <w:tcPr>
            <w:tcW w:w="2911" w:type="dxa"/>
          </w:tcPr>
          <w:p w14:paraId="5E520A8C" w14:textId="57ADF808" w:rsidR="00F44A82" w:rsidRPr="00E27354" w:rsidRDefault="00F44A82" w:rsidP="00F44A82">
            <w:pPr>
              <w:pStyle w:val="Tabletext"/>
              <w:rPr>
                <w:sz w:val="20"/>
              </w:rPr>
            </w:pPr>
            <w:r w:rsidRPr="00E27354">
              <w:rPr>
                <w:sz w:val="20"/>
              </w:rPr>
              <w:lastRenderedPageBreak/>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0C6B80D1" w14:textId="40E158DA"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6F1A0C81" w14:textId="1A526CA6" w:rsidR="00F44A82" w:rsidRPr="00E27354" w:rsidRDefault="00F44A82" w:rsidP="00F44A82">
            <w:pPr>
              <w:pStyle w:val="Tabletext"/>
              <w:rPr>
                <w:sz w:val="20"/>
              </w:rPr>
            </w:pPr>
            <w:r w:rsidRPr="00E27354">
              <w:rPr>
                <w:sz w:val="20"/>
              </w:rPr>
              <w:lastRenderedPageBreak/>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554" w:type="dxa"/>
          </w:tcPr>
          <w:p w14:paraId="2285BDA9" w14:textId="4E0973E5" w:rsidR="00F44A82" w:rsidRPr="00E27354" w:rsidRDefault="00F44A82" w:rsidP="00F44A82">
            <w:pPr>
              <w:pStyle w:val="Tabletext"/>
              <w:rPr>
                <w:sz w:val="20"/>
              </w:rPr>
            </w:pPr>
            <w:r w:rsidRPr="00E27354">
              <w:rPr>
                <w:sz w:val="20"/>
              </w:rPr>
              <w:lastRenderedPageBreak/>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7FC9B077" w14:textId="7E0ACCFD"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555E91AB" w14:textId="7736EE2E" w:rsidR="00F44A82" w:rsidRPr="00E27354" w:rsidRDefault="00F44A82" w:rsidP="00F44A82">
            <w:pPr>
              <w:pStyle w:val="Tabletext"/>
              <w:rPr>
                <w:sz w:val="20"/>
              </w:rPr>
            </w:pPr>
            <w:r w:rsidRPr="00E27354">
              <w:rPr>
                <w:sz w:val="20"/>
              </w:rPr>
              <w:lastRenderedPageBreak/>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375" w:type="dxa"/>
          </w:tcPr>
          <w:p w14:paraId="169B953E" w14:textId="056FC00B" w:rsidR="00F44A82" w:rsidRPr="00E27354" w:rsidRDefault="00F44A82" w:rsidP="00F44A82">
            <w:pPr>
              <w:pStyle w:val="Tabletext"/>
              <w:rPr>
                <w:sz w:val="20"/>
              </w:rPr>
            </w:pPr>
            <w:r w:rsidRPr="00E27354">
              <w:rPr>
                <w:sz w:val="20"/>
              </w:rPr>
              <w:lastRenderedPageBreak/>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28074109" w14:textId="0660D131"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 xml:space="preserve">est pas </w:t>
            </w:r>
            <w:r w:rsidRPr="00E27354">
              <w:rPr>
                <w:sz w:val="20"/>
              </w:rPr>
              <w:lastRenderedPageBreak/>
              <w:t>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F44A82" w:rsidRPr="00E27354" w14:paraId="1671F84D" w14:textId="77777777" w:rsidTr="00EC1CB3">
        <w:tc>
          <w:tcPr>
            <w:tcW w:w="977" w:type="dxa"/>
          </w:tcPr>
          <w:p w14:paraId="4B736E63" w14:textId="0CECDE25" w:rsidR="00F44A82" w:rsidRPr="00E27354" w:rsidRDefault="00F44A82" w:rsidP="00F44A82">
            <w:pPr>
              <w:pStyle w:val="Tablehead"/>
              <w:spacing w:before="60"/>
              <w:rPr>
                <w:sz w:val="20"/>
              </w:rPr>
            </w:pPr>
            <w:r w:rsidRPr="00E27354">
              <w:rPr>
                <w:sz w:val="20"/>
              </w:rPr>
              <w:lastRenderedPageBreak/>
              <w:t>2/11</w:t>
            </w:r>
          </w:p>
        </w:tc>
        <w:tc>
          <w:tcPr>
            <w:tcW w:w="2800" w:type="dxa"/>
          </w:tcPr>
          <w:p w14:paraId="265EA5FE" w14:textId="3E0D944E" w:rsidR="00F44A82" w:rsidRPr="00E27354" w:rsidRDefault="00F44A82" w:rsidP="007711C6">
            <w:pPr>
              <w:pStyle w:val="Tabletext"/>
              <w:rPr>
                <w:b/>
                <w:sz w:val="20"/>
              </w:rPr>
            </w:pPr>
            <w:r w:rsidRPr="00E27354">
              <w:rPr>
                <w:b/>
                <w:sz w:val="20"/>
              </w:rPr>
              <w:t>3</w:t>
            </w:r>
            <w:r w:rsidRPr="00E27354">
              <w:rPr>
                <w:b/>
                <w:sz w:val="20"/>
              </w:rPr>
              <w:tab/>
            </w:r>
            <w:r w:rsidR="007711C6" w:rsidRPr="007711C6">
              <w:rPr>
                <w:b/>
                <w:caps/>
                <w:sz w:val="20"/>
              </w:rPr>
              <w:t>é</w:t>
            </w:r>
            <w:r w:rsidRPr="00E27354">
              <w:rPr>
                <w:b/>
                <w:sz w:val="20"/>
              </w:rPr>
              <w:t>tablissement des comptes</w:t>
            </w:r>
          </w:p>
        </w:tc>
        <w:tc>
          <w:tcPr>
            <w:tcW w:w="3560" w:type="dxa"/>
          </w:tcPr>
          <w:p w14:paraId="1812D126" w14:textId="516E544E" w:rsidR="00F44A82" w:rsidRPr="00E27354" w:rsidRDefault="00F44A82" w:rsidP="00F44A82">
            <w:pPr>
              <w:pStyle w:val="Tabletext"/>
              <w:rPr>
                <w:sz w:val="20"/>
              </w:rPr>
            </w:pPr>
            <w:r w:rsidRPr="00E27354">
              <w:rPr>
                <w:sz w:val="20"/>
              </w:rPr>
              <w:t>3</w:t>
            </w:r>
            <w:r w:rsidRPr="00E27354">
              <w:rPr>
                <w:sz w:val="20"/>
              </w:rPr>
              <w:tab/>
              <w:t>Etablissement des comptes</w:t>
            </w:r>
          </w:p>
        </w:tc>
        <w:tc>
          <w:tcPr>
            <w:tcW w:w="2911" w:type="dxa"/>
          </w:tcPr>
          <w:p w14:paraId="212986B1" w14:textId="25878F4F"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5120EA19" w14:textId="421B48B7"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24EE6A69" w14:textId="260374CA"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554" w:type="dxa"/>
          </w:tcPr>
          <w:p w14:paraId="28880982" w14:textId="7C31FF80"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05E19A5F" w14:textId="36A5F92B"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6974FC2F" w14:textId="43DD4708"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375" w:type="dxa"/>
          </w:tcPr>
          <w:p w14:paraId="26831E5F" w14:textId="12FB4FB1"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47FB8033" w14:textId="725D7F0D"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F44A82" w:rsidRPr="00E27354" w14:paraId="4B433C7C" w14:textId="77777777" w:rsidTr="00EC1CB3">
        <w:tc>
          <w:tcPr>
            <w:tcW w:w="977" w:type="dxa"/>
          </w:tcPr>
          <w:p w14:paraId="0033981C" w14:textId="1074376A" w:rsidR="00F44A82" w:rsidRPr="00E27354" w:rsidRDefault="00F44A82" w:rsidP="00F44A82">
            <w:pPr>
              <w:pStyle w:val="Tablehead"/>
              <w:spacing w:before="60"/>
              <w:rPr>
                <w:sz w:val="20"/>
              </w:rPr>
            </w:pPr>
            <w:r w:rsidRPr="00E27354">
              <w:rPr>
                <w:sz w:val="20"/>
              </w:rPr>
              <w:t>2/12</w:t>
            </w:r>
          </w:p>
        </w:tc>
        <w:tc>
          <w:tcPr>
            <w:tcW w:w="2800" w:type="dxa"/>
          </w:tcPr>
          <w:p w14:paraId="565F1C26" w14:textId="20BD09A3" w:rsidR="00F44A82" w:rsidRPr="00E27354" w:rsidRDefault="00F44A82" w:rsidP="00F44A82">
            <w:pPr>
              <w:pStyle w:val="Tabletext"/>
              <w:rPr>
                <w:b/>
                <w:sz w:val="20"/>
              </w:rPr>
            </w:pPr>
            <w:r w:rsidRPr="00E27354">
              <w:rPr>
                <w:b/>
                <w:sz w:val="20"/>
              </w:rPr>
              <w:t>3.1</w:t>
            </w:r>
            <w:r w:rsidRPr="00E27354">
              <w:rPr>
                <w:b/>
                <w:sz w:val="20"/>
              </w:rPr>
              <w:tab/>
              <w:t>En principe, un compte doit être considéré comme accepté sans qu</w:t>
            </w:r>
            <w:r w:rsidR="00622BAC" w:rsidRPr="00E27354">
              <w:rPr>
                <w:b/>
                <w:sz w:val="20"/>
              </w:rPr>
              <w:t>'</w:t>
            </w:r>
            <w:r w:rsidRPr="00E27354">
              <w:rPr>
                <w:b/>
                <w:sz w:val="20"/>
              </w:rPr>
              <w:t>il soit nécessaire d</w:t>
            </w:r>
            <w:r w:rsidR="00622BAC" w:rsidRPr="00E27354">
              <w:rPr>
                <w:b/>
                <w:sz w:val="20"/>
              </w:rPr>
              <w:t>'</w:t>
            </w:r>
            <w:r w:rsidRPr="00E27354">
              <w:rPr>
                <w:b/>
                <w:sz w:val="20"/>
              </w:rPr>
              <w:t>en notifier expressément l</w:t>
            </w:r>
            <w:r w:rsidR="00622BAC" w:rsidRPr="00E27354">
              <w:rPr>
                <w:b/>
                <w:sz w:val="20"/>
              </w:rPr>
              <w:t>'</w:t>
            </w:r>
            <w:r w:rsidRPr="00E27354">
              <w:rPr>
                <w:b/>
                <w:sz w:val="20"/>
              </w:rPr>
              <w:t xml:space="preserve">acceptation au </w:t>
            </w:r>
            <w:r w:rsidRPr="00E27354">
              <w:rPr>
                <w:b/>
                <w:sz w:val="20"/>
              </w:rPr>
              <w:lastRenderedPageBreak/>
              <w:t>fournisseur de services qui l</w:t>
            </w:r>
            <w:r w:rsidR="00622BAC" w:rsidRPr="00E27354">
              <w:rPr>
                <w:b/>
                <w:sz w:val="20"/>
              </w:rPr>
              <w:t>'</w:t>
            </w:r>
            <w:r w:rsidRPr="00E27354">
              <w:rPr>
                <w:b/>
                <w:sz w:val="20"/>
              </w:rPr>
              <w:t>a présenté.</w:t>
            </w:r>
          </w:p>
        </w:tc>
        <w:tc>
          <w:tcPr>
            <w:tcW w:w="3560" w:type="dxa"/>
          </w:tcPr>
          <w:p w14:paraId="19C7BD91" w14:textId="77E5CC88" w:rsidR="00F44A82" w:rsidRPr="00E27354" w:rsidRDefault="00F44A82" w:rsidP="00F44A82">
            <w:pPr>
              <w:pStyle w:val="Tabletext"/>
              <w:rPr>
                <w:sz w:val="20"/>
              </w:rPr>
            </w:pPr>
            <w:r w:rsidRPr="00E27354">
              <w:rPr>
                <w:sz w:val="20"/>
              </w:rPr>
              <w:lastRenderedPageBreak/>
              <w:t>3.1</w:t>
            </w:r>
            <w:r w:rsidRPr="00E27354">
              <w:rPr>
                <w:sz w:val="20"/>
              </w:rPr>
              <w:tab/>
              <w:t>En principe, un compte doit être considéré comme accepté sans qu</w:t>
            </w:r>
            <w:r w:rsidR="00622BAC" w:rsidRPr="00E27354">
              <w:rPr>
                <w:sz w:val="20"/>
              </w:rPr>
              <w:t>'</w:t>
            </w:r>
            <w:r w:rsidRPr="00E27354">
              <w:rPr>
                <w:sz w:val="20"/>
              </w:rPr>
              <w:t>il soit nécessaire d</w:t>
            </w:r>
            <w:r w:rsidR="00622BAC" w:rsidRPr="00E27354">
              <w:rPr>
                <w:sz w:val="20"/>
              </w:rPr>
              <w:t>'</w:t>
            </w:r>
            <w:r w:rsidRPr="00E27354">
              <w:rPr>
                <w:sz w:val="20"/>
              </w:rPr>
              <w:t>en notifier explicitement l</w:t>
            </w:r>
            <w:r w:rsidR="00622BAC" w:rsidRPr="00E27354">
              <w:rPr>
                <w:sz w:val="20"/>
              </w:rPr>
              <w:t>'</w:t>
            </w:r>
            <w:r w:rsidRPr="00E27354">
              <w:rPr>
                <w:sz w:val="20"/>
              </w:rPr>
              <w:t>acceptation à l</w:t>
            </w:r>
            <w:r w:rsidR="00622BAC" w:rsidRPr="00E27354">
              <w:rPr>
                <w:sz w:val="20"/>
              </w:rPr>
              <w:t>'</w:t>
            </w:r>
            <w:r w:rsidRPr="00E27354">
              <w:rPr>
                <w:sz w:val="20"/>
              </w:rPr>
              <w:t>autorité chargée de la comptabilité qui l</w:t>
            </w:r>
            <w:r w:rsidR="00622BAC" w:rsidRPr="00E27354">
              <w:rPr>
                <w:sz w:val="20"/>
              </w:rPr>
              <w:t>'</w:t>
            </w:r>
            <w:r w:rsidRPr="00E27354">
              <w:rPr>
                <w:sz w:val="20"/>
              </w:rPr>
              <w:t>a présenté.</w:t>
            </w:r>
          </w:p>
        </w:tc>
        <w:tc>
          <w:tcPr>
            <w:tcW w:w="2911" w:type="dxa"/>
          </w:tcPr>
          <w:p w14:paraId="1E41A1FF" w14:textId="7DB5785C"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56F0824F" w14:textId="1321BFD0"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 xml:space="preserve">est pas </w:t>
            </w:r>
            <w:r w:rsidRPr="00E27354">
              <w:rPr>
                <w:sz w:val="20"/>
              </w:rPr>
              <w:lastRenderedPageBreak/>
              <w:t>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1EC02AC9" w14:textId="6989D43F"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554" w:type="dxa"/>
          </w:tcPr>
          <w:p w14:paraId="723111F4" w14:textId="60E32842" w:rsidR="00F44A82" w:rsidRPr="00E27354" w:rsidRDefault="00F44A82" w:rsidP="00F44A82">
            <w:pPr>
              <w:pStyle w:val="Tabletext"/>
              <w:rPr>
                <w:sz w:val="20"/>
              </w:rPr>
            </w:pPr>
            <w:r w:rsidRPr="00E27354">
              <w:rPr>
                <w:sz w:val="20"/>
              </w:rPr>
              <w:lastRenderedPageBreak/>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5F8AA0C5" w14:textId="67B35544"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lastRenderedPageBreak/>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4D3622F5" w14:textId="5F6232FE"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375" w:type="dxa"/>
          </w:tcPr>
          <w:p w14:paraId="015E75C4" w14:textId="0C213CDD" w:rsidR="00F44A82" w:rsidRPr="00E27354" w:rsidRDefault="00F44A82" w:rsidP="00F44A82">
            <w:pPr>
              <w:pStyle w:val="Tabletext"/>
              <w:rPr>
                <w:sz w:val="20"/>
              </w:rPr>
            </w:pPr>
            <w:r w:rsidRPr="00E27354">
              <w:rPr>
                <w:sz w:val="20"/>
              </w:rPr>
              <w:lastRenderedPageBreak/>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30E7E4DA" w14:textId="305BC92D" w:rsidR="00F44A82" w:rsidRPr="00E27354" w:rsidRDefault="00F44A82" w:rsidP="00F44A82">
            <w:pPr>
              <w:pStyle w:val="Tabletext"/>
              <w:rPr>
                <w:sz w:val="20"/>
              </w:rPr>
            </w:pPr>
            <w:r w:rsidRPr="00E27354">
              <w:rPr>
                <w:sz w:val="20"/>
              </w:rPr>
              <w:lastRenderedPageBreak/>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F44A82" w:rsidRPr="00E27354" w14:paraId="5A43AC0D" w14:textId="77777777" w:rsidTr="00EC1CB3">
        <w:tc>
          <w:tcPr>
            <w:tcW w:w="977" w:type="dxa"/>
          </w:tcPr>
          <w:p w14:paraId="57793EA3" w14:textId="3584043C" w:rsidR="00F44A82" w:rsidRPr="00E27354" w:rsidRDefault="00F44A82" w:rsidP="00F44A82">
            <w:pPr>
              <w:pStyle w:val="Tablehead"/>
              <w:spacing w:before="60"/>
              <w:rPr>
                <w:sz w:val="20"/>
              </w:rPr>
            </w:pPr>
            <w:r w:rsidRPr="00E27354">
              <w:rPr>
                <w:sz w:val="20"/>
              </w:rPr>
              <w:lastRenderedPageBreak/>
              <w:t>2/13</w:t>
            </w:r>
          </w:p>
        </w:tc>
        <w:tc>
          <w:tcPr>
            <w:tcW w:w="2800" w:type="dxa"/>
          </w:tcPr>
          <w:p w14:paraId="6164D7EB" w14:textId="244831F7" w:rsidR="00F44A82" w:rsidRPr="00E27354" w:rsidRDefault="00F44A82" w:rsidP="00F44A82">
            <w:pPr>
              <w:pStyle w:val="Tabletext"/>
              <w:rPr>
                <w:b/>
                <w:sz w:val="20"/>
              </w:rPr>
            </w:pPr>
            <w:r w:rsidRPr="00E27354">
              <w:rPr>
                <w:b/>
                <w:sz w:val="20"/>
              </w:rPr>
              <w:t>3.2</w:t>
            </w:r>
            <w:r w:rsidRPr="00E27354">
              <w:rPr>
                <w:b/>
                <w:sz w:val="20"/>
              </w:rPr>
              <w:tab/>
              <w:t>Cependant, toute autorité chargée de la comptabilité a le droit de contester les éléments d</w:t>
            </w:r>
            <w:r w:rsidR="00622BAC" w:rsidRPr="00E27354">
              <w:rPr>
                <w:b/>
                <w:sz w:val="20"/>
              </w:rPr>
              <w:t>'</w:t>
            </w:r>
            <w:r w:rsidRPr="00E27354">
              <w:rPr>
                <w:b/>
                <w:sz w:val="20"/>
              </w:rPr>
              <w:t>un compte dans un délai de six mois calendaires à compter de sa date d</w:t>
            </w:r>
            <w:r w:rsidR="00622BAC" w:rsidRPr="00E27354">
              <w:rPr>
                <w:b/>
                <w:sz w:val="20"/>
              </w:rPr>
              <w:t>'</w:t>
            </w:r>
            <w:r w:rsidRPr="00E27354">
              <w:rPr>
                <w:b/>
                <w:sz w:val="20"/>
              </w:rPr>
              <w:t>envoi, même après que le compte a été réglé.</w:t>
            </w:r>
          </w:p>
        </w:tc>
        <w:tc>
          <w:tcPr>
            <w:tcW w:w="3560" w:type="dxa"/>
          </w:tcPr>
          <w:p w14:paraId="74BC3101" w14:textId="42801044" w:rsidR="00F44A82" w:rsidRPr="00E27354" w:rsidRDefault="00F44A82" w:rsidP="00F44A82">
            <w:pPr>
              <w:pStyle w:val="Tabletext"/>
              <w:rPr>
                <w:sz w:val="20"/>
              </w:rPr>
            </w:pPr>
            <w:r w:rsidRPr="00E27354">
              <w:rPr>
                <w:sz w:val="20"/>
              </w:rPr>
              <w:t>3.2</w:t>
            </w:r>
            <w:r w:rsidRPr="00E27354">
              <w:rPr>
                <w:sz w:val="20"/>
              </w:rPr>
              <w:tab/>
              <w:t>Cependant, toute autorité chargée de la comptabilité a le droit de contester les éléments d</w:t>
            </w:r>
            <w:r w:rsidR="00622BAC" w:rsidRPr="00E27354">
              <w:rPr>
                <w:sz w:val="20"/>
              </w:rPr>
              <w:t>'</w:t>
            </w:r>
            <w:r w:rsidRPr="00E27354">
              <w:rPr>
                <w:sz w:val="20"/>
              </w:rPr>
              <w:t>un compte dans un délai de six mois calendaires à compter de sa date d</w:t>
            </w:r>
            <w:r w:rsidR="00622BAC" w:rsidRPr="00E27354">
              <w:rPr>
                <w:sz w:val="20"/>
              </w:rPr>
              <w:t>'</w:t>
            </w:r>
            <w:r w:rsidRPr="00E27354">
              <w:rPr>
                <w:sz w:val="20"/>
              </w:rPr>
              <w:t>envoi.</w:t>
            </w:r>
          </w:p>
        </w:tc>
        <w:tc>
          <w:tcPr>
            <w:tcW w:w="2911" w:type="dxa"/>
          </w:tcPr>
          <w:p w14:paraId="41470F17" w14:textId="570CA109"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5E1AC32A" w14:textId="7D17AEC9"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72B0DD02" w14:textId="7641B254"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554" w:type="dxa"/>
          </w:tcPr>
          <w:p w14:paraId="6CDE8156" w14:textId="5821E6A7"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2F14A253" w14:textId="542A16A0"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061B9A6E" w14:textId="77462EB6"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375" w:type="dxa"/>
          </w:tcPr>
          <w:p w14:paraId="43B26835" w14:textId="0A0E8AE3"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6C001572" w14:textId="0C8038EE"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F44A82" w:rsidRPr="00E27354" w14:paraId="0A9D563F" w14:textId="77777777" w:rsidTr="00EC1CB3">
        <w:tc>
          <w:tcPr>
            <w:tcW w:w="977" w:type="dxa"/>
          </w:tcPr>
          <w:p w14:paraId="34ABACB5" w14:textId="5E986180" w:rsidR="00F44A82" w:rsidRPr="00E27354" w:rsidRDefault="00F44A82" w:rsidP="00F44A82">
            <w:pPr>
              <w:pStyle w:val="Tablehead"/>
              <w:spacing w:before="60"/>
              <w:rPr>
                <w:sz w:val="20"/>
              </w:rPr>
            </w:pPr>
            <w:r w:rsidRPr="00E27354">
              <w:rPr>
                <w:sz w:val="20"/>
              </w:rPr>
              <w:t>2/14</w:t>
            </w:r>
          </w:p>
        </w:tc>
        <w:tc>
          <w:tcPr>
            <w:tcW w:w="2800" w:type="dxa"/>
          </w:tcPr>
          <w:p w14:paraId="390D645C" w14:textId="16E14CFC" w:rsidR="00F44A82" w:rsidRPr="00E27354" w:rsidRDefault="00F44A82" w:rsidP="00F44A82">
            <w:pPr>
              <w:pStyle w:val="Tabletext"/>
              <w:rPr>
                <w:b/>
                <w:sz w:val="20"/>
              </w:rPr>
            </w:pPr>
            <w:r w:rsidRPr="00E27354">
              <w:rPr>
                <w:b/>
                <w:sz w:val="20"/>
              </w:rPr>
              <w:t>4</w:t>
            </w:r>
            <w:r w:rsidRPr="00E27354">
              <w:rPr>
                <w:b/>
                <w:sz w:val="20"/>
              </w:rPr>
              <w:tab/>
              <w:t>Règlement des soldes de comptes</w:t>
            </w:r>
          </w:p>
        </w:tc>
        <w:tc>
          <w:tcPr>
            <w:tcW w:w="3560" w:type="dxa"/>
          </w:tcPr>
          <w:p w14:paraId="51CFF7A3" w14:textId="5C531F16" w:rsidR="00F44A82" w:rsidRPr="00E27354" w:rsidRDefault="00F44A82" w:rsidP="00F44A82">
            <w:pPr>
              <w:pStyle w:val="Tabletext"/>
              <w:rPr>
                <w:sz w:val="20"/>
              </w:rPr>
            </w:pPr>
            <w:r w:rsidRPr="00E27354">
              <w:rPr>
                <w:sz w:val="20"/>
              </w:rPr>
              <w:t>4</w:t>
            </w:r>
            <w:r w:rsidRPr="00E27354">
              <w:rPr>
                <w:sz w:val="20"/>
              </w:rPr>
              <w:tab/>
              <w:t>Règlement des soldes de comptes</w:t>
            </w:r>
          </w:p>
        </w:tc>
        <w:tc>
          <w:tcPr>
            <w:tcW w:w="2911" w:type="dxa"/>
          </w:tcPr>
          <w:p w14:paraId="7C5E8176" w14:textId="31D58242"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5099967C" w14:textId="17401B40" w:rsidR="00F44A82" w:rsidRPr="00E27354" w:rsidRDefault="00F44A82" w:rsidP="00F44A82">
            <w:pPr>
              <w:pStyle w:val="Tabletext"/>
              <w:rPr>
                <w:sz w:val="20"/>
              </w:rPr>
            </w:pPr>
            <w:r w:rsidRPr="00E27354">
              <w:rPr>
                <w:sz w:val="20"/>
              </w:rPr>
              <w:lastRenderedPageBreak/>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325BF65E" w14:textId="7D3E373C"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554" w:type="dxa"/>
          </w:tcPr>
          <w:p w14:paraId="367C0F8D" w14:textId="22D3971E" w:rsidR="00F44A82" w:rsidRPr="00E27354" w:rsidRDefault="00F44A82" w:rsidP="00F44A82">
            <w:pPr>
              <w:pStyle w:val="Tabletext"/>
              <w:rPr>
                <w:sz w:val="20"/>
              </w:rPr>
            </w:pPr>
            <w:r w:rsidRPr="00E27354">
              <w:rPr>
                <w:sz w:val="20"/>
              </w:rPr>
              <w:lastRenderedPageBreak/>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506D67EB" w14:textId="3E899EE9" w:rsidR="00F44A82" w:rsidRPr="00E27354" w:rsidRDefault="00F44A82" w:rsidP="00F44A82">
            <w:pPr>
              <w:pStyle w:val="Tabletext"/>
              <w:rPr>
                <w:sz w:val="20"/>
              </w:rPr>
            </w:pPr>
            <w:r w:rsidRPr="00E27354">
              <w:rPr>
                <w:sz w:val="20"/>
              </w:rPr>
              <w:lastRenderedPageBreak/>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0D0738F0" w14:textId="1463002C"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375" w:type="dxa"/>
          </w:tcPr>
          <w:p w14:paraId="6163DC66" w14:textId="443A3307" w:rsidR="00F44A82" w:rsidRPr="00E27354" w:rsidRDefault="00F44A82" w:rsidP="00F44A82">
            <w:pPr>
              <w:pStyle w:val="Tabletext"/>
              <w:rPr>
                <w:sz w:val="20"/>
              </w:rPr>
            </w:pPr>
            <w:r w:rsidRPr="00E27354">
              <w:rPr>
                <w:sz w:val="20"/>
              </w:rPr>
              <w:lastRenderedPageBreak/>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 xml:space="preserve">être modifiée </w:t>
            </w:r>
            <w:r w:rsidRPr="00E27354">
              <w:rPr>
                <w:sz w:val="20"/>
              </w:rPr>
              <w:lastRenderedPageBreak/>
              <w:t>puisqu</w:t>
            </w:r>
            <w:r w:rsidR="00622BAC" w:rsidRPr="00E27354">
              <w:rPr>
                <w:sz w:val="20"/>
              </w:rPr>
              <w:t>'</w:t>
            </w:r>
            <w:r w:rsidRPr="00E27354">
              <w:rPr>
                <w:sz w:val="20"/>
              </w:rPr>
              <w:t>elle est applicable et souple.</w:t>
            </w:r>
          </w:p>
          <w:p w14:paraId="691FF8EC" w14:textId="687A255F"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F44A82" w:rsidRPr="00E27354" w14:paraId="3E361507" w14:textId="77777777" w:rsidTr="00EC1CB3">
        <w:tc>
          <w:tcPr>
            <w:tcW w:w="977" w:type="dxa"/>
          </w:tcPr>
          <w:p w14:paraId="5098F0AD" w14:textId="5EBD9C0B" w:rsidR="00F44A82" w:rsidRPr="00E27354" w:rsidRDefault="00F44A82" w:rsidP="00F44A82">
            <w:pPr>
              <w:pStyle w:val="Tablehead"/>
              <w:spacing w:before="60"/>
              <w:rPr>
                <w:sz w:val="20"/>
              </w:rPr>
            </w:pPr>
            <w:r w:rsidRPr="00E27354">
              <w:rPr>
                <w:sz w:val="20"/>
              </w:rPr>
              <w:lastRenderedPageBreak/>
              <w:t>2/15</w:t>
            </w:r>
          </w:p>
        </w:tc>
        <w:tc>
          <w:tcPr>
            <w:tcW w:w="2800" w:type="dxa"/>
          </w:tcPr>
          <w:p w14:paraId="1656000E" w14:textId="6E0D1B4E" w:rsidR="00F44A82" w:rsidRPr="00E27354" w:rsidRDefault="00F44A82" w:rsidP="00F44A82">
            <w:pPr>
              <w:pStyle w:val="Tabletext"/>
              <w:rPr>
                <w:b/>
                <w:sz w:val="20"/>
              </w:rPr>
            </w:pPr>
            <w:r w:rsidRPr="00E27354">
              <w:rPr>
                <w:b/>
                <w:sz w:val="20"/>
              </w:rPr>
              <w:t>4.1</w:t>
            </w:r>
            <w:r w:rsidRPr="00E27354">
              <w:rPr>
                <w:b/>
                <w:sz w:val="20"/>
              </w:rPr>
              <w:tab/>
              <w:t>Tous les comptes des télécommunications maritimes internationales doivent être réglés sans retard par l</w:t>
            </w:r>
            <w:r w:rsidR="00622BAC" w:rsidRPr="00E27354">
              <w:rPr>
                <w:b/>
                <w:sz w:val="20"/>
              </w:rPr>
              <w:t>'</w:t>
            </w:r>
            <w:r w:rsidRPr="00E27354">
              <w:rPr>
                <w:b/>
                <w:sz w:val="20"/>
              </w:rPr>
              <w:t>autorité chargée de la comptabilité et au plus tard six mois calendaires après l</w:t>
            </w:r>
            <w:r w:rsidR="00622BAC" w:rsidRPr="00E27354">
              <w:rPr>
                <w:b/>
                <w:sz w:val="20"/>
              </w:rPr>
              <w:t>'</w:t>
            </w:r>
            <w:r w:rsidRPr="00E27354">
              <w:rPr>
                <w:b/>
                <w:sz w:val="20"/>
              </w:rPr>
              <w:t>envoi du compte, sauf lorsque le règlement des comptes est effectué conformément aux dispositions du point 2/17 (paragraphe 4.3) ci</w:t>
            </w:r>
            <w:r w:rsidRPr="00E27354">
              <w:rPr>
                <w:b/>
                <w:sz w:val="20"/>
              </w:rPr>
              <w:noBreakHyphen/>
              <w:t>après.</w:t>
            </w:r>
          </w:p>
        </w:tc>
        <w:tc>
          <w:tcPr>
            <w:tcW w:w="3560" w:type="dxa"/>
          </w:tcPr>
          <w:p w14:paraId="7C4CDF71" w14:textId="6AACF186" w:rsidR="00F44A82" w:rsidRPr="00E27354" w:rsidRDefault="00F44A82" w:rsidP="00F44A82">
            <w:pPr>
              <w:pStyle w:val="Tabletext"/>
              <w:rPr>
                <w:sz w:val="20"/>
              </w:rPr>
            </w:pPr>
            <w:r w:rsidRPr="00E27354">
              <w:rPr>
                <w:sz w:val="20"/>
              </w:rPr>
              <w:t>4.1</w:t>
            </w:r>
            <w:r w:rsidRPr="00E27354">
              <w:rPr>
                <w:sz w:val="20"/>
              </w:rPr>
              <w:tab/>
              <w:t>Tous les comptes des télécommunications maritimes internationales doivent être réglés sans retard par l</w:t>
            </w:r>
            <w:r w:rsidR="00622BAC" w:rsidRPr="00E27354">
              <w:rPr>
                <w:sz w:val="20"/>
              </w:rPr>
              <w:t>'</w:t>
            </w:r>
            <w:r w:rsidRPr="00E27354">
              <w:rPr>
                <w:sz w:val="20"/>
              </w:rPr>
              <w:t>autorité chargée de la comptabilité et au plus tard six mois calendaires après l</w:t>
            </w:r>
            <w:r w:rsidR="00622BAC" w:rsidRPr="00E27354">
              <w:rPr>
                <w:sz w:val="20"/>
              </w:rPr>
              <w:t>'</w:t>
            </w:r>
            <w:r w:rsidRPr="00E27354">
              <w:rPr>
                <w:sz w:val="20"/>
              </w:rPr>
              <w:t>envoi du compte, sauf lorsque le règlement des comptes est effectué conformément aux dispositions du paragraphe 4.3 ci</w:t>
            </w:r>
            <w:r w:rsidRPr="00E27354">
              <w:rPr>
                <w:sz w:val="20"/>
              </w:rPr>
              <w:noBreakHyphen/>
              <w:t>après.</w:t>
            </w:r>
          </w:p>
        </w:tc>
        <w:tc>
          <w:tcPr>
            <w:tcW w:w="2911" w:type="dxa"/>
          </w:tcPr>
          <w:p w14:paraId="42E65540" w14:textId="5477FEA2"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19615BE8" w14:textId="20A318F0"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2C24E165" w14:textId="1B0A5D6C"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554" w:type="dxa"/>
          </w:tcPr>
          <w:p w14:paraId="3D0A2B9C" w14:textId="0F7BC6D8"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4A37D89D" w14:textId="12DD0E26"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1DE7B689" w14:textId="6D660FC4"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375" w:type="dxa"/>
          </w:tcPr>
          <w:p w14:paraId="03B4150C" w14:textId="3502C1FB" w:rsidR="00F44A82" w:rsidRPr="00E27354" w:rsidRDefault="00F44A82" w:rsidP="00F44A82">
            <w:pPr>
              <w:pStyle w:val="Tabletext"/>
              <w:keepNext/>
              <w:keepLines/>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5D526D40" w14:textId="010C2D5E"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F44A82" w:rsidRPr="00E27354" w14:paraId="1A7F8A02" w14:textId="77777777" w:rsidTr="00EC1CB3">
        <w:tc>
          <w:tcPr>
            <w:tcW w:w="977" w:type="dxa"/>
          </w:tcPr>
          <w:p w14:paraId="1E93E8F1" w14:textId="14CA2466" w:rsidR="00F44A82" w:rsidRPr="00E27354" w:rsidRDefault="00F44A82" w:rsidP="00985D52">
            <w:pPr>
              <w:pStyle w:val="Tablehead"/>
              <w:keepNext/>
              <w:keepLines/>
              <w:spacing w:before="60"/>
              <w:rPr>
                <w:sz w:val="20"/>
              </w:rPr>
            </w:pPr>
            <w:r w:rsidRPr="00E27354">
              <w:rPr>
                <w:sz w:val="20"/>
              </w:rPr>
              <w:lastRenderedPageBreak/>
              <w:t>2/16</w:t>
            </w:r>
          </w:p>
        </w:tc>
        <w:tc>
          <w:tcPr>
            <w:tcW w:w="2800" w:type="dxa"/>
          </w:tcPr>
          <w:p w14:paraId="2B5C216C" w14:textId="509AE481" w:rsidR="00F44A82" w:rsidRPr="00E27354" w:rsidRDefault="00F44A82" w:rsidP="00985D52">
            <w:pPr>
              <w:pStyle w:val="Tabletext"/>
              <w:keepNext/>
              <w:keepLines/>
              <w:rPr>
                <w:b/>
                <w:sz w:val="20"/>
              </w:rPr>
            </w:pPr>
            <w:r w:rsidRPr="00E27354">
              <w:rPr>
                <w:b/>
                <w:sz w:val="20"/>
              </w:rPr>
              <w:t>4.2</w:t>
            </w:r>
            <w:r w:rsidRPr="00E27354">
              <w:rPr>
                <w:b/>
                <w:sz w:val="20"/>
              </w:rPr>
              <w:tab/>
              <w:t>Si les comptes des télécommunications maritimes internationales ne sont pas réglés au bout de six mois calendaires, l</w:t>
            </w:r>
            <w:r w:rsidR="00622BAC" w:rsidRPr="00E27354">
              <w:rPr>
                <w:b/>
                <w:sz w:val="20"/>
              </w:rPr>
              <w:t>'</w:t>
            </w:r>
            <w:r w:rsidRPr="00E27354">
              <w:rPr>
                <w:b/>
                <w:sz w:val="20"/>
              </w:rPr>
              <w:t>administration qui a délivré une licence à une station mobile doit, sur demande, prendre des mesures, dans les limites de la législation nationale en vigueur, pour obtenir du détenteur de la licence le règlement des comptes en souffrance.</w:t>
            </w:r>
          </w:p>
        </w:tc>
        <w:tc>
          <w:tcPr>
            <w:tcW w:w="3560" w:type="dxa"/>
          </w:tcPr>
          <w:p w14:paraId="087AE4BC" w14:textId="7DD6D6F6" w:rsidR="00F44A82" w:rsidRPr="00E27354" w:rsidRDefault="00F44A82" w:rsidP="00985D52">
            <w:pPr>
              <w:pStyle w:val="Tabletext"/>
              <w:keepNext/>
              <w:keepLines/>
              <w:rPr>
                <w:sz w:val="20"/>
              </w:rPr>
            </w:pPr>
            <w:r w:rsidRPr="00E27354">
              <w:rPr>
                <w:sz w:val="20"/>
              </w:rPr>
              <w:t>4.2</w:t>
            </w:r>
            <w:r w:rsidRPr="00E27354">
              <w:rPr>
                <w:sz w:val="20"/>
              </w:rPr>
              <w:tab/>
              <w:t>Si les comptes des télécommunications maritimes internationales ne sont pas réglés au bout de six mois calendaires, l</w:t>
            </w:r>
            <w:r w:rsidR="00622BAC" w:rsidRPr="00E27354">
              <w:rPr>
                <w:sz w:val="20"/>
              </w:rPr>
              <w:t>'</w:t>
            </w:r>
            <w:r w:rsidRPr="00E27354">
              <w:rPr>
                <w:sz w:val="20"/>
              </w:rPr>
              <w:t>administration qui a délivré une licence à une station mobile doit, sur demande, prendre toutes les mesures possibles, dans les limites de la législation nationale en vigueur, pour obtenir du détenteur de la licence le règlement des comptes en souffrance.</w:t>
            </w:r>
          </w:p>
        </w:tc>
        <w:tc>
          <w:tcPr>
            <w:tcW w:w="2911" w:type="dxa"/>
          </w:tcPr>
          <w:p w14:paraId="699E9BB3" w14:textId="54D39687" w:rsidR="00F44A82" w:rsidRPr="00E27354" w:rsidRDefault="00F44A82" w:rsidP="00985D52">
            <w:pPr>
              <w:pStyle w:val="Tabletext"/>
              <w:keepNext/>
              <w:keepLines/>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04C81B31" w14:textId="0AE4DA29" w:rsidR="00F44A82" w:rsidRPr="00E27354" w:rsidRDefault="00F44A82" w:rsidP="00985D52">
            <w:pPr>
              <w:pStyle w:val="Tabletext"/>
              <w:keepNext/>
              <w:keepLines/>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6DA5B21F" w14:textId="451A2AAA" w:rsidR="00F44A82" w:rsidRPr="00E27354" w:rsidRDefault="00F44A82" w:rsidP="00985D52">
            <w:pPr>
              <w:pStyle w:val="Tabletext"/>
              <w:keepNext/>
              <w:keepLines/>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554" w:type="dxa"/>
          </w:tcPr>
          <w:p w14:paraId="0B671A7B" w14:textId="06757570" w:rsidR="00F44A82" w:rsidRPr="00E27354" w:rsidRDefault="00F44A82" w:rsidP="00985D52">
            <w:pPr>
              <w:pStyle w:val="Tabletext"/>
              <w:keepNext/>
              <w:keepLines/>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0D6F8BB2" w14:textId="61BA3560" w:rsidR="00F44A82" w:rsidRPr="00E27354" w:rsidRDefault="00F44A82" w:rsidP="00985D52">
            <w:pPr>
              <w:pStyle w:val="Tabletext"/>
              <w:keepNext/>
              <w:keepLines/>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08AF4773" w14:textId="136E76D5" w:rsidR="00F44A82" w:rsidRPr="00E27354" w:rsidRDefault="00F44A82" w:rsidP="00985D52">
            <w:pPr>
              <w:pStyle w:val="Tabletext"/>
              <w:keepNext/>
              <w:keepLines/>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375" w:type="dxa"/>
          </w:tcPr>
          <w:p w14:paraId="6D54686B" w14:textId="6D1E01B6" w:rsidR="00F44A82" w:rsidRPr="00E27354" w:rsidRDefault="00F44A82" w:rsidP="00985D52">
            <w:pPr>
              <w:pStyle w:val="Tabletext"/>
              <w:keepNext/>
              <w:keepLines/>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4754C7BD" w14:textId="01D21A58" w:rsidR="00F44A82" w:rsidRPr="00E27354" w:rsidRDefault="00F44A82" w:rsidP="00985D52">
            <w:pPr>
              <w:pStyle w:val="Tabletext"/>
              <w:keepNext/>
              <w:keepLines/>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F44A82" w:rsidRPr="00E27354" w14:paraId="47820649" w14:textId="77777777" w:rsidTr="00EC1CB3">
        <w:tc>
          <w:tcPr>
            <w:tcW w:w="977" w:type="dxa"/>
          </w:tcPr>
          <w:p w14:paraId="7C192416" w14:textId="180162F4" w:rsidR="00F44A82" w:rsidRPr="00E27354" w:rsidRDefault="00F44A82" w:rsidP="00F44A82">
            <w:pPr>
              <w:pStyle w:val="Tablehead"/>
              <w:spacing w:before="60"/>
              <w:rPr>
                <w:sz w:val="20"/>
              </w:rPr>
            </w:pPr>
            <w:r w:rsidRPr="00E27354">
              <w:rPr>
                <w:sz w:val="20"/>
              </w:rPr>
              <w:t>2/17</w:t>
            </w:r>
          </w:p>
        </w:tc>
        <w:tc>
          <w:tcPr>
            <w:tcW w:w="2800" w:type="dxa"/>
          </w:tcPr>
          <w:p w14:paraId="6B8A53E7" w14:textId="5DB8EA7A" w:rsidR="00F44A82" w:rsidRPr="00E27354" w:rsidRDefault="00F44A82" w:rsidP="00F44A82">
            <w:pPr>
              <w:pStyle w:val="Tabletext"/>
              <w:rPr>
                <w:b/>
                <w:sz w:val="20"/>
              </w:rPr>
            </w:pPr>
            <w:r w:rsidRPr="00E27354">
              <w:rPr>
                <w:b/>
                <w:sz w:val="20"/>
              </w:rPr>
              <w:t>4.3</w:t>
            </w:r>
            <w:r w:rsidRPr="00E27354">
              <w:rPr>
                <w:b/>
                <w:sz w:val="20"/>
              </w:rPr>
              <w:tab/>
              <w:t>Si la période s</w:t>
            </w:r>
            <w:r w:rsidR="00622BAC" w:rsidRPr="00E27354">
              <w:rPr>
                <w:b/>
                <w:sz w:val="20"/>
              </w:rPr>
              <w:t>'</w:t>
            </w:r>
            <w:r w:rsidRPr="00E27354">
              <w:rPr>
                <w:b/>
                <w:sz w:val="20"/>
              </w:rPr>
              <w:t>écoulant entre la date d</w:t>
            </w:r>
            <w:r w:rsidR="00622BAC" w:rsidRPr="00E27354">
              <w:rPr>
                <w:b/>
                <w:sz w:val="20"/>
              </w:rPr>
              <w:t>'</w:t>
            </w:r>
            <w:r w:rsidRPr="00E27354">
              <w:rPr>
                <w:b/>
                <w:sz w:val="20"/>
              </w:rPr>
              <w:t>expédition et la date de réception dépasse un mois, il convient que l</w:t>
            </w:r>
            <w:r w:rsidR="00622BAC" w:rsidRPr="00E27354">
              <w:rPr>
                <w:b/>
                <w:sz w:val="20"/>
              </w:rPr>
              <w:t>'</w:t>
            </w:r>
            <w:r w:rsidRPr="00E27354">
              <w:rPr>
                <w:b/>
                <w:sz w:val="20"/>
              </w:rPr>
              <w:t>autorité chargée de la comptabilité qui attend le compte informe immédiatement le fournisseur de services d</w:t>
            </w:r>
            <w:r w:rsidR="00622BAC" w:rsidRPr="00E27354">
              <w:rPr>
                <w:b/>
                <w:sz w:val="20"/>
              </w:rPr>
              <w:t>'</w:t>
            </w:r>
            <w:r w:rsidRPr="00E27354">
              <w:rPr>
                <w:b/>
                <w:sz w:val="20"/>
              </w:rPr>
              <w:t xml:space="preserve">origine qui a envoyé le compte que les demandes de renseignements éventuelles et le règlement sont susceptibles de subir des retards. Toutefois, le retard ne doit pas dépasser trois mois calendaires en ce qui concerne </w:t>
            </w:r>
            <w:r w:rsidRPr="00E27354">
              <w:rPr>
                <w:b/>
                <w:sz w:val="20"/>
              </w:rPr>
              <w:lastRenderedPageBreak/>
              <w:t>le paiement, et cinq mois calendaires en ce qui concerne les demandes de renseignements, chaque période commençant à la date de réception du compte.</w:t>
            </w:r>
          </w:p>
        </w:tc>
        <w:tc>
          <w:tcPr>
            <w:tcW w:w="3560" w:type="dxa"/>
          </w:tcPr>
          <w:p w14:paraId="34C1C51F" w14:textId="13F7336C" w:rsidR="00F44A82" w:rsidRPr="00E27354" w:rsidRDefault="00F44A82" w:rsidP="00F44A82">
            <w:pPr>
              <w:pStyle w:val="Tabletext"/>
              <w:rPr>
                <w:sz w:val="20"/>
              </w:rPr>
            </w:pPr>
            <w:r w:rsidRPr="00E27354">
              <w:rPr>
                <w:sz w:val="20"/>
              </w:rPr>
              <w:lastRenderedPageBreak/>
              <w:t>4.3</w:t>
            </w:r>
            <w:r w:rsidRPr="00E27354">
              <w:rPr>
                <w:sz w:val="20"/>
              </w:rPr>
              <w:tab/>
              <w:t>Si la période s</w:t>
            </w:r>
            <w:r w:rsidR="00622BAC" w:rsidRPr="00E27354">
              <w:rPr>
                <w:sz w:val="20"/>
              </w:rPr>
              <w:t>'</w:t>
            </w:r>
            <w:r w:rsidRPr="00E27354">
              <w:rPr>
                <w:sz w:val="20"/>
              </w:rPr>
              <w:t>écoulant entre la date d</w:t>
            </w:r>
            <w:r w:rsidR="00622BAC" w:rsidRPr="00E27354">
              <w:rPr>
                <w:sz w:val="20"/>
              </w:rPr>
              <w:t>'</w:t>
            </w:r>
            <w:r w:rsidRPr="00E27354">
              <w:rPr>
                <w:sz w:val="20"/>
              </w:rPr>
              <w:t>expédition et la date de réception dépasse un mois, il convient que l</w:t>
            </w:r>
            <w:r w:rsidR="00622BAC" w:rsidRPr="00E27354">
              <w:rPr>
                <w:sz w:val="20"/>
              </w:rPr>
              <w:t>'</w:t>
            </w:r>
            <w:r w:rsidRPr="00E27354">
              <w:rPr>
                <w:sz w:val="20"/>
              </w:rPr>
              <w:t>autorité chargée de la comptabilité qui attend le compte informe immédiatement l</w:t>
            </w:r>
            <w:r w:rsidR="00622BAC" w:rsidRPr="00E27354">
              <w:rPr>
                <w:sz w:val="20"/>
              </w:rPr>
              <w:t>'</w:t>
            </w:r>
            <w:r w:rsidRPr="00E27354">
              <w:rPr>
                <w:sz w:val="20"/>
              </w:rPr>
              <w:t>autorité chargée de la comptabilité d</w:t>
            </w:r>
            <w:r w:rsidR="00622BAC" w:rsidRPr="00E27354">
              <w:rPr>
                <w:sz w:val="20"/>
              </w:rPr>
              <w:t>'</w:t>
            </w:r>
            <w:r w:rsidRPr="00E27354">
              <w:rPr>
                <w:sz w:val="20"/>
              </w:rPr>
              <w:t xml:space="preserve">origine que les demandes de renseignements éventuelles et le règlement sont susceptibles de subir des retards. Toutefois, le retard ne doit pas dépasser trois mois calendaires en ce qui concerne le paiement, et cinq mois calendaires en ce qui concerne les demandes de renseignements, chaque </w:t>
            </w:r>
            <w:r w:rsidRPr="00E27354">
              <w:rPr>
                <w:sz w:val="20"/>
              </w:rPr>
              <w:lastRenderedPageBreak/>
              <w:t>période commençant à la date de réception du compte.</w:t>
            </w:r>
          </w:p>
        </w:tc>
        <w:tc>
          <w:tcPr>
            <w:tcW w:w="2911" w:type="dxa"/>
          </w:tcPr>
          <w:p w14:paraId="106E36A8" w14:textId="54D24978" w:rsidR="00F44A82" w:rsidRPr="00E27354" w:rsidRDefault="00F44A82" w:rsidP="00F44A82">
            <w:pPr>
              <w:pStyle w:val="Tabletext"/>
              <w:rPr>
                <w:sz w:val="20"/>
              </w:rPr>
            </w:pPr>
            <w:r w:rsidRPr="00E27354">
              <w:rPr>
                <w:sz w:val="20"/>
              </w:rPr>
              <w:lastRenderedPageBreak/>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6F337BBB" w14:textId="4A08E163"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08B40803" w14:textId="344D63EB"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 xml:space="preserve">Appendice 2 doit être mis à jour afin de tenir compte des évolutions constatées dans la fourniture des services de </w:t>
            </w:r>
            <w:r w:rsidRPr="00E27354">
              <w:rPr>
                <w:sz w:val="20"/>
              </w:rPr>
              <w:lastRenderedPageBreak/>
              <w:t>télécommunication/TIC à l</w:t>
            </w:r>
            <w:r w:rsidR="00622BAC" w:rsidRPr="00E27354">
              <w:rPr>
                <w:sz w:val="20"/>
              </w:rPr>
              <w:t>'</w:t>
            </w:r>
            <w:r w:rsidRPr="00E27354">
              <w:rPr>
                <w:sz w:val="20"/>
              </w:rPr>
              <w:t>utilisateur final.</w:t>
            </w:r>
          </w:p>
        </w:tc>
        <w:tc>
          <w:tcPr>
            <w:tcW w:w="2554" w:type="dxa"/>
          </w:tcPr>
          <w:p w14:paraId="26798D11" w14:textId="74306511" w:rsidR="00F44A82" w:rsidRPr="00E27354" w:rsidRDefault="00F44A82" w:rsidP="00F44A82">
            <w:pPr>
              <w:pStyle w:val="Tabletext"/>
              <w:rPr>
                <w:sz w:val="20"/>
              </w:rPr>
            </w:pPr>
            <w:r w:rsidRPr="00E27354">
              <w:rPr>
                <w:sz w:val="20"/>
              </w:rPr>
              <w:lastRenderedPageBreak/>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20258C83" w14:textId="4EF10E92"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7DA41515" w14:textId="0F62BD3C"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 xml:space="preserve">Appendice 2 doit être mis à jour afin de tenir compte des évolutions constatées dans la fourniture des services de </w:t>
            </w:r>
            <w:r w:rsidRPr="00E27354">
              <w:rPr>
                <w:sz w:val="20"/>
              </w:rPr>
              <w:lastRenderedPageBreak/>
              <w:t>télécommunication/TIC à l</w:t>
            </w:r>
            <w:r w:rsidR="00622BAC" w:rsidRPr="00E27354">
              <w:rPr>
                <w:sz w:val="20"/>
              </w:rPr>
              <w:t>'</w:t>
            </w:r>
            <w:r w:rsidRPr="00E27354">
              <w:rPr>
                <w:sz w:val="20"/>
              </w:rPr>
              <w:t>utilisateur final.</w:t>
            </w:r>
          </w:p>
        </w:tc>
        <w:tc>
          <w:tcPr>
            <w:tcW w:w="2375" w:type="dxa"/>
          </w:tcPr>
          <w:p w14:paraId="2BD03006" w14:textId="01F551B2" w:rsidR="00F44A82" w:rsidRPr="00E27354" w:rsidRDefault="00F44A82" w:rsidP="00F44A82">
            <w:pPr>
              <w:pStyle w:val="Tabletext"/>
              <w:rPr>
                <w:sz w:val="20"/>
              </w:rPr>
            </w:pPr>
            <w:r w:rsidRPr="00E27354">
              <w:rPr>
                <w:sz w:val="20"/>
              </w:rPr>
              <w:lastRenderedPageBreak/>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1AC9B719" w14:textId="1F44A025"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r w:rsidR="00F44A82" w:rsidRPr="00E27354" w14:paraId="388D7C91" w14:textId="77777777" w:rsidTr="00EC1CB3">
        <w:tc>
          <w:tcPr>
            <w:tcW w:w="977" w:type="dxa"/>
          </w:tcPr>
          <w:p w14:paraId="02C55357" w14:textId="1CAF4B56" w:rsidR="00F44A82" w:rsidRPr="00E27354" w:rsidRDefault="00F44A82" w:rsidP="00F44A82">
            <w:pPr>
              <w:pStyle w:val="Tablehead"/>
              <w:spacing w:before="60"/>
              <w:rPr>
                <w:sz w:val="20"/>
              </w:rPr>
            </w:pPr>
            <w:r w:rsidRPr="00E27354">
              <w:rPr>
                <w:sz w:val="20"/>
              </w:rPr>
              <w:t>2/18</w:t>
            </w:r>
          </w:p>
        </w:tc>
        <w:tc>
          <w:tcPr>
            <w:tcW w:w="2800" w:type="dxa"/>
          </w:tcPr>
          <w:p w14:paraId="671AE295" w14:textId="40282AF6" w:rsidR="00F44A82" w:rsidRPr="00E27354" w:rsidRDefault="00F44A82" w:rsidP="00F44A82">
            <w:pPr>
              <w:pStyle w:val="Tabletext"/>
              <w:rPr>
                <w:b/>
                <w:sz w:val="20"/>
              </w:rPr>
            </w:pPr>
            <w:r w:rsidRPr="00E27354">
              <w:rPr>
                <w:b/>
                <w:sz w:val="20"/>
              </w:rPr>
              <w:t>4.4</w:t>
            </w:r>
            <w:r w:rsidRPr="00E27354">
              <w:rPr>
                <w:b/>
                <w:sz w:val="20"/>
              </w:rPr>
              <w:tab/>
              <w:t>L</w:t>
            </w:r>
            <w:r w:rsidR="00622BAC" w:rsidRPr="00E27354">
              <w:rPr>
                <w:b/>
                <w:sz w:val="20"/>
              </w:rPr>
              <w:t>'</w:t>
            </w:r>
            <w:r w:rsidRPr="00E27354">
              <w:rPr>
                <w:b/>
                <w:sz w:val="20"/>
              </w:rPr>
              <w:t>autorité débitrice chargée de la comptabilité peut refuser le règlement et la rectification des comptes présentés plus de douze mois calendaires après la date du trafic auxquels ces comptes se rapportent, sauf si la législation nationale en dispose autrement, auquel cas le délai maximal pourra être de dix-huit mois calendaires au plus.</w:t>
            </w:r>
          </w:p>
        </w:tc>
        <w:tc>
          <w:tcPr>
            <w:tcW w:w="3560" w:type="dxa"/>
          </w:tcPr>
          <w:p w14:paraId="0D734DE5" w14:textId="39F316C3" w:rsidR="00F44A82" w:rsidRPr="00E27354" w:rsidRDefault="00F44A82" w:rsidP="00F44A82">
            <w:pPr>
              <w:pStyle w:val="Tabletext"/>
              <w:rPr>
                <w:sz w:val="20"/>
              </w:rPr>
            </w:pPr>
            <w:r w:rsidRPr="00E27354">
              <w:rPr>
                <w:sz w:val="20"/>
              </w:rPr>
              <w:t>4.4</w:t>
            </w:r>
            <w:r w:rsidRPr="00E27354">
              <w:rPr>
                <w:sz w:val="20"/>
              </w:rPr>
              <w:tab/>
              <w:t>L</w:t>
            </w:r>
            <w:r w:rsidR="00622BAC" w:rsidRPr="00E27354">
              <w:rPr>
                <w:sz w:val="20"/>
              </w:rPr>
              <w:t>'</w:t>
            </w:r>
            <w:r w:rsidRPr="00E27354">
              <w:rPr>
                <w:sz w:val="20"/>
              </w:rPr>
              <w:t>autorité débitrice chargée de la comptabilité peut refuser le règlement et la rectification des comptes présentés plus de dix</w:t>
            </w:r>
            <w:r w:rsidRPr="00E27354">
              <w:rPr>
                <w:sz w:val="20"/>
              </w:rPr>
              <w:noBreakHyphen/>
              <w:t>huit mois calendaires après la date du trafic auxquels ces comptes se rapportent.</w:t>
            </w:r>
          </w:p>
        </w:tc>
        <w:tc>
          <w:tcPr>
            <w:tcW w:w="2911" w:type="dxa"/>
          </w:tcPr>
          <w:p w14:paraId="188BCDC9" w14:textId="3490FC1D"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applicable.</w:t>
            </w:r>
          </w:p>
          <w:p w14:paraId="31DE8F83" w14:textId="4A208E5A"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applicable.</w:t>
            </w:r>
          </w:p>
          <w:p w14:paraId="1B7FF38E" w14:textId="325F8D2C"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554" w:type="dxa"/>
          </w:tcPr>
          <w:p w14:paraId="7A0CCB58" w14:textId="49B30D4B"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 n</w:t>
            </w:r>
            <w:r w:rsidR="00622BAC" w:rsidRPr="00E27354">
              <w:rPr>
                <w:sz w:val="20"/>
              </w:rPr>
              <w:t>'</w:t>
            </w:r>
            <w:r w:rsidRPr="00E27354">
              <w:rPr>
                <w:sz w:val="20"/>
              </w:rPr>
              <w:t>a pas besoin d</w:t>
            </w:r>
            <w:r w:rsidR="00622BAC" w:rsidRPr="00E27354">
              <w:rPr>
                <w:sz w:val="20"/>
              </w:rPr>
              <w:t>'</w:t>
            </w:r>
            <w:r w:rsidRPr="00E27354">
              <w:rPr>
                <w:sz w:val="20"/>
              </w:rPr>
              <w:t>être modifié puisqu</w:t>
            </w:r>
            <w:r w:rsidR="00622BAC" w:rsidRPr="00E27354">
              <w:rPr>
                <w:sz w:val="20"/>
              </w:rPr>
              <w:t>'</w:t>
            </w:r>
            <w:r w:rsidRPr="00E27354">
              <w:rPr>
                <w:sz w:val="20"/>
              </w:rPr>
              <w:t>il est souple.</w:t>
            </w:r>
          </w:p>
          <w:p w14:paraId="57E1E0B5" w14:textId="033ED3FA" w:rsidR="00F44A82" w:rsidRPr="00E27354" w:rsidRDefault="00F44A82" w:rsidP="00F44A82">
            <w:pPr>
              <w:pStyle w:val="Tabletext"/>
              <w:rPr>
                <w:sz w:val="20"/>
              </w:rPr>
            </w:pPr>
            <w:r w:rsidRPr="00E27354">
              <w:rPr>
                <w:sz w:val="20"/>
              </w:rPr>
              <w:t>Certains membres ont estimé que l</w:t>
            </w:r>
            <w:r w:rsidR="00622BAC" w:rsidRPr="00E27354">
              <w:rPr>
                <w:sz w:val="20"/>
              </w:rPr>
              <w:t>'</w:t>
            </w:r>
            <w:r w:rsidRPr="00E27354">
              <w:rPr>
                <w:sz w:val="20"/>
              </w:rPr>
              <w:t>Appendice 2</w:t>
            </w:r>
            <w:r w:rsidRPr="00E27354">
              <w:t xml:space="preserve"> </w:t>
            </w:r>
            <w:r w:rsidRPr="00E27354">
              <w:rPr>
                <w:sz w:val="20"/>
              </w:rPr>
              <w:t>n</w:t>
            </w:r>
            <w:r w:rsidR="00622BAC" w:rsidRPr="00E27354">
              <w:rPr>
                <w:sz w:val="20"/>
              </w:rPr>
              <w:t>'</w:t>
            </w:r>
            <w:r w:rsidRPr="00E27354">
              <w:rPr>
                <w:sz w:val="20"/>
              </w:rPr>
              <w:t>est pas nécessaire, puisqu</w:t>
            </w:r>
            <w:r w:rsidR="00622BAC" w:rsidRPr="00E27354">
              <w:rPr>
                <w:sz w:val="20"/>
              </w:rPr>
              <w:t>'</w:t>
            </w:r>
            <w:r w:rsidRPr="00E27354">
              <w:rPr>
                <w:sz w:val="20"/>
              </w:rPr>
              <w:t>il n</w:t>
            </w:r>
            <w:r w:rsidR="00622BAC" w:rsidRPr="00E27354">
              <w:rPr>
                <w:sz w:val="20"/>
              </w:rPr>
              <w:t>'</w:t>
            </w:r>
            <w:r w:rsidRPr="00E27354">
              <w:rPr>
                <w:sz w:val="20"/>
              </w:rPr>
              <w:t>est plus souple.</w:t>
            </w:r>
          </w:p>
          <w:p w14:paraId="16AF4C41" w14:textId="53B202B2" w:rsidR="00F44A82" w:rsidRPr="00E27354" w:rsidRDefault="00F44A82" w:rsidP="00F44A82">
            <w:pPr>
              <w:pStyle w:val="Tabletext"/>
              <w:rPr>
                <w:sz w:val="20"/>
              </w:rPr>
            </w:pPr>
            <w:r w:rsidRPr="00E27354">
              <w:rPr>
                <w:sz w:val="20"/>
              </w:rPr>
              <w:t>Certains autres membres ont fait valoir que l</w:t>
            </w:r>
            <w:r w:rsidR="00622BAC" w:rsidRPr="00E27354">
              <w:rPr>
                <w:sz w:val="20"/>
              </w:rPr>
              <w:t>'</w:t>
            </w:r>
            <w:r w:rsidRPr="00E27354">
              <w:rPr>
                <w:sz w:val="20"/>
              </w:rPr>
              <w:t>Appendice 2 doit être mis à jour afin de tenir compte des évolutions constatées dans la fourniture des services de télécommunication/TIC à l</w:t>
            </w:r>
            <w:r w:rsidR="00622BAC" w:rsidRPr="00E27354">
              <w:rPr>
                <w:sz w:val="20"/>
              </w:rPr>
              <w:t>'</w:t>
            </w:r>
            <w:r w:rsidRPr="00E27354">
              <w:rPr>
                <w:sz w:val="20"/>
              </w:rPr>
              <w:t>utilisateur final.</w:t>
            </w:r>
          </w:p>
        </w:tc>
        <w:tc>
          <w:tcPr>
            <w:tcW w:w="2375" w:type="dxa"/>
          </w:tcPr>
          <w:p w14:paraId="2BDD434F" w14:textId="2AEDAFD7"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a pas besoin d</w:t>
            </w:r>
            <w:r w:rsidR="00622BAC" w:rsidRPr="00E27354">
              <w:rPr>
                <w:sz w:val="20"/>
              </w:rPr>
              <w:t>'</w:t>
            </w:r>
            <w:r w:rsidRPr="00E27354">
              <w:rPr>
                <w:sz w:val="20"/>
              </w:rPr>
              <w:t>être modifiée puisqu</w:t>
            </w:r>
            <w:r w:rsidR="00622BAC" w:rsidRPr="00E27354">
              <w:rPr>
                <w:sz w:val="20"/>
              </w:rPr>
              <w:t>'</w:t>
            </w:r>
            <w:r w:rsidRPr="00E27354">
              <w:rPr>
                <w:sz w:val="20"/>
              </w:rPr>
              <w:t>elle est applicable et souple.</w:t>
            </w:r>
          </w:p>
          <w:p w14:paraId="5E0D1FE5" w14:textId="03FA0AE7" w:rsidR="00F44A82" w:rsidRPr="00E27354" w:rsidRDefault="00F44A82" w:rsidP="00F44A82">
            <w:pPr>
              <w:pStyle w:val="Tabletext"/>
              <w:rPr>
                <w:sz w:val="20"/>
              </w:rPr>
            </w:pPr>
            <w:r w:rsidRPr="00E27354">
              <w:rPr>
                <w:sz w:val="20"/>
              </w:rPr>
              <w:t>Certains membres ont estimé que cette disposition n</w:t>
            </w:r>
            <w:r w:rsidR="00622BAC" w:rsidRPr="00E27354">
              <w:rPr>
                <w:sz w:val="20"/>
              </w:rPr>
              <w:t>'</w:t>
            </w:r>
            <w:r w:rsidRPr="00E27354">
              <w:rPr>
                <w:sz w:val="20"/>
              </w:rPr>
              <w:t>est pas nécessaire, puisqu</w:t>
            </w:r>
            <w:r w:rsidR="00622BAC" w:rsidRPr="00E27354">
              <w:rPr>
                <w:sz w:val="20"/>
              </w:rPr>
              <w:t>'</w:t>
            </w:r>
            <w:r w:rsidRPr="00E27354">
              <w:rPr>
                <w:sz w:val="20"/>
              </w:rPr>
              <w:t>elle n</w:t>
            </w:r>
            <w:r w:rsidR="00622BAC" w:rsidRPr="00E27354">
              <w:rPr>
                <w:sz w:val="20"/>
              </w:rPr>
              <w:t>'</w:t>
            </w:r>
            <w:r w:rsidRPr="00E27354">
              <w:rPr>
                <w:sz w:val="20"/>
              </w:rPr>
              <w:t>est plus applicable ni souple.</w:t>
            </w:r>
          </w:p>
        </w:tc>
      </w:tr>
    </w:tbl>
    <w:p w14:paraId="15EB967A" w14:textId="77777777" w:rsidR="00910033" w:rsidRPr="00E27354" w:rsidRDefault="00910033" w:rsidP="00F44A82">
      <w:pPr>
        <w:pStyle w:val="Reasons"/>
      </w:pPr>
    </w:p>
    <w:p w14:paraId="4324B86B" w14:textId="1F4DD74A" w:rsidR="00DA34E6" w:rsidRPr="00E27354" w:rsidRDefault="00910033" w:rsidP="00F44A82">
      <w:pPr>
        <w:jc w:val="center"/>
      </w:pPr>
      <w:r w:rsidRPr="00E27354">
        <w:t>______________</w:t>
      </w:r>
    </w:p>
    <w:sectPr w:rsidR="00DA34E6" w:rsidRPr="00E27354" w:rsidSect="00217597">
      <w:headerReference w:type="even" r:id="rId20"/>
      <w:headerReference w:type="default" r:id="rId21"/>
      <w:footerReference w:type="even" r:id="rId22"/>
      <w:footerReference w:type="default" r:id="rId23"/>
      <w:headerReference w:type="first" r:id="rId24"/>
      <w:footerReference w:type="first" r:id="rId25"/>
      <w:pgSz w:w="16840" w:h="11907" w:orient="landscape"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F4B5" w14:textId="77777777" w:rsidR="009F5402" w:rsidRDefault="009F5402">
      <w:r>
        <w:separator/>
      </w:r>
    </w:p>
  </w:endnote>
  <w:endnote w:type="continuationSeparator" w:id="0">
    <w:p w14:paraId="41BD427B" w14:textId="77777777" w:rsidR="009F5402" w:rsidRDefault="009F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483F" w14:textId="39AB497F" w:rsidR="009F5402" w:rsidRPr="009A6E8A" w:rsidRDefault="007711C6" w:rsidP="00845623">
    <w:pPr>
      <w:pStyle w:val="Footer"/>
      <w:rPr>
        <w:color w:val="D9D9D9" w:themeColor="background1" w:themeShade="D9"/>
      </w:rPr>
    </w:pPr>
    <w:r w:rsidRPr="009A6E8A">
      <w:rPr>
        <w:color w:val="D9D9D9" w:themeColor="background1" w:themeShade="D9"/>
      </w:rPr>
      <w:fldChar w:fldCharType="begin"/>
    </w:r>
    <w:r w:rsidRPr="009A6E8A">
      <w:rPr>
        <w:color w:val="D9D9D9" w:themeColor="background1" w:themeShade="D9"/>
      </w:rPr>
      <w:instrText xml:space="preserve"> FILENAME \p  \* MERGEFORMAT </w:instrText>
    </w:r>
    <w:r w:rsidRPr="009A6E8A">
      <w:rPr>
        <w:color w:val="D9D9D9" w:themeColor="background1" w:themeShade="D9"/>
      </w:rPr>
      <w:fldChar w:fldCharType="separate"/>
    </w:r>
    <w:r w:rsidR="009F5402" w:rsidRPr="009A6E8A">
      <w:rPr>
        <w:color w:val="D9D9D9" w:themeColor="background1" w:themeShade="D9"/>
      </w:rPr>
      <w:t>P:\FRA\SG\CONSEIL\EG-ITR\EG-ITR-4\000\008F.docx</w:t>
    </w:r>
    <w:r w:rsidRPr="009A6E8A">
      <w:rPr>
        <w:color w:val="D9D9D9" w:themeColor="background1" w:themeShade="D9"/>
      </w:rPr>
      <w:fldChar w:fldCharType="end"/>
    </w:r>
    <w:r w:rsidR="009F5402" w:rsidRPr="009A6E8A">
      <w:rPr>
        <w:color w:val="D9D9D9" w:themeColor="background1" w:themeShade="D9"/>
      </w:rPr>
      <w:t xml:space="preserve"> (486031)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F844" w14:textId="77777777" w:rsidR="009F5402" w:rsidRDefault="009F5402" w:rsidP="00FD0441">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F465" w14:textId="04BBED92" w:rsidR="009F5402" w:rsidRPr="00474A8E" w:rsidRDefault="009F5402">
    <w:pPr>
      <w:pStyle w:val="Footer"/>
      <w:rPr>
        <w:lang w:val="en-US"/>
      </w:rPr>
    </w:pPr>
    <w:r>
      <w:fldChar w:fldCharType="begin"/>
    </w:r>
    <w:r w:rsidRPr="00474A8E">
      <w:rPr>
        <w:lang w:val="en-US"/>
      </w:rPr>
      <w:instrText xml:space="preserve"> FILENAME \p \* MERGEFORMAT </w:instrText>
    </w:r>
    <w:r>
      <w:fldChar w:fldCharType="separate"/>
    </w:r>
    <w:r>
      <w:rPr>
        <w:lang w:val="en-US"/>
      </w:rPr>
      <w:t>P:\FRA\SG\CONSEIL\EG-ITR\EG-ITR-4\000\001F.docx</w:t>
    </w:r>
    <w:r>
      <w:fldChar w:fldCharType="end"/>
    </w:r>
    <w:r w:rsidRPr="00474A8E">
      <w:rPr>
        <w:lang w:val="en-US"/>
      </w:rPr>
      <w:tab/>
    </w:r>
    <w:r>
      <w:fldChar w:fldCharType="begin"/>
    </w:r>
    <w:r>
      <w:instrText xml:space="preserve"> savedate \@ dd.MM.yy </w:instrText>
    </w:r>
    <w:r>
      <w:fldChar w:fldCharType="separate"/>
    </w:r>
    <w:r w:rsidR="009A6E8A">
      <w:t>14.04.21</w:t>
    </w:r>
    <w:r>
      <w:fldChar w:fldCharType="end"/>
    </w:r>
    <w:r w:rsidRPr="00474A8E">
      <w:rPr>
        <w:lang w:val="en-US"/>
      </w:rPr>
      <w:tab/>
    </w:r>
    <w:r>
      <w:fldChar w:fldCharType="begin"/>
    </w:r>
    <w:r>
      <w:instrText xml:space="preserve"> printdate \@ dd.MM.yy </w:instrText>
    </w:r>
    <w:r>
      <w:fldChar w:fldCharType="separate"/>
    </w:r>
    <w:r>
      <w:t>18.07.00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52F7" w14:textId="5E89C731" w:rsidR="009F5402" w:rsidRPr="009A6E8A" w:rsidRDefault="007711C6" w:rsidP="00845623">
    <w:pPr>
      <w:pStyle w:val="Footer"/>
      <w:rPr>
        <w:color w:val="D9D9D9" w:themeColor="background1" w:themeShade="D9"/>
        <w:lang w:val="en-US"/>
      </w:rPr>
    </w:pPr>
    <w:r w:rsidRPr="009A6E8A">
      <w:rPr>
        <w:color w:val="D9D9D9" w:themeColor="background1" w:themeShade="D9"/>
      </w:rPr>
      <w:fldChar w:fldCharType="begin"/>
    </w:r>
    <w:r w:rsidRPr="009A6E8A">
      <w:rPr>
        <w:color w:val="D9D9D9" w:themeColor="background1" w:themeShade="D9"/>
      </w:rPr>
      <w:instrText xml:space="preserve"> FILENAME \p  \* MERGEFORMAT </w:instrText>
    </w:r>
    <w:r w:rsidRPr="009A6E8A">
      <w:rPr>
        <w:color w:val="D9D9D9" w:themeColor="background1" w:themeShade="D9"/>
      </w:rPr>
      <w:fldChar w:fldCharType="separate"/>
    </w:r>
    <w:r w:rsidR="009F5402" w:rsidRPr="009A6E8A">
      <w:rPr>
        <w:color w:val="D9D9D9" w:themeColor="background1" w:themeShade="D9"/>
      </w:rPr>
      <w:t>P:\FRA\SG\CONSEIL\EG-ITR\EG-ITR-4\000\008F.docx</w:t>
    </w:r>
    <w:r w:rsidRPr="009A6E8A">
      <w:rPr>
        <w:color w:val="D9D9D9" w:themeColor="background1" w:themeShade="D9"/>
      </w:rPr>
      <w:fldChar w:fldCharType="end"/>
    </w:r>
    <w:r w:rsidR="009F5402" w:rsidRPr="009A6E8A">
      <w:rPr>
        <w:color w:val="D9D9D9" w:themeColor="background1" w:themeShade="D9"/>
      </w:rPr>
      <w:t xml:space="preserve"> (486031)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DA16" w14:textId="6F37148E" w:rsidR="009F5402" w:rsidRPr="009A6E8A" w:rsidRDefault="007711C6" w:rsidP="00845623">
    <w:pPr>
      <w:pStyle w:val="Footer"/>
      <w:rPr>
        <w:color w:val="D9D9D9" w:themeColor="background1" w:themeShade="D9"/>
      </w:rPr>
    </w:pPr>
    <w:r w:rsidRPr="009A6E8A">
      <w:rPr>
        <w:color w:val="D9D9D9" w:themeColor="background1" w:themeShade="D9"/>
      </w:rPr>
      <w:fldChar w:fldCharType="begin"/>
    </w:r>
    <w:r w:rsidRPr="009A6E8A">
      <w:rPr>
        <w:color w:val="D9D9D9" w:themeColor="background1" w:themeShade="D9"/>
      </w:rPr>
      <w:instrText xml:space="preserve"> FILENAME \p  \* MERGEFORMAT </w:instrText>
    </w:r>
    <w:r w:rsidRPr="009A6E8A">
      <w:rPr>
        <w:color w:val="D9D9D9" w:themeColor="background1" w:themeShade="D9"/>
      </w:rPr>
      <w:fldChar w:fldCharType="separate"/>
    </w:r>
    <w:r w:rsidR="009F5402" w:rsidRPr="009A6E8A">
      <w:rPr>
        <w:color w:val="D9D9D9" w:themeColor="background1" w:themeShade="D9"/>
      </w:rPr>
      <w:t>P:\FRA\SG\CONSEIL\EG-ITR\EG-ITR-4\000\008F.docx</w:t>
    </w:r>
    <w:r w:rsidRPr="009A6E8A">
      <w:rPr>
        <w:color w:val="D9D9D9" w:themeColor="background1" w:themeShade="D9"/>
      </w:rPr>
      <w:fldChar w:fldCharType="end"/>
    </w:r>
    <w:r w:rsidR="009F5402" w:rsidRPr="009A6E8A">
      <w:rPr>
        <w:color w:val="D9D9D9" w:themeColor="background1" w:themeShade="D9"/>
      </w:rPr>
      <w:t xml:space="preserve"> (486031)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75F0" w14:textId="77777777" w:rsidR="009F5402" w:rsidRDefault="009F5402">
      <w:r>
        <w:t>____________________</w:t>
      </w:r>
    </w:p>
  </w:footnote>
  <w:footnote w:type="continuationSeparator" w:id="0">
    <w:p w14:paraId="2CB6BAF4" w14:textId="77777777" w:rsidR="009F5402" w:rsidRDefault="009F5402">
      <w:r>
        <w:continuationSeparator/>
      </w:r>
    </w:p>
  </w:footnote>
  <w:footnote w:id="1">
    <w:p w14:paraId="721E74D4" w14:textId="27C928EC" w:rsidR="009F5402" w:rsidRPr="007711C6" w:rsidRDefault="009F5402" w:rsidP="005010B8">
      <w:pPr>
        <w:spacing w:after="120"/>
        <w:rPr>
          <w:sz w:val="22"/>
          <w:szCs w:val="22"/>
        </w:rPr>
      </w:pPr>
      <w:r>
        <w:rPr>
          <w:rStyle w:val="FootnoteReference"/>
        </w:rPr>
        <w:footnoteRef/>
      </w:r>
      <w:r w:rsidR="007711C6">
        <w:tab/>
      </w:r>
      <w:r w:rsidRPr="007711C6">
        <w:rPr>
          <w:sz w:val="22"/>
          <w:szCs w:val="22"/>
        </w:rPr>
        <w:t xml:space="preserve">Article 14: </w:t>
      </w:r>
      <w:r w:rsidRPr="007711C6">
        <w:rPr>
          <w:rFonts w:asciiTheme="minorHAnsi" w:hAnsiTheme="minorHAnsi"/>
          <w:sz w:val="22"/>
          <w:szCs w:val="22"/>
        </w:rPr>
        <w:t>Certains membres ont estimé que les critères d'examen "</w:t>
      </w:r>
      <w:r w:rsidRPr="007711C6">
        <w:rPr>
          <w:rFonts w:asciiTheme="minorHAnsi" w:hAnsiTheme="minorHAnsi"/>
          <w:i/>
          <w:iCs/>
          <w:sz w:val="22"/>
          <w:szCs w:val="22"/>
        </w:rPr>
        <w:t xml:space="preserve">Applicabilité </w:t>
      </w:r>
      <w:r w:rsidRPr="007711C6">
        <w:rPr>
          <w:i/>
          <w:iCs/>
          <w:sz w:val="22"/>
          <w:szCs w:val="22"/>
        </w:rPr>
        <w:t>pour ce qui est de favoriser la fourniture et le développement des réseaux et des services</w:t>
      </w:r>
      <w:r w:rsidRPr="007711C6">
        <w:rPr>
          <w:sz w:val="22"/>
          <w:szCs w:val="22"/>
        </w:rPr>
        <w:t>" et "</w:t>
      </w:r>
      <w:r w:rsidRPr="007711C6">
        <w:rPr>
          <w:i/>
          <w:iCs/>
          <w:sz w:val="22"/>
          <w:szCs w:val="22"/>
        </w:rPr>
        <w:t>Souplesse pour tenir compte des nouvelles tendances et des nouveaux problèmes qui se font jour</w:t>
      </w:r>
      <w:r w:rsidRPr="007711C6">
        <w:rPr>
          <w:sz w:val="22"/>
          <w:szCs w:val="22"/>
        </w:rPr>
        <w:t>" ne sont pas pertinents pour ces dispositions et ont demandé l'avis du Conseiller juridique de l'UIT sur cette question. Le Conseiller juridique a formulé l'avis selon lequel ces dispositions sont factuelles et donnent les modalités liées à la mise en œuvre du traité. De l'avis de certains membres, les participants à la réunion devraient s'abstenir d'examiner l'applicabilité sur le plan juridique de ces dispositions, puisque ces questions ne relèvent pas du mandat du Groupe. et les critères d'examen "</w:t>
      </w:r>
      <w:r w:rsidRPr="007711C6">
        <w:rPr>
          <w:i/>
          <w:iCs/>
          <w:sz w:val="22"/>
          <w:szCs w:val="22"/>
        </w:rPr>
        <w:t>Applicabilité pour ce qui est de favoriser la fourniture et le développement des réseaux et des services</w:t>
      </w:r>
      <w:r w:rsidRPr="007711C6">
        <w:rPr>
          <w:sz w:val="22"/>
          <w:szCs w:val="22"/>
        </w:rPr>
        <w:t>" et "</w:t>
      </w:r>
      <w:r w:rsidRPr="007711C6">
        <w:rPr>
          <w:i/>
          <w:iCs/>
          <w:sz w:val="22"/>
          <w:szCs w:val="22"/>
        </w:rPr>
        <w:t>Souplesse pour tenir compte des nouvelles tendances et des nouveaux problèmes qui se font jour</w:t>
      </w:r>
      <w:r w:rsidRPr="007711C6">
        <w:rPr>
          <w:sz w:val="22"/>
          <w:szCs w:val="22"/>
        </w:rPr>
        <w:t xml:space="preserve">" restent pertinents à l'égard des dispositions de l'Article 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D7A7" w14:textId="425886AB" w:rsidR="009F5402" w:rsidRDefault="009F5402" w:rsidP="00FD0441">
    <w:pPr>
      <w:pStyle w:val="Header"/>
    </w:pPr>
    <w:r>
      <w:fldChar w:fldCharType="begin"/>
    </w:r>
    <w:r>
      <w:instrText>PAGE</w:instrText>
    </w:r>
    <w:r>
      <w:fldChar w:fldCharType="separate"/>
    </w:r>
    <w:r w:rsidR="007711C6">
      <w:rPr>
        <w:noProof/>
      </w:rPr>
      <w:t>6</w:t>
    </w:r>
    <w:r>
      <w:rPr>
        <w:noProof/>
      </w:rPr>
      <w:fldChar w:fldCharType="end"/>
    </w:r>
  </w:p>
  <w:p w14:paraId="259FF092" w14:textId="12568652" w:rsidR="009F5402" w:rsidRDefault="009F5402" w:rsidP="00FD0441">
    <w:pPr>
      <w:pStyle w:val="Header"/>
    </w:pPr>
    <w:r>
      <w:rPr>
        <w:noProof/>
      </w:rPr>
      <w:t>EG-ITRs-4\8-F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04F9" w14:textId="77777777" w:rsidR="009F5402" w:rsidRDefault="009F5402">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42393A8" w14:textId="77777777" w:rsidR="009F5402" w:rsidRDefault="009F5402">
    <w:pPr>
      <w:pStyle w:val="Header"/>
    </w:pPr>
    <w:r>
      <w:t>C2001/#-F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3611" w14:textId="750FB24E" w:rsidR="009F5402" w:rsidRDefault="009F5402" w:rsidP="00475FB3">
    <w:pPr>
      <w:pStyle w:val="Header"/>
    </w:pPr>
    <w:r>
      <w:fldChar w:fldCharType="begin"/>
    </w:r>
    <w:r>
      <w:instrText>PAGE</w:instrText>
    </w:r>
    <w:r>
      <w:fldChar w:fldCharType="separate"/>
    </w:r>
    <w:r w:rsidR="007711C6">
      <w:rPr>
        <w:noProof/>
      </w:rPr>
      <w:t>27</w:t>
    </w:r>
    <w:r>
      <w:rPr>
        <w:noProof/>
      </w:rPr>
      <w:fldChar w:fldCharType="end"/>
    </w:r>
  </w:p>
  <w:p w14:paraId="13E058D8" w14:textId="20BD0394" w:rsidR="009F5402" w:rsidRDefault="009F5402" w:rsidP="0093234A">
    <w:pPr>
      <w:pStyle w:val="Header"/>
      <w:rPr>
        <w:noProof/>
      </w:rPr>
    </w:pPr>
    <w:r>
      <w:rPr>
        <w:noProof/>
      </w:rPr>
      <w:t>EG-ITRs-4\8-F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3A36" w14:textId="61B71221" w:rsidR="009F5402" w:rsidRDefault="009F5402" w:rsidP="00217597">
    <w:pPr>
      <w:pStyle w:val="Header"/>
    </w:pPr>
    <w:r>
      <w:fldChar w:fldCharType="begin"/>
    </w:r>
    <w:r>
      <w:instrText>PAGE</w:instrText>
    </w:r>
    <w:r>
      <w:fldChar w:fldCharType="separate"/>
    </w:r>
    <w:r w:rsidR="007711C6">
      <w:rPr>
        <w:noProof/>
      </w:rPr>
      <w:t>7</w:t>
    </w:r>
    <w:r>
      <w:rPr>
        <w:noProof/>
      </w:rPr>
      <w:fldChar w:fldCharType="end"/>
    </w:r>
  </w:p>
  <w:p w14:paraId="0EF0BF9D" w14:textId="0564EF56" w:rsidR="009F5402" w:rsidRDefault="009F5402" w:rsidP="00217597">
    <w:pPr>
      <w:pStyle w:val="Header"/>
    </w:pPr>
    <w:r>
      <w:rPr>
        <w:noProof/>
      </w:rPr>
      <w:t>EG-ITRs-4\8-F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C286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24C5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245E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2A92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4885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280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16A5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B048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30F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D665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D519DE"/>
    <w:multiLevelType w:val="hybridMultilevel"/>
    <w:tmpl w:val="B4DC05C8"/>
    <w:lvl w:ilvl="0" w:tplc="6666E85C">
      <w:start w:val="6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8E2959"/>
    <w:multiLevelType w:val="hybridMultilevel"/>
    <w:tmpl w:val="D8FE1DBA"/>
    <w:lvl w:ilvl="0" w:tplc="A3AEBF9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BC8"/>
    <w:rsid w:val="00000665"/>
    <w:rsid w:val="00033ECE"/>
    <w:rsid w:val="0004751A"/>
    <w:rsid w:val="000607F8"/>
    <w:rsid w:val="00073D56"/>
    <w:rsid w:val="00093368"/>
    <w:rsid w:val="0009744C"/>
    <w:rsid w:val="00097E41"/>
    <w:rsid w:val="000D0D0A"/>
    <w:rsid w:val="000D7252"/>
    <w:rsid w:val="000F4533"/>
    <w:rsid w:val="000F6740"/>
    <w:rsid w:val="00103163"/>
    <w:rsid w:val="001031A2"/>
    <w:rsid w:val="001129FE"/>
    <w:rsid w:val="00115D93"/>
    <w:rsid w:val="001215B7"/>
    <w:rsid w:val="001247A8"/>
    <w:rsid w:val="00125DAB"/>
    <w:rsid w:val="001378C0"/>
    <w:rsid w:val="0013793C"/>
    <w:rsid w:val="001628A2"/>
    <w:rsid w:val="001737F4"/>
    <w:rsid w:val="0018694A"/>
    <w:rsid w:val="0019401D"/>
    <w:rsid w:val="001A1D46"/>
    <w:rsid w:val="001A3287"/>
    <w:rsid w:val="001A6508"/>
    <w:rsid w:val="001B26E5"/>
    <w:rsid w:val="001D12D8"/>
    <w:rsid w:val="001D4C31"/>
    <w:rsid w:val="001E4D21"/>
    <w:rsid w:val="001F07E1"/>
    <w:rsid w:val="00207CD1"/>
    <w:rsid w:val="00217597"/>
    <w:rsid w:val="00220608"/>
    <w:rsid w:val="0023668D"/>
    <w:rsid w:val="0024458C"/>
    <w:rsid w:val="002477A2"/>
    <w:rsid w:val="002607B6"/>
    <w:rsid w:val="00263A51"/>
    <w:rsid w:val="00267E02"/>
    <w:rsid w:val="002960F9"/>
    <w:rsid w:val="002A5D44"/>
    <w:rsid w:val="002B0C1B"/>
    <w:rsid w:val="002B4C59"/>
    <w:rsid w:val="002E0BC4"/>
    <w:rsid w:val="002F1B76"/>
    <w:rsid w:val="00300B41"/>
    <w:rsid w:val="003504D7"/>
    <w:rsid w:val="00355FF5"/>
    <w:rsid w:val="00361350"/>
    <w:rsid w:val="003667D9"/>
    <w:rsid w:val="00384028"/>
    <w:rsid w:val="0038495D"/>
    <w:rsid w:val="00387E79"/>
    <w:rsid w:val="003C2B39"/>
    <w:rsid w:val="003F3E63"/>
    <w:rsid w:val="003F52E9"/>
    <w:rsid w:val="003F67E9"/>
    <w:rsid w:val="004038CB"/>
    <w:rsid w:val="0040546F"/>
    <w:rsid w:val="00407A70"/>
    <w:rsid w:val="004112C4"/>
    <w:rsid w:val="0042404A"/>
    <w:rsid w:val="0042535D"/>
    <w:rsid w:val="0044618F"/>
    <w:rsid w:val="0046769A"/>
    <w:rsid w:val="00474A8E"/>
    <w:rsid w:val="00475FB3"/>
    <w:rsid w:val="00496980"/>
    <w:rsid w:val="004A45BA"/>
    <w:rsid w:val="004C37A9"/>
    <w:rsid w:val="004F259E"/>
    <w:rsid w:val="004F2732"/>
    <w:rsid w:val="005010B8"/>
    <w:rsid w:val="00505298"/>
    <w:rsid w:val="00511F1D"/>
    <w:rsid w:val="00520F36"/>
    <w:rsid w:val="00540615"/>
    <w:rsid w:val="00540A6D"/>
    <w:rsid w:val="005505B0"/>
    <w:rsid w:val="00571EEA"/>
    <w:rsid w:val="00575417"/>
    <w:rsid w:val="005768E1"/>
    <w:rsid w:val="00577C29"/>
    <w:rsid w:val="005A5257"/>
    <w:rsid w:val="005A6DF9"/>
    <w:rsid w:val="005B66A0"/>
    <w:rsid w:val="005C3890"/>
    <w:rsid w:val="005C6968"/>
    <w:rsid w:val="005F7BFE"/>
    <w:rsid w:val="00600017"/>
    <w:rsid w:val="00606669"/>
    <w:rsid w:val="00622BAC"/>
    <w:rsid w:val="006235CA"/>
    <w:rsid w:val="00640C7E"/>
    <w:rsid w:val="00660657"/>
    <w:rsid w:val="006643AB"/>
    <w:rsid w:val="00666E00"/>
    <w:rsid w:val="00686964"/>
    <w:rsid w:val="006A2653"/>
    <w:rsid w:val="006A65F3"/>
    <w:rsid w:val="006A6A60"/>
    <w:rsid w:val="006B3E22"/>
    <w:rsid w:val="007161E7"/>
    <w:rsid w:val="007210CD"/>
    <w:rsid w:val="00721745"/>
    <w:rsid w:val="00723857"/>
    <w:rsid w:val="00732045"/>
    <w:rsid w:val="00732106"/>
    <w:rsid w:val="007369DB"/>
    <w:rsid w:val="007711C6"/>
    <w:rsid w:val="007956C2"/>
    <w:rsid w:val="007A187E"/>
    <w:rsid w:val="007C72C2"/>
    <w:rsid w:val="007D4436"/>
    <w:rsid w:val="007F257A"/>
    <w:rsid w:val="007F3665"/>
    <w:rsid w:val="007F38ED"/>
    <w:rsid w:val="00800037"/>
    <w:rsid w:val="0081493E"/>
    <w:rsid w:val="00817DF0"/>
    <w:rsid w:val="00822A38"/>
    <w:rsid w:val="00845623"/>
    <w:rsid w:val="00852808"/>
    <w:rsid w:val="0085299F"/>
    <w:rsid w:val="008564E4"/>
    <w:rsid w:val="008619EB"/>
    <w:rsid w:val="00861D73"/>
    <w:rsid w:val="0086375E"/>
    <w:rsid w:val="008652DB"/>
    <w:rsid w:val="0088044F"/>
    <w:rsid w:val="008A4E87"/>
    <w:rsid w:val="008D76E6"/>
    <w:rsid w:val="008E18A4"/>
    <w:rsid w:val="008F3C13"/>
    <w:rsid w:val="008F6261"/>
    <w:rsid w:val="00903E86"/>
    <w:rsid w:val="00910033"/>
    <w:rsid w:val="0092392D"/>
    <w:rsid w:val="009256C6"/>
    <w:rsid w:val="0093234A"/>
    <w:rsid w:val="009406E7"/>
    <w:rsid w:val="00963190"/>
    <w:rsid w:val="009634E4"/>
    <w:rsid w:val="00966142"/>
    <w:rsid w:val="00966D6D"/>
    <w:rsid w:val="00983080"/>
    <w:rsid w:val="00985D52"/>
    <w:rsid w:val="0099613D"/>
    <w:rsid w:val="009A6E8A"/>
    <w:rsid w:val="009B3BDE"/>
    <w:rsid w:val="009C307F"/>
    <w:rsid w:val="009F47F0"/>
    <w:rsid w:val="009F5402"/>
    <w:rsid w:val="00A2113E"/>
    <w:rsid w:val="00A23A51"/>
    <w:rsid w:val="00A24607"/>
    <w:rsid w:val="00A25CD3"/>
    <w:rsid w:val="00A26064"/>
    <w:rsid w:val="00A82767"/>
    <w:rsid w:val="00A91373"/>
    <w:rsid w:val="00A92723"/>
    <w:rsid w:val="00AA332F"/>
    <w:rsid w:val="00AA7BBB"/>
    <w:rsid w:val="00AB64A8"/>
    <w:rsid w:val="00AC0266"/>
    <w:rsid w:val="00AC0F2E"/>
    <w:rsid w:val="00AD24EC"/>
    <w:rsid w:val="00AD60C0"/>
    <w:rsid w:val="00AF0DC6"/>
    <w:rsid w:val="00B168F0"/>
    <w:rsid w:val="00B309F9"/>
    <w:rsid w:val="00B32B60"/>
    <w:rsid w:val="00B61619"/>
    <w:rsid w:val="00B84194"/>
    <w:rsid w:val="00B95479"/>
    <w:rsid w:val="00BB4545"/>
    <w:rsid w:val="00BB4B2A"/>
    <w:rsid w:val="00BD5873"/>
    <w:rsid w:val="00BE16D6"/>
    <w:rsid w:val="00C04BE3"/>
    <w:rsid w:val="00C25D29"/>
    <w:rsid w:val="00C27A7C"/>
    <w:rsid w:val="00C44C8B"/>
    <w:rsid w:val="00C93610"/>
    <w:rsid w:val="00C93A10"/>
    <w:rsid w:val="00CA08ED"/>
    <w:rsid w:val="00CB4D71"/>
    <w:rsid w:val="00CE1D03"/>
    <w:rsid w:val="00CF183B"/>
    <w:rsid w:val="00D06D06"/>
    <w:rsid w:val="00D12722"/>
    <w:rsid w:val="00D375CD"/>
    <w:rsid w:val="00D553A2"/>
    <w:rsid w:val="00D774D3"/>
    <w:rsid w:val="00D82A34"/>
    <w:rsid w:val="00D82F40"/>
    <w:rsid w:val="00D837AA"/>
    <w:rsid w:val="00D904E8"/>
    <w:rsid w:val="00D9655F"/>
    <w:rsid w:val="00DA08C3"/>
    <w:rsid w:val="00DA34E6"/>
    <w:rsid w:val="00DB41A3"/>
    <w:rsid w:val="00DB5A3E"/>
    <w:rsid w:val="00DC22AA"/>
    <w:rsid w:val="00DC6D1A"/>
    <w:rsid w:val="00DD228D"/>
    <w:rsid w:val="00DF0BD8"/>
    <w:rsid w:val="00DF74DD"/>
    <w:rsid w:val="00E25AD0"/>
    <w:rsid w:val="00E27354"/>
    <w:rsid w:val="00E32096"/>
    <w:rsid w:val="00E73708"/>
    <w:rsid w:val="00EB1E00"/>
    <w:rsid w:val="00EB5CF6"/>
    <w:rsid w:val="00EB6350"/>
    <w:rsid w:val="00EC1CB3"/>
    <w:rsid w:val="00EE6C42"/>
    <w:rsid w:val="00EE7EAB"/>
    <w:rsid w:val="00EF2819"/>
    <w:rsid w:val="00F02BC8"/>
    <w:rsid w:val="00F03330"/>
    <w:rsid w:val="00F06D00"/>
    <w:rsid w:val="00F15B57"/>
    <w:rsid w:val="00F27D5D"/>
    <w:rsid w:val="00F427DB"/>
    <w:rsid w:val="00F44A82"/>
    <w:rsid w:val="00F6754E"/>
    <w:rsid w:val="00F751AD"/>
    <w:rsid w:val="00FA5EB1"/>
    <w:rsid w:val="00FA7439"/>
    <w:rsid w:val="00FC4EC0"/>
    <w:rsid w:val="00FD044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0F809D3"/>
  <w15:docId w15:val="{7EF7C222-EC1D-49D1-826C-360318CC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DA34E6"/>
    <w:rPr>
      <w:rFonts w:ascii="Calibri" w:hAnsi="Calibri"/>
      <w:caps/>
      <w:noProof/>
      <w:sz w:val="16"/>
      <w:lang w:val="fr-FR" w:eastAsia="en-US"/>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DA34E6"/>
    <w:rPr>
      <w:rFonts w:ascii="Calibri" w:hAnsi="Calibri"/>
      <w:sz w:val="18"/>
      <w:lang w:val="fr-FR" w:eastAsia="en-US"/>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character" w:customStyle="1" w:styleId="FootnoteTextChar">
    <w:name w:val="Footnote Text Char"/>
    <w:basedOn w:val="DefaultParagraphFont"/>
    <w:link w:val="FootnoteText"/>
    <w:uiPriority w:val="99"/>
    <w:rsid w:val="00DA34E6"/>
    <w:rPr>
      <w:rFonts w:ascii="Calibri" w:hAnsi="Calibri"/>
      <w:sz w:val="24"/>
      <w:lang w:val="fr-FR" w:eastAsia="en-US"/>
    </w:r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character" w:customStyle="1" w:styleId="NormalaftertitleChar">
    <w:name w:val="Normal after title Char"/>
    <w:basedOn w:val="DefaultParagraphFont"/>
    <w:link w:val="Normalaftertitle"/>
    <w:rsid w:val="00DA34E6"/>
    <w:rPr>
      <w:rFonts w:ascii="Calibri" w:hAnsi="Calibri"/>
      <w:sz w:val="24"/>
      <w:lang w:val="fr-FR" w:eastAsia="en-US"/>
    </w:r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Title1">
    <w:name w:val="Title 1"/>
    <w:basedOn w:val="Source"/>
    <w:next w:val="Title2"/>
    <w:rsid w:val="00732045"/>
    <w:pPr>
      <w:spacing w:before="240"/>
    </w:pPr>
    <w:rPr>
      <w:b w:val="0"/>
      <w:caps/>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title">
    <w:name w:val="Figure_title"/>
    <w:basedOn w:val="Tabletitle"/>
    <w:next w:val="Normalaftertitle"/>
    <w:rsid w:val="005C3890"/>
    <w:pPr>
      <w:spacing w:before="240" w:after="480"/>
    </w:p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5C3890"/>
    <w:pPr>
      <w:keepNext/>
      <w:keepLines/>
      <w:spacing w:before="20" w:after="20"/>
    </w:pPr>
    <w:rPr>
      <w:sz w:val="18"/>
    </w:r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title">
    <w:name w:val="Part_title"/>
    <w:basedOn w:val="Annextitle"/>
    <w:next w:val="Partref"/>
    <w:rsid w:val="005C3890"/>
  </w:style>
  <w:style w:type="paragraph" w:customStyle="1" w:styleId="Partref">
    <w:name w:val="Part_ref"/>
    <w:basedOn w:val="Annexref"/>
    <w:next w:val="Normalaftertitle"/>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title">
    <w:name w:val="Question_title"/>
    <w:basedOn w:val="Rectitle"/>
    <w:next w:val="Questionref"/>
    <w:rsid w:val="005C3890"/>
  </w:style>
  <w:style w:type="paragraph" w:customStyle="1" w:styleId="Questionref">
    <w:name w:val="Question_ref"/>
    <w:basedOn w:val="Recref"/>
    <w:next w:val="Questiondate"/>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title">
    <w:name w:val="Rep_title"/>
    <w:basedOn w:val="Rectitle"/>
    <w:next w:val="Repref"/>
    <w:rsid w:val="005C3890"/>
  </w:style>
  <w:style w:type="paragraph" w:customStyle="1" w:styleId="Repref">
    <w:name w:val="Rep_ref"/>
    <w:basedOn w:val="Recref"/>
    <w:next w:val="Repdate"/>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title">
    <w:name w:val="Res_title"/>
    <w:basedOn w:val="Annextitle"/>
    <w:next w:val="Normal"/>
    <w:rsid w:val="00732045"/>
  </w:style>
  <w:style w:type="paragraph" w:customStyle="1" w:styleId="Resref">
    <w:name w:val="Res_ref"/>
    <w:basedOn w:val="Recref"/>
    <w:next w:val="Resdate"/>
    <w:rsid w:val="005C3890"/>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Title">
    <w:name w:val="Title"/>
    <w:basedOn w:val="Normal"/>
    <w:next w:val="Normal"/>
    <w:link w:val="TitleChar"/>
    <w:rsid w:val="00DA34E6"/>
    <w:pPr>
      <w:keepNext/>
      <w:keepLines/>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ascii="Arial" w:eastAsia="Arial" w:hAnsi="Arial" w:cs="Arial"/>
      <w:sz w:val="52"/>
      <w:szCs w:val="52"/>
      <w:lang w:val="en-GB" w:eastAsia="en-GB"/>
    </w:rPr>
  </w:style>
  <w:style w:type="character" w:customStyle="1" w:styleId="TitleChar">
    <w:name w:val="Title Char"/>
    <w:basedOn w:val="DefaultParagraphFont"/>
    <w:link w:val="Title"/>
    <w:rsid w:val="00DA34E6"/>
    <w:rPr>
      <w:rFonts w:ascii="Arial" w:eastAsia="Arial" w:hAnsi="Arial" w:cs="Arial"/>
      <w:sz w:val="52"/>
      <w:szCs w:val="52"/>
      <w:lang w:val="en-GB" w:eastAsia="en-GB"/>
    </w:rPr>
  </w:style>
  <w:style w:type="paragraph" w:styleId="Subtitle">
    <w:name w:val="Subtitle"/>
    <w:basedOn w:val="Normal"/>
    <w:next w:val="Normal"/>
    <w:link w:val="SubtitleChar"/>
    <w:rsid w:val="00DA34E6"/>
    <w:pPr>
      <w:keepNext/>
      <w:keepLines/>
      <w:tabs>
        <w:tab w:val="clear" w:pos="567"/>
        <w:tab w:val="clear" w:pos="1134"/>
        <w:tab w:val="clear" w:pos="1701"/>
        <w:tab w:val="clear" w:pos="2268"/>
        <w:tab w:val="clear" w:pos="2835"/>
      </w:tabs>
      <w:overflowPunct/>
      <w:autoSpaceDE/>
      <w:autoSpaceDN/>
      <w:adjustRightInd/>
      <w:spacing w:before="0" w:after="320" w:line="276" w:lineRule="auto"/>
      <w:textAlignment w:val="auto"/>
    </w:pPr>
    <w:rPr>
      <w:rFonts w:ascii="Arial" w:eastAsia="Arial" w:hAnsi="Arial" w:cs="Arial"/>
      <w:color w:val="666666"/>
      <w:sz w:val="30"/>
      <w:szCs w:val="30"/>
      <w:lang w:val="en-GB" w:eastAsia="en-GB"/>
    </w:rPr>
  </w:style>
  <w:style w:type="character" w:customStyle="1" w:styleId="SubtitleChar">
    <w:name w:val="Subtitle Char"/>
    <w:basedOn w:val="DefaultParagraphFont"/>
    <w:link w:val="Subtitle"/>
    <w:rsid w:val="00DA34E6"/>
    <w:rPr>
      <w:rFonts w:ascii="Arial" w:eastAsia="Arial" w:hAnsi="Arial" w:cs="Arial"/>
      <w:color w:val="666666"/>
      <w:sz w:val="30"/>
      <w:szCs w:val="30"/>
      <w:lang w:val="en-GB" w:eastAsia="en-GB"/>
    </w:rPr>
  </w:style>
  <w:style w:type="paragraph" w:styleId="CommentText">
    <w:name w:val="annotation text"/>
    <w:basedOn w:val="Normal"/>
    <w:link w:val="CommentTextChar"/>
    <w:uiPriority w:val="99"/>
    <w:semiHidden/>
    <w:unhideWhenUsed/>
    <w:rsid w:val="00DA34E6"/>
    <w:pPr>
      <w:tabs>
        <w:tab w:val="clear" w:pos="567"/>
        <w:tab w:val="clear" w:pos="1134"/>
        <w:tab w:val="clear" w:pos="1701"/>
        <w:tab w:val="clear" w:pos="2268"/>
        <w:tab w:val="clear" w:pos="2835"/>
      </w:tabs>
      <w:overflowPunct/>
      <w:autoSpaceDE/>
      <w:autoSpaceDN/>
      <w:adjustRightInd/>
      <w:spacing w:before="0"/>
      <w:textAlignment w:val="auto"/>
    </w:pPr>
    <w:rPr>
      <w:rFonts w:ascii="Arial" w:eastAsia="Arial" w:hAnsi="Arial" w:cs="Arial"/>
      <w:szCs w:val="24"/>
      <w:lang w:val="en-GB" w:eastAsia="en-GB"/>
    </w:rPr>
  </w:style>
  <w:style w:type="character" w:customStyle="1" w:styleId="CommentTextChar">
    <w:name w:val="Comment Text Char"/>
    <w:basedOn w:val="DefaultParagraphFont"/>
    <w:link w:val="CommentText"/>
    <w:uiPriority w:val="99"/>
    <w:semiHidden/>
    <w:rsid w:val="00DA34E6"/>
    <w:rPr>
      <w:rFonts w:ascii="Arial" w:eastAsia="Arial" w:hAnsi="Arial" w:cs="Arial"/>
      <w:sz w:val="24"/>
      <w:szCs w:val="24"/>
      <w:lang w:val="en-GB" w:eastAsia="en-GB"/>
    </w:rPr>
  </w:style>
  <w:style w:type="character" w:styleId="CommentReference">
    <w:name w:val="annotation reference"/>
    <w:basedOn w:val="DefaultParagraphFont"/>
    <w:uiPriority w:val="99"/>
    <w:semiHidden/>
    <w:unhideWhenUsed/>
    <w:rsid w:val="00DA34E6"/>
    <w:rPr>
      <w:sz w:val="18"/>
      <w:szCs w:val="18"/>
    </w:rPr>
  </w:style>
  <w:style w:type="paragraph" w:styleId="BalloonText">
    <w:name w:val="Balloon Text"/>
    <w:basedOn w:val="Normal"/>
    <w:link w:val="BalloonTextChar"/>
    <w:uiPriority w:val="99"/>
    <w:semiHidden/>
    <w:unhideWhenUsed/>
    <w:rsid w:val="00DA34E6"/>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Arial" w:hAnsi="Times New Roman"/>
      <w:sz w:val="18"/>
      <w:szCs w:val="18"/>
      <w:lang w:val="en-GB" w:eastAsia="en-GB"/>
    </w:rPr>
  </w:style>
  <w:style w:type="character" w:customStyle="1" w:styleId="BalloonTextChar">
    <w:name w:val="Balloon Text Char"/>
    <w:basedOn w:val="DefaultParagraphFont"/>
    <w:link w:val="BalloonText"/>
    <w:uiPriority w:val="99"/>
    <w:semiHidden/>
    <w:rsid w:val="00DA34E6"/>
    <w:rPr>
      <w:rFonts w:ascii="Times New Roman" w:eastAsia="Arial" w:hAnsi="Times New Roman"/>
      <w:sz w:val="18"/>
      <w:szCs w:val="18"/>
      <w:lang w:val="en-GB" w:eastAsia="en-GB"/>
    </w:rPr>
  </w:style>
  <w:style w:type="paragraph" w:styleId="ListParagraph">
    <w:name w:val="List Paragraph"/>
    <w:basedOn w:val="Normal"/>
    <w:uiPriority w:val="34"/>
    <w:qFormat/>
    <w:rsid w:val="00DA34E6"/>
    <w:pPr>
      <w:tabs>
        <w:tab w:val="clear" w:pos="567"/>
        <w:tab w:val="clear" w:pos="1134"/>
        <w:tab w:val="clear" w:pos="1701"/>
        <w:tab w:val="clear" w:pos="2268"/>
        <w:tab w:val="clear" w:pos="2835"/>
      </w:tabs>
      <w:overflowPunct/>
      <w:autoSpaceDE/>
      <w:autoSpaceDN/>
      <w:adjustRightInd/>
      <w:spacing w:before="0" w:line="276" w:lineRule="auto"/>
      <w:ind w:left="720"/>
      <w:contextualSpacing/>
      <w:textAlignment w:val="auto"/>
    </w:pPr>
    <w:rPr>
      <w:rFonts w:ascii="Arial" w:eastAsia="Arial" w:hAnsi="Arial" w:cs="Arial"/>
      <w:sz w:val="22"/>
      <w:szCs w:val="22"/>
      <w:lang w:val="en-GB" w:eastAsia="en-GB"/>
    </w:rPr>
  </w:style>
  <w:style w:type="paragraph" w:styleId="CommentSubject">
    <w:name w:val="annotation subject"/>
    <w:basedOn w:val="CommentText"/>
    <w:next w:val="CommentText"/>
    <w:link w:val="CommentSubjectChar"/>
    <w:uiPriority w:val="99"/>
    <w:semiHidden/>
    <w:unhideWhenUsed/>
    <w:rsid w:val="00DA34E6"/>
    <w:rPr>
      <w:b/>
      <w:bCs/>
      <w:sz w:val="20"/>
      <w:szCs w:val="20"/>
    </w:rPr>
  </w:style>
  <w:style w:type="character" w:customStyle="1" w:styleId="CommentSubjectChar">
    <w:name w:val="Comment Subject Char"/>
    <w:basedOn w:val="CommentTextChar"/>
    <w:link w:val="CommentSubject"/>
    <w:uiPriority w:val="99"/>
    <w:semiHidden/>
    <w:rsid w:val="00DA34E6"/>
    <w:rPr>
      <w:rFonts w:ascii="Arial" w:eastAsia="Arial" w:hAnsi="Arial" w:cs="Arial"/>
      <w:b/>
      <w:bCs/>
      <w:sz w:val="24"/>
      <w:szCs w:val="24"/>
      <w:lang w:val="en-GB" w:eastAsia="en-GB"/>
    </w:rPr>
  </w:style>
  <w:style w:type="paragraph" w:styleId="Revision">
    <w:name w:val="Revision"/>
    <w:hidden/>
    <w:uiPriority w:val="99"/>
    <w:semiHidden/>
    <w:rsid w:val="00DA34E6"/>
    <w:rPr>
      <w:rFonts w:ascii="Arial" w:eastAsia="Arial" w:hAnsi="Arial" w:cs="Arial"/>
      <w:sz w:val="22"/>
      <w:szCs w:val="22"/>
      <w:lang w:val="en-GB" w:eastAsia="en-GB"/>
    </w:rPr>
  </w:style>
  <w:style w:type="character" w:customStyle="1" w:styleId="UnresolvedMention1">
    <w:name w:val="Unresolved Mention1"/>
    <w:basedOn w:val="DefaultParagraphFont"/>
    <w:uiPriority w:val="99"/>
    <w:semiHidden/>
    <w:unhideWhenUsed/>
    <w:rsid w:val="00DA34E6"/>
    <w:rPr>
      <w:color w:val="605E5C"/>
      <w:shd w:val="clear" w:color="auto" w:fill="E1DFDD"/>
    </w:rPr>
  </w:style>
  <w:style w:type="paragraph" w:styleId="NormalWeb">
    <w:name w:val="Normal (Web)"/>
    <w:basedOn w:val="Normal"/>
    <w:uiPriority w:val="99"/>
    <w:semiHidden/>
    <w:unhideWhenUsed/>
    <w:rsid w:val="00DA34E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table" w:styleId="TableGrid">
    <w:name w:val="Table Grid"/>
    <w:basedOn w:val="TableNormal"/>
    <w:rsid w:val="00DA34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A34E6"/>
    <w:rPr>
      <w:color w:val="605E5C"/>
      <w:shd w:val="clear" w:color="auto" w:fill="E1DFDD"/>
    </w:rPr>
  </w:style>
  <w:style w:type="table" w:styleId="GridTable1Light-Accent1">
    <w:name w:val="Grid Table 1 Light Accent 1"/>
    <w:basedOn w:val="TableNormal"/>
    <w:uiPriority w:val="46"/>
    <w:rsid w:val="00DA34E6"/>
    <w:rPr>
      <w:rFonts w:ascii="Arial" w:eastAsia="Arial" w:hAnsi="Arial" w:cs="Arial"/>
      <w:sz w:val="22"/>
      <w:szCs w:val="22"/>
      <w:lang w:val="en-GB"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
    <w:name w:val="N"/>
    <w:basedOn w:val="Normal"/>
    <w:rsid w:val="001129FE"/>
    <w:pPr>
      <w:snapToGrid w:val="0"/>
      <w:spacing w:before="360" w:after="120"/>
      <w:jc w:val="center"/>
    </w:pPr>
    <w:rPr>
      <w:rFonts w:asciiTheme="minorHAnsi" w:hAnsiTheme="minorHAnsi" w:cs="Calibri"/>
      <w:b/>
      <w:color w:val="8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3342">
      <w:bodyDiv w:val="1"/>
      <w:marLeft w:val="0"/>
      <w:marRight w:val="0"/>
      <w:marTop w:val="0"/>
      <w:marBottom w:val="0"/>
      <w:divBdr>
        <w:top w:val="none" w:sz="0" w:space="0" w:color="auto"/>
        <w:left w:val="none" w:sz="0" w:space="0" w:color="auto"/>
        <w:bottom w:val="none" w:sz="0" w:space="0" w:color="auto"/>
        <w:right w:val="none" w:sz="0" w:space="0" w:color="auto"/>
      </w:divBdr>
    </w:div>
    <w:div w:id="489950055">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1006832712">
      <w:bodyDiv w:val="1"/>
      <w:marLeft w:val="0"/>
      <w:marRight w:val="0"/>
      <w:marTop w:val="0"/>
      <w:marBottom w:val="0"/>
      <w:divBdr>
        <w:top w:val="none" w:sz="0" w:space="0" w:color="auto"/>
        <w:left w:val="none" w:sz="0" w:space="0" w:color="auto"/>
        <w:bottom w:val="none" w:sz="0" w:space="0" w:color="auto"/>
        <w:right w:val="none" w:sz="0" w:space="0" w:color="auto"/>
      </w:divBdr>
    </w:div>
    <w:div w:id="1266812489">
      <w:bodyDiv w:val="1"/>
      <w:marLeft w:val="0"/>
      <w:marRight w:val="0"/>
      <w:marTop w:val="0"/>
      <w:marBottom w:val="0"/>
      <w:divBdr>
        <w:top w:val="none" w:sz="0" w:space="0" w:color="auto"/>
        <w:left w:val="none" w:sz="0" w:space="0" w:color="auto"/>
        <w:bottom w:val="none" w:sz="0" w:space="0" w:color="auto"/>
        <w:right w:val="none" w:sz="0" w:space="0" w:color="auto"/>
      </w:divBdr>
    </w:div>
    <w:div w:id="1448425644">
      <w:bodyDiv w:val="1"/>
      <w:marLeft w:val="0"/>
      <w:marRight w:val="0"/>
      <w:marTop w:val="0"/>
      <w:marBottom w:val="0"/>
      <w:divBdr>
        <w:top w:val="none" w:sz="0" w:space="0" w:color="auto"/>
        <w:left w:val="none" w:sz="0" w:space="0" w:color="auto"/>
        <w:bottom w:val="none" w:sz="0" w:space="0" w:color="auto"/>
        <w:right w:val="none" w:sz="0" w:space="0" w:color="auto"/>
      </w:divBdr>
    </w:div>
    <w:div w:id="1709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EGITR4-C-0005/en"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S21-EGITR4-C-0004/en"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itu.int/en/council/Pages/eg-itr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EGITR4-C-0003/en"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itu.int/md/S21-EGITR4-C-0007/en" TargetMode="External"/><Relationship Id="rId23" Type="http://schemas.openxmlformats.org/officeDocument/2006/relationships/footer" Target="footer4.xml"/><Relationship Id="rId10" Type="http://schemas.openxmlformats.org/officeDocument/2006/relationships/hyperlink" Target="https://www.itu.int/md/S21-EGITR4-C-0002/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1-EGITR4-C-0001/en" TargetMode="External"/><Relationship Id="rId14" Type="http://schemas.openxmlformats.org/officeDocument/2006/relationships/hyperlink" Target="https://www.itu.int/md/S21-EGITR4-C-0006/en" TargetMode="External"/><Relationship Id="rId22" Type="http://schemas.openxmlformats.org/officeDocument/2006/relationships/footer" Target="foot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7FD35-3D05-4D97-89CF-17088077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1</TotalTime>
  <Pages>27</Pages>
  <Words>10364</Words>
  <Characters>59842</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70066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quatrième réunion virtuelle du groupe d'experts sur le règlement des télécommunications internationales (EG-RTI)</dc:title>
  <dc:subject>EG-ITRs</dc:subject>
  <dc:creator>French</dc:creator>
  <cp:keywords>EG-ITRs</cp:keywords>
  <dc:description/>
  <cp:lastModifiedBy>Brouard, Ricarda</cp:lastModifiedBy>
  <cp:revision>2</cp:revision>
  <cp:lastPrinted>2000-07-18T08:55:00Z</cp:lastPrinted>
  <dcterms:created xsi:type="dcterms:W3CDTF">2021-04-28T06:45:00Z</dcterms:created>
  <dcterms:modified xsi:type="dcterms:W3CDTF">2021-04-28T06:45:00Z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