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71427B76" w14:textId="77777777" w:rsidTr="00FC1040">
        <w:trPr>
          <w:cantSplit/>
          <w:trHeight w:val="1306"/>
        </w:trPr>
        <w:tc>
          <w:tcPr>
            <w:tcW w:w="6973" w:type="dxa"/>
          </w:tcPr>
          <w:p w14:paraId="62F76968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48939837" w14:textId="77777777" w:rsidR="005A0F49" w:rsidRPr="00A56DA0" w:rsidRDefault="005A0F49" w:rsidP="005A0F49">
            <w:pPr>
              <w:spacing w:before="1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56DA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692B84" w:rsidRPr="00A56DA0">
              <w:rPr>
                <w:b/>
                <w:bCs/>
                <w:sz w:val="24"/>
                <w:szCs w:val="24"/>
                <w:lang w:bidi="ar-EG"/>
              </w:rPr>
              <w:t>30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سبتمبر</w:t>
            </w: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- </w:t>
            </w:r>
            <w:r w:rsidR="00692B84" w:rsidRPr="00A56DA0">
              <w:rPr>
                <w:b/>
                <w:bCs/>
                <w:sz w:val="24"/>
                <w:szCs w:val="24"/>
                <w:lang w:bidi="ar-SY"/>
              </w:rPr>
              <w:t>1</w:t>
            </w:r>
            <w:r w:rsidR="00692B84"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أكتوبر </w:t>
            </w:r>
            <w:r w:rsidR="00246CDD" w:rsidRPr="00A56DA0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699" w:type="dxa"/>
            <w:vAlign w:val="center"/>
          </w:tcPr>
          <w:p w14:paraId="61436339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77E31A09" wp14:editId="5E6AB524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655FDBB6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1E876471" w14:textId="77777777" w:rsidR="00AF6B5C" w:rsidRPr="00AF6B5C" w:rsidRDefault="00AF6B5C" w:rsidP="00370895">
            <w:pPr>
              <w:spacing w:before="40" w:after="4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4B24FF38" w14:textId="77777777" w:rsidR="00AF6B5C" w:rsidRPr="00AF6B5C" w:rsidRDefault="00AF6B5C" w:rsidP="00370895">
            <w:pPr>
              <w:spacing w:before="40" w:after="40" w:line="240" w:lineRule="exact"/>
              <w:rPr>
                <w:b/>
                <w:bCs/>
                <w:lang w:bidi="ar-EG"/>
              </w:rPr>
            </w:pPr>
          </w:p>
        </w:tc>
      </w:tr>
      <w:tr w:rsidR="00AF6B5C" w:rsidRPr="00AF6B5C" w14:paraId="15F37AB8" w14:textId="77777777" w:rsidTr="00FC1040">
        <w:trPr>
          <w:cantSplit/>
        </w:trPr>
        <w:tc>
          <w:tcPr>
            <w:tcW w:w="6973" w:type="dxa"/>
            <w:vMerge w:val="restart"/>
          </w:tcPr>
          <w:p w14:paraId="297CC330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3258DBC2" w14:textId="78174B06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246CDD">
              <w:rPr>
                <w:b/>
                <w:bCs/>
                <w:lang w:bidi="ar-EG"/>
              </w:rPr>
              <w:t>5</w:t>
            </w:r>
            <w:r w:rsidRPr="00AF6B5C">
              <w:rPr>
                <w:b/>
                <w:bCs/>
                <w:lang w:bidi="ar-EG"/>
              </w:rPr>
              <w:t>/</w:t>
            </w:r>
            <w:r w:rsidR="000E1B17">
              <w:rPr>
                <w:b/>
                <w:bCs/>
                <w:lang w:bidi="ar-EG"/>
              </w:rPr>
              <w:t>8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51A66A8F" w14:textId="77777777" w:rsidTr="00FC1040">
        <w:trPr>
          <w:cantSplit/>
        </w:trPr>
        <w:tc>
          <w:tcPr>
            <w:tcW w:w="6973" w:type="dxa"/>
            <w:vMerge/>
          </w:tcPr>
          <w:p w14:paraId="38B7A522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7846DD58" w14:textId="373809F9" w:rsidR="00AF6B5C" w:rsidRPr="00AF6B5C" w:rsidRDefault="000E1B17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16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سبتمبر </w:t>
            </w:r>
            <w:r w:rsidR="00AF6B5C">
              <w:rPr>
                <w:b/>
                <w:bCs/>
                <w:lang w:bidi="ar-EG"/>
              </w:rPr>
              <w:t>202</w:t>
            </w:r>
            <w:r w:rsidR="00435AFF">
              <w:rPr>
                <w:b/>
                <w:bCs/>
                <w:lang w:bidi="ar-EG"/>
              </w:rPr>
              <w:t>1</w:t>
            </w:r>
          </w:p>
        </w:tc>
      </w:tr>
      <w:tr w:rsidR="00AF6B5C" w:rsidRPr="00AF6B5C" w14:paraId="693AE211" w14:textId="77777777" w:rsidTr="00FC1040">
        <w:trPr>
          <w:cantSplit/>
        </w:trPr>
        <w:tc>
          <w:tcPr>
            <w:tcW w:w="6973" w:type="dxa"/>
            <w:vMerge/>
          </w:tcPr>
          <w:p w14:paraId="7852D7DF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1D3083BE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74064FC3" w14:textId="77777777" w:rsidTr="00F03E94">
        <w:trPr>
          <w:cantSplit/>
        </w:trPr>
        <w:tc>
          <w:tcPr>
            <w:tcW w:w="9672" w:type="dxa"/>
            <w:gridSpan w:val="2"/>
          </w:tcPr>
          <w:p w14:paraId="12FFA269" w14:textId="18E30061" w:rsidR="00AF6B5C" w:rsidRPr="00AF6B5C" w:rsidRDefault="008B7D59" w:rsidP="00AF6B5C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مقدمة من</w:t>
            </w:r>
            <w:r w:rsidR="000E1B17">
              <w:rPr>
                <w:rFonts w:hint="cs"/>
                <w:rtl/>
                <w:lang w:bidi="ar-EG"/>
              </w:rPr>
              <w:t xml:space="preserve"> أستراليا وكندا والولايات المتحدة الأمريكية</w:t>
            </w:r>
          </w:p>
        </w:tc>
      </w:tr>
      <w:tr w:rsidR="00AF6B5C" w:rsidRPr="00AF6B5C" w14:paraId="6E4DA8BF" w14:textId="77777777" w:rsidTr="00F03E94">
        <w:trPr>
          <w:cantSplit/>
        </w:trPr>
        <w:tc>
          <w:tcPr>
            <w:tcW w:w="9672" w:type="dxa"/>
            <w:gridSpan w:val="2"/>
          </w:tcPr>
          <w:p w14:paraId="312EDFD4" w14:textId="1EFBFB75" w:rsidR="00AF6B5C" w:rsidRPr="008B7D59" w:rsidRDefault="008B7D59" w:rsidP="00AF6B5C">
            <w:pPr>
              <w:pStyle w:val="Title1"/>
              <w:rPr>
                <w:lang w:val="en-GB" w:bidi="ar-EG"/>
              </w:rPr>
            </w:pPr>
            <w:r>
              <w:rPr>
                <w:rFonts w:hint="cs"/>
                <w:rtl/>
                <w:lang w:bidi="ar-EG"/>
              </w:rPr>
              <w:t xml:space="preserve">ملاحظات عامة استناداً إلى </w:t>
            </w:r>
            <w:r>
              <w:rPr>
                <w:rFonts w:hint="cs"/>
                <w:rtl/>
              </w:rPr>
              <w:t>ت</w:t>
            </w:r>
            <w:r>
              <w:rPr>
                <w:rFonts w:hint="cs"/>
                <w:rtl/>
                <w:lang w:bidi="ar-EG"/>
              </w:rPr>
              <w:t>فحص كل حكم من أحكام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لوائح الاتصالات الدولية لعام </w:t>
            </w:r>
            <w:r>
              <w:rPr>
                <w:lang w:val="en-GB" w:bidi="ar-EG"/>
              </w:rPr>
              <w:t>2012</w:t>
            </w:r>
          </w:p>
        </w:tc>
      </w:tr>
    </w:tbl>
    <w:p w14:paraId="7F180F45" w14:textId="34C483D3" w:rsidR="0006468A" w:rsidRPr="00370895" w:rsidRDefault="000E1B17" w:rsidP="009A56FA">
      <w:pPr>
        <w:pStyle w:val="Headingb"/>
        <w:spacing w:before="480"/>
      </w:pPr>
      <w:r w:rsidRPr="00370895">
        <w:rPr>
          <w:rFonts w:hint="cs"/>
          <w:rtl/>
        </w:rPr>
        <w:t>مقدمة</w:t>
      </w:r>
    </w:p>
    <w:p w14:paraId="255C7E48" w14:textId="3FF6E58F" w:rsidR="000E1B17" w:rsidRPr="00C40DE8" w:rsidRDefault="008B7D59" w:rsidP="000E1B17">
      <w:pPr>
        <w:rPr>
          <w:spacing w:val="2"/>
          <w:rtl/>
        </w:rPr>
      </w:pPr>
      <w:r w:rsidRPr="00C40DE8">
        <w:rPr>
          <w:rFonts w:hint="cs"/>
          <w:spacing w:val="2"/>
          <w:rtl/>
        </w:rPr>
        <w:t xml:space="preserve">تود أستراليا وكندا والولايات المتحدة الأمريكية، </w:t>
      </w:r>
      <w:r w:rsidR="006E0C03" w:rsidRPr="00C40DE8">
        <w:rPr>
          <w:rFonts w:hint="cs"/>
          <w:spacing w:val="2"/>
          <w:rtl/>
        </w:rPr>
        <w:t>كمشاركين نشطين</w:t>
      </w:r>
      <w:r w:rsidRPr="00C40DE8">
        <w:rPr>
          <w:rFonts w:hint="cs"/>
          <w:spacing w:val="2"/>
          <w:rtl/>
        </w:rPr>
        <w:t xml:space="preserve"> في الاجتماعات الأربعة السابقة لفريق الخبراء المعني بلوائح الاتصالات الدولية </w:t>
      </w:r>
      <w:r w:rsidR="00370895" w:rsidRPr="00C40DE8">
        <w:rPr>
          <w:spacing w:val="2"/>
          <w:lang w:val="en-GB"/>
        </w:rPr>
        <w:t>(</w:t>
      </w:r>
      <w:r w:rsidRPr="00C40DE8">
        <w:rPr>
          <w:spacing w:val="2"/>
          <w:lang w:val="en-GB"/>
        </w:rPr>
        <w:t>EG-ITR</w:t>
      </w:r>
      <w:r w:rsidR="00370895" w:rsidRPr="00C40DE8">
        <w:rPr>
          <w:spacing w:val="2"/>
          <w:lang w:val="en-GB"/>
        </w:rPr>
        <w:t>)</w:t>
      </w:r>
      <w:r w:rsidRPr="00C40DE8">
        <w:rPr>
          <w:rFonts w:hint="cs"/>
          <w:spacing w:val="2"/>
          <w:rtl/>
          <w:lang w:bidi="ar-EG"/>
        </w:rPr>
        <w:t>،</w:t>
      </w:r>
      <w:r w:rsidR="000E1B17" w:rsidRPr="00C40DE8">
        <w:rPr>
          <w:rFonts w:hint="cs"/>
          <w:spacing w:val="2"/>
          <w:rtl/>
          <w:lang w:bidi="ar-EG"/>
        </w:rPr>
        <w:t xml:space="preserve"> </w:t>
      </w:r>
      <w:r w:rsidRPr="00C40DE8">
        <w:rPr>
          <w:rFonts w:hint="cs"/>
          <w:spacing w:val="2"/>
          <w:rtl/>
          <w:lang w:bidi="ar-EG"/>
        </w:rPr>
        <w:t xml:space="preserve">أن تقدم ملاحظاتها العامة استناداً إلى تفحص كل حكم من أحكام </w:t>
      </w:r>
      <w:r w:rsidR="000E1B17" w:rsidRPr="00C40DE8">
        <w:rPr>
          <w:rFonts w:hint="cs"/>
          <w:spacing w:val="2"/>
          <w:rtl/>
          <w:lang w:bidi="ar-EG"/>
        </w:rPr>
        <w:t>لوائح الاتصالات الدولية</w:t>
      </w:r>
      <w:r w:rsidRPr="00C40DE8">
        <w:rPr>
          <w:rFonts w:hint="cs"/>
          <w:spacing w:val="2"/>
          <w:rtl/>
          <w:lang w:bidi="ar-EG"/>
        </w:rPr>
        <w:t xml:space="preserve"> لعام</w:t>
      </w:r>
      <w:r w:rsidR="00A02C15" w:rsidRPr="00C40DE8">
        <w:rPr>
          <w:rFonts w:hint="eastAsia"/>
          <w:spacing w:val="2"/>
          <w:rtl/>
          <w:lang w:bidi="ar-EG"/>
        </w:rPr>
        <w:t> </w:t>
      </w:r>
      <w:r w:rsidRPr="00C40DE8">
        <w:rPr>
          <w:spacing w:val="2"/>
          <w:lang w:val="en-GB" w:bidi="ar-EG"/>
        </w:rPr>
        <w:t>2012</w:t>
      </w:r>
      <w:r w:rsidRPr="00C40DE8">
        <w:rPr>
          <w:rFonts w:hint="cs"/>
          <w:spacing w:val="2"/>
          <w:rtl/>
          <w:lang w:bidi="ar-EG"/>
        </w:rPr>
        <w:t>.</w:t>
      </w:r>
      <w:r w:rsidRPr="00C40DE8">
        <w:rPr>
          <w:rFonts w:hint="cs"/>
          <w:spacing w:val="2"/>
          <w:rtl/>
        </w:rPr>
        <w:t xml:space="preserve"> وترى أن هذا التفحص على أساس كل حكم من الأحكام، أثبت مراراً وتكراراً أن لوائح الاتصالات الدولية </w:t>
      </w:r>
      <w:r w:rsidR="006E0C03" w:rsidRPr="00C40DE8">
        <w:rPr>
          <w:rFonts w:hint="cs"/>
          <w:spacing w:val="2"/>
          <w:rtl/>
        </w:rPr>
        <w:t>ليست</w:t>
      </w:r>
      <w:r w:rsidR="00674032">
        <w:rPr>
          <w:rFonts w:hint="eastAsia"/>
          <w:spacing w:val="2"/>
          <w:rtl/>
        </w:rPr>
        <w:t> </w:t>
      </w:r>
      <w:r w:rsidR="006E0C03" w:rsidRPr="00C40DE8">
        <w:rPr>
          <w:rFonts w:hint="cs"/>
          <w:spacing w:val="2"/>
          <w:rtl/>
        </w:rPr>
        <w:t>قابلة للتطبيق ولا تتسم بالمرونة</w:t>
      </w:r>
      <w:r w:rsidRPr="00C40DE8">
        <w:rPr>
          <w:rFonts w:hint="cs"/>
          <w:spacing w:val="2"/>
          <w:rtl/>
        </w:rPr>
        <w:t xml:space="preserve"> في بيئة الاتصالات الحالية.</w:t>
      </w:r>
      <w:r w:rsidR="006E0C03" w:rsidRPr="00C40DE8">
        <w:rPr>
          <w:rFonts w:hint="cs"/>
          <w:spacing w:val="2"/>
          <w:rtl/>
        </w:rPr>
        <w:t xml:space="preserve"> وعلاوة</w:t>
      </w:r>
      <w:r w:rsidR="00095360">
        <w:rPr>
          <w:rFonts w:hint="cs"/>
          <w:spacing w:val="2"/>
          <w:rtl/>
        </w:rPr>
        <w:t>ً</w:t>
      </w:r>
      <w:r w:rsidR="006E0C03" w:rsidRPr="00C40DE8">
        <w:rPr>
          <w:rFonts w:hint="cs"/>
          <w:spacing w:val="2"/>
          <w:rtl/>
        </w:rPr>
        <w:t xml:space="preserve"> على ذلك، أسفرت هذه العملية عن استمرار عدم</w:t>
      </w:r>
      <w:r w:rsidR="00674032">
        <w:rPr>
          <w:rFonts w:hint="eastAsia"/>
          <w:spacing w:val="2"/>
          <w:rtl/>
        </w:rPr>
        <w:t> </w:t>
      </w:r>
      <w:r w:rsidR="006E0C03" w:rsidRPr="00C40DE8">
        <w:rPr>
          <w:rFonts w:hint="cs"/>
          <w:spacing w:val="2"/>
          <w:rtl/>
        </w:rPr>
        <w:t>التوافق في الآراء.</w:t>
      </w:r>
    </w:p>
    <w:p w14:paraId="3A02512B" w14:textId="74D3C8DF" w:rsidR="000E1B17" w:rsidRDefault="000E1B17" w:rsidP="00370895">
      <w:pPr>
        <w:pStyle w:val="Headingb"/>
        <w:rPr>
          <w:rtl/>
        </w:rPr>
      </w:pPr>
      <w:r w:rsidRPr="00370895">
        <w:rPr>
          <w:rFonts w:hint="cs"/>
          <w:rtl/>
        </w:rPr>
        <w:t>مناقشة</w:t>
      </w:r>
    </w:p>
    <w:p w14:paraId="7BCDF71D" w14:textId="7B205A15" w:rsidR="000E1B17" w:rsidRPr="00341491" w:rsidRDefault="006E0C03" w:rsidP="000E1B17">
      <w:pPr>
        <w:rPr>
          <w:spacing w:val="2"/>
          <w:rtl/>
          <w:lang w:val="en-GB"/>
        </w:rPr>
      </w:pPr>
      <w:r w:rsidRPr="00341491">
        <w:rPr>
          <w:rFonts w:hint="cs"/>
          <w:spacing w:val="2"/>
          <w:rtl/>
          <w:lang w:bidi="ar-EG"/>
        </w:rPr>
        <w:t xml:space="preserve">في مساهمات سابقة </w:t>
      </w:r>
      <w:r w:rsidR="006A129C" w:rsidRPr="00341491">
        <w:rPr>
          <w:rFonts w:hint="cs"/>
          <w:spacing w:val="2"/>
          <w:rtl/>
          <w:lang w:bidi="ar-EG"/>
        </w:rPr>
        <w:t>إلى</w:t>
      </w:r>
      <w:r w:rsidRPr="00341491">
        <w:rPr>
          <w:rFonts w:hint="cs"/>
          <w:spacing w:val="2"/>
          <w:rtl/>
          <w:lang w:bidi="ar-EG"/>
        </w:rPr>
        <w:t xml:space="preserve"> الاجتماعات السابقة لفريق الخبراء، </w:t>
      </w:r>
      <w:r w:rsidR="00063677" w:rsidRPr="00341491">
        <w:rPr>
          <w:spacing w:val="2"/>
          <w:rtl/>
          <w:lang w:bidi="ar-EG"/>
        </w:rPr>
        <w:t xml:space="preserve">قدمنا </w:t>
      </w:r>
      <w:r w:rsidRPr="00341491">
        <w:rPr>
          <w:spacing w:val="2"/>
          <w:rtl/>
          <w:lang w:bidi="ar-EG"/>
        </w:rPr>
        <w:t xml:space="preserve">تحليلات مفصلة </w:t>
      </w:r>
      <w:r w:rsidR="00063677" w:rsidRPr="00341491">
        <w:rPr>
          <w:rFonts w:hint="cs"/>
          <w:spacing w:val="2"/>
          <w:rtl/>
          <w:lang w:bidi="ar-EG"/>
        </w:rPr>
        <w:t xml:space="preserve">تبين </w:t>
      </w:r>
      <w:r w:rsidR="006A129C" w:rsidRPr="00341491">
        <w:rPr>
          <w:rFonts w:hint="cs"/>
          <w:spacing w:val="2"/>
          <w:rtl/>
          <w:lang w:bidi="ar-EG"/>
        </w:rPr>
        <w:t>الأهمية المحدودة</w:t>
      </w:r>
      <w:r w:rsidR="00063677" w:rsidRPr="00341491">
        <w:rPr>
          <w:rFonts w:hint="cs"/>
          <w:spacing w:val="2"/>
          <w:rtl/>
          <w:lang w:bidi="ar-EG"/>
        </w:rPr>
        <w:t xml:space="preserve"> </w:t>
      </w:r>
      <w:r w:rsidR="006A129C" w:rsidRPr="00341491">
        <w:rPr>
          <w:rFonts w:hint="cs"/>
          <w:spacing w:val="2"/>
          <w:rtl/>
          <w:lang w:bidi="ar-EG"/>
        </w:rPr>
        <w:t>ل</w:t>
      </w:r>
      <w:r w:rsidR="00063677" w:rsidRPr="00341491">
        <w:rPr>
          <w:rFonts w:hint="cs"/>
          <w:spacing w:val="2"/>
          <w:rtl/>
          <w:lang w:bidi="ar-EG"/>
        </w:rPr>
        <w:t>لوائح الاتصالات الدولية</w:t>
      </w:r>
      <w:r w:rsidRPr="00341491">
        <w:rPr>
          <w:spacing w:val="2"/>
          <w:rtl/>
          <w:lang w:bidi="ar-EG"/>
        </w:rPr>
        <w:t xml:space="preserve"> </w:t>
      </w:r>
      <w:r w:rsidR="00063677" w:rsidRPr="00341491">
        <w:rPr>
          <w:rFonts w:hint="cs"/>
          <w:spacing w:val="2"/>
          <w:rtl/>
          <w:lang w:bidi="ar-EG"/>
        </w:rPr>
        <w:t xml:space="preserve">في </w:t>
      </w:r>
      <w:r w:rsidRPr="00341491">
        <w:rPr>
          <w:spacing w:val="2"/>
          <w:rtl/>
          <w:lang w:bidi="ar-EG"/>
        </w:rPr>
        <w:t>سوق الاتصالات الدولية اليوم.</w:t>
      </w:r>
      <w:r w:rsidR="00370895" w:rsidRPr="00341491">
        <w:rPr>
          <w:rFonts w:hint="cs"/>
          <w:spacing w:val="2"/>
          <w:rtl/>
          <w:lang w:bidi="ar-EG"/>
        </w:rPr>
        <w:t xml:space="preserve"> </w:t>
      </w:r>
      <w:r w:rsidR="00063677" w:rsidRPr="00341491">
        <w:rPr>
          <w:rFonts w:hint="cs"/>
          <w:spacing w:val="2"/>
          <w:rtl/>
          <w:lang w:bidi="ar-EG"/>
        </w:rPr>
        <w:t>وتم</w:t>
      </w:r>
      <w:r w:rsidR="004C551C" w:rsidRPr="00341491">
        <w:rPr>
          <w:rFonts w:hint="cs"/>
          <w:spacing w:val="2"/>
          <w:rtl/>
          <w:lang w:bidi="ar-EG"/>
        </w:rPr>
        <w:t>ا</w:t>
      </w:r>
      <w:r w:rsidR="00063677" w:rsidRPr="00341491">
        <w:rPr>
          <w:rFonts w:hint="cs"/>
          <w:spacing w:val="2"/>
          <w:rtl/>
          <w:lang w:bidi="ar-EG"/>
        </w:rPr>
        <w:t>شياً</w:t>
      </w:r>
      <w:r w:rsidRPr="00341491">
        <w:rPr>
          <w:spacing w:val="2"/>
          <w:rtl/>
          <w:lang w:bidi="ar-EG"/>
        </w:rPr>
        <w:t xml:space="preserve"> مع هذه الاستنتاجات، نود أن نكرر العديد من الملاحظات العامة التي </w:t>
      </w:r>
      <w:r w:rsidR="00063677" w:rsidRPr="00341491">
        <w:rPr>
          <w:rFonts w:hint="cs"/>
          <w:spacing w:val="2"/>
          <w:rtl/>
          <w:lang w:bidi="ar-EG"/>
        </w:rPr>
        <w:t>تبرز</w:t>
      </w:r>
      <w:r w:rsidRPr="00341491">
        <w:rPr>
          <w:spacing w:val="2"/>
          <w:rtl/>
          <w:lang w:bidi="ar-EG"/>
        </w:rPr>
        <w:t xml:space="preserve"> عدم قابلية تطبيق </w:t>
      </w:r>
      <w:r w:rsidR="00063677" w:rsidRPr="00341491">
        <w:rPr>
          <w:rFonts w:hint="cs"/>
          <w:spacing w:val="2"/>
          <w:rtl/>
          <w:lang w:bidi="ar-EG"/>
        </w:rPr>
        <w:t xml:space="preserve">لوائح الاتصالات الدولية لعام </w:t>
      </w:r>
      <w:r w:rsidR="00063677" w:rsidRPr="00341491">
        <w:rPr>
          <w:spacing w:val="2"/>
          <w:lang w:val="en-GB" w:bidi="ar-EG"/>
        </w:rPr>
        <w:t>2012</w:t>
      </w:r>
      <w:r w:rsidR="00063677" w:rsidRPr="00341491">
        <w:rPr>
          <w:rFonts w:hint="cs"/>
          <w:spacing w:val="2"/>
          <w:rtl/>
          <w:lang w:val="en-GB"/>
        </w:rPr>
        <w:t xml:space="preserve"> وعدم مرونتها:</w:t>
      </w:r>
    </w:p>
    <w:p w14:paraId="098571CD" w14:textId="43BA4E2C" w:rsidR="000E1B17" w:rsidRPr="000C66F0" w:rsidRDefault="000E1B17" w:rsidP="00370895">
      <w:pPr>
        <w:pStyle w:val="enumlev1"/>
        <w:rPr>
          <w:spacing w:val="-2"/>
          <w:rtl/>
        </w:rPr>
      </w:pPr>
      <w:r w:rsidRPr="000C66F0">
        <w:rPr>
          <w:rFonts w:ascii="Times New Roman" w:hAnsi="Times New Roman" w:cs="Times New Roman"/>
          <w:spacing w:val="-2"/>
          <w:rtl/>
        </w:rPr>
        <w:t>●</w:t>
      </w:r>
      <w:r w:rsidRPr="000C66F0">
        <w:rPr>
          <w:spacing w:val="-2"/>
          <w:rtl/>
        </w:rPr>
        <w:tab/>
      </w:r>
      <w:r w:rsidR="006A129C" w:rsidRPr="000C66F0">
        <w:rPr>
          <w:rFonts w:hint="cs"/>
          <w:b/>
          <w:bCs/>
          <w:i/>
          <w:iCs/>
          <w:spacing w:val="-2"/>
          <w:rtl/>
        </w:rPr>
        <w:t>العديد من الأحكام لها قيمة مضافة محدودة.</w:t>
      </w:r>
      <w:r w:rsidRPr="000C66F0">
        <w:rPr>
          <w:rFonts w:hint="cs"/>
          <w:spacing w:val="-2"/>
          <w:rtl/>
        </w:rPr>
        <w:t xml:space="preserve"> </w:t>
      </w:r>
      <w:r w:rsidR="006A129C" w:rsidRPr="000C66F0">
        <w:rPr>
          <w:rFonts w:hint="cs"/>
          <w:spacing w:val="-2"/>
          <w:rtl/>
        </w:rPr>
        <w:t>فعلى</w:t>
      </w:r>
      <w:r w:rsidR="006A129C" w:rsidRPr="000C66F0">
        <w:rPr>
          <w:spacing w:val="-2"/>
          <w:rtl/>
        </w:rPr>
        <w:t xml:space="preserve"> سبيل المثال، </w:t>
      </w:r>
      <w:r w:rsidR="008E02C4" w:rsidRPr="000C66F0">
        <w:rPr>
          <w:rFonts w:hint="cs"/>
          <w:spacing w:val="-2"/>
          <w:rtl/>
        </w:rPr>
        <w:t>ليس ل</w:t>
      </w:r>
      <w:r w:rsidR="006A129C" w:rsidRPr="000C66F0">
        <w:rPr>
          <w:spacing w:val="-2"/>
          <w:rtl/>
        </w:rPr>
        <w:t>لمادة 6 (أمن الشبكة وحصانتها) والمادة</w:t>
      </w:r>
      <w:r w:rsidR="000C66F0" w:rsidRPr="000C66F0">
        <w:rPr>
          <w:rFonts w:hint="cs"/>
          <w:spacing w:val="-2"/>
          <w:rtl/>
        </w:rPr>
        <w:t> </w:t>
      </w:r>
      <w:r w:rsidR="006A129C" w:rsidRPr="000C66F0">
        <w:rPr>
          <w:spacing w:val="-2"/>
          <w:rtl/>
        </w:rPr>
        <w:t>7 (</w:t>
      </w:r>
      <w:r w:rsidR="00BD204A" w:rsidRPr="000C66F0">
        <w:rPr>
          <w:color w:val="000000"/>
          <w:spacing w:val="-2"/>
          <w:rtl/>
        </w:rPr>
        <w:t xml:space="preserve">الاتصالات الإلكترونية غير المرغوبة المرسلة بالجملة </w:t>
      </w:r>
      <w:r w:rsidR="00BD204A" w:rsidRPr="000C66F0">
        <w:rPr>
          <w:rFonts w:hint="cs"/>
          <w:color w:val="000000"/>
          <w:spacing w:val="-2"/>
          <w:rtl/>
        </w:rPr>
        <w:t xml:space="preserve">مثل </w:t>
      </w:r>
      <w:r w:rsidR="00BD204A" w:rsidRPr="000C66F0">
        <w:rPr>
          <w:color w:val="000000"/>
          <w:spacing w:val="-2"/>
          <w:rtl/>
        </w:rPr>
        <w:t>الرسائل الاقتحامية</w:t>
      </w:r>
      <w:r w:rsidR="006A129C" w:rsidRPr="000C66F0">
        <w:rPr>
          <w:spacing w:val="-2"/>
          <w:rtl/>
        </w:rPr>
        <w:t xml:space="preserve">) سوى </w:t>
      </w:r>
      <w:r w:rsidR="006A129C" w:rsidRPr="000C66F0">
        <w:rPr>
          <w:rFonts w:hint="cs"/>
          <w:spacing w:val="-2"/>
          <w:rtl/>
        </w:rPr>
        <w:t>تطبيق عملي قليل</w:t>
      </w:r>
      <w:r w:rsidR="006A129C" w:rsidRPr="000C66F0">
        <w:rPr>
          <w:spacing w:val="-2"/>
          <w:rtl/>
        </w:rPr>
        <w:t xml:space="preserve">. ويمكن </w:t>
      </w:r>
      <w:r w:rsidR="006A129C" w:rsidRPr="000C66F0">
        <w:rPr>
          <w:rFonts w:hint="cs"/>
          <w:spacing w:val="-2"/>
          <w:rtl/>
        </w:rPr>
        <w:t>ل</w:t>
      </w:r>
      <w:r w:rsidR="006A129C" w:rsidRPr="000C66F0">
        <w:rPr>
          <w:spacing w:val="-2"/>
          <w:rtl/>
        </w:rPr>
        <w:t xml:space="preserve">لحلول التقنية </w:t>
      </w:r>
      <w:r w:rsidR="006A129C" w:rsidRPr="000C66F0">
        <w:rPr>
          <w:rFonts w:hint="cs"/>
          <w:spacing w:val="-2"/>
          <w:rtl/>
        </w:rPr>
        <w:t xml:space="preserve">أن تستمر في </w:t>
      </w:r>
      <w:r w:rsidR="006A129C" w:rsidRPr="000C66F0">
        <w:rPr>
          <w:spacing w:val="-2"/>
          <w:rtl/>
        </w:rPr>
        <w:t xml:space="preserve">معالجة هذه المسائل بمرونة أكبر بكثير من أي أحكام تنظيمية في </w:t>
      </w:r>
      <w:r w:rsidR="006A129C" w:rsidRPr="000C66F0">
        <w:rPr>
          <w:rFonts w:hint="cs"/>
          <w:spacing w:val="-2"/>
          <w:rtl/>
        </w:rPr>
        <w:t>لوائح الاتصالات الدولية</w:t>
      </w:r>
      <w:r w:rsidR="006A129C" w:rsidRPr="000C66F0">
        <w:rPr>
          <w:spacing w:val="-2"/>
          <w:rtl/>
        </w:rPr>
        <w:t xml:space="preserve">، </w:t>
      </w:r>
      <w:r w:rsidR="006A129C" w:rsidRPr="000C66F0">
        <w:rPr>
          <w:rFonts w:hint="cs"/>
          <w:spacing w:val="-2"/>
          <w:rtl/>
        </w:rPr>
        <w:t>و</w:t>
      </w:r>
      <w:r w:rsidR="006A129C" w:rsidRPr="000C66F0">
        <w:rPr>
          <w:spacing w:val="-2"/>
          <w:rtl/>
        </w:rPr>
        <w:t xml:space="preserve">أي محاولات لمراجعة هذه الأحكام </w:t>
      </w:r>
      <w:r w:rsidR="00BD204A" w:rsidRPr="000C66F0">
        <w:rPr>
          <w:rFonts w:hint="cs"/>
          <w:spacing w:val="-2"/>
          <w:rtl/>
        </w:rPr>
        <w:t>تصبح متقادمة</w:t>
      </w:r>
      <w:r w:rsidR="006A129C" w:rsidRPr="000C66F0">
        <w:rPr>
          <w:rFonts w:hint="cs"/>
          <w:spacing w:val="-2"/>
          <w:rtl/>
        </w:rPr>
        <w:t xml:space="preserve"> </w:t>
      </w:r>
      <w:r w:rsidR="006A129C" w:rsidRPr="000C66F0">
        <w:rPr>
          <w:spacing w:val="-2"/>
          <w:rtl/>
        </w:rPr>
        <w:t>على الفور، نظراً للتطور السريع للتقدم التكنولوجي في</w:t>
      </w:r>
      <w:r w:rsidR="000C66F0" w:rsidRPr="000C66F0">
        <w:rPr>
          <w:rFonts w:hint="cs"/>
          <w:spacing w:val="-2"/>
          <w:rtl/>
        </w:rPr>
        <w:t> </w:t>
      </w:r>
      <w:r w:rsidR="006A129C" w:rsidRPr="000C66F0">
        <w:rPr>
          <w:spacing w:val="-2"/>
          <w:rtl/>
        </w:rPr>
        <w:t>هذه المجالات</w:t>
      </w:r>
      <w:r w:rsidR="006A129C" w:rsidRPr="000C66F0">
        <w:rPr>
          <w:rFonts w:hint="cs"/>
          <w:spacing w:val="-2"/>
          <w:rtl/>
        </w:rPr>
        <w:t>.</w:t>
      </w:r>
    </w:p>
    <w:p w14:paraId="2C373E70" w14:textId="1450D45F" w:rsidR="000E1B17" w:rsidRDefault="000E1B17" w:rsidP="00370895">
      <w:pPr>
        <w:pStyle w:val="enumlev1"/>
        <w:rPr>
          <w:rtl/>
        </w:rPr>
      </w:pPr>
      <w:r>
        <w:rPr>
          <w:rFonts w:ascii="Times New Roman" w:hAnsi="Times New Roman" w:cs="Times New Roman"/>
          <w:rtl/>
        </w:rPr>
        <w:t>●</w:t>
      </w:r>
      <w:r>
        <w:rPr>
          <w:rtl/>
        </w:rPr>
        <w:tab/>
      </w:r>
      <w:r w:rsidR="00BD204A">
        <w:rPr>
          <w:rFonts w:hint="cs"/>
          <w:b/>
          <w:bCs/>
          <w:i/>
          <w:iCs/>
          <w:rtl/>
        </w:rPr>
        <w:t>العديد من الأحكام مكررة</w:t>
      </w:r>
      <w:r w:rsidR="00337DCD">
        <w:rPr>
          <w:rFonts w:hint="cs"/>
          <w:rtl/>
        </w:rPr>
        <w:t xml:space="preserve">. </w:t>
      </w:r>
      <w:r w:rsidR="00BD204A">
        <w:rPr>
          <w:rFonts w:hint="cs"/>
          <w:rtl/>
        </w:rPr>
        <w:t xml:space="preserve">فعلى سبيل المثال، تكرر </w:t>
      </w:r>
      <w:r w:rsidRPr="000E1B17">
        <w:rPr>
          <w:rtl/>
        </w:rPr>
        <w:t>المادة 11 (كفاءة</w:t>
      </w:r>
      <w:r w:rsidRPr="000E1B17">
        <w:rPr>
          <w:rFonts w:hint="cs"/>
          <w:rtl/>
        </w:rPr>
        <w:t xml:space="preserve"> استهلاك</w:t>
      </w:r>
      <w:r w:rsidRPr="000E1B17">
        <w:rPr>
          <w:rtl/>
        </w:rPr>
        <w:t xml:space="preserve"> الطاقة/</w:t>
      </w:r>
      <w:r w:rsidRPr="000E1B17">
        <w:rPr>
          <w:rFonts w:hint="cs"/>
          <w:rtl/>
        </w:rPr>
        <w:t>المخلفات</w:t>
      </w:r>
      <w:r w:rsidRPr="000E1B17">
        <w:rPr>
          <w:rtl/>
        </w:rPr>
        <w:t xml:space="preserve"> الإلكترونية) والمادة</w:t>
      </w:r>
      <w:r w:rsidR="00661C91">
        <w:rPr>
          <w:rFonts w:hint="cs"/>
          <w:rtl/>
        </w:rPr>
        <w:t> </w:t>
      </w:r>
      <w:r w:rsidRPr="000E1B17">
        <w:rPr>
          <w:rtl/>
        </w:rPr>
        <w:t>12 (إمكانية النفاذ)، نقاط</w:t>
      </w:r>
      <w:r w:rsidRPr="000E1B17">
        <w:rPr>
          <w:rFonts w:hint="cs"/>
          <w:rtl/>
        </w:rPr>
        <w:t>اً</w:t>
      </w:r>
      <w:r w:rsidRPr="000E1B17">
        <w:rPr>
          <w:rtl/>
        </w:rPr>
        <w:t xml:space="preserve"> سبق </w:t>
      </w:r>
      <w:r w:rsidR="00BD204A">
        <w:rPr>
          <w:rFonts w:hint="cs"/>
          <w:rtl/>
        </w:rPr>
        <w:t>تناولها في</w:t>
      </w:r>
      <w:r w:rsidRPr="000E1B17">
        <w:rPr>
          <w:rtl/>
        </w:rPr>
        <w:t xml:space="preserve"> قرارات</w:t>
      </w:r>
      <w:r w:rsidRPr="000E1B17">
        <w:rPr>
          <w:rFonts w:hint="cs"/>
          <w:rtl/>
        </w:rPr>
        <w:t xml:space="preserve"> مؤتمرات المندوبين</w:t>
      </w:r>
      <w:r w:rsidRPr="000E1B17">
        <w:rPr>
          <w:rtl/>
        </w:rPr>
        <w:t xml:space="preserve"> المفوضين </w:t>
      </w:r>
      <w:r w:rsidR="00BD204A">
        <w:rPr>
          <w:rFonts w:hint="cs"/>
          <w:rtl/>
        </w:rPr>
        <w:t>مما يجعل من غير الضروري تكرارها</w:t>
      </w:r>
      <w:r w:rsidRPr="000E1B17">
        <w:rPr>
          <w:rtl/>
        </w:rPr>
        <w:t xml:space="preserve"> في</w:t>
      </w:r>
      <w:r w:rsidRPr="000E1B17">
        <w:rPr>
          <w:rFonts w:hint="cs"/>
          <w:rtl/>
        </w:rPr>
        <w:t> </w:t>
      </w:r>
      <w:r w:rsidR="00BD204A">
        <w:rPr>
          <w:rFonts w:hint="cs"/>
          <w:rtl/>
        </w:rPr>
        <w:t>صك خاص بقطاع معين مثل لوائح الاتصالات الدولية.</w:t>
      </w:r>
      <w:r>
        <w:rPr>
          <w:rStyle w:val="FootnoteReference"/>
          <w:rtl/>
          <w:lang w:bidi="ar-EG"/>
        </w:rPr>
        <w:footnoteReference w:id="1"/>
      </w:r>
      <w:r>
        <w:rPr>
          <w:rFonts w:hint="cs"/>
          <w:rtl/>
        </w:rPr>
        <w:t xml:space="preserve"> </w:t>
      </w:r>
      <w:r w:rsidR="003D3D42">
        <w:rPr>
          <w:rFonts w:hint="cs"/>
          <w:rtl/>
        </w:rPr>
        <w:t xml:space="preserve">وبالمثل، إن العديد من المواد </w:t>
      </w:r>
      <w:r w:rsidR="003D3D42">
        <w:rPr>
          <w:color w:val="000000"/>
          <w:rtl/>
        </w:rPr>
        <w:t xml:space="preserve">هي أساساً تكرار للأحكام المقابلة في </w:t>
      </w:r>
      <w:r w:rsidR="003D3D42">
        <w:rPr>
          <w:rFonts w:hint="cs"/>
          <w:color w:val="000000"/>
          <w:rtl/>
        </w:rPr>
        <w:t>دستور الاتحاد واتفاقيته</w:t>
      </w:r>
      <w:r w:rsidR="000F126A">
        <w:rPr>
          <w:rFonts w:hint="cs"/>
          <w:color w:val="000000"/>
          <w:rtl/>
        </w:rPr>
        <w:t xml:space="preserve"> </w:t>
      </w:r>
      <w:r w:rsidR="003D3D42">
        <w:rPr>
          <w:rFonts w:hint="cs"/>
          <w:color w:val="000000"/>
          <w:rtl/>
        </w:rPr>
        <w:t>(الدستور/الاتفاقية</w:t>
      </w:r>
      <w:r w:rsidR="00370895">
        <w:rPr>
          <w:rFonts w:hint="cs"/>
          <w:color w:val="000000"/>
          <w:rtl/>
        </w:rPr>
        <w:t>).</w:t>
      </w:r>
      <w:r>
        <w:rPr>
          <w:rStyle w:val="FootnoteReference"/>
          <w:rtl/>
          <w:lang w:bidi="ar-EG"/>
        </w:rPr>
        <w:footnoteReference w:id="2"/>
      </w:r>
      <w:r w:rsidR="00370895">
        <w:rPr>
          <w:rFonts w:hint="cs"/>
          <w:rtl/>
        </w:rPr>
        <w:t xml:space="preserve"> </w:t>
      </w:r>
      <w:r w:rsidR="000F126A">
        <w:rPr>
          <w:rFonts w:hint="cs"/>
          <w:rtl/>
        </w:rPr>
        <w:t>ونعتقد</w:t>
      </w:r>
      <w:r w:rsidRPr="000E1B17">
        <w:rPr>
          <w:rtl/>
        </w:rPr>
        <w:t xml:space="preserve"> أن الأحكام العامة المدرجة </w:t>
      </w:r>
      <w:r w:rsidRPr="000E1B17">
        <w:rPr>
          <w:rFonts w:hint="cs"/>
          <w:rtl/>
        </w:rPr>
        <w:t>أصلاً</w:t>
      </w:r>
      <w:r w:rsidRPr="000E1B17">
        <w:rPr>
          <w:rtl/>
        </w:rPr>
        <w:t xml:space="preserve"> في</w:t>
      </w:r>
      <w:r w:rsidR="000C66F0">
        <w:rPr>
          <w:rFonts w:hint="cs"/>
          <w:rtl/>
        </w:rPr>
        <w:t> </w:t>
      </w:r>
      <w:r w:rsidRPr="000E1B17">
        <w:rPr>
          <w:rFonts w:hint="cs"/>
          <w:rtl/>
        </w:rPr>
        <w:t>الدستور/الاتفاقية</w:t>
      </w:r>
      <w:r w:rsidRPr="000E1B17">
        <w:rPr>
          <w:rtl/>
        </w:rPr>
        <w:t xml:space="preserve"> </w:t>
      </w:r>
      <w:r w:rsidRPr="000E1B17">
        <w:rPr>
          <w:rFonts w:hint="cs"/>
          <w:rtl/>
        </w:rPr>
        <w:t>قادرة على الصمود</w:t>
      </w:r>
      <w:r w:rsidRPr="000E1B17">
        <w:rPr>
          <w:rtl/>
        </w:rPr>
        <w:t xml:space="preserve"> بدرجة كافية وقادرة على تحمل </w:t>
      </w:r>
      <w:r w:rsidR="000F126A">
        <w:rPr>
          <w:rFonts w:hint="cs"/>
          <w:rtl/>
        </w:rPr>
        <w:t xml:space="preserve">ظروف السوق الدينامية والتنافسية، بحيث </w:t>
      </w:r>
      <w:r w:rsidR="00B013BA">
        <w:rPr>
          <w:rFonts w:hint="cs"/>
          <w:rtl/>
        </w:rPr>
        <w:t>إن</w:t>
      </w:r>
      <w:r w:rsidRPr="000E1B17">
        <w:rPr>
          <w:rtl/>
        </w:rPr>
        <w:t xml:space="preserve"> الأحكام المكررة في لوائح الاتصالات الدولية </w:t>
      </w:r>
      <w:r w:rsidR="00F61FF2">
        <w:rPr>
          <w:rFonts w:hint="cs"/>
          <w:rtl/>
        </w:rPr>
        <w:t xml:space="preserve">لا توفر </w:t>
      </w:r>
      <w:r w:rsidR="000F126A">
        <w:rPr>
          <w:rFonts w:hint="cs"/>
          <w:rtl/>
        </w:rPr>
        <w:t xml:space="preserve">أي أهمية أو مرونة إضافية </w:t>
      </w:r>
      <w:r w:rsidRPr="000E1B17">
        <w:rPr>
          <w:rtl/>
        </w:rPr>
        <w:t>لأعضاء الاتحاد.</w:t>
      </w:r>
    </w:p>
    <w:p w14:paraId="2325FB13" w14:textId="4ACB4EE9" w:rsidR="000E1B17" w:rsidRDefault="000E1B17" w:rsidP="009A56FA">
      <w:pPr>
        <w:pStyle w:val="enumlev1"/>
        <w:keepNext/>
        <w:keepLines/>
        <w:rPr>
          <w:rtl/>
        </w:rPr>
      </w:pPr>
      <w:r>
        <w:rPr>
          <w:rFonts w:ascii="Times New Roman" w:hAnsi="Times New Roman" w:cs="Times New Roman"/>
          <w:rtl/>
        </w:rPr>
        <w:lastRenderedPageBreak/>
        <w:t>●</w:t>
      </w:r>
      <w:r>
        <w:rPr>
          <w:rtl/>
        </w:rPr>
        <w:tab/>
      </w:r>
      <w:r w:rsidR="00F61FF2">
        <w:rPr>
          <w:rFonts w:hint="cs"/>
          <w:b/>
          <w:bCs/>
          <w:i/>
          <w:iCs/>
          <w:rtl/>
        </w:rPr>
        <w:t>أصبحت أحكام كثيرة (وستظل على الدوام) متقادمة</w:t>
      </w:r>
      <w:r w:rsidR="00F61FF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61FF2">
        <w:rPr>
          <w:rFonts w:hint="cs"/>
          <w:rtl/>
        </w:rPr>
        <w:t xml:space="preserve">فعلى سبيل المثال، </w:t>
      </w:r>
      <w:r w:rsidR="00F61FF2" w:rsidRPr="00F61FF2">
        <w:rPr>
          <w:rtl/>
        </w:rPr>
        <w:t xml:space="preserve">لم يعد تبادل الغالبية العظمى من الحركة يتم </w:t>
      </w:r>
      <w:r w:rsidR="00F61FF2">
        <w:rPr>
          <w:rFonts w:hint="cs"/>
          <w:rtl/>
        </w:rPr>
        <w:t>بموجب نظام</w:t>
      </w:r>
      <w:r w:rsidR="00F61FF2" w:rsidRPr="00F61FF2">
        <w:rPr>
          <w:rtl/>
        </w:rPr>
        <w:t xml:space="preserve"> رسوم المحاسبة </w:t>
      </w:r>
      <w:r w:rsidR="00F61FF2">
        <w:rPr>
          <w:rFonts w:hint="cs"/>
          <w:rtl/>
        </w:rPr>
        <w:t xml:space="preserve">المفترض </w:t>
      </w:r>
      <w:r w:rsidR="004E75A2">
        <w:rPr>
          <w:rFonts w:hint="cs"/>
          <w:rtl/>
        </w:rPr>
        <w:t>في</w:t>
      </w:r>
      <w:r w:rsidR="00F61FF2" w:rsidRPr="00F61FF2">
        <w:rPr>
          <w:rtl/>
        </w:rPr>
        <w:t xml:space="preserve"> المادة </w:t>
      </w:r>
      <w:r w:rsidR="00F61FF2">
        <w:t>8</w:t>
      </w:r>
      <w:r w:rsidR="00F61FF2" w:rsidRPr="00F61FF2">
        <w:rPr>
          <w:rtl/>
        </w:rPr>
        <w:t xml:space="preserve"> والتذييلين</w:t>
      </w:r>
      <w:r w:rsidR="00F61FF2">
        <w:rPr>
          <w:rFonts w:hint="cs"/>
          <w:rtl/>
        </w:rPr>
        <w:t xml:space="preserve"> </w:t>
      </w:r>
      <w:r w:rsidR="00F61FF2">
        <w:rPr>
          <w:lang w:val="en-GB"/>
        </w:rPr>
        <w:t>1</w:t>
      </w:r>
      <w:r w:rsidR="00370895">
        <w:rPr>
          <w:rFonts w:hint="cs"/>
          <w:rtl/>
          <w:lang w:val="en-GB"/>
        </w:rPr>
        <w:t xml:space="preserve"> </w:t>
      </w:r>
      <w:r w:rsidR="00F61FF2">
        <w:rPr>
          <w:rFonts w:hint="cs"/>
          <w:rtl/>
        </w:rPr>
        <w:t>و</w:t>
      </w:r>
      <w:r w:rsidR="00F61FF2">
        <w:rPr>
          <w:lang w:val="en-GB"/>
        </w:rPr>
        <w:t>2</w:t>
      </w:r>
      <w:r w:rsidR="004E75A2">
        <w:rPr>
          <w:rFonts w:hint="cs"/>
          <w:rtl/>
        </w:rPr>
        <w:t xml:space="preserve"> وبما أن</w:t>
      </w:r>
      <w:r w:rsidRPr="000E1B17">
        <w:rPr>
          <w:rtl/>
        </w:rPr>
        <w:t xml:space="preserve"> نماذج الأعمال الجديدة </w:t>
      </w:r>
      <w:r w:rsidRPr="000E1B17">
        <w:rPr>
          <w:rFonts w:hint="cs"/>
          <w:rtl/>
        </w:rPr>
        <w:t>والتكنولوجيات</w:t>
      </w:r>
      <w:r w:rsidRPr="000E1B17">
        <w:rPr>
          <w:rtl/>
        </w:rPr>
        <w:t xml:space="preserve"> الجديدة </w:t>
      </w:r>
      <w:r w:rsidR="004E75A2">
        <w:rPr>
          <w:rFonts w:hint="cs"/>
          <w:rtl/>
        </w:rPr>
        <w:t xml:space="preserve">قللت </w:t>
      </w:r>
      <w:r w:rsidRPr="000E1B17">
        <w:rPr>
          <w:rtl/>
        </w:rPr>
        <w:t>الحاجة إلى سلطات المحاسبة التي تديرها الحكومة،</w:t>
      </w:r>
      <w:r w:rsidR="004E75A2">
        <w:rPr>
          <w:rFonts w:hint="cs"/>
          <w:rtl/>
        </w:rPr>
        <w:t xml:space="preserve"> لم تعد هذه الأحكام تنطبق على البيئة الدولية الحالية للاتصالات. ومحاولة تطبيق أحكام رسوم المحاسبة أو حتى مراجعتها بما يتماشى مع الترتيبات الحالية المستندة إلى السوق، </w:t>
      </w:r>
      <w:r w:rsidR="004E75A2">
        <w:rPr>
          <w:color w:val="000000"/>
          <w:rtl/>
        </w:rPr>
        <w:t xml:space="preserve">قد تعيق تدفق حركة الاتصالات الدولية وقد تردع </w:t>
      </w:r>
      <w:r w:rsidR="004E75A2">
        <w:rPr>
          <w:rFonts w:hint="cs"/>
          <w:color w:val="000000"/>
          <w:rtl/>
        </w:rPr>
        <w:t>الابتكار الذي ي</w:t>
      </w:r>
      <w:r w:rsidR="004E75A2">
        <w:rPr>
          <w:color w:val="000000"/>
          <w:rtl/>
        </w:rPr>
        <w:t>حسّن الخدمات و</w:t>
      </w:r>
      <w:r w:rsidR="004E75A2">
        <w:rPr>
          <w:rFonts w:hint="cs"/>
          <w:color w:val="000000"/>
          <w:rtl/>
        </w:rPr>
        <w:t>ي</w:t>
      </w:r>
      <w:r w:rsidR="004E75A2">
        <w:rPr>
          <w:color w:val="000000"/>
          <w:rtl/>
        </w:rPr>
        <w:t>خفض الأسعار للمستهلكين</w:t>
      </w:r>
      <w:r w:rsidR="00BD7B6D">
        <w:rPr>
          <w:rFonts w:hint="cs"/>
          <w:color w:val="000000"/>
          <w:rtl/>
          <w:lang w:bidi="ar-EG"/>
        </w:rPr>
        <w:t xml:space="preserve">. </w:t>
      </w:r>
      <w:r w:rsidR="00450E6A" w:rsidRPr="00450E6A">
        <w:rPr>
          <w:rFonts w:hint="cs"/>
          <w:rtl/>
          <w:lang w:bidi="ar"/>
        </w:rPr>
        <w:t>وكما دأبنا على القول، يجب أن تكون أحكام المعاهدة المتعلقة بالاتصالات مرنة بما</w:t>
      </w:r>
      <w:r w:rsidR="00450E6A" w:rsidRPr="00450E6A">
        <w:rPr>
          <w:rFonts w:hint="eastAsia"/>
          <w:rtl/>
          <w:lang w:bidi="ar"/>
        </w:rPr>
        <w:t> </w:t>
      </w:r>
      <w:r w:rsidR="00450E6A" w:rsidRPr="00450E6A">
        <w:rPr>
          <w:rFonts w:hint="cs"/>
          <w:rtl/>
          <w:lang w:bidi="ar"/>
        </w:rPr>
        <w:t xml:space="preserve">يكفي لتواكب التغييرات المستمرة في </w:t>
      </w:r>
      <w:r w:rsidR="004E75A2">
        <w:rPr>
          <w:rFonts w:hint="cs"/>
          <w:rtl/>
          <w:lang w:bidi="ar"/>
        </w:rPr>
        <w:t>ال</w:t>
      </w:r>
      <w:r w:rsidR="00450E6A" w:rsidRPr="00450E6A">
        <w:rPr>
          <w:rFonts w:hint="cs"/>
          <w:rtl/>
          <w:lang w:bidi="ar"/>
        </w:rPr>
        <w:t>سوق</w:t>
      </w:r>
      <w:r w:rsidR="004E75A2">
        <w:rPr>
          <w:rFonts w:hint="cs"/>
          <w:rtl/>
          <w:lang w:bidi="ar"/>
        </w:rPr>
        <w:t xml:space="preserve">. وأي </w:t>
      </w:r>
      <w:r w:rsidR="00450E6A" w:rsidRPr="00450E6A">
        <w:rPr>
          <w:rFonts w:hint="cs"/>
          <w:rtl/>
        </w:rPr>
        <w:t xml:space="preserve">محاولة لمراجعة </w:t>
      </w:r>
      <w:r w:rsidR="004E75A2">
        <w:rPr>
          <w:rFonts w:hint="cs"/>
          <w:rtl/>
        </w:rPr>
        <w:t xml:space="preserve">لوائح الاتصالات الدولية لعام </w:t>
      </w:r>
      <w:r w:rsidR="004E75A2">
        <w:rPr>
          <w:lang w:val="en-GB"/>
        </w:rPr>
        <w:t>2012</w:t>
      </w:r>
      <w:r w:rsidR="00450E6A" w:rsidRPr="00450E6A">
        <w:rPr>
          <w:rFonts w:hint="cs"/>
          <w:rtl/>
        </w:rPr>
        <w:t xml:space="preserve"> ستلقى نفس مصير الأحكام الحالية</w:t>
      </w:r>
      <w:r w:rsidR="00450E6A" w:rsidRPr="00450E6A">
        <w:rPr>
          <w:rFonts w:hint="eastAsia"/>
          <w:rtl/>
        </w:rPr>
        <w:t> </w:t>
      </w:r>
      <w:r w:rsidR="00450E6A" w:rsidRPr="00450E6A">
        <w:rPr>
          <w:rFonts w:hint="cs"/>
          <w:rtl/>
        </w:rPr>
        <w:t xml:space="preserve">- لأن </w:t>
      </w:r>
      <w:r w:rsidR="00C934D9">
        <w:rPr>
          <w:rFonts w:hint="cs"/>
          <w:rtl/>
        </w:rPr>
        <w:t>التطور المستمر في السوق</w:t>
      </w:r>
      <w:r w:rsidR="00450E6A" w:rsidRPr="00450E6A">
        <w:rPr>
          <w:rFonts w:hint="cs"/>
          <w:rtl/>
        </w:rPr>
        <w:t xml:space="preserve"> وفي البيئة التنظيمية س</w:t>
      </w:r>
      <w:r w:rsidR="00C934D9">
        <w:rPr>
          <w:rFonts w:hint="cs"/>
          <w:rtl/>
        </w:rPr>
        <w:t>ي</w:t>
      </w:r>
      <w:r w:rsidR="00450E6A" w:rsidRPr="00450E6A">
        <w:rPr>
          <w:rFonts w:hint="cs"/>
          <w:rtl/>
        </w:rPr>
        <w:t>جعل الأحكام التفصيلية للمعاهدة متقادمة على الدوام.</w:t>
      </w:r>
    </w:p>
    <w:p w14:paraId="61DE69B0" w14:textId="1553C586" w:rsidR="00450E6A" w:rsidRDefault="008C4C3C" w:rsidP="00370895">
      <w:pPr>
        <w:rPr>
          <w:rtl/>
        </w:rPr>
      </w:pPr>
      <w:r>
        <w:rPr>
          <w:rFonts w:hint="cs"/>
          <w:rtl/>
        </w:rPr>
        <w:t>وندرك</w:t>
      </w:r>
      <w:r w:rsidRPr="008C4C3C">
        <w:rPr>
          <w:rtl/>
        </w:rPr>
        <w:t xml:space="preserve"> أن أعضاء الاتحاد لديهم آراء مختلفة بشأن هذا الموضوع، </w:t>
      </w:r>
      <w:r>
        <w:rPr>
          <w:rFonts w:hint="cs"/>
          <w:rtl/>
        </w:rPr>
        <w:t>كما هو مبين</w:t>
      </w:r>
      <w:r w:rsidRPr="008C4C3C">
        <w:rPr>
          <w:rtl/>
        </w:rPr>
        <w:t xml:space="preserve"> في جدول التفحص</w:t>
      </w:r>
      <w:r>
        <w:rPr>
          <w:rFonts w:hint="cs"/>
          <w:rtl/>
        </w:rPr>
        <w:t>. و</w:t>
      </w:r>
      <w:r w:rsidRPr="008C4C3C">
        <w:rPr>
          <w:rtl/>
        </w:rPr>
        <w:t xml:space="preserve">بناءً على ذلك، نرى أن الاستنتاج العام الوحيد الذي يمكن استخلاصه من تفحص كل حكم من أحكام </w:t>
      </w:r>
      <w:r>
        <w:rPr>
          <w:rFonts w:hint="cs"/>
          <w:rtl/>
        </w:rPr>
        <w:t xml:space="preserve">لوائح الاتصالات الدولية لعام </w:t>
      </w:r>
      <w:r>
        <w:rPr>
          <w:lang w:val="en-GB"/>
        </w:rPr>
        <w:t>2012</w:t>
      </w:r>
      <w:r w:rsidRPr="00450E6A">
        <w:rPr>
          <w:rFonts w:hint="cs"/>
          <w:rtl/>
        </w:rPr>
        <w:t xml:space="preserve"> </w:t>
      </w:r>
      <w:r w:rsidRPr="008C4C3C">
        <w:rPr>
          <w:rtl/>
        </w:rPr>
        <w:t xml:space="preserve">هو عدم </w:t>
      </w:r>
      <w:r>
        <w:rPr>
          <w:rFonts w:hint="cs"/>
          <w:rtl/>
        </w:rPr>
        <w:t xml:space="preserve">وجود </w:t>
      </w:r>
      <w:r w:rsidRPr="008C4C3C">
        <w:rPr>
          <w:rtl/>
        </w:rPr>
        <w:t xml:space="preserve">توافق في الآراء </w:t>
      </w:r>
      <w:r>
        <w:rPr>
          <w:rFonts w:hint="cs"/>
          <w:rtl/>
        </w:rPr>
        <w:t>سواء فيما يتعلق</w:t>
      </w:r>
      <w:r w:rsidRPr="008C4C3C">
        <w:rPr>
          <w:rtl/>
        </w:rPr>
        <w:t xml:space="preserve"> </w:t>
      </w:r>
      <w:r>
        <w:rPr>
          <w:rFonts w:hint="cs"/>
          <w:rtl/>
        </w:rPr>
        <w:t>ب</w:t>
      </w:r>
      <w:r w:rsidRPr="008C4C3C">
        <w:rPr>
          <w:rtl/>
        </w:rPr>
        <w:t xml:space="preserve">إمكانية تطبيق لوائح الاتصالات الدولية ومرونتها في </w:t>
      </w:r>
      <w:r>
        <w:rPr>
          <w:rFonts w:hint="cs"/>
          <w:rtl/>
        </w:rPr>
        <w:t>مشهد</w:t>
      </w:r>
      <w:r w:rsidRPr="008C4C3C">
        <w:rPr>
          <w:rtl/>
        </w:rPr>
        <w:t xml:space="preserve"> الاتصالات </w:t>
      </w:r>
      <w:r w:rsidR="002409F7">
        <w:rPr>
          <w:rFonts w:hint="cs"/>
          <w:rtl/>
        </w:rPr>
        <w:t>الحالي</w:t>
      </w:r>
      <w:r>
        <w:rPr>
          <w:rFonts w:hint="cs"/>
          <w:rtl/>
        </w:rPr>
        <w:t xml:space="preserve"> أو ب</w:t>
      </w:r>
      <w:r w:rsidRPr="008C4C3C">
        <w:rPr>
          <w:rtl/>
        </w:rPr>
        <w:t>ضرورة مراجعة المعاهدة.</w:t>
      </w:r>
      <w:r>
        <w:rPr>
          <w:rFonts w:hint="cs"/>
          <w:rtl/>
        </w:rPr>
        <w:t xml:space="preserve"> ونجد أنه من </w:t>
      </w:r>
      <w:r w:rsidRPr="008C4C3C">
        <w:rPr>
          <w:rtl/>
        </w:rPr>
        <w:t xml:space="preserve">غير المحتمل أن </w:t>
      </w:r>
      <w:r>
        <w:rPr>
          <w:rFonts w:hint="cs"/>
          <w:rtl/>
        </w:rPr>
        <w:t>تسفر أي</w:t>
      </w:r>
      <w:r w:rsidRPr="008C4C3C">
        <w:rPr>
          <w:rtl/>
        </w:rPr>
        <w:t xml:space="preserve"> مناقشات أخرى </w:t>
      </w:r>
      <w:r>
        <w:rPr>
          <w:rFonts w:hint="cs"/>
          <w:rtl/>
        </w:rPr>
        <w:t>بخصوص</w:t>
      </w:r>
      <w:r w:rsidRPr="008C4C3C">
        <w:rPr>
          <w:rtl/>
        </w:rPr>
        <w:t xml:space="preserve"> هذا الموضوع </w:t>
      </w:r>
      <w:r>
        <w:rPr>
          <w:rFonts w:hint="cs"/>
          <w:rtl/>
        </w:rPr>
        <w:t>عن</w:t>
      </w:r>
      <w:r w:rsidRPr="008C4C3C">
        <w:rPr>
          <w:rtl/>
        </w:rPr>
        <w:t xml:space="preserve"> نتيجة مختلفة</w:t>
      </w:r>
      <w:r w:rsidR="0018357D">
        <w:rPr>
          <w:rFonts w:hint="cs"/>
          <w:rtl/>
        </w:rPr>
        <w:t>.</w:t>
      </w:r>
    </w:p>
    <w:p w14:paraId="11CC902D" w14:textId="1A53263F" w:rsidR="00450E6A" w:rsidRPr="00CA69E8" w:rsidRDefault="00094039" w:rsidP="00CA69E8">
      <w:pPr>
        <w:pStyle w:val="Headingb"/>
        <w:rPr>
          <w:rtl/>
        </w:rPr>
      </w:pPr>
      <w:r w:rsidRPr="00CA69E8">
        <w:rPr>
          <w:rFonts w:hint="cs"/>
          <w:rtl/>
        </w:rPr>
        <w:t>الخلاصة</w:t>
      </w:r>
    </w:p>
    <w:p w14:paraId="5226A4C4" w14:textId="6F26277A" w:rsidR="000E1B17" w:rsidRPr="00BD7B6D" w:rsidRDefault="00CE459C" w:rsidP="00B304D8">
      <w:r>
        <w:rPr>
          <w:rFonts w:hint="cs"/>
          <w:rtl/>
          <w:lang w:bidi="ar-EG"/>
        </w:rPr>
        <w:t>ونثني على</w:t>
      </w:r>
      <w:r w:rsidR="00766719">
        <w:rPr>
          <w:rFonts w:hint="cs"/>
          <w:rtl/>
          <w:lang w:bidi="ar-EG"/>
        </w:rPr>
        <w:t xml:space="preserve"> فريق الخبراء </w:t>
      </w:r>
      <w:r>
        <w:rPr>
          <w:rFonts w:hint="cs"/>
          <w:rtl/>
          <w:lang w:bidi="ar-EG"/>
        </w:rPr>
        <w:t>لإكماله بنجاح</w:t>
      </w:r>
      <w:r w:rsidR="00766719">
        <w:rPr>
          <w:rFonts w:hint="cs"/>
          <w:rtl/>
          <w:lang w:bidi="ar-EG"/>
        </w:rPr>
        <w:t xml:space="preserve"> تفحص كل حكم من أحكام لوائح الاتصالات الدولية لعام </w:t>
      </w:r>
      <w:r w:rsidR="00766719">
        <w:rPr>
          <w:lang w:val="en-GB" w:bidi="ar-EG"/>
        </w:rPr>
        <w:t>2012</w:t>
      </w:r>
      <w:r w:rsidR="00766719">
        <w:rPr>
          <w:rFonts w:hint="cs"/>
          <w:rtl/>
          <w:lang w:val="en-GB"/>
        </w:rPr>
        <w:t xml:space="preserve">، ونشكر رئيس فريق الخبراء السيد </w:t>
      </w:r>
      <w:proofErr w:type="spellStart"/>
      <w:r w:rsidR="00766719">
        <w:rPr>
          <w:rFonts w:hint="cs"/>
          <w:rtl/>
          <w:lang w:val="en-GB"/>
        </w:rPr>
        <w:t>لواندو</w:t>
      </w:r>
      <w:proofErr w:type="spellEnd"/>
      <w:r w:rsidR="00766719">
        <w:rPr>
          <w:rFonts w:hint="cs"/>
          <w:rtl/>
          <w:lang w:val="en-GB"/>
        </w:rPr>
        <w:t xml:space="preserve"> بوكو (زامبيا) على قيادته القديرة.</w:t>
      </w:r>
    </w:p>
    <w:p w14:paraId="12C4B44A" w14:textId="49529A7A" w:rsidR="00450E6A" w:rsidRPr="001754EC" w:rsidRDefault="00CE459C" w:rsidP="00B304D8">
      <w:pPr>
        <w:rPr>
          <w:spacing w:val="4"/>
          <w:rtl/>
        </w:rPr>
      </w:pPr>
      <w:r w:rsidRPr="001754EC">
        <w:rPr>
          <w:rFonts w:hint="cs"/>
          <w:spacing w:val="4"/>
          <w:rtl/>
          <w:lang w:bidi="ar-EG"/>
        </w:rPr>
        <w:t>وم</w:t>
      </w:r>
      <w:r w:rsidRPr="001754EC">
        <w:rPr>
          <w:spacing w:val="4"/>
          <w:rtl/>
          <w:lang w:bidi="ar-EG"/>
        </w:rPr>
        <w:t xml:space="preserve">ع ذلك، لا يزال من غير الواضح، </w:t>
      </w:r>
      <w:r w:rsidRPr="001754EC">
        <w:rPr>
          <w:rFonts w:hint="cs"/>
          <w:spacing w:val="4"/>
          <w:rtl/>
          <w:lang w:bidi="ar-EG"/>
        </w:rPr>
        <w:t>في رأينا</w:t>
      </w:r>
      <w:r w:rsidRPr="001754EC">
        <w:rPr>
          <w:spacing w:val="4"/>
          <w:rtl/>
          <w:lang w:bidi="ar-EG"/>
        </w:rPr>
        <w:t xml:space="preserve">، كيف يمكن لمعاهدة ثابتة خاصة </w:t>
      </w:r>
      <w:r w:rsidRPr="001754EC">
        <w:rPr>
          <w:rFonts w:hint="cs"/>
          <w:spacing w:val="4"/>
          <w:rtl/>
          <w:lang w:bidi="ar-EG"/>
        </w:rPr>
        <w:t>بقطاع معين</w:t>
      </w:r>
      <w:r w:rsidRPr="001754EC">
        <w:rPr>
          <w:spacing w:val="4"/>
          <w:rtl/>
          <w:lang w:bidi="ar-EG"/>
        </w:rPr>
        <w:t xml:space="preserve"> ذات قابلية محدودة للتطبيق في</w:t>
      </w:r>
      <w:r w:rsidR="00A21508">
        <w:rPr>
          <w:rFonts w:hint="cs"/>
          <w:spacing w:val="4"/>
          <w:rtl/>
          <w:lang w:bidi="ar-EG"/>
        </w:rPr>
        <w:t> </w:t>
      </w:r>
      <w:r w:rsidRPr="001754EC">
        <w:rPr>
          <w:spacing w:val="4"/>
          <w:rtl/>
          <w:lang w:bidi="ar-EG"/>
        </w:rPr>
        <w:t xml:space="preserve">العالم </w:t>
      </w:r>
      <w:r w:rsidR="002409F7" w:rsidRPr="001754EC">
        <w:rPr>
          <w:rFonts w:hint="cs"/>
          <w:spacing w:val="4"/>
          <w:rtl/>
          <w:lang w:bidi="ar-EG"/>
        </w:rPr>
        <w:t>الواقعي</w:t>
      </w:r>
      <w:r w:rsidRPr="001754EC">
        <w:rPr>
          <w:spacing w:val="4"/>
          <w:rtl/>
          <w:lang w:bidi="ar-EG"/>
        </w:rPr>
        <w:t xml:space="preserve"> أن تساعد في تعزيز تطوير خدمات وشبكات الاتصالات</w:t>
      </w:r>
      <w:r w:rsidRPr="001754EC">
        <w:rPr>
          <w:rFonts w:hint="cs"/>
          <w:spacing w:val="4"/>
          <w:rtl/>
          <w:lang w:bidi="ar-EG"/>
        </w:rPr>
        <w:t xml:space="preserve"> الدولية</w:t>
      </w:r>
      <w:r w:rsidRPr="001754EC">
        <w:rPr>
          <w:spacing w:val="4"/>
          <w:rtl/>
          <w:lang w:bidi="ar-EG"/>
        </w:rPr>
        <w:t>/</w:t>
      </w:r>
      <w:r w:rsidRPr="001754EC">
        <w:rPr>
          <w:rFonts w:hint="cs"/>
          <w:spacing w:val="4"/>
          <w:rtl/>
          <w:lang w:bidi="ar-EG"/>
        </w:rPr>
        <w:t>ت</w:t>
      </w:r>
      <w:r w:rsidRPr="001754EC">
        <w:rPr>
          <w:spacing w:val="4"/>
          <w:rtl/>
          <w:lang w:bidi="ar-EG"/>
        </w:rPr>
        <w:t xml:space="preserve">كنولوجيا المعلومات والاتصالات، أو أن تثبت </w:t>
      </w:r>
      <w:r w:rsidRPr="001754EC">
        <w:rPr>
          <w:rFonts w:hint="cs"/>
          <w:spacing w:val="4"/>
          <w:rtl/>
          <w:lang w:bidi="ar-EG"/>
        </w:rPr>
        <w:t>مرونتها بدرجة كافية</w:t>
      </w:r>
      <w:r w:rsidRPr="001754EC">
        <w:rPr>
          <w:spacing w:val="4"/>
          <w:rtl/>
          <w:lang w:bidi="ar-EG"/>
        </w:rPr>
        <w:t xml:space="preserve"> لاستيعاب الاتجاهات الجديدة </w:t>
      </w:r>
      <w:r w:rsidRPr="001754EC">
        <w:rPr>
          <w:rFonts w:hint="cs"/>
          <w:spacing w:val="4"/>
          <w:rtl/>
          <w:lang w:bidi="ar-EG"/>
        </w:rPr>
        <w:t>والقضايا الناشئة</w:t>
      </w:r>
      <w:r w:rsidRPr="001754EC">
        <w:rPr>
          <w:spacing w:val="4"/>
          <w:rtl/>
          <w:lang w:bidi="ar-EG"/>
        </w:rPr>
        <w:t xml:space="preserve"> في بيئة الاتصالات الدولية/ تكنولوجيا المعلومات والاتصالات. </w:t>
      </w:r>
      <w:r w:rsidR="008421F8" w:rsidRPr="001754EC">
        <w:rPr>
          <w:rFonts w:hint="cs"/>
          <w:spacing w:val="4"/>
          <w:rtl/>
          <w:lang w:bidi="ar-EG"/>
        </w:rPr>
        <w:t>و</w:t>
      </w:r>
      <w:r w:rsidR="00714744" w:rsidRPr="001754EC">
        <w:rPr>
          <w:rFonts w:hint="cs"/>
          <w:spacing w:val="4"/>
          <w:rtl/>
        </w:rPr>
        <w:t xml:space="preserve">نلاحظ، </w:t>
      </w:r>
      <w:r w:rsidR="008421F8" w:rsidRPr="001754EC">
        <w:rPr>
          <w:rFonts w:hint="cs"/>
          <w:spacing w:val="4"/>
          <w:rtl/>
          <w:lang w:bidi="ar-EG"/>
        </w:rPr>
        <w:t>إذ يعد</w:t>
      </w:r>
      <w:r w:rsidRPr="001754EC">
        <w:rPr>
          <w:rFonts w:hint="cs"/>
          <w:spacing w:val="4"/>
          <w:rtl/>
          <w:lang w:bidi="ar-EG"/>
        </w:rPr>
        <w:t xml:space="preserve"> فريق الخبراء</w:t>
      </w:r>
      <w:r w:rsidR="008421F8" w:rsidRPr="001754EC">
        <w:rPr>
          <w:rFonts w:hint="cs"/>
          <w:spacing w:val="4"/>
          <w:rtl/>
          <w:lang w:bidi="ar-EG"/>
        </w:rPr>
        <w:t xml:space="preserve"> </w:t>
      </w:r>
      <w:r w:rsidRPr="001754EC">
        <w:rPr>
          <w:rFonts w:hint="cs"/>
          <w:spacing w:val="4"/>
          <w:rtl/>
          <w:lang w:bidi="ar-EG"/>
        </w:rPr>
        <w:t xml:space="preserve">تقريره النهائي إلى دورة المجلس لعام </w:t>
      </w:r>
      <w:r w:rsidRPr="001754EC">
        <w:rPr>
          <w:spacing w:val="4"/>
          <w:lang w:val="en-GB" w:bidi="ar-EG"/>
        </w:rPr>
        <w:t>2022</w:t>
      </w:r>
      <w:r w:rsidRPr="001754EC">
        <w:rPr>
          <w:rFonts w:hint="cs"/>
          <w:spacing w:val="4"/>
          <w:rtl/>
          <w:lang w:bidi="ar-EG"/>
        </w:rPr>
        <w:t>،</w:t>
      </w:r>
      <w:r w:rsidRPr="001754EC">
        <w:rPr>
          <w:spacing w:val="4"/>
          <w:rtl/>
          <w:lang w:bidi="ar-EG"/>
        </w:rPr>
        <w:t xml:space="preserve"> استمرار عدم وجود توافق في الآراء لتحقيق هذه الغاية</w:t>
      </w:r>
      <w:r w:rsidR="00D2256A" w:rsidRPr="001754EC">
        <w:rPr>
          <w:rFonts w:hint="cs"/>
          <w:spacing w:val="4"/>
          <w:rtl/>
          <w:lang w:bidi="ar-EG"/>
        </w:rPr>
        <w:t>.</w:t>
      </w:r>
    </w:p>
    <w:p w14:paraId="4E539760" w14:textId="77777777" w:rsidR="006F3BD6" w:rsidRDefault="006F3BD6" w:rsidP="006F3BD6">
      <w:pPr>
        <w:spacing w:before="600"/>
        <w:jc w:val="center"/>
        <w:rPr>
          <w:rtl/>
          <w:lang w:bidi="ar-EG"/>
        </w:rPr>
      </w:pPr>
      <w:r w:rsidRPr="006F3BD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2545" w14:textId="77777777" w:rsidR="000E1B17" w:rsidRDefault="000E1B17" w:rsidP="006C3242">
      <w:pPr>
        <w:spacing w:before="0" w:line="240" w:lineRule="auto"/>
      </w:pPr>
      <w:r>
        <w:separator/>
      </w:r>
    </w:p>
  </w:endnote>
  <w:endnote w:type="continuationSeparator" w:id="0">
    <w:p w14:paraId="45D58A59" w14:textId="77777777" w:rsidR="000E1B17" w:rsidRDefault="000E1B1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F192" w14:textId="36D906D8" w:rsidR="006C3242" w:rsidRPr="00AD4E8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AD4E8E">
      <w:rPr>
        <w:color w:val="F2F2F2" w:themeColor="background1" w:themeShade="F2"/>
        <w:sz w:val="16"/>
        <w:szCs w:val="16"/>
        <w:lang w:val="fr-FR"/>
      </w:rPr>
      <w:fldChar w:fldCharType="begin"/>
    </w:r>
    <w:r w:rsidRPr="00AD4E8E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D4E8E">
      <w:rPr>
        <w:color w:val="F2F2F2" w:themeColor="background1" w:themeShade="F2"/>
        <w:sz w:val="16"/>
        <w:szCs w:val="16"/>
        <w:lang w:val="fr-FR"/>
      </w:rPr>
      <w:fldChar w:fldCharType="separate"/>
    </w:r>
    <w:r w:rsidR="00370895" w:rsidRPr="00AD4E8E">
      <w:rPr>
        <w:noProof/>
        <w:color w:val="F2F2F2" w:themeColor="background1" w:themeShade="F2"/>
        <w:sz w:val="16"/>
        <w:szCs w:val="16"/>
        <w:lang w:val="fr-FR"/>
      </w:rPr>
      <w:t>P:\ARA\SG\CONSEIL\EG-ITR\EG-ITR-5\000\008A.docx</w:t>
    </w:r>
    <w:r w:rsidRPr="00AD4E8E">
      <w:rPr>
        <w:color w:val="F2F2F2" w:themeColor="background1" w:themeShade="F2"/>
        <w:sz w:val="16"/>
        <w:szCs w:val="16"/>
      </w:rPr>
      <w:fldChar w:fldCharType="end"/>
    </w:r>
    <w:proofErr w:type="gramStart"/>
    <w:r w:rsidRPr="00AD4E8E">
      <w:rPr>
        <w:color w:val="F2F2F2" w:themeColor="background1" w:themeShade="F2"/>
        <w:sz w:val="16"/>
        <w:szCs w:val="16"/>
      </w:rPr>
      <w:t xml:space="preserve">  </w:t>
    </w:r>
    <w:r w:rsidRPr="00AD4E8E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450E6A" w:rsidRPr="00AD4E8E">
      <w:rPr>
        <w:color w:val="F2F2F2" w:themeColor="background1" w:themeShade="F2"/>
        <w:sz w:val="16"/>
        <w:szCs w:val="16"/>
        <w:lang w:val="fr-FR"/>
      </w:rPr>
      <w:t>494485</w:t>
    </w:r>
    <w:r w:rsidRPr="00AD4E8E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6C5F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193E" w14:textId="77777777" w:rsidR="000E1B17" w:rsidRDefault="000E1B17" w:rsidP="006C3242">
      <w:pPr>
        <w:spacing w:before="0" w:line="240" w:lineRule="auto"/>
      </w:pPr>
      <w:r>
        <w:separator/>
      </w:r>
    </w:p>
  </w:footnote>
  <w:footnote w:type="continuationSeparator" w:id="0">
    <w:p w14:paraId="1565CA6F" w14:textId="77777777" w:rsidR="000E1B17" w:rsidRDefault="000E1B17" w:rsidP="006C3242">
      <w:pPr>
        <w:spacing w:before="0" w:line="240" w:lineRule="auto"/>
      </w:pPr>
      <w:r>
        <w:continuationSeparator/>
      </w:r>
    </w:p>
  </w:footnote>
  <w:footnote w:id="1">
    <w:p w14:paraId="498BF562" w14:textId="0A8B5EED" w:rsidR="000E1B17" w:rsidRPr="00AA0703" w:rsidRDefault="000E1B17" w:rsidP="00094039">
      <w:pPr>
        <w:pStyle w:val="FootnoteText"/>
        <w:tabs>
          <w:tab w:val="clear" w:pos="794"/>
          <w:tab w:val="left" w:pos="425"/>
        </w:tabs>
        <w:rPr>
          <w:sz w:val="18"/>
          <w:szCs w:val="18"/>
        </w:rPr>
      </w:pPr>
      <w:r>
        <w:rPr>
          <w:rStyle w:val="FootnoteReference"/>
        </w:rPr>
        <w:footnoteRef/>
      </w:r>
      <w:r w:rsidR="00094039">
        <w:rPr>
          <w:rtl/>
        </w:rPr>
        <w:tab/>
      </w:r>
      <w:r w:rsidRPr="00C03500">
        <w:rPr>
          <w:rFonts w:hint="cs"/>
          <w:i/>
          <w:iCs/>
          <w:sz w:val="18"/>
          <w:szCs w:val="18"/>
          <w:rtl/>
        </w:rPr>
        <w:t xml:space="preserve">انظر </w:t>
      </w:r>
      <w:r w:rsidRPr="00133288">
        <w:rPr>
          <w:rFonts w:hint="cs"/>
          <w:sz w:val="18"/>
          <w:szCs w:val="18"/>
          <w:rtl/>
        </w:rPr>
        <w:t xml:space="preserve">القرار </w:t>
      </w:r>
      <w:r>
        <w:rPr>
          <w:sz w:val="18"/>
          <w:szCs w:val="18"/>
        </w:rPr>
        <w:t>182</w:t>
      </w:r>
      <w:r w:rsidRPr="00133288">
        <w:rPr>
          <w:rFonts w:hint="cs"/>
          <w:sz w:val="18"/>
          <w:szCs w:val="18"/>
          <w:rtl/>
        </w:rPr>
        <w:t xml:space="preserve"> (المراجَع في </w:t>
      </w:r>
      <w:r>
        <w:rPr>
          <w:rFonts w:hint="cs"/>
          <w:sz w:val="18"/>
          <w:szCs w:val="18"/>
          <w:rtl/>
        </w:rPr>
        <w:t>بوسان</w:t>
      </w:r>
      <w:r w:rsidRPr="00133288">
        <w:rPr>
          <w:rFonts w:hint="cs"/>
          <w:sz w:val="18"/>
          <w:szCs w:val="18"/>
          <w:rtl/>
        </w:rPr>
        <w:t xml:space="preserve">، </w:t>
      </w:r>
      <w:r w:rsidR="00AA0703">
        <w:rPr>
          <w:rFonts w:hint="cs"/>
          <w:sz w:val="18"/>
          <w:szCs w:val="18"/>
          <w:rtl/>
        </w:rPr>
        <w:t>2014</w:t>
      </w:r>
      <w:r w:rsidRPr="00133288">
        <w:rPr>
          <w:rFonts w:hint="cs"/>
          <w:sz w:val="18"/>
          <w:szCs w:val="18"/>
          <w:rtl/>
        </w:rPr>
        <w:t xml:space="preserve">) لمؤتمر المندوبين المفوضين </w:t>
      </w:r>
      <w:r>
        <w:rPr>
          <w:rFonts w:hint="cs"/>
          <w:sz w:val="18"/>
          <w:szCs w:val="18"/>
          <w:rtl/>
        </w:rPr>
        <w:t xml:space="preserve">بشأن </w:t>
      </w:r>
      <w:r w:rsidRPr="00133288">
        <w:rPr>
          <w:sz w:val="18"/>
          <w:szCs w:val="18"/>
          <w:rtl/>
        </w:rPr>
        <w:t>دور الاتصالات/تكنولوجيا المعلومات والاتصالات فيما يتعلق بتغير المناخ وحماية البيئة</w:t>
      </w:r>
      <w:r w:rsidR="00AA0703">
        <w:rPr>
          <w:rFonts w:hint="cs"/>
          <w:sz w:val="18"/>
          <w:szCs w:val="18"/>
          <w:rtl/>
        </w:rPr>
        <w:t xml:space="preserve">؛ </w:t>
      </w:r>
      <w:r w:rsidR="00AA0703" w:rsidRPr="00133288">
        <w:rPr>
          <w:rFonts w:hint="cs"/>
          <w:sz w:val="18"/>
          <w:szCs w:val="18"/>
          <w:rtl/>
        </w:rPr>
        <w:t xml:space="preserve">والقرار </w:t>
      </w:r>
      <w:r w:rsidR="00AA0703">
        <w:rPr>
          <w:sz w:val="18"/>
          <w:szCs w:val="18"/>
        </w:rPr>
        <w:t>175</w:t>
      </w:r>
      <w:r w:rsidR="00AA0703">
        <w:rPr>
          <w:rFonts w:hint="cs"/>
          <w:sz w:val="18"/>
          <w:szCs w:val="18"/>
          <w:rtl/>
        </w:rPr>
        <w:t xml:space="preserve"> (المراجَع في دبي، </w:t>
      </w:r>
      <w:r w:rsidR="00AA0703">
        <w:rPr>
          <w:sz w:val="18"/>
          <w:szCs w:val="18"/>
        </w:rPr>
        <w:t>2018</w:t>
      </w:r>
      <w:r w:rsidR="00AA0703">
        <w:rPr>
          <w:rFonts w:hint="cs"/>
          <w:sz w:val="18"/>
          <w:szCs w:val="18"/>
          <w:rtl/>
        </w:rPr>
        <w:t xml:space="preserve">) لمؤتمر المندوبين المفوضين </w:t>
      </w:r>
      <w:r w:rsidR="007928A7">
        <w:rPr>
          <w:rFonts w:hint="cs"/>
          <w:sz w:val="18"/>
          <w:szCs w:val="18"/>
          <w:rtl/>
        </w:rPr>
        <w:t>بشأن</w:t>
      </w:r>
      <w:r w:rsidR="00AA0703" w:rsidRPr="00133288">
        <w:rPr>
          <w:rFonts w:hint="cs"/>
          <w:sz w:val="18"/>
          <w:szCs w:val="18"/>
          <w:rtl/>
        </w:rPr>
        <w:t xml:space="preserve"> </w:t>
      </w:r>
      <w:r w:rsidR="00AA0703" w:rsidRPr="00133288">
        <w:rPr>
          <w:sz w:val="18"/>
          <w:szCs w:val="18"/>
          <w:rtl/>
        </w:rPr>
        <w:t>نفاذ الأشخاص ذوي الإعاقة والأشخاص ذوي الاحتياجات المحددة إلى الاتصالات/تكنولوجيا المعلومات والاتصالات</w:t>
      </w:r>
      <w:r w:rsidR="00AA0703" w:rsidRPr="00AA0703">
        <w:rPr>
          <w:rFonts w:hint="cs"/>
          <w:sz w:val="18"/>
          <w:szCs w:val="18"/>
          <w:rtl/>
        </w:rPr>
        <w:t xml:space="preserve"> (على التوالي).</w:t>
      </w:r>
    </w:p>
  </w:footnote>
  <w:footnote w:id="2">
    <w:p w14:paraId="5C5E173D" w14:textId="723A6FE4" w:rsidR="000E1B17" w:rsidRPr="009E0A2E" w:rsidRDefault="000E1B17" w:rsidP="00094039">
      <w:pPr>
        <w:pStyle w:val="FootnoteText"/>
        <w:tabs>
          <w:tab w:val="clear" w:pos="794"/>
          <w:tab w:val="left" w:pos="425"/>
        </w:tabs>
        <w:rPr>
          <w:sz w:val="18"/>
          <w:szCs w:val="18"/>
          <w:rtl/>
          <w:lang w:bidi="ar-EG"/>
        </w:rPr>
      </w:pPr>
      <w:r>
        <w:rPr>
          <w:rStyle w:val="FootnoteReference"/>
        </w:rPr>
        <w:footnoteRef/>
      </w:r>
      <w:r w:rsidR="00094039">
        <w:rPr>
          <w:rtl/>
        </w:rPr>
        <w:tab/>
      </w:r>
      <w:r w:rsidR="008C3833" w:rsidRPr="009E0A2E">
        <w:rPr>
          <w:rFonts w:hint="cs"/>
          <w:i/>
          <w:iCs/>
          <w:sz w:val="18"/>
          <w:szCs w:val="18"/>
          <w:rtl/>
          <w:lang w:bidi="ar-EG"/>
        </w:rPr>
        <w:t>انظر مثلاً،</w:t>
      </w:r>
      <w:r w:rsidR="008C3833" w:rsidRPr="009E0A2E">
        <w:rPr>
          <w:rFonts w:hint="cs"/>
          <w:sz w:val="18"/>
          <w:szCs w:val="18"/>
          <w:rtl/>
          <w:lang w:bidi="ar-EG"/>
        </w:rPr>
        <w:t xml:space="preserve"> المادة </w:t>
      </w:r>
      <w:r w:rsidR="008C3833" w:rsidRPr="009E0A2E">
        <w:rPr>
          <w:sz w:val="18"/>
          <w:szCs w:val="18"/>
          <w:lang w:val="en-GB" w:bidi="ar-EG"/>
        </w:rPr>
        <w:t>9</w:t>
      </w:r>
      <w:r w:rsidR="00370895" w:rsidRPr="009E0A2E">
        <w:rPr>
          <w:rFonts w:hint="cs"/>
          <w:sz w:val="18"/>
          <w:szCs w:val="18"/>
          <w:rtl/>
        </w:rPr>
        <w:t xml:space="preserve"> </w:t>
      </w:r>
      <w:r w:rsidR="008C3833" w:rsidRPr="009E0A2E">
        <w:rPr>
          <w:rFonts w:hint="cs"/>
          <w:sz w:val="18"/>
          <w:szCs w:val="18"/>
          <w:rtl/>
        </w:rPr>
        <w:t>(تعليق الخدمات)، والمادة 10 (نشر المعلومات)، والمادة 13 (ترتيبات خاصة)، والمادة 14 (</w:t>
      </w:r>
      <w:r w:rsidR="00BF614D" w:rsidRPr="009E0A2E">
        <w:rPr>
          <w:rFonts w:hint="cs"/>
          <w:sz w:val="18"/>
          <w:szCs w:val="18"/>
          <w:rtl/>
        </w:rPr>
        <w:t>أ</w:t>
      </w:r>
      <w:r w:rsidR="008C3833" w:rsidRPr="009E0A2E">
        <w:rPr>
          <w:rFonts w:hint="cs"/>
          <w:sz w:val="18"/>
          <w:szCs w:val="18"/>
          <w:rtl/>
        </w:rPr>
        <w:t xml:space="preserve">حكام </w:t>
      </w:r>
      <w:r w:rsidR="00BF614D" w:rsidRPr="009E0A2E">
        <w:rPr>
          <w:rFonts w:hint="cs"/>
          <w:sz w:val="18"/>
          <w:szCs w:val="18"/>
          <w:rtl/>
        </w:rPr>
        <w:t>ختامية</w:t>
      </w:r>
      <w:r w:rsidR="008C3833" w:rsidRPr="009E0A2E">
        <w:rPr>
          <w:rFonts w:hint="cs"/>
          <w:sz w:val="18"/>
          <w:szCs w:val="18"/>
          <w:rtl/>
        </w:rPr>
        <w:t xml:space="preserve">)؛ </w:t>
      </w:r>
      <w:r w:rsidR="008C3833" w:rsidRPr="009E0A2E">
        <w:rPr>
          <w:rFonts w:hint="cs"/>
          <w:i/>
          <w:iCs/>
          <w:sz w:val="18"/>
          <w:szCs w:val="18"/>
          <w:rtl/>
        </w:rPr>
        <w:t xml:space="preserve">انظر </w:t>
      </w:r>
      <w:r w:rsidR="00A90889" w:rsidRPr="009E0A2E">
        <w:rPr>
          <w:rFonts w:hint="cs"/>
          <w:i/>
          <w:iCs/>
          <w:sz w:val="18"/>
          <w:szCs w:val="18"/>
          <w:rtl/>
        </w:rPr>
        <w:t>بشكل عام</w:t>
      </w:r>
      <w:r w:rsidR="008C3833" w:rsidRPr="009E0A2E">
        <w:rPr>
          <w:rFonts w:hint="cs"/>
          <w:sz w:val="18"/>
          <w:szCs w:val="18"/>
          <w:rtl/>
        </w:rPr>
        <w:t xml:space="preserve"> استعراض فريق الخبراء للوائح الاتصالات الدولية </w:t>
      </w:r>
      <w:r w:rsidR="008C3833" w:rsidRPr="009E0A2E">
        <w:rPr>
          <w:sz w:val="18"/>
          <w:szCs w:val="18"/>
          <w:lang w:val="en-GB"/>
        </w:rPr>
        <w:t>(2009-2007)</w:t>
      </w:r>
      <w:r w:rsidR="008C3833" w:rsidRPr="009E0A2E">
        <w:rPr>
          <w:rFonts w:hint="cs"/>
          <w:sz w:val="18"/>
          <w:szCs w:val="18"/>
          <w:rtl/>
          <w:lang w:bidi="ar-EG"/>
        </w:rPr>
        <w:t>، وثيقة المعلومات</w:t>
      </w:r>
      <w:r w:rsidR="00A90889" w:rsidRPr="009E0A2E">
        <w:rPr>
          <w:rFonts w:hint="cs"/>
          <w:sz w:val="18"/>
          <w:szCs w:val="18"/>
          <w:rtl/>
          <w:lang w:bidi="ar-EG"/>
        </w:rPr>
        <w:t xml:space="preserve"> رقم</w:t>
      </w:r>
      <w:r w:rsidR="008C3833" w:rsidRPr="009E0A2E">
        <w:rPr>
          <w:rFonts w:hint="cs"/>
          <w:sz w:val="18"/>
          <w:szCs w:val="18"/>
          <w:rtl/>
          <w:lang w:bidi="ar-EG"/>
        </w:rPr>
        <w:t xml:space="preserve"> </w:t>
      </w:r>
      <w:r w:rsidR="008C3833" w:rsidRPr="009E0A2E">
        <w:rPr>
          <w:sz w:val="18"/>
          <w:szCs w:val="18"/>
          <w:lang w:val="en-GB" w:bidi="ar-EG"/>
        </w:rPr>
        <w:t>5</w:t>
      </w:r>
      <w:r w:rsidR="00370895" w:rsidRPr="009E0A2E">
        <w:rPr>
          <w:rFonts w:hint="cs"/>
          <w:sz w:val="18"/>
          <w:szCs w:val="18"/>
          <w:rtl/>
          <w:lang w:val="en-GB" w:bidi="ar-EG"/>
        </w:rPr>
        <w:t xml:space="preserve"> </w:t>
      </w:r>
      <w:r w:rsidR="008C3833" w:rsidRPr="009E0A2E">
        <w:rPr>
          <w:rFonts w:hint="cs"/>
          <w:sz w:val="18"/>
          <w:szCs w:val="18"/>
          <w:rtl/>
        </w:rPr>
        <w:t xml:space="preserve">بشأن العلاقة بين لوائح الاتصالات الدولية والدستور والاتفاقية، </w:t>
      </w:r>
      <w:r w:rsidR="00A90889" w:rsidRPr="009E0A2E">
        <w:rPr>
          <w:rFonts w:hint="cs"/>
          <w:sz w:val="18"/>
          <w:szCs w:val="18"/>
          <w:rtl/>
        </w:rPr>
        <w:t xml:space="preserve">المتاحة </w:t>
      </w:r>
      <w:r w:rsidR="008C3833" w:rsidRPr="009E0A2E">
        <w:rPr>
          <w:rFonts w:hint="cs"/>
          <w:sz w:val="18"/>
          <w:szCs w:val="18"/>
          <w:rtl/>
        </w:rPr>
        <w:t>في</w:t>
      </w:r>
      <w:r w:rsidR="000C66F0" w:rsidRPr="009E0A2E">
        <w:rPr>
          <w:rFonts w:hint="eastAsia"/>
          <w:sz w:val="18"/>
          <w:szCs w:val="18"/>
          <w:rtl/>
        </w:rPr>
        <w:t> </w:t>
      </w:r>
      <w:r w:rsidR="008C3833" w:rsidRPr="009E0A2E">
        <w:rPr>
          <w:rFonts w:hint="cs"/>
          <w:sz w:val="18"/>
          <w:szCs w:val="18"/>
          <w:rtl/>
        </w:rPr>
        <w:t>العنوان التالي:</w:t>
      </w:r>
      <w:r w:rsidRPr="009E0A2E">
        <w:rPr>
          <w:rFonts w:hint="cs"/>
          <w:sz w:val="18"/>
          <w:szCs w:val="18"/>
          <w:rtl/>
          <w:lang w:bidi="ar-EG"/>
        </w:rPr>
        <w:t xml:space="preserve"> </w:t>
      </w:r>
      <w:hyperlink r:id="rId1" w:history="1">
        <w:r w:rsidR="00370895" w:rsidRPr="009E0A2E">
          <w:rPr>
            <w:rStyle w:val="Hyperlink"/>
            <w:sz w:val="18"/>
            <w:szCs w:val="18"/>
          </w:rPr>
          <w:t>https://www.itu.int/md/T05-ITR.EG-INF-0005/en</w:t>
        </w:r>
      </w:hyperlink>
      <w:r w:rsidR="00370895" w:rsidRPr="009E0A2E">
        <w:rPr>
          <w:rStyle w:val="Hyperlink"/>
          <w:rFonts w:hint="cs"/>
          <w:color w:val="auto"/>
          <w:sz w:val="18"/>
          <w:szCs w:val="18"/>
          <w:u w:val="none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20FA" w14:textId="573B3270" w:rsidR="00447F32" w:rsidRPr="00447F32" w:rsidRDefault="00AD4E8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246CDD">
          <w:rPr>
            <w:rFonts w:cs="Calibri"/>
            <w:noProof/>
            <w:sz w:val="20"/>
            <w:szCs w:val="20"/>
          </w:rPr>
          <w:t>5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AB4EED">
          <w:rPr>
            <w:rFonts w:cs="Calibri"/>
            <w:noProof/>
            <w:sz w:val="20"/>
            <w:szCs w:val="20"/>
          </w:rPr>
          <w:t>8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7"/>
    <w:rsid w:val="00056A9A"/>
    <w:rsid w:val="00063677"/>
    <w:rsid w:val="0006468A"/>
    <w:rsid w:val="00075D06"/>
    <w:rsid w:val="00090574"/>
    <w:rsid w:val="00094039"/>
    <w:rsid w:val="00095360"/>
    <w:rsid w:val="000B56D3"/>
    <w:rsid w:val="000C1C0E"/>
    <w:rsid w:val="000C548A"/>
    <w:rsid w:val="000C66F0"/>
    <w:rsid w:val="000E1B17"/>
    <w:rsid w:val="000F126A"/>
    <w:rsid w:val="001754EC"/>
    <w:rsid w:val="0018357D"/>
    <w:rsid w:val="001C0169"/>
    <w:rsid w:val="001D1D50"/>
    <w:rsid w:val="001D6745"/>
    <w:rsid w:val="001E446E"/>
    <w:rsid w:val="00206300"/>
    <w:rsid w:val="002154EE"/>
    <w:rsid w:val="002276D2"/>
    <w:rsid w:val="0023283D"/>
    <w:rsid w:val="002409F7"/>
    <w:rsid w:val="002431BE"/>
    <w:rsid w:val="00246CDD"/>
    <w:rsid w:val="0026373E"/>
    <w:rsid w:val="00271C43"/>
    <w:rsid w:val="00290728"/>
    <w:rsid w:val="002978F4"/>
    <w:rsid w:val="002B028D"/>
    <w:rsid w:val="002E196B"/>
    <w:rsid w:val="002E6541"/>
    <w:rsid w:val="00334924"/>
    <w:rsid w:val="00337DCD"/>
    <w:rsid w:val="003409BC"/>
    <w:rsid w:val="00341491"/>
    <w:rsid w:val="00357185"/>
    <w:rsid w:val="00370895"/>
    <w:rsid w:val="00383829"/>
    <w:rsid w:val="003D3D42"/>
    <w:rsid w:val="003F4B29"/>
    <w:rsid w:val="00404828"/>
    <w:rsid w:val="0042686F"/>
    <w:rsid w:val="004317D8"/>
    <w:rsid w:val="00434183"/>
    <w:rsid w:val="00435AFF"/>
    <w:rsid w:val="00443869"/>
    <w:rsid w:val="00447F32"/>
    <w:rsid w:val="00450E6A"/>
    <w:rsid w:val="004C551C"/>
    <w:rsid w:val="004E11DC"/>
    <w:rsid w:val="004E75A2"/>
    <w:rsid w:val="00525DDD"/>
    <w:rsid w:val="005409AC"/>
    <w:rsid w:val="0055516A"/>
    <w:rsid w:val="0058491B"/>
    <w:rsid w:val="00592EA5"/>
    <w:rsid w:val="005A0F49"/>
    <w:rsid w:val="005A3170"/>
    <w:rsid w:val="0060140C"/>
    <w:rsid w:val="00661C91"/>
    <w:rsid w:val="00674032"/>
    <w:rsid w:val="00677396"/>
    <w:rsid w:val="0069200F"/>
    <w:rsid w:val="00692B84"/>
    <w:rsid w:val="006A129C"/>
    <w:rsid w:val="006A65CB"/>
    <w:rsid w:val="006C3242"/>
    <w:rsid w:val="006C7CC0"/>
    <w:rsid w:val="006E0C03"/>
    <w:rsid w:val="006F3BD6"/>
    <w:rsid w:val="006F63F7"/>
    <w:rsid w:val="007025C7"/>
    <w:rsid w:val="00702AFE"/>
    <w:rsid w:val="00706D7A"/>
    <w:rsid w:val="00714744"/>
    <w:rsid w:val="00722F0D"/>
    <w:rsid w:val="0074420E"/>
    <w:rsid w:val="00766719"/>
    <w:rsid w:val="00783E26"/>
    <w:rsid w:val="007928A7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1F8"/>
    <w:rsid w:val="008513CB"/>
    <w:rsid w:val="008A7F84"/>
    <w:rsid w:val="008B7D59"/>
    <w:rsid w:val="008C3833"/>
    <w:rsid w:val="008C4C3C"/>
    <w:rsid w:val="008E02C4"/>
    <w:rsid w:val="0091702E"/>
    <w:rsid w:val="00923B0C"/>
    <w:rsid w:val="0094021C"/>
    <w:rsid w:val="00952F86"/>
    <w:rsid w:val="009546D0"/>
    <w:rsid w:val="00982B28"/>
    <w:rsid w:val="009A56FA"/>
    <w:rsid w:val="009D313F"/>
    <w:rsid w:val="009E0A2E"/>
    <w:rsid w:val="00A02C15"/>
    <w:rsid w:val="00A21508"/>
    <w:rsid w:val="00A47A5A"/>
    <w:rsid w:val="00A56DA0"/>
    <w:rsid w:val="00A6683B"/>
    <w:rsid w:val="00A90889"/>
    <w:rsid w:val="00A97F94"/>
    <w:rsid w:val="00AA0703"/>
    <w:rsid w:val="00AA7EA2"/>
    <w:rsid w:val="00AB4EED"/>
    <w:rsid w:val="00AD4E8E"/>
    <w:rsid w:val="00AF6B5C"/>
    <w:rsid w:val="00B013BA"/>
    <w:rsid w:val="00B03099"/>
    <w:rsid w:val="00B05BC8"/>
    <w:rsid w:val="00B304D8"/>
    <w:rsid w:val="00B64B47"/>
    <w:rsid w:val="00BC7580"/>
    <w:rsid w:val="00BD204A"/>
    <w:rsid w:val="00BD7B6D"/>
    <w:rsid w:val="00BF614D"/>
    <w:rsid w:val="00C002DE"/>
    <w:rsid w:val="00C40DE8"/>
    <w:rsid w:val="00C53BF8"/>
    <w:rsid w:val="00C66157"/>
    <w:rsid w:val="00C674FE"/>
    <w:rsid w:val="00C67501"/>
    <w:rsid w:val="00C75633"/>
    <w:rsid w:val="00C934D9"/>
    <w:rsid w:val="00CA69E8"/>
    <w:rsid w:val="00CE2EE1"/>
    <w:rsid w:val="00CE3349"/>
    <w:rsid w:val="00CE36E5"/>
    <w:rsid w:val="00CE459C"/>
    <w:rsid w:val="00CF27F5"/>
    <w:rsid w:val="00CF3FFD"/>
    <w:rsid w:val="00D10CCF"/>
    <w:rsid w:val="00D2256A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61FF2"/>
    <w:rsid w:val="00F84366"/>
    <w:rsid w:val="00F85089"/>
    <w:rsid w:val="00F974C5"/>
    <w:rsid w:val="00FA6F46"/>
    <w:rsid w:val="00FC10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A593A8"/>
  <w15:chartTrackingRefBased/>
  <w15:docId w15:val="{C528B4EF-E9D9-45C1-9E6F-F627178D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T05-ITR.EG-INF-000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Australia, Canada, and the United States of America - Overall observations based on the provision-by-provision examination of the 2012 International Telecommunication Regulations</dc:title>
  <dc:subject>EG-ITRs</dc:subject>
  <dc:creator>Almidani, Ahmad Alaa</dc:creator>
  <cp:keywords>EG-ITRs</cp:keywords>
  <dc:description/>
  <cp:lastModifiedBy>Xue, Kun</cp:lastModifiedBy>
  <cp:revision>2</cp:revision>
  <dcterms:created xsi:type="dcterms:W3CDTF">2021-09-22T21:00:00Z</dcterms:created>
  <dcterms:modified xsi:type="dcterms:W3CDTF">2021-09-22T21:00:00Z</dcterms:modified>
</cp:coreProperties>
</file>