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46"/>
        <w:gridCol w:w="3227"/>
      </w:tblGrid>
      <w:tr w:rsidR="00520F36" w:rsidRPr="000D7BE9" w14:paraId="021BB70E" w14:textId="77777777" w:rsidTr="00C67DFA">
        <w:trPr>
          <w:cantSplit/>
        </w:trPr>
        <w:tc>
          <w:tcPr>
            <w:tcW w:w="6946" w:type="dxa"/>
          </w:tcPr>
          <w:p w14:paraId="1AA4E58D" w14:textId="77777777" w:rsidR="00520F36" w:rsidRPr="000D7BE9" w:rsidRDefault="00D837AA" w:rsidP="00474A8E">
            <w:pPr>
              <w:spacing w:before="240"/>
            </w:pPr>
            <w:r w:rsidRPr="000D7BE9">
              <w:rPr>
                <w:rFonts w:eastAsia="Calibri" w:cs="Calibri"/>
                <w:b/>
                <w:bCs/>
                <w:color w:val="000000"/>
                <w:position w:val="6"/>
                <w:sz w:val="30"/>
                <w:szCs w:val="30"/>
              </w:rPr>
              <w:t>Groupe d</w:t>
            </w:r>
            <w:r w:rsidR="00C67DFA" w:rsidRPr="000D7BE9">
              <w:rPr>
                <w:rFonts w:eastAsia="Calibri" w:cs="Calibri"/>
                <w:b/>
                <w:bCs/>
                <w:color w:val="000000"/>
                <w:position w:val="6"/>
                <w:sz w:val="30"/>
                <w:szCs w:val="30"/>
              </w:rPr>
              <w:t>'</w:t>
            </w:r>
            <w:r w:rsidRPr="000D7BE9">
              <w:rPr>
                <w:rFonts w:eastAsia="Calibri" w:cs="Calibri"/>
                <w:b/>
                <w:bCs/>
                <w:color w:val="000000"/>
                <w:position w:val="6"/>
                <w:sz w:val="30"/>
                <w:szCs w:val="30"/>
              </w:rPr>
              <w:t>experts sur le Règlement des télécommunications internationales (EG</w:t>
            </w:r>
            <w:r w:rsidRPr="000D7BE9">
              <w:rPr>
                <w:rFonts w:eastAsia="Calibri" w:cs="Calibri"/>
                <w:b/>
                <w:bCs/>
                <w:color w:val="000000"/>
                <w:position w:val="6"/>
                <w:sz w:val="30"/>
                <w:szCs w:val="30"/>
              </w:rPr>
              <w:noBreakHyphen/>
              <w:t>RTI)</w:t>
            </w:r>
          </w:p>
        </w:tc>
        <w:tc>
          <w:tcPr>
            <w:tcW w:w="3227" w:type="dxa"/>
          </w:tcPr>
          <w:p w14:paraId="43071775" w14:textId="77777777" w:rsidR="00520F36" w:rsidRPr="000D7BE9" w:rsidRDefault="00B84194" w:rsidP="00D06D06">
            <w:pPr>
              <w:spacing w:before="0"/>
            </w:pPr>
            <w:bookmarkStart w:id="0" w:name="ditulogo"/>
            <w:bookmarkEnd w:id="0"/>
            <w:r w:rsidRPr="000D7BE9">
              <w:rPr>
                <w:noProof/>
                <w:lang w:val="en-US"/>
              </w:rPr>
              <w:drawing>
                <wp:inline distT="0" distB="0" distL="0" distR="0" wp14:anchorId="034714EF" wp14:editId="58FAB99D">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520F36" w:rsidRPr="000D7BE9" w14:paraId="2722744B" w14:textId="77777777" w:rsidTr="00C67DFA">
        <w:trPr>
          <w:cantSplit/>
          <w:trHeight w:val="20"/>
        </w:trPr>
        <w:tc>
          <w:tcPr>
            <w:tcW w:w="6946" w:type="dxa"/>
            <w:tcBorders>
              <w:bottom w:val="single" w:sz="12" w:space="0" w:color="auto"/>
            </w:tcBorders>
            <w:vAlign w:val="center"/>
          </w:tcPr>
          <w:p w14:paraId="7C4A3580" w14:textId="77777777" w:rsidR="00520F36" w:rsidRPr="000D7BE9" w:rsidRDefault="00C67DFA" w:rsidP="007025C7">
            <w:pPr>
              <w:spacing w:before="0"/>
              <w:rPr>
                <w:b/>
                <w:bCs/>
                <w:sz w:val="22"/>
                <w:szCs w:val="22"/>
              </w:rPr>
            </w:pPr>
            <w:r w:rsidRPr="000D7BE9">
              <w:rPr>
                <w:b/>
                <w:bCs/>
                <w:sz w:val="22"/>
                <w:szCs w:val="22"/>
              </w:rPr>
              <w:t>Cinqu</w:t>
            </w:r>
            <w:r w:rsidR="00AE0E98" w:rsidRPr="000D7BE9">
              <w:rPr>
                <w:b/>
                <w:bCs/>
                <w:sz w:val="22"/>
                <w:szCs w:val="22"/>
              </w:rPr>
              <w:t xml:space="preserve">ième réunion – Réunion virtuelle, </w:t>
            </w:r>
            <w:r w:rsidRPr="000D7BE9">
              <w:rPr>
                <w:b/>
                <w:bCs/>
                <w:sz w:val="22"/>
                <w:szCs w:val="22"/>
              </w:rPr>
              <w:t>30</w:t>
            </w:r>
            <w:r w:rsidR="00AE0E98" w:rsidRPr="000D7BE9">
              <w:rPr>
                <w:b/>
                <w:bCs/>
                <w:sz w:val="22"/>
                <w:szCs w:val="22"/>
              </w:rPr>
              <w:t xml:space="preserve"> septembre</w:t>
            </w:r>
            <w:r w:rsidR="007025C7" w:rsidRPr="000D7BE9">
              <w:rPr>
                <w:b/>
                <w:bCs/>
                <w:sz w:val="22"/>
                <w:szCs w:val="22"/>
              </w:rPr>
              <w:t xml:space="preserve"> </w:t>
            </w:r>
            <w:r w:rsidRPr="000D7BE9">
              <w:rPr>
                <w:b/>
                <w:bCs/>
                <w:sz w:val="22"/>
                <w:szCs w:val="22"/>
              </w:rPr>
              <w:t>– 1er octobre</w:t>
            </w:r>
            <w:r w:rsidR="00AE0E98" w:rsidRPr="000D7BE9">
              <w:rPr>
                <w:b/>
                <w:bCs/>
                <w:sz w:val="22"/>
                <w:szCs w:val="22"/>
              </w:rPr>
              <w:t xml:space="preserve"> 202</w:t>
            </w:r>
            <w:r w:rsidRPr="000D7BE9">
              <w:rPr>
                <w:b/>
                <w:bCs/>
                <w:sz w:val="22"/>
                <w:szCs w:val="22"/>
              </w:rPr>
              <w:t>1</w:t>
            </w:r>
          </w:p>
        </w:tc>
        <w:tc>
          <w:tcPr>
            <w:tcW w:w="3227" w:type="dxa"/>
            <w:tcBorders>
              <w:bottom w:val="single" w:sz="12" w:space="0" w:color="auto"/>
            </w:tcBorders>
          </w:tcPr>
          <w:p w14:paraId="45F37027" w14:textId="77777777" w:rsidR="00520F36" w:rsidRPr="000D7BE9" w:rsidRDefault="00520F36" w:rsidP="00DF74DD">
            <w:pPr>
              <w:spacing w:before="0"/>
              <w:rPr>
                <w:b/>
                <w:bCs/>
              </w:rPr>
            </w:pPr>
          </w:p>
        </w:tc>
      </w:tr>
      <w:tr w:rsidR="00520F36" w:rsidRPr="000D7BE9" w14:paraId="7ACD2730" w14:textId="77777777" w:rsidTr="00C67DFA">
        <w:trPr>
          <w:cantSplit/>
          <w:trHeight w:val="20"/>
        </w:trPr>
        <w:tc>
          <w:tcPr>
            <w:tcW w:w="6946" w:type="dxa"/>
            <w:tcBorders>
              <w:top w:val="single" w:sz="12" w:space="0" w:color="auto"/>
            </w:tcBorders>
          </w:tcPr>
          <w:p w14:paraId="6FD418D7" w14:textId="77777777" w:rsidR="00520F36" w:rsidRPr="000D7BE9" w:rsidRDefault="00520F36" w:rsidP="00DF74DD">
            <w:pPr>
              <w:spacing w:before="0"/>
              <w:rPr>
                <w:smallCaps/>
                <w:sz w:val="22"/>
              </w:rPr>
            </w:pPr>
          </w:p>
        </w:tc>
        <w:tc>
          <w:tcPr>
            <w:tcW w:w="3227" w:type="dxa"/>
            <w:tcBorders>
              <w:top w:val="single" w:sz="12" w:space="0" w:color="auto"/>
            </w:tcBorders>
          </w:tcPr>
          <w:p w14:paraId="36C9E7C4" w14:textId="77777777" w:rsidR="00520F36" w:rsidRPr="000D7BE9" w:rsidRDefault="00520F36" w:rsidP="00DF74DD">
            <w:pPr>
              <w:spacing w:before="0"/>
              <w:rPr>
                <w:b/>
                <w:bCs/>
              </w:rPr>
            </w:pPr>
          </w:p>
        </w:tc>
      </w:tr>
      <w:tr w:rsidR="00520F36" w:rsidRPr="000D7BE9" w14:paraId="43EDB055" w14:textId="77777777" w:rsidTr="00C67DFA">
        <w:trPr>
          <w:cantSplit/>
          <w:trHeight w:val="20"/>
        </w:trPr>
        <w:tc>
          <w:tcPr>
            <w:tcW w:w="6946" w:type="dxa"/>
            <w:vMerge w:val="restart"/>
          </w:tcPr>
          <w:p w14:paraId="2B65463D" w14:textId="77777777" w:rsidR="00520F36" w:rsidRPr="000D7BE9" w:rsidRDefault="00520F36" w:rsidP="00DF74DD">
            <w:pPr>
              <w:spacing w:before="0"/>
              <w:rPr>
                <w:rFonts w:cs="Times"/>
                <w:b/>
                <w:bCs/>
                <w:szCs w:val="24"/>
              </w:rPr>
            </w:pPr>
            <w:bookmarkStart w:id="1" w:name="dnum" w:colFirst="1" w:colLast="1"/>
            <w:bookmarkStart w:id="2" w:name="dmeeting" w:colFirst="0" w:colLast="0"/>
          </w:p>
        </w:tc>
        <w:tc>
          <w:tcPr>
            <w:tcW w:w="3227" w:type="dxa"/>
          </w:tcPr>
          <w:p w14:paraId="674457EB" w14:textId="2BE7393C" w:rsidR="00520F36" w:rsidRPr="000D7BE9" w:rsidRDefault="00520F36" w:rsidP="00C67DFA">
            <w:pPr>
              <w:spacing w:before="0"/>
              <w:rPr>
                <w:b/>
                <w:bCs/>
              </w:rPr>
            </w:pPr>
            <w:r w:rsidRPr="000D7BE9">
              <w:rPr>
                <w:b/>
                <w:bCs/>
              </w:rPr>
              <w:t xml:space="preserve">Document </w:t>
            </w:r>
            <w:r w:rsidR="00D837AA" w:rsidRPr="000D7BE9">
              <w:rPr>
                <w:b/>
              </w:rPr>
              <w:t>EG-ITRs</w:t>
            </w:r>
            <w:r w:rsidR="00F06D00" w:rsidRPr="000D7BE9">
              <w:rPr>
                <w:b/>
              </w:rPr>
              <w:t>-</w:t>
            </w:r>
            <w:r w:rsidR="00C67DFA" w:rsidRPr="000D7BE9">
              <w:rPr>
                <w:b/>
              </w:rPr>
              <w:t>5</w:t>
            </w:r>
            <w:r w:rsidR="00D837AA" w:rsidRPr="000D7BE9">
              <w:rPr>
                <w:b/>
              </w:rPr>
              <w:t>/</w:t>
            </w:r>
            <w:r w:rsidR="00BD46D4" w:rsidRPr="000D7BE9">
              <w:rPr>
                <w:b/>
              </w:rPr>
              <w:t>9</w:t>
            </w:r>
            <w:r w:rsidR="00D837AA" w:rsidRPr="000D7BE9">
              <w:rPr>
                <w:b/>
              </w:rPr>
              <w:t>-F</w:t>
            </w:r>
          </w:p>
        </w:tc>
      </w:tr>
      <w:tr w:rsidR="00520F36" w:rsidRPr="000D7BE9" w14:paraId="064303D0" w14:textId="77777777" w:rsidTr="00C67DFA">
        <w:trPr>
          <w:cantSplit/>
          <w:trHeight w:val="20"/>
        </w:trPr>
        <w:tc>
          <w:tcPr>
            <w:tcW w:w="6946" w:type="dxa"/>
            <w:vMerge/>
          </w:tcPr>
          <w:p w14:paraId="10927E2E" w14:textId="77777777" w:rsidR="00520F36" w:rsidRPr="000D7BE9" w:rsidRDefault="00520F36" w:rsidP="00DF74DD">
            <w:pPr>
              <w:shd w:val="solid" w:color="FFFFFF" w:fill="FFFFFF"/>
              <w:spacing w:before="180"/>
              <w:rPr>
                <w:smallCaps/>
              </w:rPr>
            </w:pPr>
            <w:bookmarkStart w:id="3" w:name="ddate" w:colFirst="1" w:colLast="1"/>
            <w:bookmarkEnd w:id="1"/>
            <w:bookmarkEnd w:id="2"/>
          </w:p>
        </w:tc>
        <w:tc>
          <w:tcPr>
            <w:tcW w:w="3227" w:type="dxa"/>
          </w:tcPr>
          <w:p w14:paraId="5EFF6142" w14:textId="01101CB6" w:rsidR="00520F36" w:rsidRPr="000D7BE9" w:rsidRDefault="00217CC6" w:rsidP="00B84194">
            <w:pPr>
              <w:spacing w:before="0"/>
              <w:rPr>
                <w:b/>
                <w:bCs/>
              </w:rPr>
            </w:pPr>
            <w:r>
              <w:rPr>
                <w:b/>
                <w:bCs/>
              </w:rPr>
              <w:t>27</w:t>
            </w:r>
            <w:r w:rsidR="00BD46D4" w:rsidRPr="000D7BE9">
              <w:rPr>
                <w:b/>
                <w:bCs/>
              </w:rPr>
              <w:t xml:space="preserve"> septembre</w:t>
            </w:r>
            <w:r w:rsidR="00C67DFA" w:rsidRPr="000D7BE9">
              <w:rPr>
                <w:b/>
                <w:bCs/>
              </w:rPr>
              <w:t xml:space="preserve"> 2021</w:t>
            </w:r>
          </w:p>
        </w:tc>
      </w:tr>
      <w:tr w:rsidR="00520F36" w:rsidRPr="000D7BE9" w14:paraId="5B780203" w14:textId="77777777" w:rsidTr="00C67DFA">
        <w:trPr>
          <w:cantSplit/>
          <w:trHeight w:val="20"/>
        </w:trPr>
        <w:tc>
          <w:tcPr>
            <w:tcW w:w="6946" w:type="dxa"/>
            <w:vMerge/>
          </w:tcPr>
          <w:p w14:paraId="53F5E614" w14:textId="77777777" w:rsidR="00520F36" w:rsidRPr="000D7BE9" w:rsidRDefault="00520F36" w:rsidP="00DF74DD">
            <w:pPr>
              <w:shd w:val="solid" w:color="FFFFFF" w:fill="FFFFFF"/>
              <w:spacing w:before="180"/>
              <w:rPr>
                <w:smallCaps/>
              </w:rPr>
            </w:pPr>
            <w:bookmarkStart w:id="4" w:name="dorlang" w:colFirst="1" w:colLast="1"/>
            <w:bookmarkEnd w:id="3"/>
          </w:p>
        </w:tc>
        <w:tc>
          <w:tcPr>
            <w:tcW w:w="3227" w:type="dxa"/>
          </w:tcPr>
          <w:p w14:paraId="1B886ADB" w14:textId="77777777" w:rsidR="00520F36" w:rsidRPr="000D7BE9" w:rsidRDefault="00520F36" w:rsidP="00520F36">
            <w:pPr>
              <w:spacing w:before="0"/>
              <w:rPr>
                <w:b/>
                <w:bCs/>
              </w:rPr>
            </w:pPr>
            <w:r w:rsidRPr="000D7BE9">
              <w:rPr>
                <w:b/>
                <w:bCs/>
              </w:rPr>
              <w:t>Original: anglais</w:t>
            </w:r>
          </w:p>
        </w:tc>
      </w:tr>
      <w:tr w:rsidR="00520F36" w:rsidRPr="00217CC6" w14:paraId="548D0144" w14:textId="77777777">
        <w:trPr>
          <w:cantSplit/>
        </w:trPr>
        <w:tc>
          <w:tcPr>
            <w:tcW w:w="10173" w:type="dxa"/>
            <w:gridSpan w:val="2"/>
          </w:tcPr>
          <w:p w14:paraId="25F21E9C" w14:textId="34772DE6" w:rsidR="003E66F3" w:rsidRPr="000B6615" w:rsidRDefault="000B6615" w:rsidP="000B6615">
            <w:pPr>
              <w:pStyle w:val="Source"/>
              <w:rPr>
                <w:rFonts w:eastAsia="Calibri"/>
                <w:lang w:val="en-US"/>
              </w:rPr>
            </w:pPr>
            <w:bookmarkStart w:id="5" w:name="dsource" w:colFirst="0" w:colLast="0"/>
            <w:bookmarkStart w:id="6" w:name="_Hlk83126247"/>
            <w:bookmarkEnd w:id="4"/>
            <w:r w:rsidRPr="000B6615">
              <w:rPr>
                <w:lang w:val="en-US"/>
              </w:rPr>
              <w:t>AT&amp;T, Bell Mobility Canada, KDDI, NTT DOCOMO, Telefonica</w:t>
            </w:r>
            <w:r w:rsidR="00217CC6">
              <w:rPr>
                <w:lang w:val="en-US"/>
              </w:rPr>
              <w:t>, Verizon</w:t>
            </w:r>
          </w:p>
        </w:tc>
      </w:tr>
      <w:tr w:rsidR="00520F36" w:rsidRPr="000D7BE9" w14:paraId="19AE4E53" w14:textId="77777777">
        <w:trPr>
          <w:cantSplit/>
        </w:trPr>
        <w:tc>
          <w:tcPr>
            <w:tcW w:w="10173" w:type="dxa"/>
            <w:gridSpan w:val="2"/>
          </w:tcPr>
          <w:p w14:paraId="7D546467" w14:textId="0962487E" w:rsidR="000B6615" w:rsidRDefault="000B6615" w:rsidP="000D7BE9">
            <w:pPr>
              <w:pStyle w:val="Title1"/>
              <w:rPr>
                <w:lang w:val="fr-CH"/>
              </w:rPr>
            </w:pPr>
            <w:bookmarkStart w:id="7" w:name="dtitle1" w:colFirst="0" w:colLast="0"/>
            <w:bookmarkEnd w:id="5"/>
            <w:r>
              <w:rPr>
                <w:lang w:val="fr-CH"/>
              </w:rPr>
              <w:t>Contribution des Membres de Secteur sur:</w:t>
            </w:r>
          </w:p>
          <w:p w14:paraId="40766931" w14:textId="7B2F5D5B" w:rsidR="00520F36" w:rsidRPr="000D7BE9" w:rsidRDefault="000B6615" w:rsidP="000D7BE9">
            <w:pPr>
              <w:pStyle w:val="Title1"/>
            </w:pPr>
            <w:r>
              <w:rPr>
                <w:rFonts w:eastAsia="Calibri"/>
                <w:bCs/>
              </w:rPr>
              <w:t>O</w:t>
            </w:r>
            <w:r w:rsidR="000D7BE9" w:rsidRPr="000D7BE9">
              <w:rPr>
                <w:rFonts w:eastAsia="Calibri"/>
                <w:bCs/>
              </w:rPr>
              <w:t xml:space="preserve">bservations générales fondées sur l'examen de chacune des dispositions du </w:t>
            </w:r>
            <w:r w:rsidR="00BD46D4" w:rsidRPr="000D7BE9">
              <w:rPr>
                <w:rFonts w:eastAsia="Calibri"/>
                <w:bCs/>
              </w:rPr>
              <w:t xml:space="preserve">règlement des télécommunications internationales </w:t>
            </w:r>
            <w:r w:rsidR="00BD46D4" w:rsidRPr="000D7BE9">
              <w:rPr>
                <w:rFonts w:eastAsia="Calibri"/>
                <w:bCs/>
              </w:rPr>
              <w:br/>
              <w:t>dans sa version de 2012</w:t>
            </w:r>
          </w:p>
        </w:tc>
      </w:tr>
    </w:tbl>
    <w:bookmarkEnd w:id="7"/>
    <w:bookmarkEnd w:id="6"/>
    <w:p w14:paraId="3D81BDC7" w14:textId="7B206C16" w:rsidR="00C67DFA" w:rsidRPr="000D7BE9" w:rsidRDefault="00BD46D4" w:rsidP="00EF7E3C">
      <w:pPr>
        <w:spacing w:before="480" w:after="120"/>
        <w:rPr>
          <w:szCs w:val="24"/>
        </w:rPr>
      </w:pPr>
      <w:r w:rsidRPr="000D7BE9">
        <w:rPr>
          <w:szCs w:val="24"/>
        </w:rPr>
        <w:t xml:space="preserve">Les Membres de Secteur de l'UIT susmentionnés ont contribué aux travaux du Groupe d'experts sur le Règlement des télécommunications internationales (EG-RTI), en participant directement aux réunions et en soumettant des contributions écrites. </w:t>
      </w:r>
      <w:r w:rsidR="000D7BE9" w:rsidRPr="000D7BE9">
        <w:rPr>
          <w:szCs w:val="24"/>
        </w:rPr>
        <w:t>Nous nous félicitons de l'occasion qui nous est donnée de faire part de nos observations concernant l'examen</w:t>
      </w:r>
      <w:r w:rsidR="003E66F3">
        <w:rPr>
          <w:szCs w:val="24"/>
        </w:rPr>
        <w:t xml:space="preserve"> de chacune des dispositions du </w:t>
      </w:r>
      <w:r w:rsidR="000D7BE9" w:rsidRPr="000D7BE9">
        <w:rPr>
          <w:szCs w:val="24"/>
        </w:rPr>
        <w:t>RTI dans sa version de 2012 et réaffirmons les points de vue suivants:</w:t>
      </w:r>
    </w:p>
    <w:p w14:paraId="6ABEE34B" w14:textId="3754AB58" w:rsidR="00BD46D4" w:rsidRPr="000D7BE9" w:rsidRDefault="00BD46D4" w:rsidP="000D7BE9">
      <w:pPr>
        <w:pStyle w:val="enumlev1"/>
      </w:pPr>
      <w:r w:rsidRPr="000D7BE9">
        <w:t>•</w:t>
      </w:r>
      <w:r w:rsidRPr="000D7BE9">
        <w:tab/>
      </w:r>
      <w:r w:rsidR="000D7BE9" w:rsidRPr="000D7BE9">
        <w:t>Nous considérons que le RTI n'est pas applicable</w:t>
      </w:r>
      <w:r w:rsidRPr="000D7BE9">
        <w:t xml:space="preserve"> pour ce qui est d'encourager le développement des réseaux et des services internationaux et n'offre pas une souplesse suffisante pour tenir compte du marché dynamique et de l'environnement technologique en perpétuelle évolution d'aujourd'hui.</w:t>
      </w:r>
    </w:p>
    <w:p w14:paraId="03F904EC" w14:textId="394FB7AA" w:rsidR="00BD46D4" w:rsidRPr="000D7BE9" w:rsidRDefault="00BD46D4" w:rsidP="000D7BE9">
      <w:pPr>
        <w:pStyle w:val="enumlev1"/>
      </w:pPr>
      <w:r w:rsidRPr="000D7BE9">
        <w:t>•</w:t>
      </w:r>
      <w:r w:rsidRPr="000D7BE9">
        <w:tab/>
        <w:t>Les dispositions du traité ne permettent pas de suivre le rythme effréné de l'évolution technologique et de l'innovation</w:t>
      </w:r>
      <w:r w:rsidR="000D7BE9" w:rsidRPr="000D7BE9">
        <w:t xml:space="preserve"> et deviennent rapidement obsolètes</w:t>
      </w:r>
      <w:r w:rsidRPr="000D7BE9">
        <w:t xml:space="preserve">. </w:t>
      </w:r>
      <w:r w:rsidR="000D7BE9" w:rsidRPr="000D7BE9">
        <w:t>De plus, l</w:t>
      </w:r>
      <w:r w:rsidRPr="000D7BE9">
        <w:t xml:space="preserve">es tentatives de traiter </w:t>
      </w:r>
      <w:r w:rsidR="000D7BE9" w:rsidRPr="000D7BE9">
        <w:t>d</w:t>
      </w:r>
      <w:r w:rsidRPr="000D7BE9">
        <w:t xml:space="preserve">es questions </w:t>
      </w:r>
      <w:r w:rsidR="000D7BE9" w:rsidRPr="000D7BE9">
        <w:t xml:space="preserve">techniques </w:t>
      </w:r>
      <w:r w:rsidRPr="000D7BE9">
        <w:t>dans un instrument tel qu'un traité risque par ailleurs d'avoir pour conséquence non voulue de nuire à la capacité des opérateurs de réseaux de s'adapter rapidement à des environnements de réseaux changeants.</w:t>
      </w:r>
    </w:p>
    <w:p w14:paraId="14CA8D00" w14:textId="42DBA99F" w:rsidR="00BD46D4" w:rsidRPr="000D7BE9" w:rsidRDefault="00BD46D4" w:rsidP="000D7BE9">
      <w:pPr>
        <w:pStyle w:val="enumlev1"/>
      </w:pPr>
      <w:r w:rsidRPr="000D7BE9">
        <w:t>•</w:t>
      </w:r>
      <w:r w:rsidRPr="000D7BE9">
        <w:tab/>
        <w:t>Le succès de la poursuite du déploiement et de l'utilisation des infrastructures et des services de télécommunication dans le monde s'explique surtout par l'existence de cadres politiques souples qui favorisent l'innovation constante, la concurrence sur les marchés, les accords d'exploitation réciproques mutuellement acceptables entre fournisseurs et les investissements du secteur privé, plutôt que par l'existence d'un instrument ayant valeur de traité tel que le RTI.</w:t>
      </w:r>
    </w:p>
    <w:p w14:paraId="6E6C101C" w14:textId="7D626159" w:rsidR="00BD46D4" w:rsidRPr="000D7BE9" w:rsidRDefault="000D7BE9" w:rsidP="00A21965">
      <w:r w:rsidRPr="000D7BE9">
        <w:t>Sur la base des discussions tenues lors de</w:t>
      </w:r>
      <w:r w:rsidR="00A21965">
        <w:t>s</w:t>
      </w:r>
      <w:r w:rsidRPr="000D7BE9">
        <w:t xml:space="preserve"> </w:t>
      </w:r>
      <w:r>
        <w:t>précédente</w:t>
      </w:r>
      <w:r w:rsidR="00A21965">
        <w:t>s</w:t>
      </w:r>
      <w:r>
        <w:t xml:space="preserve"> réunion</w:t>
      </w:r>
      <w:r w:rsidR="00A21965">
        <w:t>s</w:t>
      </w:r>
      <w:r>
        <w:t xml:space="preserve"> du Groupe EG-RTI et comme </w:t>
      </w:r>
      <w:r w:rsidR="00A21965">
        <w:t>il ressort du</w:t>
      </w:r>
      <w:r>
        <w:t xml:space="preserve"> Tableau d'examen, nous </w:t>
      </w:r>
      <w:r w:rsidR="00A21965">
        <w:t>constatons</w:t>
      </w:r>
      <w:r>
        <w:t xml:space="preserve"> que certains participants aux travaux du Groupe partagent nos points de vue, mais pas tous. Compte tenu de ces divergences d'opinion, </w:t>
      </w:r>
      <w:r w:rsidR="00A21965">
        <w:t>il nous est difficile de comprendre comment la poursuite des discussions concernant l'applicabilité ou la souplesse, ou l'examen du RTI, permettrait d'aboutir à un résultat différent. C'est pourquoi nous ne voyons pas l'utilité que l'UIT affecte des ressources supplémentaires pour mener de futurs travaux sur cette question après que le Groupe EG-RTI se sera acquitté de son mandat.</w:t>
      </w:r>
    </w:p>
    <w:p w14:paraId="20038D3C" w14:textId="3A02AE47" w:rsidR="00BD46D4" w:rsidRDefault="00BD46D4" w:rsidP="00A21965">
      <w:r w:rsidRPr="000D7BE9">
        <w:lastRenderedPageBreak/>
        <w:t xml:space="preserve">Nous </w:t>
      </w:r>
      <w:r w:rsidR="00A21965">
        <w:t>avons apprécié de pouvoir</w:t>
      </w:r>
      <w:r w:rsidRPr="000D7BE9">
        <w:t xml:space="preserve"> contribuer aux débats du Groupe EG</w:t>
      </w:r>
      <w:r w:rsidRPr="000D7BE9">
        <w:noBreakHyphen/>
        <w:t>RTI et tenons à remercier sincèrement le Président du Groupe EG-RTI ainsi que les Vice-Présidents des régions pour la manière remarquable dont ils ont dirigé</w:t>
      </w:r>
      <w:r w:rsidR="00A21965">
        <w:t xml:space="preserve"> et appuyé</w:t>
      </w:r>
      <w:r w:rsidRPr="000D7BE9">
        <w:t xml:space="preserve"> les travaux du Groupe.</w:t>
      </w:r>
    </w:p>
    <w:p w14:paraId="13E4B895" w14:textId="77777777" w:rsidR="0032691F" w:rsidRPr="000D7BE9" w:rsidRDefault="0032691F" w:rsidP="00A21965"/>
    <w:p w14:paraId="34EEBFF4" w14:textId="77777777" w:rsidR="00BD46D4" w:rsidRPr="000D7BE9" w:rsidRDefault="00BD46D4" w:rsidP="00BD46D4">
      <w:pPr>
        <w:spacing w:before="360"/>
        <w:jc w:val="center"/>
      </w:pPr>
      <w:r w:rsidRPr="000D7BE9">
        <w:t>______________</w:t>
      </w:r>
    </w:p>
    <w:sectPr w:rsidR="00BD46D4" w:rsidRPr="000D7BE9" w:rsidSect="005C3890">
      <w:headerReference w:type="even" r:id="rId7"/>
      <w:headerReference w:type="default" r:id="rId8"/>
      <w:footerReference w:type="even" r:id="rId9"/>
      <w:footerReference w:type="default" r:id="rId10"/>
      <w:footerReference w:type="first" r:id="rId1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F4FC6" w14:textId="77777777" w:rsidR="00C67DFA" w:rsidRDefault="00C67DFA">
      <w:r>
        <w:separator/>
      </w:r>
    </w:p>
  </w:endnote>
  <w:endnote w:type="continuationSeparator" w:id="0">
    <w:p w14:paraId="654B33E4" w14:textId="77777777" w:rsidR="00C67DFA" w:rsidRDefault="00C6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7ADA6" w14:textId="02262915" w:rsidR="00732045" w:rsidRPr="00474A8E" w:rsidRDefault="001A6508">
    <w:pPr>
      <w:pStyle w:val="Footer"/>
      <w:rPr>
        <w:lang w:val="en-US"/>
      </w:rPr>
    </w:pPr>
    <w:r>
      <w:fldChar w:fldCharType="begin"/>
    </w:r>
    <w:r w:rsidRPr="00474A8E">
      <w:rPr>
        <w:lang w:val="en-US"/>
      </w:rPr>
      <w:instrText xml:space="preserve"> FILENAME \p \* MERGEFORMAT </w:instrText>
    </w:r>
    <w:r>
      <w:fldChar w:fldCharType="separate"/>
    </w:r>
    <w:r w:rsidR="000B6615">
      <w:rPr>
        <w:lang w:val="en-US"/>
      </w:rPr>
      <w:t>P:\FRA\SG\CONSEIL\EG-ITR\EG-ITR-5\000\009F.docx</w:t>
    </w:r>
    <w:r>
      <w:fldChar w:fldCharType="end"/>
    </w:r>
    <w:r w:rsidR="00732045" w:rsidRPr="00474A8E">
      <w:rPr>
        <w:lang w:val="en-US"/>
      </w:rPr>
      <w:tab/>
    </w:r>
    <w:r w:rsidR="002F1B76">
      <w:fldChar w:fldCharType="begin"/>
    </w:r>
    <w:r w:rsidR="00732045">
      <w:instrText xml:space="preserve"> savedate \@ dd.MM.yy </w:instrText>
    </w:r>
    <w:r w:rsidR="002F1B76">
      <w:fldChar w:fldCharType="separate"/>
    </w:r>
    <w:r w:rsidR="00217CC6">
      <w:t>21.09.21</w:t>
    </w:r>
    <w:r w:rsidR="002F1B76">
      <w:fldChar w:fldCharType="end"/>
    </w:r>
    <w:r w:rsidR="00732045" w:rsidRPr="00474A8E">
      <w:rPr>
        <w:lang w:val="en-US"/>
      </w:rPr>
      <w:tab/>
    </w:r>
    <w:r w:rsidR="002F1B76">
      <w:fldChar w:fldCharType="begin"/>
    </w:r>
    <w:r w:rsidR="00732045">
      <w:instrText xml:space="preserve"> printdate \@ dd.MM.yy </w:instrText>
    </w:r>
    <w:r w:rsidR="002F1B76">
      <w:fldChar w:fldCharType="separate"/>
    </w:r>
    <w:r w:rsidR="000B6615">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3711" w14:textId="17530BF8" w:rsidR="00732045" w:rsidRPr="00696849" w:rsidRDefault="000B6615" w:rsidP="00EF7E3C">
    <w:pPr>
      <w:pStyle w:val="Footer"/>
      <w:rPr>
        <w:color w:val="F2F2F2" w:themeColor="background1" w:themeShade="F2"/>
        <w:lang w:val="en-US"/>
      </w:rPr>
    </w:pPr>
    <w:r w:rsidRPr="00696849">
      <w:rPr>
        <w:color w:val="F2F2F2" w:themeColor="background1" w:themeShade="F2"/>
      </w:rPr>
      <w:fldChar w:fldCharType="begin"/>
    </w:r>
    <w:r w:rsidRPr="00696849">
      <w:rPr>
        <w:color w:val="F2F2F2" w:themeColor="background1" w:themeShade="F2"/>
      </w:rPr>
      <w:instrText xml:space="preserve"> FILENAME \p  \* MERGEFORMAT </w:instrText>
    </w:r>
    <w:r w:rsidRPr="00696849">
      <w:rPr>
        <w:color w:val="F2F2F2" w:themeColor="background1" w:themeShade="F2"/>
      </w:rPr>
      <w:fldChar w:fldCharType="separate"/>
    </w:r>
    <w:r w:rsidRPr="00696849">
      <w:rPr>
        <w:color w:val="F2F2F2" w:themeColor="background1" w:themeShade="F2"/>
      </w:rPr>
      <w:t>P:\FRA\SG\CONSEIL\EG-ITR\EG-ITR-5\000\009F.docx</w:t>
    </w:r>
    <w:r w:rsidRPr="00696849">
      <w:rPr>
        <w:color w:val="F2F2F2" w:themeColor="background1" w:themeShade="F2"/>
      </w:rPr>
      <w:fldChar w:fldCharType="end"/>
    </w:r>
    <w:r w:rsidR="00543AED" w:rsidRPr="00696849">
      <w:rPr>
        <w:color w:val="F2F2F2" w:themeColor="background1" w:themeShade="F2"/>
      </w:rPr>
      <w:t xml:space="preserve"> (494497)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936F"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6AEC3" w14:textId="77777777" w:rsidR="00C67DFA" w:rsidRDefault="00C67DFA">
      <w:r>
        <w:t>____________________</w:t>
      </w:r>
    </w:p>
  </w:footnote>
  <w:footnote w:type="continuationSeparator" w:id="0">
    <w:p w14:paraId="3F14E8AC" w14:textId="77777777" w:rsidR="00C67DFA" w:rsidRDefault="00C67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F82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268FA13F"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9DED" w14:textId="2F21F2CE" w:rsidR="00732045" w:rsidRDefault="00C27A7C" w:rsidP="00475FB3">
    <w:pPr>
      <w:pStyle w:val="Header"/>
    </w:pPr>
    <w:r>
      <w:fldChar w:fldCharType="begin"/>
    </w:r>
    <w:r>
      <w:instrText>PAGE</w:instrText>
    </w:r>
    <w:r>
      <w:fldChar w:fldCharType="separate"/>
    </w:r>
    <w:r w:rsidR="000B6615">
      <w:rPr>
        <w:noProof/>
      </w:rPr>
      <w:t>2</w:t>
    </w:r>
    <w:r>
      <w:rPr>
        <w:noProof/>
      </w:rPr>
      <w:fldChar w:fldCharType="end"/>
    </w:r>
  </w:p>
  <w:p w14:paraId="02494F6A" w14:textId="6C8B3063" w:rsidR="00732045" w:rsidRDefault="00B84194" w:rsidP="0093234A">
    <w:pPr>
      <w:pStyle w:val="Header"/>
    </w:pPr>
    <w:r>
      <w:rPr>
        <w:noProof/>
      </w:rPr>
      <w:t>EG-ITRs-</w:t>
    </w:r>
    <w:r w:rsidR="00BD46D4">
      <w:rPr>
        <w:noProof/>
      </w:rPr>
      <w:t>5</w:t>
    </w:r>
    <w:r>
      <w:rPr>
        <w:noProof/>
      </w:rPr>
      <w:t>\</w:t>
    </w:r>
    <w:r w:rsidR="00BD46D4">
      <w:rPr>
        <w:noProof/>
      </w:rPr>
      <w:t>9</w:t>
    </w:r>
    <w:r>
      <w:rPr>
        <w:noProof/>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DFA"/>
    <w:rsid w:val="000B6615"/>
    <w:rsid w:val="000D0D0A"/>
    <w:rsid w:val="000D7BE9"/>
    <w:rsid w:val="00103163"/>
    <w:rsid w:val="00115D93"/>
    <w:rsid w:val="001247A8"/>
    <w:rsid w:val="001378C0"/>
    <w:rsid w:val="001660FB"/>
    <w:rsid w:val="0018694A"/>
    <w:rsid w:val="001A3287"/>
    <w:rsid w:val="001A6508"/>
    <w:rsid w:val="001D4C31"/>
    <w:rsid w:val="001E4D21"/>
    <w:rsid w:val="00207CD1"/>
    <w:rsid w:val="00217CC6"/>
    <w:rsid w:val="002477A2"/>
    <w:rsid w:val="002557F4"/>
    <w:rsid w:val="00263A51"/>
    <w:rsid w:val="00267E02"/>
    <w:rsid w:val="002A5D44"/>
    <w:rsid w:val="002E0BC4"/>
    <w:rsid w:val="002F1B76"/>
    <w:rsid w:val="0032691F"/>
    <w:rsid w:val="00355FF5"/>
    <w:rsid w:val="00361350"/>
    <w:rsid w:val="003E66F3"/>
    <w:rsid w:val="004038CB"/>
    <w:rsid w:val="0040546F"/>
    <w:rsid w:val="0042404A"/>
    <w:rsid w:val="0042535D"/>
    <w:rsid w:val="0044618F"/>
    <w:rsid w:val="0046769A"/>
    <w:rsid w:val="00474A8E"/>
    <w:rsid w:val="00475FB3"/>
    <w:rsid w:val="004C37A9"/>
    <w:rsid w:val="004F259E"/>
    <w:rsid w:val="00511F1D"/>
    <w:rsid w:val="00520F36"/>
    <w:rsid w:val="00540615"/>
    <w:rsid w:val="00540A6D"/>
    <w:rsid w:val="00543AED"/>
    <w:rsid w:val="00571EEA"/>
    <w:rsid w:val="00575417"/>
    <w:rsid w:val="005768E1"/>
    <w:rsid w:val="005C3890"/>
    <w:rsid w:val="005F7BFE"/>
    <w:rsid w:val="00600017"/>
    <w:rsid w:val="006235CA"/>
    <w:rsid w:val="006643AB"/>
    <w:rsid w:val="00696849"/>
    <w:rsid w:val="007025C7"/>
    <w:rsid w:val="007210CD"/>
    <w:rsid w:val="00732045"/>
    <w:rsid w:val="007369DB"/>
    <w:rsid w:val="00752392"/>
    <w:rsid w:val="007956C2"/>
    <w:rsid w:val="007A187E"/>
    <w:rsid w:val="007C72C2"/>
    <w:rsid w:val="007D4436"/>
    <w:rsid w:val="007F257A"/>
    <w:rsid w:val="007F3665"/>
    <w:rsid w:val="00800037"/>
    <w:rsid w:val="0080407A"/>
    <w:rsid w:val="00852808"/>
    <w:rsid w:val="00861D73"/>
    <w:rsid w:val="008A4E87"/>
    <w:rsid w:val="008D76E6"/>
    <w:rsid w:val="0092392D"/>
    <w:rsid w:val="0093234A"/>
    <w:rsid w:val="00952CB0"/>
    <w:rsid w:val="0099613D"/>
    <w:rsid w:val="009B3BDE"/>
    <w:rsid w:val="009C307F"/>
    <w:rsid w:val="00A17EE6"/>
    <w:rsid w:val="00A2113E"/>
    <w:rsid w:val="00A21965"/>
    <w:rsid w:val="00A23A51"/>
    <w:rsid w:val="00A24607"/>
    <w:rsid w:val="00A25CD3"/>
    <w:rsid w:val="00A82767"/>
    <w:rsid w:val="00AA332F"/>
    <w:rsid w:val="00AA7BBB"/>
    <w:rsid w:val="00AB64A8"/>
    <w:rsid w:val="00AC0266"/>
    <w:rsid w:val="00AD24EC"/>
    <w:rsid w:val="00AE0E98"/>
    <w:rsid w:val="00B309F9"/>
    <w:rsid w:val="00B32B60"/>
    <w:rsid w:val="00B61619"/>
    <w:rsid w:val="00B84194"/>
    <w:rsid w:val="00BB4545"/>
    <w:rsid w:val="00BD46D4"/>
    <w:rsid w:val="00BD5873"/>
    <w:rsid w:val="00C04BE3"/>
    <w:rsid w:val="00C25D29"/>
    <w:rsid w:val="00C27A7C"/>
    <w:rsid w:val="00C675C9"/>
    <w:rsid w:val="00C67DFA"/>
    <w:rsid w:val="00C93610"/>
    <w:rsid w:val="00CA08ED"/>
    <w:rsid w:val="00CF183B"/>
    <w:rsid w:val="00D06D06"/>
    <w:rsid w:val="00D375CD"/>
    <w:rsid w:val="00D553A2"/>
    <w:rsid w:val="00D774D3"/>
    <w:rsid w:val="00D837AA"/>
    <w:rsid w:val="00D904E8"/>
    <w:rsid w:val="00DA08C3"/>
    <w:rsid w:val="00DB5A3E"/>
    <w:rsid w:val="00DC22AA"/>
    <w:rsid w:val="00DF74DD"/>
    <w:rsid w:val="00E25AD0"/>
    <w:rsid w:val="00EB6350"/>
    <w:rsid w:val="00EF7E3C"/>
    <w:rsid w:val="00F06D0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6C586BE"/>
  <w15:docId w15:val="{025B6F57-0135-422E-9A2D-F93ADEDA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10121">
      <w:bodyDiv w:val="1"/>
      <w:marLeft w:val="0"/>
      <w:marRight w:val="0"/>
      <w:marTop w:val="0"/>
      <w:marBottom w:val="0"/>
      <w:divBdr>
        <w:top w:val="none" w:sz="0" w:space="0" w:color="auto"/>
        <w:left w:val="none" w:sz="0" w:space="0" w:color="auto"/>
        <w:bottom w:val="none" w:sz="0" w:space="0" w:color="auto"/>
        <w:right w:val="none" w:sz="0" w:space="0" w:color="auto"/>
      </w:divBdr>
    </w:div>
    <w:div w:id="4400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PF_EG-ITR.dotx</Template>
  <TotalTime>4</TotalTime>
  <Pages>2</Pages>
  <Words>438</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Contribution de AT&amp;T, Bell Mobility Canada, KDDI, NTT DOCOMO, Telefonica - Contribution des membres de secteur sur: observations generales fondees sur l'examen de chacune des dispositions du Reglement des Telecommunications Internationales dans sa version</vt:lpstr>
    </vt:vector>
  </TitlesOfParts>
  <Manager>Secrétariat général - Pool</Manager>
  <Company>Union internationale des télécommunications (UIT)</Company>
  <LinksUpToDate>false</LinksUpToDate>
  <CharactersWithSpaces>3058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de AT&amp;T, Bell Mobility Canada, KDDI, NTT DOCOMO, Telefonica, Verizon - Contribution des membres de secteur sur: observations generales fondees sur l'examen de chacune des dispositions du Reglement des Telecommunications Internationales dans sa version de 2012</dc:title>
  <dc:subject>EG-ITRs</dc:subject>
  <dc:creator>Royer, Veronique</dc:creator>
  <cp:keywords>EG-ITRs</cp:keywords>
  <dc:description/>
  <cp:lastModifiedBy>Xue, Kun</cp:lastModifiedBy>
  <cp:revision>3</cp:revision>
  <cp:lastPrinted>2000-07-18T08:55:00Z</cp:lastPrinted>
  <dcterms:created xsi:type="dcterms:W3CDTF">2021-09-28T10:41:00Z</dcterms:created>
  <dcterms:modified xsi:type="dcterms:W3CDTF">2021-09-28T10:42:00Z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