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37" w:type="dxa"/>
        <w:tblLayout w:type="fixed"/>
        <w:tblLook w:val="0000" w:firstRow="0" w:lastRow="0" w:firstColumn="0" w:lastColumn="0" w:noHBand="0" w:noVBand="0"/>
      </w:tblPr>
      <w:tblGrid>
        <w:gridCol w:w="6237"/>
        <w:gridCol w:w="3600"/>
      </w:tblGrid>
      <w:tr w:rsidR="00923A1B" w14:paraId="1BA6AB20" w14:textId="77777777" w:rsidTr="003370ED">
        <w:trPr>
          <w:cantSplit/>
          <w:trHeight w:val="851"/>
        </w:trPr>
        <w:tc>
          <w:tcPr>
            <w:tcW w:w="6237" w:type="dxa"/>
            <w:vAlign w:val="center"/>
          </w:tcPr>
          <w:p w14:paraId="725EBB16" w14:textId="2BC6FF7B" w:rsidR="00923A1B" w:rsidRPr="003370ED" w:rsidRDefault="002303BC" w:rsidP="00877393">
            <w:pPr>
              <w:shd w:val="solid" w:color="FFFFFF" w:fill="FFFFFF"/>
              <w:spacing w:before="40" w:after="120"/>
              <w:rPr>
                <w:rFonts w:cs="Times"/>
                <w:b/>
                <w:sz w:val="30"/>
                <w:szCs w:val="30"/>
              </w:rPr>
            </w:pPr>
            <w:r w:rsidRPr="003370ED">
              <w:rPr>
                <w:rFonts w:cs="Times"/>
                <w:b/>
                <w:sz w:val="30"/>
                <w:szCs w:val="30"/>
              </w:rPr>
              <w:t>Council Working Group on International Internet-related Public Policy Issues</w:t>
            </w:r>
            <w:r w:rsidR="003370ED">
              <w:rPr>
                <w:rFonts w:cs="Times"/>
                <w:b/>
                <w:sz w:val="30"/>
                <w:szCs w:val="30"/>
              </w:rPr>
              <w:br/>
            </w:r>
            <w:r w:rsidR="00265977">
              <w:rPr>
                <w:b/>
                <w:bCs/>
                <w:sz w:val="24"/>
                <w:szCs w:val="40"/>
              </w:rPr>
              <w:t>Six</w:t>
            </w:r>
            <w:r w:rsidR="00877393">
              <w:rPr>
                <w:b/>
                <w:bCs/>
                <w:sz w:val="24"/>
                <w:szCs w:val="40"/>
              </w:rPr>
              <w:t>te</w:t>
            </w:r>
            <w:r w:rsidR="003370ED">
              <w:rPr>
                <w:b/>
                <w:bCs/>
                <w:sz w:val="24"/>
                <w:szCs w:val="40"/>
              </w:rPr>
              <w:t xml:space="preserve">enth meeting </w:t>
            </w:r>
            <w:r w:rsidR="002C22D5">
              <w:rPr>
                <w:b/>
                <w:bCs/>
                <w:sz w:val="24"/>
                <w:szCs w:val="40"/>
              </w:rPr>
              <w:t>–</w:t>
            </w:r>
            <w:r w:rsidR="003370ED">
              <w:rPr>
                <w:b/>
                <w:bCs/>
                <w:sz w:val="24"/>
                <w:szCs w:val="40"/>
              </w:rPr>
              <w:t xml:space="preserve"> </w:t>
            </w:r>
            <w:r w:rsidR="002C22D5">
              <w:rPr>
                <w:b/>
                <w:bCs/>
                <w:sz w:val="24"/>
                <w:szCs w:val="40"/>
              </w:rPr>
              <w:t>Virtual meeting</w:t>
            </w:r>
            <w:r w:rsidR="003370ED" w:rsidRPr="002238C4">
              <w:rPr>
                <w:b/>
                <w:bCs/>
                <w:sz w:val="24"/>
                <w:szCs w:val="40"/>
              </w:rPr>
              <w:t xml:space="preserve">, </w:t>
            </w:r>
            <w:r w:rsidR="00265977">
              <w:rPr>
                <w:b/>
                <w:bCs/>
                <w:sz w:val="24"/>
                <w:szCs w:val="40"/>
              </w:rPr>
              <w:t>23 September</w:t>
            </w:r>
            <w:r w:rsidR="003370ED" w:rsidRPr="002238C4">
              <w:rPr>
                <w:b/>
                <w:bCs/>
                <w:sz w:val="24"/>
                <w:szCs w:val="40"/>
              </w:rPr>
              <w:t xml:space="preserve"> 20</w:t>
            </w:r>
            <w:r w:rsidR="00877393">
              <w:rPr>
                <w:b/>
                <w:bCs/>
                <w:sz w:val="24"/>
                <w:szCs w:val="40"/>
              </w:rPr>
              <w:t>2</w:t>
            </w:r>
            <w:r w:rsidR="002C22D5">
              <w:rPr>
                <w:b/>
                <w:bCs/>
                <w:sz w:val="24"/>
                <w:szCs w:val="40"/>
              </w:rPr>
              <w:t>1</w:t>
            </w:r>
          </w:p>
        </w:tc>
        <w:tc>
          <w:tcPr>
            <w:tcW w:w="3600" w:type="dxa"/>
            <w:vAlign w:val="center"/>
          </w:tcPr>
          <w:p w14:paraId="373C3414" w14:textId="77777777" w:rsidR="00923A1B" w:rsidRDefault="00B36E39" w:rsidP="000950D1">
            <w:pPr>
              <w:pStyle w:val="dnum"/>
              <w:framePr w:hSpace="0" w:wrap="auto" w:vAnchor="margin" w:hAnchor="text" w:yAlign="inline"/>
              <w:spacing w:after="120"/>
            </w:pPr>
            <w:r>
              <w:rPr>
                <w:noProof/>
              </w:rPr>
              <w:drawing>
                <wp:inline distT="0" distB="0" distL="0" distR="0" wp14:anchorId="322B3A0D" wp14:editId="3F5ECE27">
                  <wp:extent cx="682302" cy="720000"/>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TU-RGB-cropp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302" cy="720000"/>
                          </a:xfrm>
                          <a:prstGeom prst="rect">
                            <a:avLst/>
                          </a:prstGeom>
                        </pic:spPr>
                      </pic:pic>
                    </a:graphicData>
                  </a:graphic>
                </wp:inline>
              </w:drawing>
            </w:r>
          </w:p>
        </w:tc>
      </w:tr>
      <w:tr w:rsidR="00923A1B" w:rsidRPr="00F5094D" w14:paraId="2DE1D477" w14:textId="77777777" w:rsidTr="00D30768">
        <w:trPr>
          <w:cantSplit/>
          <w:trHeight w:val="138"/>
        </w:trPr>
        <w:tc>
          <w:tcPr>
            <w:tcW w:w="6237" w:type="dxa"/>
            <w:tcBorders>
              <w:top w:val="single" w:sz="12" w:space="0" w:color="auto"/>
            </w:tcBorders>
          </w:tcPr>
          <w:p w14:paraId="63FFA584" w14:textId="77777777" w:rsidR="00923A1B" w:rsidRDefault="00923A1B" w:rsidP="0025471D">
            <w:pPr>
              <w:shd w:val="solid" w:color="FFFFFF" w:fill="FFFFFF"/>
              <w:spacing w:after="0"/>
              <w:ind w:right="284"/>
            </w:pPr>
          </w:p>
        </w:tc>
        <w:tc>
          <w:tcPr>
            <w:tcW w:w="3600" w:type="dxa"/>
            <w:tcBorders>
              <w:top w:val="single" w:sz="12" w:space="0" w:color="auto"/>
            </w:tcBorders>
          </w:tcPr>
          <w:p w14:paraId="617DB050" w14:textId="77777777" w:rsidR="00923A1B" w:rsidRPr="00F5094D" w:rsidRDefault="00923A1B" w:rsidP="0025471D">
            <w:pPr>
              <w:tabs>
                <w:tab w:val="left" w:pos="851"/>
              </w:tabs>
              <w:spacing w:after="0"/>
              <w:ind w:right="284"/>
              <w:rPr>
                <w:rFonts w:ascii="Times New Roman Bold" w:hAnsi="Times New Roman Bold" w:cs="Times New Roman Bold"/>
                <w:b/>
              </w:rPr>
            </w:pPr>
          </w:p>
        </w:tc>
      </w:tr>
      <w:tr w:rsidR="00923A1B" w:rsidRPr="00D30768" w14:paraId="38544AD0" w14:textId="77777777" w:rsidTr="00D30768">
        <w:trPr>
          <w:cantSplit/>
          <w:trHeight w:val="138"/>
        </w:trPr>
        <w:tc>
          <w:tcPr>
            <w:tcW w:w="6237" w:type="dxa"/>
          </w:tcPr>
          <w:p w14:paraId="4BA0A62E" w14:textId="77777777" w:rsidR="00923A1B" w:rsidRPr="002238C4" w:rsidRDefault="00923A1B" w:rsidP="0025471D">
            <w:pPr>
              <w:spacing w:after="0"/>
              <w:rPr>
                <w:b/>
                <w:bCs/>
                <w:sz w:val="24"/>
                <w:szCs w:val="24"/>
              </w:rPr>
            </w:pPr>
          </w:p>
        </w:tc>
        <w:tc>
          <w:tcPr>
            <w:tcW w:w="3600" w:type="dxa"/>
          </w:tcPr>
          <w:p w14:paraId="6D142174" w14:textId="11639A60" w:rsidR="00923A1B" w:rsidRPr="00D30768" w:rsidRDefault="00923A1B" w:rsidP="00877393">
            <w:pPr>
              <w:spacing w:after="0"/>
              <w:rPr>
                <w:b/>
                <w:bCs/>
                <w:sz w:val="24"/>
                <w:szCs w:val="24"/>
                <w:lang w:val="fr-CH"/>
              </w:rPr>
            </w:pPr>
            <w:r w:rsidRPr="00D30768">
              <w:rPr>
                <w:b/>
                <w:bCs/>
                <w:sz w:val="24"/>
                <w:szCs w:val="24"/>
                <w:lang w:val="fr-CH"/>
              </w:rPr>
              <w:t xml:space="preserve">Document </w:t>
            </w:r>
            <w:r w:rsidR="00D30768" w:rsidRPr="00D30768">
              <w:rPr>
                <w:b/>
                <w:bCs/>
                <w:sz w:val="24"/>
                <w:szCs w:val="24"/>
                <w:lang w:val="fr-CH"/>
              </w:rPr>
              <w:t>CWG-Internet-1</w:t>
            </w:r>
            <w:r w:rsidR="00265977">
              <w:rPr>
                <w:b/>
                <w:bCs/>
                <w:sz w:val="24"/>
                <w:szCs w:val="24"/>
                <w:lang w:val="fr-CH"/>
              </w:rPr>
              <w:t>6</w:t>
            </w:r>
            <w:r w:rsidR="00877393">
              <w:rPr>
                <w:b/>
                <w:bCs/>
                <w:sz w:val="24"/>
                <w:szCs w:val="24"/>
                <w:lang w:val="fr-CH"/>
              </w:rPr>
              <w:t>/</w:t>
            </w:r>
            <w:r w:rsidR="00C24B0F">
              <w:rPr>
                <w:b/>
                <w:bCs/>
                <w:sz w:val="24"/>
                <w:szCs w:val="24"/>
                <w:lang w:val="fr-CH"/>
              </w:rPr>
              <w:t>4</w:t>
            </w:r>
            <w:r w:rsidR="00877393">
              <w:rPr>
                <w:b/>
                <w:bCs/>
                <w:sz w:val="24"/>
                <w:szCs w:val="24"/>
                <w:lang w:val="fr-CH"/>
              </w:rPr>
              <w:t>-</w:t>
            </w:r>
            <w:r w:rsidR="00D30768" w:rsidRPr="00D30768">
              <w:rPr>
                <w:b/>
                <w:bCs/>
                <w:sz w:val="24"/>
                <w:szCs w:val="24"/>
                <w:lang w:val="fr-CH"/>
              </w:rPr>
              <w:t>E</w:t>
            </w:r>
          </w:p>
        </w:tc>
      </w:tr>
      <w:tr w:rsidR="00923A1B" w:rsidRPr="003737DE" w14:paraId="76706AA6" w14:textId="77777777" w:rsidTr="00D30768">
        <w:trPr>
          <w:cantSplit/>
          <w:trHeight w:val="138"/>
        </w:trPr>
        <w:tc>
          <w:tcPr>
            <w:tcW w:w="6237" w:type="dxa"/>
          </w:tcPr>
          <w:p w14:paraId="14C6E827" w14:textId="77777777" w:rsidR="00923A1B" w:rsidRPr="00D30768" w:rsidRDefault="00923A1B" w:rsidP="0025471D">
            <w:pPr>
              <w:shd w:val="solid" w:color="FFFFFF" w:fill="FFFFFF"/>
              <w:spacing w:after="0"/>
              <w:ind w:right="284"/>
              <w:rPr>
                <w:lang w:val="fr-CH"/>
              </w:rPr>
            </w:pPr>
          </w:p>
        </w:tc>
        <w:tc>
          <w:tcPr>
            <w:tcW w:w="3600" w:type="dxa"/>
          </w:tcPr>
          <w:p w14:paraId="2DC4EACC" w14:textId="3411425A" w:rsidR="00923A1B" w:rsidRPr="002238C4" w:rsidRDefault="00C24B0F" w:rsidP="00877393">
            <w:pPr>
              <w:tabs>
                <w:tab w:val="left" w:pos="851"/>
              </w:tabs>
              <w:spacing w:after="0"/>
              <w:ind w:right="284"/>
              <w:rPr>
                <w:b/>
                <w:sz w:val="24"/>
                <w:szCs w:val="24"/>
              </w:rPr>
            </w:pPr>
            <w:r>
              <w:rPr>
                <w:b/>
                <w:sz w:val="24"/>
                <w:szCs w:val="24"/>
              </w:rPr>
              <w:t>9 September</w:t>
            </w:r>
            <w:r w:rsidR="000854C6">
              <w:rPr>
                <w:b/>
                <w:sz w:val="24"/>
                <w:szCs w:val="24"/>
              </w:rPr>
              <w:t xml:space="preserve"> </w:t>
            </w:r>
            <w:r w:rsidR="00923A1B" w:rsidRPr="002238C4">
              <w:rPr>
                <w:b/>
                <w:sz w:val="24"/>
                <w:szCs w:val="24"/>
              </w:rPr>
              <w:t>20</w:t>
            </w:r>
            <w:r w:rsidR="00877393">
              <w:rPr>
                <w:b/>
                <w:sz w:val="24"/>
                <w:szCs w:val="24"/>
              </w:rPr>
              <w:t>2</w:t>
            </w:r>
            <w:r w:rsidR="002C22D5">
              <w:rPr>
                <w:b/>
                <w:sz w:val="24"/>
                <w:szCs w:val="24"/>
              </w:rPr>
              <w:t>1</w:t>
            </w:r>
          </w:p>
        </w:tc>
      </w:tr>
      <w:tr w:rsidR="00923A1B" w:rsidRPr="003737DE" w14:paraId="6E76302A" w14:textId="77777777" w:rsidTr="00D30768">
        <w:trPr>
          <w:cantSplit/>
          <w:trHeight w:val="138"/>
        </w:trPr>
        <w:tc>
          <w:tcPr>
            <w:tcW w:w="6237" w:type="dxa"/>
          </w:tcPr>
          <w:p w14:paraId="51B85AA4" w14:textId="77777777" w:rsidR="00923A1B" w:rsidRDefault="00923A1B" w:rsidP="0025471D">
            <w:pPr>
              <w:shd w:val="solid" w:color="FFFFFF" w:fill="FFFFFF"/>
              <w:spacing w:after="0"/>
              <w:ind w:right="284"/>
            </w:pPr>
          </w:p>
        </w:tc>
        <w:tc>
          <w:tcPr>
            <w:tcW w:w="3600" w:type="dxa"/>
          </w:tcPr>
          <w:p w14:paraId="287A14A1" w14:textId="77777777" w:rsidR="00923A1B" w:rsidRPr="002238C4" w:rsidRDefault="00877393" w:rsidP="0025471D">
            <w:pPr>
              <w:tabs>
                <w:tab w:val="left" w:pos="851"/>
              </w:tabs>
              <w:spacing w:after="0"/>
              <w:ind w:right="284"/>
              <w:rPr>
                <w:b/>
                <w:sz w:val="24"/>
                <w:szCs w:val="24"/>
              </w:rPr>
            </w:pPr>
            <w:r>
              <w:rPr>
                <w:b/>
                <w:sz w:val="24"/>
                <w:szCs w:val="24"/>
              </w:rPr>
              <w:t>English only</w:t>
            </w:r>
          </w:p>
        </w:tc>
      </w:tr>
    </w:tbl>
    <w:p w14:paraId="4722A6A1" w14:textId="77777777" w:rsidR="000854C6" w:rsidRDefault="000854C6" w:rsidP="003370ED">
      <w:pPr>
        <w:tabs>
          <w:tab w:val="right" w:pos="8789"/>
        </w:tabs>
        <w:spacing w:before="120" w:line="240" w:lineRule="auto"/>
        <w:rPr>
          <w:sz w:val="24"/>
          <w:szCs w:val="24"/>
        </w:rPr>
      </w:pPr>
    </w:p>
    <w:p w14:paraId="175F5392" w14:textId="77777777" w:rsidR="00877393" w:rsidRPr="00E544AC" w:rsidRDefault="00877393" w:rsidP="00877393">
      <w:pPr>
        <w:rPr>
          <w:b/>
        </w:rPr>
      </w:pPr>
    </w:p>
    <w:p w14:paraId="3F15BCCA" w14:textId="77777777" w:rsidR="00877393" w:rsidRDefault="00877393" w:rsidP="00877393">
      <w:pPr>
        <w:jc w:val="center"/>
        <w:rPr>
          <w:b/>
        </w:rPr>
      </w:pPr>
    </w:p>
    <w:p w14:paraId="3FF8666D" w14:textId="78C2FFD5" w:rsidR="00877393" w:rsidRPr="00635364" w:rsidRDefault="00877393" w:rsidP="00C24B0F">
      <w:pPr>
        <w:spacing w:before="120" w:after="120" w:line="240" w:lineRule="auto"/>
        <w:jc w:val="center"/>
        <w:rPr>
          <w:b/>
          <w:sz w:val="28"/>
        </w:rPr>
      </w:pPr>
      <w:r w:rsidRPr="00C24B0F">
        <w:rPr>
          <w:b/>
          <w:sz w:val="28"/>
        </w:rPr>
        <w:t xml:space="preserve">Contribution by </w:t>
      </w:r>
      <w:r w:rsidR="00026813">
        <w:rPr>
          <w:b/>
          <w:sz w:val="28"/>
        </w:rPr>
        <w:t xml:space="preserve">the </w:t>
      </w:r>
      <w:r w:rsidR="00C24B0F" w:rsidRPr="00C24B0F">
        <w:rPr>
          <w:b/>
          <w:sz w:val="28"/>
        </w:rPr>
        <w:t>Russian Federation</w:t>
      </w:r>
    </w:p>
    <w:p w14:paraId="01F658A1" w14:textId="4378A415" w:rsidR="00877393" w:rsidRDefault="00C24B0F" w:rsidP="00C24B0F">
      <w:pPr>
        <w:spacing w:before="120" w:after="120" w:line="240" w:lineRule="auto"/>
        <w:jc w:val="center"/>
        <w:rPr>
          <w:bCs/>
          <w:sz w:val="28"/>
          <w:szCs w:val="28"/>
        </w:rPr>
      </w:pPr>
      <w:r w:rsidRPr="00C24B0F">
        <w:rPr>
          <w:bCs/>
          <w:sz w:val="28"/>
          <w:szCs w:val="28"/>
        </w:rPr>
        <w:t>RISK ANALYSIS OF THE EXISTING INTERNET GOVERNANCE AND OPERATIONAL MODEL</w:t>
      </w:r>
    </w:p>
    <w:p w14:paraId="4E1D45EE" w14:textId="77777777" w:rsidR="00C24B0F" w:rsidRPr="00C24B0F" w:rsidRDefault="00C24B0F" w:rsidP="00C24B0F">
      <w:pPr>
        <w:pBdr>
          <w:top w:val="nil"/>
          <w:left w:val="nil"/>
          <w:bottom w:val="nil"/>
          <w:right w:val="nil"/>
          <w:between w:val="nil"/>
          <w:bar w:val="nil"/>
        </w:pBdr>
        <w:spacing w:before="120" w:after="120" w:line="240" w:lineRule="auto"/>
        <w:ind w:left="720"/>
        <w:jc w:val="both"/>
        <w:rPr>
          <w:rFonts w:ascii="Calibri" w:eastAsia="Calibri" w:hAnsi="Calibri" w:cs="Times New Roman"/>
          <w:b/>
          <w:color w:val="000000"/>
          <w:sz w:val="24"/>
          <w:szCs w:val="24"/>
          <w:u w:color="000000"/>
          <w:bdr w:val="nil"/>
          <w:lang w:val="en-US" w:eastAsia="en-US"/>
        </w:rPr>
      </w:pPr>
    </w:p>
    <w:p w14:paraId="54109646" w14:textId="77777777" w:rsidR="00C24B0F" w:rsidRPr="00C24B0F" w:rsidRDefault="00C24B0F" w:rsidP="00C24B0F">
      <w:pPr>
        <w:numPr>
          <w:ilvl w:val="0"/>
          <w:numId w:val="21"/>
        </w:numPr>
        <w:pBdr>
          <w:top w:val="nil"/>
          <w:left w:val="nil"/>
          <w:bottom w:val="nil"/>
          <w:right w:val="nil"/>
          <w:between w:val="nil"/>
          <w:bar w:val="nil"/>
        </w:pBdr>
        <w:tabs>
          <w:tab w:val="left" w:pos="794"/>
          <w:tab w:val="left" w:pos="1191"/>
          <w:tab w:val="left" w:pos="1588"/>
          <w:tab w:val="left" w:pos="1985"/>
        </w:tabs>
        <w:overflowPunct w:val="0"/>
        <w:autoSpaceDE w:val="0"/>
        <w:autoSpaceDN w:val="0"/>
        <w:adjustRightInd w:val="0"/>
        <w:spacing w:before="360" w:after="120" w:line="240" w:lineRule="auto"/>
        <w:ind w:left="714" w:hanging="357"/>
        <w:jc w:val="both"/>
        <w:textAlignment w:val="baseline"/>
        <w:rPr>
          <w:rFonts w:ascii="Calibri" w:eastAsia="Calibri" w:hAnsi="Calibri" w:cs="Times New Roman"/>
          <w:b/>
          <w:color w:val="000000"/>
          <w:sz w:val="24"/>
          <w:szCs w:val="24"/>
          <w:u w:color="000000"/>
          <w:bdr w:val="nil"/>
          <w:lang w:val="ru-RU" w:eastAsia="en-US"/>
        </w:rPr>
      </w:pPr>
      <w:proofErr w:type="spellStart"/>
      <w:r w:rsidRPr="00C24B0F">
        <w:rPr>
          <w:rFonts w:ascii="Calibri" w:eastAsia="Calibri" w:hAnsi="Calibri" w:cs="Times New Roman"/>
          <w:b/>
          <w:color w:val="000000"/>
          <w:sz w:val="24"/>
          <w:szCs w:val="24"/>
          <w:u w:color="000000"/>
          <w:bdr w:val="nil"/>
          <w:lang w:val="ru-RU" w:eastAsia="en-US"/>
        </w:rPr>
        <w:t>Introduction</w:t>
      </w:r>
      <w:proofErr w:type="spellEnd"/>
    </w:p>
    <w:p w14:paraId="1B61DAF7"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 xml:space="preserve">At the 15th meeting of the CWG-Internet, held in January 2021, the Russian Federation proposed to discuss aspects related to Internet governance with focus on critical infrastructure, including resources supporting the system of domain names and internet addresses. Continuing this issue, we would like to present our vision of the threats and risks of the existing Internet governance and operational model. </w:t>
      </w:r>
    </w:p>
    <w:p w14:paraId="1419FFEA" w14:textId="77777777" w:rsidR="00C24B0F" w:rsidRPr="00C24B0F" w:rsidRDefault="00C24B0F" w:rsidP="00C24B0F">
      <w:pPr>
        <w:numPr>
          <w:ilvl w:val="0"/>
          <w:numId w:val="21"/>
        </w:numPr>
        <w:pBdr>
          <w:top w:val="nil"/>
          <w:left w:val="nil"/>
          <w:bottom w:val="nil"/>
          <w:right w:val="nil"/>
          <w:between w:val="nil"/>
          <w:bar w:val="nil"/>
        </w:pBdr>
        <w:tabs>
          <w:tab w:val="left" w:pos="794"/>
          <w:tab w:val="left" w:pos="1191"/>
          <w:tab w:val="left" w:pos="1588"/>
          <w:tab w:val="left" w:pos="1985"/>
        </w:tabs>
        <w:overflowPunct w:val="0"/>
        <w:autoSpaceDE w:val="0"/>
        <w:autoSpaceDN w:val="0"/>
        <w:adjustRightInd w:val="0"/>
        <w:spacing w:before="360" w:after="120" w:line="240" w:lineRule="auto"/>
        <w:ind w:left="714" w:hanging="357"/>
        <w:jc w:val="both"/>
        <w:textAlignment w:val="baseline"/>
        <w:rPr>
          <w:rFonts w:ascii="Calibri" w:eastAsia="Calibri" w:hAnsi="Calibri" w:cs="Times New Roman"/>
          <w:b/>
          <w:color w:val="000000"/>
          <w:sz w:val="24"/>
          <w:szCs w:val="24"/>
          <w:u w:color="000000"/>
          <w:bdr w:val="nil"/>
          <w:lang w:val="ru-RU" w:eastAsia="en-US"/>
        </w:rPr>
      </w:pPr>
      <w:proofErr w:type="spellStart"/>
      <w:r w:rsidRPr="00C24B0F">
        <w:rPr>
          <w:rFonts w:ascii="Calibri" w:eastAsia="Calibri" w:hAnsi="Calibri" w:cs="Times New Roman"/>
          <w:b/>
          <w:color w:val="000000"/>
          <w:sz w:val="24"/>
          <w:szCs w:val="24"/>
          <w:u w:color="000000"/>
          <w:bdr w:val="nil"/>
          <w:lang w:val="ru-RU" w:eastAsia="en-US"/>
        </w:rPr>
        <w:t>Discussion</w:t>
      </w:r>
      <w:proofErr w:type="spellEnd"/>
    </w:p>
    <w:p w14:paraId="447B60BD"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proofErr w:type="gramStart"/>
      <w:r w:rsidRPr="00C24B0F">
        <w:rPr>
          <w:rFonts w:ascii="Calibri" w:eastAsia="Calibri" w:hAnsi="Calibri" w:cs="Calibri"/>
          <w:color w:val="333333"/>
          <w:sz w:val="24"/>
          <w:szCs w:val="24"/>
          <w:shd w:val="clear" w:color="auto" w:fill="FFFFFF"/>
          <w:lang w:val="en-US" w:eastAsia="en-US"/>
        </w:rPr>
        <w:t>First of all</w:t>
      </w:r>
      <w:proofErr w:type="gramEnd"/>
      <w:r w:rsidRPr="00C24B0F">
        <w:rPr>
          <w:rFonts w:ascii="Calibri" w:eastAsia="Calibri" w:hAnsi="Calibri" w:cs="Calibri"/>
          <w:color w:val="333333"/>
          <w:sz w:val="24"/>
          <w:szCs w:val="24"/>
          <w:shd w:val="clear" w:color="auto" w:fill="FFFFFF"/>
          <w:lang w:val="en-US" w:eastAsia="en-US"/>
        </w:rPr>
        <w:t>, it should be noted that today the development of telecommunications/ICT services based on the Internet is of great importance both for humanity as a whole and for an individual state. Thanks to Internet significant progress has been made in the development of scientific knowledge, education, medicine, economics and other areas. At the same time, the proper functioning of the national domain of the Internet and its reliable connection and integration with the global network has become a vital function for any state, economy and population.</w:t>
      </w:r>
    </w:p>
    <w:p w14:paraId="4C3B1D5C"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And here the question rightly arises: is the existing Internet governance system able to cope with potential threats to the integrity and resilience of the network, to give a worthy response to such a global challenge? Internet emerged as a research project and at the initial stage existed in the academic environment on the self-organization basis. The institutionalization of Internet governance mechanisms was carried in the mid-1990s and was adequate to the scale and importance of the Internet at that time. Since then, the importance, scale and level of penetration of Internet services in all areas of life: public services, economy, daily life of people, have increased many times, but the principles and mechanisms of governance the global network have remained the same.</w:t>
      </w:r>
    </w:p>
    <w:p w14:paraId="12E21F14"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 xml:space="preserve">The Russian Federation has repeatedly expressed concern on the lack of reliable guarantees for the Internet development and security at various international platforms. Currently, there is not a single international legal act that would guarantee the integrity and </w:t>
      </w:r>
      <w:r w:rsidRPr="00C24B0F">
        <w:rPr>
          <w:rFonts w:ascii="Calibri" w:eastAsia="Calibri" w:hAnsi="Calibri" w:cs="Calibri"/>
          <w:color w:val="333333"/>
          <w:sz w:val="24"/>
          <w:szCs w:val="24"/>
          <w:shd w:val="clear" w:color="auto" w:fill="FFFFFF"/>
          <w:lang w:val="en-US" w:eastAsia="en-US"/>
        </w:rPr>
        <w:lastRenderedPageBreak/>
        <w:t xml:space="preserve">security of the Internet's public core, and without such fundamental instruments, it is impossible to ensure the long-term and productive development of the Internet and its services globally. </w:t>
      </w:r>
    </w:p>
    <w:p w14:paraId="07CEEEC7"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The key threats to the security and stability of the existing governance and operational model of the Internet are the lack of international status of organization-operators of critical infrastructure and lack of international legal acts guaranteeing immunity of its operational activity, as well as the lack of effective international regulation of digital services. Prepared by a working group of Russian experts: representatives of the Internet industry, government bodies, technical and scientific experts "Risk Analysis of the Existing Internet Governance Model" is given in Appendix No. 1</w:t>
      </w:r>
    </w:p>
    <w:p w14:paraId="28AAF7B9" w14:textId="77777777" w:rsidR="00C24B0F" w:rsidRPr="00C24B0F" w:rsidRDefault="00C24B0F" w:rsidP="00C24B0F">
      <w:pPr>
        <w:spacing w:before="120" w:after="120" w:line="240" w:lineRule="auto"/>
        <w:ind w:firstLine="709"/>
        <w:contextualSpacing/>
        <w:jc w:val="both"/>
        <w:rPr>
          <w:rFonts w:ascii="Calibri" w:eastAsia="Calibri" w:hAnsi="Calibri" w:cs="Times New Roman"/>
          <w:b/>
          <w:color w:val="000000"/>
          <w:sz w:val="24"/>
          <w:szCs w:val="24"/>
          <w:u w:color="000000"/>
          <w:bdr w:val="nil"/>
          <w:lang w:val="en-US" w:eastAsia="en-US"/>
        </w:rPr>
      </w:pPr>
      <w:r w:rsidRPr="00C24B0F">
        <w:rPr>
          <w:rFonts w:ascii="Calibri" w:eastAsia="Calibri" w:hAnsi="Calibri" w:cs="Calibri"/>
          <w:color w:val="333333"/>
          <w:sz w:val="24"/>
          <w:szCs w:val="24"/>
          <w:shd w:val="clear" w:color="auto" w:fill="FFFFFF"/>
          <w:lang w:val="en-US" w:eastAsia="en-US"/>
        </w:rPr>
        <w:t xml:space="preserve">These threats can cause numerous critical risks for national segments of the Internet and for the integrity, resilience and security of the global </w:t>
      </w:r>
      <w:proofErr w:type="gramStart"/>
      <w:r w:rsidRPr="00C24B0F">
        <w:rPr>
          <w:rFonts w:ascii="Calibri" w:eastAsia="Calibri" w:hAnsi="Calibri" w:cs="Calibri"/>
          <w:color w:val="333333"/>
          <w:sz w:val="24"/>
          <w:szCs w:val="24"/>
          <w:shd w:val="clear" w:color="auto" w:fill="FFFFFF"/>
          <w:lang w:val="en-US" w:eastAsia="en-US"/>
        </w:rPr>
        <w:t>network as a whole</w:t>
      </w:r>
      <w:proofErr w:type="gramEnd"/>
      <w:r w:rsidRPr="00C24B0F">
        <w:rPr>
          <w:rFonts w:ascii="Calibri" w:eastAsia="Calibri" w:hAnsi="Calibri" w:cs="Calibri"/>
          <w:color w:val="333333"/>
          <w:sz w:val="24"/>
          <w:szCs w:val="24"/>
          <w:shd w:val="clear" w:color="auto" w:fill="FFFFFF"/>
          <w:lang w:val="en-US" w:eastAsia="en-US"/>
        </w:rPr>
        <w:t xml:space="preserve">. Now, certain aspects of regulation are divided between various organizations and their efforts are largely uncoordinated, while the complexity of regulation requires close international cooperation of all stakeholders. The COVID-19 pandemic naturally led to increasing the role of state as a mechanism of public organization, as well as the role it plays in the life of society. At the same time, the scale of challenges for global network connectivity is such that neither Internet giants (Big Tech), nor entire sectors of the Internet economy can deal with them properly. In the context of an aggravated international situation, Internet space uncontrolled militarization and cybercriminals significantly increasing their strength for attacking the global infrastructure, it is the states that must act as guarantors of the stability and integrity of the Internet's public core. </w:t>
      </w:r>
    </w:p>
    <w:p w14:paraId="41EE4D39" w14:textId="77777777" w:rsidR="00C24B0F" w:rsidRPr="00C24B0F" w:rsidRDefault="00C24B0F" w:rsidP="00C24B0F">
      <w:pPr>
        <w:numPr>
          <w:ilvl w:val="0"/>
          <w:numId w:val="21"/>
        </w:numPr>
        <w:pBdr>
          <w:top w:val="nil"/>
          <w:left w:val="nil"/>
          <w:bottom w:val="nil"/>
          <w:right w:val="nil"/>
          <w:between w:val="nil"/>
          <w:bar w:val="nil"/>
        </w:pBdr>
        <w:tabs>
          <w:tab w:val="left" w:pos="794"/>
          <w:tab w:val="left" w:pos="1191"/>
          <w:tab w:val="left" w:pos="1588"/>
          <w:tab w:val="left" w:pos="1985"/>
        </w:tabs>
        <w:overflowPunct w:val="0"/>
        <w:autoSpaceDE w:val="0"/>
        <w:autoSpaceDN w:val="0"/>
        <w:adjustRightInd w:val="0"/>
        <w:spacing w:before="360" w:after="120" w:line="240" w:lineRule="auto"/>
        <w:ind w:left="714" w:hanging="357"/>
        <w:jc w:val="both"/>
        <w:textAlignment w:val="baseline"/>
        <w:rPr>
          <w:rFonts w:ascii="Calibri" w:eastAsia="Calibri" w:hAnsi="Calibri" w:cs="Times New Roman"/>
          <w:b/>
          <w:color w:val="000000"/>
          <w:sz w:val="24"/>
          <w:szCs w:val="24"/>
          <w:u w:color="000000"/>
          <w:bdr w:val="nil"/>
          <w:lang w:val="ru-RU" w:eastAsia="en-US"/>
        </w:rPr>
      </w:pPr>
      <w:proofErr w:type="spellStart"/>
      <w:r w:rsidRPr="00C24B0F">
        <w:rPr>
          <w:rFonts w:ascii="Calibri" w:eastAsia="Calibri" w:hAnsi="Calibri" w:cs="Times New Roman"/>
          <w:b/>
          <w:color w:val="000000"/>
          <w:sz w:val="24"/>
          <w:szCs w:val="24"/>
          <w:u w:color="000000"/>
          <w:bdr w:val="nil"/>
          <w:lang w:val="ru-RU" w:eastAsia="en-US"/>
        </w:rPr>
        <w:t>Proposal</w:t>
      </w:r>
      <w:proofErr w:type="spellEnd"/>
    </w:p>
    <w:p w14:paraId="6E155574"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The tasks of the CWG-Internet are Identify, study and develop matters related to international Internet-related public policy issues. ITU Council Resolution 1305 defining the public policy issues to be addressed in the CWG-Internet contains the topic “The security, safety, continuity, sustainability, and robustness of the Internet”. Thus, within the ITU's mandate, this makes appropriate to organize work on the analysis of risks of the existing governance and operational model, preparation of recommendations and further draft international legal acts in line with ITU responsibility.</w:t>
      </w:r>
    </w:p>
    <w:p w14:paraId="437C2380"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Within the framework of the theme “The security, safety, continuity, sustainability, and robustness of the Internet” it is proposed:</w:t>
      </w:r>
    </w:p>
    <w:p w14:paraId="0C6AAFC2"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1. Conduct the following open consultations with all stakeholders on the topic "The role of states in ensuring the integrity, resilience and stability of the public core of the Internet and the need for international legal acts to guarantee the integrity, resilience and stability of the public core of the Internet".</w:t>
      </w:r>
    </w:p>
    <w:p w14:paraId="73E5592D"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2. Invite Member States to submit at the 17th CWG-Internet meeting their vision of the risks of the current Internet governance and operational model.</w:t>
      </w:r>
    </w:p>
    <w:p w14:paraId="409AF9ED"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3. Invite Member States to submit at the 17th meeting of the CWG-Internet their views on possible ways to overcome existing challenges and mitigate risks in the governance of critical infrastructure of the Internet for future discussion.</w:t>
      </w:r>
    </w:p>
    <w:p w14:paraId="1472C634"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4. Invite Member States to present at the 17th meeting of the CWG-Internet their views on the preparation of international legal acts to overcome the existing challenges and risks in the management system of Internet critical infrastructure to guarantee the integrity, stability and security of the Internet public core.</w:t>
      </w:r>
    </w:p>
    <w:p w14:paraId="122A68D9"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t>5. Organize within the Working Group discussion and preparation of recommendations for ITU Consul based on the materials submitted by the Member States and all stakeholders on the above issues.</w:t>
      </w:r>
    </w:p>
    <w:p w14:paraId="000509E7"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p>
    <w:p w14:paraId="5C5997D1"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lastRenderedPageBreak/>
        <w:t>For the definition of the “public core of the Internet”, see in the Appendix No. 2 “DEFINITION OF THE PUBLIC CORE” prepared by the Global Commission on the Stability of Cyberspace (GCSC).</w:t>
      </w:r>
    </w:p>
    <w:p w14:paraId="74220FE8"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pPr>
    </w:p>
    <w:p w14:paraId="59C91CF5" w14:textId="77777777" w:rsidR="00C24B0F" w:rsidRPr="00C24B0F" w:rsidRDefault="00C24B0F" w:rsidP="00C24B0F">
      <w:pPr>
        <w:spacing w:before="120" w:after="120" w:line="240" w:lineRule="auto"/>
        <w:ind w:firstLine="709"/>
        <w:contextualSpacing/>
        <w:jc w:val="both"/>
        <w:rPr>
          <w:rFonts w:ascii="Calibri" w:eastAsia="Calibri" w:hAnsi="Calibri" w:cs="Calibri"/>
          <w:color w:val="333333"/>
          <w:sz w:val="24"/>
          <w:szCs w:val="24"/>
          <w:shd w:val="clear" w:color="auto" w:fill="FFFFFF"/>
          <w:lang w:val="en-US" w:eastAsia="en-US"/>
        </w:rPr>
        <w:sectPr w:rsidR="00C24B0F" w:rsidRPr="00C24B0F" w:rsidSect="00EE5E32">
          <w:headerReference w:type="default" r:id="rId9"/>
          <w:footerReference w:type="first" r:id="rId10"/>
          <w:pgSz w:w="11907" w:h="16834"/>
          <w:pgMar w:top="1134" w:right="850" w:bottom="1134" w:left="1701" w:header="720" w:footer="720" w:gutter="0"/>
          <w:paperSrc w:first="15" w:other="15"/>
          <w:cols w:space="720"/>
          <w:titlePg/>
          <w:docGrid w:linePitch="326"/>
        </w:sectPr>
      </w:pPr>
    </w:p>
    <w:p w14:paraId="1368CF94" w14:textId="77777777" w:rsidR="00C24B0F" w:rsidRPr="00C24B0F" w:rsidRDefault="00C24B0F" w:rsidP="00C24B0F">
      <w:pPr>
        <w:spacing w:before="120" w:after="120" w:line="240" w:lineRule="auto"/>
        <w:ind w:firstLine="709"/>
        <w:contextualSpacing/>
        <w:jc w:val="right"/>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lastRenderedPageBreak/>
        <w:t>Appendix 1</w:t>
      </w:r>
    </w:p>
    <w:p w14:paraId="36F01BCF" w14:textId="77777777" w:rsidR="00C24B0F" w:rsidRPr="00C24B0F" w:rsidRDefault="00C24B0F" w:rsidP="00C24B0F">
      <w:pPr>
        <w:tabs>
          <w:tab w:val="left" w:pos="794"/>
          <w:tab w:val="left" w:pos="1191"/>
          <w:tab w:val="left" w:pos="1588"/>
          <w:tab w:val="left" w:pos="1985"/>
        </w:tabs>
        <w:overflowPunct w:val="0"/>
        <w:autoSpaceDE w:val="0"/>
        <w:autoSpaceDN w:val="0"/>
        <w:adjustRightInd w:val="0"/>
        <w:spacing w:before="120" w:after="120" w:line="240" w:lineRule="auto"/>
        <w:textAlignment w:val="baseline"/>
        <w:rPr>
          <w:rFonts w:ascii="Calibri" w:eastAsia="Times New Roman" w:hAnsi="Calibri" w:cs="Times New Roman"/>
          <w:b/>
          <w:bCs/>
          <w:sz w:val="24"/>
          <w:szCs w:val="24"/>
          <w:lang w:val="en-US" w:eastAsia="en-US"/>
        </w:rPr>
      </w:pPr>
    </w:p>
    <w:p w14:paraId="3467B322" w14:textId="77777777" w:rsidR="00C24B0F" w:rsidRPr="00C24B0F" w:rsidRDefault="00C24B0F" w:rsidP="00C24B0F">
      <w:pPr>
        <w:tabs>
          <w:tab w:val="left" w:pos="794"/>
          <w:tab w:val="left" w:pos="1191"/>
          <w:tab w:val="left" w:pos="1588"/>
          <w:tab w:val="left" w:pos="1985"/>
        </w:tabs>
        <w:overflowPunct w:val="0"/>
        <w:autoSpaceDE w:val="0"/>
        <w:autoSpaceDN w:val="0"/>
        <w:adjustRightInd w:val="0"/>
        <w:spacing w:before="120" w:after="120" w:line="240" w:lineRule="auto"/>
        <w:jc w:val="center"/>
        <w:textAlignment w:val="baseline"/>
        <w:rPr>
          <w:rFonts w:ascii="Calibri" w:eastAsia="Times New Roman" w:hAnsi="Calibri" w:cs="Times New Roman"/>
          <w:b/>
          <w:bCs/>
          <w:sz w:val="24"/>
          <w:szCs w:val="24"/>
          <w:lang w:val="en-US" w:eastAsia="en-US"/>
        </w:rPr>
      </w:pPr>
      <w:r w:rsidRPr="00C24B0F">
        <w:rPr>
          <w:rFonts w:ascii="Calibri" w:eastAsia="Times New Roman" w:hAnsi="Calibri" w:cs="Times New Roman"/>
          <w:b/>
          <w:bCs/>
          <w:sz w:val="24"/>
          <w:szCs w:val="24"/>
          <w:lang w:val="en-US" w:eastAsia="en-US"/>
        </w:rPr>
        <w:t>Risk analysis of the existing Internet governance and operational model</w:t>
      </w:r>
    </w:p>
    <w:p w14:paraId="094FFE84" w14:textId="77777777" w:rsidR="00C24B0F" w:rsidRPr="00C24B0F" w:rsidRDefault="00C24B0F" w:rsidP="00C24B0F">
      <w:pPr>
        <w:tabs>
          <w:tab w:val="left" w:pos="794"/>
          <w:tab w:val="left" w:pos="1191"/>
          <w:tab w:val="left" w:pos="1588"/>
          <w:tab w:val="left" w:pos="1985"/>
        </w:tabs>
        <w:overflowPunct w:val="0"/>
        <w:autoSpaceDE w:val="0"/>
        <w:autoSpaceDN w:val="0"/>
        <w:adjustRightInd w:val="0"/>
        <w:spacing w:before="120" w:after="120" w:line="240" w:lineRule="auto"/>
        <w:jc w:val="center"/>
        <w:textAlignment w:val="baseline"/>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 xml:space="preserve">Risks to Infrastructure under the Current </w:t>
      </w:r>
      <w:r w:rsidRPr="00C24B0F">
        <w:rPr>
          <w:rFonts w:ascii="Calibri" w:eastAsia="Times New Roman" w:hAnsi="Calibri" w:cs="Times New Roman"/>
          <w:b/>
          <w:bCs/>
          <w:sz w:val="24"/>
          <w:szCs w:val="24"/>
          <w:lang w:val="en-US" w:eastAsia="en-US"/>
        </w:rPr>
        <w:t>Internet governance and operational model</w:t>
      </w:r>
    </w:p>
    <w:p w14:paraId="5CE3B54A" w14:textId="77777777" w:rsidR="00C24B0F" w:rsidRPr="00C24B0F" w:rsidRDefault="00C24B0F" w:rsidP="00C24B0F">
      <w:pPr>
        <w:tabs>
          <w:tab w:val="left" w:pos="794"/>
          <w:tab w:val="left" w:pos="1191"/>
          <w:tab w:val="left" w:pos="1588"/>
          <w:tab w:val="left" w:pos="1985"/>
        </w:tabs>
        <w:overflowPunct w:val="0"/>
        <w:autoSpaceDE w:val="0"/>
        <w:autoSpaceDN w:val="0"/>
        <w:adjustRightInd w:val="0"/>
        <w:spacing w:before="120" w:after="120" w:line="240" w:lineRule="auto"/>
        <w:jc w:val="center"/>
        <w:textAlignment w:val="baseline"/>
        <w:rPr>
          <w:rFonts w:ascii="Calibri" w:eastAsia="Times New Roman" w:hAnsi="Calibri" w:cs="Times New Roman"/>
          <w:b/>
          <w:sz w:val="24"/>
          <w:szCs w:val="24"/>
          <w:lang w:val="en-US" w:eastAsia="en-US"/>
        </w:rPr>
      </w:pPr>
    </w:p>
    <w:tbl>
      <w:tblPr>
        <w:tblStyle w:val="TableGrid1"/>
        <w:tblW w:w="14842" w:type="dxa"/>
        <w:tblLook w:val="04A0" w:firstRow="1" w:lastRow="0" w:firstColumn="1" w:lastColumn="0" w:noHBand="0" w:noVBand="1"/>
      </w:tblPr>
      <w:tblGrid>
        <w:gridCol w:w="725"/>
        <w:gridCol w:w="3436"/>
        <w:gridCol w:w="4623"/>
        <w:gridCol w:w="6058"/>
      </w:tblGrid>
      <w:tr w:rsidR="00C24B0F" w:rsidRPr="00C24B0F" w14:paraId="34507900" w14:textId="77777777" w:rsidTr="00A112F4">
        <w:trPr>
          <w:trHeight w:val="307"/>
        </w:trPr>
        <w:tc>
          <w:tcPr>
            <w:tcW w:w="725" w:type="dxa"/>
            <w:tcBorders>
              <w:top w:val="single" w:sz="4" w:space="0" w:color="auto"/>
              <w:left w:val="single" w:sz="4" w:space="0" w:color="auto"/>
              <w:bottom w:val="single" w:sz="4" w:space="0" w:color="auto"/>
              <w:right w:val="single" w:sz="4" w:space="0" w:color="auto"/>
            </w:tcBorders>
            <w:hideMark/>
          </w:tcPr>
          <w:p w14:paraId="26AEBF96" w14:textId="77777777" w:rsidR="00C24B0F" w:rsidRPr="00C24B0F" w:rsidRDefault="00C24B0F" w:rsidP="00C24B0F">
            <w:pPr>
              <w:spacing w:after="120" w:line="240" w:lineRule="auto"/>
              <w:jc w:val="center"/>
              <w:rPr>
                <w:rFonts w:ascii="Calibri" w:eastAsia="Calibri" w:hAnsi="Calibri" w:cs="Times New Roman"/>
                <w:b/>
                <w:sz w:val="24"/>
                <w:szCs w:val="24"/>
                <w:lang w:eastAsia="en-US"/>
              </w:rPr>
            </w:pPr>
            <w:r w:rsidRPr="00C24B0F">
              <w:rPr>
                <w:rFonts w:ascii="Calibri" w:eastAsia="Times New Roman" w:hAnsi="Calibri" w:cs="Times New Roman"/>
                <w:b/>
                <w:sz w:val="24"/>
                <w:szCs w:val="24"/>
                <w:lang w:eastAsia="en-US"/>
              </w:rPr>
              <w:t>№</w:t>
            </w:r>
          </w:p>
        </w:tc>
        <w:tc>
          <w:tcPr>
            <w:tcW w:w="3436" w:type="dxa"/>
            <w:tcBorders>
              <w:top w:val="single" w:sz="4" w:space="0" w:color="auto"/>
              <w:left w:val="single" w:sz="4" w:space="0" w:color="auto"/>
              <w:bottom w:val="single" w:sz="4" w:space="0" w:color="auto"/>
              <w:right w:val="single" w:sz="4" w:space="0" w:color="auto"/>
            </w:tcBorders>
            <w:hideMark/>
          </w:tcPr>
          <w:p w14:paraId="18F89FF5" w14:textId="77777777" w:rsidR="00C24B0F" w:rsidRPr="00C24B0F" w:rsidRDefault="00C24B0F" w:rsidP="00C24B0F">
            <w:pPr>
              <w:spacing w:after="120" w:line="240" w:lineRule="auto"/>
              <w:jc w:val="center"/>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Name of risk</w:t>
            </w:r>
          </w:p>
        </w:tc>
        <w:tc>
          <w:tcPr>
            <w:tcW w:w="4623" w:type="dxa"/>
            <w:tcBorders>
              <w:top w:val="single" w:sz="4" w:space="0" w:color="auto"/>
              <w:left w:val="single" w:sz="4" w:space="0" w:color="auto"/>
              <w:bottom w:val="single" w:sz="4" w:space="0" w:color="auto"/>
              <w:right w:val="single" w:sz="4" w:space="0" w:color="auto"/>
            </w:tcBorders>
            <w:hideMark/>
          </w:tcPr>
          <w:p w14:paraId="151D31E7" w14:textId="77777777" w:rsidR="00C24B0F" w:rsidRPr="00C24B0F" w:rsidRDefault="00C24B0F" w:rsidP="00C24B0F">
            <w:pPr>
              <w:spacing w:after="120" w:line="240" w:lineRule="auto"/>
              <w:jc w:val="center"/>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 xml:space="preserve">Explanation </w:t>
            </w:r>
          </w:p>
        </w:tc>
        <w:tc>
          <w:tcPr>
            <w:tcW w:w="6058" w:type="dxa"/>
            <w:tcBorders>
              <w:top w:val="single" w:sz="4" w:space="0" w:color="auto"/>
              <w:left w:val="single" w:sz="4" w:space="0" w:color="auto"/>
              <w:bottom w:val="single" w:sz="4" w:space="0" w:color="auto"/>
              <w:right w:val="single" w:sz="4" w:space="0" w:color="auto"/>
            </w:tcBorders>
            <w:hideMark/>
          </w:tcPr>
          <w:p w14:paraId="1C1031BA" w14:textId="77777777" w:rsidR="00C24B0F" w:rsidRPr="00C24B0F" w:rsidRDefault="00C24B0F" w:rsidP="00C24B0F">
            <w:pPr>
              <w:spacing w:after="120" w:line="240" w:lineRule="auto"/>
              <w:jc w:val="center"/>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Expressed by</w:t>
            </w:r>
          </w:p>
        </w:tc>
      </w:tr>
      <w:tr w:rsidR="00C24B0F" w:rsidRPr="00C24B0F" w14:paraId="16648FE4" w14:textId="77777777" w:rsidTr="00A112F4">
        <w:trPr>
          <w:trHeight w:val="359"/>
        </w:trPr>
        <w:tc>
          <w:tcPr>
            <w:tcW w:w="14842" w:type="dxa"/>
            <w:gridSpan w:val="4"/>
            <w:tcBorders>
              <w:top w:val="single" w:sz="4" w:space="0" w:color="auto"/>
              <w:left w:val="single" w:sz="4" w:space="0" w:color="auto"/>
              <w:bottom w:val="single" w:sz="4" w:space="0" w:color="auto"/>
              <w:right w:val="single" w:sz="4" w:space="0" w:color="auto"/>
            </w:tcBorders>
            <w:hideMark/>
          </w:tcPr>
          <w:p w14:paraId="0E3EB2F8" w14:textId="77777777" w:rsidR="00C24B0F" w:rsidRPr="00C24B0F" w:rsidRDefault="00C24B0F" w:rsidP="00C24B0F">
            <w:pPr>
              <w:spacing w:after="120" w:line="240" w:lineRule="auto"/>
              <w:jc w:val="center"/>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For international Internet segment</w:t>
            </w:r>
          </w:p>
        </w:tc>
      </w:tr>
      <w:tr w:rsidR="00C24B0F" w:rsidRPr="00C24B0F" w14:paraId="1CEAA08B" w14:textId="77777777" w:rsidTr="00A112F4">
        <w:trPr>
          <w:trHeight w:val="463"/>
        </w:trPr>
        <w:tc>
          <w:tcPr>
            <w:tcW w:w="725" w:type="dxa"/>
            <w:vMerge w:val="restart"/>
            <w:tcBorders>
              <w:top w:val="single" w:sz="4" w:space="0" w:color="auto"/>
              <w:left w:val="single" w:sz="4" w:space="0" w:color="auto"/>
              <w:bottom w:val="single" w:sz="4" w:space="0" w:color="auto"/>
              <w:right w:val="single" w:sz="4" w:space="0" w:color="auto"/>
            </w:tcBorders>
          </w:tcPr>
          <w:p w14:paraId="2AF0CF5B" w14:textId="77777777" w:rsidR="00C24B0F" w:rsidRPr="00C24B0F" w:rsidRDefault="00C24B0F" w:rsidP="00C24B0F">
            <w:pPr>
              <w:numPr>
                <w:ilvl w:val="0"/>
                <w:numId w:val="23"/>
              </w:numPr>
              <w:tabs>
                <w:tab w:val="left" w:pos="346"/>
              </w:tabs>
              <w:spacing w:after="120" w:line="240" w:lineRule="auto"/>
              <w:rPr>
                <w:rFonts w:ascii="Calibri" w:eastAsia="Times New Roman" w:hAnsi="Calibri" w:cs="Times New Roman"/>
                <w:sz w:val="24"/>
                <w:szCs w:val="24"/>
                <w:lang w:eastAsia="en-US"/>
              </w:rPr>
            </w:pPr>
          </w:p>
        </w:tc>
        <w:tc>
          <w:tcPr>
            <w:tcW w:w="3436" w:type="dxa"/>
            <w:vMerge w:val="restart"/>
            <w:tcBorders>
              <w:top w:val="single" w:sz="4" w:space="0" w:color="auto"/>
              <w:left w:val="single" w:sz="4" w:space="0" w:color="auto"/>
              <w:bottom w:val="single" w:sz="4" w:space="0" w:color="auto"/>
              <w:right w:val="single" w:sz="4" w:space="0" w:color="auto"/>
            </w:tcBorders>
          </w:tcPr>
          <w:p w14:paraId="734FB25E"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Restrictions on access to internationally used infrastructure (violation of non-discriminatory access)</w:t>
            </w:r>
          </w:p>
          <w:p w14:paraId="537AB7F5"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4623" w:type="dxa"/>
            <w:vMerge w:val="restart"/>
            <w:tcBorders>
              <w:top w:val="single" w:sz="4" w:space="0" w:color="auto"/>
              <w:left w:val="single" w:sz="4" w:space="0" w:color="auto"/>
              <w:bottom w:val="single" w:sz="4" w:space="0" w:color="auto"/>
              <w:right w:val="single" w:sz="4" w:space="0" w:color="auto"/>
            </w:tcBorders>
            <w:hideMark/>
          </w:tcPr>
          <w:p w14:paraId="25F01CEE"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 xml:space="preserve">Any user/Internet provider/operator should be provided with access to internationally used infrastructure on </w:t>
            </w:r>
            <w:proofErr w:type="gramStart"/>
            <w:r w:rsidRPr="00C24B0F">
              <w:rPr>
                <w:rFonts w:ascii="Calibri" w:eastAsia="Times New Roman" w:hAnsi="Calibri" w:cs="Times New Roman"/>
                <w:sz w:val="24"/>
                <w:szCs w:val="24"/>
                <w:lang w:val="en-US" w:eastAsia="en-US"/>
              </w:rPr>
              <w:t>an</w:t>
            </w:r>
            <w:proofErr w:type="gramEnd"/>
            <w:r w:rsidRPr="00C24B0F">
              <w:rPr>
                <w:rFonts w:ascii="Calibri" w:eastAsia="Times New Roman" w:hAnsi="Calibri" w:cs="Times New Roman"/>
                <w:sz w:val="24"/>
                <w:szCs w:val="24"/>
                <w:lang w:val="en-US" w:eastAsia="en-US"/>
              </w:rPr>
              <w:t xml:space="preserve"> non-discriminatory basis, however, currently transit or IXP operators do not have any guarantees of noninterference with their operational activities. “Global connectivity” should be neutral and have immunity, legal access restriction on national level.</w:t>
            </w:r>
          </w:p>
        </w:tc>
        <w:tc>
          <w:tcPr>
            <w:tcW w:w="6058" w:type="dxa"/>
            <w:tcBorders>
              <w:top w:val="single" w:sz="4" w:space="0" w:color="auto"/>
              <w:left w:val="single" w:sz="4" w:space="0" w:color="auto"/>
              <w:bottom w:val="single" w:sz="4" w:space="0" w:color="auto"/>
              <w:right w:val="single" w:sz="4" w:space="0" w:color="auto"/>
            </w:tcBorders>
            <w:hideMark/>
          </w:tcPr>
          <w:p w14:paraId="079291A8"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proofErr w:type="spellStart"/>
            <w:r w:rsidRPr="00C24B0F">
              <w:rPr>
                <w:rFonts w:ascii="Calibri" w:eastAsia="Times New Roman" w:hAnsi="Calibri" w:cs="Times New Roman"/>
                <w:sz w:val="24"/>
                <w:szCs w:val="24"/>
                <w:lang w:val="en-US" w:eastAsia="en-US"/>
              </w:rPr>
              <w:t>Disconnectivity</w:t>
            </w:r>
            <w:proofErr w:type="spellEnd"/>
            <w:r w:rsidRPr="00C24B0F">
              <w:rPr>
                <w:rFonts w:ascii="Calibri" w:eastAsia="Times New Roman" w:hAnsi="Calibri" w:cs="Times New Roman"/>
                <w:sz w:val="24"/>
                <w:szCs w:val="24"/>
                <w:lang w:val="en-US" w:eastAsia="en-US"/>
              </w:rPr>
              <w:t xml:space="preserve"> and </w:t>
            </w:r>
            <w:proofErr w:type="spellStart"/>
            <w:r w:rsidRPr="00C24B0F">
              <w:rPr>
                <w:rFonts w:ascii="Calibri" w:eastAsia="Times New Roman" w:hAnsi="Calibri" w:cs="Times New Roman"/>
                <w:sz w:val="24"/>
                <w:szCs w:val="24"/>
                <w:lang w:val="en-US" w:eastAsia="en-US"/>
              </w:rPr>
              <w:t>disintegrity</w:t>
            </w:r>
            <w:proofErr w:type="spellEnd"/>
            <w:r w:rsidRPr="00C24B0F">
              <w:rPr>
                <w:rFonts w:ascii="Calibri" w:eastAsia="Times New Roman" w:hAnsi="Calibri" w:cs="Times New Roman"/>
                <w:sz w:val="24"/>
                <w:szCs w:val="24"/>
                <w:lang w:val="en-US" w:eastAsia="en-US"/>
              </w:rPr>
              <w:t xml:space="preserve"> of the global network </w:t>
            </w:r>
          </w:p>
        </w:tc>
      </w:tr>
      <w:tr w:rsidR="00C24B0F" w:rsidRPr="00C24B0F" w14:paraId="56853A7B" w14:textId="77777777" w:rsidTr="00A112F4">
        <w:trPr>
          <w:trHeight w:val="6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DA50C" w14:textId="77777777" w:rsidR="00C24B0F" w:rsidRPr="00C24B0F" w:rsidRDefault="00C24B0F" w:rsidP="00C24B0F">
            <w:pPr>
              <w:spacing w:after="120" w:line="240" w:lineRule="auto"/>
              <w:rPr>
                <w:rFonts w:ascii="Calibri" w:eastAsia="Calibri" w:hAnsi="Calibri"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1B22C"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2D22B8"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4F99B36D"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The user does not receive a service from a certain service providers or operators.</w:t>
            </w:r>
          </w:p>
        </w:tc>
      </w:tr>
      <w:tr w:rsidR="00C24B0F" w:rsidRPr="00C24B0F" w14:paraId="59A0E186" w14:textId="77777777" w:rsidTr="00A112F4">
        <w:trPr>
          <w:trHeight w:val="649"/>
        </w:trPr>
        <w:tc>
          <w:tcPr>
            <w:tcW w:w="725" w:type="dxa"/>
            <w:vMerge w:val="restart"/>
            <w:tcBorders>
              <w:top w:val="single" w:sz="4" w:space="0" w:color="auto"/>
              <w:left w:val="single" w:sz="4" w:space="0" w:color="auto"/>
              <w:bottom w:val="single" w:sz="4" w:space="0" w:color="auto"/>
              <w:right w:val="single" w:sz="4" w:space="0" w:color="auto"/>
            </w:tcBorders>
          </w:tcPr>
          <w:p w14:paraId="50217160" w14:textId="77777777" w:rsidR="00C24B0F" w:rsidRPr="00C24B0F" w:rsidRDefault="00C24B0F" w:rsidP="00C24B0F">
            <w:pPr>
              <w:numPr>
                <w:ilvl w:val="0"/>
                <w:numId w:val="23"/>
              </w:numPr>
              <w:tabs>
                <w:tab w:val="left" w:pos="346"/>
              </w:tabs>
              <w:spacing w:after="120" w:line="240" w:lineRule="auto"/>
              <w:rPr>
                <w:rFonts w:ascii="Calibri" w:eastAsia="Times New Roman" w:hAnsi="Calibri" w:cs="Times New Roman"/>
                <w:sz w:val="24"/>
                <w:szCs w:val="24"/>
                <w:lang w:val="en-US" w:eastAsia="en-US"/>
              </w:rPr>
            </w:pPr>
          </w:p>
        </w:tc>
        <w:tc>
          <w:tcPr>
            <w:tcW w:w="3436" w:type="dxa"/>
            <w:vMerge w:val="restart"/>
            <w:tcBorders>
              <w:top w:val="single" w:sz="4" w:space="0" w:color="auto"/>
              <w:left w:val="single" w:sz="4" w:space="0" w:color="auto"/>
              <w:bottom w:val="single" w:sz="4" w:space="0" w:color="auto"/>
              <w:right w:val="single" w:sz="4" w:space="0" w:color="auto"/>
            </w:tcBorders>
          </w:tcPr>
          <w:p w14:paraId="2E0750E9"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 xml:space="preserve">Transit traffic manipulations </w:t>
            </w:r>
          </w:p>
          <w:p w14:paraId="69B7B6BC" w14:textId="77777777" w:rsidR="00C24B0F" w:rsidRPr="00C24B0F" w:rsidRDefault="00C24B0F" w:rsidP="00C24B0F">
            <w:pPr>
              <w:spacing w:after="120" w:line="240" w:lineRule="auto"/>
              <w:rPr>
                <w:rFonts w:ascii="Calibri" w:eastAsia="Calibri" w:hAnsi="Calibri" w:cs="Times New Roman"/>
                <w:b/>
                <w:sz w:val="24"/>
                <w:szCs w:val="24"/>
                <w:lang w:eastAsia="en-US"/>
              </w:rPr>
            </w:pPr>
          </w:p>
        </w:tc>
        <w:tc>
          <w:tcPr>
            <w:tcW w:w="4623" w:type="dxa"/>
            <w:vMerge w:val="restart"/>
            <w:tcBorders>
              <w:top w:val="single" w:sz="4" w:space="0" w:color="auto"/>
              <w:left w:val="single" w:sz="4" w:space="0" w:color="auto"/>
              <w:bottom w:val="single" w:sz="4" w:space="0" w:color="auto"/>
              <w:right w:val="single" w:sz="4" w:space="0" w:color="auto"/>
            </w:tcBorders>
            <w:hideMark/>
          </w:tcPr>
          <w:p w14:paraId="47EA3E10"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 xml:space="preserve">No guarantees for the stable operation of the main nodes of the Internet (Internet exchange points, top-level domain servers, root servers </w:t>
            </w:r>
            <w:proofErr w:type="gramStart"/>
            <w:r w:rsidRPr="00C24B0F">
              <w:rPr>
                <w:rFonts w:ascii="Calibri" w:eastAsia="Times New Roman" w:hAnsi="Calibri" w:cs="Times New Roman"/>
                <w:sz w:val="24"/>
                <w:szCs w:val="24"/>
                <w:lang w:val="en-US" w:eastAsia="en-US"/>
              </w:rPr>
              <w:t>and etc.</w:t>
            </w:r>
            <w:proofErr w:type="gramEnd"/>
            <w:r w:rsidRPr="00C24B0F">
              <w:rPr>
                <w:rFonts w:ascii="Calibri" w:eastAsia="Times New Roman" w:hAnsi="Calibri" w:cs="Times New Roman"/>
                <w:sz w:val="24"/>
                <w:szCs w:val="24"/>
                <w:lang w:val="en-US" w:eastAsia="en-US"/>
              </w:rPr>
              <w:t>), and obligations to no n-interfere with transit traffic transfer and to preserve confidentiality of communications during packet-based data transfer.</w:t>
            </w:r>
          </w:p>
        </w:tc>
        <w:tc>
          <w:tcPr>
            <w:tcW w:w="6058" w:type="dxa"/>
            <w:tcBorders>
              <w:top w:val="single" w:sz="4" w:space="0" w:color="auto"/>
              <w:left w:val="single" w:sz="4" w:space="0" w:color="auto"/>
              <w:bottom w:val="single" w:sz="4" w:space="0" w:color="auto"/>
              <w:right w:val="single" w:sz="4" w:space="0" w:color="auto"/>
            </w:tcBorders>
            <w:hideMark/>
          </w:tcPr>
          <w:p w14:paraId="005BB7A5"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 xml:space="preserve">Unauthorized analysis and interception, monitoring and prioritization of certain types of traffic by both operators and national law enforcement authorities </w:t>
            </w:r>
          </w:p>
        </w:tc>
      </w:tr>
      <w:tr w:rsidR="00C24B0F" w:rsidRPr="00C24B0F" w14:paraId="1A37CF9B" w14:textId="77777777" w:rsidTr="00A112F4">
        <w:trPr>
          <w:trHeight w:val="6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F8AE72"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90854" w14:textId="77777777" w:rsidR="00C24B0F" w:rsidRPr="00C24B0F" w:rsidRDefault="00C24B0F" w:rsidP="00C24B0F">
            <w:pPr>
              <w:spacing w:after="120" w:line="240" w:lineRule="auto"/>
              <w:rPr>
                <w:rFonts w:ascii="Calibri" w:eastAsia="Calibri" w:hAnsi="Calibri"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D17235"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2817201D"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Violation of net neutrality principle – some communication channels enjoy higher priority than the others</w:t>
            </w:r>
          </w:p>
        </w:tc>
      </w:tr>
      <w:tr w:rsidR="00C24B0F" w:rsidRPr="00C24B0F" w14:paraId="1814CDE9" w14:textId="77777777" w:rsidTr="00A112F4">
        <w:trPr>
          <w:trHeight w:val="3826"/>
        </w:trPr>
        <w:tc>
          <w:tcPr>
            <w:tcW w:w="725" w:type="dxa"/>
            <w:tcBorders>
              <w:top w:val="single" w:sz="4" w:space="0" w:color="auto"/>
              <w:left w:val="single" w:sz="4" w:space="0" w:color="auto"/>
              <w:bottom w:val="single" w:sz="4" w:space="0" w:color="auto"/>
              <w:right w:val="single" w:sz="4" w:space="0" w:color="auto"/>
            </w:tcBorders>
          </w:tcPr>
          <w:p w14:paraId="6A242354" w14:textId="77777777" w:rsidR="00C24B0F" w:rsidRPr="00C24B0F" w:rsidRDefault="00C24B0F" w:rsidP="00C24B0F">
            <w:pPr>
              <w:numPr>
                <w:ilvl w:val="0"/>
                <w:numId w:val="23"/>
              </w:numPr>
              <w:tabs>
                <w:tab w:val="left" w:pos="346"/>
              </w:tabs>
              <w:spacing w:after="120" w:line="240" w:lineRule="auto"/>
              <w:rPr>
                <w:rFonts w:ascii="Calibri" w:eastAsia="Times New Roman" w:hAnsi="Calibri" w:cs="Times New Roman"/>
                <w:b/>
                <w:sz w:val="24"/>
                <w:szCs w:val="24"/>
                <w:lang w:val="en-US" w:eastAsia="en-US"/>
              </w:rPr>
            </w:pPr>
          </w:p>
        </w:tc>
        <w:tc>
          <w:tcPr>
            <w:tcW w:w="3436" w:type="dxa"/>
            <w:tcBorders>
              <w:top w:val="single" w:sz="4" w:space="0" w:color="auto"/>
              <w:left w:val="single" w:sz="4" w:space="0" w:color="auto"/>
              <w:bottom w:val="single" w:sz="4" w:space="0" w:color="auto"/>
              <w:right w:val="single" w:sz="4" w:space="0" w:color="auto"/>
            </w:tcBorders>
            <w:hideMark/>
          </w:tcPr>
          <w:p w14:paraId="076C4C4C"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eastAsia="en-US"/>
              </w:rPr>
              <w:t>Dependence on decisions of a national administration</w:t>
            </w:r>
            <w:r w:rsidRPr="00C24B0F">
              <w:rPr>
                <w:rFonts w:ascii="Calibri" w:eastAsia="Times New Roman" w:hAnsi="Calibri" w:cs="Times New Roman"/>
                <w:b/>
                <w:sz w:val="24"/>
                <w:szCs w:val="24"/>
                <w:lang w:val="en-US" w:eastAsia="en-US"/>
              </w:rPr>
              <w:t xml:space="preserve"> </w:t>
            </w:r>
          </w:p>
        </w:tc>
        <w:tc>
          <w:tcPr>
            <w:tcW w:w="4623" w:type="dxa"/>
            <w:tcBorders>
              <w:top w:val="single" w:sz="4" w:space="0" w:color="auto"/>
              <w:left w:val="single" w:sz="4" w:space="0" w:color="auto"/>
              <w:bottom w:val="single" w:sz="4" w:space="0" w:color="auto"/>
              <w:right w:val="single" w:sz="4" w:space="0" w:color="auto"/>
            </w:tcBorders>
            <w:hideMark/>
          </w:tcPr>
          <w:p w14:paraId="60B7BFF9"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eastAsia="en-US"/>
              </w:rPr>
              <w:t>Critical</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infrastructure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 xml:space="preserve">operators/ organizations (ICANN, PTI, RIRs, etc.) </w:t>
            </w:r>
            <w:r w:rsidRPr="00C24B0F">
              <w:rPr>
                <w:rFonts w:ascii="Calibri" w:eastAsia="Times New Roman" w:hAnsi="Calibri" w:cs="Times New Roman"/>
                <w:sz w:val="24"/>
                <w:szCs w:val="24"/>
                <w:lang w:val="en-US" w:eastAsia="en-US"/>
              </w:rPr>
              <w:t>may</w:t>
            </w:r>
            <w:r w:rsidRPr="00C24B0F">
              <w:rPr>
                <w:rFonts w:ascii="Calibri" w:eastAsia="Times New Roman" w:hAnsi="Calibri" w:cs="Times New Roman"/>
                <w:sz w:val="24"/>
                <w:szCs w:val="24"/>
                <w:lang w:eastAsia="en-US"/>
              </w:rPr>
              <w:t xml:space="preserve"> be forced to comply with sanctions of a national administration </w:t>
            </w:r>
            <w:r w:rsidRPr="00C24B0F">
              <w:rPr>
                <w:rFonts w:ascii="Calibri" w:eastAsia="Times New Roman" w:hAnsi="Calibri" w:cs="Times New Roman"/>
                <w:sz w:val="24"/>
                <w:szCs w:val="24"/>
                <w:lang w:val="en-US" w:eastAsia="en-US"/>
              </w:rPr>
              <w:t>under which jurisdiction they are located</w:t>
            </w:r>
            <w:r w:rsidRPr="00C24B0F">
              <w:rPr>
                <w:rFonts w:ascii="Calibri" w:eastAsia="Times New Roman" w:hAnsi="Calibri" w:cs="Times New Roman"/>
                <w:sz w:val="24"/>
                <w:szCs w:val="24"/>
                <w:lang w:eastAsia="en-US"/>
              </w:rPr>
              <w:t xml:space="preserve">. </w:t>
            </w:r>
            <w:proofErr w:type="gramStart"/>
            <w:r w:rsidRPr="00C24B0F">
              <w:rPr>
                <w:rFonts w:ascii="Calibri" w:eastAsia="Times New Roman" w:hAnsi="Calibri" w:cs="Times New Roman"/>
                <w:sz w:val="24"/>
                <w:szCs w:val="24"/>
                <w:lang w:val="en-US" w:eastAsia="en-US"/>
              </w:rPr>
              <w:t>A number of</w:t>
            </w:r>
            <w:proofErr w:type="gramEnd"/>
            <w:r w:rsidRPr="00C24B0F">
              <w:rPr>
                <w:rFonts w:ascii="Calibri" w:eastAsia="Times New Roman" w:hAnsi="Calibri" w:cs="Times New Roman"/>
                <w:sz w:val="24"/>
                <w:szCs w:val="24"/>
                <w:lang w:val="en-US" w:eastAsia="en-US"/>
              </w:rPr>
              <w:t xml:space="preserve"> operational organizations </w:t>
            </w:r>
            <w:r w:rsidRPr="00C24B0F">
              <w:rPr>
                <w:rFonts w:ascii="Calibri" w:eastAsia="Times New Roman" w:hAnsi="Calibri" w:cs="Times New Roman"/>
                <w:sz w:val="24"/>
                <w:szCs w:val="24"/>
                <w:lang w:eastAsia="en-US"/>
              </w:rPr>
              <w:t>performing</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supranational</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functions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in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the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Internet</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governance are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registered in the USA, and</w:t>
            </w:r>
            <w:r w:rsidRPr="00C24B0F">
              <w:rPr>
                <w:rFonts w:ascii="Calibri" w:eastAsia="Times New Roman" w:hAnsi="Calibri" w:cs="Times New Roman"/>
                <w:sz w:val="24"/>
                <w:szCs w:val="24"/>
                <w:lang w:val="en-US" w:eastAsia="en-US"/>
              </w:rPr>
              <w:t xml:space="preserve"> they must comply with all laws, rules and regulations of the US judicial authorities as well as of the Office of Foreign Assets Control (OFAC).</w:t>
            </w:r>
          </w:p>
        </w:tc>
        <w:tc>
          <w:tcPr>
            <w:tcW w:w="6058" w:type="dxa"/>
            <w:tcBorders>
              <w:top w:val="single" w:sz="4" w:space="0" w:color="auto"/>
              <w:left w:val="single" w:sz="4" w:space="0" w:color="auto"/>
              <w:right w:val="single" w:sz="4" w:space="0" w:color="auto"/>
            </w:tcBorders>
          </w:tcPr>
          <w:p w14:paraId="044C8E6D"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eastAsia="en-US"/>
              </w:rPr>
              <w:t>Decision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of</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national</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administration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may</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restrict</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or</w:t>
            </w:r>
            <w:r w:rsidRPr="00C24B0F">
              <w:rPr>
                <w:rFonts w:ascii="Calibri" w:eastAsia="Times New Roman" w:hAnsi="Calibri" w:cs="Times New Roman"/>
                <w:sz w:val="24"/>
                <w:szCs w:val="24"/>
                <w:lang w:val="en-US" w:eastAsia="en-US"/>
              </w:rPr>
              <w:t xml:space="preserve"> affect </w:t>
            </w:r>
            <w:r w:rsidRPr="00C24B0F">
              <w:rPr>
                <w:rFonts w:ascii="Calibri" w:eastAsia="Times New Roman" w:hAnsi="Calibri" w:cs="Times New Roman"/>
                <w:sz w:val="24"/>
                <w:szCs w:val="24"/>
                <w:lang w:eastAsia="en-US"/>
              </w:rPr>
              <w:t>the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accessibility</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of</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the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Internet</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 xml:space="preserve">services in other </w:t>
            </w:r>
            <w:proofErr w:type="spellStart"/>
            <w:r w:rsidRPr="00C24B0F">
              <w:rPr>
                <w:rFonts w:ascii="Calibri" w:eastAsia="Times New Roman" w:hAnsi="Calibri" w:cs="Times New Roman"/>
                <w:sz w:val="24"/>
                <w:szCs w:val="24"/>
                <w:lang w:eastAsia="en-US"/>
              </w:rPr>
              <w:t>countires</w:t>
            </w:r>
            <w:proofErr w:type="spellEnd"/>
            <w:r w:rsidRPr="00C24B0F">
              <w:rPr>
                <w:rFonts w:ascii="Calibri" w:eastAsia="Times New Roman" w:hAnsi="Calibri" w:cs="Times New Roman"/>
                <w:sz w:val="24"/>
                <w:szCs w:val="24"/>
                <w:lang w:val="en-US" w:eastAsia="en-US"/>
              </w:rPr>
              <w:t>.</w:t>
            </w:r>
          </w:p>
          <w:p w14:paraId="08008C58"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p>
        </w:tc>
      </w:tr>
      <w:tr w:rsidR="00C24B0F" w:rsidRPr="00C24B0F" w14:paraId="00DDD8AC" w14:textId="77777777" w:rsidTr="00A112F4">
        <w:trPr>
          <w:trHeight w:val="675"/>
        </w:trPr>
        <w:tc>
          <w:tcPr>
            <w:tcW w:w="725" w:type="dxa"/>
            <w:vMerge w:val="restart"/>
            <w:tcBorders>
              <w:top w:val="single" w:sz="4" w:space="0" w:color="auto"/>
              <w:left w:val="single" w:sz="4" w:space="0" w:color="auto"/>
              <w:bottom w:val="single" w:sz="4" w:space="0" w:color="auto"/>
              <w:right w:val="single" w:sz="4" w:space="0" w:color="auto"/>
            </w:tcBorders>
          </w:tcPr>
          <w:p w14:paraId="712C1120" w14:textId="77777777" w:rsidR="00C24B0F" w:rsidRPr="00C24B0F" w:rsidRDefault="00C24B0F" w:rsidP="00C24B0F">
            <w:pPr>
              <w:numPr>
                <w:ilvl w:val="0"/>
                <w:numId w:val="23"/>
              </w:numPr>
              <w:tabs>
                <w:tab w:val="left" w:pos="346"/>
              </w:tabs>
              <w:spacing w:after="120" w:line="240" w:lineRule="auto"/>
              <w:rPr>
                <w:rFonts w:ascii="Calibri" w:eastAsia="Times New Roman" w:hAnsi="Calibri" w:cs="Times New Roman"/>
                <w:sz w:val="24"/>
                <w:szCs w:val="24"/>
                <w:lang w:val="en-US" w:eastAsia="en-US"/>
              </w:rPr>
            </w:pPr>
          </w:p>
        </w:tc>
        <w:tc>
          <w:tcPr>
            <w:tcW w:w="3436" w:type="dxa"/>
            <w:vMerge w:val="restart"/>
            <w:tcBorders>
              <w:top w:val="single" w:sz="4" w:space="0" w:color="auto"/>
              <w:left w:val="single" w:sz="4" w:space="0" w:color="auto"/>
              <w:bottom w:val="single" w:sz="4" w:space="0" w:color="auto"/>
              <w:right w:val="single" w:sz="4" w:space="0" w:color="auto"/>
            </w:tcBorders>
          </w:tcPr>
          <w:p w14:paraId="4299DC48"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eastAsia="en-US"/>
              </w:rPr>
              <w:t>Lack</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of</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effective</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mechanism</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for</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the</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joint</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work</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of</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national</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Administrations</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and</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Regional</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Internet</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Registries</w:t>
            </w:r>
            <w:r w:rsidRPr="00C24B0F">
              <w:rPr>
                <w:rFonts w:ascii="Calibri" w:eastAsia="Times New Roman" w:hAnsi="Calibri" w:cs="Times New Roman"/>
                <w:b/>
                <w:sz w:val="24"/>
                <w:szCs w:val="24"/>
                <w:lang w:val="en-US" w:eastAsia="en-US"/>
              </w:rPr>
              <w:t xml:space="preserve"> (RIR)</w:t>
            </w:r>
          </w:p>
          <w:p w14:paraId="23A4801D"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4623" w:type="dxa"/>
            <w:vMerge w:val="restart"/>
            <w:tcBorders>
              <w:top w:val="single" w:sz="4" w:space="0" w:color="auto"/>
              <w:left w:val="single" w:sz="4" w:space="0" w:color="auto"/>
              <w:bottom w:val="single" w:sz="4" w:space="0" w:color="auto"/>
              <w:right w:val="single" w:sz="4" w:space="0" w:color="auto"/>
            </w:tcBorders>
            <w:hideMark/>
          </w:tcPr>
          <w:p w14:paraId="78D396B9"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Lack of active legal mechanisms to resolve resource allocation disputes</w:t>
            </w:r>
          </w:p>
        </w:tc>
        <w:tc>
          <w:tcPr>
            <w:tcW w:w="6058" w:type="dxa"/>
            <w:tcBorders>
              <w:top w:val="single" w:sz="4" w:space="0" w:color="auto"/>
              <w:left w:val="single" w:sz="4" w:space="0" w:color="auto"/>
              <w:bottom w:val="single" w:sz="4" w:space="0" w:color="auto"/>
              <w:right w:val="single" w:sz="4" w:space="0" w:color="auto"/>
            </w:tcBorders>
            <w:hideMark/>
          </w:tcPr>
          <w:p w14:paraId="684A2E44"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eastAsia="en-US"/>
              </w:rPr>
              <w:t>Unequal</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allocation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of</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numbering</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resources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among</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States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in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the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same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region</w:t>
            </w:r>
            <w:r w:rsidRPr="00C24B0F">
              <w:rPr>
                <w:rFonts w:ascii="Calibri" w:eastAsia="Times New Roman" w:hAnsi="Calibri" w:cs="Times New Roman"/>
                <w:sz w:val="24"/>
                <w:szCs w:val="24"/>
                <w:lang w:val="en-US" w:eastAsia="en-US"/>
              </w:rPr>
              <w:t xml:space="preserve"> (pools of IP-addresses).</w:t>
            </w:r>
          </w:p>
        </w:tc>
      </w:tr>
      <w:tr w:rsidR="00C24B0F" w:rsidRPr="00C24B0F" w14:paraId="263CBAFC" w14:textId="77777777" w:rsidTr="00A112F4">
        <w:trPr>
          <w:trHeight w:val="6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DFC86"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D89CE"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7C8311"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44BD1E35"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eastAsia="en-US"/>
              </w:rPr>
              <w:t>Revocation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of</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the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Local</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Internet</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Registry</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status</w:t>
            </w:r>
            <w:r w:rsidRPr="00C24B0F">
              <w:rPr>
                <w:rFonts w:ascii="Calibri" w:eastAsia="Times New Roman" w:hAnsi="Calibri" w:cs="Times New Roman"/>
                <w:sz w:val="24"/>
                <w:szCs w:val="24"/>
                <w:lang w:val="en-US" w:eastAsia="en-US"/>
              </w:rPr>
              <w:t xml:space="preserve"> (the </w:t>
            </w:r>
            <w:r w:rsidRPr="00C24B0F">
              <w:rPr>
                <w:rFonts w:ascii="Calibri" w:eastAsia="Times New Roman" w:hAnsi="Calibri" w:cs="Times New Roman"/>
                <w:sz w:val="24"/>
                <w:szCs w:val="24"/>
                <w:lang w:eastAsia="en-US"/>
              </w:rPr>
              <w:t>right</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of</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certain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service provider</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to</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 xml:space="preserve">allocate </w:t>
            </w:r>
            <w:r w:rsidRPr="00C24B0F">
              <w:rPr>
                <w:rFonts w:ascii="Calibri" w:eastAsia="Times New Roman" w:hAnsi="Calibri" w:cs="Times New Roman"/>
                <w:sz w:val="24"/>
                <w:szCs w:val="24"/>
                <w:lang w:val="en-US" w:eastAsia="en-US"/>
              </w:rPr>
              <w:t xml:space="preserve">IP </w:t>
            </w:r>
            <w:r w:rsidRPr="00C24B0F">
              <w:rPr>
                <w:rFonts w:ascii="Calibri" w:eastAsia="Times New Roman" w:hAnsi="Calibri" w:cs="Times New Roman"/>
                <w:sz w:val="24"/>
                <w:szCs w:val="24"/>
                <w:lang w:eastAsia="en-US"/>
              </w:rPr>
              <w:t>addresses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and</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provide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registration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services</w:t>
            </w:r>
            <w:r w:rsidRPr="00C24B0F">
              <w:rPr>
                <w:rFonts w:ascii="Calibri" w:eastAsia="Times New Roman" w:hAnsi="Calibri" w:cs="Times New Roman"/>
                <w:sz w:val="24"/>
                <w:szCs w:val="24"/>
                <w:lang w:val="en-US" w:eastAsia="en-US"/>
              </w:rPr>
              <w:t>).</w:t>
            </w:r>
          </w:p>
        </w:tc>
      </w:tr>
      <w:tr w:rsidR="00C24B0F" w:rsidRPr="00C24B0F" w14:paraId="0E3FE46A" w14:textId="77777777" w:rsidTr="00A112F4">
        <w:trPr>
          <w:trHeight w:val="1966"/>
        </w:trPr>
        <w:tc>
          <w:tcPr>
            <w:tcW w:w="725" w:type="dxa"/>
            <w:tcBorders>
              <w:top w:val="single" w:sz="4" w:space="0" w:color="auto"/>
              <w:left w:val="single" w:sz="4" w:space="0" w:color="auto"/>
              <w:bottom w:val="single" w:sz="4" w:space="0" w:color="auto"/>
              <w:right w:val="single" w:sz="4" w:space="0" w:color="auto"/>
            </w:tcBorders>
          </w:tcPr>
          <w:p w14:paraId="02DE2653" w14:textId="77777777" w:rsidR="00C24B0F" w:rsidRPr="00C24B0F" w:rsidRDefault="00C24B0F" w:rsidP="00C24B0F">
            <w:pPr>
              <w:numPr>
                <w:ilvl w:val="0"/>
                <w:numId w:val="23"/>
              </w:numPr>
              <w:tabs>
                <w:tab w:val="left" w:pos="346"/>
              </w:tabs>
              <w:spacing w:after="120" w:line="240" w:lineRule="auto"/>
              <w:rPr>
                <w:rFonts w:ascii="Calibri" w:eastAsia="Times New Roman" w:hAnsi="Calibri" w:cs="Times New Roman"/>
                <w:sz w:val="24"/>
                <w:szCs w:val="24"/>
                <w:lang w:val="en-US" w:eastAsia="en-US"/>
              </w:rPr>
            </w:pPr>
          </w:p>
        </w:tc>
        <w:tc>
          <w:tcPr>
            <w:tcW w:w="3436" w:type="dxa"/>
            <w:tcBorders>
              <w:top w:val="single" w:sz="4" w:space="0" w:color="auto"/>
              <w:left w:val="single" w:sz="4" w:space="0" w:color="auto"/>
              <w:bottom w:val="single" w:sz="4" w:space="0" w:color="auto"/>
              <w:right w:val="single" w:sz="4" w:space="0" w:color="auto"/>
            </w:tcBorders>
          </w:tcPr>
          <w:p w14:paraId="1F70EA4A"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Prevailing of business community’s interests over the public interests</w:t>
            </w:r>
          </w:p>
          <w:p w14:paraId="49D8CBD6"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4623" w:type="dxa"/>
            <w:tcBorders>
              <w:top w:val="single" w:sz="4" w:space="0" w:color="auto"/>
              <w:left w:val="single" w:sz="4" w:space="0" w:color="auto"/>
              <w:bottom w:val="single" w:sz="4" w:space="0" w:color="auto"/>
              <w:right w:val="single" w:sz="4" w:space="0" w:color="auto"/>
            </w:tcBorders>
            <w:hideMark/>
          </w:tcPr>
          <w:p w14:paraId="1D10AF01"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eastAsia="en-US"/>
              </w:rPr>
              <w:t>Prevailing of business community’s interests over the public interests, for example, when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considering</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disputes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concerning</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geographical</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domain</w:t>
            </w:r>
            <w:r w:rsidRPr="00C24B0F">
              <w:rPr>
                <w:rFonts w:ascii="Calibri" w:eastAsia="Times New Roman" w:hAnsi="Calibri" w:cs="Times New Roman"/>
                <w:sz w:val="24"/>
                <w:szCs w:val="24"/>
                <w:lang w:val="en-US" w:eastAsia="en-US"/>
              </w:rPr>
              <w:t xml:space="preserve"> zones/</w:t>
            </w:r>
            <w:r w:rsidRPr="00C24B0F">
              <w:rPr>
                <w:rFonts w:ascii="Calibri" w:eastAsia="Times New Roman" w:hAnsi="Calibri" w:cs="Times New Roman"/>
                <w:sz w:val="24"/>
                <w:szCs w:val="24"/>
                <w:lang w:eastAsia="en-US"/>
              </w:rPr>
              <w:t>domain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names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the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impact</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of</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interested</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States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and</w:t>
            </w:r>
            <w:r w:rsidRPr="00C24B0F">
              <w:rPr>
                <w:rFonts w:ascii="Calibri" w:eastAsia="Times New Roman" w:hAnsi="Calibri" w:cs="Times New Roman"/>
                <w:sz w:val="24"/>
                <w:szCs w:val="24"/>
                <w:lang w:val="en-US" w:eastAsia="en-US"/>
              </w:rPr>
              <w:t xml:space="preserve"> States in general is limited (precedents related to </w:t>
            </w:r>
            <w:proofErr w:type="gramStart"/>
            <w:r w:rsidRPr="00C24B0F">
              <w:rPr>
                <w:rFonts w:ascii="Calibri" w:eastAsia="Times New Roman" w:hAnsi="Calibri" w:cs="Times New Roman"/>
                <w:sz w:val="24"/>
                <w:szCs w:val="24"/>
                <w:lang w:val="en-US" w:eastAsia="en-US"/>
              </w:rPr>
              <w:t>“.amazon</w:t>
            </w:r>
            <w:proofErr w:type="gramEnd"/>
            <w:r w:rsidRPr="00C24B0F">
              <w:rPr>
                <w:rFonts w:ascii="Calibri" w:eastAsia="Times New Roman" w:hAnsi="Calibri" w:cs="Times New Roman"/>
                <w:sz w:val="24"/>
                <w:szCs w:val="24"/>
                <w:lang w:val="en-US" w:eastAsia="en-US"/>
              </w:rPr>
              <w:t>”, country code on second level domains).</w:t>
            </w:r>
          </w:p>
        </w:tc>
        <w:tc>
          <w:tcPr>
            <w:tcW w:w="6058" w:type="dxa"/>
            <w:tcBorders>
              <w:top w:val="single" w:sz="4" w:space="0" w:color="auto"/>
              <w:left w:val="single" w:sz="4" w:space="0" w:color="auto"/>
              <w:bottom w:val="single" w:sz="4" w:space="0" w:color="auto"/>
              <w:right w:val="single" w:sz="4" w:space="0" w:color="auto"/>
            </w:tcBorders>
            <w:hideMark/>
          </w:tcPr>
          <w:p w14:paraId="2416802C"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Transfer of domain names to corporate entities to the detriment of the interests of the state/public (the preservation of national and cultural heritage, identity of the territory and language)</w:t>
            </w:r>
          </w:p>
        </w:tc>
      </w:tr>
      <w:tr w:rsidR="00C24B0F" w:rsidRPr="00C24B0F" w14:paraId="6EB2344F" w14:textId="77777777" w:rsidTr="00A112F4">
        <w:trPr>
          <w:trHeight w:val="307"/>
        </w:trPr>
        <w:tc>
          <w:tcPr>
            <w:tcW w:w="725" w:type="dxa"/>
            <w:tcBorders>
              <w:top w:val="single" w:sz="4" w:space="0" w:color="auto"/>
              <w:left w:val="single" w:sz="4" w:space="0" w:color="auto"/>
              <w:bottom w:val="single" w:sz="4" w:space="0" w:color="auto"/>
              <w:right w:val="single" w:sz="4" w:space="0" w:color="auto"/>
            </w:tcBorders>
          </w:tcPr>
          <w:p w14:paraId="442A7479" w14:textId="77777777" w:rsidR="00C24B0F" w:rsidRPr="00C24B0F" w:rsidRDefault="00C24B0F" w:rsidP="00C24B0F">
            <w:pPr>
              <w:numPr>
                <w:ilvl w:val="0"/>
                <w:numId w:val="23"/>
              </w:numPr>
              <w:tabs>
                <w:tab w:val="left" w:pos="346"/>
              </w:tabs>
              <w:spacing w:after="120" w:line="240" w:lineRule="auto"/>
              <w:rPr>
                <w:rFonts w:ascii="Calibri" w:eastAsia="Times New Roman" w:hAnsi="Calibri" w:cs="Times New Roman"/>
                <w:sz w:val="24"/>
                <w:szCs w:val="24"/>
                <w:lang w:val="en-US" w:eastAsia="en-US"/>
              </w:rPr>
            </w:pPr>
          </w:p>
        </w:tc>
        <w:tc>
          <w:tcPr>
            <w:tcW w:w="3436" w:type="dxa"/>
            <w:tcBorders>
              <w:top w:val="single" w:sz="4" w:space="0" w:color="auto"/>
              <w:left w:val="single" w:sz="4" w:space="0" w:color="auto"/>
              <w:bottom w:val="single" w:sz="4" w:space="0" w:color="auto"/>
              <w:right w:val="single" w:sz="4" w:space="0" w:color="auto"/>
            </w:tcBorders>
          </w:tcPr>
          <w:p w14:paraId="2BC3281D"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Lack of equal distribution of critical infrastructure worldwide</w:t>
            </w:r>
          </w:p>
          <w:p w14:paraId="78E6B86C"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4623" w:type="dxa"/>
            <w:tcBorders>
              <w:top w:val="single" w:sz="4" w:space="0" w:color="auto"/>
              <w:left w:val="single" w:sz="4" w:space="0" w:color="auto"/>
              <w:bottom w:val="single" w:sz="4" w:space="0" w:color="auto"/>
              <w:right w:val="single" w:sz="4" w:space="0" w:color="auto"/>
            </w:tcBorders>
          </w:tcPr>
          <w:p w14:paraId="463E09E9" w14:textId="77777777" w:rsidR="00C24B0F" w:rsidRPr="00C24B0F" w:rsidRDefault="00C24B0F" w:rsidP="00C24B0F">
            <w:pPr>
              <w:spacing w:after="120" w:line="240" w:lineRule="auto"/>
              <w:jc w:val="both"/>
              <w:rPr>
                <w:rFonts w:ascii="Calibri" w:eastAsia="Times New Roman" w:hAnsi="Calibri" w:cs="Times New Roman"/>
                <w:sz w:val="24"/>
                <w:szCs w:val="24"/>
                <w:lang w:val="ru-RU" w:eastAsia="en-US"/>
              </w:rPr>
            </w:pPr>
            <w:r w:rsidRPr="00C24B0F">
              <w:rPr>
                <w:rFonts w:ascii="Calibri" w:eastAsia="Times New Roman" w:hAnsi="Calibri" w:cs="Times New Roman"/>
                <w:sz w:val="24"/>
                <w:szCs w:val="24"/>
                <w:lang w:eastAsia="en-US"/>
              </w:rPr>
              <w:lastRenderedPageBreak/>
              <w:t>Geopolitical and technical risks</w:t>
            </w:r>
          </w:p>
          <w:p w14:paraId="550F0117" w14:textId="77777777" w:rsidR="00C24B0F" w:rsidRPr="00C24B0F" w:rsidRDefault="00C24B0F" w:rsidP="00C24B0F">
            <w:pPr>
              <w:spacing w:after="120" w:line="240" w:lineRule="auto"/>
              <w:jc w:val="both"/>
              <w:rPr>
                <w:rFonts w:ascii="Calibri" w:eastAsia="Calibri" w:hAnsi="Calibri" w:cs="Times New Roman"/>
                <w:sz w:val="24"/>
                <w:szCs w:val="24"/>
                <w:lang w:eastAsia="en-US"/>
              </w:rPr>
            </w:pPr>
          </w:p>
        </w:tc>
        <w:tc>
          <w:tcPr>
            <w:tcW w:w="6058" w:type="dxa"/>
            <w:tcBorders>
              <w:top w:val="single" w:sz="4" w:space="0" w:color="auto"/>
              <w:left w:val="single" w:sz="4" w:space="0" w:color="auto"/>
              <w:bottom w:val="single" w:sz="4" w:space="0" w:color="auto"/>
              <w:right w:val="single" w:sz="4" w:space="0" w:color="auto"/>
            </w:tcBorders>
            <w:hideMark/>
          </w:tcPr>
          <w:p w14:paraId="3BA9BA34"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eastAsia="en-US"/>
              </w:rPr>
              <w:t>In case of technical</w:t>
            </w:r>
            <w:r w:rsidRPr="00C24B0F">
              <w:rPr>
                <w:rFonts w:ascii="Calibri" w:eastAsia="Times New Roman" w:hAnsi="Calibri" w:cs="Times New Roman"/>
                <w:sz w:val="24"/>
                <w:szCs w:val="24"/>
                <w:lang w:val="en-US" w:eastAsia="en-US"/>
              </w:rPr>
              <w:t>/</w:t>
            </w:r>
            <w:r w:rsidRPr="00C24B0F">
              <w:rPr>
                <w:rFonts w:ascii="Calibri" w:eastAsia="Times New Roman" w:hAnsi="Calibri" w:cs="Times New Roman"/>
                <w:sz w:val="24"/>
                <w:szCs w:val="24"/>
                <w:lang w:eastAsia="en-US"/>
              </w:rPr>
              <w:t>network failures within one country there is a probability to lose a linkage with the key elements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val="en-US" w:eastAsia="en-US"/>
              </w:rPr>
              <w:lastRenderedPageBreak/>
              <w:t>Global natural disasters (earthquakes, floods, and fires) may also affect.</w:t>
            </w:r>
          </w:p>
          <w:p w14:paraId="7959377A"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eastAsia="en-US"/>
              </w:rPr>
              <w:t>Sanctions policy implemented by countries of location of the critical infrastructure.</w:t>
            </w:r>
          </w:p>
        </w:tc>
      </w:tr>
      <w:tr w:rsidR="00C24B0F" w:rsidRPr="00C24B0F" w14:paraId="5220D2E4" w14:textId="77777777" w:rsidTr="00A112F4">
        <w:trPr>
          <w:trHeight w:val="359"/>
        </w:trPr>
        <w:tc>
          <w:tcPr>
            <w:tcW w:w="725" w:type="dxa"/>
            <w:tcBorders>
              <w:top w:val="single" w:sz="4" w:space="0" w:color="auto"/>
              <w:left w:val="single" w:sz="4" w:space="0" w:color="auto"/>
              <w:bottom w:val="single" w:sz="4" w:space="0" w:color="auto"/>
              <w:right w:val="single" w:sz="4" w:space="0" w:color="auto"/>
            </w:tcBorders>
          </w:tcPr>
          <w:p w14:paraId="458DB79B" w14:textId="77777777" w:rsidR="00C24B0F" w:rsidRPr="00C24B0F" w:rsidRDefault="00C24B0F" w:rsidP="00C24B0F">
            <w:pPr>
              <w:numPr>
                <w:ilvl w:val="0"/>
                <w:numId w:val="23"/>
              </w:numPr>
              <w:tabs>
                <w:tab w:val="left" w:pos="346"/>
              </w:tabs>
              <w:spacing w:after="120" w:line="240" w:lineRule="auto"/>
              <w:rPr>
                <w:rFonts w:ascii="Calibri" w:eastAsia="Times New Roman" w:hAnsi="Calibri" w:cs="Times New Roman"/>
                <w:sz w:val="24"/>
                <w:szCs w:val="24"/>
                <w:lang w:val="en-US" w:eastAsia="en-US"/>
              </w:rPr>
            </w:pPr>
          </w:p>
        </w:tc>
        <w:tc>
          <w:tcPr>
            <w:tcW w:w="3436" w:type="dxa"/>
            <w:tcBorders>
              <w:top w:val="single" w:sz="4" w:space="0" w:color="auto"/>
              <w:left w:val="single" w:sz="4" w:space="0" w:color="auto"/>
              <w:bottom w:val="single" w:sz="4" w:space="0" w:color="auto"/>
              <w:right w:val="single" w:sz="4" w:space="0" w:color="auto"/>
            </w:tcBorders>
          </w:tcPr>
          <w:p w14:paraId="68C9875A"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eastAsia="en-US"/>
              </w:rPr>
              <w:t>Revocation</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of</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Digital</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security</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certificates</w:t>
            </w:r>
            <w:r w:rsidRPr="00C24B0F">
              <w:rPr>
                <w:rFonts w:ascii="Calibri" w:eastAsia="Times New Roman" w:hAnsi="Calibri" w:cs="Times New Roman"/>
                <w:b/>
                <w:sz w:val="24"/>
                <w:szCs w:val="24"/>
                <w:lang w:val="en-US" w:eastAsia="en-US"/>
              </w:rPr>
              <w:t xml:space="preserve"> that authenticate </w:t>
            </w:r>
            <w:r w:rsidRPr="00C24B0F">
              <w:rPr>
                <w:rFonts w:ascii="Calibri" w:eastAsia="Times New Roman" w:hAnsi="Calibri" w:cs="Times New Roman"/>
                <w:b/>
                <w:sz w:val="24"/>
                <w:szCs w:val="24"/>
                <w:lang w:eastAsia="en-US"/>
              </w:rPr>
              <w:t>the</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web</w:t>
            </w:r>
            <w:r w:rsidRPr="00C24B0F">
              <w:rPr>
                <w:rFonts w:ascii="Calibri" w:eastAsia="Times New Roman" w:hAnsi="Calibri" w:cs="Times New Roman"/>
                <w:b/>
                <w:sz w:val="24"/>
                <w:szCs w:val="24"/>
                <w:lang w:val="en-US" w:eastAsia="en-US"/>
              </w:rPr>
              <w:t xml:space="preserve"> </w:t>
            </w:r>
            <w:r w:rsidRPr="00C24B0F">
              <w:rPr>
                <w:rFonts w:ascii="Calibri" w:eastAsia="Times New Roman" w:hAnsi="Calibri" w:cs="Times New Roman"/>
                <w:b/>
                <w:sz w:val="24"/>
                <w:szCs w:val="24"/>
                <w:lang w:eastAsia="en-US"/>
              </w:rPr>
              <w:t xml:space="preserve">site you are </w:t>
            </w:r>
            <w:r w:rsidRPr="00C24B0F">
              <w:rPr>
                <w:rFonts w:ascii="Calibri" w:eastAsia="Times New Roman" w:hAnsi="Calibri" w:cs="Times New Roman"/>
                <w:b/>
                <w:sz w:val="24"/>
                <w:szCs w:val="24"/>
                <w:lang w:val="en-US" w:eastAsia="en-US"/>
              </w:rPr>
              <w:t>navigating</w:t>
            </w:r>
          </w:p>
          <w:p w14:paraId="165A83EE"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4623" w:type="dxa"/>
            <w:tcBorders>
              <w:top w:val="single" w:sz="4" w:space="0" w:color="auto"/>
              <w:left w:val="single" w:sz="4" w:space="0" w:color="auto"/>
              <w:bottom w:val="single" w:sz="4" w:space="0" w:color="auto"/>
              <w:right w:val="single" w:sz="4" w:space="0" w:color="auto"/>
            </w:tcBorders>
          </w:tcPr>
          <w:p w14:paraId="2983FB15"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Restrictions of a national administration for SSL-</w:t>
            </w:r>
            <w:r w:rsidRPr="00C24B0F">
              <w:rPr>
                <w:rFonts w:ascii="Calibri" w:eastAsia="Times New Roman" w:hAnsi="Calibri" w:cs="Times New Roman"/>
                <w:sz w:val="24"/>
                <w:szCs w:val="24"/>
                <w:lang w:eastAsia="en-US"/>
              </w:rPr>
              <w:t>Certificates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Provider(s)</w:t>
            </w:r>
            <w:r w:rsidRPr="00C24B0F">
              <w:rPr>
                <w:rFonts w:ascii="Calibri" w:eastAsia="Times New Roman" w:hAnsi="Calibri" w:cs="Times New Roman"/>
                <w:sz w:val="24"/>
                <w:szCs w:val="24"/>
                <w:lang w:val="en-US" w:eastAsia="en-US"/>
              </w:rPr>
              <w:t xml:space="preserve"> create a risk of revocation of certificates for the other national zones in which they are used. However, local certificates </w:t>
            </w:r>
            <w:r w:rsidRPr="00C24B0F">
              <w:rPr>
                <w:rFonts w:ascii="Calibri" w:eastAsia="Times New Roman" w:hAnsi="Calibri" w:cs="Times New Roman"/>
                <w:sz w:val="24"/>
                <w:szCs w:val="24"/>
                <w:lang w:eastAsia="en-US"/>
              </w:rPr>
              <w:t>are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not</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recognized</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by</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global</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software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and</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service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providers</w:t>
            </w:r>
            <w:r w:rsidRPr="00C24B0F">
              <w:rPr>
                <w:rFonts w:ascii="Calibri" w:eastAsia="Times New Roman" w:hAnsi="Calibri" w:cs="Times New Roman"/>
                <w:sz w:val="24"/>
                <w:szCs w:val="24"/>
                <w:lang w:val="en-US" w:eastAsia="en-US"/>
              </w:rPr>
              <w:t>.</w:t>
            </w:r>
          </w:p>
          <w:p w14:paraId="47442241"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tcPr>
          <w:p w14:paraId="1BE2F859"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eastAsia="en-US"/>
              </w:rPr>
              <w:t>Root</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certification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centres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have no</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mechanisms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for</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monitoring</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and</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accountability,</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and</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in</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their</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activities</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are</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governed</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by</w:t>
            </w:r>
            <w:r w:rsidRPr="00C24B0F">
              <w:rPr>
                <w:rFonts w:ascii="Calibri" w:eastAsia="Times New Roman" w:hAnsi="Calibri" w:cs="Times New Roman"/>
                <w:sz w:val="24"/>
                <w:szCs w:val="24"/>
                <w:lang w:val="en-US" w:eastAsia="en-US"/>
              </w:rPr>
              <w:t xml:space="preserve"> </w:t>
            </w:r>
            <w:r w:rsidRPr="00C24B0F">
              <w:rPr>
                <w:rFonts w:ascii="Calibri" w:eastAsia="Times New Roman" w:hAnsi="Calibri" w:cs="Times New Roman"/>
                <w:sz w:val="24"/>
                <w:szCs w:val="24"/>
                <w:lang w:eastAsia="en-US"/>
              </w:rPr>
              <w:t>domestic standards;</w:t>
            </w:r>
            <w:r w:rsidRPr="00C24B0F">
              <w:rPr>
                <w:rFonts w:ascii="Calibri" w:eastAsia="Times New Roman" w:hAnsi="Calibri" w:cs="Times New Roman"/>
                <w:sz w:val="24"/>
                <w:szCs w:val="24"/>
                <w:lang w:val="en-US" w:eastAsia="en-US"/>
              </w:rPr>
              <w:t xml:space="preserve"> revocation of Root Digital Certificates is possible that would fail the authorization system in the national segment and, </w:t>
            </w:r>
            <w:proofErr w:type="gramStart"/>
            <w:r w:rsidRPr="00C24B0F">
              <w:rPr>
                <w:rFonts w:ascii="Calibri" w:eastAsia="Times New Roman" w:hAnsi="Calibri" w:cs="Times New Roman"/>
                <w:sz w:val="24"/>
                <w:szCs w:val="24"/>
                <w:lang w:val="en-US" w:eastAsia="en-US"/>
              </w:rPr>
              <w:t>as a consequence</w:t>
            </w:r>
            <w:proofErr w:type="gramEnd"/>
            <w:r w:rsidRPr="00C24B0F">
              <w:rPr>
                <w:rFonts w:ascii="Calibri" w:eastAsia="Times New Roman" w:hAnsi="Calibri" w:cs="Times New Roman"/>
                <w:sz w:val="24"/>
                <w:szCs w:val="24"/>
                <w:lang w:val="en-US" w:eastAsia="en-US"/>
              </w:rPr>
              <w:t>, the operation of Internet services, and access to web sites.</w:t>
            </w:r>
          </w:p>
          <w:p w14:paraId="6D5E34E9"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p>
        </w:tc>
      </w:tr>
      <w:tr w:rsidR="00C24B0F" w:rsidRPr="00C24B0F" w14:paraId="5E116038" w14:textId="77777777" w:rsidTr="00A112F4">
        <w:trPr>
          <w:trHeight w:val="375"/>
        </w:trPr>
        <w:tc>
          <w:tcPr>
            <w:tcW w:w="14842" w:type="dxa"/>
            <w:gridSpan w:val="4"/>
            <w:tcBorders>
              <w:top w:val="single" w:sz="4" w:space="0" w:color="auto"/>
              <w:left w:val="single" w:sz="4" w:space="0" w:color="auto"/>
              <w:bottom w:val="single" w:sz="4" w:space="0" w:color="auto"/>
              <w:right w:val="single" w:sz="4" w:space="0" w:color="auto"/>
            </w:tcBorders>
            <w:hideMark/>
          </w:tcPr>
          <w:p w14:paraId="50476598" w14:textId="77777777" w:rsidR="00C24B0F" w:rsidRPr="00C24B0F" w:rsidRDefault="00C24B0F" w:rsidP="00C24B0F">
            <w:pPr>
              <w:spacing w:after="120" w:line="240" w:lineRule="auto"/>
              <w:jc w:val="center"/>
              <w:rPr>
                <w:rFonts w:ascii="Calibri" w:eastAsia="Calibri" w:hAnsi="Calibri" w:cs="Times New Roman"/>
                <w:sz w:val="24"/>
                <w:szCs w:val="24"/>
                <w:lang w:eastAsia="en-US"/>
              </w:rPr>
            </w:pPr>
            <w:r w:rsidRPr="00C24B0F">
              <w:rPr>
                <w:rFonts w:ascii="Calibri" w:eastAsia="Times New Roman" w:hAnsi="Calibri" w:cs="Times New Roman"/>
                <w:b/>
                <w:sz w:val="24"/>
                <w:szCs w:val="24"/>
                <w:lang w:val="en-US" w:eastAsia="en-US"/>
              </w:rPr>
              <w:t>For national Internet segment</w:t>
            </w:r>
          </w:p>
        </w:tc>
      </w:tr>
      <w:tr w:rsidR="00C24B0F" w:rsidRPr="00C24B0F" w14:paraId="42C413F9" w14:textId="77777777" w:rsidTr="00A112F4">
        <w:trPr>
          <w:trHeight w:val="540"/>
        </w:trPr>
        <w:tc>
          <w:tcPr>
            <w:tcW w:w="725" w:type="dxa"/>
            <w:vMerge w:val="restart"/>
            <w:tcBorders>
              <w:top w:val="single" w:sz="4" w:space="0" w:color="auto"/>
              <w:left w:val="single" w:sz="4" w:space="0" w:color="auto"/>
              <w:bottom w:val="single" w:sz="4" w:space="0" w:color="auto"/>
              <w:right w:val="single" w:sz="4" w:space="0" w:color="auto"/>
            </w:tcBorders>
          </w:tcPr>
          <w:p w14:paraId="5BA522AD" w14:textId="77777777" w:rsidR="00C24B0F" w:rsidRPr="00C24B0F" w:rsidRDefault="00C24B0F" w:rsidP="00C24B0F">
            <w:pPr>
              <w:numPr>
                <w:ilvl w:val="0"/>
                <w:numId w:val="22"/>
              </w:numPr>
              <w:tabs>
                <w:tab w:val="left" w:pos="346"/>
              </w:tabs>
              <w:spacing w:after="120" w:line="240" w:lineRule="auto"/>
              <w:rPr>
                <w:rFonts w:ascii="Calibri" w:eastAsia="Times New Roman" w:hAnsi="Calibri" w:cs="Times New Roman"/>
                <w:sz w:val="24"/>
                <w:szCs w:val="24"/>
                <w:lang w:eastAsia="en-US"/>
              </w:rPr>
            </w:pPr>
          </w:p>
        </w:tc>
        <w:tc>
          <w:tcPr>
            <w:tcW w:w="3436" w:type="dxa"/>
            <w:vMerge w:val="restart"/>
            <w:tcBorders>
              <w:top w:val="single" w:sz="4" w:space="0" w:color="auto"/>
              <w:left w:val="single" w:sz="4" w:space="0" w:color="auto"/>
              <w:bottom w:val="single" w:sz="4" w:space="0" w:color="auto"/>
              <w:right w:val="single" w:sz="4" w:space="0" w:color="auto"/>
            </w:tcBorders>
          </w:tcPr>
          <w:p w14:paraId="69303AFC"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Using DNS encryption protocols (</w:t>
            </w:r>
            <w:proofErr w:type="spellStart"/>
            <w:r w:rsidRPr="00C24B0F">
              <w:rPr>
                <w:rFonts w:ascii="Calibri" w:eastAsia="Times New Roman" w:hAnsi="Calibri" w:cs="Times New Roman"/>
                <w:b/>
                <w:sz w:val="24"/>
                <w:szCs w:val="24"/>
                <w:lang w:val="en-US" w:eastAsia="en-US"/>
              </w:rPr>
              <w:t>DoH</w:t>
            </w:r>
            <w:proofErr w:type="spellEnd"/>
            <w:r w:rsidRPr="00C24B0F">
              <w:rPr>
                <w:rFonts w:ascii="Calibri" w:eastAsia="Times New Roman" w:hAnsi="Calibri" w:cs="Times New Roman"/>
                <w:b/>
                <w:sz w:val="24"/>
                <w:szCs w:val="24"/>
                <w:lang w:val="en-US" w:eastAsia="en-US"/>
              </w:rPr>
              <w:t>, DoT) enabling concealment of name (identifier) of an Internet resource</w:t>
            </w:r>
          </w:p>
          <w:p w14:paraId="7A53C436"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4623" w:type="dxa"/>
            <w:vMerge w:val="restart"/>
            <w:tcBorders>
              <w:top w:val="single" w:sz="4" w:space="0" w:color="auto"/>
              <w:left w:val="single" w:sz="4" w:space="0" w:color="auto"/>
              <w:bottom w:val="single" w:sz="4" w:space="0" w:color="auto"/>
              <w:right w:val="single" w:sz="4" w:space="0" w:color="auto"/>
            </w:tcBorders>
          </w:tcPr>
          <w:p w14:paraId="7A9B56AE"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Technical difficulties in provisioning public interests related to protection of the national Internet segment from illegal activities</w:t>
            </w:r>
          </w:p>
          <w:p w14:paraId="34595636"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624D18FA"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Reducing the efficiency of using the current systems for filtering illegal content</w:t>
            </w:r>
          </w:p>
        </w:tc>
      </w:tr>
      <w:tr w:rsidR="00C24B0F" w:rsidRPr="00C24B0F" w14:paraId="23638C56" w14:textId="77777777" w:rsidTr="00A112F4">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F1989" w14:textId="77777777" w:rsidR="00C24B0F" w:rsidRPr="00C24B0F" w:rsidRDefault="00C24B0F" w:rsidP="00C24B0F">
            <w:pPr>
              <w:spacing w:after="120" w:line="240" w:lineRule="auto"/>
              <w:rPr>
                <w:rFonts w:ascii="Calibri" w:eastAsia="Calibri" w:hAnsi="Calibri"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C3940E"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3BD85"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2C5A6864"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Difficulty to block websites with illegal content by communication service providers</w:t>
            </w:r>
          </w:p>
        </w:tc>
      </w:tr>
      <w:tr w:rsidR="00C24B0F" w:rsidRPr="00C24B0F" w14:paraId="65EA82D2" w14:textId="77777777" w:rsidTr="00A112F4">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0B8813" w14:textId="77777777" w:rsidR="00C24B0F" w:rsidRPr="00C24B0F" w:rsidRDefault="00C24B0F" w:rsidP="00C24B0F">
            <w:pPr>
              <w:spacing w:after="120" w:line="240" w:lineRule="auto"/>
              <w:rPr>
                <w:rFonts w:ascii="Calibri" w:eastAsia="Calibri" w:hAnsi="Calibri"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7009A7"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2F5A2F"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52A38322"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 xml:space="preserve">Impossibility to configure parental control in browsers </w:t>
            </w:r>
          </w:p>
        </w:tc>
      </w:tr>
      <w:tr w:rsidR="00C24B0F" w:rsidRPr="00C24B0F" w14:paraId="1A96BC53" w14:textId="77777777" w:rsidTr="00A112F4">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99976" w14:textId="77777777" w:rsidR="00C24B0F" w:rsidRPr="00C24B0F" w:rsidRDefault="00C24B0F" w:rsidP="00C24B0F">
            <w:pPr>
              <w:spacing w:after="120" w:line="240" w:lineRule="auto"/>
              <w:rPr>
                <w:rFonts w:ascii="Calibri" w:eastAsia="Calibri" w:hAnsi="Calibri"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148A4"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C9052"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55398456"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 xml:space="preserve">Impossibility to analyze network </w:t>
            </w:r>
            <w:proofErr w:type="spellStart"/>
            <w:r w:rsidRPr="00C24B0F">
              <w:rPr>
                <w:rFonts w:ascii="Calibri" w:eastAsia="Times New Roman" w:hAnsi="Calibri" w:cs="Times New Roman"/>
                <w:sz w:val="24"/>
                <w:szCs w:val="24"/>
                <w:lang w:val="en-US" w:eastAsia="en-US"/>
              </w:rPr>
              <w:t>behaviour</w:t>
            </w:r>
            <w:proofErr w:type="spellEnd"/>
            <w:r w:rsidRPr="00C24B0F">
              <w:rPr>
                <w:rFonts w:ascii="Calibri" w:eastAsia="Times New Roman" w:hAnsi="Calibri" w:cs="Times New Roman"/>
                <w:sz w:val="24"/>
                <w:szCs w:val="24"/>
                <w:lang w:val="en-US" w:eastAsia="en-US"/>
              </w:rPr>
              <w:t xml:space="preserve"> infected with malicious software and to combat it </w:t>
            </w:r>
          </w:p>
        </w:tc>
      </w:tr>
      <w:tr w:rsidR="00C24B0F" w:rsidRPr="00C24B0F" w14:paraId="421A857D" w14:textId="77777777" w:rsidTr="00A112F4">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C370E7" w14:textId="77777777" w:rsidR="00C24B0F" w:rsidRPr="00C24B0F" w:rsidRDefault="00C24B0F" w:rsidP="00C24B0F">
            <w:pPr>
              <w:spacing w:after="120" w:line="240" w:lineRule="auto"/>
              <w:rPr>
                <w:rFonts w:ascii="Calibri" w:eastAsia="Calibri" w:hAnsi="Calibri"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F22F7"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176C"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7DF88530"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Difficulty in managing the Lawful Interception (LI) within the national Internet segment</w:t>
            </w:r>
          </w:p>
        </w:tc>
      </w:tr>
      <w:tr w:rsidR="00C24B0F" w:rsidRPr="00C24B0F" w14:paraId="3D1E1CA6" w14:textId="77777777" w:rsidTr="00A112F4">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7FDA6A" w14:textId="77777777" w:rsidR="00C24B0F" w:rsidRPr="00C24B0F" w:rsidRDefault="00C24B0F" w:rsidP="00C24B0F">
            <w:pPr>
              <w:spacing w:after="120" w:line="240" w:lineRule="auto"/>
              <w:rPr>
                <w:rFonts w:ascii="Calibri" w:eastAsia="Calibri" w:hAnsi="Calibri"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ACB5B"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883A67"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48353AD0"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Leakage of financial information or trade secrets, theft of funds</w:t>
            </w:r>
          </w:p>
        </w:tc>
      </w:tr>
      <w:tr w:rsidR="00C24B0F" w:rsidRPr="00C24B0F" w14:paraId="7AF68C1D" w14:textId="77777777" w:rsidTr="00A112F4">
        <w:trPr>
          <w:trHeight w:val="313"/>
        </w:trPr>
        <w:tc>
          <w:tcPr>
            <w:tcW w:w="725" w:type="dxa"/>
            <w:vMerge w:val="restart"/>
            <w:tcBorders>
              <w:top w:val="single" w:sz="4" w:space="0" w:color="auto"/>
              <w:left w:val="single" w:sz="4" w:space="0" w:color="auto"/>
              <w:bottom w:val="single" w:sz="4" w:space="0" w:color="auto"/>
              <w:right w:val="single" w:sz="4" w:space="0" w:color="auto"/>
            </w:tcBorders>
          </w:tcPr>
          <w:p w14:paraId="473DD309" w14:textId="77777777" w:rsidR="00C24B0F" w:rsidRPr="00C24B0F" w:rsidRDefault="00C24B0F" w:rsidP="00C24B0F">
            <w:pPr>
              <w:numPr>
                <w:ilvl w:val="0"/>
                <w:numId w:val="22"/>
              </w:numPr>
              <w:tabs>
                <w:tab w:val="left" w:pos="346"/>
              </w:tabs>
              <w:spacing w:after="120" w:line="240" w:lineRule="auto"/>
              <w:rPr>
                <w:rFonts w:ascii="Calibri" w:eastAsia="Times New Roman" w:hAnsi="Calibri" w:cs="Times New Roman"/>
                <w:sz w:val="24"/>
                <w:szCs w:val="24"/>
                <w:lang w:val="en-US" w:eastAsia="en-US"/>
              </w:rPr>
            </w:pPr>
          </w:p>
        </w:tc>
        <w:tc>
          <w:tcPr>
            <w:tcW w:w="3436" w:type="dxa"/>
            <w:vMerge w:val="restart"/>
            <w:tcBorders>
              <w:top w:val="single" w:sz="4" w:space="0" w:color="auto"/>
              <w:left w:val="single" w:sz="4" w:space="0" w:color="auto"/>
              <w:bottom w:val="single" w:sz="4" w:space="0" w:color="auto"/>
              <w:right w:val="single" w:sz="4" w:space="0" w:color="auto"/>
            </w:tcBorders>
            <w:hideMark/>
          </w:tcPr>
          <w:p w14:paraId="29D5EC18"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Using certain encrypted DNS servers (DNS resolvers) in browser settings that cache IP addresses</w:t>
            </w:r>
          </w:p>
        </w:tc>
        <w:tc>
          <w:tcPr>
            <w:tcW w:w="4623" w:type="dxa"/>
            <w:vMerge w:val="restart"/>
            <w:tcBorders>
              <w:top w:val="single" w:sz="4" w:space="0" w:color="auto"/>
              <w:left w:val="single" w:sz="4" w:space="0" w:color="auto"/>
              <w:bottom w:val="single" w:sz="4" w:space="0" w:color="auto"/>
              <w:right w:val="single" w:sz="4" w:space="0" w:color="auto"/>
            </w:tcBorders>
          </w:tcPr>
          <w:p w14:paraId="0ECF16CF"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Degradation of quality inherent in the global DNS – decentralization. Redirecting DNS traffic to a single encrypted DNS resolver specified in the browser settings.</w:t>
            </w:r>
          </w:p>
          <w:p w14:paraId="39AABE9E"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665F8ECF"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Decreasing the role of root servers under the auspices of ICANN</w:t>
            </w:r>
          </w:p>
        </w:tc>
      </w:tr>
      <w:tr w:rsidR="00C24B0F" w:rsidRPr="00C24B0F" w14:paraId="69E6C6D9" w14:textId="77777777" w:rsidTr="00A112F4">
        <w:trPr>
          <w:trHeight w:val="4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A2A79"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EC3A34"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192FD"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18F0D34C"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A threat of “privatization” of the key Internet infrastructure by major players</w:t>
            </w:r>
          </w:p>
        </w:tc>
      </w:tr>
      <w:tr w:rsidR="00C24B0F" w:rsidRPr="00C24B0F" w14:paraId="3B458B4C" w14:textId="77777777" w:rsidTr="00A112F4">
        <w:trPr>
          <w:trHeight w:val="8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77488"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E6F5A"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2C9C0"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5172C6E8"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 xml:space="preserve">Concentration of Big Data collected about users </w:t>
            </w:r>
            <w:proofErr w:type="gramStart"/>
            <w:r w:rsidRPr="00C24B0F">
              <w:rPr>
                <w:rFonts w:ascii="Calibri" w:eastAsia="Times New Roman" w:hAnsi="Calibri" w:cs="Times New Roman"/>
                <w:sz w:val="24"/>
                <w:szCs w:val="24"/>
                <w:lang w:val="en-US" w:eastAsia="en-US"/>
              </w:rPr>
              <w:t>by  encrypted</w:t>
            </w:r>
            <w:proofErr w:type="gramEnd"/>
            <w:r w:rsidRPr="00C24B0F">
              <w:rPr>
                <w:rFonts w:ascii="Calibri" w:eastAsia="Times New Roman" w:hAnsi="Calibri" w:cs="Times New Roman"/>
                <w:sz w:val="24"/>
                <w:szCs w:val="24"/>
                <w:lang w:val="en-US" w:eastAsia="en-US"/>
              </w:rPr>
              <w:t xml:space="preserve"> DNS resolver operators</w:t>
            </w:r>
          </w:p>
        </w:tc>
      </w:tr>
      <w:tr w:rsidR="00C24B0F" w:rsidRPr="00C24B0F" w14:paraId="344645FB" w14:textId="77777777" w:rsidTr="00A112F4">
        <w:trPr>
          <w:trHeight w:val="989"/>
        </w:trPr>
        <w:tc>
          <w:tcPr>
            <w:tcW w:w="725" w:type="dxa"/>
            <w:tcBorders>
              <w:top w:val="single" w:sz="4" w:space="0" w:color="auto"/>
              <w:left w:val="single" w:sz="4" w:space="0" w:color="auto"/>
              <w:bottom w:val="single" w:sz="4" w:space="0" w:color="auto"/>
              <w:right w:val="single" w:sz="4" w:space="0" w:color="auto"/>
            </w:tcBorders>
          </w:tcPr>
          <w:p w14:paraId="75FDB45A" w14:textId="77777777" w:rsidR="00C24B0F" w:rsidRPr="00C24B0F" w:rsidRDefault="00C24B0F" w:rsidP="00C24B0F">
            <w:pPr>
              <w:numPr>
                <w:ilvl w:val="0"/>
                <w:numId w:val="22"/>
              </w:numPr>
              <w:tabs>
                <w:tab w:val="left" w:pos="346"/>
              </w:tabs>
              <w:spacing w:after="120" w:line="240" w:lineRule="auto"/>
              <w:rPr>
                <w:rFonts w:ascii="Calibri" w:eastAsia="Times New Roman" w:hAnsi="Calibri" w:cs="Times New Roman"/>
                <w:sz w:val="24"/>
                <w:szCs w:val="24"/>
                <w:lang w:val="en-US" w:eastAsia="en-US"/>
              </w:rPr>
            </w:pPr>
          </w:p>
        </w:tc>
        <w:tc>
          <w:tcPr>
            <w:tcW w:w="3436" w:type="dxa"/>
            <w:tcBorders>
              <w:top w:val="single" w:sz="4" w:space="0" w:color="auto"/>
              <w:left w:val="single" w:sz="4" w:space="0" w:color="auto"/>
              <w:bottom w:val="single" w:sz="4" w:space="0" w:color="auto"/>
              <w:right w:val="single" w:sz="4" w:space="0" w:color="auto"/>
            </w:tcBorders>
            <w:hideMark/>
          </w:tcPr>
          <w:p w14:paraId="20FCE76B"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 xml:space="preserve">Restrictions on domain name registration </w:t>
            </w:r>
          </w:p>
          <w:p w14:paraId="2146BE21"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Restrictions on obtaining IP addresses</w:t>
            </w:r>
          </w:p>
        </w:tc>
        <w:tc>
          <w:tcPr>
            <w:tcW w:w="4623" w:type="dxa"/>
            <w:tcBorders>
              <w:top w:val="single" w:sz="4" w:space="0" w:color="auto"/>
              <w:left w:val="single" w:sz="4" w:space="0" w:color="auto"/>
              <w:bottom w:val="single" w:sz="4" w:space="0" w:color="auto"/>
              <w:right w:val="single" w:sz="4" w:space="0" w:color="auto"/>
            </w:tcBorders>
            <w:hideMark/>
          </w:tcPr>
          <w:p w14:paraId="31F8ABB1"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Entities allocating IP addresses may be forced to comply with the sanctions imposed by a national administration under which jurisdiction they are located</w:t>
            </w:r>
          </w:p>
        </w:tc>
        <w:tc>
          <w:tcPr>
            <w:tcW w:w="6058" w:type="dxa"/>
            <w:tcBorders>
              <w:top w:val="single" w:sz="4" w:space="0" w:color="auto"/>
              <w:left w:val="single" w:sz="4" w:space="0" w:color="auto"/>
              <w:bottom w:val="single" w:sz="4" w:space="0" w:color="auto"/>
              <w:right w:val="single" w:sz="4" w:space="0" w:color="auto"/>
            </w:tcBorders>
            <w:hideMark/>
          </w:tcPr>
          <w:p w14:paraId="2BDF6584"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Lack of Internet identifiers (IP addresses) at national registrars’ and service providers’ which are available for allocation to users, slowdown in the development of national Internet segment</w:t>
            </w:r>
          </w:p>
        </w:tc>
      </w:tr>
      <w:tr w:rsidR="00C24B0F" w:rsidRPr="00C24B0F" w14:paraId="5BEEFDEF" w14:textId="77777777" w:rsidTr="00A112F4">
        <w:trPr>
          <w:trHeight w:val="637"/>
        </w:trPr>
        <w:tc>
          <w:tcPr>
            <w:tcW w:w="725" w:type="dxa"/>
            <w:vMerge w:val="restart"/>
            <w:tcBorders>
              <w:top w:val="single" w:sz="4" w:space="0" w:color="auto"/>
              <w:left w:val="single" w:sz="4" w:space="0" w:color="auto"/>
              <w:bottom w:val="single" w:sz="4" w:space="0" w:color="auto"/>
              <w:right w:val="single" w:sz="4" w:space="0" w:color="auto"/>
            </w:tcBorders>
          </w:tcPr>
          <w:p w14:paraId="06F77D89" w14:textId="77777777" w:rsidR="00C24B0F" w:rsidRPr="00C24B0F" w:rsidRDefault="00C24B0F" w:rsidP="00C24B0F">
            <w:pPr>
              <w:numPr>
                <w:ilvl w:val="0"/>
                <w:numId w:val="22"/>
              </w:numPr>
              <w:tabs>
                <w:tab w:val="left" w:pos="346"/>
              </w:tabs>
              <w:spacing w:after="120" w:line="240" w:lineRule="auto"/>
              <w:rPr>
                <w:rFonts w:ascii="Calibri" w:eastAsia="Times New Roman" w:hAnsi="Calibri" w:cs="Times New Roman"/>
                <w:sz w:val="24"/>
                <w:szCs w:val="24"/>
                <w:lang w:val="en-US" w:eastAsia="en-US"/>
              </w:rPr>
            </w:pPr>
          </w:p>
        </w:tc>
        <w:tc>
          <w:tcPr>
            <w:tcW w:w="3436" w:type="dxa"/>
            <w:vMerge w:val="restart"/>
            <w:tcBorders>
              <w:top w:val="single" w:sz="4" w:space="0" w:color="auto"/>
              <w:left w:val="single" w:sz="4" w:space="0" w:color="auto"/>
              <w:bottom w:val="single" w:sz="4" w:space="0" w:color="auto"/>
              <w:right w:val="single" w:sz="4" w:space="0" w:color="auto"/>
            </w:tcBorders>
            <w:hideMark/>
          </w:tcPr>
          <w:p w14:paraId="5F97B1F5"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Distortion of records in databases of regional Internet registries, data corruption in the DNS root zone, and data corruption in the List of Root Certificate Authorities, and so on</w:t>
            </w:r>
          </w:p>
        </w:tc>
        <w:tc>
          <w:tcPr>
            <w:tcW w:w="4623" w:type="dxa"/>
            <w:vMerge w:val="restart"/>
            <w:tcBorders>
              <w:top w:val="single" w:sz="4" w:space="0" w:color="auto"/>
              <w:left w:val="single" w:sz="4" w:space="0" w:color="auto"/>
              <w:bottom w:val="single" w:sz="4" w:space="0" w:color="auto"/>
              <w:right w:val="single" w:sz="4" w:space="0" w:color="auto"/>
            </w:tcBorders>
            <w:hideMark/>
          </w:tcPr>
          <w:p w14:paraId="5992DEE4"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Operators of critical elements of the Internet basic core may be forced to comply with the sanctions imposed by a national administration under which jurisdiction they are located</w:t>
            </w:r>
          </w:p>
        </w:tc>
        <w:tc>
          <w:tcPr>
            <w:tcW w:w="6058" w:type="dxa"/>
            <w:tcBorders>
              <w:top w:val="single" w:sz="4" w:space="0" w:color="auto"/>
              <w:left w:val="single" w:sz="4" w:space="0" w:color="auto"/>
              <w:bottom w:val="single" w:sz="4" w:space="0" w:color="auto"/>
              <w:right w:val="single" w:sz="4" w:space="0" w:color="auto"/>
            </w:tcBorders>
            <w:hideMark/>
          </w:tcPr>
          <w:p w14:paraId="727DB754"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The State is not independent in managing its online resources (IP addresses, domain names)</w:t>
            </w:r>
          </w:p>
        </w:tc>
      </w:tr>
      <w:tr w:rsidR="00C24B0F" w:rsidRPr="00C24B0F" w14:paraId="077B2834" w14:textId="77777777" w:rsidTr="00A112F4">
        <w:trPr>
          <w:trHeight w:val="8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90B3BB"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BFB15"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C08B5"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6058" w:type="dxa"/>
            <w:tcBorders>
              <w:top w:val="single" w:sz="4" w:space="0" w:color="auto"/>
              <w:left w:val="single" w:sz="4" w:space="0" w:color="auto"/>
              <w:bottom w:val="single" w:sz="4" w:space="0" w:color="auto"/>
              <w:right w:val="single" w:sz="4" w:space="0" w:color="auto"/>
            </w:tcBorders>
            <w:hideMark/>
          </w:tcPr>
          <w:p w14:paraId="5F16C472"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Depriving a country of unique Internet identifiers creates a potential threat to the stability and integrity of the national segment of the Internet.</w:t>
            </w:r>
          </w:p>
        </w:tc>
      </w:tr>
    </w:tbl>
    <w:p w14:paraId="1AC1FDC1" w14:textId="77777777" w:rsidR="00C24B0F" w:rsidRPr="00C24B0F" w:rsidRDefault="00C24B0F" w:rsidP="00C24B0F">
      <w:pPr>
        <w:spacing w:before="120"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br w:type="page"/>
      </w:r>
    </w:p>
    <w:p w14:paraId="1F3084B2" w14:textId="77777777" w:rsidR="00C24B0F" w:rsidRPr="00C24B0F" w:rsidRDefault="00C24B0F" w:rsidP="00C24B0F">
      <w:pPr>
        <w:tabs>
          <w:tab w:val="left" w:pos="794"/>
          <w:tab w:val="left" w:pos="1191"/>
          <w:tab w:val="left" w:pos="1588"/>
          <w:tab w:val="left" w:pos="1985"/>
        </w:tabs>
        <w:overflowPunct w:val="0"/>
        <w:autoSpaceDE w:val="0"/>
        <w:autoSpaceDN w:val="0"/>
        <w:adjustRightInd w:val="0"/>
        <w:spacing w:before="120" w:after="120" w:line="240" w:lineRule="auto"/>
        <w:jc w:val="center"/>
        <w:textAlignment w:val="baseline"/>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lastRenderedPageBreak/>
        <w:t>Content Risks under the Current Internet governance and operational model</w:t>
      </w:r>
    </w:p>
    <w:p w14:paraId="235F6141" w14:textId="77777777" w:rsidR="00C24B0F" w:rsidRPr="00C24B0F" w:rsidRDefault="00C24B0F" w:rsidP="00C24B0F">
      <w:pPr>
        <w:tabs>
          <w:tab w:val="left" w:pos="794"/>
          <w:tab w:val="left" w:pos="1191"/>
          <w:tab w:val="left" w:pos="1588"/>
          <w:tab w:val="left" w:pos="1985"/>
        </w:tabs>
        <w:overflowPunct w:val="0"/>
        <w:autoSpaceDE w:val="0"/>
        <w:autoSpaceDN w:val="0"/>
        <w:adjustRightInd w:val="0"/>
        <w:spacing w:before="120" w:after="120" w:line="240" w:lineRule="auto"/>
        <w:jc w:val="center"/>
        <w:textAlignment w:val="baseline"/>
        <w:rPr>
          <w:rFonts w:ascii="Calibri" w:eastAsia="Times New Roman" w:hAnsi="Calibri" w:cs="Times New Roman"/>
          <w:b/>
          <w:sz w:val="24"/>
          <w:szCs w:val="24"/>
          <w:lang w:val="en-US" w:eastAsia="en-US"/>
        </w:rPr>
      </w:pPr>
    </w:p>
    <w:tbl>
      <w:tblPr>
        <w:tblStyle w:val="TableGrid1"/>
        <w:tblW w:w="14879" w:type="dxa"/>
        <w:tblLook w:val="04A0" w:firstRow="1" w:lastRow="0" w:firstColumn="1" w:lastColumn="0" w:noHBand="0" w:noVBand="1"/>
      </w:tblPr>
      <w:tblGrid>
        <w:gridCol w:w="687"/>
        <w:gridCol w:w="3858"/>
        <w:gridCol w:w="4487"/>
        <w:gridCol w:w="5847"/>
      </w:tblGrid>
      <w:tr w:rsidR="00C24B0F" w:rsidRPr="00C24B0F" w14:paraId="70C706F5" w14:textId="77777777" w:rsidTr="00A112F4">
        <w:tc>
          <w:tcPr>
            <w:tcW w:w="687" w:type="dxa"/>
            <w:tcBorders>
              <w:top w:val="single" w:sz="4" w:space="0" w:color="auto"/>
              <w:left w:val="single" w:sz="4" w:space="0" w:color="auto"/>
              <w:bottom w:val="single" w:sz="4" w:space="0" w:color="auto"/>
              <w:right w:val="single" w:sz="4" w:space="0" w:color="auto"/>
            </w:tcBorders>
            <w:hideMark/>
          </w:tcPr>
          <w:p w14:paraId="1D22C41F" w14:textId="77777777" w:rsidR="00C24B0F" w:rsidRPr="00C24B0F" w:rsidRDefault="00C24B0F" w:rsidP="00C24B0F">
            <w:pPr>
              <w:spacing w:after="120" w:line="240" w:lineRule="auto"/>
              <w:jc w:val="center"/>
              <w:rPr>
                <w:rFonts w:ascii="Calibri" w:eastAsia="Calibri" w:hAnsi="Calibri" w:cs="Times New Roman"/>
                <w:sz w:val="24"/>
                <w:szCs w:val="24"/>
                <w:lang w:eastAsia="en-US"/>
              </w:rPr>
            </w:pPr>
            <w:r w:rsidRPr="00C24B0F">
              <w:rPr>
                <w:rFonts w:ascii="Calibri" w:eastAsia="Times New Roman" w:hAnsi="Calibri" w:cs="Times New Roman"/>
                <w:b/>
                <w:sz w:val="24"/>
                <w:szCs w:val="24"/>
                <w:lang w:eastAsia="en-US"/>
              </w:rPr>
              <w:t>№</w:t>
            </w:r>
          </w:p>
        </w:tc>
        <w:tc>
          <w:tcPr>
            <w:tcW w:w="3858" w:type="dxa"/>
            <w:tcBorders>
              <w:top w:val="single" w:sz="4" w:space="0" w:color="auto"/>
              <w:left w:val="single" w:sz="4" w:space="0" w:color="auto"/>
              <w:bottom w:val="single" w:sz="4" w:space="0" w:color="auto"/>
              <w:right w:val="single" w:sz="4" w:space="0" w:color="auto"/>
            </w:tcBorders>
            <w:hideMark/>
          </w:tcPr>
          <w:p w14:paraId="59CA9401" w14:textId="77777777" w:rsidR="00C24B0F" w:rsidRPr="00C24B0F" w:rsidRDefault="00C24B0F" w:rsidP="00C24B0F">
            <w:pPr>
              <w:spacing w:after="120" w:line="240" w:lineRule="auto"/>
              <w:jc w:val="center"/>
              <w:rPr>
                <w:rFonts w:ascii="Calibri" w:eastAsia="Calibri" w:hAnsi="Calibri" w:cs="Times New Roman"/>
                <w:sz w:val="24"/>
                <w:szCs w:val="24"/>
                <w:lang w:val="en-US" w:eastAsia="en-US"/>
              </w:rPr>
            </w:pPr>
            <w:r w:rsidRPr="00C24B0F">
              <w:rPr>
                <w:rFonts w:ascii="Calibri" w:eastAsia="Times New Roman" w:hAnsi="Calibri" w:cs="Times New Roman"/>
                <w:b/>
                <w:sz w:val="24"/>
                <w:szCs w:val="24"/>
                <w:lang w:val="en-US" w:eastAsia="en-US"/>
              </w:rPr>
              <w:t>Name of risk</w:t>
            </w:r>
          </w:p>
        </w:tc>
        <w:tc>
          <w:tcPr>
            <w:tcW w:w="4487" w:type="dxa"/>
            <w:tcBorders>
              <w:top w:val="single" w:sz="4" w:space="0" w:color="auto"/>
              <w:left w:val="single" w:sz="4" w:space="0" w:color="auto"/>
              <w:bottom w:val="single" w:sz="4" w:space="0" w:color="auto"/>
              <w:right w:val="single" w:sz="4" w:space="0" w:color="auto"/>
            </w:tcBorders>
            <w:hideMark/>
          </w:tcPr>
          <w:p w14:paraId="4B9CD3C9" w14:textId="77777777" w:rsidR="00C24B0F" w:rsidRPr="00C24B0F" w:rsidRDefault="00C24B0F" w:rsidP="00C24B0F">
            <w:pPr>
              <w:spacing w:after="120" w:line="240" w:lineRule="auto"/>
              <w:jc w:val="center"/>
              <w:rPr>
                <w:rFonts w:ascii="Calibri" w:eastAsia="Calibri" w:hAnsi="Calibri" w:cs="Times New Roman"/>
                <w:sz w:val="24"/>
                <w:szCs w:val="24"/>
                <w:lang w:val="en-US" w:eastAsia="en-US"/>
              </w:rPr>
            </w:pPr>
            <w:r w:rsidRPr="00C24B0F">
              <w:rPr>
                <w:rFonts w:ascii="Calibri" w:eastAsia="Times New Roman" w:hAnsi="Calibri" w:cs="Times New Roman"/>
                <w:b/>
                <w:sz w:val="24"/>
                <w:szCs w:val="24"/>
                <w:lang w:val="en-US" w:eastAsia="en-US"/>
              </w:rPr>
              <w:t xml:space="preserve">Explanation </w:t>
            </w:r>
          </w:p>
        </w:tc>
        <w:tc>
          <w:tcPr>
            <w:tcW w:w="5847" w:type="dxa"/>
            <w:tcBorders>
              <w:top w:val="single" w:sz="4" w:space="0" w:color="auto"/>
              <w:left w:val="single" w:sz="4" w:space="0" w:color="auto"/>
              <w:bottom w:val="single" w:sz="4" w:space="0" w:color="auto"/>
              <w:right w:val="single" w:sz="4" w:space="0" w:color="auto"/>
            </w:tcBorders>
            <w:hideMark/>
          </w:tcPr>
          <w:p w14:paraId="5A75B5A9" w14:textId="77777777" w:rsidR="00C24B0F" w:rsidRPr="00C24B0F" w:rsidRDefault="00C24B0F" w:rsidP="00C24B0F">
            <w:pPr>
              <w:spacing w:after="120" w:line="240" w:lineRule="auto"/>
              <w:jc w:val="center"/>
              <w:rPr>
                <w:rFonts w:ascii="Calibri" w:eastAsia="Calibri" w:hAnsi="Calibri" w:cs="Times New Roman"/>
                <w:sz w:val="24"/>
                <w:szCs w:val="24"/>
                <w:lang w:val="en-US" w:eastAsia="en-US"/>
              </w:rPr>
            </w:pPr>
            <w:r w:rsidRPr="00C24B0F">
              <w:rPr>
                <w:rFonts w:ascii="Calibri" w:eastAsia="Times New Roman" w:hAnsi="Calibri" w:cs="Times New Roman"/>
                <w:b/>
                <w:sz w:val="24"/>
                <w:szCs w:val="24"/>
                <w:lang w:val="en-US" w:eastAsia="en-US"/>
              </w:rPr>
              <w:t>Expressed by</w:t>
            </w:r>
          </w:p>
        </w:tc>
      </w:tr>
      <w:tr w:rsidR="00C24B0F" w:rsidRPr="00C24B0F" w14:paraId="517065E7" w14:textId="77777777" w:rsidTr="00A112F4">
        <w:tc>
          <w:tcPr>
            <w:tcW w:w="14879" w:type="dxa"/>
            <w:gridSpan w:val="4"/>
            <w:tcBorders>
              <w:top w:val="single" w:sz="4" w:space="0" w:color="auto"/>
              <w:left w:val="single" w:sz="4" w:space="0" w:color="auto"/>
              <w:bottom w:val="single" w:sz="4" w:space="0" w:color="auto"/>
              <w:right w:val="single" w:sz="4" w:space="0" w:color="auto"/>
            </w:tcBorders>
            <w:hideMark/>
          </w:tcPr>
          <w:p w14:paraId="1E62DACB" w14:textId="77777777" w:rsidR="00C24B0F" w:rsidRPr="00C24B0F" w:rsidRDefault="00C24B0F" w:rsidP="00C24B0F">
            <w:pPr>
              <w:spacing w:after="120" w:line="240" w:lineRule="auto"/>
              <w:jc w:val="center"/>
              <w:rPr>
                <w:rFonts w:ascii="Calibri" w:eastAsia="Calibri" w:hAnsi="Calibri" w:cs="Times New Roman"/>
                <w:sz w:val="24"/>
                <w:szCs w:val="24"/>
                <w:lang w:val="en-US" w:eastAsia="en-US"/>
              </w:rPr>
            </w:pPr>
            <w:r w:rsidRPr="00C24B0F">
              <w:rPr>
                <w:rFonts w:ascii="Calibri" w:eastAsia="Times New Roman" w:hAnsi="Calibri" w:cs="Times New Roman"/>
                <w:b/>
                <w:sz w:val="24"/>
                <w:szCs w:val="24"/>
                <w:lang w:val="en-US" w:eastAsia="en-US"/>
              </w:rPr>
              <w:t>For international Internet segment</w:t>
            </w:r>
          </w:p>
        </w:tc>
      </w:tr>
      <w:tr w:rsidR="00C24B0F" w:rsidRPr="00C24B0F" w14:paraId="79FB24F3" w14:textId="77777777" w:rsidTr="00A112F4">
        <w:trPr>
          <w:trHeight w:val="620"/>
        </w:trPr>
        <w:tc>
          <w:tcPr>
            <w:tcW w:w="687" w:type="dxa"/>
            <w:vMerge w:val="restart"/>
            <w:tcBorders>
              <w:top w:val="single" w:sz="4" w:space="0" w:color="auto"/>
              <w:left w:val="single" w:sz="4" w:space="0" w:color="auto"/>
              <w:bottom w:val="single" w:sz="4" w:space="0" w:color="auto"/>
              <w:right w:val="single" w:sz="4" w:space="0" w:color="auto"/>
            </w:tcBorders>
          </w:tcPr>
          <w:p w14:paraId="600225AF" w14:textId="77777777" w:rsidR="00C24B0F" w:rsidRPr="00C24B0F" w:rsidRDefault="00C24B0F" w:rsidP="00C24B0F">
            <w:pPr>
              <w:numPr>
                <w:ilvl w:val="0"/>
                <w:numId w:val="25"/>
              </w:numPr>
              <w:spacing w:after="120" w:line="240" w:lineRule="auto"/>
              <w:rPr>
                <w:rFonts w:ascii="Calibri" w:eastAsia="Times New Roman" w:hAnsi="Calibri" w:cs="Times New Roman"/>
                <w:sz w:val="24"/>
                <w:szCs w:val="24"/>
                <w:lang w:val="en-US" w:eastAsia="en-US"/>
              </w:rPr>
            </w:pPr>
          </w:p>
        </w:tc>
        <w:tc>
          <w:tcPr>
            <w:tcW w:w="3858" w:type="dxa"/>
            <w:vMerge w:val="restart"/>
            <w:tcBorders>
              <w:top w:val="single" w:sz="4" w:space="0" w:color="auto"/>
              <w:left w:val="single" w:sz="4" w:space="0" w:color="auto"/>
              <w:bottom w:val="single" w:sz="4" w:space="0" w:color="auto"/>
              <w:right w:val="single" w:sz="4" w:space="0" w:color="auto"/>
            </w:tcBorders>
            <w:hideMark/>
          </w:tcPr>
          <w:p w14:paraId="4D6C9173"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 xml:space="preserve">Manipulation of application service traffic </w:t>
            </w:r>
          </w:p>
        </w:tc>
        <w:tc>
          <w:tcPr>
            <w:tcW w:w="4487" w:type="dxa"/>
            <w:vMerge w:val="restart"/>
            <w:tcBorders>
              <w:top w:val="single" w:sz="4" w:space="0" w:color="auto"/>
              <w:left w:val="single" w:sz="4" w:space="0" w:color="auto"/>
              <w:bottom w:val="single" w:sz="4" w:space="0" w:color="auto"/>
              <w:right w:val="single" w:sz="4" w:space="0" w:color="auto"/>
            </w:tcBorders>
          </w:tcPr>
          <w:p w14:paraId="5914D1AD" w14:textId="77777777" w:rsidR="00C24B0F" w:rsidRPr="00C24B0F" w:rsidRDefault="00C24B0F" w:rsidP="00C24B0F">
            <w:pPr>
              <w:spacing w:after="120" w:line="240" w:lineRule="auto"/>
              <w:rPr>
                <w:rFonts w:ascii="Calibri" w:eastAsia="Calibri" w:hAnsi="Calibri" w:cs="Times New Roman"/>
                <w:sz w:val="24"/>
                <w:szCs w:val="24"/>
                <w:lang w:val="en-US" w:eastAsia="en-US"/>
              </w:rPr>
            </w:pPr>
            <w:r w:rsidRPr="00C24B0F">
              <w:rPr>
                <w:rFonts w:ascii="Calibri" w:eastAsia="Calibri" w:hAnsi="Calibri" w:cs="Times New Roman"/>
                <w:sz w:val="24"/>
                <w:szCs w:val="24"/>
                <w:lang w:val="en-US" w:eastAsia="en-US"/>
              </w:rPr>
              <w:t>Manipulation of application service traffic</w:t>
            </w:r>
          </w:p>
        </w:tc>
        <w:tc>
          <w:tcPr>
            <w:tcW w:w="5847" w:type="dxa"/>
            <w:tcBorders>
              <w:top w:val="single" w:sz="4" w:space="0" w:color="auto"/>
              <w:left w:val="single" w:sz="4" w:space="0" w:color="auto"/>
              <w:bottom w:val="single" w:sz="4" w:space="0" w:color="auto"/>
              <w:right w:val="single" w:sz="4" w:space="0" w:color="auto"/>
            </w:tcBorders>
            <w:hideMark/>
          </w:tcPr>
          <w:p w14:paraId="0EBCBF14"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 xml:space="preserve">Violation of net neutrality principle – some communication channels enjoy higher priority than the others </w:t>
            </w:r>
          </w:p>
        </w:tc>
      </w:tr>
      <w:tr w:rsidR="00C24B0F" w:rsidRPr="00C24B0F" w14:paraId="204DFC1E" w14:textId="77777777" w:rsidTr="00A112F4">
        <w:trPr>
          <w:trHeight w:val="55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57171"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DDCEF"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19158"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5847" w:type="dxa"/>
            <w:tcBorders>
              <w:top w:val="single" w:sz="4" w:space="0" w:color="auto"/>
              <w:left w:val="single" w:sz="4" w:space="0" w:color="auto"/>
              <w:bottom w:val="single" w:sz="4" w:space="0" w:color="auto"/>
              <w:right w:val="single" w:sz="4" w:space="0" w:color="auto"/>
            </w:tcBorders>
            <w:hideMark/>
          </w:tcPr>
          <w:p w14:paraId="52A1B29C"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Unauthorized analysis and interception, monitoring and prioritization of certain types of traffic</w:t>
            </w:r>
          </w:p>
        </w:tc>
      </w:tr>
      <w:tr w:rsidR="00C24B0F" w:rsidRPr="00C24B0F" w14:paraId="25EE7022" w14:textId="77777777" w:rsidTr="00A112F4">
        <w:tc>
          <w:tcPr>
            <w:tcW w:w="687" w:type="dxa"/>
            <w:tcBorders>
              <w:top w:val="single" w:sz="4" w:space="0" w:color="auto"/>
              <w:left w:val="single" w:sz="4" w:space="0" w:color="auto"/>
              <w:bottom w:val="single" w:sz="4" w:space="0" w:color="auto"/>
              <w:right w:val="single" w:sz="4" w:space="0" w:color="auto"/>
            </w:tcBorders>
          </w:tcPr>
          <w:p w14:paraId="6ACDBE86" w14:textId="77777777" w:rsidR="00C24B0F" w:rsidRPr="00C24B0F" w:rsidRDefault="00C24B0F" w:rsidP="00C24B0F">
            <w:pPr>
              <w:numPr>
                <w:ilvl w:val="0"/>
                <w:numId w:val="25"/>
              </w:numPr>
              <w:spacing w:after="120" w:line="240" w:lineRule="auto"/>
              <w:rPr>
                <w:rFonts w:ascii="Calibri" w:eastAsia="Times New Roman" w:hAnsi="Calibri" w:cs="Times New Roman"/>
                <w:sz w:val="24"/>
                <w:szCs w:val="24"/>
                <w:lang w:val="en-US" w:eastAsia="en-US"/>
              </w:rPr>
            </w:pPr>
          </w:p>
        </w:tc>
        <w:tc>
          <w:tcPr>
            <w:tcW w:w="3858" w:type="dxa"/>
            <w:tcBorders>
              <w:top w:val="single" w:sz="4" w:space="0" w:color="auto"/>
              <w:left w:val="single" w:sz="4" w:space="0" w:color="auto"/>
              <w:bottom w:val="single" w:sz="4" w:space="0" w:color="auto"/>
              <w:right w:val="single" w:sz="4" w:space="0" w:color="auto"/>
            </w:tcBorders>
            <w:hideMark/>
          </w:tcPr>
          <w:p w14:paraId="7212FA49"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Lack of an international platform to solve practical issues and discuss service challenges</w:t>
            </w:r>
          </w:p>
          <w:p w14:paraId="5D18BA07"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 xml:space="preserve"> </w:t>
            </w:r>
          </w:p>
        </w:tc>
        <w:tc>
          <w:tcPr>
            <w:tcW w:w="4487" w:type="dxa"/>
            <w:tcBorders>
              <w:top w:val="single" w:sz="4" w:space="0" w:color="auto"/>
              <w:left w:val="single" w:sz="4" w:space="0" w:color="auto"/>
              <w:bottom w:val="single" w:sz="4" w:space="0" w:color="auto"/>
              <w:right w:val="single" w:sz="4" w:space="0" w:color="auto"/>
            </w:tcBorders>
            <w:hideMark/>
          </w:tcPr>
          <w:p w14:paraId="18A593F5"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 xml:space="preserve">ICANN deals with the domain name system IP addressing </w:t>
            </w:r>
            <w:proofErr w:type="spellStart"/>
            <w:proofErr w:type="gramStart"/>
            <w:r w:rsidRPr="00C24B0F">
              <w:rPr>
                <w:rFonts w:ascii="Calibri" w:eastAsia="Times New Roman" w:hAnsi="Calibri" w:cs="Times New Roman"/>
                <w:sz w:val="24"/>
                <w:szCs w:val="24"/>
                <w:lang w:val="en-US" w:eastAsia="en-US"/>
              </w:rPr>
              <w:t>only,while</w:t>
            </w:r>
            <w:proofErr w:type="spellEnd"/>
            <w:proofErr w:type="gramEnd"/>
            <w:r w:rsidRPr="00C24B0F">
              <w:rPr>
                <w:rFonts w:ascii="Calibri" w:eastAsia="Times New Roman" w:hAnsi="Calibri" w:cs="Times New Roman"/>
                <w:sz w:val="24"/>
                <w:szCs w:val="24"/>
                <w:lang w:val="en-US" w:eastAsia="en-US"/>
              </w:rPr>
              <w:t xml:space="preserve"> RIPE NCC deals with IP addressing only.</w:t>
            </w:r>
          </w:p>
          <w:p w14:paraId="2329E9AF"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 xml:space="preserve">But there are also other issues, </w:t>
            </w:r>
            <w:proofErr w:type="gramStart"/>
            <w:r w:rsidRPr="00C24B0F">
              <w:rPr>
                <w:rFonts w:ascii="Calibri" w:eastAsia="Times New Roman" w:hAnsi="Calibri" w:cs="Times New Roman"/>
                <w:sz w:val="24"/>
                <w:szCs w:val="24"/>
                <w:lang w:val="en-US" w:eastAsia="en-US"/>
              </w:rPr>
              <w:t>i.e.</w:t>
            </w:r>
            <w:proofErr w:type="gramEnd"/>
            <w:r w:rsidRPr="00C24B0F">
              <w:rPr>
                <w:rFonts w:ascii="Calibri" w:eastAsia="Times New Roman" w:hAnsi="Calibri" w:cs="Times New Roman"/>
                <w:sz w:val="24"/>
                <w:szCs w:val="24"/>
                <w:lang w:val="en-US" w:eastAsia="en-US"/>
              </w:rPr>
              <w:t xml:space="preserve"> personal data protection, encryption, identifying and blocking illegal content, universal authentication, etc. These aspects extend to different organizations or uncovered on international level.</w:t>
            </w:r>
          </w:p>
        </w:tc>
        <w:tc>
          <w:tcPr>
            <w:tcW w:w="5847" w:type="dxa"/>
            <w:tcBorders>
              <w:top w:val="single" w:sz="4" w:space="0" w:color="auto"/>
              <w:left w:val="single" w:sz="4" w:space="0" w:color="auto"/>
              <w:bottom w:val="single" w:sz="4" w:space="0" w:color="auto"/>
              <w:right w:val="single" w:sz="4" w:space="0" w:color="auto"/>
            </w:tcBorders>
            <w:hideMark/>
          </w:tcPr>
          <w:p w14:paraId="19F6A396"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Calibri" w:hAnsi="Calibri" w:cs="Times New Roman"/>
                <w:sz w:val="24"/>
                <w:szCs w:val="24"/>
                <w:lang w:val="en-US" w:eastAsia="en-US"/>
              </w:rPr>
              <w:t>Growth of cybercrime</w:t>
            </w:r>
          </w:p>
        </w:tc>
      </w:tr>
      <w:tr w:rsidR="00C24B0F" w:rsidRPr="00C24B0F" w14:paraId="45141BA3" w14:textId="77777777" w:rsidTr="00A112F4">
        <w:tc>
          <w:tcPr>
            <w:tcW w:w="687" w:type="dxa"/>
            <w:tcBorders>
              <w:top w:val="single" w:sz="4" w:space="0" w:color="auto"/>
              <w:left w:val="single" w:sz="4" w:space="0" w:color="auto"/>
              <w:bottom w:val="single" w:sz="4" w:space="0" w:color="auto"/>
              <w:right w:val="single" w:sz="4" w:space="0" w:color="auto"/>
            </w:tcBorders>
          </w:tcPr>
          <w:p w14:paraId="47509C7F" w14:textId="77777777" w:rsidR="00C24B0F" w:rsidRPr="00C24B0F" w:rsidRDefault="00C24B0F" w:rsidP="00C24B0F">
            <w:pPr>
              <w:numPr>
                <w:ilvl w:val="0"/>
                <w:numId w:val="25"/>
              </w:numPr>
              <w:spacing w:after="120" w:line="240" w:lineRule="auto"/>
              <w:rPr>
                <w:rFonts w:ascii="Calibri" w:eastAsia="Times New Roman" w:hAnsi="Calibri" w:cs="Times New Roman"/>
                <w:sz w:val="24"/>
                <w:szCs w:val="24"/>
                <w:lang w:val="en-US" w:eastAsia="en-US"/>
              </w:rPr>
            </w:pPr>
          </w:p>
        </w:tc>
        <w:tc>
          <w:tcPr>
            <w:tcW w:w="3858" w:type="dxa"/>
            <w:tcBorders>
              <w:top w:val="single" w:sz="4" w:space="0" w:color="auto"/>
              <w:left w:val="single" w:sz="4" w:space="0" w:color="auto"/>
              <w:bottom w:val="single" w:sz="4" w:space="0" w:color="auto"/>
              <w:right w:val="single" w:sz="4" w:space="0" w:color="auto"/>
            </w:tcBorders>
          </w:tcPr>
          <w:p w14:paraId="7A908D4C"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 xml:space="preserve">Digital Monopoly, </w:t>
            </w:r>
          </w:p>
          <w:p w14:paraId="1689A2A9"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r w:rsidRPr="00C24B0F">
              <w:rPr>
                <w:rFonts w:ascii="Calibri" w:eastAsia="Times New Roman" w:hAnsi="Calibri" w:cs="Times New Roman"/>
                <w:b/>
                <w:sz w:val="24"/>
                <w:szCs w:val="24"/>
                <w:lang w:val="en-US" w:eastAsia="en-US"/>
              </w:rPr>
              <w:t xml:space="preserve">privatization of the Internet </w:t>
            </w:r>
          </w:p>
          <w:p w14:paraId="3931DF39"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4487" w:type="dxa"/>
            <w:tcBorders>
              <w:top w:val="single" w:sz="4" w:space="0" w:color="auto"/>
              <w:left w:val="single" w:sz="4" w:space="0" w:color="auto"/>
              <w:bottom w:val="single" w:sz="4" w:space="0" w:color="auto"/>
              <w:right w:val="single" w:sz="4" w:space="0" w:color="auto"/>
            </w:tcBorders>
          </w:tcPr>
          <w:p w14:paraId="494D5F87" w14:textId="77777777" w:rsidR="00C24B0F" w:rsidRPr="00C24B0F" w:rsidRDefault="00C24B0F" w:rsidP="00C24B0F">
            <w:pPr>
              <w:spacing w:after="120" w:line="240" w:lineRule="auto"/>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Market dominance of the largest service providers to the detriment of healthy competition and public interests.</w:t>
            </w:r>
          </w:p>
          <w:p w14:paraId="3856A55F"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5847" w:type="dxa"/>
            <w:tcBorders>
              <w:top w:val="single" w:sz="4" w:space="0" w:color="auto"/>
              <w:left w:val="single" w:sz="4" w:space="0" w:color="auto"/>
              <w:bottom w:val="single" w:sz="4" w:space="0" w:color="auto"/>
              <w:right w:val="single" w:sz="4" w:space="0" w:color="auto"/>
            </w:tcBorders>
            <w:hideMark/>
          </w:tcPr>
          <w:p w14:paraId="6F12F37E"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 xml:space="preserve">The largest IT giants dominate the market by driving out or buying up the alternative service providers, leaving no free choice in type and terms of services to the end user, </w:t>
            </w:r>
            <w:proofErr w:type="gramStart"/>
            <w:r w:rsidRPr="00C24B0F">
              <w:rPr>
                <w:rFonts w:ascii="Calibri" w:eastAsia="Times New Roman" w:hAnsi="Calibri" w:cs="Times New Roman"/>
                <w:sz w:val="24"/>
                <w:szCs w:val="24"/>
                <w:lang w:val="en-US" w:eastAsia="en-US"/>
              </w:rPr>
              <w:t>i.e.</w:t>
            </w:r>
            <w:proofErr w:type="gramEnd"/>
            <w:r w:rsidRPr="00C24B0F">
              <w:rPr>
                <w:rFonts w:ascii="Calibri" w:eastAsia="Times New Roman" w:hAnsi="Calibri" w:cs="Times New Roman"/>
                <w:sz w:val="24"/>
                <w:szCs w:val="24"/>
                <w:lang w:val="en-US" w:eastAsia="en-US"/>
              </w:rPr>
              <w:t xml:space="preserve"> zero-option choice.</w:t>
            </w:r>
          </w:p>
        </w:tc>
      </w:tr>
      <w:tr w:rsidR="00C24B0F" w:rsidRPr="00C24B0F" w14:paraId="228FCE7A" w14:textId="77777777" w:rsidTr="00A112F4">
        <w:tc>
          <w:tcPr>
            <w:tcW w:w="687" w:type="dxa"/>
            <w:tcBorders>
              <w:top w:val="single" w:sz="4" w:space="0" w:color="auto"/>
              <w:left w:val="single" w:sz="4" w:space="0" w:color="auto"/>
              <w:bottom w:val="single" w:sz="4" w:space="0" w:color="auto"/>
              <w:right w:val="single" w:sz="4" w:space="0" w:color="auto"/>
            </w:tcBorders>
          </w:tcPr>
          <w:p w14:paraId="2F752797" w14:textId="77777777" w:rsidR="00C24B0F" w:rsidRPr="00C24B0F" w:rsidRDefault="00C24B0F" w:rsidP="00C24B0F">
            <w:pPr>
              <w:numPr>
                <w:ilvl w:val="0"/>
                <w:numId w:val="25"/>
              </w:numPr>
              <w:spacing w:after="120" w:line="240" w:lineRule="auto"/>
              <w:rPr>
                <w:rFonts w:ascii="Calibri" w:eastAsia="Times New Roman" w:hAnsi="Calibri" w:cs="Times New Roman"/>
                <w:sz w:val="24"/>
                <w:szCs w:val="24"/>
                <w:lang w:val="en-US" w:eastAsia="en-US"/>
              </w:rPr>
            </w:pPr>
          </w:p>
        </w:tc>
        <w:tc>
          <w:tcPr>
            <w:tcW w:w="3858" w:type="dxa"/>
            <w:vMerge w:val="restart"/>
            <w:tcBorders>
              <w:top w:val="single" w:sz="4" w:space="0" w:color="auto"/>
              <w:left w:val="single" w:sz="4" w:space="0" w:color="auto"/>
              <w:right w:val="single" w:sz="4" w:space="0" w:color="auto"/>
            </w:tcBorders>
            <w:hideMark/>
          </w:tcPr>
          <w:p w14:paraId="3C7C8A7F"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 xml:space="preserve">Dependence on decisions of national administrations </w:t>
            </w:r>
          </w:p>
        </w:tc>
        <w:tc>
          <w:tcPr>
            <w:tcW w:w="4487" w:type="dxa"/>
            <w:vMerge w:val="restart"/>
            <w:tcBorders>
              <w:top w:val="single" w:sz="4" w:space="0" w:color="auto"/>
              <w:left w:val="single" w:sz="4" w:space="0" w:color="auto"/>
              <w:right w:val="single" w:sz="4" w:space="0" w:color="auto"/>
            </w:tcBorders>
            <w:hideMark/>
          </w:tcPr>
          <w:p w14:paraId="10D9FE49" w14:textId="77777777" w:rsidR="00C24B0F" w:rsidRPr="00C24B0F" w:rsidRDefault="00C24B0F" w:rsidP="00C24B0F">
            <w:pPr>
              <w:spacing w:after="120" w:line="240" w:lineRule="auto"/>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Dependence of global providers on decisions of national administrations in the countries of registration of their head offices.</w:t>
            </w:r>
          </w:p>
        </w:tc>
        <w:tc>
          <w:tcPr>
            <w:tcW w:w="5847" w:type="dxa"/>
            <w:tcBorders>
              <w:top w:val="single" w:sz="4" w:space="0" w:color="auto"/>
              <w:left w:val="single" w:sz="4" w:space="0" w:color="auto"/>
              <w:bottom w:val="single" w:sz="4" w:space="0" w:color="auto"/>
              <w:right w:val="single" w:sz="4" w:space="0" w:color="auto"/>
            </w:tcBorders>
            <w:hideMark/>
          </w:tcPr>
          <w:p w14:paraId="15FCE953"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Restrictions in the provision of services</w:t>
            </w:r>
          </w:p>
        </w:tc>
      </w:tr>
      <w:tr w:rsidR="00C24B0F" w:rsidRPr="00C24B0F" w14:paraId="44D7C90E" w14:textId="77777777" w:rsidTr="00A112F4">
        <w:tc>
          <w:tcPr>
            <w:tcW w:w="687" w:type="dxa"/>
            <w:tcBorders>
              <w:top w:val="single" w:sz="4" w:space="0" w:color="auto"/>
              <w:left w:val="single" w:sz="4" w:space="0" w:color="auto"/>
              <w:bottom w:val="single" w:sz="4" w:space="0" w:color="auto"/>
              <w:right w:val="single" w:sz="4" w:space="0" w:color="auto"/>
            </w:tcBorders>
          </w:tcPr>
          <w:p w14:paraId="01F0D014" w14:textId="77777777" w:rsidR="00C24B0F" w:rsidRPr="00C24B0F" w:rsidRDefault="00C24B0F" w:rsidP="00C24B0F">
            <w:pPr>
              <w:numPr>
                <w:ilvl w:val="0"/>
                <w:numId w:val="25"/>
              </w:numPr>
              <w:spacing w:after="120" w:line="240" w:lineRule="auto"/>
              <w:rPr>
                <w:rFonts w:ascii="Calibri" w:eastAsia="Times New Roman" w:hAnsi="Calibri" w:cs="Times New Roman"/>
                <w:sz w:val="24"/>
                <w:szCs w:val="24"/>
                <w:lang w:val="en-US" w:eastAsia="en-US"/>
              </w:rPr>
            </w:pPr>
          </w:p>
        </w:tc>
        <w:tc>
          <w:tcPr>
            <w:tcW w:w="3858" w:type="dxa"/>
            <w:vMerge/>
            <w:tcBorders>
              <w:left w:val="single" w:sz="4" w:space="0" w:color="auto"/>
              <w:bottom w:val="single" w:sz="4" w:space="0" w:color="auto"/>
              <w:right w:val="single" w:sz="4" w:space="0" w:color="auto"/>
            </w:tcBorders>
          </w:tcPr>
          <w:p w14:paraId="0E6B33C2" w14:textId="77777777" w:rsidR="00C24B0F" w:rsidRPr="00C24B0F" w:rsidRDefault="00C24B0F" w:rsidP="00C24B0F">
            <w:pPr>
              <w:spacing w:after="120" w:line="240" w:lineRule="auto"/>
              <w:rPr>
                <w:rFonts w:ascii="Calibri" w:eastAsia="Times New Roman" w:hAnsi="Calibri" w:cs="Times New Roman"/>
                <w:b/>
                <w:sz w:val="24"/>
                <w:szCs w:val="24"/>
                <w:lang w:val="en-US" w:eastAsia="en-US"/>
              </w:rPr>
            </w:pPr>
          </w:p>
        </w:tc>
        <w:tc>
          <w:tcPr>
            <w:tcW w:w="4487" w:type="dxa"/>
            <w:vMerge/>
            <w:tcBorders>
              <w:left w:val="single" w:sz="4" w:space="0" w:color="auto"/>
              <w:bottom w:val="single" w:sz="4" w:space="0" w:color="auto"/>
              <w:right w:val="single" w:sz="4" w:space="0" w:color="auto"/>
            </w:tcBorders>
          </w:tcPr>
          <w:p w14:paraId="41AD5E90"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p>
        </w:tc>
        <w:tc>
          <w:tcPr>
            <w:tcW w:w="5847" w:type="dxa"/>
            <w:tcBorders>
              <w:top w:val="single" w:sz="4" w:space="0" w:color="auto"/>
              <w:left w:val="single" w:sz="4" w:space="0" w:color="auto"/>
              <w:bottom w:val="single" w:sz="4" w:space="0" w:color="auto"/>
              <w:right w:val="single" w:sz="4" w:space="0" w:color="auto"/>
            </w:tcBorders>
          </w:tcPr>
          <w:p w14:paraId="331196ED"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 xml:space="preserve">Limited influence of states in the processes of </w:t>
            </w:r>
            <w:proofErr w:type="gramStart"/>
            <w:r w:rsidRPr="00C24B0F">
              <w:rPr>
                <w:rFonts w:ascii="Calibri" w:eastAsia="Times New Roman" w:hAnsi="Calibri" w:cs="Times New Roman"/>
                <w:sz w:val="24"/>
                <w:szCs w:val="24"/>
                <w:lang w:val="en-US" w:eastAsia="en-US"/>
              </w:rPr>
              <w:t>policy-making</w:t>
            </w:r>
            <w:proofErr w:type="gramEnd"/>
            <w:r w:rsidRPr="00C24B0F">
              <w:rPr>
                <w:rFonts w:ascii="Calibri" w:eastAsia="Times New Roman" w:hAnsi="Calibri" w:cs="Times New Roman"/>
                <w:sz w:val="24"/>
                <w:szCs w:val="24"/>
                <w:lang w:val="en-US" w:eastAsia="en-US"/>
              </w:rPr>
              <w:t xml:space="preserve"> and coordination for digital monopolies.</w:t>
            </w:r>
          </w:p>
        </w:tc>
      </w:tr>
      <w:tr w:rsidR="00C24B0F" w:rsidRPr="00C24B0F" w14:paraId="22DD5BC3" w14:textId="77777777" w:rsidTr="00A112F4">
        <w:tc>
          <w:tcPr>
            <w:tcW w:w="687" w:type="dxa"/>
            <w:tcBorders>
              <w:top w:val="single" w:sz="4" w:space="0" w:color="auto"/>
              <w:left w:val="single" w:sz="4" w:space="0" w:color="auto"/>
              <w:bottom w:val="single" w:sz="4" w:space="0" w:color="auto"/>
              <w:right w:val="single" w:sz="4" w:space="0" w:color="auto"/>
            </w:tcBorders>
          </w:tcPr>
          <w:p w14:paraId="2548F874" w14:textId="77777777" w:rsidR="00C24B0F" w:rsidRPr="00C24B0F" w:rsidRDefault="00C24B0F" w:rsidP="00C24B0F">
            <w:pPr>
              <w:numPr>
                <w:ilvl w:val="0"/>
                <w:numId w:val="25"/>
              </w:numPr>
              <w:spacing w:after="120" w:line="240" w:lineRule="auto"/>
              <w:rPr>
                <w:rFonts w:ascii="Calibri" w:eastAsia="Times New Roman" w:hAnsi="Calibri" w:cs="Times New Roman"/>
                <w:sz w:val="24"/>
                <w:szCs w:val="24"/>
                <w:lang w:val="en-US" w:eastAsia="en-US"/>
              </w:rPr>
            </w:pPr>
          </w:p>
        </w:tc>
        <w:tc>
          <w:tcPr>
            <w:tcW w:w="3858" w:type="dxa"/>
            <w:tcBorders>
              <w:top w:val="single" w:sz="4" w:space="0" w:color="auto"/>
              <w:left w:val="single" w:sz="4" w:space="0" w:color="auto"/>
              <w:bottom w:val="single" w:sz="4" w:space="0" w:color="auto"/>
              <w:right w:val="single" w:sz="4" w:space="0" w:color="auto"/>
            </w:tcBorders>
            <w:hideMark/>
          </w:tcPr>
          <w:p w14:paraId="7B702FDC"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Prevalence of corporate standards and rules over public interests and their non-transparency</w:t>
            </w:r>
          </w:p>
        </w:tc>
        <w:tc>
          <w:tcPr>
            <w:tcW w:w="4487" w:type="dxa"/>
            <w:tcBorders>
              <w:top w:val="single" w:sz="4" w:space="0" w:color="auto"/>
              <w:left w:val="single" w:sz="4" w:space="0" w:color="auto"/>
              <w:bottom w:val="single" w:sz="4" w:space="0" w:color="auto"/>
              <w:right w:val="single" w:sz="4" w:space="0" w:color="auto"/>
            </w:tcBorders>
            <w:hideMark/>
          </w:tcPr>
          <w:p w14:paraId="19E91431"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 xml:space="preserve">Operation of search engines, censorship and illegal content combating are regulated by the company’s own criteria. </w:t>
            </w:r>
          </w:p>
        </w:tc>
        <w:tc>
          <w:tcPr>
            <w:tcW w:w="5847" w:type="dxa"/>
            <w:tcBorders>
              <w:top w:val="single" w:sz="4" w:space="0" w:color="auto"/>
              <w:left w:val="single" w:sz="4" w:space="0" w:color="auto"/>
              <w:bottom w:val="single" w:sz="4" w:space="0" w:color="auto"/>
              <w:right w:val="single" w:sz="4" w:space="0" w:color="auto"/>
            </w:tcBorders>
            <w:hideMark/>
          </w:tcPr>
          <w:p w14:paraId="1DB86CA7"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 xml:space="preserve">The largest IT giants do not just sell goods and services, but shape customer preferences, make choice for them, often deprive people of the right to choose, offering them convenient, efficient, but zero-option services. </w:t>
            </w:r>
          </w:p>
          <w:p w14:paraId="472CF5C5"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The largest IT giants block content based on their own criteria rather than legislation of the countries, in which national segments of the Internet content is distributed.</w:t>
            </w:r>
          </w:p>
        </w:tc>
      </w:tr>
      <w:tr w:rsidR="00C24B0F" w:rsidRPr="00C24B0F" w14:paraId="665C614F" w14:textId="77777777" w:rsidTr="00A112F4">
        <w:tc>
          <w:tcPr>
            <w:tcW w:w="14879" w:type="dxa"/>
            <w:gridSpan w:val="4"/>
            <w:tcBorders>
              <w:top w:val="single" w:sz="4" w:space="0" w:color="auto"/>
              <w:left w:val="single" w:sz="4" w:space="0" w:color="auto"/>
              <w:bottom w:val="single" w:sz="4" w:space="0" w:color="auto"/>
              <w:right w:val="single" w:sz="4" w:space="0" w:color="auto"/>
            </w:tcBorders>
            <w:hideMark/>
          </w:tcPr>
          <w:p w14:paraId="21160F79" w14:textId="77777777" w:rsidR="00C24B0F" w:rsidRPr="00C24B0F" w:rsidRDefault="00C24B0F" w:rsidP="00C24B0F">
            <w:pPr>
              <w:spacing w:after="120" w:line="240" w:lineRule="auto"/>
              <w:jc w:val="center"/>
              <w:rPr>
                <w:rFonts w:ascii="Calibri" w:eastAsia="Calibri" w:hAnsi="Calibri" w:cs="Times New Roman"/>
                <w:sz w:val="24"/>
                <w:szCs w:val="24"/>
                <w:lang w:val="en-US" w:eastAsia="en-US"/>
              </w:rPr>
            </w:pPr>
            <w:r w:rsidRPr="00C24B0F">
              <w:rPr>
                <w:rFonts w:ascii="Calibri" w:eastAsia="Times New Roman" w:hAnsi="Calibri" w:cs="Times New Roman"/>
                <w:b/>
                <w:sz w:val="24"/>
                <w:szCs w:val="24"/>
                <w:lang w:val="en-US" w:eastAsia="en-US"/>
              </w:rPr>
              <w:t>For national Internet segment</w:t>
            </w:r>
          </w:p>
        </w:tc>
      </w:tr>
      <w:tr w:rsidR="00C24B0F" w:rsidRPr="00C24B0F" w14:paraId="36C688DB" w14:textId="77777777" w:rsidTr="00C24B0F">
        <w:trPr>
          <w:cantSplit/>
          <w:trHeight w:val="813"/>
        </w:trPr>
        <w:tc>
          <w:tcPr>
            <w:tcW w:w="687" w:type="dxa"/>
            <w:vMerge w:val="restart"/>
            <w:tcBorders>
              <w:top w:val="single" w:sz="4" w:space="0" w:color="auto"/>
              <w:left w:val="single" w:sz="4" w:space="0" w:color="auto"/>
              <w:bottom w:val="single" w:sz="4" w:space="0" w:color="auto"/>
              <w:right w:val="single" w:sz="4" w:space="0" w:color="auto"/>
            </w:tcBorders>
          </w:tcPr>
          <w:p w14:paraId="010DF110" w14:textId="77777777" w:rsidR="00C24B0F" w:rsidRPr="00C24B0F" w:rsidRDefault="00C24B0F" w:rsidP="00C24B0F">
            <w:pPr>
              <w:numPr>
                <w:ilvl w:val="0"/>
                <w:numId w:val="24"/>
              </w:numPr>
              <w:spacing w:after="120" w:line="240" w:lineRule="auto"/>
              <w:rPr>
                <w:rFonts w:ascii="Calibri" w:eastAsia="Times New Roman" w:hAnsi="Calibri" w:cs="Times New Roman"/>
                <w:sz w:val="24"/>
                <w:szCs w:val="24"/>
                <w:lang w:val="en-US" w:eastAsia="en-US"/>
              </w:rPr>
            </w:pPr>
          </w:p>
        </w:tc>
        <w:tc>
          <w:tcPr>
            <w:tcW w:w="3858" w:type="dxa"/>
            <w:vMerge w:val="restart"/>
            <w:tcBorders>
              <w:top w:val="single" w:sz="4" w:space="0" w:color="auto"/>
              <w:left w:val="single" w:sz="4" w:space="0" w:color="auto"/>
              <w:bottom w:val="single" w:sz="4" w:space="0" w:color="auto"/>
              <w:right w:val="single" w:sz="4" w:space="0" w:color="auto"/>
            </w:tcBorders>
            <w:hideMark/>
          </w:tcPr>
          <w:p w14:paraId="0EE5B2BB"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Using encryption in applications</w:t>
            </w:r>
          </w:p>
        </w:tc>
        <w:tc>
          <w:tcPr>
            <w:tcW w:w="4487" w:type="dxa"/>
            <w:vMerge w:val="restart"/>
            <w:tcBorders>
              <w:top w:val="single" w:sz="4" w:space="0" w:color="auto"/>
              <w:left w:val="single" w:sz="4" w:space="0" w:color="auto"/>
              <w:bottom w:val="single" w:sz="4" w:space="0" w:color="auto"/>
              <w:right w:val="single" w:sz="4" w:space="0" w:color="auto"/>
            </w:tcBorders>
            <w:hideMark/>
          </w:tcPr>
          <w:p w14:paraId="1D066117" w14:textId="77777777" w:rsidR="00C24B0F" w:rsidRPr="00C24B0F" w:rsidRDefault="00C24B0F" w:rsidP="00C24B0F">
            <w:pPr>
              <w:spacing w:after="120" w:line="240" w:lineRule="auto"/>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The use of encryption in applications</w:t>
            </w:r>
          </w:p>
        </w:tc>
        <w:tc>
          <w:tcPr>
            <w:tcW w:w="5847" w:type="dxa"/>
            <w:tcBorders>
              <w:top w:val="single" w:sz="4" w:space="0" w:color="auto"/>
              <w:left w:val="single" w:sz="4" w:space="0" w:color="auto"/>
              <w:bottom w:val="single" w:sz="4" w:space="0" w:color="auto"/>
              <w:right w:val="single" w:sz="4" w:space="0" w:color="auto"/>
            </w:tcBorders>
            <w:hideMark/>
          </w:tcPr>
          <w:p w14:paraId="18C77454" w14:textId="77777777" w:rsidR="00C24B0F" w:rsidRPr="00C24B0F" w:rsidRDefault="00C24B0F" w:rsidP="00C24B0F">
            <w:pPr>
              <w:spacing w:after="120" w:line="240" w:lineRule="auto"/>
              <w:jc w:val="both"/>
              <w:rPr>
                <w:rFonts w:ascii="Calibri" w:eastAsia="Calibri" w:hAnsi="Calibri" w:cs="Times New Roman"/>
                <w:sz w:val="24"/>
                <w:szCs w:val="24"/>
                <w:lang w:eastAsia="en-US"/>
              </w:rPr>
            </w:pPr>
            <w:r w:rsidRPr="00C24B0F">
              <w:rPr>
                <w:rFonts w:ascii="Calibri" w:eastAsia="Times New Roman" w:hAnsi="Calibri" w:cs="Times New Roman"/>
                <w:sz w:val="24"/>
                <w:szCs w:val="24"/>
                <w:lang w:val="en-US" w:eastAsia="en-US"/>
              </w:rPr>
              <w:t xml:space="preserve">Reducing the efficiency of using the current traffic filtering systems </w:t>
            </w:r>
          </w:p>
        </w:tc>
      </w:tr>
      <w:tr w:rsidR="00C24B0F" w:rsidRPr="00C24B0F" w14:paraId="31552B37" w14:textId="77777777" w:rsidTr="00A112F4">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CFC94"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F2B925"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59230"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5847" w:type="dxa"/>
            <w:tcBorders>
              <w:top w:val="single" w:sz="4" w:space="0" w:color="auto"/>
              <w:left w:val="single" w:sz="4" w:space="0" w:color="auto"/>
              <w:bottom w:val="single" w:sz="4" w:space="0" w:color="auto"/>
              <w:right w:val="single" w:sz="4" w:space="0" w:color="auto"/>
            </w:tcBorders>
            <w:hideMark/>
          </w:tcPr>
          <w:p w14:paraId="3CB61BCC"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Difficulty in the work of international law enforcement organizations in combating general crime. Technical difficulty in managing Lawful Interception (LI) activities.</w:t>
            </w:r>
          </w:p>
        </w:tc>
      </w:tr>
      <w:tr w:rsidR="00C24B0F" w:rsidRPr="00C24B0F" w14:paraId="00D5199F" w14:textId="77777777" w:rsidTr="00A112F4">
        <w:trPr>
          <w:trHeight w:val="2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7A91C"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CF5FA1" w14:textId="77777777" w:rsidR="00C24B0F" w:rsidRPr="00C24B0F" w:rsidRDefault="00C24B0F" w:rsidP="00C24B0F">
            <w:pPr>
              <w:spacing w:after="120" w:line="240" w:lineRule="auto"/>
              <w:rPr>
                <w:rFonts w:ascii="Calibri" w:eastAsia="Calibri" w:hAnsi="Calibri" w:cs="Times New Roman"/>
                <w:b/>
                <w:sz w:val="24"/>
                <w:szCs w:val="24"/>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946FC4"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5847" w:type="dxa"/>
            <w:tcBorders>
              <w:top w:val="single" w:sz="4" w:space="0" w:color="auto"/>
              <w:left w:val="single" w:sz="4" w:space="0" w:color="auto"/>
              <w:bottom w:val="single" w:sz="4" w:space="0" w:color="auto"/>
              <w:right w:val="single" w:sz="4" w:space="0" w:color="auto"/>
            </w:tcBorders>
            <w:hideMark/>
          </w:tcPr>
          <w:p w14:paraId="61908898"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r w:rsidRPr="00C24B0F">
              <w:rPr>
                <w:rFonts w:ascii="Calibri" w:eastAsia="Times New Roman" w:hAnsi="Calibri" w:cs="Times New Roman"/>
                <w:sz w:val="24"/>
                <w:szCs w:val="24"/>
                <w:lang w:val="en-US" w:eastAsia="en-US"/>
              </w:rPr>
              <w:t>Difficulty to block services with illegal content by communication service providers</w:t>
            </w:r>
          </w:p>
        </w:tc>
      </w:tr>
      <w:tr w:rsidR="00C24B0F" w:rsidRPr="00C24B0F" w14:paraId="5ABE765D" w14:textId="77777777" w:rsidTr="00C24B0F">
        <w:trPr>
          <w:cantSplit/>
        </w:trPr>
        <w:tc>
          <w:tcPr>
            <w:tcW w:w="687" w:type="dxa"/>
            <w:tcBorders>
              <w:top w:val="single" w:sz="4" w:space="0" w:color="auto"/>
              <w:left w:val="single" w:sz="4" w:space="0" w:color="auto"/>
              <w:bottom w:val="single" w:sz="4" w:space="0" w:color="auto"/>
              <w:right w:val="single" w:sz="4" w:space="0" w:color="auto"/>
            </w:tcBorders>
          </w:tcPr>
          <w:p w14:paraId="0A44998B" w14:textId="77777777" w:rsidR="00C24B0F" w:rsidRPr="00C24B0F" w:rsidRDefault="00C24B0F" w:rsidP="00C24B0F">
            <w:pPr>
              <w:numPr>
                <w:ilvl w:val="0"/>
                <w:numId w:val="24"/>
              </w:numPr>
              <w:spacing w:after="120" w:line="240" w:lineRule="auto"/>
              <w:rPr>
                <w:rFonts w:ascii="Calibri" w:eastAsia="Times New Roman" w:hAnsi="Calibri" w:cs="Times New Roman"/>
                <w:sz w:val="24"/>
                <w:szCs w:val="24"/>
                <w:lang w:val="en-US" w:eastAsia="en-US"/>
              </w:rPr>
            </w:pPr>
          </w:p>
        </w:tc>
        <w:tc>
          <w:tcPr>
            <w:tcW w:w="3858" w:type="dxa"/>
            <w:tcBorders>
              <w:top w:val="single" w:sz="4" w:space="0" w:color="auto"/>
              <w:left w:val="single" w:sz="4" w:space="0" w:color="auto"/>
              <w:bottom w:val="single" w:sz="4" w:space="0" w:color="auto"/>
              <w:right w:val="single" w:sz="4" w:space="0" w:color="auto"/>
            </w:tcBorders>
            <w:hideMark/>
          </w:tcPr>
          <w:p w14:paraId="04C3267E" w14:textId="77777777" w:rsidR="00C24B0F" w:rsidRPr="00C24B0F" w:rsidRDefault="00C24B0F" w:rsidP="00C24B0F">
            <w:pPr>
              <w:spacing w:after="120" w:line="240" w:lineRule="auto"/>
              <w:rPr>
                <w:rFonts w:ascii="Calibri" w:eastAsia="Calibri" w:hAnsi="Calibri" w:cs="Times New Roman"/>
                <w:b/>
                <w:sz w:val="24"/>
                <w:szCs w:val="24"/>
                <w:lang w:val="en-US" w:eastAsia="en-US"/>
              </w:rPr>
            </w:pPr>
            <w:r w:rsidRPr="00C24B0F">
              <w:rPr>
                <w:rFonts w:ascii="Calibri" w:eastAsia="Times New Roman" w:hAnsi="Calibri" w:cs="Times New Roman"/>
                <w:b/>
                <w:sz w:val="24"/>
                <w:szCs w:val="24"/>
                <w:lang w:val="en-US" w:eastAsia="en-US"/>
              </w:rPr>
              <w:t>Lack of universal authentication/identification systems</w:t>
            </w:r>
          </w:p>
        </w:tc>
        <w:tc>
          <w:tcPr>
            <w:tcW w:w="4487" w:type="dxa"/>
            <w:tcBorders>
              <w:top w:val="single" w:sz="4" w:space="0" w:color="auto"/>
              <w:left w:val="single" w:sz="4" w:space="0" w:color="auto"/>
              <w:bottom w:val="single" w:sz="4" w:space="0" w:color="auto"/>
              <w:right w:val="single" w:sz="4" w:space="0" w:color="auto"/>
            </w:tcBorders>
          </w:tcPr>
          <w:p w14:paraId="4DA86935" w14:textId="77777777" w:rsidR="00C24B0F" w:rsidRPr="00C24B0F" w:rsidRDefault="00C24B0F" w:rsidP="00C24B0F">
            <w:pPr>
              <w:spacing w:after="120" w:line="240" w:lineRule="auto"/>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Impossibility to identify the source of illegal actions.</w:t>
            </w:r>
          </w:p>
          <w:p w14:paraId="50D8E5A4" w14:textId="77777777" w:rsidR="00C24B0F" w:rsidRPr="00C24B0F" w:rsidRDefault="00C24B0F" w:rsidP="00C24B0F">
            <w:pPr>
              <w:spacing w:after="120" w:line="240" w:lineRule="auto"/>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Impossibility to create globally the services that require “critical information” – medical data, financial services, etc.</w:t>
            </w:r>
          </w:p>
          <w:p w14:paraId="2BEE9C65" w14:textId="77777777" w:rsidR="00C24B0F" w:rsidRPr="00C24B0F" w:rsidRDefault="00C24B0F" w:rsidP="00C24B0F">
            <w:pPr>
              <w:spacing w:after="120" w:line="240" w:lineRule="auto"/>
              <w:rPr>
                <w:rFonts w:ascii="Calibri" w:eastAsia="Calibri" w:hAnsi="Calibri" w:cs="Times New Roman"/>
                <w:sz w:val="24"/>
                <w:szCs w:val="24"/>
                <w:lang w:val="en-US" w:eastAsia="en-US"/>
              </w:rPr>
            </w:pPr>
          </w:p>
        </w:tc>
        <w:tc>
          <w:tcPr>
            <w:tcW w:w="5847" w:type="dxa"/>
            <w:tcBorders>
              <w:top w:val="single" w:sz="4" w:space="0" w:color="auto"/>
              <w:left w:val="single" w:sz="4" w:space="0" w:color="auto"/>
              <w:bottom w:val="single" w:sz="4" w:space="0" w:color="auto"/>
              <w:right w:val="single" w:sz="4" w:space="0" w:color="auto"/>
            </w:tcBorders>
          </w:tcPr>
          <w:p w14:paraId="7BF2A408" w14:textId="77777777" w:rsidR="00C24B0F" w:rsidRPr="00C24B0F" w:rsidRDefault="00C24B0F" w:rsidP="00C24B0F">
            <w:pPr>
              <w:spacing w:after="120" w:line="240" w:lineRule="auto"/>
              <w:jc w:val="both"/>
              <w:rPr>
                <w:rFonts w:ascii="Calibri" w:eastAsia="Times New Roman" w:hAnsi="Calibri" w:cs="Times New Roman"/>
                <w:sz w:val="24"/>
                <w:szCs w:val="24"/>
                <w:lang w:val="en-US" w:eastAsia="en-US"/>
              </w:rPr>
            </w:pPr>
            <w:r w:rsidRPr="00C24B0F">
              <w:rPr>
                <w:rFonts w:ascii="Calibri" w:eastAsia="Times New Roman" w:hAnsi="Calibri" w:cs="Times New Roman"/>
                <w:sz w:val="24"/>
                <w:szCs w:val="24"/>
                <w:lang w:val="en-US" w:eastAsia="en-US"/>
              </w:rPr>
              <w:t xml:space="preserve">Potential risk of fraud, when attackers gain access to confidential information disguised as its owners. </w:t>
            </w:r>
          </w:p>
          <w:p w14:paraId="268BC2D7" w14:textId="77777777" w:rsidR="00C24B0F" w:rsidRPr="00C24B0F" w:rsidRDefault="00C24B0F" w:rsidP="00C24B0F">
            <w:pPr>
              <w:spacing w:after="120" w:line="240" w:lineRule="auto"/>
              <w:jc w:val="both"/>
              <w:rPr>
                <w:rFonts w:ascii="Calibri" w:eastAsia="Calibri" w:hAnsi="Calibri" w:cs="Times New Roman"/>
                <w:sz w:val="24"/>
                <w:szCs w:val="24"/>
                <w:lang w:val="en-US" w:eastAsia="en-US"/>
              </w:rPr>
            </w:pPr>
          </w:p>
        </w:tc>
      </w:tr>
    </w:tbl>
    <w:p w14:paraId="57CFB9D5" w14:textId="77777777" w:rsidR="00C24B0F" w:rsidRPr="00C24B0F" w:rsidRDefault="00C24B0F" w:rsidP="00C24B0F">
      <w:pPr>
        <w:tabs>
          <w:tab w:val="left" w:pos="794"/>
          <w:tab w:val="left" w:pos="1191"/>
          <w:tab w:val="left" w:pos="1588"/>
          <w:tab w:val="left" w:pos="1985"/>
        </w:tabs>
        <w:overflowPunct w:val="0"/>
        <w:autoSpaceDE w:val="0"/>
        <w:autoSpaceDN w:val="0"/>
        <w:adjustRightInd w:val="0"/>
        <w:spacing w:before="120" w:after="120" w:line="240" w:lineRule="auto"/>
        <w:jc w:val="center"/>
        <w:textAlignment w:val="baseline"/>
        <w:rPr>
          <w:rFonts w:ascii="Calibri" w:eastAsia="Calibri" w:hAnsi="Calibri" w:cs="Calibri"/>
          <w:color w:val="333333"/>
          <w:sz w:val="24"/>
          <w:szCs w:val="24"/>
          <w:shd w:val="clear" w:color="auto" w:fill="FFFFFF"/>
          <w:lang w:eastAsia="en-US"/>
        </w:rPr>
        <w:sectPr w:rsidR="00C24B0F" w:rsidRPr="00C24B0F" w:rsidSect="00695773">
          <w:pgSz w:w="16834" w:h="11907" w:orient="landscape"/>
          <w:pgMar w:top="1701" w:right="1134" w:bottom="850" w:left="1134" w:header="720" w:footer="720" w:gutter="0"/>
          <w:paperSrc w:first="15" w:other="15"/>
          <w:cols w:space="720"/>
          <w:titlePg/>
          <w:docGrid w:linePitch="326"/>
        </w:sectPr>
      </w:pPr>
    </w:p>
    <w:p w14:paraId="5718F75F" w14:textId="77777777" w:rsidR="00C24B0F" w:rsidRPr="00C24B0F" w:rsidRDefault="00C24B0F" w:rsidP="00C24B0F">
      <w:pPr>
        <w:spacing w:before="120" w:after="120" w:line="240" w:lineRule="auto"/>
        <w:ind w:firstLine="709"/>
        <w:contextualSpacing/>
        <w:jc w:val="right"/>
        <w:rPr>
          <w:rFonts w:ascii="Calibri" w:eastAsia="Calibri" w:hAnsi="Calibri" w:cs="Calibri"/>
          <w:color w:val="333333"/>
          <w:sz w:val="24"/>
          <w:szCs w:val="24"/>
          <w:shd w:val="clear" w:color="auto" w:fill="FFFFFF"/>
          <w:lang w:val="en-US" w:eastAsia="en-US"/>
        </w:rPr>
      </w:pPr>
      <w:r w:rsidRPr="00C24B0F">
        <w:rPr>
          <w:rFonts w:ascii="Calibri" w:eastAsia="Calibri" w:hAnsi="Calibri" w:cs="Calibri"/>
          <w:color w:val="333333"/>
          <w:sz w:val="24"/>
          <w:szCs w:val="24"/>
          <w:shd w:val="clear" w:color="auto" w:fill="FFFFFF"/>
          <w:lang w:val="en-US" w:eastAsia="en-US"/>
        </w:rPr>
        <w:lastRenderedPageBreak/>
        <w:t>Appendix 2</w:t>
      </w:r>
    </w:p>
    <w:p w14:paraId="73D6CCED" w14:textId="77777777" w:rsidR="00C24B0F" w:rsidRPr="00C24B0F" w:rsidRDefault="00C24B0F" w:rsidP="00C24B0F">
      <w:pPr>
        <w:spacing w:before="120" w:after="120" w:line="240" w:lineRule="auto"/>
        <w:ind w:firstLine="709"/>
        <w:contextualSpacing/>
        <w:jc w:val="right"/>
        <w:rPr>
          <w:rFonts w:ascii="Calibri" w:eastAsia="Calibri" w:hAnsi="Calibri" w:cs="Calibri"/>
          <w:color w:val="333333"/>
          <w:sz w:val="24"/>
          <w:szCs w:val="24"/>
          <w:shd w:val="clear" w:color="auto" w:fill="FFFFFF"/>
          <w:lang w:val="en-US" w:eastAsia="en-US"/>
        </w:rPr>
      </w:pPr>
    </w:p>
    <w:p w14:paraId="1280A300" w14:textId="77777777" w:rsidR="00C24B0F" w:rsidRPr="00C24B0F" w:rsidRDefault="00C24B0F" w:rsidP="00C24B0F">
      <w:pPr>
        <w:tabs>
          <w:tab w:val="left" w:pos="708"/>
          <w:tab w:val="left" w:pos="794"/>
          <w:tab w:val="left" w:pos="1191"/>
          <w:tab w:val="left" w:pos="1588"/>
          <w:tab w:val="left" w:pos="1985"/>
        </w:tabs>
        <w:autoSpaceDN w:val="0"/>
        <w:spacing w:before="120" w:after="120" w:line="240" w:lineRule="auto"/>
        <w:contextualSpacing/>
        <w:jc w:val="right"/>
        <w:textAlignment w:val="baseline"/>
        <w:rPr>
          <w:rFonts w:ascii="Calibri" w:eastAsia="Calibri" w:hAnsi="Calibri" w:cs="Calibri"/>
          <w:color w:val="333333"/>
          <w:sz w:val="24"/>
          <w:szCs w:val="24"/>
          <w:shd w:val="clear" w:color="auto" w:fill="FFFFFF"/>
          <w:lang w:val="en-US" w:eastAsia="en-US"/>
        </w:rPr>
      </w:pPr>
      <w:r w:rsidRPr="00C24B0F">
        <w:rPr>
          <w:rFonts w:ascii="Calibri" w:eastAsia="Calibri" w:hAnsi="Calibri" w:cs="Calibri"/>
          <w:noProof/>
          <w:color w:val="333333"/>
          <w:sz w:val="24"/>
          <w:szCs w:val="24"/>
          <w:shd w:val="clear" w:color="auto" w:fill="FFFFFF"/>
          <w:lang w:val="ru-RU" w:eastAsia="ru-RU"/>
        </w:rPr>
        <w:drawing>
          <wp:inline distT="0" distB="0" distL="0" distR="0" wp14:anchorId="55E681DD" wp14:editId="0710DBF2">
            <wp:extent cx="5943600" cy="8393430"/>
            <wp:effectExtent l="19050" t="19050" r="19050" b="26670"/>
            <wp:docPr id="3" name="Рисунок 3" descr="CWG_Internet_RUS_Contribution 1_eng_annex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WG_Internet_RUS_Contribution 1_eng_annex_Страница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8393430"/>
                    </a:xfrm>
                    <a:prstGeom prst="rect">
                      <a:avLst/>
                    </a:prstGeom>
                    <a:noFill/>
                    <a:ln w="9525" cmpd="sng">
                      <a:solidFill>
                        <a:srgbClr val="000000"/>
                      </a:solidFill>
                      <a:miter lim="800000"/>
                      <a:headEnd/>
                      <a:tailEnd/>
                    </a:ln>
                    <a:effectLst/>
                  </pic:spPr>
                </pic:pic>
              </a:graphicData>
            </a:graphic>
          </wp:inline>
        </w:drawing>
      </w:r>
    </w:p>
    <w:p w14:paraId="6BF9F710" w14:textId="77777777" w:rsidR="00C24B0F" w:rsidRPr="00C24B0F" w:rsidRDefault="00C24B0F" w:rsidP="00C24B0F">
      <w:pPr>
        <w:tabs>
          <w:tab w:val="left" w:pos="708"/>
          <w:tab w:val="left" w:pos="794"/>
          <w:tab w:val="left" w:pos="1191"/>
          <w:tab w:val="left" w:pos="1588"/>
          <w:tab w:val="left" w:pos="1985"/>
        </w:tabs>
        <w:autoSpaceDN w:val="0"/>
        <w:spacing w:before="120" w:after="120" w:line="240" w:lineRule="auto"/>
        <w:contextualSpacing/>
        <w:jc w:val="right"/>
        <w:textAlignment w:val="baseline"/>
        <w:rPr>
          <w:rFonts w:ascii="Calibri" w:eastAsia="Calibri" w:hAnsi="Calibri" w:cs="Calibri"/>
          <w:color w:val="333333"/>
          <w:sz w:val="24"/>
          <w:szCs w:val="24"/>
          <w:shd w:val="clear" w:color="auto" w:fill="FFFFFF"/>
          <w:lang w:val="en-US" w:eastAsia="en-US"/>
        </w:rPr>
      </w:pPr>
    </w:p>
    <w:p w14:paraId="6F880643" w14:textId="77777777" w:rsidR="00C24B0F" w:rsidRPr="00C24B0F" w:rsidRDefault="00C24B0F" w:rsidP="00C24B0F">
      <w:pPr>
        <w:tabs>
          <w:tab w:val="left" w:pos="708"/>
          <w:tab w:val="left" w:pos="794"/>
          <w:tab w:val="left" w:pos="1191"/>
          <w:tab w:val="left" w:pos="1588"/>
          <w:tab w:val="left" w:pos="1985"/>
        </w:tabs>
        <w:autoSpaceDN w:val="0"/>
        <w:spacing w:before="120" w:after="120" w:line="240" w:lineRule="auto"/>
        <w:contextualSpacing/>
        <w:jc w:val="right"/>
        <w:textAlignment w:val="baseline"/>
        <w:rPr>
          <w:rFonts w:ascii="Calibri" w:eastAsia="Calibri" w:hAnsi="Calibri" w:cs="Calibri"/>
          <w:color w:val="333333"/>
          <w:sz w:val="24"/>
          <w:szCs w:val="24"/>
          <w:shd w:val="clear" w:color="auto" w:fill="FFFFFF"/>
          <w:lang w:val="en-US" w:eastAsia="en-US"/>
        </w:rPr>
      </w:pPr>
    </w:p>
    <w:p w14:paraId="50653672" w14:textId="77777777" w:rsidR="00C24B0F" w:rsidRPr="00C24B0F" w:rsidRDefault="00C24B0F" w:rsidP="00C24B0F">
      <w:pPr>
        <w:tabs>
          <w:tab w:val="left" w:pos="708"/>
          <w:tab w:val="left" w:pos="794"/>
          <w:tab w:val="left" w:pos="1191"/>
          <w:tab w:val="left" w:pos="1588"/>
          <w:tab w:val="left" w:pos="1985"/>
        </w:tabs>
        <w:autoSpaceDN w:val="0"/>
        <w:spacing w:before="120" w:after="120" w:line="240" w:lineRule="auto"/>
        <w:contextualSpacing/>
        <w:jc w:val="right"/>
        <w:textAlignment w:val="baseline"/>
        <w:rPr>
          <w:rFonts w:ascii="Calibri" w:eastAsia="Calibri" w:hAnsi="Calibri" w:cs="Calibri"/>
          <w:color w:val="333333"/>
          <w:sz w:val="24"/>
          <w:szCs w:val="24"/>
          <w:shd w:val="clear" w:color="auto" w:fill="FFFFFF"/>
          <w:lang w:val="en-US" w:eastAsia="en-US"/>
        </w:rPr>
      </w:pPr>
      <w:r w:rsidRPr="00C24B0F">
        <w:rPr>
          <w:rFonts w:ascii="Calibri" w:eastAsia="Calibri" w:hAnsi="Calibri" w:cs="Calibri"/>
          <w:noProof/>
          <w:color w:val="333333"/>
          <w:sz w:val="24"/>
          <w:szCs w:val="24"/>
          <w:shd w:val="clear" w:color="auto" w:fill="FFFFFF"/>
          <w:lang w:val="ru-RU" w:eastAsia="ru-RU"/>
        </w:rPr>
        <w:lastRenderedPageBreak/>
        <w:drawing>
          <wp:inline distT="0" distB="0" distL="0" distR="0" wp14:anchorId="2CD29288" wp14:editId="254C270D">
            <wp:extent cx="5943600" cy="8393430"/>
            <wp:effectExtent l="19050" t="19050" r="19050" b="26670"/>
            <wp:docPr id="2" name="Рисунок 1" descr="CWG_Internet_RUS_Contribution 1_eng_annex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WG_Internet_RUS_Contribution 1_eng_annex_Страница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393430"/>
                    </a:xfrm>
                    <a:prstGeom prst="rect">
                      <a:avLst/>
                    </a:prstGeom>
                    <a:noFill/>
                    <a:ln w="9525" cmpd="sng">
                      <a:solidFill>
                        <a:srgbClr val="000000"/>
                      </a:solidFill>
                      <a:miter lim="800000"/>
                      <a:headEnd/>
                      <a:tailEnd/>
                    </a:ln>
                    <a:effectLst/>
                  </pic:spPr>
                </pic:pic>
              </a:graphicData>
            </a:graphic>
          </wp:inline>
        </w:drawing>
      </w:r>
    </w:p>
    <w:p w14:paraId="4E912AFE" w14:textId="3E910DD4" w:rsidR="00877393" w:rsidRPr="003370ED" w:rsidRDefault="00956161" w:rsidP="00956161">
      <w:pPr>
        <w:spacing w:before="840" w:after="0" w:line="240" w:lineRule="auto"/>
        <w:jc w:val="center"/>
        <w:rPr>
          <w:sz w:val="24"/>
          <w:szCs w:val="24"/>
        </w:rPr>
      </w:pPr>
      <w:bookmarkStart w:id="0" w:name="_Hlk80605366"/>
      <w:r w:rsidRPr="00956161">
        <w:rPr>
          <w:rFonts w:ascii="Calibri" w:eastAsia="Times New Roman" w:hAnsi="Calibri" w:cs="Calibri"/>
          <w:color w:val="000000"/>
          <w:lang w:eastAsia="fr-CH"/>
        </w:rPr>
        <w:t>________________</w:t>
      </w:r>
      <w:bookmarkEnd w:id="0"/>
    </w:p>
    <w:sectPr w:rsidR="00877393" w:rsidRPr="003370ED" w:rsidSect="00FE392A">
      <w:headerReference w:type="default" r:id="rId13"/>
      <w:footerReference w:type="first" r:id="rId14"/>
      <w:pgSz w:w="11907" w:h="16834" w:code="9"/>
      <w:pgMar w:top="1134" w:right="1134" w:bottom="1134"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683CF" w14:textId="77777777" w:rsidR="00DB6DC2" w:rsidRDefault="00DB6DC2">
      <w:r>
        <w:separator/>
      </w:r>
    </w:p>
  </w:endnote>
  <w:endnote w:type="continuationSeparator" w:id="0">
    <w:p w14:paraId="7500D0ED" w14:textId="77777777" w:rsidR="00DB6DC2" w:rsidRDefault="00DB6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8C43" w14:textId="77777777" w:rsidR="00C24B0F" w:rsidRDefault="00C24B0F" w:rsidP="00F61486">
    <w:pPr>
      <w:spacing w:after="120"/>
      <w:jc w:val="center"/>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E0A7B" w14:textId="77777777" w:rsidR="002238C4" w:rsidRDefault="002238C4" w:rsidP="002238C4">
    <w:pPr>
      <w:spacing w:after="120"/>
      <w:jc w:val="center"/>
      <w:rPr>
        <w:lang w:val="es-ES"/>
      </w:rPr>
    </w:pPr>
    <w:r>
      <w:rPr>
        <w:lang w:val="es-ES"/>
      </w:rPr>
      <w:t xml:space="preserve">• </w:t>
    </w:r>
    <w:hyperlink r:id="rId1" w:history="1">
      <w:r w:rsidRPr="00C24B0F">
        <w:rPr>
          <w:rStyle w:val="Hyperlink"/>
          <w:rFonts w:cs="Calibri"/>
          <w:lang w:val="es-ES"/>
        </w:rPr>
        <w:t>http://www.itu.int/council</w:t>
      </w:r>
    </w:hyperlink>
    <w:r>
      <w:rPr>
        <w:lang w:val="es-E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7884F" w14:textId="77777777" w:rsidR="00DB6DC2" w:rsidRDefault="00DB6DC2">
      <w:r>
        <w:t>____________________</w:t>
      </w:r>
    </w:p>
  </w:footnote>
  <w:footnote w:type="continuationSeparator" w:id="0">
    <w:p w14:paraId="0F4F7803" w14:textId="77777777" w:rsidR="00DB6DC2" w:rsidRDefault="00DB6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2E7AD" w14:textId="77777777" w:rsidR="00C24B0F" w:rsidRPr="00E64452" w:rsidRDefault="00C24B0F" w:rsidP="00E64452">
    <w:pPr>
      <w:pStyle w:val="Header"/>
      <w:rPr>
        <w:rFonts w:cstheme="minorHAnsi"/>
      </w:rPr>
    </w:pPr>
    <w:r w:rsidRPr="00EE5E32">
      <w:rPr>
        <w:rFonts w:cstheme="minorHAnsi"/>
      </w:rPr>
      <w:t xml:space="preserve">- </w:t>
    </w:r>
    <w:r w:rsidRPr="00EE5E32">
      <w:rPr>
        <w:rFonts w:cstheme="minorHAnsi"/>
      </w:rPr>
      <w:fldChar w:fldCharType="begin"/>
    </w:r>
    <w:r w:rsidRPr="00EE5E32">
      <w:rPr>
        <w:rFonts w:cstheme="minorHAnsi"/>
      </w:rPr>
      <w:instrText>PAGE</w:instrText>
    </w:r>
    <w:r w:rsidRPr="00EE5E32">
      <w:rPr>
        <w:rFonts w:cstheme="minorHAnsi"/>
      </w:rPr>
      <w:fldChar w:fldCharType="separate"/>
    </w:r>
    <w:r>
      <w:rPr>
        <w:rFonts w:cstheme="minorHAnsi"/>
        <w:noProof/>
      </w:rPr>
      <w:t>3</w:t>
    </w:r>
    <w:r w:rsidRPr="00EE5E32">
      <w:rPr>
        <w:rFonts w:cstheme="minorHAnsi"/>
      </w:rPr>
      <w:fldChar w:fldCharType="end"/>
    </w:r>
    <w:r w:rsidRPr="00EE5E32">
      <w:rPr>
        <w:rFonts w:cstheme="minorHAns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E526" w14:textId="10B08372" w:rsidR="00542BAB" w:rsidRDefault="00542BAB" w:rsidP="000854C6">
    <w:pPr>
      <w:pStyle w:val="Header"/>
      <w:spacing w:after="120"/>
    </w:pPr>
    <w:r>
      <w:fldChar w:fldCharType="begin"/>
    </w:r>
    <w:r>
      <w:instrText xml:space="preserve"> PAGE   \* MERGEFORMAT </w:instrText>
    </w:r>
    <w:r>
      <w:fldChar w:fldCharType="separate"/>
    </w:r>
    <w:r w:rsidR="001B1941">
      <w:rPr>
        <w:noProof/>
      </w:rPr>
      <w:t>2</w:t>
    </w:r>
    <w:r>
      <w:rPr>
        <w:noProof/>
      </w:rPr>
      <w:fldChar w:fldCharType="end"/>
    </w:r>
    <w:r>
      <w:rPr>
        <w:noProof/>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DAD3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DC9B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BF096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D8F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4265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EE33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D2DE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86AF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445C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2824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2A15F1"/>
    <w:multiLevelType w:val="hybridMultilevel"/>
    <w:tmpl w:val="E51ADA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E823FFE"/>
    <w:multiLevelType w:val="hybridMultilevel"/>
    <w:tmpl w:val="F192F9D2"/>
    <w:lvl w:ilvl="0" w:tplc="AAC85838">
      <w:start w:val="1"/>
      <w:numFmt w:val="lowerLetter"/>
      <w:lvlText w:val="%1)"/>
      <w:lvlJc w:val="left"/>
      <w:pPr>
        <w:ind w:left="931" w:hanging="57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F52473"/>
    <w:multiLevelType w:val="multilevel"/>
    <w:tmpl w:val="F1AC0A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B5E1726"/>
    <w:multiLevelType w:val="hybridMultilevel"/>
    <w:tmpl w:val="F1A60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6E2391"/>
    <w:multiLevelType w:val="hybridMultilevel"/>
    <w:tmpl w:val="4A66B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DBA6547"/>
    <w:multiLevelType w:val="hybridMultilevel"/>
    <w:tmpl w:val="4DFE797E"/>
    <w:lvl w:ilvl="0" w:tplc="AAC85838">
      <w:start w:val="1"/>
      <w:numFmt w:val="lowerLetter"/>
      <w:lvlText w:val="%1)"/>
      <w:lvlJc w:val="left"/>
      <w:pPr>
        <w:ind w:left="931" w:hanging="57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D9F4808"/>
    <w:multiLevelType w:val="hybridMultilevel"/>
    <w:tmpl w:val="29503436"/>
    <w:lvl w:ilvl="0" w:tplc="4BEE5542">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3E643A"/>
    <w:multiLevelType w:val="hybridMultilevel"/>
    <w:tmpl w:val="408805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357F85"/>
    <w:multiLevelType w:val="multilevel"/>
    <w:tmpl w:val="8198131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FF000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44275D08"/>
    <w:multiLevelType w:val="hybridMultilevel"/>
    <w:tmpl w:val="056A2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C9066D"/>
    <w:multiLevelType w:val="hybridMultilevel"/>
    <w:tmpl w:val="D316AE1C"/>
    <w:lvl w:ilvl="0" w:tplc="440C0FAE">
      <w:start w:val="1"/>
      <w:numFmt w:val="decimal"/>
      <w:lvlText w:val="Z%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1" w15:restartNumberingAfterBreak="0">
    <w:nsid w:val="5D891196"/>
    <w:multiLevelType w:val="hybridMultilevel"/>
    <w:tmpl w:val="4A66B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6D54467"/>
    <w:multiLevelType w:val="hybridMultilevel"/>
    <w:tmpl w:val="C95E9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774F28"/>
    <w:multiLevelType w:val="multilevel"/>
    <w:tmpl w:val="F1AC0A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BAD6EE8"/>
    <w:multiLevelType w:val="hybridMultilevel"/>
    <w:tmpl w:val="07ACC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20"/>
  </w:num>
  <w:num w:numId="3">
    <w:abstractNumId w:val="11"/>
  </w:num>
  <w:num w:numId="4">
    <w:abstractNumId w:val="15"/>
  </w:num>
  <w:num w:numId="5">
    <w:abstractNumId w:val="24"/>
  </w:num>
  <w:num w:numId="6">
    <w:abstractNumId w:val="12"/>
  </w:num>
  <w:num w:numId="7">
    <w:abstractNumId w:val="23"/>
  </w:num>
  <w:num w:numId="8">
    <w:abstractNumId w:val="18"/>
  </w:num>
  <w:num w:numId="9">
    <w:abstractNumId w:val="13"/>
  </w:num>
  <w:num w:numId="10">
    <w:abstractNumId w:val="10"/>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7"/>
  </w:num>
  <w:num w:numId="21">
    <w:abstractNumId w:val="19"/>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8C5"/>
    <w:rsid w:val="0000609D"/>
    <w:rsid w:val="00026813"/>
    <w:rsid w:val="00030247"/>
    <w:rsid w:val="0003420F"/>
    <w:rsid w:val="0005540C"/>
    <w:rsid w:val="00063016"/>
    <w:rsid w:val="00066DF5"/>
    <w:rsid w:val="00076AF6"/>
    <w:rsid w:val="00083635"/>
    <w:rsid w:val="000854C6"/>
    <w:rsid w:val="00085CF2"/>
    <w:rsid w:val="000915E5"/>
    <w:rsid w:val="000950D1"/>
    <w:rsid w:val="000B1705"/>
    <w:rsid w:val="000C0529"/>
    <w:rsid w:val="000C2903"/>
    <w:rsid w:val="000C2F74"/>
    <w:rsid w:val="000C37C9"/>
    <w:rsid w:val="000D75B2"/>
    <w:rsid w:val="000E01F5"/>
    <w:rsid w:val="001121F5"/>
    <w:rsid w:val="00140CE1"/>
    <w:rsid w:val="00143690"/>
    <w:rsid w:val="00144165"/>
    <w:rsid w:val="0016020C"/>
    <w:rsid w:val="00171F42"/>
    <w:rsid w:val="0017539C"/>
    <w:rsid w:val="00175AC2"/>
    <w:rsid w:val="0017609F"/>
    <w:rsid w:val="00195328"/>
    <w:rsid w:val="001B1941"/>
    <w:rsid w:val="001C628E"/>
    <w:rsid w:val="001E0F7B"/>
    <w:rsid w:val="001F4FF7"/>
    <w:rsid w:val="001F7552"/>
    <w:rsid w:val="002119FD"/>
    <w:rsid w:val="002130E0"/>
    <w:rsid w:val="00221C8F"/>
    <w:rsid w:val="002238C4"/>
    <w:rsid w:val="002303BC"/>
    <w:rsid w:val="0025471D"/>
    <w:rsid w:val="00256D0F"/>
    <w:rsid w:val="00257BDE"/>
    <w:rsid w:val="00265875"/>
    <w:rsid w:val="00265977"/>
    <w:rsid w:val="002667C5"/>
    <w:rsid w:val="0027303B"/>
    <w:rsid w:val="0028109B"/>
    <w:rsid w:val="00293DE5"/>
    <w:rsid w:val="00295397"/>
    <w:rsid w:val="002B1870"/>
    <w:rsid w:val="002B1F58"/>
    <w:rsid w:val="002C1C7A"/>
    <w:rsid w:val="002C22D5"/>
    <w:rsid w:val="002C5285"/>
    <w:rsid w:val="002D1E7F"/>
    <w:rsid w:val="002D494F"/>
    <w:rsid w:val="0030160F"/>
    <w:rsid w:val="0032195E"/>
    <w:rsid w:val="00322D0D"/>
    <w:rsid w:val="00326D48"/>
    <w:rsid w:val="0033276E"/>
    <w:rsid w:val="003370ED"/>
    <w:rsid w:val="00337854"/>
    <w:rsid w:val="00337CE2"/>
    <w:rsid w:val="003439CB"/>
    <w:rsid w:val="003662CE"/>
    <w:rsid w:val="003735DF"/>
    <w:rsid w:val="0037461E"/>
    <w:rsid w:val="00375F3C"/>
    <w:rsid w:val="0038108D"/>
    <w:rsid w:val="00384DD6"/>
    <w:rsid w:val="0039110F"/>
    <w:rsid w:val="003914A7"/>
    <w:rsid w:val="003942D4"/>
    <w:rsid w:val="003958A8"/>
    <w:rsid w:val="003A71C2"/>
    <w:rsid w:val="003C0228"/>
    <w:rsid w:val="003C2533"/>
    <w:rsid w:val="003D15D8"/>
    <w:rsid w:val="003D6F32"/>
    <w:rsid w:val="003E10DE"/>
    <w:rsid w:val="0040435A"/>
    <w:rsid w:val="00407B9C"/>
    <w:rsid w:val="00415736"/>
    <w:rsid w:val="00416A24"/>
    <w:rsid w:val="00431D9E"/>
    <w:rsid w:val="00433805"/>
    <w:rsid w:val="00433CE8"/>
    <w:rsid w:val="0043412A"/>
    <w:rsid w:val="00434145"/>
    <w:rsid w:val="00434A5C"/>
    <w:rsid w:val="00437504"/>
    <w:rsid w:val="004449F3"/>
    <w:rsid w:val="00451A5A"/>
    <w:rsid w:val="0045337A"/>
    <w:rsid w:val="004535DE"/>
    <w:rsid w:val="004544D9"/>
    <w:rsid w:val="004617B3"/>
    <w:rsid w:val="0046438A"/>
    <w:rsid w:val="004648CF"/>
    <w:rsid w:val="00480571"/>
    <w:rsid w:val="004841B7"/>
    <w:rsid w:val="00490E72"/>
    <w:rsid w:val="004921C8"/>
    <w:rsid w:val="0049335F"/>
    <w:rsid w:val="004A29FF"/>
    <w:rsid w:val="004A45DD"/>
    <w:rsid w:val="004B0FC9"/>
    <w:rsid w:val="004B5D1C"/>
    <w:rsid w:val="004D0B58"/>
    <w:rsid w:val="004D0C40"/>
    <w:rsid w:val="004D1851"/>
    <w:rsid w:val="004D599D"/>
    <w:rsid w:val="004E2EA5"/>
    <w:rsid w:val="004E3AEB"/>
    <w:rsid w:val="00500C7D"/>
    <w:rsid w:val="00501014"/>
    <w:rsid w:val="0050223C"/>
    <w:rsid w:val="005243FF"/>
    <w:rsid w:val="00536EA7"/>
    <w:rsid w:val="00542AE7"/>
    <w:rsid w:val="00542BAB"/>
    <w:rsid w:val="00544CA6"/>
    <w:rsid w:val="005467AE"/>
    <w:rsid w:val="005471D2"/>
    <w:rsid w:val="00564FBC"/>
    <w:rsid w:val="00574E97"/>
    <w:rsid w:val="0057569B"/>
    <w:rsid w:val="00582442"/>
    <w:rsid w:val="0058499C"/>
    <w:rsid w:val="005A3B8A"/>
    <w:rsid w:val="005B4351"/>
    <w:rsid w:val="005C37A0"/>
    <w:rsid w:val="005D32DC"/>
    <w:rsid w:val="005D6131"/>
    <w:rsid w:val="005F2D25"/>
    <w:rsid w:val="005F40A4"/>
    <w:rsid w:val="00605347"/>
    <w:rsid w:val="006535F1"/>
    <w:rsid w:val="0065557D"/>
    <w:rsid w:val="00662984"/>
    <w:rsid w:val="006716BB"/>
    <w:rsid w:val="006771E7"/>
    <w:rsid w:val="006B472C"/>
    <w:rsid w:val="006B6DCC"/>
    <w:rsid w:val="006B7318"/>
    <w:rsid w:val="006C7699"/>
    <w:rsid w:val="006D3B24"/>
    <w:rsid w:val="006D3B29"/>
    <w:rsid w:val="00733B71"/>
    <w:rsid w:val="00741793"/>
    <w:rsid w:val="0075051B"/>
    <w:rsid w:val="00763E73"/>
    <w:rsid w:val="00782C0B"/>
    <w:rsid w:val="00790142"/>
    <w:rsid w:val="007901DA"/>
    <w:rsid w:val="00794D34"/>
    <w:rsid w:val="007A34B1"/>
    <w:rsid w:val="007C116C"/>
    <w:rsid w:val="007C2E8B"/>
    <w:rsid w:val="007D134F"/>
    <w:rsid w:val="007D7FD5"/>
    <w:rsid w:val="00813E5E"/>
    <w:rsid w:val="0081547A"/>
    <w:rsid w:val="00820BAF"/>
    <w:rsid w:val="0083581B"/>
    <w:rsid w:val="00855BA7"/>
    <w:rsid w:val="00864AFF"/>
    <w:rsid w:val="008662BD"/>
    <w:rsid w:val="00877393"/>
    <w:rsid w:val="008911FB"/>
    <w:rsid w:val="0089474C"/>
    <w:rsid w:val="008A16A8"/>
    <w:rsid w:val="008B4A6A"/>
    <w:rsid w:val="008C7E27"/>
    <w:rsid w:val="008E3733"/>
    <w:rsid w:val="008F1108"/>
    <w:rsid w:val="008F3912"/>
    <w:rsid w:val="00915A48"/>
    <w:rsid w:val="00917052"/>
    <w:rsid w:val="009173EF"/>
    <w:rsid w:val="00923A1B"/>
    <w:rsid w:val="00926B92"/>
    <w:rsid w:val="00932906"/>
    <w:rsid w:val="00933CC0"/>
    <w:rsid w:val="00933E81"/>
    <w:rsid w:val="00944BC2"/>
    <w:rsid w:val="00956161"/>
    <w:rsid w:val="00961B0B"/>
    <w:rsid w:val="00965A18"/>
    <w:rsid w:val="00987D95"/>
    <w:rsid w:val="00996E42"/>
    <w:rsid w:val="009A4E24"/>
    <w:rsid w:val="009A56C8"/>
    <w:rsid w:val="009B38C3"/>
    <w:rsid w:val="009C6A0F"/>
    <w:rsid w:val="009D629C"/>
    <w:rsid w:val="009E17BD"/>
    <w:rsid w:val="00A04CEC"/>
    <w:rsid w:val="00A27F92"/>
    <w:rsid w:val="00A30574"/>
    <w:rsid w:val="00A32257"/>
    <w:rsid w:val="00A36066"/>
    <w:rsid w:val="00A36D20"/>
    <w:rsid w:val="00A462B5"/>
    <w:rsid w:val="00A54FD8"/>
    <w:rsid w:val="00A550D1"/>
    <w:rsid w:val="00A55622"/>
    <w:rsid w:val="00A56000"/>
    <w:rsid w:val="00A620DA"/>
    <w:rsid w:val="00A83502"/>
    <w:rsid w:val="00AA0BEA"/>
    <w:rsid w:val="00AB2815"/>
    <w:rsid w:val="00AB393C"/>
    <w:rsid w:val="00AC393D"/>
    <w:rsid w:val="00AF6E49"/>
    <w:rsid w:val="00B04A67"/>
    <w:rsid w:val="00B0583C"/>
    <w:rsid w:val="00B131C2"/>
    <w:rsid w:val="00B36E39"/>
    <w:rsid w:val="00B40A81"/>
    <w:rsid w:val="00B447F3"/>
    <w:rsid w:val="00B44910"/>
    <w:rsid w:val="00B47B8F"/>
    <w:rsid w:val="00B71F52"/>
    <w:rsid w:val="00B72267"/>
    <w:rsid w:val="00B769F8"/>
    <w:rsid w:val="00B76EB6"/>
    <w:rsid w:val="00B824C8"/>
    <w:rsid w:val="00B85905"/>
    <w:rsid w:val="00BA74C0"/>
    <w:rsid w:val="00BB1653"/>
    <w:rsid w:val="00BC251A"/>
    <w:rsid w:val="00BD032B"/>
    <w:rsid w:val="00BD6810"/>
    <w:rsid w:val="00BE2640"/>
    <w:rsid w:val="00BE30A1"/>
    <w:rsid w:val="00BF27F0"/>
    <w:rsid w:val="00C01189"/>
    <w:rsid w:val="00C03DBE"/>
    <w:rsid w:val="00C10E06"/>
    <w:rsid w:val="00C11946"/>
    <w:rsid w:val="00C24B0F"/>
    <w:rsid w:val="00C26704"/>
    <w:rsid w:val="00C374DE"/>
    <w:rsid w:val="00C37D85"/>
    <w:rsid w:val="00C413A2"/>
    <w:rsid w:val="00C47AD4"/>
    <w:rsid w:val="00C52D81"/>
    <w:rsid w:val="00C55198"/>
    <w:rsid w:val="00C664FA"/>
    <w:rsid w:val="00C7265C"/>
    <w:rsid w:val="00C8040F"/>
    <w:rsid w:val="00CA6393"/>
    <w:rsid w:val="00CB18FF"/>
    <w:rsid w:val="00CC5EF0"/>
    <w:rsid w:val="00CD0C08"/>
    <w:rsid w:val="00CE03FB"/>
    <w:rsid w:val="00CE433C"/>
    <w:rsid w:val="00CF33F3"/>
    <w:rsid w:val="00D00FA2"/>
    <w:rsid w:val="00D0338D"/>
    <w:rsid w:val="00D06183"/>
    <w:rsid w:val="00D22C42"/>
    <w:rsid w:val="00D30768"/>
    <w:rsid w:val="00D3608E"/>
    <w:rsid w:val="00D65041"/>
    <w:rsid w:val="00D9148E"/>
    <w:rsid w:val="00D945E6"/>
    <w:rsid w:val="00DA51F3"/>
    <w:rsid w:val="00DA6905"/>
    <w:rsid w:val="00DB6DC2"/>
    <w:rsid w:val="00DE2B20"/>
    <w:rsid w:val="00DF0F5D"/>
    <w:rsid w:val="00E00F7D"/>
    <w:rsid w:val="00E10E80"/>
    <w:rsid w:val="00E124F0"/>
    <w:rsid w:val="00E378C5"/>
    <w:rsid w:val="00E53777"/>
    <w:rsid w:val="00E60F04"/>
    <w:rsid w:val="00E8113B"/>
    <w:rsid w:val="00E9013A"/>
    <w:rsid w:val="00EA48F9"/>
    <w:rsid w:val="00EB0D6F"/>
    <w:rsid w:val="00EB2232"/>
    <w:rsid w:val="00EB52A2"/>
    <w:rsid w:val="00EC1A42"/>
    <w:rsid w:val="00EC5337"/>
    <w:rsid w:val="00EE2A3B"/>
    <w:rsid w:val="00F2150A"/>
    <w:rsid w:val="00F231D8"/>
    <w:rsid w:val="00F30193"/>
    <w:rsid w:val="00F44ED7"/>
    <w:rsid w:val="00F46C5F"/>
    <w:rsid w:val="00F54A63"/>
    <w:rsid w:val="00F56D59"/>
    <w:rsid w:val="00F70098"/>
    <w:rsid w:val="00F856EC"/>
    <w:rsid w:val="00F863A8"/>
    <w:rsid w:val="00F94A63"/>
    <w:rsid w:val="00F96CA1"/>
    <w:rsid w:val="00FB7596"/>
    <w:rsid w:val="00FC08D9"/>
    <w:rsid w:val="00FD60B3"/>
    <w:rsid w:val="00FE1048"/>
    <w:rsid w:val="00FE392A"/>
    <w:rsid w:val="00FE4077"/>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C160C20"/>
  <w15:docId w15:val="{7E68A750-2D85-4C8E-A17E-AAD520EBD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6161"/>
    <w:pPr>
      <w:spacing w:after="160" w:line="259" w:lineRule="auto"/>
    </w:pPr>
    <w:rPr>
      <w:rFonts w:asciiTheme="minorHAnsi" w:eastAsiaTheme="minorEastAsia" w:hAnsiTheme="minorHAnsi" w:cstheme="minorBidi"/>
      <w:sz w:val="22"/>
      <w:szCs w:val="22"/>
      <w:lang w:val="en-GB"/>
    </w:rPr>
  </w:style>
  <w:style w:type="paragraph" w:styleId="Heading1">
    <w:name w:val="heading 1"/>
    <w:basedOn w:val="Normal"/>
    <w:next w:val="Normal"/>
    <w:qFormat/>
    <w:rsid w:val="00EE2A3B"/>
    <w:pPr>
      <w:keepNext/>
      <w:keepLines/>
      <w:numPr>
        <w:numId w:val="8"/>
      </w:numPr>
      <w:spacing w:before="480"/>
      <w:outlineLvl w:val="0"/>
    </w:pPr>
    <w:rPr>
      <w:b/>
      <w:sz w:val="28"/>
    </w:rPr>
  </w:style>
  <w:style w:type="paragraph" w:styleId="Heading2">
    <w:name w:val="heading 2"/>
    <w:basedOn w:val="Heading1"/>
    <w:next w:val="Normal"/>
    <w:qFormat/>
    <w:rsid w:val="00EE2A3B"/>
    <w:pPr>
      <w:numPr>
        <w:ilvl w:val="1"/>
      </w:numPr>
      <w:spacing w:before="320"/>
      <w:outlineLvl w:val="1"/>
    </w:pPr>
    <w:rPr>
      <w:sz w:val="24"/>
    </w:rPr>
  </w:style>
  <w:style w:type="paragraph" w:styleId="Heading3">
    <w:name w:val="heading 3"/>
    <w:basedOn w:val="Heading1"/>
    <w:next w:val="Normal"/>
    <w:qFormat/>
    <w:rsid w:val="00EE2A3B"/>
    <w:pPr>
      <w:numPr>
        <w:ilvl w:val="2"/>
      </w:numPr>
      <w:spacing w:before="200"/>
      <w:outlineLvl w:val="2"/>
    </w:pPr>
    <w:rPr>
      <w:sz w:val="24"/>
    </w:rPr>
  </w:style>
  <w:style w:type="paragraph" w:styleId="Heading4">
    <w:name w:val="heading 4"/>
    <w:basedOn w:val="Heading3"/>
    <w:next w:val="Normal"/>
    <w:qFormat/>
    <w:rsid w:val="00EE2A3B"/>
    <w:pPr>
      <w:numPr>
        <w:ilvl w:val="3"/>
      </w:numPr>
      <w:outlineLvl w:val="3"/>
    </w:pPr>
  </w:style>
  <w:style w:type="paragraph" w:styleId="Heading5">
    <w:name w:val="heading 5"/>
    <w:basedOn w:val="Heading4"/>
    <w:next w:val="Normal"/>
    <w:qFormat/>
    <w:rsid w:val="00EE2A3B"/>
    <w:pPr>
      <w:numPr>
        <w:ilvl w:val="4"/>
      </w:numPr>
      <w:outlineLvl w:val="4"/>
    </w:pPr>
  </w:style>
  <w:style w:type="paragraph" w:styleId="Heading6">
    <w:name w:val="heading 6"/>
    <w:basedOn w:val="Heading4"/>
    <w:next w:val="Normal"/>
    <w:qFormat/>
    <w:rsid w:val="00EE2A3B"/>
    <w:pPr>
      <w:numPr>
        <w:ilvl w:val="5"/>
      </w:numPr>
      <w:outlineLvl w:val="5"/>
    </w:pPr>
  </w:style>
  <w:style w:type="paragraph" w:styleId="Heading7">
    <w:name w:val="heading 7"/>
    <w:basedOn w:val="Heading4"/>
    <w:next w:val="Normal"/>
    <w:qFormat/>
    <w:rsid w:val="00EE2A3B"/>
    <w:pPr>
      <w:numPr>
        <w:ilvl w:val="6"/>
      </w:numPr>
      <w:outlineLvl w:val="6"/>
    </w:pPr>
  </w:style>
  <w:style w:type="paragraph" w:styleId="Heading8">
    <w:name w:val="heading 8"/>
    <w:basedOn w:val="Heading4"/>
    <w:next w:val="Normal"/>
    <w:qFormat/>
    <w:rsid w:val="00EE2A3B"/>
    <w:pPr>
      <w:numPr>
        <w:ilvl w:val="7"/>
      </w:numPr>
      <w:outlineLvl w:val="7"/>
    </w:pPr>
  </w:style>
  <w:style w:type="paragraph" w:styleId="Heading9">
    <w:name w:val="heading 9"/>
    <w:basedOn w:val="Heading4"/>
    <w:next w:val="Normal"/>
    <w:qFormat/>
    <w:rsid w:val="00EE2A3B"/>
    <w:pPr>
      <w:numPr>
        <w:ilvl w:val="8"/>
      </w:numPr>
      <w:outlineLvl w:val="8"/>
    </w:pPr>
  </w:style>
  <w:style w:type="character" w:default="1" w:styleId="DefaultParagraphFont">
    <w:name w:val="Default Paragraph Font"/>
    <w:uiPriority w:val="1"/>
    <w:semiHidden/>
    <w:unhideWhenUsed/>
    <w:rsid w:val="0095616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6161"/>
  </w:style>
  <w:style w:type="paragraph" w:styleId="TOC8">
    <w:name w:val="toc 8"/>
    <w:basedOn w:val="Normal"/>
    <w:next w:val="Normal"/>
    <w:rsid w:val="00EE2A3B"/>
    <w:pPr>
      <w:tabs>
        <w:tab w:val="left" w:pos="964"/>
        <w:tab w:val="left" w:leader="dot" w:pos="8789"/>
        <w:tab w:val="right" w:pos="9639"/>
      </w:tabs>
      <w:ind w:left="964" w:hanging="964"/>
    </w:pPr>
  </w:style>
  <w:style w:type="paragraph" w:styleId="TOC4">
    <w:name w:val="toc 4"/>
    <w:basedOn w:val="Normal"/>
    <w:next w:val="Normal"/>
    <w:rsid w:val="00EE2A3B"/>
    <w:pPr>
      <w:tabs>
        <w:tab w:val="left" w:pos="964"/>
        <w:tab w:val="left" w:pos="8789"/>
        <w:tab w:val="right" w:pos="9639"/>
      </w:tabs>
      <w:ind w:left="964" w:hanging="964"/>
    </w:pPr>
  </w:style>
  <w:style w:type="paragraph" w:styleId="TOC3">
    <w:name w:val="toc 3"/>
    <w:basedOn w:val="Normal"/>
    <w:next w:val="Normal"/>
    <w:rsid w:val="00EE2A3B"/>
    <w:pPr>
      <w:tabs>
        <w:tab w:val="left" w:pos="964"/>
        <w:tab w:val="left" w:leader="dot" w:pos="8789"/>
        <w:tab w:val="right" w:pos="9639"/>
      </w:tabs>
      <w:ind w:left="964" w:hanging="964"/>
    </w:pPr>
  </w:style>
  <w:style w:type="paragraph" w:styleId="TOC2">
    <w:name w:val="toc 2"/>
    <w:basedOn w:val="Normal"/>
    <w:next w:val="Normal"/>
    <w:rsid w:val="00EE2A3B"/>
    <w:pPr>
      <w:tabs>
        <w:tab w:val="left" w:pos="964"/>
        <w:tab w:val="left" w:leader="dot" w:pos="8789"/>
        <w:tab w:val="right" w:pos="9639"/>
      </w:tabs>
      <w:ind w:left="964" w:hanging="964"/>
    </w:pPr>
  </w:style>
  <w:style w:type="paragraph" w:styleId="TOC1">
    <w:name w:val="toc 1"/>
    <w:basedOn w:val="Normal"/>
    <w:rsid w:val="00EE2A3B"/>
    <w:pPr>
      <w:tabs>
        <w:tab w:val="left" w:pos="964"/>
        <w:tab w:val="left" w:leader="dot" w:pos="8789"/>
        <w:tab w:val="right" w:pos="9639"/>
      </w:tabs>
      <w:spacing w:before="240"/>
      <w:ind w:left="964" w:hanging="964"/>
    </w:pPr>
  </w:style>
  <w:style w:type="paragraph" w:styleId="TOC7">
    <w:name w:val="toc 7"/>
    <w:basedOn w:val="Normal"/>
    <w:next w:val="Normal"/>
    <w:rsid w:val="00EE2A3B"/>
    <w:pPr>
      <w:tabs>
        <w:tab w:val="left" w:pos="964"/>
        <w:tab w:val="left" w:leader="dot" w:pos="8789"/>
        <w:tab w:val="right" w:pos="9639"/>
      </w:tabs>
      <w:ind w:left="964" w:hanging="964"/>
    </w:pPr>
  </w:style>
  <w:style w:type="paragraph" w:styleId="TOC6">
    <w:name w:val="toc 6"/>
    <w:basedOn w:val="Normal"/>
    <w:next w:val="Normal"/>
    <w:rsid w:val="00EE2A3B"/>
    <w:pPr>
      <w:tabs>
        <w:tab w:val="left" w:pos="964"/>
        <w:tab w:val="left" w:leader="dot" w:pos="8789"/>
        <w:tab w:val="right" w:pos="9639"/>
      </w:tabs>
      <w:ind w:left="964" w:hanging="964"/>
    </w:pPr>
  </w:style>
  <w:style w:type="paragraph" w:styleId="TOC5">
    <w:name w:val="toc 5"/>
    <w:basedOn w:val="Normal"/>
    <w:next w:val="Normal"/>
    <w:rsid w:val="00EE2A3B"/>
    <w:pPr>
      <w:tabs>
        <w:tab w:val="left" w:pos="964"/>
        <w:tab w:val="left" w:leader="dot" w:pos="8789"/>
        <w:tab w:val="right" w:pos="9639"/>
      </w:tabs>
      <w:ind w:left="964" w:hanging="964"/>
    </w:pPr>
  </w:style>
  <w:style w:type="paragraph" w:styleId="Index7">
    <w:name w:val="index 7"/>
    <w:basedOn w:val="Normal"/>
    <w:next w:val="Normal"/>
    <w:rsid w:val="00EE2A3B"/>
    <w:pPr>
      <w:ind w:left="1698"/>
    </w:pPr>
  </w:style>
  <w:style w:type="paragraph" w:styleId="Index6">
    <w:name w:val="index 6"/>
    <w:basedOn w:val="Normal"/>
    <w:next w:val="Normal"/>
    <w:rsid w:val="00EE2A3B"/>
    <w:pPr>
      <w:ind w:left="1415"/>
    </w:pPr>
  </w:style>
  <w:style w:type="paragraph" w:styleId="Index5">
    <w:name w:val="index 5"/>
    <w:basedOn w:val="Normal"/>
    <w:next w:val="Normal"/>
    <w:rsid w:val="00EE2A3B"/>
    <w:pPr>
      <w:ind w:left="1132"/>
    </w:pPr>
  </w:style>
  <w:style w:type="paragraph" w:styleId="Index4">
    <w:name w:val="index 4"/>
    <w:basedOn w:val="Normal"/>
    <w:next w:val="Normal"/>
    <w:rsid w:val="00EE2A3B"/>
    <w:pPr>
      <w:ind w:left="849"/>
    </w:pPr>
  </w:style>
  <w:style w:type="paragraph" w:styleId="Index3">
    <w:name w:val="index 3"/>
    <w:basedOn w:val="Normal"/>
    <w:next w:val="Normal"/>
    <w:rsid w:val="00EE2A3B"/>
    <w:pPr>
      <w:ind w:left="566"/>
    </w:pPr>
  </w:style>
  <w:style w:type="paragraph" w:styleId="Index2">
    <w:name w:val="index 2"/>
    <w:basedOn w:val="Normal"/>
    <w:next w:val="Normal"/>
    <w:rsid w:val="00EE2A3B"/>
    <w:pPr>
      <w:ind w:left="283"/>
    </w:pPr>
  </w:style>
  <w:style w:type="paragraph" w:styleId="Index1">
    <w:name w:val="index 1"/>
    <w:basedOn w:val="Normal"/>
    <w:next w:val="Normal"/>
    <w:rsid w:val="00EE2A3B"/>
  </w:style>
  <w:style w:type="character" w:styleId="LineNumber">
    <w:name w:val="line number"/>
    <w:basedOn w:val="DefaultParagraphFont"/>
    <w:rsid w:val="00EE2A3B"/>
  </w:style>
  <w:style w:type="paragraph" w:styleId="IndexHeading">
    <w:name w:val="index heading"/>
    <w:basedOn w:val="Normal"/>
    <w:next w:val="Index1"/>
    <w:rsid w:val="00EE2A3B"/>
  </w:style>
  <w:style w:type="paragraph" w:styleId="Footer">
    <w:name w:val="footer"/>
    <w:basedOn w:val="Normal"/>
    <w:rsid w:val="00EE2A3B"/>
    <w:pPr>
      <w:tabs>
        <w:tab w:val="left" w:pos="5954"/>
        <w:tab w:val="right" w:pos="9639"/>
      </w:tabs>
    </w:pPr>
    <w:rPr>
      <w:caps/>
      <w:noProof/>
      <w:sz w:val="16"/>
    </w:rPr>
  </w:style>
  <w:style w:type="paragraph" w:styleId="Header">
    <w:name w:val="header"/>
    <w:basedOn w:val="Normal"/>
    <w:rsid w:val="00EE2A3B"/>
    <w:pPr>
      <w:jc w:val="center"/>
    </w:pPr>
    <w:rPr>
      <w:sz w:val="18"/>
    </w:rPr>
  </w:style>
  <w:style w:type="character" w:styleId="FootnoteReference">
    <w:name w:val="footnote reference"/>
    <w:aliases w:val="Appel note de bas de p,Footnote Reference/,Footnote symbol,Ref,de nota al pie,Style 12,(NECG) Footnote Reference,Style 124,Appel note de bas de p + 11 pt,Italic,Appel note de bas de p1,Appel note de bas de p2,Appel note de bas de p3,o"/>
    <w:basedOn w:val="DefaultParagraphFont"/>
    <w:qFormat/>
    <w:rsid w:val="00EE2A3B"/>
    <w:rPr>
      <w:rFonts w:ascii="Calibri" w:hAnsi="Calibri"/>
      <w:position w:val="6"/>
      <w:sz w:val="16"/>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EE2A3B"/>
    <w:pPr>
      <w:keepLines/>
      <w:tabs>
        <w:tab w:val="left" w:pos="256"/>
      </w:tabs>
      <w:ind w:left="256" w:hanging="256"/>
    </w:pPr>
  </w:style>
  <w:style w:type="paragraph" w:styleId="NormalIndent">
    <w:name w:val="Normal Indent"/>
    <w:basedOn w:val="Normal"/>
    <w:rsid w:val="00EE2A3B"/>
    <w:pPr>
      <w:ind w:left="567"/>
    </w:pPr>
  </w:style>
  <w:style w:type="paragraph" w:customStyle="1" w:styleId="enumlev1">
    <w:name w:val="enumlev1"/>
    <w:basedOn w:val="Normal"/>
    <w:link w:val="enumlev1Char"/>
    <w:qFormat/>
    <w:rsid w:val="00EE2A3B"/>
    <w:pPr>
      <w:spacing w:before="86"/>
      <w:ind w:left="567" w:hanging="567"/>
    </w:pPr>
  </w:style>
  <w:style w:type="paragraph" w:customStyle="1" w:styleId="enumlev2">
    <w:name w:val="enumlev2"/>
    <w:basedOn w:val="enumlev1"/>
    <w:rsid w:val="00EE2A3B"/>
    <w:pPr>
      <w:ind w:left="1134"/>
    </w:pPr>
  </w:style>
  <w:style w:type="paragraph" w:customStyle="1" w:styleId="enumlev3">
    <w:name w:val="enumlev3"/>
    <w:basedOn w:val="enumlev2"/>
    <w:rsid w:val="00EE2A3B"/>
    <w:pPr>
      <w:ind w:left="1701"/>
    </w:pPr>
  </w:style>
  <w:style w:type="paragraph" w:customStyle="1" w:styleId="Normalaftertitle">
    <w:name w:val="Normal after title"/>
    <w:basedOn w:val="Normal"/>
    <w:next w:val="Normal"/>
    <w:link w:val="NormalaftertitleChar"/>
    <w:rsid w:val="00EE2A3B"/>
    <w:pPr>
      <w:spacing w:before="240"/>
    </w:pPr>
  </w:style>
  <w:style w:type="paragraph" w:customStyle="1" w:styleId="Equation">
    <w:name w:val="Equation"/>
    <w:basedOn w:val="Normal"/>
    <w:rsid w:val="00EE2A3B"/>
    <w:pPr>
      <w:tabs>
        <w:tab w:val="center" w:pos="4820"/>
        <w:tab w:val="right" w:pos="9639"/>
      </w:tabs>
    </w:pPr>
  </w:style>
  <w:style w:type="paragraph" w:customStyle="1" w:styleId="Head">
    <w:name w:val="Head"/>
    <w:basedOn w:val="Normal"/>
    <w:rsid w:val="00EE2A3B"/>
    <w:pPr>
      <w:tabs>
        <w:tab w:val="left" w:pos="6663"/>
      </w:tabs>
    </w:pPr>
  </w:style>
  <w:style w:type="paragraph" w:customStyle="1" w:styleId="toc0">
    <w:name w:val="toc 0"/>
    <w:basedOn w:val="Normal"/>
    <w:next w:val="TOC1"/>
    <w:rsid w:val="00EE2A3B"/>
    <w:pPr>
      <w:tabs>
        <w:tab w:val="right" w:pos="9781"/>
      </w:tabs>
    </w:pPr>
    <w:rPr>
      <w:b/>
    </w:rPr>
  </w:style>
  <w:style w:type="paragraph" w:styleId="List">
    <w:name w:val="List"/>
    <w:basedOn w:val="Normal"/>
    <w:rsid w:val="00EE2A3B"/>
    <w:pPr>
      <w:tabs>
        <w:tab w:val="left" w:pos="2127"/>
      </w:tabs>
      <w:ind w:left="2127" w:hanging="2127"/>
    </w:pPr>
  </w:style>
  <w:style w:type="paragraph" w:customStyle="1" w:styleId="Part">
    <w:name w:val="Part"/>
    <w:basedOn w:val="Normal"/>
    <w:next w:val="Normal"/>
    <w:rsid w:val="00EE2A3B"/>
    <w:pPr>
      <w:spacing w:before="600"/>
      <w:jc w:val="center"/>
    </w:pPr>
    <w:rPr>
      <w:caps/>
      <w:sz w:val="28"/>
    </w:rPr>
  </w:style>
  <w:style w:type="paragraph" w:customStyle="1" w:styleId="docnoted">
    <w:name w:val="docnoted"/>
    <w:basedOn w:val="Normal"/>
    <w:next w:val="Head"/>
    <w:rsid w:val="00EE2A3B"/>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Title1"/>
    <w:autoRedefine/>
    <w:rsid w:val="00D30768"/>
    <w:pPr>
      <w:spacing w:before="480" w:after="0"/>
      <w:jc w:val="center"/>
    </w:pPr>
    <w:rPr>
      <w:bCs/>
      <w:sz w:val="28"/>
    </w:rPr>
  </w:style>
  <w:style w:type="paragraph" w:customStyle="1" w:styleId="meeting">
    <w:name w:val="meeting"/>
    <w:basedOn w:val="Head"/>
    <w:next w:val="Head"/>
    <w:rsid w:val="00EE2A3B"/>
    <w:pPr>
      <w:tabs>
        <w:tab w:val="left" w:pos="7371"/>
      </w:tabs>
      <w:spacing w:after="567"/>
    </w:pPr>
  </w:style>
  <w:style w:type="paragraph" w:customStyle="1" w:styleId="Subject">
    <w:name w:val="Subject"/>
    <w:basedOn w:val="Normal"/>
    <w:next w:val="Source"/>
    <w:rsid w:val="00EE2A3B"/>
    <w:pPr>
      <w:ind w:left="1134" w:hanging="1134"/>
    </w:pPr>
  </w:style>
  <w:style w:type="paragraph" w:customStyle="1" w:styleId="Object">
    <w:name w:val="Object"/>
    <w:basedOn w:val="Subject"/>
    <w:next w:val="Subject"/>
    <w:rsid w:val="00EE2A3B"/>
  </w:style>
  <w:style w:type="paragraph" w:customStyle="1" w:styleId="Data">
    <w:name w:val="Data"/>
    <w:basedOn w:val="Subject"/>
    <w:next w:val="Subject"/>
    <w:rsid w:val="00EE2A3B"/>
  </w:style>
  <w:style w:type="paragraph" w:customStyle="1" w:styleId="Reasons">
    <w:name w:val="Reasons"/>
    <w:basedOn w:val="Normal"/>
    <w:rsid w:val="00EE2A3B"/>
  </w:style>
  <w:style w:type="character" w:styleId="Hyperlink">
    <w:name w:val="Hyperlink"/>
    <w:basedOn w:val="DefaultParagraphFont"/>
    <w:rsid w:val="00EE2A3B"/>
    <w:rPr>
      <w:color w:val="0000FF"/>
      <w:u w:val="single"/>
    </w:rPr>
  </w:style>
  <w:style w:type="paragraph" w:customStyle="1" w:styleId="FirstFooter">
    <w:name w:val="FirstFooter"/>
    <w:basedOn w:val="Footer"/>
    <w:rsid w:val="00EE2A3B"/>
    <w:rPr>
      <w:caps w:val="0"/>
    </w:rPr>
  </w:style>
  <w:style w:type="paragraph" w:customStyle="1" w:styleId="Note">
    <w:name w:val="Note"/>
    <w:basedOn w:val="Normal"/>
    <w:rsid w:val="00EE2A3B"/>
    <w:pPr>
      <w:tabs>
        <w:tab w:val="left" w:pos="851"/>
      </w:tabs>
    </w:pPr>
  </w:style>
  <w:style w:type="paragraph" w:styleId="TOC9">
    <w:name w:val="toc 9"/>
    <w:basedOn w:val="TOC4"/>
    <w:rsid w:val="00EE2A3B"/>
  </w:style>
  <w:style w:type="paragraph" w:customStyle="1" w:styleId="Headingb">
    <w:name w:val="Heading_b"/>
    <w:basedOn w:val="Heading3"/>
    <w:next w:val="Normal"/>
    <w:rsid w:val="00EE2A3B"/>
    <w:pPr>
      <w:spacing w:before="160"/>
      <w:outlineLvl w:val="0"/>
    </w:pPr>
  </w:style>
  <w:style w:type="character" w:styleId="FollowedHyperlink">
    <w:name w:val="FollowedHyperlink"/>
    <w:basedOn w:val="DefaultParagraphFont"/>
    <w:rsid w:val="00EE2A3B"/>
    <w:rPr>
      <w:color w:val="800080"/>
      <w:u w:val="single"/>
    </w:rPr>
  </w:style>
  <w:style w:type="paragraph" w:customStyle="1" w:styleId="Title1">
    <w:name w:val="Title 1"/>
    <w:basedOn w:val="Source"/>
    <w:next w:val="Title2"/>
    <w:rsid w:val="00EE2A3B"/>
    <w:pPr>
      <w:spacing w:before="240"/>
    </w:pPr>
    <w:rPr>
      <w:b/>
      <w:caps/>
    </w:rPr>
  </w:style>
  <w:style w:type="paragraph" w:customStyle="1" w:styleId="Title2">
    <w:name w:val="Title 2"/>
    <w:basedOn w:val="Source"/>
    <w:next w:val="Title3"/>
    <w:rsid w:val="00EE2A3B"/>
    <w:pPr>
      <w:spacing w:before="240"/>
    </w:pPr>
    <w:rPr>
      <w:b/>
      <w:caps/>
    </w:rPr>
  </w:style>
  <w:style w:type="paragraph" w:customStyle="1" w:styleId="Title3">
    <w:name w:val="Title 3"/>
    <w:basedOn w:val="Title2"/>
    <w:next w:val="Normalaftertitle"/>
    <w:rsid w:val="00EE2A3B"/>
    <w:rPr>
      <w:caps w:val="0"/>
    </w:rPr>
  </w:style>
  <w:style w:type="paragraph" w:customStyle="1" w:styleId="Title4">
    <w:name w:val="Title 4"/>
    <w:basedOn w:val="Title3"/>
    <w:next w:val="Heading1"/>
    <w:rsid w:val="00EE2A3B"/>
    <w:rPr>
      <w:b w:val="0"/>
    </w:rPr>
  </w:style>
  <w:style w:type="paragraph" w:customStyle="1" w:styleId="dnum">
    <w:name w:val="dnum"/>
    <w:basedOn w:val="Normal"/>
    <w:rsid w:val="00EE2A3B"/>
    <w:pPr>
      <w:framePr w:hSpace="181" w:wrap="around" w:vAnchor="page" w:hAnchor="margin" w:y="852"/>
      <w:shd w:val="solid" w:color="FFFFFF" w:fill="FFFFFF"/>
      <w:tabs>
        <w:tab w:val="left" w:pos="1871"/>
      </w:tabs>
    </w:pPr>
    <w:rPr>
      <w:b/>
      <w:bCs/>
    </w:rPr>
  </w:style>
  <w:style w:type="paragraph" w:customStyle="1" w:styleId="ddate">
    <w:name w:val="ddate"/>
    <w:basedOn w:val="Normal"/>
    <w:rsid w:val="00EE2A3B"/>
    <w:pPr>
      <w:framePr w:hSpace="181" w:wrap="around" w:vAnchor="page" w:hAnchor="margin" w:y="852"/>
      <w:shd w:val="solid" w:color="FFFFFF" w:fill="FFFFFF"/>
      <w:tabs>
        <w:tab w:val="left" w:pos="1871"/>
      </w:tabs>
    </w:pPr>
    <w:rPr>
      <w:b/>
      <w:bCs/>
    </w:rPr>
  </w:style>
  <w:style w:type="paragraph" w:customStyle="1" w:styleId="dorlang">
    <w:name w:val="dorlang"/>
    <w:basedOn w:val="Normal"/>
    <w:rsid w:val="00EE2A3B"/>
    <w:pPr>
      <w:framePr w:hSpace="181" w:wrap="around" w:vAnchor="page" w:hAnchor="margin" w:y="852"/>
      <w:shd w:val="solid" w:color="FFFFFF" w:fill="FFFFFF"/>
      <w:tabs>
        <w:tab w:val="left" w:pos="1871"/>
      </w:tabs>
    </w:pPr>
    <w:rPr>
      <w:b/>
      <w:bCs/>
    </w:rPr>
  </w:style>
  <w:style w:type="paragraph" w:customStyle="1" w:styleId="AnnexNo">
    <w:name w:val="Annex_No"/>
    <w:basedOn w:val="Normal"/>
    <w:next w:val="Annexref"/>
    <w:link w:val="AnnexNoChar"/>
    <w:rsid w:val="00EE2A3B"/>
    <w:pPr>
      <w:spacing w:before="720"/>
      <w:jc w:val="center"/>
    </w:pPr>
    <w:rPr>
      <w:caps/>
      <w:sz w:val="28"/>
    </w:rPr>
  </w:style>
  <w:style w:type="paragraph" w:customStyle="1" w:styleId="Annextitle">
    <w:name w:val="Annex_title"/>
    <w:basedOn w:val="Normal"/>
    <w:next w:val="Normal"/>
    <w:link w:val="AnnextitleChar"/>
    <w:rsid w:val="00EE2A3B"/>
    <w:pPr>
      <w:spacing w:before="240" w:after="240"/>
      <w:jc w:val="center"/>
    </w:pPr>
    <w:rPr>
      <w:b/>
      <w:sz w:val="28"/>
    </w:rPr>
  </w:style>
  <w:style w:type="paragraph" w:customStyle="1" w:styleId="Annexref">
    <w:name w:val="Annex_ref"/>
    <w:basedOn w:val="Normal"/>
    <w:next w:val="Annextitle"/>
    <w:rsid w:val="00EE2A3B"/>
    <w:pPr>
      <w:jc w:val="center"/>
    </w:pPr>
  </w:style>
  <w:style w:type="paragraph" w:customStyle="1" w:styleId="AppendixNo">
    <w:name w:val="Appendix_No"/>
    <w:basedOn w:val="AnnexNo"/>
    <w:next w:val="Appendixref"/>
    <w:rsid w:val="00EE2A3B"/>
  </w:style>
  <w:style w:type="paragraph" w:customStyle="1" w:styleId="Appendixtitle">
    <w:name w:val="Appendix_title"/>
    <w:basedOn w:val="Annextitle"/>
    <w:next w:val="Normal"/>
    <w:rsid w:val="00EE2A3B"/>
  </w:style>
  <w:style w:type="paragraph" w:customStyle="1" w:styleId="Appendixref">
    <w:name w:val="Appendix_ref"/>
    <w:basedOn w:val="Annexref"/>
    <w:next w:val="Appendixtitle"/>
    <w:rsid w:val="00EE2A3B"/>
  </w:style>
  <w:style w:type="paragraph" w:customStyle="1" w:styleId="Call">
    <w:name w:val="Call"/>
    <w:basedOn w:val="Normal"/>
    <w:next w:val="Normal"/>
    <w:link w:val="CallChar"/>
    <w:rsid w:val="00EE2A3B"/>
    <w:pPr>
      <w:keepNext/>
      <w:keepLines/>
      <w:spacing w:before="160"/>
      <w:ind w:left="567"/>
    </w:pPr>
    <w:rPr>
      <w:i/>
    </w:rPr>
  </w:style>
  <w:style w:type="character" w:styleId="EndnoteReference">
    <w:name w:val="endnote reference"/>
    <w:basedOn w:val="DefaultParagraphFont"/>
    <w:rsid w:val="00EE2A3B"/>
    <w:rPr>
      <w:vertAlign w:val="superscript"/>
    </w:rPr>
  </w:style>
  <w:style w:type="paragraph" w:customStyle="1" w:styleId="Equationlegend">
    <w:name w:val="Equation_legend"/>
    <w:basedOn w:val="Normal"/>
    <w:rsid w:val="00EE2A3B"/>
    <w:pPr>
      <w:tabs>
        <w:tab w:val="right" w:pos="1531"/>
      </w:tabs>
      <w:spacing w:before="80"/>
      <w:ind w:left="1701" w:hanging="1701"/>
    </w:pPr>
  </w:style>
  <w:style w:type="paragraph" w:customStyle="1" w:styleId="Figure">
    <w:name w:val="Figure"/>
    <w:basedOn w:val="Normal"/>
    <w:next w:val="Figuretitle"/>
    <w:rsid w:val="00EE2A3B"/>
    <w:pPr>
      <w:keepNext/>
      <w:keepLines/>
      <w:spacing w:after="120"/>
      <w:jc w:val="center"/>
    </w:pPr>
  </w:style>
  <w:style w:type="paragraph" w:customStyle="1" w:styleId="Figuretitle">
    <w:name w:val="Figure_title"/>
    <w:basedOn w:val="Tabletitle"/>
    <w:next w:val="Normalaftertitle"/>
    <w:rsid w:val="00EE2A3B"/>
    <w:pPr>
      <w:spacing w:before="240" w:after="480"/>
    </w:pPr>
  </w:style>
  <w:style w:type="paragraph" w:customStyle="1" w:styleId="Tabletitle">
    <w:name w:val="Table_title"/>
    <w:basedOn w:val="TableNo"/>
    <w:next w:val="Tabletext"/>
    <w:rsid w:val="00EE2A3B"/>
    <w:pPr>
      <w:tabs>
        <w:tab w:val="left" w:pos="2948"/>
        <w:tab w:val="left" w:pos="4082"/>
      </w:tabs>
      <w:spacing w:before="0"/>
    </w:pPr>
    <w:rPr>
      <w:b/>
      <w:caps w:val="0"/>
    </w:rPr>
  </w:style>
  <w:style w:type="paragraph" w:customStyle="1" w:styleId="TableNo">
    <w:name w:val="Table_No"/>
    <w:basedOn w:val="Normal"/>
    <w:next w:val="Tabletitle"/>
    <w:rsid w:val="00EE2A3B"/>
    <w:pPr>
      <w:keepNext/>
      <w:spacing w:before="560" w:after="120"/>
      <w:jc w:val="center"/>
    </w:pPr>
    <w:rPr>
      <w:caps/>
    </w:rPr>
  </w:style>
  <w:style w:type="paragraph" w:customStyle="1" w:styleId="Tabletext">
    <w:name w:val="Table_text"/>
    <w:basedOn w:val="Normal"/>
    <w:rsid w:val="00EE2A3B"/>
    <w:pPr>
      <w:spacing w:before="60" w:after="60"/>
    </w:pPr>
  </w:style>
  <w:style w:type="paragraph" w:customStyle="1" w:styleId="Figurelegend">
    <w:name w:val="Figure_legend"/>
    <w:basedOn w:val="Normal"/>
    <w:rsid w:val="00EE2A3B"/>
    <w:pPr>
      <w:keepNext/>
      <w:keepLines/>
      <w:spacing w:before="20" w:after="20"/>
    </w:pPr>
    <w:rPr>
      <w:sz w:val="18"/>
    </w:rPr>
  </w:style>
  <w:style w:type="paragraph" w:customStyle="1" w:styleId="FigureNo">
    <w:name w:val="Figure_No"/>
    <w:basedOn w:val="Normal"/>
    <w:next w:val="Figuretitle"/>
    <w:rsid w:val="00EE2A3B"/>
    <w:pPr>
      <w:keepNext/>
      <w:keepLines/>
      <w:spacing w:before="240" w:after="120"/>
      <w:jc w:val="center"/>
    </w:pPr>
    <w:rPr>
      <w:caps/>
    </w:rPr>
  </w:style>
  <w:style w:type="paragraph" w:customStyle="1" w:styleId="Figurewithouttitle">
    <w:name w:val="Figure_without_title"/>
    <w:basedOn w:val="Figure"/>
    <w:next w:val="Normalaftertitle"/>
    <w:rsid w:val="00EE2A3B"/>
    <w:pPr>
      <w:keepNext w:val="0"/>
      <w:spacing w:after="240"/>
    </w:pPr>
  </w:style>
  <w:style w:type="paragraph" w:customStyle="1" w:styleId="Headingi">
    <w:name w:val="Heading_i"/>
    <w:basedOn w:val="Heading3"/>
    <w:next w:val="Normal"/>
    <w:rsid w:val="00EE2A3B"/>
    <w:pPr>
      <w:spacing w:before="160"/>
      <w:outlineLvl w:val="0"/>
    </w:pPr>
    <w:rPr>
      <w:b w:val="0"/>
      <w:i/>
    </w:rPr>
  </w:style>
  <w:style w:type="character" w:styleId="PageNumber">
    <w:name w:val="page number"/>
    <w:basedOn w:val="DefaultParagraphFont"/>
    <w:rsid w:val="00EE2A3B"/>
    <w:rPr>
      <w:rFonts w:ascii="Calibri" w:hAnsi="Calibri"/>
    </w:rPr>
  </w:style>
  <w:style w:type="paragraph" w:customStyle="1" w:styleId="PartNo">
    <w:name w:val="Part_No"/>
    <w:basedOn w:val="AnnexNo"/>
    <w:next w:val="Parttitle"/>
    <w:rsid w:val="00EE2A3B"/>
  </w:style>
  <w:style w:type="paragraph" w:customStyle="1" w:styleId="Parttitle">
    <w:name w:val="Part_title"/>
    <w:basedOn w:val="Annextitle"/>
    <w:next w:val="Partref"/>
    <w:rsid w:val="00EE2A3B"/>
  </w:style>
  <w:style w:type="paragraph" w:customStyle="1" w:styleId="Partref">
    <w:name w:val="Part_ref"/>
    <w:basedOn w:val="Annexref"/>
    <w:next w:val="Normalaftertitle"/>
    <w:rsid w:val="00EE2A3B"/>
  </w:style>
  <w:style w:type="paragraph" w:customStyle="1" w:styleId="RecNo">
    <w:name w:val="Rec_No"/>
    <w:basedOn w:val="Normal"/>
    <w:next w:val="Rectitle"/>
    <w:rsid w:val="00EE2A3B"/>
    <w:pPr>
      <w:spacing w:before="720"/>
      <w:jc w:val="center"/>
    </w:pPr>
    <w:rPr>
      <w:caps/>
      <w:sz w:val="28"/>
    </w:rPr>
  </w:style>
  <w:style w:type="paragraph" w:customStyle="1" w:styleId="Rectitle">
    <w:name w:val="Rec_title"/>
    <w:basedOn w:val="Normal"/>
    <w:next w:val="Heading1"/>
    <w:rsid w:val="00EE2A3B"/>
    <w:pPr>
      <w:spacing w:before="240"/>
      <w:jc w:val="center"/>
    </w:pPr>
    <w:rPr>
      <w:b/>
      <w:sz w:val="28"/>
    </w:rPr>
  </w:style>
  <w:style w:type="paragraph" w:customStyle="1" w:styleId="Recref">
    <w:name w:val="Rec_ref"/>
    <w:basedOn w:val="Rectitle"/>
    <w:next w:val="Recdate"/>
    <w:rsid w:val="00EE2A3B"/>
    <w:pPr>
      <w:spacing w:before="120"/>
    </w:pPr>
    <w:rPr>
      <w:rFonts w:ascii="Times New Roman" w:hAnsi="Times New Roman"/>
      <w:b w:val="0"/>
      <w:sz w:val="24"/>
    </w:rPr>
  </w:style>
  <w:style w:type="paragraph" w:customStyle="1" w:styleId="Recdate">
    <w:name w:val="Rec_date"/>
    <w:basedOn w:val="Recref"/>
    <w:next w:val="Normalaftertitle"/>
    <w:rsid w:val="00EE2A3B"/>
    <w:pPr>
      <w:jc w:val="right"/>
    </w:pPr>
    <w:rPr>
      <w:sz w:val="22"/>
    </w:rPr>
  </w:style>
  <w:style w:type="paragraph" w:customStyle="1" w:styleId="Questiondate">
    <w:name w:val="Question_date"/>
    <w:basedOn w:val="Recdate"/>
    <w:next w:val="Normalaftertitle"/>
    <w:rsid w:val="00EE2A3B"/>
  </w:style>
  <w:style w:type="paragraph" w:customStyle="1" w:styleId="QuestionNo">
    <w:name w:val="Question_No"/>
    <w:basedOn w:val="RecNo"/>
    <w:next w:val="Questiontitle"/>
    <w:rsid w:val="00EE2A3B"/>
  </w:style>
  <w:style w:type="paragraph" w:customStyle="1" w:styleId="Questionref">
    <w:name w:val="Question_ref"/>
    <w:basedOn w:val="Recref"/>
    <w:next w:val="Questiondate"/>
    <w:rsid w:val="00EE2A3B"/>
  </w:style>
  <w:style w:type="paragraph" w:customStyle="1" w:styleId="Questiontitle">
    <w:name w:val="Question_title"/>
    <w:basedOn w:val="Rectitle"/>
    <w:next w:val="Questionref"/>
    <w:rsid w:val="00EE2A3B"/>
  </w:style>
  <w:style w:type="paragraph" w:customStyle="1" w:styleId="Reftext">
    <w:name w:val="Ref_text"/>
    <w:basedOn w:val="Normal"/>
    <w:rsid w:val="00EE2A3B"/>
    <w:pPr>
      <w:ind w:left="567" w:hanging="567"/>
    </w:pPr>
  </w:style>
  <w:style w:type="paragraph" w:customStyle="1" w:styleId="Reftitle">
    <w:name w:val="Ref_title"/>
    <w:basedOn w:val="Normal"/>
    <w:next w:val="Reftext"/>
    <w:rsid w:val="00EE2A3B"/>
    <w:pPr>
      <w:spacing w:before="480"/>
      <w:jc w:val="center"/>
    </w:pPr>
    <w:rPr>
      <w:caps/>
      <w:sz w:val="28"/>
    </w:rPr>
  </w:style>
  <w:style w:type="paragraph" w:customStyle="1" w:styleId="Repdate">
    <w:name w:val="Rep_date"/>
    <w:basedOn w:val="Recdate"/>
    <w:next w:val="Normalaftertitle"/>
    <w:rsid w:val="00EE2A3B"/>
  </w:style>
  <w:style w:type="paragraph" w:customStyle="1" w:styleId="RepNo">
    <w:name w:val="Rep_No"/>
    <w:basedOn w:val="RecNo"/>
    <w:next w:val="Reptitle"/>
    <w:rsid w:val="00EE2A3B"/>
  </w:style>
  <w:style w:type="paragraph" w:customStyle="1" w:styleId="Reptitle">
    <w:name w:val="Rep_title"/>
    <w:basedOn w:val="Rectitle"/>
    <w:next w:val="Repref"/>
    <w:rsid w:val="00EE2A3B"/>
  </w:style>
  <w:style w:type="paragraph" w:customStyle="1" w:styleId="Repref">
    <w:name w:val="Rep_ref"/>
    <w:basedOn w:val="Recref"/>
    <w:next w:val="Repdate"/>
    <w:rsid w:val="00EE2A3B"/>
  </w:style>
  <w:style w:type="paragraph" w:customStyle="1" w:styleId="Resdate">
    <w:name w:val="Res_date"/>
    <w:basedOn w:val="Recdate"/>
    <w:next w:val="Normalaftertitle"/>
    <w:rsid w:val="00EE2A3B"/>
  </w:style>
  <w:style w:type="paragraph" w:customStyle="1" w:styleId="ResNo">
    <w:name w:val="Res_No"/>
    <w:basedOn w:val="AnnexNo"/>
    <w:next w:val="Restitle"/>
    <w:rsid w:val="00EE2A3B"/>
  </w:style>
  <w:style w:type="paragraph" w:customStyle="1" w:styleId="Restitle">
    <w:name w:val="Res_title"/>
    <w:basedOn w:val="Annextitle"/>
    <w:next w:val="Normal"/>
    <w:link w:val="RestitleChar"/>
    <w:rsid w:val="00EE2A3B"/>
  </w:style>
  <w:style w:type="paragraph" w:customStyle="1" w:styleId="Resref">
    <w:name w:val="Res_ref"/>
    <w:basedOn w:val="Recref"/>
    <w:next w:val="Resdate"/>
    <w:rsid w:val="00EE2A3B"/>
  </w:style>
  <w:style w:type="paragraph" w:customStyle="1" w:styleId="SectionNo">
    <w:name w:val="Section_No"/>
    <w:basedOn w:val="AnnexNo"/>
    <w:next w:val="Sectiontitle"/>
    <w:rsid w:val="00EE2A3B"/>
  </w:style>
  <w:style w:type="paragraph" w:customStyle="1" w:styleId="Sectiontitle">
    <w:name w:val="Section_title"/>
    <w:basedOn w:val="Normal"/>
    <w:next w:val="Normalaftertitle"/>
    <w:rsid w:val="00EE2A3B"/>
    <w:rPr>
      <w:sz w:val="28"/>
    </w:rPr>
  </w:style>
  <w:style w:type="paragraph" w:customStyle="1" w:styleId="SpecialFooter">
    <w:name w:val="Special Footer"/>
    <w:basedOn w:val="Footer"/>
    <w:rsid w:val="00EE2A3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EE2A3B"/>
    <w:pPr>
      <w:spacing w:before="120" w:after="120"/>
      <w:jc w:val="center"/>
    </w:pPr>
    <w:rPr>
      <w:b/>
    </w:rPr>
  </w:style>
  <w:style w:type="paragraph" w:customStyle="1" w:styleId="Tablelegend">
    <w:name w:val="Table_legend"/>
    <w:basedOn w:val="Tabletext"/>
    <w:rsid w:val="00EE2A3B"/>
    <w:pPr>
      <w:spacing w:before="120"/>
    </w:pPr>
  </w:style>
  <w:style w:type="paragraph" w:customStyle="1" w:styleId="Tableref">
    <w:name w:val="Table_ref"/>
    <w:basedOn w:val="Normal"/>
    <w:next w:val="Tabletitle"/>
    <w:rsid w:val="00EE2A3B"/>
    <w:pPr>
      <w:keepNext/>
      <w:spacing w:before="567"/>
      <w:jc w:val="center"/>
    </w:pPr>
  </w:style>
  <w:style w:type="paragraph" w:customStyle="1" w:styleId="Artheading">
    <w:name w:val="Art_heading"/>
    <w:basedOn w:val="Normal"/>
    <w:next w:val="Normalaftertitle"/>
    <w:rsid w:val="00EE2A3B"/>
    <w:pPr>
      <w:spacing w:before="480"/>
      <w:jc w:val="center"/>
    </w:pPr>
    <w:rPr>
      <w:b/>
    </w:rPr>
  </w:style>
  <w:style w:type="paragraph" w:customStyle="1" w:styleId="ArtNo">
    <w:name w:val="Art_No"/>
    <w:basedOn w:val="Normal"/>
    <w:next w:val="Arttitle"/>
    <w:rsid w:val="00EE2A3B"/>
    <w:pPr>
      <w:spacing w:before="600"/>
      <w:jc w:val="center"/>
    </w:pPr>
    <w:rPr>
      <w:caps/>
      <w:sz w:val="28"/>
    </w:rPr>
  </w:style>
  <w:style w:type="paragraph" w:customStyle="1" w:styleId="Arttitle">
    <w:name w:val="Art_title"/>
    <w:basedOn w:val="Normal"/>
    <w:next w:val="Normal"/>
    <w:rsid w:val="00EE2A3B"/>
    <w:pPr>
      <w:spacing w:before="240" w:after="240"/>
      <w:jc w:val="center"/>
    </w:pPr>
    <w:rPr>
      <w:b/>
      <w:sz w:val="28"/>
    </w:rPr>
  </w:style>
  <w:style w:type="paragraph" w:customStyle="1" w:styleId="ChapNo">
    <w:name w:val="Chap_No"/>
    <w:basedOn w:val="ArtNo"/>
    <w:next w:val="Chaptitle"/>
    <w:rsid w:val="00EE2A3B"/>
  </w:style>
  <w:style w:type="paragraph" w:customStyle="1" w:styleId="Chaptitle">
    <w:name w:val="Chap_title"/>
    <w:basedOn w:val="Arttitle"/>
    <w:next w:val="Normal"/>
    <w:rsid w:val="00EE2A3B"/>
  </w:style>
  <w:style w:type="paragraph" w:customStyle="1" w:styleId="firstfooter0">
    <w:name w:val="firstfooter"/>
    <w:basedOn w:val="Normal"/>
    <w:rsid w:val="00EE2A3B"/>
    <w:pPr>
      <w:spacing w:before="100" w:beforeAutospacing="1" w:after="100" w:afterAutospacing="1"/>
    </w:pPr>
    <w:rPr>
      <w:rFonts w:eastAsia="SimSun"/>
    </w:rPr>
  </w:style>
  <w:style w:type="paragraph" w:customStyle="1" w:styleId="Table">
    <w:name w:val="Table_#"/>
    <w:basedOn w:val="Normal"/>
    <w:next w:val="Normal"/>
    <w:rsid w:val="00EE2A3B"/>
    <w:pPr>
      <w:keepNext/>
      <w:tabs>
        <w:tab w:val="left" w:pos="794"/>
        <w:tab w:val="left" w:pos="1191"/>
        <w:tab w:val="left" w:pos="1588"/>
        <w:tab w:val="left" w:pos="1985"/>
      </w:tabs>
      <w:spacing w:before="560" w:after="120"/>
      <w:jc w:val="center"/>
    </w:pPr>
    <w:rPr>
      <w:rFonts w:ascii="Times New Roman" w:hAnsi="Times New Roman"/>
      <w:caps/>
    </w:rPr>
  </w:style>
  <w:style w:type="character" w:customStyle="1" w:styleId="CallChar">
    <w:name w:val="Call Char"/>
    <w:basedOn w:val="DefaultParagraphFont"/>
    <w:link w:val="Call"/>
    <w:rsid w:val="004535DE"/>
    <w:rPr>
      <w:rFonts w:ascii="Calibri" w:hAnsi="Calibri"/>
      <w:i/>
      <w:sz w:val="24"/>
      <w:lang w:val="en-GB" w:eastAsia="en-US"/>
    </w:rPr>
  </w:style>
  <w:style w:type="character" w:customStyle="1" w:styleId="NormalaftertitleChar">
    <w:name w:val="Normal after title Char"/>
    <w:basedOn w:val="DefaultParagraphFont"/>
    <w:link w:val="Normalaftertitle"/>
    <w:rsid w:val="004535DE"/>
    <w:rPr>
      <w:rFonts w:ascii="Calibri" w:hAnsi="Calibri"/>
      <w:sz w:val="24"/>
      <w:lang w:val="en-GB" w:eastAsia="en-US"/>
    </w:rPr>
  </w:style>
  <w:style w:type="character" w:customStyle="1" w:styleId="enumlev1Char">
    <w:name w:val="enumlev1 Char"/>
    <w:basedOn w:val="DefaultParagraphFont"/>
    <w:link w:val="enumlev1"/>
    <w:rsid w:val="004535DE"/>
    <w:rPr>
      <w:rFonts w:ascii="Calibri" w:hAnsi="Calibri"/>
      <w:sz w:val="24"/>
      <w:lang w:val="en-GB" w:eastAsia="en-US"/>
    </w:rPr>
  </w:style>
  <w:style w:type="character" w:customStyle="1" w:styleId="RestitleChar">
    <w:name w:val="Res_title Char"/>
    <w:basedOn w:val="DefaultParagraphFont"/>
    <w:link w:val="Restitle"/>
    <w:rsid w:val="004535DE"/>
    <w:rPr>
      <w:rFonts w:ascii="Calibri" w:hAnsi="Calibri"/>
      <w:b/>
      <w:sz w:val="28"/>
      <w:lang w:val="en-GB" w:eastAsia="en-US"/>
    </w:rPr>
  </w:style>
  <w:style w:type="character" w:customStyle="1" w:styleId="AnnexNoChar">
    <w:name w:val="Annex_No Char"/>
    <w:basedOn w:val="DefaultParagraphFont"/>
    <w:link w:val="AnnexNo"/>
    <w:rsid w:val="004535DE"/>
    <w:rPr>
      <w:rFonts w:ascii="Calibri" w:hAnsi="Calibri"/>
      <w:caps/>
      <w:sz w:val="28"/>
      <w:lang w:val="en-GB" w:eastAsia="en-US"/>
    </w:rPr>
  </w:style>
  <w:style w:type="character" w:customStyle="1" w:styleId="AnnextitleChar">
    <w:name w:val="Annex_title Char"/>
    <w:basedOn w:val="DefaultParagraphFont"/>
    <w:link w:val="Annextitle"/>
    <w:rsid w:val="004535DE"/>
    <w:rPr>
      <w:rFonts w:ascii="Calibri" w:hAnsi="Calibri"/>
      <w:b/>
      <w:sz w:val="28"/>
      <w:lang w:val="en-GB" w:eastAsia="en-US"/>
    </w:rPr>
  </w:style>
  <w:style w:type="paragraph" w:styleId="BalloonText">
    <w:name w:val="Balloon Text"/>
    <w:basedOn w:val="Normal"/>
    <w:link w:val="BalloonTextChar"/>
    <w:semiHidden/>
    <w:unhideWhenUsed/>
    <w:rsid w:val="009A4E24"/>
    <w:rPr>
      <w:rFonts w:ascii="Segoe UI" w:hAnsi="Segoe UI" w:cs="Segoe UI"/>
      <w:sz w:val="18"/>
      <w:szCs w:val="18"/>
    </w:rPr>
  </w:style>
  <w:style w:type="character" w:customStyle="1" w:styleId="BalloonTextChar">
    <w:name w:val="Balloon Text Char"/>
    <w:basedOn w:val="DefaultParagraphFont"/>
    <w:link w:val="BalloonText"/>
    <w:semiHidden/>
    <w:rsid w:val="009A4E24"/>
    <w:rPr>
      <w:rFonts w:ascii="Segoe UI" w:eastAsiaTheme="minorEastAsia" w:hAnsi="Segoe UI" w:cs="Segoe UI"/>
      <w:sz w:val="18"/>
      <w:szCs w:val="18"/>
      <w:lang w:val="en-GB"/>
    </w:rPr>
  </w:style>
  <w:style w:type="paragraph" w:styleId="ListParagraph">
    <w:name w:val="List Paragraph"/>
    <w:basedOn w:val="Normal"/>
    <w:uiPriority w:val="34"/>
    <w:qFormat/>
    <w:rsid w:val="00F56D59"/>
    <w:pPr>
      <w:ind w:left="720"/>
      <w:contextualSpacing/>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CC5EF0"/>
    <w:rPr>
      <w:rFonts w:asciiTheme="minorHAnsi" w:eastAsiaTheme="minorEastAsia" w:hAnsiTheme="minorHAnsi" w:cstheme="minorBidi"/>
      <w:sz w:val="22"/>
      <w:szCs w:val="22"/>
      <w:lang w:val="en-GB"/>
    </w:rPr>
  </w:style>
  <w:style w:type="paragraph" w:styleId="Revision">
    <w:name w:val="Revision"/>
    <w:hidden/>
    <w:uiPriority w:val="99"/>
    <w:semiHidden/>
    <w:rsid w:val="005F2D25"/>
    <w:rPr>
      <w:rFonts w:asciiTheme="minorHAnsi" w:eastAsiaTheme="minorEastAsia" w:hAnsiTheme="minorHAnsi" w:cstheme="minorBidi"/>
      <w:sz w:val="22"/>
      <w:szCs w:val="22"/>
      <w:lang w:val="en-GB"/>
    </w:rPr>
  </w:style>
  <w:style w:type="table" w:styleId="TableGrid">
    <w:name w:val="Table Grid"/>
    <w:basedOn w:val="TableNormal"/>
    <w:uiPriority w:val="39"/>
    <w:rsid w:val="00C03DBE"/>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1">
    <w:name w:val="Standaard1"/>
    <w:rsid w:val="00C03DBE"/>
    <w:pPr>
      <w:tabs>
        <w:tab w:val="left" w:pos="567"/>
        <w:tab w:val="left" w:pos="1134"/>
        <w:tab w:val="left" w:pos="1701"/>
        <w:tab w:val="left" w:pos="2268"/>
        <w:tab w:val="left" w:pos="2835"/>
      </w:tabs>
      <w:spacing w:before="120"/>
    </w:pPr>
    <w:rPr>
      <w:rFonts w:ascii="Calibri" w:eastAsia="Calibri" w:hAnsi="Calibri" w:cs="Calibri"/>
      <w:color w:val="000000"/>
      <w:sz w:val="24"/>
      <w:szCs w:val="24"/>
      <w:lang w:val="en-GB" w:eastAsia="en-US"/>
    </w:rPr>
  </w:style>
  <w:style w:type="character" w:styleId="CommentReference">
    <w:name w:val="annotation reference"/>
    <w:basedOn w:val="DefaultParagraphFont"/>
    <w:semiHidden/>
    <w:unhideWhenUsed/>
    <w:rsid w:val="00407B9C"/>
    <w:rPr>
      <w:sz w:val="16"/>
      <w:szCs w:val="16"/>
    </w:rPr>
  </w:style>
  <w:style w:type="paragraph" w:styleId="CommentText">
    <w:name w:val="annotation text"/>
    <w:basedOn w:val="Normal"/>
    <w:link w:val="CommentTextChar"/>
    <w:semiHidden/>
    <w:unhideWhenUsed/>
    <w:rsid w:val="00407B9C"/>
    <w:rPr>
      <w:sz w:val="20"/>
      <w:szCs w:val="20"/>
    </w:rPr>
  </w:style>
  <w:style w:type="character" w:customStyle="1" w:styleId="CommentTextChar">
    <w:name w:val="Comment Text Char"/>
    <w:basedOn w:val="DefaultParagraphFont"/>
    <w:link w:val="CommentText"/>
    <w:semiHidden/>
    <w:rsid w:val="00407B9C"/>
    <w:rPr>
      <w:rFonts w:asciiTheme="minorHAnsi" w:eastAsiaTheme="minorEastAsia" w:hAnsiTheme="minorHAnsi" w:cstheme="minorBidi"/>
      <w:lang w:val="en-GB"/>
    </w:rPr>
  </w:style>
  <w:style w:type="paragraph" w:styleId="CommentSubject">
    <w:name w:val="annotation subject"/>
    <w:basedOn w:val="CommentText"/>
    <w:next w:val="CommentText"/>
    <w:link w:val="CommentSubjectChar"/>
    <w:semiHidden/>
    <w:unhideWhenUsed/>
    <w:rsid w:val="00407B9C"/>
    <w:rPr>
      <w:b/>
      <w:bCs/>
    </w:rPr>
  </w:style>
  <w:style w:type="character" w:customStyle="1" w:styleId="CommentSubjectChar">
    <w:name w:val="Comment Subject Char"/>
    <w:basedOn w:val="CommentTextChar"/>
    <w:link w:val="CommentSubject"/>
    <w:semiHidden/>
    <w:rsid w:val="00407B9C"/>
    <w:rPr>
      <w:rFonts w:asciiTheme="minorHAnsi" w:eastAsiaTheme="minorEastAsia" w:hAnsiTheme="minorHAnsi" w:cstheme="minorBidi"/>
      <w:b/>
      <w:bCs/>
      <w:lang w:val="en-GB"/>
    </w:rPr>
  </w:style>
  <w:style w:type="table" w:customStyle="1" w:styleId="TableGrid1">
    <w:name w:val="Table Grid1"/>
    <w:basedOn w:val="TableNormal"/>
    <w:next w:val="TableGrid"/>
    <w:uiPriority w:val="39"/>
    <w:rsid w:val="00C24B0F"/>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0984F-D56C-46C3-8EC7-FA1643A48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2286</Words>
  <Characters>13598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Council Working Group on Internet - 23 September 2021</vt:lpstr>
    </vt:vector>
  </TitlesOfParts>
  <Manager>General Secretariat - Pool</Manager>
  <Company>International Telecommunication Union (ITU)</Company>
  <LinksUpToDate>false</LinksUpToDate>
  <CharactersWithSpaces>15853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Contribution by Russian Federation-Risk analysis of the existing Internet governance and operational model</dc:title>
  <dc:subject>Counciil Working Group on International Internet-related Public Policy Issues (CWG-Internet)</dc:subject>
  <dc:creator>Brouard, Ricarda</dc:creator>
  <cp:keywords>CWG-Internet, CWG, CWGs &amp; EGs</cp:keywords>
  <dc:description/>
  <cp:lastModifiedBy>Xue, Kun</cp:lastModifiedBy>
  <cp:revision>6</cp:revision>
  <cp:lastPrinted>2000-07-18T13:30:00Z</cp:lastPrinted>
  <dcterms:created xsi:type="dcterms:W3CDTF">2021-09-09T14:20:00Z</dcterms:created>
  <dcterms:modified xsi:type="dcterms:W3CDTF">2021-09-09T14:29:00Z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