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923A1B" w14:paraId="1BA6AB20" w14:textId="77777777" w:rsidTr="003370ED">
        <w:trPr>
          <w:cantSplit/>
          <w:trHeight w:val="851"/>
        </w:trPr>
        <w:tc>
          <w:tcPr>
            <w:tcW w:w="6237" w:type="dxa"/>
            <w:vAlign w:val="center"/>
          </w:tcPr>
          <w:p w14:paraId="725EBB16" w14:textId="2BC6FF7B" w:rsidR="00923A1B" w:rsidRPr="003370ED" w:rsidRDefault="002303BC" w:rsidP="00877393">
            <w:pPr>
              <w:shd w:val="solid" w:color="FFFFFF" w:fill="FFFFFF"/>
              <w:spacing w:before="40" w:after="120"/>
              <w:rPr>
                <w:rFonts w:cs="Times"/>
                <w:b/>
                <w:sz w:val="30"/>
                <w:szCs w:val="30"/>
              </w:rPr>
            </w:pPr>
            <w:r w:rsidRPr="003370ED">
              <w:rPr>
                <w:rFonts w:cs="Times"/>
                <w:b/>
                <w:sz w:val="30"/>
                <w:szCs w:val="30"/>
              </w:rPr>
              <w:t>Council Working Group on International Internet-related Public Policy Issues</w:t>
            </w:r>
            <w:r w:rsidR="003370ED">
              <w:rPr>
                <w:rFonts w:cs="Times"/>
                <w:b/>
                <w:sz w:val="30"/>
                <w:szCs w:val="30"/>
              </w:rPr>
              <w:br/>
            </w:r>
            <w:r w:rsidR="00265977">
              <w:rPr>
                <w:b/>
                <w:bCs/>
                <w:sz w:val="24"/>
                <w:szCs w:val="40"/>
              </w:rPr>
              <w:t>Six</w:t>
            </w:r>
            <w:r w:rsidR="00877393">
              <w:rPr>
                <w:b/>
                <w:bCs/>
                <w:sz w:val="24"/>
                <w:szCs w:val="40"/>
              </w:rPr>
              <w:t>te</w:t>
            </w:r>
            <w:r w:rsidR="003370ED">
              <w:rPr>
                <w:b/>
                <w:bCs/>
                <w:sz w:val="24"/>
                <w:szCs w:val="40"/>
              </w:rPr>
              <w:t xml:space="preserve">enth meeting </w:t>
            </w:r>
            <w:r w:rsidR="002C22D5">
              <w:rPr>
                <w:b/>
                <w:bCs/>
                <w:sz w:val="24"/>
                <w:szCs w:val="40"/>
              </w:rPr>
              <w:t>–</w:t>
            </w:r>
            <w:r w:rsidR="003370ED">
              <w:rPr>
                <w:b/>
                <w:bCs/>
                <w:sz w:val="24"/>
                <w:szCs w:val="40"/>
              </w:rPr>
              <w:t xml:space="preserve"> </w:t>
            </w:r>
            <w:r w:rsidR="002C22D5">
              <w:rPr>
                <w:b/>
                <w:bCs/>
                <w:sz w:val="24"/>
                <w:szCs w:val="40"/>
              </w:rPr>
              <w:t>Virtual meeting</w:t>
            </w:r>
            <w:r w:rsidR="003370ED" w:rsidRPr="002238C4">
              <w:rPr>
                <w:b/>
                <w:bCs/>
                <w:sz w:val="24"/>
                <w:szCs w:val="40"/>
              </w:rPr>
              <w:t xml:space="preserve">, </w:t>
            </w:r>
            <w:r w:rsidR="00265977">
              <w:rPr>
                <w:b/>
                <w:bCs/>
                <w:sz w:val="24"/>
                <w:szCs w:val="40"/>
              </w:rPr>
              <w:t>23 September</w:t>
            </w:r>
            <w:r w:rsidR="003370ED" w:rsidRPr="002238C4">
              <w:rPr>
                <w:b/>
                <w:bCs/>
                <w:sz w:val="24"/>
                <w:szCs w:val="40"/>
              </w:rPr>
              <w:t xml:space="preserve"> 20</w:t>
            </w:r>
            <w:r w:rsidR="00877393">
              <w:rPr>
                <w:b/>
                <w:bCs/>
                <w:sz w:val="24"/>
                <w:szCs w:val="40"/>
              </w:rPr>
              <w:t>2</w:t>
            </w:r>
            <w:r w:rsidR="002C22D5">
              <w:rPr>
                <w:b/>
                <w:bCs/>
                <w:sz w:val="24"/>
                <w:szCs w:val="40"/>
              </w:rPr>
              <w:t>1</w:t>
            </w:r>
          </w:p>
        </w:tc>
        <w:tc>
          <w:tcPr>
            <w:tcW w:w="3600" w:type="dxa"/>
            <w:vAlign w:val="center"/>
          </w:tcPr>
          <w:p w14:paraId="373C3414" w14:textId="77777777" w:rsidR="00923A1B" w:rsidRDefault="00B36E39" w:rsidP="000950D1">
            <w:pPr>
              <w:pStyle w:val="dnum"/>
              <w:framePr w:hSpace="0" w:wrap="auto" w:vAnchor="margin" w:hAnchor="text" w:yAlign="inline"/>
              <w:spacing w:after="120"/>
            </w:pPr>
            <w:r>
              <w:rPr>
                <w:noProof/>
              </w:rPr>
              <w:drawing>
                <wp:inline distT="0" distB="0" distL="0" distR="0" wp14:anchorId="322B3A0D" wp14:editId="3F5ECE27">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923A1B" w:rsidRPr="00F5094D" w14:paraId="2DE1D477" w14:textId="77777777" w:rsidTr="00D30768">
        <w:trPr>
          <w:cantSplit/>
          <w:trHeight w:val="138"/>
        </w:trPr>
        <w:tc>
          <w:tcPr>
            <w:tcW w:w="6237" w:type="dxa"/>
            <w:tcBorders>
              <w:top w:val="single" w:sz="12" w:space="0" w:color="auto"/>
            </w:tcBorders>
          </w:tcPr>
          <w:p w14:paraId="63FFA584" w14:textId="77777777" w:rsidR="00923A1B" w:rsidRDefault="00923A1B" w:rsidP="0025471D">
            <w:pPr>
              <w:shd w:val="solid" w:color="FFFFFF" w:fill="FFFFFF"/>
              <w:spacing w:after="0"/>
              <w:ind w:right="284"/>
            </w:pPr>
          </w:p>
        </w:tc>
        <w:tc>
          <w:tcPr>
            <w:tcW w:w="3600" w:type="dxa"/>
            <w:tcBorders>
              <w:top w:val="single" w:sz="12" w:space="0" w:color="auto"/>
            </w:tcBorders>
          </w:tcPr>
          <w:p w14:paraId="617DB050"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D30768" w14:paraId="38544AD0" w14:textId="77777777" w:rsidTr="00D30768">
        <w:trPr>
          <w:cantSplit/>
          <w:trHeight w:val="138"/>
        </w:trPr>
        <w:tc>
          <w:tcPr>
            <w:tcW w:w="6237" w:type="dxa"/>
          </w:tcPr>
          <w:p w14:paraId="4BA0A62E" w14:textId="77777777" w:rsidR="00923A1B" w:rsidRPr="002238C4" w:rsidRDefault="00923A1B" w:rsidP="0025471D">
            <w:pPr>
              <w:spacing w:after="0"/>
              <w:rPr>
                <w:b/>
                <w:bCs/>
                <w:sz w:val="24"/>
                <w:szCs w:val="24"/>
              </w:rPr>
            </w:pPr>
          </w:p>
        </w:tc>
        <w:tc>
          <w:tcPr>
            <w:tcW w:w="3600" w:type="dxa"/>
          </w:tcPr>
          <w:p w14:paraId="6D142174" w14:textId="350069BA" w:rsidR="00923A1B" w:rsidRPr="00D30768" w:rsidRDefault="00923A1B" w:rsidP="00877393">
            <w:pPr>
              <w:spacing w:after="0"/>
              <w:rPr>
                <w:b/>
                <w:bCs/>
                <w:sz w:val="24"/>
                <w:szCs w:val="24"/>
                <w:lang w:val="fr-CH"/>
              </w:rPr>
            </w:pPr>
            <w:r w:rsidRPr="00D30768">
              <w:rPr>
                <w:b/>
                <w:bCs/>
                <w:sz w:val="24"/>
                <w:szCs w:val="24"/>
                <w:lang w:val="fr-CH"/>
              </w:rPr>
              <w:t xml:space="preserve">Document </w:t>
            </w:r>
            <w:r w:rsidR="00D30768" w:rsidRPr="00D30768">
              <w:rPr>
                <w:b/>
                <w:bCs/>
                <w:sz w:val="24"/>
                <w:szCs w:val="24"/>
                <w:lang w:val="fr-CH"/>
              </w:rPr>
              <w:t>CWG-Internet-1</w:t>
            </w:r>
            <w:r w:rsidR="00265977">
              <w:rPr>
                <w:b/>
                <w:bCs/>
                <w:sz w:val="24"/>
                <w:szCs w:val="24"/>
                <w:lang w:val="fr-CH"/>
              </w:rPr>
              <w:t>6</w:t>
            </w:r>
            <w:r w:rsidR="00877393">
              <w:rPr>
                <w:b/>
                <w:bCs/>
                <w:sz w:val="24"/>
                <w:szCs w:val="24"/>
                <w:lang w:val="fr-CH"/>
              </w:rPr>
              <w:t>/</w:t>
            </w:r>
            <w:r w:rsidR="00967CB1">
              <w:rPr>
                <w:b/>
                <w:bCs/>
                <w:sz w:val="24"/>
                <w:szCs w:val="24"/>
                <w:lang w:val="fr-CH"/>
              </w:rPr>
              <w:t>7</w:t>
            </w:r>
            <w:r w:rsidR="00877393">
              <w:rPr>
                <w:b/>
                <w:bCs/>
                <w:sz w:val="24"/>
                <w:szCs w:val="24"/>
                <w:lang w:val="fr-CH"/>
              </w:rPr>
              <w:t>-</w:t>
            </w:r>
            <w:r w:rsidR="00D30768" w:rsidRPr="00D30768">
              <w:rPr>
                <w:b/>
                <w:bCs/>
                <w:sz w:val="24"/>
                <w:szCs w:val="24"/>
                <w:lang w:val="fr-CH"/>
              </w:rPr>
              <w:t>E</w:t>
            </w:r>
          </w:p>
        </w:tc>
      </w:tr>
      <w:tr w:rsidR="00923A1B" w:rsidRPr="003737DE" w14:paraId="76706AA6" w14:textId="77777777" w:rsidTr="00D30768">
        <w:trPr>
          <w:cantSplit/>
          <w:trHeight w:val="138"/>
        </w:trPr>
        <w:tc>
          <w:tcPr>
            <w:tcW w:w="6237" w:type="dxa"/>
          </w:tcPr>
          <w:p w14:paraId="14C6E827" w14:textId="77777777" w:rsidR="00923A1B" w:rsidRPr="00D30768" w:rsidRDefault="00923A1B" w:rsidP="0025471D">
            <w:pPr>
              <w:shd w:val="solid" w:color="FFFFFF" w:fill="FFFFFF"/>
              <w:spacing w:after="0"/>
              <w:ind w:right="284"/>
              <w:rPr>
                <w:lang w:val="fr-CH"/>
              </w:rPr>
            </w:pPr>
          </w:p>
        </w:tc>
        <w:tc>
          <w:tcPr>
            <w:tcW w:w="3600" w:type="dxa"/>
          </w:tcPr>
          <w:p w14:paraId="2DC4EACC" w14:textId="071B2A18" w:rsidR="00923A1B" w:rsidRPr="002238C4" w:rsidRDefault="0076142B" w:rsidP="00877393">
            <w:pPr>
              <w:tabs>
                <w:tab w:val="left" w:pos="851"/>
              </w:tabs>
              <w:spacing w:after="0"/>
              <w:ind w:right="284"/>
              <w:rPr>
                <w:b/>
                <w:sz w:val="24"/>
                <w:szCs w:val="24"/>
              </w:rPr>
            </w:pPr>
            <w:r>
              <w:rPr>
                <w:b/>
                <w:sz w:val="24"/>
                <w:szCs w:val="24"/>
              </w:rPr>
              <w:t>11 September</w:t>
            </w:r>
            <w:r w:rsidR="000854C6">
              <w:rPr>
                <w:b/>
                <w:sz w:val="24"/>
                <w:szCs w:val="24"/>
              </w:rPr>
              <w:t xml:space="preserve"> </w:t>
            </w:r>
            <w:r w:rsidR="00923A1B" w:rsidRPr="002238C4">
              <w:rPr>
                <w:b/>
                <w:sz w:val="24"/>
                <w:szCs w:val="24"/>
              </w:rPr>
              <w:t>20</w:t>
            </w:r>
            <w:r w:rsidR="00877393">
              <w:rPr>
                <w:b/>
                <w:sz w:val="24"/>
                <w:szCs w:val="24"/>
              </w:rPr>
              <w:t>2</w:t>
            </w:r>
            <w:r w:rsidR="002C22D5">
              <w:rPr>
                <w:b/>
                <w:sz w:val="24"/>
                <w:szCs w:val="24"/>
              </w:rPr>
              <w:t>1</w:t>
            </w:r>
          </w:p>
        </w:tc>
      </w:tr>
      <w:tr w:rsidR="00923A1B" w:rsidRPr="003737DE" w14:paraId="6E76302A" w14:textId="77777777" w:rsidTr="00D30768">
        <w:trPr>
          <w:cantSplit/>
          <w:trHeight w:val="138"/>
        </w:trPr>
        <w:tc>
          <w:tcPr>
            <w:tcW w:w="6237" w:type="dxa"/>
          </w:tcPr>
          <w:p w14:paraId="51B85AA4" w14:textId="77777777" w:rsidR="00923A1B" w:rsidRDefault="00923A1B" w:rsidP="0025471D">
            <w:pPr>
              <w:shd w:val="solid" w:color="FFFFFF" w:fill="FFFFFF"/>
              <w:spacing w:after="0"/>
              <w:ind w:right="284"/>
            </w:pPr>
          </w:p>
        </w:tc>
        <w:tc>
          <w:tcPr>
            <w:tcW w:w="3600" w:type="dxa"/>
          </w:tcPr>
          <w:p w14:paraId="287A14A1" w14:textId="77777777" w:rsidR="00923A1B" w:rsidRPr="002238C4" w:rsidRDefault="00877393" w:rsidP="0025471D">
            <w:pPr>
              <w:tabs>
                <w:tab w:val="left" w:pos="851"/>
              </w:tabs>
              <w:spacing w:after="0"/>
              <w:ind w:right="284"/>
              <w:rPr>
                <w:b/>
                <w:sz w:val="24"/>
                <w:szCs w:val="24"/>
              </w:rPr>
            </w:pPr>
            <w:r>
              <w:rPr>
                <w:b/>
                <w:sz w:val="24"/>
                <w:szCs w:val="24"/>
              </w:rPr>
              <w:t>English only</w:t>
            </w:r>
          </w:p>
        </w:tc>
      </w:tr>
    </w:tbl>
    <w:p w14:paraId="3FF8666D" w14:textId="22079A90" w:rsidR="00877393" w:rsidRPr="00635364" w:rsidRDefault="00877393" w:rsidP="0076142B">
      <w:pPr>
        <w:spacing w:before="840" w:after="120"/>
        <w:jc w:val="center"/>
        <w:rPr>
          <w:b/>
          <w:sz w:val="28"/>
        </w:rPr>
      </w:pPr>
      <w:r w:rsidRPr="00967CB1">
        <w:rPr>
          <w:b/>
          <w:sz w:val="28"/>
        </w:rPr>
        <w:t xml:space="preserve">Contribution by </w:t>
      </w:r>
      <w:r w:rsidR="0076142B" w:rsidRPr="00967CB1">
        <w:rPr>
          <w:b/>
          <w:sz w:val="28"/>
        </w:rPr>
        <w:t>the United</w:t>
      </w:r>
      <w:r w:rsidR="0076142B">
        <w:rPr>
          <w:b/>
          <w:sz w:val="28"/>
        </w:rPr>
        <w:t xml:space="preserve"> States of America</w:t>
      </w:r>
    </w:p>
    <w:p w14:paraId="377E43A8" w14:textId="0F9B1051" w:rsidR="00877393" w:rsidRDefault="0076142B" w:rsidP="0076142B">
      <w:pPr>
        <w:spacing w:before="240" w:after="120"/>
        <w:jc w:val="center"/>
        <w:rPr>
          <w:bCs/>
          <w:sz w:val="28"/>
          <w:szCs w:val="28"/>
        </w:rPr>
      </w:pPr>
      <w:r w:rsidRPr="0076142B">
        <w:rPr>
          <w:bCs/>
          <w:sz w:val="28"/>
          <w:szCs w:val="28"/>
        </w:rPr>
        <w:t>CONTRIBUTION TO THE SEPTEMBER 23 ITU COUNCIL WORKING GROUP ON INTERNATIONAL INTERNET-RELATED PUBLIC POLICY ISSUES (CWG-INTERNET)</w:t>
      </w:r>
    </w:p>
    <w:p w14:paraId="01F658A1" w14:textId="77777777" w:rsidR="00877393" w:rsidRDefault="00877393" w:rsidP="00877393">
      <w:pPr>
        <w:jc w:val="center"/>
        <w:rPr>
          <w:bCs/>
          <w:sz w:val="28"/>
          <w:szCs w:val="28"/>
        </w:rPr>
      </w:pPr>
    </w:p>
    <w:p w14:paraId="01F4D8AF" w14:textId="77777777" w:rsidR="00967CB1" w:rsidRPr="00967CB1" w:rsidRDefault="00967CB1" w:rsidP="00967CB1">
      <w:pPr>
        <w:tabs>
          <w:tab w:val="left" w:pos="720"/>
        </w:tabs>
        <w:snapToGrid w:val="0"/>
        <w:spacing w:before="360" w:after="120" w:line="240" w:lineRule="auto"/>
        <w:rPr>
          <w:rFonts w:eastAsia="Calibri" w:cstheme="minorHAnsi"/>
          <w:b/>
          <w:sz w:val="24"/>
          <w:szCs w:val="24"/>
        </w:rPr>
      </w:pPr>
      <w:r w:rsidRPr="00967CB1">
        <w:rPr>
          <w:rFonts w:cstheme="minorHAnsi"/>
          <w:b/>
          <w:sz w:val="24"/>
          <w:szCs w:val="24"/>
        </w:rPr>
        <w:t>Introduction</w:t>
      </w:r>
    </w:p>
    <w:p w14:paraId="29295B16" w14:textId="77777777" w:rsidR="00967CB1" w:rsidRPr="00967CB1" w:rsidRDefault="00967CB1" w:rsidP="00967CB1">
      <w:pPr>
        <w:tabs>
          <w:tab w:val="left" w:pos="720"/>
        </w:tabs>
        <w:snapToGrid w:val="0"/>
        <w:spacing w:before="120" w:after="120" w:line="240" w:lineRule="auto"/>
        <w:jc w:val="both"/>
        <w:rPr>
          <w:rFonts w:cstheme="minorHAnsi"/>
          <w:b/>
          <w:sz w:val="24"/>
          <w:szCs w:val="24"/>
        </w:rPr>
      </w:pPr>
      <w:r w:rsidRPr="00967CB1">
        <w:rPr>
          <w:rFonts w:cstheme="minorHAnsi"/>
          <w:sz w:val="24"/>
          <w:szCs w:val="24"/>
        </w:rPr>
        <w:t>The United States is pleased to submit this contribution to the ITU Council Working Group on International Internet-related public policy issues (CWG-Internet) for consideration during its September 23, 2021, meeting.</w:t>
      </w:r>
    </w:p>
    <w:p w14:paraId="32982699" w14:textId="77777777" w:rsidR="00967CB1" w:rsidRPr="00967CB1" w:rsidRDefault="00967CB1" w:rsidP="00967CB1">
      <w:pPr>
        <w:tabs>
          <w:tab w:val="left" w:pos="720"/>
        </w:tabs>
        <w:snapToGrid w:val="0"/>
        <w:spacing w:before="480" w:after="120" w:line="240" w:lineRule="auto"/>
        <w:jc w:val="both"/>
        <w:rPr>
          <w:rFonts w:cstheme="minorHAnsi"/>
          <w:b/>
          <w:sz w:val="24"/>
          <w:szCs w:val="24"/>
        </w:rPr>
      </w:pPr>
      <w:r w:rsidRPr="00967CB1">
        <w:rPr>
          <w:rFonts w:cstheme="minorHAnsi"/>
          <w:b/>
          <w:sz w:val="24"/>
          <w:szCs w:val="24"/>
        </w:rPr>
        <w:t>Discussion</w:t>
      </w:r>
    </w:p>
    <w:p w14:paraId="120D90A1" w14:textId="77777777" w:rsidR="00967CB1" w:rsidRPr="00967CB1" w:rsidRDefault="00967CB1" w:rsidP="00967CB1">
      <w:pPr>
        <w:tabs>
          <w:tab w:val="left" w:pos="720"/>
        </w:tabs>
        <w:snapToGrid w:val="0"/>
        <w:spacing w:before="120" w:after="120" w:line="240" w:lineRule="auto"/>
        <w:jc w:val="both"/>
        <w:rPr>
          <w:rFonts w:cstheme="minorHAnsi"/>
          <w:b/>
          <w:sz w:val="24"/>
          <w:szCs w:val="24"/>
        </w:rPr>
      </w:pPr>
      <w:r w:rsidRPr="00967CB1">
        <w:rPr>
          <w:rFonts w:cstheme="minorHAnsi"/>
          <w:sz w:val="24"/>
          <w:szCs w:val="24"/>
        </w:rPr>
        <w:t>The United States continues to believe, based on extensive experience, that it is critical for the CWG-Internet to solicit the views of diverse stakeholder groups, including private industry, civil society, and the technical community in addition to governments themselves. Proactively encouraging contributions on Internet-related matters from non-government entities is an effective means of fully informing discussions in the CWG-Internet.</w:t>
      </w:r>
    </w:p>
    <w:p w14:paraId="2D722A2F" w14:textId="77777777" w:rsidR="00967CB1" w:rsidRPr="00967CB1" w:rsidRDefault="00967CB1" w:rsidP="00967CB1">
      <w:pPr>
        <w:tabs>
          <w:tab w:val="left" w:pos="720"/>
        </w:tabs>
        <w:snapToGrid w:val="0"/>
        <w:spacing w:before="480" w:after="120" w:line="240" w:lineRule="auto"/>
        <w:jc w:val="both"/>
        <w:rPr>
          <w:rFonts w:cstheme="minorHAnsi"/>
          <w:b/>
          <w:sz w:val="24"/>
          <w:szCs w:val="24"/>
        </w:rPr>
      </w:pPr>
      <w:r w:rsidRPr="00967CB1">
        <w:rPr>
          <w:rFonts w:cstheme="minorHAnsi"/>
          <w:b/>
          <w:sz w:val="24"/>
          <w:szCs w:val="24"/>
        </w:rPr>
        <w:t>Proposal</w:t>
      </w:r>
    </w:p>
    <w:p w14:paraId="0FC921AC" w14:textId="2E60CEA9" w:rsidR="00967CB1" w:rsidRPr="00967CB1" w:rsidRDefault="00967CB1" w:rsidP="00967CB1">
      <w:pPr>
        <w:tabs>
          <w:tab w:val="left" w:pos="720"/>
        </w:tabs>
        <w:snapToGrid w:val="0"/>
        <w:spacing w:before="120" w:after="120" w:line="240" w:lineRule="auto"/>
        <w:jc w:val="both"/>
        <w:rPr>
          <w:rFonts w:cstheme="minorHAnsi"/>
          <w:sz w:val="24"/>
          <w:szCs w:val="24"/>
        </w:rPr>
      </w:pPr>
      <w:r w:rsidRPr="00967CB1">
        <w:rPr>
          <w:rFonts w:cstheme="minorHAnsi"/>
          <w:sz w:val="24"/>
          <w:szCs w:val="24"/>
        </w:rPr>
        <w:t xml:space="preserve">For nearly forty years, the principles of universality and interoperability underpinning the Internet have enabled it to grow into an unprecedented engine for social impact, cultural innovation, and economic growth. Most recently, the Covid-19 pandemic has put these principles to the test and the results are clear: the Internet is a vital tool that directly impacts social, economic, and physical outcomes. Importantly, the pandemic has demonstrated the scalability and resiliency of networks to meet this increased surge in global demand for traffic. With increased requirements for Internet connectivity to support schooling and working from home, telemedicine applications, </w:t>
      </w:r>
      <w:proofErr w:type="gramStart"/>
      <w:r w:rsidRPr="00967CB1">
        <w:rPr>
          <w:rFonts w:cstheme="minorHAnsi"/>
          <w:sz w:val="24"/>
          <w:szCs w:val="24"/>
        </w:rPr>
        <w:t>arts</w:t>
      </w:r>
      <w:proofErr w:type="gramEnd"/>
      <w:r w:rsidRPr="00967CB1">
        <w:rPr>
          <w:rFonts w:cstheme="minorHAnsi"/>
          <w:sz w:val="24"/>
          <w:szCs w:val="24"/>
        </w:rPr>
        <w:t xml:space="preserve"> and entertainment, and keeping families and friends connected, Internet connectivity has never been more important. Networks scaled to meet this surge of demand and regulators and policymakers stepped in to make more spectrum available and take other actions to reduce barriers and support additional network capacity and deployment. </w:t>
      </w:r>
    </w:p>
    <w:p w14:paraId="6A95C3FB" w14:textId="77777777" w:rsidR="00967CB1" w:rsidRDefault="00967CB1" w:rsidP="00967CB1">
      <w:pPr>
        <w:keepNext/>
        <w:keepLines/>
        <w:tabs>
          <w:tab w:val="left" w:pos="720"/>
        </w:tabs>
        <w:snapToGrid w:val="0"/>
        <w:spacing w:before="120" w:after="120" w:line="240" w:lineRule="auto"/>
        <w:jc w:val="both"/>
        <w:rPr>
          <w:rFonts w:cstheme="minorHAnsi"/>
          <w:sz w:val="24"/>
          <w:szCs w:val="24"/>
        </w:rPr>
      </w:pPr>
    </w:p>
    <w:p w14:paraId="321D79BC" w14:textId="19F51791" w:rsidR="00967CB1" w:rsidRPr="00967CB1" w:rsidRDefault="00967CB1" w:rsidP="00967CB1">
      <w:pPr>
        <w:keepNext/>
        <w:keepLines/>
        <w:tabs>
          <w:tab w:val="left" w:pos="720"/>
        </w:tabs>
        <w:snapToGrid w:val="0"/>
        <w:spacing w:before="120" w:after="120" w:line="240" w:lineRule="auto"/>
        <w:jc w:val="both"/>
        <w:rPr>
          <w:rFonts w:cstheme="minorHAnsi"/>
          <w:sz w:val="24"/>
          <w:szCs w:val="24"/>
        </w:rPr>
      </w:pPr>
      <w:r w:rsidRPr="00967CB1">
        <w:rPr>
          <w:rFonts w:cstheme="minorHAnsi"/>
          <w:sz w:val="24"/>
          <w:szCs w:val="24"/>
        </w:rPr>
        <w:t>Yet the pandemic also exposed that we still have more work to do to reach universal connectivity. As we look to connect the unconnected and address inequalities in access and adoption, it is more important than ever that we ensure that connectivity is both reliable and universal. We need to ensure that the next billion users are also afforded opportunities for economic and social development the Internet provides. This critical task requires renewed and redoubled efforts across all stakeholders to identify and implement the innovative technologies, approaches and policy tools that will support universal connectivity.</w:t>
      </w:r>
    </w:p>
    <w:p w14:paraId="2FD3E841" w14:textId="65DC0931" w:rsidR="00967CB1" w:rsidRPr="00967CB1" w:rsidRDefault="00967CB1" w:rsidP="00967CB1">
      <w:pPr>
        <w:tabs>
          <w:tab w:val="left" w:pos="720"/>
        </w:tabs>
        <w:snapToGrid w:val="0"/>
        <w:spacing w:before="240" w:after="120" w:line="240" w:lineRule="auto"/>
        <w:jc w:val="both"/>
        <w:rPr>
          <w:rFonts w:cstheme="minorHAnsi"/>
          <w:sz w:val="24"/>
          <w:szCs w:val="24"/>
        </w:rPr>
      </w:pPr>
      <w:r w:rsidRPr="00967CB1">
        <w:rPr>
          <w:rFonts w:cstheme="minorHAnsi"/>
          <w:sz w:val="24"/>
          <w:szCs w:val="24"/>
        </w:rPr>
        <w:t>Given these trends, the United States proposes the following question for open consultations:</w:t>
      </w:r>
    </w:p>
    <w:p w14:paraId="6F81DFF9" w14:textId="77777777" w:rsidR="00967CB1" w:rsidRPr="00967CB1" w:rsidRDefault="00967CB1" w:rsidP="00967CB1">
      <w:pPr>
        <w:pStyle w:val="ListParagraph"/>
        <w:keepNext/>
        <w:keepLines/>
        <w:numPr>
          <w:ilvl w:val="0"/>
          <w:numId w:val="21"/>
        </w:numPr>
        <w:snapToGrid w:val="0"/>
        <w:spacing w:before="120" w:after="120" w:line="240" w:lineRule="auto"/>
        <w:contextualSpacing w:val="0"/>
        <w:jc w:val="both"/>
        <w:rPr>
          <w:rFonts w:cstheme="minorHAnsi"/>
          <w:sz w:val="24"/>
          <w:szCs w:val="24"/>
        </w:rPr>
      </w:pPr>
      <w:r w:rsidRPr="00967CB1">
        <w:rPr>
          <w:rFonts w:cstheme="minorHAnsi"/>
          <w:sz w:val="24"/>
          <w:szCs w:val="24"/>
        </w:rPr>
        <w:t xml:space="preserve">How can we create lasting global partnerships to bring meaningful universal connectivity to the remaining 3.7 people who are unconnected around the world? </w:t>
      </w:r>
    </w:p>
    <w:p w14:paraId="647A55E8" w14:textId="77777777" w:rsidR="00967CB1" w:rsidRPr="00967CB1" w:rsidRDefault="00967CB1" w:rsidP="00967CB1">
      <w:pPr>
        <w:pStyle w:val="ListParagraph"/>
        <w:keepNext/>
        <w:keepLines/>
        <w:numPr>
          <w:ilvl w:val="0"/>
          <w:numId w:val="21"/>
        </w:numPr>
        <w:snapToGrid w:val="0"/>
        <w:spacing w:before="120" w:after="120" w:line="240" w:lineRule="auto"/>
        <w:contextualSpacing w:val="0"/>
        <w:jc w:val="both"/>
        <w:rPr>
          <w:rFonts w:cstheme="minorHAnsi"/>
          <w:sz w:val="24"/>
          <w:szCs w:val="24"/>
        </w:rPr>
      </w:pPr>
      <w:r w:rsidRPr="00967CB1">
        <w:rPr>
          <w:rFonts w:cstheme="minorHAnsi"/>
          <w:sz w:val="24"/>
          <w:szCs w:val="24"/>
        </w:rPr>
        <w:t>How can universal connectivity empower communities with the technologies and applications that can contribute to their economic growth and well-being?</w:t>
      </w:r>
    </w:p>
    <w:p w14:paraId="443E8843" w14:textId="77777777" w:rsidR="00967CB1" w:rsidRPr="00967CB1" w:rsidRDefault="00967CB1" w:rsidP="00967CB1">
      <w:pPr>
        <w:pStyle w:val="ListParagraph"/>
        <w:keepNext/>
        <w:keepLines/>
        <w:numPr>
          <w:ilvl w:val="0"/>
          <w:numId w:val="21"/>
        </w:numPr>
        <w:snapToGrid w:val="0"/>
        <w:spacing w:before="120" w:after="120" w:line="240" w:lineRule="auto"/>
        <w:contextualSpacing w:val="0"/>
        <w:jc w:val="both"/>
        <w:rPr>
          <w:rFonts w:eastAsiaTheme="majorEastAsia" w:cstheme="minorHAnsi"/>
          <w:sz w:val="24"/>
          <w:szCs w:val="24"/>
        </w:rPr>
      </w:pPr>
      <w:r w:rsidRPr="00967CB1">
        <w:rPr>
          <w:rFonts w:cstheme="minorHAnsi"/>
          <w:sz w:val="24"/>
          <w:szCs w:val="24"/>
        </w:rPr>
        <w:t xml:space="preserve">What are the range of community stakeholders that governments should engage when planning for universal connectivity, and what are best practices for such engagement and inclusion? </w:t>
      </w:r>
    </w:p>
    <w:p w14:paraId="4E912AFE" w14:textId="00863307" w:rsidR="00877393" w:rsidRPr="00967CB1" w:rsidRDefault="00967CB1" w:rsidP="00967CB1">
      <w:pPr>
        <w:pStyle w:val="Normal1"/>
        <w:spacing w:before="840"/>
        <w:jc w:val="center"/>
        <w:rPr>
          <w:rFonts w:asciiTheme="minorHAnsi" w:hAnsiTheme="minorHAnsi" w:cstheme="minorHAnsi"/>
          <w:b/>
        </w:rPr>
      </w:pPr>
      <w:r w:rsidRPr="00967CB1">
        <w:rPr>
          <w:rFonts w:asciiTheme="minorHAnsi" w:hAnsiTheme="minorHAnsi" w:cstheme="minorHAnsi"/>
        </w:rPr>
        <w:t>__________________</w:t>
      </w:r>
    </w:p>
    <w:sectPr w:rsidR="00877393" w:rsidRPr="00967CB1" w:rsidSect="00FE392A">
      <w:headerReference w:type="default" r:id="rId9"/>
      <w:footerReference w:type="first" r:id="rId10"/>
      <w:pgSz w:w="11907" w:h="16834" w:code="9"/>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83CF" w14:textId="77777777" w:rsidR="00DB6DC2" w:rsidRDefault="00DB6DC2">
      <w:r>
        <w:separator/>
      </w:r>
    </w:p>
  </w:endnote>
  <w:endnote w:type="continuationSeparator" w:id="0">
    <w:p w14:paraId="7500D0ED" w14:textId="77777777" w:rsidR="00DB6DC2" w:rsidRDefault="00DB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0A7B"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884F" w14:textId="77777777" w:rsidR="00DB6DC2" w:rsidRDefault="00DB6DC2">
      <w:r>
        <w:t>____________________</w:t>
      </w:r>
    </w:p>
  </w:footnote>
  <w:footnote w:type="continuationSeparator" w:id="0">
    <w:p w14:paraId="0F4F7803" w14:textId="77777777" w:rsidR="00DB6DC2" w:rsidRDefault="00DB6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E526" w14:textId="03198785" w:rsidR="00542BAB" w:rsidRDefault="00542BAB" w:rsidP="000854C6">
    <w:pPr>
      <w:pStyle w:val="Header"/>
      <w:spacing w:after="120"/>
    </w:pPr>
    <w:r>
      <w:fldChar w:fldCharType="begin"/>
    </w:r>
    <w:r>
      <w:instrText xml:space="preserve"> PAGE   \* MERGEFORMAT </w:instrText>
    </w:r>
    <w:r>
      <w:fldChar w:fldCharType="separate"/>
    </w:r>
    <w:r w:rsidR="001B1941">
      <w:rPr>
        <w:noProof/>
      </w:rPr>
      <w:t>2</w:t>
    </w:r>
    <w:r>
      <w:rPr>
        <w:noProof/>
      </w:rPr>
      <w:fldChar w:fldCharType="end"/>
    </w:r>
    <w:r>
      <w:rPr>
        <w:noProof/>
      </w:rPr>
      <w:br/>
    </w:r>
    <w:r w:rsidR="00967CB1">
      <w:rPr>
        <w:noProof/>
      </w:rPr>
      <w:t>CWG-Internet</w:t>
    </w:r>
    <w:r w:rsidR="00965A18">
      <w:rPr>
        <w:noProof/>
      </w:rPr>
      <w:t>-1</w:t>
    </w:r>
    <w:r w:rsidR="00967CB1">
      <w:rPr>
        <w:noProof/>
      </w:rPr>
      <w:t>6</w:t>
    </w:r>
    <w:r w:rsidR="000854C6">
      <w:rPr>
        <w:noProof/>
      </w:rPr>
      <w:t>\</w:t>
    </w:r>
    <w:r w:rsidR="00967CB1">
      <w:rPr>
        <w:noProof/>
      </w:rPr>
      <w:t>7</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294AAC"/>
    <w:multiLevelType w:val="hybridMultilevel"/>
    <w:tmpl w:val="6E68F80C"/>
    <w:lvl w:ilvl="0" w:tplc="A8C05732">
      <w:start w:val="1"/>
      <w:numFmt w:val="decimal"/>
      <w:lvlText w:val="%1."/>
      <w:lvlJc w:val="left"/>
      <w:pPr>
        <w:ind w:left="720" w:hanging="360"/>
      </w:pPr>
      <w:rPr>
        <w:rFonts w:asciiTheme="majorHAnsi" w:hAnsiTheme="majorHAnsi" w:cstheme="maj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2"/>
  </w:num>
  <w:num w:numId="4">
    <w:abstractNumId w:val="15"/>
  </w:num>
  <w:num w:numId="5">
    <w:abstractNumId w:val="20"/>
  </w:num>
  <w:num w:numId="6">
    <w:abstractNumId w:val="13"/>
  </w:num>
  <w:num w:numId="7">
    <w:abstractNumId w:val="19"/>
  </w:num>
  <w:num w:numId="8">
    <w:abstractNumId w:val="17"/>
  </w:num>
  <w:num w:numId="9">
    <w:abstractNumId w:val="14"/>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609D"/>
    <w:rsid w:val="00030247"/>
    <w:rsid w:val="0003420F"/>
    <w:rsid w:val="0005540C"/>
    <w:rsid w:val="00063016"/>
    <w:rsid w:val="00066DF5"/>
    <w:rsid w:val="00076AF6"/>
    <w:rsid w:val="00083635"/>
    <w:rsid w:val="000854C6"/>
    <w:rsid w:val="00085CF2"/>
    <w:rsid w:val="000915E5"/>
    <w:rsid w:val="000950D1"/>
    <w:rsid w:val="000B1705"/>
    <w:rsid w:val="000C0529"/>
    <w:rsid w:val="000C2903"/>
    <w:rsid w:val="000C2F74"/>
    <w:rsid w:val="000C37C9"/>
    <w:rsid w:val="000D75B2"/>
    <w:rsid w:val="000E01F5"/>
    <w:rsid w:val="001121F5"/>
    <w:rsid w:val="00140CE1"/>
    <w:rsid w:val="00143690"/>
    <w:rsid w:val="00144165"/>
    <w:rsid w:val="0016020C"/>
    <w:rsid w:val="00171F42"/>
    <w:rsid w:val="0017539C"/>
    <w:rsid w:val="00175AC2"/>
    <w:rsid w:val="0017609F"/>
    <w:rsid w:val="00195328"/>
    <w:rsid w:val="001B1941"/>
    <w:rsid w:val="001C628E"/>
    <w:rsid w:val="001E0F7B"/>
    <w:rsid w:val="001F4FF7"/>
    <w:rsid w:val="001F7552"/>
    <w:rsid w:val="002119FD"/>
    <w:rsid w:val="002130E0"/>
    <w:rsid w:val="00221C8F"/>
    <w:rsid w:val="002238C4"/>
    <w:rsid w:val="002303BC"/>
    <w:rsid w:val="0025471D"/>
    <w:rsid w:val="00256D0F"/>
    <w:rsid w:val="00257BDE"/>
    <w:rsid w:val="00265875"/>
    <w:rsid w:val="00265977"/>
    <w:rsid w:val="002667C5"/>
    <w:rsid w:val="0027303B"/>
    <w:rsid w:val="0028109B"/>
    <w:rsid w:val="00293DE5"/>
    <w:rsid w:val="00295397"/>
    <w:rsid w:val="002B1870"/>
    <w:rsid w:val="002B1F58"/>
    <w:rsid w:val="002C1C7A"/>
    <w:rsid w:val="002C22D5"/>
    <w:rsid w:val="002C5285"/>
    <w:rsid w:val="002D1E7F"/>
    <w:rsid w:val="002D494F"/>
    <w:rsid w:val="0030160F"/>
    <w:rsid w:val="0032195E"/>
    <w:rsid w:val="00322D0D"/>
    <w:rsid w:val="00326D48"/>
    <w:rsid w:val="0033276E"/>
    <w:rsid w:val="003370ED"/>
    <w:rsid w:val="00337854"/>
    <w:rsid w:val="00337CE2"/>
    <w:rsid w:val="003439CB"/>
    <w:rsid w:val="003662CE"/>
    <w:rsid w:val="003735DF"/>
    <w:rsid w:val="0037461E"/>
    <w:rsid w:val="00375F3C"/>
    <w:rsid w:val="0038108D"/>
    <w:rsid w:val="00384DD6"/>
    <w:rsid w:val="0039110F"/>
    <w:rsid w:val="003914A7"/>
    <w:rsid w:val="003942D4"/>
    <w:rsid w:val="003958A8"/>
    <w:rsid w:val="003A71C2"/>
    <w:rsid w:val="003C0228"/>
    <w:rsid w:val="003C2533"/>
    <w:rsid w:val="003D15D8"/>
    <w:rsid w:val="003D6F32"/>
    <w:rsid w:val="003E10DE"/>
    <w:rsid w:val="0040435A"/>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29FF"/>
    <w:rsid w:val="004A45DD"/>
    <w:rsid w:val="004B0FC9"/>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74E97"/>
    <w:rsid w:val="0057569B"/>
    <w:rsid w:val="00582442"/>
    <w:rsid w:val="0058499C"/>
    <w:rsid w:val="005A3B8A"/>
    <w:rsid w:val="005B4351"/>
    <w:rsid w:val="005C37A0"/>
    <w:rsid w:val="005D32DC"/>
    <w:rsid w:val="005D6131"/>
    <w:rsid w:val="005F2D25"/>
    <w:rsid w:val="005F40A4"/>
    <w:rsid w:val="00605347"/>
    <w:rsid w:val="006535F1"/>
    <w:rsid w:val="0065557D"/>
    <w:rsid w:val="00662984"/>
    <w:rsid w:val="006716BB"/>
    <w:rsid w:val="006771E7"/>
    <w:rsid w:val="006B472C"/>
    <w:rsid w:val="006B6DCC"/>
    <w:rsid w:val="006B7318"/>
    <w:rsid w:val="006C7699"/>
    <w:rsid w:val="006D3B24"/>
    <w:rsid w:val="006D3B29"/>
    <w:rsid w:val="00733B71"/>
    <w:rsid w:val="00741793"/>
    <w:rsid w:val="0075051B"/>
    <w:rsid w:val="0076142B"/>
    <w:rsid w:val="00763E73"/>
    <w:rsid w:val="00782C0B"/>
    <w:rsid w:val="00790142"/>
    <w:rsid w:val="007901DA"/>
    <w:rsid w:val="00794D34"/>
    <w:rsid w:val="007A34B1"/>
    <w:rsid w:val="007C116C"/>
    <w:rsid w:val="007C2E8B"/>
    <w:rsid w:val="007D134F"/>
    <w:rsid w:val="007D7FD5"/>
    <w:rsid w:val="00813E5E"/>
    <w:rsid w:val="0081547A"/>
    <w:rsid w:val="00820BAF"/>
    <w:rsid w:val="0083581B"/>
    <w:rsid w:val="00855BA7"/>
    <w:rsid w:val="00864AFF"/>
    <w:rsid w:val="008662BD"/>
    <w:rsid w:val="00877393"/>
    <w:rsid w:val="008911FB"/>
    <w:rsid w:val="0089474C"/>
    <w:rsid w:val="008A16A8"/>
    <w:rsid w:val="008B4A6A"/>
    <w:rsid w:val="008C7E27"/>
    <w:rsid w:val="008E3733"/>
    <w:rsid w:val="008F1108"/>
    <w:rsid w:val="008F3912"/>
    <w:rsid w:val="00915A48"/>
    <w:rsid w:val="00917052"/>
    <w:rsid w:val="009173EF"/>
    <w:rsid w:val="00923A1B"/>
    <w:rsid w:val="00926B92"/>
    <w:rsid w:val="00932906"/>
    <w:rsid w:val="00933CC0"/>
    <w:rsid w:val="00933E81"/>
    <w:rsid w:val="00944BC2"/>
    <w:rsid w:val="00961B0B"/>
    <w:rsid w:val="00965A18"/>
    <w:rsid w:val="00967CB1"/>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83502"/>
    <w:rsid w:val="00AA0BEA"/>
    <w:rsid w:val="00AB2815"/>
    <w:rsid w:val="00AB393C"/>
    <w:rsid w:val="00AC393D"/>
    <w:rsid w:val="00AF6E49"/>
    <w:rsid w:val="00B04A67"/>
    <w:rsid w:val="00B0583C"/>
    <w:rsid w:val="00B131C2"/>
    <w:rsid w:val="00B36E39"/>
    <w:rsid w:val="00B40A81"/>
    <w:rsid w:val="00B447F3"/>
    <w:rsid w:val="00B44910"/>
    <w:rsid w:val="00B47B8F"/>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1189"/>
    <w:rsid w:val="00C03DBE"/>
    <w:rsid w:val="00C10E06"/>
    <w:rsid w:val="00C11946"/>
    <w:rsid w:val="00C26704"/>
    <w:rsid w:val="00C374DE"/>
    <w:rsid w:val="00C37D85"/>
    <w:rsid w:val="00C413A2"/>
    <w:rsid w:val="00C47AD4"/>
    <w:rsid w:val="00C52D81"/>
    <w:rsid w:val="00C55198"/>
    <w:rsid w:val="00C664FA"/>
    <w:rsid w:val="00C7265C"/>
    <w:rsid w:val="00C8040F"/>
    <w:rsid w:val="00CA6393"/>
    <w:rsid w:val="00CB18FF"/>
    <w:rsid w:val="00CC5EF0"/>
    <w:rsid w:val="00CD0C08"/>
    <w:rsid w:val="00CE03FB"/>
    <w:rsid w:val="00CE433C"/>
    <w:rsid w:val="00CF33F3"/>
    <w:rsid w:val="00D00FA2"/>
    <w:rsid w:val="00D0338D"/>
    <w:rsid w:val="00D06183"/>
    <w:rsid w:val="00D22C42"/>
    <w:rsid w:val="00D30768"/>
    <w:rsid w:val="00D3608E"/>
    <w:rsid w:val="00D65041"/>
    <w:rsid w:val="00D9148E"/>
    <w:rsid w:val="00D945E6"/>
    <w:rsid w:val="00DA51F3"/>
    <w:rsid w:val="00DA6905"/>
    <w:rsid w:val="00DB6DC2"/>
    <w:rsid w:val="00DE2B20"/>
    <w:rsid w:val="00DF0F5D"/>
    <w:rsid w:val="00E00F7D"/>
    <w:rsid w:val="00E10E80"/>
    <w:rsid w:val="00E124F0"/>
    <w:rsid w:val="00E378C5"/>
    <w:rsid w:val="00E53777"/>
    <w:rsid w:val="00E60F04"/>
    <w:rsid w:val="00E8113B"/>
    <w:rsid w:val="00E9013A"/>
    <w:rsid w:val="00EA48F9"/>
    <w:rsid w:val="00EB0D6F"/>
    <w:rsid w:val="00EB2232"/>
    <w:rsid w:val="00EB52A2"/>
    <w:rsid w:val="00EC1A42"/>
    <w:rsid w:val="00EC5337"/>
    <w:rsid w:val="00EE2A3B"/>
    <w:rsid w:val="00F2150A"/>
    <w:rsid w:val="00F231D8"/>
    <w:rsid w:val="00F44ED7"/>
    <w:rsid w:val="00F46C5F"/>
    <w:rsid w:val="00F54A63"/>
    <w:rsid w:val="00F56D59"/>
    <w:rsid w:val="00F70098"/>
    <w:rsid w:val="00F856EC"/>
    <w:rsid w:val="00F863A8"/>
    <w:rsid w:val="00F94A63"/>
    <w:rsid w:val="00F96CA1"/>
    <w:rsid w:val="00FB7596"/>
    <w:rsid w:val="00FC08D9"/>
    <w:rsid w:val="00FD60B3"/>
    <w:rsid w:val="00FE1048"/>
    <w:rsid w:val="00FE392A"/>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160C20"/>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42B"/>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7614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142B"/>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D30768"/>
    <w:pPr>
      <w:spacing w:before="480" w:after="0"/>
      <w:jc w:val="center"/>
    </w:pPr>
    <w:rPr>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caps/>
    </w:rPr>
  </w:style>
  <w:style w:type="paragraph" w:customStyle="1" w:styleId="Title2">
    <w:name w:val="Title 2"/>
    <w:basedOn w:val="Source"/>
    <w:next w:val="Title3"/>
    <w:rsid w:val="00EE2A3B"/>
    <w:pPr>
      <w:spacing w:before="240"/>
    </w:pPr>
    <w:rPr>
      <w:b/>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val="0"/>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paragraph" w:customStyle="1" w:styleId="Normal1">
    <w:name w:val="Normal1"/>
    <w:rsid w:val="00967CB1"/>
    <w:pPr>
      <w:tabs>
        <w:tab w:val="left" w:pos="567"/>
        <w:tab w:val="left" w:pos="1134"/>
        <w:tab w:val="left" w:pos="1701"/>
        <w:tab w:val="left" w:pos="2268"/>
        <w:tab w:val="left" w:pos="2835"/>
      </w:tabs>
      <w:spacing w:before="120"/>
    </w:pPr>
    <w:rPr>
      <w:rFonts w:ascii="Calibri" w:eastAsia="Calibri" w:hAnsi="Calibri" w:cs="Calibri"/>
      <w:sz w:val="24"/>
      <w:szCs w:val="24"/>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984F-D56C-46C3-8EC7-FA1643A4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465</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Council Working Group on Internet - 23 September 2021</vt:lpstr>
    </vt:vector>
  </TitlesOfParts>
  <Manager>General Secretariat - Pool</Manager>
  <Company>International Telecommunication Union (ITU)</Company>
  <LinksUpToDate>false</LinksUpToDate>
  <CharactersWithSpaces>3314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Working Group on Internet - 23 September 2021</dc:title>
  <dc:subject>Counciil Working Group on International Internet-related Public Policy Issues (CWG-Internet)</dc:subject>
  <dc:creator>Brouard, Ricarda</dc:creator>
  <cp:keywords>CWG-Internet, CWG, CWGs &amp; EGs</cp:keywords>
  <dc:description/>
  <cp:lastModifiedBy>Brouard, Ricarda</cp:lastModifiedBy>
  <cp:revision>2</cp:revision>
  <cp:lastPrinted>2000-07-18T13:30:00Z</cp:lastPrinted>
  <dcterms:created xsi:type="dcterms:W3CDTF">2021-09-13T06:55:00Z</dcterms:created>
  <dcterms:modified xsi:type="dcterms:W3CDTF">2021-09-13T06:55:00Z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