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66D13344" w:rsidR="002A2188" w:rsidRPr="00813E5E" w:rsidRDefault="005C0C59" w:rsidP="0042360C">
            <w:pPr>
              <w:spacing w:line="240" w:lineRule="atLeast"/>
              <w:rPr>
                <w:position w:val="6"/>
              </w:rPr>
            </w:pPr>
            <w:r>
              <w:rPr>
                <w:noProof/>
              </w:rPr>
              <w:drawing>
                <wp:inline distT="0" distB="0" distL="0" distR="0" wp14:anchorId="02A8A8C6" wp14:editId="1B5F768B">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43B0FC3A"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7E7E4347" w:rsidR="002A2188" w:rsidRPr="00E85629" w:rsidRDefault="005C0C59" w:rsidP="00DE4373">
            <w:pPr>
              <w:tabs>
                <w:tab w:val="left" w:pos="851"/>
              </w:tabs>
              <w:spacing w:before="0" w:line="240" w:lineRule="atLeast"/>
              <w:rPr>
                <w:b/>
              </w:rPr>
            </w:pPr>
            <w:r>
              <w:rPr>
                <w:rFonts w:hint="eastAsia"/>
                <w:b/>
                <w:lang w:eastAsia="zh-CN"/>
              </w:rPr>
              <w:t>文件</w:t>
            </w:r>
            <w:r w:rsidR="00EC5B70">
              <w:rPr>
                <w:b/>
              </w:rPr>
              <w:t>WTPF</w:t>
            </w:r>
            <w:r w:rsidR="001B4EEF" w:rsidRPr="001B4EEF">
              <w:rPr>
                <w:b/>
              </w:rPr>
              <w:t>-21</w:t>
            </w:r>
            <w:r w:rsidR="002A2188">
              <w:rPr>
                <w:b/>
              </w:rPr>
              <w:t>/</w:t>
            </w:r>
            <w:r w:rsidR="008E6558">
              <w:rPr>
                <w:rFonts w:hint="eastAsia"/>
                <w:b/>
                <w:lang w:eastAsia="zh-CN"/>
              </w:rPr>
              <w:t>6</w:t>
            </w:r>
            <w:r w:rsidR="002A2188">
              <w:rPr>
                <w:b/>
              </w:rPr>
              <w:t>-</w:t>
            </w:r>
            <w:r>
              <w:rPr>
                <w:b/>
              </w:rPr>
              <w:t>C</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14B5290C" w:rsidR="002A2188" w:rsidRPr="00E85629" w:rsidRDefault="005C0C59" w:rsidP="009F66A3">
            <w:pPr>
              <w:tabs>
                <w:tab w:val="left" w:pos="993"/>
              </w:tabs>
              <w:spacing w:before="0"/>
              <w:rPr>
                <w:b/>
              </w:rPr>
            </w:pPr>
            <w:r w:rsidRPr="005C0C59">
              <w:rPr>
                <w:b/>
                <w:bCs/>
                <w:lang w:eastAsia="zh-CN"/>
              </w:rPr>
              <w:t>2021</w:t>
            </w:r>
            <w:r w:rsidRPr="005C0C59">
              <w:rPr>
                <w:rFonts w:hint="eastAsia"/>
                <w:b/>
                <w:bCs/>
                <w:lang w:eastAsia="zh-CN"/>
              </w:rPr>
              <w:t>年</w:t>
            </w:r>
            <w:r w:rsidRPr="005C0C59">
              <w:rPr>
                <w:b/>
                <w:bCs/>
                <w:lang w:eastAsia="zh-CN"/>
              </w:rPr>
              <w:t>1</w:t>
            </w:r>
            <w:r w:rsidR="008E6558">
              <w:rPr>
                <w:rFonts w:hint="eastAsia"/>
                <w:b/>
                <w:bCs/>
                <w:lang w:eastAsia="zh-CN"/>
              </w:rPr>
              <w:t>2</w:t>
            </w:r>
            <w:r w:rsidRPr="005C0C59">
              <w:rPr>
                <w:rFonts w:hint="eastAsia"/>
                <w:b/>
                <w:bCs/>
                <w:lang w:eastAsia="zh-CN"/>
              </w:rPr>
              <w:t>月</w:t>
            </w:r>
            <w:r w:rsidR="008E6558">
              <w:rPr>
                <w:rFonts w:hint="eastAsia"/>
                <w:b/>
                <w:bCs/>
                <w:lang w:eastAsia="zh-CN"/>
              </w:rPr>
              <w:t>1</w:t>
            </w:r>
            <w:r w:rsidRPr="005C0C59">
              <w:rPr>
                <w:rFonts w:hint="eastAsia"/>
                <w:b/>
                <w:bCs/>
                <w:lang w:eastAsia="zh-CN"/>
              </w:rPr>
              <w:t>日</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512C2005" w:rsidR="002A2188" w:rsidRPr="00E85629" w:rsidRDefault="005C0C59" w:rsidP="00464B6C">
            <w:pPr>
              <w:tabs>
                <w:tab w:val="left" w:pos="993"/>
              </w:tabs>
              <w:spacing w:before="0"/>
              <w:rPr>
                <w:b/>
              </w:rPr>
            </w:pPr>
            <w:proofErr w:type="spellStart"/>
            <w:r w:rsidRPr="005C0C59">
              <w:rPr>
                <w:rFonts w:hint="eastAsia"/>
                <w:b/>
                <w:bCs/>
              </w:rPr>
              <w:t>原文：英文</w:t>
            </w:r>
            <w:proofErr w:type="spellEnd"/>
          </w:p>
        </w:tc>
      </w:tr>
      <w:tr w:rsidR="002A2188" w:rsidRPr="00813E5E" w14:paraId="46399271" w14:textId="77777777" w:rsidTr="00464B6C">
        <w:trPr>
          <w:cantSplit/>
        </w:trPr>
        <w:tc>
          <w:tcPr>
            <w:tcW w:w="10031" w:type="dxa"/>
            <w:gridSpan w:val="2"/>
          </w:tcPr>
          <w:p w14:paraId="18E28CA0" w14:textId="28E46F2E" w:rsidR="00EA2120" w:rsidRPr="00DE4373" w:rsidRDefault="008E6558" w:rsidP="00722181">
            <w:pPr>
              <w:pStyle w:val="Source"/>
              <w:rPr>
                <w:lang w:eastAsia="zh-CN"/>
              </w:rPr>
            </w:pPr>
            <w:bookmarkStart w:id="5" w:name="dsource" w:colFirst="0" w:colLast="0"/>
            <w:bookmarkEnd w:id="4"/>
            <w:r>
              <w:rPr>
                <w:rFonts w:hint="eastAsia"/>
                <w:lang w:eastAsia="zh-CN"/>
              </w:rPr>
              <w:t>布基纳法索、加纳、肯尼亚和乌干达</w:t>
            </w:r>
          </w:p>
        </w:tc>
      </w:tr>
      <w:tr w:rsidR="008E6558" w:rsidRPr="00813E5E" w14:paraId="2353CE45" w14:textId="77777777" w:rsidTr="00464B6C">
        <w:trPr>
          <w:cantSplit/>
        </w:trPr>
        <w:tc>
          <w:tcPr>
            <w:tcW w:w="10031" w:type="dxa"/>
            <w:gridSpan w:val="2"/>
          </w:tcPr>
          <w:p w14:paraId="6C2380D0" w14:textId="00CC9057" w:rsidR="008E6558" w:rsidRPr="00813E5E" w:rsidRDefault="008E6558" w:rsidP="008E6558">
            <w:pPr>
              <w:pStyle w:val="Title1"/>
              <w:rPr>
                <w:lang w:eastAsia="zh-CN"/>
              </w:rPr>
            </w:pPr>
            <w:bookmarkStart w:id="6" w:name="dtitle1" w:colFirst="0" w:colLast="0"/>
            <w:bookmarkEnd w:id="5"/>
            <w:r>
              <w:rPr>
                <w:rFonts w:hint="eastAsia"/>
                <w:lang w:eastAsia="zh-CN"/>
              </w:rPr>
              <w:t>有关</w:t>
            </w:r>
            <w:bookmarkStart w:id="7" w:name="_Hlk89421382"/>
            <w:r>
              <w:rPr>
                <w:rFonts w:hint="eastAsia"/>
                <w:lang w:eastAsia="zh-CN"/>
              </w:rPr>
              <w:t>数字素养在提高消费者能力和加强保护方面的作用</w:t>
            </w:r>
            <w:bookmarkEnd w:id="7"/>
            <w:r>
              <w:rPr>
                <w:rFonts w:hint="eastAsia"/>
                <w:lang w:eastAsia="zh-CN"/>
              </w:rPr>
              <w:t>（意见</w:t>
            </w:r>
            <w:r>
              <w:rPr>
                <w:rFonts w:hint="eastAsia"/>
                <w:lang w:eastAsia="zh-CN"/>
              </w:rPr>
              <w:t>3</w:t>
            </w:r>
            <w:r>
              <w:rPr>
                <w:rFonts w:hint="eastAsia"/>
                <w:lang w:eastAsia="zh-CN"/>
              </w:rPr>
              <w:t>草案）的文稿</w:t>
            </w:r>
          </w:p>
          <w:p w14:paraId="29119A29" w14:textId="301FA8D0" w:rsidR="008E6558" w:rsidRPr="00813E5E" w:rsidRDefault="008E6558" w:rsidP="008E6558">
            <w:pPr>
              <w:pStyle w:val="Title1"/>
              <w:rPr>
                <w:lang w:eastAsia="zh-CN"/>
              </w:rPr>
            </w:pPr>
          </w:p>
        </w:tc>
      </w:tr>
    </w:tbl>
    <w:p w14:paraId="55A7D496" w14:textId="56489B2D" w:rsidR="00B91770" w:rsidRPr="002366AA" w:rsidRDefault="008E6558" w:rsidP="008E6558">
      <w:pPr>
        <w:tabs>
          <w:tab w:val="clear" w:pos="567"/>
          <w:tab w:val="clear" w:pos="1134"/>
          <w:tab w:val="clear" w:pos="1701"/>
          <w:tab w:val="clear" w:pos="2268"/>
          <w:tab w:val="clear" w:pos="2835"/>
        </w:tabs>
        <w:overflowPunct/>
        <w:autoSpaceDE/>
        <w:autoSpaceDN/>
        <w:adjustRightInd/>
        <w:spacing w:before="480" w:after="120"/>
        <w:jc w:val="both"/>
        <w:textAlignment w:val="auto"/>
        <w:rPr>
          <w:rFonts w:cs="Calibri"/>
          <w:b/>
          <w:szCs w:val="24"/>
          <w:u w:val="single"/>
          <w:lang w:eastAsia="zh-CN"/>
        </w:rPr>
      </w:pPr>
      <w:bookmarkStart w:id="8" w:name="dstart"/>
      <w:bookmarkStart w:id="9" w:name="dbreak"/>
      <w:bookmarkEnd w:id="8"/>
      <w:bookmarkEnd w:id="9"/>
      <w:bookmarkEnd w:id="6"/>
      <w:r w:rsidRPr="002366AA">
        <w:rPr>
          <w:rFonts w:cs="Calibri" w:hint="eastAsia"/>
          <w:szCs w:val="24"/>
          <w:lang w:val="en-US" w:eastAsia="zh-CN"/>
        </w:rPr>
        <w:t>参考</w:t>
      </w:r>
      <w:r w:rsidRPr="002366AA">
        <w:rPr>
          <w:rFonts w:cs="Calibri" w:hint="eastAsia"/>
          <w:b/>
          <w:bCs/>
          <w:szCs w:val="24"/>
          <w:lang w:val="en-US" w:eastAsia="zh-CN"/>
        </w:rPr>
        <w:t>意见</w:t>
      </w:r>
      <w:r w:rsidRPr="002366AA">
        <w:rPr>
          <w:rFonts w:cs="Calibri" w:hint="eastAsia"/>
          <w:b/>
          <w:bCs/>
          <w:szCs w:val="24"/>
          <w:lang w:val="en-US" w:eastAsia="zh-CN"/>
        </w:rPr>
        <w:t>3</w:t>
      </w:r>
      <w:r w:rsidRPr="002366AA">
        <w:rPr>
          <w:rFonts w:cs="Calibri" w:hint="eastAsia"/>
          <w:szCs w:val="24"/>
          <w:lang w:val="en-US" w:eastAsia="zh-CN"/>
        </w:rPr>
        <w:t>草案</w:t>
      </w:r>
      <w:r w:rsidRPr="002366AA">
        <w:rPr>
          <w:rFonts w:cs="Calibri"/>
          <w:szCs w:val="24"/>
          <w:lang w:val="en-US" w:eastAsia="zh-CN"/>
        </w:rPr>
        <w:t xml:space="preserve"> – </w:t>
      </w:r>
      <w:r w:rsidRPr="002366AA">
        <w:rPr>
          <w:rFonts w:cs="Calibri" w:hint="eastAsia"/>
          <w:szCs w:val="24"/>
          <w:lang w:val="en-US" w:eastAsia="zh-CN"/>
        </w:rPr>
        <w:t>实现包容性获取所需的数字素养和技能</w:t>
      </w:r>
    </w:p>
    <w:p w14:paraId="66BA1B90" w14:textId="165505DA" w:rsidR="008E6558" w:rsidRPr="002366AA" w:rsidRDefault="008E6558" w:rsidP="008E6558">
      <w:pPr>
        <w:tabs>
          <w:tab w:val="clear" w:pos="567"/>
          <w:tab w:val="clear" w:pos="1134"/>
          <w:tab w:val="clear" w:pos="1701"/>
          <w:tab w:val="clear" w:pos="2268"/>
          <w:tab w:val="clear" w:pos="2835"/>
        </w:tabs>
        <w:overflowPunct/>
        <w:autoSpaceDE/>
        <w:autoSpaceDN/>
        <w:adjustRightInd/>
        <w:spacing w:before="360" w:after="120"/>
        <w:jc w:val="both"/>
        <w:textAlignment w:val="auto"/>
        <w:rPr>
          <w:rFonts w:cs="Calibri"/>
          <w:b/>
          <w:bCs/>
          <w:szCs w:val="24"/>
          <w:lang w:val="en-US" w:eastAsia="zh-CN"/>
        </w:rPr>
      </w:pPr>
      <w:r w:rsidRPr="002366AA">
        <w:rPr>
          <w:rFonts w:cs="Calibri" w:hint="eastAsia"/>
          <w:b/>
          <w:bCs/>
          <w:szCs w:val="24"/>
          <w:lang w:val="en-US" w:eastAsia="zh-CN"/>
        </w:rPr>
        <w:t>背景</w:t>
      </w:r>
    </w:p>
    <w:p w14:paraId="0CC043E6" w14:textId="696AE622" w:rsidR="008E6558" w:rsidRPr="002366AA" w:rsidRDefault="008E6558" w:rsidP="003868D2">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rFonts w:cs="Calibri"/>
          <w:szCs w:val="24"/>
          <w:lang w:val="en-US" w:eastAsia="zh-CN"/>
        </w:rPr>
      </w:pPr>
      <w:r w:rsidRPr="002366AA">
        <w:rPr>
          <w:rFonts w:cs="Calibri" w:hint="eastAsia"/>
          <w:szCs w:val="24"/>
          <w:lang w:val="en-US" w:eastAsia="zh-CN"/>
        </w:rPr>
        <w:t>在充分认识到所有成员国，特别是发展中国家消费者的利益和需求的情况下，认识到消费者的社会经济和政治议价能力相对较弱，并铭记消费者应享有隐私和保护其数据的权利，以使他们能够自信地使用、整合和利用</w:t>
      </w:r>
      <w:r w:rsidRPr="002366AA">
        <w:rPr>
          <w:rFonts w:cs="Calibri" w:hint="eastAsia"/>
          <w:szCs w:val="24"/>
          <w:lang w:val="en-US" w:eastAsia="zh-CN"/>
        </w:rPr>
        <w:t>ICT</w:t>
      </w:r>
      <w:r w:rsidR="003868D2" w:rsidRPr="002366AA">
        <w:rPr>
          <w:rFonts w:cs="Calibri" w:hint="eastAsia"/>
          <w:szCs w:val="24"/>
          <w:lang w:val="en-US" w:eastAsia="zh-CN"/>
        </w:rPr>
        <w:t>带来</w:t>
      </w:r>
      <w:r w:rsidRPr="002366AA">
        <w:rPr>
          <w:rFonts w:cs="Calibri" w:hint="eastAsia"/>
          <w:szCs w:val="24"/>
          <w:lang w:val="en-US" w:eastAsia="zh-CN"/>
        </w:rPr>
        <w:t>的</w:t>
      </w:r>
      <w:r w:rsidR="003868D2" w:rsidRPr="002366AA">
        <w:rPr>
          <w:rFonts w:cs="Calibri" w:hint="eastAsia"/>
          <w:szCs w:val="24"/>
          <w:lang w:val="en-US" w:eastAsia="zh-CN"/>
        </w:rPr>
        <w:t>机遇</w:t>
      </w:r>
      <w:r w:rsidRPr="002366AA">
        <w:rPr>
          <w:rFonts w:cs="Calibri" w:hint="eastAsia"/>
          <w:szCs w:val="24"/>
          <w:lang w:val="en-US" w:eastAsia="zh-CN"/>
        </w:rPr>
        <w:t>，我们</w:t>
      </w:r>
      <w:r w:rsidR="003868D2" w:rsidRPr="002366AA">
        <w:rPr>
          <w:rFonts w:cs="Calibri" w:hint="eastAsia"/>
          <w:szCs w:val="24"/>
          <w:lang w:val="en-US" w:eastAsia="zh-CN"/>
        </w:rPr>
        <w:t>有必要</w:t>
      </w:r>
      <w:r w:rsidRPr="002366AA">
        <w:rPr>
          <w:rFonts w:cs="Calibri" w:hint="eastAsia"/>
          <w:szCs w:val="24"/>
          <w:lang w:val="en-US" w:eastAsia="zh-CN"/>
        </w:rPr>
        <w:t>强调数字</w:t>
      </w:r>
      <w:r w:rsidR="003868D2" w:rsidRPr="002366AA">
        <w:rPr>
          <w:rFonts w:cs="Calibri" w:hint="eastAsia"/>
          <w:szCs w:val="24"/>
          <w:lang w:val="en-US" w:eastAsia="zh-CN"/>
        </w:rPr>
        <w:t>素养</w:t>
      </w:r>
      <w:r w:rsidRPr="002366AA">
        <w:rPr>
          <w:rFonts w:cs="Calibri" w:hint="eastAsia"/>
          <w:szCs w:val="24"/>
          <w:lang w:val="en-US" w:eastAsia="zh-CN"/>
        </w:rPr>
        <w:t>在保护消费者网络方面的贡献和作用。</w:t>
      </w:r>
    </w:p>
    <w:p w14:paraId="46F98733" w14:textId="68D22CBF" w:rsidR="008E6558" w:rsidRPr="002366AA" w:rsidRDefault="003868D2" w:rsidP="008E6558">
      <w:pPr>
        <w:tabs>
          <w:tab w:val="clear" w:pos="567"/>
          <w:tab w:val="clear" w:pos="1134"/>
          <w:tab w:val="clear" w:pos="1701"/>
          <w:tab w:val="clear" w:pos="2268"/>
          <w:tab w:val="clear" w:pos="2835"/>
        </w:tabs>
        <w:overflowPunct/>
        <w:autoSpaceDE/>
        <w:autoSpaceDN/>
        <w:adjustRightInd/>
        <w:spacing w:before="360" w:after="120"/>
        <w:jc w:val="both"/>
        <w:textAlignment w:val="auto"/>
        <w:rPr>
          <w:rFonts w:cs="Calibri"/>
          <w:b/>
          <w:bCs/>
          <w:szCs w:val="24"/>
          <w:lang w:val="en-US"/>
        </w:rPr>
      </w:pPr>
      <w:bookmarkStart w:id="10" w:name="lt_pId013"/>
      <w:r w:rsidRPr="002366AA">
        <w:rPr>
          <w:rFonts w:cs="Calibri" w:hint="eastAsia"/>
          <w:b/>
          <w:bCs/>
          <w:szCs w:val="24"/>
          <w:lang w:val="en-US" w:eastAsia="zh-CN"/>
        </w:rPr>
        <w:t>拟议行动</w:t>
      </w:r>
      <w:r w:rsidR="008E6558" w:rsidRPr="002366AA">
        <w:rPr>
          <w:rFonts w:cs="Calibri"/>
          <w:b/>
          <w:bCs/>
          <w:szCs w:val="24"/>
          <w:lang w:val="en-US"/>
        </w:rPr>
        <w:t>:</w:t>
      </w:r>
      <w:bookmarkEnd w:id="10"/>
    </w:p>
    <w:p w14:paraId="6DC495A7" w14:textId="633B2A8B" w:rsidR="008E6558" w:rsidRPr="002366AA" w:rsidRDefault="003868D2" w:rsidP="00BA0E82">
      <w:pPr>
        <w:numPr>
          <w:ilvl w:val="0"/>
          <w:numId w:val="17"/>
        </w:numPr>
        <w:tabs>
          <w:tab w:val="clear" w:pos="567"/>
          <w:tab w:val="clear" w:pos="1134"/>
          <w:tab w:val="clear" w:pos="1701"/>
          <w:tab w:val="clear" w:pos="2268"/>
          <w:tab w:val="clear" w:pos="2835"/>
        </w:tabs>
        <w:overflowPunct/>
        <w:autoSpaceDE/>
        <w:autoSpaceDN/>
        <w:adjustRightInd/>
        <w:spacing w:after="120"/>
        <w:ind w:left="924" w:hanging="567"/>
        <w:textAlignment w:val="auto"/>
        <w:rPr>
          <w:rFonts w:cs="Calibri"/>
          <w:szCs w:val="24"/>
          <w:lang w:val="en-US" w:eastAsia="zh-CN"/>
        </w:rPr>
      </w:pPr>
      <w:bookmarkStart w:id="11" w:name="_Hlk89421335"/>
      <w:bookmarkStart w:id="12" w:name="lt_pId014"/>
      <w:r w:rsidRPr="002366AA">
        <w:rPr>
          <w:rFonts w:cs="Calibri" w:hint="eastAsia"/>
          <w:szCs w:val="24"/>
          <w:lang w:val="en-US" w:eastAsia="zh-CN"/>
        </w:rPr>
        <w:t>在意见</w:t>
      </w:r>
      <w:r w:rsidRPr="002366AA">
        <w:rPr>
          <w:rFonts w:cs="Calibri" w:hint="eastAsia"/>
          <w:szCs w:val="24"/>
          <w:lang w:val="en-US" w:eastAsia="zh-CN"/>
        </w:rPr>
        <w:t>3</w:t>
      </w:r>
      <w:r w:rsidRPr="002366AA">
        <w:rPr>
          <w:rFonts w:cs="Calibri" w:hint="eastAsia"/>
          <w:szCs w:val="24"/>
          <w:lang w:val="en-US" w:eastAsia="zh-CN"/>
        </w:rPr>
        <w:t>草案的“忆及”一节</w:t>
      </w:r>
      <w:bookmarkEnd w:id="11"/>
      <w:r w:rsidRPr="002366AA">
        <w:rPr>
          <w:rFonts w:cs="Calibri" w:hint="eastAsia"/>
          <w:szCs w:val="24"/>
          <w:lang w:val="en-US" w:eastAsia="zh-CN"/>
        </w:rPr>
        <w:t>内纳入对有关“消费者保护”的联合国大会（联大）第</w:t>
      </w:r>
      <w:r w:rsidRPr="002366AA">
        <w:rPr>
          <w:rFonts w:cs="Calibri"/>
          <w:szCs w:val="24"/>
          <w:lang w:val="en-US" w:eastAsia="zh-CN"/>
        </w:rPr>
        <w:t>70/186</w:t>
      </w:r>
      <w:r w:rsidRPr="002366AA">
        <w:rPr>
          <w:rFonts w:cs="Calibri" w:hint="eastAsia"/>
          <w:szCs w:val="24"/>
          <w:lang w:val="en-US" w:eastAsia="zh-CN"/>
        </w:rPr>
        <w:t>号决议的参考</w:t>
      </w:r>
      <w:bookmarkEnd w:id="12"/>
      <w:r w:rsidRPr="002366AA">
        <w:rPr>
          <w:rFonts w:cs="Calibri" w:hint="eastAsia"/>
          <w:szCs w:val="24"/>
          <w:lang w:val="en-US" w:eastAsia="zh-CN"/>
        </w:rPr>
        <w:t>。</w:t>
      </w:r>
    </w:p>
    <w:p w14:paraId="29AE179D" w14:textId="704D285F" w:rsidR="008E6558" w:rsidRPr="002366AA" w:rsidRDefault="003868D2" w:rsidP="00BA0E82">
      <w:pPr>
        <w:numPr>
          <w:ilvl w:val="0"/>
          <w:numId w:val="17"/>
        </w:numPr>
        <w:tabs>
          <w:tab w:val="clear" w:pos="567"/>
          <w:tab w:val="clear" w:pos="1134"/>
          <w:tab w:val="clear" w:pos="1701"/>
          <w:tab w:val="clear" w:pos="2268"/>
          <w:tab w:val="clear" w:pos="2835"/>
        </w:tabs>
        <w:overflowPunct/>
        <w:autoSpaceDE/>
        <w:autoSpaceDN/>
        <w:adjustRightInd/>
        <w:spacing w:after="120"/>
        <w:ind w:left="924" w:hanging="567"/>
        <w:textAlignment w:val="auto"/>
        <w:rPr>
          <w:rFonts w:cs="Calibri"/>
          <w:bCs/>
          <w:szCs w:val="24"/>
          <w:lang w:val="en-US"/>
        </w:rPr>
      </w:pPr>
      <w:bookmarkStart w:id="13" w:name="lt_pId015"/>
      <w:r w:rsidRPr="002366AA">
        <w:rPr>
          <w:rFonts w:cs="Calibri" w:hint="eastAsia"/>
          <w:szCs w:val="24"/>
          <w:lang w:val="en-US" w:eastAsia="zh-CN"/>
        </w:rPr>
        <w:t>在意见</w:t>
      </w:r>
      <w:r w:rsidRPr="002366AA">
        <w:rPr>
          <w:rFonts w:cs="Calibri" w:hint="eastAsia"/>
          <w:szCs w:val="24"/>
          <w:lang w:val="en-US" w:eastAsia="zh-CN"/>
        </w:rPr>
        <w:t>3</w:t>
      </w:r>
      <w:r w:rsidRPr="002366AA">
        <w:rPr>
          <w:rFonts w:cs="Calibri" w:hint="eastAsia"/>
          <w:szCs w:val="24"/>
          <w:lang w:val="en-US" w:eastAsia="zh-CN"/>
        </w:rPr>
        <w:t>草案的“认为”一节增加一段：“数字素养在提高在线消费者能力和加强保护方面发挥至关重要的作用，以便使他们安全地利用新兴技术的优势。”</w:t>
      </w:r>
      <w:bookmarkEnd w:id="13"/>
      <w:r w:rsidR="00AC1569" w:rsidRPr="002366AA">
        <w:rPr>
          <w:rFonts w:cs="Calibri"/>
          <w:bCs/>
          <w:szCs w:val="24"/>
          <w:lang w:val="en-US"/>
        </w:rPr>
        <w:t xml:space="preserve"> </w:t>
      </w:r>
    </w:p>
    <w:p w14:paraId="16CCA3E6" w14:textId="647D3AF4" w:rsidR="008E6558" w:rsidRPr="002366AA" w:rsidRDefault="00AC1569" w:rsidP="00BA0E82">
      <w:pPr>
        <w:numPr>
          <w:ilvl w:val="0"/>
          <w:numId w:val="17"/>
        </w:numPr>
        <w:tabs>
          <w:tab w:val="clear" w:pos="567"/>
          <w:tab w:val="clear" w:pos="1134"/>
          <w:tab w:val="clear" w:pos="1701"/>
          <w:tab w:val="clear" w:pos="2268"/>
          <w:tab w:val="clear" w:pos="2835"/>
        </w:tabs>
        <w:overflowPunct/>
        <w:autoSpaceDE/>
        <w:autoSpaceDN/>
        <w:adjustRightInd/>
        <w:spacing w:after="120"/>
        <w:ind w:left="924" w:hanging="567"/>
        <w:textAlignment w:val="auto"/>
        <w:rPr>
          <w:rFonts w:cs="Calibri"/>
          <w:szCs w:val="24"/>
          <w:lang w:val="en-US" w:eastAsia="zh-CN"/>
        </w:rPr>
      </w:pPr>
      <w:bookmarkStart w:id="14" w:name="lt_pId016"/>
      <w:r w:rsidRPr="002366AA">
        <w:rPr>
          <w:rFonts w:cs="Calibri" w:hint="eastAsia"/>
          <w:szCs w:val="24"/>
          <w:lang w:val="en-US" w:eastAsia="zh-CN"/>
        </w:rPr>
        <w:t>在“请成员国、部门成员和其他利益攸关方共同协作”一节增加一段：</w:t>
      </w:r>
      <w:bookmarkEnd w:id="14"/>
    </w:p>
    <w:p w14:paraId="43B87B6E" w14:textId="6FDBF61A" w:rsidR="008E6558" w:rsidRPr="00B67A59" w:rsidRDefault="008E6558" w:rsidP="008E6558">
      <w:pPr>
        <w:tabs>
          <w:tab w:val="clear" w:pos="567"/>
          <w:tab w:val="clear" w:pos="1134"/>
          <w:tab w:val="clear" w:pos="1701"/>
          <w:tab w:val="clear" w:pos="2268"/>
          <w:tab w:val="clear" w:pos="2835"/>
        </w:tabs>
        <w:overflowPunct/>
        <w:autoSpaceDE/>
        <w:autoSpaceDN/>
        <w:adjustRightInd/>
        <w:spacing w:after="120"/>
        <w:ind w:left="720"/>
        <w:jc w:val="both"/>
        <w:textAlignment w:val="auto"/>
        <w:rPr>
          <w:rFonts w:eastAsia="Calibri"/>
          <w:szCs w:val="24"/>
          <w:lang w:val="en-US" w:eastAsia="zh-CN"/>
        </w:rPr>
      </w:pPr>
      <w:bookmarkStart w:id="15" w:name="lt_pId017"/>
      <w:r w:rsidRPr="002366AA">
        <w:rPr>
          <w:rFonts w:cs="Calibri"/>
          <w:szCs w:val="24"/>
          <w:lang w:val="en-US" w:eastAsia="zh-CN"/>
        </w:rPr>
        <w:t>“</w:t>
      </w:r>
      <w:r w:rsidR="00AC1569" w:rsidRPr="002366AA">
        <w:rPr>
          <w:rFonts w:cs="Calibri" w:hint="eastAsia"/>
          <w:szCs w:val="24"/>
          <w:lang w:val="en-US" w:eastAsia="zh-CN"/>
        </w:rPr>
        <w:t>规划和实施数字扫盲运动，特别旨在增强消费者在信息披露和透明度以及隐私保护方面的权利。</w:t>
      </w:r>
      <w:r w:rsidRPr="003868D2">
        <w:rPr>
          <w:rFonts w:asciiTheme="minorEastAsia" w:eastAsiaTheme="minorEastAsia" w:hAnsiTheme="minorEastAsia"/>
          <w:szCs w:val="24"/>
          <w:lang w:val="en-US" w:eastAsia="zh-CN"/>
        </w:rPr>
        <w:t>”</w:t>
      </w:r>
      <w:bookmarkEnd w:id="15"/>
    </w:p>
    <w:p w14:paraId="40975FDC" w14:textId="176412BD" w:rsidR="00CF134B" w:rsidRPr="00F25670" w:rsidRDefault="008E6558" w:rsidP="008E6558">
      <w:pPr>
        <w:spacing w:before="840"/>
        <w:jc w:val="center"/>
        <w:rPr>
          <w:rFonts w:asciiTheme="minorHAnsi" w:hAnsiTheme="minorHAnsi" w:cstheme="minorHAnsi"/>
        </w:rPr>
      </w:pPr>
      <w:r w:rsidRPr="008D77AF">
        <w:rPr>
          <w:rFonts w:cstheme="minorHAnsi"/>
        </w:rPr>
        <w:t>_______________</w:t>
      </w:r>
    </w:p>
    <w:sectPr w:rsidR="00CF134B" w:rsidRPr="00F25670"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AAA5" w14:textId="77777777" w:rsidR="002A4126" w:rsidRDefault="002A4126">
      <w:r>
        <w:separator/>
      </w:r>
    </w:p>
  </w:endnote>
  <w:endnote w:type="continuationSeparator" w:id="0">
    <w:p w14:paraId="1563E256" w14:textId="77777777" w:rsidR="002A4126" w:rsidRDefault="002A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6BED" w14:textId="77777777" w:rsidR="002A4126" w:rsidRDefault="002A4126">
      <w:r>
        <w:t>____________________</w:t>
      </w:r>
    </w:p>
  </w:footnote>
  <w:footnote w:type="continuationSeparator" w:id="0">
    <w:p w14:paraId="1EE4801D" w14:textId="77777777" w:rsidR="002A4126" w:rsidRDefault="002A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4A59FD4A" w:rsidR="00322D0D" w:rsidRPr="00623AE3" w:rsidRDefault="00EC5B70" w:rsidP="00D338E0">
    <w:pPr>
      <w:pStyle w:val="Header"/>
      <w:rPr>
        <w:bCs/>
      </w:rPr>
    </w:pPr>
    <w:r>
      <w:rPr>
        <w:bCs/>
      </w:rPr>
      <w:t>WTPF</w:t>
    </w:r>
    <w:r w:rsidR="001B4EEF">
      <w:rPr>
        <w:bCs/>
      </w:rPr>
      <w:t>-21</w:t>
    </w:r>
    <w:r w:rsidR="00623AE3" w:rsidRPr="00F56668">
      <w:rPr>
        <w:bCs/>
      </w:rPr>
      <w:t>/</w:t>
    </w:r>
    <w:r w:rsidR="00F25670">
      <w:rPr>
        <w:bCs/>
      </w:rPr>
      <w:t>4</w:t>
    </w:r>
    <w:r w:rsidR="00623AE3" w:rsidRPr="00F56668">
      <w:rPr>
        <w:bCs/>
      </w:rPr>
      <w:t>-</w:t>
    </w:r>
    <w:r w:rsidR="00C47727">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27D5B"/>
    <w:multiLevelType w:val="hybridMultilevel"/>
    <w:tmpl w:val="1250C36A"/>
    <w:lvl w:ilvl="0" w:tplc="DF72DE00">
      <w:start w:val="1"/>
      <w:numFmt w:val="decimal"/>
      <w:lvlText w:val="%1."/>
      <w:lvlJc w:val="left"/>
      <w:pPr>
        <w:ind w:left="720" w:hanging="360"/>
      </w:pPr>
    </w:lvl>
    <w:lvl w:ilvl="1" w:tplc="67F831BE">
      <w:start w:val="1"/>
      <w:numFmt w:val="lowerLetter"/>
      <w:lvlText w:val="%2."/>
      <w:lvlJc w:val="left"/>
      <w:pPr>
        <w:ind w:left="1440" w:hanging="360"/>
      </w:pPr>
    </w:lvl>
    <w:lvl w:ilvl="2" w:tplc="BA6C5AD4">
      <w:start w:val="1"/>
      <w:numFmt w:val="lowerRoman"/>
      <w:lvlText w:val="%3."/>
      <w:lvlJc w:val="right"/>
      <w:pPr>
        <w:ind w:left="2160" w:hanging="180"/>
      </w:pPr>
    </w:lvl>
    <w:lvl w:ilvl="3" w:tplc="CCCC5EF0">
      <w:start w:val="1"/>
      <w:numFmt w:val="decimal"/>
      <w:lvlText w:val="%4."/>
      <w:lvlJc w:val="left"/>
      <w:pPr>
        <w:ind w:left="2880" w:hanging="360"/>
      </w:pPr>
    </w:lvl>
    <w:lvl w:ilvl="4" w:tplc="91E237AC">
      <w:start w:val="1"/>
      <w:numFmt w:val="lowerLetter"/>
      <w:lvlText w:val="%5."/>
      <w:lvlJc w:val="left"/>
      <w:pPr>
        <w:ind w:left="3600" w:hanging="360"/>
      </w:pPr>
    </w:lvl>
    <w:lvl w:ilvl="5" w:tplc="3C806F7A">
      <w:start w:val="1"/>
      <w:numFmt w:val="lowerRoman"/>
      <w:lvlText w:val="%6."/>
      <w:lvlJc w:val="right"/>
      <w:pPr>
        <w:ind w:left="4320" w:hanging="180"/>
      </w:pPr>
    </w:lvl>
    <w:lvl w:ilvl="6" w:tplc="FD0C50D0">
      <w:start w:val="1"/>
      <w:numFmt w:val="decimal"/>
      <w:lvlText w:val="%7."/>
      <w:lvlJc w:val="left"/>
      <w:pPr>
        <w:ind w:left="5040" w:hanging="360"/>
      </w:pPr>
    </w:lvl>
    <w:lvl w:ilvl="7" w:tplc="98068724">
      <w:start w:val="1"/>
      <w:numFmt w:val="lowerLetter"/>
      <w:lvlText w:val="%8."/>
      <w:lvlJc w:val="left"/>
      <w:pPr>
        <w:ind w:left="5760" w:hanging="360"/>
      </w:pPr>
    </w:lvl>
    <w:lvl w:ilvl="8" w:tplc="D2CC98D0">
      <w:start w:val="1"/>
      <w:numFmt w:val="lowerRoman"/>
      <w:lvlText w:val="%9."/>
      <w:lvlJc w:val="right"/>
      <w:pPr>
        <w:ind w:left="6480" w:hanging="180"/>
      </w:pPr>
    </w:lvl>
  </w:abstractNum>
  <w:abstractNum w:abstractNumId="11" w15:restartNumberingAfterBreak="0">
    <w:nsid w:val="10DB4D98"/>
    <w:multiLevelType w:val="hybridMultilevel"/>
    <w:tmpl w:val="98627BEE"/>
    <w:lvl w:ilvl="0" w:tplc="940ADB06">
      <w:start w:val="1"/>
      <w:numFmt w:val="lowerRoman"/>
      <w:lvlText w:val="(%1)"/>
      <w:lvlJc w:val="left"/>
      <w:pPr>
        <w:ind w:left="568"/>
      </w:pPr>
      <w:rPr>
        <w:rFonts w:hint="default"/>
        <w:b w:val="0"/>
        <w:i w:val="0"/>
        <w:strike w:val="0"/>
        <w:dstrike w:val="0"/>
        <w:color w:val="000000"/>
        <w:sz w:val="22"/>
        <w:szCs w:val="22"/>
        <w:u w:val="none" w:color="000000"/>
        <w:bdr w:val="none" w:sz="0" w:space="0" w:color="auto"/>
        <w:shd w:val="clear" w:color="auto" w:fill="auto"/>
        <w:vertAlign w:val="baseline"/>
      </w:rPr>
    </w:lvl>
    <w:lvl w:ilvl="1" w:tplc="B448C894">
      <w:start w:val="1"/>
      <w:numFmt w:val="bullet"/>
      <w:lvlText w:val="o"/>
      <w:lvlJc w:val="left"/>
      <w:pPr>
        <w:ind w:left="2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36498C">
      <w:start w:val="1"/>
      <w:numFmt w:val="bullet"/>
      <w:lvlText w:val="▪"/>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781F38">
      <w:start w:val="1"/>
      <w:numFmt w:val="bullet"/>
      <w:lvlText w:val="•"/>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426CE">
      <w:start w:val="1"/>
      <w:numFmt w:val="bullet"/>
      <w:lvlText w:val="o"/>
      <w:lvlJc w:val="left"/>
      <w:pPr>
        <w:ind w:left="4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1649BE">
      <w:start w:val="1"/>
      <w:numFmt w:val="bullet"/>
      <w:lvlText w:val="▪"/>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28BBC">
      <w:start w:val="1"/>
      <w:numFmt w:val="bullet"/>
      <w:lvlText w:val="•"/>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0657C">
      <w:start w:val="1"/>
      <w:numFmt w:val="bullet"/>
      <w:lvlText w:val="o"/>
      <w:lvlJc w:val="left"/>
      <w:pPr>
        <w:ind w:left="7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E138C">
      <w:start w:val="1"/>
      <w:numFmt w:val="bullet"/>
      <w:lvlText w:val="▪"/>
      <w:lvlJc w:val="left"/>
      <w:pPr>
        <w:ind w:left="7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AF2AF5"/>
    <w:multiLevelType w:val="hybridMultilevel"/>
    <w:tmpl w:val="2B1E6D56"/>
    <w:lvl w:ilvl="0" w:tplc="940ADB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8708E"/>
    <w:multiLevelType w:val="hybridMultilevel"/>
    <w:tmpl w:val="966E8B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E465C1"/>
    <w:multiLevelType w:val="hybridMultilevel"/>
    <w:tmpl w:val="98627BEE"/>
    <w:lvl w:ilvl="0" w:tplc="940ADB06">
      <w:start w:val="1"/>
      <w:numFmt w:val="lowerRoman"/>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B448C894">
      <w:start w:val="1"/>
      <w:numFmt w:val="bullet"/>
      <w:lvlText w:val="o"/>
      <w:lvlJc w:val="left"/>
      <w:pPr>
        <w:ind w:left="2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36498C">
      <w:start w:val="1"/>
      <w:numFmt w:val="bullet"/>
      <w:lvlText w:val="▪"/>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781F38">
      <w:start w:val="1"/>
      <w:numFmt w:val="bullet"/>
      <w:lvlText w:val="•"/>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426CE">
      <w:start w:val="1"/>
      <w:numFmt w:val="bullet"/>
      <w:lvlText w:val="o"/>
      <w:lvlJc w:val="left"/>
      <w:pPr>
        <w:ind w:left="4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1649BE">
      <w:start w:val="1"/>
      <w:numFmt w:val="bullet"/>
      <w:lvlText w:val="▪"/>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28BBC">
      <w:start w:val="1"/>
      <w:numFmt w:val="bullet"/>
      <w:lvlText w:val="•"/>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0657C">
      <w:start w:val="1"/>
      <w:numFmt w:val="bullet"/>
      <w:lvlText w:val="o"/>
      <w:lvlJc w:val="left"/>
      <w:pPr>
        <w:ind w:left="7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E138C">
      <w:start w:val="1"/>
      <w:numFmt w:val="bullet"/>
      <w:lvlText w:val="▪"/>
      <w:lvlJc w:val="left"/>
      <w:pPr>
        <w:ind w:left="7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FB2652"/>
    <w:multiLevelType w:val="hybridMultilevel"/>
    <w:tmpl w:val="BA608220"/>
    <w:lvl w:ilvl="0" w:tplc="62E2D4E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2"/>
  </w:num>
  <w:num w:numId="15">
    <w:abstractNumId w:val="14"/>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B3F0C"/>
    <w:rsid w:val="000D75B2"/>
    <w:rsid w:val="001121F5"/>
    <w:rsid w:val="001400DC"/>
    <w:rsid w:val="00140CE1"/>
    <w:rsid w:val="001523D7"/>
    <w:rsid w:val="0017539C"/>
    <w:rsid w:val="00175AC2"/>
    <w:rsid w:val="0017609F"/>
    <w:rsid w:val="001815DC"/>
    <w:rsid w:val="00183324"/>
    <w:rsid w:val="001B4EEF"/>
    <w:rsid w:val="001C628E"/>
    <w:rsid w:val="001E0F7B"/>
    <w:rsid w:val="0020570B"/>
    <w:rsid w:val="002119FD"/>
    <w:rsid w:val="002130E0"/>
    <w:rsid w:val="002366AA"/>
    <w:rsid w:val="00264425"/>
    <w:rsid w:val="00265875"/>
    <w:rsid w:val="0027303B"/>
    <w:rsid w:val="0028109B"/>
    <w:rsid w:val="002A2188"/>
    <w:rsid w:val="002A4126"/>
    <w:rsid w:val="002B1F58"/>
    <w:rsid w:val="002C1C7A"/>
    <w:rsid w:val="002D252C"/>
    <w:rsid w:val="0030160F"/>
    <w:rsid w:val="00322D0D"/>
    <w:rsid w:val="0033210C"/>
    <w:rsid w:val="003868D2"/>
    <w:rsid w:val="003942D4"/>
    <w:rsid w:val="003958A8"/>
    <w:rsid w:val="003C2533"/>
    <w:rsid w:val="0040435A"/>
    <w:rsid w:val="00416A24"/>
    <w:rsid w:val="0042360C"/>
    <w:rsid w:val="00431D9E"/>
    <w:rsid w:val="00433CE8"/>
    <w:rsid w:val="00434A5C"/>
    <w:rsid w:val="004544D9"/>
    <w:rsid w:val="004879BB"/>
    <w:rsid w:val="00490E72"/>
    <w:rsid w:val="00491157"/>
    <w:rsid w:val="004921C8"/>
    <w:rsid w:val="004D1851"/>
    <w:rsid w:val="004D599D"/>
    <w:rsid w:val="004E2EA5"/>
    <w:rsid w:val="004E3AEB"/>
    <w:rsid w:val="0050223C"/>
    <w:rsid w:val="005243FF"/>
    <w:rsid w:val="00557268"/>
    <w:rsid w:val="00564FBC"/>
    <w:rsid w:val="00582442"/>
    <w:rsid w:val="005C0C59"/>
    <w:rsid w:val="005F3269"/>
    <w:rsid w:val="00623AE3"/>
    <w:rsid w:val="0064737F"/>
    <w:rsid w:val="006535F1"/>
    <w:rsid w:val="0065557D"/>
    <w:rsid w:val="00662984"/>
    <w:rsid w:val="006716BB"/>
    <w:rsid w:val="006848DD"/>
    <w:rsid w:val="006B6680"/>
    <w:rsid w:val="006B6DCC"/>
    <w:rsid w:val="006F412E"/>
    <w:rsid w:val="00702DEF"/>
    <w:rsid w:val="00706861"/>
    <w:rsid w:val="00722181"/>
    <w:rsid w:val="00740FE3"/>
    <w:rsid w:val="0075051B"/>
    <w:rsid w:val="007865CB"/>
    <w:rsid w:val="00793188"/>
    <w:rsid w:val="00794D34"/>
    <w:rsid w:val="00813E5E"/>
    <w:rsid w:val="0083581B"/>
    <w:rsid w:val="00843DB9"/>
    <w:rsid w:val="00864AFF"/>
    <w:rsid w:val="008B4A6A"/>
    <w:rsid w:val="008C7E27"/>
    <w:rsid w:val="008E6558"/>
    <w:rsid w:val="0091482D"/>
    <w:rsid w:val="009173EF"/>
    <w:rsid w:val="00932906"/>
    <w:rsid w:val="00961B0B"/>
    <w:rsid w:val="009B38C3"/>
    <w:rsid w:val="009B6633"/>
    <w:rsid w:val="009E17BD"/>
    <w:rsid w:val="009E485A"/>
    <w:rsid w:val="009F66A3"/>
    <w:rsid w:val="00A04CEC"/>
    <w:rsid w:val="00A27F92"/>
    <w:rsid w:val="00A32257"/>
    <w:rsid w:val="00A36D20"/>
    <w:rsid w:val="00A55622"/>
    <w:rsid w:val="00A83502"/>
    <w:rsid w:val="00A8382F"/>
    <w:rsid w:val="00A93619"/>
    <w:rsid w:val="00AC1569"/>
    <w:rsid w:val="00AC47C8"/>
    <w:rsid w:val="00AD15B3"/>
    <w:rsid w:val="00AD39A0"/>
    <w:rsid w:val="00AF6E49"/>
    <w:rsid w:val="00B04A67"/>
    <w:rsid w:val="00B0583C"/>
    <w:rsid w:val="00B40A81"/>
    <w:rsid w:val="00B44910"/>
    <w:rsid w:val="00B72267"/>
    <w:rsid w:val="00B76EB6"/>
    <w:rsid w:val="00B771D4"/>
    <w:rsid w:val="00B7737B"/>
    <w:rsid w:val="00B824C8"/>
    <w:rsid w:val="00B91770"/>
    <w:rsid w:val="00BA0E82"/>
    <w:rsid w:val="00BC251A"/>
    <w:rsid w:val="00BD032B"/>
    <w:rsid w:val="00BE2640"/>
    <w:rsid w:val="00BE33BC"/>
    <w:rsid w:val="00C01189"/>
    <w:rsid w:val="00C374DE"/>
    <w:rsid w:val="00C47727"/>
    <w:rsid w:val="00C47AD4"/>
    <w:rsid w:val="00C47D3A"/>
    <w:rsid w:val="00C52D81"/>
    <w:rsid w:val="00C55198"/>
    <w:rsid w:val="00CA113D"/>
    <w:rsid w:val="00CA6393"/>
    <w:rsid w:val="00CB18FF"/>
    <w:rsid w:val="00CD0C08"/>
    <w:rsid w:val="00CE03FB"/>
    <w:rsid w:val="00CE433C"/>
    <w:rsid w:val="00CF134B"/>
    <w:rsid w:val="00CF33F3"/>
    <w:rsid w:val="00CF5A9F"/>
    <w:rsid w:val="00D06183"/>
    <w:rsid w:val="00D22C42"/>
    <w:rsid w:val="00D338E0"/>
    <w:rsid w:val="00D54CAC"/>
    <w:rsid w:val="00D65041"/>
    <w:rsid w:val="00D723C7"/>
    <w:rsid w:val="00D8774A"/>
    <w:rsid w:val="00DB384B"/>
    <w:rsid w:val="00DE4373"/>
    <w:rsid w:val="00E10E80"/>
    <w:rsid w:val="00E124F0"/>
    <w:rsid w:val="00E43C04"/>
    <w:rsid w:val="00E50A74"/>
    <w:rsid w:val="00E60F04"/>
    <w:rsid w:val="00E854E4"/>
    <w:rsid w:val="00EA2120"/>
    <w:rsid w:val="00EB0D6F"/>
    <w:rsid w:val="00EB2232"/>
    <w:rsid w:val="00EC5337"/>
    <w:rsid w:val="00EC5B70"/>
    <w:rsid w:val="00F050F0"/>
    <w:rsid w:val="00F2150A"/>
    <w:rsid w:val="00F231D8"/>
    <w:rsid w:val="00F25670"/>
    <w:rsid w:val="00F46C5F"/>
    <w:rsid w:val="00F56668"/>
    <w:rsid w:val="00F6374A"/>
    <w:rsid w:val="00F94A63"/>
    <w:rsid w:val="00FA1C28"/>
    <w:rsid w:val="00FA3C22"/>
    <w:rsid w:val="00FB1279"/>
    <w:rsid w:val="00FB17F4"/>
    <w:rsid w:val="00FB7596"/>
    <w:rsid w:val="00FC7333"/>
    <w:rsid w:val="00FE4077"/>
    <w:rsid w:val="00FE4CBA"/>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32B0-B88D-4355-9A7A-FFC6CE23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Contribution from the Republic of Mauritius on the sixth draft of the ITU Secretary General's Report</vt:lpstr>
    </vt:vector>
  </TitlesOfParts>
  <Manager>General Secretariat - Pool</Manager>
  <Company>International Telecommunication Union (ITU)</Company>
  <LinksUpToDate>false</LinksUpToDate>
  <CharactersWithSpaces>487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Burkina Faso, Ghana, Kenya and Uganda on the role of didital literacy in consumer empoerment and protection -Draft Opinion 3</dc:title>
  <dc:subject>WTPF</dc:subject>
  <dc:creator>作者</dc:creator>
  <cp:keywords>WTPF-21</cp:keywords>
  <dc:description/>
  <cp:lastModifiedBy>Xue, Kun</cp:lastModifiedBy>
  <cp:revision>3</cp:revision>
  <cp:lastPrinted>2000-07-18T13:30:00Z</cp:lastPrinted>
  <dcterms:created xsi:type="dcterms:W3CDTF">2021-12-03T14:13:00Z</dcterms:created>
  <dcterms:modified xsi:type="dcterms:W3CDTF">2021-12-03T14:14:00Z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