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362204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5E714BB" w:rsidR="002A2188" w:rsidRPr="00362204" w:rsidRDefault="008D07D4" w:rsidP="00832E49">
            <w:pPr>
              <w:rPr>
                <w:position w:val="6"/>
                <w:lang w:val="fr-FR"/>
              </w:rPr>
            </w:pPr>
            <w:r w:rsidRPr="00362204">
              <w:rPr>
                <w:rFonts w:eastAsia="DengXian" w:cs="Arial"/>
                <w:noProof/>
                <w:sz w:val="22"/>
                <w:szCs w:val="22"/>
                <w:lang w:val="fr-FR"/>
              </w:rPr>
              <w:drawing>
                <wp:inline distT="0" distB="0" distL="0" distR="0" wp14:anchorId="3D13389A" wp14:editId="256F50BA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362204" w:rsidRDefault="009F66A3" w:rsidP="00832E49">
            <w:pPr>
              <w:rPr>
                <w:lang w:val="fr-FR"/>
              </w:rPr>
            </w:pPr>
            <w:bookmarkStart w:id="0" w:name="ditulogo"/>
            <w:bookmarkEnd w:id="0"/>
            <w:r w:rsidRPr="00362204">
              <w:rPr>
                <w:noProof/>
                <w:lang w:val="fr-FR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362204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362204" w:rsidRDefault="002A2188" w:rsidP="00832E49">
            <w:pPr>
              <w:spacing w:before="0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362204" w:rsidRDefault="002A2188" w:rsidP="00832E49">
            <w:pPr>
              <w:spacing w:before="0"/>
              <w:rPr>
                <w:szCs w:val="24"/>
                <w:lang w:val="fr-FR"/>
              </w:rPr>
            </w:pPr>
          </w:p>
        </w:tc>
      </w:tr>
      <w:tr w:rsidR="002A2188" w:rsidRPr="00362204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362204" w:rsidRDefault="002A2188" w:rsidP="00832E49">
            <w:pPr>
              <w:spacing w:before="0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362204" w:rsidRDefault="002A2188" w:rsidP="00832E49">
            <w:pPr>
              <w:spacing w:before="0"/>
              <w:rPr>
                <w:szCs w:val="24"/>
                <w:lang w:val="fr-FR"/>
              </w:rPr>
            </w:pPr>
          </w:p>
        </w:tc>
      </w:tr>
      <w:tr w:rsidR="002A2188" w:rsidRPr="00362204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513351BC" w:rsidR="002A2188" w:rsidRPr="00362204" w:rsidRDefault="002A2188" w:rsidP="00832E49">
            <w:pPr>
              <w:tabs>
                <w:tab w:val="left" w:pos="851"/>
              </w:tabs>
              <w:spacing w:before="0"/>
              <w:rPr>
                <w:b/>
                <w:lang w:val="fr-FR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2C0B4F7D" w:rsidR="002A2188" w:rsidRPr="00362204" w:rsidRDefault="009F66A3" w:rsidP="00832E49">
            <w:pPr>
              <w:tabs>
                <w:tab w:val="left" w:pos="851"/>
              </w:tabs>
              <w:spacing w:before="0"/>
              <w:rPr>
                <w:b/>
                <w:lang w:val="fr-FR"/>
              </w:rPr>
            </w:pPr>
            <w:r w:rsidRPr="00362204">
              <w:rPr>
                <w:b/>
                <w:lang w:val="fr-FR"/>
              </w:rPr>
              <w:t xml:space="preserve">Document </w:t>
            </w:r>
            <w:r w:rsidR="00EC5B70" w:rsidRPr="00362204">
              <w:rPr>
                <w:b/>
                <w:lang w:val="fr-FR"/>
              </w:rPr>
              <w:t>WTPF</w:t>
            </w:r>
            <w:r w:rsidR="00D96BCE" w:rsidRPr="00362204">
              <w:rPr>
                <w:b/>
                <w:lang w:val="fr-FR"/>
              </w:rPr>
              <w:t>-21</w:t>
            </w:r>
            <w:r w:rsidR="002A2188" w:rsidRPr="00362204">
              <w:rPr>
                <w:b/>
                <w:lang w:val="fr-FR"/>
              </w:rPr>
              <w:t>/</w:t>
            </w:r>
            <w:r w:rsidR="0026413A" w:rsidRPr="00362204">
              <w:rPr>
                <w:b/>
                <w:lang w:val="fr-FR"/>
              </w:rPr>
              <w:t>7</w:t>
            </w:r>
            <w:r w:rsidR="002A2188" w:rsidRPr="00362204">
              <w:rPr>
                <w:b/>
                <w:lang w:val="fr-FR"/>
              </w:rPr>
              <w:t>-</w:t>
            </w:r>
            <w:r w:rsidR="0026413A" w:rsidRPr="00362204">
              <w:rPr>
                <w:b/>
                <w:lang w:val="fr-FR"/>
              </w:rPr>
              <w:t>F</w:t>
            </w:r>
          </w:p>
        </w:tc>
      </w:tr>
      <w:tr w:rsidR="002A2188" w:rsidRPr="00362204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362204" w:rsidRDefault="002A2188" w:rsidP="00832E49">
            <w:pPr>
              <w:tabs>
                <w:tab w:val="left" w:pos="851"/>
              </w:tabs>
              <w:rPr>
                <w:b/>
                <w:lang w:val="fr-FR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4AAC0F17" w:rsidR="002A2188" w:rsidRPr="00362204" w:rsidRDefault="0026413A" w:rsidP="00832E49">
            <w:pPr>
              <w:tabs>
                <w:tab w:val="left" w:pos="993"/>
              </w:tabs>
              <w:spacing w:before="0"/>
              <w:rPr>
                <w:b/>
                <w:lang w:val="fr-FR"/>
              </w:rPr>
            </w:pPr>
            <w:r w:rsidRPr="00362204">
              <w:rPr>
                <w:b/>
                <w:lang w:val="fr-FR"/>
              </w:rPr>
              <w:t>2 décembre 2021</w:t>
            </w:r>
          </w:p>
        </w:tc>
      </w:tr>
      <w:tr w:rsidR="002A2188" w:rsidRPr="00362204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362204" w:rsidRDefault="002A2188" w:rsidP="00832E49">
            <w:pPr>
              <w:tabs>
                <w:tab w:val="left" w:pos="851"/>
              </w:tabs>
              <w:rPr>
                <w:b/>
                <w:lang w:val="fr-FR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F447B1A" w:rsidR="002A2188" w:rsidRPr="00362204" w:rsidRDefault="002A2188" w:rsidP="00832E49">
            <w:pPr>
              <w:tabs>
                <w:tab w:val="left" w:pos="993"/>
              </w:tabs>
              <w:spacing w:before="0"/>
              <w:rPr>
                <w:b/>
                <w:lang w:val="fr-FR"/>
              </w:rPr>
            </w:pPr>
            <w:r w:rsidRPr="00362204">
              <w:rPr>
                <w:b/>
                <w:lang w:val="fr-FR"/>
              </w:rPr>
              <w:t xml:space="preserve">Original: </w:t>
            </w:r>
            <w:r w:rsidR="0026413A" w:rsidRPr="00362204">
              <w:rPr>
                <w:b/>
                <w:lang w:val="fr-FR"/>
              </w:rPr>
              <w:t>anglais</w:t>
            </w:r>
          </w:p>
        </w:tc>
      </w:tr>
      <w:tr w:rsidR="002A2188" w:rsidRPr="00362204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3029C527" w:rsidR="00EA2120" w:rsidRPr="00362204" w:rsidRDefault="002D78CE" w:rsidP="00832E49">
            <w:pPr>
              <w:pStyle w:val="Source"/>
              <w:rPr>
                <w:lang w:val="fr-FR"/>
              </w:rPr>
            </w:pPr>
            <w:bookmarkStart w:id="5" w:name="dsource" w:colFirst="0" w:colLast="0"/>
            <w:bookmarkStart w:id="6" w:name="_Hlk85440069"/>
            <w:bookmarkEnd w:id="4"/>
            <w:r w:rsidRPr="00362204">
              <w:rPr>
                <w:lang w:val="fr-FR"/>
              </w:rPr>
              <w:t>Contribution de l'</w:t>
            </w:r>
            <w:r w:rsidR="0026413A" w:rsidRPr="00362204">
              <w:rPr>
                <w:lang w:val="fr-FR"/>
              </w:rPr>
              <w:t>Internet Society</w:t>
            </w:r>
          </w:p>
        </w:tc>
      </w:tr>
      <w:tr w:rsidR="002A2188" w:rsidRPr="006B4DB0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5405214E" w:rsidR="002A2188" w:rsidRPr="00362204" w:rsidRDefault="002D78CE" w:rsidP="00832E49">
            <w:pPr>
              <w:pStyle w:val="Title1"/>
              <w:rPr>
                <w:lang w:val="fr-FR"/>
              </w:rPr>
            </w:pPr>
            <w:bookmarkStart w:id="7" w:name="dtitle1" w:colFirst="0" w:colLast="0"/>
            <w:bookmarkEnd w:id="5"/>
            <w:r w:rsidRPr="00362204">
              <w:rPr>
                <w:lang w:val="fr-FR"/>
              </w:rPr>
              <w:t>O</w:t>
            </w:r>
            <w:r w:rsidR="003B561B" w:rsidRPr="00362204">
              <w:rPr>
                <w:lang w:val="fr-FR"/>
              </w:rPr>
              <w:t>b</w:t>
            </w:r>
            <w:r w:rsidRPr="00362204">
              <w:rPr>
                <w:lang w:val="fr-FR"/>
              </w:rPr>
              <w:t>SERVATIONS SOUMISES PAR L'</w:t>
            </w:r>
            <w:r w:rsidR="0026413A" w:rsidRPr="00362204">
              <w:rPr>
                <w:lang w:val="fr-FR"/>
              </w:rPr>
              <w:t>Internet Society</w:t>
            </w:r>
            <w:r w:rsidR="00696A9A" w:rsidRPr="00362204">
              <w:rPr>
                <w:lang w:val="fr-FR"/>
              </w:rPr>
              <w:t xml:space="preserve"> </w:t>
            </w:r>
            <w:r w:rsidR="0026413A" w:rsidRPr="00362204">
              <w:rPr>
                <w:lang w:val="fr-FR"/>
              </w:rPr>
              <w:t>(ISOC)</w:t>
            </w:r>
          </w:p>
        </w:tc>
      </w:tr>
    </w:tbl>
    <w:bookmarkEnd w:id="7"/>
    <w:p w14:paraId="4C478DD5" w14:textId="77777777" w:rsidR="0026413A" w:rsidRPr="00362204" w:rsidRDefault="0026413A" w:rsidP="00832E49">
      <w:pPr>
        <w:pStyle w:val="Heading1"/>
        <w:rPr>
          <w:lang w:val="fr-FR"/>
        </w:rPr>
      </w:pPr>
      <w:r w:rsidRPr="00362204">
        <w:rPr>
          <w:lang w:val="fr-FR"/>
        </w:rPr>
        <w:t>Introduction</w:t>
      </w:r>
    </w:p>
    <w:p w14:paraId="70191272" w14:textId="76481C86" w:rsidR="0026413A" w:rsidRPr="00362204" w:rsidRDefault="003B561B" w:rsidP="00832E49">
      <w:pPr>
        <w:rPr>
          <w:lang w:val="fr-FR"/>
        </w:rPr>
      </w:pPr>
      <w:r w:rsidRPr="00362204">
        <w:rPr>
          <w:lang w:val="fr-FR"/>
        </w:rPr>
        <w:t>L'</w:t>
      </w:r>
      <w:r w:rsidR="0026413A" w:rsidRPr="00362204">
        <w:rPr>
          <w:lang w:val="fr-FR"/>
        </w:rPr>
        <w:t xml:space="preserve">Internet Society </w:t>
      </w:r>
      <w:r w:rsidRPr="00362204">
        <w:rPr>
          <w:lang w:val="fr-FR"/>
        </w:rPr>
        <w:t>se</w:t>
      </w:r>
      <w:r w:rsidR="00431CCF" w:rsidRPr="00362204">
        <w:rPr>
          <w:lang w:val="fr-FR"/>
        </w:rPr>
        <w:t xml:space="preserve"> félicite de l</w:t>
      </w:r>
      <w:r w:rsidR="00B12690" w:rsidRPr="00362204">
        <w:rPr>
          <w:lang w:val="fr-FR"/>
        </w:rPr>
        <w:t>'</w:t>
      </w:r>
      <w:r w:rsidR="00431CCF" w:rsidRPr="00362204">
        <w:rPr>
          <w:lang w:val="fr-FR"/>
        </w:rPr>
        <w:t>occasion qui lui est offerte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>de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>contribuer au</w:t>
      </w:r>
      <w:r w:rsidR="00431CCF" w:rsidRPr="00362204">
        <w:rPr>
          <w:lang w:val="fr-FR"/>
        </w:rPr>
        <w:t>x travaux du</w:t>
      </w:r>
      <w:r w:rsidRPr="00362204">
        <w:rPr>
          <w:lang w:val="fr-FR"/>
        </w:rPr>
        <w:t xml:space="preserve"> </w:t>
      </w:r>
      <w:r w:rsidR="00431CCF" w:rsidRPr="00362204">
        <w:rPr>
          <w:lang w:val="fr-FR"/>
        </w:rPr>
        <w:t xml:space="preserve">sixième </w:t>
      </w:r>
      <w:r w:rsidRPr="00362204">
        <w:rPr>
          <w:lang w:val="fr-FR"/>
        </w:rPr>
        <w:t>Forum mondial des politiques de télécommunication/technologies de l'information et de la communication de 2021 (FMPT</w:t>
      </w:r>
      <w:r w:rsidR="0026413A" w:rsidRPr="00362204">
        <w:rPr>
          <w:lang w:val="fr-FR"/>
        </w:rPr>
        <w:t xml:space="preserve">-21). </w:t>
      </w:r>
      <w:r w:rsidRPr="00362204">
        <w:rPr>
          <w:lang w:val="fr-FR"/>
        </w:rPr>
        <w:t>Nous accueillons avec satisfaction la mise en œuvre de cette approche collaborative multi-parties prenantes</w:t>
      </w:r>
      <w:r w:rsidR="00F709DA" w:rsidRPr="00362204">
        <w:rPr>
          <w:lang w:val="fr-FR"/>
        </w:rPr>
        <w:t>,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qui a </w:t>
      </w:r>
      <w:r w:rsidR="00F709DA" w:rsidRPr="00362204">
        <w:rPr>
          <w:lang w:val="fr-FR"/>
        </w:rPr>
        <w:t>fait preuve de</w:t>
      </w:r>
      <w:r w:rsidRPr="00362204">
        <w:rPr>
          <w:lang w:val="fr-FR"/>
        </w:rPr>
        <w:t xml:space="preserve"> son efficacité ces dernières années</w:t>
      </w:r>
      <w:r w:rsidR="0026413A" w:rsidRPr="00362204">
        <w:rPr>
          <w:lang w:val="fr-FR"/>
        </w:rPr>
        <w:t xml:space="preserve">. </w:t>
      </w:r>
      <w:r w:rsidRPr="00362204">
        <w:rPr>
          <w:lang w:val="fr-FR"/>
        </w:rPr>
        <w:t>Depuis sa création il y a 29 ans</w:t>
      </w:r>
      <w:r w:rsidR="0026413A" w:rsidRPr="00362204">
        <w:rPr>
          <w:lang w:val="fr-FR"/>
        </w:rPr>
        <w:t xml:space="preserve">, </w:t>
      </w:r>
      <w:r w:rsidRPr="00362204">
        <w:rPr>
          <w:lang w:val="fr-FR"/>
        </w:rPr>
        <w:t>l'</w:t>
      </w:r>
      <w:r w:rsidR="0026413A" w:rsidRPr="00362204">
        <w:rPr>
          <w:lang w:val="fr-FR"/>
        </w:rPr>
        <w:t xml:space="preserve">Internet Society </w:t>
      </w:r>
      <w:r w:rsidR="00CE4870" w:rsidRPr="00362204">
        <w:rPr>
          <w:lang w:val="fr-FR"/>
        </w:rPr>
        <w:t>est à l</w:t>
      </w:r>
      <w:r w:rsidR="00B12690" w:rsidRPr="00362204">
        <w:rPr>
          <w:lang w:val="fr-FR"/>
        </w:rPr>
        <w:t>'</w:t>
      </w:r>
      <w:r w:rsidR="00CE4870" w:rsidRPr="00362204">
        <w:rPr>
          <w:lang w:val="fr-FR"/>
        </w:rPr>
        <w:t>avant-garde des</w:t>
      </w:r>
      <w:r w:rsidR="00B12690" w:rsidRPr="00362204">
        <w:rPr>
          <w:lang w:val="fr-FR"/>
        </w:rPr>
        <w:t xml:space="preserve"> </w:t>
      </w:r>
      <w:r w:rsidR="00CE4870" w:rsidRPr="00362204">
        <w:rPr>
          <w:lang w:val="fr-FR"/>
        </w:rPr>
        <w:t xml:space="preserve">initiatives mobilisatrices </w:t>
      </w:r>
      <w:r w:rsidR="004C2DD1" w:rsidRPr="00362204">
        <w:rPr>
          <w:lang w:val="fr-FR"/>
        </w:rPr>
        <w:t>allant du renforcement des capacités à l</w:t>
      </w:r>
      <w:r w:rsidR="00DC7C0C" w:rsidRPr="00362204">
        <w:rPr>
          <w:lang w:val="fr-FR"/>
        </w:rPr>
        <w:t xml:space="preserve">'appui communautaire, </w:t>
      </w:r>
      <w:r w:rsidR="004C2DD1" w:rsidRPr="00362204">
        <w:rPr>
          <w:lang w:val="fr-FR"/>
        </w:rPr>
        <w:t>en passant par le développement et l</w:t>
      </w:r>
      <w:r w:rsidR="00DC7C0C" w:rsidRPr="00362204">
        <w:rPr>
          <w:lang w:val="fr-FR"/>
        </w:rPr>
        <w:t>'amélioration de</w:t>
      </w:r>
      <w:r w:rsidR="004C2DD1" w:rsidRPr="00362204">
        <w:rPr>
          <w:lang w:val="fr-FR"/>
        </w:rPr>
        <w:t xml:space="preserve"> </w:t>
      </w:r>
      <w:r w:rsidR="00B01F77" w:rsidRPr="00362204">
        <w:rPr>
          <w:lang w:val="fr-FR"/>
        </w:rPr>
        <w:t>l'</w:t>
      </w:r>
      <w:r w:rsidR="00DC7C0C" w:rsidRPr="00362204">
        <w:rPr>
          <w:lang w:val="fr-FR"/>
        </w:rPr>
        <w:t xml:space="preserve">infrastructure de l'Internet </w:t>
      </w:r>
      <w:r w:rsidR="004C2DD1" w:rsidRPr="00362204">
        <w:rPr>
          <w:lang w:val="fr-FR"/>
        </w:rPr>
        <w:t>et de la</w:t>
      </w:r>
      <w:r w:rsidR="00DC7C0C" w:rsidRPr="00362204">
        <w:rPr>
          <w:lang w:val="fr-FR"/>
        </w:rPr>
        <w:t xml:space="preserve"> résilience des réseaux</w:t>
      </w:r>
      <w:r w:rsidR="0026413A" w:rsidRPr="00362204">
        <w:rPr>
          <w:lang w:val="fr-FR"/>
        </w:rPr>
        <w:t xml:space="preserve">. </w:t>
      </w:r>
      <w:r w:rsidR="006B6B70" w:rsidRPr="00362204">
        <w:rPr>
          <w:lang w:val="fr-FR"/>
        </w:rPr>
        <w:t xml:space="preserve">Pour </w:t>
      </w:r>
      <w:r w:rsidR="004C2DD1" w:rsidRPr="00362204">
        <w:rPr>
          <w:lang w:val="fr-FR"/>
        </w:rPr>
        <w:t>réaliser notre mission</w:t>
      </w:r>
      <w:r w:rsidR="006B6B70" w:rsidRPr="00362204">
        <w:rPr>
          <w:lang w:val="fr-FR"/>
        </w:rPr>
        <w:t xml:space="preserve"> consistant à fournir</w:t>
      </w:r>
      <w:r w:rsidR="004C2DD1" w:rsidRPr="00362204">
        <w:rPr>
          <w:lang w:val="fr-FR"/>
        </w:rPr>
        <w:t xml:space="preserve"> à tous</w:t>
      </w:r>
      <w:r w:rsidR="006B6B70" w:rsidRPr="00362204">
        <w:rPr>
          <w:lang w:val="fr-FR"/>
        </w:rPr>
        <w:t xml:space="preserve"> </w:t>
      </w:r>
      <w:r w:rsidR="00F03B2A" w:rsidRPr="00362204">
        <w:rPr>
          <w:lang w:val="fr-FR"/>
        </w:rPr>
        <w:t xml:space="preserve">un accès </w:t>
      </w:r>
      <w:r w:rsidR="00B01F77" w:rsidRPr="00362204">
        <w:rPr>
          <w:lang w:val="fr-FR"/>
        </w:rPr>
        <w:t xml:space="preserve">à un Internet mondial, </w:t>
      </w:r>
      <w:r w:rsidR="00F03B2A" w:rsidRPr="00362204">
        <w:rPr>
          <w:lang w:val="fr-FR"/>
        </w:rPr>
        <w:t xml:space="preserve">sécurisé et </w:t>
      </w:r>
      <w:r w:rsidR="00B01F77" w:rsidRPr="00362204">
        <w:rPr>
          <w:lang w:val="fr-FR"/>
        </w:rPr>
        <w:t>digne de confiance</w:t>
      </w:r>
      <w:r w:rsidR="0026413A" w:rsidRPr="00362204">
        <w:rPr>
          <w:lang w:val="fr-FR"/>
        </w:rPr>
        <w:t xml:space="preserve">, </w:t>
      </w:r>
      <w:r w:rsidR="006B6B70" w:rsidRPr="00362204">
        <w:rPr>
          <w:lang w:val="fr-FR"/>
        </w:rPr>
        <w:t>l'</w:t>
      </w:r>
      <w:r w:rsidR="0026413A" w:rsidRPr="00362204">
        <w:rPr>
          <w:lang w:val="fr-FR"/>
        </w:rPr>
        <w:t xml:space="preserve">Internet Society </w:t>
      </w:r>
      <w:r w:rsidR="006B6B70" w:rsidRPr="00362204">
        <w:rPr>
          <w:lang w:val="fr-FR"/>
        </w:rPr>
        <w:t xml:space="preserve">collabore étroitement avec des entités mondiales, régionales et locales pour développer et déployer </w:t>
      </w:r>
      <w:r w:rsidR="00CE4870" w:rsidRPr="00362204">
        <w:rPr>
          <w:lang w:val="fr-FR"/>
        </w:rPr>
        <w:t>des infrastructures</w:t>
      </w:r>
      <w:r w:rsidR="00B12690" w:rsidRPr="00362204">
        <w:rPr>
          <w:lang w:val="fr-FR"/>
        </w:rPr>
        <w:t>,</w:t>
      </w:r>
      <w:r w:rsidR="006B6B70" w:rsidRPr="00362204">
        <w:rPr>
          <w:lang w:val="fr-FR"/>
        </w:rPr>
        <w:t xml:space="preserve"> </w:t>
      </w:r>
      <w:r w:rsidR="00CE4870" w:rsidRPr="00362204">
        <w:rPr>
          <w:lang w:val="fr-FR"/>
        </w:rPr>
        <w:t xml:space="preserve">des </w:t>
      </w:r>
      <w:r w:rsidR="006B6B70" w:rsidRPr="00362204">
        <w:rPr>
          <w:lang w:val="fr-FR"/>
        </w:rPr>
        <w:t>technologies,</w:t>
      </w:r>
      <w:r w:rsidR="00B12690" w:rsidRPr="00362204">
        <w:rPr>
          <w:lang w:val="fr-FR"/>
        </w:rPr>
        <w:t xml:space="preserve"> </w:t>
      </w:r>
      <w:r w:rsidR="006B6B70" w:rsidRPr="00362204">
        <w:rPr>
          <w:lang w:val="fr-FR"/>
        </w:rPr>
        <w:t>des normes</w:t>
      </w:r>
      <w:r w:rsidR="00FB2242" w:rsidRPr="00362204">
        <w:rPr>
          <w:lang w:val="fr-FR"/>
        </w:rPr>
        <w:t xml:space="preserve"> ouvertes</w:t>
      </w:r>
      <w:r w:rsidR="006B6B70" w:rsidRPr="00362204">
        <w:rPr>
          <w:lang w:val="fr-FR"/>
        </w:rPr>
        <w:t>, des réglementations, des politiques et des cadres réglementaires</w:t>
      </w:r>
      <w:r w:rsidR="00142E34" w:rsidRPr="00362204">
        <w:rPr>
          <w:lang w:val="fr-FR"/>
        </w:rPr>
        <w:t xml:space="preserve"> concernant</w:t>
      </w:r>
      <w:r w:rsidR="00B12690" w:rsidRPr="00362204">
        <w:rPr>
          <w:lang w:val="fr-FR"/>
        </w:rPr>
        <w:t xml:space="preserve"> </w:t>
      </w:r>
      <w:r w:rsidR="00CE4870" w:rsidRPr="00362204">
        <w:rPr>
          <w:lang w:val="fr-FR"/>
        </w:rPr>
        <w:t>l'Internet</w:t>
      </w:r>
      <w:r w:rsidR="0026413A" w:rsidRPr="00362204">
        <w:rPr>
          <w:lang w:val="fr-FR"/>
        </w:rPr>
        <w:t xml:space="preserve">. </w:t>
      </w:r>
      <w:r w:rsidR="00302AA2" w:rsidRPr="00362204">
        <w:rPr>
          <w:lang w:val="fr-FR"/>
        </w:rPr>
        <w:t xml:space="preserve">Nous </w:t>
      </w:r>
      <w:r w:rsidR="00F65DA7" w:rsidRPr="00362204">
        <w:rPr>
          <w:lang w:val="fr-FR"/>
        </w:rPr>
        <w:t>travaillons avec des partenaires</w:t>
      </w:r>
      <w:r w:rsidR="00302AA2" w:rsidRPr="00362204">
        <w:rPr>
          <w:lang w:val="fr-FR"/>
        </w:rPr>
        <w:t xml:space="preserve"> pour</w:t>
      </w:r>
      <w:r w:rsidR="0086018E" w:rsidRPr="00362204">
        <w:rPr>
          <w:lang w:val="fr-FR"/>
        </w:rPr>
        <w:t xml:space="preserve"> bâtir, promouvoir et défendre l'Internet</w:t>
      </w:r>
      <w:r w:rsidR="0026413A" w:rsidRPr="00362204">
        <w:rPr>
          <w:lang w:val="fr-FR"/>
        </w:rPr>
        <w:t xml:space="preserve">. </w:t>
      </w:r>
    </w:p>
    <w:p w14:paraId="0CE5991A" w14:textId="4AA3775F" w:rsidR="0026413A" w:rsidRPr="00362204" w:rsidRDefault="0086018E" w:rsidP="00832E49">
      <w:pPr>
        <w:rPr>
          <w:lang w:val="fr-FR"/>
        </w:rPr>
      </w:pPr>
      <w:r w:rsidRPr="00362204">
        <w:rPr>
          <w:lang w:val="fr-FR"/>
        </w:rPr>
        <w:t>Depuis septembre 2019, l'</w:t>
      </w:r>
      <w:r w:rsidR="0026413A" w:rsidRPr="00362204">
        <w:rPr>
          <w:lang w:val="fr-FR"/>
        </w:rPr>
        <w:t xml:space="preserve">Internet Society </w:t>
      </w:r>
      <w:r w:rsidRPr="00362204">
        <w:rPr>
          <w:lang w:val="fr-FR"/>
        </w:rPr>
        <w:t>est membre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du Groupe d'experts informel (GEI)</w:t>
      </w:r>
      <w:r w:rsidR="00142E34" w:rsidRPr="00362204">
        <w:rPr>
          <w:lang w:val="fr-FR"/>
        </w:rPr>
        <w:t xml:space="preserve"> dans le cadre de la préparation du</w:t>
      </w:r>
      <w:r w:rsidRPr="00362204">
        <w:rPr>
          <w:lang w:val="fr-FR"/>
        </w:rPr>
        <w:t xml:space="preserve"> FMPT-21</w:t>
      </w:r>
      <w:r w:rsidR="0026413A" w:rsidRPr="00362204">
        <w:rPr>
          <w:lang w:val="fr-FR"/>
        </w:rPr>
        <w:t xml:space="preserve">. </w:t>
      </w:r>
      <w:r w:rsidRPr="00362204">
        <w:rPr>
          <w:lang w:val="fr-FR"/>
        </w:rPr>
        <w:t>En tant que Membre de Secteur</w:t>
      </w:r>
      <w:r w:rsidR="0026413A" w:rsidRPr="00362204">
        <w:rPr>
          <w:lang w:val="fr-FR"/>
        </w:rPr>
        <w:t xml:space="preserve">, </w:t>
      </w:r>
      <w:r w:rsidRPr="00362204">
        <w:rPr>
          <w:lang w:val="fr-FR"/>
        </w:rPr>
        <w:t>nous participons</w:t>
      </w:r>
      <w:r w:rsidR="00B12690" w:rsidRPr="00362204">
        <w:rPr>
          <w:lang w:val="fr-FR"/>
        </w:rPr>
        <w:t xml:space="preserve"> </w:t>
      </w:r>
      <w:r w:rsidR="00142E34" w:rsidRPr="00362204">
        <w:rPr>
          <w:lang w:val="fr-FR"/>
        </w:rPr>
        <w:t>à ce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>processus préparatoire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pour faire en sorte que le FMPT-21 </w:t>
      </w:r>
      <w:r w:rsidR="001337DD" w:rsidRPr="00362204">
        <w:rPr>
          <w:lang w:val="fr-FR"/>
        </w:rPr>
        <w:t>débouche sur des résultats positifs et constructifs</w:t>
      </w:r>
      <w:r w:rsidR="0026413A" w:rsidRPr="00362204">
        <w:rPr>
          <w:lang w:val="fr-FR"/>
        </w:rPr>
        <w:t xml:space="preserve">. </w:t>
      </w:r>
      <w:r w:rsidR="00817424" w:rsidRPr="00362204">
        <w:rPr>
          <w:lang w:val="fr-FR"/>
        </w:rPr>
        <w:t xml:space="preserve">Dans nos observations ci-après, nous mettons </w:t>
      </w:r>
      <w:r w:rsidR="001337DD" w:rsidRPr="00362204">
        <w:rPr>
          <w:lang w:val="fr-FR"/>
        </w:rPr>
        <w:t>l'accent sur</w:t>
      </w:r>
      <w:r w:rsidR="00817424" w:rsidRPr="00362204">
        <w:rPr>
          <w:lang w:val="fr-FR"/>
        </w:rPr>
        <w:t xml:space="preserve"> certains éléments précis </w:t>
      </w:r>
      <w:r w:rsidR="001337DD" w:rsidRPr="00362204">
        <w:rPr>
          <w:lang w:val="fr-FR"/>
        </w:rPr>
        <w:t>des</w:t>
      </w:r>
      <w:r w:rsidR="00817424" w:rsidRPr="00362204">
        <w:rPr>
          <w:lang w:val="fr-FR"/>
        </w:rPr>
        <w:t xml:space="preserve"> textes actuels du Rapport du Secrétaire général de l'UIT et des projets d'Avis</w:t>
      </w:r>
      <w:r w:rsidR="00027493" w:rsidRPr="00362204">
        <w:rPr>
          <w:lang w:val="fr-FR"/>
        </w:rPr>
        <w:t>,</w:t>
      </w:r>
      <w:r w:rsidR="00817424" w:rsidRPr="00362204">
        <w:rPr>
          <w:lang w:val="fr-FR"/>
        </w:rPr>
        <w:t xml:space="preserve"> </w:t>
      </w:r>
      <w:r w:rsidR="001337DD" w:rsidRPr="00362204">
        <w:rPr>
          <w:lang w:val="fr-FR"/>
        </w:rPr>
        <w:t>auxquels il nous semble envisageable d'apporter des ajouts ou des modifications</w:t>
      </w:r>
      <w:r w:rsidR="0026413A" w:rsidRPr="00362204">
        <w:rPr>
          <w:lang w:val="fr-FR"/>
        </w:rPr>
        <w:t>.</w:t>
      </w:r>
    </w:p>
    <w:p w14:paraId="5F2F2D52" w14:textId="77777777" w:rsidR="0026413A" w:rsidRPr="00362204" w:rsidRDefault="0026413A" w:rsidP="00832E49">
      <w:pPr>
        <w:rPr>
          <w:lang w:val="fr-FR"/>
        </w:rPr>
      </w:pPr>
      <w:r w:rsidRPr="00362204">
        <w:rPr>
          <w:lang w:val="fr-FR"/>
        </w:rPr>
        <w:br w:type="page"/>
      </w:r>
    </w:p>
    <w:p w14:paraId="29F75001" w14:textId="00806EFC" w:rsidR="0026413A" w:rsidRPr="00362204" w:rsidRDefault="00027493" w:rsidP="00832E49">
      <w:pPr>
        <w:pStyle w:val="Heading1"/>
        <w:rPr>
          <w:lang w:val="fr-FR"/>
        </w:rPr>
      </w:pPr>
      <w:r w:rsidRPr="00362204">
        <w:rPr>
          <w:lang w:val="fr-FR"/>
        </w:rPr>
        <w:lastRenderedPageBreak/>
        <w:t>Observations sur le Rapport du Secrétaire général de l'UIT</w:t>
      </w:r>
    </w:p>
    <w:p w14:paraId="0FC4F7EE" w14:textId="4BDA2506" w:rsidR="0026413A" w:rsidRPr="00362204" w:rsidRDefault="00BA7E9A" w:rsidP="00832E49">
      <w:pPr>
        <w:rPr>
          <w:lang w:val="fr-FR"/>
        </w:rPr>
      </w:pPr>
      <w:r w:rsidRPr="00362204">
        <w:rPr>
          <w:lang w:val="fr-FR"/>
        </w:rPr>
        <w:t xml:space="preserve">Nous </w:t>
      </w:r>
      <w:r w:rsidR="00142E34" w:rsidRPr="00362204">
        <w:rPr>
          <w:lang w:val="fr-FR"/>
        </w:rPr>
        <w:t>constatons avec satisfaction</w:t>
      </w:r>
      <w:r w:rsidRPr="00362204">
        <w:rPr>
          <w:lang w:val="fr-FR"/>
        </w:rPr>
        <w:t xml:space="preserve"> que le rapport souligne l'importance </w:t>
      </w:r>
      <w:r w:rsidR="00142E34" w:rsidRPr="00362204">
        <w:rPr>
          <w:lang w:val="fr-FR"/>
        </w:rPr>
        <w:t xml:space="preserve">de la mise en place </w:t>
      </w:r>
      <w:r w:rsidRPr="00362204">
        <w:rPr>
          <w:lang w:val="fr-FR"/>
        </w:rPr>
        <w:t>d'un</w:t>
      </w:r>
      <w:r w:rsidR="0026413A" w:rsidRPr="00362204">
        <w:rPr>
          <w:lang w:val="fr-FR"/>
        </w:rPr>
        <w:t xml:space="preserve"> environnement propice qui </w:t>
      </w:r>
      <w:r w:rsidRPr="00362204">
        <w:rPr>
          <w:lang w:val="fr-FR"/>
        </w:rPr>
        <w:t>"</w:t>
      </w:r>
      <w:r w:rsidR="0026413A" w:rsidRPr="00362204">
        <w:rPr>
          <w:lang w:val="fr-FR"/>
        </w:rPr>
        <w:t>encourage l'investissement et l'innovation par la concurrence, le renforcement des capacités, la transparence, la flexibilité et la participation active de toutes les parties prenantes concernées</w:t>
      </w:r>
      <w:r w:rsidRPr="00362204">
        <w:rPr>
          <w:lang w:val="fr-FR"/>
        </w:rPr>
        <w:t>"</w:t>
      </w:r>
      <w:r w:rsidR="0026413A" w:rsidRPr="00362204">
        <w:rPr>
          <w:lang w:val="fr-FR"/>
        </w:rPr>
        <w:t xml:space="preserve">. </w:t>
      </w:r>
      <w:r w:rsidR="0019581F" w:rsidRPr="00362204">
        <w:rPr>
          <w:lang w:val="fr-FR"/>
        </w:rPr>
        <w:t>Il est souligné dans le</w:t>
      </w:r>
      <w:r w:rsidR="00B12690" w:rsidRPr="00362204">
        <w:rPr>
          <w:lang w:val="fr-FR"/>
        </w:rPr>
        <w:t xml:space="preserve"> </w:t>
      </w:r>
      <w:r w:rsidR="00854E87" w:rsidRPr="00362204">
        <w:rPr>
          <w:lang w:val="fr-FR"/>
        </w:rPr>
        <w:t>rapport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>qu'un environnement propice devrait favoriser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l'élaboration de politiques efficaces</w:t>
      </w:r>
      <w:r w:rsidR="0026413A" w:rsidRPr="00362204">
        <w:rPr>
          <w:lang w:val="fr-FR"/>
        </w:rPr>
        <w:t xml:space="preserve"> </w:t>
      </w:r>
      <w:r w:rsidR="00854E87" w:rsidRPr="00362204">
        <w:rPr>
          <w:lang w:val="fr-FR"/>
        </w:rPr>
        <w:t>en ce qui concerne</w:t>
      </w:r>
      <w:r w:rsidRPr="00362204">
        <w:rPr>
          <w:lang w:val="fr-FR"/>
        </w:rPr>
        <w:t xml:space="preserve"> les investissements dans les infrastructures</w:t>
      </w:r>
      <w:r w:rsidR="0026413A" w:rsidRPr="00362204">
        <w:rPr>
          <w:lang w:val="fr-FR"/>
        </w:rPr>
        <w:t xml:space="preserve">, </w:t>
      </w:r>
      <w:r w:rsidRPr="00362204">
        <w:rPr>
          <w:lang w:val="fr-FR"/>
        </w:rPr>
        <w:t>ce qui correspond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au résultat recherché</w:t>
      </w:r>
      <w:r w:rsidR="0026413A" w:rsidRPr="00362204">
        <w:rPr>
          <w:lang w:val="fr-FR"/>
        </w:rPr>
        <w:t xml:space="preserve">; </w:t>
      </w:r>
      <w:r w:rsidRPr="00362204">
        <w:rPr>
          <w:lang w:val="fr-FR"/>
        </w:rPr>
        <w:t>cependant</w:t>
      </w:r>
      <w:r w:rsidR="0026413A" w:rsidRPr="00362204">
        <w:rPr>
          <w:lang w:val="fr-FR"/>
        </w:rPr>
        <w:t xml:space="preserve">, </w:t>
      </w:r>
      <w:r w:rsidRPr="00362204">
        <w:rPr>
          <w:lang w:val="fr-FR"/>
        </w:rPr>
        <w:t xml:space="preserve">nous </w:t>
      </w:r>
      <w:r w:rsidR="00577109" w:rsidRPr="00362204">
        <w:rPr>
          <w:lang w:val="fr-FR"/>
        </w:rPr>
        <w:t>estimons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que plusieurs conditions préalables </w:t>
      </w:r>
      <w:r w:rsidR="0019581F" w:rsidRPr="00362204">
        <w:rPr>
          <w:lang w:val="fr-FR"/>
        </w:rPr>
        <w:t>doivent être prises en</w:t>
      </w:r>
      <w:r w:rsidRPr="00362204">
        <w:rPr>
          <w:lang w:val="fr-FR"/>
        </w:rPr>
        <w:t xml:space="preserve"> compte</w:t>
      </w:r>
      <w:r w:rsidR="0026413A" w:rsidRPr="00362204">
        <w:rPr>
          <w:lang w:val="fr-FR"/>
        </w:rPr>
        <w:t xml:space="preserve">. </w:t>
      </w:r>
      <w:r w:rsidR="0019581F" w:rsidRPr="00362204">
        <w:rPr>
          <w:lang w:val="fr-FR"/>
        </w:rPr>
        <w:t>Pour assurer le</w:t>
      </w:r>
      <w:r w:rsidR="007C341D" w:rsidRPr="00362204">
        <w:rPr>
          <w:lang w:val="fr-FR"/>
        </w:rPr>
        <w:t xml:space="preserve"> développement</w:t>
      </w:r>
      <w:r w:rsidRPr="00362204">
        <w:rPr>
          <w:lang w:val="fr-FR"/>
        </w:rPr>
        <w:t xml:space="preserve"> et </w:t>
      </w:r>
      <w:r w:rsidR="0019581F" w:rsidRPr="00362204">
        <w:rPr>
          <w:lang w:val="fr-FR"/>
        </w:rPr>
        <w:t xml:space="preserve">le </w:t>
      </w:r>
      <w:r w:rsidR="007C341D" w:rsidRPr="00362204">
        <w:rPr>
          <w:lang w:val="fr-FR"/>
        </w:rPr>
        <w:t>déploiement</w:t>
      </w:r>
      <w:r w:rsidRPr="00362204">
        <w:rPr>
          <w:lang w:val="fr-FR"/>
        </w:rPr>
        <w:t xml:space="preserve"> des infrastructures, </w:t>
      </w:r>
      <w:r w:rsidR="000B6859" w:rsidRPr="00362204">
        <w:rPr>
          <w:lang w:val="fr-FR"/>
        </w:rPr>
        <w:t xml:space="preserve">et </w:t>
      </w:r>
      <w:r w:rsidR="007C341D" w:rsidRPr="00362204">
        <w:rPr>
          <w:lang w:val="fr-FR"/>
        </w:rPr>
        <w:t xml:space="preserve">en particulier </w:t>
      </w:r>
      <w:r w:rsidR="000B6859" w:rsidRPr="00362204">
        <w:rPr>
          <w:lang w:val="fr-FR"/>
        </w:rPr>
        <w:t>pour</w:t>
      </w:r>
      <w:r w:rsidR="007C341D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connecter les personnes qui </w:t>
      </w:r>
      <w:r w:rsidR="00C5410F" w:rsidRPr="00362204">
        <w:rPr>
          <w:lang w:val="fr-FR"/>
        </w:rPr>
        <w:t>ne le sont pas encore</w:t>
      </w:r>
      <w:r w:rsidRPr="00362204">
        <w:rPr>
          <w:lang w:val="fr-FR"/>
        </w:rPr>
        <w:t xml:space="preserve">, </w:t>
      </w:r>
      <w:r w:rsidR="000C7998" w:rsidRPr="00362204">
        <w:rPr>
          <w:lang w:val="fr-FR"/>
        </w:rPr>
        <w:t>il est nécessaire</w:t>
      </w:r>
      <w:r w:rsidRPr="00362204">
        <w:rPr>
          <w:lang w:val="fr-FR"/>
        </w:rPr>
        <w:t xml:space="preserve"> de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tenir compte </w:t>
      </w:r>
      <w:r w:rsidR="000B6859" w:rsidRPr="00362204">
        <w:rPr>
          <w:lang w:val="fr-FR"/>
        </w:rPr>
        <w:t>des spécificités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et des besoins </w:t>
      </w:r>
      <w:r w:rsidR="00D42747" w:rsidRPr="00362204">
        <w:rPr>
          <w:lang w:val="fr-FR"/>
        </w:rPr>
        <w:t>au niveau</w:t>
      </w:r>
      <w:r w:rsidR="00557E9F" w:rsidRPr="00362204">
        <w:rPr>
          <w:lang w:val="fr-FR"/>
        </w:rPr>
        <w:t xml:space="preserve"> local </w:t>
      </w:r>
      <w:r w:rsidRPr="00362204">
        <w:rPr>
          <w:lang w:val="fr-FR"/>
        </w:rPr>
        <w:t xml:space="preserve">et </w:t>
      </w:r>
      <w:r w:rsidR="000B6859" w:rsidRPr="00362204">
        <w:rPr>
          <w:lang w:val="fr-FR"/>
        </w:rPr>
        <w:t xml:space="preserve">de prendre des mesures </w:t>
      </w:r>
      <w:r w:rsidR="00D60378" w:rsidRPr="00362204">
        <w:rPr>
          <w:lang w:val="fr-FR"/>
        </w:rPr>
        <w:t xml:space="preserve">en </w:t>
      </w:r>
      <w:r w:rsidR="00557E9F" w:rsidRPr="00362204">
        <w:rPr>
          <w:lang w:val="fr-FR"/>
        </w:rPr>
        <w:t>conséquence</w:t>
      </w:r>
      <w:r w:rsidR="0026413A" w:rsidRPr="00362204">
        <w:rPr>
          <w:lang w:val="fr-FR"/>
        </w:rPr>
        <w:t xml:space="preserve">. </w:t>
      </w:r>
      <w:r w:rsidRPr="00362204">
        <w:rPr>
          <w:lang w:val="fr-FR"/>
        </w:rPr>
        <w:t>Nous avons constaté que les cadres et les principes clés</w:t>
      </w:r>
      <w:r w:rsidR="0026413A" w:rsidRPr="00362204">
        <w:rPr>
          <w:lang w:val="fr-FR"/>
        </w:rPr>
        <w:t xml:space="preserve"> </w:t>
      </w:r>
      <w:r w:rsidR="00D60378" w:rsidRPr="00362204">
        <w:rPr>
          <w:lang w:val="fr-FR"/>
        </w:rPr>
        <w:t>qui favorisent des processus inclusifs, ouverts, collaboratifs et participatifs</w:t>
      </w:r>
      <w:r w:rsidR="0026413A" w:rsidRPr="00362204">
        <w:rPr>
          <w:lang w:val="fr-FR"/>
        </w:rPr>
        <w:t xml:space="preserve"> </w:t>
      </w:r>
      <w:r w:rsidR="000B6859" w:rsidRPr="00362204">
        <w:rPr>
          <w:lang w:val="fr-FR"/>
        </w:rPr>
        <w:t>sont particulièrement efficaces</w:t>
      </w:r>
      <w:r w:rsidR="0026413A" w:rsidRPr="00362204">
        <w:rPr>
          <w:lang w:val="fr-FR"/>
        </w:rPr>
        <w:t xml:space="preserve"> </w:t>
      </w:r>
      <w:r w:rsidR="00D60378" w:rsidRPr="00362204">
        <w:rPr>
          <w:lang w:val="fr-FR"/>
        </w:rPr>
        <w:t xml:space="preserve">et permettent </w:t>
      </w:r>
      <w:r w:rsidR="00A30D1D" w:rsidRPr="00362204">
        <w:rPr>
          <w:lang w:val="fr-FR"/>
        </w:rPr>
        <w:t xml:space="preserve">parallèlement </w:t>
      </w:r>
      <w:r w:rsidR="00D60378" w:rsidRPr="00362204">
        <w:rPr>
          <w:lang w:val="fr-FR"/>
        </w:rPr>
        <w:t>aux parties prenantes</w:t>
      </w:r>
      <w:r w:rsidR="0026413A" w:rsidRPr="00362204">
        <w:rPr>
          <w:lang w:val="fr-FR"/>
        </w:rPr>
        <w:t xml:space="preserve"> </w:t>
      </w:r>
      <w:r w:rsidR="00933AB9" w:rsidRPr="00362204">
        <w:rPr>
          <w:lang w:val="fr-FR"/>
        </w:rPr>
        <w:t>d'adapter les infrastructures</w:t>
      </w:r>
      <w:r w:rsidR="00D60378" w:rsidRPr="00362204">
        <w:rPr>
          <w:lang w:val="fr-FR"/>
        </w:rPr>
        <w:t xml:space="preserve"> </w:t>
      </w:r>
      <w:r w:rsidR="00933AB9" w:rsidRPr="00362204">
        <w:rPr>
          <w:lang w:val="fr-FR"/>
        </w:rPr>
        <w:t>aux réalités locales ou régionales</w:t>
      </w:r>
      <w:r w:rsidR="0026413A" w:rsidRPr="00362204">
        <w:rPr>
          <w:lang w:val="fr-FR"/>
        </w:rPr>
        <w:t xml:space="preserve">. </w:t>
      </w:r>
      <w:r w:rsidR="00E82AFE" w:rsidRPr="00362204">
        <w:rPr>
          <w:lang w:val="fr-FR"/>
        </w:rPr>
        <w:t xml:space="preserve">Nous proposons d'améliorer </w:t>
      </w:r>
      <w:r w:rsidR="00A30D1D" w:rsidRPr="00362204">
        <w:rPr>
          <w:lang w:val="fr-FR"/>
        </w:rPr>
        <w:t>le §</w:t>
      </w:r>
      <w:r w:rsidR="0026413A" w:rsidRPr="00362204">
        <w:rPr>
          <w:lang w:val="fr-FR"/>
        </w:rPr>
        <w:t xml:space="preserve"> 2.6</w:t>
      </w:r>
      <w:r w:rsidR="00E82AFE" w:rsidRPr="00362204">
        <w:rPr>
          <w:lang w:val="fr-FR"/>
        </w:rPr>
        <w:t xml:space="preserve"> du rapport</w:t>
      </w:r>
      <w:r w:rsidR="00A30D1D" w:rsidRPr="00362204">
        <w:rPr>
          <w:lang w:val="fr-FR"/>
        </w:rPr>
        <w:t>,</w:t>
      </w:r>
      <w:r w:rsidR="00E82AFE" w:rsidRPr="00362204">
        <w:rPr>
          <w:lang w:val="fr-FR"/>
        </w:rPr>
        <w:t xml:space="preserve"> </w:t>
      </w:r>
      <w:r w:rsidR="00445262" w:rsidRPr="00362204">
        <w:rPr>
          <w:lang w:val="fr-FR"/>
        </w:rPr>
        <w:t>en indiquant</w:t>
      </w:r>
      <w:r w:rsidR="00097542" w:rsidRPr="00362204">
        <w:rPr>
          <w:lang w:val="fr-FR"/>
        </w:rPr>
        <w:t xml:space="preserve"> qu'il est essentiel de </w:t>
      </w:r>
      <w:r w:rsidR="00A30D1D" w:rsidRPr="00362204">
        <w:rPr>
          <w:lang w:val="fr-FR"/>
        </w:rPr>
        <w:t>favoriser la mise en place de conditions</w:t>
      </w:r>
      <w:r w:rsidR="00B12690" w:rsidRPr="00362204">
        <w:rPr>
          <w:lang w:val="fr-FR"/>
        </w:rPr>
        <w:t xml:space="preserve"> </w:t>
      </w:r>
      <w:r w:rsidR="00D60378" w:rsidRPr="00362204">
        <w:rPr>
          <w:lang w:val="fr-FR"/>
        </w:rPr>
        <w:t xml:space="preserve">propices et </w:t>
      </w:r>
      <w:r w:rsidR="00A30D1D" w:rsidRPr="00362204">
        <w:rPr>
          <w:lang w:val="fr-FR"/>
        </w:rPr>
        <w:t xml:space="preserve">de </w:t>
      </w:r>
      <w:r w:rsidR="00D60378" w:rsidRPr="00362204">
        <w:rPr>
          <w:lang w:val="fr-FR"/>
        </w:rPr>
        <w:t xml:space="preserve">processus inclusifs </w:t>
      </w:r>
      <w:r w:rsidR="00097542" w:rsidRPr="00362204">
        <w:rPr>
          <w:lang w:val="fr-FR"/>
        </w:rPr>
        <w:t>pour</w:t>
      </w:r>
      <w:r w:rsidR="00B12690" w:rsidRPr="00362204">
        <w:rPr>
          <w:lang w:val="fr-FR"/>
        </w:rPr>
        <w:t xml:space="preserve"> </w:t>
      </w:r>
      <w:r w:rsidR="00A30D1D" w:rsidRPr="00362204">
        <w:rPr>
          <w:lang w:val="fr-FR"/>
        </w:rPr>
        <w:t xml:space="preserve">que </w:t>
      </w:r>
      <w:r w:rsidR="00D60378" w:rsidRPr="00362204">
        <w:rPr>
          <w:lang w:val="fr-FR"/>
        </w:rPr>
        <w:t xml:space="preserve">l'élaboration de politiques </w:t>
      </w:r>
      <w:r w:rsidR="00A30D1D" w:rsidRPr="00362204">
        <w:rPr>
          <w:lang w:val="fr-FR"/>
        </w:rPr>
        <w:t>soit efficace</w:t>
      </w:r>
      <w:r w:rsidR="00B12690" w:rsidRPr="00362204">
        <w:rPr>
          <w:lang w:val="fr-FR"/>
        </w:rPr>
        <w:t>.</w:t>
      </w:r>
    </w:p>
    <w:p w14:paraId="12681678" w14:textId="47DB8626" w:rsidR="0026413A" w:rsidRPr="00362204" w:rsidRDefault="006E58C9" w:rsidP="00832E49">
      <w:pPr>
        <w:pStyle w:val="Heading1"/>
        <w:rPr>
          <w:lang w:val="fr-FR"/>
        </w:rPr>
      </w:pPr>
      <w:r w:rsidRPr="00362204">
        <w:rPr>
          <w:lang w:val="fr-FR"/>
        </w:rPr>
        <w:t>Observations sur le projet d'Avis</w:t>
      </w:r>
      <w:r w:rsidR="0026413A" w:rsidRPr="00362204">
        <w:rPr>
          <w:lang w:val="fr-FR"/>
        </w:rPr>
        <w:t xml:space="preserve"> 1</w:t>
      </w:r>
    </w:p>
    <w:p w14:paraId="3E32A521" w14:textId="6074C2B4" w:rsidR="0026413A" w:rsidRPr="00362204" w:rsidRDefault="00501691" w:rsidP="00832E49">
      <w:pPr>
        <w:rPr>
          <w:lang w:val="fr-FR"/>
        </w:rPr>
      </w:pPr>
      <w:r w:rsidRPr="00362204">
        <w:rPr>
          <w:lang w:val="fr-FR"/>
        </w:rPr>
        <w:t xml:space="preserve">Nous saluons l'initiative </w:t>
      </w:r>
      <w:r w:rsidR="00A439E9" w:rsidRPr="00362204">
        <w:rPr>
          <w:lang w:val="fr-FR"/>
        </w:rPr>
        <w:t>décrite</w:t>
      </w:r>
      <w:r w:rsidRPr="00362204">
        <w:rPr>
          <w:lang w:val="fr-FR"/>
        </w:rPr>
        <w:t xml:space="preserve"> dans ce projet d'Avis, qui vise à inviter les États Membres</w:t>
      </w:r>
      <w:r w:rsidR="0026413A" w:rsidRPr="00362204">
        <w:rPr>
          <w:lang w:val="fr-FR"/>
        </w:rPr>
        <w:t xml:space="preserve"> </w:t>
      </w:r>
      <w:r w:rsidR="00F30234" w:rsidRPr="00362204">
        <w:rPr>
          <w:lang w:val="fr-FR"/>
        </w:rPr>
        <w:t>à envisager d'adopter</w:t>
      </w:r>
      <w:r w:rsidRPr="00362204">
        <w:rPr>
          <w:lang w:val="fr-FR"/>
        </w:rPr>
        <w:t xml:space="preserve"> des solutions de connectivité innovantes, </w:t>
      </w:r>
      <w:r w:rsidR="00A30D1D" w:rsidRPr="00362204">
        <w:rPr>
          <w:lang w:val="fr-FR"/>
        </w:rPr>
        <w:t xml:space="preserve">et à créer </w:t>
      </w:r>
      <w:r w:rsidRPr="00362204">
        <w:rPr>
          <w:lang w:val="fr-FR"/>
        </w:rPr>
        <w:t xml:space="preserve">un environnement propice à </w:t>
      </w:r>
      <w:r w:rsidR="00A30D1D" w:rsidRPr="00362204">
        <w:rPr>
          <w:lang w:val="fr-FR"/>
        </w:rPr>
        <w:t xml:space="preserve">la mise en </w:t>
      </w:r>
      <w:r w:rsidR="00B12690" w:rsidRPr="00362204">
        <w:rPr>
          <w:lang w:val="fr-FR"/>
        </w:rPr>
        <w:t>œ</w:t>
      </w:r>
      <w:r w:rsidR="00A30D1D" w:rsidRPr="00362204">
        <w:rPr>
          <w:lang w:val="fr-FR"/>
        </w:rPr>
        <w:t xml:space="preserve">uvre de </w:t>
      </w:r>
      <w:r w:rsidRPr="00362204">
        <w:rPr>
          <w:lang w:val="fr-FR"/>
        </w:rPr>
        <w:t>ces solutions</w:t>
      </w:r>
      <w:r w:rsidR="0026413A" w:rsidRPr="00362204">
        <w:rPr>
          <w:lang w:val="fr-FR"/>
        </w:rPr>
        <w:t xml:space="preserve">. </w:t>
      </w:r>
      <w:r w:rsidRPr="00362204">
        <w:rPr>
          <w:lang w:val="fr-FR"/>
        </w:rPr>
        <w:t>De plus</w:t>
      </w:r>
      <w:r w:rsidR="0026413A" w:rsidRPr="00362204">
        <w:rPr>
          <w:lang w:val="fr-FR"/>
        </w:rPr>
        <w:t>,</w:t>
      </w:r>
      <w:r w:rsidR="00B12690" w:rsidRPr="00362204">
        <w:rPr>
          <w:lang w:val="fr-FR"/>
        </w:rPr>
        <w:t xml:space="preserve"> </w:t>
      </w:r>
      <w:r w:rsidR="00A30D1D" w:rsidRPr="00362204">
        <w:rPr>
          <w:lang w:val="fr-FR"/>
        </w:rPr>
        <w:t>l</w:t>
      </w:r>
      <w:r w:rsidR="00B12690" w:rsidRPr="00362204">
        <w:rPr>
          <w:lang w:val="fr-FR"/>
        </w:rPr>
        <w:t>'</w:t>
      </w:r>
      <w:r w:rsidRPr="00362204">
        <w:rPr>
          <w:lang w:val="fr-FR"/>
        </w:rPr>
        <w:t>expérience</w:t>
      </w:r>
      <w:r w:rsidR="00A30D1D" w:rsidRPr="00362204">
        <w:rPr>
          <w:color w:val="000000"/>
          <w:lang w:val="fr-FR"/>
        </w:rPr>
        <w:t xml:space="preserve"> que nous avons acquise</w:t>
      </w:r>
      <w:r w:rsidRPr="00362204">
        <w:rPr>
          <w:lang w:val="fr-FR"/>
        </w:rPr>
        <w:t xml:space="preserve"> montre qu'il est important de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considérer </w:t>
      </w:r>
      <w:r w:rsidR="00A30D1D" w:rsidRPr="00362204">
        <w:rPr>
          <w:lang w:val="fr-FR"/>
        </w:rPr>
        <w:t xml:space="preserve">ces solutions </w:t>
      </w:r>
      <w:r w:rsidRPr="00362204">
        <w:rPr>
          <w:lang w:val="fr-FR"/>
        </w:rPr>
        <w:t xml:space="preserve">comme </w:t>
      </w:r>
      <w:r w:rsidR="00A439E9" w:rsidRPr="00362204">
        <w:rPr>
          <w:lang w:val="fr-FR"/>
        </w:rPr>
        <w:t>un catalyseur</w:t>
      </w:r>
      <w:r w:rsidRPr="00362204">
        <w:rPr>
          <w:lang w:val="fr-FR"/>
        </w:rPr>
        <w:t xml:space="preserve"> du développement durable</w:t>
      </w:r>
      <w:r w:rsidR="00A30D1D" w:rsidRPr="00362204">
        <w:rPr>
          <w:lang w:val="fr-FR"/>
        </w:rPr>
        <w:t>,</w:t>
      </w:r>
      <w:r w:rsidR="00A439E9" w:rsidRPr="00362204">
        <w:rPr>
          <w:lang w:val="fr-FR"/>
        </w:rPr>
        <w:t xml:space="preserve"> qui contribue</w:t>
      </w:r>
      <w:r w:rsidRPr="00362204">
        <w:rPr>
          <w:lang w:val="fr-FR"/>
        </w:rPr>
        <w:t xml:space="preserve"> à l'autonomisation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des groupes et des individus marginalisés</w:t>
      </w:r>
      <w:r w:rsidR="0026413A" w:rsidRPr="00362204">
        <w:rPr>
          <w:lang w:val="fr-FR"/>
        </w:rPr>
        <w:t xml:space="preserve"> </w:t>
      </w:r>
      <w:r w:rsidR="00A439E9" w:rsidRPr="00362204">
        <w:rPr>
          <w:lang w:val="fr-FR"/>
        </w:rPr>
        <w:t>et</w:t>
      </w:r>
      <w:r w:rsidR="00B12690" w:rsidRPr="00362204">
        <w:rPr>
          <w:lang w:val="fr-FR"/>
        </w:rPr>
        <w:t xml:space="preserve"> </w:t>
      </w:r>
      <w:r w:rsidR="00A439E9" w:rsidRPr="00362204">
        <w:rPr>
          <w:lang w:val="fr-FR"/>
        </w:rPr>
        <w:t>encourage</w:t>
      </w:r>
      <w:r w:rsidRPr="00362204">
        <w:rPr>
          <w:lang w:val="fr-FR"/>
        </w:rPr>
        <w:t xml:space="preserve"> l'entrepreneuriat</w:t>
      </w:r>
      <w:r w:rsidR="0026413A" w:rsidRPr="00362204">
        <w:rPr>
          <w:lang w:val="fr-FR"/>
        </w:rPr>
        <w:t xml:space="preserve"> local. </w:t>
      </w:r>
      <w:r w:rsidR="00B12690" w:rsidRPr="00362204">
        <w:rPr>
          <w:lang w:val="fr-FR"/>
        </w:rPr>
        <w:t xml:space="preserve">À </w:t>
      </w:r>
      <w:r w:rsidRPr="00362204">
        <w:rPr>
          <w:lang w:val="fr-FR"/>
        </w:rPr>
        <w:t xml:space="preserve">notre </w:t>
      </w:r>
      <w:r w:rsidR="00A30D1D" w:rsidRPr="00362204">
        <w:rPr>
          <w:lang w:val="fr-FR"/>
        </w:rPr>
        <w:t>sens</w:t>
      </w:r>
      <w:r w:rsidRPr="00362204">
        <w:rPr>
          <w:lang w:val="fr-FR"/>
        </w:rPr>
        <w:t xml:space="preserve">, </w:t>
      </w:r>
      <w:r w:rsidR="008E57C2" w:rsidRPr="00362204">
        <w:rPr>
          <w:lang w:val="fr-FR"/>
        </w:rPr>
        <w:t xml:space="preserve">l'intégration et la mise en </w:t>
      </w:r>
      <w:r w:rsidR="00A30D1D" w:rsidRPr="00362204">
        <w:rPr>
          <w:lang w:val="fr-FR"/>
        </w:rPr>
        <w:t xml:space="preserve">évidence des </w:t>
      </w:r>
      <w:r w:rsidRPr="00362204">
        <w:rPr>
          <w:lang w:val="fr-FR"/>
        </w:rPr>
        <w:t>terme</w:t>
      </w:r>
      <w:r w:rsidR="00A30D1D" w:rsidRPr="00362204">
        <w:rPr>
          <w:lang w:val="fr-FR"/>
        </w:rPr>
        <w:t>s</w:t>
      </w:r>
      <w:r w:rsidRPr="00362204">
        <w:rPr>
          <w:lang w:val="fr-FR"/>
        </w:rPr>
        <w:t xml:space="preserve"> "</w:t>
      </w:r>
      <w:r w:rsidR="0026413A" w:rsidRPr="00362204">
        <w:rPr>
          <w:lang w:val="fr-FR"/>
        </w:rPr>
        <w:t>solutions d'accès complémentaires</w:t>
      </w:r>
      <w:r w:rsidR="003D7D7C" w:rsidRPr="00362204">
        <w:rPr>
          <w:lang w:val="fr-FR"/>
        </w:rPr>
        <w:t>"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et </w:t>
      </w:r>
      <w:r w:rsidR="008E57C2" w:rsidRPr="00362204">
        <w:rPr>
          <w:lang w:val="fr-FR"/>
        </w:rPr>
        <w:t>l'ajout d'</w:t>
      </w:r>
      <w:r w:rsidRPr="00362204">
        <w:rPr>
          <w:lang w:val="fr-FR"/>
        </w:rPr>
        <w:t>exemples</w:t>
      </w:r>
      <w:r w:rsidR="003D7D7C" w:rsidRPr="00362204">
        <w:rPr>
          <w:lang w:val="fr-FR"/>
        </w:rPr>
        <w:t>,</w:t>
      </w:r>
      <w:r w:rsidRPr="00362204">
        <w:rPr>
          <w:lang w:val="fr-FR"/>
        </w:rPr>
        <w:t xml:space="preserve"> tels que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les réseaux communautaires,</w:t>
      </w:r>
      <w:r w:rsidR="0026413A" w:rsidRPr="00362204">
        <w:rPr>
          <w:lang w:val="fr-FR"/>
        </w:rPr>
        <w:t xml:space="preserve"> </w:t>
      </w:r>
      <w:r w:rsidR="003D7D7C" w:rsidRPr="00362204">
        <w:rPr>
          <w:lang w:val="fr-FR"/>
        </w:rPr>
        <w:t>au paragraphe</w:t>
      </w:r>
      <w:r w:rsidR="00D510F0" w:rsidRPr="00362204">
        <w:rPr>
          <w:lang w:val="fr-FR"/>
        </w:rPr>
        <w:t xml:space="preserve"> 1 </w:t>
      </w:r>
      <w:r w:rsidR="00E51218" w:rsidRPr="00362204">
        <w:rPr>
          <w:lang w:val="fr-FR"/>
        </w:rPr>
        <w:t>sous</w:t>
      </w:r>
      <w:r w:rsidR="003D7D7C" w:rsidRPr="00362204">
        <w:rPr>
          <w:lang w:val="fr-FR"/>
        </w:rPr>
        <w:t xml:space="preserve"> </w:t>
      </w:r>
      <w:r w:rsidR="00B12690" w:rsidRPr="00362204">
        <w:rPr>
          <w:lang w:val="fr-FR"/>
        </w:rPr>
        <w:t>"</w:t>
      </w:r>
      <w:r w:rsidR="003D7D7C" w:rsidRPr="00362204">
        <w:rPr>
          <w:i/>
          <w:lang w:val="fr-FR"/>
        </w:rPr>
        <w:t>est d'avis</w:t>
      </w:r>
      <w:r w:rsidR="00B12690" w:rsidRPr="00362204">
        <w:rPr>
          <w:iCs/>
          <w:lang w:val="fr-FR"/>
        </w:rPr>
        <w:t>"</w:t>
      </w:r>
      <w:r w:rsidR="00B12690" w:rsidRPr="00362204">
        <w:rPr>
          <w:lang w:val="fr-FR"/>
        </w:rPr>
        <w:t>,</w:t>
      </w:r>
      <w:r w:rsidR="0026413A" w:rsidRPr="00362204">
        <w:rPr>
          <w:lang w:val="fr-FR"/>
        </w:rPr>
        <w:t xml:space="preserve"> </w:t>
      </w:r>
      <w:r w:rsidR="008E57C2" w:rsidRPr="00362204">
        <w:rPr>
          <w:lang w:val="fr-FR"/>
        </w:rPr>
        <w:t xml:space="preserve">permettraient de mettre en avant </w:t>
      </w:r>
      <w:r w:rsidRPr="00362204">
        <w:rPr>
          <w:lang w:val="fr-FR"/>
        </w:rPr>
        <w:t xml:space="preserve">les </w:t>
      </w:r>
      <w:r w:rsidR="00831D82" w:rsidRPr="00362204">
        <w:rPr>
          <w:lang w:val="fr-FR"/>
        </w:rPr>
        <w:t xml:space="preserve">différentes </w:t>
      </w:r>
      <w:r w:rsidR="00E51218" w:rsidRPr="00362204">
        <w:rPr>
          <w:lang w:val="fr-FR"/>
        </w:rPr>
        <w:t xml:space="preserve">options </w:t>
      </w:r>
      <w:r w:rsidRPr="00362204">
        <w:rPr>
          <w:lang w:val="fr-FR"/>
        </w:rPr>
        <w:t xml:space="preserve">et expériences </w:t>
      </w:r>
      <w:r w:rsidR="00E51218" w:rsidRPr="00362204">
        <w:rPr>
          <w:lang w:val="fr-FR"/>
        </w:rPr>
        <w:t xml:space="preserve">en matière </w:t>
      </w:r>
      <w:r w:rsidRPr="00362204">
        <w:rPr>
          <w:lang w:val="fr-FR"/>
        </w:rPr>
        <w:t>de connectivité</w:t>
      </w:r>
      <w:r w:rsidR="00B12690" w:rsidRPr="00362204">
        <w:rPr>
          <w:lang w:val="fr-FR"/>
        </w:rPr>
        <w:t xml:space="preserve"> </w:t>
      </w:r>
      <w:r w:rsidR="00E51218" w:rsidRPr="00362204">
        <w:rPr>
          <w:lang w:val="fr-FR"/>
        </w:rPr>
        <w:t xml:space="preserve">dont </w:t>
      </w:r>
      <w:r w:rsidRPr="00362204">
        <w:rPr>
          <w:lang w:val="fr-FR"/>
        </w:rPr>
        <w:t xml:space="preserve">nous </w:t>
      </w:r>
      <w:r w:rsidR="00E51218" w:rsidRPr="00362204">
        <w:rPr>
          <w:lang w:val="fr-FR"/>
        </w:rPr>
        <w:t>sommes témoins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>dans le monde entier</w:t>
      </w:r>
      <w:r w:rsidR="0026413A" w:rsidRPr="00362204">
        <w:rPr>
          <w:lang w:val="fr-FR"/>
        </w:rPr>
        <w:t>.</w:t>
      </w:r>
    </w:p>
    <w:p w14:paraId="37F5AAEC" w14:textId="36307BE6" w:rsidR="0026413A" w:rsidRPr="00362204" w:rsidRDefault="008E57C2" w:rsidP="00832E49">
      <w:pPr>
        <w:pStyle w:val="Heading1"/>
        <w:rPr>
          <w:lang w:val="fr-FR"/>
        </w:rPr>
      </w:pPr>
      <w:r w:rsidRPr="00362204">
        <w:rPr>
          <w:lang w:val="fr-FR"/>
        </w:rPr>
        <w:t>Observations sur le projet d'Avis</w:t>
      </w:r>
      <w:r w:rsidR="0026413A" w:rsidRPr="00362204">
        <w:rPr>
          <w:lang w:val="fr-FR"/>
        </w:rPr>
        <w:t xml:space="preserve"> 2</w:t>
      </w:r>
    </w:p>
    <w:p w14:paraId="66AAE198" w14:textId="7A5E63B4" w:rsidR="0026413A" w:rsidRPr="00362204" w:rsidRDefault="008E57C2" w:rsidP="00832E49">
      <w:pPr>
        <w:rPr>
          <w:lang w:val="fr-FR"/>
        </w:rPr>
      </w:pPr>
      <w:r w:rsidRPr="00362204">
        <w:rPr>
          <w:lang w:val="fr-FR"/>
        </w:rPr>
        <w:t xml:space="preserve">Nous estimons que le paragraphe 4 </w:t>
      </w:r>
      <w:r w:rsidR="00D510F0" w:rsidRPr="00362204">
        <w:rPr>
          <w:lang w:val="fr-FR"/>
        </w:rPr>
        <w:t>de la</w:t>
      </w:r>
      <w:r w:rsidR="00E51218" w:rsidRPr="00362204">
        <w:rPr>
          <w:lang w:val="fr-FR"/>
        </w:rPr>
        <w:t xml:space="preserve"> partie</w:t>
      </w:r>
      <w:r w:rsidR="00F76AA6" w:rsidRPr="00362204">
        <w:rPr>
          <w:lang w:val="fr-FR"/>
        </w:rPr>
        <w:t xml:space="preserve"> "</w:t>
      </w:r>
      <w:r w:rsidR="0026413A" w:rsidRPr="00362204">
        <w:rPr>
          <w:i/>
          <w:iCs/>
          <w:lang w:val="fr-FR"/>
        </w:rPr>
        <w:t>invite les États Membres</w:t>
      </w:r>
      <w:r w:rsidR="00F76AA6" w:rsidRPr="00362204">
        <w:rPr>
          <w:lang w:val="fr-FR"/>
        </w:rPr>
        <w:t>"</w:t>
      </w:r>
      <w:r w:rsidR="008F390B" w:rsidRPr="00362204">
        <w:rPr>
          <w:lang w:val="fr-FR"/>
        </w:rPr>
        <w:t>, aux termes duquel ceux-ci sont invités "</w:t>
      </w:r>
      <w:r w:rsidR="0026413A" w:rsidRPr="00362204">
        <w:rPr>
          <w:lang w:val="fr-FR"/>
        </w:rPr>
        <w:t>à envisager d'adopter des mesures politiques et réglementaires propres à faciliter le déploiement des infrastructures dans les zones rurales et isolées, telles que la mutualisation des infrastructures, l'interconnexion et l'utilisation efficace du spectre</w:t>
      </w:r>
      <w:r w:rsidR="008F390B" w:rsidRPr="00362204">
        <w:rPr>
          <w:lang w:val="fr-FR"/>
        </w:rPr>
        <w:t>",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est essentiel pour parvenir à la connectivité universelle d'ici à 2030, conformément aux Objectifs de développement durable</w:t>
      </w:r>
      <w:r w:rsidR="0026413A" w:rsidRPr="00362204">
        <w:rPr>
          <w:lang w:val="fr-FR"/>
        </w:rPr>
        <w:t>.</w:t>
      </w:r>
    </w:p>
    <w:p w14:paraId="449D7775" w14:textId="1A679203" w:rsidR="0026413A" w:rsidRPr="00362204" w:rsidRDefault="00887937" w:rsidP="00832E49">
      <w:pPr>
        <w:rPr>
          <w:lang w:val="fr-FR"/>
        </w:rPr>
      </w:pPr>
      <w:r w:rsidRPr="00362204">
        <w:rPr>
          <w:lang w:val="fr-FR"/>
        </w:rPr>
        <w:t xml:space="preserve">Nous souhaitons </w:t>
      </w:r>
      <w:r w:rsidR="00E83863" w:rsidRPr="00362204">
        <w:rPr>
          <w:lang w:val="fr-FR"/>
        </w:rPr>
        <w:t>ajouter au</w:t>
      </w:r>
      <w:r w:rsidRPr="00362204">
        <w:rPr>
          <w:lang w:val="fr-FR"/>
        </w:rPr>
        <w:t xml:space="preserve"> projet d'Avis 2</w:t>
      </w:r>
      <w:r w:rsidR="0026413A" w:rsidRPr="00362204">
        <w:rPr>
          <w:lang w:val="fr-FR"/>
        </w:rPr>
        <w:t xml:space="preserve"> </w:t>
      </w:r>
      <w:r w:rsidR="00E83863" w:rsidRPr="00362204">
        <w:rPr>
          <w:lang w:val="fr-FR"/>
        </w:rPr>
        <w:t>un point</w:t>
      </w:r>
      <w:r w:rsidR="00604215" w:rsidRPr="00362204">
        <w:rPr>
          <w:lang w:val="fr-FR"/>
        </w:rPr>
        <w:t xml:space="preserve"> invitant les É</w:t>
      </w:r>
      <w:r w:rsidRPr="00362204">
        <w:rPr>
          <w:lang w:val="fr-FR"/>
        </w:rPr>
        <w:t xml:space="preserve">tats Membres à </w:t>
      </w:r>
      <w:r w:rsidR="00E51218" w:rsidRPr="00362204">
        <w:rPr>
          <w:lang w:val="fr-FR"/>
        </w:rPr>
        <w:t>envisager d</w:t>
      </w:r>
      <w:r w:rsidR="00B12690" w:rsidRPr="00362204">
        <w:rPr>
          <w:lang w:val="fr-FR"/>
        </w:rPr>
        <w:t>'</w:t>
      </w:r>
      <w:r w:rsidR="00E51218" w:rsidRPr="00362204">
        <w:rPr>
          <w:lang w:val="fr-FR"/>
        </w:rPr>
        <w:t>instaurer</w:t>
      </w:r>
      <w:r w:rsidRPr="00362204">
        <w:rPr>
          <w:lang w:val="fr-FR"/>
        </w:rPr>
        <w:t xml:space="preserve"> des cadres réglementaires </w:t>
      </w:r>
      <w:r w:rsidR="00C54AC1" w:rsidRPr="00362204">
        <w:rPr>
          <w:lang w:val="fr-FR"/>
        </w:rPr>
        <w:t>permettant</w:t>
      </w:r>
      <w:r w:rsidR="0026413A" w:rsidRPr="00362204">
        <w:rPr>
          <w:lang w:val="fr-FR"/>
        </w:rPr>
        <w:t>:</w:t>
      </w:r>
    </w:p>
    <w:p w14:paraId="67FCAB47" w14:textId="289C3FAA" w:rsidR="0026413A" w:rsidRPr="00362204" w:rsidRDefault="0026413A" w:rsidP="00B12690">
      <w:pPr>
        <w:pStyle w:val="enumlev1"/>
        <w:rPr>
          <w:lang w:val="fr-FR"/>
        </w:rPr>
      </w:pPr>
      <w:r w:rsidRPr="00362204">
        <w:rPr>
          <w:lang w:val="fr-FR"/>
        </w:rPr>
        <w:t>a)</w:t>
      </w:r>
      <w:r w:rsidR="00B12690" w:rsidRPr="00362204">
        <w:rPr>
          <w:lang w:val="fr-FR"/>
        </w:rPr>
        <w:tab/>
      </w:r>
      <w:r w:rsidR="00C54AC1" w:rsidRPr="00362204">
        <w:rPr>
          <w:lang w:val="fr-FR"/>
        </w:rPr>
        <w:t>d'</w:t>
      </w:r>
      <w:r w:rsidR="00604215" w:rsidRPr="00362204">
        <w:rPr>
          <w:lang w:val="fr-FR"/>
        </w:rPr>
        <w:t>assurer</w:t>
      </w:r>
      <w:r w:rsidR="00A5014C" w:rsidRPr="00362204">
        <w:rPr>
          <w:lang w:val="fr-FR"/>
        </w:rPr>
        <w:t xml:space="preserve"> l'accès au spectre dans les zones </w:t>
      </w:r>
      <w:r w:rsidR="00604215" w:rsidRPr="00362204">
        <w:rPr>
          <w:lang w:val="fr-FR"/>
        </w:rPr>
        <w:t>rurales</w:t>
      </w:r>
      <w:r w:rsidR="00A5014C" w:rsidRPr="00362204">
        <w:rPr>
          <w:lang w:val="fr-FR"/>
        </w:rPr>
        <w:t>, isolées,</w:t>
      </w:r>
      <w:r w:rsidR="00604215" w:rsidRPr="00362204">
        <w:rPr>
          <w:lang w:val="fr-FR"/>
        </w:rPr>
        <w:t xml:space="preserve"> non desservies</w:t>
      </w:r>
      <w:r w:rsidRPr="00362204">
        <w:rPr>
          <w:lang w:val="fr-FR"/>
        </w:rPr>
        <w:t xml:space="preserve"> </w:t>
      </w:r>
      <w:r w:rsidR="00604215" w:rsidRPr="00362204">
        <w:rPr>
          <w:lang w:val="fr-FR"/>
        </w:rPr>
        <w:t>et mal desservies</w:t>
      </w:r>
      <w:r w:rsidR="00E51218" w:rsidRPr="00362204">
        <w:rPr>
          <w:lang w:val="fr-FR"/>
        </w:rPr>
        <w:t>,</w:t>
      </w:r>
      <w:r w:rsidR="00B12690" w:rsidRPr="00362204">
        <w:rPr>
          <w:lang w:val="fr-FR"/>
        </w:rPr>
        <w:t xml:space="preserve"> </w:t>
      </w:r>
      <w:r w:rsidR="00E51218" w:rsidRPr="00362204">
        <w:rPr>
          <w:color w:val="000000"/>
          <w:lang w:val="fr-FR"/>
        </w:rPr>
        <w:t>par l'intermédiaire</w:t>
      </w:r>
      <w:r w:rsidR="00B12690" w:rsidRPr="00362204">
        <w:rPr>
          <w:color w:val="000000"/>
          <w:lang w:val="fr-FR"/>
        </w:rPr>
        <w:t xml:space="preserve"> </w:t>
      </w:r>
      <w:r w:rsidR="00E51218" w:rsidRPr="00362204">
        <w:rPr>
          <w:lang w:val="fr-FR"/>
        </w:rPr>
        <w:t>de</w:t>
      </w:r>
      <w:r w:rsidR="00B12690" w:rsidRPr="00362204">
        <w:rPr>
          <w:lang w:val="fr-FR"/>
        </w:rPr>
        <w:t xml:space="preserve"> </w:t>
      </w:r>
      <w:r w:rsidR="00604215" w:rsidRPr="00362204">
        <w:rPr>
          <w:lang w:val="fr-FR"/>
        </w:rPr>
        <w:t xml:space="preserve">cadres de partage du spectre </w:t>
      </w:r>
      <w:r w:rsidR="00E51218" w:rsidRPr="00362204">
        <w:rPr>
          <w:lang w:val="fr-FR"/>
        </w:rPr>
        <w:t>(</w:t>
      </w:r>
      <w:r w:rsidR="00B12690" w:rsidRPr="00362204">
        <w:rPr>
          <w:lang w:val="fr-FR"/>
        </w:rPr>
        <w:t>"</w:t>
      </w:r>
      <w:r w:rsidR="008B0AF2" w:rsidRPr="00362204">
        <w:rPr>
          <w:lang w:val="fr-FR"/>
        </w:rPr>
        <w:t>utiliser ou mutualiser</w:t>
      </w:r>
      <w:r w:rsidR="00B12690" w:rsidRPr="00362204">
        <w:rPr>
          <w:lang w:val="fr-FR"/>
        </w:rPr>
        <w:t xml:space="preserve"> </w:t>
      </w:r>
      <w:r w:rsidR="00C54AC1" w:rsidRPr="00362204">
        <w:rPr>
          <w:lang w:val="fr-FR"/>
        </w:rPr>
        <w:t>le spectre</w:t>
      </w:r>
      <w:r w:rsidR="00B12690" w:rsidRPr="00362204">
        <w:rPr>
          <w:lang w:val="fr-FR"/>
        </w:rPr>
        <w:t>"</w:t>
      </w:r>
      <w:r w:rsidR="008B0AF2" w:rsidRPr="00362204">
        <w:rPr>
          <w:lang w:val="fr-FR"/>
        </w:rPr>
        <w:t>)</w:t>
      </w:r>
      <w:r w:rsidR="00B12690" w:rsidRPr="00362204">
        <w:rPr>
          <w:lang w:val="fr-FR"/>
        </w:rPr>
        <w:t>,</w:t>
      </w:r>
      <w:r w:rsidR="008B0AF2" w:rsidRPr="00362204">
        <w:rPr>
          <w:lang w:val="fr-FR"/>
        </w:rPr>
        <w:t xml:space="preserve"> de </w:t>
      </w:r>
      <w:r w:rsidR="00604215" w:rsidRPr="00362204">
        <w:rPr>
          <w:lang w:val="fr-FR"/>
        </w:rPr>
        <w:t>l'attribution dynamique du spectre</w:t>
      </w:r>
      <w:r w:rsidR="008B0AF2" w:rsidRPr="00362204">
        <w:rPr>
          <w:lang w:val="fr-FR"/>
        </w:rPr>
        <w:t xml:space="preserve"> </w:t>
      </w:r>
      <w:r w:rsidR="00604215" w:rsidRPr="00362204">
        <w:rPr>
          <w:lang w:val="fr-FR"/>
        </w:rPr>
        <w:t>et la disponibilité des</w:t>
      </w:r>
      <w:r w:rsidRPr="00362204">
        <w:rPr>
          <w:lang w:val="fr-FR"/>
        </w:rPr>
        <w:t xml:space="preserve"> </w:t>
      </w:r>
      <w:r w:rsidR="00604215" w:rsidRPr="00362204">
        <w:rPr>
          <w:lang w:val="fr-FR"/>
        </w:rPr>
        <w:t>fréquences non soumises à licence dans le plus grand nombre de bandes possibles</w:t>
      </w:r>
      <w:r w:rsidRPr="00362204">
        <w:rPr>
          <w:lang w:val="fr-FR"/>
        </w:rPr>
        <w:t xml:space="preserve"> </w:t>
      </w:r>
      <w:r w:rsidR="008B0AF2" w:rsidRPr="00362204">
        <w:rPr>
          <w:lang w:val="fr-FR"/>
        </w:rPr>
        <w:t>compte tenu des</w:t>
      </w:r>
      <w:r w:rsidRPr="00362204">
        <w:rPr>
          <w:lang w:val="fr-FR"/>
        </w:rPr>
        <w:t xml:space="preserve"> </w:t>
      </w:r>
      <w:r w:rsidR="00604215" w:rsidRPr="00362204">
        <w:rPr>
          <w:lang w:val="fr-FR"/>
        </w:rPr>
        <w:t xml:space="preserve">nouvelles technologies, </w:t>
      </w:r>
      <w:r w:rsidR="008B0AF2" w:rsidRPr="00362204">
        <w:rPr>
          <w:lang w:val="fr-FR"/>
        </w:rPr>
        <w:t>par exemple</w:t>
      </w:r>
      <w:r w:rsidR="00604215" w:rsidRPr="00362204">
        <w:rPr>
          <w:lang w:val="fr-FR"/>
        </w:rPr>
        <w:t xml:space="preserve"> </w:t>
      </w:r>
      <w:r w:rsidR="008B0AF2" w:rsidRPr="00362204">
        <w:rPr>
          <w:lang w:val="fr-FR"/>
        </w:rPr>
        <w:t xml:space="preserve">la technologie </w:t>
      </w:r>
      <w:r w:rsidRPr="00362204">
        <w:rPr>
          <w:lang w:val="fr-FR"/>
        </w:rPr>
        <w:t xml:space="preserve">WiFi 6 </w:t>
      </w:r>
      <w:r w:rsidR="00604215" w:rsidRPr="00362204">
        <w:rPr>
          <w:lang w:val="fr-FR"/>
        </w:rPr>
        <w:t>dans la bande des</w:t>
      </w:r>
      <w:r w:rsidRPr="00362204">
        <w:rPr>
          <w:lang w:val="fr-FR"/>
        </w:rPr>
        <w:t xml:space="preserve"> 6</w:t>
      </w:r>
      <w:r w:rsidR="00604215" w:rsidRPr="00362204">
        <w:rPr>
          <w:lang w:val="fr-FR"/>
        </w:rPr>
        <w:t> </w:t>
      </w:r>
      <w:r w:rsidR="00362204" w:rsidRPr="00362204">
        <w:rPr>
          <w:lang w:val="fr-FR"/>
        </w:rPr>
        <w:t>GHz</w:t>
      </w:r>
      <w:r w:rsidRPr="00362204">
        <w:rPr>
          <w:lang w:val="fr-FR"/>
        </w:rPr>
        <w:t>;</w:t>
      </w:r>
    </w:p>
    <w:p w14:paraId="6343B296" w14:textId="04EDA23A" w:rsidR="0026413A" w:rsidRPr="00362204" w:rsidRDefault="0026413A" w:rsidP="00B12690">
      <w:pPr>
        <w:pStyle w:val="enumlev1"/>
        <w:rPr>
          <w:lang w:val="fr-FR"/>
        </w:rPr>
      </w:pPr>
      <w:r w:rsidRPr="00362204">
        <w:rPr>
          <w:lang w:val="fr-FR"/>
        </w:rPr>
        <w:lastRenderedPageBreak/>
        <w:t>b)</w:t>
      </w:r>
      <w:r w:rsidR="00B12690" w:rsidRPr="00362204">
        <w:rPr>
          <w:lang w:val="fr-FR"/>
        </w:rPr>
        <w:tab/>
      </w:r>
      <w:r w:rsidR="00CC5FB2" w:rsidRPr="00362204">
        <w:rPr>
          <w:lang w:val="fr-FR"/>
        </w:rPr>
        <w:t>de simplifier les modalités d</w:t>
      </w:r>
      <w:r w:rsidR="00604215" w:rsidRPr="00362204">
        <w:rPr>
          <w:lang w:val="fr-FR"/>
        </w:rPr>
        <w:t>'octroi de licences</w:t>
      </w:r>
      <w:r w:rsidR="00CC5FB2" w:rsidRPr="00362204">
        <w:rPr>
          <w:lang w:val="fr-FR"/>
        </w:rPr>
        <w:t>,</w:t>
      </w:r>
      <w:r w:rsidR="00604215" w:rsidRPr="00362204">
        <w:rPr>
          <w:lang w:val="fr-FR"/>
        </w:rPr>
        <w:t xml:space="preserve"> afin de rendre les processus accessibles et financièrement abordables</w:t>
      </w:r>
      <w:r w:rsidRPr="00362204">
        <w:rPr>
          <w:lang w:val="fr-FR"/>
        </w:rPr>
        <w:t xml:space="preserve">; </w:t>
      </w:r>
      <w:r w:rsidR="00604215" w:rsidRPr="00362204">
        <w:rPr>
          <w:lang w:val="fr-FR"/>
        </w:rPr>
        <w:t>et</w:t>
      </w:r>
    </w:p>
    <w:p w14:paraId="3726FEA2" w14:textId="4DD73258" w:rsidR="0026413A" w:rsidRPr="00362204" w:rsidRDefault="0026413A" w:rsidP="00B12690">
      <w:pPr>
        <w:pStyle w:val="enumlev1"/>
        <w:rPr>
          <w:lang w:val="fr-FR"/>
        </w:rPr>
      </w:pPr>
      <w:r w:rsidRPr="00362204">
        <w:rPr>
          <w:lang w:val="fr-FR"/>
        </w:rPr>
        <w:t>c)</w:t>
      </w:r>
      <w:r w:rsidR="00B12690" w:rsidRPr="00362204">
        <w:rPr>
          <w:lang w:val="fr-FR"/>
        </w:rPr>
        <w:tab/>
      </w:r>
      <w:r w:rsidR="00557FC8" w:rsidRPr="00362204">
        <w:rPr>
          <w:lang w:val="fr-FR"/>
        </w:rPr>
        <w:t>d'</w:t>
      </w:r>
      <w:r w:rsidR="006F62B2" w:rsidRPr="00362204">
        <w:rPr>
          <w:lang w:val="fr-FR"/>
        </w:rPr>
        <w:t>utiliser les</w:t>
      </w:r>
      <w:r w:rsidRPr="00362204">
        <w:rPr>
          <w:lang w:val="fr-FR"/>
        </w:rPr>
        <w:t xml:space="preserve"> </w:t>
      </w:r>
      <w:r w:rsidR="006F62B2" w:rsidRPr="00362204">
        <w:rPr>
          <w:lang w:val="fr-FR"/>
        </w:rPr>
        <w:t>Fonds pour le service universel</w:t>
      </w:r>
      <w:r w:rsidRPr="00362204">
        <w:rPr>
          <w:lang w:val="fr-FR"/>
        </w:rPr>
        <w:t xml:space="preserve"> </w:t>
      </w:r>
      <w:r w:rsidR="006F62B2" w:rsidRPr="00362204">
        <w:rPr>
          <w:lang w:val="fr-FR"/>
        </w:rPr>
        <w:t xml:space="preserve">de manière novatrice pour </w:t>
      </w:r>
      <w:r w:rsidR="008B0AF2" w:rsidRPr="00362204">
        <w:rPr>
          <w:lang w:val="fr-FR"/>
        </w:rPr>
        <w:t xml:space="preserve">atteindre </w:t>
      </w:r>
      <w:r w:rsidR="006F62B2" w:rsidRPr="00362204">
        <w:rPr>
          <w:lang w:val="fr-FR"/>
        </w:rPr>
        <w:t>les</w:t>
      </w:r>
      <w:r w:rsidR="008B0AF2" w:rsidRPr="00362204">
        <w:rPr>
          <w:lang w:val="fr-FR"/>
        </w:rPr>
        <w:t xml:space="preserve"> endroits</w:t>
      </w:r>
      <w:r w:rsidR="006F62B2" w:rsidRPr="00362204">
        <w:rPr>
          <w:lang w:val="fr-FR"/>
        </w:rPr>
        <w:t xml:space="preserve"> les plus difficiles à connecter</w:t>
      </w:r>
      <w:r w:rsidRPr="00362204">
        <w:rPr>
          <w:vertAlign w:val="superscript"/>
          <w:lang w:val="fr-FR"/>
        </w:rPr>
        <w:footnoteReference w:id="1"/>
      </w:r>
      <w:r w:rsidR="00B12690" w:rsidRPr="00362204">
        <w:rPr>
          <w:lang w:val="fr-FR"/>
        </w:rPr>
        <w:t>.</w:t>
      </w:r>
    </w:p>
    <w:p w14:paraId="10BBA62E" w14:textId="5D3A34C7" w:rsidR="0026413A" w:rsidRPr="00362204" w:rsidRDefault="006F69DC" w:rsidP="00832E49">
      <w:pPr>
        <w:pStyle w:val="Heading1"/>
        <w:rPr>
          <w:lang w:val="fr-FR"/>
        </w:rPr>
      </w:pPr>
      <w:r w:rsidRPr="00362204">
        <w:rPr>
          <w:lang w:val="fr-FR"/>
        </w:rPr>
        <w:t>Observations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sur le projet d'Avis</w:t>
      </w:r>
      <w:r w:rsidR="0026413A" w:rsidRPr="00362204">
        <w:rPr>
          <w:lang w:val="fr-FR"/>
        </w:rPr>
        <w:t xml:space="preserve"> 3</w:t>
      </w:r>
    </w:p>
    <w:p w14:paraId="09E2DC26" w14:textId="03973566" w:rsidR="0026413A" w:rsidRPr="00362204" w:rsidRDefault="00E704FF" w:rsidP="00832E49">
      <w:pPr>
        <w:rPr>
          <w:lang w:val="fr-FR"/>
        </w:rPr>
      </w:pPr>
      <w:r w:rsidRPr="00362204">
        <w:rPr>
          <w:lang w:val="fr-FR"/>
        </w:rPr>
        <w:t>L'</w:t>
      </w:r>
      <w:r w:rsidR="0026413A" w:rsidRPr="00362204">
        <w:rPr>
          <w:lang w:val="fr-FR"/>
        </w:rPr>
        <w:t xml:space="preserve">Internet Society </w:t>
      </w:r>
      <w:r w:rsidRPr="00362204">
        <w:rPr>
          <w:lang w:val="fr-FR"/>
        </w:rPr>
        <w:t xml:space="preserve">estime </w:t>
      </w:r>
      <w:r w:rsidR="008B0AF2" w:rsidRPr="00362204">
        <w:rPr>
          <w:lang w:val="fr-FR"/>
        </w:rPr>
        <w:t>qu</w:t>
      </w:r>
      <w:r w:rsidR="00B12690" w:rsidRPr="00362204">
        <w:rPr>
          <w:lang w:val="fr-FR"/>
        </w:rPr>
        <w:t>'</w:t>
      </w:r>
      <w:r w:rsidR="008B0AF2" w:rsidRPr="00362204">
        <w:rPr>
          <w:lang w:val="fr-FR"/>
        </w:rPr>
        <w:t>il est essentiel de promouvoir le</w:t>
      </w:r>
      <w:r w:rsidRPr="00362204">
        <w:rPr>
          <w:lang w:val="fr-FR"/>
        </w:rPr>
        <w:t xml:space="preserve"> renforcement des capacités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et </w:t>
      </w:r>
      <w:r w:rsidR="008B0AF2" w:rsidRPr="00362204">
        <w:rPr>
          <w:lang w:val="fr-FR"/>
        </w:rPr>
        <w:t xml:space="preserve">la </w:t>
      </w:r>
      <w:r w:rsidRPr="00362204">
        <w:rPr>
          <w:lang w:val="fr-FR"/>
        </w:rPr>
        <w:t>maîtrise des outils numériques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dans les zones rurales, urbaines, isolées, non desservies et mal desservies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>pour parvenir à la connectivité universelle</w:t>
      </w:r>
      <w:r w:rsidR="0026413A" w:rsidRPr="00362204">
        <w:rPr>
          <w:lang w:val="fr-FR"/>
        </w:rPr>
        <w:t xml:space="preserve">. </w:t>
      </w:r>
      <w:r w:rsidR="00813FC7" w:rsidRPr="00362204">
        <w:rPr>
          <w:lang w:val="fr-FR"/>
        </w:rPr>
        <w:t>Des</w:t>
      </w:r>
      <w:r w:rsidR="0026413A" w:rsidRPr="00362204">
        <w:rPr>
          <w:lang w:val="fr-FR"/>
        </w:rPr>
        <w:t xml:space="preserve"> </w:t>
      </w:r>
      <w:r w:rsidR="008B0AF2" w:rsidRPr="00362204">
        <w:rPr>
          <w:lang w:val="fr-FR"/>
        </w:rPr>
        <w:t>initiatives</w:t>
      </w:r>
      <w:r w:rsidR="00B12690" w:rsidRPr="00362204">
        <w:rPr>
          <w:lang w:val="fr-FR"/>
        </w:rPr>
        <w:t xml:space="preserve"> </w:t>
      </w:r>
      <w:r w:rsidR="00813FC7" w:rsidRPr="00362204">
        <w:rPr>
          <w:lang w:val="fr-FR"/>
        </w:rPr>
        <w:t>locale</w:t>
      </w:r>
      <w:r w:rsidR="008B0AF2" w:rsidRPr="00362204">
        <w:rPr>
          <w:lang w:val="fr-FR"/>
        </w:rPr>
        <w:t>s</w:t>
      </w:r>
      <w:r w:rsidR="00660038" w:rsidRPr="00362204">
        <w:rPr>
          <w:lang w:val="fr-FR"/>
        </w:rPr>
        <w:t>, conjuguées à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>des solutions d'accès complémentaires, comme les réseaux communautaires, permettent d'améliorer la maîtrise des outils numériques et de renforcer les capacités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des communautés locales</w:t>
      </w:r>
      <w:r w:rsidR="0026413A" w:rsidRPr="00362204">
        <w:rPr>
          <w:lang w:val="fr-FR"/>
        </w:rPr>
        <w:t xml:space="preserve">, </w:t>
      </w:r>
      <w:r w:rsidRPr="00362204">
        <w:rPr>
          <w:lang w:val="fr-FR"/>
        </w:rPr>
        <w:t>en encourageant les modèles de connectivité</w:t>
      </w:r>
      <w:r w:rsidR="0026413A" w:rsidRPr="00362204">
        <w:rPr>
          <w:lang w:val="fr-FR"/>
        </w:rPr>
        <w:t xml:space="preserve"> </w:t>
      </w:r>
      <w:r w:rsidR="00FE469D" w:rsidRPr="00362204">
        <w:rPr>
          <w:lang w:val="fr-FR"/>
        </w:rPr>
        <w:t>créés et gérés par ces communautés</w:t>
      </w:r>
      <w:r w:rsidR="0026413A" w:rsidRPr="00362204">
        <w:rPr>
          <w:vertAlign w:val="superscript"/>
          <w:lang w:val="fr-FR"/>
        </w:rPr>
        <w:footnoteReference w:id="2"/>
      </w:r>
      <w:r w:rsidR="0026413A" w:rsidRPr="00362204">
        <w:rPr>
          <w:lang w:val="fr-FR"/>
        </w:rPr>
        <w:t xml:space="preserve">. </w:t>
      </w:r>
      <w:r w:rsidR="00FE469D" w:rsidRPr="00362204">
        <w:rPr>
          <w:lang w:val="fr-FR"/>
        </w:rPr>
        <w:t>Par conséquent</w:t>
      </w:r>
      <w:r w:rsidR="0026413A" w:rsidRPr="00362204">
        <w:rPr>
          <w:lang w:val="fr-FR"/>
        </w:rPr>
        <w:t xml:space="preserve">, </w:t>
      </w:r>
      <w:r w:rsidR="00FE469D" w:rsidRPr="00362204">
        <w:rPr>
          <w:lang w:val="fr-FR"/>
        </w:rPr>
        <w:t>nous proposons de faire figurer</w:t>
      </w:r>
      <w:r w:rsidR="00660038" w:rsidRPr="00362204">
        <w:rPr>
          <w:lang w:val="fr-FR"/>
        </w:rPr>
        <w:t xml:space="preserve"> au paragraphe 1 sous </w:t>
      </w:r>
      <w:r w:rsidR="00B12690" w:rsidRPr="00362204">
        <w:rPr>
          <w:lang w:val="fr-FR"/>
        </w:rPr>
        <w:t>"</w:t>
      </w:r>
      <w:r w:rsidR="00660038" w:rsidRPr="00362204">
        <w:rPr>
          <w:i/>
          <w:iCs/>
          <w:lang w:val="fr-FR"/>
        </w:rPr>
        <w:t>est d'avis</w:t>
      </w:r>
      <w:r w:rsidR="00B12690" w:rsidRPr="00362204">
        <w:rPr>
          <w:lang w:val="fr-FR"/>
        </w:rPr>
        <w:t xml:space="preserve">" </w:t>
      </w:r>
      <w:r w:rsidR="00FE469D" w:rsidRPr="00362204">
        <w:rPr>
          <w:lang w:val="fr-FR"/>
        </w:rPr>
        <w:t>le "déploiement des infrastructures"</w:t>
      </w:r>
      <w:r w:rsidR="00660038" w:rsidRPr="00362204">
        <w:rPr>
          <w:lang w:val="fr-FR"/>
        </w:rPr>
        <w:t>,</w:t>
      </w:r>
      <w:r w:rsidR="00FE469D" w:rsidRPr="00362204">
        <w:rPr>
          <w:lang w:val="fr-FR"/>
        </w:rPr>
        <w:t xml:space="preserve"> en tant qu'élément essentiel</w:t>
      </w:r>
      <w:r w:rsidR="0026413A" w:rsidRPr="00362204">
        <w:rPr>
          <w:lang w:val="fr-FR"/>
        </w:rPr>
        <w:t xml:space="preserve"> </w:t>
      </w:r>
      <w:r w:rsidR="009A6806" w:rsidRPr="00362204">
        <w:rPr>
          <w:lang w:val="fr-FR"/>
        </w:rPr>
        <w:t>pour</w:t>
      </w:r>
      <w:r w:rsidR="00FE469D" w:rsidRPr="00362204">
        <w:rPr>
          <w:lang w:val="fr-FR"/>
        </w:rPr>
        <w:t xml:space="preserve"> </w:t>
      </w:r>
      <w:r w:rsidR="006B459E" w:rsidRPr="00362204">
        <w:rPr>
          <w:lang w:val="fr-FR"/>
        </w:rPr>
        <w:t>acquérir des</w:t>
      </w:r>
      <w:r w:rsidR="000944B4" w:rsidRPr="00362204">
        <w:rPr>
          <w:lang w:val="fr-FR"/>
        </w:rPr>
        <w:t xml:space="preserve"> compétences</w:t>
      </w:r>
      <w:r w:rsidR="00B12690" w:rsidRPr="00362204">
        <w:rPr>
          <w:lang w:val="fr-FR"/>
        </w:rPr>
        <w:t xml:space="preserve"> </w:t>
      </w:r>
    </w:p>
    <w:p w14:paraId="5F246270" w14:textId="65EF5A6F" w:rsidR="0026413A" w:rsidRPr="00362204" w:rsidRDefault="00E96A1E" w:rsidP="00832E49">
      <w:pPr>
        <w:pStyle w:val="Heading1"/>
        <w:rPr>
          <w:lang w:val="fr-FR"/>
        </w:rPr>
      </w:pPr>
      <w:r w:rsidRPr="00362204">
        <w:rPr>
          <w:lang w:val="fr-FR"/>
        </w:rPr>
        <w:t>Observations sur le projet d'Avis</w:t>
      </w:r>
      <w:r w:rsidR="0026413A" w:rsidRPr="00362204">
        <w:rPr>
          <w:lang w:val="fr-FR"/>
        </w:rPr>
        <w:t xml:space="preserve"> 4</w:t>
      </w:r>
    </w:p>
    <w:p w14:paraId="11E14B37" w14:textId="3E1F8464" w:rsidR="0026413A" w:rsidRPr="00362204" w:rsidRDefault="00E96A1E" w:rsidP="00832E49">
      <w:pPr>
        <w:rPr>
          <w:lang w:val="fr-FR"/>
        </w:rPr>
      </w:pPr>
      <w:r w:rsidRPr="00362204">
        <w:rPr>
          <w:lang w:val="fr-FR"/>
        </w:rPr>
        <w:t>Le rapport de l'UIT "</w:t>
      </w:r>
      <w:r w:rsidR="007E5E2A" w:rsidRPr="00362204">
        <w:rPr>
          <w:lang w:val="fr-FR"/>
        </w:rPr>
        <w:t>Mesurer le développement numérique: faits et chiffres 2020</w:t>
      </w:r>
      <w:r w:rsidRPr="00362204">
        <w:rPr>
          <w:lang w:val="fr-FR"/>
        </w:rPr>
        <w:t>"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montre que même si l'utilisation </w:t>
      </w:r>
      <w:r w:rsidR="002C5628" w:rsidRPr="00362204">
        <w:rPr>
          <w:lang w:val="fr-FR"/>
        </w:rPr>
        <w:t xml:space="preserve">de </w:t>
      </w:r>
      <w:r w:rsidR="00660038" w:rsidRPr="00362204">
        <w:rPr>
          <w:lang w:val="fr-FR"/>
        </w:rPr>
        <w:t xml:space="preserve">la largeur de </w:t>
      </w:r>
      <w:r w:rsidR="00F52C1F" w:rsidRPr="00362204">
        <w:rPr>
          <w:lang w:val="fr-FR"/>
        </w:rPr>
        <w:t>bande</w:t>
      </w:r>
      <w:r w:rsidR="00B12690" w:rsidRPr="00362204">
        <w:rPr>
          <w:lang w:val="fr-FR"/>
        </w:rPr>
        <w:t xml:space="preserve"> </w:t>
      </w:r>
      <w:r w:rsidRPr="00362204">
        <w:rPr>
          <w:lang w:val="fr-FR"/>
        </w:rPr>
        <w:t>a tendance à augmenter à l'échelle mondiale, le déploiement des réseaux large bande mobile ralentit</w:t>
      </w:r>
      <w:r w:rsidR="0026413A" w:rsidRPr="00362204">
        <w:rPr>
          <w:lang w:val="fr-FR"/>
        </w:rPr>
        <w:t xml:space="preserve">, </w:t>
      </w:r>
      <w:r w:rsidR="00803F7E" w:rsidRPr="00362204">
        <w:rPr>
          <w:lang w:val="fr-FR"/>
        </w:rPr>
        <w:t xml:space="preserve">ce qui nuit </w:t>
      </w:r>
      <w:r w:rsidR="005D47C3" w:rsidRPr="00362204">
        <w:rPr>
          <w:lang w:val="fr-FR"/>
        </w:rPr>
        <w:t>avant tout</w:t>
      </w:r>
      <w:r w:rsidR="0026413A" w:rsidRPr="00362204">
        <w:rPr>
          <w:lang w:val="fr-FR"/>
        </w:rPr>
        <w:t xml:space="preserve"> </w:t>
      </w:r>
      <w:r w:rsidR="00803F7E" w:rsidRPr="00362204">
        <w:rPr>
          <w:lang w:val="fr-FR"/>
        </w:rPr>
        <w:t>aux</w:t>
      </w:r>
      <w:r w:rsidRPr="00362204">
        <w:rPr>
          <w:lang w:val="fr-FR"/>
        </w:rPr>
        <w:t xml:space="preserve"> zones rurales </w:t>
      </w:r>
      <w:r w:rsidR="00660038" w:rsidRPr="00362204">
        <w:rPr>
          <w:lang w:val="fr-FR"/>
        </w:rPr>
        <w:t>des</w:t>
      </w:r>
      <w:r w:rsidRPr="00362204">
        <w:rPr>
          <w:lang w:val="fr-FR"/>
        </w:rPr>
        <w:t xml:space="preserve"> pays les moins avancés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(PMA)</w:t>
      </w:r>
      <w:r w:rsidR="0026413A" w:rsidRPr="00362204">
        <w:rPr>
          <w:vertAlign w:val="superscript"/>
          <w:lang w:val="fr-FR"/>
        </w:rPr>
        <w:footnoteReference w:id="3"/>
      </w:r>
      <w:r w:rsidR="0026413A" w:rsidRPr="00362204">
        <w:rPr>
          <w:lang w:val="fr-FR"/>
        </w:rPr>
        <w:t>.</w:t>
      </w:r>
    </w:p>
    <w:p w14:paraId="0B0F3F5F" w14:textId="4B7149F6" w:rsidR="0026413A" w:rsidRPr="00362204" w:rsidRDefault="005D47C3" w:rsidP="00832E49">
      <w:pPr>
        <w:rPr>
          <w:lang w:val="fr-FR"/>
        </w:rPr>
      </w:pPr>
      <w:r w:rsidRPr="00362204">
        <w:rPr>
          <w:lang w:val="fr-FR"/>
        </w:rPr>
        <w:t xml:space="preserve">Nous saluons les efforts </w:t>
      </w:r>
      <w:r w:rsidR="007B7D65" w:rsidRPr="00362204">
        <w:rPr>
          <w:lang w:val="fr-FR"/>
        </w:rPr>
        <w:t>de sensibilisation</w:t>
      </w:r>
      <w:r w:rsidRPr="00362204">
        <w:rPr>
          <w:lang w:val="fr-FR"/>
        </w:rPr>
        <w:t xml:space="preserve"> aux difficultés que rencontrent les pays les moins avancés (PMA), les pays en développement sans littoral (PDSL) et les petits États insulaires en développement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(PEID), et souhaitons encourager</w:t>
      </w:r>
      <w:r w:rsidR="00660038" w:rsidRPr="00362204">
        <w:rPr>
          <w:lang w:val="fr-FR"/>
        </w:rPr>
        <w:t xml:space="preserve"> les États Membres dans le cadre des</w:t>
      </w:r>
      <w:r w:rsidR="00B12690" w:rsidRPr="00362204">
        <w:rPr>
          <w:lang w:val="fr-FR"/>
        </w:rPr>
        <w:t xml:space="preserve"> </w:t>
      </w:r>
      <w:r w:rsidR="00AD0272" w:rsidRPr="00362204">
        <w:rPr>
          <w:lang w:val="fr-FR"/>
        </w:rPr>
        <w:t xml:space="preserve">efforts </w:t>
      </w:r>
      <w:r w:rsidR="00660038" w:rsidRPr="00362204">
        <w:rPr>
          <w:lang w:val="fr-FR"/>
        </w:rPr>
        <w:t>qu</w:t>
      </w:r>
      <w:r w:rsidR="00B12690" w:rsidRPr="00362204">
        <w:rPr>
          <w:lang w:val="fr-FR"/>
        </w:rPr>
        <w:t>'</w:t>
      </w:r>
      <w:r w:rsidR="00660038" w:rsidRPr="00362204">
        <w:rPr>
          <w:lang w:val="fr-FR"/>
        </w:rPr>
        <w:t xml:space="preserve">ils </w:t>
      </w:r>
      <w:r w:rsidR="00AD0272" w:rsidRPr="00362204">
        <w:rPr>
          <w:lang w:val="fr-FR"/>
        </w:rPr>
        <w:t>déplo</w:t>
      </w:r>
      <w:r w:rsidR="00660038" w:rsidRPr="00362204">
        <w:rPr>
          <w:lang w:val="fr-FR"/>
        </w:rPr>
        <w:t>ient</w:t>
      </w:r>
      <w:r w:rsidR="00B12690" w:rsidRPr="00362204">
        <w:rPr>
          <w:lang w:val="fr-FR"/>
        </w:rPr>
        <w:t xml:space="preserve"> </w:t>
      </w:r>
      <w:r w:rsidR="00AD0272" w:rsidRPr="00362204">
        <w:rPr>
          <w:lang w:val="fr-FR"/>
        </w:rPr>
        <w:t>pour</w:t>
      </w:r>
      <w:r w:rsidRPr="00362204">
        <w:rPr>
          <w:lang w:val="fr-FR"/>
        </w:rPr>
        <w:t xml:space="preserve"> aborder la question du développement de la connectivité dans un cadre multi-parties prenantes, avec des solutions innovantes et des solutions d'accès complémentaires comme les réseaux communautaires</w:t>
      </w:r>
      <w:r w:rsidR="0026413A" w:rsidRPr="00362204">
        <w:rPr>
          <w:lang w:val="fr-FR"/>
        </w:rPr>
        <w:t>.</w:t>
      </w:r>
    </w:p>
    <w:p w14:paraId="62FED070" w14:textId="4757B0FE" w:rsidR="0026413A" w:rsidRPr="00362204" w:rsidRDefault="0008685F" w:rsidP="00832E49">
      <w:pPr>
        <w:pStyle w:val="Heading1"/>
        <w:rPr>
          <w:lang w:val="fr-FR"/>
        </w:rPr>
      </w:pPr>
      <w:r w:rsidRPr="00362204">
        <w:rPr>
          <w:lang w:val="fr-FR"/>
        </w:rPr>
        <w:t>Observations sur le projet d'Avis</w:t>
      </w:r>
      <w:r w:rsidR="0026413A" w:rsidRPr="00362204">
        <w:rPr>
          <w:lang w:val="fr-FR"/>
        </w:rPr>
        <w:t xml:space="preserve"> 5</w:t>
      </w:r>
    </w:p>
    <w:p w14:paraId="648F49FA" w14:textId="333C0CF5" w:rsidR="0026413A" w:rsidRPr="00362204" w:rsidRDefault="0008685F" w:rsidP="00832E49">
      <w:pPr>
        <w:rPr>
          <w:lang w:val="fr-FR"/>
        </w:rPr>
      </w:pPr>
      <w:r w:rsidRPr="00362204">
        <w:rPr>
          <w:lang w:val="fr-FR"/>
        </w:rPr>
        <w:t>L'</w:t>
      </w:r>
      <w:r w:rsidR="0026413A" w:rsidRPr="00362204">
        <w:rPr>
          <w:lang w:val="fr-FR"/>
        </w:rPr>
        <w:t xml:space="preserve">Internet </w:t>
      </w:r>
      <w:r w:rsidRPr="00362204">
        <w:rPr>
          <w:lang w:val="fr-FR"/>
        </w:rPr>
        <w:t>n'a jamais été aussi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indispensable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 xml:space="preserve">pour </w:t>
      </w:r>
      <w:r w:rsidR="00660038" w:rsidRPr="00362204">
        <w:rPr>
          <w:lang w:val="fr-FR"/>
        </w:rPr>
        <w:t>beaucoup d</w:t>
      </w:r>
      <w:r w:rsidR="00B12690" w:rsidRPr="00362204">
        <w:rPr>
          <w:lang w:val="fr-FR"/>
        </w:rPr>
        <w:t>'</w:t>
      </w:r>
      <w:r w:rsidR="00660038" w:rsidRPr="00362204">
        <w:rPr>
          <w:lang w:val="fr-FR"/>
        </w:rPr>
        <w:t xml:space="preserve">entre nous </w:t>
      </w:r>
      <w:r w:rsidRPr="00362204">
        <w:rPr>
          <w:lang w:val="fr-FR"/>
        </w:rPr>
        <w:t>dans le monde</w:t>
      </w:r>
      <w:r w:rsidR="0026413A" w:rsidRPr="00362204">
        <w:rPr>
          <w:lang w:val="fr-FR"/>
        </w:rPr>
        <w:t xml:space="preserve">. </w:t>
      </w:r>
      <w:r w:rsidRPr="00362204">
        <w:rPr>
          <w:lang w:val="fr-FR"/>
        </w:rPr>
        <w:t>La pandémie de</w:t>
      </w:r>
      <w:r w:rsidR="0026413A" w:rsidRPr="00362204">
        <w:rPr>
          <w:lang w:val="fr-FR"/>
        </w:rPr>
        <w:t xml:space="preserve"> COVID-19 </w:t>
      </w:r>
      <w:r w:rsidRPr="00362204">
        <w:rPr>
          <w:lang w:val="fr-FR"/>
        </w:rPr>
        <w:t>a mis en évidence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l'</w:t>
      </w:r>
      <w:r w:rsidR="0026413A" w:rsidRPr="00362204">
        <w:rPr>
          <w:lang w:val="fr-FR"/>
        </w:rPr>
        <w:t xml:space="preserve">importance </w:t>
      </w:r>
      <w:r w:rsidRPr="00362204">
        <w:rPr>
          <w:lang w:val="fr-FR"/>
        </w:rPr>
        <w:t>de la connectivité pour le travail, l'éducation et la santé, et pour rester en contact avec nos proches</w:t>
      </w:r>
      <w:r w:rsidR="0026413A" w:rsidRPr="00362204">
        <w:rPr>
          <w:lang w:val="fr-FR"/>
        </w:rPr>
        <w:t xml:space="preserve">. </w:t>
      </w:r>
      <w:r w:rsidRPr="00362204">
        <w:rPr>
          <w:lang w:val="fr-FR"/>
        </w:rPr>
        <w:t>En outre</w:t>
      </w:r>
      <w:r w:rsidR="0026413A" w:rsidRPr="00362204">
        <w:rPr>
          <w:lang w:val="fr-FR"/>
        </w:rPr>
        <w:t xml:space="preserve">, </w:t>
      </w:r>
      <w:r w:rsidRPr="00362204">
        <w:rPr>
          <w:lang w:val="fr-FR"/>
        </w:rPr>
        <w:t>l'</w:t>
      </w:r>
      <w:r w:rsidR="0026413A" w:rsidRPr="00362204">
        <w:rPr>
          <w:lang w:val="fr-FR"/>
        </w:rPr>
        <w:t xml:space="preserve">Internet </w:t>
      </w:r>
      <w:r w:rsidRPr="00362204">
        <w:rPr>
          <w:lang w:val="fr-FR"/>
        </w:rPr>
        <w:t xml:space="preserve">libère le </w:t>
      </w:r>
      <w:r w:rsidR="00652EAD" w:rsidRPr="00362204">
        <w:rPr>
          <w:lang w:val="fr-FR"/>
        </w:rPr>
        <w:t>potentie</w:t>
      </w:r>
      <w:r w:rsidRPr="00362204">
        <w:rPr>
          <w:lang w:val="fr-FR"/>
        </w:rPr>
        <w:t>l humain</w:t>
      </w:r>
      <w:r w:rsidR="0026413A" w:rsidRPr="00362204">
        <w:rPr>
          <w:lang w:val="fr-FR"/>
        </w:rPr>
        <w:t xml:space="preserve"> </w:t>
      </w:r>
      <w:r w:rsidRPr="00362204">
        <w:rPr>
          <w:lang w:val="fr-FR"/>
        </w:rPr>
        <w:t>et</w:t>
      </w:r>
      <w:r w:rsidR="0026413A" w:rsidRPr="00362204">
        <w:rPr>
          <w:lang w:val="fr-FR"/>
        </w:rPr>
        <w:t xml:space="preserve"> </w:t>
      </w:r>
      <w:r w:rsidR="00652EAD" w:rsidRPr="00362204">
        <w:rPr>
          <w:lang w:val="fr-FR"/>
        </w:rPr>
        <w:t>constitue un outil grâce auquel une économie numérique émergente peut</w:t>
      </w:r>
      <w:r w:rsidR="0026413A" w:rsidRPr="00362204">
        <w:rPr>
          <w:lang w:val="fr-FR"/>
        </w:rPr>
        <w:t xml:space="preserve"> </w:t>
      </w:r>
      <w:r w:rsidR="00652EAD" w:rsidRPr="00362204">
        <w:rPr>
          <w:lang w:val="fr-FR"/>
        </w:rPr>
        <w:t xml:space="preserve">prospérer. </w:t>
      </w:r>
      <w:r w:rsidR="004C174C" w:rsidRPr="00362204">
        <w:rPr>
          <w:lang w:val="fr-FR"/>
        </w:rPr>
        <w:t>Plus</w:t>
      </w:r>
      <w:r w:rsidR="00652EAD" w:rsidRPr="00362204">
        <w:rPr>
          <w:lang w:val="fr-FR"/>
        </w:rPr>
        <w:t xml:space="preserve"> l'Internet </w:t>
      </w:r>
      <w:r w:rsidR="00965780" w:rsidRPr="00362204">
        <w:rPr>
          <w:lang w:val="fr-FR"/>
        </w:rPr>
        <w:t>devient indispensable</w:t>
      </w:r>
      <w:r w:rsidR="004C174C" w:rsidRPr="00362204">
        <w:rPr>
          <w:lang w:val="fr-FR"/>
        </w:rPr>
        <w:t>, plus il est important de connecter ceux qui sont laissés pour compte</w:t>
      </w:r>
      <w:r w:rsidR="0026413A" w:rsidRPr="00362204">
        <w:rPr>
          <w:lang w:val="fr-FR"/>
        </w:rPr>
        <w:t xml:space="preserve">. </w:t>
      </w:r>
      <w:r w:rsidR="00652EAD" w:rsidRPr="00362204">
        <w:rPr>
          <w:lang w:val="fr-FR"/>
        </w:rPr>
        <w:t xml:space="preserve">Nous encourageons et invitons les États Membres à </w:t>
      </w:r>
      <w:r w:rsidR="00ED68E3" w:rsidRPr="00362204">
        <w:rPr>
          <w:lang w:val="fr-FR"/>
        </w:rPr>
        <w:t>réfléchir à des</w:t>
      </w:r>
      <w:r w:rsidR="00652EAD" w:rsidRPr="00362204">
        <w:rPr>
          <w:lang w:val="fr-FR"/>
        </w:rPr>
        <w:t xml:space="preserve"> solutions </w:t>
      </w:r>
      <w:r w:rsidR="00ED68E3" w:rsidRPr="00362204">
        <w:rPr>
          <w:lang w:val="fr-FR"/>
        </w:rPr>
        <w:lastRenderedPageBreak/>
        <w:t xml:space="preserve">et </w:t>
      </w:r>
      <w:r w:rsidR="004C174C" w:rsidRPr="00362204">
        <w:rPr>
          <w:lang w:val="fr-FR"/>
        </w:rPr>
        <w:t xml:space="preserve">à </w:t>
      </w:r>
      <w:r w:rsidR="00ED68E3" w:rsidRPr="00362204">
        <w:rPr>
          <w:lang w:val="fr-FR"/>
        </w:rPr>
        <w:t>des</w:t>
      </w:r>
      <w:r w:rsidR="00652EAD" w:rsidRPr="00362204">
        <w:rPr>
          <w:lang w:val="fr-FR"/>
        </w:rPr>
        <w:t xml:space="preserve"> initiatives d'accès complémentaires</w:t>
      </w:r>
      <w:r w:rsidR="0026413A" w:rsidRPr="00362204">
        <w:rPr>
          <w:lang w:val="fr-FR"/>
        </w:rPr>
        <w:t xml:space="preserve">, </w:t>
      </w:r>
      <w:r w:rsidR="00652EAD" w:rsidRPr="00362204">
        <w:rPr>
          <w:lang w:val="fr-FR"/>
        </w:rPr>
        <w:t xml:space="preserve">telles que les réseaux communautaires, </w:t>
      </w:r>
      <w:r w:rsidR="004C174C" w:rsidRPr="00362204">
        <w:rPr>
          <w:lang w:val="fr-FR"/>
        </w:rPr>
        <w:t>pour</w:t>
      </w:r>
      <w:r w:rsidR="00652EAD" w:rsidRPr="00362204">
        <w:rPr>
          <w:lang w:val="fr-FR"/>
        </w:rPr>
        <w:t xml:space="preserve"> réduire la fracture numérique</w:t>
      </w:r>
      <w:r w:rsidR="0026413A" w:rsidRPr="00362204">
        <w:rPr>
          <w:lang w:val="fr-FR"/>
        </w:rPr>
        <w:t xml:space="preserve">, </w:t>
      </w:r>
      <w:r w:rsidR="00753341" w:rsidRPr="00362204">
        <w:rPr>
          <w:lang w:val="fr-FR"/>
        </w:rPr>
        <w:t xml:space="preserve">apporter un appui aux </w:t>
      </w:r>
      <w:r w:rsidR="00652EAD" w:rsidRPr="00362204">
        <w:rPr>
          <w:lang w:val="fr-FR"/>
        </w:rPr>
        <w:t>communautés locales pen</w:t>
      </w:r>
      <w:r w:rsidR="00214520" w:rsidRPr="00362204">
        <w:rPr>
          <w:lang w:val="fr-FR"/>
        </w:rPr>
        <w:t xml:space="preserve">dant les futures pandémies et </w:t>
      </w:r>
      <w:r w:rsidR="00753341" w:rsidRPr="00362204">
        <w:rPr>
          <w:lang w:val="fr-FR"/>
        </w:rPr>
        <w:t>progresser</w:t>
      </w:r>
      <w:r w:rsidR="00214520" w:rsidRPr="00362204">
        <w:rPr>
          <w:lang w:val="fr-FR"/>
        </w:rPr>
        <w:t xml:space="preserve"> sur la voie</w:t>
      </w:r>
      <w:r w:rsidR="00B12690" w:rsidRPr="00362204">
        <w:rPr>
          <w:lang w:val="fr-FR"/>
        </w:rPr>
        <w:t xml:space="preserve"> </w:t>
      </w:r>
      <w:r w:rsidR="00652EAD" w:rsidRPr="00362204">
        <w:rPr>
          <w:lang w:val="fr-FR"/>
        </w:rPr>
        <w:t>de</w:t>
      </w:r>
      <w:r w:rsidR="00B12690" w:rsidRPr="00362204">
        <w:rPr>
          <w:lang w:val="fr-FR"/>
        </w:rPr>
        <w:t xml:space="preserve"> </w:t>
      </w:r>
      <w:r w:rsidR="00652EAD" w:rsidRPr="00362204">
        <w:rPr>
          <w:lang w:val="fr-FR"/>
        </w:rPr>
        <w:t>la connectivité universelle</w:t>
      </w:r>
      <w:r w:rsidR="0026413A" w:rsidRPr="00362204">
        <w:rPr>
          <w:lang w:val="fr-FR"/>
        </w:rPr>
        <w:t>.</w:t>
      </w:r>
    </w:p>
    <w:p w14:paraId="6815EE3C" w14:textId="77777777" w:rsidR="0026413A" w:rsidRPr="00362204" w:rsidRDefault="0026413A" w:rsidP="00832E49">
      <w:pPr>
        <w:pStyle w:val="Heading1"/>
        <w:rPr>
          <w:lang w:val="fr-FR"/>
        </w:rPr>
      </w:pPr>
      <w:r w:rsidRPr="00362204">
        <w:rPr>
          <w:lang w:val="fr-FR"/>
        </w:rPr>
        <w:t>Conclusion</w:t>
      </w:r>
    </w:p>
    <w:p w14:paraId="2C615BA6" w14:textId="1C9E4449" w:rsidR="0026413A" w:rsidRPr="00362204" w:rsidRDefault="008C18D3" w:rsidP="00832E49">
      <w:pPr>
        <w:rPr>
          <w:lang w:val="fr-FR"/>
        </w:rPr>
      </w:pPr>
      <w:r w:rsidRPr="00362204">
        <w:rPr>
          <w:lang w:val="fr-FR"/>
        </w:rPr>
        <w:t>Alors que nous réfléchissons aux enseignements tirés ces deux dernières années</w:t>
      </w:r>
      <w:r w:rsidR="0026413A" w:rsidRPr="00362204">
        <w:rPr>
          <w:lang w:val="fr-FR"/>
        </w:rPr>
        <w:t xml:space="preserve">, </w:t>
      </w:r>
      <w:r w:rsidRPr="00362204">
        <w:rPr>
          <w:lang w:val="fr-FR"/>
        </w:rPr>
        <w:t>nous devons poursuivre nos efforts</w:t>
      </w:r>
      <w:r w:rsidR="00ED68E3" w:rsidRPr="00362204">
        <w:rPr>
          <w:lang w:val="fr-FR"/>
        </w:rPr>
        <w:t xml:space="preserve"> </w:t>
      </w:r>
      <w:r w:rsidRPr="00362204">
        <w:rPr>
          <w:lang w:val="fr-FR"/>
        </w:rPr>
        <w:t>consistant à</w:t>
      </w:r>
      <w:r w:rsidR="00B12690" w:rsidRPr="00362204">
        <w:rPr>
          <w:lang w:val="fr-FR"/>
        </w:rPr>
        <w:t xml:space="preserve"> </w:t>
      </w:r>
      <w:r w:rsidR="00753341" w:rsidRPr="00362204">
        <w:rPr>
          <w:lang w:val="fr-FR"/>
        </w:rPr>
        <w:t xml:space="preserve">développer </w:t>
      </w:r>
      <w:r w:rsidRPr="00362204">
        <w:rPr>
          <w:lang w:val="fr-FR"/>
        </w:rPr>
        <w:t xml:space="preserve">les infrastructures et à </w:t>
      </w:r>
      <w:r w:rsidR="00753341" w:rsidRPr="00362204">
        <w:rPr>
          <w:lang w:val="fr-FR"/>
        </w:rPr>
        <w:t>favoriser la mise en place de</w:t>
      </w:r>
      <w:r w:rsidR="00B12690" w:rsidRPr="00362204">
        <w:rPr>
          <w:lang w:val="fr-FR"/>
        </w:rPr>
        <w:t xml:space="preserve"> </w:t>
      </w:r>
      <w:r w:rsidR="00753341" w:rsidRPr="00362204">
        <w:rPr>
          <w:lang w:val="fr-FR"/>
        </w:rPr>
        <w:t xml:space="preserve">solutions </w:t>
      </w:r>
      <w:r w:rsidR="00ED68E3" w:rsidRPr="00362204">
        <w:rPr>
          <w:lang w:val="fr-FR"/>
        </w:rPr>
        <w:t>de connectivité complémentaires</w:t>
      </w:r>
      <w:r w:rsidR="0026413A" w:rsidRPr="00362204">
        <w:rPr>
          <w:lang w:val="fr-FR"/>
        </w:rPr>
        <w:t xml:space="preserve">, </w:t>
      </w:r>
      <w:r w:rsidRPr="00362204">
        <w:rPr>
          <w:lang w:val="fr-FR"/>
        </w:rPr>
        <w:t>à é</w:t>
      </w:r>
      <w:r w:rsidR="00ED68E3" w:rsidRPr="00362204">
        <w:rPr>
          <w:lang w:val="fr-FR"/>
        </w:rPr>
        <w:t>laborer des cadres réglementaires et politiques</w:t>
      </w:r>
      <w:r w:rsidR="0026413A" w:rsidRPr="00362204">
        <w:rPr>
          <w:lang w:val="fr-FR"/>
        </w:rPr>
        <w:t xml:space="preserve"> </w:t>
      </w:r>
      <w:r w:rsidR="00ED68E3" w:rsidRPr="00362204">
        <w:rPr>
          <w:lang w:val="fr-FR"/>
        </w:rPr>
        <w:t xml:space="preserve">plus efficaces qui permettent </w:t>
      </w:r>
      <w:r w:rsidR="00753341" w:rsidRPr="00362204">
        <w:rPr>
          <w:lang w:val="fr-FR"/>
        </w:rPr>
        <w:t>d</w:t>
      </w:r>
      <w:r w:rsidR="00B12690" w:rsidRPr="00362204">
        <w:rPr>
          <w:lang w:val="fr-FR"/>
        </w:rPr>
        <w:t>'</w:t>
      </w:r>
      <w:r w:rsidR="00753341" w:rsidRPr="00362204">
        <w:rPr>
          <w:lang w:val="fr-FR"/>
        </w:rPr>
        <w:t>accélérer le déploiement</w:t>
      </w:r>
      <w:r w:rsidR="00ED68E3" w:rsidRPr="00362204">
        <w:rPr>
          <w:lang w:val="fr-FR"/>
        </w:rPr>
        <w:t xml:space="preserve"> </w:t>
      </w:r>
      <w:r w:rsidR="00753341" w:rsidRPr="00362204">
        <w:rPr>
          <w:lang w:val="fr-FR"/>
        </w:rPr>
        <w:t xml:space="preserve">des </w:t>
      </w:r>
      <w:r w:rsidR="00ED68E3" w:rsidRPr="00362204">
        <w:rPr>
          <w:lang w:val="fr-FR"/>
        </w:rPr>
        <w:t>réseaux</w:t>
      </w:r>
      <w:r w:rsidR="00B12690" w:rsidRPr="00362204">
        <w:rPr>
          <w:lang w:val="fr-FR"/>
        </w:rPr>
        <w:t xml:space="preserve"> </w:t>
      </w:r>
      <w:r w:rsidR="00ED68E3" w:rsidRPr="00362204">
        <w:rPr>
          <w:lang w:val="fr-FR"/>
        </w:rPr>
        <w:t xml:space="preserve">et à </w:t>
      </w:r>
      <w:r w:rsidR="00753341" w:rsidRPr="00362204">
        <w:rPr>
          <w:lang w:val="fr-FR"/>
        </w:rPr>
        <w:t>collaborer afin</w:t>
      </w:r>
      <w:r w:rsidR="00B12690" w:rsidRPr="00362204">
        <w:rPr>
          <w:lang w:val="fr-FR"/>
        </w:rPr>
        <w:t xml:space="preserve"> </w:t>
      </w:r>
      <w:r w:rsidR="00E1576B" w:rsidRPr="00362204">
        <w:rPr>
          <w:lang w:val="fr-FR"/>
        </w:rPr>
        <w:t>de concevoir des solutions</w:t>
      </w:r>
      <w:r w:rsidR="00ED68E3" w:rsidRPr="00362204">
        <w:rPr>
          <w:lang w:val="fr-FR"/>
        </w:rPr>
        <w:t xml:space="preserve"> de financement innovant</w:t>
      </w:r>
      <w:r w:rsidR="00E1576B" w:rsidRPr="00362204">
        <w:rPr>
          <w:lang w:val="fr-FR"/>
        </w:rPr>
        <w:t>e</w:t>
      </w:r>
      <w:r w:rsidR="00ED68E3" w:rsidRPr="00362204">
        <w:rPr>
          <w:lang w:val="fr-FR"/>
        </w:rPr>
        <w:t>s pour le développement des infrastructures</w:t>
      </w:r>
      <w:r w:rsidR="0026413A" w:rsidRPr="00362204">
        <w:rPr>
          <w:lang w:val="fr-FR"/>
        </w:rPr>
        <w:t xml:space="preserve">. </w:t>
      </w:r>
      <w:r w:rsidR="00ED68E3" w:rsidRPr="00362204">
        <w:rPr>
          <w:lang w:val="fr-FR"/>
        </w:rPr>
        <w:t>Nous avons hâte de participer au dialogue multi-parties prenantes qui aura lieu à l'occasion du</w:t>
      </w:r>
      <w:r w:rsidR="00B12690" w:rsidRPr="00362204">
        <w:rPr>
          <w:lang w:val="fr-FR"/>
        </w:rPr>
        <w:t> </w:t>
      </w:r>
      <w:r w:rsidR="00ED68E3" w:rsidRPr="00362204">
        <w:rPr>
          <w:lang w:val="fr-FR"/>
        </w:rPr>
        <w:t>FMPT</w:t>
      </w:r>
      <w:r w:rsidR="0026413A" w:rsidRPr="00362204">
        <w:rPr>
          <w:lang w:val="fr-FR"/>
        </w:rPr>
        <w:t xml:space="preserve">-21 </w:t>
      </w:r>
      <w:r w:rsidR="00ED68E3" w:rsidRPr="00362204">
        <w:rPr>
          <w:lang w:val="fr-FR"/>
        </w:rPr>
        <w:t>et adressons aux participants tous nos vœux de</w:t>
      </w:r>
      <w:r w:rsidR="00E1576B" w:rsidRPr="00362204">
        <w:rPr>
          <w:lang w:val="fr-FR"/>
        </w:rPr>
        <w:t xml:space="preserve"> succès</w:t>
      </w:r>
      <w:r w:rsidR="0026413A" w:rsidRPr="00362204">
        <w:rPr>
          <w:lang w:val="fr-FR"/>
        </w:rPr>
        <w:t>.</w:t>
      </w:r>
    </w:p>
    <w:p w14:paraId="5E9A22FA" w14:textId="77777777" w:rsidR="007E5E2A" w:rsidRPr="00362204" w:rsidRDefault="007E5E2A" w:rsidP="006B4DB0">
      <w:pPr>
        <w:spacing w:before="840"/>
        <w:jc w:val="center"/>
        <w:rPr>
          <w:lang w:val="fr-FR"/>
        </w:rPr>
      </w:pPr>
      <w:r w:rsidRPr="00362204">
        <w:rPr>
          <w:lang w:val="fr-FR"/>
        </w:rPr>
        <w:t>______________</w:t>
      </w:r>
    </w:p>
    <w:bookmarkEnd w:id="6"/>
    <w:sectPr w:rsidR="007E5E2A" w:rsidRPr="00362204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0C340304" w:rsidR="00CB18FF" w:rsidRPr="006B4DB0" w:rsidRDefault="006B4DB0">
    <w:pPr>
      <w:pStyle w:val="Footer"/>
      <w:rPr>
        <w:color w:val="F2F2F2" w:themeColor="background1" w:themeShade="F2"/>
      </w:rPr>
    </w:pPr>
    <w:r w:rsidRPr="006B4DB0">
      <w:rPr>
        <w:color w:val="F2F2F2" w:themeColor="background1" w:themeShade="F2"/>
      </w:rPr>
      <w:fldChar w:fldCharType="begin"/>
    </w:r>
    <w:r w:rsidRPr="006B4DB0">
      <w:rPr>
        <w:color w:val="F2F2F2" w:themeColor="background1" w:themeShade="F2"/>
      </w:rPr>
      <w:instrText xml:space="preserve"> FILENAME \p  \* MERGEFORMAT </w:instrText>
    </w:r>
    <w:r w:rsidRPr="006B4DB0">
      <w:rPr>
        <w:color w:val="F2F2F2" w:themeColor="background1" w:themeShade="F2"/>
      </w:rPr>
      <w:fldChar w:fldCharType="separate"/>
    </w:r>
    <w:r w:rsidR="00B12690" w:rsidRPr="006B4DB0">
      <w:rPr>
        <w:color w:val="F2F2F2" w:themeColor="background1" w:themeShade="F2"/>
      </w:rPr>
      <w:t>P:\FRA\SG\CONF-SG\WTPF21\000\007F.docx</w:t>
    </w:r>
    <w:r w:rsidRPr="006B4DB0">
      <w:rPr>
        <w:color w:val="F2F2F2" w:themeColor="background1" w:themeShade="F2"/>
      </w:rPr>
      <w:fldChar w:fldCharType="end"/>
    </w:r>
    <w:r w:rsidR="009E5A8F" w:rsidRPr="006B4DB0">
      <w:rPr>
        <w:color w:val="F2F2F2" w:themeColor="background1" w:themeShade="F2"/>
      </w:rPr>
      <w:t xml:space="preserve"> (499344)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57581F7A" w:rsidR="00322D0D" w:rsidRPr="00D96BCE" w:rsidRDefault="00322D0D" w:rsidP="00B51DAE">
    <w:pPr>
      <w:spacing w:before="0"/>
      <w:jc w:val="center"/>
      <w:rPr>
        <w:sz w:val="22"/>
        <w:szCs w:val="22"/>
      </w:rPr>
    </w:pPr>
    <w:r w:rsidRPr="00D96BCE">
      <w:rPr>
        <w:sz w:val="22"/>
        <w:szCs w:val="22"/>
      </w:rPr>
      <w:t xml:space="preserve">• </w:t>
    </w:r>
    <w:hyperlink r:id="rId1" w:history="1">
      <w:r w:rsidR="00BC3412" w:rsidRPr="00D96BCE">
        <w:rPr>
          <w:rStyle w:val="Hyperlink"/>
          <w:sz w:val="22"/>
          <w:szCs w:val="22"/>
        </w:rPr>
        <w:t>http://www.itu.int/WTPF</w:t>
      </w:r>
    </w:hyperlink>
    <w:r w:rsidRPr="00D96BCE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  <w:footnote w:id="1">
    <w:p w14:paraId="2E05BFB4" w14:textId="58BB6138" w:rsidR="0026413A" w:rsidRPr="00371A3E" w:rsidRDefault="0026413A" w:rsidP="00371A3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="007E5E2A" w:rsidRPr="00371A3E">
        <w:rPr>
          <w:lang w:val="fr-FR"/>
        </w:rPr>
        <w:tab/>
      </w:r>
      <w:r w:rsidR="00371A3E" w:rsidRPr="00371A3E">
        <w:rPr>
          <w:lang w:val="fr-FR"/>
        </w:rPr>
        <w:t>Libérer le poten</w:t>
      </w:r>
      <w:r w:rsidR="00156230">
        <w:rPr>
          <w:lang w:val="fr-FR"/>
        </w:rPr>
        <w:t xml:space="preserve">tiel des réseaux </w:t>
      </w:r>
      <w:proofErr w:type="gramStart"/>
      <w:r w:rsidR="00156230">
        <w:rPr>
          <w:lang w:val="fr-FR"/>
        </w:rPr>
        <w:t>communautaires</w:t>
      </w:r>
      <w:r w:rsidR="00371A3E" w:rsidRPr="00371A3E">
        <w:rPr>
          <w:lang w:val="fr-FR"/>
        </w:rPr>
        <w:t>:</w:t>
      </w:r>
      <w:proofErr w:type="gramEnd"/>
      <w:r w:rsidR="00371A3E" w:rsidRPr="00371A3E">
        <w:rPr>
          <w:lang w:val="fr-FR"/>
        </w:rPr>
        <w:t xml:space="preserve"> Approches</w:t>
      </w:r>
      <w:r w:rsidR="008B0AF2" w:rsidRPr="00371A3E">
        <w:rPr>
          <w:lang w:val="fr-FR"/>
        </w:rPr>
        <w:t xml:space="preserve"> innovantes</w:t>
      </w:r>
      <w:r w:rsidR="008B0AF2">
        <w:rPr>
          <w:lang w:val="fr-FR"/>
        </w:rPr>
        <w:t xml:space="preserve"> en matière</w:t>
      </w:r>
      <w:r w:rsidR="00B12690">
        <w:rPr>
          <w:lang w:val="fr-FR"/>
        </w:rPr>
        <w:t xml:space="preserve"> </w:t>
      </w:r>
      <w:r w:rsidR="00371A3E" w:rsidRPr="00371A3E">
        <w:rPr>
          <w:lang w:val="fr-FR"/>
        </w:rPr>
        <w:t>d</w:t>
      </w:r>
      <w:r w:rsidR="00362204">
        <w:rPr>
          <w:lang w:val="fr-FR"/>
        </w:rPr>
        <w:t>'</w:t>
      </w:r>
      <w:r w:rsidR="00371A3E" w:rsidRPr="00371A3E">
        <w:rPr>
          <w:lang w:val="fr-FR"/>
        </w:rPr>
        <w:t>octroi de licences</w:t>
      </w:r>
      <w:r w:rsidRPr="00371A3E">
        <w:rPr>
          <w:lang w:val="fr-FR"/>
        </w:rPr>
        <w:t xml:space="preserve">: </w:t>
      </w:r>
      <w:hyperlink r:id="rId1" w:history="1">
        <w:r w:rsidR="00B12690" w:rsidRPr="007A24B2">
          <w:rPr>
            <w:rStyle w:val="Hyperlink"/>
            <w:lang w:val="fr-FR"/>
          </w:rPr>
          <w:t>https://www.internetsociety.org/fr/resources/2018/unleashing-community-networks-innovative-licensing-approaches/</w:t>
        </w:r>
      </w:hyperlink>
      <w:r w:rsidR="007E5E2A" w:rsidRPr="00371A3E">
        <w:rPr>
          <w:lang w:val="fr-FR"/>
        </w:rPr>
        <w:t>.</w:t>
      </w:r>
    </w:p>
  </w:footnote>
  <w:footnote w:id="2">
    <w:p w14:paraId="2D983269" w14:textId="77C76A76" w:rsidR="0026413A" w:rsidRPr="00FE469D" w:rsidRDefault="0026413A" w:rsidP="007E5E2A">
      <w:pPr>
        <w:pStyle w:val="FootnoteText"/>
        <w:spacing w:before="0"/>
        <w:rPr>
          <w:lang w:val="fr-FR"/>
        </w:rPr>
      </w:pPr>
      <w:r w:rsidRPr="3E26223A">
        <w:rPr>
          <w:rStyle w:val="FootnoteReference"/>
        </w:rPr>
        <w:footnoteRef/>
      </w:r>
      <w:r w:rsidR="007E5E2A" w:rsidRPr="00FE469D">
        <w:rPr>
          <w:lang w:val="fr-FR"/>
        </w:rPr>
        <w:tab/>
      </w:r>
      <w:r w:rsidR="00FE469D" w:rsidRPr="00FE469D">
        <w:rPr>
          <w:lang w:val="fr-FR"/>
        </w:rPr>
        <w:t>Plusieurs exemples</w:t>
      </w:r>
      <w:r w:rsidRPr="00FE469D">
        <w:rPr>
          <w:lang w:val="fr-FR"/>
        </w:rPr>
        <w:t xml:space="preserve"> </w:t>
      </w:r>
      <w:r w:rsidR="00FE469D">
        <w:rPr>
          <w:lang w:val="fr-FR"/>
        </w:rPr>
        <w:t>de</w:t>
      </w:r>
      <w:r w:rsidRPr="00FE469D">
        <w:rPr>
          <w:lang w:val="fr-FR"/>
        </w:rPr>
        <w:t xml:space="preserve"> </w:t>
      </w:r>
      <w:r w:rsidR="00FE469D">
        <w:rPr>
          <w:lang w:val="fr-FR"/>
        </w:rPr>
        <w:t xml:space="preserve">mise en place de ces réseaux </w:t>
      </w:r>
      <w:r w:rsidR="00393FE2">
        <w:rPr>
          <w:lang w:val="fr-FR"/>
        </w:rPr>
        <w:t>sont présenté</w:t>
      </w:r>
      <w:r w:rsidR="00FE469D">
        <w:rPr>
          <w:lang w:val="fr-FR"/>
        </w:rPr>
        <w:t xml:space="preserve">s dans </w:t>
      </w:r>
      <w:r w:rsidR="00FE469D" w:rsidRPr="00FE469D">
        <w:rPr>
          <w:lang w:val="fr-FR"/>
        </w:rPr>
        <w:t>les</w:t>
      </w:r>
      <w:r w:rsidRPr="00FE469D">
        <w:rPr>
          <w:lang w:val="fr-FR"/>
        </w:rPr>
        <w:t xml:space="preserve"> </w:t>
      </w:r>
      <w:r w:rsidR="00FE469D" w:rsidRPr="00FE469D">
        <w:rPr>
          <w:lang w:val="fr-FR"/>
        </w:rPr>
        <w:t xml:space="preserve">études de cas </w:t>
      </w:r>
      <w:r w:rsidR="00753341">
        <w:rPr>
          <w:lang w:val="fr-FR"/>
        </w:rPr>
        <w:t xml:space="preserve">menées </w:t>
      </w:r>
      <w:r w:rsidR="00FE469D" w:rsidRPr="00FE469D">
        <w:rPr>
          <w:lang w:val="fr-FR"/>
        </w:rPr>
        <w:t xml:space="preserve">par l'Internet </w:t>
      </w:r>
      <w:proofErr w:type="gramStart"/>
      <w:r w:rsidR="00FE469D" w:rsidRPr="00FE469D">
        <w:rPr>
          <w:lang w:val="fr-FR"/>
        </w:rPr>
        <w:t>Society</w:t>
      </w:r>
      <w:r w:rsidRPr="00FE469D">
        <w:rPr>
          <w:lang w:val="fr-FR"/>
        </w:rPr>
        <w:t>:</w:t>
      </w:r>
      <w:proofErr w:type="gramEnd"/>
      <w:r w:rsidRPr="00FE469D">
        <w:rPr>
          <w:lang w:val="fr-FR"/>
        </w:rPr>
        <w:t xml:space="preserve"> </w:t>
      </w:r>
      <w:hyperlink r:id="rId2">
        <w:r w:rsidRPr="00FE469D">
          <w:rPr>
            <w:rStyle w:val="Hyperlink"/>
            <w:lang w:val="fr-FR"/>
          </w:rPr>
          <w:t>https://www.internetsociety.org/issues/community-networks/success-stories/</w:t>
        </w:r>
      </w:hyperlink>
      <w:r w:rsidR="007E5E2A" w:rsidRPr="00FE469D">
        <w:rPr>
          <w:lang w:val="fr-FR"/>
        </w:rPr>
        <w:t>.</w:t>
      </w:r>
    </w:p>
  </w:footnote>
  <w:footnote w:id="3">
    <w:p w14:paraId="42D2ADB4" w14:textId="0AA86697" w:rsidR="0026413A" w:rsidRPr="00431CCF" w:rsidRDefault="0026413A" w:rsidP="007E5E2A">
      <w:pPr>
        <w:pStyle w:val="FootnoteText"/>
        <w:spacing w:before="0"/>
        <w:rPr>
          <w:sz w:val="20"/>
          <w:lang w:val="fr-FR"/>
        </w:rPr>
      </w:pPr>
      <w:r w:rsidRPr="00CA755B">
        <w:rPr>
          <w:rStyle w:val="FootnoteReference"/>
          <w:sz w:val="18"/>
          <w:szCs w:val="18"/>
        </w:rPr>
        <w:footnoteRef/>
      </w:r>
      <w:r w:rsidR="007E5E2A" w:rsidRPr="00431CCF">
        <w:rPr>
          <w:sz w:val="18"/>
          <w:szCs w:val="18"/>
          <w:lang w:val="fr-FR"/>
        </w:rPr>
        <w:tab/>
      </w:r>
      <w:hyperlink r:id="rId3" w:history="1">
        <w:r w:rsidR="00B12690" w:rsidRPr="007A24B2">
          <w:rPr>
            <w:rStyle w:val="Hyperlink"/>
            <w:lang w:val="fr-FR"/>
          </w:rPr>
          <w:t>https://www.itu.int/en/ITU-D/Statistics/Documents/facts/FactsFigures2020.pdf</w:t>
        </w:r>
      </w:hyperlink>
      <w:r w:rsidR="00B12690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49D5073A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B459E">
      <w:rPr>
        <w:noProof/>
      </w:rPr>
      <w:t>4</w:t>
    </w:r>
    <w:r>
      <w:rPr>
        <w:noProof/>
      </w:rPr>
      <w:fldChar w:fldCharType="end"/>
    </w:r>
    <w:r w:rsidR="003978A2">
      <w:rPr>
        <w:noProof/>
      </w:rPr>
      <w:t>/</w:t>
    </w:r>
    <w:r w:rsidR="003978A2">
      <w:rPr>
        <w:noProof/>
      </w:rPr>
      <w:fldChar w:fldCharType="begin"/>
    </w:r>
    <w:r w:rsidR="003978A2">
      <w:rPr>
        <w:noProof/>
      </w:rPr>
      <w:instrText xml:space="preserve"> NUMPAGES   \* MERGEFORMAT </w:instrText>
    </w:r>
    <w:r w:rsidR="003978A2">
      <w:rPr>
        <w:noProof/>
      </w:rPr>
      <w:fldChar w:fldCharType="separate"/>
    </w:r>
    <w:r w:rsidR="006B459E">
      <w:rPr>
        <w:noProof/>
      </w:rPr>
      <w:t>5</w:t>
    </w:r>
    <w:r w:rsidR="003978A2">
      <w:rPr>
        <w:noProof/>
      </w:rPr>
      <w:fldChar w:fldCharType="end"/>
    </w:r>
  </w:p>
  <w:p w14:paraId="34EC98F4" w14:textId="6E2F696E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D96BCE">
      <w:rPr>
        <w:rFonts w:hint="eastAsia"/>
        <w:bCs/>
        <w:lang w:eastAsia="zh-CN"/>
      </w:rPr>
      <w:t>-21</w:t>
    </w:r>
    <w:r w:rsidR="00623AE3" w:rsidRPr="00F56668">
      <w:rPr>
        <w:bCs/>
      </w:rPr>
      <w:t>/</w:t>
    </w:r>
    <w:r w:rsidR="0026413A">
      <w:rPr>
        <w:bCs/>
      </w:rPr>
      <w:t>7</w:t>
    </w:r>
    <w:r w:rsidR="00623AE3" w:rsidRPr="00F56668">
      <w:rPr>
        <w:bCs/>
      </w:rPr>
      <w:t>-</w:t>
    </w:r>
    <w:r w:rsidR="00A025AA">
      <w:rPr>
        <w:bCs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07DC9F6-DA3C-4C7F-826E-BB83D9D5A4B9}"/>
    <w:docVar w:name="dgnword-eventsink" w:val="2540929941120"/>
  </w:docVars>
  <w:rsids>
    <w:rsidRoot w:val="005F3269"/>
    <w:rsid w:val="000210D4"/>
    <w:rsid w:val="000247ED"/>
    <w:rsid w:val="00027493"/>
    <w:rsid w:val="00032440"/>
    <w:rsid w:val="00063016"/>
    <w:rsid w:val="00066795"/>
    <w:rsid w:val="00076AF6"/>
    <w:rsid w:val="00085CF2"/>
    <w:rsid w:val="0008685F"/>
    <w:rsid w:val="000944B4"/>
    <w:rsid w:val="00097542"/>
    <w:rsid w:val="000B1705"/>
    <w:rsid w:val="000B6859"/>
    <w:rsid w:val="000C7998"/>
    <w:rsid w:val="000D75B2"/>
    <w:rsid w:val="001121F5"/>
    <w:rsid w:val="001337DD"/>
    <w:rsid w:val="001400DC"/>
    <w:rsid w:val="00140CE1"/>
    <w:rsid w:val="00142E34"/>
    <w:rsid w:val="00156230"/>
    <w:rsid w:val="00160F70"/>
    <w:rsid w:val="0017539C"/>
    <w:rsid w:val="00175AC2"/>
    <w:rsid w:val="0017609F"/>
    <w:rsid w:val="0019581F"/>
    <w:rsid w:val="001C628E"/>
    <w:rsid w:val="001E0F7B"/>
    <w:rsid w:val="002119FD"/>
    <w:rsid w:val="002130E0"/>
    <w:rsid w:val="00214520"/>
    <w:rsid w:val="00235627"/>
    <w:rsid w:val="0026413A"/>
    <w:rsid w:val="00264425"/>
    <w:rsid w:val="00265875"/>
    <w:rsid w:val="0027303B"/>
    <w:rsid w:val="0028109B"/>
    <w:rsid w:val="002A2188"/>
    <w:rsid w:val="002B1F58"/>
    <w:rsid w:val="002C1C7A"/>
    <w:rsid w:val="002C5628"/>
    <w:rsid w:val="002D78CE"/>
    <w:rsid w:val="0030160F"/>
    <w:rsid w:val="00302AA2"/>
    <w:rsid w:val="00322D0D"/>
    <w:rsid w:val="00362204"/>
    <w:rsid w:val="00371A3E"/>
    <w:rsid w:val="00393FE2"/>
    <w:rsid w:val="003942D4"/>
    <w:rsid w:val="003958A8"/>
    <w:rsid w:val="003978A2"/>
    <w:rsid w:val="003B561B"/>
    <w:rsid w:val="003C2533"/>
    <w:rsid w:val="003D7D7C"/>
    <w:rsid w:val="0040435A"/>
    <w:rsid w:val="00416A24"/>
    <w:rsid w:val="00431CCF"/>
    <w:rsid w:val="00431D9E"/>
    <w:rsid w:val="00432426"/>
    <w:rsid w:val="00433CE8"/>
    <w:rsid w:val="00434A5C"/>
    <w:rsid w:val="00445262"/>
    <w:rsid w:val="004544D9"/>
    <w:rsid w:val="00490E72"/>
    <w:rsid w:val="00491157"/>
    <w:rsid w:val="004921C8"/>
    <w:rsid w:val="004C174C"/>
    <w:rsid w:val="004C2DD1"/>
    <w:rsid w:val="004D1851"/>
    <w:rsid w:val="004D599D"/>
    <w:rsid w:val="004E2EA5"/>
    <w:rsid w:val="004E3AEB"/>
    <w:rsid w:val="00501691"/>
    <w:rsid w:val="0050223C"/>
    <w:rsid w:val="005243FF"/>
    <w:rsid w:val="00557268"/>
    <w:rsid w:val="00557E9F"/>
    <w:rsid w:val="00557FC8"/>
    <w:rsid w:val="00564FBC"/>
    <w:rsid w:val="00577109"/>
    <w:rsid w:val="00582442"/>
    <w:rsid w:val="005D47C3"/>
    <w:rsid w:val="005F3269"/>
    <w:rsid w:val="00604215"/>
    <w:rsid w:val="00623AE3"/>
    <w:rsid w:val="0064737F"/>
    <w:rsid w:val="00652EAD"/>
    <w:rsid w:val="006535F1"/>
    <w:rsid w:val="0065557D"/>
    <w:rsid w:val="00660038"/>
    <w:rsid w:val="00662984"/>
    <w:rsid w:val="00666FC2"/>
    <w:rsid w:val="006716BB"/>
    <w:rsid w:val="006848DD"/>
    <w:rsid w:val="00696A9A"/>
    <w:rsid w:val="006B459E"/>
    <w:rsid w:val="006B4DB0"/>
    <w:rsid w:val="006B6680"/>
    <w:rsid w:val="006B6B70"/>
    <w:rsid w:val="006B6DCC"/>
    <w:rsid w:val="006E58C9"/>
    <w:rsid w:val="006F62B2"/>
    <w:rsid w:val="006F69DC"/>
    <w:rsid w:val="00702DEF"/>
    <w:rsid w:val="00706861"/>
    <w:rsid w:val="00722181"/>
    <w:rsid w:val="00740FE3"/>
    <w:rsid w:val="0075051B"/>
    <w:rsid w:val="00753341"/>
    <w:rsid w:val="007865CB"/>
    <w:rsid w:val="00793188"/>
    <w:rsid w:val="00794D34"/>
    <w:rsid w:val="007B7D65"/>
    <w:rsid w:val="007C341D"/>
    <w:rsid w:val="007E5E2A"/>
    <w:rsid w:val="00803F7E"/>
    <w:rsid w:val="00813E5E"/>
    <w:rsid w:val="00813FC7"/>
    <w:rsid w:val="00817424"/>
    <w:rsid w:val="00831D82"/>
    <w:rsid w:val="00832E49"/>
    <w:rsid w:val="0083581B"/>
    <w:rsid w:val="00854E87"/>
    <w:rsid w:val="0086018E"/>
    <w:rsid w:val="00864AFF"/>
    <w:rsid w:val="00887937"/>
    <w:rsid w:val="008B0AF2"/>
    <w:rsid w:val="008B4A6A"/>
    <w:rsid w:val="008C18D3"/>
    <w:rsid w:val="008C7E27"/>
    <w:rsid w:val="008D07D4"/>
    <w:rsid w:val="008E57C2"/>
    <w:rsid w:val="008F390B"/>
    <w:rsid w:val="009173EF"/>
    <w:rsid w:val="00932906"/>
    <w:rsid w:val="00933AB9"/>
    <w:rsid w:val="00961B0B"/>
    <w:rsid w:val="00965780"/>
    <w:rsid w:val="00966C5C"/>
    <w:rsid w:val="00996879"/>
    <w:rsid w:val="009A6806"/>
    <w:rsid w:val="009B38C3"/>
    <w:rsid w:val="009E17BD"/>
    <w:rsid w:val="009E485A"/>
    <w:rsid w:val="009E5A8F"/>
    <w:rsid w:val="009F66A3"/>
    <w:rsid w:val="00A025AA"/>
    <w:rsid w:val="00A04CEC"/>
    <w:rsid w:val="00A27F92"/>
    <w:rsid w:val="00A30D1D"/>
    <w:rsid w:val="00A32257"/>
    <w:rsid w:val="00A36D20"/>
    <w:rsid w:val="00A439E9"/>
    <w:rsid w:val="00A5014C"/>
    <w:rsid w:val="00A55622"/>
    <w:rsid w:val="00A76804"/>
    <w:rsid w:val="00A83502"/>
    <w:rsid w:val="00A8382F"/>
    <w:rsid w:val="00A93619"/>
    <w:rsid w:val="00AB5DE9"/>
    <w:rsid w:val="00AC47C8"/>
    <w:rsid w:val="00AD0272"/>
    <w:rsid w:val="00AD15B3"/>
    <w:rsid w:val="00AD39A0"/>
    <w:rsid w:val="00AF6E49"/>
    <w:rsid w:val="00B01F77"/>
    <w:rsid w:val="00B04A67"/>
    <w:rsid w:val="00B0583C"/>
    <w:rsid w:val="00B12690"/>
    <w:rsid w:val="00B40A81"/>
    <w:rsid w:val="00B44910"/>
    <w:rsid w:val="00B51DAE"/>
    <w:rsid w:val="00B72267"/>
    <w:rsid w:val="00B76EB6"/>
    <w:rsid w:val="00B7737B"/>
    <w:rsid w:val="00B824C8"/>
    <w:rsid w:val="00BA7E9A"/>
    <w:rsid w:val="00BB65A5"/>
    <w:rsid w:val="00BC251A"/>
    <w:rsid w:val="00BC3412"/>
    <w:rsid w:val="00BD032B"/>
    <w:rsid w:val="00BE2640"/>
    <w:rsid w:val="00C01189"/>
    <w:rsid w:val="00C374DE"/>
    <w:rsid w:val="00C47AD4"/>
    <w:rsid w:val="00C52D81"/>
    <w:rsid w:val="00C5410F"/>
    <w:rsid w:val="00C54AC1"/>
    <w:rsid w:val="00C55198"/>
    <w:rsid w:val="00CA6393"/>
    <w:rsid w:val="00CB18FF"/>
    <w:rsid w:val="00CC5FB2"/>
    <w:rsid w:val="00CD0C08"/>
    <w:rsid w:val="00CE03FB"/>
    <w:rsid w:val="00CE433C"/>
    <w:rsid w:val="00CE4870"/>
    <w:rsid w:val="00CF134B"/>
    <w:rsid w:val="00CF1644"/>
    <w:rsid w:val="00CF33F3"/>
    <w:rsid w:val="00CF5A9F"/>
    <w:rsid w:val="00D06183"/>
    <w:rsid w:val="00D22C42"/>
    <w:rsid w:val="00D338E0"/>
    <w:rsid w:val="00D42747"/>
    <w:rsid w:val="00D510F0"/>
    <w:rsid w:val="00D60378"/>
    <w:rsid w:val="00D65041"/>
    <w:rsid w:val="00D6685A"/>
    <w:rsid w:val="00D8774A"/>
    <w:rsid w:val="00D96BCE"/>
    <w:rsid w:val="00DB384B"/>
    <w:rsid w:val="00DC7C0C"/>
    <w:rsid w:val="00DE4373"/>
    <w:rsid w:val="00E10E80"/>
    <w:rsid w:val="00E124F0"/>
    <w:rsid w:val="00E1576B"/>
    <w:rsid w:val="00E51218"/>
    <w:rsid w:val="00E60F04"/>
    <w:rsid w:val="00E704FF"/>
    <w:rsid w:val="00E82AFE"/>
    <w:rsid w:val="00E83863"/>
    <w:rsid w:val="00E854E4"/>
    <w:rsid w:val="00E96A1E"/>
    <w:rsid w:val="00EA2120"/>
    <w:rsid w:val="00EB0D6F"/>
    <w:rsid w:val="00EB2232"/>
    <w:rsid w:val="00EC5337"/>
    <w:rsid w:val="00EC5B70"/>
    <w:rsid w:val="00ED68E3"/>
    <w:rsid w:val="00ED739F"/>
    <w:rsid w:val="00F03B2A"/>
    <w:rsid w:val="00F2150A"/>
    <w:rsid w:val="00F231D8"/>
    <w:rsid w:val="00F30234"/>
    <w:rsid w:val="00F40ADA"/>
    <w:rsid w:val="00F46C5F"/>
    <w:rsid w:val="00F52C1F"/>
    <w:rsid w:val="00F56668"/>
    <w:rsid w:val="00F65DA7"/>
    <w:rsid w:val="00F709DA"/>
    <w:rsid w:val="00F76AA6"/>
    <w:rsid w:val="00F94A63"/>
    <w:rsid w:val="00FA1C28"/>
    <w:rsid w:val="00FB1279"/>
    <w:rsid w:val="00FB2242"/>
    <w:rsid w:val="00FB7596"/>
    <w:rsid w:val="00FD04AA"/>
    <w:rsid w:val="00FD5B84"/>
    <w:rsid w:val="00FE4077"/>
    <w:rsid w:val="00FE469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E49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Statistics/Documents/facts/FactsFigures2020.pdf" TargetMode="External"/><Relationship Id="rId2" Type="http://schemas.openxmlformats.org/officeDocument/2006/relationships/hyperlink" Target="https://www.internetsociety.org/fr/issues/community-networks/success-stories/" TargetMode="External"/><Relationship Id="rId1" Type="http://schemas.openxmlformats.org/officeDocument/2006/relationships/hyperlink" Target="https://www.internetsociety.org/fr/resources/2018/unleashing-community-networks-innovative-licensing-approac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1823-2AF2-40F1-87C5-1B4538C1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7439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Union internationale des télécommunications (UIT)</Company>
  <LinksUpToDate>false</LinksUpToDate>
  <CharactersWithSpaces>8672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l'Internet Society - Observations soumises par l'Internet Society (ISOC)</dc:title>
  <dc:subject>WTPF</dc:subject>
  <dc:creator>Brouard, Ricarda</dc:creator>
  <cp:keywords>WTPF-21</cp:keywords>
  <dc:description/>
  <cp:lastModifiedBy>Xue, Kun</cp:lastModifiedBy>
  <cp:revision>2</cp:revision>
  <cp:lastPrinted>2000-07-18T13:30:00Z</cp:lastPrinted>
  <dcterms:created xsi:type="dcterms:W3CDTF">2021-12-09T17:55:00Z</dcterms:created>
  <dcterms:modified xsi:type="dcterms:W3CDTF">2021-12-09T17:55:00Z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