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8555F6C" w14:textId="77777777" w:rsidTr="00464B6C">
        <w:trPr>
          <w:cantSplit/>
        </w:trPr>
        <w:tc>
          <w:tcPr>
            <w:tcW w:w="6911" w:type="dxa"/>
          </w:tcPr>
          <w:p w14:paraId="17DEFEF8" w14:textId="67574F26" w:rsidR="002A2188" w:rsidRPr="00813E5E" w:rsidRDefault="002A2188" w:rsidP="00B84B9D">
            <w:pPr>
              <w:spacing w:before="360" w:after="48" w:line="240" w:lineRule="atLeast"/>
              <w:rPr>
                <w:position w:val="6"/>
              </w:rPr>
            </w:pPr>
            <w:bookmarkStart w:id="0" w:name="dc06"/>
            <w:bookmarkStart w:id="1" w:name="_Hlk66378539"/>
            <w:bookmarkEnd w:id="0"/>
            <w:r w:rsidRPr="00B84B9D">
              <w:rPr>
                <w:b/>
                <w:bCs/>
                <w:position w:val="6"/>
                <w:sz w:val="30"/>
                <w:szCs w:val="30"/>
              </w:rPr>
              <w:t>Council 20</w:t>
            </w:r>
            <w:r w:rsidR="004A1B8B" w:rsidRPr="00B84B9D">
              <w:rPr>
                <w:b/>
                <w:bCs/>
                <w:position w:val="6"/>
                <w:sz w:val="30"/>
                <w:szCs w:val="30"/>
              </w:rPr>
              <w:t>2</w:t>
            </w:r>
            <w:r w:rsidR="0014634F">
              <w:rPr>
                <w:b/>
                <w:bCs/>
                <w:position w:val="6"/>
                <w:sz w:val="30"/>
                <w:szCs w:val="30"/>
              </w:rPr>
              <w:t>2</w:t>
            </w:r>
            <w:r w:rsidRPr="00E85629">
              <w:rPr>
                <w:rFonts w:cs="Times"/>
                <w:b/>
                <w:position w:val="6"/>
                <w:sz w:val="26"/>
                <w:szCs w:val="26"/>
                <w:lang w:val="en-US"/>
              </w:rPr>
              <w:br/>
            </w:r>
            <w:bookmarkEnd w:id="1"/>
            <w:r w:rsidR="0014634F" w:rsidRPr="0014634F">
              <w:rPr>
                <w:b/>
                <w:bCs/>
                <w:position w:val="6"/>
                <w:sz w:val="26"/>
                <w:szCs w:val="26"/>
                <w:lang w:val="en-US"/>
              </w:rPr>
              <w:t>Geneva, 21-31 March 2022</w:t>
            </w:r>
          </w:p>
        </w:tc>
        <w:tc>
          <w:tcPr>
            <w:tcW w:w="3120" w:type="dxa"/>
          </w:tcPr>
          <w:p w14:paraId="60E83C12" w14:textId="77777777" w:rsidR="002A2188" w:rsidRPr="00813E5E" w:rsidRDefault="004A1B8B" w:rsidP="004A1B8B">
            <w:pPr>
              <w:spacing w:before="0" w:line="240" w:lineRule="atLeast"/>
            </w:pPr>
            <w:bookmarkStart w:id="2" w:name="ditulogo"/>
            <w:bookmarkEnd w:id="2"/>
            <w:r>
              <w:rPr>
                <w:noProof/>
                <w:lang w:eastAsia="zh-CN"/>
              </w:rPr>
              <w:drawing>
                <wp:inline distT="0" distB="0" distL="0" distR="0" wp14:anchorId="429711E0" wp14:editId="38958B5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6DC308F" w14:textId="77777777" w:rsidTr="00464B6C">
        <w:trPr>
          <w:cantSplit/>
        </w:trPr>
        <w:tc>
          <w:tcPr>
            <w:tcW w:w="6911" w:type="dxa"/>
            <w:tcBorders>
              <w:bottom w:val="single" w:sz="12" w:space="0" w:color="auto"/>
            </w:tcBorders>
          </w:tcPr>
          <w:p w14:paraId="0E3A86C2" w14:textId="77777777" w:rsidR="002A2188" w:rsidRPr="00813E5E" w:rsidRDefault="002A2188" w:rsidP="0014634F">
            <w:pPr>
              <w:spacing w:before="0" w:line="240" w:lineRule="atLeast"/>
              <w:rPr>
                <w:b/>
                <w:smallCaps/>
                <w:szCs w:val="24"/>
              </w:rPr>
            </w:pPr>
          </w:p>
        </w:tc>
        <w:tc>
          <w:tcPr>
            <w:tcW w:w="3120" w:type="dxa"/>
            <w:tcBorders>
              <w:bottom w:val="single" w:sz="12" w:space="0" w:color="auto"/>
            </w:tcBorders>
          </w:tcPr>
          <w:p w14:paraId="76506FC1" w14:textId="77777777" w:rsidR="002A2188" w:rsidRPr="00813E5E" w:rsidRDefault="002A2188" w:rsidP="0014634F">
            <w:pPr>
              <w:spacing w:before="0" w:line="240" w:lineRule="atLeast"/>
              <w:rPr>
                <w:szCs w:val="24"/>
              </w:rPr>
            </w:pPr>
          </w:p>
        </w:tc>
      </w:tr>
      <w:tr w:rsidR="002A2188" w:rsidRPr="00813E5E" w14:paraId="5887DC04" w14:textId="77777777" w:rsidTr="00464B6C">
        <w:trPr>
          <w:cantSplit/>
        </w:trPr>
        <w:tc>
          <w:tcPr>
            <w:tcW w:w="6911" w:type="dxa"/>
            <w:tcBorders>
              <w:top w:val="single" w:sz="12" w:space="0" w:color="auto"/>
            </w:tcBorders>
          </w:tcPr>
          <w:p w14:paraId="483F91B9" w14:textId="77777777" w:rsidR="002A2188" w:rsidRPr="00813E5E" w:rsidRDefault="002A2188" w:rsidP="0014634F">
            <w:pPr>
              <w:spacing w:before="0" w:line="240" w:lineRule="atLeast"/>
              <w:rPr>
                <w:b/>
                <w:smallCaps/>
                <w:szCs w:val="24"/>
              </w:rPr>
            </w:pPr>
          </w:p>
        </w:tc>
        <w:tc>
          <w:tcPr>
            <w:tcW w:w="3120" w:type="dxa"/>
            <w:tcBorders>
              <w:top w:val="single" w:sz="12" w:space="0" w:color="auto"/>
            </w:tcBorders>
          </w:tcPr>
          <w:p w14:paraId="49C653C0" w14:textId="77777777" w:rsidR="002A2188" w:rsidRPr="00813E5E" w:rsidRDefault="002A2188" w:rsidP="0014634F">
            <w:pPr>
              <w:spacing w:before="0" w:line="240" w:lineRule="atLeast"/>
              <w:rPr>
                <w:szCs w:val="24"/>
              </w:rPr>
            </w:pPr>
          </w:p>
        </w:tc>
      </w:tr>
      <w:tr w:rsidR="002A2188" w:rsidRPr="00813E5E" w14:paraId="15B0AE9E" w14:textId="77777777" w:rsidTr="00464B6C">
        <w:trPr>
          <w:cantSplit/>
          <w:trHeight w:val="23"/>
        </w:trPr>
        <w:tc>
          <w:tcPr>
            <w:tcW w:w="6911" w:type="dxa"/>
            <w:vMerge w:val="restart"/>
          </w:tcPr>
          <w:p w14:paraId="6F107B8A" w14:textId="3BD6FA12" w:rsidR="002A2188" w:rsidRPr="00E85629" w:rsidRDefault="0014634F" w:rsidP="0014634F">
            <w:pPr>
              <w:tabs>
                <w:tab w:val="left" w:pos="851"/>
              </w:tabs>
              <w:spacing w:before="0" w:line="240" w:lineRule="atLeast"/>
              <w:rPr>
                <w:b/>
              </w:rPr>
            </w:pPr>
            <w:bookmarkStart w:id="3" w:name="dmeeting" w:colFirst="0" w:colLast="0"/>
            <w:bookmarkStart w:id="4" w:name="dnum" w:colFirst="1" w:colLast="1"/>
            <w:r>
              <w:rPr>
                <w:b/>
              </w:rPr>
              <w:t>Agenda item:</w:t>
            </w:r>
            <w:r w:rsidR="00623AFD">
              <w:rPr>
                <w:b/>
              </w:rPr>
              <w:t xml:space="preserve"> </w:t>
            </w:r>
            <w:r w:rsidR="00026506">
              <w:rPr>
                <w:b/>
              </w:rPr>
              <w:t xml:space="preserve">PL </w:t>
            </w:r>
            <w:r w:rsidR="00026506" w:rsidRPr="00026506">
              <w:rPr>
                <w:b/>
              </w:rPr>
              <w:t>2.1</w:t>
            </w:r>
          </w:p>
        </w:tc>
        <w:tc>
          <w:tcPr>
            <w:tcW w:w="3120" w:type="dxa"/>
          </w:tcPr>
          <w:p w14:paraId="66604129" w14:textId="30FEB9FD" w:rsidR="002A2188" w:rsidRPr="00E85629" w:rsidRDefault="002A2188" w:rsidP="0014634F">
            <w:pPr>
              <w:tabs>
                <w:tab w:val="left" w:pos="851"/>
              </w:tabs>
              <w:spacing w:before="0" w:line="240" w:lineRule="atLeast"/>
              <w:rPr>
                <w:b/>
              </w:rPr>
            </w:pPr>
            <w:r>
              <w:rPr>
                <w:b/>
              </w:rPr>
              <w:t>Document C</w:t>
            </w:r>
            <w:r w:rsidR="004A1B8B">
              <w:rPr>
                <w:b/>
              </w:rPr>
              <w:t>2</w:t>
            </w:r>
            <w:r w:rsidR="0014634F">
              <w:rPr>
                <w:b/>
              </w:rPr>
              <w:t>2</w:t>
            </w:r>
            <w:r>
              <w:rPr>
                <w:b/>
              </w:rPr>
              <w:t>/</w:t>
            </w:r>
            <w:r w:rsidR="00525618">
              <w:rPr>
                <w:b/>
              </w:rPr>
              <w:t>10</w:t>
            </w:r>
            <w:r>
              <w:rPr>
                <w:b/>
              </w:rPr>
              <w:t>-E</w:t>
            </w:r>
          </w:p>
        </w:tc>
      </w:tr>
      <w:tr w:rsidR="002A2188" w:rsidRPr="00813E5E" w14:paraId="275E195F" w14:textId="77777777" w:rsidTr="00464B6C">
        <w:trPr>
          <w:cantSplit/>
          <w:trHeight w:val="23"/>
        </w:trPr>
        <w:tc>
          <w:tcPr>
            <w:tcW w:w="6911" w:type="dxa"/>
            <w:vMerge/>
          </w:tcPr>
          <w:p w14:paraId="3627AC61" w14:textId="77777777" w:rsidR="002A2188" w:rsidRPr="00813E5E" w:rsidRDefault="002A2188" w:rsidP="0014634F">
            <w:pPr>
              <w:tabs>
                <w:tab w:val="left" w:pos="851"/>
              </w:tabs>
              <w:spacing w:before="0" w:line="240" w:lineRule="atLeast"/>
              <w:rPr>
                <w:b/>
              </w:rPr>
            </w:pPr>
            <w:bookmarkStart w:id="5" w:name="ddate" w:colFirst="1" w:colLast="1"/>
            <w:bookmarkEnd w:id="3"/>
            <w:bookmarkEnd w:id="4"/>
          </w:p>
        </w:tc>
        <w:tc>
          <w:tcPr>
            <w:tcW w:w="3120" w:type="dxa"/>
          </w:tcPr>
          <w:p w14:paraId="2B0CDBEF" w14:textId="24ACDC5F" w:rsidR="002A2188" w:rsidRPr="00E85629" w:rsidRDefault="00A50C70" w:rsidP="0014634F">
            <w:pPr>
              <w:tabs>
                <w:tab w:val="left" w:pos="993"/>
              </w:tabs>
              <w:spacing w:before="0"/>
              <w:rPr>
                <w:b/>
              </w:rPr>
            </w:pPr>
            <w:r>
              <w:rPr>
                <w:b/>
              </w:rPr>
              <w:t>2</w:t>
            </w:r>
            <w:r w:rsidR="0013305A">
              <w:rPr>
                <w:b/>
              </w:rPr>
              <w:t>3</w:t>
            </w:r>
            <w:r>
              <w:rPr>
                <w:b/>
              </w:rPr>
              <w:t xml:space="preserve"> November </w:t>
            </w:r>
            <w:r w:rsidR="002A2188">
              <w:rPr>
                <w:b/>
              </w:rPr>
              <w:t>20</w:t>
            </w:r>
            <w:r w:rsidR="004A1B8B">
              <w:rPr>
                <w:b/>
              </w:rPr>
              <w:t>2</w:t>
            </w:r>
            <w:r w:rsidR="0014634F">
              <w:rPr>
                <w:b/>
              </w:rPr>
              <w:t>1</w:t>
            </w:r>
          </w:p>
        </w:tc>
      </w:tr>
      <w:tr w:rsidR="002A2188" w:rsidRPr="00813E5E" w14:paraId="29B42488" w14:textId="77777777" w:rsidTr="00464B6C">
        <w:trPr>
          <w:cantSplit/>
          <w:trHeight w:val="23"/>
        </w:trPr>
        <w:tc>
          <w:tcPr>
            <w:tcW w:w="6911" w:type="dxa"/>
            <w:vMerge/>
          </w:tcPr>
          <w:p w14:paraId="6000182B" w14:textId="77777777" w:rsidR="002A2188" w:rsidRPr="00813E5E" w:rsidRDefault="002A2188" w:rsidP="0014634F">
            <w:pPr>
              <w:tabs>
                <w:tab w:val="left" w:pos="851"/>
              </w:tabs>
              <w:spacing w:before="0" w:line="240" w:lineRule="atLeast"/>
              <w:rPr>
                <w:b/>
              </w:rPr>
            </w:pPr>
            <w:bookmarkStart w:id="6" w:name="dorlang" w:colFirst="1" w:colLast="1"/>
            <w:bookmarkEnd w:id="5"/>
          </w:p>
        </w:tc>
        <w:tc>
          <w:tcPr>
            <w:tcW w:w="3120" w:type="dxa"/>
          </w:tcPr>
          <w:p w14:paraId="7EAC0E79" w14:textId="77777777" w:rsidR="002A2188" w:rsidRPr="00E85629" w:rsidRDefault="002A2188" w:rsidP="0014634F">
            <w:pPr>
              <w:tabs>
                <w:tab w:val="left" w:pos="993"/>
              </w:tabs>
              <w:spacing w:before="0"/>
              <w:rPr>
                <w:b/>
              </w:rPr>
            </w:pPr>
            <w:r>
              <w:rPr>
                <w:b/>
              </w:rPr>
              <w:t>Original: English</w:t>
            </w:r>
          </w:p>
        </w:tc>
      </w:tr>
      <w:tr w:rsidR="002A2188" w:rsidRPr="00813E5E" w14:paraId="79546A94" w14:textId="77777777" w:rsidTr="00464B6C">
        <w:trPr>
          <w:cantSplit/>
        </w:trPr>
        <w:tc>
          <w:tcPr>
            <w:tcW w:w="10031" w:type="dxa"/>
            <w:gridSpan w:val="2"/>
          </w:tcPr>
          <w:p w14:paraId="7EEA3085" w14:textId="2DEEB841" w:rsidR="002A2188" w:rsidRPr="00813E5E" w:rsidRDefault="0014634F" w:rsidP="00464B6C">
            <w:pPr>
              <w:pStyle w:val="Source"/>
            </w:pPr>
            <w:bookmarkStart w:id="7" w:name="dsource" w:colFirst="0" w:colLast="0"/>
            <w:bookmarkEnd w:id="6"/>
            <w:r w:rsidRPr="0014634F">
              <w:t>Report by the Secretary-General</w:t>
            </w:r>
          </w:p>
        </w:tc>
      </w:tr>
      <w:tr w:rsidR="002A2188" w:rsidRPr="00813E5E" w14:paraId="5B5E8CC5" w14:textId="77777777" w:rsidTr="00464B6C">
        <w:trPr>
          <w:cantSplit/>
        </w:trPr>
        <w:tc>
          <w:tcPr>
            <w:tcW w:w="10031" w:type="dxa"/>
            <w:gridSpan w:val="2"/>
          </w:tcPr>
          <w:p w14:paraId="3689B12B" w14:textId="33E8B5C3" w:rsidR="002A2188" w:rsidRPr="00813E5E" w:rsidRDefault="00631067" w:rsidP="00464B6C">
            <w:pPr>
              <w:pStyle w:val="Title1"/>
            </w:pPr>
            <w:bookmarkStart w:id="8" w:name="dtitle1" w:colFirst="0" w:colLast="0"/>
            <w:bookmarkStart w:id="9" w:name="_Hlk88642807"/>
            <w:bookmarkEnd w:id="7"/>
            <w:r w:rsidRPr="00631067">
              <w:t>Hiring of an independent external management consultant for ITU Telecom events and recommendations: follow up</w:t>
            </w:r>
            <w:bookmarkEnd w:id="9"/>
          </w:p>
        </w:tc>
      </w:tr>
      <w:bookmarkEnd w:id="8"/>
    </w:tbl>
    <w:p w14:paraId="554B4CB6"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1DF07826"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44CAD894" w14:textId="77777777" w:rsidR="002A2188" w:rsidRPr="00813E5E" w:rsidRDefault="002A2188" w:rsidP="00464B6C">
            <w:pPr>
              <w:pStyle w:val="Headingb"/>
            </w:pPr>
            <w:r w:rsidRPr="00813E5E">
              <w:t>Summary</w:t>
            </w:r>
          </w:p>
          <w:p w14:paraId="34E38646" w14:textId="25FC08C9" w:rsidR="002A2188" w:rsidRPr="00813E5E" w:rsidRDefault="00117D72" w:rsidP="00464B6C">
            <w:r>
              <w:t xml:space="preserve">At the Virtual consultation of councillors in June 2021, documents C21/10 and C21/79 were discussed. The meeting agreed to defer the </w:t>
            </w:r>
            <w:r w:rsidRPr="00117D72">
              <w:t>decision on the issue to the 2022 session of the Council</w:t>
            </w:r>
            <w:r>
              <w:t>.</w:t>
            </w:r>
          </w:p>
          <w:p w14:paraId="17A30379" w14:textId="77777777" w:rsidR="002A2188" w:rsidRPr="00813E5E" w:rsidRDefault="002A2188" w:rsidP="00464B6C">
            <w:pPr>
              <w:pStyle w:val="Headingb"/>
            </w:pPr>
            <w:r w:rsidRPr="00813E5E">
              <w:t>Action required</w:t>
            </w:r>
          </w:p>
          <w:p w14:paraId="63C8FCD7" w14:textId="09F3C087" w:rsidR="002A2188" w:rsidRPr="00813E5E" w:rsidRDefault="001B0C19" w:rsidP="00464B6C">
            <w:r w:rsidRPr="001B0C19">
              <w:t>The Council is required to decide on the hiring of a consultancy for the second phase.</w:t>
            </w:r>
          </w:p>
          <w:p w14:paraId="3098B3AD" w14:textId="77777777" w:rsidR="002A2188" w:rsidRPr="00813E5E" w:rsidRDefault="002A2188" w:rsidP="00464B6C">
            <w:pPr>
              <w:pStyle w:val="Table"/>
              <w:keepNext w:val="0"/>
              <w:spacing w:before="0" w:after="0"/>
              <w:rPr>
                <w:rFonts w:ascii="Calibri" w:hAnsi="Calibri"/>
                <w:caps w:val="0"/>
                <w:sz w:val="22"/>
              </w:rPr>
            </w:pPr>
            <w:r w:rsidRPr="00813E5E">
              <w:rPr>
                <w:rFonts w:ascii="Calibri" w:hAnsi="Calibri"/>
                <w:caps w:val="0"/>
                <w:sz w:val="22"/>
              </w:rPr>
              <w:t>____________</w:t>
            </w:r>
          </w:p>
          <w:p w14:paraId="6D31B914" w14:textId="77777777" w:rsidR="002A2188" w:rsidRPr="00813E5E" w:rsidRDefault="002A2188" w:rsidP="00464B6C">
            <w:pPr>
              <w:pStyle w:val="Headingb"/>
            </w:pPr>
            <w:r w:rsidRPr="00813E5E">
              <w:t>References</w:t>
            </w:r>
          </w:p>
          <w:p w14:paraId="47763C34" w14:textId="50E9D671" w:rsidR="002A2188" w:rsidRPr="00813E5E" w:rsidRDefault="0013305A" w:rsidP="00117D72">
            <w:pPr>
              <w:rPr>
                <w:i/>
                <w:iCs/>
              </w:rPr>
            </w:pPr>
            <w:hyperlink r:id="rId9" w:history="1">
              <w:r w:rsidR="00FF4F9B" w:rsidRPr="001B0C19">
                <w:rPr>
                  <w:rStyle w:val="Hyperlink"/>
                  <w:i/>
                  <w:iCs/>
                </w:rPr>
                <w:t>C20/10</w:t>
              </w:r>
            </w:hyperlink>
            <w:r w:rsidR="00FF4F9B">
              <w:rPr>
                <w:i/>
                <w:iCs/>
              </w:rPr>
              <w:t xml:space="preserve">, </w:t>
            </w:r>
            <w:hyperlink r:id="rId10" w:history="1">
              <w:r w:rsidR="00FF4F9B" w:rsidRPr="001B0C19">
                <w:rPr>
                  <w:rStyle w:val="Hyperlink"/>
                  <w:i/>
                  <w:iCs/>
                </w:rPr>
                <w:t>C21/10</w:t>
              </w:r>
            </w:hyperlink>
            <w:r w:rsidR="00FF4F9B">
              <w:rPr>
                <w:i/>
                <w:iCs/>
              </w:rPr>
              <w:t xml:space="preserve">, </w:t>
            </w:r>
            <w:hyperlink r:id="rId11" w:history="1">
              <w:r w:rsidR="00FF4F9B" w:rsidRPr="001B0C19">
                <w:rPr>
                  <w:rStyle w:val="Hyperlink"/>
                  <w:i/>
                  <w:iCs/>
                </w:rPr>
                <w:t>C21/79</w:t>
              </w:r>
            </w:hyperlink>
            <w:r w:rsidR="00FF4F9B">
              <w:rPr>
                <w:i/>
                <w:iCs/>
              </w:rPr>
              <w:t xml:space="preserve">, </w:t>
            </w:r>
            <w:hyperlink r:id="rId12" w:history="1">
              <w:r w:rsidR="00FF4F9B" w:rsidRPr="001B0C19">
                <w:rPr>
                  <w:rStyle w:val="Hyperlink"/>
                  <w:i/>
                  <w:iCs/>
                </w:rPr>
                <w:t>C21/91</w:t>
              </w:r>
            </w:hyperlink>
          </w:p>
        </w:tc>
      </w:tr>
    </w:tbl>
    <w:p w14:paraId="363D419A" w14:textId="5D2ED90E" w:rsidR="00525618" w:rsidRDefault="00525618" w:rsidP="00F2750A">
      <w:pPr>
        <w:spacing w:before="360"/>
        <w:jc w:val="both"/>
        <w:rPr>
          <w:lang w:val="en-US"/>
        </w:rPr>
      </w:pPr>
      <w:bookmarkStart w:id="10" w:name="dstart"/>
      <w:bookmarkStart w:id="11" w:name="dbreak"/>
      <w:bookmarkEnd w:id="10"/>
      <w:bookmarkEnd w:id="11"/>
      <w:r w:rsidRPr="00525618">
        <w:rPr>
          <w:lang w:val="en-US"/>
        </w:rPr>
        <w:t>1</w:t>
      </w:r>
      <w:r w:rsidR="00FF4F9B">
        <w:rPr>
          <w:lang w:val="en-US"/>
        </w:rPr>
        <w:tab/>
      </w:r>
      <w:r>
        <w:rPr>
          <w:lang w:val="en-US"/>
        </w:rPr>
        <w:t xml:space="preserve">At the </w:t>
      </w:r>
      <w:r w:rsidR="00FF4F9B">
        <w:rPr>
          <w:lang w:val="en-US"/>
        </w:rPr>
        <w:t xml:space="preserve">Virtual consultation of councillors in June 2021 (C21\VCC-1), documents </w:t>
      </w:r>
      <w:hyperlink r:id="rId13" w:history="1">
        <w:r w:rsidR="00FF4F9B" w:rsidRPr="00117D72">
          <w:rPr>
            <w:rStyle w:val="Hyperlink"/>
            <w:lang w:val="en-US"/>
          </w:rPr>
          <w:t>C21/10</w:t>
        </w:r>
      </w:hyperlink>
      <w:r w:rsidR="00FF4F9B">
        <w:rPr>
          <w:lang w:val="en-US"/>
        </w:rPr>
        <w:t xml:space="preserve">, “Hiring of independent external management consultant for ITU Telecom events and recommendations”, and </w:t>
      </w:r>
      <w:hyperlink r:id="rId14" w:history="1">
        <w:r w:rsidR="00FF4F9B" w:rsidRPr="00117D72">
          <w:rPr>
            <w:rStyle w:val="Hyperlink"/>
            <w:lang w:val="en-US"/>
          </w:rPr>
          <w:t>C21/79</w:t>
        </w:r>
      </w:hyperlink>
      <w:r w:rsidR="00FF4F9B">
        <w:rPr>
          <w:lang w:val="en-US"/>
        </w:rPr>
        <w:t xml:space="preserve">, “Contribution from Japan: Strategic and Financial Assessment for ITU Telecom Events”, were both discussed. The outcome of this discussion was summarized in document </w:t>
      </w:r>
      <w:hyperlink r:id="rId15" w:history="1">
        <w:r w:rsidR="00FF4F9B" w:rsidRPr="00117D72">
          <w:rPr>
            <w:rStyle w:val="Hyperlink"/>
            <w:lang w:val="en-US"/>
          </w:rPr>
          <w:t>C21/91</w:t>
        </w:r>
      </w:hyperlink>
      <w:r w:rsidR="00FF4F9B">
        <w:rPr>
          <w:lang w:val="en-US"/>
        </w:rPr>
        <w:t xml:space="preserve"> as follows:</w:t>
      </w:r>
    </w:p>
    <w:p w14:paraId="3F799186" w14:textId="77777777" w:rsidR="00525618" w:rsidRPr="00FF4F9B" w:rsidRDefault="00525618" w:rsidP="00FF4F9B">
      <w:pPr>
        <w:tabs>
          <w:tab w:val="clear" w:pos="567"/>
          <w:tab w:val="clear" w:pos="1134"/>
          <w:tab w:val="clear" w:pos="1701"/>
          <w:tab w:val="left" w:pos="794"/>
          <w:tab w:val="left" w:pos="1191"/>
          <w:tab w:val="left" w:pos="1588"/>
          <w:tab w:val="left" w:pos="1985"/>
        </w:tabs>
        <w:spacing w:before="360" w:after="120"/>
        <w:ind w:left="1514" w:hanging="794"/>
        <w:jc w:val="both"/>
        <w:rPr>
          <w:rFonts w:eastAsia="MS Mincho" w:cs="Calibri"/>
          <w:b/>
          <w:i/>
          <w:iCs/>
          <w:szCs w:val="24"/>
          <w:lang w:val="en-CA"/>
        </w:rPr>
      </w:pPr>
      <w:r w:rsidRPr="00FF4F9B">
        <w:rPr>
          <w:rFonts w:eastAsia="MS Mincho" w:cs="Calibri"/>
          <w:b/>
          <w:i/>
          <w:iCs/>
          <w:szCs w:val="24"/>
          <w:lang w:val="en-CA"/>
        </w:rPr>
        <w:t>7</w:t>
      </w:r>
      <w:r w:rsidRPr="00FF4F9B">
        <w:rPr>
          <w:rFonts w:eastAsia="MS Mincho" w:cs="Calibri"/>
          <w:b/>
          <w:i/>
          <w:iCs/>
          <w:szCs w:val="24"/>
          <w:lang w:val="en-CA"/>
        </w:rPr>
        <w:tab/>
        <w:t xml:space="preserve">Report on the hiring of an independent external management consultancy, including recommendations and various strategies (Documents </w:t>
      </w:r>
      <w:hyperlink r:id="rId16" w:history="1">
        <w:r w:rsidRPr="00FF4F9B">
          <w:rPr>
            <w:rStyle w:val="Hyperlink"/>
            <w:rFonts w:cs="Calibri"/>
            <w:b/>
            <w:bCs/>
            <w:i/>
            <w:iCs/>
            <w:szCs w:val="24"/>
            <w:lang w:val="en-US" w:eastAsia="en-GB"/>
          </w:rPr>
          <w:t>C21/10</w:t>
        </w:r>
      </w:hyperlink>
      <w:r w:rsidRPr="00FF4F9B">
        <w:rPr>
          <w:rFonts w:cs="Calibri"/>
          <w:b/>
          <w:bCs/>
          <w:i/>
          <w:iCs/>
          <w:color w:val="0000FF"/>
          <w:szCs w:val="24"/>
          <w:u w:val="single"/>
          <w:lang w:val="en-US" w:eastAsia="en-GB"/>
        </w:rPr>
        <w:t xml:space="preserve"> </w:t>
      </w:r>
      <w:r w:rsidRPr="00FF4F9B">
        <w:rPr>
          <w:rFonts w:eastAsia="MS Mincho" w:cs="Calibri"/>
          <w:b/>
          <w:i/>
          <w:iCs/>
          <w:szCs w:val="24"/>
          <w:lang w:val="en-CA"/>
        </w:rPr>
        <w:t xml:space="preserve">and </w:t>
      </w:r>
      <w:hyperlink r:id="rId17" w:history="1">
        <w:r w:rsidRPr="00FF4F9B">
          <w:rPr>
            <w:rStyle w:val="Hyperlink"/>
            <w:rFonts w:eastAsia="MS Mincho" w:cs="Calibri"/>
            <w:b/>
            <w:bCs/>
            <w:i/>
            <w:iCs/>
            <w:szCs w:val="24"/>
            <w:lang w:val="en-US" w:eastAsia="en-GB"/>
          </w:rPr>
          <w:t>C21/79</w:t>
        </w:r>
      </w:hyperlink>
      <w:r w:rsidRPr="00FF4F9B">
        <w:rPr>
          <w:rFonts w:eastAsia="MS Mincho" w:cs="Calibri"/>
          <w:b/>
          <w:i/>
          <w:iCs/>
          <w:szCs w:val="24"/>
          <w:lang w:val="en-CA"/>
        </w:rPr>
        <w:t>)</w:t>
      </w:r>
    </w:p>
    <w:p w14:paraId="35D09A3F" w14:textId="77777777" w:rsidR="00525618" w:rsidRPr="00525618" w:rsidRDefault="00525618" w:rsidP="00FF4F9B">
      <w:pPr>
        <w:tabs>
          <w:tab w:val="clear" w:pos="567"/>
          <w:tab w:val="clear" w:pos="1134"/>
          <w:tab w:val="clear" w:pos="1701"/>
          <w:tab w:val="left" w:pos="794"/>
          <w:tab w:val="left" w:pos="1191"/>
          <w:tab w:val="left" w:pos="1588"/>
          <w:tab w:val="left" w:pos="1985"/>
        </w:tabs>
        <w:spacing w:after="120"/>
        <w:ind w:left="720"/>
        <w:jc w:val="both"/>
        <w:rPr>
          <w:rFonts w:eastAsia="MS Mincho" w:cs="Calibri"/>
          <w:i/>
          <w:iCs/>
          <w:sz w:val="22"/>
          <w:szCs w:val="22"/>
          <w:lang w:val="en-CA"/>
        </w:rPr>
      </w:pPr>
      <w:r w:rsidRPr="00525618">
        <w:rPr>
          <w:rFonts w:eastAsia="MS Mincho" w:cs="Calibri"/>
          <w:i/>
          <w:iCs/>
          <w:sz w:val="22"/>
          <w:szCs w:val="22"/>
          <w:lang w:val="en-CA"/>
        </w:rPr>
        <w:t>7.1</w:t>
      </w:r>
      <w:r w:rsidRPr="00525618">
        <w:rPr>
          <w:rFonts w:eastAsia="MS Mincho" w:cs="Calibri"/>
          <w:i/>
          <w:iCs/>
          <w:sz w:val="22"/>
          <w:szCs w:val="22"/>
          <w:lang w:val="en-CA"/>
        </w:rPr>
        <w:tab/>
        <w:t>The representative of Dalberg reviewed the main elements of the report submitted to VCC-2 (Document C20/10), in which Dalberg had presented an assessment of ITU Telecom events and various options for the way forward, notably the organization of “Digital for Good” exhibition and forum sessions as part of an annual global ITU-level event that incorporated WSIS forums and/or the AI for Good Global Summit. The events of the past twelve months had reinforced interest in such an event, further investigation of which would constitute Phase 2 of the external consultancy.</w:t>
      </w:r>
    </w:p>
    <w:p w14:paraId="1EBA3130" w14:textId="77777777" w:rsidR="00525618" w:rsidRPr="00525618" w:rsidRDefault="00525618" w:rsidP="00FF4F9B">
      <w:pPr>
        <w:tabs>
          <w:tab w:val="clear" w:pos="567"/>
          <w:tab w:val="clear" w:pos="1134"/>
          <w:tab w:val="clear" w:pos="1701"/>
          <w:tab w:val="left" w:pos="794"/>
          <w:tab w:val="left" w:pos="1191"/>
          <w:tab w:val="left" w:pos="1588"/>
          <w:tab w:val="left" w:pos="1985"/>
        </w:tabs>
        <w:spacing w:after="120"/>
        <w:ind w:left="720"/>
        <w:jc w:val="both"/>
        <w:rPr>
          <w:rFonts w:eastAsia="MS Mincho" w:cs="Calibri"/>
          <w:i/>
          <w:iCs/>
          <w:sz w:val="22"/>
          <w:szCs w:val="22"/>
          <w:lang w:val="en-CA"/>
        </w:rPr>
      </w:pPr>
      <w:r w:rsidRPr="00525618">
        <w:rPr>
          <w:rFonts w:eastAsia="MS Mincho" w:cs="Calibri"/>
          <w:i/>
          <w:iCs/>
          <w:sz w:val="22"/>
          <w:szCs w:val="22"/>
          <w:lang w:val="en-CA"/>
        </w:rPr>
        <w:t>7.2</w:t>
      </w:r>
      <w:r w:rsidRPr="00525618">
        <w:rPr>
          <w:rFonts w:eastAsia="MS Mincho" w:cs="Calibri"/>
          <w:i/>
          <w:iCs/>
          <w:sz w:val="22"/>
          <w:szCs w:val="22"/>
          <w:lang w:val="en-CA"/>
        </w:rPr>
        <w:tab/>
        <w:t>The councillor from Japan, introducing Document C21/79, said that it proposed a series of steps aimed at addressing the need to ensure the profitability of large-scale events in the light of the COVID-19 pandemic.</w:t>
      </w:r>
    </w:p>
    <w:p w14:paraId="67FDD128" w14:textId="77777777" w:rsidR="00525618" w:rsidRPr="00525618" w:rsidRDefault="00525618" w:rsidP="00FF4F9B">
      <w:pPr>
        <w:tabs>
          <w:tab w:val="clear" w:pos="567"/>
          <w:tab w:val="clear" w:pos="1134"/>
          <w:tab w:val="clear" w:pos="1701"/>
          <w:tab w:val="left" w:pos="794"/>
          <w:tab w:val="left" w:pos="1191"/>
          <w:tab w:val="left" w:pos="1588"/>
          <w:tab w:val="left" w:pos="1985"/>
        </w:tabs>
        <w:spacing w:after="120"/>
        <w:ind w:left="720"/>
        <w:jc w:val="both"/>
        <w:rPr>
          <w:rFonts w:eastAsia="MS Mincho" w:cs="Calibri"/>
          <w:i/>
          <w:iCs/>
          <w:sz w:val="22"/>
          <w:szCs w:val="22"/>
          <w:lang w:val="en-CA"/>
        </w:rPr>
      </w:pPr>
      <w:r w:rsidRPr="00525618">
        <w:rPr>
          <w:rFonts w:eastAsia="MS Mincho" w:cs="Calibri"/>
          <w:i/>
          <w:iCs/>
          <w:sz w:val="22"/>
          <w:szCs w:val="22"/>
          <w:lang w:val="en-CA"/>
        </w:rPr>
        <w:lastRenderedPageBreak/>
        <w:t>7.3</w:t>
      </w:r>
      <w:r w:rsidRPr="00525618">
        <w:rPr>
          <w:rFonts w:eastAsia="MS Mincho" w:cs="Calibri"/>
          <w:i/>
          <w:iCs/>
          <w:sz w:val="22"/>
          <w:szCs w:val="22"/>
          <w:lang w:val="en-CA"/>
        </w:rPr>
        <w:tab/>
        <w:t>Two councillors endorsed the approach laid out in Document C21/79, given the urgent need to reform ITU Telecom events, avoid further deficits and assess the situation in the light of the new, post-COVID “normal”.</w:t>
      </w:r>
    </w:p>
    <w:p w14:paraId="0F4DD9C1" w14:textId="77777777" w:rsidR="00525618" w:rsidRPr="00525618" w:rsidRDefault="00525618" w:rsidP="00FF4F9B">
      <w:pPr>
        <w:tabs>
          <w:tab w:val="clear" w:pos="567"/>
          <w:tab w:val="clear" w:pos="1134"/>
          <w:tab w:val="clear" w:pos="1701"/>
          <w:tab w:val="left" w:pos="794"/>
          <w:tab w:val="left" w:pos="1191"/>
          <w:tab w:val="left" w:pos="1588"/>
          <w:tab w:val="left" w:pos="1985"/>
        </w:tabs>
        <w:spacing w:after="120"/>
        <w:ind w:left="720"/>
        <w:jc w:val="both"/>
        <w:rPr>
          <w:rFonts w:eastAsia="MS Mincho" w:cs="Calibri"/>
          <w:i/>
          <w:iCs/>
          <w:sz w:val="22"/>
          <w:szCs w:val="22"/>
          <w:lang w:val="en-CA"/>
        </w:rPr>
      </w:pPr>
      <w:r w:rsidRPr="00525618">
        <w:rPr>
          <w:rFonts w:eastAsia="MS Mincho" w:cs="Calibri"/>
          <w:i/>
          <w:iCs/>
          <w:sz w:val="22"/>
          <w:szCs w:val="22"/>
          <w:lang w:val="en-CA"/>
        </w:rPr>
        <w:t>7.4</w:t>
      </w:r>
      <w:r w:rsidRPr="00525618">
        <w:rPr>
          <w:rFonts w:eastAsia="MS Mincho" w:cs="Calibri"/>
          <w:i/>
          <w:iCs/>
          <w:sz w:val="22"/>
          <w:szCs w:val="22"/>
          <w:lang w:val="en-CA"/>
        </w:rPr>
        <w:tab/>
        <w:t>Two other councillors said that the Council should consider all the options outlined in the Dalberg report and that Member States should have the opportunity to submit other options.</w:t>
      </w:r>
    </w:p>
    <w:p w14:paraId="38A77C02" w14:textId="77777777" w:rsidR="00525618" w:rsidRPr="00525618" w:rsidRDefault="00525618" w:rsidP="00FF4F9B">
      <w:pPr>
        <w:tabs>
          <w:tab w:val="clear" w:pos="567"/>
          <w:tab w:val="clear" w:pos="1134"/>
          <w:tab w:val="clear" w:pos="1701"/>
          <w:tab w:val="left" w:pos="794"/>
          <w:tab w:val="left" w:pos="1191"/>
          <w:tab w:val="left" w:pos="1588"/>
          <w:tab w:val="left" w:pos="1985"/>
        </w:tabs>
        <w:spacing w:after="120"/>
        <w:ind w:left="720"/>
        <w:jc w:val="both"/>
        <w:rPr>
          <w:rFonts w:eastAsia="MS Mincho" w:cs="Calibri"/>
          <w:i/>
          <w:iCs/>
          <w:sz w:val="22"/>
          <w:szCs w:val="22"/>
          <w:lang w:val="en-CA"/>
        </w:rPr>
      </w:pPr>
      <w:r w:rsidRPr="00525618">
        <w:rPr>
          <w:rFonts w:eastAsia="MS Mincho" w:cs="Calibri"/>
          <w:i/>
          <w:iCs/>
          <w:sz w:val="22"/>
          <w:szCs w:val="22"/>
          <w:lang w:val="en-CA"/>
        </w:rPr>
        <w:t>7.5</w:t>
      </w:r>
      <w:r w:rsidRPr="00525618">
        <w:rPr>
          <w:rFonts w:eastAsia="MS Mincho" w:cs="Calibri"/>
          <w:i/>
          <w:iCs/>
          <w:sz w:val="22"/>
          <w:szCs w:val="22"/>
          <w:lang w:val="en-CA"/>
        </w:rPr>
        <w:tab/>
        <w:t>Several councillors observed that Document C21/10 contained no information on the cost or financing of Phase 2 of the consultancy, or on the methodology or time-frame for its implementation. Given that ITU Telecom exhibitions appeared to have been superseded by other events and that stakeholders had a limited capacity to participate, they suggested that the Council defer its decision to its 2022 session and that Phase 2 of the consultancy be aligned with the normalization of international travel.</w:t>
      </w:r>
    </w:p>
    <w:p w14:paraId="0C4D29BA" w14:textId="77777777" w:rsidR="00525618" w:rsidRPr="00525618" w:rsidRDefault="00525618" w:rsidP="00FF4F9B">
      <w:pPr>
        <w:tabs>
          <w:tab w:val="clear" w:pos="567"/>
          <w:tab w:val="clear" w:pos="1134"/>
          <w:tab w:val="clear" w:pos="1701"/>
          <w:tab w:val="left" w:pos="794"/>
          <w:tab w:val="left" w:pos="1191"/>
          <w:tab w:val="left" w:pos="1588"/>
          <w:tab w:val="left" w:pos="1985"/>
        </w:tabs>
        <w:spacing w:after="120"/>
        <w:ind w:left="720"/>
        <w:jc w:val="both"/>
        <w:rPr>
          <w:rFonts w:eastAsia="MS Mincho" w:cs="Calibri"/>
          <w:i/>
          <w:iCs/>
          <w:sz w:val="22"/>
          <w:szCs w:val="22"/>
          <w:lang w:val="en-CA"/>
        </w:rPr>
      </w:pPr>
      <w:r w:rsidRPr="00525618">
        <w:rPr>
          <w:rFonts w:eastAsia="MS Mincho" w:cs="Calibri"/>
          <w:i/>
          <w:iCs/>
          <w:sz w:val="22"/>
          <w:szCs w:val="22"/>
          <w:lang w:val="en-CA"/>
        </w:rPr>
        <w:t>7.6</w:t>
      </w:r>
      <w:r w:rsidRPr="00525618">
        <w:rPr>
          <w:rFonts w:eastAsia="MS Mincho" w:cs="Calibri"/>
          <w:i/>
          <w:iCs/>
          <w:sz w:val="22"/>
          <w:szCs w:val="22"/>
          <w:lang w:val="en-CA"/>
        </w:rPr>
        <w:tab/>
        <w:t>One councillor, observing that the AI for Good Global Summit and WSIS forums were successful events in which many large international, private-sector and civil-society organizations participated, said that the views of those organizations should be obtained as well. It was not in the Union’s interest to undermine them by introducing a new model of event.</w:t>
      </w:r>
    </w:p>
    <w:p w14:paraId="0746859D" w14:textId="77777777" w:rsidR="00525618" w:rsidRPr="00525618" w:rsidRDefault="00525618" w:rsidP="00FF4F9B">
      <w:pPr>
        <w:tabs>
          <w:tab w:val="clear" w:pos="567"/>
          <w:tab w:val="clear" w:pos="1134"/>
          <w:tab w:val="clear" w:pos="1701"/>
          <w:tab w:val="left" w:pos="794"/>
          <w:tab w:val="left" w:pos="1191"/>
          <w:tab w:val="left" w:pos="1588"/>
          <w:tab w:val="left" w:pos="1985"/>
        </w:tabs>
        <w:spacing w:after="120"/>
        <w:ind w:left="720"/>
        <w:jc w:val="both"/>
        <w:rPr>
          <w:rFonts w:eastAsia="MS Mincho" w:cs="Calibri"/>
          <w:i/>
          <w:iCs/>
          <w:sz w:val="22"/>
          <w:szCs w:val="22"/>
          <w:lang w:val="en-CA"/>
        </w:rPr>
      </w:pPr>
      <w:r w:rsidRPr="00525618">
        <w:rPr>
          <w:rFonts w:eastAsia="MS Mincho" w:cs="Calibri"/>
          <w:i/>
          <w:iCs/>
          <w:sz w:val="22"/>
          <w:szCs w:val="22"/>
          <w:lang w:val="en-CA"/>
        </w:rPr>
        <w:t>7.7</w:t>
      </w:r>
      <w:r w:rsidRPr="00525618">
        <w:rPr>
          <w:rFonts w:eastAsia="MS Mincho" w:cs="Calibri"/>
          <w:i/>
          <w:iCs/>
          <w:sz w:val="22"/>
          <w:szCs w:val="22"/>
          <w:lang w:val="en-CA"/>
        </w:rPr>
        <w:tab/>
        <w:t>The Secretary-General pointed out that the AI for Good Global Summit did not have the same participants as ITU Telecom exhibitions and that the WSIS forums were United Nations events.</w:t>
      </w:r>
    </w:p>
    <w:p w14:paraId="37807EA0" w14:textId="77777777" w:rsidR="00525618" w:rsidRPr="00525618" w:rsidRDefault="00525618" w:rsidP="00FF4F9B">
      <w:pPr>
        <w:tabs>
          <w:tab w:val="clear" w:pos="567"/>
          <w:tab w:val="clear" w:pos="1134"/>
          <w:tab w:val="clear" w:pos="1701"/>
          <w:tab w:val="left" w:pos="794"/>
          <w:tab w:val="left" w:pos="1191"/>
          <w:tab w:val="left" w:pos="1588"/>
          <w:tab w:val="left" w:pos="1985"/>
        </w:tabs>
        <w:spacing w:after="120"/>
        <w:ind w:left="720"/>
        <w:jc w:val="both"/>
        <w:rPr>
          <w:rFonts w:eastAsia="MS Mincho" w:cs="Calibri"/>
          <w:i/>
          <w:iCs/>
          <w:sz w:val="22"/>
          <w:szCs w:val="22"/>
          <w:lang w:val="en-CA"/>
        </w:rPr>
      </w:pPr>
      <w:r w:rsidRPr="00525618">
        <w:rPr>
          <w:rFonts w:eastAsia="MS Mincho" w:cs="Calibri"/>
          <w:i/>
          <w:iCs/>
          <w:sz w:val="22"/>
          <w:szCs w:val="22"/>
          <w:lang w:val="en-CA"/>
        </w:rPr>
        <w:t>7.8</w:t>
      </w:r>
      <w:r w:rsidRPr="00525618">
        <w:rPr>
          <w:rFonts w:eastAsia="MS Mincho" w:cs="Calibri"/>
          <w:i/>
          <w:iCs/>
          <w:sz w:val="22"/>
          <w:szCs w:val="22"/>
          <w:lang w:val="en-CA"/>
        </w:rPr>
        <w:tab/>
        <w:t>The councillor from Spain said that her administration stood willing to share financial information pertaining to the organization of the 2021 Mobile World Congress, which would be held in Barcelona from 28 June to 1 July.</w:t>
      </w:r>
    </w:p>
    <w:p w14:paraId="57868881" w14:textId="77777777" w:rsidR="00525618" w:rsidRPr="00525618" w:rsidRDefault="00525618" w:rsidP="00FF4F9B">
      <w:pPr>
        <w:tabs>
          <w:tab w:val="clear" w:pos="567"/>
          <w:tab w:val="clear" w:pos="1134"/>
          <w:tab w:val="clear" w:pos="1701"/>
          <w:tab w:val="left" w:pos="794"/>
          <w:tab w:val="left" w:pos="1191"/>
          <w:tab w:val="left" w:pos="1588"/>
          <w:tab w:val="left" w:pos="1985"/>
        </w:tabs>
        <w:spacing w:after="120"/>
        <w:ind w:left="720"/>
        <w:jc w:val="both"/>
        <w:rPr>
          <w:rFonts w:eastAsia="MS Mincho" w:cs="Calibri"/>
          <w:i/>
          <w:iCs/>
          <w:sz w:val="22"/>
          <w:szCs w:val="22"/>
          <w:lang w:val="en-CA"/>
        </w:rPr>
      </w:pPr>
      <w:r w:rsidRPr="00525618">
        <w:rPr>
          <w:rFonts w:eastAsia="MS Mincho" w:cs="Calibri"/>
          <w:i/>
          <w:iCs/>
          <w:sz w:val="22"/>
          <w:szCs w:val="22"/>
          <w:lang w:val="en-CA"/>
        </w:rPr>
        <w:t>7.9</w:t>
      </w:r>
      <w:r w:rsidRPr="00525618">
        <w:rPr>
          <w:rFonts w:eastAsia="MS Mincho" w:cs="Calibri"/>
          <w:i/>
          <w:iCs/>
          <w:sz w:val="22"/>
          <w:szCs w:val="22"/>
          <w:lang w:val="en-CA"/>
        </w:rPr>
        <w:tab/>
        <w:t>The Chief of the Financial Resources Management Department said that, under the terms of resolves 4 of Resolution 11 (Rev. Dubai, 2018), the hiring of the independent external management consultancy for Phase 1 had been covered by the Exhibition Working Capital Fund (EWCF). Should the Council decide to go ahead with Phase 2, it would have to authorize the Secretary-General to draw the necessary funds from the EWCF; neither the ITU nor the ITU Telecom secretariat budget contained allocations for Phase 2.</w:t>
      </w:r>
      <w:r w:rsidRPr="00525618">
        <w:rPr>
          <w:rFonts w:eastAsia="MS Mincho" w:cs="Calibri"/>
          <w:i/>
          <w:iCs/>
          <w:sz w:val="22"/>
          <w:szCs w:val="22"/>
          <w:lang w:val="en-US"/>
        </w:rPr>
        <w:t xml:space="preserve"> It was further stipulated in Resolution 11 (Rev. Dubai, 2018) that </w:t>
      </w:r>
      <w:r w:rsidRPr="00525618">
        <w:rPr>
          <w:rFonts w:eastAsia="MS Mincho" w:cs="Calibri"/>
          <w:i/>
          <w:iCs/>
          <w:sz w:val="22"/>
          <w:szCs w:val="22"/>
          <w:lang w:val="en-CA"/>
        </w:rPr>
        <w:t>the EWCF had to have a minimum reserve of CHF 5 million. Although ITU Telecom 2020 had not taken place, the costs of the ITU Telecom secretariat had been covered by the EWCF, which showed a balance of CHF 6.6 million as at 31 December 2020. Should ITU Telecom 2021 also not take place physically, the resulting deficit would be charged to the EWCF.</w:t>
      </w:r>
    </w:p>
    <w:p w14:paraId="5F2FA889" w14:textId="77777777" w:rsidR="00525618" w:rsidRPr="00525618" w:rsidRDefault="00525618" w:rsidP="00FF4F9B">
      <w:pPr>
        <w:tabs>
          <w:tab w:val="clear" w:pos="567"/>
          <w:tab w:val="clear" w:pos="1134"/>
          <w:tab w:val="clear" w:pos="1701"/>
          <w:tab w:val="left" w:pos="794"/>
          <w:tab w:val="left" w:pos="1191"/>
          <w:tab w:val="left" w:pos="1588"/>
          <w:tab w:val="left" w:pos="1985"/>
        </w:tabs>
        <w:spacing w:after="120"/>
        <w:ind w:left="720"/>
        <w:jc w:val="both"/>
        <w:rPr>
          <w:rFonts w:eastAsia="MS Mincho" w:cs="Calibri"/>
          <w:i/>
          <w:iCs/>
          <w:sz w:val="22"/>
          <w:szCs w:val="22"/>
          <w:lang w:val="en-CA"/>
        </w:rPr>
      </w:pPr>
      <w:r w:rsidRPr="00525618">
        <w:rPr>
          <w:rFonts w:eastAsia="MS Mincho" w:cs="Calibri"/>
          <w:i/>
          <w:iCs/>
          <w:sz w:val="22"/>
          <w:szCs w:val="22"/>
          <w:lang w:val="en-CA"/>
        </w:rPr>
        <w:t>7.10</w:t>
      </w:r>
      <w:r w:rsidRPr="00525618">
        <w:rPr>
          <w:rFonts w:eastAsia="MS Mincho" w:cs="Calibri"/>
          <w:i/>
          <w:iCs/>
          <w:sz w:val="22"/>
          <w:szCs w:val="22"/>
          <w:lang w:val="en-CA"/>
        </w:rPr>
        <w:tab/>
        <w:t>The representative of Dalberg agreed that the current global landscape of IT-related events was increasingly competitive and that it would be unwise to undermine existing successful events or add to the financial burden of organizers. The aim was, on the contrary, to engage with stakeholders and events so as to produce an integrated and coordinated portfolio of events. Dalberg had not yet been asked to provide either a methodology or a time-frame for Phase 2, but stood ready to do so. It was also willing to adapt its proposal in the light of the needs and concerns of Member States and to consider all three options outlined in its report or indeed any other options formulated by Member States.</w:t>
      </w:r>
    </w:p>
    <w:p w14:paraId="42616A48" w14:textId="77777777" w:rsidR="00525618" w:rsidRPr="00525618" w:rsidRDefault="00525618" w:rsidP="00FF4F9B">
      <w:pPr>
        <w:tabs>
          <w:tab w:val="clear" w:pos="567"/>
          <w:tab w:val="clear" w:pos="1134"/>
          <w:tab w:val="clear" w:pos="1701"/>
          <w:tab w:val="left" w:pos="794"/>
          <w:tab w:val="left" w:pos="1191"/>
          <w:tab w:val="left" w:pos="1588"/>
          <w:tab w:val="left" w:pos="1985"/>
        </w:tabs>
        <w:spacing w:after="120"/>
        <w:ind w:left="720"/>
        <w:jc w:val="both"/>
        <w:rPr>
          <w:rFonts w:eastAsia="MS Mincho" w:cs="Calibri"/>
          <w:i/>
          <w:iCs/>
          <w:sz w:val="22"/>
          <w:szCs w:val="22"/>
          <w:lang w:val="en-CA"/>
        </w:rPr>
      </w:pPr>
      <w:r w:rsidRPr="00525618">
        <w:rPr>
          <w:rFonts w:eastAsia="MS Mincho" w:cs="Calibri"/>
          <w:i/>
          <w:iCs/>
          <w:sz w:val="22"/>
          <w:szCs w:val="22"/>
          <w:lang w:val="en-CA"/>
        </w:rPr>
        <w:t>7.11</w:t>
      </w:r>
      <w:r w:rsidRPr="00525618">
        <w:rPr>
          <w:rFonts w:eastAsia="MS Mincho" w:cs="Calibri"/>
          <w:i/>
          <w:iCs/>
          <w:sz w:val="22"/>
          <w:szCs w:val="22"/>
          <w:lang w:val="en-CA"/>
        </w:rPr>
        <w:tab/>
        <w:t xml:space="preserve">The councillors </w:t>
      </w:r>
      <w:r w:rsidRPr="00525618">
        <w:rPr>
          <w:rFonts w:eastAsia="MS Mincho" w:cs="Calibri"/>
          <w:b/>
          <w:i/>
          <w:iCs/>
          <w:sz w:val="22"/>
          <w:szCs w:val="22"/>
          <w:lang w:val="en-CA"/>
        </w:rPr>
        <w:t>thanked</w:t>
      </w:r>
      <w:r w:rsidRPr="00525618">
        <w:rPr>
          <w:rFonts w:eastAsia="MS Mincho" w:cs="Calibri"/>
          <w:i/>
          <w:iCs/>
          <w:sz w:val="22"/>
          <w:szCs w:val="22"/>
          <w:lang w:val="en-CA"/>
        </w:rPr>
        <w:t xml:space="preserve"> Dalberg for its presentation and work, </w:t>
      </w:r>
      <w:r w:rsidRPr="00525618">
        <w:rPr>
          <w:rFonts w:eastAsia="MS Mincho" w:cs="Calibri"/>
          <w:b/>
          <w:i/>
          <w:iCs/>
          <w:sz w:val="22"/>
          <w:szCs w:val="22"/>
          <w:lang w:val="en-CA"/>
        </w:rPr>
        <w:t>noted</w:t>
      </w:r>
      <w:r w:rsidRPr="00525618">
        <w:rPr>
          <w:rFonts w:eastAsia="MS Mincho" w:cs="Calibri"/>
          <w:i/>
          <w:iCs/>
          <w:sz w:val="22"/>
          <w:szCs w:val="22"/>
          <w:lang w:val="en-CA"/>
        </w:rPr>
        <w:t xml:space="preserve"> Documents C21/10 and C21/79, and </w:t>
      </w:r>
      <w:r w:rsidRPr="00525618">
        <w:rPr>
          <w:rFonts w:eastAsia="MS Mincho" w:cs="Calibri"/>
          <w:b/>
          <w:i/>
          <w:iCs/>
          <w:sz w:val="22"/>
          <w:szCs w:val="22"/>
          <w:lang w:val="en-CA"/>
        </w:rPr>
        <w:t>agreed</w:t>
      </w:r>
      <w:r w:rsidRPr="00525618">
        <w:rPr>
          <w:rFonts w:eastAsia="MS Mincho" w:cs="Calibri"/>
          <w:i/>
          <w:iCs/>
          <w:sz w:val="22"/>
          <w:szCs w:val="22"/>
          <w:lang w:val="en-CA"/>
        </w:rPr>
        <w:t xml:space="preserve"> to defer the decision on the issue to the 2022 session of the Council.</w:t>
      </w:r>
    </w:p>
    <w:p w14:paraId="2D3E1ACE" w14:textId="6B2AC2BC" w:rsidR="0014634F" w:rsidRPr="00525618" w:rsidRDefault="00FF4F9B" w:rsidP="00F2750A">
      <w:pPr>
        <w:spacing w:before="360"/>
        <w:jc w:val="both"/>
        <w:rPr>
          <w:lang w:val="en-US"/>
        </w:rPr>
      </w:pPr>
      <w:r>
        <w:rPr>
          <w:lang w:val="en-CA"/>
        </w:rPr>
        <w:t>2</w:t>
      </w:r>
      <w:r>
        <w:rPr>
          <w:lang w:val="en-CA"/>
        </w:rPr>
        <w:tab/>
      </w:r>
      <w:r w:rsidR="00117D72" w:rsidRPr="00117D72">
        <w:rPr>
          <w:lang w:val="en-US"/>
        </w:rPr>
        <w:t>T</w:t>
      </w:r>
      <w:r w:rsidR="001B0C19" w:rsidRPr="00117D72">
        <w:rPr>
          <w:lang w:val="en-US"/>
        </w:rPr>
        <w:t>he</w:t>
      </w:r>
      <w:r w:rsidR="001B0C19">
        <w:rPr>
          <w:lang w:val="en-CA"/>
        </w:rPr>
        <w:t xml:space="preserve"> Council is</w:t>
      </w:r>
      <w:r w:rsidR="00117D72">
        <w:rPr>
          <w:lang w:val="en-CA"/>
        </w:rPr>
        <w:t xml:space="preserve"> therefore</w:t>
      </w:r>
      <w:r w:rsidR="001B0C19">
        <w:rPr>
          <w:lang w:val="en-CA"/>
        </w:rPr>
        <w:t xml:space="preserve"> invited to take a decision</w:t>
      </w:r>
      <w:r>
        <w:rPr>
          <w:lang w:val="en-CA"/>
        </w:rPr>
        <w:t xml:space="preserve"> </w:t>
      </w:r>
      <w:r w:rsidR="00117D72" w:rsidRPr="00117D72">
        <w:rPr>
          <w:lang w:val="en-CA"/>
        </w:rPr>
        <w:t>on the hiring of a consultancy for the second phase.</w:t>
      </w:r>
    </w:p>
    <w:p w14:paraId="7809A502" w14:textId="11B3F9B7" w:rsidR="004A1B8B" w:rsidRDefault="00A50C70" w:rsidP="00A50C70">
      <w:pPr>
        <w:spacing w:before="840"/>
        <w:jc w:val="center"/>
        <w:rPr>
          <w:lang w:val="en-US"/>
        </w:rPr>
      </w:pPr>
      <w:r>
        <w:rPr>
          <w:lang w:val="en-US"/>
        </w:rPr>
        <w:t>_____________________</w:t>
      </w:r>
    </w:p>
    <w:sectPr w:rsidR="004A1B8B" w:rsidSect="004D1851">
      <w:head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D7B0C" w14:textId="77777777" w:rsidR="0014634F" w:rsidRDefault="0014634F">
      <w:r>
        <w:separator/>
      </w:r>
    </w:p>
  </w:endnote>
  <w:endnote w:type="continuationSeparator" w:id="0">
    <w:p w14:paraId="724281C9" w14:textId="77777777" w:rsidR="0014634F" w:rsidRDefault="00146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D4DA"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385DD" w14:textId="77777777" w:rsidR="0014634F" w:rsidRDefault="0014634F">
      <w:r>
        <w:t>____________________</w:t>
      </w:r>
    </w:p>
  </w:footnote>
  <w:footnote w:type="continuationSeparator" w:id="0">
    <w:p w14:paraId="59030122" w14:textId="77777777" w:rsidR="0014634F" w:rsidRDefault="00146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217C" w14:textId="77777777" w:rsidR="00322D0D" w:rsidRDefault="006535F1" w:rsidP="00CE433C">
    <w:pPr>
      <w:pStyle w:val="Header"/>
    </w:pPr>
    <w:r>
      <w:fldChar w:fldCharType="begin"/>
    </w:r>
    <w:r>
      <w:instrText>PAGE</w:instrText>
    </w:r>
    <w:r>
      <w:fldChar w:fldCharType="separate"/>
    </w:r>
    <w:r w:rsidR="00FB1279">
      <w:rPr>
        <w:noProof/>
      </w:rPr>
      <w:t>2</w:t>
    </w:r>
    <w:r>
      <w:rPr>
        <w:noProof/>
      </w:rPr>
      <w:fldChar w:fldCharType="end"/>
    </w:r>
  </w:p>
  <w:p w14:paraId="4948958C" w14:textId="74A378CE" w:rsidR="00322D0D" w:rsidRPr="00623AE3" w:rsidRDefault="00623AE3" w:rsidP="00FB1279">
    <w:pPr>
      <w:pStyle w:val="Header"/>
      <w:rPr>
        <w:bCs/>
      </w:rPr>
    </w:pPr>
    <w:r w:rsidRPr="00623AE3">
      <w:rPr>
        <w:bCs/>
      </w:rPr>
      <w:t>C</w:t>
    </w:r>
    <w:r w:rsidR="004A1B8B">
      <w:rPr>
        <w:bCs/>
      </w:rPr>
      <w:t>2</w:t>
    </w:r>
    <w:r w:rsidR="0014634F">
      <w:rPr>
        <w:bCs/>
      </w:rPr>
      <w:t>2</w:t>
    </w:r>
    <w:r w:rsidRPr="00623AE3">
      <w:rPr>
        <w:bCs/>
      </w:rPr>
      <w:t>/</w:t>
    </w:r>
    <w:r w:rsidR="00117D72">
      <w:rPr>
        <w:bCs/>
      </w:rPr>
      <w:t>10</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F3439B"/>
    <w:multiLevelType w:val="hybridMultilevel"/>
    <w:tmpl w:val="3A66A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585386"/>
    <w:multiLevelType w:val="hybridMultilevel"/>
    <w:tmpl w:val="8E502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5B589F"/>
    <w:multiLevelType w:val="hybridMultilevel"/>
    <w:tmpl w:val="D20A7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184478"/>
    <w:multiLevelType w:val="hybridMultilevel"/>
    <w:tmpl w:val="DD582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4F"/>
    <w:rsid w:val="000210D4"/>
    <w:rsid w:val="00026506"/>
    <w:rsid w:val="00063016"/>
    <w:rsid w:val="00066795"/>
    <w:rsid w:val="00076AF6"/>
    <w:rsid w:val="00085CF2"/>
    <w:rsid w:val="000B1705"/>
    <w:rsid w:val="000D75B2"/>
    <w:rsid w:val="001121F5"/>
    <w:rsid w:val="00117D72"/>
    <w:rsid w:val="0013305A"/>
    <w:rsid w:val="001400DC"/>
    <w:rsid w:val="00140CE1"/>
    <w:rsid w:val="0014634F"/>
    <w:rsid w:val="0017539C"/>
    <w:rsid w:val="00175AC2"/>
    <w:rsid w:val="0017609F"/>
    <w:rsid w:val="001B0C19"/>
    <w:rsid w:val="001C628E"/>
    <w:rsid w:val="001E0F7B"/>
    <w:rsid w:val="002119FD"/>
    <w:rsid w:val="002130E0"/>
    <w:rsid w:val="00264425"/>
    <w:rsid w:val="00265875"/>
    <w:rsid w:val="0027303B"/>
    <w:rsid w:val="0028109B"/>
    <w:rsid w:val="002A2188"/>
    <w:rsid w:val="002B1F58"/>
    <w:rsid w:val="002B5160"/>
    <w:rsid w:val="002C1C7A"/>
    <w:rsid w:val="0030160F"/>
    <w:rsid w:val="00320223"/>
    <w:rsid w:val="00322D0D"/>
    <w:rsid w:val="003942D4"/>
    <w:rsid w:val="003958A8"/>
    <w:rsid w:val="003C2533"/>
    <w:rsid w:val="0040435A"/>
    <w:rsid w:val="00416A24"/>
    <w:rsid w:val="00431D9E"/>
    <w:rsid w:val="00433CE8"/>
    <w:rsid w:val="00434A5C"/>
    <w:rsid w:val="004544D9"/>
    <w:rsid w:val="00490E72"/>
    <w:rsid w:val="00491157"/>
    <w:rsid w:val="004921C8"/>
    <w:rsid w:val="004A1B8B"/>
    <w:rsid w:val="004D1851"/>
    <w:rsid w:val="004D599D"/>
    <w:rsid w:val="004E2EA5"/>
    <w:rsid w:val="004E3AEB"/>
    <w:rsid w:val="0050223C"/>
    <w:rsid w:val="005243FF"/>
    <w:rsid w:val="00525618"/>
    <w:rsid w:val="00564FBC"/>
    <w:rsid w:val="00582442"/>
    <w:rsid w:val="005F3269"/>
    <w:rsid w:val="00623AE3"/>
    <w:rsid w:val="00623AFD"/>
    <w:rsid w:val="00631067"/>
    <w:rsid w:val="0064737F"/>
    <w:rsid w:val="006535F1"/>
    <w:rsid w:val="0065557D"/>
    <w:rsid w:val="00662984"/>
    <w:rsid w:val="006716BB"/>
    <w:rsid w:val="006B6680"/>
    <w:rsid w:val="006B6DCC"/>
    <w:rsid w:val="00702DEF"/>
    <w:rsid w:val="00706861"/>
    <w:rsid w:val="0075051B"/>
    <w:rsid w:val="00793188"/>
    <w:rsid w:val="00794D34"/>
    <w:rsid w:val="00813E5E"/>
    <w:rsid w:val="0083581B"/>
    <w:rsid w:val="00864AFF"/>
    <w:rsid w:val="008B4A6A"/>
    <w:rsid w:val="008C7E27"/>
    <w:rsid w:val="009173EF"/>
    <w:rsid w:val="00932906"/>
    <w:rsid w:val="0093672A"/>
    <w:rsid w:val="00961B0B"/>
    <w:rsid w:val="009B38C3"/>
    <w:rsid w:val="009E17BD"/>
    <w:rsid w:val="009E485A"/>
    <w:rsid w:val="00A04CEC"/>
    <w:rsid w:val="00A27F92"/>
    <w:rsid w:val="00A32257"/>
    <w:rsid w:val="00A36D20"/>
    <w:rsid w:val="00A50C70"/>
    <w:rsid w:val="00A55622"/>
    <w:rsid w:val="00A83502"/>
    <w:rsid w:val="00AD15B3"/>
    <w:rsid w:val="00AF6E49"/>
    <w:rsid w:val="00B04A67"/>
    <w:rsid w:val="00B0583C"/>
    <w:rsid w:val="00B40A81"/>
    <w:rsid w:val="00B44910"/>
    <w:rsid w:val="00B72267"/>
    <w:rsid w:val="00B76EB6"/>
    <w:rsid w:val="00B7737B"/>
    <w:rsid w:val="00B824C8"/>
    <w:rsid w:val="00B84B9D"/>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6183"/>
    <w:rsid w:val="00D22C42"/>
    <w:rsid w:val="00D65041"/>
    <w:rsid w:val="00DB384B"/>
    <w:rsid w:val="00E10E80"/>
    <w:rsid w:val="00E124F0"/>
    <w:rsid w:val="00E60F04"/>
    <w:rsid w:val="00E854E4"/>
    <w:rsid w:val="00EB0D6F"/>
    <w:rsid w:val="00EB2232"/>
    <w:rsid w:val="00EC5337"/>
    <w:rsid w:val="00F2150A"/>
    <w:rsid w:val="00F231D8"/>
    <w:rsid w:val="00F2750A"/>
    <w:rsid w:val="00F46C5F"/>
    <w:rsid w:val="00F94A63"/>
    <w:rsid w:val="00FA1C28"/>
    <w:rsid w:val="00FB1279"/>
    <w:rsid w:val="00FB7596"/>
    <w:rsid w:val="00FC36DE"/>
    <w:rsid w:val="00FE4077"/>
    <w:rsid w:val="00FE77D2"/>
    <w:rsid w:val="00FF4F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191EB6E"/>
  <w15:docId w15:val="{2D7282C5-D362-4336-BB5E-B699225B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525618"/>
    <w:pPr>
      <w:ind w:left="720"/>
      <w:contextualSpacing/>
    </w:pPr>
  </w:style>
  <w:style w:type="character" w:styleId="UnresolvedMention">
    <w:name w:val="Unresolved Mention"/>
    <w:basedOn w:val="DefaultParagraphFont"/>
    <w:uiPriority w:val="99"/>
    <w:semiHidden/>
    <w:unhideWhenUsed/>
    <w:rsid w:val="001B0C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05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1-CL-C-0010/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21-CL-C-0091/en" TargetMode="External"/><Relationship Id="rId17" Type="http://schemas.openxmlformats.org/officeDocument/2006/relationships/hyperlink" Target="https://www.itu.int/md/S21-CL-C-0079/en" TargetMode="External"/><Relationship Id="rId2" Type="http://schemas.openxmlformats.org/officeDocument/2006/relationships/numbering" Target="numbering.xml"/><Relationship Id="rId16" Type="http://schemas.openxmlformats.org/officeDocument/2006/relationships/hyperlink" Target="https://www.itu.int/md/S21-CL-C-0010/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1-CL-C-0079/en" TargetMode="External"/><Relationship Id="rId5" Type="http://schemas.openxmlformats.org/officeDocument/2006/relationships/webSettings" Target="webSettings.xml"/><Relationship Id="rId15" Type="http://schemas.openxmlformats.org/officeDocument/2006/relationships/hyperlink" Target="https://www.itu.int/md/S21-CL-C-0091/en" TargetMode="External"/><Relationship Id="rId10" Type="http://schemas.openxmlformats.org/officeDocument/2006/relationships/hyperlink" Target="https://www.itu.int/md/S21-CL-C-0010/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20-CL-C-0010/en" TargetMode="External"/><Relationship Id="rId14" Type="http://schemas.openxmlformats.org/officeDocument/2006/relationships/hyperlink" Target="https://www.itu.int/md/S21-CL-C-0079/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PE_C21.dotx</Template>
  <TotalTime>48</TotalTime>
  <Pages>2</Pages>
  <Words>890</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Council 2022</vt:lpstr>
    </vt:vector>
  </TitlesOfParts>
  <Manager>General Secretariat - Pool</Manager>
  <Company>International Telecommunication Union (ITU)</Company>
  <LinksUpToDate>false</LinksUpToDate>
  <CharactersWithSpaces>6085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Hiring of an independent external management consultant for ITU Telecom events and recommendations: follow up</dc:title>
  <dc:subject>Council 2022</dc:subject>
  <dc:creator>Brouard, Ricarda</dc:creator>
  <cp:keywords>C2022, C22, Council-22</cp:keywords>
  <dc:description/>
  <cp:lastModifiedBy>Xue, Kun</cp:lastModifiedBy>
  <cp:revision>8</cp:revision>
  <cp:lastPrinted>2000-07-18T13:30:00Z</cp:lastPrinted>
  <dcterms:created xsi:type="dcterms:W3CDTF">2021-11-19T09:48:00Z</dcterms:created>
  <dcterms:modified xsi:type="dcterms:W3CDTF">2021-11-24T09:51:00Z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