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552FF3" w14:paraId="718FB71B" w14:textId="77777777">
        <w:trPr>
          <w:cantSplit/>
        </w:trPr>
        <w:tc>
          <w:tcPr>
            <w:tcW w:w="6912" w:type="dxa"/>
          </w:tcPr>
          <w:p w14:paraId="3A7DBD7E" w14:textId="77777777" w:rsidR="00520F36" w:rsidRPr="00552FF3" w:rsidRDefault="00520F36" w:rsidP="00123BE3">
            <w:pPr>
              <w:spacing w:before="360"/>
            </w:pPr>
            <w:bookmarkStart w:id="0" w:name="dc06"/>
            <w:bookmarkEnd w:id="0"/>
            <w:r w:rsidRPr="00552FF3">
              <w:rPr>
                <w:b/>
                <w:bCs/>
                <w:sz w:val="30"/>
                <w:szCs w:val="30"/>
              </w:rPr>
              <w:t>Conseil 20</w:t>
            </w:r>
            <w:r w:rsidR="009C353C" w:rsidRPr="00552FF3">
              <w:rPr>
                <w:b/>
                <w:bCs/>
                <w:sz w:val="30"/>
                <w:szCs w:val="30"/>
              </w:rPr>
              <w:t>2</w:t>
            </w:r>
            <w:r w:rsidR="0083391C" w:rsidRPr="00552FF3">
              <w:rPr>
                <w:b/>
                <w:bCs/>
                <w:sz w:val="30"/>
                <w:szCs w:val="30"/>
              </w:rPr>
              <w:t>2</w:t>
            </w:r>
            <w:r w:rsidRPr="00552FF3">
              <w:rPr>
                <w:rFonts w:ascii="Verdana" w:hAnsi="Verdana"/>
                <w:b/>
                <w:bCs/>
                <w:sz w:val="26"/>
                <w:szCs w:val="26"/>
              </w:rPr>
              <w:br/>
            </w:r>
            <w:r w:rsidR="0083391C" w:rsidRPr="00552FF3">
              <w:rPr>
                <w:b/>
                <w:bCs/>
                <w:sz w:val="28"/>
                <w:szCs w:val="28"/>
              </w:rPr>
              <w:t>Genève</w:t>
            </w:r>
            <w:r w:rsidRPr="00552FF3">
              <w:rPr>
                <w:b/>
                <w:bCs/>
                <w:sz w:val="28"/>
                <w:szCs w:val="28"/>
              </w:rPr>
              <w:t xml:space="preserve">, </w:t>
            </w:r>
            <w:r w:rsidR="0083391C" w:rsidRPr="00552FF3">
              <w:rPr>
                <w:b/>
                <w:bCs/>
                <w:sz w:val="28"/>
                <w:szCs w:val="28"/>
              </w:rPr>
              <w:t>21</w:t>
            </w:r>
            <w:r w:rsidRPr="00552FF3">
              <w:rPr>
                <w:b/>
                <w:bCs/>
                <w:sz w:val="28"/>
                <w:szCs w:val="28"/>
              </w:rPr>
              <w:t>-</w:t>
            </w:r>
            <w:r w:rsidR="0083391C" w:rsidRPr="00552FF3">
              <w:rPr>
                <w:b/>
                <w:bCs/>
                <w:sz w:val="28"/>
                <w:szCs w:val="28"/>
              </w:rPr>
              <w:t>31</w:t>
            </w:r>
            <w:r w:rsidR="00106B19" w:rsidRPr="00552FF3">
              <w:rPr>
                <w:b/>
                <w:bCs/>
                <w:sz w:val="28"/>
                <w:szCs w:val="28"/>
              </w:rPr>
              <w:t xml:space="preserve"> </w:t>
            </w:r>
            <w:r w:rsidR="0083391C" w:rsidRPr="00552FF3">
              <w:rPr>
                <w:b/>
                <w:bCs/>
                <w:sz w:val="28"/>
                <w:szCs w:val="28"/>
              </w:rPr>
              <w:t>mars</w:t>
            </w:r>
            <w:r w:rsidRPr="00552FF3">
              <w:rPr>
                <w:b/>
                <w:bCs/>
                <w:sz w:val="28"/>
                <w:szCs w:val="28"/>
              </w:rPr>
              <w:t xml:space="preserve"> 20</w:t>
            </w:r>
            <w:r w:rsidR="009C353C" w:rsidRPr="00552FF3">
              <w:rPr>
                <w:b/>
                <w:bCs/>
                <w:sz w:val="28"/>
                <w:szCs w:val="28"/>
              </w:rPr>
              <w:t>2</w:t>
            </w:r>
            <w:r w:rsidR="0083391C" w:rsidRPr="00552FF3">
              <w:rPr>
                <w:b/>
                <w:bCs/>
                <w:sz w:val="28"/>
                <w:szCs w:val="28"/>
              </w:rPr>
              <w:t>2</w:t>
            </w:r>
          </w:p>
        </w:tc>
        <w:tc>
          <w:tcPr>
            <w:tcW w:w="3261" w:type="dxa"/>
          </w:tcPr>
          <w:p w14:paraId="04DB7121" w14:textId="77777777" w:rsidR="00520F36" w:rsidRPr="00552FF3" w:rsidRDefault="009C353C" w:rsidP="00123BE3">
            <w:pPr>
              <w:spacing w:before="0"/>
            </w:pPr>
            <w:bookmarkStart w:id="1" w:name="ditulogo"/>
            <w:bookmarkEnd w:id="1"/>
            <w:r w:rsidRPr="00552FF3">
              <w:rPr>
                <w:noProof/>
                <w:lang w:val="en-US"/>
              </w:rPr>
              <w:drawing>
                <wp:inline distT="0" distB="0" distL="0" distR="0" wp14:anchorId="3E2CE327" wp14:editId="5B13369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552FF3" w14:paraId="49F91C7F" w14:textId="77777777" w:rsidTr="00EF41DD">
        <w:trPr>
          <w:cantSplit/>
          <w:trHeight w:val="20"/>
        </w:trPr>
        <w:tc>
          <w:tcPr>
            <w:tcW w:w="6912" w:type="dxa"/>
            <w:tcBorders>
              <w:bottom w:val="single" w:sz="12" w:space="0" w:color="auto"/>
            </w:tcBorders>
            <w:vAlign w:val="center"/>
          </w:tcPr>
          <w:p w14:paraId="317088E3" w14:textId="77777777" w:rsidR="00520F36" w:rsidRPr="00552FF3" w:rsidRDefault="00520F36" w:rsidP="00123BE3">
            <w:pPr>
              <w:spacing w:before="0"/>
              <w:rPr>
                <w:b/>
                <w:bCs/>
                <w:sz w:val="26"/>
                <w:szCs w:val="26"/>
              </w:rPr>
            </w:pPr>
          </w:p>
        </w:tc>
        <w:tc>
          <w:tcPr>
            <w:tcW w:w="3261" w:type="dxa"/>
            <w:tcBorders>
              <w:bottom w:val="single" w:sz="12" w:space="0" w:color="auto"/>
            </w:tcBorders>
          </w:tcPr>
          <w:p w14:paraId="45402C87" w14:textId="77777777" w:rsidR="00520F36" w:rsidRPr="00552FF3" w:rsidRDefault="00520F36" w:rsidP="00123BE3">
            <w:pPr>
              <w:spacing w:before="0"/>
              <w:rPr>
                <w:b/>
                <w:bCs/>
              </w:rPr>
            </w:pPr>
          </w:p>
        </w:tc>
      </w:tr>
      <w:tr w:rsidR="00520F36" w:rsidRPr="00552FF3" w14:paraId="5EB5AF71" w14:textId="77777777">
        <w:trPr>
          <w:cantSplit/>
          <w:trHeight w:val="20"/>
        </w:trPr>
        <w:tc>
          <w:tcPr>
            <w:tcW w:w="6912" w:type="dxa"/>
            <w:tcBorders>
              <w:top w:val="single" w:sz="12" w:space="0" w:color="auto"/>
            </w:tcBorders>
          </w:tcPr>
          <w:p w14:paraId="74C70BBA" w14:textId="77777777" w:rsidR="00520F36" w:rsidRPr="00552FF3" w:rsidRDefault="00520F36" w:rsidP="00123BE3">
            <w:pPr>
              <w:spacing w:before="0"/>
              <w:rPr>
                <w:smallCaps/>
                <w:sz w:val="22"/>
              </w:rPr>
            </w:pPr>
          </w:p>
        </w:tc>
        <w:tc>
          <w:tcPr>
            <w:tcW w:w="3261" w:type="dxa"/>
            <w:tcBorders>
              <w:top w:val="single" w:sz="12" w:space="0" w:color="auto"/>
            </w:tcBorders>
          </w:tcPr>
          <w:p w14:paraId="1319C560" w14:textId="77777777" w:rsidR="00520F36" w:rsidRPr="00552FF3" w:rsidRDefault="00520F36" w:rsidP="00123BE3">
            <w:pPr>
              <w:spacing w:before="0"/>
              <w:rPr>
                <w:b/>
                <w:bCs/>
              </w:rPr>
            </w:pPr>
          </w:p>
        </w:tc>
      </w:tr>
      <w:tr w:rsidR="00520F36" w:rsidRPr="00552FF3" w14:paraId="25D7A655" w14:textId="77777777">
        <w:trPr>
          <w:cantSplit/>
          <w:trHeight w:val="20"/>
        </w:trPr>
        <w:tc>
          <w:tcPr>
            <w:tcW w:w="6912" w:type="dxa"/>
            <w:vMerge w:val="restart"/>
          </w:tcPr>
          <w:p w14:paraId="7B186B66" w14:textId="77777777" w:rsidR="00520F36" w:rsidRPr="00552FF3" w:rsidRDefault="00520F36" w:rsidP="00123BE3">
            <w:pPr>
              <w:spacing w:before="0"/>
              <w:rPr>
                <w:rFonts w:cs="Times"/>
                <w:b/>
                <w:bCs/>
                <w:szCs w:val="24"/>
              </w:rPr>
            </w:pPr>
            <w:bookmarkStart w:id="2" w:name="dnum" w:colFirst="1" w:colLast="1"/>
            <w:bookmarkStart w:id="3" w:name="dmeeting" w:colFirst="0" w:colLast="0"/>
          </w:p>
        </w:tc>
        <w:tc>
          <w:tcPr>
            <w:tcW w:w="3261" w:type="dxa"/>
          </w:tcPr>
          <w:p w14:paraId="72DD10BA" w14:textId="6721368D" w:rsidR="00520F36" w:rsidRPr="00552FF3" w:rsidRDefault="00520F36" w:rsidP="00123BE3">
            <w:pPr>
              <w:spacing w:before="0"/>
              <w:rPr>
                <w:b/>
                <w:bCs/>
              </w:rPr>
            </w:pPr>
            <w:r w:rsidRPr="00552FF3">
              <w:rPr>
                <w:b/>
                <w:bCs/>
              </w:rPr>
              <w:t>Document C</w:t>
            </w:r>
            <w:r w:rsidR="009C353C" w:rsidRPr="00552FF3">
              <w:rPr>
                <w:b/>
                <w:bCs/>
              </w:rPr>
              <w:t>2</w:t>
            </w:r>
            <w:r w:rsidR="0083391C" w:rsidRPr="00552FF3">
              <w:rPr>
                <w:b/>
                <w:bCs/>
              </w:rPr>
              <w:t>2</w:t>
            </w:r>
            <w:r w:rsidRPr="00552FF3">
              <w:rPr>
                <w:b/>
                <w:bCs/>
              </w:rPr>
              <w:t>/</w:t>
            </w:r>
            <w:r w:rsidR="009C3FDA" w:rsidRPr="00552FF3">
              <w:rPr>
                <w:b/>
                <w:bCs/>
              </w:rPr>
              <w:t>18</w:t>
            </w:r>
            <w:r w:rsidRPr="00552FF3">
              <w:rPr>
                <w:b/>
                <w:bCs/>
              </w:rPr>
              <w:t>-F</w:t>
            </w:r>
          </w:p>
        </w:tc>
      </w:tr>
      <w:tr w:rsidR="00520F36" w:rsidRPr="00552FF3" w14:paraId="0B9F4AD0" w14:textId="77777777">
        <w:trPr>
          <w:cantSplit/>
          <w:trHeight w:val="20"/>
        </w:trPr>
        <w:tc>
          <w:tcPr>
            <w:tcW w:w="6912" w:type="dxa"/>
            <w:vMerge/>
          </w:tcPr>
          <w:p w14:paraId="5D14E0F8" w14:textId="77777777" w:rsidR="00520F36" w:rsidRPr="00552FF3" w:rsidRDefault="00520F36" w:rsidP="00123BE3">
            <w:pPr>
              <w:shd w:val="solid" w:color="FFFFFF" w:fill="FFFFFF"/>
              <w:spacing w:before="180"/>
              <w:rPr>
                <w:smallCaps/>
              </w:rPr>
            </w:pPr>
            <w:bookmarkStart w:id="4" w:name="ddate" w:colFirst="1" w:colLast="1"/>
            <w:bookmarkEnd w:id="2"/>
            <w:bookmarkEnd w:id="3"/>
          </w:p>
        </w:tc>
        <w:tc>
          <w:tcPr>
            <w:tcW w:w="3261" w:type="dxa"/>
          </w:tcPr>
          <w:p w14:paraId="05077EFC" w14:textId="064BD622" w:rsidR="00520F36" w:rsidRPr="00552FF3" w:rsidRDefault="009C3FDA" w:rsidP="00123BE3">
            <w:pPr>
              <w:spacing w:before="0"/>
              <w:rPr>
                <w:b/>
                <w:bCs/>
              </w:rPr>
            </w:pPr>
            <w:r w:rsidRPr="00552FF3">
              <w:rPr>
                <w:b/>
                <w:bCs/>
              </w:rPr>
              <w:t>1</w:t>
            </w:r>
            <w:r w:rsidR="00123BE3" w:rsidRPr="00552FF3">
              <w:rPr>
                <w:b/>
                <w:bCs/>
              </w:rPr>
              <w:t>8</w:t>
            </w:r>
            <w:r w:rsidRPr="00552FF3">
              <w:rPr>
                <w:b/>
                <w:bCs/>
              </w:rPr>
              <w:t xml:space="preserve"> février</w:t>
            </w:r>
            <w:r w:rsidR="00520F36" w:rsidRPr="00552FF3">
              <w:rPr>
                <w:b/>
                <w:bCs/>
              </w:rPr>
              <w:t xml:space="preserve"> 20</w:t>
            </w:r>
            <w:r w:rsidR="009C353C" w:rsidRPr="00552FF3">
              <w:rPr>
                <w:b/>
                <w:bCs/>
              </w:rPr>
              <w:t>2</w:t>
            </w:r>
            <w:r w:rsidRPr="00552FF3">
              <w:rPr>
                <w:b/>
                <w:bCs/>
              </w:rPr>
              <w:t>2</w:t>
            </w:r>
          </w:p>
        </w:tc>
      </w:tr>
      <w:tr w:rsidR="00520F36" w:rsidRPr="00552FF3" w14:paraId="6AC1C219" w14:textId="77777777">
        <w:trPr>
          <w:cantSplit/>
          <w:trHeight w:val="20"/>
        </w:trPr>
        <w:tc>
          <w:tcPr>
            <w:tcW w:w="6912" w:type="dxa"/>
            <w:vMerge/>
          </w:tcPr>
          <w:p w14:paraId="7905C90D" w14:textId="77777777" w:rsidR="00520F36" w:rsidRPr="00552FF3" w:rsidRDefault="00520F36" w:rsidP="00123BE3">
            <w:pPr>
              <w:shd w:val="solid" w:color="FFFFFF" w:fill="FFFFFF"/>
              <w:spacing w:before="180"/>
              <w:rPr>
                <w:smallCaps/>
              </w:rPr>
            </w:pPr>
            <w:bookmarkStart w:id="5" w:name="dorlang" w:colFirst="1" w:colLast="1"/>
            <w:bookmarkEnd w:id="4"/>
          </w:p>
        </w:tc>
        <w:tc>
          <w:tcPr>
            <w:tcW w:w="3261" w:type="dxa"/>
          </w:tcPr>
          <w:p w14:paraId="6DFF0077" w14:textId="77777777" w:rsidR="00520F36" w:rsidRPr="00552FF3" w:rsidRDefault="00520F36" w:rsidP="00123BE3">
            <w:pPr>
              <w:spacing w:before="0"/>
              <w:rPr>
                <w:b/>
                <w:bCs/>
              </w:rPr>
            </w:pPr>
            <w:proofErr w:type="gramStart"/>
            <w:r w:rsidRPr="00552FF3">
              <w:rPr>
                <w:b/>
                <w:bCs/>
              </w:rPr>
              <w:t>Original:</w:t>
            </w:r>
            <w:proofErr w:type="gramEnd"/>
            <w:r w:rsidRPr="00552FF3">
              <w:rPr>
                <w:b/>
                <w:bCs/>
              </w:rPr>
              <w:t xml:space="preserve"> anglais</w:t>
            </w:r>
          </w:p>
        </w:tc>
      </w:tr>
      <w:tr w:rsidR="00520F36" w:rsidRPr="00552FF3" w14:paraId="08753C1C" w14:textId="77777777">
        <w:trPr>
          <w:cantSplit/>
        </w:trPr>
        <w:tc>
          <w:tcPr>
            <w:tcW w:w="10173" w:type="dxa"/>
            <w:gridSpan w:val="2"/>
          </w:tcPr>
          <w:p w14:paraId="26403670" w14:textId="3E1A1D26" w:rsidR="00520F36" w:rsidRPr="00552FF3" w:rsidRDefault="009C3FDA" w:rsidP="00123BE3">
            <w:pPr>
              <w:pStyle w:val="Source"/>
            </w:pPr>
            <w:bookmarkStart w:id="6" w:name="dsource" w:colFirst="0" w:colLast="0"/>
            <w:bookmarkEnd w:id="5"/>
            <w:r w:rsidRPr="00552FF3">
              <w:t>Rapport du Secrétaire général</w:t>
            </w:r>
          </w:p>
        </w:tc>
      </w:tr>
      <w:tr w:rsidR="00520F36" w:rsidRPr="00552FF3" w14:paraId="68067A52" w14:textId="77777777">
        <w:trPr>
          <w:cantSplit/>
        </w:trPr>
        <w:tc>
          <w:tcPr>
            <w:tcW w:w="10173" w:type="dxa"/>
            <w:gridSpan w:val="2"/>
          </w:tcPr>
          <w:p w14:paraId="148FB459" w14:textId="4A2EE9A2" w:rsidR="00520F36" w:rsidRPr="00552FF3" w:rsidRDefault="009C3FDA" w:rsidP="00123BE3">
            <w:pPr>
              <w:pStyle w:val="Title1"/>
            </w:pPr>
            <w:bookmarkStart w:id="7" w:name="dtitle1" w:colFirst="0" w:colLast="0"/>
            <w:bookmarkEnd w:id="6"/>
            <w:r w:rsidRPr="00552FF3">
              <w:t>ActivitÉs de l'UIT relatives au renforcement du rÔle de l'union dans l'instauration de la confiance et de la sÉcuritÉ dans l'utilisation des technologies de l'information et de la communication</w:t>
            </w:r>
          </w:p>
        </w:tc>
      </w:tr>
      <w:bookmarkEnd w:id="7"/>
    </w:tbl>
    <w:p w14:paraId="5B8F7A46" w14:textId="77777777" w:rsidR="00520F36" w:rsidRPr="00552FF3" w:rsidRDefault="00520F36" w:rsidP="00123BE3"/>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552FF3" w14:paraId="3829E6B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A52AB25" w14:textId="77777777" w:rsidR="00520F36" w:rsidRPr="00552FF3" w:rsidRDefault="00520F36" w:rsidP="00123BE3">
            <w:pPr>
              <w:pStyle w:val="Headingb"/>
            </w:pPr>
            <w:r w:rsidRPr="00552FF3">
              <w:t>Résumé</w:t>
            </w:r>
          </w:p>
          <w:p w14:paraId="6DE095F9" w14:textId="149DE9E0" w:rsidR="009C3FDA" w:rsidRPr="00552FF3" w:rsidRDefault="009C3FDA" w:rsidP="00123BE3">
            <w:r w:rsidRPr="00552FF3">
              <w:t>Le présent rapport résume les activités menées par l'UIT en 2021 au titre de la Résolution 130 (Rév. Dubaï, 2018) de la Conférence de plénipotentiaires, du rôle de l'UIT en tant que coordonnateur unique pour la grande orientation C5 du SMSI et des autres décisions prises par les membres concernant le renforcement du rôle de l'UIT dans l'instauration de la confiance et de la sécurité dans l'utilisation des technologies de l'information et de la communication (TIC).</w:t>
            </w:r>
          </w:p>
          <w:p w14:paraId="000EBC52" w14:textId="77777777" w:rsidR="00520F36" w:rsidRPr="00552FF3" w:rsidRDefault="00520F36" w:rsidP="00123BE3">
            <w:pPr>
              <w:pStyle w:val="Headingb"/>
            </w:pPr>
            <w:proofErr w:type="gramStart"/>
            <w:r w:rsidRPr="00552FF3">
              <w:t>Suite à</w:t>
            </w:r>
            <w:proofErr w:type="gramEnd"/>
            <w:r w:rsidRPr="00552FF3">
              <w:t xml:space="preserve"> donner</w:t>
            </w:r>
          </w:p>
          <w:p w14:paraId="505B4704" w14:textId="32A2A088" w:rsidR="00520F36" w:rsidRPr="00552FF3" w:rsidRDefault="009C3FDA" w:rsidP="00123BE3">
            <w:r w:rsidRPr="00552FF3">
              <w:t xml:space="preserve">Le Conseil est invité à </w:t>
            </w:r>
            <w:r w:rsidRPr="00552FF3">
              <w:rPr>
                <w:b/>
              </w:rPr>
              <w:t>prendre note</w:t>
            </w:r>
            <w:r w:rsidRPr="00552FF3">
              <w:t xml:space="preserve"> du présent rapport.</w:t>
            </w:r>
          </w:p>
          <w:p w14:paraId="58C04B41" w14:textId="77777777" w:rsidR="00520F36" w:rsidRPr="00552FF3" w:rsidRDefault="00520F36" w:rsidP="00123BE3">
            <w:pPr>
              <w:pStyle w:val="Table"/>
              <w:keepNext w:val="0"/>
              <w:spacing w:before="0" w:after="0"/>
              <w:rPr>
                <w:rFonts w:ascii="Calibri" w:hAnsi="Calibri"/>
                <w:caps w:val="0"/>
                <w:sz w:val="22"/>
                <w:lang w:val="fr-FR"/>
              </w:rPr>
            </w:pPr>
            <w:r w:rsidRPr="00552FF3">
              <w:rPr>
                <w:rFonts w:ascii="Calibri" w:hAnsi="Calibri"/>
                <w:caps w:val="0"/>
                <w:sz w:val="22"/>
                <w:lang w:val="fr-FR"/>
              </w:rPr>
              <w:t>____________</w:t>
            </w:r>
          </w:p>
          <w:p w14:paraId="6413EC2E" w14:textId="77777777" w:rsidR="00520F36" w:rsidRPr="00552FF3" w:rsidRDefault="00520F36" w:rsidP="00123BE3">
            <w:pPr>
              <w:pStyle w:val="Headingb"/>
            </w:pPr>
            <w:r w:rsidRPr="00552FF3">
              <w:t>Références</w:t>
            </w:r>
          </w:p>
          <w:p w14:paraId="3F0B863F" w14:textId="43795771" w:rsidR="00520F36" w:rsidRPr="00552FF3" w:rsidRDefault="009C3FDA" w:rsidP="00123BE3">
            <w:bookmarkStart w:id="8" w:name="lt_pId020"/>
            <w:r w:rsidRPr="00552FF3">
              <w:rPr>
                <w:i/>
                <w:iCs/>
              </w:rPr>
              <w:t xml:space="preserve">Résolutions </w:t>
            </w:r>
            <w:hyperlink r:id="rId8" w:history="1">
              <w:r w:rsidRPr="00552FF3">
                <w:rPr>
                  <w:rStyle w:val="Hyperlink"/>
                  <w:i/>
                  <w:iCs/>
                </w:rPr>
                <w:t>71</w:t>
              </w:r>
            </w:hyperlink>
            <w:r w:rsidRPr="00552FF3">
              <w:rPr>
                <w:i/>
                <w:iCs/>
              </w:rPr>
              <w:t xml:space="preserve">, </w:t>
            </w:r>
            <w:hyperlink r:id="rId9" w:history="1">
              <w:r w:rsidRPr="00552FF3">
                <w:rPr>
                  <w:rStyle w:val="Hyperlink"/>
                  <w:i/>
                  <w:iCs/>
                </w:rPr>
                <w:t>130</w:t>
              </w:r>
            </w:hyperlink>
            <w:r w:rsidRPr="00552FF3">
              <w:rPr>
                <w:i/>
                <w:iCs/>
              </w:rPr>
              <w:t xml:space="preserve">, </w:t>
            </w:r>
            <w:hyperlink r:id="rId10" w:history="1">
              <w:r w:rsidRPr="00552FF3">
                <w:rPr>
                  <w:rStyle w:val="Hyperlink"/>
                  <w:i/>
                  <w:iCs/>
                </w:rPr>
                <w:t>140</w:t>
              </w:r>
            </w:hyperlink>
            <w:r w:rsidRPr="00552FF3">
              <w:rPr>
                <w:i/>
                <w:iCs/>
              </w:rPr>
              <w:t xml:space="preserve">, </w:t>
            </w:r>
            <w:hyperlink r:id="rId11" w:history="1">
              <w:r w:rsidRPr="00552FF3">
                <w:rPr>
                  <w:rStyle w:val="Hyperlink"/>
                  <w:i/>
                  <w:iCs/>
                </w:rPr>
                <w:t>174</w:t>
              </w:r>
            </w:hyperlink>
            <w:r w:rsidRPr="00552FF3">
              <w:rPr>
                <w:i/>
                <w:iCs/>
              </w:rPr>
              <w:t xml:space="preserve">, </w:t>
            </w:r>
            <w:hyperlink r:id="rId12" w:history="1">
              <w:r w:rsidRPr="00552FF3">
                <w:rPr>
                  <w:rStyle w:val="Hyperlink"/>
                  <w:i/>
                  <w:iCs/>
                </w:rPr>
                <w:t>179</w:t>
              </w:r>
            </w:hyperlink>
            <w:r w:rsidRPr="00552FF3">
              <w:rPr>
                <w:i/>
                <w:iCs/>
              </w:rPr>
              <w:t xml:space="preserve"> (Rév. Dubaï, 2018) et </w:t>
            </w:r>
            <w:hyperlink r:id="rId13" w:history="1">
              <w:r w:rsidRPr="00552FF3">
                <w:rPr>
                  <w:rStyle w:val="Hyperlink"/>
                  <w:i/>
                  <w:iCs/>
                </w:rPr>
                <w:t>181</w:t>
              </w:r>
            </w:hyperlink>
            <w:r w:rsidRPr="00552FF3">
              <w:rPr>
                <w:i/>
                <w:iCs/>
              </w:rPr>
              <w:t xml:space="preserve"> (Guadalajara,</w:t>
            </w:r>
            <w:r w:rsidR="009C72CF" w:rsidRPr="00552FF3">
              <w:rPr>
                <w:i/>
                <w:iCs/>
              </w:rPr>
              <w:t> </w:t>
            </w:r>
            <w:r w:rsidRPr="00552FF3">
              <w:rPr>
                <w:i/>
                <w:iCs/>
              </w:rPr>
              <w:t xml:space="preserve">2010) de la Conférence de plénipotentiaires, </w:t>
            </w:r>
            <w:hyperlink r:id="rId14" w:history="1">
              <w:r w:rsidRPr="00552FF3">
                <w:rPr>
                  <w:rStyle w:val="Hyperlink"/>
                  <w:i/>
                  <w:iCs/>
                </w:rPr>
                <w:t>Règlement des télécommunications internationales</w:t>
              </w:r>
            </w:hyperlink>
            <w:r w:rsidRPr="00552FF3">
              <w:rPr>
                <w:i/>
                <w:iCs/>
              </w:rPr>
              <w:t xml:space="preserve"> (Rév.</w:t>
            </w:r>
            <w:r w:rsidR="00B047DC" w:rsidRPr="00552FF3">
              <w:rPr>
                <w:i/>
                <w:iCs/>
              </w:rPr>
              <w:t xml:space="preserve"> </w:t>
            </w:r>
            <w:r w:rsidRPr="00552FF3">
              <w:rPr>
                <w:i/>
                <w:iCs/>
              </w:rPr>
              <w:t xml:space="preserve">Dubaï, 2012), </w:t>
            </w:r>
            <w:hyperlink r:id="rId15" w:history="1">
              <w:r w:rsidRPr="00552FF3">
                <w:rPr>
                  <w:rStyle w:val="Hyperlink"/>
                  <w:i/>
                  <w:iCs/>
                </w:rPr>
                <w:t>Résolution 1306</w:t>
              </w:r>
            </w:hyperlink>
            <w:r w:rsidRPr="00552FF3">
              <w:rPr>
                <w:i/>
                <w:iCs/>
              </w:rPr>
              <w:t xml:space="preserve"> du Conseil, Résolutions </w:t>
            </w:r>
            <w:hyperlink r:id="rId16" w:history="1">
              <w:r w:rsidRPr="00552FF3">
                <w:rPr>
                  <w:rStyle w:val="Hyperlink"/>
                  <w:i/>
                  <w:iCs/>
                </w:rPr>
                <w:t>45</w:t>
              </w:r>
            </w:hyperlink>
            <w:r w:rsidRPr="00552FF3">
              <w:rPr>
                <w:i/>
                <w:iCs/>
              </w:rPr>
              <w:t xml:space="preserve"> (Rév.</w:t>
            </w:r>
            <w:r w:rsidR="00B047DC" w:rsidRPr="00552FF3">
              <w:rPr>
                <w:i/>
                <w:iCs/>
              </w:rPr>
              <w:t xml:space="preserve"> </w:t>
            </w:r>
            <w:r w:rsidRPr="00552FF3">
              <w:rPr>
                <w:i/>
                <w:iCs/>
              </w:rPr>
              <w:t xml:space="preserve">Dubaï, 2014) et </w:t>
            </w:r>
            <w:hyperlink r:id="rId17" w:history="1">
              <w:r w:rsidRPr="00552FF3">
                <w:rPr>
                  <w:rStyle w:val="Hyperlink"/>
                  <w:i/>
                  <w:iCs/>
                </w:rPr>
                <w:t>2</w:t>
              </w:r>
              <w:r w:rsidRPr="00552FF3">
                <w:rPr>
                  <w:rStyle w:val="Hyperlink"/>
                  <w:i/>
                  <w:iCs/>
                  <w:color w:val="auto"/>
                  <w:u w:val="none"/>
                </w:rPr>
                <w:t xml:space="preserve">, </w:t>
              </w:r>
              <w:r w:rsidRPr="00552FF3">
                <w:rPr>
                  <w:rStyle w:val="Hyperlink"/>
                  <w:i/>
                  <w:iCs/>
                </w:rPr>
                <w:t>67</w:t>
              </w:r>
              <w:r w:rsidRPr="00552FF3">
                <w:rPr>
                  <w:rStyle w:val="Hyperlink"/>
                  <w:i/>
                  <w:iCs/>
                  <w:color w:val="auto"/>
                  <w:u w:val="none"/>
                </w:rPr>
                <w:t xml:space="preserve"> et </w:t>
              </w:r>
              <w:r w:rsidRPr="00552FF3">
                <w:rPr>
                  <w:rStyle w:val="Hyperlink"/>
                  <w:i/>
                  <w:iCs/>
                </w:rPr>
                <w:t>69</w:t>
              </w:r>
              <w:r w:rsidRPr="00552FF3">
                <w:rPr>
                  <w:rStyle w:val="Hyperlink"/>
                  <w:i/>
                  <w:iCs/>
                  <w:color w:val="auto"/>
                  <w:u w:val="none"/>
                </w:rPr>
                <w:t xml:space="preserve"> (Rév.</w:t>
              </w:r>
              <w:r w:rsidR="00B047DC" w:rsidRPr="00552FF3">
                <w:rPr>
                  <w:rStyle w:val="Hyperlink"/>
                  <w:i/>
                  <w:iCs/>
                  <w:color w:val="auto"/>
                  <w:u w:val="none"/>
                </w:rPr>
                <w:t xml:space="preserve"> </w:t>
              </w:r>
              <w:r w:rsidRPr="00552FF3">
                <w:rPr>
                  <w:rStyle w:val="Hyperlink"/>
                  <w:i/>
                  <w:iCs/>
                  <w:color w:val="auto"/>
                  <w:u w:val="none"/>
                </w:rPr>
                <w:t>Buenos Aires, 2017)</w:t>
              </w:r>
            </w:hyperlink>
            <w:r w:rsidRPr="00552FF3">
              <w:rPr>
                <w:i/>
                <w:iCs/>
              </w:rPr>
              <w:t xml:space="preserve"> de la Conférence mondiale de développement des télécommunications, Objectif 2/Produit 2.2 de l'UIT-D (</w:t>
            </w:r>
            <w:hyperlink r:id="rId18" w:history="1">
              <w:r w:rsidRPr="00552FF3">
                <w:rPr>
                  <w:rStyle w:val="Hyperlink"/>
                  <w:i/>
                  <w:iCs/>
                </w:rPr>
                <w:t>Plan d'action de Buenos Aires</w:t>
              </w:r>
            </w:hyperlink>
            <w:r w:rsidRPr="00552FF3">
              <w:rPr>
                <w:i/>
                <w:iCs/>
              </w:rPr>
              <w:t>)</w:t>
            </w:r>
            <w:hyperlink r:id="rId19" w:history="1"/>
            <w:r w:rsidRPr="00552FF3">
              <w:rPr>
                <w:i/>
                <w:iCs/>
              </w:rPr>
              <w:t xml:space="preserve">, Résolutions </w:t>
            </w:r>
            <w:hyperlink r:id="rId20" w:history="1">
              <w:r w:rsidRPr="00552FF3">
                <w:rPr>
                  <w:rStyle w:val="Hyperlink"/>
                  <w:i/>
                  <w:iCs/>
                </w:rPr>
                <w:t>50</w:t>
              </w:r>
            </w:hyperlink>
            <w:r w:rsidRPr="00552FF3">
              <w:rPr>
                <w:i/>
                <w:iCs/>
              </w:rPr>
              <w:t xml:space="preserve">, </w:t>
            </w:r>
            <w:hyperlink r:id="rId21" w:history="1">
              <w:r w:rsidRPr="00552FF3">
                <w:rPr>
                  <w:rStyle w:val="Hyperlink"/>
                  <w:i/>
                  <w:iCs/>
                </w:rPr>
                <w:t>52</w:t>
              </w:r>
            </w:hyperlink>
            <w:r w:rsidRPr="00552FF3">
              <w:rPr>
                <w:i/>
                <w:iCs/>
              </w:rPr>
              <w:t xml:space="preserve">, </w:t>
            </w:r>
            <w:hyperlink r:id="rId22" w:history="1">
              <w:r w:rsidRPr="00552FF3">
                <w:rPr>
                  <w:rStyle w:val="Hyperlink"/>
                  <w:i/>
                  <w:iCs/>
                </w:rPr>
                <w:t>75</w:t>
              </w:r>
            </w:hyperlink>
            <w:r w:rsidRPr="00552FF3">
              <w:rPr>
                <w:i/>
                <w:iCs/>
              </w:rPr>
              <w:t xml:space="preserve"> (Rév.</w:t>
            </w:r>
            <w:r w:rsidR="00B047DC" w:rsidRPr="00552FF3">
              <w:rPr>
                <w:i/>
                <w:iCs/>
              </w:rPr>
              <w:t> </w:t>
            </w:r>
            <w:r w:rsidRPr="00552FF3">
              <w:rPr>
                <w:i/>
                <w:iCs/>
              </w:rPr>
              <w:t>Hammamet,</w:t>
            </w:r>
            <w:r w:rsidR="009C72CF" w:rsidRPr="00552FF3">
              <w:rPr>
                <w:i/>
                <w:iCs/>
              </w:rPr>
              <w:t> </w:t>
            </w:r>
            <w:r w:rsidRPr="00552FF3">
              <w:rPr>
                <w:i/>
                <w:iCs/>
              </w:rPr>
              <w:t xml:space="preserve">2016) et </w:t>
            </w:r>
            <w:hyperlink r:id="rId23" w:history="1">
              <w:r w:rsidRPr="00552FF3">
                <w:rPr>
                  <w:rStyle w:val="Hyperlink"/>
                  <w:i/>
                  <w:iCs/>
                </w:rPr>
                <w:t>58</w:t>
              </w:r>
            </w:hyperlink>
            <w:r w:rsidRPr="00552FF3">
              <w:rPr>
                <w:i/>
                <w:iCs/>
              </w:rPr>
              <w:t xml:space="preserve"> (Rév.</w:t>
            </w:r>
            <w:r w:rsidR="00B047DC" w:rsidRPr="00552FF3">
              <w:rPr>
                <w:i/>
                <w:iCs/>
              </w:rPr>
              <w:t xml:space="preserve"> </w:t>
            </w:r>
            <w:r w:rsidRPr="00552FF3">
              <w:rPr>
                <w:i/>
                <w:iCs/>
              </w:rPr>
              <w:t>Dubaï, 2012) de l'Assemblée mondiale de normalisation des télécommunications, Documents récents du Conseil –</w:t>
            </w:r>
            <w:r w:rsidRPr="00552FF3">
              <w:t xml:space="preserve"> </w:t>
            </w:r>
            <w:hyperlink r:id="rId24" w:history="1">
              <w:r w:rsidRPr="00552FF3">
                <w:rPr>
                  <w:rStyle w:val="Hyperlink"/>
                  <w:i/>
                  <w:iCs/>
                </w:rPr>
                <w:t>C15/18</w:t>
              </w:r>
            </w:hyperlink>
            <w:r w:rsidRPr="00552FF3">
              <w:rPr>
                <w:i/>
                <w:iCs/>
              </w:rPr>
              <w:t xml:space="preserve">, </w:t>
            </w:r>
            <w:hyperlink r:id="rId25" w:history="1">
              <w:r w:rsidRPr="00552FF3">
                <w:rPr>
                  <w:rStyle w:val="Hyperlink"/>
                  <w:i/>
                  <w:iCs/>
                </w:rPr>
                <w:t>C16/18</w:t>
              </w:r>
            </w:hyperlink>
            <w:r w:rsidRPr="00552FF3">
              <w:rPr>
                <w:i/>
                <w:iCs/>
              </w:rPr>
              <w:t xml:space="preserve">, </w:t>
            </w:r>
            <w:hyperlink r:id="rId26" w:history="1">
              <w:r w:rsidRPr="00552FF3">
                <w:rPr>
                  <w:rStyle w:val="Hyperlink"/>
                  <w:i/>
                  <w:iCs/>
                </w:rPr>
                <w:t>C17/18</w:t>
              </w:r>
            </w:hyperlink>
            <w:bookmarkEnd w:id="8"/>
            <w:r w:rsidRPr="00552FF3">
              <w:rPr>
                <w:i/>
                <w:iCs/>
              </w:rPr>
              <w:t xml:space="preserve">, </w:t>
            </w:r>
            <w:hyperlink r:id="rId27" w:history="1">
              <w:r w:rsidRPr="00552FF3">
                <w:rPr>
                  <w:rStyle w:val="Hyperlink"/>
                  <w:i/>
                  <w:iCs/>
                </w:rPr>
                <w:t>C18/18</w:t>
              </w:r>
            </w:hyperlink>
            <w:r w:rsidRPr="00552FF3">
              <w:t>,</w:t>
            </w:r>
            <w:r w:rsidRPr="00552FF3">
              <w:rPr>
                <w:i/>
                <w:iCs/>
              </w:rPr>
              <w:t xml:space="preserve"> </w:t>
            </w:r>
            <w:hyperlink r:id="rId28" w:history="1">
              <w:r w:rsidRPr="00552FF3">
                <w:rPr>
                  <w:rStyle w:val="Hyperlink"/>
                  <w:i/>
                  <w:iCs/>
                </w:rPr>
                <w:t>C19/18</w:t>
              </w:r>
            </w:hyperlink>
            <w:r w:rsidRPr="00552FF3">
              <w:t>,</w:t>
            </w:r>
            <w:r w:rsidRPr="00552FF3">
              <w:rPr>
                <w:i/>
                <w:iCs/>
              </w:rPr>
              <w:t xml:space="preserve"> </w:t>
            </w:r>
            <w:hyperlink r:id="rId29" w:history="1">
              <w:r w:rsidRPr="00552FF3">
                <w:rPr>
                  <w:rStyle w:val="Hyperlink"/>
                  <w:i/>
                  <w:iCs/>
                </w:rPr>
                <w:t>C20/18</w:t>
              </w:r>
            </w:hyperlink>
            <w:r w:rsidRPr="00552FF3">
              <w:rPr>
                <w:rStyle w:val="Hyperlink"/>
                <w:i/>
                <w:iCs/>
              </w:rPr>
              <w:t xml:space="preserve"> </w:t>
            </w:r>
            <w:r w:rsidRPr="00552FF3">
              <w:rPr>
                <w:i/>
                <w:iCs/>
              </w:rPr>
              <w:t>et</w:t>
            </w:r>
            <w:r w:rsidRPr="00552FF3">
              <w:t xml:space="preserve"> </w:t>
            </w:r>
            <w:hyperlink r:id="rId30" w:history="1">
              <w:r w:rsidRPr="00552FF3">
                <w:rPr>
                  <w:rStyle w:val="Hyperlink"/>
                  <w:i/>
                  <w:iCs/>
                </w:rPr>
                <w:t>C21/18</w:t>
              </w:r>
            </w:hyperlink>
          </w:p>
        </w:tc>
      </w:tr>
    </w:tbl>
    <w:p w14:paraId="5EF9693C" w14:textId="2BAA9F3A" w:rsidR="006C5B9E" w:rsidRPr="00552FF3" w:rsidRDefault="006C5B9E" w:rsidP="00123BE3">
      <w:pPr>
        <w:tabs>
          <w:tab w:val="clear" w:pos="567"/>
          <w:tab w:val="clear" w:pos="1134"/>
          <w:tab w:val="clear" w:pos="1701"/>
          <w:tab w:val="clear" w:pos="2268"/>
          <w:tab w:val="clear" w:pos="2835"/>
        </w:tabs>
        <w:overflowPunct/>
        <w:autoSpaceDE/>
        <w:autoSpaceDN/>
        <w:adjustRightInd/>
        <w:spacing w:before="0"/>
        <w:textAlignment w:val="auto"/>
      </w:pPr>
      <w:r w:rsidRPr="00552FF3">
        <w:br w:type="page"/>
      </w:r>
    </w:p>
    <w:p w14:paraId="0600F382" w14:textId="77777777" w:rsidR="006C5B9E" w:rsidRPr="00552FF3" w:rsidRDefault="006C5B9E" w:rsidP="00123BE3">
      <w:pPr>
        <w:pStyle w:val="Heading1"/>
      </w:pPr>
      <w:r w:rsidRPr="00552FF3">
        <w:lastRenderedPageBreak/>
        <w:t>1</w:t>
      </w:r>
      <w:r w:rsidRPr="00552FF3">
        <w:tab/>
        <w:t>Activités relatives à la cybersécurité et à la lutte contre le spam</w:t>
      </w:r>
    </w:p>
    <w:p w14:paraId="6D8A8848" w14:textId="6C394CA8" w:rsidR="006C5B9E" w:rsidRPr="00552FF3" w:rsidRDefault="006C5B9E" w:rsidP="00123BE3">
      <w:r w:rsidRPr="00552FF3">
        <w:rPr>
          <w:szCs w:val="24"/>
        </w:rPr>
        <w:t>1.1</w:t>
      </w:r>
      <w:r w:rsidRPr="00552FF3">
        <w:rPr>
          <w:szCs w:val="24"/>
        </w:rPr>
        <w:tab/>
      </w:r>
      <w:r w:rsidRPr="00552FF3">
        <w:t>Le développement des TIC, étayé par la sécurité et la confiance, est reconnu comme un facteur essentiel du développement durable.</w:t>
      </w:r>
      <w:r w:rsidRPr="00552FF3">
        <w:rPr>
          <w:szCs w:val="24"/>
        </w:rPr>
        <w:t xml:space="preserve"> </w:t>
      </w:r>
      <w:r w:rsidRPr="00552FF3">
        <w:t xml:space="preserve">Le présent rapport, qui s'articule autour des cinq piliers du </w:t>
      </w:r>
      <w:hyperlink r:id="rId31" w:history="1">
        <w:r w:rsidRPr="00552FF3">
          <w:t>Programme mondial cybersécurité (GCA)</w:t>
        </w:r>
      </w:hyperlink>
      <w:r w:rsidRPr="00552FF3">
        <w:t>, fait apparaître la complémentarité des programmes de travail existants de l'UIT et vise à faciliter la mise en œuvre des activités menées par le BDT, le TSB et le BR dans ce domaine.</w:t>
      </w:r>
    </w:p>
    <w:p w14:paraId="769B2BFD" w14:textId="77777777" w:rsidR="006C5B9E" w:rsidRPr="00552FF3" w:rsidRDefault="006C5B9E" w:rsidP="00123BE3">
      <w:pPr>
        <w:pStyle w:val="Heading1"/>
      </w:pPr>
      <w:r w:rsidRPr="00552FF3">
        <w:rPr>
          <w:rFonts w:asciiTheme="minorHAnsi" w:hAnsiTheme="minorHAnsi"/>
          <w:bCs/>
          <w:szCs w:val="24"/>
        </w:rPr>
        <w:t>2</w:t>
      </w:r>
      <w:r w:rsidRPr="00552FF3">
        <w:rPr>
          <w:rFonts w:asciiTheme="minorHAnsi" w:hAnsiTheme="minorHAnsi"/>
          <w:bCs/>
          <w:szCs w:val="24"/>
        </w:rPr>
        <w:tab/>
      </w:r>
      <w:r w:rsidRPr="00552FF3">
        <w:t>Cadre législatif</w:t>
      </w:r>
    </w:p>
    <w:p w14:paraId="39F3703D" w14:textId="77777777" w:rsidR="006C5B9E" w:rsidRPr="00552FF3" w:rsidRDefault="006C5B9E" w:rsidP="00123BE3">
      <w:r w:rsidRPr="00552FF3">
        <w:t>2.1</w:t>
      </w:r>
      <w:r w:rsidRPr="00552FF3">
        <w:tab/>
        <w:t xml:space="preserve">Dans le cadre de l'Objectif 2.2 du Plan d'action de Buenos Aires, et compte tenu de la Question 3/2 (ancienne Question 22/1) confiée à la Commission d'études (CE) 2 de l'UIT-D, l'UIT aide les États Membres à comprendre les aspects juridiques de la cybersécurité, en mettant à leur disposition ses </w:t>
      </w:r>
      <w:hyperlink r:id="rId32" w:history="1">
        <w:r w:rsidRPr="00552FF3">
          <w:rPr>
            <w:rStyle w:val="Hyperlink"/>
            <w:rFonts w:asciiTheme="minorHAnsi" w:hAnsiTheme="minorHAnsi"/>
            <w:szCs w:val="24"/>
          </w:rPr>
          <w:t>ressources sur la législation relative à la cybercriminalité</w:t>
        </w:r>
      </w:hyperlink>
      <w:r w:rsidRPr="00552FF3">
        <w:t>, afin de contribuer à l'harmonisation de leurs cadres juridiques. En ce qui concerne le cadre législatif, l'UIT collabore étroitement avec des partenaires tels que l'Office des Nations Unies contre la drogue et le crime (ONUDC) et d'autres organisations compétentes qui fournissent une assistance aux États Membres.</w:t>
      </w:r>
    </w:p>
    <w:p w14:paraId="5379FA85" w14:textId="77777777" w:rsidR="006C5B9E" w:rsidRPr="00552FF3" w:rsidRDefault="006C5B9E" w:rsidP="00123BE3">
      <w:pPr>
        <w:pStyle w:val="Heading1"/>
      </w:pPr>
      <w:r w:rsidRPr="00552FF3">
        <w:t>3</w:t>
      </w:r>
      <w:r w:rsidRPr="00552FF3">
        <w:tab/>
        <w:t>Mesures techniques et procédures</w:t>
      </w:r>
    </w:p>
    <w:p w14:paraId="098CABD8" w14:textId="6CD8EF70" w:rsidR="006C5B9E" w:rsidRPr="00552FF3" w:rsidRDefault="006C5B9E" w:rsidP="00123BE3">
      <w:r w:rsidRPr="00552FF3">
        <w:t>3.1</w:t>
      </w:r>
      <w:r w:rsidRPr="00552FF3">
        <w:tab/>
        <w:t xml:space="preserve">La </w:t>
      </w:r>
      <w:hyperlink r:id="rId33" w:history="1">
        <w:r w:rsidRPr="00552FF3">
          <w:rPr>
            <w:rStyle w:val="Hyperlink"/>
            <w:rFonts w:asciiTheme="minorHAnsi" w:hAnsiTheme="minorHAnsi"/>
            <w:szCs w:val="24"/>
          </w:rPr>
          <w:t>Commission d'études 17</w:t>
        </w:r>
      </w:hyperlink>
      <w:r w:rsidRPr="00552FF3">
        <w:rPr>
          <w:rStyle w:val="Hyperlink"/>
          <w:rFonts w:asciiTheme="minorHAnsi" w:hAnsiTheme="minorHAnsi"/>
          <w:szCs w:val="24"/>
        </w:rPr>
        <w:t xml:space="preserve"> (CE 17)</w:t>
      </w:r>
      <w:r w:rsidRPr="00552FF3">
        <w:t xml:space="preserve"> de l'UIT-T, en sa qualité de commission d'études directrice chargée de la sécurité et de la gestion d'identité (IdM), continue de contribuer aux études et à la normalisation concernant la cybersécurité, la lutte contre le spam, la gestion d'identité, les certificats UIT-T X.509, la gestion de la sécurité de l'information, les réseaux de capteurs ubiquitaires, la télébiométrie, la sécurité mobile, la sécurité de la virtualisation dans l'optique de la sécurité de l'informatique en nuage,</w:t>
      </w:r>
      <w:r w:rsidRPr="00552FF3">
        <w:rPr>
          <w:color w:val="000000"/>
        </w:rPr>
        <w:t xml:space="preserve"> la protection des informations d'identification personnelle</w:t>
      </w:r>
      <w:r w:rsidRPr="00552FF3">
        <w:t xml:space="preserve"> ainsi que l'architecture de la sécurité et de la sécurité des applications, conjointement avec des organisations de normalisation extérieure.</w:t>
      </w:r>
    </w:p>
    <w:p w14:paraId="63F85E67" w14:textId="067418DE" w:rsidR="000C695C" w:rsidRPr="00552FF3" w:rsidRDefault="006C5B9E" w:rsidP="00123BE3">
      <w:pPr>
        <w:rPr>
          <w:rFonts w:cs="Calibri"/>
          <w:szCs w:val="24"/>
        </w:rPr>
      </w:pPr>
      <w:r w:rsidRPr="00552FF3">
        <w:rPr>
          <w:szCs w:val="24"/>
        </w:rPr>
        <w:t>3.2</w:t>
      </w:r>
      <w:r w:rsidRPr="00552FF3">
        <w:rPr>
          <w:szCs w:val="24"/>
        </w:rPr>
        <w:tab/>
      </w:r>
      <w:r w:rsidRPr="00552FF3">
        <w:rPr>
          <w:bCs/>
          <w:szCs w:val="24"/>
        </w:rPr>
        <w:t xml:space="preserve">Depuis le dernier rapport à l'intention du Conseil, la CE 17 a tenu </w:t>
      </w:r>
      <w:r w:rsidR="00CC6B2D" w:rsidRPr="00552FF3">
        <w:rPr>
          <w:bCs/>
          <w:szCs w:val="24"/>
        </w:rPr>
        <w:t>deux</w:t>
      </w:r>
      <w:r w:rsidRPr="00552FF3">
        <w:rPr>
          <w:bCs/>
          <w:szCs w:val="24"/>
        </w:rPr>
        <w:t xml:space="preserve"> réunion</w:t>
      </w:r>
      <w:r w:rsidR="00CC6B2D" w:rsidRPr="00552FF3">
        <w:rPr>
          <w:bCs/>
          <w:szCs w:val="24"/>
        </w:rPr>
        <w:t>s</w:t>
      </w:r>
      <w:r w:rsidRPr="00552FF3">
        <w:rPr>
          <w:bCs/>
          <w:szCs w:val="24"/>
        </w:rPr>
        <w:t xml:space="preserve"> en </w:t>
      </w:r>
      <w:r w:rsidR="009409D7" w:rsidRPr="00552FF3">
        <w:rPr>
          <w:bCs/>
          <w:szCs w:val="24"/>
        </w:rPr>
        <w:t>avril et août/</w:t>
      </w:r>
      <w:r w:rsidRPr="00552FF3">
        <w:rPr>
          <w:bCs/>
          <w:szCs w:val="24"/>
        </w:rPr>
        <w:t>septembre 202</w:t>
      </w:r>
      <w:r w:rsidR="00CC6B2D" w:rsidRPr="00552FF3">
        <w:rPr>
          <w:bCs/>
          <w:szCs w:val="24"/>
        </w:rPr>
        <w:t>1</w:t>
      </w:r>
      <w:r w:rsidRPr="00552FF3">
        <w:rPr>
          <w:bCs/>
          <w:szCs w:val="24"/>
        </w:rPr>
        <w:t xml:space="preserve">, </w:t>
      </w:r>
      <w:r w:rsidR="009716D0" w:rsidRPr="00552FF3">
        <w:rPr>
          <w:bCs/>
          <w:szCs w:val="24"/>
        </w:rPr>
        <w:t>lors desquelles</w:t>
      </w:r>
      <w:r w:rsidRPr="00552FF3">
        <w:rPr>
          <w:bCs/>
          <w:szCs w:val="24"/>
        </w:rPr>
        <w:t xml:space="preserve"> elle a défini </w:t>
      </w:r>
      <w:hyperlink r:id="rId34" w:history="1">
        <w:r w:rsidR="009C7F0D" w:rsidRPr="00552FF3">
          <w:t>22</w:t>
        </w:r>
        <w:r w:rsidRPr="00552FF3">
          <w:t xml:space="preserve"> </w:t>
        </w:r>
        <w:r w:rsidRPr="00552FF3">
          <w:rPr>
            <w:rStyle w:val="Hyperlink"/>
            <w:bCs/>
            <w:szCs w:val="24"/>
          </w:rPr>
          <w:t>nouveaux sujets d'étude en matière de normalisation</w:t>
        </w:r>
      </w:hyperlink>
      <w:r w:rsidRPr="00552FF3">
        <w:rPr>
          <w:szCs w:val="24"/>
        </w:rPr>
        <w:t xml:space="preserve">, </w:t>
      </w:r>
      <w:r w:rsidRPr="00552FF3">
        <w:rPr>
          <w:color w:val="000000"/>
          <w:szCs w:val="24"/>
        </w:rPr>
        <w:t>et</w:t>
      </w:r>
      <w:r w:rsidR="00E95CE4" w:rsidRPr="00552FF3">
        <w:rPr>
          <w:color w:val="000000"/>
          <w:szCs w:val="24"/>
        </w:rPr>
        <w:t xml:space="preserve"> deux </w:t>
      </w:r>
      <w:r w:rsidR="00AB3322" w:rsidRPr="00552FF3">
        <w:rPr>
          <w:color w:val="000000"/>
          <w:szCs w:val="24"/>
        </w:rPr>
        <w:t>séances plénières électroniques</w:t>
      </w:r>
      <w:r w:rsidRPr="00552FF3">
        <w:rPr>
          <w:color w:val="000000"/>
          <w:szCs w:val="24"/>
        </w:rPr>
        <w:t xml:space="preserve"> </w:t>
      </w:r>
      <w:r w:rsidR="003873FB" w:rsidRPr="00552FF3">
        <w:t xml:space="preserve">en janvier 2021 et 2022. </w:t>
      </w:r>
      <w:r w:rsidR="000C695C" w:rsidRPr="00552FF3">
        <w:t>La</w:t>
      </w:r>
      <w:r w:rsidR="000C695C" w:rsidRPr="00552FF3">
        <w:rPr>
          <w:rFonts w:cs="Calibri"/>
          <w:szCs w:val="24"/>
        </w:rPr>
        <w:t xml:space="preserve"> CE 17 a </w:t>
      </w:r>
      <w:r w:rsidR="000C695C" w:rsidRPr="00552FF3">
        <w:t xml:space="preserve">approuvé </w:t>
      </w:r>
      <w:r w:rsidR="00FE62ED" w:rsidRPr="00552FF3">
        <w:t xml:space="preserve">plus de 30 Recommandations nouvelles ou révisées </w:t>
      </w:r>
      <w:r w:rsidR="00440846" w:rsidRPr="00552FF3">
        <w:t xml:space="preserve">sur la sécurité des TIC, </w:t>
      </w:r>
      <w:proofErr w:type="gramStart"/>
      <w:r w:rsidR="00440846" w:rsidRPr="00552FF3">
        <w:t>notamment:</w:t>
      </w:r>
      <w:proofErr w:type="gramEnd"/>
      <w:r w:rsidR="00440846" w:rsidRPr="00552FF3">
        <w:t xml:space="preserve"> X.1011, X.1046, X. 1047, X.1054 (révisée), X.1060, X.1061, X.1080.2, X.1217, X.1233, X.1234, X.1235, X.1252, X.1333, X.1369, X.1376, X.1405, X.1406, X.1407, X.1408, X.1453, X.1470, X.1643, X.1712, X.1752, X.1770, X.1811 et Supplément 36 aux Recommandations de la série X.</w:t>
      </w:r>
    </w:p>
    <w:p w14:paraId="4F2DFF37" w14:textId="753B632B" w:rsidR="00945340" w:rsidRPr="00552FF3" w:rsidRDefault="00CC6B2D" w:rsidP="00123BE3">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cstheme="minorHAnsi"/>
          <w:szCs w:val="24"/>
        </w:rPr>
      </w:pPr>
      <w:r w:rsidRPr="00552FF3">
        <w:rPr>
          <w:rFonts w:asciiTheme="minorHAnsi" w:hAnsiTheme="minorHAnsi" w:cstheme="minorHAnsi"/>
          <w:szCs w:val="24"/>
        </w:rPr>
        <w:t>3.3</w:t>
      </w:r>
      <w:r w:rsidR="002D54C5" w:rsidRPr="00552FF3">
        <w:rPr>
          <w:rFonts w:asciiTheme="minorHAnsi" w:hAnsiTheme="minorHAnsi" w:cstheme="minorHAnsi"/>
          <w:szCs w:val="24"/>
        </w:rPr>
        <w:tab/>
      </w:r>
      <w:r w:rsidR="00945340" w:rsidRPr="00552FF3">
        <w:rPr>
          <w:rFonts w:asciiTheme="minorHAnsi" w:hAnsiTheme="minorHAnsi" w:cstheme="minorHAnsi"/>
          <w:spacing w:val="-4"/>
          <w:szCs w:val="24"/>
        </w:rPr>
        <w:t>En outre, la CE 17 a approuvé le rapport technique "</w:t>
      </w:r>
      <w:r w:rsidR="00945340" w:rsidRPr="00552FF3">
        <w:rPr>
          <w:rFonts w:eastAsia="Batang"/>
        </w:rPr>
        <w:t>Cadre pour la normalisation de la sécurité des services virtualisés".</w:t>
      </w:r>
    </w:p>
    <w:p w14:paraId="1A87E5EE" w14:textId="4E2CDBB9" w:rsidR="007305B1" w:rsidRPr="00552FF3" w:rsidRDefault="006C5B9E" w:rsidP="00123BE3">
      <w:pPr>
        <w:rPr>
          <w:rFonts w:asciiTheme="minorHAnsi" w:hAnsiTheme="minorHAnsi" w:cstheme="minorHAnsi"/>
          <w:bCs/>
          <w:szCs w:val="24"/>
        </w:rPr>
      </w:pPr>
      <w:r w:rsidRPr="00552FF3">
        <w:rPr>
          <w:szCs w:val="24"/>
        </w:rPr>
        <w:t>3.</w:t>
      </w:r>
      <w:r w:rsidR="00CC6B2D" w:rsidRPr="00552FF3">
        <w:rPr>
          <w:szCs w:val="24"/>
        </w:rPr>
        <w:t>4</w:t>
      </w:r>
      <w:r w:rsidR="00CC6B2D" w:rsidRPr="00552FF3">
        <w:rPr>
          <w:szCs w:val="24"/>
        </w:rPr>
        <w:tab/>
      </w:r>
      <w:r w:rsidR="00A13140" w:rsidRPr="00552FF3">
        <w:rPr>
          <w:rFonts w:asciiTheme="minorHAnsi" w:hAnsiTheme="minorHAnsi" w:cstheme="minorHAnsi"/>
          <w:bCs/>
          <w:szCs w:val="24"/>
        </w:rPr>
        <w:t xml:space="preserve">La CE 3 de l'UIT-T continue d'étudier les aspects économiques et politiques des mégadonnées et des identités numériques en lien avec les services internationaux de télécommunication dans le cadre de sa Question 11/3. Elle a récemment approuvé la </w:t>
      </w:r>
      <w:r w:rsidR="00B74999" w:rsidRPr="00552FF3">
        <w:rPr>
          <w:rFonts w:asciiTheme="minorHAnsi" w:hAnsiTheme="minorHAnsi" w:cstheme="minorHAnsi"/>
          <w:bCs/>
          <w:szCs w:val="24"/>
        </w:rPr>
        <w:t xml:space="preserve">Recommandation UIT-T D.1102 sur les </w:t>
      </w:r>
      <w:hyperlink r:id="rId35" w:history="1">
        <w:r w:rsidR="00B74999" w:rsidRPr="00552FF3">
          <w:rPr>
            <w:rStyle w:val="Hyperlink"/>
            <w:rFonts w:asciiTheme="minorHAnsi" w:hAnsiTheme="minorHAnsi" w:cstheme="minorHAnsi"/>
            <w:bCs/>
            <w:szCs w:val="24"/>
          </w:rPr>
          <w:t>mécanismes de recours et de protection pour les consommateurs OTT</w:t>
        </w:r>
      </w:hyperlink>
      <w:r w:rsidR="00B74999" w:rsidRPr="00552FF3">
        <w:rPr>
          <w:rFonts w:asciiTheme="minorHAnsi" w:hAnsiTheme="minorHAnsi" w:cstheme="minorHAnsi"/>
          <w:bCs/>
          <w:szCs w:val="24"/>
        </w:rPr>
        <w:t>.</w:t>
      </w:r>
    </w:p>
    <w:p w14:paraId="668B0CA6" w14:textId="77777777" w:rsidR="00AB4515" w:rsidRPr="00552FF3" w:rsidRDefault="002D54C5" w:rsidP="00123BE3">
      <w:pPr>
        <w:rPr>
          <w:rFonts w:asciiTheme="minorHAnsi" w:eastAsia="SimSun" w:hAnsiTheme="minorHAnsi" w:cstheme="minorHAnsi"/>
          <w:szCs w:val="24"/>
          <w:lang w:eastAsia="zh-CN"/>
        </w:rPr>
      </w:pPr>
      <w:r w:rsidRPr="00552FF3">
        <w:rPr>
          <w:rFonts w:asciiTheme="minorHAnsi" w:eastAsia="SimSun" w:hAnsiTheme="minorHAnsi" w:cstheme="minorHAnsi"/>
          <w:bCs/>
          <w:szCs w:val="24"/>
          <w:lang w:eastAsia="zh-CN"/>
        </w:rPr>
        <w:t>3.5</w:t>
      </w:r>
      <w:r w:rsidRPr="00552FF3">
        <w:rPr>
          <w:rFonts w:asciiTheme="minorHAnsi" w:eastAsia="SimSun" w:hAnsiTheme="minorHAnsi" w:cstheme="minorHAnsi"/>
          <w:bCs/>
          <w:szCs w:val="24"/>
          <w:lang w:eastAsia="zh-CN"/>
        </w:rPr>
        <w:tab/>
      </w:r>
      <w:r w:rsidR="00A13140" w:rsidRPr="00552FF3">
        <w:rPr>
          <w:rFonts w:asciiTheme="minorHAnsi" w:eastAsia="SimSun" w:hAnsiTheme="minorHAnsi" w:cstheme="minorHAnsi"/>
          <w:bCs/>
          <w:szCs w:val="24"/>
          <w:lang w:eastAsia="zh-CN"/>
        </w:rPr>
        <w:t>La CE 11 de l'UIT-T continue d'améliorer les protocoles de signalisation afin de les rendre plus sûrs, y compris en définissant des exigences additionnelles concernant les échanges de messages de signalisation et les protocoles particuliers</w:t>
      </w:r>
      <w:r w:rsidRPr="00552FF3">
        <w:rPr>
          <w:rFonts w:asciiTheme="minorHAnsi" w:eastAsia="SimSun" w:hAnsiTheme="minorHAnsi" w:cstheme="minorHAnsi"/>
          <w:bCs/>
          <w:szCs w:val="24"/>
          <w:lang w:eastAsia="zh-CN"/>
        </w:rPr>
        <w:t xml:space="preserve">. </w:t>
      </w:r>
      <w:r w:rsidR="0029722F" w:rsidRPr="00552FF3">
        <w:rPr>
          <w:rFonts w:asciiTheme="minorHAnsi" w:eastAsia="SimSun" w:hAnsiTheme="minorHAnsi" w:cstheme="minorHAnsi"/>
          <w:szCs w:val="24"/>
          <w:lang w:eastAsia="zh-CN"/>
        </w:rPr>
        <w:t xml:space="preserve">La CE 11 de l'UIT-T a approuvé le rapport </w:t>
      </w:r>
      <w:r w:rsidR="0029722F" w:rsidRPr="00552FF3">
        <w:rPr>
          <w:rFonts w:asciiTheme="minorHAnsi" w:eastAsia="SimSun" w:hAnsiTheme="minorHAnsi" w:cstheme="minorHAnsi"/>
          <w:szCs w:val="24"/>
          <w:lang w:eastAsia="zh-CN"/>
        </w:rPr>
        <w:lastRenderedPageBreak/>
        <w:t>technique QSTR-USSD "Cryptage des messages USSD nécessitant peu de ressources et résistant aux attaques quantiques à utiliser dans les services financiers" et le Supplément 75 aux Recommandations de la série Q</w:t>
      </w:r>
      <w:r w:rsidRPr="00552FF3">
        <w:rPr>
          <w:rFonts w:asciiTheme="minorHAnsi" w:eastAsia="SimSun" w:hAnsiTheme="minorHAnsi" w:cstheme="minorHAnsi"/>
          <w:bCs/>
          <w:szCs w:val="24"/>
          <w:lang w:eastAsia="zh-CN"/>
        </w:rPr>
        <w:t xml:space="preserve"> </w:t>
      </w:r>
      <w:r w:rsidR="00A13140" w:rsidRPr="00552FF3">
        <w:rPr>
          <w:rFonts w:asciiTheme="minorHAnsi" w:eastAsia="SimSun" w:hAnsiTheme="minorHAnsi" w:cstheme="minorHAnsi"/>
          <w:szCs w:val="24"/>
          <w:lang w:eastAsia="zh-CN"/>
        </w:rPr>
        <w:t>portant sur la lutte contre la contrefaçon et le vol de dispositifs de télécommunication/TIC.</w:t>
      </w:r>
    </w:p>
    <w:p w14:paraId="66A1276B" w14:textId="4FAEDB0F" w:rsidR="00260F7B" w:rsidRPr="00552FF3" w:rsidRDefault="006C5B9E" w:rsidP="00B047DC">
      <w:pPr>
        <w:rPr>
          <w:rFonts w:asciiTheme="minorHAnsi" w:eastAsia="SimSun" w:hAnsiTheme="minorHAnsi" w:cstheme="minorHAnsi"/>
          <w:bCs/>
          <w:szCs w:val="24"/>
          <w:lang w:eastAsia="zh-CN"/>
        </w:rPr>
      </w:pPr>
      <w:r w:rsidRPr="00552FF3">
        <w:rPr>
          <w:rFonts w:eastAsia="SimSun"/>
          <w:bCs/>
          <w:lang w:eastAsia="zh-CN"/>
        </w:rPr>
        <w:t>3.6</w:t>
      </w:r>
      <w:r w:rsidRPr="00552FF3">
        <w:rPr>
          <w:rFonts w:eastAsia="SimSun"/>
          <w:bCs/>
          <w:lang w:eastAsia="zh-CN"/>
        </w:rPr>
        <w:tab/>
      </w:r>
      <w:r w:rsidR="0098289C" w:rsidRPr="00552FF3">
        <w:rPr>
          <w:rFonts w:eastAsia="SimSun"/>
          <w:lang w:eastAsia="zh-CN"/>
        </w:rPr>
        <w:t xml:space="preserve">La CE 9 de l'UIT-T a approuvé les Recommandations </w:t>
      </w:r>
      <w:r w:rsidR="0098289C" w:rsidRPr="00552FF3">
        <w:rPr>
          <w:rStyle w:val="Hyperlink"/>
          <w:rFonts w:eastAsia="SimSun"/>
        </w:rPr>
        <w:t>UIT-T</w:t>
      </w:r>
      <w:r w:rsidR="00957397" w:rsidRPr="00552FF3">
        <w:rPr>
          <w:rStyle w:val="Hyperlink"/>
          <w:rFonts w:eastAsia="SimSun"/>
        </w:rPr>
        <w:t xml:space="preserve"> </w:t>
      </w:r>
      <w:hyperlink r:id="rId36" w:history="1">
        <w:r w:rsidR="00957397" w:rsidRPr="00552FF3">
          <w:rPr>
            <w:rStyle w:val="Hyperlink"/>
            <w:rFonts w:asciiTheme="minorHAnsi" w:eastAsia="SimSun" w:hAnsiTheme="minorHAnsi" w:cstheme="minorHAnsi"/>
            <w:bCs/>
            <w:szCs w:val="24"/>
            <w:lang w:eastAsia="zh-CN"/>
          </w:rPr>
          <w:t>J.1026</w:t>
        </w:r>
      </w:hyperlink>
      <w:r w:rsidR="00957397" w:rsidRPr="00552FF3">
        <w:rPr>
          <w:rFonts w:asciiTheme="minorHAnsi" w:eastAsia="SimSun" w:hAnsiTheme="minorHAnsi" w:cstheme="minorHAnsi"/>
          <w:bCs/>
          <w:szCs w:val="24"/>
          <w:lang w:eastAsia="zh-CN"/>
        </w:rPr>
        <w:t xml:space="preserve">, </w:t>
      </w:r>
      <w:hyperlink r:id="rId37" w:history="1">
        <w:r w:rsidR="00957397" w:rsidRPr="00552FF3">
          <w:rPr>
            <w:rStyle w:val="Hyperlink"/>
            <w:rFonts w:asciiTheme="minorHAnsi" w:eastAsia="SimSun" w:hAnsiTheme="minorHAnsi" w:cstheme="minorHAnsi"/>
            <w:bCs/>
            <w:szCs w:val="24"/>
            <w:lang w:eastAsia="zh-CN"/>
          </w:rPr>
          <w:t>J.1027</w:t>
        </w:r>
      </w:hyperlink>
      <w:r w:rsidR="00957397" w:rsidRPr="00552FF3">
        <w:rPr>
          <w:rFonts w:asciiTheme="minorHAnsi" w:eastAsia="SimSun" w:hAnsiTheme="minorHAnsi" w:cstheme="minorHAnsi"/>
          <w:bCs/>
          <w:szCs w:val="24"/>
          <w:lang w:eastAsia="zh-CN"/>
        </w:rPr>
        <w:t xml:space="preserve">, </w:t>
      </w:r>
      <w:hyperlink r:id="rId38" w:history="1">
        <w:r w:rsidR="00957397" w:rsidRPr="00552FF3">
          <w:rPr>
            <w:rStyle w:val="Hyperlink"/>
            <w:rFonts w:asciiTheme="minorHAnsi" w:eastAsia="SimSun" w:hAnsiTheme="minorHAnsi" w:cstheme="minorHAnsi"/>
            <w:bCs/>
            <w:szCs w:val="24"/>
            <w:lang w:eastAsia="zh-CN"/>
          </w:rPr>
          <w:t>J.1028</w:t>
        </w:r>
      </w:hyperlink>
      <w:r w:rsidR="00957397" w:rsidRPr="00552FF3">
        <w:rPr>
          <w:rFonts w:asciiTheme="minorHAnsi" w:eastAsia="SimSun" w:hAnsiTheme="minorHAnsi" w:cstheme="minorHAnsi"/>
          <w:bCs/>
          <w:szCs w:val="24"/>
          <w:lang w:eastAsia="zh-CN"/>
        </w:rPr>
        <w:t xml:space="preserve"> </w:t>
      </w:r>
      <w:r w:rsidR="0098289C" w:rsidRPr="00552FF3">
        <w:rPr>
          <w:rFonts w:asciiTheme="minorHAnsi" w:eastAsia="SimSun" w:hAnsiTheme="minorHAnsi" w:cstheme="minorHAnsi"/>
          <w:bCs/>
          <w:szCs w:val="24"/>
          <w:lang w:eastAsia="zh-CN"/>
        </w:rPr>
        <w:t xml:space="preserve">et </w:t>
      </w:r>
      <w:hyperlink r:id="rId39" w:history="1">
        <w:r w:rsidR="00957397" w:rsidRPr="00552FF3">
          <w:rPr>
            <w:rStyle w:val="Hyperlink"/>
            <w:rFonts w:asciiTheme="minorHAnsi" w:eastAsia="SimSun" w:hAnsiTheme="minorHAnsi" w:cstheme="minorHAnsi"/>
            <w:bCs/>
            <w:szCs w:val="24"/>
            <w:lang w:eastAsia="zh-CN"/>
          </w:rPr>
          <w:t>J.1204</w:t>
        </w:r>
      </w:hyperlink>
      <w:r w:rsidR="00AB4515" w:rsidRPr="00552FF3">
        <w:rPr>
          <w:rStyle w:val="Hyperlink"/>
          <w:rFonts w:asciiTheme="minorHAnsi" w:eastAsia="SimSun" w:hAnsiTheme="minorHAnsi" w:cstheme="minorHAnsi"/>
          <w:bCs/>
          <w:szCs w:val="24"/>
          <w:u w:val="none"/>
          <w:lang w:eastAsia="zh-CN"/>
        </w:rPr>
        <w:t> </w:t>
      </w:r>
      <w:r w:rsidR="0098289C" w:rsidRPr="00552FF3">
        <w:rPr>
          <w:rFonts w:eastAsia="SimSun"/>
        </w:rPr>
        <w:t>révisées</w:t>
      </w:r>
      <w:r w:rsidR="00957397" w:rsidRPr="00552FF3">
        <w:rPr>
          <w:rFonts w:eastAsia="SimSun"/>
        </w:rPr>
        <w:t>.</w:t>
      </w:r>
      <w:r w:rsidR="00957397" w:rsidRPr="00552FF3">
        <w:rPr>
          <w:rFonts w:asciiTheme="minorHAnsi" w:eastAsia="SimSun" w:hAnsiTheme="minorHAnsi" w:cstheme="minorHAnsi"/>
          <w:bCs/>
          <w:szCs w:val="24"/>
          <w:lang w:eastAsia="zh-CN"/>
        </w:rPr>
        <w:t xml:space="preserve"> </w:t>
      </w:r>
      <w:r w:rsidR="00260F7B" w:rsidRPr="00552FF3">
        <w:rPr>
          <w:rFonts w:asciiTheme="minorHAnsi" w:eastAsia="SimSun" w:hAnsiTheme="minorHAnsi" w:cstheme="minorHAnsi"/>
          <w:bCs/>
          <w:szCs w:val="24"/>
          <w:lang w:eastAsia="zh-CN"/>
        </w:rPr>
        <w:t>Elle a également appro</w:t>
      </w:r>
      <w:r w:rsidR="00D420B2" w:rsidRPr="00552FF3">
        <w:rPr>
          <w:rFonts w:asciiTheme="minorHAnsi" w:eastAsia="SimSun" w:hAnsiTheme="minorHAnsi" w:cstheme="minorHAnsi"/>
          <w:bCs/>
          <w:szCs w:val="24"/>
          <w:lang w:eastAsia="zh-CN"/>
        </w:rPr>
        <w:t xml:space="preserve">uvé la Recommandation J.1205 et </w:t>
      </w:r>
      <w:r w:rsidR="00D96E2F" w:rsidRPr="00552FF3">
        <w:rPr>
          <w:rFonts w:asciiTheme="minorHAnsi" w:eastAsia="SimSun" w:hAnsiTheme="minorHAnsi" w:cstheme="minorHAnsi"/>
          <w:bCs/>
          <w:szCs w:val="24"/>
          <w:lang w:eastAsia="zh-CN"/>
        </w:rPr>
        <w:t xml:space="preserve">a poursuivi la mise à jour du Guide de mise en œuvre </w:t>
      </w:r>
      <w:r w:rsidR="00B62FC4" w:rsidRPr="00552FF3">
        <w:rPr>
          <w:rFonts w:asciiTheme="minorHAnsi" w:eastAsia="SimSun" w:hAnsiTheme="minorHAnsi" w:cstheme="minorHAnsi"/>
          <w:bCs/>
          <w:szCs w:val="24"/>
          <w:lang w:eastAsia="zh-CN"/>
        </w:rPr>
        <w:t xml:space="preserve">de la Recommandation UIT-T </w:t>
      </w:r>
      <w:hyperlink r:id="rId40" w:history="1">
        <w:r w:rsidR="00B62FC4" w:rsidRPr="00552FF3">
          <w:rPr>
            <w:rStyle w:val="Hyperlink"/>
            <w:rFonts w:asciiTheme="minorHAnsi" w:eastAsia="SimSun" w:hAnsiTheme="minorHAnsi" w:cstheme="minorHAnsi"/>
            <w:bCs/>
            <w:szCs w:val="24"/>
            <w:lang w:eastAsia="zh-CN"/>
          </w:rPr>
          <w:t>J.1012</w:t>
        </w:r>
      </w:hyperlink>
      <w:r w:rsidR="00B62FC4" w:rsidRPr="00552FF3">
        <w:rPr>
          <w:rFonts w:asciiTheme="minorHAnsi" w:eastAsia="SimSun" w:hAnsiTheme="minorHAnsi" w:cstheme="minorHAnsi"/>
          <w:bCs/>
          <w:szCs w:val="24"/>
          <w:lang w:eastAsia="zh-CN"/>
        </w:rPr>
        <w:t xml:space="preserve"> et</w:t>
      </w:r>
      <w:r w:rsidR="00654D7C" w:rsidRPr="00552FF3">
        <w:rPr>
          <w:rFonts w:asciiTheme="minorHAnsi" w:eastAsia="SimSun" w:hAnsiTheme="minorHAnsi" w:cstheme="minorHAnsi"/>
          <w:bCs/>
          <w:szCs w:val="24"/>
          <w:lang w:eastAsia="zh-CN"/>
        </w:rPr>
        <w:t xml:space="preserve"> de</w:t>
      </w:r>
      <w:r w:rsidR="00B62FC4" w:rsidRPr="00552FF3">
        <w:rPr>
          <w:rFonts w:asciiTheme="minorHAnsi" w:eastAsia="SimSun" w:hAnsiTheme="minorHAnsi" w:cstheme="minorHAnsi"/>
          <w:bCs/>
          <w:szCs w:val="24"/>
          <w:lang w:eastAsia="zh-CN"/>
        </w:rPr>
        <w:t xml:space="preserve"> deux Suppléments aux Recommandations de la série J (Recommandations UIT-T J.1012 à J.1015.1), à savoir </w:t>
      </w:r>
      <w:hyperlink r:id="rId41" w:history="1">
        <w:r w:rsidR="006D58AE" w:rsidRPr="00552FF3">
          <w:rPr>
            <w:rStyle w:val="Hyperlink"/>
            <w:rFonts w:asciiTheme="minorHAnsi" w:eastAsia="SimSun" w:hAnsiTheme="minorHAnsi" w:cstheme="minorHAnsi"/>
            <w:bCs/>
            <w:szCs w:val="24"/>
            <w:lang w:eastAsia="zh-CN"/>
          </w:rPr>
          <w:t>J.Sup7</w:t>
        </w:r>
      </w:hyperlink>
      <w:r w:rsidR="006D58AE" w:rsidRPr="00552FF3">
        <w:rPr>
          <w:rFonts w:asciiTheme="minorHAnsi" w:eastAsia="SimSun" w:hAnsiTheme="minorHAnsi" w:cstheme="minorHAnsi"/>
          <w:bCs/>
          <w:szCs w:val="24"/>
          <w:lang w:eastAsia="zh-CN"/>
        </w:rPr>
        <w:t xml:space="preserve"> </w:t>
      </w:r>
      <w:r w:rsidR="00AB4515" w:rsidRPr="00552FF3">
        <w:rPr>
          <w:rFonts w:asciiTheme="minorHAnsi" w:eastAsia="SimSun" w:hAnsiTheme="minorHAnsi" w:cstheme="minorHAnsi"/>
          <w:bCs/>
          <w:szCs w:val="24"/>
          <w:lang w:eastAsia="zh-CN"/>
        </w:rPr>
        <w:t>et</w:t>
      </w:r>
      <w:r w:rsidR="006D58AE" w:rsidRPr="00552FF3">
        <w:rPr>
          <w:rFonts w:asciiTheme="minorHAnsi" w:eastAsia="SimSun" w:hAnsiTheme="minorHAnsi" w:cstheme="minorHAnsi"/>
          <w:bCs/>
          <w:szCs w:val="24"/>
          <w:lang w:eastAsia="zh-CN"/>
        </w:rPr>
        <w:t xml:space="preserve"> </w:t>
      </w:r>
      <w:hyperlink r:id="rId42" w:history="1">
        <w:r w:rsidR="006D58AE" w:rsidRPr="00552FF3">
          <w:rPr>
            <w:rStyle w:val="Hyperlink"/>
            <w:rFonts w:asciiTheme="minorHAnsi" w:eastAsia="SimSun" w:hAnsiTheme="minorHAnsi" w:cstheme="minorHAnsi"/>
            <w:bCs/>
            <w:szCs w:val="24"/>
            <w:lang w:eastAsia="zh-CN"/>
          </w:rPr>
          <w:t>J.Sup8</w:t>
        </w:r>
      </w:hyperlink>
      <w:r w:rsidR="00DF4BEE" w:rsidRPr="00552FF3">
        <w:rPr>
          <w:rFonts w:asciiTheme="minorHAnsi" w:eastAsia="SimSun" w:hAnsiTheme="minorHAnsi" w:cstheme="minorHAnsi"/>
          <w:bCs/>
          <w:szCs w:val="24"/>
          <w:lang w:eastAsia="zh-CN"/>
        </w:rPr>
        <w:t>.</w:t>
      </w:r>
    </w:p>
    <w:p w14:paraId="49040ACE" w14:textId="29B3DF92" w:rsidR="006C5B9E" w:rsidRPr="00552FF3" w:rsidRDefault="006C5B9E" w:rsidP="00123BE3">
      <w:pPr>
        <w:rPr>
          <w:rFonts w:eastAsia="SimSun"/>
          <w:bCs/>
          <w:lang w:eastAsia="zh-CN"/>
        </w:rPr>
      </w:pPr>
      <w:r w:rsidRPr="00552FF3">
        <w:rPr>
          <w:rFonts w:eastAsia="SimSun"/>
          <w:bCs/>
          <w:lang w:eastAsia="zh-CN"/>
        </w:rPr>
        <w:t>3.7</w:t>
      </w:r>
      <w:r w:rsidRPr="00552FF3">
        <w:rPr>
          <w:rFonts w:eastAsia="SimSun"/>
          <w:bCs/>
          <w:lang w:eastAsia="zh-CN"/>
        </w:rPr>
        <w:tab/>
      </w:r>
      <w:r w:rsidR="006D58AE" w:rsidRPr="00552FF3">
        <w:rPr>
          <w:rFonts w:eastAsia="SimSun"/>
          <w:lang w:eastAsia="zh-CN"/>
        </w:rPr>
        <w:t xml:space="preserve">La CE 13 de l'UIT-T a approuvé les Recommandations </w:t>
      </w:r>
      <w:proofErr w:type="gramStart"/>
      <w:r w:rsidR="006D58AE" w:rsidRPr="00552FF3">
        <w:rPr>
          <w:rFonts w:eastAsia="SimSun"/>
          <w:lang w:eastAsia="zh-CN"/>
        </w:rPr>
        <w:t>suivantes:</w:t>
      </w:r>
      <w:proofErr w:type="gramEnd"/>
      <w:r w:rsidR="006D58AE" w:rsidRPr="00552FF3">
        <w:rPr>
          <w:rFonts w:eastAsia="SimSun"/>
          <w:lang w:eastAsia="zh-CN"/>
        </w:rPr>
        <w:t xml:space="preserve"> UIT-T </w:t>
      </w:r>
      <w:r w:rsidR="004E16C5" w:rsidRPr="00552FF3">
        <w:rPr>
          <w:rFonts w:eastAsia="SimSun"/>
        </w:rPr>
        <w:t>Y.3056</w:t>
      </w:r>
      <w:r w:rsidR="006D58AE" w:rsidRPr="00552FF3">
        <w:rPr>
          <w:rFonts w:eastAsia="SimSun"/>
          <w:lang w:eastAsia="zh-CN"/>
        </w:rPr>
        <w:t xml:space="preserve"> et Y.3057 sur la gestion des données personnelles basée sur la confiance </w:t>
      </w:r>
      <w:r w:rsidR="00FA26AA" w:rsidRPr="00552FF3">
        <w:t xml:space="preserve">et </w:t>
      </w:r>
      <w:r w:rsidR="006D58AE" w:rsidRPr="00552FF3">
        <w:t>UIT</w:t>
      </w:r>
      <w:r w:rsidR="006D58AE" w:rsidRPr="00552FF3">
        <w:rPr>
          <w:rFonts w:eastAsia="SimSun"/>
        </w:rPr>
        <w:t>-</w:t>
      </w:r>
      <w:r w:rsidR="006D58AE" w:rsidRPr="00552FF3">
        <w:rPr>
          <w:rFonts w:eastAsia="SimSun"/>
          <w:lang w:eastAsia="zh-CN"/>
        </w:rPr>
        <w:t xml:space="preserve">T </w:t>
      </w:r>
      <w:r w:rsidR="004E16C5" w:rsidRPr="00552FF3">
        <w:rPr>
          <w:rFonts w:eastAsia="SimSun"/>
        </w:rPr>
        <w:t>Y.3805</w:t>
      </w:r>
      <w:r w:rsidR="00BD71AE" w:rsidRPr="00552FF3">
        <w:rPr>
          <w:rFonts w:eastAsia="SimSun"/>
          <w:lang w:eastAsia="zh-CN"/>
        </w:rPr>
        <w:t xml:space="preserve"> et</w:t>
      </w:r>
      <w:r w:rsidR="006D58AE" w:rsidRPr="00552FF3">
        <w:rPr>
          <w:rFonts w:eastAsia="SimSun"/>
          <w:lang w:eastAsia="zh-CN"/>
        </w:rPr>
        <w:t xml:space="preserve"> </w:t>
      </w:r>
      <w:r w:rsidR="004E16C5" w:rsidRPr="00552FF3">
        <w:rPr>
          <w:rFonts w:eastAsia="SimSun"/>
        </w:rPr>
        <w:t>Y.3806</w:t>
      </w:r>
      <w:r w:rsidR="00BD71AE" w:rsidRPr="00552FF3">
        <w:rPr>
          <w:rFonts w:eastAsia="SimSun"/>
          <w:lang w:eastAsia="zh-CN"/>
        </w:rPr>
        <w:t xml:space="preserve"> </w:t>
      </w:r>
      <w:r w:rsidR="006D58AE" w:rsidRPr="00552FF3">
        <w:rPr>
          <w:rFonts w:eastAsia="SimSun"/>
          <w:lang w:eastAsia="zh-CN"/>
        </w:rPr>
        <w:t>sur les réseaux de distribution de clés quantiques</w:t>
      </w:r>
      <w:r w:rsidRPr="00552FF3">
        <w:rPr>
          <w:rFonts w:eastAsia="SimSun"/>
          <w:bCs/>
          <w:lang w:eastAsia="zh-CN"/>
        </w:rPr>
        <w:t>.</w:t>
      </w:r>
    </w:p>
    <w:p w14:paraId="2EB09046" w14:textId="66DF18B6" w:rsidR="004E16C5" w:rsidRPr="00552FF3" w:rsidRDefault="006C5B9E" w:rsidP="00123BE3">
      <w:pPr>
        <w:rPr>
          <w:rFonts w:eastAsia="SimSun"/>
          <w:szCs w:val="24"/>
          <w:lang w:eastAsia="zh-CN"/>
        </w:rPr>
      </w:pPr>
      <w:r w:rsidRPr="00552FF3">
        <w:rPr>
          <w:rFonts w:eastAsia="SimSun"/>
          <w:szCs w:val="24"/>
          <w:lang w:eastAsia="zh-CN"/>
        </w:rPr>
        <w:t>3.8</w:t>
      </w:r>
      <w:r w:rsidRPr="00552FF3">
        <w:rPr>
          <w:rFonts w:eastAsia="SimSun"/>
          <w:szCs w:val="24"/>
          <w:lang w:eastAsia="zh-CN"/>
        </w:rPr>
        <w:tab/>
      </w:r>
      <w:r w:rsidR="004E16C5" w:rsidRPr="00552FF3">
        <w:rPr>
          <w:rFonts w:eastAsia="SimSun"/>
          <w:szCs w:val="24"/>
          <w:lang w:eastAsia="zh-CN"/>
        </w:rPr>
        <w:t xml:space="preserve">La CE 15 de l'UIT-T a approuvé </w:t>
      </w:r>
      <w:r w:rsidR="000F6322" w:rsidRPr="00552FF3">
        <w:rPr>
          <w:rFonts w:eastAsia="SimSun"/>
          <w:szCs w:val="24"/>
          <w:lang w:eastAsia="zh-CN"/>
        </w:rPr>
        <w:t xml:space="preserve">le Supplément UIT-T </w:t>
      </w:r>
      <w:proofErr w:type="gramStart"/>
      <w:r w:rsidR="000F6322" w:rsidRPr="00552FF3">
        <w:rPr>
          <w:rFonts w:eastAsia="SimSun"/>
          <w:szCs w:val="24"/>
          <w:lang w:eastAsia="zh-CN"/>
        </w:rPr>
        <w:t>G.Suppl.OTNSec</w:t>
      </w:r>
      <w:proofErr w:type="gramEnd"/>
      <w:r w:rsidR="000F6322" w:rsidRPr="00552FF3">
        <w:rPr>
          <w:rFonts w:eastAsia="SimSun"/>
          <w:szCs w:val="24"/>
          <w:lang w:eastAsia="zh-CN"/>
        </w:rPr>
        <w:t xml:space="preserve"> "Sécurité du réseau de transport optique".</w:t>
      </w:r>
    </w:p>
    <w:p w14:paraId="7EFA7C57" w14:textId="7C578165" w:rsidR="00B026BA" w:rsidRPr="00552FF3" w:rsidRDefault="006C5B9E" w:rsidP="00123BE3">
      <w:pPr>
        <w:rPr>
          <w:rFonts w:eastAsia="SimSun"/>
          <w:szCs w:val="24"/>
          <w:lang w:eastAsia="zh-CN"/>
        </w:rPr>
      </w:pPr>
      <w:r w:rsidRPr="00552FF3">
        <w:rPr>
          <w:rFonts w:eastAsia="SimSun"/>
          <w:bCs/>
          <w:szCs w:val="24"/>
          <w:lang w:eastAsia="zh-CN"/>
        </w:rPr>
        <w:t>3.9</w:t>
      </w:r>
      <w:r w:rsidRPr="00552FF3">
        <w:rPr>
          <w:rFonts w:eastAsia="SimSun"/>
          <w:bCs/>
          <w:szCs w:val="24"/>
          <w:lang w:eastAsia="zh-CN"/>
        </w:rPr>
        <w:tab/>
      </w:r>
      <w:r w:rsidR="00B026BA" w:rsidRPr="00552FF3">
        <w:rPr>
          <w:rFonts w:eastAsia="SimSun"/>
          <w:szCs w:val="24"/>
          <w:lang w:eastAsia="zh-CN"/>
        </w:rPr>
        <w:t>La CE 16 de l'UIT-T a approuvé la Recommandation UIT-T F.747.10 "</w:t>
      </w:r>
      <w:r w:rsidR="00D45BE1" w:rsidRPr="00552FF3">
        <w:rPr>
          <w:rFonts w:eastAsia="SimSun"/>
          <w:szCs w:val="24"/>
          <w:lang w:eastAsia="zh-CN"/>
        </w:rPr>
        <w:t>Exigences des systèmes de registres distribués (DLS) pour les services intégrant un facteur humain sécurisé"</w:t>
      </w:r>
      <w:r w:rsidR="009F7D08" w:rsidRPr="00552FF3">
        <w:rPr>
          <w:rFonts w:eastAsia="SimSun"/>
          <w:szCs w:val="24"/>
          <w:lang w:eastAsia="zh-CN"/>
        </w:rPr>
        <w:t xml:space="preserve"> (en cours de publication), qui définit les exigences générales et les capacités fonctionnelles des systèmes de registres distribués (DLS) pour les services intégrant un facteur humain sécurisé.</w:t>
      </w:r>
    </w:p>
    <w:p w14:paraId="31C40E9B" w14:textId="562D1A3E" w:rsidR="00957397" w:rsidRPr="00552FF3" w:rsidRDefault="00957397" w:rsidP="00AB4515">
      <w:pPr>
        <w:tabs>
          <w:tab w:val="clear" w:pos="567"/>
          <w:tab w:val="clear" w:pos="1134"/>
          <w:tab w:val="clear" w:pos="1701"/>
          <w:tab w:val="clear" w:pos="2268"/>
          <w:tab w:val="clear" w:pos="2835"/>
        </w:tabs>
        <w:overflowPunct/>
        <w:autoSpaceDE/>
        <w:autoSpaceDN/>
        <w:snapToGrid w:val="0"/>
        <w:spacing w:after="120"/>
        <w:textAlignment w:val="auto"/>
        <w:rPr>
          <w:rFonts w:asciiTheme="minorHAnsi" w:eastAsia="SimSun" w:hAnsiTheme="minorHAnsi" w:cstheme="minorHAnsi"/>
          <w:bCs/>
          <w:szCs w:val="24"/>
          <w:lang w:eastAsia="zh-CN"/>
        </w:rPr>
      </w:pPr>
      <w:r w:rsidRPr="00552FF3">
        <w:rPr>
          <w:rFonts w:asciiTheme="minorHAnsi" w:eastAsia="SimSun" w:hAnsiTheme="minorHAnsi" w:cstheme="minorHAnsi"/>
          <w:bCs/>
          <w:szCs w:val="24"/>
          <w:lang w:eastAsia="zh-CN"/>
        </w:rPr>
        <w:t>3.10</w:t>
      </w:r>
      <w:r w:rsidRPr="00552FF3">
        <w:rPr>
          <w:rFonts w:asciiTheme="minorHAnsi" w:eastAsia="SimSun" w:hAnsiTheme="minorHAnsi" w:cstheme="minorHAnsi"/>
          <w:bCs/>
          <w:szCs w:val="24"/>
          <w:lang w:eastAsia="zh-CN"/>
        </w:rPr>
        <w:tab/>
      </w:r>
      <w:r w:rsidR="0097213B" w:rsidRPr="00552FF3">
        <w:rPr>
          <w:rFonts w:eastAsia="SimSun"/>
          <w:bCs/>
          <w:lang w:eastAsia="zh-CN"/>
        </w:rPr>
        <w:t xml:space="preserve">La CE 20 de l'UIT-T a élaboré les Recommandations relatives à la sécurité </w:t>
      </w:r>
      <w:proofErr w:type="gramStart"/>
      <w:r w:rsidR="0097213B" w:rsidRPr="00552FF3">
        <w:rPr>
          <w:rFonts w:eastAsia="SimSun"/>
          <w:bCs/>
          <w:lang w:eastAsia="zh-CN"/>
        </w:rPr>
        <w:t>suivantes:</w:t>
      </w:r>
      <w:proofErr w:type="gramEnd"/>
      <w:r w:rsidR="0097213B" w:rsidRPr="00552FF3">
        <w:rPr>
          <w:rFonts w:eastAsia="SimSun"/>
          <w:bCs/>
          <w:lang w:eastAsia="zh-CN"/>
        </w:rPr>
        <w:t xml:space="preserve"> UIT</w:t>
      </w:r>
      <w:r w:rsidR="0097213B" w:rsidRPr="00552FF3">
        <w:rPr>
          <w:rFonts w:eastAsia="SimSun"/>
          <w:bCs/>
          <w:lang w:eastAsia="zh-CN"/>
        </w:rPr>
        <w:noBreakHyphen/>
        <w:t>T</w:t>
      </w:r>
      <w:r w:rsidR="00552FF3">
        <w:rPr>
          <w:rFonts w:eastAsia="SimSun"/>
          <w:bCs/>
          <w:lang w:eastAsia="zh-CN"/>
        </w:rPr>
        <w:t> </w:t>
      </w:r>
      <w:hyperlink r:id="rId43" w:history="1">
        <w:r w:rsidR="0097213B" w:rsidRPr="00552FF3">
          <w:rPr>
            <w:rStyle w:val="Hyperlink"/>
            <w:rFonts w:asciiTheme="minorHAnsi" w:eastAsia="SimSun" w:hAnsiTheme="minorHAnsi" w:cstheme="minorHAnsi"/>
            <w:szCs w:val="24"/>
            <w:lang w:eastAsia="zh-CN"/>
          </w:rPr>
          <w:t>Y.4808</w:t>
        </w:r>
      </w:hyperlink>
      <w:r w:rsidR="0097213B" w:rsidRPr="00552FF3">
        <w:rPr>
          <w:rFonts w:eastAsia="SimSun"/>
        </w:rPr>
        <w:t>, Y.4810 et Y.4811.</w:t>
      </w:r>
    </w:p>
    <w:p w14:paraId="02BA9A90" w14:textId="4952CB1C" w:rsidR="006C5B9E" w:rsidRPr="00552FF3" w:rsidRDefault="006C5B9E" w:rsidP="00123BE3">
      <w:pPr>
        <w:rPr>
          <w:rFonts w:asciiTheme="minorHAnsi" w:hAnsiTheme="minorHAnsi"/>
          <w:bCs/>
          <w:iCs/>
          <w:szCs w:val="24"/>
        </w:rPr>
      </w:pPr>
      <w:r w:rsidRPr="00552FF3">
        <w:rPr>
          <w:rFonts w:asciiTheme="minorHAnsi" w:hAnsiTheme="minorHAnsi"/>
          <w:bCs/>
          <w:szCs w:val="24"/>
        </w:rPr>
        <w:t>3.1</w:t>
      </w:r>
      <w:r w:rsidR="00957397" w:rsidRPr="00552FF3">
        <w:rPr>
          <w:rFonts w:asciiTheme="minorHAnsi" w:hAnsiTheme="minorHAnsi"/>
          <w:bCs/>
          <w:szCs w:val="24"/>
        </w:rPr>
        <w:t>1</w:t>
      </w:r>
      <w:r w:rsidRPr="00552FF3">
        <w:rPr>
          <w:rFonts w:asciiTheme="minorHAnsi" w:hAnsiTheme="minorHAnsi"/>
          <w:bCs/>
          <w:szCs w:val="24"/>
        </w:rPr>
        <w:tab/>
        <w:t>Dans le cadre de leurs travaux, plusieurs groupes spécialisés de l'UIT-T étudient actuellement les aspects liés à la confiance pour diverses technologies émergentes. C'est le cas notamment des groupes suivants:</w:t>
      </w:r>
      <w:r w:rsidR="00957397" w:rsidRPr="00552FF3">
        <w:rPr>
          <w:rFonts w:eastAsia="SimSun"/>
          <w:sz w:val="20"/>
          <w:lang w:eastAsia="zh-CN"/>
        </w:rPr>
        <w:t xml:space="preserve"> </w:t>
      </w:r>
      <w:r w:rsidR="00957397" w:rsidRPr="00552FF3">
        <w:rPr>
          <w:rFonts w:eastAsia="SimSun"/>
          <w:szCs w:val="24"/>
          <w:lang w:eastAsia="zh-CN"/>
        </w:rPr>
        <w:t xml:space="preserve">1) </w:t>
      </w:r>
      <w:hyperlink r:id="rId44" w:history="1">
        <w:r w:rsidR="009920F2" w:rsidRPr="00552FF3">
          <w:rPr>
            <w:rStyle w:val="Hyperlink"/>
            <w:rFonts w:eastAsia="SimSun"/>
            <w:i/>
            <w:iCs/>
          </w:rPr>
          <w:t xml:space="preserve">Groupe spécialisé de l'UIT-T sur les fédérations de bancs d'essai </w:t>
        </w:r>
        <w:r w:rsidR="00612201" w:rsidRPr="00552FF3">
          <w:rPr>
            <w:rStyle w:val="Hyperlink"/>
            <w:rFonts w:eastAsia="SimSun"/>
            <w:i/>
            <w:iCs/>
          </w:rPr>
          <w:t>pour les IMT</w:t>
        </w:r>
        <w:r w:rsidR="00AB4515" w:rsidRPr="00552FF3">
          <w:rPr>
            <w:rStyle w:val="Hyperlink"/>
            <w:rFonts w:eastAsia="SimSun"/>
            <w:i/>
            <w:iCs/>
          </w:rPr>
          <w:noBreakHyphen/>
        </w:r>
        <w:r w:rsidR="00612201" w:rsidRPr="00552FF3">
          <w:rPr>
            <w:rStyle w:val="Hyperlink"/>
            <w:rFonts w:eastAsia="SimSun"/>
            <w:i/>
            <w:iCs/>
          </w:rPr>
          <w:t>2020 et les systèmes ultérieurs (FG-TBFxG)</w:t>
        </w:r>
      </w:hyperlink>
      <w:r w:rsidR="00612201" w:rsidRPr="00552FF3">
        <w:rPr>
          <w:rFonts w:eastAsia="SimSun"/>
        </w:rPr>
        <w:t xml:space="preserve">; 2) </w:t>
      </w:r>
      <w:hyperlink r:id="rId45" w:history="1">
        <w:r w:rsidR="00D01948" w:rsidRPr="00552FF3">
          <w:rPr>
            <w:rStyle w:val="Hyperlink"/>
            <w:rFonts w:eastAsia="SimSun"/>
            <w:i/>
            <w:iCs/>
          </w:rPr>
          <w:t>Groupe spécialisé de l'UIT-T sur l'intelligence artificielle (IA) et l'Internet des objets (IoT) au service de l'agriculture numérique (FG-AI4A)</w:t>
        </w:r>
      </w:hyperlink>
      <w:r w:rsidR="00D01948" w:rsidRPr="00552FF3">
        <w:rPr>
          <w:rFonts w:eastAsia="SimSun"/>
        </w:rPr>
        <w:t>; 3)</w:t>
      </w:r>
      <w:r w:rsidR="00AB4515" w:rsidRPr="00552FF3">
        <w:rPr>
          <w:rFonts w:eastAsia="SimSun"/>
        </w:rPr>
        <w:t> </w:t>
      </w:r>
      <w:hyperlink r:id="rId46" w:history="1">
        <w:r w:rsidR="002F6AFB" w:rsidRPr="00552FF3">
          <w:rPr>
            <w:rStyle w:val="Hyperlink"/>
            <w:rFonts w:eastAsia="SimSun"/>
            <w:i/>
            <w:iCs/>
          </w:rPr>
          <w:t>Groupe spécialisé de l'UIT-T sur l'intelligence artificielle au service de la gestion des catastrophes naturelles (FG-AI4NDM)</w:t>
        </w:r>
      </w:hyperlink>
      <w:r w:rsidR="002F6AFB" w:rsidRPr="00552FF3">
        <w:rPr>
          <w:rFonts w:eastAsia="SimSun"/>
        </w:rPr>
        <w:t xml:space="preserve">; 4) </w:t>
      </w:r>
      <w:hyperlink r:id="rId47" w:history="1">
        <w:r w:rsidR="00AA255F" w:rsidRPr="00552FF3">
          <w:rPr>
            <w:rStyle w:val="Hyperlink"/>
            <w:rFonts w:eastAsia="SimSun"/>
            <w:i/>
            <w:iCs/>
          </w:rPr>
          <w:t>Groupe spécialisé de l'UIT-T sur les réseaux autonomes (FG-AN)</w:t>
        </w:r>
      </w:hyperlink>
      <w:r w:rsidR="00AA255F" w:rsidRPr="00552FF3">
        <w:rPr>
          <w:rFonts w:eastAsia="SimSun"/>
        </w:rPr>
        <w:t>; 5)</w:t>
      </w:r>
      <w:r w:rsidR="00432A78" w:rsidRPr="00552FF3">
        <w:rPr>
          <w:rFonts w:eastAsia="SimSun"/>
        </w:rPr>
        <w:t> </w:t>
      </w:r>
      <w:hyperlink r:id="rId48" w:history="1">
        <w:r w:rsidR="00070D79" w:rsidRPr="00552FF3">
          <w:rPr>
            <w:rStyle w:val="Hyperlink"/>
            <w:rFonts w:eastAsia="SimSun"/>
            <w:i/>
            <w:iCs/>
          </w:rPr>
          <w:t>Groupe spécialisé de l'UIT-T sur l'intelligence artificielle au service de la conduite autonome et de la conduite assistée (FG-AI4AD)</w:t>
        </w:r>
      </w:hyperlink>
      <w:r w:rsidR="00070D79" w:rsidRPr="00552FF3">
        <w:rPr>
          <w:rFonts w:eastAsia="SimSun"/>
        </w:rPr>
        <w:t xml:space="preserve">; 6) </w:t>
      </w:r>
      <w:hyperlink r:id="rId49" w:history="1">
        <w:r w:rsidR="007E459B" w:rsidRPr="00552FF3">
          <w:rPr>
            <w:rStyle w:val="Hyperlink"/>
            <w:rFonts w:eastAsia="SimSun"/>
            <w:i/>
            <w:iCs/>
          </w:rPr>
          <w:t>Groupe spécialisé de l'UIT-T sur l'efficacité environnementale de l'intelligence artificielle et d'autres technologies émergentes (FG-AI4EE)</w:t>
        </w:r>
      </w:hyperlink>
      <w:r w:rsidR="007E459B" w:rsidRPr="00552FF3">
        <w:rPr>
          <w:rFonts w:eastAsia="SimSun"/>
        </w:rPr>
        <w:t xml:space="preserve">; 7) </w:t>
      </w:r>
      <w:hyperlink r:id="rId50" w:history="1">
        <w:r w:rsidR="00B5710D" w:rsidRPr="00552FF3">
          <w:rPr>
            <w:rStyle w:val="Hyperlink"/>
            <w:i/>
            <w:iCs/>
          </w:rPr>
          <w:t>Groupe spécialisé de l'UIT-T sur l'intelligence artificielle au service de la santé (FG-AI4H)</w:t>
        </w:r>
      </w:hyperlink>
      <w:r w:rsidR="00B5710D" w:rsidRPr="00552FF3">
        <w:t xml:space="preserve"> et 8) </w:t>
      </w:r>
      <w:hyperlink r:id="rId51" w:history="1">
        <w:r w:rsidR="00EC473A" w:rsidRPr="00552FF3">
          <w:rPr>
            <w:rStyle w:val="Hyperlink"/>
            <w:i/>
            <w:iCs/>
          </w:rPr>
          <w:t>Groupe spécialisé de l'UIT</w:t>
        </w:r>
        <w:r w:rsidR="00432A78" w:rsidRPr="00552FF3">
          <w:rPr>
            <w:rStyle w:val="Hyperlink"/>
            <w:i/>
            <w:iCs/>
          </w:rPr>
          <w:noBreakHyphen/>
        </w:r>
        <w:r w:rsidR="00EC473A" w:rsidRPr="00552FF3">
          <w:rPr>
            <w:rStyle w:val="Hyperlink"/>
            <w:i/>
            <w:iCs/>
          </w:rPr>
          <w:t>T sur le multimédia dans les véhicules (FG-VM)</w:t>
        </w:r>
      </w:hyperlink>
      <w:r w:rsidR="00FB6174" w:rsidRPr="00552FF3">
        <w:t>.</w:t>
      </w:r>
    </w:p>
    <w:p w14:paraId="5EFECC0F" w14:textId="25E40821" w:rsidR="00EE5C18" w:rsidRPr="00552FF3" w:rsidRDefault="006C5B9E" w:rsidP="00123BE3">
      <w:r w:rsidRPr="00552FF3">
        <w:rPr>
          <w:rFonts w:asciiTheme="minorHAnsi" w:hAnsiTheme="minorHAnsi"/>
          <w:iCs/>
          <w:szCs w:val="24"/>
        </w:rPr>
        <w:t>3.1</w:t>
      </w:r>
      <w:r w:rsidR="00EE5C18" w:rsidRPr="00552FF3">
        <w:rPr>
          <w:rFonts w:asciiTheme="minorHAnsi" w:hAnsiTheme="minorHAnsi"/>
          <w:iCs/>
          <w:szCs w:val="24"/>
        </w:rPr>
        <w:t>2</w:t>
      </w:r>
      <w:r w:rsidRPr="00552FF3">
        <w:rPr>
          <w:rFonts w:asciiTheme="minorHAnsi" w:hAnsiTheme="minorHAnsi"/>
          <w:iCs/>
          <w:szCs w:val="24"/>
        </w:rPr>
        <w:tab/>
      </w:r>
      <w:r w:rsidRPr="00552FF3">
        <w:t xml:space="preserve">L'UIT-R poursuit ses travaux dans le domaine de la normalisation des radiocommunications, de façon à répondre à l'évolution constante des réseaux modernes de télécommunication. Ce Secteur a défini des principes de sécurité précis concernant les réseaux IMT (3G, 4G et 5G) (Recommandations UIT-R M.1078, M.1223, M.1457, M.1645, M.2012 et M.2083). Il a également publié des Recommandations sur les questions de sécurité relatives à l'architecture de gestion des réseaux pour les systèmes numériques à satellites (Recommandation UIT-R S.1250) et sur l'amélioration de la qualité de fonctionnement du protocole de commande de transmission sur les réseaux à satellite (Recommandation UIT-R S.1711). On trouvera sur le </w:t>
      </w:r>
      <w:hyperlink r:id="rId52" w:history="1">
        <w:r w:rsidRPr="00552FF3">
          <w:rPr>
            <w:rStyle w:val="Hyperlink"/>
          </w:rPr>
          <w:t>site web des informations relatives aux technologies mobiles futuristes prévues pour les IMT à l'horizon 2020 et au-delà</w:t>
        </w:r>
      </w:hyperlink>
      <w:r w:rsidRPr="00552FF3">
        <w:t>.</w:t>
      </w:r>
    </w:p>
    <w:p w14:paraId="1E374C36" w14:textId="0E549C59" w:rsidR="00EE5C18" w:rsidRPr="00552FF3" w:rsidRDefault="00EE5C18" w:rsidP="00123BE3">
      <w:pPr>
        <w:pStyle w:val="Heading1"/>
      </w:pPr>
      <w:r w:rsidRPr="00552FF3">
        <w:lastRenderedPageBreak/>
        <w:t>4</w:t>
      </w:r>
      <w:r w:rsidRPr="00552FF3">
        <w:tab/>
        <w:t>Structures organisationnelles</w:t>
      </w:r>
    </w:p>
    <w:p w14:paraId="4A736F69" w14:textId="16AE2109" w:rsidR="00EE5C18" w:rsidRPr="00552FF3" w:rsidRDefault="00EE5C18" w:rsidP="00123BE3">
      <w:pPr>
        <w:rPr>
          <w:b/>
          <w:bCs/>
        </w:rPr>
      </w:pPr>
      <w:r w:rsidRPr="00552FF3">
        <w:t>4.1</w:t>
      </w:r>
      <w:r w:rsidRPr="00552FF3">
        <w:tab/>
      </w:r>
      <w:r w:rsidR="009F6CF1" w:rsidRPr="00552FF3">
        <w:t>En 2021, l</w:t>
      </w:r>
      <w:r w:rsidRPr="00552FF3">
        <w:t>'UIT a procédé à des évaluations techniques pour faire le point sur l'état de préparation à la création d'équipes d'intervention en cas d'incident informatique (CIRT) dans plus de 80 pays, et prend actuellement les mesures de suivi nécessaires pour aider les États Membres à mettre sur pied ces équipes. Elle a directement participé à la création et/ou au renforcement des capacités de 1</w:t>
      </w:r>
      <w:r w:rsidR="009F6CF1" w:rsidRPr="00552FF3">
        <w:t>7</w:t>
      </w:r>
      <w:r w:rsidRPr="00552FF3">
        <w:t xml:space="preserve"> équipes CIRT de pays</w:t>
      </w:r>
      <w:r w:rsidR="004F2BEA" w:rsidRPr="00552FF3">
        <w:t xml:space="preserve"> avant 2021</w:t>
      </w:r>
      <w:r w:rsidRPr="00552FF3">
        <w:t xml:space="preserve">, </w:t>
      </w:r>
      <w:r w:rsidR="004F2BEA" w:rsidRPr="00552FF3">
        <w:t>t</w:t>
      </w:r>
      <w:r w:rsidR="00F75F58" w:rsidRPr="00552FF3">
        <w:t xml:space="preserve">rois (3) projets sont arrivés à terme </w:t>
      </w:r>
      <w:r w:rsidR="00665F6E" w:rsidRPr="00552FF3">
        <w:t xml:space="preserve">en 2021, </w:t>
      </w:r>
      <w:r w:rsidR="0032244E" w:rsidRPr="00552FF3">
        <w:t xml:space="preserve">des évaluations ont été menées en vue de la mise en place d'une équipe CIRT en Guinée-Bissau, aux Bahamas, en Mongolie et en Guyane, </w:t>
      </w:r>
      <w:r w:rsidR="00281BF1" w:rsidRPr="00552FF3">
        <w:t xml:space="preserve">les modalités </w:t>
      </w:r>
      <w:r w:rsidR="008B74E7" w:rsidRPr="00552FF3">
        <w:t xml:space="preserve">de conception de l'équipe CIRT de l'Eswatini ont été examinées </w:t>
      </w:r>
      <w:r w:rsidR="00CB6A24" w:rsidRPr="00552FF3">
        <w:t>et</w:t>
      </w:r>
      <w:r w:rsidR="00303D6F" w:rsidRPr="00552FF3">
        <w:t xml:space="preserve"> quatre projets relatifs à la mise en œuvre d'équipes</w:t>
      </w:r>
      <w:r w:rsidR="00564DBA" w:rsidRPr="00552FF3">
        <w:t xml:space="preserve"> CIRT sont en cours</w:t>
      </w:r>
      <w:r w:rsidRPr="00552FF3">
        <w:t>.</w:t>
      </w:r>
      <w:r w:rsidR="00D73803" w:rsidRPr="00552FF3">
        <w:t xml:space="preserve"> </w:t>
      </w:r>
      <w:r w:rsidR="00B62B5F" w:rsidRPr="00552FF3">
        <w:t xml:space="preserve">En outre, l'UIT a </w:t>
      </w:r>
      <w:r w:rsidR="00A16DAD" w:rsidRPr="00552FF3">
        <w:t xml:space="preserve">aidé le Mali et le Malawi à </w:t>
      </w:r>
      <w:r w:rsidR="005B27DA" w:rsidRPr="00552FF3">
        <w:t>concevoir</w:t>
      </w:r>
      <w:r w:rsidR="00A16DAD" w:rsidRPr="00552FF3">
        <w:t xml:space="preserve"> </w:t>
      </w:r>
      <w:r w:rsidR="005578E8" w:rsidRPr="00552FF3">
        <w:t>un cadre relatif</w:t>
      </w:r>
      <w:r w:rsidR="0087507A" w:rsidRPr="00552FF3">
        <w:t xml:space="preserve"> à l'infrastructure de clé publique (PKI)</w:t>
      </w:r>
      <w:r w:rsidR="005578E8" w:rsidRPr="00552FF3">
        <w:t xml:space="preserve"> dans chacun de ces pays.</w:t>
      </w:r>
    </w:p>
    <w:p w14:paraId="3D698397" w14:textId="1188C9DF" w:rsidR="00A42BEE" w:rsidRPr="00552FF3" w:rsidRDefault="00EE5C18" w:rsidP="00123BE3">
      <w:r w:rsidRPr="00552FF3">
        <w:t>4.2</w:t>
      </w:r>
      <w:r w:rsidRPr="00552FF3">
        <w:tab/>
        <w:t xml:space="preserve">À ce jour, l'UIT a organisé </w:t>
      </w:r>
      <w:r w:rsidR="009F6CF1" w:rsidRPr="00552FF3">
        <w:t>34</w:t>
      </w:r>
      <w:r w:rsidRPr="00552FF3">
        <w:t xml:space="preserve"> </w:t>
      </w:r>
      <w:hyperlink r:id="rId53" w:history="1">
        <w:r w:rsidRPr="00552FF3">
          <w:rPr>
            <w:rStyle w:val="Hyperlink"/>
          </w:rPr>
          <w:t>cyberexercices</w:t>
        </w:r>
      </w:hyperlink>
      <w:r w:rsidRPr="00552FF3">
        <w:t>, auxquels plus de 1</w:t>
      </w:r>
      <w:r w:rsidR="009F6CF1" w:rsidRPr="00552FF3">
        <w:t>2</w:t>
      </w:r>
      <w:r w:rsidRPr="00552FF3">
        <w:t xml:space="preserve">0 pays ont participé. </w:t>
      </w:r>
      <w:r w:rsidR="00FD31BD" w:rsidRPr="00552FF3">
        <w:t xml:space="preserve">Entre </w:t>
      </w:r>
      <w:r w:rsidRPr="00552FF3">
        <w:t xml:space="preserve">septembre </w:t>
      </w:r>
      <w:r w:rsidR="00FD31BD" w:rsidRPr="00552FF3">
        <w:t xml:space="preserve">et </w:t>
      </w:r>
      <w:r w:rsidRPr="00552FF3">
        <w:t xml:space="preserve">décembre </w:t>
      </w:r>
      <w:r w:rsidR="000C6362" w:rsidRPr="00552FF3">
        <w:t>2021</w:t>
      </w:r>
      <w:r w:rsidRPr="00552FF3">
        <w:t xml:space="preserve">, elle a organisé et exécuté son </w:t>
      </w:r>
      <w:hyperlink r:id="rId54" w:history="1">
        <w:r w:rsidRPr="00552FF3">
          <w:rPr>
            <w:rStyle w:val="Hyperlink"/>
          </w:rPr>
          <w:t>cyberexercice mondial</w:t>
        </w:r>
      </w:hyperlink>
      <w:r w:rsidRPr="00552FF3">
        <w:t xml:space="preserve"> de 202</w:t>
      </w:r>
      <w:r w:rsidR="009F6CF1" w:rsidRPr="00552FF3">
        <w:t>1</w:t>
      </w:r>
      <w:r w:rsidRPr="00552FF3">
        <w:t xml:space="preserve"> sous la forme de manifestations en ligne (dialogues régionaux, webinaires techniques et de politique générale et séances de formation à des outils et de perfectionnement) ainsi </w:t>
      </w:r>
      <w:r w:rsidR="000C6362" w:rsidRPr="00552FF3">
        <w:t>que deux</w:t>
      </w:r>
      <w:r w:rsidR="00432A78" w:rsidRPr="00552FF3">
        <w:t> </w:t>
      </w:r>
      <w:r w:rsidR="000B0B48" w:rsidRPr="00552FF3">
        <w:t xml:space="preserve">cyberexercices sous-régionaux à l'intention des </w:t>
      </w:r>
      <w:r w:rsidR="002C6DC9" w:rsidRPr="00552FF3">
        <w:t>pays de la Communauté économique des États de l'Afrique de l'Ouest (CEDEAO) et de la Communauté de développement de l'Afrique</w:t>
      </w:r>
      <w:r w:rsidR="00432A78" w:rsidRPr="00552FF3">
        <w:t> </w:t>
      </w:r>
      <w:r w:rsidR="002C6DC9" w:rsidRPr="00552FF3">
        <w:t>australe (SADC)</w:t>
      </w:r>
      <w:r w:rsidR="00D62D0B" w:rsidRPr="00552FF3">
        <w:t xml:space="preserve"> ainsi qu'un cyberexercice national </w:t>
      </w:r>
      <w:r w:rsidR="00827F28" w:rsidRPr="00552FF3">
        <w:t>à l'intention de l'</w:t>
      </w:r>
      <w:r w:rsidR="00C23DDE" w:rsidRPr="00552FF3">
        <w:t>Inde</w:t>
      </w:r>
      <w:r w:rsidR="009F6CF1" w:rsidRPr="00552FF3">
        <w:t xml:space="preserve">. </w:t>
      </w:r>
      <w:r w:rsidR="00A42BEE" w:rsidRPr="00552FF3">
        <w:t>En outre, deux</w:t>
      </w:r>
      <w:r w:rsidR="00432A78" w:rsidRPr="00552FF3">
        <w:t> </w:t>
      </w:r>
      <w:r w:rsidR="00A42BEE" w:rsidRPr="00552FF3">
        <w:t xml:space="preserve">publications ont été élaborées en 2021, à </w:t>
      </w:r>
      <w:proofErr w:type="gramStart"/>
      <w:r w:rsidR="00A42BEE" w:rsidRPr="00552FF3">
        <w:t>savoir:</w:t>
      </w:r>
      <w:proofErr w:type="gramEnd"/>
      <w:r w:rsidR="00A42BEE" w:rsidRPr="00552FF3">
        <w:t xml:space="preserve"> "</w:t>
      </w:r>
      <w:r w:rsidR="00F956E8" w:rsidRPr="00552FF3">
        <w:t xml:space="preserve">Cadre et lignes directrices opérationnels pour </w:t>
      </w:r>
      <w:r w:rsidR="00A7668B" w:rsidRPr="00552FF3">
        <w:t>la planification et l'exécution des cyberexercices régionaux de l'UIT" et "</w:t>
      </w:r>
      <w:r w:rsidR="00860DCB" w:rsidRPr="00552FF3">
        <w:t>Programme de travail de l'UIT sur la cybersécurité: cadre relatif aux équipes CIRT".</w:t>
      </w:r>
    </w:p>
    <w:p w14:paraId="30FD2095" w14:textId="77777777" w:rsidR="00EE5C18" w:rsidRPr="00552FF3" w:rsidRDefault="00EE5C18" w:rsidP="00123BE3">
      <w:pPr>
        <w:pStyle w:val="Heading1"/>
      </w:pPr>
      <w:r w:rsidRPr="00552FF3">
        <w:t>5</w:t>
      </w:r>
      <w:r w:rsidRPr="00552FF3">
        <w:tab/>
        <w:t>Renforcement des capacités</w:t>
      </w:r>
    </w:p>
    <w:p w14:paraId="79D7C593" w14:textId="398D14B0" w:rsidR="00EE5C18" w:rsidRPr="00552FF3" w:rsidRDefault="00EE5C18" w:rsidP="00B047DC">
      <w:r w:rsidRPr="00552FF3">
        <w:t>5.1</w:t>
      </w:r>
      <w:r w:rsidRPr="00552FF3">
        <w:tab/>
        <w:t xml:space="preserve">Au cours du </w:t>
      </w:r>
      <w:hyperlink r:id="rId55" w:history="1">
        <w:r w:rsidRPr="00552FF3">
          <w:rPr>
            <w:rStyle w:val="Hyperlink"/>
          </w:rPr>
          <w:t>cyberexercice mondial de l'UIT</w:t>
        </w:r>
      </w:hyperlink>
      <w:r w:rsidRPr="00552FF3">
        <w:t xml:space="preserve">, le BDT a organisé des </w:t>
      </w:r>
      <w:r w:rsidR="009257DA" w:rsidRPr="00552FF3">
        <w:t>forums régionaux sur la cybersécurité</w:t>
      </w:r>
      <w:r w:rsidRPr="00552FF3">
        <w:rPr>
          <w:rStyle w:val="Hyperlink"/>
          <w:rFonts w:asciiTheme="minorHAnsi" w:hAnsiTheme="minorHAnsi"/>
          <w:color w:val="auto"/>
          <w:szCs w:val="24"/>
          <w:u w:val="none"/>
        </w:rPr>
        <w:t xml:space="preserve"> </w:t>
      </w:r>
      <w:r w:rsidRPr="00552FF3">
        <w:t>à l'intention de toutes les régions de l'Union, afin d'en renforcer les capacités humaines et organisationnelles.</w:t>
      </w:r>
    </w:p>
    <w:p w14:paraId="65C38340" w14:textId="77777777" w:rsidR="00EE5C18" w:rsidRPr="00552FF3" w:rsidRDefault="00EE5C18" w:rsidP="00B047DC">
      <w:pPr>
        <w:rPr>
          <w:rFonts w:asciiTheme="minorHAnsi" w:hAnsiTheme="minorHAnsi"/>
          <w:szCs w:val="24"/>
        </w:rPr>
      </w:pPr>
      <w:r w:rsidRPr="00552FF3">
        <w:rPr>
          <w:rFonts w:asciiTheme="minorHAnsi" w:hAnsiTheme="minorHAnsi"/>
          <w:szCs w:val="24"/>
        </w:rPr>
        <w:t>5.2</w:t>
      </w:r>
      <w:r w:rsidRPr="00552FF3">
        <w:rPr>
          <w:rFonts w:asciiTheme="minorHAnsi" w:hAnsiTheme="minorHAnsi"/>
          <w:szCs w:val="24"/>
        </w:rPr>
        <w:tab/>
        <w:t>À la suite de la CMDT-17, les responsables de la Question 3/2 (</w:t>
      </w:r>
      <w:hyperlink r:id="rId56" w:history="1">
        <w:r w:rsidRPr="00552FF3">
          <w:rPr>
            <w:rStyle w:val="Hyperlink"/>
          </w:rPr>
          <w:t xml:space="preserve">Sécurisation des réseaux d'information et de </w:t>
        </w:r>
        <w:proofErr w:type="gramStart"/>
        <w:r w:rsidRPr="00552FF3">
          <w:rPr>
            <w:rStyle w:val="Hyperlink"/>
          </w:rPr>
          <w:t>communication:</w:t>
        </w:r>
        <w:proofErr w:type="gramEnd"/>
        <w:r w:rsidRPr="00552FF3">
          <w:rPr>
            <w:rStyle w:val="Hyperlink"/>
          </w:rPr>
          <w:t xml:space="preserve"> Bonnes pratiques pour créer une culture de la cybersécurité</w:t>
        </w:r>
      </w:hyperlink>
      <w:r w:rsidRPr="00552FF3">
        <w:rPr>
          <w:rFonts w:asciiTheme="minorHAnsi" w:hAnsiTheme="minorHAnsi"/>
          <w:szCs w:val="24"/>
        </w:rPr>
        <w:t>) ont poursuivi leurs travaux pendant la période d'études 2018-2021.</w:t>
      </w:r>
    </w:p>
    <w:p w14:paraId="17CDAC6C" w14:textId="2C2997F6" w:rsidR="00B066AA" w:rsidRPr="00552FF3" w:rsidRDefault="00EE5C18" w:rsidP="00B047DC">
      <w:r w:rsidRPr="00552FF3">
        <w:t>5.3</w:t>
      </w:r>
      <w:r w:rsidRPr="00552FF3">
        <w:tab/>
      </w:r>
      <w:r w:rsidR="00AB6F89" w:rsidRPr="00552FF3">
        <w:t xml:space="preserve">L'UIT a facilité le </w:t>
      </w:r>
      <w:r w:rsidRPr="00552FF3">
        <w:t xml:space="preserve">processus de mise à jour du </w:t>
      </w:r>
      <w:hyperlink r:id="rId57" w:history="1">
        <w:r w:rsidRPr="00552FF3">
          <w:rPr>
            <w:rStyle w:val="Hyperlink"/>
          </w:rPr>
          <w:t>Guide d'élaboration d'une stratégie nationale en matière de cybersécurité</w:t>
        </w:r>
      </w:hyperlink>
      <w:r w:rsidRPr="00552FF3">
        <w:t xml:space="preserve">. Plus de </w:t>
      </w:r>
      <w:hyperlink r:id="rId58" w:history="1">
        <w:r w:rsidRPr="00552FF3">
          <w:rPr>
            <w:rStyle w:val="Hyperlink"/>
          </w:rPr>
          <w:t>20 organisations</w:t>
        </w:r>
      </w:hyperlink>
      <w:r w:rsidRPr="00552FF3">
        <w:t xml:space="preserve"> </w:t>
      </w:r>
      <w:r w:rsidR="00E07428" w:rsidRPr="00552FF3">
        <w:t>ont contribué</w:t>
      </w:r>
      <w:r w:rsidRPr="00552FF3">
        <w:t xml:space="preserve"> à </w:t>
      </w:r>
      <w:r w:rsidR="00E32BBB" w:rsidRPr="00552FF3">
        <w:t>l'élaboration de la deuxième</w:t>
      </w:r>
      <w:r w:rsidR="00432A78" w:rsidRPr="00552FF3">
        <w:t> </w:t>
      </w:r>
      <w:hyperlink r:id="rId59" w:history="1">
        <w:r w:rsidR="00833C59" w:rsidRPr="00552FF3">
          <w:rPr>
            <w:rStyle w:val="Hyperlink"/>
          </w:rPr>
          <w:t>édition</w:t>
        </w:r>
        <w:r w:rsidR="00E32BBB" w:rsidRPr="00552FF3">
          <w:rPr>
            <w:rStyle w:val="Hyperlink"/>
          </w:rPr>
          <w:t xml:space="preserve"> du guide</w:t>
        </w:r>
      </w:hyperlink>
      <w:r w:rsidR="00E32BBB" w:rsidRPr="00552FF3">
        <w:t>, qui a été lancée en novembre 2021</w:t>
      </w:r>
      <w:r w:rsidRPr="00552FF3">
        <w:t xml:space="preserve"> </w:t>
      </w:r>
      <w:r w:rsidR="00A12C8A" w:rsidRPr="00552FF3">
        <w:t>dans le cadre</w:t>
      </w:r>
      <w:r w:rsidR="00A55D44" w:rsidRPr="00552FF3">
        <w:t xml:space="preserve"> d'un webinaire mondial</w:t>
      </w:r>
      <w:r w:rsidR="00A12C8A" w:rsidRPr="00552FF3">
        <w:t xml:space="preserve">, </w:t>
      </w:r>
      <w:r w:rsidR="005B7090" w:rsidRPr="00552FF3">
        <w:t xml:space="preserve">où les participants ont débattu du </w:t>
      </w:r>
      <w:r w:rsidRPr="00552FF3">
        <w:t xml:space="preserve">cycle d'élaboration et de mise en œuvre </w:t>
      </w:r>
      <w:r w:rsidR="00C10E28" w:rsidRPr="00552FF3">
        <w:t>d'une stratégie nationale</w:t>
      </w:r>
      <w:r w:rsidR="00F24EF3" w:rsidRPr="00552FF3">
        <w:t xml:space="preserve"> en matière de cybersécurité</w:t>
      </w:r>
      <w:r w:rsidR="00A12C8A" w:rsidRPr="00552FF3">
        <w:t xml:space="preserve">, </w:t>
      </w:r>
      <w:r w:rsidR="005B7090" w:rsidRPr="00552FF3">
        <w:t xml:space="preserve">souligné </w:t>
      </w:r>
      <w:r w:rsidR="00A12C8A" w:rsidRPr="00552FF3">
        <w:t xml:space="preserve">les </w:t>
      </w:r>
      <w:r w:rsidR="00526D42" w:rsidRPr="00552FF3">
        <w:t>enjeux</w:t>
      </w:r>
      <w:r w:rsidR="00B554F3" w:rsidRPr="00552FF3">
        <w:t xml:space="preserve"> et les </w:t>
      </w:r>
      <w:r w:rsidR="005B7090" w:rsidRPr="00552FF3">
        <w:t xml:space="preserve">perspectives, et invité à davantage de </w:t>
      </w:r>
      <w:r w:rsidR="00B554F3" w:rsidRPr="00552FF3">
        <w:t>coopération</w:t>
      </w:r>
      <w:r w:rsidRPr="00552FF3">
        <w:t xml:space="preserve">. Des activités consistant à fournir une assistance technique sur ces stratégies ont été lancées aux </w:t>
      </w:r>
      <w:r w:rsidR="00AE37EB" w:rsidRPr="00552FF3">
        <w:t>B</w:t>
      </w:r>
      <w:r w:rsidR="00FE5B69" w:rsidRPr="00552FF3">
        <w:t>ahamas, au Rwanda, au Maroc</w:t>
      </w:r>
      <w:r w:rsidR="00AE37EB" w:rsidRPr="00552FF3">
        <w:t xml:space="preserve"> et dans les pays de </w:t>
      </w:r>
      <w:r w:rsidR="00631875" w:rsidRPr="00552FF3">
        <w:t>la Communauté des États de l'Afrique australe (SADEC)</w:t>
      </w:r>
      <w:r w:rsidRPr="00552FF3">
        <w:t>, et des discussions sont en cours avec d'autres États</w:t>
      </w:r>
      <w:r w:rsidR="00432A78" w:rsidRPr="00552FF3">
        <w:t> </w:t>
      </w:r>
      <w:r w:rsidRPr="00552FF3">
        <w:t xml:space="preserve">Membres qui ont besoin d'une assistance. </w:t>
      </w:r>
      <w:r w:rsidR="00C77756" w:rsidRPr="00552FF3">
        <w:t>En outre, l'UIT a achevé et mis à disposition la formation en ligne "</w:t>
      </w:r>
      <w:hyperlink r:id="rId60" w:history="1">
        <w:r w:rsidR="005933EC" w:rsidRPr="00552FF3">
          <w:rPr>
            <w:rStyle w:val="Hyperlink"/>
          </w:rPr>
          <w:t>Cycle de vie, principes et bonnes pratiques pour l'élaboration et la mise en œuvre d'une stratégie nationale de cybersécurité</w:t>
        </w:r>
      </w:hyperlink>
      <w:r w:rsidR="005933EC" w:rsidRPr="00552FF3">
        <w:t xml:space="preserve">" </w:t>
      </w:r>
      <w:r w:rsidR="001A1C80" w:rsidRPr="00552FF3">
        <w:t xml:space="preserve">en trois langues (anglais, français et espagnol) </w:t>
      </w:r>
      <w:r w:rsidR="00FE4C95" w:rsidRPr="00552FF3">
        <w:t>sur la plate-forme de l'Académie de l'UIT</w:t>
      </w:r>
      <w:r w:rsidR="001A1C80" w:rsidRPr="00552FF3">
        <w:t xml:space="preserve">. </w:t>
      </w:r>
      <w:r w:rsidR="000F0F94" w:rsidRPr="00552FF3">
        <w:t xml:space="preserve">La formation sera disponible en russe en mars 2021. </w:t>
      </w:r>
      <w:r w:rsidR="0002354A" w:rsidRPr="00552FF3">
        <w:t xml:space="preserve">L'UIT </w:t>
      </w:r>
      <w:r w:rsidR="009A7B65" w:rsidRPr="00552FF3">
        <w:t>travaill</w:t>
      </w:r>
      <w:r w:rsidR="00272937" w:rsidRPr="00552FF3">
        <w:t xml:space="preserve">e en partenariat avec le Groupe </w:t>
      </w:r>
      <w:r w:rsidR="00684A13" w:rsidRPr="00552FF3">
        <w:t xml:space="preserve">de la Banque mondiale </w:t>
      </w:r>
      <w:r w:rsidR="009B5B6F" w:rsidRPr="00552FF3">
        <w:t>pour organiser des</w:t>
      </w:r>
      <w:r w:rsidR="003E25D4" w:rsidRPr="00552FF3">
        <w:t xml:space="preserve"> webinaires régionaux </w:t>
      </w:r>
      <w:r w:rsidR="009B5B6F" w:rsidRPr="00552FF3">
        <w:t>visant à</w:t>
      </w:r>
      <w:r w:rsidR="003E25D4" w:rsidRPr="00552FF3">
        <w:t xml:space="preserve"> </w:t>
      </w:r>
      <w:r w:rsidR="00FF4DB1" w:rsidRPr="00552FF3">
        <w:t xml:space="preserve">fournir des renseignements opérationnels </w:t>
      </w:r>
      <w:r w:rsidR="004F0D41" w:rsidRPr="00552FF3">
        <w:t xml:space="preserve">sur les modalités d'élaboration d'un plan d'action </w:t>
      </w:r>
      <w:r w:rsidR="002D5868" w:rsidRPr="00552FF3">
        <w:t>relatif à une stratégie nationale de cybersécurité.</w:t>
      </w:r>
      <w:r w:rsidR="00AA2BB0" w:rsidRPr="00552FF3">
        <w:t xml:space="preserve"> </w:t>
      </w:r>
      <w:r w:rsidR="005675B8" w:rsidRPr="00552FF3">
        <w:t xml:space="preserve">L'UIT </w:t>
      </w:r>
      <w:r w:rsidR="00B96489" w:rsidRPr="00552FF3">
        <w:t xml:space="preserve">élabore actuellement un outil </w:t>
      </w:r>
      <w:r w:rsidR="00E458F7" w:rsidRPr="00552FF3">
        <w:lastRenderedPageBreak/>
        <w:t xml:space="preserve">de référence </w:t>
      </w:r>
      <w:r w:rsidR="00C43881" w:rsidRPr="00552FF3">
        <w:t>sur les stratégies nationales de cybersécurité pour appuyer les efforts que les États</w:t>
      </w:r>
      <w:r w:rsidR="00432A78" w:rsidRPr="00552FF3">
        <w:t> </w:t>
      </w:r>
      <w:r w:rsidR="00C43881" w:rsidRPr="00552FF3">
        <w:t xml:space="preserve">Membres et les </w:t>
      </w:r>
      <w:r w:rsidR="00043718" w:rsidRPr="00552FF3">
        <w:t xml:space="preserve">spécialistes de la cybersécurité déploient </w:t>
      </w:r>
      <w:r w:rsidR="00C40D83" w:rsidRPr="00552FF3">
        <w:t xml:space="preserve">dans le cadre des </w:t>
      </w:r>
      <w:r w:rsidR="006B738E" w:rsidRPr="00552FF3">
        <w:t>stratégies</w:t>
      </w:r>
      <w:r w:rsidR="00C40D83" w:rsidRPr="00552FF3">
        <w:t xml:space="preserve"> nationales de cybersécurité.</w:t>
      </w:r>
      <w:r w:rsidR="00E4772A" w:rsidRPr="00552FF3">
        <w:t xml:space="preserve"> </w:t>
      </w:r>
      <w:r w:rsidR="004625A9" w:rsidRPr="00552FF3">
        <w:t xml:space="preserve">La version pilote de l'outil </w:t>
      </w:r>
      <w:r w:rsidR="00951605" w:rsidRPr="00552FF3">
        <w:t xml:space="preserve">a été achevée en janvier et les travaux </w:t>
      </w:r>
      <w:r w:rsidR="005B7090" w:rsidRPr="00552FF3">
        <w:t xml:space="preserve">de mise au point </w:t>
      </w:r>
      <w:r w:rsidR="00B63FE7" w:rsidRPr="00552FF3">
        <w:t>se poursuivront en 2021</w:t>
      </w:r>
      <w:r w:rsidR="009378EC" w:rsidRPr="00552FF3">
        <w:t>.</w:t>
      </w:r>
    </w:p>
    <w:p w14:paraId="4258AA7A" w14:textId="5ED97BC1" w:rsidR="00EE5C18" w:rsidRPr="00552FF3" w:rsidRDefault="00EE5C18" w:rsidP="00B047DC">
      <w:r w:rsidRPr="00552FF3">
        <w:t>5.4</w:t>
      </w:r>
      <w:r w:rsidRPr="00552FF3">
        <w:tab/>
        <w:t>Grâce à l'</w:t>
      </w:r>
      <w:hyperlink r:id="rId61" w:history="1">
        <w:r w:rsidRPr="00552FF3">
          <w:rPr>
            <w:rStyle w:val="Hyperlink"/>
          </w:rPr>
          <w:t>Académie de l'UIT</w:t>
        </w:r>
      </w:hyperlink>
      <w:r w:rsidRPr="00552FF3">
        <w:t>, l'Union et les centres d'excellence continuent de proposer des activités de formation et des ateliers dans divers domaines liés à la cybersécurité.</w:t>
      </w:r>
    </w:p>
    <w:p w14:paraId="230C78E5" w14:textId="7B254B00" w:rsidR="00380D73" w:rsidRPr="00552FF3" w:rsidRDefault="009F6CF1" w:rsidP="00B047DC">
      <w:pPr>
        <w:rPr>
          <w:rFonts w:asciiTheme="minorHAnsi" w:hAnsiTheme="minorHAnsi" w:cstheme="minorHAnsi"/>
          <w:szCs w:val="24"/>
        </w:rPr>
      </w:pPr>
      <w:r w:rsidRPr="00552FF3">
        <w:rPr>
          <w:rStyle w:val="normaltextrun"/>
          <w:rFonts w:asciiTheme="minorHAnsi" w:hAnsiTheme="minorHAnsi" w:cstheme="minorHAnsi"/>
          <w:szCs w:val="24"/>
        </w:rPr>
        <w:t>5.5</w:t>
      </w:r>
      <w:r w:rsidRPr="00552FF3">
        <w:rPr>
          <w:rStyle w:val="normaltextrun"/>
          <w:rFonts w:asciiTheme="minorHAnsi" w:hAnsiTheme="minorHAnsi" w:cstheme="minorHAnsi"/>
          <w:szCs w:val="24"/>
        </w:rPr>
        <w:tab/>
      </w:r>
      <w:r w:rsidR="00380D73" w:rsidRPr="00552FF3">
        <w:rPr>
          <w:rStyle w:val="normaltextrun"/>
          <w:rFonts w:asciiTheme="minorHAnsi" w:hAnsiTheme="minorHAnsi" w:cstheme="minorHAnsi"/>
          <w:szCs w:val="24"/>
        </w:rPr>
        <w:t>La quatrième édition du rapport sur l'</w:t>
      </w:r>
      <w:hyperlink r:id="rId62" w:history="1">
        <w:r w:rsidR="00380D73" w:rsidRPr="00552FF3">
          <w:rPr>
            <w:rStyle w:val="Hyperlink"/>
            <w:rFonts w:asciiTheme="minorHAnsi" w:hAnsiTheme="minorHAnsi" w:cstheme="minorHAnsi"/>
            <w:szCs w:val="24"/>
          </w:rPr>
          <w:t xml:space="preserve">Indice mondial de cybersécurité (GCI) </w:t>
        </w:r>
        <w:r w:rsidR="00FC4D7F" w:rsidRPr="00552FF3">
          <w:rPr>
            <w:rStyle w:val="Hyperlink"/>
            <w:rFonts w:asciiTheme="minorHAnsi" w:hAnsiTheme="minorHAnsi" w:cstheme="minorHAnsi"/>
            <w:szCs w:val="24"/>
          </w:rPr>
          <w:t>de l'UIT</w:t>
        </w:r>
      </w:hyperlink>
      <w:r w:rsidR="00FC4D7F" w:rsidRPr="00552FF3">
        <w:rPr>
          <w:rStyle w:val="normaltextrun"/>
          <w:rFonts w:asciiTheme="minorHAnsi" w:hAnsiTheme="minorHAnsi" w:cstheme="minorHAnsi"/>
          <w:szCs w:val="24"/>
        </w:rPr>
        <w:t xml:space="preserve"> </w:t>
      </w:r>
      <w:r w:rsidR="00380D73" w:rsidRPr="00552FF3">
        <w:rPr>
          <w:rStyle w:val="normaltextrun"/>
          <w:rFonts w:asciiTheme="minorHAnsi" w:hAnsiTheme="minorHAnsi" w:cstheme="minorHAnsi"/>
          <w:szCs w:val="24"/>
        </w:rPr>
        <w:t xml:space="preserve">a été </w:t>
      </w:r>
      <w:hyperlink r:id="rId63" w:history="1">
        <w:r w:rsidR="00380D73" w:rsidRPr="00552FF3">
          <w:rPr>
            <w:rStyle w:val="Hyperlink"/>
            <w:rFonts w:asciiTheme="minorHAnsi" w:hAnsiTheme="minorHAnsi" w:cstheme="minorHAnsi"/>
            <w:szCs w:val="24"/>
          </w:rPr>
          <w:t>publiée le 29 juin 2021</w:t>
        </w:r>
      </w:hyperlink>
      <w:r w:rsidR="00380D73" w:rsidRPr="00552FF3">
        <w:rPr>
          <w:rStyle w:val="normaltextrun"/>
          <w:rFonts w:asciiTheme="minorHAnsi" w:hAnsiTheme="minorHAnsi" w:cstheme="minorHAnsi"/>
          <w:szCs w:val="24"/>
        </w:rPr>
        <w:t xml:space="preserve">. </w:t>
      </w:r>
      <w:r w:rsidR="000F3BA9" w:rsidRPr="00552FF3">
        <w:rPr>
          <w:rStyle w:val="normaltextrun"/>
          <w:rFonts w:asciiTheme="minorHAnsi" w:hAnsiTheme="minorHAnsi" w:cstheme="minorHAnsi"/>
          <w:szCs w:val="24"/>
        </w:rPr>
        <w:t xml:space="preserve">Cette édition de l'indice couvre 193 États Membres </w:t>
      </w:r>
      <w:r w:rsidR="001C7C42" w:rsidRPr="00552FF3">
        <w:rPr>
          <w:rStyle w:val="normaltextrun"/>
          <w:rFonts w:asciiTheme="minorHAnsi" w:hAnsiTheme="minorHAnsi" w:cstheme="minorHAnsi"/>
          <w:szCs w:val="24"/>
        </w:rPr>
        <w:t>ainsi que</w:t>
      </w:r>
      <w:r w:rsidR="000F3BA9" w:rsidRPr="00552FF3">
        <w:rPr>
          <w:rStyle w:val="normaltextrun"/>
          <w:rFonts w:asciiTheme="minorHAnsi" w:hAnsiTheme="minorHAnsi" w:cstheme="minorHAnsi"/>
          <w:szCs w:val="24"/>
        </w:rPr>
        <w:t xml:space="preserve"> l'État de Palestine </w:t>
      </w:r>
      <w:r w:rsidR="001C7C42" w:rsidRPr="00552FF3">
        <w:rPr>
          <w:rStyle w:val="normaltextrun"/>
          <w:rFonts w:asciiTheme="minorHAnsi" w:hAnsiTheme="minorHAnsi" w:cstheme="minorHAnsi"/>
          <w:szCs w:val="24"/>
        </w:rPr>
        <w:t xml:space="preserve">et 169 pays ont contribué </w:t>
      </w:r>
      <w:r w:rsidR="00585B86" w:rsidRPr="00552FF3">
        <w:rPr>
          <w:rStyle w:val="normaltextrun"/>
          <w:rFonts w:asciiTheme="minorHAnsi" w:hAnsiTheme="minorHAnsi" w:cstheme="minorHAnsi"/>
          <w:szCs w:val="24"/>
        </w:rPr>
        <w:t xml:space="preserve">à la collecte de données. </w:t>
      </w:r>
      <w:r w:rsidR="00E06BF8" w:rsidRPr="00552FF3">
        <w:rPr>
          <w:rStyle w:val="normaltextrun"/>
          <w:rFonts w:asciiTheme="minorHAnsi" w:hAnsiTheme="minorHAnsi" w:cstheme="minorHAnsi"/>
          <w:szCs w:val="24"/>
        </w:rPr>
        <w:t xml:space="preserve">Les travaux </w:t>
      </w:r>
      <w:r w:rsidR="00451413" w:rsidRPr="00552FF3">
        <w:rPr>
          <w:rStyle w:val="normaltextrun"/>
          <w:rFonts w:asciiTheme="minorHAnsi" w:hAnsiTheme="minorHAnsi" w:cstheme="minorHAnsi"/>
          <w:szCs w:val="24"/>
        </w:rPr>
        <w:t xml:space="preserve">relatifs à un </w:t>
      </w:r>
      <w:r w:rsidR="00E06BF8" w:rsidRPr="00552FF3">
        <w:rPr>
          <w:rStyle w:val="normaltextrun"/>
          <w:rFonts w:asciiTheme="minorHAnsi" w:hAnsiTheme="minorHAnsi" w:cstheme="minorHAnsi"/>
          <w:szCs w:val="24"/>
        </w:rPr>
        <w:t xml:space="preserve">questionnaire </w:t>
      </w:r>
      <w:r w:rsidR="00451413" w:rsidRPr="00552FF3">
        <w:rPr>
          <w:rStyle w:val="normaltextrun"/>
          <w:rFonts w:asciiTheme="minorHAnsi" w:hAnsiTheme="minorHAnsi" w:cstheme="minorHAnsi"/>
          <w:szCs w:val="24"/>
        </w:rPr>
        <w:t xml:space="preserve">actualisé pour </w:t>
      </w:r>
      <w:r w:rsidR="00E06BF8" w:rsidRPr="00552FF3">
        <w:rPr>
          <w:rStyle w:val="normaltextrun"/>
          <w:rFonts w:asciiTheme="minorHAnsi" w:hAnsiTheme="minorHAnsi" w:cstheme="minorHAnsi"/>
          <w:szCs w:val="24"/>
        </w:rPr>
        <w:t xml:space="preserve">l'Indice GCI ont déjà commencé. </w:t>
      </w:r>
      <w:r w:rsidR="00D81F58" w:rsidRPr="00552FF3">
        <w:rPr>
          <w:rStyle w:val="normaltextrun"/>
          <w:rFonts w:asciiTheme="minorHAnsi" w:hAnsiTheme="minorHAnsi" w:cstheme="minorHAnsi"/>
          <w:szCs w:val="24"/>
        </w:rPr>
        <w:t xml:space="preserve">La nouvelle série de documents a été présentée </w:t>
      </w:r>
      <w:r w:rsidR="002866C9" w:rsidRPr="00552FF3">
        <w:rPr>
          <w:rStyle w:val="normaltextrun"/>
          <w:rFonts w:asciiTheme="minorHAnsi" w:hAnsiTheme="minorHAnsi" w:cstheme="minorHAnsi"/>
          <w:szCs w:val="24"/>
        </w:rPr>
        <w:t>virtuellement au Groupe du Rapporteur pour la Question 3 de la Commission</w:t>
      </w:r>
      <w:r w:rsidR="00432A78" w:rsidRPr="00552FF3">
        <w:rPr>
          <w:rStyle w:val="normaltextrun"/>
          <w:rFonts w:asciiTheme="minorHAnsi" w:hAnsiTheme="minorHAnsi" w:cstheme="minorHAnsi"/>
          <w:szCs w:val="24"/>
        </w:rPr>
        <w:t> </w:t>
      </w:r>
      <w:r w:rsidR="002866C9" w:rsidRPr="00552FF3">
        <w:rPr>
          <w:rStyle w:val="normaltextrun"/>
          <w:rFonts w:asciiTheme="minorHAnsi" w:hAnsiTheme="minorHAnsi" w:cstheme="minorHAnsi"/>
          <w:szCs w:val="24"/>
        </w:rPr>
        <w:t xml:space="preserve">d'études 2 de l'UIT-T en octobre 2021, et </w:t>
      </w:r>
      <w:r w:rsidR="002638DB" w:rsidRPr="00552FF3">
        <w:rPr>
          <w:rStyle w:val="normaltextrun"/>
          <w:rFonts w:asciiTheme="minorHAnsi" w:hAnsiTheme="minorHAnsi" w:cstheme="minorHAnsi"/>
          <w:szCs w:val="24"/>
        </w:rPr>
        <w:t xml:space="preserve">la commission d'études a établi </w:t>
      </w:r>
      <w:r w:rsidR="002866C9" w:rsidRPr="00552FF3">
        <w:rPr>
          <w:rStyle w:val="normaltextrun"/>
          <w:rFonts w:asciiTheme="minorHAnsi" w:hAnsiTheme="minorHAnsi" w:cstheme="minorHAnsi"/>
          <w:szCs w:val="24"/>
        </w:rPr>
        <w:t xml:space="preserve">un groupe de travail </w:t>
      </w:r>
      <w:r w:rsidR="00802478" w:rsidRPr="00552FF3">
        <w:rPr>
          <w:rStyle w:val="normaltextrun"/>
          <w:rFonts w:asciiTheme="minorHAnsi" w:hAnsiTheme="minorHAnsi" w:cstheme="minorHAnsi"/>
          <w:szCs w:val="24"/>
        </w:rPr>
        <w:t xml:space="preserve">virtuel </w:t>
      </w:r>
      <w:r w:rsidR="002866C9" w:rsidRPr="00552FF3">
        <w:rPr>
          <w:rStyle w:val="normaltextrun"/>
          <w:rFonts w:asciiTheme="minorHAnsi" w:hAnsiTheme="minorHAnsi" w:cstheme="minorHAnsi"/>
          <w:szCs w:val="24"/>
        </w:rPr>
        <w:t xml:space="preserve">par correspondance </w:t>
      </w:r>
      <w:r w:rsidR="00B205BE" w:rsidRPr="00552FF3">
        <w:rPr>
          <w:rStyle w:val="normaltextrun"/>
          <w:rFonts w:asciiTheme="minorHAnsi" w:hAnsiTheme="minorHAnsi" w:cstheme="minorHAnsi"/>
          <w:szCs w:val="24"/>
        </w:rPr>
        <w:t xml:space="preserve">pour </w:t>
      </w:r>
      <w:r w:rsidR="00BF2124" w:rsidRPr="00552FF3">
        <w:rPr>
          <w:rStyle w:val="normaltextrun"/>
          <w:rFonts w:asciiTheme="minorHAnsi" w:hAnsiTheme="minorHAnsi" w:cstheme="minorHAnsi"/>
          <w:szCs w:val="24"/>
        </w:rPr>
        <w:t xml:space="preserve">contribuer à la révision du questionnaire. </w:t>
      </w:r>
      <w:r w:rsidR="003E4922" w:rsidRPr="00552FF3">
        <w:rPr>
          <w:rStyle w:val="normaltextrun"/>
          <w:rFonts w:asciiTheme="minorHAnsi" w:hAnsiTheme="minorHAnsi" w:cstheme="minorHAnsi"/>
          <w:szCs w:val="24"/>
        </w:rPr>
        <w:t>Une nouvelle édition du questionnaire sur l'Indice GCI devrait être publiée au début de 2022.</w:t>
      </w:r>
    </w:p>
    <w:p w14:paraId="3D5A26DF" w14:textId="0CEFCEB6" w:rsidR="00CA275A" w:rsidRPr="00552FF3" w:rsidRDefault="00EE5C18" w:rsidP="00B047DC">
      <w:r w:rsidRPr="00552FF3">
        <w:rPr>
          <w:rFonts w:asciiTheme="minorHAnsi" w:hAnsiTheme="minorHAnsi" w:cstheme="minorHAnsi"/>
        </w:rPr>
        <w:t>5.</w:t>
      </w:r>
      <w:r w:rsidR="009F6CF1" w:rsidRPr="00552FF3">
        <w:rPr>
          <w:rFonts w:asciiTheme="minorHAnsi" w:hAnsiTheme="minorHAnsi" w:cstheme="minorHAnsi"/>
        </w:rPr>
        <w:t>6</w:t>
      </w:r>
      <w:r w:rsidRPr="00552FF3">
        <w:rPr>
          <w:rFonts w:asciiTheme="minorHAnsi" w:hAnsiTheme="minorHAnsi" w:cstheme="minorHAnsi"/>
        </w:rPr>
        <w:tab/>
      </w:r>
      <w:r w:rsidRPr="00552FF3">
        <w:t xml:space="preserve">Afin d'encourager les jeunes à prendre part aux activités sur la cybersécurité et de </w:t>
      </w:r>
      <w:r w:rsidR="00D224CC" w:rsidRPr="00552FF3">
        <w:t xml:space="preserve">sensibiliser l'opinion </w:t>
      </w:r>
      <w:r w:rsidR="00D57609">
        <w:t>à la pénurie de main-</w:t>
      </w:r>
      <w:r w:rsidRPr="00552FF3">
        <w:t xml:space="preserve">d'œuvre dans ce domaine à l'échelle mondiale, l'UIT </w:t>
      </w:r>
      <w:r w:rsidR="00CA275A" w:rsidRPr="00552FF3">
        <w:t xml:space="preserve">planifie des </w:t>
      </w:r>
      <w:r w:rsidR="001D565B" w:rsidRPr="00552FF3">
        <w:t xml:space="preserve">activités et des efforts de collaboration </w:t>
      </w:r>
      <w:r w:rsidR="0032014C" w:rsidRPr="00552FF3">
        <w:t>pour les</w:t>
      </w:r>
      <w:r w:rsidR="004D5223" w:rsidRPr="00552FF3">
        <w:t xml:space="preserve"> jeunes et par les jeunes, dans le cadre </w:t>
      </w:r>
      <w:r w:rsidR="004F5565" w:rsidRPr="00552FF3">
        <w:t>de l'Initiative Generation Connect.</w:t>
      </w:r>
    </w:p>
    <w:p w14:paraId="1F97A46D" w14:textId="086F16EB" w:rsidR="00D764D1" w:rsidRPr="00552FF3" w:rsidRDefault="00EE5C18" w:rsidP="00B047DC">
      <w:pPr>
        <w:rPr>
          <w:rFonts w:eastAsia="SimSun"/>
        </w:rPr>
      </w:pPr>
      <w:r w:rsidRPr="00552FF3">
        <w:rPr>
          <w:rFonts w:eastAsia="SimSun"/>
        </w:rPr>
        <w:t>5.</w:t>
      </w:r>
      <w:r w:rsidR="009F6CF1" w:rsidRPr="00552FF3">
        <w:rPr>
          <w:rFonts w:eastAsia="SimSun"/>
        </w:rPr>
        <w:t>7</w:t>
      </w:r>
      <w:r w:rsidRPr="00552FF3">
        <w:rPr>
          <w:rFonts w:eastAsia="SimSun"/>
        </w:rPr>
        <w:tab/>
        <w:t xml:space="preserve">L'UIT </w:t>
      </w:r>
      <w:r w:rsidR="00A613A0" w:rsidRPr="00552FF3">
        <w:rPr>
          <w:rFonts w:eastAsia="SimSun"/>
        </w:rPr>
        <w:t xml:space="preserve">a </w:t>
      </w:r>
      <w:r w:rsidR="00CB0F6B" w:rsidRPr="00552FF3">
        <w:rPr>
          <w:rFonts w:eastAsia="SimSun"/>
        </w:rPr>
        <w:t xml:space="preserve">mené à bien </w:t>
      </w:r>
      <w:r w:rsidR="00AD75A6" w:rsidRPr="00552FF3">
        <w:rPr>
          <w:rFonts w:eastAsia="SimSun"/>
        </w:rPr>
        <w:t xml:space="preserve">la </w:t>
      </w:r>
      <w:r w:rsidR="00A613A0" w:rsidRPr="00552FF3">
        <w:rPr>
          <w:rFonts w:eastAsia="SimSun"/>
        </w:rPr>
        <w:t>première édition</w:t>
      </w:r>
      <w:r w:rsidRPr="00552FF3">
        <w:rPr>
          <w:rFonts w:eastAsia="SimSun"/>
        </w:rPr>
        <w:t xml:space="preserve"> du programme de mentorat intitulé "Les femmes dans le secteur de la cybersécurité", qui vise à renforcer les capacités des jeunes professionnelles désireuses d'obtenir un poste ou de poursuivre leur carrière dans le secteur de la cybersécurité.</w:t>
      </w:r>
      <w:r w:rsidR="009F6CF1" w:rsidRPr="00552FF3">
        <w:t xml:space="preserve"> </w:t>
      </w:r>
      <w:r w:rsidR="00D764D1" w:rsidRPr="00552FF3">
        <w:t xml:space="preserve">Une nouvelle cohorte </w:t>
      </w:r>
      <w:r w:rsidR="00CD6049" w:rsidRPr="00552FF3">
        <w:t xml:space="preserve">destinée à certains groupes cibles </w:t>
      </w:r>
      <w:r w:rsidR="008A6057" w:rsidRPr="00552FF3">
        <w:t>des régions Afrique, États arabes et Asie</w:t>
      </w:r>
      <w:r w:rsidR="00432A78" w:rsidRPr="00552FF3">
        <w:noBreakHyphen/>
      </w:r>
      <w:r w:rsidR="008A6057" w:rsidRPr="00552FF3">
        <w:t xml:space="preserve">Pacifique </w:t>
      </w:r>
      <w:r w:rsidR="00D764D1" w:rsidRPr="00552FF3">
        <w:t>devrait être lancée en avril 2022</w:t>
      </w:r>
      <w:r w:rsidR="008A6057" w:rsidRPr="00552FF3">
        <w:t>.</w:t>
      </w:r>
    </w:p>
    <w:p w14:paraId="2EAD7543" w14:textId="77777777" w:rsidR="00EE5C18" w:rsidRPr="00552FF3" w:rsidRDefault="00EE5C18" w:rsidP="00123BE3">
      <w:pPr>
        <w:pStyle w:val="Heading1"/>
        <w:spacing w:before="360"/>
      </w:pPr>
      <w:r w:rsidRPr="00552FF3">
        <w:t>6</w:t>
      </w:r>
      <w:r w:rsidRPr="00552FF3">
        <w:tab/>
        <w:t>Coopération internationale</w:t>
      </w:r>
    </w:p>
    <w:p w14:paraId="4F7858AA" w14:textId="77777777" w:rsidR="00EE5C18" w:rsidRPr="00552FF3" w:rsidRDefault="00EE5C18" w:rsidP="00B047DC">
      <w:bookmarkStart w:id="9" w:name="lt_pId100"/>
      <w:r w:rsidRPr="00552FF3">
        <w:t>6.1</w:t>
      </w:r>
      <w:r w:rsidRPr="00552FF3">
        <w:tab/>
        <w:t xml:space="preserve">L'UIT noue des relations et des </w:t>
      </w:r>
      <w:hyperlink r:id="rId64" w:history="1">
        <w:r w:rsidRPr="00552FF3">
          <w:rPr>
            <w:rStyle w:val="Hyperlink"/>
            <w:rFonts w:asciiTheme="minorHAnsi" w:hAnsiTheme="minorHAnsi"/>
            <w:szCs w:val="24"/>
          </w:rPr>
          <w:t>partenariats</w:t>
        </w:r>
      </w:hyperlink>
      <w:r w:rsidRPr="00552FF3">
        <w:t xml:space="preserve"> avec diverses organisations et initiatives régionales ou internationales, notamment la Commonwealth Cybercrime Initiative, l'</w:t>
      </w:r>
      <w:r w:rsidRPr="00552FF3">
        <w:rPr>
          <w:color w:val="000000"/>
        </w:rPr>
        <w:t>Agence de l'Union européenne chargée de la sécurité des réseaux et de l'information</w:t>
      </w:r>
      <w:r w:rsidRPr="00552FF3">
        <w:t xml:space="preserve"> (ENISA), INTERPOL, la</w:t>
      </w:r>
      <w:r w:rsidRPr="00552FF3">
        <w:rPr>
          <w:color w:val="000000"/>
        </w:rPr>
        <w:t xml:space="preserve"> Communauté économique des États de l'Afrique de l'Ouest</w:t>
      </w:r>
      <w:r w:rsidRPr="00552FF3">
        <w:t xml:space="preserve"> (CEDEAO), la Banque mondiale, le Forum FIRST et les associations régionales d'équipes CSIRT/CERT, comme AP CERT, AFRICA CERT et OIC CERT.</w:t>
      </w:r>
    </w:p>
    <w:p w14:paraId="34ED0C9B" w14:textId="188C0EC7" w:rsidR="00F94197" w:rsidRPr="00552FF3" w:rsidRDefault="00EE5C18" w:rsidP="00B047DC">
      <w:r w:rsidRPr="00552FF3">
        <w:t>6.2</w:t>
      </w:r>
      <w:r w:rsidRPr="00552FF3">
        <w:tab/>
      </w:r>
      <w:r w:rsidR="0028252D" w:rsidRPr="00552FF3">
        <w:t>À</w:t>
      </w:r>
      <w:r w:rsidRPr="00552FF3">
        <w:t xml:space="preserve"> sa session de 2019, le </w:t>
      </w:r>
      <w:r w:rsidR="0028252D" w:rsidRPr="00552FF3">
        <w:t xml:space="preserve">Conseil a chargé le </w:t>
      </w:r>
      <w:r w:rsidRPr="00552FF3">
        <w:t xml:space="preserve">Secrétaire général </w:t>
      </w:r>
      <w:r w:rsidR="0028252D" w:rsidRPr="00552FF3">
        <w:t>de lui soumettre</w:t>
      </w:r>
      <w:r w:rsidRPr="00552FF3">
        <w:t xml:space="preserve"> des lignes directrices appropriées relatives à l'utilisation du Programme </w:t>
      </w:r>
      <w:r w:rsidR="00E94D50" w:rsidRPr="00552FF3">
        <w:t>mondial cybersécurité (</w:t>
      </w:r>
      <w:r w:rsidRPr="00552FF3">
        <w:t>GCA</w:t>
      </w:r>
      <w:proofErr w:type="gramStart"/>
      <w:r w:rsidR="00E94D50" w:rsidRPr="00552FF3">
        <w:t>)</w:t>
      </w:r>
      <w:r w:rsidR="00552FF3">
        <w:t xml:space="preserve">, </w:t>
      </w:r>
      <w:r w:rsidR="00B00D46" w:rsidRPr="00552FF3">
        <w:t xml:space="preserve"> </w:t>
      </w:r>
      <w:r w:rsidRPr="00552FF3">
        <w:t>pour</w:t>
      </w:r>
      <w:proofErr w:type="gramEnd"/>
      <w:r w:rsidRPr="00552FF3">
        <w:t xml:space="preserve"> examen et approbation.</w:t>
      </w:r>
      <w:r w:rsidR="00F94197" w:rsidRPr="00552FF3">
        <w:t xml:space="preserve"> Le</w:t>
      </w:r>
      <w:r w:rsidR="00FA6260" w:rsidRPr="00552FF3">
        <w:t xml:space="preserve"> </w:t>
      </w:r>
      <w:hyperlink r:id="rId65" w:history="1">
        <w:r w:rsidR="00FA6260" w:rsidRPr="00552FF3">
          <w:rPr>
            <w:rStyle w:val="Hyperlink"/>
            <w:rFonts w:asciiTheme="minorHAnsi" w:hAnsiTheme="minorHAnsi" w:cstheme="minorHAnsi"/>
          </w:rPr>
          <w:t>Document C21/71</w:t>
        </w:r>
      </w:hyperlink>
      <w:r w:rsidR="00FA6260" w:rsidRPr="00552FF3">
        <w:rPr>
          <w:rFonts w:asciiTheme="minorHAnsi" w:hAnsiTheme="minorHAnsi" w:cstheme="minorHAnsi"/>
        </w:rPr>
        <w:t xml:space="preserve"> </w:t>
      </w:r>
      <w:r w:rsidR="00F94197" w:rsidRPr="00552FF3">
        <w:t xml:space="preserve">a été élaboré en conséquence et soumis par le Secrétaire général </w:t>
      </w:r>
      <w:r w:rsidR="004133ED" w:rsidRPr="00552FF3">
        <w:t xml:space="preserve">à la </w:t>
      </w:r>
      <w:r w:rsidR="00B36652" w:rsidRPr="00552FF3">
        <w:t>c</w:t>
      </w:r>
      <w:r w:rsidR="004133ED" w:rsidRPr="00552FF3">
        <w:t xml:space="preserve">onsultation virtuelle des Conseillers de 2021 </w:t>
      </w:r>
      <w:r w:rsidR="00507194" w:rsidRPr="00552FF3">
        <w:t xml:space="preserve">(C21/VCC1). </w:t>
      </w:r>
      <w:r w:rsidR="00451413" w:rsidRPr="00552FF3">
        <w:rPr>
          <w:caps/>
        </w:rPr>
        <w:t>à</w:t>
      </w:r>
      <w:r w:rsidR="00451413" w:rsidRPr="00552FF3">
        <w:t xml:space="preserve"> la suite des débats de la C21/VCC1</w:t>
      </w:r>
      <w:r w:rsidR="00B36652" w:rsidRPr="00552FF3">
        <w:t xml:space="preserve">, </w:t>
      </w:r>
      <w:r w:rsidR="009F5E6E" w:rsidRPr="00552FF3">
        <w:t xml:space="preserve">les États Membres du Conseil ont </w:t>
      </w:r>
      <w:r w:rsidR="00296B88" w:rsidRPr="00552FF3">
        <w:t xml:space="preserve">chargé le secrétariat </w:t>
      </w:r>
      <w:r w:rsidR="00DF4214" w:rsidRPr="00552FF3">
        <w:t>"</w:t>
      </w:r>
      <w:r w:rsidR="00DF4214" w:rsidRPr="00552FF3">
        <w:rPr>
          <w:i/>
        </w:rPr>
        <w:t>de mener de nouvelles consultations avec les États Membres du Conseil, compte tenu des contributions reçues et des commentaires formulés à la séance. Le secrétariat devra présenter une version révisée du Document 71 pour examen et approbation à la prochaine session du Conseil</w:t>
      </w:r>
      <w:r w:rsidR="007B0C48" w:rsidRPr="00552FF3">
        <w:t xml:space="preserve">". </w:t>
      </w:r>
      <w:r w:rsidR="00F53C26" w:rsidRPr="00552FF3">
        <w:t xml:space="preserve">Des consultations sont menées </w:t>
      </w:r>
      <w:r w:rsidR="00451413" w:rsidRPr="00552FF3">
        <w:t xml:space="preserve">actuellement </w:t>
      </w:r>
      <w:r w:rsidR="00F53C26" w:rsidRPr="00552FF3">
        <w:t xml:space="preserve">avec </w:t>
      </w:r>
      <w:r w:rsidR="00B26FBD" w:rsidRPr="00552FF3">
        <w:t xml:space="preserve">les États Membres du Conseil </w:t>
      </w:r>
      <w:r w:rsidR="00067B4B" w:rsidRPr="00552FF3">
        <w:t xml:space="preserve">et un document révisé sera soumis </w:t>
      </w:r>
      <w:r w:rsidR="00E45AD9" w:rsidRPr="00552FF3">
        <w:t xml:space="preserve">à la session de 2022 du </w:t>
      </w:r>
      <w:r w:rsidR="00854437" w:rsidRPr="00552FF3">
        <w:t>Conseil</w:t>
      </w:r>
      <w:r w:rsidR="00067B4B" w:rsidRPr="00552FF3">
        <w:t xml:space="preserve"> pour examen et approbation.</w:t>
      </w:r>
    </w:p>
    <w:p w14:paraId="1171E041" w14:textId="611A8FC4" w:rsidR="00EE5C18" w:rsidRPr="00552FF3" w:rsidRDefault="00EE5C18" w:rsidP="00B047DC">
      <w:r w:rsidRPr="00552FF3">
        <w:t>6.3</w:t>
      </w:r>
      <w:r w:rsidRPr="00552FF3">
        <w:tab/>
        <w:t xml:space="preserve">En tant que coordonnateur principal pour la grande orientation C5 du SMSI, l'UIT a organisé </w:t>
      </w:r>
      <w:r w:rsidR="00FA1A79" w:rsidRPr="00552FF3">
        <w:t xml:space="preserve">un volet consacré à la cybersécurité comprenant </w:t>
      </w:r>
      <w:r w:rsidRPr="00552FF3">
        <w:t>plusieurs séances au cours de l'</w:t>
      </w:r>
      <w:hyperlink r:id="rId66" w:history="1">
        <w:r w:rsidRPr="00552FF3">
          <w:rPr>
            <w:rStyle w:val="Hyperlink"/>
          </w:rPr>
          <w:t>édition de 202</w:t>
        </w:r>
        <w:r w:rsidR="00FA6260" w:rsidRPr="00552FF3">
          <w:rPr>
            <w:rStyle w:val="Hyperlink"/>
          </w:rPr>
          <w:t>1</w:t>
        </w:r>
        <w:r w:rsidRPr="00552FF3">
          <w:rPr>
            <w:rStyle w:val="Hyperlink"/>
          </w:rPr>
          <w:t xml:space="preserve"> du Forum du SMSI</w:t>
        </w:r>
      </w:hyperlink>
      <w:hyperlink r:id="rId67" w:history="1">
        <w:r w:rsidRPr="00552FF3">
          <w:t>,</w:t>
        </w:r>
      </w:hyperlink>
      <w:r w:rsidRPr="00552FF3">
        <w:t xml:space="preserve"> notamment une séance de coordination pour cette grande orientation sur le </w:t>
      </w:r>
      <w:r w:rsidRPr="00552FF3">
        <w:lastRenderedPageBreak/>
        <w:t>thème "</w:t>
      </w:r>
      <w:r w:rsidR="00A226CF" w:rsidRPr="00552FF3">
        <w:t>C</w:t>
      </w:r>
      <w:r w:rsidRPr="00552FF3">
        <w:t xml:space="preserve">ybersécurité: </w:t>
      </w:r>
      <w:r w:rsidR="00451413" w:rsidRPr="00552FF3">
        <w:t>Mesures de cybersécurité multidimensionnelles – perspectives</w:t>
      </w:r>
      <w:r w:rsidR="00A226CF" w:rsidRPr="00552FF3">
        <w:t xml:space="preserve"> et </w:t>
      </w:r>
      <w:r w:rsidRPr="00552FF3">
        <w:t>enjeux</w:t>
      </w:r>
      <w:r w:rsidR="00A226CF" w:rsidRPr="00552FF3">
        <w:t xml:space="preserve"> actuels</w:t>
      </w:r>
      <w:r w:rsidRPr="00552FF3">
        <w:t xml:space="preserve"> </w:t>
      </w:r>
      <w:r w:rsidR="00E075D5" w:rsidRPr="00552FF3">
        <w:t>de</w:t>
      </w:r>
      <w:r w:rsidR="00EE6E85" w:rsidRPr="00552FF3">
        <w:t xml:space="preserve"> l'utilisation des </w:t>
      </w:r>
      <w:r w:rsidR="001B03F3" w:rsidRPr="00552FF3">
        <w:t>indices</w:t>
      </w:r>
      <w:r w:rsidR="00EE6E85" w:rsidRPr="00552FF3">
        <w:t xml:space="preserve"> pour comprendre la cybersécurité</w:t>
      </w:r>
      <w:r w:rsidRPr="00552FF3">
        <w:t>" ainsi qu'un</w:t>
      </w:r>
      <w:r w:rsidR="00F41F47" w:rsidRPr="00552FF3">
        <w:t>e deuxième</w:t>
      </w:r>
      <w:r w:rsidR="00B047DC" w:rsidRPr="00552FF3">
        <w:t> </w:t>
      </w:r>
      <w:r w:rsidR="00F41F47" w:rsidRPr="00552FF3">
        <w:t xml:space="preserve">consultation ouverte </w:t>
      </w:r>
      <w:r w:rsidR="00184430" w:rsidRPr="00552FF3">
        <w:t>sur le projet de lignes directrices relatives à l'utilisation du Programme GCA et un</w:t>
      </w:r>
      <w:r w:rsidRPr="00552FF3">
        <w:t xml:space="preserve"> dialogue de haut niveau sur </w:t>
      </w:r>
      <w:r w:rsidR="005B38A3" w:rsidRPr="00552FF3">
        <w:t>le thème "</w:t>
      </w:r>
      <w:r w:rsidR="00FF0B0B" w:rsidRPr="00552FF3">
        <w:t xml:space="preserve">Évaluation de la préparation à l'intelligence artificielle: </w:t>
      </w:r>
      <w:r w:rsidR="005B3F30" w:rsidRPr="00552FF3">
        <w:t xml:space="preserve">conséquences pour les </w:t>
      </w:r>
      <w:r w:rsidR="00526D42" w:rsidRPr="00552FF3">
        <w:t xml:space="preserve">politiques, </w:t>
      </w:r>
      <w:r w:rsidR="005B3F30" w:rsidRPr="00552FF3">
        <w:t>perspectives</w:t>
      </w:r>
      <w:r w:rsidR="00526D42" w:rsidRPr="00552FF3">
        <w:t xml:space="preserve"> et enjeux"</w:t>
      </w:r>
      <w:r w:rsidRPr="00552FF3">
        <w:t>.</w:t>
      </w:r>
    </w:p>
    <w:bookmarkEnd w:id="9"/>
    <w:p w14:paraId="58B4D3A3" w14:textId="083D34F0" w:rsidR="00EE5C18" w:rsidRPr="00552FF3" w:rsidRDefault="00EE5C18" w:rsidP="00123BE3">
      <w:pPr>
        <w:pStyle w:val="Heading1"/>
        <w:rPr>
          <w:rFonts w:eastAsia="SimSun" w:cs="Arial"/>
          <w:bCs/>
          <w:szCs w:val="22"/>
        </w:rPr>
      </w:pPr>
      <w:r w:rsidRPr="00552FF3">
        <w:rPr>
          <w:rFonts w:eastAsia="SimSun" w:cs="Arial"/>
          <w:bCs/>
          <w:szCs w:val="22"/>
        </w:rPr>
        <w:t>7</w:t>
      </w:r>
      <w:r w:rsidRPr="00552FF3">
        <w:rPr>
          <w:rFonts w:eastAsia="SimSun" w:cs="Arial"/>
          <w:bCs/>
          <w:szCs w:val="22"/>
        </w:rPr>
        <w:tab/>
      </w:r>
      <w:r w:rsidRPr="00552FF3">
        <w:t>Protection en ligne des enfants (COP)</w:t>
      </w:r>
    </w:p>
    <w:p w14:paraId="2C68BB89" w14:textId="6AC2F06F" w:rsidR="00703D6B" w:rsidRPr="00552FF3" w:rsidRDefault="00714678" w:rsidP="00B047DC">
      <w:r w:rsidRPr="00552FF3">
        <w:t>7.1</w:t>
      </w:r>
      <w:r w:rsidRPr="00552FF3">
        <w:tab/>
      </w:r>
      <w:r w:rsidR="00703D6B" w:rsidRPr="00552FF3">
        <w:t>La protection en ligne des enfants a été intégrée parmi les principaux éléments du quatrième pilier du projet Giga, lancé conjointement par l'UIT et l'UNICEF.</w:t>
      </w:r>
    </w:p>
    <w:p w14:paraId="6EDB3C0B" w14:textId="0AD77B0A" w:rsidR="00C63253" w:rsidRPr="00552FF3" w:rsidRDefault="00714678" w:rsidP="00B047DC">
      <w:r w:rsidRPr="00552FF3">
        <w:t>7.2</w:t>
      </w:r>
      <w:r w:rsidRPr="00552FF3">
        <w:tab/>
      </w:r>
      <w:r w:rsidR="00C63253" w:rsidRPr="00552FF3">
        <w:t xml:space="preserve">En outre, l'UIT a signé un accord de collaboration avec </w:t>
      </w:r>
      <w:r w:rsidR="00785EB1" w:rsidRPr="00552FF3">
        <w:t>la Fondation SCORT dans le domaine de la protection en ligne des enfants.</w:t>
      </w:r>
      <w:r w:rsidR="00BF06B1" w:rsidRPr="00552FF3">
        <w:rPr>
          <w:bCs/>
        </w:rPr>
        <w:t xml:space="preserve"> </w:t>
      </w:r>
      <w:r w:rsidR="00BF06B1" w:rsidRPr="00552FF3">
        <w:t>L'UIT a contribué à de nombreuses discussions, notamment dans le cadre de l'édition de 2021 de la jo</w:t>
      </w:r>
      <w:r w:rsidR="00C06A35" w:rsidRPr="00552FF3">
        <w:t xml:space="preserve">urnée pour un Internet plus sûr, </w:t>
      </w:r>
      <w:r w:rsidR="00BF06B1" w:rsidRPr="00552FF3">
        <w:t>de la quinzième</w:t>
      </w:r>
      <w:r w:rsidR="00B047DC" w:rsidRPr="00552FF3">
        <w:t> </w:t>
      </w:r>
      <w:r w:rsidR="00BF06B1" w:rsidRPr="00552FF3">
        <w:t>Conférence européenne du football au service du développement</w:t>
      </w:r>
      <w:r w:rsidR="00C06A35" w:rsidRPr="00552FF3">
        <w:t xml:space="preserve"> et d'une table ronde </w:t>
      </w:r>
      <w:r w:rsidR="00697651" w:rsidRPr="00552FF3">
        <w:t>avec les clubs de football européens.</w:t>
      </w:r>
    </w:p>
    <w:p w14:paraId="1EE71BEC" w14:textId="201AA971" w:rsidR="00875B18" w:rsidRPr="00552FF3" w:rsidRDefault="00EE5C18" w:rsidP="00B047DC">
      <w:r w:rsidRPr="00552FF3">
        <w:t>7.3</w:t>
      </w:r>
      <w:r w:rsidRPr="00552FF3">
        <w:tab/>
        <w:t xml:space="preserve">Le Royaume d'Arabie saoudite et l'UIT ont signé un accord de mise en œuvre d'un programme triennal mondial visant à créer un cyberenvironnement sûr et de nature à autonomiser les enfants. Ce programme consiste à fournir une assistance aux pouvoirs publics en matière de politiques générales et à renforcer les compétences numériques et la maîtrise des outils numériques des utilisateurs finals. Sa mise en œuvre </w:t>
      </w:r>
      <w:r w:rsidR="00875B18" w:rsidRPr="00552FF3">
        <w:t xml:space="preserve">a </w:t>
      </w:r>
      <w:r w:rsidR="009C5ADC" w:rsidRPr="00552FF3">
        <w:t>été lancée</w:t>
      </w:r>
      <w:r w:rsidR="00875B18" w:rsidRPr="00552FF3">
        <w:t xml:space="preserve"> en 2021 </w:t>
      </w:r>
      <w:r w:rsidR="00C90D60" w:rsidRPr="00552FF3">
        <w:t>par</w:t>
      </w:r>
      <w:r w:rsidR="00EA23A7" w:rsidRPr="00552FF3">
        <w:t xml:space="preserve"> la signature d'un </w:t>
      </w:r>
      <w:r w:rsidR="00DF1198" w:rsidRPr="00552FF3">
        <w:t xml:space="preserve">document de projet interne </w:t>
      </w:r>
      <w:r w:rsidR="005B3F30" w:rsidRPr="00552FF3">
        <w:t>de</w:t>
      </w:r>
      <w:r w:rsidR="00DF1198" w:rsidRPr="00552FF3">
        <w:t xml:space="preserve"> l'UIT. </w:t>
      </w:r>
      <w:r w:rsidR="009E2C17" w:rsidRPr="00552FF3">
        <w:t>Dans le cadre du projet, l</w:t>
      </w:r>
      <w:r w:rsidR="00CA54F0" w:rsidRPr="00552FF3">
        <w:t xml:space="preserve">'UIT a </w:t>
      </w:r>
      <w:r w:rsidR="009E2C17" w:rsidRPr="00552FF3">
        <w:t>d</w:t>
      </w:r>
      <w:r w:rsidR="00B047DC" w:rsidRPr="00552FF3">
        <w:t>'</w:t>
      </w:r>
      <w:r w:rsidR="009E2C17" w:rsidRPr="00552FF3">
        <w:t>abord mis l</w:t>
      </w:r>
      <w:r w:rsidR="00B047DC" w:rsidRPr="00552FF3">
        <w:t>'</w:t>
      </w:r>
      <w:r w:rsidR="009E2C17" w:rsidRPr="00552FF3">
        <w:t xml:space="preserve">accent </w:t>
      </w:r>
      <w:r w:rsidR="00E943D9" w:rsidRPr="00552FF3">
        <w:t>sur le renforcement des capacités</w:t>
      </w:r>
      <w:r w:rsidR="009E2C17" w:rsidRPr="00552FF3">
        <w:t>,</w:t>
      </w:r>
      <w:r w:rsidR="00E943D9" w:rsidRPr="00552FF3">
        <w:t xml:space="preserve"> en </w:t>
      </w:r>
      <w:r w:rsidR="009E2C17" w:rsidRPr="00552FF3">
        <w:t xml:space="preserve">concevant </w:t>
      </w:r>
      <w:r w:rsidR="00E943D9" w:rsidRPr="00552FF3">
        <w:t xml:space="preserve">des formations </w:t>
      </w:r>
      <w:r w:rsidR="009E2C17" w:rsidRPr="00552FF3">
        <w:t xml:space="preserve">à son propre rythme pour tous les publics et </w:t>
      </w:r>
      <w:r w:rsidR="00A35BD6" w:rsidRPr="00552FF3">
        <w:t xml:space="preserve">d'autres solutions interactives </w:t>
      </w:r>
      <w:r w:rsidR="009E2C17" w:rsidRPr="00552FF3">
        <w:t xml:space="preserve">visant à permettre aux </w:t>
      </w:r>
      <w:r w:rsidR="00E7511C" w:rsidRPr="00552FF3">
        <w:t xml:space="preserve">enfants et </w:t>
      </w:r>
      <w:r w:rsidR="009E2C17" w:rsidRPr="00552FF3">
        <w:t xml:space="preserve">aux </w:t>
      </w:r>
      <w:r w:rsidR="00E7511C" w:rsidRPr="00552FF3">
        <w:t xml:space="preserve">jeunes </w:t>
      </w:r>
      <w:r w:rsidR="009E2C17" w:rsidRPr="00552FF3">
        <w:t xml:space="preserve">de devenir des </w:t>
      </w:r>
      <w:r w:rsidR="008F1A04" w:rsidRPr="00552FF3">
        <w:t>citoyens numériques responsables.</w:t>
      </w:r>
    </w:p>
    <w:p w14:paraId="48EA888A" w14:textId="1EBD12E9" w:rsidR="003902AC" w:rsidRPr="00552FF3" w:rsidRDefault="00EE5C18" w:rsidP="00B047DC">
      <w:r w:rsidRPr="00552FF3">
        <w:t>7.4</w:t>
      </w:r>
      <w:r w:rsidRPr="00552FF3">
        <w:tab/>
      </w:r>
      <w:r w:rsidR="003902AC" w:rsidRPr="00552FF3">
        <w:t xml:space="preserve">Toutes les régions de l'UIT </w:t>
      </w:r>
      <w:r w:rsidR="004B3B96" w:rsidRPr="00552FF3">
        <w:t xml:space="preserve">ont commencé à </w:t>
      </w:r>
      <w:r w:rsidR="009E2C17" w:rsidRPr="00552FF3">
        <w:t xml:space="preserve">mener </w:t>
      </w:r>
      <w:r w:rsidR="009F60C6" w:rsidRPr="00552FF3">
        <w:t xml:space="preserve">des activités </w:t>
      </w:r>
      <w:r w:rsidR="009E2C17" w:rsidRPr="00552FF3">
        <w:t xml:space="preserve">relevant </w:t>
      </w:r>
      <w:r w:rsidR="00FB1C68" w:rsidRPr="00552FF3">
        <w:t xml:space="preserve">du projet mondial </w:t>
      </w:r>
      <w:r w:rsidR="00C4272F" w:rsidRPr="00552FF3">
        <w:t xml:space="preserve">visant à créer un cyberenvironnement sûr et de nature à </w:t>
      </w:r>
      <w:r w:rsidR="008557C1" w:rsidRPr="00552FF3">
        <w:t xml:space="preserve">autonomiser les enfants. </w:t>
      </w:r>
      <w:r w:rsidR="00D42FF8" w:rsidRPr="00552FF3">
        <w:t>L</w:t>
      </w:r>
      <w:r w:rsidR="00B047DC" w:rsidRPr="00552FF3">
        <w:t>'</w:t>
      </w:r>
      <w:r w:rsidR="00A4541A" w:rsidRPr="00552FF3">
        <w:t xml:space="preserve">exécution du </w:t>
      </w:r>
      <w:r w:rsidR="00D42FF8" w:rsidRPr="00552FF3">
        <w:t xml:space="preserve">projet a </w:t>
      </w:r>
      <w:r w:rsidR="00A4541A" w:rsidRPr="00552FF3">
        <w:t xml:space="preserve">débuté par </w:t>
      </w:r>
      <w:r w:rsidR="00D42FF8" w:rsidRPr="00552FF3">
        <w:t>l'Albanie, suivi</w:t>
      </w:r>
      <w:r w:rsidR="00B71D3D" w:rsidRPr="00552FF3">
        <w:t>e du Malawi et du Maroc.</w:t>
      </w:r>
    </w:p>
    <w:p w14:paraId="5C9C1409" w14:textId="561EAA0F" w:rsidR="005B5F56" w:rsidRPr="00552FF3" w:rsidRDefault="00EE5C18" w:rsidP="00B047DC">
      <w:r w:rsidRPr="00552FF3">
        <w:t>7.5</w:t>
      </w:r>
      <w:r w:rsidRPr="00552FF3">
        <w:tab/>
        <w:t xml:space="preserve">L'UIT a célébré l'édition de 2021 de la Journée pour un Internet plus sûr en publiant diverses communications, notamment un article de </w:t>
      </w:r>
      <w:hyperlink r:id="rId68" w:history="1">
        <w:r w:rsidRPr="00552FF3">
          <w:rPr>
            <w:rStyle w:val="Hyperlink"/>
            <w:rFonts w:asciiTheme="minorHAnsi" w:hAnsiTheme="minorHAnsi" w:cstheme="minorHAnsi"/>
            <w:szCs w:val="24"/>
          </w:rPr>
          <w:t>blog</w:t>
        </w:r>
      </w:hyperlink>
      <w:r w:rsidRPr="00552FF3">
        <w:t xml:space="preserve"> sur le concours national de dessin organisé en Hongrie, qui mettait en scène la mascotte de l'Union pour la protection en ligne des enfants. </w:t>
      </w:r>
      <w:r w:rsidR="005B5F56" w:rsidRPr="00552FF3">
        <w:t xml:space="preserve">En outre, la mascotte </w:t>
      </w:r>
      <w:r w:rsidR="00166D3D" w:rsidRPr="00552FF3">
        <w:t>de</w:t>
      </w:r>
      <w:r w:rsidR="005B5F56" w:rsidRPr="00552FF3">
        <w:t xml:space="preserve"> la protection en ligne des enfants a </w:t>
      </w:r>
      <w:r w:rsidR="00D527CB" w:rsidRPr="00552FF3">
        <w:t>animé plusieurs manifestations virtuelles</w:t>
      </w:r>
      <w:r w:rsidR="000C225A" w:rsidRPr="00552FF3">
        <w:t xml:space="preserve">, notamment </w:t>
      </w:r>
      <w:r w:rsidR="0051621A" w:rsidRPr="00552FF3">
        <w:t>le volet sur la sécurité en ligne organisé dans le cadre de</w:t>
      </w:r>
      <w:r w:rsidR="00312D4C" w:rsidRPr="00552FF3">
        <w:t xml:space="preserve">s </w:t>
      </w:r>
      <w:hyperlink r:id="rId69" w:history="1">
        <w:r w:rsidR="00312D4C" w:rsidRPr="00552FF3">
          <w:rPr>
            <w:rStyle w:val="Hyperlink"/>
            <w:rFonts w:asciiTheme="minorHAnsi" w:hAnsiTheme="minorHAnsi" w:cstheme="minorHAnsi"/>
            <w:szCs w:val="24"/>
          </w:rPr>
          <w:t>célébrations de</w:t>
        </w:r>
        <w:r w:rsidR="0051621A" w:rsidRPr="00552FF3">
          <w:rPr>
            <w:rStyle w:val="Hyperlink"/>
            <w:rFonts w:asciiTheme="minorHAnsi" w:hAnsiTheme="minorHAnsi" w:cstheme="minorHAnsi"/>
            <w:szCs w:val="24"/>
          </w:rPr>
          <w:t xml:space="preserve"> la Journée internationale des jeunes filles dans le secteur des TIC</w:t>
        </w:r>
      </w:hyperlink>
      <w:r w:rsidR="0051621A" w:rsidRPr="00552FF3">
        <w:t xml:space="preserve"> et </w:t>
      </w:r>
      <w:r w:rsidR="004C0503" w:rsidRPr="00552FF3">
        <w:t xml:space="preserve">la session 4 </w:t>
      </w:r>
      <w:r w:rsidR="00AC1230" w:rsidRPr="00552FF3">
        <w:t>du Colloque mondial des régulateurs (GSR-21)</w:t>
      </w:r>
      <w:r w:rsidR="00B020FB" w:rsidRPr="00552FF3">
        <w:t xml:space="preserve"> de 2021</w:t>
      </w:r>
      <w:r w:rsidR="003326BE" w:rsidRPr="00552FF3">
        <w:t xml:space="preserve"> </w:t>
      </w:r>
      <w:r w:rsidR="00D8597F" w:rsidRPr="00552FF3">
        <w:t>sur le thème "</w:t>
      </w:r>
      <w:hyperlink r:id="rId70" w:history="1">
        <w:r w:rsidR="00BB4D90" w:rsidRPr="00552FF3">
          <w:rPr>
            <w:rStyle w:val="Hyperlink"/>
            <w:rFonts w:asciiTheme="minorHAnsi" w:hAnsiTheme="minorHAnsi" w:cstheme="minorHAnsi"/>
            <w:szCs w:val="24"/>
          </w:rPr>
          <w:t xml:space="preserve">Inclusion numérique sûre: </w:t>
        </w:r>
        <w:r w:rsidR="003326BE" w:rsidRPr="00552FF3">
          <w:rPr>
            <w:rStyle w:val="Hyperlink"/>
            <w:rFonts w:asciiTheme="minorHAnsi" w:hAnsiTheme="minorHAnsi" w:cstheme="minorHAnsi"/>
            <w:szCs w:val="24"/>
          </w:rPr>
          <w:t>protection en ligne des enfants</w:t>
        </w:r>
      </w:hyperlink>
      <w:r w:rsidR="003326BE" w:rsidRPr="00552FF3">
        <w:t>".</w:t>
      </w:r>
    </w:p>
    <w:p w14:paraId="75E468FD" w14:textId="61CF9161" w:rsidR="00CF7452" w:rsidRPr="00552FF3" w:rsidRDefault="00491BE6" w:rsidP="00B047DC">
      <w:r w:rsidRPr="00552FF3">
        <w:t>7.6</w:t>
      </w:r>
      <w:r w:rsidRPr="00552FF3">
        <w:tab/>
      </w:r>
      <w:r w:rsidR="00CF7452" w:rsidRPr="00552FF3">
        <w:t xml:space="preserve">En outre, la mascotte de la protection en ligne des enfants a </w:t>
      </w:r>
      <w:hyperlink r:id="rId71" w:history="1">
        <w:r w:rsidR="00D87333" w:rsidRPr="00552FF3">
          <w:rPr>
            <w:rStyle w:val="Hyperlink"/>
            <w:rFonts w:asciiTheme="minorHAnsi" w:hAnsiTheme="minorHAnsi" w:cstheme="minorHAnsi"/>
            <w:szCs w:val="24"/>
          </w:rPr>
          <w:t xml:space="preserve">annoncé </w:t>
        </w:r>
        <w:r w:rsidR="0007471A" w:rsidRPr="00552FF3">
          <w:rPr>
            <w:rStyle w:val="Hyperlink"/>
            <w:rFonts w:asciiTheme="minorHAnsi" w:hAnsiTheme="minorHAnsi" w:cstheme="minorHAnsi"/>
            <w:szCs w:val="24"/>
          </w:rPr>
          <w:t>le lancement d'un projet de collaboration avec Eni et Deloitte Italia</w:t>
        </w:r>
      </w:hyperlink>
      <w:r w:rsidR="006F11D6" w:rsidRPr="00552FF3">
        <w:t>, afin de sensibiliser les enfants et les éducateurs à la sécurité en ligne et de renforcer leurs capacités en la matière</w:t>
      </w:r>
      <w:r w:rsidR="00B957EB" w:rsidRPr="00552FF3">
        <w:t>. Le cours "</w:t>
      </w:r>
      <w:hyperlink r:id="rId72" w:history="1">
        <w:r w:rsidR="00B957EB" w:rsidRPr="00552FF3">
          <w:rPr>
            <w:rStyle w:val="Hyperlink"/>
            <w:rFonts w:asciiTheme="minorHAnsi" w:hAnsiTheme="minorHAnsi" w:cstheme="minorHAnsi"/>
            <w:szCs w:val="24"/>
          </w:rPr>
          <w:t>En ligne en sécurité avec Sango</w:t>
        </w:r>
      </w:hyperlink>
      <w:r w:rsidR="00B957EB" w:rsidRPr="00552FF3">
        <w:t xml:space="preserve">", </w:t>
      </w:r>
      <w:r w:rsidR="007641FD" w:rsidRPr="00552FF3">
        <w:t>divisé en</w:t>
      </w:r>
      <w:r w:rsidR="00B957EB" w:rsidRPr="00552FF3">
        <w:t xml:space="preserve"> cinq épisodes, </w:t>
      </w:r>
      <w:r w:rsidR="00F85EF7" w:rsidRPr="00552FF3">
        <w:t xml:space="preserve">offre des conseils pratiques aux enfants jusqu'à neuf ans </w:t>
      </w:r>
      <w:r w:rsidR="008927CA" w:rsidRPr="00552FF3">
        <w:t>pour les sensibiliser aux</w:t>
      </w:r>
      <w:r w:rsidR="00F85EF7" w:rsidRPr="00552FF3">
        <w:t xml:space="preserve"> risques </w:t>
      </w:r>
      <w:r w:rsidR="003439CD" w:rsidRPr="00552FF3">
        <w:t xml:space="preserve">auxquels ils </w:t>
      </w:r>
      <w:r w:rsidR="006C2218" w:rsidRPr="00552FF3">
        <w:t>peuvent être</w:t>
      </w:r>
      <w:r w:rsidR="003439CD" w:rsidRPr="00552FF3">
        <w:t xml:space="preserve"> </w:t>
      </w:r>
      <w:r w:rsidR="007E5764" w:rsidRPr="00552FF3">
        <w:t xml:space="preserve">exposés </w:t>
      </w:r>
      <w:r w:rsidR="00F85EF7" w:rsidRPr="00552FF3">
        <w:t>en ligne.</w:t>
      </w:r>
    </w:p>
    <w:p w14:paraId="430B3877" w14:textId="355DCA1D" w:rsidR="00F013F1" w:rsidRPr="00552FF3" w:rsidRDefault="00491BE6" w:rsidP="00B047DC">
      <w:r w:rsidRPr="00552FF3">
        <w:t>7.7</w:t>
      </w:r>
      <w:r w:rsidRPr="00552FF3">
        <w:tab/>
      </w:r>
      <w:r w:rsidR="007E5764" w:rsidRPr="00552FF3">
        <w:t xml:space="preserve">Dans le cadre de </w:t>
      </w:r>
      <w:r w:rsidR="00E44152" w:rsidRPr="00552FF3">
        <w:t xml:space="preserve">l'Académie de l'UIT, l'Union a </w:t>
      </w:r>
      <w:r w:rsidR="007E5764" w:rsidRPr="00552FF3">
        <w:t xml:space="preserve">assuré une séance </w:t>
      </w:r>
      <w:r w:rsidR="00E44152" w:rsidRPr="00552FF3">
        <w:t xml:space="preserve">de formation sur la protection en ligne des enfants </w:t>
      </w:r>
      <w:r w:rsidR="007E5764" w:rsidRPr="00552FF3">
        <w:t>à l</w:t>
      </w:r>
      <w:r w:rsidR="00B047DC" w:rsidRPr="00552FF3">
        <w:t>'</w:t>
      </w:r>
      <w:r w:rsidR="007E5764" w:rsidRPr="00552FF3">
        <w:t xml:space="preserve">intention des </w:t>
      </w:r>
      <w:r w:rsidR="00E44152" w:rsidRPr="00552FF3">
        <w:t>régulateurs de la région des États arabes.</w:t>
      </w:r>
    </w:p>
    <w:p w14:paraId="4BAB4EF5" w14:textId="6A263D16" w:rsidR="00897553" w:rsidRPr="00552FF3" w:rsidRDefault="00185F0D" w:rsidP="00B047DC">
      <w:pPr>
        <w:spacing w:before="360"/>
        <w:jc w:val="center"/>
      </w:pPr>
      <w:r w:rsidRPr="00552FF3">
        <w:t>______________</w:t>
      </w:r>
    </w:p>
    <w:sectPr w:rsidR="00897553" w:rsidRPr="00552FF3" w:rsidSect="005C3890">
      <w:headerReference w:type="even" r:id="rId73"/>
      <w:headerReference w:type="default" r:id="rId74"/>
      <w:footerReference w:type="even" r:id="rId75"/>
      <w:footerReference w:type="default" r:id="rId76"/>
      <w:footerReference w:type="first" r:id="rId7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8567" w14:textId="77777777" w:rsidR="00961EEC" w:rsidRDefault="00961EEC">
      <w:r>
        <w:separator/>
      </w:r>
    </w:p>
  </w:endnote>
  <w:endnote w:type="continuationSeparator" w:id="0">
    <w:p w14:paraId="1911B817" w14:textId="77777777" w:rsidR="00961EEC" w:rsidRDefault="0096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0733" w14:textId="3CFECF68" w:rsidR="00732045" w:rsidRDefault="00AA1C43">
    <w:pPr>
      <w:pStyle w:val="Footer"/>
    </w:pPr>
    <w:r>
      <w:fldChar w:fldCharType="begin"/>
    </w:r>
    <w:r>
      <w:instrText xml:space="preserve"> FILENAME \p \* MERGEFORMAT </w:instrText>
    </w:r>
    <w:r>
      <w:fldChar w:fldCharType="separate"/>
    </w:r>
    <w:r w:rsidR="0008028E">
      <w:t>P:\FRA\SG\CONSEIL\C22\000\018F.docx</w:t>
    </w:r>
    <w:r>
      <w:fldChar w:fldCharType="end"/>
    </w:r>
    <w:r w:rsidR="00732045">
      <w:tab/>
    </w:r>
    <w:r w:rsidR="002F1B76">
      <w:fldChar w:fldCharType="begin"/>
    </w:r>
    <w:r w:rsidR="00732045">
      <w:instrText xml:space="preserve"> savedate \@ dd.MM.yy </w:instrText>
    </w:r>
    <w:r w:rsidR="002F1B76">
      <w:fldChar w:fldCharType="separate"/>
    </w:r>
    <w:r>
      <w:t>04.03.22</w:t>
    </w:r>
    <w:r w:rsidR="002F1B76">
      <w:fldChar w:fldCharType="end"/>
    </w:r>
    <w:r w:rsidR="00732045">
      <w:tab/>
    </w:r>
    <w:r w:rsidR="002F1B76">
      <w:fldChar w:fldCharType="begin"/>
    </w:r>
    <w:r w:rsidR="00732045">
      <w:instrText xml:space="preserve"> printdate \@ dd.MM.yy </w:instrText>
    </w:r>
    <w:r w:rsidR="002F1B76">
      <w:fldChar w:fldCharType="separate"/>
    </w:r>
    <w:r w:rsidR="0008028E">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D18C" w14:textId="7CAE19EC" w:rsidR="00732045" w:rsidRDefault="00AA1C43">
    <w:pPr>
      <w:pStyle w:val="Footer"/>
    </w:pPr>
    <w:r w:rsidRPr="00AA1C43">
      <w:rPr>
        <w:color w:val="F2F2F2" w:themeColor="background1" w:themeShade="F2"/>
      </w:rPr>
      <w:fldChar w:fldCharType="begin"/>
    </w:r>
    <w:r w:rsidRPr="00AA1C43">
      <w:rPr>
        <w:color w:val="F2F2F2" w:themeColor="background1" w:themeShade="F2"/>
      </w:rPr>
      <w:instrText xml:space="preserve"> FILENAME \p \* MERGEFORMAT </w:instrText>
    </w:r>
    <w:r w:rsidRPr="00AA1C43">
      <w:rPr>
        <w:color w:val="F2F2F2" w:themeColor="background1" w:themeShade="F2"/>
      </w:rPr>
      <w:fldChar w:fldCharType="separate"/>
    </w:r>
    <w:r w:rsidR="0008028E" w:rsidRPr="00AA1C43">
      <w:rPr>
        <w:color w:val="F2F2F2" w:themeColor="background1" w:themeShade="F2"/>
      </w:rPr>
      <w:t>P:\FRA\SG\CONSEIL\C22\000\018F.docx</w:t>
    </w:r>
    <w:r w:rsidRPr="00AA1C43">
      <w:rPr>
        <w:color w:val="F2F2F2" w:themeColor="background1" w:themeShade="F2"/>
      </w:rPr>
      <w:fldChar w:fldCharType="end"/>
    </w:r>
    <w:r w:rsidR="002D54C5" w:rsidRPr="00AA1C43">
      <w:rPr>
        <w:color w:val="F2F2F2" w:themeColor="background1" w:themeShade="F2"/>
      </w:rPr>
      <w:t xml:space="preserve"> (498287)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E0EC"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17A8" w14:textId="77777777" w:rsidR="00961EEC" w:rsidRDefault="00961EEC">
      <w:r>
        <w:t>____________________</w:t>
      </w:r>
    </w:p>
  </w:footnote>
  <w:footnote w:type="continuationSeparator" w:id="0">
    <w:p w14:paraId="3170DD1F" w14:textId="77777777" w:rsidR="00961EEC" w:rsidRDefault="00961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F0C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AC68510"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D89E" w14:textId="07B7D33C" w:rsidR="00732045" w:rsidRDefault="00C27A7C" w:rsidP="00475FB3">
    <w:pPr>
      <w:pStyle w:val="Header"/>
    </w:pPr>
    <w:r>
      <w:fldChar w:fldCharType="begin"/>
    </w:r>
    <w:r>
      <w:instrText>PAGE</w:instrText>
    </w:r>
    <w:r>
      <w:fldChar w:fldCharType="separate"/>
    </w:r>
    <w:r w:rsidR="0008028E">
      <w:rPr>
        <w:noProof/>
      </w:rPr>
      <w:t>6</w:t>
    </w:r>
    <w:r>
      <w:rPr>
        <w:noProof/>
      </w:rPr>
      <w:fldChar w:fldCharType="end"/>
    </w:r>
  </w:p>
  <w:p w14:paraId="07AC0CA7" w14:textId="5DDFC299" w:rsidR="00732045" w:rsidRDefault="00732045" w:rsidP="00106B19">
    <w:pPr>
      <w:pStyle w:val="Header"/>
    </w:pPr>
    <w:r>
      <w:t>C</w:t>
    </w:r>
    <w:r w:rsidR="009C353C">
      <w:t>2</w:t>
    </w:r>
    <w:r w:rsidR="0083391C">
      <w:t>2</w:t>
    </w:r>
    <w:r>
      <w:t>/</w:t>
    </w:r>
    <w:r w:rsidR="00185F0D">
      <w:t>18</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BE7E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C417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80E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D428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EEC7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56D9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CA00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48A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5CF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D284F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EEC"/>
    <w:rsid w:val="00014B14"/>
    <w:rsid w:val="0002354A"/>
    <w:rsid w:val="00026458"/>
    <w:rsid w:val="00043718"/>
    <w:rsid w:val="000505EA"/>
    <w:rsid w:val="0006603E"/>
    <w:rsid w:val="00067B4B"/>
    <w:rsid w:val="00070D79"/>
    <w:rsid w:val="0007471A"/>
    <w:rsid w:val="0008028E"/>
    <w:rsid w:val="000B0B48"/>
    <w:rsid w:val="000C225A"/>
    <w:rsid w:val="000C6362"/>
    <w:rsid w:val="000C695C"/>
    <w:rsid w:val="000D0D0A"/>
    <w:rsid w:val="000F0F94"/>
    <w:rsid w:val="000F3AB3"/>
    <w:rsid w:val="000F3BA9"/>
    <w:rsid w:val="000F6322"/>
    <w:rsid w:val="00102EE1"/>
    <w:rsid w:val="00103163"/>
    <w:rsid w:val="0010573D"/>
    <w:rsid w:val="00106B19"/>
    <w:rsid w:val="00115D93"/>
    <w:rsid w:val="00123BE3"/>
    <w:rsid w:val="001247A8"/>
    <w:rsid w:val="001378C0"/>
    <w:rsid w:val="00145486"/>
    <w:rsid w:val="00166D3D"/>
    <w:rsid w:val="00184430"/>
    <w:rsid w:val="00185F0D"/>
    <w:rsid w:val="0018694A"/>
    <w:rsid w:val="001A1C80"/>
    <w:rsid w:val="001A3287"/>
    <w:rsid w:val="001A6508"/>
    <w:rsid w:val="001B03F3"/>
    <w:rsid w:val="001B18C2"/>
    <w:rsid w:val="001C7987"/>
    <w:rsid w:val="001C7C42"/>
    <w:rsid w:val="001D4C31"/>
    <w:rsid w:val="001D565B"/>
    <w:rsid w:val="001E49EA"/>
    <w:rsid w:val="001E4D21"/>
    <w:rsid w:val="001E52CE"/>
    <w:rsid w:val="00204AE0"/>
    <w:rsid w:val="002050E2"/>
    <w:rsid w:val="00207CD1"/>
    <w:rsid w:val="00214805"/>
    <w:rsid w:val="00245CDB"/>
    <w:rsid w:val="002477A2"/>
    <w:rsid w:val="00260F7B"/>
    <w:rsid w:val="002638DB"/>
    <w:rsid w:val="00263A51"/>
    <w:rsid w:val="00267E02"/>
    <w:rsid w:val="00272937"/>
    <w:rsid w:val="00281BF1"/>
    <w:rsid w:val="0028252D"/>
    <w:rsid w:val="002866C9"/>
    <w:rsid w:val="00296B88"/>
    <w:rsid w:val="0029722F"/>
    <w:rsid w:val="002A5D44"/>
    <w:rsid w:val="002B4F5F"/>
    <w:rsid w:val="002C6DC9"/>
    <w:rsid w:val="002C7D7E"/>
    <w:rsid w:val="002D54C5"/>
    <w:rsid w:val="002D5868"/>
    <w:rsid w:val="002E0BC4"/>
    <w:rsid w:val="002F1B76"/>
    <w:rsid w:val="002F6AFB"/>
    <w:rsid w:val="00300414"/>
    <w:rsid w:val="00303D6F"/>
    <w:rsid w:val="00310766"/>
    <w:rsid w:val="00312D4C"/>
    <w:rsid w:val="0032014C"/>
    <w:rsid w:val="0032244E"/>
    <w:rsid w:val="003326BE"/>
    <w:rsid w:val="0033568E"/>
    <w:rsid w:val="003439CD"/>
    <w:rsid w:val="00354C59"/>
    <w:rsid w:val="00355FF5"/>
    <w:rsid w:val="00361350"/>
    <w:rsid w:val="00364FCD"/>
    <w:rsid w:val="00380D73"/>
    <w:rsid w:val="003873FB"/>
    <w:rsid w:val="003902AC"/>
    <w:rsid w:val="003A46BD"/>
    <w:rsid w:val="003C3FAE"/>
    <w:rsid w:val="003E25D4"/>
    <w:rsid w:val="003E29C8"/>
    <w:rsid w:val="003E4922"/>
    <w:rsid w:val="003F25AC"/>
    <w:rsid w:val="004020CD"/>
    <w:rsid w:val="004038CB"/>
    <w:rsid w:val="0040546F"/>
    <w:rsid w:val="00410704"/>
    <w:rsid w:val="004133ED"/>
    <w:rsid w:val="0042404A"/>
    <w:rsid w:val="00432A78"/>
    <w:rsid w:val="00440846"/>
    <w:rsid w:val="0044618F"/>
    <w:rsid w:val="00451413"/>
    <w:rsid w:val="004625A9"/>
    <w:rsid w:val="0046769A"/>
    <w:rsid w:val="00471169"/>
    <w:rsid w:val="00475FB3"/>
    <w:rsid w:val="004868C2"/>
    <w:rsid w:val="00491BE6"/>
    <w:rsid w:val="00496E78"/>
    <w:rsid w:val="004A210D"/>
    <w:rsid w:val="004A3C82"/>
    <w:rsid w:val="004B3B96"/>
    <w:rsid w:val="004C0503"/>
    <w:rsid w:val="004C37A9"/>
    <w:rsid w:val="004D1D50"/>
    <w:rsid w:val="004D5223"/>
    <w:rsid w:val="004E16C5"/>
    <w:rsid w:val="004E3D7B"/>
    <w:rsid w:val="004F0D41"/>
    <w:rsid w:val="004F1DA6"/>
    <w:rsid w:val="004F259E"/>
    <w:rsid w:val="004F2BEA"/>
    <w:rsid w:val="004F5565"/>
    <w:rsid w:val="00507194"/>
    <w:rsid w:val="00511F1D"/>
    <w:rsid w:val="0051621A"/>
    <w:rsid w:val="00520F36"/>
    <w:rsid w:val="00526D42"/>
    <w:rsid w:val="00540615"/>
    <w:rsid w:val="00540A6D"/>
    <w:rsid w:val="0054307D"/>
    <w:rsid w:val="00552FF3"/>
    <w:rsid w:val="005578E8"/>
    <w:rsid w:val="00564DBA"/>
    <w:rsid w:val="005675B8"/>
    <w:rsid w:val="00571EEA"/>
    <w:rsid w:val="00575417"/>
    <w:rsid w:val="005768E1"/>
    <w:rsid w:val="00585B86"/>
    <w:rsid w:val="005933EC"/>
    <w:rsid w:val="005A11BE"/>
    <w:rsid w:val="005B1938"/>
    <w:rsid w:val="005B27DA"/>
    <w:rsid w:val="005B38A3"/>
    <w:rsid w:val="005B3F30"/>
    <w:rsid w:val="005B5F56"/>
    <w:rsid w:val="005B7090"/>
    <w:rsid w:val="005C3890"/>
    <w:rsid w:val="005D336B"/>
    <w:rsid w:val="005E23C6"/>
    <w:rsid w:val="005E29AF"/>
    <w:rsid w:val="005F7BFE"/>
    <w:rsid w:val="00600017"/>
    <w:rsid w:val="00612201"/>
    <w:rsid w:val="00613EB3"/>
    <w:rsid w:val="00622557"/>
    <w:rsid w:val="006235CA"/>
    <w:rsid w:val="00624FCD"/>
    <w:rsid w:val="00631875"/>
    <w:rsid w:val="00632325"/>
    <w:rsid w:val="00654D7C"/>
    <w:rsid w:val="006643AB"/>
    <w:rsid w:val="00665F6E"/>
    <w:rsid w:val="00684A13"/>
    <w:rsid w:val="00697651"/>
    <w:rsid w:val="006B738E"/>
    <w:rsid w:val="006C2218"/>
    <w:rsid w:val="006C5B9E"/>
    <w:rsid w:val="006D58AE"/>
    <w:rsid w:val="006F11D6"/>
    <w:rsid w:val="007006CC"/>
    <w:rsid w:val="0070116A"/>
    <w:rsid w:val="00703D6B"/>
    <w:rsid w:val="00714678"/>
    <w:rsid w:val="007210CD"/>
    <w:rsid w:val="007305B1"/>
    <w:rsid w:val="00732045"/>
    <w:rsid w:val="007369DB"/>
    <w:rsid w:val="00747FD7"/>
    <w:rsid w:val="007641FD"/>
    <w:rsid w:val="00785EB1"/>
    <w:rsid w:val="007956C2"/>
    <w:rsid w:val="007A187E"/>
    <w:rsid w:val="007B0C48"/>
    <w:rsid w:val="007C72C2"/>
    <w:rsid w:val="007D4436"/>
    <w:rsid w:val="007E459B"/>
    <w:rsid w:val="007E4F79"/>
    <w:rsid w:val="007E5764"/>
    <w:rsid w:val="007F257A"/>
    <w:rsid w:val="007F3665"/>
    <w:rsid w:val="00800037"/>
    <w:rsid w:val="00802478"/>
    <w:rsid w:val="00811462"/>
    <w:rsid w:val="00816666"/>
    <w:rsid w:val="00827F28"/>
    <w:rsid w:val="0083391C"/>
    <w:rsid w:val="00833C59"/>
    <w:rsid w:val="008479E4"/>
    <w:rsid w:val="00853E90"/>
    <w:rsid w:val="00854437"/>
    <w:rsid w:val="008557C1"/>
    <w:rsid w:val="00860DCB"/>
    <w:rsid w:val="00861D73"/>
    <w:rsid w:val="00867DB2"/>
    <w:rsid w:val="0087507A"/>
    <w:rsid w:val="00875B18"/>
    <w:rsid w:val="00890EDF"/>
    <w:rsid w:val="008927CA"/>
    <w:rsid w:val="00897553"/>
    <w:rsid w:val="008A4E87"/>
    <w:rsid w:val="008A6057"/>
    <w:rsid w:val="008B74E7"/>
    <w:rsid w:val="008D76E6"/>
    <w:rsid w:val="008E5077"/>
    <w:rsid w:val="008F1A04"/>
    <w:rsid w:val="0092392D"/>
    <w:rsid w:val="009257DA"/>
    <w:rsid w:val="00932179"/>
    <w:rsid w:val="0093234A"/>
    <w:rsid w:val="009378EC"/>
    <w:rsid w:val="009409D7"/>
    <w:rsid w:val="00945340"/>
    <w:rsid w:val="00951605"/>
    <w:rsid w:val="00957397"/>
    <w:rsid w:val="00961EEC"/>
    <w:rsid w:val="00971117"/>
    <w:rsid w:val="009716D0"/>
    <w:rsid w:val="0097213B"/>
    <w:rsid w:val="0097363B"/>
    <w:rsid w:val="0098289C"/>
    <w:rsid w:val="009920F2"/>
    <w:rsid w:val="009A7B65"/>
    <w:rsid w:val="009B5B6F"/>
    <w:rsid w:val="009C0479"/>
    <w:rsid w:val="009C307F"/>
    <w:rsid w:val="009C353C"/>
    <w:rsid w:val="009C3FDA"/>
    <w:rsid w:val="009C5ADC"/>
    <w:rsid w:val="009C72CF"/>
    <w:rsid w:val="009C7F0D"/>
    <w:rsid w:val="009D4896"/>
    <w:rsid w:val="009E2C17"/>
    <w:rsid w:val="009F0D58"/>
    <w:rsid w:val="009F5E6E"/>
    <w:rsid w:val="009F60C6"/>
    <w:rsid w:val="009F6CF1"/>
    <w:rsid w:val="009F7D08"/>
    <w:rsid w:val="00A12C8A"/>
    <w:rsid w:val="00A13140"/>
    <w:rsid w:val="00A15A9B"/>
    <w:rsid w:val="00A16DAD"/>
    <w:rsid w:val="00A2113E"/>
    <w:rsid w:val="00A226CF"/>
    <w:rsid w:val="00A22EA0"/>
    <w:rsid w:val="00A23A51"/>
    <w:rsid w:val="00A24607"/>
    <w:rsid w:val="00A25CD3"/>
    <w:rsid w:val="00A35BD6"/>
    <w:rsid w:val="00A42BEE"/>
    <w:rsid w:val="00A44147"/>
    <w:rsid w:val="00A4541A"/>
    <w:rsid w:val="00A55D44"/>
    <w:rsid w:val="00A564EA"/>
    <w:rsid w:val="00A613A0"/>
    <w:rsid w:val="00A709FE"/>
    <w:rsid w:val="00A7668B"/>
    <w:rsid w:val="00A82767"/>
    <w:rsid w:val="00AA1C43"/>
    <w:rsid w:val="00AA255F"/>
    <w:rsid w:val="00AA2BB0"/>
    <w:rsid w:val="00AA332F"/>
    <w:rsid w:val="00AA7BBB"/>
    <w:rsid w:val="00AB3322"/>
    <w:rsid w:val="00AB4515"/>
    <w:rsid w:val="00AB64A8"/>
    <w:rsid w:val="00AB6F89"/>
    <w:rsid w:val="00AC0266"/>
    <w:rsid w:val="00AC1230"/>
    <w:rsid w:val="00AC6DF3"/>
    <w:rsid w:val="00AD24EC"/>
    <w:rsid w:val="00AD3352"/>
    <w:rsid w:val="00AD75A6"/>
    <w:rsid w:val="00AE37EB"/>
    <w:rsid w:val="00AF5110"/>
    <w:rsid w:val="00B00D46"/>
    <w:rsid w:val="00B020FB"/>
    <w:rsid w:val="00B026BA"/>
    <w:rsid w:val="00B047DC"/>
    <w:rsid w:val="00B066AA"/>
    <w:rsid w:val="00B15FC2"/>
    <w:rsid w:val="00B205BE"/>
    <w:rsid w:val="00B26FBD"/>
    <w:rsid w:val="00B309F9"/>
    <w:rsid w:val="00B32B60"/>
    <w:rsid w:val="00B36652"/>
    <w:rsid w:val="00B554F3"/>
    <w:rsid w:val="00B5710D"/>
    <w:rsid w:val="00B6113D"/>
    <w:rsid w:val="00B61619"/>
    <w:rsid w:val="00B62B5F"/>
    <w:rsid w:val="00B62FC4"/>
    <w:rsid w:val="00B63FE7"/>
    <w:rsid w:val="00B71D3D"/>
    <w:rsid w:val="00B74999"/>
    <w:rsid w:val="00B93143"/>
    <w:rsid w:val="00B957EB"/>
    <w:rsid w:val="00B96489"/>
    <w:rsid w:val="00BA3833"/>
    <w:rsid w:val="00BA50C2"/>
    <w:rsid w:val="00BB4545"/>
    <w:rsid w:val="00BB4D90"/>
    <w:rsid w:val="00BD5873"/>
    <w:rsid w:val="00BD71AE"/>
    <w:rsid w:val="00BF06B1"/>
    <w:rsid w:val="00BF2124"/>
    <w:rsid w:val="00C04BE3"/>
    <w:rsid w:val="00C06A35"/>
    <w:rsid w:val="00C10E28"/>
    <w:rsid w:val="00C20740"/>
    <w:rsid w:val="00C2326D"/>
    <w:rsid w:val="00C23DDE"/>
    <w:rsid w:val="00C25D29"/>
    <w:rsid w:val="00C27A7C"/>
    <w:rsid w:val="00C40D83"/>
    <w:rsid w:val="00C4272F"/>
    <w:rsid w:val="00C43881"/>
    <w:rsid w:val="00C45238"/>
    <w:rsid w:val="00C53916"/>
    <w:rsid w:val="00C63253"/>
    <w:rsid w:val="00C77756"/>
    <w:rsid w:val="00C90D60"/>
    <w:rsid w:val="00CA08ED"/>
    <w:rsid w:val="00CA275A"/>
    <w:rsid w:val="00CA54F0"/>
    <w:rsid w:val="00CB0F6B"/>
    <w:rsid w:val="00CB2BEA"/>
    <w:rsid w:val="00CB6A24"/>
    <w:rsid w:val="00CC1909"/>
    <w:rsid w:val="00CC1F24"/>
    <w:rsid w:val="00CC6B2D"/>
    <w:rsid w:val="00CD2874"/>
    <w:rsid w:val="00CD6049"/>
    <w:rsid w:val="00CD67D8"/>
    <w:rsid w:val="00CF183B"/>
    <w:rsid w:val="00CF7452"/>
    <w:rsid w:val="00D01948"/>
    <w:rsid w:val="00D130CB"/>
    <w:rsid w:val="00D21447"/>
    <w:rsid w:val="00D224CC"/>
    <w:rsid w:val="00D2445C"/>
    <w:rsid w:val="00D375CD"/>
    <w:rsid w:val="00D420B2"/>
    <w:rsid w:val="00D42FF8"/>
    <w:rsid w:val="00D45BE1"/>
    <w:rsid w:val="00D527CB"/>
    <w:rsid w:val="00D553A2"/>
    <w:rsid w:val="00D57609"/>
    <w:rsid w:val="00D62D0B"/>
    <w:rsid w:val="00D73803"/>
    <w:rsid w:val="00D764D1"/>
    <w:rsid w:val="00D774D3"/>
    <w:rsid w:val="00D81F58"/>
    <w:rsid w:val="00D8597F"/>
    <w:rsid w:val="00D87333"/>
    <w:rsid w:val="00D904E8"/>
    <w:rsid w:val="00D96E2F"/>
    <w:rsid w:val="00DA08C3"/>
    <w:rsid w:val="00DA3C42"/>
    <w:rsid w:val="00DB3291"/>
    <w:rsid w:val="00DB5A3E"/>
    <w:rsid w:val="00DC22AA"/>
    <w:rsid w:val="00DC51D5"/>
    <w:rsid w:val="00DF1198"/>
    <w:rsid w:val="00DF4214"/>
    <w:rsid w:val="00DF4BEE"/>
    <w:rsid w:val="00DF74DD"/>
    <w:rsid w:val="00E06BF8"/>
    <w:rsid w:val="00E07428"/>
    <w:rsid w:val="00E075D5"/>
    <w:rsid w:val="00E25AD0"/>
    <w:rsid w:val="00E32BBB"/>
    <w:rsid w:val="00E4006E"/>
    <w:rsid w:val="00E44152"/>
    <w:rsid w:val="00E458F7"/>
    <w:rsid w:val="00E45AD9"/>
    <w:rsid w:val="00E4772A"/>
    <w:rsid w:val="00E6311A"/>
    <w:rsid w:val="00E750C1"/>
    <w:rsid w:val="00E7511C"/>
    <w:rsid w:val="00E9089F"/>
    <w:rsid w:val="00E943D9"/>
    <w:rsid w:val="00E94D50"/>
    <w:rsid w:val="00E95CE4"/>
    <w:rsid w:val="00EA23A7"/>
    <w:rsid w:val="00EA4FBB"/>
    <w:rsid w:val="00EB6350"/>
    <w:rsid w:val="00EC2892"/>
    <w:rsid w:val="00EC473A"/>
    <w:rsid w:val="00EE1764"/>
    <w:rsid w:val="00EE5C18"/>
    <w:rsid w:val="00EE6E85"/>
    <w:rsid w:val="00EF0A47"/>
    <w:rsid w:val="00F013F1"/>
    <w:rsid w:val="00F15B57"/>
    <w:rsid w:val="00F24EF3"/>
    <w:rsid w:val="00F27594"/>
    <w:rsid w:val="00F41F47"/>
    <w:rsid w:val="00F427DB"/>
    <w:rsid w:val="00F456CC"/>
    <w:rsid w:val="00F53C26"/>
    <w:rsid w:val="00F60955"/>
    <w:rsid w:val="00F70188"/>
    <w:rsid w:val="00F75F58"/>
    <w:rsid w:val="00F85EF7"/>
    <w:rsid w:val="00F94197"/>
    <w:rsid w:val="00F956E8"/>
    <w:rsid w:val="00FA1273"/>
    <w:rsid w:val="00FA1A79"/>
    <w:rsid w:val="00FA26AA"/>
    <w:rsid w:val="00FA5EB1"/>
    <w:rsid w:val="00FA6260"/>
    <w:rsid w:val="00FA7439"/>
    <w:rsid w:val="00FB1C68"/>
    <w:rsid w:val="00FB6174"/>
    <w:rsid w:val="00FC4D7F"/>
    <w:rsid w:val="00FC4EC0"/>
    <w:rsid w:val="00FD31BD"/>
    <w:rsid w:val="00FE4C95"/>
    <w:rsid w:val="00FE5B69"/>
    <w:rsid w:val="00FE62ED"/>
    <w:rsid w:val="00FF0181"/>
    <w:rsid w:val="00FF0B0B"/>
    <w:rsid w:val="00FF4DB1"/>
    <w:rsid w:val="00FF7A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8D545"/>
  <w15:docId w15:val="{7C7A0482-65E3-48E0-9DA6-B8D20446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9C3FDA"/>
    <w:rPr>
      <w:color w:val="605E5C"/>
      <w:shd w:val="clear" w:color="auto" w:fill="E1DFDD"/>
    </w:rPr>
  </w:style>
  <w:style w:type="character" w:customStyle="1" w:styleId="normaltextrun">
    <w:name w:val="normaltextrun"/>
    <w:basedOn w:val="DefaultParagraphFont"/>
    <w:rsid w:val="009F6CF1"/>
  </w:style>
  <w:style w:type="paragraph" w:customStyle="1" w:styleId="paragraph">
    <w:name w:val="paragraph"/>
    <w:basedOn w:val="Normal"/>
    <w:rsid w:val="009F6CF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styleId="CommentReference">
    <w:name w:val="annotation reference"/>
    <w:basedOn w:val="DefaultParagraphFont"/>
    <w:semiHidden/>
    <w:unhideWhenUsed/>
    <w:rsid w:val="00945340"/>
    <w:rPr>
      <w:sz w:val="16"/>
      <w:szCs w:val="16"/>
    </w:rPr>
  </w:style>
  <w:style w:type="paragraph" w:styleId="CommentText">
    <w:name w:val="annotation text"/>
    <w:basedOn w:val="Normal"/>
    <w:link w:val="CommentTextChar"/>
    <w:semiHidden/>
    <w:unhideWhenUsed/>
    <w:rsid w:val="00945340"/>
    <w:rPr>
      <w:sz w:val="20"/>
    </w:rPr>
  </w:style>
  <w:style w:type="character" w:customStyle="1" w:styleId="CommentTextChar">
    <w:name w:val="Comment Text Char"/>
    <w:basedOn w:val="DefaultParagraphFont"/>
    <w:link w:val="CommentText"/>
    <w:semiHidden/>
    <w:rsid w:val="00945340"/>
    <w:rPr>
      <w:rFonts w:ascii="Calibri" w:hAnsi="Calibri"/>
      <w:lang w:val="fr-FR" w:eastAsia="en-US"/>
    </w:rPr>
  </w:style>
  <w:style w:type="paragraph" w:styleId="CommentSubject">
    <w:name w:val="annotation subject"/>
    <w:basedOn w:val="CommentText"/>
    <w:next w:val="CommentText"/>
    <w:link w:val="CommentSubjectChar"/>
    <w:semiHidden/>
    <w:unhideWhenUsed/>
    <w:rsid w:val="00945340"/>
    <w:rPr>
      <w:b/>
      <w:bCs/>
    </w:rPr>
  </w:style>
  <w:style w:type="character" w:customStyle="1" w:styleId="CommentSubjectChar">
    <w:name w:val="Comment Subject Char"/>
    <w:basedOn w:val="CommentTextChar"/>
    <w:link w:val="CommentSubject"/>
    <w:semiHidden/>
    <w:rsid w:val="00945340"/>
    <w:rPr>
      <w:rFonts w:ascii="Calibri" w:hAnsi="Calibri"/>
      <w:b/>
      <w:bCs/>
      <w:lang w:val="fr-FR" w:eastAsia="en-US"/>
    </w:rPr>
  </w:style>
  <w:style w:type="paragraph" w:styleId="Revision">
    <w:name w:val="Revision"/>
    <w:hidden/>
    <w:uiPriority w:val="99"/>
    <w:semiHidden/>
    <w:rsid w:val="00945340"/>
    <w:rPr>
      <w:rFonts w:ascii="Calibri" w:hAnsi="Calibri"/>
      <w:sz w:val="24"/>
      <w:lang w:val="fr-FR" w:eastAsia="en-US"/>
    </w:rPr>
  </w:style>
  <w:style w:type="paragraph" w:styleId="BalloonText">
    <w:name w:val="Balloon Text"/>
    <w:basedOn w:val="Normal"/>
    <w:link w:val="BalloonTextChar"/>
    <w:semiHidden/>
    <w:unhideWhenUsed/>
    <w:rsid w:val="0094534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45340"/>
    <w:rPr>
      <w:rFonts w:ascii="Segoe UI" w:hAnsi="Segoe UI" w:cs="Segoe UI"/>
      <w:sz w:val="18"/>
      <w:szCs w:val="18"/>
      <w:lang w:val="fr-FR" w:eastAsia="en-US"/>
    </w:rPr>
  </w:style>
  <w:style w:type="character" w:customStyle="1" w:styleId="UnresolvedMention2">
    <w:name w:val="Unresolved Mention2"/>
    <w:basedOn w:val="DefaultParagraphFont"/>
    <w:uiPriority w:val="99"/>
    <w:semiHidden/>
    <w:unhideWhenUsed/>
    <w:rsid w:val="00AB4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7-CL-C-0018/en" TargetMode="External"/><Relationship Id="rId21" Type="http://schemas.openxmlformats.org/officeDocument/2006/relationships/hyperlink" Target="https://www.itu.int/pub/T-RES-T.52-2016" TargetMode="External"/><Relationship Id="rId42" Type="http://schemas.openxmlformats.org/officeDocument/2006/relationships/hyperlink" Target="https://www.itu.int/ITU-T/recommendations/rec.aspx?rec=14287" TargetMode="External"/><Relationship Id="rId47" Type="http://schemas.openxmlformats.org/officeDocument/2006/relationships/hyperlink" Target="https://www.itu.int/en/ITU-T/focusgroups/an/Pages/default.aspx" TargetMode="External"/><Relationship Id="rId63" Type="http://schemas.openxmlformats.org/officeDocument/2006/relationships/hyperlink" Target="https://www.itu.int/en/ITU-D/Cybersecurity/Pages/GCI/GCIv4-Report-Launch.aspx" TargetMode="External"/><Relationship Id="rId68" Type="http://schemas.openxmlformats.org/officeDocument/2006/relationships/hyperlink" Target="https://www.itu.int/en/myitu/News/2021/02/08/18/38/Sango-Internet-safety-drawing-child-online-protection-COP" TargetMode="External"/><Relationship Id="rId16" Type="http://schemas.openxmlformats.org/officeDocument/2006/relationships/hyperlink" Target="http://www.itu.int/en/ITU-D/Cybersecurity/Documents/45revDubai.pdf" TargetMode="External"/><Relationship Id="rId11" Type="http://schemas.openxmlformats.org/officeDocument/2006/relationships/hyperlink" Target="https://www.itu.int/en/council/2019/Documents/basic-texts/RES-174-F.pdf" TargetMode="External"/><Relationship Id="rId24" Type="http://schemas.openxmlformats.org/officeDocument/2006/relationships/hyperlink" Target="https://www.itu.int/md/S15-CL-C-0018/fr" TargetMode="External"/><Relationship Id="rId32" Type="http://schemas.openxmlformats.org/officeDocument/2006/relationships/hyperlink" Target="http://www.itu.int/en/ITU-D/Cybersecurity/Pages/Legal-Measures.aspx" TargetMode="External"/><Relationship Id="rId37" Type="http://schemas.openxmlformats.org/officeDocument/2006/relationships/hyperlink" Target="https://www.itu.int/ITU-T/recommendations/rec.aspx?id=14869" TargetMode="External"/><Relationship Id="rId40" Type="http://schemas.openxmlformats.org/officeDocument/2006/relationships/hyperlink" Target="https://www.itu.int/ITU-T/recommendations/rec.aspx?rec=13573&amp;lang=fr" TargetMode="External"/><Relationship Id="rId45" Type="http://schemas.openxmlformats.org/officeDocument/2006/relationships/hyperlink" Target="https://www.itu.int/en/ITU-T/focusgroups/ai4a/Pages/default.aspx" TargetMode="External"/><Relationship Id="rId53" Type="http://schemas.openxmlformats.org/officeDocument/2006/relationships/hyperlink" Target="https://www.itu.int/en/ITU-D/Cybersecurity/Pages/cyberdrills.aspx" TargetMode="External"/><Relationship Id="rId58" Type="http://schemas.openxmlformats.org/officeDocument/2006/relationships/hyperlink" Target="https://ncsguide.org/partners/" TargetMode="External"/><Relationship Id="rId66" Type="http://schemas.openxmlformats.org/officeDocument/2006/relationships/hyperlink" Target="https://www.itu.int/net4/wsis/forum/2021/fr" TargetMode="External"/><Relationship Id="rId74" Type="http://schemas.openxmlformats.org/officeDocument/2006/relationships/header" Target="header2.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19" Type="http://schemas.openxmlformats.org/officeDocument/2006/relationships/hyperlink" Target="http://www.itu.int/osg/csd/intgov/resoultions_2010/programme2.pdf" TargetMode="External"/><Relationship Id="rId14" Type="http://schemas.openxmlformats.org/officeDocument/2006/relationships/hyperlink" Target="https://www.itu.int/pub/S-CONF-WCIT-2012/fr" TargetMode="External"/><Relationship Id="rId22" Type="http://schemas.openxmlformats.org/officeDocument/2006/relationships/hyperlink" Target="https://www.itu.int/pub/T-RES-T.75-2016" TargetMode="External"/><Relationship Id="rId27" Type="http://schemas.openxmlformats.org/officeDocument/2006/relationships/hyperlink" Target="https://www.itu.int/md/S17-CL-C-0018/fr" TargetMode="External"/><Relationship Id="rId30" Type="http://schemas.openxmlformats.org/officeDocument/2006/relationships/hyperlink" Target="https://www.itu.int/md/S21-CL-C-0018/fr" TargetMode="External"/><Relationship Id="rId35" Type="http://schemas.openxmlformats.org/officeDocument/2006/relationships/hyperlink" Target="https://www.itu.int/rec/T-REC-D.1102" TargetMode="External"/><Relationship Id="rId43" Type="http://schemas.openxmlformats.org/officeDocument/2006/relationships/hyperlink" Target="https://www.itu.int/ITU-T/recommendations/rec.aspx?rec=14381" TargetMode="External"/><Relationship Id="rId48" Type="http://schemas.openxmlformats.org/officeDocument/2006/relationships/hyperlink" Target="https://www.itu.int/en/ITU-T/focusgroups/ai4ad/Pages/default.aspx" TargetMode="External"/><Relationship Id="rId56" Type="http://schemas.openxmlformats.org/officeDocument/2006/relationships/hyperlink" Target="https://www.itu.int/net4/ITU-D/CDS/sg/rgqlist.asp?lg=2&amp;sp=2014&amp;rgq=D14-SG02-RGQ03.2&amp;stg=2" TargetMode="External"/><Relationship Id="rId64" Type="http://schemas.openxmlformats.org/officeDocument/2006/relationships/hyperlink" Target="http://www.itu.int/en/ITU-D/Cybersecurity/Pages/partnership.aspx" TargetMode="External"/><Relationship Id="rId69" Type="http://schemas.openxmlformats.org/officeDocument/2006/relationships/hyperlink" Target="https://www.itu.int/women-and-girls/girls-in-ict/girlsinict-online-safety-moment/" TargetMode="External"/><Relationship Id="rId77" Type="http://schemas.openxmlformats.org/officeDocument/2006/relationships/footer" Target="footer3.xml"/><Relationship Id="rId8" Type="http://schemas.openxmlformats.org/officeDocument/2006/relationships/hyperlink" Target="https://www.itu.int/en/council/2019/Documents/basic-texts/RES-071-F.pdf" TargetMode="External"/><Relationship Id="rId51" Type="http://schemas.openxmlformats.org/officeDocument/2006/relationships/hyperlink" Target="https://www.itu.int/en/ITU-T/focusgroups/vm/Pages/default.aspx" TargetMode="External"/><Relationship Id="rId72" Type="http://schemas.openxmlformats.org/officeDocument/2006/relationships/hyperlink" Target="https://www.itu-cop-guidelines.com/children" TargetMode="External"/><Relationship Id="rId3" Type="http://schemas.openxmlformats.org/officeDocument/2006/relationships/settings" Target="settings.xml"/><Relationship Id="rId12" Type="http://schemas.openxmlformats.org/officeDocument/2006/relationships/hyperlink" Target="https://www.itu.int/en/council/2019/Documents/basic-texts/RES-179-F.pdf" TargetMode="External"/><Relationship Id="rId17" Type="http://schemas.openxmlformats.org/officeDocument/2006/relationships/hyperlink" Target="https://www.itu.int/md/D14-WTDC17-C-0115/fr" TargetMode="External"/><Relationship Id="rId25" Type="http://schemas.openxmlformats.org/officeDocument/2006/relationships/hyperlink" Target="https://www.itu.int/md/S16-CL-C-0018/fr" TargetMode="External"/><Relationship Id="rId33" Type="http://schemas.openxmlformats.org/officeDocument/2006/relationships/hyperlink" Target="http://www.itu.int/ITU-T/studygroups/com17/" TargetMode="External"/><Relationship Id="rId38" Type="http://schemas.openxmlformats.org/officeDocument/2006/relationships/hyperlink" Target="https://www.itu.int/ITU-T/recommendations/rec.aspx?id=14870" TargetMode="External"/><Relationship Id="rId46" Type="http://schemas.openxmlformats.org/officeDocument/2006/relationships/hyperlink" Target="https://www.itu.int/en/ITU-T/focusgroups/ai4ndm/Pages/default.aspx" TargetMode="External"/><Relationship Id="rId59" Type="http://schemas.openxmlformats.org/officeDocument/2006/relationships/hyperlink" Target="https://ncsguide.org/the-guide/" TargetMode="External"/><Relationship Id="rId67" Type="http://schemas.openxmlformats.org/officeDocument/2006/relationships/hyperlink" Target="https://www.itu.int/net4/wsis/forum/2020/en" TargetMode="External"/><Relationship Id="rId20" Type="http://schemas.openxmlformats.org/officeDocument/2006/relationships/hyperlink" Target="https://www.itu.int/pub/T-RES-T.50-2016" TargetMode="External"/><Relationship Id="rId41" Type="http://schemas.openxmlformats.org/officeDocument/2006/relationships/hyperlink" Target="https://www.itu.int/ITU-T/recommendations/rec.aspx?rec=14286" TargetMode="External"/><Relationship Id="rId54" Type="http://schemas.openxmlformats.org/officeDocument/2006/relationships/hyperlink" Target="https://www.itu.int/en/ITU-D/Cybersecurity/Pages/Cyberdrills-2021.aspx" TargetMode="External"/><Relationship Id="rId62" Type="http://schemas.openxmlformats.org/officeDocument/2006/relationships/hyperlink" Target="https://www.itu.int/en/ITU-D/Cybersecurity/Pages/global-cybersecurity-index.aspx" TargetMode="External"/><Relationship Id="rId70" Type="http://schemas.openxmlformats.org/officeDocument/2006/relationships/hyperlink" Target="https://www.itu.int/fr/ITU-D/Conferences/GSR/2021/Pages/global.aspx"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15-CL-C-0109/fr" TargetMode="External"/><Relationship Id="rId23" Type="http://schemas.openxmlformats.org/officeDocument/2006/relationships/hyperlink" Target="https://www.itu.int/pub/T-RES-T.58-2016" TargetMode="External"/><Relationship Id="rId28" Type="http://schemas.openxmlformats.org/officeDocument/2006/relationships/hyperlink" Target="https://www.itu.int/md/S19-CL-C-0018/fr" TargetMode="External"/><Relationship Id="rId36" Type="http://schemas.openxmlformats.org/officeDocument/2006/relationships/hyperlink" Target="https://www.itu.int/ITU-T/recommendations/rec.aspx?id=14868" TargetMode="External"/><Relationship Id="rId49" Type="http://schemas.openxmlformats.org/officeDocument/2006/relationships/hyperlink" Target="https://www.itu.int/en/ITU-T/focusgroups/ai4ee/Pages/default.aspx" TargetMode="External"/><Relationship Id="rId57" Type="http://schemas.openxmlformats.org/officeDocument/2006/relationships/hyperlink" Target="https://www.itu.int/pub/D-STR-CYB_GUIDE.01-2018/fr" TargetMode="External"/><Relationship Id="rId10" Type="http://schemas.openxmlformats.org/officeDocument/2006/relationships/hyperlink" Target="https://www.itu.int/en/council/2019/Documents/basic-texts/RES-140-F.pdf" TargetMode="External"/><Relationship Id="rId31" Type="http://schemas.openxmlformats.org/officeDocument/2006/relationships/hyperlink" Target="http://www.itu.int/en/action/cybersecurity/Pages/gca.aspx" TargetMode="External"/><Relationship Id="rId44" Type="http://schemas.openxmlformats.org/officeDocument/2006/relationships/hyperlink" Target="https://www.itu.int/en/ITU-T/focusgroups/tbfxg/Pages/default.aspx" TargetMode="External"/><Relationship Id="rId52" Type="http://schemas.openxmlformats.org/officeDocument/2006/relationships/hyperlink" Target="https://www.itu.int/en/ITU-R/study-groups/rsg5/rwp5d/imt-2020/Pages/default.aspx" TargetMode="External"/><Relationship Id="rId60" Type="http://schemas.openxmlformats.org/officeDocument/2006/relationships/hyperlink" Target="https://academy.itu.int/training-courses/full-catalogue/lifecycle-principles-and-good-practices-national-cybersecurity-strategy-development-and" TargetMode="External"/><Relationship Id="rId65" Type="http://schemas.openxmlformats.org/officeDocument/2006/relationships/hyperlink" Target="https://www.itu.int/md/S21-CL-C-0071/en" TargetMode="External"/><Relationship Id="rId73" Type="http://schemas.openxmlformats.org/officeDocument/2006/relationships/header" Target="header1.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en/council/2019/Documents/basic-texts/RES-130-F.pdf" TargetMode="External"/><Relationship Id="rId13" Type="http://schemas.openxmlformats.org/officeDocument/2006/relationships/hyperlink" Target="https://www.itu.int/en/council/2019/Documents/basic-texts/RES-181-F.pdf" TargetMode="External"/><Relationship Id="rId18" Type="http://schemas.openxmlformats.org/officeDocument/2006/relationships/hyperlink" Target="https://www.itu.int/md/D14-WTDC17-C-0115/en" TargetMode="External"/><Relationship Id="rId39" Type="http://schemas.openxmlformats.org/officeDocument/2006/relationships/hyperlink" Target="https://www.itu.int/ITU-T/recommendations/rec.aspx?id=14357" TargetMode="External"/><Relationship Id="rId34" Type="http://schemas.openxmlformats.org/officeDocument/2006/relationships/hyperlink" Target="https://www.itu.int/itu-t/workprog/wp_search.aspx?sg=17" TargetMode="External"/><Relationship Id="rId50" Type="http://schemas.openxmlformats.org/officeDocument/2006/relationships/hyperlink" Target="https://www.itu.int/en/ITU-T/focusgroups/ai4h/Pages/default.aspx" TargetMode="External"/><Relationship Id="rId55" Type="http://schemas.openxmlformats.org/officeDocument/2006/relationships/hyperlink" Target="https://www.itu.int/en/ITU-D/Cybersecurity/Pages/cyberdrills.aspx" TargetMode="External"/><Relationship Id="rId76" Type="http://schemas.openxmlformats.org/officeDocument/2006/relationships/footer" Target="footer2.xml"/><Relationship Id="rId7" Type="http://schemas.openxmlformats.org/officeDocument/2006/relationships/image" Target="media/image1.jpeg"/><Relationship Id="rId71" Type="http://schemas.openxmlformats.org/officeDocument/2006/relationships/hyperlink" Target="https://www.bing.com/videos/search?q=sango+announcing+eni+youtube&amp;docid=13903411089711&amp;mid=271E2ABE304F85C97D50271E2ABE304F85C97D50&amp;view=detail&amp;FORM=VIRE" TargetMode="External"/><Relationship Id="rId2" Type="http://schemas.openxmlformats.org/officeDocument/2006/relationships/styles" Target="styles.xml"/><Relationship Id="rId29" Type="http://schemas.openxmlformats.org/officeDocument/2006/relationships/hyperlink" Target="https://www.itu.int/md/S20-CL-C-0018/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0</TotalTime>
  <Pages>6</Pages>
  <Words>2988</Words>
  <Characters>21533</Characters>
  <Application>Microsoft Office Word</Application>
  <DocSecurity>4</DocSecurity>
  <Lines>179</Lines>
  <Paragraphs>48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24473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Activités de l'UIT relatives au renforcement du rôle de l'Union dans l'instauration de la confiance et de la sécurité dans l'utilisation des Technologies de l'Information et de la Communication</dc:title>
  <dc:subject>Conseil 2022</dc:subject>
  <dc:creator>French</dc:creator>
  <cp:keywords>C22, C2022, Council-22</cp:keywords>
  <dc:description/>
  <cp:lastModifiedBy>Xue, Kun</cp:lastModifiedBy>
  <cp:revision>2</cp:revision>
  <cp:lastPrinted>2000-07-18T08:55:00Z</cp:lastPrinted>
  <dcterms:created xsi:type="dcterms:W3CDTF">2022-03-07T11:35:00Z</dcterms:created>
  <dcterms:modified xsi:type="dcterms:W3CDTF">2022-03-07T11:35:00Z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