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DB4FEC" w14:paraId="667AF2DE" w14:textId="77777777">
        <w:trPr>
          <w:cantSplit/>
        </w:trPr>
        <w:tc>
          <w:tcPr>
            <w:tcW w:w="6912" w:type="dxa"/>
          </w:tcPr>
          <w:p w14:paraId="6D141582" w14:textId="77777777" w:rsidR="00093EEB" w:rsidRPr="00DB4FEC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DB4FEC">
              <w:rPr>
                <w:b/>
                <w:bCs/>
                <w:sz w:val="30"/>
                <w:szCs w:val="30"/>
              </w:rPr>
              <w:t>Consejo 20</w:t>
            </w:r>
            <w:r w:rsidR="007955DA" w:rsidRPr="00DB4FEC">
              <w:rPr>
                <w:b/>
                <w:bCs/>
                <w:sz w:val="30"/>
                <w:szCs w:val="30"/>
              </w:rPr>
              <w:t>2</w:t>
            </w:r>
            <w:r w:rsidR="00D50A36" w:rsidRPr="00DB4FEC">
              <w:rPr>
                <w:b/>
                <w:bCs/>
                <w:sz w:val="30"/>
                <w:szCs w:val="30"/>
              </w:rPr>
              <w:t>2</w:t>
            </w:r>
            <w:r w:rsidRPr="00DB4FEC">
              <w:rPr>
                <w:b/>
                <w:bCs/>
                <w:sz w:val="26"/>
                <w:szCs w:val="26"/>
              </w:rPr>
              <w:br/>
            </w:r>
            <w:r w:rsidR="00D50A36" w:rsidRPr="00DB4FEC">
              <w:rPr>
                <w:b/>
                <w:bCs/>
                <w:sz w:val="26"/>
                <w:szCs w:val="26"/>
              </w:rPr>
              <w:t>Ginebra</w:t>
            </w:r>
            <w:r w:rsidRPr="00DB4FEC">
              <w:rPr>
                <w:b/>
                <w:bCs/>
                <w:sz w:val="26"/>
                <w:szCs w:val="26"/>
              </w:rPr>
              <w:t xml:space="preserve">, </w:t>
            </w:r>
            <w:r w:rsidR="00D50A36" w:rsidRPr="00DB4FEC">
              <w:rPr>
                <w:b/>
                <w:bCs/>
                <w:sz w:val="26"/>
                <w:szCs w:val="26"/>
              </w:rPr>
              <w:t>21</w:t>
            </w:r>
            <w:r w:rsidRPr="00DB4FEC">
              <w:rPr>
                <w:b/>
                <w:bCs/>
                <w:sz w:val="26"/>
                <w:szCs w:val="26"/>
              </w:rPr>
              <w:t>-</w:t>
            </w:r>
            <w:r w:rsidR="00D50A36" w:rsidRPr="00DB4FEC">
              <w:rPr>
                <w:b/>
                <w:bCs/>
                <w:sz w:val="26"/>
                <w:szCs w:val="26"/>
              </w:rPr>
              <w:t>31</w:t>
            </w:r>
            <w:r w:rsidRPr="00DB4FEC">
              <w:rPr>
                <w:b/>
                <w:bCs/>
                <w:sz w:val="26"/>
                <w:szCs w:val="26"/>
              </w:rPr>
              <w:t xml:space="preserve"> de </w:t>
            </w:r>
            <w:r w:rsidR="00D50A36" w:rsidRPr="00DB4FEC">
              <w:rPr>
                <w:b/>
                <w:bCs/>
                <w:sz w:val="26"/>
                <w:szCs w:val="26"/>
              </w:rPr>
              <w:t>marzo</w:t>
            </w:r>
            <w:r w:rsidRPr="00DB4FEC">
              <w:rPr>
                <w:b/>
                <w:bCs/>
                <w:sz w:val="26"/>
                <w:szCs w:val="26"/>
              </w:rPr>
              <w:t xml:space="preserve"> de 20</w:t>
            </w:r>
            <w:r w:rsidR="007955DA" w:rsidRPr="00DB4FEC">
              <w:rPr>
                <w:b/>
                <w:bCs/>
                <w:sz w:val="26"/>
                <w:szCs w:val="26"/>
              </w:rPr>
              <w:t>2</w:t>
            </w:r>
            <w:r w:rsidR="00D50A36" w:rsidRPr="00DB4FE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14:paraId="3689FB50" w14:textId="77777777" w:rsidR="00093EEB" w:rsidRPr="00DB4FEC" w:rsidRDefault="007955DA" w:rsidP="007955DA">
            <w:pPr>
              <w:spacing w:before="0"/>
              <w:rPr>
                <w:szCs w:val="24"/>
              </w:rPr>
            </w:pPr>
            <w:bookmarkStart w:id="2" w:name="ditulogo"/>
            <w:bookmarkEnd w:id="2"/>
            <w:r w:rsidRPr="00DB4FEC">
              <w:rPr>
                <w:noProof/>
                <w:lang w:eastAsia="es-ES_tradnl"/>
              </w:rPr>
              <w:drawing>
                <wp:inline distT="0" distB="0" distL="0" distR="0" wp14:anchorId="753EFF19" wp14:editId="0CCD48F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DB4FEC" w14:paraId="2043AA05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15C42171" w14:textId="77777777" w:rsidR="00093EEB" w:rsidRPr="00DB4FEC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DB4FEC" w14:paraId="6A21AD9F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5EDE3D9C" w14:textId="77777777" w:rsidR="00093EEB" w:rsidRPr="00DB4FEC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0EEE6191" w14:textId="77777777" w:rsidR="00093EEB" w:rsidRPr="00DB4FEC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DB4FEC" w14:paraId="0887620F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290EA493" w14:textId="2F7B99F8" w:rsidR="00093EEB" w:rsidRPr="00DB4FEC" w:rsidRDefault="00F77FB9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DB4FEC">
              <w:rPr>
                <w:rFonts w:cs="Times"/>
                <w:b/>
                <w:szCs w:val="24"/>
              </w:rPr>
              <w:t>Punto del orden del día: PL 1.4</w:t>
            </w:r>
          </w:p>
        </w:tc>
        <w:tc>
          <w:tcPr>
            <w:tcW w:w="3261" w:type="dxa"/>
          </w:tcPr>
          <w:p w14:paraId="31CC5FE3" w14:textId="336F18B1" w:rsidR="00093EEB" w:rsidRPr="00DB4FEC" w:rsidRDefault="00093EEB" w:rsidP="00C2727F">
            <w:pPr>
              <w:spacing w:before="0"/>
              <w:rPr>
                <w:b/>
                <w:bCs/>
                <w:szCs w:val="24"/>
              </w:rPr>
            </w:pPr>
            <w:r w:rsidRPr="00DB4FEC">
              <w:rPr>
                <w:b/>
                <w:bCs/>
                <w:szCs w:val="24"/>
              </w:rPr>
              <w:t>Documento C</w:t>
            </w:r>
            <w:r w:rsidR="007955DA" w:rsidRPr="00DB4FEC">
              <w:rPr>
                <w:b/>
                <w:bCs/>
                <w:szCs w:val="24"/>
              </w:rPr>
              <w:t>2</w:t>
            </w:r>
            <w:r w:rsidR="00D50A36" w:rsidRPr="00DB4FEC">
              <w:rPr>
                <w:b/>
                <w:bCs/>
                <w:szCs w:val="24"/>
              </w:rPr>
              <w:t>2</w:t>
            </w:r>
            <w:r w:rsidRPr="00DB4FEC">
              <w:rPr>
                <w:b/>
                <w:bCs/>
                <w:szCs w:val="24"/>
              </w:rPr>
              <w:t>/</w:t>
            </w:r>
            <w:r w:rsidR="00F77FB9" w:rsidRPr="00DB4FEC">
              <w:rPr>
                <w:b/>
                <w:bCs/>
                <w:szCs w:val="24"/>
              </w:rPr>
              <w:t>18</w:t>
            </w:r>
            <w:r w:rsidRPr="00DB4FEC">
              <w:rPr>
                <w:b/>
                <w:bCs/>
                <w:szCs w:val="24"/>
              </w:rPr>
              <w:t>-S</w:t>
            </w:r>
          </w:p>
        </w:tc>
      </w:tr>
      <w:tr w:rsidR="00093EEB" w:rsidRPr="00DB4FEC" w14:paraId="411C3427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4CC97DB7" w14:textId="77777777" w:rsidR="00093EEB" w:rsidRPr="00DB4FEC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14:paraId="68E8AC05" w14:textId="28F8AEAB" w:rsidR="00093EEB" w:rsidRPr="00DB4FEC" w:rsidRDefault="005D3889" w:rsidP="00C2727F">
            <w:pPr>
              <w:spacing w:before="0"/>
              <w:rPr>
                <w:b/>
                <w:bCs/>
                <w:szCs w:val="24"/>
              </w:rPr>
            </w:pPr>
            <w:r w:rsidRPr="00DB4FEC">
              <w:rPr>
                <w:b/>
                <w:bCs/>
                <w:szCs w:val="24"/>
              </w:rPr>
              <w:t>1</w:t>
            </w:r>
            <w:r w:rsidR="009D5402">
              <w:rPr>
                <w:b/>
                <w:bCs/>
                <w:szCs w:val="24"/>
              </w:rPr>
              <w:t>8</w:t>
            </w:r>
            <w:r w:rsidR="0077252D" w:rsidRPr="00DB4FEC">
              <w:rPr>
                <w:b/>
                <w:bCs/>
                <w:szCs w:val="24"/>
              </w:rPr>
              <w:t xml:space="preserve"> </w:t>
            </w:r>
            <w:r w:rsidR="00F77FB9" w:rsidRPr="00DB4FEC">
              <w:rPr>
                <w:b/>
                <w:bCs/>
                <w:szCs w:val="24"/>
              </w:rPr>
              <w:t>de febrero</w:t>
            </w:r>
            <w:r w:rsidR="00093EEB" w:rsidRPr="00DB4FEC">
              <w:rPr>
                <w:b/>
                <w:bCs/>
                <w:szCs w:val="24"/>
              </w:rPr>
              <w:t xml:space="preserve"> de 20</w:t>
            </w:r>
            <w:r w:rsidR="007955DA" w:rsidRPr="00DB4FEC">
              <w:rPr>
                <w:b/>
                <w:bCs/>
                <w:szCs w:val="24"/>
              </w:rPr>
              <w:t>2</w:t>
            </w:r>
            <w:r w:rsidR="00F77FB9" w:rsidRPr="00DB4FEC">
              <w:rPr>
                <w:b/>
                <w:bCs/>
                <w:szCs w:val="24"/>
              </w:rPr>
              <w:t>2</w:t>
            </w:r>
          </w:p>
        </w:tc>
      </w:tr>
      <w:tr w:rsidR="00093EEB" w:rsidRPr="00DB4FEC" w14:paraId="04706A69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2098B11" w14:textId="77777777" w:rsidR="00093EEB" w:rsidRPr="00DB4FEC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14:paraId="7328EF47" w14:textId="77777777" w:rsidR="00093EEB" w:rsidRPr="00DB4FEC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DB4FEC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DB4FEC" w14:paraId="3F0AA054" w14:textId="77777777">
        <w:trPr>
          <w:cantSplit/>
        </w:trPr>
        <w:tc>
          <w:tcPr>
            <w:tcW w:w="10173" w:type="dxa"/>
            <w:gridSpan w:val="2"/>
          </w:tcPr>
          <w:p w14:paraId="67AEFC1C" w14:textId="3C543B4B" w:rsidR="00093EEB" w:rsidRPr="00DB4FEC" w:rsidRDefault="00F77FB9">
            <w:pPr>
              <w:pStyle w:val="Source"/>
            </w:pPr>
            <w:bookmarkStart w:id="7" w:name="dsource" w:colFirst="0" w:colLast="0"/>
            <w:bookmarkEnd w:id="1"/>
            <w:bookmarkEnd w:id="6"/>
            <w:r w:rsidRPr="00DB4FEC">
              <w:t xml:space="preserve">Informe del </w:t>
            </w:r>
            <w:proofErr w:type="gramStart"/>
            <w:r w:rsidRPr="00DB4FEC">
              <w:t>Secretario General</w:t>
            </w:r>
            <w:proofErr w:type="gramEnd"/>
          </w:p>
        </w:tc>
      </w:tr>
      <w:tr w:rsidR="00093EEB" w:rsidRPr="00DB4FEC" w14:paraId="71250817" w14:textId="77777777">
        <w:trPr>
          <w:cantSplit/>
        </w:trPr>
        <w:tc>
          <w:tcPr>
            <w:tcW w:w="10173" w:type="dxa"/>
            <w:gridSpan w:val="2"/>
          </w:tcPr>
          <w:p w14:paraId="15B58E69" w14:textId="3221F19A" w:rsidR="00093EEB" w:rsidRPr="00DB4FEC" w:rsidRDefault="00F77FB9">
            <w:pPr>
              <w:pStyle w:val="Title1"/>
            </w:pPr>
            <w:bookmarkStart w:id="8" w:name="dtitle1" w:colFirst="0" w:colLast="0"/>
            <w:bookmarkStart w:id="9" w:name="_Hlk96420819"/>
            <w:bookmarkEnd w:id="7"/>
            <w:r w:rsidRPr="00DB4FEC">
              <w:t>ACTIVIDADES DE LA UIT SOBRE EL FORTALECIMIENTO DE SU PAPEL</w:t>
            </w:r>
            <w:r w:rsidRPr="00DB4FEC">
              <w:br/>
              <w:t>EN LA CREACIÓN DE CONFIANZA Y SEGURIDAD EN LA UTILIZACIÓN</w:t>
            </w:r>
            <w:r w:rsidRPr="00DB4FEC">
              <w:br/>
              <w:t>DE LAS TECNOLOGÍAS DE LA INFORMACIÓN Y LA COMUNICACIÓN</w:t>
            </w:r>
            <w:bookmarkEnd w:id="9"/>
          </w:p>
        </w:tc>
      </w:tr>
      <w:bookmarkEnd w:id="8"/>
    </w:tbl>
    <w:p w14:paraId="34B4522B" w14:textId="77777777" w:rsidR="00093EEB" w:rsidRPr="00DB4FEC" w:rsidRDefault="00093EE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DB4FEC" w14:paraId="56F227F5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C1002F" w14:textId="77777777" w:rsidR="00093EEB" w:rsidRPr="00DB4FEC" w:rsidRDefault="00093EEB">
            <w:pPr>
              <w:pStyle w:val="Headingb"/>
            </w:pPr>
            <w:r w:rsidRPr="00DB4FEC">
              <w:t>Resumen</w:t>
            </w:r>
          </w:p>
          <w:p w14:paraId="7B30C644" w14:textId="0BB69EE2" w:rsidR="00093EEB" w:rsidRPr="00DB4FEC" w:rsidRDefault="00F77FB9">
            <w:r w:rsidRPr="00DB4FEC">
              <w:t>En el presente Informe se resumen las actividades realizadas por la UIT en</w:t>
            </w:r>
            <w:r w:rsidR="005D3889" w:rsidRPr="00DB4FEC">
              <w:t xml:space="preserve"> 2021</w:t>
            </w:r>
            <w:r w:rsidRPr="00DB4FEC">
              <w:t xml:space="preserve"> en relación con la Resolución 130 (Rev. Dubái, 2018), la función de la UIT como único organismo facilitador de la Línea de Acción C5 de la CMSI, y otras decisiones adoptadas por los miembros sobre el fortalecimiento del papel de la UIT en la creación de confianza y seguridad en la utilización de las tecnologías de la información y la comunicación (TIC).</w:t>
            </w:r>
          </w:p>
          <w:p w14:paraId="19330B94" w14:textId="77777777" w:rsidR="00093EEB" w:rsidRPr="00DB4FEC" w:rsidRDefault="00093EEB">
            <w:pPr>
              <w:pStyle w:val="Headingb"/>
            </w:pPr>
            <w:r w:rsidRPr="00DB4FEC">
              <w:t>Acción solicitada</w:t>
            </w:r>
          </w:p>
          <w:p w14:paraId="22ABC594" w14:textId="2E28C16E" w:rsidR="00693BBB" w:rsidRPr="00DB4FEC" w:rsidRDefault="00693BBB" w:rsidP="00693BBB">
            <w:r w:rsidRPr="00DB4FEC">
              <w:t xml:space="preserve">Se invita al Consejo a </w:t>
            </w:r>
            <w:r w:rsidRPr="00DB4FEC">
              <w:rPr>
                <w:b/>
                <w:bCs/>
              </w:rPr>
              <w:t>tomar nota</w:t>
            </w:r>
            <w:r w:rsidR="005D3889" w:rsidRPr="00DB4FEC">
              <w:t xml:space="preserve"> del Informe</w:t>
            </w:r>
            <w:r w:rsidRPr="00DB4FEC">
              <w:t>.</w:t>
            </w:r>
          </w:p>
          <w:p w14:paraId="50ED411C" w14:textId="77777777" w:rsidR="00093EEB" w:rsidRPr="00DB4FEC" w:rsidRDefault="00093EE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_tradnl"/>
              </w:rPr>
            </w:pPr>
            <w:r w:rsidRPr="00DB4FEC">
              <w:rPr>
                <w:caps w:val="0"/>
                <w:sz w:val="22"/>
                <w:lang w:val="es-ES_tradnl"/>
              </w:rPr>
              <w:t>____________</w:t>
            </w:r>
          </w:p>
          <w:p w14:paraId="38E7ABB6" w14:textId="77777777" w:rsidR="00093EEB" w:rsidRPr="00DB4FEC" w:rsidRDefault="00093EEB">
            <w:pPr>
              <w:pStyle w:val="Headingb"/>
            </w:pPr>
            <w:r w:rsidRPr="00DB4FEC">
              <w:t>Referencia</w:t>
            </w:r>
          </w:p>
          <w:p w14:paraId="2AB3251C" w14:textId="5B7739E0" w:rsidR="00093EEB" w:rsidRPr="00DB4FEC" w:rsidRDefault="00693BBB">
            <w:pPr>
              <w:spacing w:after="120"/>
              <w:rPr>
                <w:i/>
                <w:iCs/>
              </w:rPr>
            </w:pPr>
            <w:bookmarkStart w:id="10" w:name="lt_pId020"/>
            <w:r w:rsidRPr="00DB4FEC">
              <w:rPr>
                <w:i/>
                <w:iCs/>
              </w:rPr>
              <w:t xml:space="preserve">Resoluciones </w:t>
            </w:r>
            <w:hyperlink r:id="rId7" w:history="1">
              <w:r w:rsidRPr="00DB4FEC">
                <w:rPr>
                  <w:rStyle w:val="Hyperlink"/>
                  <w:i/>
                  <w:iCs/>
                </w:rPr>
                <w:t>71</w:t>
              </w:r>
            </w:hyperlink>
            <w:r w:rsidRPr="00DB4FEC">
              <w:rPr>
                <w:i/>
                <w:iCs/>
              </w:rPr>
              <w:t xml:space="preserve">, </w:t>
            </w:r>
            <w:hyperlink r:id="rId8" w:history="1">
              <w:r w:rsidRPr="00DB4FEC">
                <w:rPr>
                  <w:rStyle w:val="Hyperlink"/>
                  <w:i/>
                  <w:iCs/>
                </w:rPr>
                <w:t>130</w:t>
              </w:r>
            </w:hyperlink>
            <w:r w:rsidRPr="00DB4FEC">
              <w:rPr>
                <w:i/>
                <w:iCs/>
              </w:rPr>
              <w:t xml:space="preserve">, </w:t>
            </w:r>
            <w:hyperlink r:id="rId9" w:history="1">
              <w:r w:rsidRPr="00DB4FEC">
                <w:rPr>
                  <w:rStyle w:val="Hyperlink"/>
                  <w:i/>
                  <w:iCs/>
                </w:rPr>
                <w:t>140</w:t>
              </w:r>
            </w:hyperlink>
            <w:r w:rsidRPr="00DB4FEC">
              <w:rPr>
                <w:i/>
                <w:iCs/>
              </w:rPr>
              <w:t xml:space="preserve">, </w:t>
            </w:r>
            <w:hyperlink r:id="rId10" w:history="1">
              <w:r w:rsidRPr="00DB4FEC">
                <w:rPr>
                  <w:rStyle w:val="Hyperlink"/>
                  <w:i/>
                  <w:iCs/>
                </w:rPr>
                <w:t>174</w:t>
              </w:r>
            </w:hyperlink>
            <w:r w:rsidRPr="00DB4FEC">
              <w:rPr>
                <w:i/>
                <w:iCs/>
              </w:rPr>
              <w:t xml:space="preserve">, </w:t>
            </w:r>
            <w:hyperlink r:id="rId11" w:history="1">
              <w:r w:rsidRPr="00DB4FEC">
                <w:rPr>
                  <w:rStyle w:val="Hyperlink"/>
                  <w:i/>
                  <w:iCs/>
                </w:rPr>
                <w:t>179</w:t>
              </w:r>
            </w:hyperlink>
            <w:r w:rsidRPr="00DB4FEC">
              <w:rPr>
                <w:i/>
                <w:iCs/>
              </w:rPr>
              <w:t xml:space="preserve"> (Rev. Dubái, 2018) y </w:t>
            </w:r>
            <w:hyperlink r:id="rId12" w:history="1">
              <w:r w:rsidRPr="00DB4FEC">
                <w:rPr>
                  <w:rStyle w:val="Hyperlink"/>
                  <w:i/>
                  <w:iCs/>
                </w:rPr>
                <w:t>181</w:t>
              </w:r>
            </w:hyperlink>
            <w:r w:rsidRPr="00DB4FEC">
              <w:rPr>
                <w:i/>
                <w:iCs/>
              </w:rPr>
              <w:t xml:space="preserve"> (Guadalajara, 2010) de la Conferencia de Plenipotenciarios, </w:t>
            </w:r>
            <w:hyperlink r:id="rId13" w:history="1">
              <w:r w:rsidRPr="00DB4FEC">
                <w:rPr>
                  <w:rStyle w:val="Hyperlink"/>
                  <w:i/>
                  <w:iCs/>
                </w:rPr>
                <w:t>RTI</w:t>
              </w:r>
            </w:hyperlink>
            <w:r w:rsidRPr="00DB4FEC">
              <w:rPr>
                <w:i/>
                <w:iCs/>
              </w:rPr>
              <w:t xml:space="preserve"> (Rev. Dubái, 2012), </w:t>
            </w:r>
            <w:hyperlink r:id="rId14" w:history="1">
              <w:r w:rsidRPr="00DB4FEC">
                <w:rPr>
                  <w:rStyle w:val="Hyperlink"/>
                  <w:i/>
                  <w:iCs/>
                </w:rPr>
                <w:t>Resolución 1306</w:t>
              </w:r>
            </w:hyperlink>
            <w:r w:rsidRPr="00DB4FEC">
              <w:rPr>
                <w:i/>
                <w:iCs/>
              </w:rPr>
              <w:t xml:space="preserve"> del Consejo, Resoluciones </w:t>
            </w:r>
            <w:hyperlink r:id="rId15" w:history="1">
              <w:r w:rsidRPr="00DB4FEC">
                <w:rPr>
                  <w:rStyle w:val="Hyperlink"/>
                  <w:i/>
                  <w:iCs/>
                </w:rPr>
                <w:t>45</w:t>
              </w:r>
            </w:hyperlink>
            <w:r w:rsidRPr="00DB4FEC">
              <w:rPr>
                <w:i/>
                <w:iCs/>
              </w:rPr>
              <w:t xml:space="preserve"> (Rev. Dubái, 2014</w:t>
            </w:r>
            <w:r w:rsidRPr="00DB4FEC">
              <w:rPr>
                <w:i/>
                <w:iCs/>
                <w:u w:val="single"/>
              </w:rPr>
              <w:t>)</w:t>
            </w:r>
            <w:r w:rsidRPr="00DB4FEC">
              <w:rPr>
                <w:i/>
                <w:iCs/>
              </w:rPr>
              <w:t xml:space="preserve">, </w:t>
            </w:r>
            <w:hyperlink r:id="rId16" w:history="1">
              <w:r w:rsidRPr="00DB4FEC">
                <w:rPr>
                  <w:rStyle w:val="Hyperlink"/>
                  <w:i/>
                  <w:iCs/>
                </w:rPr>
                <w:t xml:space="preserve">2, 67 y 69 </w:t>
              </w:r>
            </w:hyperlink>
            <w:r w:rsidRPr="00DB4FEC">
              <w:rPr>
                <w:i/>
                <w:iCs/>
              </w:rPr>
              <w:t>(Rev. Buenos Aires, 2017) de la CDMT, Objetivo 2/Resultado 2.2 del UIT-D (</w:t>
            </w:r>
            <w:hyperlink r:id="rId17" w:history="1">
              <w:r w:rsidRPr="00DB4FEC">
                <w:rPr>
                  <w:rStyle w:val="Hyperlink"/>
                  <w:i/>
                  <w:iCs/>
                </w:rPr>
                <w:t>Plan de acción de Buenos Aires</w:t>
              </w:r>
            </w:hyperlink>
            <w:r w:rsidRPr="00DB4FEC">
              <w:rPr>
                <w:i/>
                <w:iCs/>
              </w:rPr>
              <w:t>)</w:t>
            </w:r>
            <w:hyperlink r:id="rId18" w:history="1"/>
            <w:r w:rsidRPr="00DB4FEC">
              <w:rPr>
                <w:i/>
                <w:iCs/>
              </w:rPr>
              <w:t xml:space="preserve">, Resoluciones </w:t>
            </w:r>
            <w:hyperlink r:id="rId19" w:history="1">
              <w:r w:rsidRPr="00DB4FEC">
                <w:rPr>
                  <w:rStyle w:val="Hyperlink"/>
                  <w:i/>
                  <w:iCs/>
                </w:rPr>
                <w:t>50</w:t>
              </w:r>
            </w:hyperlink>
            <w:r w:rsidRPr="00DB4FEC">
              <w:rPr>
                <w:i/>
                <w:iCs/>
              </w:rPr>
              <w:t xml:space="preserve">, </w:t>
            </w:r>
            <w:hyperlink r:id="rId20" w:history="1">
              <w:r w:rsidRPr="00DB4FEC">
                <w:rPr>
                  <w:rStyle w:val="Hyperlink"/>
                  <w:i/>
                  <w:iCs/>
                </w:rPr>
                <w:t>52</w:t>
              </w:r>
            </w:hyperlink>
            <w:r w:rsidRPr="00DB4FEC">
              <w:rPr>
                <w:i/>
                <w:iCs/>
              </w:rPr>
              <w:t xml:space="preserve">, </w:t>
            </w:r>
            <w:hyperlink r:id="rId21" w:history="1">
              <w:r w:rsidRPr="00DB4FEC">
                <w:rPr>
                  <w:rStyle w:val="Hyperlink"/>
                  <w:i/>
                  <w:iCs/>
                </w:rPr>
                <w:t>75</w:t>
              </w:r>
            </w:hyperlink>
            <w:r w:rsidRPr="00DB4FEC">
              <w:rPr>
                <w:i/>
                <w:iCs/>
              </w:rPr>
              <w:t xml:space="preserve"> (Rev. </w:t>
            </w:r>
            <w:proofErr w:type="spellStart"/>
            <w:r w:rsidRPr="00DB4FEC">
              <w:rPr>
                <w:i/>
                <w:iCs/>
              </w:rPr>
              <w:t>Hammamet</w:t>
            </w:r>
            <w:proofErr w:type="spellEnd"/>
            <w:r w:rsidRPr="00DB4FEC">
              <w:rPr>
                <w:i/>
                <w:iCs/>
              </w:rPr>
              <w:t xml:space="preserve">, 2016) y </w:t>
            </w:r>
            <w:hyperlink r:id="rId22" w:history="1">
              <w:r w:rsidRPr="00DB4FEC">
                <w:rPr>
                  <w:rStyle w:val="Hyperlink"/>
                  <w:i/>
                  <w:iCs/>
                </w:rPr>
                <w:t>58</w:t>
              </w:r>
            </w:hyperlink>
            <w:r w:rsidRPr="00DB4FEC">
              <w:rPr>
                <w:i/>
                <w:iCs/>
              </w:rPr>
              <w:t xml:space="preserve"> (Rev. Dubái, 2012) de la AMNT, Documentos recientes del Consejo </w:t>
            </w:r>
            <w:hyperlink r:id="rId23" w:history="1">
              <w:r w:rsidRPr="00DB4FEC">
                <w:rPr>
                  <w:rStyle w:val="Hyperlink"/>
                  <w:i/>
                  <w:iCs/>
                </w:rPr>
                <w:t>C15/18</w:t>
              </w:r>
            </w:hyperlink>
            <w:r w:rsidRPr="00DB4FEC">
              <w:rPr>
                <w:i/>
                <w:iCs/>
              </w:rPr>
              <w:t xml:space="preserve">, </w:t>
            </w:r>
            <w:hyperlink r:id="rId24" w:history="1">
              <w:r w:rsidRPr="00DB4FEC">
                <w:rPr>
                  <w:rStyle w:val="Hyperlink"/>
                  <w:i/>
                  <w:iCs/>
                </w:rPr>
                <w:t>C16/18</w:t>
              </w:r>
            </w:hyperlink>
            <w:r w:rsidRPr="00DB4FEC">
              <w:rPr>
                <w:i/>
                <w:iCs/>
              </w:rPr>
              <w:t xml:space="preserve">, </w:t>
            </w:r>
            <w:hyperlink r:id="rId25" w:history="1">
              <w:r w:rsidRPr="00DB4FEC">
                <w:rPr>
                  <w:rStyle w:val="Hyperlink"/>
                  <w:i/>
                  <w:iCs/>
                </w:rPr>
                <w:t>C17/18</w:t>
              </w:r>
            </w:hyperlink>
            <w:bookmarkEnd w:id="10"/>
            <w:r w:rsidRPr="00DB4FEC">
              <w:rPr>
                <w:i/>
                <w:iCs/>
              </w:rPr>
              <w:t xml:space="preserve">, </w:t>
            </w:r>
            <w:hyperlink r:id="rId26" w:history="1">
              <w:r w:rsidRPr="00DB4FEC">
                <w:rPr>
                  <w:rStyle w:val="Hyperlink"/>
                  <w:i/>
                  <w:iCs/>
                </w:rPr>
                <w:t>C18/18</w:t>
              </w:r>
            </w:hyperlink>
            <w:r w:rsidRPr="00DB4FEC">
              <w:rPr>
                <w:i/>
                <w:iCs/>
              </w:rPr>
              <w:t xml:space="preserve">, </w:t>
            </w:r>
            <w:hyperlink r:id="rId27" w:history="1">
              <w:r w:rsidRPr="00DB4FEC">
                <w:rPr>
                  <w:rStyle w:val="Hyperlink"/>
                  <w:i/>
                  <w:iCs/>
                </w:rPr>
                <w:t>C19/18</w:t>
              </w:r>
            </w:hyperlink>
            <w:r w:rsidR="007D739F" w:rsidRPr="00DB4FEC">
              <w:t xml:space="preserve">, </w:t>
            </w:r>
            <w:hyperlink r:id="rId28" w:history="1">
              <w:r w:rsidR="007D739F" w:rsidRPr="00DB4FEC">
                <w:rPr>
                  <w:rStyle w:val="Hyperlink"/>
                </w:rPr>
                <w:t>C20/18</w:t>
              </w:r>
            </w:hyperlink>
            <w:r w:rsidRPr="00DB4FEC">
              <w:rPr>
                <w:i/>
                <w:iCs/>
              </w:rPr>
              <w:t xml:space="preserve"> y </w:t>
            </w:r>
            <w:hyperlink r:id="rId29" w:history="1">
              <w:r w:rsidRPr="00DB4FEC">
                <w:rPr>
                  <w:rStyle w:val="Hyperlink"/>
                  <w:i/>
                  <w:iCs/>
                </w:rPr>
                <w:t>C</w:t>
              </w:r>
              <w:r w:rsidR="0099740B" w:rsidRPr="00DB4FEC">
                <w:rPr>
                  <w:rStyle w:val="Hyperlink"/>
                  <w:i/>
                  <w:iCs/>
                </w:rPr>
                <w:t>21</w:t>
              </w:r>
              <w:r w:rsidRPr="00DB4FEC">
                <w:rPr>
                  <w:rStyle w:val="Hyperlink"/>
                  <w:i/>
                  <w:iCs/>
                </w:rPr>
                <w:t>/18</w:t>
              </w:r>
            </w:hyperlink>
          </w:p>
          <w:p w14:paraId="35A35B4B" w14:textId="77777777" w:rsidR="00093EEB" w:rsidRPr="00DB4FEC" w:rsidRDefault="00093EEB">
            <w:pPr>
              <w:spacing w:after="120"/>
              <w:rPr>
                <w:i/>
                <w:iCs/>
              </w:rPr>
            </w:pPr>
          </w:p>
        </w:tc>
      </w:tr>
    </w:tbl>
    <w:p w14:paraId="61BB2593" w14:textId="1ED8C15E" w:rsidR="00183FB8" w:rsidRPr="00DB4FEC" w:rsidRDefault="00183FB8" w:rsidP="000B0D00"/>
    <w:p w14:paraId="7C7EF741" w14:textId="77777777" w:rsidR="00183FB8" w:rsidRPr="00DB4FEC" w:rsidRDefault="00183F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DB4FEC">
        <w:br w:type="page"/>
      </w:r>
    </w:p>
    <w:p w14:paraId="3AEA6558" w14:textId="77777777" w:rsidR="00693BBB" w:rsidRPr="00DB4FEC" w:rsidRDefault="00693BBB" w:rsidP="00183FB8">
      <w:pPr>
        <w:pStyle w:val="Heading1"/>
      </w:pPr>
      <w:r w:rsidRPr="00DB4FEC">
        <w:lastRenderedPageBreak/>
        <w:t>1</w:t>
      </w:r>
      <w:r w:rsidRPr="00DB4FEC">
        <w:tab/>
      </w:r>
      <w:proofErr w:type="gramStart"/>
      <w:r w:rsidRPr="00DB4FEC">
        <w:t>Actividades</w:t>
      </w:r>
      <w:proofErr w:type="gramEnd"/>
      <w:r w:rsidRPr="00DB4FEC">
        <w:t xml:space="preserve"> en materia de ciberseguridad y lucha contra el spam</w:t>
      </w:r>
    </w:p>
    <w:p w14:paraId="4D3EAAC6" w14:textId="77777777" w:rsidR="00693BBB" w:rsidRPr="00DB4FEC" w:rsidRDefault="00693BBB" w:rsidP="00693BBB">
      <w:r w:rsidRPr="00DB4FEC">
        <w:t>1.1</w:t>
      </w:r>
      <w:r w:rsidRPr="00DB4FEC">
        <w:tab/>
        <w:t>El desarrollo de las TIC, sobre una base de seguridad y confianza, ha sido reconocido como un factor esencial para el desarrollo sostenible. El presente Informe, organizado en torno a los cinco pilares de la Agenda sobre Ciberseguridad Global (ACG), muestra el carácter complementario de los actuales programas de trabajo de la UIT y facilita la realización de las actividades de la BDT, la TSB y la BR al respecto.</w:t>
      </w:r>
    </w:p>
    <w:p w14:paraId="782A448B" w14:textId="77777777" w:rsidR="00693BBB" w:rsidRPr="00DB4FEC" w:rsidRDefault="00693BBB" w:rsidP="009F1CA3">
      <w:pPr>
        <w:pStyle w:val="Heading1"/>
      </w:pPr>
      <w:r w:rsidRPr="00DB4FEC">
        <w:t>2</w:t>
      </w:r>
      <w:r w:rsidRPr="00DB4FEC">
        <w:tab/>
      </w:r>
      <w:proofErr w:type="gramStart"/>
      <w:r w:rsidRPr="00DB4FEC">
        <w:t>Medidas</w:t>
      </w:r>
      <w:proofErr w:type="gramEnd"/>
      <w:r w:rsidRPr="00DB4FEC">
        <w:t xml:space="preserve"> jurídicas</w:t>
      </w:r>
    </w:p>
    <w:p w14:paraId="089487CE" w14:textId="77777777" w:rsidR="00693BBB" w:rsidRPr="00DB4FEC" w:rsidRDefault="00693BBB" w:rsidP="00693BBB">
      <w:r w:rsidRPr="00DB4FEC">
        <w:t>2.1</w:t>
      </w:r>
      <w:r w:rsidRPr="00DB4FEC">
        <w:tab/>
        <w:t xml:space="preserve">En el marco del Objetivo 2 del Plan de acción de Buenos Aires, y teniendo en cuenta la Cuestión 3/2 (antigua Cuestión 22/1) de la CE 2 del UIT-D, la UIT está ayudando a los Estados Miembros a comprender los aspectos jurídicos de la ciberseguridad poniendo a disposición de los mismos los </w:t>
      </w:r>
      <w:hyperlink r:id="rId30" w:history="1">
        <w:r w:rsidRPr="00DB4FEC">
          <w:rPr>
            <w:rStyle w:val="Hyperlink"/>
          </w:rPr>
          <w:t>Recursos de la UIT sobre la legislación del ciberdelito</w:t>
        </w:r>
      </w:hyperlink>
      <w:r w:rsidRPr="00DB4FEC">
        <w:t>, con el fin de contribuir a la armonización de sus marcos jurídicos. En lo que atañe a las medidas jurídicas, la UIT colabora estrechamente con la ONUDC y otras organizaciones pertinentes que prestan asistencia a los Estados Miembros.</w:t>
      </w:r>
    </w:p>
    <w:p w14:paraId="452A8E53" w14:textId="77777777" w:rsidR="00693BBB" w:rsidRPr="00DB4FEC" w:rsidRDefault="00693BBB" w:rsidP="009F1CA3">
      <w:pPr>
        <w:pStyle w:val="Heading1"/>
      </w:pPr>
      <w:r w:rsidRPr="00DB4FEC">
        <w:t>3</w:t>
      </w:r>
      <w:r w:rsidRPr="00DB4FEC">
        <w:tab/>
      </w:r>
      <w:proofErr w:type="gramStart"/>
      <w:r w:rsidRPr="00DB4FEC">
        <w:t>Medidas</w:t>
      </w:r>
      <w:proofErr w:type="gramEnd"/>
      <w:r w:rsidRPr="00DB4FEC">
        <w:t xml:space="preserve"> técnicas y de procedimiento</w:t>
      </w:r>
    </w:p>
    <w:p w14:paraId="0CA2F19A" w14:textId="77777777" w:rsidR="00693BBB" w:rsidRPr="00DB4FEC" w:rsidRDefault="00693BBB" w:rsidP="00693BBB">
      <w:pPr>
        <w:rPr>
          <w:bCs/>
        </w:rPr>
      </w:pPr>
      <w:r w:rsidRPr="00DB4FEC">
        <w:t>3.1</w:t>
      </w:r>
      <w:r w:rsidRPr="00DB4FEC">
        <w:tab/>
        <w:t xml:space="preserve">La </w:t>
      </w:r>
      <w:hyperlink r:id="rId31" w:history="1">
        <w:r w:rsidRPr="00DB4FEC">
          <w:rPr>
            <w:rStyle w:val="Hyperlink"/>
          </w:rPr>
          <w:t>Comisión de Estudio 17 del UIT-T (CE 17)</w:t>
        </w:r>
      </w:hyperlink>
      <w:r w:rsidRPr="00DB4FEC">
        <w:t>, Comisión de Estudio Rectora sobre seguridad y gestión de identidad (</w:t>
      </w:r>
      <w:proofErr w:type="spellStart"/>
      <w:r w:rsidRPr="00DB4FEC">
        <w:t>IdM</w:t>
      </w:r>
      <w:proofErr w:type="spellEnd"/>
      <w:r w:rsidRPr="00DB4FEC">
        <w:t xml:space="preserve">), sigue contribuyendo al estudio y la normalización de la ciberseguridad, la lucha contra el correo basura, la </w:t>
      </w:r>
      <w:proofErr w:type="spellStart"/>
      <w:r w:rsidRPr="00DB4FEC">
        <w:t>IdM</w:t>
      </w:r>
      <w:proofErr w:type="spellEnd"/>
      <w:r w:rsidRPr="00DB4FEC">
        <w:t xml:space="preserve">, los certificados X.509 del UIT-T, la gestión de la seguridad de la información, las redes de sensores ubicuos, la </w:t>
      </w:r>
      <w:proofErr w:type="spellStart"/>
      <w:r w:rsidRPr="00DB4FEC">
        <w:t>telebiometría</w:t>
      </w:r>
      <w:proofErr w:type="spellEnd"/>
      <w:r w:rsidRPr="00DB4FEC">
        <w:t>, la seguridad móvil, la seguridad de la virtualización con miras a la seguridad de la computación en la nube, y la arquitectura para la protección y seguridad de información de identificación personal, en cooperación con otros organismos de normalización externos.</w:t>
      </w:r>
    </w:p>
    <w:p w14:paraId="5C0BDF47" w14:textId="73F304E1" w:rsidR="00C02463" w:rsidRPr="00DB4FEC" w:rsidRDefault="00693BBB" w:rsidP="009F1CA3">
      <w:r w:rsidRPr="00DB4FEC">
        <w:t>3.2</w:t>
      </w:r>
      <w:r w:rsidRPr="00DB4FEC">
        <w:tab/>
      </w:r>
      <w:bookmarkStart w:id="11" w:name="lt_pId036"/>
      <w:r w:rsidRPr="00DB4FEC">
        <w:t xml:space="preserve">Desde su último informe presentado al Consejo, la CE 17 ha celebrado </w:t>
      </w:r>
      <w:r w:rsidR="003F2DEE" w:rsidRPr="00DB4FEC">
        <w:t>dos</w:t>
      </w:r>
      <w:r w:rsidRPr="00DB4FEC">
        <w:t xml:space="preserve"> reuni</w:t>
      </w:r>
      <w:r w:rsidR="003F2DEE" w:rsidRPr="00DB4FEC">
        <w:t>o</w:t>
      </w:r>
      <w:r w:rsidRPr="00DB4FEC">
        <w:t>n</w:t>
      </w:r>
      <w:r w:rsidR="003F2DEE" w:rsidRPr="00DB4FEC">
        <w:t>es</w:t>
      </w:r>
      <w:r w:rsidRPr="00DB4FEC">
        <w:t xml:space="preserve"> en </w:t>
      </w:r>
      <w:r w:rsidR="003F2DEE" w:rsidRPr="00DB4FEC">
        <w:t>abril y agosto/septiembre</w:t>
      </w:r>
      <w:r w:rsidRPr="00DB4FEC">
        <w:t xml:space="preserve"> de 202</w:t>
      </w:r>
      <w:r w:rsidR="003F2DEE" w:rsidRPr="00DB4FEC">
        <w:t>1</w:t>
      </w:r>
      <w:r w:rsidRPr="00DB4FEC">
        <w:t>, en la</w:t>
      </w:r>
      <w:r w:rsidR="003F2DEE" w:rsidRPr="00DB4FEC">
        <w:t>s</w:t>
      </w:r>
      <w:r w:rsidRPr="00DB4FEC">
        <w:t xml:space="preserve"> que la CE 17 estableció</w:t>
      </w:r>
      <w:r w:rsidR="00705827" w:rsidRPr="00DB4FEC">
        <w:t xml:space="preserve"> 22</w:t>
      </w:r>
      <w:r w:rsidRPr="00DB4FEC">
        <w:t xml:space="preserve"> </w:t>
      </w:r>
      <w:hyperlink r:id="rId32" w:history="1">
        <w:r w:rsidRPr="00DB4FEC">
          <w:rPr>
            <w:rStyle w:val="Hyperlink"/>
          </w:rPr>
          <w:t>nuevos temas de trabajo de normalización</w:t>
        </w:r>
      </w:hyperlink>
      <w:r w:rsidR="003F2DEE" w:rsidRPr="00DB4FEC">
        <w:t xml:space="preserve"> y dos sesiones plenarias electrónicas en los meses de enero de 2021 y de 2022. La CE</w:t>
      </w:r>
      <w:r w:rsidR="004F4E9F" w:rsidRPr="00DB4FEC">
        <w:t xml:space="preserve"> </w:t>
      </w:r>
      <w:r w:rsidR="003F2DEE" w:rsidRPr="00DB4FEC">
        <w:t xml:space="preserve">17 aprobó más de 30 Recomendaciones nuevas o revisadas sobre seguridad de las TIC, a saber: X.1011, X.1046, X. 1047, X.1054 (revisada), X.1060, X.1061, X.1080.2, X.1217, X.1233, X.1234, X.1235, X.1252, X.1333, X.1369, X.1376, X.1405, X.1406, X.1407, X.1408, X.1453, X.1470, X.1643, X.1712, X.1752, X.1770, X.1811 y </w:t>
      </w:r>
      <w:proofErr w:type="gramStart"/>
      <w:r w:rsidR="003F2DEE" w:rsidRPr="00DB4FEC">
        <w:t>X.Suppl</w:t>
      </w:r>
      <w:proofErr w:type="gramEnd"/>
      <w:r w:rsidR="003F2DEE" w:rsidRPr="00DB4FEC">
        <w:t>.36.</w:t>
      </w:r>
    </w:p>
    <w:p w14:paraId="46499ED3" w14:textId="5FBCE0CB" w:rsidR="00C02463" w:rsidRPr="00DB4FEC" w:rsidRDefault="00C02463" w:rsidP="00C02463">
      <w:pPr>
        <w:rPr>
          <w:bCs/>
        </w:rPr>
      </w:pPr>
      <w:r w:rsidRPr="00DB4FEC">
        <w:rPr>
          <w:bCs/>
        </w:rPr>
        <w:t>3.3</w:t>
      </w:r>
      <w:r w:rsidRPr="00DB4FEC">
        <w:rPr>
          <w:bCs/>
        </w:rPr>
        <w:tab/>
      </w:r>
      <w:r w:rsidR="00B416B6" w:rsidRPr="00DB4FEC">
        <w:rPr>
          <w:bCs/>
        </w:rPr>
        <w:t>La CE </w:t>
      </w:r>
      <w:r w:rsidRPr="00DB4FEC">
        <w:rPr>
          <w:bCs/>
        </w:rPr>
        <w:t xml:space="preserve">17 </w:t>
      </w:r>
      <w:r w:rsidR="00B416B6" w:rsidRPr="00DB4FEC">
        <w:rPr>
          <w:bCs/>
        </w:rPr>
        <w:t xml:space="preserve">también alcanzó un acuerdo en relación con el Informe Técnico </w:t>
      </w:r>
      <w:r w:rsidR="00CA4023" w:rsidRPr="00DB4FEC">
        <w:rPr>
          <w:bCs/>
        </w:rPr>
        <w:t>"</w:t>
      </w:r>
      <w:r w:rsidR="00B416B6" w:rsidRPr="00DB4FEC">
        <w:rPr>
          <w:bCs/>
        </w:rPr>
        <w:t>Marco para la normalización de la seguridad de los servicios virtualizados</w:t>
      </w:r>
      <w:r w:rsidR="00CA4023" w:rsidRPr="00DB4FEC">
        <w:rPr>
          <w:bCs/>
        </w:rPr>
        <w:t>"</w:t>
      </w:r>
      <w:r w:rsidRPr="00DB4FEC">
        <w:rPr>
          <w:bCs/>
        </w:rPr>
        <w:t>.</w:t>
      </w:r>
    </w:p>
    <w:p w14:paraId="7DD91B8D" w14:textId="240CEE6C" w:rsidR="0019193F" w:rsidRPr="00DB4FEC" w:rsidRDefault="00C02463" w:rsidP="009F1CA3">
      <w:r w:rsidRPr="00DB4FEC">
        <w:t>3.4</w:t>
      </w:r>
      <w:r w:rsidRPr="00DB4FEC">
        <w:tab/>
      </w:r>
      <w:r w:rsidR="00693BBB" w:rsidRPr="00DB4FEC">
        <w:t>La CE 3 del UIT-T sigue estudiando los aspectos económicos y políticos de los macrodatos y la identidad digital en relación con los servicios de telecomunicaciones internacionales en el marco de su Cuestión 11/3. La CE 3 aprobó recientemente la</w:t>
      </w:r>
      <w:r w:rsidRPr="00DB4FEC">
        <w:t xml:space="preserve"> </w:t>
      </w:r>
      <w:hyperlink r:id="rId33" w:history="1">
        <w:r w:rsidR="00B416B6" w:rsidRPr="00DB4FEC">
          <w:rPr>
            <w:rStyle w:val="Hyperlink"/>
          </w:rPr>
          <w:t xml:space="preserve">Recomendación UIT-T D.1102, </w:t>
        </w:r>
        <w:r w:rsidR="00CA4023" w:rsidRPr="00DB4FEC">
          <w:rPr>
            <w:rStyle w:val="Hyperlink"/>
          </w:rPr>
          <w:t>"</w:t>
        </w:r>
        <w:r w:rsidR="00B416B6" w:rsidRPr="00DB4FEC">
          <w:rPr>
            <w:rStyle w:val="Hyperlink"/>
          </w:rPr>
          <w:t>Mecanismos de compensación al consumidor y de protección del consumidor relacionados con los OT</w:t>
        </w:r>
        <w:r w:rsidR="00607AC1" w:rsidRPr="00DB4FEC">
          <w:rPr>
            <w:rStyle w:val="Hyperlink"/>
          </w:rPr>
          <w:t>T”</w:t>
        </w:r>
      </w:hyperlink>
      <w:r w:rsidRPr="00DB4FEC">
        <w:t>.</w:t>
      </w:r>
    </w:p>
    <w:p w14:paraId="5F27462A" w14:textId="3F8F771B" w:rsidR="00693BBB" w:rsidRPr="00DB4FEC" w:rsidRDefault="00693BBB" w:rsidP="009F1CA3">
      <w:r w:rsidRPr="00DB4FEC">
        <w:t>3.</w:t>
      </w:r>
      <w:r w:rsidR="00C02463" w:rsidRPr="00DB4FEC">
        <w:t>5</w:t>
      </w:r>
      <w:r w:rsidRPr="00DB4FEC">
        <w:tab/>
        <w:t>La CE 11 del UIT-T sigue mejorando los protocolos de señalización para hacerlos más seguros, lo que incluye el desarrollo de requisitos adicionales para el intercambio de mensajes de señalización y protocolos particulares</w:t>
      </w:r>
      <w:r w:rsidR="00607AC1" w:rsidRPr="00DB4FEC">
        <w:t>.</w:t>
      </w:r>
      <w:r w:rsidR="00C02463" w:rsidRPr="00DB4FEC">
        <w:t xml:space="preserve"> </w:t>
      </w:r>
      <w:r w:rsidR="00607AC1" w:rsidRPr="00DB4FEC">
        <w:t xml:space="preserve">La CE 11 del UIT-T aprobó el Informe Técnico </w:t>
      </w:r>
      <w:r w:rsidR="00C02463" w:rsidRPr="00DB4FEC">
        <w:rPr>
          <w:bCs/>
        </w:rPr>
        <w:t xml:space="preserve">QSTR-USSD </w:t>
      </w:r>
      <w:r w:rsidR="00982FBD" w:rsidRPr="00DB4FEC">
        <w:rPr>
          <w:bCs/>
        </w:rPr>
        <w:t>"</w:t>
      </w:r>
      <w:r w:rsidR="00982FBD" w:rsidRPr="00DB4FEC">
        <w:t>Encriptado de bajo consumo de recursos y resistencia cuántica de los mensajes USSD para su utilización en los servicios financieros"</w:t>
      </w:r>
      <w:r w:rsidR="00607AC1" w:rsidRPr="00DB4FEC">
        <w:t xml:space="preserve"> y </w:t>
      </w:r>
      <w:proofErr w:type="gramStart"/>
      <w:r w:rsidR="00607AC1" w:rsidRPr="00DB4FEC">
        <w:t>Q.Suppl</w:t>
      </w:r>
      <w:proofErr w:type="gramEnd"/>
      <w:r w:rsidR="00607AC1" w:rsidRPr="00DB4FEC">
        <w:t xml:space="preserve">.75, </w:t>
      </w:r>
      <w:r w:rsidRPr="00DB4FEC">
        <w:t>relativ</w:t>
      </w:r>
      <w:r w:rsidR="00607AC1" w:rsidRPr="00DB4FEC">
        <w:t>o</w:t>
      </w:r>
      <w:r w:rsidRPr="00DB4FEC">
        <w:t xml:space="preserve"> a la lucha contra dispositivos la falsificación y el robo de dispositivos de telecomunicaciones/TIC.</w:t>
      </w:r>
    </w:p>
    <w:p w14:paraId="22D10CE2" w14:textId="46A24810" w:rsidR="00982FBD" w:rsidRPr="00DB4FEC" w:rsidRDefault="00982FBD" w:rsidP="009F1CA3">
      <w:r w:rsidRPr="00DB4FEC">
        <w:rPr>
          <w:bCs/>
        </w:rPr>
        <w:lastRenderedPageBreak/>
        <w:t>3.6</w:t>
      </w:r>
      <w:r w:rsidRPr="00DB4FEC">
        <w:rPr>
          <w:bCs/>
        </w:rPr>
        <w:tab/>
      </w:r>
      <w:r w:rsidR="006626F7" w:rsidRPr="00DB4FEC">
        <w:rPr>
          <w:bCs/>
        </w:rPr>
        <w:t xml:space="preserve">La CE 9 del UIT-T aprobó las Recomendaciones </w:t>
      </w:r>
      <w:hyperlink r:id="rId34" w:history="1">
        <w:r w:rsidR="004F4E9F" w:rsidRPr="00DB4FEC">
          <w:rPr>
            <w:rStyle w:val="Hyperlink"/>
            <w:bCs/>
          </w:rPr>
          <w:t>UIT</w:t>
        </w:r>
        <w:r w:rsidRPr="00DB4FEC">
          <w:rPr>
            <w:rStyle w:val="Hyperlink"/>
            <w:bCs/>
          </w:rPr>
          <w:t>-T J.1026</w:t>
        </w:r>
      </w:hyperlink>
      <w:r w:rsidRPr="00DB4FEC">
        <w:rPr>
          <w:bCs/>
        </w:rPr>
        <w:t xml:space="preserve">, </w:t>
      </w:r>
      <w:hyperlink r:id="rId35" w:history="1">
        <w:r w:rsidRPr="00DB4FEC">
          <w:rPr>
            <w:rStyle w:val="Hyperlink"/>
            <w:bCs/>
          </w:rPr>
          <w:t>J.1027</w:t>
        </w:r>
      </w:hyperlink>
      <w:r w:rsidRPr="00DB4FEC">
        <w:rPr>
          <w:bCs/>
        </w:rPr>
        <w:t xml:space="preserve">, </w:t>
      </w:r>
      <w:hyperlink r:id="rId36" w:history="1">
        <w:r w:rsidRPr="00DB4FEC">
          <w:rPr>
            <w:rStyle w:val="Hyperlink"/>
            <w:bCs/>
          </w:rPr>
          <w:t>J.1028</w:t>
        </w:r>
      </w:hyperlink>
      <w:r w:rsidRPr="00DB4FEC">
        <w:rPr>
          <w:bCs/>
        </w:rPr>
        <w:t xml:space="preserve"> </w:t>
      </w:r>
      <w:r w:rsidR="00AA5BB3" w:rsidRPr="00DB4FEC">
        <w:rPr>
          <w:bCs/>
        </w:rPr>
        <w:t>y</w:t>
      </w:r>
      <w:r w:rsidRPr="00DB4FEC">
        <w:rPr>
          <w:bCs/>
        </w:rPr>
        <w:t xml:space="preserve"> </w:t>
      </w:r>
      <w:hyperlink r:id="rId37" w:history="1">
        <w:r w:rsidRPr="00DB4FEC">
          <w:rPr>
            <w:rStyle w:val="Hyperlink"/>
            <w:bCs/>
          </w:rPr>
          <w:t>J.1204</w:t>
        </w:r>
      </w:hyperlink>
      <w:r w:rsidR="00AA5BB3" w:rsidRPr="00DB4FEC">
        <w:t xml:space="preserve"> revisadas.</w:t>
      </w:r>
      <w:r w:rsidRPr="00DB4FEC">
        <w:rPr>
          <w:bCs/>
        </w:rPr>
        <w:t xml:space="preserve"> </w:t>
      </w:r>
      <w:r w:rsidR="00AA5BB3" w:rsidRPr="00DB4FEC">
        <w:rPr>
          <w:bCs/>
        </w:rPr>
        <w:t xml:space="preserve">La CE 9 aprobó también la </w:t>
      </w:r>
      <w:r w:rsidRPr="00DB4FEC">
        <w:rPr>
          <w:bCs/>
        </w:rPr>
        <w:t xml:space="preserve">J.1205 </w:t>
      </w:r>
      <w:r w:rsidR="00AA5BB3" w:rsidRPr="00DB4FEC">
        <w:rPr>
          <w:bCs/>
        </w:rPr>
        <w:t>y continuó la actualización de la Guía del Implementador de la UIT</w:t>
      </w:r>
      <w:r w:rsidRPr="00DB4FEC">
        <w:rPr>
          <w:bCs/>
        </w:rPr>
        <w:t xml:space="preserve">-T </w:t>
      </w:r>
      <w:hyperlink r:id="rId38" w:history="1">
        <w:r w:rsidRPr="00DB4FEC">
          <w:rPr>
            <w:rStyle w:val="Hyperlink"/>
            <w:bCs/>
          </w:rPr>
          <w:t>J.1012</w:t>
        </w:r>
      </w:hyperlink>
      <w:r w:rsidRPr="00DB4FEC">
        <w:rPr>
          <w:bCs/>
        </w:rPr>
        <w:t xml:space="preserve"> </w:t>
      </w:r>
      <w:r w:rsidR="00AA5BB3" w:rsidRPr="00DB4FEC">
        <w:rPr>
          <w:bCs/>
        </w:rPr>
        <w:t xml:space="preserve">y dos Suplementos a las siguientes Recomendaciones de la serie J </w:t>
      </w:r>
      <w:r w:rsidRPr="00DB4FEC">
        <w:rPr>
          <w:bCs/>
        </w:rPr>
        <w:t>(</w:t>
      </w:r>
      <w:r w:rsidR="00AA5BB3" w:rsidRPr="00DB4FEC">
        <w:rPr>
          <w:bCs/>
        </w:rPr>
        <w:t>UIT</w:t>
      </w:r>
      <w:r w:rsidRPr="00DB4FEC">
        <w:rPr>
          <w:bCs/>
        </w:rPr>
        <w:noBreakHyphen/>
        <w:t>T J.1012-J.1015.1)</w:t>
      </w:r>
      <w:r w:rsidR="00AA5BB3" w:rsidRPr="00DB4FEC">
        <w:rPr>
          <w:bCs/>
        </w:rPr>
        <w:t>, a saber,</w:t>
      </w:r>
      <w:r w:rsidRPr="00DB4FEC">
        <w:rPr>
          <w:bCs/>
        </w:rPr>
        <w:t xml:space="preserve"> </w:t>
      </w:r>
      <w:hyperlink r:id="rId39" w:history="1">
        <w:r w:rsidRPr="00DB4FEC">
          <w:rPr>
            <w:rStyle w:val="Hyperlink"/>
            <w:bCs/>
          </w:rPr>
          <w:t>J.Sup7</w:t>
        </w:r>
      </w:hyperlink>
      <w:r w:rsidRPr="00DB4FEC">
        <w:rPr>
          <w:bCs/>
        </w:rPr>
        <w:t xml:space="preserve"> </w:t>
      </w:r>
      <w:r w:rsidR="00AA5BB3" w:rsidRPr="00DB4FEC">
        <w:rPr>
          <w:bCs/>
        </w:rPr>
        <w:t>y</w:t>
      </w:r>
      <w:r w:rsidRPr="00DB4FEC">
        <w:rPr>
          <w:bCs/>
        </w:rPr>
        <w:t xml:space="preserve"> </w:t>
      </w:r>
      <w:hyperlink r:id="rId40" w:history="1">
        <w:r w:rsidRPr="00DB4FEC">
          <w:rPr>
            <w:rStyle w:val="Hyperlink"/>
            <w:bCs/>
          </w:rPr>
          <w:t>J.Sup8</w:t>
        </w:r>
      </w:hyperlink>
      <w:r w:rsidRPr="00DB4FEC">
        <w:rPr>
          <w:bCs/>
        </w:rPr>
        <w:t>.</w:t>
      </w:r>
    </w:p>
    <w:p w14:paraId="3ACFAC2C" w14:textId="1EBE27E0" w:rsidR="00693BBB" w:rsidRPr="00DB4FEC" w:rsidRDefault="00693BBB" w:rsidP="009F1CA3">
      <w:r w:rsidRPr="00DB4FEC">
        <w:t>3.</w:t>
      </w:r>
      <w:r w:rsidR="00982FBD" w:rsidRPr="00DB4FEC">
        <w:t>7</w:t>
      </w:r>
      <w:r w:rsidRPr="00DB4FEC">
        <w:tab/>
        <w:t xml:space="preserve">La CE 13 del UIT-T aprobó las siguientes Recomendaciones: UIT-T </w:t>
      </w:r>
      <w:r w:rsidR="00982FBD" w:rsidRPr="00DB4FEC">
        <w:t xml:space="preserve">3056 </w:t>
      </w:r>
      <w:r w:rsidR="00AA5BB3" w:rsidRPr="00DB4FEC">
        <w:t>e</w:t>
      </w:r>
      <w:r w:rsidR="00982FBD" w:rsidRPr="00DB4FEC">
        <w:rPr>
          <w:b/>
          <w:bCs/>
        </w:rPr>
        <w:t xml:space="preserve"> </w:t>
      </w:r>
      <w:r w:rsidR="00982FBD" w:rsidRPr="00DB4FEC">
        <w:t>Y.3057</w:t>
      </w:r>
      <w:r w:rsidR="00982FBD" w:rsidRPr="00DB4FEC">
        <w:rPr>
          <w:bCs/>
        </w:rPr>
        <w:t xml:space="preserve"> </w:t>
      </w:r>
      <w:r w:rsidRPr="00DB4FEC">
        <w:t xml:space="preserve">sobre </w:t>
      </w:r>
      <w:r w:rsidR="00AA5BB3" w:rsidRPr="00DB4FEC">
        <w:t xml:space="preserve">los </w:t>
      </w:r>
      <w:r w:rsidRPr="00DB4FEC">
        <w:t xml:space="preserve">marcos de confianza para la gestión de datos personales y UIT-T </w:t>
      </w:r>
      <w:r w:rsidR="00982FBD" w:rsidRPr="00DB4FEC">
        <w:rPr>
          <w:bCs/>
        </w:rPr>
        <w:t xml:space="preserve">3805 </w:t>
      </w:r>
      <w:r w:rsidR="00AA5BB3" w:rsidRPr="00DB4FEC">
        <w:t>e</w:t>
      </w:r>
      <w:r w:rsidR="00982FBD" w:rsidRPr="00DB4FEC">
        <w:t xml:space="preserve"> </w:t>
      </w:r>
      <w:r w:rsidR="00982FBD" w:rsidRPr="00DB4FEC">
        <w:rPr>
          <w:bCs/>
        </w:rPr>
        <w:t>Y.380</w:t>
      </w:r>
      <w:r w:rsidR="00982FBD" w:rsidRPr="00DB4FEC">
        <w:t xml:space="preserve">6, </w:t>
      </w:r>
      <w:r w:rsidRPr="00DB4FEC">
        <w:t xml:space="preserve">sobre </w:t>
      </w:r>
      <w:r w:rsidR="00AA5BB3" w:rsidRPr="00DB4FEC">
        <w:t xml:space="preserve">las </w:t>
      </w:r>
      <w:r w:rsidRPr="00DB4FEC">
        <w:t>redes de distribución de claves cuánticas.</w:t>
      </w:r>
    </w:p>
    <w:p w14:paraId="54BFE9EF" w14:textId="4A572A68" w:rsidR="00982FBD" w:rsidRPr="00DB4FEC" w:rsidRDefault="00982FBD" w:rsidP="00982FBD">
      <w:pPr>
        <w:rPr>
          <w:bCs/>
        </w:rPr>
      </w:pPr>
      <w:r w:rsidRPr="00DB4FEC">
        <w:rPr>
          <w:bCs/>
        </w:rPr>
        <w:t>3.8</w:t>
      </w:r>
      <w:r w:rsidRPr="00DB4FEC">
        <w:rPr>
          <w:bCs/>
        </w:rPr>
        <w:tab/>
      </w:r>
      <w:r w:rsidR="00AA5BB3" w:rsidRPr="00DB4FEC">
        <w:rPr>
          <w:bCs/>
        </w:rPr>
        <w:t>La CE 15 del UIT</w:t>
      </w:r>
      <w:r w:rsidRPr="00DB4FEC">
        <w:rPr>
          <w:bCs/>
        </w:rPr>
        <w:t xml:space="preserve">-T </w:t>
      </w:r>
      <w:r w:rsidR="00AA5BB3" w:rsidRPr="00DB4FEC">
        <w:rPr>
          <w:bCs/>
        </w:rPr>
        <w:t>aprobó</w:t>
      </w:r>
      <w:r w:rsidRPr="00DB4FEC">
        <w:rPr>
          <w:bCs/>
        </w:rPr>
        <w:t xml:space="preserve"> </w:t>
      </w:r>
      <w:r w:rsidR="00AA5BB3" w:rsidRPr="00DB4FEC">
        <w:rPr>
          <w:bCs/>
        </w:rPr>
        <w:t>el Suplemento UIT</w:t>
      </w:r>
      <w:r w:rsidRPr="00DB4FEC">
        <w:rPr>
          <w:bCs/>
        </w:rPr>
        <w:t xml:space="preserve">-T </w:t>
      </w:r>
      <w:proofErr w:type="spellStart"/>
      <w:proofErr w:type="gramStart"/>
      <w:r w:rsidRPr="00DB4FEC">
        <w:rPr>
          <w:bCs/>
        </w:rPr>
        <w:t>G.Suppl.OTNsec</w:t>
      </w:r>
      <w:proofErr w:type="spellEnd"/>
      <w:proofErr w:type="gramEnd"/>
      <w:r w:rsidR="0019193F" w:rsidRPr="00DB4FEC">
        <w:rPr>
          <w:bCs/>
        </w:rPr>
        <w:t>,</w:t>
      </w:r>
      <w:r w:rsidRPr="00DB4FEC">
        <w:rPr>
          <w:bCs/>
        </w:rPr>
        <w:t xml:space="preserve"> </w:t>
      </w:r>
      <w:r w:rsidR="00CA4023" w:rsidRPr="00DB4FEC">
        <w:rPr>
          <w:bCs/>
        </w:rPr>
        <w:t>"</w:t>
      </w:r>
      <w:proofErr w:type="spellStart"/>
      <w:r w:rsidRPr="00DB4FEC">
        <w:rPr>
          <w:bCs/>
        </w:rPr>
        <w:t>Optical</w:t>
      </w:r>
      <w:proofErr w:type="spellEnd"/>
      <w:r w:rsidRPr="00DB4FEC">
        <w:rPr>
          <w:bCs/>
        </w:rPr>
        <w:t xml:space="preserve"> </w:t>
      </w:r>
      <w:proofErr w:type="spellStart"/>
      <w:r w:rsidRPr="00DB4FEC">
        <w:rPr>
          <w:bCs/>
        </w:rPr>
        <w:t>transport</w:t>
      </w:r>
      <w:proofErr w:type="spellEnd"/>
      <w:r w:rsidRPr="00DB4FEC">
        <w:rPr>
          <w:bCs/>
        </w:rPr>
        <w:t xml:space="preserve"> </w:t>
      </w:r>
      <w:proofErr w:type="spellStart"/>
      <w:r w:rsidRPr="00DB4FEC">
        <w:rPr>
          <w:bCs/>
        </w:rPr>
        <w:t>network</w:t>
      </w:r>
      <w:proofErr w:type="spellEnd"/>
      <w:r w:rsidRPr="00DB4FEC">
        <w:rPr>
          <w:bCs/>
        </w:rPr>
        <w:t xml:space="preserve"> </w:t>
      </w:r>
      <w:proofErr w:type="spellStart"/>
      <w:r w:rsidRPr="00DB4FEC">
        <w:rPr>
          <w:bCs/>
        </w:rPr>
        <w:t>security</w:t>
      </w:r>
      <w:proofErr w:type="spellEnd"/>
      <w:r w:rsidR="00CA4023" w:rsidRPr="00DB4FEC">
        <w:rPr>
          <w:bCs/>
        </w:rPr>
        <w:t>"</w:t>
      </w:r>
      <w:r w:rsidR="00AA5BB3" w:rsidRPr="00DB4FEC">
        <w:rPr>
          <w:bCs/>
        </w:rPr>
        <w:t xml:space="preserve"> (Seguridad de las redes </w:t>
      </w:r>
      <w:r w:rsidR="00BB6353" w:rsidRPr="00DB4FEC">
        <w:rPr>
          <w:bCs/>
        </w:rPr>
        <w:t>ópticas de transporte</w:t>
      </w:r>
      <w:r w:rsidR="00AA5BB3" w:rsidRPr="00DB4FEC">
        <w:rPr>
          <w:bCs/>
        </w:rPr>
        <w:t>).</w:t>
      </w:r>
    </w:p>
    <w:p w14:paraId="7DC58DE2" w14:textId="5A9B0756" w:rsidR="00982FBD" w:rsidRPr="00DB4FEC" w:rsidRDefault="00982FBD" w:rsidP="009F1CA3">
      <w:pPr>
        <w:rPr>
          <w:bCs/>
        </w:rPr>
      </w:pPr>
      <w:r w:rsidRPr="00DB4FEC">
        <w:rPr>
          <w:bCs/>
        </w:rPr>
        <w:t>3.9</w:t>
      </w:r>
      <w:r w:rsidRPr="00DB4FEC">
        <w:rPr>
          <w:bCs/>
        </w:rPr>
        <w:tab/>
      </w:r>
      <w:r w:rsidR="00BB6353" w:rsidRPr="00DB4FEC">
        <w:rPr>
          <w:bCs/>
        </w:rPr>
        <w:t xml:space="preserve">La CE 16 del UIT-T aprobó la Recomendación </w:t>
      </w:r>
      <w:r w:rsidRPr="00DB4FEC">
        <w:rPr>
          <w:bCs/>
        </w:rPr>
        <w:t>U</w:t>
      </w:r>
      <w:r w:rsidR="00BB6353" w:rsidRPr="00DB4FEC">
        <w:rPr>
          <w:bCs/>
        </w:rPr>
        <w:t>IT</w:t>
      </w:r>
      <w:r w:rsidRPr="00DB4FEC">
        <w:rPr>
          <w:bCs/>
        </w:rPr>
        <w:t xml:space="preserve">-T F.747.10 </w:t>
      </w:r>
      <w:r w:rsidR="00CA4023" w:rsidRPr="00DB4FEC">
        <w:rPr>
          <w:bCs/>
        </w:rPr>
        <w:t>"</w:t>
      </w:r>
      <w:r w:rsidR="00BB6353" w:rsidRPr="00DB4FEC">
        <w:rPr>
          <w:bCs/>
        </w:rPr>
        <w:t>Requisitos de los sistemas de libro mayor distribuido para la prestación de servicios con factor humano protegido</w:t>
      </w:r>
      <w:r w:rsidR="00CA4023" w:rsidRPr="00DB4FEC">
        <w:rPr>
          <w:bCs/>
        </w:rPr>
        <w:t>"</w:t>
      </w:r>
      <w:r w:rsidRPr="00DB4FEC">
        <w:rPr>
          <w:bCs/>
        </w:rPr>
        <w:t xml:space="preserve"> (</w:t>
      </w:r>
      <w:r w:rsidR="00BB6353" w:rsidRPr="00DB4FEC">
        <w:rPr>
          <w:bCs/>
        </w:rPr>
        <w:t>en</w:t>
      </w:r>
      <w:r w:rsidRPr="00DB4FEC">
        <w:rPr>
          <w:bCs/>
        </w:rPr>
        <w:t xml:space="preserve"> publica</w:t>
      </w:r>
      <w:r w:rsidR="00BB6353" w:rsidRPr="00DB4FEC">
        <w:rPr>
          <w:bCs/>
        </w:rPr>
        <w:t>ció</w:t>
      </w:r>
      <w:r w:rsidRPr="00DB4FEC">
        <w:rPr>
          <w:bCs/>
        </w:rPr>
        <w:t xml:space="preserve">n), </w:t>
      </w:r>
      <w:r w:rsidR="00BB6353" w:rsidRPr="00DB4FEC">
        <w:rPr>
          <w:bCs/>
        </w:rPr>
        <w:t>que</w:t>
      </w:r>
      <w:r w:rsidR="00BB6353" w:rsidRPr="00DB4FEC">
        <w:t xml:space="preserve"> </w:t>
      </w:r>
      <w:r w:rsidR="00BB6353" w:rsidRPr="00DB4FEC">
        <w:rPr>
          <w:bCs/>
        </w:rPr>
        <w:t>establece los requisitos generales y las capacidades funcionales de los sistemas de libro mayor distribuido (DLS) que permiten garantizar la seguridad de los servicios personales.</w:t>
      </w:r>
    </w:p>
    <w:p w14:paraId="4C0CE5A8" w14:textId="61CA0C92" w:rsidR="00693BBB" w:rsidRPr="00DB4FEC" w:rsidRDefault="00693BBB" w:rsidP="00693BBB">
      <w:pPr>
        <w:rPr>
          <w:bCs/>
        </w:rPr>
      </w:pPr>
      <w:r w:rsidRPr="00DB4FEC">
        <w:rPr>
          <w:bCs/>
        </w:rPr>
        <w:t>3.</w:t>
      </w:r>
      <w:r w:rsidR="00982FBD" w:rsidRPr="00DB4FEC">
        <w:rPr>
          <w:bCs/>
        </w:rPr>
        <w:t>10</w:t>
      </w:r>
      <w:r w:rsidRPr="00DB4FEC">
        <w:rPr>
          <w:bCs/>
        </w:rPr>
        <w:tab/>
        <w:t xml:space="preserve">La CE 20 del UIT-T preparó las siguientes Recomendaciones sobre seguridad: </w:t>
      </w:r>
      <w:hyperlink r:id="rId41" w:history="1">
        <w:r w:rsidRPr="00DB4FEC">
          <w:rPr>
            <w:rStyle w:val="Hyperlink"/>
          </w:rPr>
          <w:t>Y.4808</w:t>
        </w:r>
      </w:hyperlink>
      <w:r w:rsidRPr="00DB4FEC">
        <w:t>,</w:t>
      </w:r>
      <w:r w:rsidR="00982FBD" w:rsidRPr="00DB4FEC">
        <w:t xml:space="preserve"> Y.4810 </w:t>
      </w:r>
      <w:r w:rsidR="00BB6353" w:rsidRPr="00DB4FEC">
        <w:t>e</w:t>
      </w:r>
      <w:r w:rsidR="00982FBD" w:rsidRPr="00DB4FEC">
        <w:t xml:space="preserve"> Y.4811</w:t>
      </w:r>
      <w:r w:rsidRPr="00DB4FEC">
        <w:t>.</w:t>
      </w:r>
    </w:p>
    <w:bookmarkEnd w:id="11"/>
    <w:p w14:paraId="25D342E3" w14:textId="26879969" w:rsidR="00693BBB" w:rsidRPr="00DB4FEC" w:rsidRDefault="00693BBB" w:rsidP="009F1CA3">
      <w:r w:rsidRPr="00DB4FEC">
        <w:t>3.1</w:t>
      </w:r>
      <w:r w:rsidR="00982FBD" w:rsidRPr="00DB4FEC">
        <w:t>1</w:t>
      </w:r>
      <w:r w:rsidRPr="00DB4FEC">
        <w:tab/>
        <w:t>Varios Grupos Temáticos del UIT-T están estudiando los aspectos de confianza de varias tecnologías emergentes como parte de su trabajo. Estos incluyen</w:t>
      </w:r>
      <w:r w:rsidR="00BB6353" w:rsidRPr="00DB4FEC">
        <w:t>:</w:t>
      </w:r>
      <w:r w:rsidRPr="00DB4FEC">
        <w:t xml:space="preserve"> 1</w:t>
      </w:r>
      <w:r w:rsidR="00982FBD" w:rsidRPr="00DB4FEC">
        <w:t>)</w:t>
      </w:r>
      <w:r w:rsidR="00BB6353" w:rsidRPr="00DB4FEC">
        <w:t xml:space="preserve"> </w:t>
      </w:r>
      <w:hyperlink r:id="rId42" w:history="1">
        <w:r w:rsidR="00BB6353" w:rsidRPr="00DB4FEC">
          <w:rPr>
            <w:rStyle w:val="Hyperlink"/>
            <w:i/>
            <w:iCs/>
          </w:rPr>
          <w:t>Grupo Temático del UIT-T relativo a federaciones de bancos de pruebas para las IMT-2020 y sistemas posteriores (FG-</w:t>
        </w:r>
        <w:proofErr w:type="spellStart"/>
        <w:r w:rsidR="00BB6353" w:rsidRPr="00DB4FEC">
          <w:rPr>
            <w:rStyle w:val="Hyperlink"/>
            <w:i/>
            <w:iCs/>
          </w:rPr>
          <w:t>TBFxG</w:t>
        </w:r>
        <w:proofErr w:type="spellEnd"/>
        <w:r w:rsidR="00BB6353" w:rsidRPr="00DB4FEC">
          <w:rPr>
            <w:rStyle w:val="Hyperlink"/>
            <w:i/>
            <w:iCs/>
          </w:rPr>
          <w:t>)</w:t>
        </w:r>
      </w:hyperlink>
      <w:r w:rsidR="00BB6353" w:rsidRPr="00DB4FEC">
        <w:t xml:space="preserve">; </w:t>
      </w:r>
      <w:r w:rsidR="008B1A37" w:rsidRPr="00DB4FEC">
        <w:t>2)</w:t>
      </w:r>
      <w:r w:rsidR="008B1A37" w:rsidRPr="00DB4FEC">
        <w:rPr>
          <w:rFonts w:eastAsia="SimSun"/>
        </w:rPr>
        <w:t xml:space="preserve"> </w:t>
      </w:r>
      <w:hyperlink r:id="rId43" w:history="1">
        <w:r w:rsidR="00BB6353" w:rsidRPr="00DB4FEC">
          <w:rPr>
            <w:rStyle w:val="Hyperlink"/>
            <w:rFonts w:eastAsia="SimSun"/>
          </w:rPr>
          <w:t>Grupo Temático del UIT-T relativo a "inteligencia artificial (IA) e Internet de las Cosas (</w:t>
        </w:r>
        <w:proofErr w:type="spellStart"/>
        <w:r w:rsidR="00BB6353" w:rsidRPr="00DB4FEC">
          <w:rPr>
            <w:rStyle w:val="Hyperlink"/>
            <w:rFonts w:eastAsia="SimSun"/>
          </w:rPr>
          <w:t>IoT</w:t>
        </w:r>
        <w:proofErr w:type="spellEnd"/>
        <w:r w:rsidR="00BB6353" w:rsidRPr="00DB4FEC">
          <w:rPr>
            <w:rStyle w:val="Hyperlink"/>
            <w:rFonts w:eastAsia="SimSun"/>
          </w:rPr>
          <w:t>) para la agricultura digital"</w:t>
        </w:r>
        <w:r w:rsidR="008B1A37" w:rsidRPr="00DB4FEC">
          <w:rPr>
            <w:rStyle w:val="Hyperlink"/>
            <w:rFonts w:eastAsia="SimSun"/>
          </w:rPr>
          <w:t xml:space="preserve"> (GT-AI4A)</w:t>
        </w:r>
      </w:hyperlink>
      <w:r w:rsidR="00BB6353" w:rsidRPr="00DB4FEC">
        <w:rPr>
          <w:rFonts w:eastAsia="SimSun"/>
        </w:rPr>
        <w:t>;</w:t>
      </w:r>
      <w:r w:rsidR="008B1A37" w:rsidRPr="00DB4FEC">
        <w:rPr>
          <w:rFonts w:eastAsia="SimSun"/>
        </w:rPr>
        <w:t xml:space="preserve"> 3)</w:t>
      </w:r>
      <w:r w:rsidR="008B1A37" w:rsidRPr="00DB4FEC">
        <w:rPr>
          <w:rFonts w:eastAsia="SimSun"/>
          <w:sz w:val="20"/>
          <w:lang w:eastAsia="zh-CN"/>
        </w:rPr>
        <w:t xml:space="preserve"> </w:t>
      </w:r>
      <w:hyperlink r:id="rId44" w:history="1">
        <w:r w:rsidR="000E1C21" w:rsidRPr="00DB4FEC">
          <w:rPr>
            <w:rStyle w:val="Hyperlink"/>
            <w:i/>
          </w:rPr>
          <w:t>Grupo Temático del UIT-T sobre Inteligencia artificial para la gestión de catástrofes naturales (FG AI4NDM)</w:t>
        </w:r>
      </w:hyperlink>
      <w:r w:rsidRPr="00DB4FEC">
        <w:t>;</w:t>
      </w:r>
      <w:r w:rsidR="00BB6353" w:rsidRPr="00DB4FEC">
        <w:t xml:space="preserve"> 4</w:t>
      </w:r>
      <w:r w:rsidRPr="00DB4FEC">
        <w:t>) </w:t>
      </w:r>
      <w:hyperlink r:id="rId45" w:history="1">
        <w:r w:rsidR="000E1C21" w:rsidRPr="00DB4FEC">
          <w:rPr>
            <w:rStyle w:val="Hyperlink"/>
            <w:i/>
          </w:rPr>
          <w:t>Grupo Temático del UIT-T sobre Redes Autónomas (FG-AN)</w:t>
        </w:r>
      </w:hyperlink>
      <w:r w:rsidRPr="00DB4FEC">
        <w:t xml:space="preserve">; </w:t>
      </w:r>
      <w:r w:rsidR="000E1C21" w:rsidRPr="00DB4FEC">
        <w:t>5</w:t>
      </w:r>
      <w:r w:rsidRPr="00DB4FEC">
        <w:t xml:space="preserve">) </w:t>
      </w:r>
      <w:hyperlink r:id="rId46" w:history="1">
        <w:r w:rsidR="000E1C21" w:rsidRPr="00DB4FEC">
          <w:rPr>
            <w:rStyle w:val="Hyperlink"/>
            <w:i/>
          </w:rPr>
          <w:t>Grupo Temático del UIT-T sobre IA para la conducción autónoma y asistida (FG-AI4AD)</w:t>
        </w:r>
      </w:hyperlink>
      <w:r w:rsidRPr="00DB4FEC">
        <w:rPr>
          <w:i/>
        </w:rPr>
        <w:t xml:space="preserve">; </w:t>
      </w:r>
      <w:r w:rsidR="000E1C21" w:rsidRPr="00DB4FEC">
        <w:t>6</w:t>
      </w:r>
      <w:r w:rsidRPr="00DB4FEC">
        <w:t xml:space="preserve">) </w:t>
      </w:r>
      <w:hyperlink r:id="rId47" w:history="1">
        <w:r w:rsidR="000E1C21" w:rsidRPr="00DB4FEC">
          <w:rPr>
            <w:rStyle w:val="Hyperlink"/>
            <w:i/>
            <w:iCs/>
          </w:rPr>
          <w:t>Grupo Temático del UIT-T sobre eficiencia energética para la inteligencia artificial y otras tecnologías emergentes (FG-AI4EE)</w:t>
        </w:r>
      </w:hyperlink>
      <w:r w:rsidRPr="00DB4FEC">
        <w:rPr>
          <w:i/>
          <w:iCs/>
        </w:rPr>
        <w:t>;</w:t>
      </w:r>
      <w:r w:rsidR="000E1C21" w:rsidRPr="00DB4FEC">
        <w:rPr>
          <w:i/>
          <w:iCs/>
        </w:rPr>
        <w:t xml:space="preserve"> 7) ; </w:t>
      </w:r>
      <w:hyperlink r:id="rId48" w:history="1">
        <w:r w:rsidR="000E1C21" w:rsidRPr="00DB4FEC">
          <w:rPr>
            <w:rStyle w:val="Hyperlink"/>
            <w:i/>
            <w:iCs/>
          </w:rPr>
          <w:t>Grupo Temático del UIT-T sobre Inteligencia artificial para la salud (FG AI4H)</w:t>
        </w:r>
      </w:hyperlink>
      <w:r w:rsidR="000E1C21" w:rsidRPr="00DB4FEC">
        <w:rPr>
          <w:i/>
          <w:iCs/>
        </w:rPr>
        <w:t xml:space="preserve">; </w:t>
      </w:r>
      <w:r w:rsidRPr="00DB4FEC">
        <w:t xml:space="preserve">y </w:t>
      </w:r>
      <w:r w:rsidR="000E1C21" w:rsidRPr="00DB4FEC">
        <w:t>8</w:t>
      </w:r>
      <w:r w:rsidRPr="00DB4FEC">
        <w:t>)</w:t>
      </w:r>
      <w:r w:rsidRPr="00DB4FEC">
        <w:rPr>
          <w:i/>
          <w:iCs/>
        </w:rPr>
        <w:t xml:space="preserve"> </w:t>
      </w:r>
      <w:hyperlink r:id="rId49" w:history="1">
        <w:r w:rsidR="000E1C21" w:rsidRPr="00DB4FEC">
          <w:rPr>
            <w:rStyle w:val="Hyperlink"/>
            <w:i/>
            <w:iCs/>
          </w:rPr>
          <w:t>Grupo Temático sobre multimedios en vehículos (FG-VM)</w:t>
        </w:r>
      </w:hyperlink>
      <w:r w:rsidR="002A14C3" w:rsidRPr="00DB4FEC">
        <w:t>.</w:t>
      </w:r>
    </w:p>
    <w:p w14:paraId="34B9C4AC" w14:textId="2C2542AE" w:rsidR="00693BBB" w:rsidRPr="00DB4FEC" w:rsidRDefault="00693BBB" w:rsidP="00693BBB">
      <w:r w:rsidRPr="00DB4FEC">
        <w:t>3.</w:t>
      </w:r>
      <w:r w:rsidR="0099740B" w:rsidRPr="00DB4FEC">
        <w:t>12</w:t>
      </w:r>
      <w:r w:rsidRPr="00DB4FEC">
        <w:tab/>
        <w:t xml:space="preserve">El UIT-R prosigue sus trabajos sobre normalización de las radiocomunicaciones, adaptándose a la constante evolución de las redes de telecomunicación modernas. Ese Sector ha establecido principios de seguridad claros para las redes IMT (3G, 4G y 5G) (Recomendaciones UIT-R M.1078, M.1223, M.1457, M.1645, M.2012 y M.2083). Ha publicado también Recomendaciones sobre cuestiones de seguridad en la arquitectura de la gestión de red para sistemas digitales de satélite (Recomendación UIT-R S.1250) y mejoras en el comportamiento del protocolo de control de transmisión por redes de satélites (Recomendación UIT-R S.1711). La información sobre las </w:t>
      </w:r>
      <w:hyperlink r:id="rId50" w:history="1">
        <w:r w:rsidRPr="00DB4FEC">
          <w:rPr>
            <w:rStyle w:val="Hyperlink"/>
          </w:rPr>
          <w:t xml:space="preserve">tecnologías móviles futuristas, las </w:t>
        </w:r>
        <w:r w:rsidR="00144B8F" w:rsidRPr="00DB4FEC">
          <w:rPr>
            <w:rStyle w:val="Hyperlink"/>
          </w:rPr>
          <w:t>"</w:t>
        </w:r>
        <w:r w:rsidRPr="00DB4FEC">
          <w:rPr>
            <w:rStyle w:val="Hyperlink"/>
          </w:rPr>
          <w:t>IMT para 2020 y en adelante</w:t>
        </w:r>
        <w:r w:rsidR="00144B8F" w:rsidRPr="00DB4FEC">
          <w:rPr>
            <w:rStyle w:val="Hyperlink"/>
          </w:rPr>
          <w:t>"</w:t>
        </w:r>
      </w:hyperlink>
      <w:r w:rsidRPr="00DB4FEC">
        <w:t>, figura en el sitio web.</w:t>
      </w:r>
    </w:p>
    <w:p w14:paraId="55BADBE4" w14:textId="77777777" w:rsidR="00693BBB" w:rsidRPr="00DB4FEC" w:rsidRDefault="00693BBB" w:rsidP="0035604C">
      <w:pPr>
        <w:pStyle w:val="Heading1"/>
      </w:pPr>
      <w:r w:rsidRPr="00DB4FEC">
        <w:t>4</w:t>
      </w:r>
      <w:r w:rsidRPr="00DB4FEC">
        <w:tab/>
      </w:r>
      <w:proofErr w:type="gramStart"/>
      <w:r w:rsidRPr="00DB4FEC">
        <w:t>Estructuras</w:t>
      </w:r>
      <w:proofErr w:type="gramEnd"/>
      <w:r w:rsidRPr="00DB4FEC">
        <w:t xml:space="preserve"> institucionales</w:t>
      </w:r>
    </w:p>
    <w:p w14:paraId="19B9231C" w14:textId="0C40C56D" w:rsidR="00502E3E" w:rsidRPr="00DB4FEC" w:rsidRDefault="005544F6" w:rsidP="0035604C">
      <w:r w:rsidRPr="00DB4FEC">
        <w:t>4.1</w:t>
      </w:r>
      <w:r w:rsidRPr="00DB4FEC">
        <w:tab/>
        <w:t>En 2021, l</w:t>
      </w:r>
      <w:r w:rsidR="00C44776" w:rsidRPr="00DB4FEC">
        <w:t>a UIT realizó evaluaciones técnicas para valorar la preparación a efectos del establecimiento de Equipos de intervención en caso de incidente informático (</w:t>
      </w:r>
      <w:r w:rsidR="00F82DBE" w:rsidRPr="00DB4FEC">
        <w:t>EIII</w:t>
      </w:r>
      <w:r w:rsidR="00C44776" w:rsidRPr="00DB4FEC">
        <w:t>) en más de 80 países y está adoptando las medidas de seguimiento necesarias para prestar asistencia a los Estados Miembros en su impl</w:t>
      </w:r>
      <w:r w:rsidR="00502E3E" w:rsidRPr="00DB4FEC">
        <w:t>a</w:t>
      </w:r>
      <w:r w:rsidR="00C44776" w:rsidRPr="00DB4FEC">
        <w:t xml:space="preserve">ntación. </w:t>
      </w:r>
      <w:r w:rsidR="00F82DBE" w:rsidRPr="00DB4FEC">
        <w:t>Antes de 2021 s</w:t>
      </w:r>
      <w:r w:rsidR="00C44776" w:rsidRPr="00DB4FEC">
        <w:t xml:space="preserve">e </w:t>
      </w:r>
      <w:r w:rsidR="00F82DBE" w:rsidRPr="00DB4FEC">
        <w:t>realizó</w:t>
      </w:r>
      <w:r w:rsidR="00C44776" w:rsidRPr="00DB4FEC">
        <w:t xml:space="preserve"> la participación directa en el establecimiento y/o</w:t>
      </w:r>
      <w:r w:rsidR="00502E3E" w:rsidRPr="00DB4FEC">
        <w:t xml:space="preserve"> la</w:t>
      </w:r>
      <w:r w:rsidR="00C44776" w:rsidRPr="00DB4FEC">
        <w:t xml:space="preserve"> mejora de 1</w:t>
      </w:r>
      <w:r w:rsidR="00F82DBE" w:rsidRPr="00DB4FEC">
        <w:t>7</w:t>
      </w:r>
      <w:r w:rsidR="00C44776" w:rsidRPr="00DB4FEC">
        <w:t xml:space="preserve"> </w:t>
      </w:r>
      <w:r w:rsidR="00F82DBE" w:rsidRPr="00DB4FEC">
        <w:t xml:space="preserve">EIII </w:t>
      </w:r>
      <w:r w:rsidR="00C44776" w:rsidRPr="00DB4FEC">
        <w:t xml:space="preserve">nacionales, </w:t>
      </w:r>
      <w:r w:rsidR="00F82DBE" w:rsidRPr="00DB4FEC">
        <w:t xml:space="preserve">tres (3) proyectos se completaron en 2021, se efectuó una evaluación de los EIII para Guinea Bissau, Bahamas, Mongolia y Guyana, se revisó el diseño de los EIII para </w:t>
      </w:r>
      <w:proofErr w:type="spellStart"/>
      <w:r w:rsidR="00F82DBE" w:rsidRPr="00DB4FEC">
        <w:t>Eswatini</w:t>
      </w:r>
      <w:proofErr w:type="spellEnd"/>
      <w:r w:rsidR="00F82DBE" w:rsidRPr="00DB4FEC">
        <w:t>, y actualmente hay cuatro proyectos de implantación de EIII en curso. La UIT también ha ayudado a Malí y a Malawi a diseñar los marcos nacionales de la infraestructura de clave pública (PKI) para cada uno de los países</w:t>
      </w:r>
      <w:r w:rsidR="00876250" w:rsidRPr="00DB4FEC">
        <w:t>.</w:t>
      </w:r>
    </w:p>
    <w:p w14:paraId="1EFB5000" w14:textId="6C153A4A" w:rsidR="00693BBB" w:rsidRPr="00DB4FEC" w:rsidRDefault="00693BBB" w:rsidP="0035604C">
      <w:r w:rsidRPr="00DB4FEC">
        <w:lastRenderedPageBreak/>
        <w:t>4.2</w:t>
      </w:r>
      <w:r w:rsidRPr="00DB4FEC">
        <w:tab/>
      </w:r>
      <w:bookmarkStart w:id="12" w:name="lt_pId071"/>
      <w:r w:rsidR="00C44776" w:rsidRPr="00DB4FEC">
        <w:t xml:space="preserve">La UIT ha realizado, hasta la fecha, </w:t>
      </w:r>
      <w:r w:rsidR="00502E3E" w:rsidRPr="00DB4FEC">
        <w:t>34</w:t>
      </w:r>
      <w:r w:rsidR="00C44776" w:rsidRPr="00DB4FEC">
        <w:t xml:space="preserve"> </w:t>
      </w:r>
      <w:hyperlink r:id="rId51" w:history="1">
        <w:proofErr w:type="spellStart"/>
        <w:r w:rsidR="00C44776" w:rsidRPr="00DB4FEC">
          <w:rPr>
            <w:rStyle w:val="Hyperlink"/>
          </w:rPr>
          <w:t>cibersimulacros</w:t>
        </w:r>
        <w:proofErr w:type="spellEnd"/>
      </w:hyperlink>
      <w:r w:rsidR="00C44776" w:rsidRPr="00DB4FEC">
        <w:t xml:space="preserve"> </w:t>
      </w:r>
      <w:bookmarkStart w:id="13" w:name="lt_pId073"/>
      <w:bookmarkEnd w:id="12"/>
      <w:r w:rsidR="00C44776" w:rsidRPr="00DB4FEC">
        <w:t>en más de 1</w:t>
      </w:r>
      <w:r w:rsidR="00502E3E" w:rsidRPr="00DB4FEC">
        <w:t>2</w:t>
      </w:r>
      <w:r w:rsidR="00C44776" w:rsidRPr="00DB4FEC">
        <w:t xml:space="preserve">0 países. </w:t>
      </w:r>
      <w:bookmarkEnd w:id="13"/>
      <w:r w:rsidR="00C44776" w:rsidRPr="00DB4FEC">
        <w:t>Entre septiembre y diciembre de 202</w:t>
      </w:r>
      <w:r w:rsidR="00502E3E" w:rsidRPr="00DB4FEC">
        <w:t>1</w:t>
      </w:r>
      <w:r w:rsidR="00C44776" w:rsidRPr="00DB4FEC">
        <w:t>, la UIT ha or</w:t>
      </w:r>
      <w:r w:rsidR="00502E3E" w:rsidRPr="00DB4FEC">
        <w:t>ganizado y ejecutado un ITU 2021</w:t>
      </w:r>
      <w:r w:rsidR="00C44776" w:rsidRPr="00DB4FEC">
        <w:t xml:space="preserve"> </w:t>
      </w:r>
      <w:hyperlink r:id="rId52" w:history="1">
        <w:proofErr w:type="spellStart"/>
        <w:r w:rsidR="00C44776" w:rsidRPr="00DB4FEC">
          <w:rPr>
            <w:rStyle w:val="Hyperlink"/>
          </w:rPr>
          <w:t>Cibersimulacro</w:t>
        </w:r>
        <w:proofErr w:type="spellEnd"/>
        <w:r w:rsidR="00C44776" w:rsidRPr="00DB4FEC">
          <w:rPr>
            <w:rStyle w:val="Hyperlink"/>
          </w:rPr>
          <w:t xml:space="preserve"> mundial</w:t>
        </w:r>
      </w:hyperlink>
      <w:r w:rsidR="00C44776" w:rsidRPr="00DB4FEC">
        <w:t xml:space="preserve"> en diversos eventos en línea que consistieron en diálogos regionales, seminarios técnicos y de política por la web y formación sobre utilización de herramientas y desarrollo de aptitudes, además de </w:t>
      </w:r>
      <w:r w:rsidR="00502E3E" w:rsidRPr="00DB4FEC">
        <w:t xml:space="preserve">dos </w:t>
      </w:r>
      <w:proofErr w:type="spellStart"/>
      <w:r w:rsidR="00502E3E" w:rsidRPr="00DB4FEC">
        <w:t>Cibersimulacros</w:t>
      </w:r>
      <w:proofErr w:type="spellEnd"/>
      <w:r w:rsidR="00502E3E" w:rsidRPr="00DB4FEC">
        <w:t xml:space="preserve"> subregionales para los países de la CEDEAO y la SADC y un </w:t>
      </w:r>
      <w:proofErr w:type="spellStart"/>
      <w:r w:rsidR="00502E3E" w:rsidRPr="00DB4FEC">
        <w:t>Cibersimulacro</w:t>
      </w:r>
      <w:proofErr w:type="spellEnd"/>
      <w:r w:rsidR="00502E3E" w:rsidRPr="00DB4FEC">
        <w:t xml:space="preserve"> nacional para la India. Asimismo, en 2021 se elaboraron dos publicaciones: </w:t>
      </w:r>
      <w:r w:rsidR="00CA4023" w:rsidRPr="00DB4FEC">
        <w:t>"</w:t>
      </w:r>
      <w:proofErr w:type="spellStart"/>
      <w:r w:rsidR="00502E3E" w:rsidRPr="00DB4FEC">
        <w:t>Operational</w:t>
      </w:r>
      <w:proofErr w:type="spellEnd"/>
      <w:r w:rsidR="00502E3E" w:rsidRPr="00DB4FEC">
        <w:t xml:space="preserve"> </w:t>
      </w:r>
      <w:proofErr w:type="spellStart"/>
      <w:r w:rsidR="00502E3E" w:rsidRPr="00DB4FEC">
        <w:t>framework</w:t>
      </w:r>
      <w:proofErr w:type="spellEnd"/>
      <w:r w:rsidR="00502E3E" w:rsidRPr="00DB4FEC">
        <w:t xml:space="preserve"> and </w:t>
      </w:r>
      <w:proofErr w:type="spellStart"/>
      <w:r w:rsidR="00502E3E" w:rsidRPr="00DB4FEC">
        <w:t>guidelines</w:t>
      </w:r>
      <w:proofErr w:type="spellEnd"/>
      <w:r w:rsidR="00502E3E" w:rsidRPr="00DB4FEC">
        <w:t xml:space="preserve"> </w:t>
      </w:r>
      <w:proofErr w:type="spellStart"/>
      <w:r w:rsidR="00502E3E" w:rsidRPr="00DB4FEC">
        <w:t>for</w:t>
      </w:r>
      <w:proofErr w:type="spellEnd"/>
      <w:r w:rsidR="00502E3E" w:rsidRPr="00DB4FEC">
        <w:t xml:space="preserve"> the </w:t>
      </w:r>
      <w:proofErr w:type="spellStart"/>
      <w:r w:rsidR="00502E3E" w:rsidRPr="00DB4FEC">
        <w:t>planning</w:t>
      </w:r>
      <w:proofErr w:type="spellEnd"/>
      <w:r w:rsidR="00502E3E" w:rsidRPr="00DB4FEC">
        <w:t xml:space="preserve"> and </w:t>
      </w:r>
      <w:proofErr w:type="spellStart"/>
      <w:r w:rsidR="00502E3E" w:rsidRPr="00DB4FEC">
        <w:t>execution</w:t>
      </w:r>
      <w:proofErr w:type="spellEnd"/>
      <w:r w:rsidR="00502E3E" w:rsidRPr="00DB4FEC">
        <w:t xml:space="preserve"> of ITU regional </w:t>
      </w:r>
      <w:proofErr w:type="spellStart"/>
      <w:r w:rsidR="00502E3E" w:rsidRPr="00DB4FEC">
        <w:t>CyberDrills</w:t>
      </w:r>
      <w:proofErr w:type="spellEnd"/>
      <w:r w:rsidR="00CA4023" w:rsidRPr="00DB4FEC">
        <w:t>"</w:t>
      </w:r>
      <w:r w:rsidR="00502E3E" w:rsidRPr="00DB4FEC">
        <w:t xml:space="preserve"> y </w:t>
      </w:r>
      <w:r w:rsidR="00CA4023" w:rsidRPr="00DB4FEC">
        <w:t>"</w:t>
      </w:r>
      <w:r w:rsidR="00502E3E" w:rsidRPr="00DB4FEC">
        <w:t xml:space="preserve">ITU </w:t>
      </w:r>
      <w:proofErr w:type="spellStart"/>
      <w:r w:rsidR="00502E3E" w:rsidRPr="00DB4FEC">
        <w:t>cybersecurity</w:t>
      </w:r>
      <w:proofErr w:type="spellEnd"/>
      <w:r w:rsidR="00502E3E" w:rsidRPr="00DB4FEC">
        <w:t xml:space="preserve"> </w:t>
      </w:r>
      <w:proofErr w:type="spellStart"/>
      <w:r w:rsidR="00502E3E" w:rsidRPr="00DB4FEC">
        <w:t>programme</w:t>
      </w:r>
      <w:proofErr w:type="spellEnd"/>
      <w:r w:rsidR="00502E3E" w:rsidRPr="00DB4FEC">
        <w:t xml:space="preserve">: CIRT </w:t>
      </w:r>
      <w:proofErr w:type="spellStart"/>
      <w:r w:rsidR="00502E3E" w:rsidRPr="00DB4FEC">
        <w:t>framework</w:t>
      </w:r>
      <w:proofErr w:type="spellEnd"/>
      <w:r w:rsidR="00CA4023" w:rsidRPr="00DB4FEC">
        <w:t>"</w:t>
      </w:r>
      <w:r w:rsidR="00502E3E" w:rsidRPr="00DB4FEC">
        <w:t>.</w:t>
      </w:r>
    </w:p>
    <w:p w14:paraId="2A38DDDA" w14:textId="77777777" w:rsidR="00693BBB" w:rsidRPr="00DB4FEC" w:rsidRDefault="00693BBB" w:rsidP="0035604C">
      <w:pPr>
        <w:pStyle w:val="Heading1"/>
      </w:pPr>
      <w:r w:rsidRPr="00DB4FEC">
        <w:t>5</w:t>
      </w:r>
      <w:r w:rsidRPr="00DB4FEC">
        <w:tab/>
      </w:r>
      <w:proofErr w:type="gramStart"/>
      <w:r w:rsidRPr="00DB4FEC">
        <w:t>Capacitación</w:t>
      </w:r>
      <w:proofErr w:type="gramEnd"/>
    </w:p>
    <w:p w14:paraId="62A3C378" w14:textId="1077AA7E" w:rsidR="00693BBB" w:rsidRPr="00DB4FEC" w:rsidRDefault="00693BBB" w:rsidP="0035604C">
      <w:bookmarkStart w:id="14" w:name="lt_pId086"/>
      <w:r w:rsidRPr="00DB4FEC">
        <w:t>5.1</w:t>
      </w:r>
      <w:r w:rsidRPr="00DB4FEC">
        <w:tab/>
        <w:t>Con ocasión del</w:t>
      </w:r>
      <w:r w:rsidR="00CC6093" w:rsidRPr="00DB4FEC">
        <w:t xml:space="preserve"> </w:t>
      </w:r>
      <w:hyperlink r:id="rId53" w:tgtFrame="_blank" w:history="1">
        <w:proofErr w:type="spellStart"/>
        <w:r w:rsidR="00CC6093" w:rsidRPr="00DB4FEC">
          <w:rPr>
            <w:rStyle w:val="Hyperlink"/>
          </w:rPr>
          <w:t>Cibersimulacro</w:t>
        </w:r>
        <w:proofErr w:type="spellEnd"/>
        <w:r w:rsidR="00CC6093" w:rsidRPr="00DB4FEC">
          <w:rPr>
            <w:rStyle w:val="Hyperlink"/>
          </w:rPr>
          <w:t xml:space="preserve"> Mundial de la UIT</w:t>
        </w:r>
      </w:hyperlink>
      <w:r w:rsidRPr="00DB4FEC">
        <w:t>, la BDT organizó foros regionales de ciberseguridad para todas las regiones de la UIT para la capacitación humana y organizativa.</w:t>
      </w:r>
    </w:p>
    <w:p w14:paraId="3F8EB32D" w14:textId="1AE07E1F" w:rsidR="00693BBB" w:rsidRPr="00DB4FEC" w:rsidRDefault="00693BBB" w:rsidP="0035604C">
      <w:r w:rsidRPr="00DB4FEC">
        <w:t>5.2</w:t>
      </w:r>
      <w:r w:rsidRPr="00DB4FEC">
        <w:tab/>
        <w:t>De conformidad con la CMDT-17, la Cuestión 3/2 (</w:t>
      </w:r>
      <w:hyperlink r:id="rId54" w:tgtFrame="_blank" w:history="1">
        <w:r w:rsidR="00CC6093" w:rsidRPr="00DB4FEC">
          <w:rPr>
            <w:rStyle w:val="Hyperlink"/>
          </w:rPr>
          <w:t>Seguridad en las redes de información y comunicación: Prácticas óptimas para el desarrollo de una cultura de ciberseguridad</w:t>
        </w:r>
      </w:hyperlink>
      <w:r w:rsidRPr="00DB4FEC">
        <w:t>) prosiguió sus trabajos durante en el periodo de estudios 2018-2021.</w:t>
      </w:r>
    </w:p>
    <w:p w14:paraId="607CA45B" w14:textId="5F9AA1E0" w:rsidR="00693BBB" w:rsidRPr="00DB4FEC" w:rsidRDefault="00693BBB" w:rsidP="0035604C">
      <w:r w:rsidRPr="00DB4FEC">
        <w:t>5.3</w:t>
      </w:r>
      <w:r w:rsidRPr="00DB4FEC">
        <w:tab/>
      </w:r>
      <w:r w:rsidR="00167C74" w:rsidRPr="00DB4FEC">
        <w:t xml:space="preserve">La UIT facilitó </w:t>
      </w:r>
      <w:r w:rsidR="00C44776" w:rsidRPr="00DB4FEC">
        <w:t xml:space="preserve">el proceso </w:t>
      </w:r>
      <w:r w:rsidR="00167C74" w:rsidRPr="00DB4FEC">
        <w:t xml:space="preserve">de </w:t>
      </w:r>
      <w:r w:rsidR="00C44776" w:rsidRPr="00DB4FEC">
        <w:t>actualiza</w:t>
      </w:r>
      <w:r w:rsidR="00167C74" w:rsidRPr="00DB4FEC">
        <w:t>ción de</w:t>
      </w:r>
      <w:r w:rsidR="00C44776" w:rsidRPr="00DB4FEC">
        <w:t xml:space="preserve"> la </w:t>
      </w:r>
      <w:hyperlink r:id="rId55" w:history="1">
        <w:r w:rsidR="00C44776" w:rsidRPr="00DB4FEC">
          <w:rPr>
            <w:rStyle w:val="Hyperlink"/>
          </w:rPr>
          <w:t>Guía para la elaboración de una estrategia nacional de ciberseguridad</w:t>
        </w:r>
      </w:hyperlink>
      <w:r w:rsidR="00C44776" w:rsidRPr="00DB4FEC">
        <w:t xml:space="preserve"> (NCS)</w:t>
      </w:r>
      <w:r w:rsidR="00167C74" w:rsidRPr="00DB4FEC">
        <w:t xml:space="preserve">. Más de </w:t>
      </w:r>
      <w:hyperlink r:id="rId56" w:history="1">
        <w:r w:rsidR="00167C74" w:rsidRPr="00DB4FEC">
          <w:rPr>
            <w:rStyle w:val="Hyperlink"/>
          </w:rPr>
          <w:t>20 organizaciones</w:t>
        </w:r>
      </w:hyperlink>
      <w:r w:rsidR="00167C74" w:rsidRPr="00DB4FEC">
        <w:t xml:space="preserve"> contribuyeron a la </w:t>
      </w:r>
      <w:hyperlink r:id="rId57" w:history="1">
        <w:r w:rsidR="00167C74" w:rsidRPr="00DB4FEC">
          <w:rPr>
            <w:rStyle w:val="Hyperlink"/>
          </w:rPr>
          <w:t>segunda edición de la Guía</w:t>
        </w:r>
      </w:hyperlink>
      <w:r w:rsidR="00167C74" w:rsidRPr="00DB4FEC">
        <w:t xml:space="preserve">, que se presentó en noviembre de 2021 mediante un seminario web mundial en el que se examinó el desarrollo del ciclo de vida y la implementación de una NCS, se destacaron los retos y las oportunidades y se pidió una mayor cooperación. Se han emprendido actividades de asistencia técnica sobre las NCS con Bahamas, </w:t>
      </w:r>
      <w:proofErr w:type="spellStart"/>
      <w:r w:rsidR="00167C74" w:rsidRPr="00DB4FEC">
        <w:t>Rwanda</w:t>
      </w:r>
      <w:proofErr w:type="spellEnd"/>
      <w:r w:rsidR="00167C74" w:rsidRPr="00DB4FEC">
        <w:t xml:space="preserve">, Marruecos y la región de la SADEC, y hay conversaciones en curso con otros Estados Miembros que necesitan asistencia. La UIT también concluyó y publicó en línea el curso de formación </w:t>
      </w:r>
      <w:r w:rsidR="00CA4023" w:rsidRPr="00DB4FEC">
        <w:t>"</w:t>
      </w:r>
      <w:hyperlink r:id="rId58" w:history="1">
        <w:r w:rsidR="00167C74" w:rsidRPr="00DB4FEC">
          <w:rPr>
            <w:rStyle w:val="Hyperlink"/>
          </w:rPr>
          <w:t>Ciclo de vida, principios y buenas prácticas en la elaboración e implementación de la Estrategia Nacional de Ciberseguridad</w:t>
        </w:r>
      </w:hyperlink>
      <w:r w:rsidR="00CA4023" w:rsidRPr="00DB4FEC">
        <w:t>"</w:t>
      </w:r>
      <w:r w:rsidR="00167C74" w:rsidRPr="00DB4FEC">
        <w:t xml:space="preserve"> en la plataforma de la Academia de la UIT en tres idiomas (inglés, francés y español). La versión rusa del curso estará disponible en marzo de 2021. La UIT se está asociando con el Grupo del Banco Mundial para organizar seminarios </w:t>
      </w:r>
      <w:proofErr w:type="gramStart"/>
      <w:r w:rsidR="00167C74" w:rsidRPr="00DB4FEC">
        <w:t>web regionales</w:t>
      </w:r>
      <w:proofErr w:type="gramEnd"/>
      <w:r w:rsidR="00167C74" w:rsidRPr="00DB4FEC">
        <w:t xml:space="preserve"> con el fin de proporcionar información operativa sobre cómo desarrollar un plan de acción de NCS. La UIT está desarrollando una herramienta de evaluación comparativa de las NCS para apoyar a los Estados Miembros y a los profesionales de la ciberseguridad en sus esfuerzos de </w:t>
      </w:r>
      <w:r w:rsidR="00592A74" w:rsidRPr="00DB4FEC">
        <w:t xml:space="preserve">implantar una </w:t>
      </w:r>
      <w:r w:rsidR="00167C74" w:rsidRPr="00DB4FEC">
        <w:t>NCS. La prueba piloto de la herramienta finalizó en enero y el trabajo de actualización continuará en 2021.</w:t>
      </w:r>
    </w:p>
    <w:p w14:paraId="28BA1D30" w14:textId="17D15380" w:rsidR="00693BBB" w:rsidRPr="00DB4FEC" w:rsidRDefault="00693BBB" w:rsidP="00693BBB">
      <w:r w:rsidRPr="00DB4FEC">
        <w:t>5.4</w:t>
      </w:r>
      <w:r w:rsidRPr="00DB4FEC">
        <w:tab/>
        <w:t xml:space="preserve">A través de la </w:t>
      </w:r>
      <w:hyperlink r:id="rId59" w:history="1">
        <w:r w:rsidRPr="00DB4FEC">
          <w:rPr>
            <w:rStyle w:val="Hyperlink"/>
          </w:rPr>
          <w:t>Academia de la UIT</w:t>
        </w:r>
      </w:hyperlink>
      <w:r w:rsidRPr="00DB4FEC">
        <w:t xml:space="preserve">, la UIT y </w:t>
      </w:r>
      <w:proofErr w:type="spellStart"/>
      <w:r w:rsidRPr="00DB4FEC">
        <w:t>CoE</w:t>
      </w:r>
      <w:proofErr w:type="spellEnd"/>
      <w:r w:rsidRPr="00DB4FEC">
        <w:t xml:space="preserve"> siguen impartiendo actividades y talleres de formación en diversos ámbitos del dominio de ciberseguridad.</w:t>
      </w:r>
    </w:p>
    <w:p w14:paraId="306FA24F" w14:textId="755578A0" w:rsidR="00305805" w:rsidRPr="00DB4FEC" w:rsidRDefault="00305805" w:rsidP="0035604C">
      <w:r w:rsidRPr="00DB4FEC">
        <w:t>5.5</w:t>
      </w:r>
      <w:r w:rsidRPr="00DB4FEC">
        <w:tab/>
      </w:r>
      <w:hyperlink r:id="rId60" w:history="1">
        <w:r w:rsidR="00592A74" w:rsidRPr="00DB4FEC">
          <w:rPr>
            <w:rStyle w:val="Hyperlink"/>
          </w:rPr>
          <w:t>El 29 de junio de 2021 se presentó</w:t>
        </w:r>
      </w:hyperlink>
      <w:r w:rsidR="00592A74" w:rsidRPr="00DB4FEC">
        <w:t xml:space="preserve"> la cuarta edición del informe sobre el </w:t>
      </w:r>
      <w:hyperlink r:id="rId61" w:history="1">
        <w:r w:rsidR="00592A74" w:rsidRPr="00DB4FEC">
          <w:rPr>
            <w:rStyle w:val="Hyperlink"/>
          </w:rPr>
          <w:t>Índice de Ciberseguridad Global</w:t>
        </w:r>
      </w:hyperlink>
      <w:r w:rsidR="00592A74" w:rsidRPr="00DB4FEC">
        <w:t xml:space="preserve"> (ICG)</w:t>
      </w:r>
      <w:r w:rsidRPr="00DB4FEC">
        <w:t>. </w:t>
      </w:r>
      <w:r w:rsidR="00592A74" w:rsidRPr="00DB4FEC">
        <w:t xml:space="preserve"> Esta edición del índice abarca 193 Estados Miembros y el Estado de Palestina, y ha contado con la contribución de 169 países que han aportado datos.  Ya se ha empezado a trabajar en un cuestionario actualizado para el ICG. </w:t>
      </w:r>
      <w:r w:rsidR="00C21BAE" w:rsidRPr="00DB4FEC">
        <w:t>En octubre de 2021 se presentó virtualmente e</w:t>
      </w:r>
      <w:r w:rsidR="00592A74" w:rsidRPr="00DB4FEC">
        <w:t xml:space="preserve">l nuevo conjunto de documentos a la Comisión de Estudio 2 del UIT-T en el marco de la </w:t>
      </w:r>
      <w:r w:rsidR="005544F6" w:rsidRPr="00DB4FEC">
        <w:t>Cuestión</w:t>
      </w:r>
      <w:r w:rsidR="00592A74" w:rsidRPr="00DB4FEC">
        <w:t xml:space="preserve"> 3, y la Comisión de Estudio creó un Grupo </w:t>
      </w:r>
      <w:r w:rsidR="00C21BAE" w:rsidRPr="00DB4FEC">
        <w:t>por</w:t>
      </w:r>
      <w:r w:rsidR="00592A74" w:rsidRPr="00DB4FEC">
        <w:t xml:space="preserve"> Correspondencia virtual para </w:t>
      </w:r>
      <w:r w:rsidR="00C21BAE" w:rsidRPr="00DB4FEC">
        <w:t>aportar contribuciones sobre e</w:t>
      </w:r>
      <w:r w:rsidR="00592A74" w:rsidRPr="00DB4FEC">
        <w:t>l cuestionario revisado.</w:t>
      </w:r>
      <w:r w:rsidR="00C21BAE" w:rsidRPr="00DB4FEC">
        <w:t xml:space="preserve"> Se prevé publicar una nueva edición del cuestionario del ICG a principios de 2022.</w:t>
      </w:r>
    </w:p>
    <w:p w14:paraId="0B98541C" w14:textId="6DDF5D6F" w:rsidR="00876250" w:rsidRPr="00DB4FEC" w:rsidRDefault="0087625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DB4FEC">
        <w:br w:type="page"/>
      </w:r>
    </w:p>
    <w:p w14:paraId="3A5DEB27" w14:textId="6558FA91" w:rsidR="00C21BAE" w:rsidRPr="00DB4FEC" w:rsidRDefault="00693BBB" w:rsidP="0035604C">
      <w:r w:rsidRPr="00DB4FEC">
        <w:lastRenderedPageBreak/>
        <w:t>5.</w:t>
      </w:r>
      <w:r w:rsidR="00305805" w:rsidRPr="00DB4FEC">
        <w:t>6</w:t>
      </w:r>
      <w:r w:rsidRPr="00DB4FEC">
        <w:tab/>
        <w:t xml:space="preserve">Para promover la participación de los jóvenes en el campo de la ciberseguridad y para </w:t>
      </w:r>
      <w:r w:rsidR="00C21BAE" w:rsidRPr="00DB4FEC">
        <w:t>concienciar sobre la escasez</w:t>
      </w:r>
      <w:r w:rsidRPr="00DB4FEC">
        <w:t xml:space="preserve"> de mano de obra en todo el mundo, la UIT </w:t>
      </w:r>
      <w:r w:rsidR="00C21BAE" w:rsidRPr="00DB4FEC">
        <w:t xml:space="preserve">está organizando actividades y colaboraciones, por y para los jóvenes, en el marco de la iniciativa </w:t>
      </w:r>
      <w:proofErr w:type="spellStart"/>
      <w:r w:rsidR="00C21BAE" w:rsidRPr="00DB4FEC">
        <w:t>Generation</w:t>
      </w:r>
      <w:proofErr w:type="spellEnd"/>
      <w:r w:rsidR="00C21BAE" w:rsidRPr="00DB4FEC">
        <w:t xml:space="preserve"> </w:t>
      </w:r>
      <w:proofErr w:type="spellStart"/>
      <w:r w:rsidR="00C21BAE" w:rsidRPr="00DB4FEC">
        <w:t>Connect</w:t>
      </w:r>
      <w:proofErr w:type="spellEnd"/>
      <w:r w:rsidR="00C21BAE" w:rsidRPr="00DB4FEC">
        <w:t>.</w:t>
      </w:r>
    </w:p>
    <w:p w14:paraId="31D2AD84" w14:textId="35BE04C9" w:rsidR="00CD5806" w:rsidRPr="00DB4FEC" w:rsidRDefault="00693BBB" w:rsidP="0035604C">
      <w:r w:rsidRPr="00DB4FEC">
        <w:t>5.</w:t>
      </w:r>
      <w:r w:rsidR="00CA68D5" w:rsidRPr="00DB4FEC">
        <w:t>7</w:t>
      </w:r>
      <w:r w:rsidRPr="00DB4FEC">
        <w:tab/>
      </w:r>
      <w:r w:rsidR="00CD5806" w:rsidRPr="00DB4FEC">
        <w:t xml:space="preserve">La UIT ha completado con éxito la primera edición del </w:t>
      </w:r>
      <w:r w:rsidRPr="00DB4FEC">
        <w:t xml:space="preserve">programa de tutorías sobre ciberseguridad para mujeres, destinado a capacitar a las jóvenes profesionales que deseen entrar o prosperar en el campo de la ciberseguridad. </w:t>
      </w:r>
      <w:r w:rsidR="00CD5806" w:rsidRPr="00DB4FEC">
        <w:t>En abril de 2022 se iniciará una nueva cohorte, cuyos grupos objetivo residen en las regiones de África, los países árabes y Asia-Pacífico.</w:t>
      </w:r>
    </w:p>
    <w:bookmarkEnd w:id="14"/>
    <w:p w14:paraId="79DD5E96" w14:textId="77777777" w:rsidR="00693BBB" w:rsidRPr="00DB4FEC" w:rsidRDefault="00693BBB" w:rsidP="0035604C">
      <w:pPr>
        <w:pStyle w:val="Heading1"/>
      </w:pPr>
      <w:r w:rsidRPr="00DB4FEC">
        <w:t>6</w:t>
      </w:r>
      <w:r w:rsidRPr="00DB4FEC">
        <w:tab/>
      </w:r>
      <w:proofErr w:type="gramStart"/>
      <w:r w:rsidRPr="00DB4FEC">
        <w:t>Cooperación</w:t>
      </w:r>
      <w:proofErr w:type="gramEnd"/>
      <w:r w:rsidRPr="00DB4FEC">
        <w:t xml:space="preserve"> internacional</w:t>
      </w:r>
    </w:p>
    <w:p w14:paraId="3C82A80A" w14:textId="3AF32B6B" w:rsidR="00693BBB" w:rsidRPr="00DB4FEC" w:rsidRDefault="00693BBB" w:rsidP="00693BBB">
      <w:r w:rsidRPr="00DB4FEC">
        <w:t>6.1</w:t>
      </w:r>
      <w:r w:rsidRPr="00DB4FEC">
        <w:tab/>
        <w:t xml:space="preserve">La UIT está forjando relaciones y </w:t>
      </w:r>
      <w:hyperlink r:id="rId62" w:history="1">
        <w:r w:rsidRPr="00DB4FEC">
          <w:rPr>
            <w:rStyle w:val="Hyperlink"/>
          </w:rPr>
          <w:t>asociaciones</w:t>
        </w:r>
      </w:hyperlink>
      <w:r w:rsidRPr="00DB4FEC">
        <w:t xml:space="preserve"> con diversas organizaciones e iniciativas regionales/internacionales, tales como la Iniciativa contra la ciberdelincuencia de la Commonwealth, ENISA, INTERPOL, CEDEAO, el Banco Mundial, FIRST y las asociaciones de </w:t>
      </w:r>
      <w:r w:rsidR="00F82DBE" w:rsidRPr="00DB4FEC">
        <w:t>EIII</w:t>
      </w:r>
      <w:r w:rsidRPr="00DB4FEC">
        <w:t>/CERT regionales, como el CERT AP, el CERT ÁFRICA y el CERT OIC.</w:t>
      </w:r>
    </w:p>
    <w:p w14:paraId="7B7551BC" w14:textId="5CA64CE9" w:rsidR="00693BBB" w:rsidRPr="00DB4FEC" w:rsidRDefault="00693BBB" w:rsidP="0035604C">
      <w:r w:rsidRPr="00DB4FEC">
        <w:t>6.2</w:t>
      </w:r>
      <w:r w:rsidRPr="00DB4FEC">
        <w:tab/>
      </w:r>
      <w:r w:rsidR="00356106" w:rsidRPr="00DB4FEC">
        <w:t xml:space="preserve">El Consejo, en su reunión de 2019, encargó al </w:t>
      </w:r>
      <w:proofErr w:type="gramStart"/>
      <w:r w:rsidR="00356106" w:rsidRPr="00DB4FEC">
        <w:t>Secretario General</w:t>
      </w:r>
      <w:proofErr w:type="gramEnd"/>
      <w:r w:rsidR="00356106" w:rsidRPr="00DB4FEC">
        <w:t xml:space="preserve"> que presentara al Consejo las directrices apropiadas elaboradas para la utilización de la Agenda sobre Ciberseguridad Global (ACG), para su examen y aprobación. En consecuencia, el </w:t>
      </w:r>
      <w:proofErr w:type="gramStart"/>
      <w:r w:rsidR="00356106" w:rsidRPr="00DB4FEC">
        <w:t>Secretario General</w:t>
      </w:r>
      <w:proofErr w:type="gramEnd"/>
      <w:r w:rsidR="00356106" w:rsidRPr="00DB4FEC">
        <w:t xml:space="preserve"> preparó y presentó a la Consulta Virtual de Consejeros de 2021 (C21/VCC1) el </w:t>
      </w:r>
      <w:hyperlink r:id="rId63" w:history="1">
        <w:r w:rsidR="00356106" w:rsidRPr="00DB4FEC">
          <w:rPr>
            <w:rStyle w:val="Hyperlink"/>
          </w:rPr>
          <w:t>Documento C21/71</w:t>
        </w:r>
      </w:hyperlink>
      <w:r w:rsidR="00356106" w:rsidRPr="00DB4FEC">
        <w:t>. Tras los debates celebrados en la C21/VCC-1, los Estados Miembros del Consejo encargaron a la secretaría que "</w:t>
      </w:r>
      <w:r w:rsidR="00356106" w:rsidRPr="00DB4FEC">
        <w:rPr>
          <w:i/>
        </w:rPr>
        <w:t>celebre nuevas consultas con los Estados Miembros del Consejo, habida cuenta de las contribuciones recibidas y los comentarios realizados en la reunión en curso. La secretaría debe volver a presentar la revisión del Documento 71 para su examen y aprobación en la próxima reunión del Consejo</w:t>
      </w:r>
      <w:r w:rsidR="00356106" w:rsidRPr="00DB4FEC">
        <w:t>".</w:t>
      </w:r>
      <w:r w:rsidR="00663F7A" w:rsidRPr="00DB4FEC">
        <w:t xml:space="preserve"> Actualmente se están celebrando consultas con los Estados Miembros del Consejo y se presentará un documento revisado al Consejo de 2022 para su examen y aprobación.</w:t>
      </w:r>
    </w:p>
    <w:p w14:paraId="7E159A04" w14:textId="705A712B" w:rsidR="00663F7A" w:rsidRPr="00DB4FEC" w:rsidRDefault="00693BBB" w:rsidP="0035604C">
      <w:r w:rsidRPr="00DB4FEC">
        <w:t>6.3</w:t>
      </w:r>
      <w:r w:rsidRPr="00DB4FEC">
        <w:tab/>
        <w:t xml:space="preserve">En su calidad de facilitador principal de la Línea de Acción C5 de la CMSI, la UIT organizó </w:t>
      </w:r>
      <w:r w:rsidR="00663F7A" w:rsidRPr="00DB4FEC">
        <w:t xml:space="preserve">una sección dedicada a la ciberseguridad que constaba de </w:t>
      </w:r>
      <w:r w:rsidRPr="00DB4FEC">
        <w:t xml:space="preserve">varias sesiones en el </w:t>
      </w:r>
      <w:hyperlink r:id="rId64" w:history="1">
        <w:r w:rsidRPr="00DB4FEC">
          <w:rPr>
            <w:rStyle w:val="Hyperlink"/>
          </w:rPr>
          <w:t xml:space="preserve">Foro de la CMSI </w:t>
        </w:r>
      </w:hyperlink>
      <w:r w:rsidR="00CA68D5" w:rsidRPr="00DB4FEC">
        <w:t>2021</w:t>
      </w:r>
      <w:r w:rsidR="00663F7A" w:rsidRPr="00DB4FEC">
        <w:t>, en particular una sesión de facilitadores de la Línea de Acción C5 sobre sobre "Ciberseguridad: medidas multid</w:t>
      </w:r>
      <w:r w:rsidR="00E46D23" w:rsidRPr="00DB4FEC">
        <w:t>imensionales de ciberseguridad –</w:t>
      </w:r>
      <w:r w:rsidR="00663F7A" w:rsidRPr="00DB4FEC">
        <w:t xml:space="preserve"> Oportunidades y retos actuales en el uso de índices para comprender la ciberseguridad", la Segunda Consulta Abierta sobre el proyecto de Directrices para la utilización de la ACG, y un diálogo de alto nivel sobre la "Comprobación de la preparación de la IA: Impacto político, oportunidades y retos".</w:t>
      </w:r>
    </w:p>
    <w:p w14:paraId="0E788CD8" w14:textId="77777777" w:rsidR="00693BBB" w:rsidRPr="00DB4FEC" w:rsidRDefault="00693BBB" w:rsidP="0035604C">
      <w:pPr>
        <w:pStyle w:val="Heading1"/>
      </w:pPr>
      <w:r w:rsidRPr="00DB4FEC">
        <w:t>7</w:t>
      </w:r>
      <w:r w:rsidRPr="00DB4FEC">
        <w:tab/>
      </w:r>
      <w:proofErr w:type="gramStart"/>
      <w:r w:rsidRPr="00DB4FEC">
        <w:t>Protección</w:t>
      </w:r>
      <w:proofErr w:type="gramEnd"/>
      <w:r w:rsidRPr="00DB4FEC">
        <w:t xml:space="preserve"> de la Infancia en Línea (COP)</w:t>
      </w:r>
    </w:p>
    <w:p w14:paraId="02A8CBDC" w14:textId="0C4220D2" w:rsidR="000D26DE" w:rsidRPr="00DB4FEC" w:rsidRDefault="000D26DE" w:rsidP="0035604C">
      <w:r w:rsidRPr="00DB4FEC">
        <w:t>7.1</w:t>
      </w:r>
      <w:r w:rsidRPr="00DB4FEC">
        <w:tab/>
      </w:r>
      <w:r w:rsidR="006662BE" w:rsidRPr="00DB4FEC">
        <w:t>Se incorporó la protección de la infancia en línea como uno de los elementos clave del cuarto pilar en el proyecto conjunto de la UIT y UNICEF Giga.</w:t>
      </w:r>
    </w:p>
    <w:p w14:paraId="492C9A11" w14:textId="1E4E17F4" w:rsidR="000D26DE" w:rsidRPr="00DB4FEC" w:rsidRDefault="000D26DE" w:rsidP="0035604C">
      <w:r w:rsidRPr="00DB4FEC">
        <w:t>7.2</w:t>
      </w:r>
      <w:r w:rsidRPr="00DB4FEC">
        <w:tab/>
      </w:r>
      <w:r w:rsidR="006662BE" w:rsidRPr="00DB4FEC">
        <w:t xml:space="preserve">La UIT también ha firmado un acuerdo de colaboración con la Fundación SCORT sobre la </w:t>
      </w:r>
      <w:proofErr w:type="spellStart"/>
      <w:r w:rsidR="006662BE" w:rsidRPr="00DB4FEC">
        <w:t>PIeL</w:t>
      </w:r>
      <w:proofErr w:type="spellEnd"/>
      <w:r w:rsidRPr="00DB4FEC">
        <w:t>.</w:t>
      </w:r>
      <w:r w:rsidR="006662BE" w:rsidRPr="00DB4FEC">
        <w:t xml:space="preserve"> La UIT ha contribuido a muchos debates, como el Día de la Seguridad en Internet 2021 y la 15ª Conferencia Europea de Fútbol para el Desarrollo, así como a una mesa redonda con clubes de fútbol europeos.</w:t>
      </w:r>
    </w:p>
    <w:p w14:paraId="71F72BAB" w14:textId="2998987E" w:rsidR="00693BBB" w:rsidRPr="00DB4FEC" w:rsidRDefault="00693BBB" w:rsidP="0035604C">
      <w:r w:rsidRPr="00DB4FEC">
        <w:t>7.3</w:t>
      </w:r>
      <w:r w:rsidRPr="00DB4FEC">
        <w:tab/>
        <w:t xml:space="preserve">El Reino de Arabia Saudí y la UIT firmaron un acuerdo para poner en marcha un programa mundial de tres años de duración sobre la "Creación de un </w:t>
      </w:r>
      <w:proofErr w:type="spellStart"/>
      <w:r w:rsidRPr="00DB4FEC">
        <w:t>ciberentorno</w:t>
      </w:r>
      <w:proofErr w:type="spellEnd"/>
      <w:r w:rsidRPr="00DB4FEC">
        <w:t xml:space="preserve"> seguro y habilitador para los niños", que consiste en la asistencia política a los gobiernos y en el desarrollo de las competencias y la alfabetización digitales para los usuarios finales. La ejecución del programa</w:t>
      </w:r>
      <w:r w:rsidR="006662BE" w:rsidRPr="00DB4FEC">
        <w:t xml:space="preserve"> </w:t>
      </w:r>
      <w:r w:rsidR="006662BE" w:rsidRPr="00DB4FEC">
        <w:lastRenderedPageBreak/>
        <w:t>comenzó en 2021 con la firma de un documento de proyecto interno de la UIT. La UIT ha comenzado a ejecutar el proyecto centrándose en la capacitación mediante el desarrollo de formaciones en línea autogestionadas para todas las partes interesadas pertinentes y otras soluciones interactivas para que los niños y los jóvenes se conviertan en ciudadanos digitales responsables.</w:t>
      </w:r>
    </w:p>
    <w:p w14:paraId="32533CA1" w14:textId="3E8A6D94" w:rsidR="00693BBB" w:rsidRPr="00DB4FEC" w:rsidRDefault="00693BBB" w:rsidP="00693BBB">
      <w:r w:rsidRPr="00DB4FEC">
        <w:t>7.4</w:t>
      </w:r>
      <w:r w:rsidRPr="00DB4FEC">
        <w:tab/>
      </w:r>
      <w:r w:rsidR="00A07CFA" w:rsidRPr="00DB4FEC">
        <w:t xml:space="preserve">Todas las regiones de la UIT empezaron a poner en práctica las actividades del proyecto mundial "Creación de un </w:t>
      </w:r>
      <w:proofErr w:type="spellStart"/>
      <w:r w:rsidR="00A07CFA" w:rsidRPr="00DB4FEC">
        <w:t>ciberentorno</w:t>
      </w:r>
      <w:proofErr w:type="spellEnd"/>
      <w:r w:rsidR="00A07CFA" w:rsidRPr="00DB4FEC">
        <w:t xml:space="preserve"> seguro y habilitador para la infancia". El primer país que emprendió esta iniciativa fue Albania, seguido de Malawi y Marruecos.</w:t>
      </w:r>
    </w:p>
    <w:p w14:paraId="552E91A3" w14:textId="528782FD" w:rsidR="001F2704" w:rsidRPr="00DB4FEC" w:rsidRDefault="00693BBB" w:rsidP="0035604C">
      <w:r w:rsidRPr="00DB4FEC">
        <w:t>7.5</w:t>
      </w:r>
      <w:r w:rsidRPr="00DB4FEC">
        <w:tab/>
        <w:t>Para celebrar el Día de la Seguridad en Internet 2021, la UIT publicó varios comunicado</w:t>
      </w:r>
      <w:r w:rsidR="00D068E2" w:rsidRPr="00DB4FEC">
        <w:t>s, entre ellos una entrada en el</w:t>
      </w:r>
      <w:r w:rsidRPr="00DB4FEC">
        <w:t xml:space="preserve"> </w:t>
      </w:r>
      <w:hyperlink r:id="rId65" w:history="1">
        <w:r w:rsidR="00D068E2" w:rsidRPr="00DB4FEC">
          <w:rPr>
            <w:rStyle w:val="Hyperlink"/>
          </w:rPr>
          <w:t>blog</w:t>
        </w:r>
      </w:hyperlink>
      <w:r w:rsidRPr="00DB4FEC">
        <w:rPr>
          <w:u w:val="single"/>
        </w:rPr>
        <w:t xml:space="preserve"> </w:t>
      </w:r>
      <w:r w:rsidRPr="00DB4FEC">
        <w:t xml:space="preserve">sobre la aplicación de la mascota de la COP en un concurso nacional de dibujo en Hungría. </w:t>
      </w:r>
      <w:r w:rsidR="00D068E2" w:rsidRPr="00DB4FEC">
        <w:t xml:space="preserve">Además, la mascota de la COP moderó diferentes eventos virtuales, como por ejemplo el segmento dedicado a la seguridad en línea de la serie de </w:t>
      </w:r>
      <w:hyperlink r:id="rId66" w:history="1">
        <w:r w:rsidR="00D068E2" w:rsidRPr="00DB4FEC">
          <w:rPr>
            <w:rStyle w:val="Hyperlink"/>
          </w:rPr>
          <w:t>eventos conmemorativos del Día de las Niñas</w:t>
        </w:r>
      </w:hyperlink>
      <w:r w:rsidR="00D068E2" w:rsidRPr="00DB4FEC">
        <w:t xml:space="preserve"> en las TIC y la </w:t>
      </w:r>
      <w:hyperlink r:id="rId67" w:history="1">
        <w:r w:rsidR="00D068E2" w:rsidRPr="00DB4FEC">
          <w:rPr>
            <w:rStyle w:val="Hyperlink"/>
          </w:rPr>
          <w:t>Sesi</w:t>
        </w:r>
        <w:r w:rsidR="0088768A" w:rsidRPr="00DB4FEC">
          <w:rPr>
            <w:rStyle w:val="Hyperlink"/>
          </w:rPr>
          <w:t>ón 4: Inclusión Digital Segura –</w:t>
        </w:r>
        <w:r w:rsidR="00D068E2" w:rsidRPr="00DB4FEC">
          <w:rPr>
            <w:rStyle w:val="Hyperlink"/>
          </w:rPr>
          <w:t xml:space="preserve"> Protección Infantil en Línea</w:t>
        </w:r>
      </w:hyperlink>
      <w:r w:rsidR="00D068E2" w:rsidRPr="00DB4FEC">
        <w:t xml:space="preserve"> en el GSR 2021.</w:t>
      </w:r>
    </w:p>
    <w:p w14:paraId="724CE329" w14:textId="79558C44" w:rsidR="00D068E2" w:rsidRPr="00DB4FEC" w:rsidRDefault="00D068E2" w:rsidP="0035604C">
      <w:r w:rsidRPr="00DB4FEC">
        <w:t>7.6</w:t>
      </w:r>
      <w:r w:rsidRPr="00DB4FEC">
        <w:tab/>
        <w:t xml:space="preserve">La mascota de la COP </w:t>
      </w:r>
      <w:hyperlink r:id="rId68" w:history="1">
        <w:r w:rsidRPr="00DB4FEC">
          <w:rPr>
            <w:rStyle w:val="Hyperlink"/>
          </w:rPr>
          <w:t xml:space="preserve">anunció además un proyecto de colaboración con </w:t>
        </w:r>
        <w:proofErr w:type="spellStart"/>
        <w:r w:rsidRPr="00DB4FEC">
          <w:rPr>
            <w:rStyle w:val="Hyperlink"/>
          </w:rPr>
          <w:t>Eni</w:t>
        </w:r>
        <w:proofErr w:type="spellEnd"/>
        <w:r w:rsidRPr="00DB4FEC">
          <w:rPr>
            <w:rStyle w:val="Hyperlink"/>
          </w:rPr>
          <w:t xml:space="preserve"> y Deloitte Italia</w:t>
        </w:r>
      </w:hyperlink>
      <w:r w:rsidRPr="00DB4FEC">
        <w:t xml:space="preserve"> para sensibilizar y capacitar a niños y educadores sobre la seguridad en línea. El </w:t>
      </w:r>
      <w:hyperlink r:id="rId69" w:history="1">
        <w:r w:rsidRPr="00DB4FEC">
          <w:rPr>
            <w:rStyle w:val="Hyperlink"/>
          </w:rPr>
          <w:t>curso sobre seguridad en línea con Sango</w:t>
        </w:r>
      </w:hyperlink>
      <w:r w:rsidRPr="00DB4FEC">
        <w:t>, dividido en cinco episodios, ofrece consejos prácticos a los niños de hasta 9 años sobre los riesgos a los que pueden exponerse en línea.</w:t>
      </w:r>
    </w:p>
    <w:p w14:paraId="69690302" w14:textId="13BCEB88" w:rsidR="00D068E2" w:rsidRPr="00DB4FEC" w:rsidRDefault="00D068E2" w:rsidP="0035604C">
      <w:r w:rsidRPr="00DB4FEC">
        <w:t>7.7</w:t>
      </w:r>
      <w:r w:rsidRPr="00DB4FEC">
        <w:tab/>
        <w:t>A través de la Academia de la UIT, la UIT impartió una sesión de formación para los reguladores de la Región Árabe sobre la protección de los niños en línea.</w:t>
      </w:r>
    </w:p>
    <w:p w14:paraId="3B76BC79" w14:textId="33B669CE" w:rsidR="000D26DE" w:rsidRPr="00DB4FEC" w:rsidRDefault="000D26DE" w:rsidP="0035604C">
      <w:pPr>
        <w:pStyle w:val="Reasons"/>
      </w:pPr>
    </w:p>
    <w:p w14:paraId="6CA42A3D" w14:textId="77777777" w:rsidR="0035604C" w:rsidRPr="00DB4FEC" w:rsidRDefault="0035604C">
      <w:pPr>
        <w:jc w:val="center"/>
      </w:pPr>
      <w:r w:rsidRPr="00DB4FEC">
        <w:t>______________</w:t>
      </w:r>
    </w:p>
    <w:sectPr w:rsidR="0035604C" w:rsidRPr="00DB4FEC" w:rsidSect="006710F6">
      <w:headerReference w:type="default" r:id="rId70"/>
      <w:footerReference w:type="default" r:id="rId71"/>
      <w:footerReference w:type="first" r:id="rId7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A8013" w14:textId="77777777" w:rsidR="00592A74" w:rsidRDefault="00592A74">
      <w:r>
        <w:separator/>
      </w:r>
    </w:p>
  </w:endnote>
  <w:endnote w:type="continuationSeparator" w:id="0">
    <w:p w14:paraId="68EC7197" w14:textId="77777777" w:rsidR="00592A74" w:rsidRDefault="0059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EF1D" w14:textId="083DFE40" w:rsidR="00592A74" w:rsidRPr="00353A16" w:rsidRDefault="00314144" w:rsidP="00353A16">
    <w:pPr>
      <w:pStyle w:val="Footer"/>
    </w:pPr>
    <w:r w:rsidRPr="009D5402">
      <w:rPr>
        <w:color w:val="F2F2F2" w:themeColor="background1" w:themeShade="F2"/>
      </w:rPr>
      <w:fldChar w:fldCharType="begin"/>
    </w:r>
    <w:r w:rsidRPr="009D5402">
      <w:rPr>
        <w:color w:val="F2F2F2" w:themeColor="background1" w:themeShade="F2"/>
      </w:rPr>
      <w:instrText xml:space="preserve"> FILENAME \p  \* MERGEFORMAT </w:instrText>
    </w:r>
    <w:r w:rsidRPr="009D5402">
      <w:rPr>
        <w:color w:val="F2F2F2" w:themeColor="background1" w:themeShade="F2"/>
      </w:rPr>
      <w:fldChar w:fldCharType="separate"/>
    </w:r>
    <w:r w:rsidR="00353A16" w:rsidRPr="009D5402">
      <w:rPr>
        <w:color w:val="F2F2F2" w:themeColor="background1" w:themeShade="F2"/>
      </w:rPr>
      <w:t>P:\ESP\SG\CONSEIL\C22\000\018S.docx</w:t>
    </w:r>
    <w:r w:rsidRPr="009D5402">
      <w:rPr>
        <w:color w:val="F2F2F2" w:themeColor="background1" w:themeShade="F2"/>
      </w:rPr>
      <w:fldChar w:fldCharType="end"/>
    </w:r>
    <w:r w:rsidR="00353A16" w:rsidRPr="009D5402">
      <w:rPr>
        <w:color w:val="F2F2F2" w:themeColor="background1" w:themeShade="F2"/>
      </w:rPr>
      <w:t xml:space="preserve"> </w:t>
    </w:r>
    <w:r w:rsidR="00592A74" w:rsidRPr="009D5402">
      <w:rPr>
        <w:color w:val="F2F2F2" w:themeColor="background1" w:themeShade="F2"/>
        <w:lang w:val="fr-FR"/>
      </w:rPr>
      <w:t>(498287</w:t>
    </w:r>
    <w:r w:rsidR="00353A16" w:rsidRPr="009D5402">
      <w:rPr>
        <w:color w:val="F2F2F2" w:themeColor="background1" w:themeShade="F2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56E7E" w14:textId="23F47120" w:rsidR="00592A74" w:rsidRDefault="00592A74" w:rsidP="00294D0E">
    <w:pPr>
      <w:spacing w:after="120"/>
      <w:jc w:val="center"/>
      <w:rPr>
        <w:lang w:val="en-US"/>
      </w:rPr>
    </w:pPr>
    <w:r w:rsidRPr="00353A16">
      <w:rPr>
        <w:lang w:val="en-US"/>
      </w:rPr>
      <w:t xml:space="preserve">• </w:t>
    </w:r>
    <w:hyperlink r:id="rId1" w:history="1">
      <w:r w:rsidRPr="00353A16">
        <w:rPr>
          <w:rStyle w:val="Hyperlink"/>
          <w:lang w:val="en-US"/>
        </w:rPr>
        <w:t>http://www.itu.int/council</w:t>
      </w:r>
    </w:hyperlink>
    <w:r w:rsidRPr="00353A16">
      <w:rPr>
        <w:lang w:val="en-US"/>
      </w:rPr>
      <w:t xml:space="preserve"> •</w:t>
    </w:r>
  </w:p>
  <w:p w14:paraId="73A4905E" w14:textId="216C647A" w:rsidR="00314144" w:rsidRPr="00314144" w:rsidRDefault="00314144" w:rsidP="00314144">
    <w:pPr>
      <w:pStyle w:val="Footer"/>
    </w:pPr>
    <w:r w:rsidRPr="009D5402">
      <w:rPr>
        <w:color w:val="F2F2F2" w:themeColor="background1" w:themeShade="F2"/>
      </w:rPr>
      <w:fldChar w:fldCharType="begin"/>
    </w:r>
    <w:r w:rsidRPr="009D5402">
      <w:rPr>
        <w:color w:val="F2F2F2" w:themeColor="background1" w:themeShade="F2"/>
      </w:rPr>
      <w:instrText xml:space="preserve"> FILENAME \p  \* MERGEFORMAT </w:instrText>
    </w:r>
    <w:r w:rsidRPr="009D5402">
      <w:rPr>
        <w:color w:val="F2F2F2" w:themeColor="background1" w:themeShade="F2"/>
      </w:rPr>
      <w:fldChar w:fldCharType="separate"/>
    </w:r>
    <w:r w:rsidRPr="009D5402">
      <w:rPr>
        <w:color w:val="F2F2F2" w:themeColor="background1" w:themeShade="F2"/>
      </w:rPr>
      <w:t>P:\ESP\SG\CONSEIL\C22\000\018S.docx</w:t>
    </w:r>
    <w:r w:rsidRPr="009D5402">
      <w:rPr>
        <w:color w:val="F2F2F2" w:themeColor="background1" w:themeShade="F2"/>
      </w:rPr>
      <w:fldChar w:fldCharType="end"/>
    </w:r>
    <w:r w:rsidRPr="009D5402">
      <w:rPr>
        <w:color w:val="F2F2F2" w:themeColor="background1" w:themeShade="F2"/>
      </w:rPr>
      <w:t xml:space="preserve"> </w:t>
    </w:r>
    <w:r w:rsidRPr="009D5402">
      <w:rPr>
        <w:color w:val="F2F2F2" w:themeColor="background1" w:themeShade="F2"/>
        <w:lang w:val="fr-FR"/>
      </w:rPr>
      <w:t>(498287)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8AE05" w14:textId="77777777" w:rsidR="00592A74" w:rsidRDefault="00592A74">
      <w:r>
        <w:t>____________________</w:t>
      </w:r>
    </w:p>
  </w:footnote>
  <w:footnote w:type="continuationSeparator" w:id="0">
    <w:p w14:paraId="3F1CE0C7" w14:textId="77777777" w:rsidR="00592A74" w:rsidRDefault="00592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9EDEA" w14:textId="2A8F0743" w:rsidR="00592A74" w:rsidRDefault="00592A74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314144">
      <w:rPr>
        <w:noProof/>
      </w:rPr>
      <w:t>6</w:t>
    </w:r>
    <w:r>
      <w:rPr>
        <w:noProof/>
      </w:rPr>
      <w:fldChar w:fldCharType="end"/>
    </w:r>
  </w:p>
  <w:p w14:paraId="15493275" w14:textId="333AEBCD" w:rsidR="00592A74" w:rsidRDefault="00592A74" w:rsidP="00C2727F">
    <w:pPr>
      <w:pStyle w:val="Header"/>
    </w:pPr>
    <w:r>
      <w:t>C22/18-S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FB9"/>
    <w:rsid w:val="000007D1"/>
    <w:rsid w:val="00093EEB"/>
    <w:rsid w:val="000A3F82"/>
    <w:rsid w:val="000B0D00"/>
    <w:rsid w:val="000B7C15"/>
    <w:rsid w:val="000D1D0F"/>
    <w:rsid w:val="000D26DE"/>
    <w:rsid w:val="000E1C21"/>
    <w:rsid w:val="000F5290"/>
    <w:rsid w:val="0010165C"/>
    <w:rsid w:val="00144B8F"/>
    <w:rsid w:val="00146BFB"/>
    <w:rsid w:val="00167C74"/>
    <w:rsid w:val="00183FB8"/>
    <w:rsid w:val="0019193F"/>
    <w:rsid w:val="001B13B7"/>
    <w:rsid w:val="001F14A2"/>
    <w:rsid w:val="001F2704"/>
    <w:rsid w:val="00217F83"/>
    <w:rsid w:val="002801AA"/>
    <w:rsid w:val="00294D0E"/>
    <w:rsid w:val="002A14C3"/>
    <w:rsid w:val="002C4676"/>
    <w:rsid w:val="002C70B0"/>
    <w:rsid w:val="002F3CC4"/>
    <w:rsid w:val="00305805"/>
    <w:rsid w:val="00314144"/>
    <w:rsid w:val="00353A16"/>
    <w:rsid w:val="0035604C"/>
    <w:rsid w:val="00356106"/>
    <w:rsid w:val="003811D1"/>
    <w:rsid w:val="003C52EE"/>
    <w:rsid w:val="003F2DEE"/>
    <w:rsid w:val="00433EE9"/>
    <w:rsid w:val="00444267"/>
    <w:rsid w:val="004F4E9F"/>
    <w:rsid w:val="00502E3E"/>
    <w:rsid w:val="00513630"/>
    <w:rsid w:val="005544F6"/>
    <w:rsid w:val="00560125"/>
    <w:rsid w:val="00585553"/>
    <w:rsid w:val="00592A74"/>
    <w:rsid w:val="005B34D9"/>
    <w:rsid w:val="005D0CCF"/>
    <w:rsid w:val="005D3889"/>
    <w:rsid w:val="005F3BCB"/>
    <w:rsid w:val="005F410F"/>
    <w:rsid w:val="0060149A"/>
    <w:rsid w:val="00601924"/>
    <w:rsid w:val="00607AC1"/>
    <w:rsid w:val="006447EA"/>
    <w:rsid w:val="0064731F"/>
    <w:rsid w:val="006626F7"/>
    <w:rsid w:val="00663F7A"/>
    <w:rsid w:val="00664572"/>
    <w:rsid w:val="006662BE"/>
    <w:rsid w:val="006710F6"/>
    <w:rsid w:val="00693BBB"/>
    <w:rsid w:val="006C1B56"/>
    <w:rsid w:val="006D4761"/>
    <w:rsid w:val="00705827"/>
    <w:rsid w:val="00726872"/>
    <w:rsid w:val="007470A1"/>
    <w:rsid w:val="00760F1C"/>
    <w:rsid w:val="007657F0"/>
    <w:rsid w:val="0077252D"/>
    <w:rsid w:val="0078043A"/>
    <w:rsid w:val="007955DA"/>
    <w:rsid w:val="007D739F"/>
    <w:rsid w:val="007E5DD3"/>
    <w:rsid w:val="007F350B"/>
    <w:rsid w:val="00820BE4"/>
    <w:rsid w:val="008451E8"/>
    <w:rsid w:val="00876250"/>
    <w:rsid w:val="0088768A"/>
    <w:rsid w:val="008B1A37"/>
    <w:rsid w:val="00913B9C"/>
    <w:rsid w:val="00956E77"/>
    <w:rsid w:val="00982FBD"/>
    <w:rsid w:val="0099007E"/>
    <w:rsid w:val="0099740B"/>
    <w:rsid w:val="009D5402"/>
    <w:rsid w:val="009F1CA3"/>
    <w:rsid w:val="009F4811"/>
    <w:rsid w:val="00A07CFA"/>
    <w:rsid w:val="00AA390C"/>
    <w:rsid w:val="00AA5BB3"/>
    <w:rsid w:val="00B0200A"/>
    <w:rsid w:val="00B416B6"/>
    <w:rsid w:val="00B512D6"/>
    <w:rsid w:val="00B574DB"/>
    <w:rsid w:val="00B826C2"/>
    <w:rsid w:val="00B8298E"/>
    <w:rsid w:val="00BB6353"/>
    <w:rsid w:val="00BD0723"/>
    <w:rsid w:val="00BD2518"/>
    <w:rsid w:val="00BF1D1C"/>
    <w:rsid w:val="00C02463"/>
    <w:rsid w:val="00C20C59"/>
    <w:rsid w:val="00C21BAE"/>
    <w:rsid w:val="00C2727F"/>
    <w:rsid w:val="00C44776"/>
    <w:rsid w:val="00C55B1F"/>
    <w:rsid w:val="00CA4023"/>
    <w:rsid w:val="00CA68D5"/>
    <w:rsid w:val="00CC6093"/>
    <w:rsid w:val="00CD5806"/>
    <w:rsid w:val="00CF1A67"/>
    <w:rsid w:val="00D068E2"/>
    <w:rsid w:val="00D2750E"/>
    <w:rsid w:val="00D50A36"/>
    <w:rsid w:val="00D62446"/>
    <w:rsid w:val="00D63C72"/>
    <w:rsid w:val="00DA1984"/>
    <w:rsid w:val="00DA4EA2"/>
    <w:rsid w:val="00DB4FEC"/>
    <w:rsid w:val="00DC3D3E"/>
    <w:rsid w:val="00DE2C90"/>
    <w:rsid w:val="00DE3B24"/>
    <w:rsid w:val="00E06947"/>
    <w:rsid w:val="00E3592D"/>
    <w:rsid w:val="00E46D23"/>
    <w:rsid w:val="00E552B4"/>
    <w:rsid w:val="00E92DE8"/>
    <w:rsid w:val="00EB1212"/>
    <w:rsid w:val="00ED65AB"/>
    <w:rsid w:val="00EE2673"/>
    <w:rsid w:val="00F12850"/>
    <w:rsid w:val="00F33BF4"/>
    <w:rsid w:val="00F7105E"/>
    <w:rsid w:val="00F75F57"/>
    <w:rsid w:val="00F77FB9"/>
    <w:rsid w:val="00F82DBE"/>
    <w:rsid w:val="00F82FEE"/>
    <w:rsid w:val="00F85BC6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0D2271"/>
  <w15:docId w15:val="{3F63DC78-A8FD-428E-B7EE-66F40C2C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aliases w:val="超级链接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3B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93BBB"/>
    <w:rPr>
      <w:rFonts w:ascii="Calibri" w:hAnsi="Calibri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2A14C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A14C3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18-CL-C-0018/es" TargetMode="External"/><Relationship Id="rId21" Type="http://schemas.openxmlformats.org/officeDocument/2006/relationships/hyperlink" Target="https://www.itu.int/pub/T-RES-T.75-2016/es" TargetMode="External"/><Relationship Id="rId42" Type="http://schemas.openxmlformats.org/officeDocument/2006/relationships/hyperlink" Target="https://www.itu.int/en/ITU-T/focusgroups/tbfxg/Pages/default.aspx" TargetMode="External"/><Relationship Id="rId47" Type="http://schemas.openxmlformats.org/officeDocument/2006/relationships/hyperlink" Target="https://www.itu.int/en/ITU-T/focusgroups/ai4ee/Pages/default.aspx" TargetMode="External"/><Relationship Id="rId63" Type="http://schemas.openxmlformats.org/officeDocument/2006/relationships/hyperlink" Target="https://www.itu.int/md/S21-CL-C-0071/es" TargetMode="External"/><Relationship Id="rId68" Type="http://schemas.openxmlformats.org/officeDocument/2006/relationships/hyperlink" Target="https://www.bing.com/videos/search?q=sango+announcing+eni+youtube&amp;docid=13903411089711&amp;mid=271E2ABE304F85C97D50271E2ABE304F85C97D50&amp;view=detail&amp;FORM=VIR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tu.int/md/D14-WTDC17-C-0115/es" TargetMode="External"/><Relationship Id="rId29" Type="http://schemas.openxmlformats.org/officeDocument/2006/relationships/hyperlink" Target="https://www.itu.int/md/S21-CL-C-0018/es" TargetMode="External"/><Relationship Id="rId11" Type="http://schemas.openxmlformats.org/officeDocument/2006/relationships/hyperlink" Target="https://www.itu.int/en/council/Documents/basic-texts/RES-179-S.pdf" TargetMode="External"/><Relationship Id="rId24" Type="http://schemas.openxmlformats.org/officeDocument/2006/relationships/hyperlink" Target="https://www.itu.int/md/S16-CL-C-0018/es" TargetMode="External"/><Relationship Id="rId32" Type="http://schemas.openxmlformats.org/officeDocument/2006/relationships/hyperlink" Target="https://www.itu.int/itu-t/workprog/wp_search.aspx?sg=17" TargetMode="External"/><Relationship Id="rId37" Type="http://schemas.openxmlformats.org/officeDocument/2006/relationships/hyperlink" Target="https://www.itu.int/ITU-T/recommendations/rec.aspx?id=14357" TargetMode="External"/><Relationship Id="rId40" Type="http://schemas.openxmlformats.org/officeDocument/2006/relationships/hyperlink" Target="https://www.itu.int/ITU-T/recommendations/rec.aspx?rec=14287" TargetMode="External"/><Relationship Id="rId45" Type="http://schemas.openxmlformats.org/officeDocument/2006/relationships/hyperlink" Target="https://www.itu.int/en/ITU-T/focusgroups/an/Pages/default.aspx" TargetMode="External"/><Relationship Id="rId53" Type="http://schemas.openxmlformats.org/officeDocument/2006/relationships/hyperlink" Target="https://www.itu.int/en/ITU-D/Cybersecurity/Pages/cyberdrills.aspx" TargetMode="External"/><Relationship Id="rId58" Type="http://schemas.openxmlformats.org/officeDocument/2006/relationships/hyperlink" Target="https://academy.itu.int/training-courses/full-catalogue/lifecycle-principles-and-good-practices-national-cybersecurity-strategy-development-and" TargetMode="External"/><Relationship Id="rId66" Type="http://schemas.openxmlformats.org/officeDocument/2006/relationships/hyperlink" Target="https://www.itu.int/women-and-girls/girls-in-ict/girlsinict-online-safety-moment/" TargetMode="External"/><Relationship Id="rId74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s://www.itu.int/en/ITU-D/Cybersecurity/Pages/global-cybersecurity-index.aspx" TargetMode="External"/><Relationship Id="rId19" Type="http://schemas.openxmlformats.org/officeDocument/2006/relationships/hyperlink" Target="https://www.itu.int/pub/T-RES-T.50-2016/es" TargetMode="External"/><Relationship Id="rId14" Type="http://schemas.openxmlformats.org/officeDocument/2006/relationships/hyperlink" Target="https://www.itu.int/md/S15-CL-C-0109/es" TargetMode="External"/><Relationship Id="rId22" Type="http://schemas.openxmlformats.org/officeDocument/2006/relationships/hyperlink" Target="https://www.itu.int/pub/T-RES-T.58-2016/es" TargetMode="External"/><Relationship Id="rId27" Type="http://schemas.openxmlformats.org/officeDocument/2006/relationships/hyperlink" Target="https://www.itu.int/md/S19-CL-C-0018/es" TargetMode="External"/><Relationship Id="rId30" Type="http://schemas.openxmlformats.org/officeDocument/2006/relationships/hyperlink" Target="http://www.itu.int/en/ITU-D/Cybersecurity/Pages/Legal-Measures.aspx" TargetMode="External"/><Relationship Id="rId35" Type="http://schemas.openxmlformats.org/officeDocument/2006/relationships/hyperlink" Target="https://www.itu.int/ITU-T/recommendations/rec.aspx?id=14869" TargetMode="External"/><Relationship Id="rId43" Type="http://schemas.openxmlformats.org/officeDocument/2006/relationships/hyperlink" Target="https://www.itu.int/en/ITU-T/focusgroups/ai4a/Pages/default.aspx" TargetMode="External"/><Relationship Id="rId48" Type="http://schemas.openxmlformats.org/officeDocument/2006/relationships/hyperlink" Target="https://www.itu.int/en/ITU-T/focusgroups/ai4h" TargetMode="External"/><Relationship Id="rId56" Type="http://schemas.openxmlformats.org/officeDocument/2006/relationships/hyperlink" Target="https://ncsguide.org/partners/" TargetMode="External"/><Relationship Id="rId64" Type="http://schemas.openxmlformats.org/officeDocument/2006/relationships/hyperlink" Target="https://www.itu.int/net4/wsis/forum/2020/es" TargetMode="External"/><Relationship Id="rId69" Type="http://schemas.openxmlformats.org/officeDocument/2006/relationships/hyperlink" Target="https://www.itu-cop-guidelines.com/children" TargetMode="External"/><Relationship Id="rId8" Type="http://schemas.openxmlformats.org/officeDocument/2006/relationships/hyperlink" Target="https://www.itu.int/en/council/Documents/basic-texts/RES-130-S.pdf" TargetMode="External"/><Relationship Id="rId51" Type="http://schemas.openxmlformats.org/officeDocument/2006/relationships/hyperlink" Target="https://www.itu.int/en/ITU-D/Cybersecurity/Pages/cyberdrills.aspx" TargetMode="External"/><Relationship Id="rId72" Type="http://schemas.openxmlformats.org/officeDocument/2006/relationships/footer" Target="footer2.xml"/><Relationship Id="rId3" Type="http://schemas.openxmlformats.org/officeDocument/2006/relationships/webSettings" Target="webSettings.xml"/><Relationship Id="rId12" Type="http://schemas.openxmlformats.org/officeDocument/2006/relationships/hyperlink" Target="https://www.itu.int/en/council/Documents/basic-texts/RES-181-S.pdf" TargetMode="External"/><Relationship Id="rId17" Type="http://schemas.openxmlformats.org/officeDocument/2006/relationships/hyperlink" Target="https://www.itu.int/md/D14-WTDC17-C-0115/es" TargetMode="External"/><Relationship Id="rId25" Type="http://schemas.openxmlformats.org/officeDocument/2006/relationships/hyperlink" Target="https://www.itu.int/md/S17-CL-C-0018/es" TargetMode="External"/><Relationship Id="rId33" Type="http://schemas.openxmlformats.org/officeDocument/2006/relationships/hyperlink" Target="https://www.itu.int/rec/T-REC-D.1102" TargetMode="External"/><Relationship Id="rId38" Type="http://schemas.openxmlformats.org/officeDocument/2006/relationships/hyperlink" Target="https://www.itu.int/ITU-T/recommendations/rec.aspx?id=13573" TargetMode="External"/><Relationship Id="rId46" Type="http://schemas.openxmlformats.org/officeDocument/2006/relationships/hyperlink" Target="https://www.itu.int/en/ITU-T/focusgroups/ai4ad/Pages/default.aspx" TargetMode="External"/><Relationship Id="rId59" Type="http://schemas.openxmlformats.org/officeDocument/2006/relationships/hyperlink" Target="https://academy.itu.int/training-courses/full-catalogue?search_api_fulltext=&amp;field_taxon_registration=All&amp;field_course_fee=All&amp;field_taxon_region=All&amp;field_taxon_type=All&amp;field_taxon_topics=109&amp;field_taxon_languages=All&amp;date_start=&amp;date_end=&amp;items_per_page=10" TargetMode="External"/><Relationship Id="rId67" Type="http://schemas.openxmlformats.org/officeDocument/2006/relationships/hyperlink" Target="https://www.itu.int/es/ITU-D/Conferences/GSR/2021/Pages/global.aspx" TargetMode="External"/><Relationship Id="rId20" Type="http://schemas.openxmlformats.org/officeDocument/2006/relationships/hyperlink" Target="https://www.itu.int/pub/T-RES-T.52-2016/es" TargetMode="External"/><Relationship Id="rId41" Type="http://schemas.openxmlformats.org/officeDocument/2006/relationships/hyperlink" Target="https://www.itu.int/ITU-T/recommendations/rec.aspx?rec=14381" TargetMode="External"/><Relationship Id="rId54" Type="http://schemas.openxmlformats.org/officeDocument/2006/relationships/hyperlink" Target="http://www.itu.int/net4/ITU-D/CDS/sg/rgqlist.asp?lg=1&amp;sp=2014&amp;rgq=D14-SG02-RGQ03.2&amp;stg=2" TargetMode="External"/><Relationship Id="rId62" Type="http://schemas.openxmlformats.org/officeDocument/2006/relationships/hyperlink" Target="http://www.itu.int/en/ITU-D/Cybersecurity/Pages/partnership.aspx" TargetMode="External"/><Relationship Id="rId7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itu.int/en/ITU-D/Cybersecurity/Documents/45revDubai.pdf" TargetMode="External"/><Relationship Id="rId23" Type="http://schemas.openxmlformats.org/officeDocument/2006/relationships/hyperlink" Target="http://www.itu.int/md/S15-CL-C-0018/es" TargetMode="External"/><Relationship Id="rId28" Type="http://schemas.openxmlformats.org/officeDocument/2006/relationships/hyperlink" Target="https://www.itu.int/md/S20-CL-C-0018/es" TargetMode="External"/><Relationship Id="rId36" Type="http://schemas.openxmlformats.org/officeDocument/2006/relationships/hyperlink" Target="https://www.itu.int/ITU-T/recommendations/rec.aspx?id=14870" TargetMode="External"/><Relationship Id="rId49" Type="http://schemas.openxmlformats.org/officeDocument/2006/relationships/hyperlink" Target="https://www.itu.int/en/ITU-T/focusgroups/vm/Pages/default.aspx" TargetMode="External"/><Relationship Id="rId57" Type="http://schemas.openxmlformats.org/officeDocument/2006/relationships/hyperlink" Target="https://ncsguide.org/the-guide/" TargetMode="External"/><Relationship Id="rId10" Type="http://schemas.openxmlformats.org/officeDocument/2006/relationships/hyperlink" Target="https://www.itu.int/en/council/Documents/basic-texts/RES-174-S.pdf" TargetMode="External"/><Relationship Id="rId31" Type="http://schemas.openxmlformats.org/officeDocument/2006/relationships/hyperlink" Target="http://www.itu.int/en/ITU-T/studygroups/2017-2020/17/Pages/default.aspx" TargetMode="External"/><Relationship Id="rId44" Type="http://schemas.openxmlformats.org/officeDocument/2006/relationships/hyperlink" Target="https://www.itu.int/en/ITU-T/focusgroups/ai4ndm/Pages/default.aspx" TargetMode="External"/><Relationship Id="rId52" Type="http://schemas.openxmlformats.org/officeDocument/2006/relationships/hyperlink" Target="https://www.itu.int/en/ITU-D/Cybersecurity/Pages/Cybedrills-2020.aspx" TargetMode="External"/><Relationship Id="rId60" Type="http://schemas.openxmlformats.org/officeDocument/2006/relationships/hyperlink" Target="https://www.itu.int/en/ITU-D/Cybersecurity/Pages/GCI/GCIv4-Report-Launch.aspx" TargetMode="External"/><Relationship Id="rId65" Type="http://schemas.openxmlformats.org/officeDocument/2006/relationships/hyperlink" Target="https://www.itu.int/en/myitu/News/2021/02/08/18/38/Sango-Internet-safety-drawing-child-online-protection-COP" TargetMode="External"/><Relationship Id="rId7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itu.int/en/council/Documents/basic-texts/RES-140-S.pdf" TargetMode="External"/><Relationship Id="rId13" Type="http://schemas.openxmlformats.org/officeDocument/2006/relationships/hyperlink" Target="https://www.itu.int/pub/S-CONF-WCIT-2012/es" TargetMode="External"/><Relationship Id="rId18" Type="http://schemas.openxmlformats.org/officeDocument/2006/relationships/hyperlink" Target="http://www.itu.int/osg/csd/intgov/resoultions_2010/programme2.pdf" TargetMode="External"/><Relationship Id="rId39" Type="http://schemas.openxmlformats.org/officeDocument/2006/relationships/hyperlink" Target="https://www.itu.int/ITU-T/recommendations/rec.aspx?rec=14286" TargetMode="External"/><Relationship Id="rId34" Type="http://schemas.openxmlformats.org/officeDocument/2006/relationships/hyperlink" Target="https://www.itu.int/ITU-T/recommendations/rec.aspx?id=14868" TargetMode="External"/><Relationship Id="rId50" Type="http://schemas.openxmlformats.org/officeDocument/2006/relationships/hyperlink" Target="https://www.itu.int/en/ITU-R/study-groups/rsg5/rwp5d/imt-2020/Pages/default.aspx" TargetMode="External"/><Relationship Id="rId55" Type="http://schemas.openxmlformats.org/officeDocument/2006/relationships/hyperlink" Target="https://www.itu.int/pub/D-STR-CYB_GUIDE.01-2018" TargetMode="External"/><Relationship Id="rId7" Type="http://schemas.openxmlformats.org/officeDocument/2006/relationships/hyperlink" Target="https://www.itu.int/en/council/Documents/basic-texts/RES-071-S.pdf" TargetMode="External"/><Relationship Id="rId71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quez\AppData\Roaming\Microsoft\Templates\POOL%20S%20-%20ITU\PS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PS_C22.dotx</Template>
  <TotalTime>0</TotalTime>
  <Pages>6</Pages>
  <Words>2764</Words>
  <Characters>19456</Characters>
  <Application>Microsoft Office Word</Application>
  <DocSecurity>4</DocSecurity>
  <Lines>162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22176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Actividades de la UIT sobre el fortalecimiento de su papel en la creación de confianza y seguridad en la utilización de las tecnologías de la información y la comunicación</dc:title>
  <dc:subject>Consejo 2022</dc:subject>
  <dc:creator>SPANISH</dc:creator>
  <cp:keywords>C2022, C22, Council-22</cp:keywords>
  <dc:description/>
  <cp:lastModifiedBy>Xue, Kun</cp:lastModifiedBy>
  <cp:revision>2</cp:revision>
  <cp:lastPrinted>2006-03-24T09:51:00Z</cp:lastPrinted>
  <dcterms:created xsi:type="dcterms:W3CDTF">2022-02-22T10:15:00Z</dcterms:created>
  <dcterms:modified xsi:type="dcterms:W3CDTF">2022-02-22T10:15:00Z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