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B6445" w14:paraId="356FF958" w14:textId="77777777">
        <w:trPr>
          <w:cantSplit/>
        </w:trPr>
        <w:tc>
          <w:tcPr>
            <w:tcW w:w="6912" w:type="dxa"/>
          </w:tcPr>
          <w:p w14:paraId="7F50A30B" w14:textId="77777777" w:rsidR="00093EEB" w:rsidRPr="003B6445" w:rsidRDefault="00093EEB" w:rsidP="00C2727F">
            <w:pPr>
              <w:spacing w:before="360"/>
              <w:rPr>
                <w:szCs w:val="24"/>
              </w:rPr>
            </w:pPr>
            <w:bookmarkStart w:id="0" w:name="dc06"/>
            <w:bookmarkStart w:id="1" w:name="dbluepink" w:colFirst="0" w:colLast="0"/>
            <w:bookmarkEnd w:id="0"/>
            <w:r w:rsidRPr="003B6445">
              <w:rPr>
                <w:b/>
                <w:bCs/>
                <w:sz w:val="30"/>
                <w:szCs w:val="30"/>
              </w:rPr>
              <w:t>Consejo 20</w:t>
            </w:r>
            <w:r w:rsidR="007955DA" w:rsidRPr="003B6445">
              <w:rPr>
                <w:b/>
                <w:bCs/>
                <w:sz w:val="30"/>
                <w:szCs w:val="30"/>
              </w:rPr>
              <w:t>2</w:t>
            </w:r>
            <w:r w:rsidR="00D50A36" w:rsidRPr="003B6445">
              <w:rPr>
                <w:b/>
                <w:bCs/>
                <w:sz w:val="30"/>
                <w:szCs w:val="30"/>
              </w:rPr>
              <w:t>2</w:t>
            </w:r>
            <w:r w:rsidRPr="003B6445">
              <w:rPr>
                <w:b/>
                <w:bCs/>
                <w:sz w:val="26"/>
                <w:szCs w:val="26"/>
              </w:rPr>
              <w:br/>
            </w:r>
            <w:r w:rsidR="00D50A36" w:rsidRPr="003B6445">
              <w:rPr>
                <w:b/>
                <w:bCs/>
                <w:sz w:val="26"/>
                <w:szCs w:val="26"/>
              </w:rPr>
              <w:t>Ginebra</w:t>
            </w:r>
            <w:r w:rsidRPr="003B6445">
              <w:rPr>
                <w:b/>
                <w:bCs/>
                <w:sz w:val="26"/>
                <w:szCs w:val="26"/>
              </w:rPr>
              <w:t xml:space="preserve">, </w:t>
            </w:r>
            <w:r w:rsidR="00D50A36" w:rsidRPr="003B6445">
              <w:rPr>
                <w:b/>
                <w:bCs/>
                <w:sz w:val="26"/>
                <w:szCs w:val="26"/>
              </w:rPr>
              <w:t>21</w:t>
            </w:r>
            <w:r w:rsidRPr="003B6445">
              <w:rPr>
                <w:b/>
                <w:bCs/>
                <w:sz w:val="26"/>
                <w:szCs w:val="26"/>
              </w:rPr>
              <w:t>-</w:t>
            </w:r>
            <w:r w:rsidR="00D50A36" w:rsidRPr="003B6445">
              <w:rPr>
                <w:b/>
                <w:bCs/>
                <w:sz w:val="26"/>
                <w:szCs w:val="26"/>
              </w:rPr>
              <w:t>31</w:t>
            </w:r>
            <w:r w:rsidRPr="003B6445">
              <w:rPr>
                <w:b/>
                <w:bCs/>
                <w:sz w:val="26"/>
                <w:szCs w:val="26"/>
              </w:rPr>
              <w:t xml:space="preserve"> de </w:t>
            </w:r>
            <w:r w:rsidR="00D50A36" w:rsidRPr="003B6445">
              <w:rPr>
                <w:b/>
                <w:bCs/>
                <w:sz w:val="26"/>
                <w:szCs w:val="26"/>
              </w:rPr>
              <w:t>marzo</w:t>
            </w:r>
            <w:r w:rsidRPr="003B6445">
              <w:rPr>
                <w:b/>
                <w:bCs/>
                <w:sz w:val="26"/>
                <w:szCs w:val="26"/>
              </w:rPr>
              <w:t xml:space="preserve"> de 20</w:t>
            </w:r>
            <w:r w:rsidR="007955DA" w:rsidRPr="003B6445">
              <w:rPr>
                <w:b/>
                <w:bCs/>
                <w:sz w:val="26"/>
                <w:szCs w:val="26"/>
              </w:rPr>
              <w:t>2</w:t>
            </w:r>
            <w:r w:rsidR="00D50A36" w:rsidRPr="003B6445">
              <w:rPr>
                <w:b/>
                <w:bCs/>
                <w:sz w:val="26"/>
                <w:szCs w:val="26"/>
              </w:rPr>
              <w:t>2</w:t>
            </w:r>
          </w:p>
        </w:tc>
        <w:tc>
          <w:tcPr>
            <w:tcW w:w="3261" w:type="dxa"/>
          </w:tcPr>
          <w:p w14:paraId="538BCE23" w14:textId="77777777" w:rsidR="00093EEB" w:rsidRPr="003B6445" w:rsidRDefault="007955DA" w:rsidP="007955DA">
            <w:pPr>
              <w:spacing w:before="0"/>
              <w:rPr>
                <w:szCs w:val="24"/>
              </w:rPr>
            </w:pPr>
            <w:bookmarkStart w:id="2" w:name="ditulogo"/>
            <w:bookmarkEnd w:id="2"/>
            <w:r w:rsidRPr="003B6445">
              <w:rPr>
                <w:noProof/>
                <w:lang w:eastAsia="zh-CN"/>
              </w:rPr>
              <w:drawing>
                <wp:inline distT="0" distB="0" distL="0" distR="0" wp14:anchorId="160EA445" wp14:editId="4AC097C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3B6445" w14:paraId="3763409F" w14:textId="77777777">
        <w:trPr>
          <w:cantSplit/>
          <w:trHeight w:val="20"/>
        </w:trPr>
        <w:tc>
          <w:tcPr>
            <w:tcW w:w="10173" w:type="dxa"/>
            <w:gridSpan w:val="2"/>
            <w:tcBorders>
              <w:bottom w:val="single" w:sz="12" w:space="0" w:color="auto"/>
            </w:tcBorders>
          </w:tcPr>
          <w:p w14:paraId="23BD7CA3" w14:textId="77777777" w:rsidR="00093EEB" w:rsidRPr="003B6445" w:rsidRDefault="00093EEB">
            <w:pPr>
              <w:spacing w:before="0"/>
              <w:rPr>
                <w:b/>
                <w:bCs/>
                <w:szCs w:val="24"/>
              </w:rPr>
            </w:pPr>
          </w:p>
        </w:tc>
      </w:tr>
      <w:tr w:rsidR="00093EEB" w:rsidRPr="003B6445" w14:paraId="7535B911" w14:textId="77777777">
        <w:trPr>
          <w:cantSplit/>
          <w:trHeight w:val="20"/>
        </w:trPr>
        <w:tc>
          <w:tcPr>
            <w:tcW w:w="6912" w:type="dxa"/>
            <w:tcBorders>
              <w:top w:val="single" w:sz="12" w:space="0" w:color="auto"/>
            </w:tcBorders>
          </w:tcPr>
          <w:p w14:paraId="75B2F192" w14:textId="77777777" w:rsidR="00093EEB" w:rsidRPr="003B644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CEA57C3" w14:textId="77777777" w:rsidR="00093EEB" w:rsidRPr="003B6445" w:rsidRDefault="00093EEB">
            <w:pPr>
              <w:spacing w:before="0"/>
              <w:rPr>
                <w:b/>
                <w:bCs/>
                <w:szCs w:val="24"/>
              </w:rPr>
            </w:pPr>
          </w:p>
        </w:tc>
      </w:tr>
      <w:tr w:rsidR="00093EEB" w:rsidRPr="003B6445" w14:paraId="41EC7895" w14:textId="77777777">
        <w:trPr>
          <w:cantSplit/>
          <w:trHeight w:val="20"/>
        </w:trPr>
        <w:tc>
          <w:tcPr>
            <w:tcW w:w="6912" w:type="dxa"/>
            <w:shd w:val="clear" w:color="auto" w:fill="auto"/>
          </w:tcPr>
          <w:p w14:paraId="2909AA4D" w14:textId="67571436" w:rsidR="00093EEB" w:rsidRPr="003B6445" w:rsidRDefault="003B6445">
            <w:pPr>
              <w:tabs>
                <w:tab w:val="clear" w:pos="2268"/>
                <w:tab w:val="left" w:pos="1560"/>
                <w:tab w:val="left" w:pos="2269"/>
                <w:tab w:val="left" w:pos="3544"/>
                <w:tab w:val="left" w:pos="3969"/>
              </w:tabs>
              <w:spacing w:before="0" w:line="240" w:lineRule="atLeast"/>
              <w:rPr>
                <w:rFonts w:cs="Times"/>
                <w:b/>
                <w:szCs w:val="24"/>
              </w:rPr>
            </w:pPr>
            <w:bookmarkStart w:id="3" w:name="lt_pId005"/>
            <w:bookmarkStart w:id="4" w:name="dnum" w:colFirst="1" w:colLast="1"/>
            <w:bookmarkStart w:id="5" w:name="dmeeting" w:colFirst="0" w:colLast="0"/>
            <w:r w:rsidRPr="003B6445">
              <w:rPr>
                <w:b/>
              </w:rPr>
              <w:t>Punto del orden del día</w:t>
            </w:r>
            <w:r w:rsidR="00E400BA" w:rsidRPr="003B6445">
              <w:rPr>
                <w:b/>
              </w:rPr>
              <w:t>: PL 2.5</w:t>
            </w:r>
            <w:bookmarkEnd w:id="3"/>
          </w:p>
        </w:tc>
        <w:tc>
          <w:tcPr>
            <w:tcW w:w="3261" w:type="dxa"/>
          </w:tcPr>
          <w:p w14:paraId="72D71FD1" w14:textId="17C901AB" w:rsidR="00093EEB" w:rsidRPr="003B6445" w:rsidRDefault="00A068D1" w:rsidP="00C2727F">
            <w:pPr>
              <w:spacing w:before="0"/>
              <w:rPr>
                <w:b/>
                <w:bCs/>
                <w:szCs w:val="24"/>
              </w:rPr>
            </w:pPr>
            <w:r>
              <w:rPr>
                <w:b/>
                <w:bCs/>
                <w:szCs w:val="24"/>
              </w:rPr>
              <w:t xml:space="preserve">Revisión 1 al </w:t>
            </w:r>
            <w:r>
              <w:rPr>
                <w:b/>
                <w:bCs/>
                <w:szCs w:val="24"/>
              </w:rPr>
              <w:br/>
            </w:r>
            <w:r w:rsidR="00093EEB" w:rsidRPr="003B6445">
              <w:rPr>
                <w:b/>
                <w:bCs/>
                <w:szCs w:val="24"/>
              </w:rPr>
              <w:t>Documento C</w:t>
            </w:r>
            <w:r w:rsidR="007955DA" w:rsidRPr="003B6445">
              <w:rPr>
                <w:b/>
                <w:bCs/>
                <w:szCs w:val="24"/>
              </w:rPr>
              <w:t>2</w:t>
            </w:r>
            <w:r w:rsidR="00D50A36" w:rsidRPr="003B6445">
              <w:rPr>
                <w:b/>
                <w:bCs/>
                <w:szCs w:val="24"/>
              </w:rPr>
              <w:t>2</w:t>
            </w:r>
            <w:r w:rsidR="00093EEB" w:rsidRPr="003B6445">
              <w:rPr>
                <w:b/>
                <w:bCs/>
                <w:szCs w:val="24"/>
              </w:rPr>
              <w:t>/</w:t>
            </w:r>
            <w:r w:rsidR="00E400BA" w:rsidRPr="003B6445">
              <w:rPr>
                <w:b/>
                <w:bCs/>
                <w:szCs w:val="24"/>
              </w:rPr>
              <w:t>24</w:t>
            </w:r>
            <w:r w:rsidR="00093EEB" w:rsidRPr="003B6445">
              <w:rPr>
                <w:b/>
                <w:bCs/>
                <w:szCs w:val="24"/>
              </w:rPr>
              <w:t>-S</w:t>
            </w:r>
          </w:p>
        </w:tc>
      </w:tr>
      <w:tr w:rsidR="00093EEB" w:rsidRPr="003B6445" w14:paraId="5E7A63C5" w14:textId="77777777">
        <w:trPr>
          <w:cantSplit/>
          <w:trHeight w:val="20"/>
        </w:trPr>
        <w:tc>
          <w:tcPr>
            <w:tcW w:w="6912" w:type="dxa"/>
            <w:shd w:val="clear" w:color="auto" w:fill="auto"/>
          </w:tcPr>
          <w:p w14:paraId="27DAB616" w14:textId="77777777" w:rsidR="00093EEB" w:rsidRPr="003B6445" w:rsidRDefault="00093EEB">
            <w:pPr>
              <w:shd w:val="solid" w:color="FFFFFF" w:fill="FFFFFF"/>
              <w:spacing w:before="0"/>
              <w:rPr>
                <w:smallCaps/>
                <w:szCs w:val="24"/>
              </w:rPr>
            </w:pPr>
            <w:bookmarkStart w:id="6" w:name="ddate" w:colFirst="1" w:colLast="1"/>
            <w:bookmarkEnd w:id="4"/>
            <w:bookmarkEnd w:id="5"/>
          </w:p>
        </w:tc>
        <w:tc>
          <w:tcPr>
            <w:tcW w:w="3261" w:type="dxa"/>
          </w:tcPr>
          <w:p w14:paraId="0C882830" w14:textId="2AA54701" w:rsidR="00093EEB" w:rsidRPr="003B6445" w:rsidRDefault="00A068D1" w:rsidP="00C2727F">
            <w:pPr>
              <w:spacing w:before="0"/>
              <w:rPr>
                <w:b/>
                <w:bCs/>
                <w:szCs w:val="24"/>
              </w:rPr>
            </w:pPr>
            <w:r>
              <w:rPr>
                <w:b/>
                <w:bCs/>
                <w:szCs w:val="24"/>
              </w:rPr>
              <w:t>22</w:t>
            </w:r>
            <w:r w:rsidR="00E400BA" w:rsidRPr="003B6445">
              <w:rPr>
                <w:b/>
                <w:bCs/>
                <w:szCs w:val="24"/>
              </w:rPr>
              <w:t xml:space="preserve"> de marzo</w:t>
            </w:r>
            <w:r w:rsidR="00093EEB" w:rsidRPr="003B6445">
              <w:rPr>
                <w:b/>
                <w:bCs/>
                <w:szCs w:val="24"/>
              </w:rPr>
              <w:t xml:space="preserve"> de 20</w:t>
            </w:r>
            <w:r w:rsidR="007955DA" w:rsidRPr="003B6445">
              <w:rPr>
                <w:b/>
                <w:bCs/>
                <w:szCs w:val="24"/>
              </w:rPr>
              <w:t>2</w:t>
            </w:r>
            <w:r w:rsidR="00E400BA" w:rsidRPr="003B6445">
              <w:rPr>
                <w:b/>
                <w:bCs/>
                <w:szCs w:val="24"/>
              </w:rPr>
              <w:t>2</w:t>
            </w:r>
          </w:p>
        </w:tc>
      </w:tr>
      <w:tr w:rsidR="00093EEB" w:rsidRPr="003B6445" w14:paraId="7E27F36E" w14:textId="77777777">
        <w:trPr>
          <w:cantSplit/>
          <w:trHeight w:val="20"/>
        </w:trPr>
        <w:tc>
          <w:tcPr>
            <w:tcW w:w="6912" w:type="dxa"/>
            <w:shd w:val="clear" w:color="auto" w:fill="auto"/>
          </w:tcPr>
          <w:p w14:paraId="18526E76" w14:textId="77777777" w:rsidR="00093EEB" w:rsidRPr="003B6445" w:rsidRDefault="00093EEB">
            <w:pPr>
              <w:shd w:val="solid" w:color="FFFFFF" w:fill="FFFFFF"/>
              <w:spacing w:before="0"/>
              <w:rPr>
                <w:smallCaps/>
                <w:szCs w:val="24"/>
              </w:rPr>
            </w:pPr>
            <w:bookmarkStart w:id="7" w:name="dorlang" w:colFirst="1" w:colLast="1"/>
            <w:bookmarkEnd w:id="6"/>
          </w:p>
        </w:tc>
        <w:tc>
          <w:tcPr>
            <w:tcW w:w="3261" w:type="dxa"/>
          </w:tcPr>
          <w:p w14:paraId="2D645BF1" w14:textId="77777777" w:rsidR="00093EEB" w:rsidRPr="003B6445" w:rsidRDefault="00093EEB" w:rsidP="00093EEB">
            <w:pPr>
              <w:spacing w:before="0"/>
              <w:rPr>
                <w:b/>
                <w:bCs/>
                <w:szCs w:val="24"/>
              </w:rPr>
            </w:pPr>
            <w:r w:rsidRPr="003B6445">
              <w:rPr>
                <w:b/>
                <w:bCs/>
                <w:szCs w:val="24"/>
              </w:rPr>
              <w:t>Original: inglés</w:t>
            </w:r>
          </w:p>
        </w:tc>
      </w:tr>
      <w:tr w:rsidR="00093EEB" w:rsidRPr="003B6445" w14:paraId="2CFEBF21" w14:textId="77777777">
        <w:trPr>
          <w:cantSplit/>
        </w:trPr>
        <w:tc>
          <w:tcPr>
            <w:tcW w:w="10173" w:type="dxa"/>
            <w:gridSpan w:val="2"/>
          </w:tcPr>
          <w:p w14:paraId="5DB2BCB8" w14:textId="38D824DF" w:rsidR="00093EEB" w:rsidRPr="003B6445" w:rsidRDefault="003A1149">
            <w:pPr>
              <w:pStyle w:val="Source"/>
            </w:pPr>
            <w:bookmarkStart w:id="8" w:name="dsource" w:colFirst="0" w:colLast="0"/>
            <w:bookmarkEnd w:id="1"/>
            <w:bookmarkEnd w:id="7"/>
            <w:r w:rsidRPr="003B6445">
              <w:t>Informe del Secretario General</w:t>
            </w:r>
          </w:p>
        </w:tc>
      </w:tr>
      <w:tr w:rsidR="00093EEB" w:rsidRPr="003B6445" w14:paraId="796553DF" w14:textId="77777777">
        <w:trPr>
          <w:cantSplit/>
        </w:trPr>
        <w:tc>
          <w:tcPr>
            <w:tcW w:w="10173" w:type="dxa"/>
            <w:gridSpan w:val="2"/>
          </w:tcPr>
          <w:p w14:paraId="43F71820" w14:textId="358439A7" w:rsidR="00093EEB" w:rsidRPr="003B6445" w:rsidRDefault="003A1149">
            <w:pPr>
              <w:pStyle w:val="Title1"/>
            </w:pPr>
            <w:bookmarkStart w:id="9" w:name="dtitle1" w:colFirst="0" w:colLast="0"/>
            <w:bookmarkEnd w:id="8"/>
            <w:r w:rsidRPr="003B6445">
              <w:t>informe sobre el Simposio Mundial de Normalización (SMN-</w:t>
            </w:r>
            <w:r w:rsidR="00881305" w:rsidRPr="003B6445">
              <w:t>20</w:t>
            </w:r>
            <w:r w:rsidRPr="003B6445">
              <w:t>)</w:t>
            </w:r>
            <w:r w:rsidR="00B1479B" w:rsidRPr="003B6445">
              <w:br/>
            </w:r>
            <w:r w:rsidRPr="003B6445">
              <w:t>y la Asamblea Mundial de Normalización</w:t>
            </w:r>
            <w:r w:rsidR="00B1479B" w:rsidRPr="003B6445">
              <w:br/>
            </w:r>
            <w:r w:rsidRPr="003B6445">
              <w:t>de las Telecomunicaciones (amnt-</w:t>
            </w:r>
            <w:r w:rsidR="00881305" w:rsidRPr="003B6445">
              <w:t>20</w:t>
            </w:r>
            <w:r w:rsidRPr="003B6445">
              <w:t>)</w:t>
            </w:r>
          </w:p>
        </w:tc>
      </w:tr>
      <w:bookmarkEnd w:id="9"/>
    </w:tbl>
    <w:p w14:paraId="3F4F8075" w14:textId="77777777" w:rsidR="00093EEB" w:rsidRPr="003B6445"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B6445" w14:paraId="05A3E07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7FFD873" w14:textId="77777777" w:rsidR="00093EEB" w:rsidRPr="003B6445" w:rsidRDefault="00093EEB" w:rsidP="00B1479B">
            <w:pPr>
              <w:pStyle w:val="Headingb"/>
            </w:pPr>
            <w:r w:rsidRPr="003B6445">
              <w:t>Resumen</w:t>
            </w:r>
          </w:p>
          <w:p w14:paraId="5D1FACB6" w14:textId="4D44979D" w:rsidR="00093EEB" w:rsidRPr="003B6445" w:rsidRDefault="003A1149" w:rsidP="00B1479B">
            <w:r w:rsidRPr="003B6445">
              <w:t>El presente documento contiene un resumen del SMN-</w:t>
            </w:r>
            <w:r w:rsidR="00881305" w:rsidRPr="003B6445">
              <w:t>20</w:t>
            </w:r>
            <w:r w:rsidRPr="003B6445">
              <w:t xml:space="preserve"> y de la AMNT-</w:t>
            </w:r>
            <w:r w:rsidR="00881305" w:rsidRPr="003B6445">
              <w:t>20</w:t>
            </w:r>
            <w:r w:rsidRPr="003B6445">
              <w:t>.</w:t>
            </w:r>
          </w:p>
          <w:p w14:paraId="2331A267" w14:textId="77777777" w:rsidR="00093EEB" w:rsidRPr="003B6445" w:rsidRDefault="00093EEB" w:rsidP="00B1479B">
            <w:pPr>
              <w:pStyle w:val="Headingb"/>
            </w:pPr>
            <w:r w:rsidRPr="003B6445">
              <w:t>Acción solicitada</w:t>
            </w:r>
          </w:p>
          <w:p w14:paraId="42300C8E" w14:textId="6D7EC2AF" w:rsidR="00093EEB" w:rsidRPr="003B6445" w:rsidRDefault="003A1149" w:rsidP="00B1479B">
            <w:bookmarkStart w:id="10" w:name="lt_pId017"/>
            <w:r w:rsidRPr="003B6445">
              <w:t xml:space="preserve">Se </w:t>
            </w:r>
            <w:r w:rsidR="00881305" w:rsidRPr="003B6445">
              <w:t>solicita</w:t>
            </w:r>
            <w:r w:rsidRPr="003B6445">
              <w:t xml:space="preserve"> al Consejo que </w:t>
            </w:r>
            <w:r w:rsidRPr="003B6445">
              <w:rPr>
                <w:b/>
                <w:bCs/>
              </w:rPr>
              <w:t>tome nota</w:t>
            </w:r>
            <w:r w:rsidRPr="003B6445">
              <w:t xml:space="preserve"> del Informe. </w:t>
            </w:r>
            <w:r w:rsidR="00881305" w:rsidRPr="003B6445">
              <w:t xml:space="preserve">El </w:t>
            </w:r>
            <w:r w:rsidRPr="003B6445">
              <w:t>punto 2.</w:t>
            </w:r>
            <w:r w:rsidR="00881305" w:rsidRPr="003B6445">
              <w:t>2</w:t>
            </w:r>
            <w:r w:rsidRPr="003B6445">
              <w:t xml:space="preserve"> se debatirá en el punto del orden del día sobre el presupuesto</w:t>
            </w:r>
            <w:bookmarkStart w:id="11" w:name="lt_pId018"/>
            <w:bookmarkEnd w:id="10"/>
            <w:r w:rsidRPr="003B6445">
              <w:t>.</w:t>
            </w:r>
            <w:bookmarkEnd w:id="11"/>
          </w:p>
          <w:p w14:paraId="485E73D5" w14:textId="77777777" w:rsidR="00093EEB" w:rsidRPr="003B6445" w:rsidRDefault="00093EEB" w:rsidP="00B1479B">
            <w:pPr>
              <w:pStyle w:val="Table"/>
              <w:keepNext w:val="0"/>
              <w:spacing w:before="0" w:after="0"/>
              <w:rPr>
                <w:caps w:val="0"/>
                <w:sz w:val="22"/>
                <w:lang w:val="es-ES_tradnl"/>
              </w:rPr>
            </w:pPr>
            <w:r w:rsidRPr="003B6445">
              <w:rPr>
                <w:caps w:val="0"/>
                <w:sz w:val="22"/>
                <w:lang w:val="es-ES_tradnl"/>
              </w:rPr>
              <w:t>____________</w:t>
            </w:r>
          </w:p>
          <w:p w14:paraId="6A8EA0D2" w14:textId="02878477" w:rsidR="00093EEB" w:rsidRPr="003B6445" w:rsidRDefault="00093EEB" w:rsidP="00B1479B">
            <w:pPr>
              <w:pStyle w:val="Headingb"/>
            </w:pPr>
            <w:r w:rsidRPr="003B6445">
              <w:t>Referencia</w:t>
            </w:r>
            <w:r w:rsidR="00480311" w:rsidRPr="003B6445">
              <w:t>s</w:t>
            </w:r>
          </w:p>
          <w:p w14:paraId="2CCD0D3E" w14:textId="769982A5" w:rsidR="00480311" w:rsidRPr="003B6445" w:rsidRDefault="0043054B" w:rsidP="00B1479B">
            <w:pPr>
              <w:pStyle w:val="Index1"/>
              <w:spacing w:before="0"/>
            </w:pPr>
            <w:hyperlink r:id="rId7" w:history="1">
              <w:bookmarkStart w:id="12" w:name="lt_pId019"/>
              <w:r w:rsidR="003A1149" w:rsidRPr="003B6445">
                <w:rPr>
                  <w:rStyle w:val="Hyperlink"/>
                  <w:szCs w:val="24"/>
                </w:rPr>
                <w:t>https://wtsa.itu.int/</w:t>
              </w:r>
              <w:bookmarkEnd w:id="12"/>
            </w:hyperlink>
          </w:p>
          <w:bookmarkStart w:id="13" w:name="lt_pId020"/>
          <w:p w14:paraId="468D0808" w14:textId="77777777" w:rsidR="009F1032" w:rsidRDefault="00480311" w:rsidP="00B1479B">
            <w:pPr>
              <w:pStyle w:val="Index1"/>
              <w:spacing w:before="0"/>
              <w:rPr>
                <w:spacing w:val="-4"/>
                <w:szCs w:val="24"/>
              </w:rPr>
            </w:pPr>
            <w:r w:rsidRPr="009F1032">
              <w:rPr>
                <w:spacing w:val="-4"/>
                <w:szCs w:val="24"/>
              </w:rPr>
              <w:fldChar w:fldCharType="begin"/>
            </w:r>
            <w:r w:rsidRPr="009F1032">
              <w:rPr>
                <w:spacing w:val="-4"/>
                <w:szCs w:val="24"/>
              </w:rPr>
              <w:instrText xml:space="preserve"> HYPERLINK "https://gss.itu.int/" </w:instrText>
            </w:r>
            <w:r w:rsidRPr="009F1032">
              <w:rPr>
                <w:spacing w:val="-4"/>
                <w:szCs w:val="24"/>
              </w:rPr>
              <w:fldChar w:fldCharType="separate"/>
            </w:r>
            <w:r w:rsidRPr="009F1032">
              <w:rPr>
                <w:rStyle w:val="Hyperlink"/>
                <w:spacing w:val="-4"/>
                <w:szCs w:val="24"/>
              </w:rPr>
              <w:t>https://gss.itu.int/</w:t>
            </w:r>
            <w:bookmarkEnd w:id="13"/>
            <w:r w:rsidRPr="009F1032">
              <w:rPr>
                <w:spacing w:val="-4"/>
                <w:szCs w:val="24"/>
              </w:rPr>
              <w:fldChar w:fldCharType="end"/>
            </w:r>
          </w:p>
          <w:p w14:paraId="702130C5" w14:textId="10D6B2B6" w:rsidR="00480311" w:rsidRPr="009F1032" w:rsidRDefault="0043054B" w:rsidP="00B1479B">
            <w:pPr>
              <w:pStyle w:val="Index1"/>
              <w:spacing w:before="0"/>
              <w:rPr>
                <w:spacing w:val="-4"/>
              </w:rPr>
            </w:pPr>
            <w:hyperlink r:id="rId8" w:history="1">
              <w:r w:rsidR="00881305" w:rsidRPr="00CF28F4">
                <w:rPr>
                  <w:rStyle w:val="Hyperlink"/>
                  <w:spacing w:val="-4"/>
                  <w:szCs w:val="24"/>
                </w:rPr>
                <w:t>Informe de la Comisión</w:t>
              </w:r>
              <w:bookmarkStart w:id="14" w:name="lt_pId021"/>
              <w:r w:rsidR="003A1149" w:rsidRPr="00CF28F4">
                <w:rPr>
                  <w:rStyle w:val="Hyperlink"/>
                  <w:spacing w:val="-4"/>
                  <w:szCs w:val="24"/>
                </w:rPr>
                <w:t xml:space="preserve"> 2 (</w:t>
              </w:r>
              <w:r w:rsidR="00881305" w:rsidRPr="00CF28F4">
                <w:rPr>
                  <w:rStyle w:val="Hyperlink"/>
                  <w:spacing w:val="-4"/>
                  <w:szCs w:val="24"/>
                </w:rPr>
                <w:t>Control del Presupuesto</w:t>
              </w:r>
              <w:r w:rsidR="003A1149" w:rsidRPr="00CF28F4">
                <w:rPr>
                  <w:rStyle w:val="Hyperlink"/>
                  <w:spacing w:val="-4"/>
                  <w:szCs w:val="24"/>
                </w:rPr>
                <w:t xml:space="preserve">) </w:t>
              </w:r>
              <w:r w:rsidR="00881305" w:rsidRPr="00CF28F4">
                <w:rPr>
                  <w:rStyle w:val="Hyperlink"/>
                  <w:spacing w:val="-4"/>
                  <w:szCs w:val="24"/>
                </w:rPr>
                <w:t>a la</w:t>
              </w:r>
              <w:r w:rsidR="003A1149" w:rsidRPr="00CF28F4">
                <w:rPr>
                  <w:rStyle w:val="Hyperlink"/>
                  <w:spacing w:val="-4"/>
                  <w:szCs w:val="24"/>
                </w:rPr>
                <w:t xml:space="preserve"> Plenar</w:t>
              </w:r>
              <w:r w:rsidR="00881305" w:rsidRPr="00CF28F4">
                <w:rPr>
                  <w:rStyle w:val="Hyperlink"/>
                  <w:spacing w:val="-4"/>
                  <w:szCs w:val="24"/>
                </w:rPr>
                <w:t>ia</w:t>
              </w:r>
              <w:bookmarkEnd w:id="14"/>
            </w:hyperlink>
          </w:p>
          <w:p w14:paraId="68B1BCC6" w14:textId="449BA2C5" w:rsidR="00093EEB" w:rsidRPr="003B6445" w:rsidRDefault="0043054B" w:rsidP="00B1479B">
            <w:pPr>
              <w:pStyle w:val="Index1"/>
              <w:spacing w:before="0"/>
              <w:rPr>
                <w:i/>
                <w:iCs/>
              </w:rPr>
            </w:pPr>
            <w:hyperlink r:id="rId9" w:history="1">
              <w:bookmarkStart w:id="15" w:name="lt_pId022"/>
              <w:r w:rsidR="003A1149" w:rsidRPr="003B6445">
                <w:rPr>
                  <w:rStyle w:val="Hyperlink"/>
                  <w:szCs w:val="24"/>
                </w:rPr>
                <w:t>C22/INF/14</w:t>
              </w:r>
              <w:bookmarkEnd w:id="15"/>
            </w:hyperlink>
          </w:p>
        </w:tc>
      </w:tr>
    </w:tbl>
    <w:p w14:paraId="308C3BCD" w14:textId="74568BD9" w:rsidR="003A1149" w:rsidRPr="003B6445" w:rsidRDefault="003A1149" w:rsidP="00B1479B">
      <w:pPr>
        <w:pStyle w:val="Heading1"/>
      </w:pPr>
      <w:r w:rsidRPr="003B6445">
        <w:t>1</w:t>
      </w:r>
      <w:r w:rsidRPr="003B6445">
        <w:tab/>
      </w:r>
      <w:bookmarkStart w:id="16" w:name="lt_pId024"/>
      <w:r w:rsidR="00881305" w:rsidRPr="003B6445">
        <w:t>Simposio Mundial de Normalización</w:t>
      </w:r>
      <w:r w:rsidRPr="003B6445">
        <w:t xml:space="preserve"> (</w:t>
      </w:r>
      <w:r w:rsidR="00881305" w:rsidRPr="003B6445">
        <w:t>SMN</w:t>
      </w:r>
      <w:r w:rsidRPr="003B6445">
        <w:t>-20)</w:t>
      </w:r>
      <w:bookmarkEnd w:id="16"/>
    </w:p>
    <w:p w14:paraId="7E36C41E" w14:textId="4118CF1F" w:rsidR="007955DA" w:rsidRPr="003B6445" w:rsidRDefault="004764DC" w:rsidP="00B1479B">
      <w:r w:rsidRPr="003B6445">
        <w:t>1.1</w:t>
      </w:r>
      <w:r w:rsidRPr="003B6445">
        <w:tab/>
      </w:r>
      <w:r w:rsidR="003A1149" w:rsidRPr="003B6445">
        <w:t xml:space="preserve">El </w:t>
      </w:r>
      <w:hyperlink r:id="rId10">
        <w:r w:rsidR="003A1149" w:rsidRPr="00CF28F4">
          <w:rPr>
            <w:rStyle w:val="Hyperlink"/>
          </w:rPr>
          <w:t>cuarto Simposio Mundial de Normalización (SMN-20)</w:t>
        </w:r>
      </w:hyperlink>
      <w:r w:rsidR="003A1149" w:rsidRPr="003B6445">
        <w:t xml:space="preserve">, celebrado el 28 de febrero de 2022 en Ginebra (Suiza), congregó a líderes de opinión en el ámbito de la normalización para discutir acerca de las normas internacionales que pueden permitir la transformación digital </w:t>
      </w:r>
      <w:r w:rsidR="00881305" w:rsidRPr="003B6445">
        <w:t>y</w:t>
      </w:r>
      <w:r w:rsidR="003A1149" w:rsidRPr="003B6445">
        <w:t xml:space="preserve"> lograr los Objetivos de Desarrollo Sostenible (ODS).</w:t>
      </w:r>
    </w:p>
    <w:p w14:paraId="745D9C1B" w14:textId="635810A3" w:rsidR="004764DC" w:rsidRPr="003B6445" w:rsidRDefault="004764DC" w:rsidP="00B1479B">
      <w:r w:rsidRPr="003B6445">
        <w:t>1.2</w:t>
      </w:r>
      <w:r w:rsidRPr="003B6445">
        <w:tab/>
      </w:r>
      <w:bookmarkStart w:id="17" w:name="lt_pId028"/>
      <w:r w:rsidR="00881305" w:rsidRPr="003B6445">
        <w:t>El SMN</w:t>
      </w:r>
      <w:r w:rsidRPr="003B6445">
        <w:t xml:space="preserve">-20 </w:t>
      </w:r>
      <w:r w:rsidR="00881305" w:rsidRPr="003B6445">
        <w:t xml:space="preserve">produjo un </w:t>
      </w:r>
      <w:hyperlink r:id="rId11" w:history="1">
        <w:r w:rsidR="00881305" w:rsidRPr="003B6445">
          <w:rPr>
            <w:rStyle w:val="Hyperlink"/>
          </w:rPr>
          <w:t>documento de resultados</w:t>
        </w:r>
      </w:hyperlink>
      <w:r w:rsidRPr="003B6445">
        <w:t xml:space="preserve">, </w:t>
      </w:r>
      <w:r w:rsidR="00881305" w:rsidRPr="003B6445">
        <w:t>adoptado por la AMNT</w:t>
      </w:r>
      <w:r w:rsidRPr="003B6445">
        <w:t xml:space="preserve">-20, </w:t>
      </w:r>
      <w:r w:rsidR="00881305" w:rsidRPr="003B6445">
        <w:t>que demuestra cómo las normas pueden cambiar el mundo aprovechando las tecnologías incipientes, la innovación y la inteligencia artificial en pro de sectores como la atención sanitaria, los servicios financieros, la seguridad vial y la agricultura</w:t>
      </w:r>
      <w:r w:rsidRPr="003B6445">
        <w:t>.</w:t>
      </w:r>
      <w:bookmarkEnd w:id="17"/>
    </w:p>
    <w:p w14:paraId="0419FBCE" w14:textId="42A1548E" w:rsidR="00F55E6F" w:rsidRPr="002A6506" w:rsidRDefault="00F55E6F" w:rsidP="00B1479B">
      <w:pPr>
        <w:rPr>
          <w:rFonts w:asciiTheme="minorHAnsi" w:hAnsiTheme="minorHAnsi" w:cstheme="minorHAnsi"/>
        </w:rPr>
      </w:pPr>
      <w:r w:rsidRPr="003B6445">
        <w:t>1.3</w:t>
      </w:r>
      <w:r w:rsidRPr="003B6445">
        <w:tab/>
        <w:t>El SMN-20 sentó las bases de cómo las partes interesadas podrían trabajar en colaboración para establecer normas, directrices y marcos internacionales que impulsen la transformación digital para los Objetivos de Desarrollo Sostenible (ODS</w:t>
      </w:r>
      <w:r w:rsidRPr="002A6506">
        <w:rPr>
          <w:rFonts w:asciiTheme="minorHAnsi" w:hAnsiTheme="minorHAnsi" w:cstheme="minorHAnsi"/>
        </w:rPr>
        <w:t xml:space="preserve">) recogidos en la </w:t>
      </w:r>
      <w:hyperlink r:id="rId12" w:history="1">
        <w:r w:rsidRPr="004D23F3">
          <w:rPr>
            <w:rStyle w:val="Hyperlink"/>
          </w:rPr>
          <w:t xml:space="preserve">Agenda 2030 para el </w:t>
        </w:r>
        <w:r w:rsidRPr="004D23F3">
          <w:rPr>
            <w:rStyle w:val="Hyperlink"/>
          </w:rPr>
          <w:lastRenderedPageBreak/>
          <w:t>Desarrollo Sostenible</w:t>
        </w:r>
      </w:hyperlink>
      <w:r w:rsidRPr="002A6506">
        <w:rPr>
          <w:rFonts w:asciiTheme="minorHAnsi" w:hAnsiTheme="minorHAnsi" w:cstheme="minorHAnsi"/>
        </w:rPr>
        <w:t xml:space="preserve">, el </w:t>
      </w:r>
      <w:hyperlink r:id="rId13" w:history="1">
        <w:r w:rsidRPr="004D23F3">
          <w:rPr>
            <w:rStyle w:val="Hyperlink"/>
          </w:rPr>
          <w:t>Pacto de Glasgow por el Clima</w:t>
        </w:r>
      </w:hyperlink>
      <w:r w:rsidRPr="002A6506">
        <w:rPr>
          <w:rFonts w:asciiTheme="minorHAnsi" w:hAnsiTheme="minorHAnsi" w:cstheme="minorHAnsi"/>
        </w:rPr>
        <w:t xml:space="preserve">, el </w:t>
      </w:r>
      <w:hyperlink r:id="rId14" w:history="1">
        <w:r w:rsidRPr="004D23F3">
          <w:rPr>
            <w:rStyle w:val="Hyperlink"/>
          </w:rPr>
          <w:t>Acuerdo de París</w:t>
        </w:r>
      </w:hyperlink>
      <w:r w:rsidRPr="002A6506">
        <w:rPr>
          <w:rFonts w:asciiTheme="minorHAnsi" w:hAnsiTheme="minorHAnsi" w:cstheme="minorHAnsi"/>
        </w:rPr>
        <w:t xml:space="preserve"> y las </w:t>
      </w:r>
      <w:hyperlink r:id="rId15" w:history="1">
        <w:r w:rsidRPr="004D23F3">
          <w:rPr>
            <w:rStyle w:val="Hyperlink"/>
          </w:rPr>
          <w:t>Líneas de Acción de la Cumbre Mundial sobre la Sociedad de la Información (CMSI)</w:t>
        </w:r>
      </w:hyperlink>
      <w:r w:rsidRPr="002A6506">
        <w:rPr>
          <w:rFonts w:asciiTheme="minorHAnsi" w:hAnsiTheme="minorHAnsi" w:cstheme="minorHAnsi"/>
        </w:rPr>
        <w:t>.</w:t>
      </w:r>
    </w:p>
    <w:p w14:paraId="796FE71F" w14:textId="0D87A78A" w:rsidR="00FA1A79" w:rsidRPr="003B6445" w:rsidRDefault="00FA1A79" w:rsidP="00B1479B">
      <w:r w:rsidRPr="003B6445">
        <w:t>1.4</w:t>
      </w:r>
      <w:r w:rsidRPr="003B6445">
        <w:tab/>
        <w:t xml:space="preserve">Los </w:t>
      </w:r>
      <w:r w:rsidR="00B31F5F" w:rsidRPr="003B6445">
        <w:t xml:space="preserve">más de 700 </w:t>
      </w:r>
      <w:r w:rsidRPr="003B6445">
        <w:t xml:space="preserve">participantes en el SMN-20 contribuyeron a los debates, intercambiaron opiniones sobre lo que percibían como los elementos clave que han de tenerse en cuenta para esos marcos, y también subrayaron cuáles de esos elementos deberían considerarse prioritarios en el contexto de la labor de normalización de la UIT durante el próximo </w:t>
      </w:r>
      <w:r w:rsidR="00D95270" w:rsidRPr="003B6445">
        <w:t xml:space="preserve">Periodo </w:t>
      </w:r>
      <w:r w:rsidRPr="003B6445">
        <w:t xml:space="preserve">de </w:t>
      </w:r>
      <w:r w:rsidR="00D95270" w:rsidRPr="003B6445">
        <w:t xml:space="preserve">Estudios </w:t>
      </w:r>
      <w:r w:rsidR="00D95270">
        <w:t>(</w:t>
      </w:r>
      <w:r w:rsidRPr="003B6445">
        <w:t>2022-2024). Los principales debates durante este histórico evento abarcaron diversos temas, como las ciudades y comunidades inteligentes, la agricultura digital, la inclusión digital, la IA para la seguridad vial, la conducción autónoma, la inclusión financiera, la sostenibilidad, la accesibilidad y la atención sanitaria, en el contexto de la normalización centrada en la tecnología.</w:t>
      </w:r>
    </w:p>
    <w:p w14:paraId="506B9BAB" w14:textId="651AEBB5" w:rsidR="00FA1A79" w:rsidRPr="003B6445" w:rsidRDefault="00FA1A79" w:rsidP="00B1479B">
      <w:r w:rsidRPr="003B6445">
        <w:t>1.5</w:t>
      </w:r>
      <w:r w:rsidRPr="003B6445">
        <w:tab/>
      </w:r>
      <w:bookmarkStart w:id="18" w:name="lt_pId035"/>
      <w:r w:rsidR="00B31F5F" w:rsidRPr="003B6445">
        <w:t xml:space="preserve">En el Simposio hubo siete sesiones dedicadas al tema </w:t>
      </w:r>
      <w:r w:rsidR="00B61CC0">
        <w:t>"</w:t>
      </w:r>
      <w:r w:rsidR="00B31F5F" w:rsidRPr="003B6445">
        <w:t>Normas internacionales para hacer posible la transformación digital y lograr los ODS</w:t>
      </w:r>
      <w:r w:rsidR="00B61CC0">
        <w:t>"</w:t>
      </w:r>
      <w:r w:rsidR="00B31F5F" w:rsidRPr="003B6445">
        <w:t xml:space="preserve"> y una ceremonia de la</w:t>
      </w:r>
      <w:r w:rsidRPr="003B6445">
        <w:t xml:space="preserve"> U4SSC c</w:t>
      </w:r>
      <w:r w:rsidR="00B31F5F" w:rsidRPr="003B6445">
        <w:t>on ciudades durante la cual se presentó el nuevo</w:t>
      </w:r>
      <w:r w:rsidRPr="003B6445">
        <w:t xml:space="preserve"> </w:t>
      </w:r>
      <w:hyperlink r:id="rId16" w:history="1">
        <w:r w:rsidR="00B31F5F" w:rsidRPr="003B6445">
          <w:rPr>
            <w:rStyle w:val="Hyperlink"/>
          </w:rPr>
          <w:t>Estudio de caso sobre la implementación de los IFR de</w:t>
        </w:r>
        <w:r w:rsidRPr="003B6445">
          <w:rPr>
            <w:rStyle w:val="Hyperlink"/>
          </w:rPr>
          <w:t xml:space="preserve"> U4SSC</w:t>
        </w:r>
        <w:r w:rsidR="00B31F5F" w:rsidRPr="003B6445">
          <w:rPr>
            <w:rStyle w:val="Hyperlink"/>
          </w:rPr>
          <w:t xml:space="preserve"> en</w:t>
        </w:r>
        <w:r w:rsidRPr="003B6445">
          <w:rPr>
            <w:rStyle w:val="Hyperlink"/>
          </w:rPr>
          <w:t xml:space="preserve"> Daegu</w:t>
        </w:r>
      </w:hyperlink>
      <w:r w:rsidRPr="003B6445">
        <w:t>.</w:t>
      </w:r>
      <w:bookmarkEnd w:id="18"/>
    </w:p>
    <w:p w14:paraId="404961F9" w14:textId="7B831207" w:rsidR="002643B3" w:rsidRPr="003B6445" w:rsidRDefault="002643B3" w:rsidP="00B1479B">
      <w:r w:rsidRPr="003B6445">
        <w:t>1.6</w:t>
      </w:r>
      <w:r w:rsidRPr="003B6445">
        <w:tab/>
      </w:r>
      <w:bookmarkStart w:id="19" w:name="lt_pId037"/>
      <w:r w:rsidR="00B31F5F" w:rsidRPr="003B6445">
        <w:t>El SMN</w:t>
      </w:r>
      <w:r w:rsidRPr="003B6445">
        <w:t>-20 reco</w:t>
      </w:r>
      <w:r w:rsidR="00B31F5F" w:rsidRPr="003B6445">
        <w:t>noció el papel esencial que desempeñan las normas a la hora de propiciar la transformación digital y de alcanzar los ODS, e invitó a la UIT: a seguir prestando apoyo a las actividades Unidos por las ciudades inteligentes y sostenibles</w:t>
      </w:r>
      <w:r w:rsidRPr="003B6445">
        <w:t xml:space="preserve"> (U4SSC) </w:t>
      </w:r>
      <w:r w:rsidR="00B31F5F" w:rsidRPr="003B6445">
        <w:t>a fin de acelerar la transformación digital de las ciudades; a fomentar las actividades de la iniciativa IA para la seguridad vial</w:t>
      </w:r>
      <w:r w:rsidR="00E27A3E" w:rsidRPr="003B6445">
        <w:t>, ayudando en particular a los países en desarrollo a sacar todo el beneficio posible de las tecnologías disponibles para mejorar la seguridad vial, incluso a recabar datos</w:t>
      </w:r>
      <w:r w:rsidRPr="003B6445">
        <w:t xml:space="preserve">; </w:t>
      </w:r>
      <w:r w:rsidR="00E27A3E" w:rsidRPr="003B6445">
        <w:t>a respaldar los resultados de la Iniciativa mundial para la inclusión financiera (FIGI) y a propiciar el desarrollo de normas técnicas destinadas a reducir el coste de las TIC, aumentar la resiliencia de la infraestructura digital y garantizar un elevado nivel de seguridad para las transacciones financieras, y a fomentar</w:t>
      </w:r>
      <w:r w:rsidRPr="003B6445">
        <w:t xml:space="preserve"> la colaboración entre los organismos de normalización para reducir la disparidad entre países desarrollados y en desarrollo en cuanto al acceso y aplicación de normas y marcos de aceleración de la transformación digital, y para participar en su desarrollo en pie de igualdad mediante instrumentos como el programa </w:t>
      </w:r>
      <w:r w:rsidR="00480311" w:rsidRPr="003B6445">
        <w:t>"</w:t>
      </w:r>
      <w:proofErr w:type="spellStart"/>
      <w:r w:rsidRPr="003B5C69">
        <w:rPr>
          <w:i/>
          <w:iCs/>
        </w:rPr>
        <w:t>Bridging</w:t>
      </w:r>
      <w:proofErr w:type="spellEnd"/>
      <w:r w:rsidRPr="003B5C69">
        <w:rPr>
          <w:i/>
          <w:iCs/>
        </w:rPr>
        <w:t xml:space="preserve"> the </w:t>
      </w:r>
      <w:proofErr w:type="spellStart"/>
      <w:r w:rsidRPr="003B5C69">
        <w:rPr>
          <w:i/>
          <w:iCs/>
        </w:rPr>
        <w:t>Standardization</w:t>
      </w:r>
      <w:proofErr w:type="spellEnd"/>
      <w:r w:rsidRPr="003B5C69">
        <w:rPr>
          <w:i/>
          <w:iCs/>
        </w:rPr>
        <w:t xml:space="preserve"> Gap</w:t>
      </w:r>
      <w:r w:rsidR="00480311" w:rsidRPr="003B6445">
        <w:t>"</w:t>
      </w:r>
      <w:r w:rsidRPr="003B6445">
        <w:t xml:space="preserve"> (BSG) de la</w:t>
      </w:r>
      <w:r w:rsidR="003B5C69">
        <w:t> </w:t>
      </w:r>
      <w:r w:rsidRPr="003B6445">
        <w:t>UIT</w:t>
      </w:r>
      <w:bookmarkEnd w:id="19"/>
      <w:r w:rsidRPr="003B6445">
        <w:t>.</w:t>
      </w:r>
    </w:p>
    <w:p w14:paraId="5C3C18BE" w14:textId="6F08CBD9" w:rsidR="002643B3" w:rsidRPr="003B6445" w:rsidRDefault="002643B3" w:rsidP="009F1032">
      <w:pPr>
        <w:pStyle w:val="Heading1"/>
      </w:pPr>
      <w:r w:rsidRPr="003B6445">
        <w:t>2</w:t>
      </w:r>
      <w:r w:rsidRPr="003B6445">
        <w:tab/>
      </w:r>
      <w:bookmarkStart w:id="20" w:name="lt_pId039"/>
      <w:r w:rsidR="00E27A3E" w:rsidRPr="003B6445">
        <w:t>AMNT</w:t>
      </w:r>
      <w:r w:rsidRPr="003B6445">
        <w:t>-20</w:t>
      </w:r>
      <w:bookmarkEnd w:id="20"/>
    </w:p>
    <w:p w14:paraId="088E0805" w14:textId="0767106E" w:rsidR="002643B3" w:rsidRPr="003B6445" w:rsidRDefault="002643B3" w:rsidP="009F1032">
      <w:pPr>
        <w:pStyle w:val="Heading2"/>
      </w:pPr>
      <w:r w:rsidRPr="003B6445">
        <w:t>2.1</w:t>
      </w:r>
      <w:r w:rsidRPr="003B6445">
        <w:tab/>
      </w:r>
      <w:bookmarkStart w:id="21" w:name="lt_pId041"/>
      <w:r w:rsidR="00E27A3E" w:rsidRPr="003B6445">
        <w:t>Aspectos generales</w:t>
      </w:r>
      <w:bookmarkEnd w:id="21"/>
    </w:p>
    <w:p w14:paraId="4BD656DF" w14:textId="1B7C8DB2" w:rsidR="002643B3" w:rsidRPr="003B6445" w:rsidRDefault="002643B3" w:rsidP="00B1479B">
      <w:r w:rsidRPr="003B6445">
        <w:t>2.1.1</w:t>
      </w:r>
      <w:r w:rsidRPr="003B6445">
        <w:tab/>
      </w:r>
      <w:bookmarkStart w:id="22" w:name="lt_pId043"/>
      <w:r w:rsidR="00E27A3E" w:rsidRPr="003B6445">
        <w:t>La AMNT</w:t>
      </w:r>
      <w:r w:rsidRPr="003B6445">
        <w:t xml:space="preserve">-20 </w:t>
      </w:r>
      <w:r w:rsidR="00E27A3E" w:rsidRPr="003B6445">
        <w:t xml:space="preserve">se celebró del 1 al 9 de marzo de </w:t>
      </w:r>
      <w:r w:rsidRPr="003B6445">
        <w:t xml:space="preserve">2022 </w:t>
      </w:r>
      <w:r w:rsidR="00E27A3E" w:rsidRPr="003B6445">
        <w:t>e</w:t>
      </w:r>
      <w:r w:rsidRPr="003B6445">
        <w:t>n G</w:t>
      </w:r>
      <w:r w:rsidR="00E27A3E" w:rsidRPr="003B6445">
        <w:t>inebra, Suiza. La AMNT-20 se celebró en formato presencial con participación a distancia interactiva. Sólo los delegados presentes en Ginebra participaron en la toma de decisiones</w:t>
      </w:r>
      <w:bookmarkStart w:id="23" w:name="lt_pId045"/>
      <w:bookmarkEnd w:id="22"/>
      <w:r w:rsidRPr="003B6445">
        <w:t>.</w:t>
      </w:r>
      <w:bookmarkEnd w:id="23"/>
    </w:p>
    <w:p w14:paraId="78CF858C" w14:textId="3147DC0B" w:rsidR="002643B3" w:rsidRPr="003B6445" w:rsidRDefault="002643B3" w:rsidP="00B1479B">
      <w:r w:rsidRPr="003B6445">
        <w:t>2.1.2</w:t>
      </w:r>
      <w:r w:rsidRPr="003B6445">
        <w:tab/>
      </w:r>
      <w:bookmarkStart w:id="24" w:name="lt_pId047"/>
      <w:r w:rsidR="00B92F08" w:rsidRPr="003B6445">
        <w:t>En total, la AMNT-20 contó con la participación de</w:t>
      </w:r>
      <w:r w:rsidRPr="003B6445">
        <w:t xml:space="preserve"> 1</w:t>
      </w:r>
      <w:r w:rsidR="00B92F08" w:rsidRPr="003B6445">
        <w:t xml:space="preserve"> </w:t>
      </w:r>
      <w:r w:rsidRPr="003B6445">
        <w:t>281 delega</w:t>
      </w:r>
      <w:r w:rsidR="00B92F08" w:rsidRPr="003B6445">
        <w:t>dos</w:t>
      </w:r>
      <w:r w:rsidRPr="003B6445">
        <w:t>: 870 p</w:t>
      </w:r>
      <w:r w:rsidR="00B92F08" w:rsidRPr="003B6445">
        <w:t>resenciales y</w:t>
      </w:r>
      <w:r w:rsidRPr="003B6445">
        <w:t xml:space="preserve"> 411</w:t>
      </w:r>
      <w:r w:rsidR="000C39BE">
        <w:t> </w:t>
      </w:r>
      <w:r w:rsidR="00B92F08" w:rsidRPr="003B6445">
        <w:t>a</w:t>
      </w:r>
      <w:r w:rsidR="000C39BE">
        <w:t> </w:t>
      </w:r>
      <w:r w:rsidR="00B92F08" w:rsidRPr="003B6445">
        <w:t>distancia. Asistieron en total</w:t>
      </w:r>
      <w:bookmarkStart w:id="25" w:name="lt_pId048"/>
      <w:bookmarkEnd w:id="24"/>
      <w:r w:rsidRPr="003B6445">
        <w:t xml:space="preserve"> 138</w:t>
      </w:r>
      <w:r w:rsidR="00B92F08" w:rsidRPr="003B6445">
        <w:t xml:space="preserve"> Estados Miembros y 85 entidades de otro tipo. Asistieron</w:t>
      </w:r>
      <w:r w:rsidR="000C39BE">
        <w:t> </w:t>
      </w:r>
      <w:r w:rsidR="00B92F08" w:rsidRPr="003B6445">
        <w:t>presencialmente representantes de</w:t>
      </w:r>
      <w:bookmarkStart w:id="26" w:name="lt_pId049"/>
      <w:bookmarkEnd w:id="25"/>
      <w:r w:rsidRPr="003B6445">
        <w:t xml:space="preserve"> 125 </w:t>
      </w:r>
      <w:r w:rsidR="00B92F08" w:rsidRPr="003B6445">
        <w:t>Estados Miembros</w:t>
      </w:r>
      <w:r w:rsidRPr="003B6445">
        <w:t xml:space="preserve">, 49 </w:t>
      </w:r>
      <w:r w:rsidR="00B92F08" w:rsidRPr="003B6445">
        <w:t xml:space="preserve">Miembros de </w:t>
      </w:r>
      <w:r w:rsidRPr="003B6445">
        <w:t>Sector</w:t>
      </w:r>
      <w:r w:rsidR="00B92F08" w:rsidRPr="003B6445">
        <w:t>, seis Instituciones Académicas y dos organismos especializados de las Naciones Unidas</w:t>
      </w:r>
      <w:r w:rsidRPr="003B6445">
        <w:t>.</w:t>
      </w:r>
      <w:bookmarkEnd w:id="26"/>
    </w:p>
    <w:p w14:paraId="326C7904" w14:textId="1D7C5F97" w:rsidR="002643B3" w:rsidRPr="003B6445" w:rsidRDefault="002643B3" w:rsidP="00B1479B">
      <w:r w:rsidRPr="003B6445">
        <w:t>2.1.3</w:t>
      </w:r>
      <w:r w:rsidRPr="003B6445">
        <w:tab/>
        <w:t>La AMNT-</w:t>
      </w:r>
      <w:r w:rsidR="00B92F08" w:rsidRPr="003B6445">
        <w:t>20</w:t>
      </w:r>
      <w:r w:rsidRPr="003B6445">
        <w:t xml:space="preserve"> aprobó los mandatos </w:t>
      </w:r>
      <w:r w:rsidR="00B92F08" w:rsidRPr="003B6445">
        <w:t>y Cuestiones de las</w:t>
      </w:r>
      <w:r w:rsidRPr="003B6445">
        <w:t xml:space="preserve"> once Comisiones de Estudio del UIT-T y nombró a los Presidentes y Vicepresidentes del GANT, las Comisiones de Estudio del UIT-T y el Comité para la Normalización del Vocabulario. Se nombró a </w:t>
      </w:r>
      <w:r w:rsidR="00F65478" w:rsidRPr="003B6445">
        <w:t>ocho</w:t>
      </w:r>
      <w:r w:rsidRPr="003B6445">
        <w:t xml:space="preserve"> nuevos Presidentes de Comisión de Estudio y a más de 1</w:t>
      </w:r>
      <w:r w:rsidR="00F65478" w:rsidRPr="003B6445">
        <w:t>2</w:t>
      </w:r>
      <w:r w:rsidRPr="003B6445">
        <w:t>0 Vicepresidentes, procedentes de 3</w:t>
      </w:r>
      <w:r w:rsidR="00F65478" w:rsidRPr="003B6445">
        <w:t>7</w:t>
      </w:r>
      <w:r w:rsidRPr="003B6445">
        <w:t xml:space="preserve"> países, incluidos 2</w:t>
      </w:r>
      <w:r w:rsidR="00F65478" w:rsidRPr="003B6445">
        <w:t>7</w:t>
      </w:r>
      <w:r w:rsidRPr="003B6445">
        <w:t xml:space="preserve"> países en desarrollo.</w:t>
      </w:r>
    </w:p>
    <w:p w14:paraId="4EEF5FB6" w14:textId="5788391A" w:rsidR="00FF5B1F" w:rsidRPr="003B6445" w:rsidRDefault="00FF5B1F" w:rsidP="00B1479B">
      <w:r w:rsidRPr="003B6445">
        <w:lastRenderedPageBreak/>
        <w:t>2.1.4</w:t>
      </w:r>
      <w:r w:rsidRPr="003B6445">
        <w:tab/>
      </w:r>
      <w:bookmarkStart w:id="27" w:name="lt_pId054"/>
      <w:r w:rsidR="00F65478" w:rsidRPr="003B6445">
        <w:t>La AMNT</w:t>
      </w:r>
      <w:r w:rsidRPr="003B6445">
        <w:t>-20 revis</w:t>
      </w:r>
      <w:r w:rsidR="00F65478" w:rsidRPr="003B6445">
        <w:t>ó</w:t>
      </w:r>
      <w:r w:rsidRPr="003B6445">
        <w:t xml:space="preserve"> 36 Resolu</w:t>
      </w:r>
      <w:r w:rsidR="00F65478" w:rsidRPr="003B6445">
        <w:t>ciones, adoptó dos nuevas Resoluciones, suprimió cuatro Resoluciones y decidió mantener intactas 10 Resoluciones (en total, 20 Resoluciones permanecen intactas desde</w:t>
      </w:r>
      <w:r w:rsidRPr="003B6445">
        <w:t xml:space="preserve"> </w:t>
      </w:r>
      <w:proofErr w:type="spellStart"/>
      <w:r w:rsidRPr="003B6445">
        <w:t>Hammamet</w:t>
      </w:r>
      <w:proofErr w:type="spellEnd"/>
      <w:r w:rsidRPr="003B6445">
        <w:t xml:space="preserve"> 2016).</w:t>
      </w:r>
      <w:bookmarkEnd w:id="27"/>
      <w:r w:rsidRPr="003B6445">
        <w:t xml:space="preserve"> </w:t>
      </w:r>
      <w:bookmarkStart w:id="28" w:name="lt_pId055"/>
      <w:r w:rsidR="00F65478" w:rsidRPr="003B6445">
        <w:t>La AMNT</w:t>
      </w:r>
      <w:r w:rsidRPr="003B6445">
        <w:t xml:space="preserve">-20 </w:t>
      </w:r>
      <w:r w:rsidR="00F65478" w:rsidRPr="003B6445">
        <w:t>también revisó tres Recomendaciones UIT-T de la serie</w:t>
      </w:r>
      <w:r w:rsidR="00BA149F">
        <w:t> </w:t>
      </w:r>
      <w:r w:rsidR="00F65478" w:rsidRPr="003B6445">
        <w:t xml:space="preserve">A, que orientan los trabajos del UIT-T, y dejó sin modificar otras tres Recomendaciones UIT-T de la serie A. </w:t>
      </w:r>
      <w:r w:rsidR="0026058A" w:rsidRPr="003B6445">
        <w:t>En el Anexo se reproduce la lista de decisiones adoptadas por la AMNT-20 en relación con las Resoluciones de la AMNT y las Recomendaciones UIT-T</w:t>
      </w:r>
      <w:bookmarkStart w:id="29" w:name="lt_pId056"/>
      <w:bookmarkEnd w:id="28"/>
      <w:r w:rsidRPr="003B6445">
        <w:t>.</w:t>
      </w:r>
      <w:bookmarkEnd w:id="29"/>
    </w:p>
    <w:p w14:paraId="5037B816" w14:textId="73909EAF" w:rsidR="00FF5B1F" w:rsidRPr="003B6445" w:rsidRDefault="00FF5B1F" w:rsidP="00B1479B">
      <w:r w:rsidRPr="003B6445">
        <w:rPr>
          <w:szCs w:val="22"/>
        </w:rPr>
        <w:t>2.1.5</w:t>
      </w:r>
      <w:r w:rsidRPr="003B6445">
        <w:rPr>
          <w:szCs w:val="22"/>
        </w:rPr>
        <w:tab/>
      </w:r>
      <w:bookmarkStart w:id="30" w:name="lt_pId058"/>
      <w:r w:rsidR="0026058A" w:rsidRPr="003B6445">
        <w:rPr>
          <w:szCs w:val="22"/>
        </w:rPr>
        <w:t>La AMNT</w:t>
      </w:r>
      <w:r w:rsidRPr="003B6445">
        <w:rPr>
          <w:szCs w:val="22"/>
        </w:rPr>
        <w:t xml:space="preserve">-20 </w:t>
      </w:r>
      <w:r w:rsidR="0026058A" w:rsidRPr="003B6445">
        <w:rPr>
          <w:szCs w:val="22"/>
        </w:rPr>
        <w:t>encargó a la Comisión de Estudio 3 que considere la propuesta de nueva Cuestión sobre los servicios superpuestos (</w:t>
      </w:r>
      <w:r w:rsidRPr="003B6445">
        <w:rPr>
          <w:i/>
          <w:szCs w:val="22"/>
        </w:rPr>
        <w:t>OTT</w:t>
      </w:r>
      <w:r w:rsidR="0026058A" w:rsidRPr="003B6445">
        <w:rPr>
          <w:iCs/>
          <w:szCs w:val="22"/>
        </w:rPr>
        <w:t xml:space="preserve">) y solicitó a la Comisión de Estudio 2 del UIT-T que siga trabajando en el </w:t>
      </w:r>
      <w:r w:rsidR="0026058A" w:rsidRPr="003B6445">
        <w:rPr>
          <w:i/>
          <w:szCs w:val="22"/>
        </w:rPr>
        <w:t>proyecto de Resolución sobre la numeración hexadecimal para los</w:t>
      </w:r>
      <w:r w:rsidRPr="003B6445">
        <w:rPr>
          <w:bCs/>
          <w:i/>
          <w:iCs/>
          <w:szCs w:val="22"/>
        </w:rPr>
        <w:t xml:space="preserve"> MSISDN</w:t>
      </w:r>
      <w:r w:rsidR="0026058A" w:rsidRPr="003B6445">
        <w:rPr>
          <w:bCs/>
          <w:i/>
          <w:iCs/>
          <w:szCs w:val="22"/>
        </w:rPr>
        <w:t xml:space="preserve"> y los</w:t>
      </w:r>
      <w:r w:rsidRPr="003B6445">
        <w:rPr>
          <w:bCs/>
          <w:i/>
          <w:iCs/>
          <w:szCs w:val="22"/>
        </w:rPr>
        <w:t xml:space="preserve"> IMSI</w:t>
      </w:r>
      <w:r w:rsidRPr="003B6445">
        <w:t>.</w:t>
      </w:r>
      <w:bookmarkEnd w:id="30"/>
    </w:p>
    <w:p w14:paraId="6F0D3F95" w14:textId="684DC29A" w:rsidR="00BA149F" w:rsidRDefault="00FF5B1F" w:rsidP="00B1479B">
      <w:pPr>
        <w:rPr>
          <w:szCs w:val="22"/>
        </w:rPr>
      </w:pPr>
      <w:r w:rsidRPr="003B6445">
        <w:rPr>
          <w:szCs w:val="22"/>
        </w:rPr>
        <w:t>2.1.6</w:t>
      </w:r>
      <w:r w:rsidRPr="003B6445">
        <w:rPr>
          <w:szCs w:val="22"/>
        </w:rPr>
        <w:tab/>
      </w:r>
      <w:bookmarkStart w:id="31" w:name="lt_pId060"/>
      <w:r w:rsidR="002C6CA0" w:rsidRPr="003B6445">
        <w:rPr>
          <w:szCs w:val="22"/>
        </w:rPr>
        <w:t>La AMNT</w:t>
      </w:r>
      <w:r w:rsidRPr="003B6445">
        <w:rPr>
          <w:szCs w:val="22"/>
        </w:rPr>
        <w:t xml:space="preserve">-20 </w:t>
      </w:r>
      <w:r w:rsidR="002C6CA0" w:rsidRPr="003B6445">
        <w:rPr>
          <w:szCs w:val="22"/>
        </w:rPr>
        <w:t>también reconoció la importancia de los cables SMART (Observación científica y telecomunicaciones eficaces) para la observación del cambio climático y la sismicidad, y el amplio a poyo de la Asamblea al desarrollo de actividades sobre ese concepto en el sector UIT-T. Asimismo reconoció la necesidad de definir normas sobre la materia y solicitó a las Comisiones de Estudio del UIT-T pertinentes que estudien y tomen las medidas del caso, bajo la coordinación del</w:t>
      </w:r>
      <w:r w:rsidR="0047190A">
        <w:rPr>
          <w:szCs w:val="22"/>
        </w:rPr>
        <w:t> </w:t>
      </w:r>
      <w:r w:rsidR="002C6CA0" w:rsidRPr="003B6445">
        <w:rPr>
          <w:szCs w:val="22"/>
        </w:rPr>
        <w:t>GANT, según proceda</w:t>
      </w:r>
      <w:r w:rsidRPr="003B6445">
        <w:rPr>
          <w:szCs w:val="22"/>
        </w:rPr>
        <w:t>.</w:t>
      </w:r>
      <w:bookmarkEnd w:id="31"/>
    </w:p>
    <w:p w14:paraId="3C2E0568" w14:textId="5C702EB9" w:rsidR="00FF5B1F" w:rsidRPr="003B6445" w:rsidRDefault="00FF5B1F" w:rsidP="00B1479B">
      <w:r w:rsidRPr="003B6445">
        <w:t>2.1.7</w:t>
      </w:r>
      <w:r w:rsidRPr="003B6445">
        <w:tab/>
      </w:r>
      <w:bookmarkStart w:id="32" w:name="lt_pId062"/>
      <w:r w:rsidR="00404436" w:rsidRPr="003B6445">
        <w:t>La AMNT</w:t>
      </w:r>
      <w:r w:rsidRPr="003B6445">
        <w:t>-20 consider</w:t>
      </w:r>
      <w:r w:rsidR="00404436" w:rsidRPr="003B6445">
        <w:t xml:space="preserve">ó los </w:t>
      </w:r>
      <w:r w:rsidR="00B61CC0">
        <w:t>"</w:t>
      </w:r>
      <w:r w:rsidR="00404436" w:rsidRPr="003B6445">
        <w:t>aspectos no radioeléctricos de las redes abiertas, en particular la normalización de las redes de acceso abierto</w:t>
      </w:r>
      <w:r w:rsidR="00B61CC0">
        <w:t>"</w:t>
      </w:r>
      <w:r w:rsidR="00404436" w:rsidRPr="003B6445">
        <w:t xml:space="preserve"> e invitó a los Miembros a formular propuestas para el desarrollo y la adopción de redes abiertas, incluidas las redes de acceso abierto para los sistemas</w:t>
      </w:r>
      <w:r w:rsidRPr="003B6445">
        <w:t xml:space="preserve"> IMT </w:t>
      </w:r>
      <w:r w:rsidR="00404436" w:rsidRPr="003B6445">
        <w:t>(por ejemplo, redes de acceso radioeléctrico abierto), pues es un tema importante para la CMDT con el objetivo de fomentar la amplia adopción de estas nuevas tecnologías y soluciones a nivel mundial</w:t>
      </w:r>
      <w:r w:rsidRPr="003B6445">
        <w:t>.</w:t>
      </w:r>
      <w:bookmarkEnd w:id="32"/>
    </w:p>
    <w:p w14:paraId="67F80F54" w14:textId="77777777" w:rsidR="00BA149F" w:rsidRDefault="00FF5B1F" w:rsidP="00B1479B">
      <w:r w:rsidRPr="003B6445">
        <w:t>2.1.8</w:t>
      </w:r>
      <w:r w:rsidRPr="003B6445">
        <w:tab/>
      </w:r>
      <w:bookmarkStart w:id="33" w:name="lt_pId064"/>
      <w:r w:rsidR="00404436" w:rsidRPr="003B6445">
        <w:t>La AMNT</w:t>
      </w:r>
      <w:r w:rsidRPr="003B6445">
        <w:t>-20 invit</w:t>
      </w:r>
      <w:r w:rsidR="00404436" w:rsidRPr="003B6445">
        <w:t>ó al GANT a tomar, con el apoyo y las contribuciones de sus miembros, las medidas necesarias para revisar la Resolución</w:t>
      </w:r>
      <w:r w:rsidRPr="003B6445">
        <w:t xml:space="preserve"> 11 (Rev. </w:t>
      </w:r>
      <w:proofErr w:type="spellStart"/>
      <w:r w:rsidRPr="003B6445">
        <w:t>Hammamet</w:t>
      </w:r>
      <w:proofErr w:type="spellEnd"/>
      <w:r w:rsidRPr="003B6445">
        <w:t xml:space="preserve">, 2016) </w:t>
      </w:r>
      <w:r w:rsidR="00404436" w:rsidRPr="003B6445">
        <w:t>y su aplicación, y a presentar una propuesta acerca de la mejor manera de proceder a su modificación y/o cualquier otra sugerencia al respecto</w:t>
      </w:r>
      <w:r w:rsidRPr="003B6445">
        <w:t>.</w:t>
      </w:r>
      <w:bookmarkEnd w:id="33"/>
    </w:p>
    <w:p w14:paraId="1E9E29C7" w14:textId="29E7C740" w:rsidR="00FF5B1F" w:rsidRPr="003B6445" w:rsidRDefault="00FF5B1F" w:rsidP="00B1479B">
      <w:r w:rsidRPr="003B6445">
        <w:rPr>
          <w:szCs w:val="22"/>
        </w:rPr>
        <w:t>2.1.9</w:t>
      </w:r>
      <w:r w:rsidRPr="003B6445">
        <w:rPr>
          <w:szCs w:val="22"/>
        </w:rPr>
        <w:tab/>
      </w:r>
      <w:bookmarkStart w:id="34" w:name="lt_pId066"/>
      <w:r w:rsidR="00404436" w:rsidRPr="003B6445">
        <w:rPr>
          <w:szCs w:val="22"/>
        </w:rPr>
        <w:t>La AMNT</w:t>
      </w:r>
      <w:r w:rsidRPr="003B6445">
        <w:rPr>
          <w:szCs w:val="22"/>
        </w:rPr>
        <w:t xml:space="preserve">-20 </w:t>
      </w:r>
      <w:r w:rsidR="00404436" w:rsidRPr="003B6445">
        <w:rPr>
          <w:szCs w:val="22"/>
        </w:rPr>
        <w:t xml:space="preserve">destacó la importancia </w:t>
      </w:r>
      <w:r w:rsidR="00780307" w:rsidRPr="003B6445">
        <w:rPr>
          <w:szCs w:val="22"/>
        </w:rPr>
        <w:t xml:space="preserve">que para las actividades de la UIT tienen las actividades, contribuciones e implicación </w:t>
      </w:r>
      <w:r w:rsidR="00404436" w:rsidRPr="003B6445">
        <w:rPr>
          <w:szCs w:val="22"/>
        </w:rPr>
        <w:t>del sector privado y de la industria</w:t>
      </w:r>
      <w:r w:rsidR="00780307" w:rsidRPr="003B6445">
        <w:rPr>
          <w:szCs w:val="22"/>
        </w:rPr>
        <w:t>. La AMNT-20 invitó al GANT a considerar</w:t>
      </w:r>
      <w:r w:rsidR="00404436" w:rsidRPr="003B6445">
        <w:rPr>
          <w:szCs w:val="22"/>
        </w:rPr>
        <w:t xml:space="preserve"> </w:t>
      </w:r>
      <w:r w:rsidR="00780307" w:rsidRPr="003B6445">
        <w:rPr>
          <w:szCs w:val="22"/>
        </w:rPr>
        <w:t>el tema de la implicación de la industria, ya abordado por la AMNT-20, incluida la Resolución</w:t>
      </w:r>
      <w:bookmarkStart w:id="35" w:name="lt_pId067"/>
      <w:bookmarkEnd w:id="34"/>
      <w:r w:rsidRPr="003B6445">
        <w:rPr>
          <w:spacing w:val="4"/>
        </w:rPr>
        <w:t xml:space="preserve"> 68</w:t>
      </w:r>
      <w:r w:rsidRPr="003B6445">
        <w:t xml:space="preserve"> (Rev. </w:t>
      </w:r>
      <w:proofErr w:type="spellStart"/>
      <w:r w:rsidRPr="003B6445">
        <w:t>Hammamet</w:t>
      </w:r>
      <w:proofErr w:type="spellEnd"/>
      <w:r w:rsidRPr="003B6445">
        <w:t>, 2016).</w:t>
      </w:r>
      <w:bookmarkEnd w:id="35"/>
    </w:p>
    <w:p w14:paraId="465323FC" w14:textId="3D9A45DE" w:rsidR="00FF5B1F" w:rsidRPr="003B6445" w:rsidRDefault="00FF5B1F" w:rsidP="00FF5B1F">
      <w:pPr>
        <w:pStyle w:val="Heading2"/>
      </w:pPr>
      <w:r w:rsidRPr="003B6445">
        <w:rPr>
          <w:bCs/>
        </w:rPr>
        <w:t>2.2</w:t>
      </w:r>
      <w:r w:rsidRPr="003B6445">
        <w:rPr>
          <w:bCs/>
        </w:rPr>
        <w:tab/>
      </w:r>
      <w:r w:rsidRPr="003B6445">
        <w:t>Impacto presupuestario</w:t>
      </w:r>
    </w:p>
    <w:p w14:paraId="324C7BE4" w14:textId="746312D1" w:rsidR="00FF5B1F" w:rsidRPr="003B6445" w:rsidRDefault="00FF5B1F" w:rsidP="00BA149F">
      <w:r w:rsidRPr="003B6445">
        <w:t>2.2.1</w:t>
      </w:r>
      <w:r w:rsidRPr="003B6445">
        <w:tab/>
      </w:r>
      <w:bookmarkStart w:id="36" w:name="lt_pId071"/>
      <w:r w:rsidRPr="003B6445">
        <w:t>Será esencial una mayor financiación si se quiere que el UIT-T lleve a la práctica todas las decisiones tomadas en la AMNT</w:t>
      </w:r>
      <w:bookmarkEnd w:id="36"/>
      <w:r w:rsidRPr="003B6445">
        <w:t xml:space="preserve">. </w:t>
      </w:r>
      <w:bookmarkStart w:id="37" w:name="lt_pId072"/>
      <w:r w:rsidR="00716F7F" w:rsidRPr="003B6445">
        <w:t>La Comisión 2 de la AMNT sobre el Control del Presupuesto estimó que el impacto financiero adicional de las Resoluciones de la AMNT</w:t>
      </w:r>
      <w:r w:rsidRPr="003B6445">
        <w:t>-20</w:t>
      </w:r>
      <w:r w:rsidR="00716F7F" w:rsidRPr="003B6445">
        <w:t xml:space="preserve"> que todavía no figura en el proyecto de presupuesto del UIT-T para</w:t>
      </w:r>
      <w:r w:rsidRPr="003B6445">
        <w:t xml:space="preserve"> 2022-2023 </w:t>
      </w:r>
      <w:r w:rsidR="00716F7F" w:rsidRPr="003B6445">
        <w:t>era, como mínimo de 1</w:t>
      </w:r>
      <w:r w:rsidR="003B5C69">
        <w:t> </w:t>
      </w:r>
      <w:r w:rsidR="00716F7F" w:rsidRPr="003B6445">
        <w:t>404</w:t>
      </w:r>
      <w:r w:rsidR="003B5C69">
        <w:t> </w:t>
      </w:r>
      <w:r w:rsidR="00716F7F" w:rsidRPr="003B6445">
        <w:t>000</w:t>
      </w:r>
      <w:r w:rsidR="003B5C69">
        <w:t> </w:t>
      </w:r>
      <w:r w:rsidR="00716F7F" w:rsidRPr="003B6445">
        <w:t>CHF</w:t>
      </w:r>
      <w:bookmarkEnd w:id="37"/>
      <w:r w:rsidRPr="003B6445">
        <w:t>.</w:t>
      </w:r>
      <w:r w:rsidR="00716F7F" w:rsidRPr="003B6445">
        <w:t xml:space="preserve"> </w:t>
      </w:r>
      <w:r w:rsidRPr="003B6445">
        <w:t>Los puntos esenciales del informe de la Comisión 2 son los siguientes</w:t>
      </w:r>
      <w:bookmarkStart w:id="38" w:name="lt_pId051"/>
      <w:r w:rsidRPr="003B6445">
        <w:t>:</w:t>
      </w:r>
      <w:bookmarkEnd w:id="38"/>
    </w:p>
    <w:p w14:paraId="5B2B5815" w14:textId="72FFECBF" w:rsidR="00D870C6" w:rsidRPr="003B6445" w:rsidRDefault="00FF5B1F" w:rsidP="00BA149F">
      <w:pPr>
        <w:rPr>
          <w:rFonts w:ascii="Times New Roman" w:hAnsi="Times New Roman"/>
        </w:rPr>
      </w:pPr>
      <w:r w:rsidRPr="003B6445">
        <w:t>2.2.2</w:t>
      </w:r>
      <w:r w:rsidRPr="003B6445">
        <w:tab/>
      </w:r>
      <w:r w:rsidR="00D870C6" w:rsidRPr="003B6445">
        <w:t>Resolución 44: la exoneración del pago de las cuotas durante un tiempo limitado hasta todo un per</w:t>
      </w:r>
      <w:r w:rsidR="004D23F3">
        <w:t>i</w:t>
      </w:r>
      <w:r w:rsidR="00D870C6" w:rsidRPr="003B6445">
        <w:t>odo de estudio</w:t>
      </w:r>
      <w:r w:rsidR="00716F7F" w:rsidRPr="003B6445">
        <w:t>s</w:t>
      </w:r>
      <w:r w:rsidR="00D870C6" w:rsidRPr="003B6445">
        <w:t>, concedida a</w:t>
      </w:r>
      <w:r w:rsidR="00D870C6" w:rsidRPr="003B6445" w:rsidDel="00F850F3">
        <w:t xml:space="preserve"> </w:t>
      </w:r>
      <w:r w:rsidR="00D870C6" w:rsidRPr="003B6445">
        <w:t xml:space="preserve">las nuevas </w:t>
      </w:r>
      <w:r w:rsidR="00716F7F" w:rsidRPr="003B6445">
        <w:t>I</w:t>
      </w:r>
      <w:r w:rsidR="00D870C6" w:rsidRPr="003B6445">
        <w:t xml:space="preserve">nstituciones </w:t>
      </w:r>
      <w:r w:rsidR="00716F7F" w:rsidRPr="003B6445">
        <w:t>A</w:t>
      </w:r>
      <w:r w:rsidR="00D870C6" w:rsidRPr="003B6445">
        <w:t>cadémicas miembros procedentes de países en desarrollo tendría una repercusión muy limitada en los ingresos de la Unión</w:t>
      </w:r>
      <w:r w:rsidR="00D870C6" w:rsidRPr="003B6445">
        <w:rPr>
          <w:rFonts w:ascii="Times New Roman" w:hAnsi="Times New Roman"/>
        </w:rPr>
        <w:t>.</w:t>
      </w:r>
    </w:p>
    <w:p w14:paraId="03ECCB4D" w14:textId="3536D18E" w:rsidR="00D870C6" w:rsidRPr="003B6445" w:rsidRDefault="00FF5B1F" w:rsidP="00B1479B">
      <w:r w:rsidRPr="003B6445">
        <w:rPr>
          <w:rFonts w:asciiTheme="minorHAnsi" w:hAnsiTheme="minorHAnsi" w:cstheme="minorHAnsi"/>
          <w:szCs w:val="24"/>
        </w:rPr>
        <w:t xml:space="preserve">2.2.3 </w:t>
      </w:r>
      <w:bookmarkStart w:id="39" w:name="lt_pId077"/>
      <w:r w:rsidR="00D870C6" w:rsidRPr="003B6445">
        <w:rPr>
          <w:rFonts w:asciiTheme="minorHAnsi" w:hAnsiTheme="minorHAnsi" w:cstheme="minorHAnsi"/>
          <w:szCs w:val="24"/>
        </w:rPr>
        <w:tab/>
      </w:r>
      <w:bookmarkStart w:id="40" w:name="lt_pId052"/>
      <w:bookmarkEnd w:id="39"/>
      <w:r w:rsidR="00D870C6" w:rsidRPr="003B6445">
        <w:t>Resolución 50: el nuevo</w:t>
      </w:r>
      <w:r w:rsidR="00D870C6" w:rsidRPr="003B6445">
        <w:rPr>
          <w:rFonts w:ascii="Times New Roman" w:hAnsi="Times New Roman"/>
          <w:szCs w:val="24"/>
        </w:rPr>
        <w:t xml:space="preserve"> </w:t>
      </w:r>
      <w:r w:rsidR="00D870C6" w:rsidRPr="003B6445">
        <w:rPr>
          <w:i/>
          <w:iCs/>
        </w:rPr>
        <w:t>encarga al Director de la TSB</w:t>
      </w:r>
      <w:r w:rsidR="00D870C6" w:rsidRPr="003B6445">
        <w:rPr>
          <w:rFonts w:ascii="Times New Roman" w:hAnsi="Times New Roman"/>
          <w:i/>
          <w:iCs/>
          <w:szCs w:val="24"/>
        </w:rPr>
        <w:t xml:space="preserve"> </w:t>
      </w:r>
      <w:r w:rsidR="00D870C6" w:rsidRPr="003B6445">
        <w:t xml:space="preserve">que difunda información a todas las partes interesadas sobre la ciberseguridad mediante la organización de programas de formación, foros, talleres, seminarios, etc., tendrá repercusiones financieras. El costo podría variar significativamente, en función de diversos factores (número de eventos al año, lugar de la </w:t>
      </w:r>
      <w:r w:rsidR="00D870C6" w:rsidRPr="003B6445">
        <w:lastRenderedPageBreak/>
        <w:t>celebración de los eventos, etc.). Se estima que la organización de un evento presencial puede costar entre 20</w:t>
      </w:r>
      <w:r w:rsidR="009D6ED5">
        <w:t> </w:t>
      </w:r>
      <w:r w:rsidR="00D870C6" w:rsidRPr="003B6445">
        <w:t>000 y 50 000 CHF</w:t>
      </w:r>
      <w:bookmarkEnd w:id="40"/>
      <w:r w:rsidR="00D870C6" w:rsidRPr="003B6445">
        <w:t>.</w:t>
      </w:r>
    </w:p>
    <w:p w14:paraId="694B88EE" w14:textId="036304A1" w:rsidR="002643B3" w:rsidRPr="003B6445" w:rsidRDefault="00FF5B1F" w:rsidP="00B1479B">
      <w:r w:rsidRPr="003B6445">
        <w:rPr>
          <w:rFonts w:asciiTheme="minorHAnsi" w:hAnsiTheme="minorHAnsi" w:cstheme="minorHAnsi"/>
          <w:szCs w:val="24"/>
        </w:rPr>
        <w:t>2.2.4</w:t>
      </w:r>
      <w:r w:rsidRPr="003B6445">
        <w:rPr>
          <w:rFonts w:asciiTheme="minorHAnsi" w:hAnsiTheme="minorHAnsi" w:cstheme="minorHAnsi"/>
          <w:szCs w:val="24"/>
        </w:rPr>
        <w:tab/>
      </w:r>
      <w:r w:rsidR="00850BE3" w:rsidRPr="003B6445">
        <w:t xml:space="preserve">Resolución 67: según las modificaciones introducidas en </w:t>
      </w:r>
      <w:proofErr w:type="spellStart"/>
      <w:r w:rsidR="00850BE3" w:rsidRPr="003B6445">
        <w:t>el</w:t>
      </w:r>
      <w:proofErr w:type="spellEnd"/>
      <w:r w:rsidR="00850BE3" w:rsidRPr="003B6445">
        <w:rPr>
          <w:i/>
          <w:iCs/>
        </w:rPr>
        <w:t xml:space="preserve"> encarga al director de la Oficina de Normalización de las Telecomunicaciones</w:t>
      </w:r>
      <w:r w:rsidR="00850BE3" w:rsidRPr="003B6445">
        <w:rPr>
          <w:rFonts w:ascii="Times New Roman" w:hAnsi="Times New Roman"/>
          <w:i/>
          <w:szCs w:val="24"/>
        </w:rPr>
        <w:t>,</w:t>
      </w:r>
      <w:r w:rsidR="00850BE3" w:rsidRPr="003B6445">
        <w:rPr>
          <w:rFonts w:ascii="Times New Roman" w:hAnsi="Times New Roman"/>
          <w:szCs w:val="24"/>
        </w:rPr>
        <w:t xml:space="preserve"> </w:t>
      </w:r>
      <w:r w:rsidR="00850BE3" w:rsidRPr="003B6445">
        <w:t>se traducirían más documentos en todos los idiomas oficiales de la Unión. Se calcula que esta carga de trabajo adicional de traducción y mecanografía es de 1</w:t>
      </w:r>
      <w:r w:rsidR="00BA149F">
        <w:t> </w:t>
      </w:r>
      <w:r w:rsidR="00850BE3" w:rsidRPr="003B6445">
        <w:t>348 páginas al año, lo que representa 1</w:t>
      </w:r>
      <w:r w:rsidR="009D6ED5">
        <w:t> </w:t>
      </w:r>
      <w:r w:rsidR="00850BE3" w:rsidRPr="003B6445">
        <w:t>404</w:t>
      </w:r>
      <w:r w:rsidR="009F1032">
        <w:t> </w:t>
      </w:r>
      <w:r w:rsidR="00716F7F" w:rsidRPr="003B6445">
        <w:t xml:space="preserve">000 </w:t>
      </w:r>
      <w:r w:rsidR="00850BE3" w:rsidRPr="003B6445">
        <w:t>CHF</w:t>
      </w:r>
      <w:bookmarkStart w:id="41" w:name="lt_pId059"/>
      <w:r w:rsidR="00850BE3" w:rsidRPr="003B6445">
        <w:t>.</w:t>
      </w:r>
      <w:bookmarkEnd w:id="41"/>
    </w:p>
    <w:p w14:paraId="43C0B37C" w14:textId="4743CD3F" w:rsidR="005C23BA" w:rsidRPr="003B6445" w:rsidRDefault="005C23BA" w:rsidP="00B1479B">
      <w:pPr>
        <w:rPr>
          <w:rFonts w:ascii="Times New Roman" w:hAnsi="Times New Roman"/>
        </w:rPr>
      </w:pPr>
      <w:r w:rsidRPr="003B6445">
        <w:t>2.2.5</w:t>
      </w:r>
      <w:r w:rsidRPr="003B6445">
        <w:tab/>
        <w:t xml:space="preserve">Resolución 98: el nuevo </w:t>
      </w:r>
      <w:r w:rsidRPr="003B6445">
        <w:rPr>
          <w:i/>
        </w:rPr>
        <w:t>encarga al Director de la TSB, en colaboración con los Directores de la BDT y la BR</w:t>
      </w:r>
      <w:r w:rsidRPr="003B6445">
        <w:t xml:space="preserve"> que ayude a los Estados Miembros, especialmente a los países en desarrollo, a organizar foros, seminarios y talleres sobre </w:t>
      </w:r>
      <w:proofErr w:type="spellStart"/>
      <w:r w:rsidRPr="003B6445">
        <w:t>IoT</w:t>
      </w:r>
      <w:proofErr w:type="spellEnd"/>
      <w:r w:rsidRPr="003B6445">
        <w:t xml:space="preserve"> y C+CI, tendrá repercusiones financieras. El costo podría variar significativamente en función de diversos factores (número de eventos por año, lugar de celebración de los eventos, etc.). Se calcula que el costo de la organización de un evento presencial sobre </w:t>
      </w:r>
      <w:proofErr w:type="spellStart"/>
      <w:r w:rsidRPr="003B6445">
        <w:t>IoT</w:t>
      </w:r>
      <w:proofErr w:type="spellEnd"/>
      <w:r w:rsidRPr="003B6445">
        <w:t xml:space="preserve"> y C+CI podría oscilar entre 20 000 y 50 000 CHF.</w:t>
      </w:r>
    </w:p>
    <w:p w14:paraId="057E6296" w14:textId="604DC606" w:rsidR="00850BE3" w:rsidRPr="003B6445" w:rsidRDefault="00850BE3" w:rsidP="00850BE3">
      <w:pPr>
        <w:pStyle w:val="Heading2"/>
      </w:pPr>
      <w:r w:rsidRPr="003B6445">
        <w:t>2.3</w:t>
      </w:r>
      <w:r w:rsidRPr="003B6445">
        <w:tab/>
      </w:r>
      <w:bookmarkStart w:id="42" w:name="lt_pId088"/>
      <w:r w:rsidRPr="003B6445">
        <w:t>N</w:t>
      </w:r>
      <w:r w:rsidR="005C23BA" w:rsidRPr="003B6445">
        <w:t>uevas Resoluciones de la AMNT-20</w:t>
      </w:r>
      <w:bookmarkEnd w:id="42"/>
    </w:p>
    <w:p w14:paraId="5C98CFD5" w14:textId="00DB21A4" w:rsidR="00850BE3" w:rsidRPr="003B6445" w:rsidRDefault="00850BE3" w:rsidP="00B1479B">
      <w:r w:rsidRPr="003B6445">
        <w:t>2.3.1</w:t>
      </w:r>
      <w:r w:rsidRPr="003B6445">
        <w:tab/>
      </w:r>
      <w:bookmarkStart w:id="43" w:name="lt_pId090"/>
      <w:r w:rsidR="005C23BA" w:rsidRPr="003B6445">
        <w:t>En la Resolución</w:t>
      </w:r>
      <w:r w:rsidRPr="003B6445">
        <w:t xml:space="preserve"> 99, </w:t>
      </w:r>
      <w:r w:rsidRPr="003B6445">
        <w:rPr>
          <w:i/>
          <w:iCs/>
        </w:rPr>
        <w:t>Examen de la reforma organizativa de las Comisiones de Estudio del Sector de Normalización de la UIT</w:t>
      </w:r>
      <w:r w:rsidRPr="003B6445">
        <w:t xml:space="preserve">, </w:t>
      </w:r>
      <w:r w:rsidR="005C23BA" w:rsidRPr="003B6445">
        <w:t>se solicita al GANT que ponga en práctica el Plan de acción del GANT para el análisis de la restructuración de las Comisiones de Estudio del UIT-T y que el GANT, con la ayuda necesaria del Director de la TSB, prepare una propuesta con recomendaciones para la próxima Asamblea de 2024 con miras a una eventual reforma del UIT-T</w:t>
      </w:r>
      <w:bookmarkEnd w:id="43"/>
      <w:r w:rsidR="003B5C69">
        <w:t>.</w:t>
      </w:r>
    </w:p>
    <w:p w14:paraId="6D6A192F" w14:textId="1217C410" w:rsidR="00850BE3" w:rsidRPr="003B6445" w:rsidRDefault="00850BE3" w:rsidP="00B1479B">
      <w:r w:rsidRPr="003B6445">
        <w:t>2.3.2</w:t>
      </w:r>
      <w:r w:rsidRPr="003B6445">
        <w:tab/>
      </w:r>
      <w:bookmarkStart w:id="44" w:name="lt_pId092"/>
      <w:r w:rsidR="005C23BA" w:rsidRPr="003B6445">
        <w:t>En la Resolución</w:t>
      </w:r>
      <w:r w:rsidRPr="003B6445">
        <w:t xml:space="preserve"> 100, </w:t>
      </w:r>
      <w:r w:rsidR="00817DB7" w:rsidRPr="003B6445">
        <w:rPr>
          <w:i/>
          <w:iCs/>
        </w:rPr>
        <w:t>Número de emergencia común para África</w:t>
      </w:r>
      <w:r w:rsidRPr="003B6445">
        <w:t>,</w:t>
      </w:r>
      <w:r w:rsidRPr="003B6445">
        <w:rPr>
          <w:rFonts w:cs="Calibri"/>
          <w:b/>
          <w:color w:val="800000"/>
          <w:sz w:val="22"/>
        </w:rPr>
        <w:t xml:space="preserve"> </w:t>
      </w:r>
      <w:r w:rsidR="005C23BA" w:rsidRPr="003B6445">
        <w:t>se encarga al Director de la</w:t>
      </w:r>
      <w:r w:rsidR="003B5C69">
        <w:t> </w:t>
      </w:r>
      <w:r w:rsidR="005C23BA" w:rsidRPr="003B6445">
        <w:t>TSB que, en cooperación con la Directora de la BDT</w:t>
      </w:r>
      <w:bookmarkEnd w:id="44"/>
      <w:r w:rsidR="00817DB7" w:rsidRPr="003B6445">
        <w:t xml:space="preserve"> preste asistencia </w:t>
      </w:r>
      <w:r w:rsidR="005C23BA" w:rsidRPr="003B6445">
        <w:t xml:space="preserve">técnica </w:t>
      </w:r>
      <w:r w:rsidR="00817DB7" w:rsidRPr="003B6445">
        <w:t>a los Estados Miembros de África en la puesta en marcha de un número de emergencia común en consonancia con la Recomendación UIT-T E.161.1</w:t>
      </w:r>
      <w:r w:rsidR="00817DB7" w:rsidRPr="003B6445">
        <w:rPr>
          <w:b/>
        </w:rPr>
        <w:t>.</w:t>
      </w:r>
    </w:p>
    <w:p w14:paraId="1A55151D" w14:textId="3167E0C0" w:rsidR="00850BE3" w:rsidRPr="003B6445" w:rsidRDefault="00850BE3" w:rsidP="00B1479B">
      <w:pPr>
        <w:pStyle w:val="Heading2"/>
      </w:pPr>
      <w:r w:rsidRPr="003B6445">
        <w:t>2.4</w:t>
      </w:r>
      <w:r w:rsidRPr="003B6445">
        <w:tab/>
      </w:r>
      <w:r w:rsidR="00817DB7" w:rsidRPr="003B6445">
        <w:t>Pro</w:t>
      </w:r>
      <w:r w:rsidR="005C23BA" w:rsidRPr="003B6445">
        <w:t>puesta</w:t>
      </w:r>
      <w:r w:rsidR="00817DB7" w:rsidRPr="003B6445">
        <w:t xml:space="preserve"> de Resolución [IAP-3] – Uso de las instancias presenciales y virtuales en las actividades del Sector de Normalización de las Telecomunicaciones de la UIT en igualdad de condiciones</w:t>
      </w:r>
    </w:p>
    <w:p w14:paraId="4D17C8E2" w14:textId="10FBE535" w:rsidR="00850BE3" w:rsidRPr="003B6445" w:rsidRDefault="00EB13EF" w:rsidP="00B1479B">
      <w:bookmarkStart w:id="45" w:name="lt_pId095"/>
      <w:r w:rsidRPr="003B6445">
        <w:t>La AMNT</w:t>
      </w:r>
      <w:r w:rsidR="00850BE3" w:rsidRPr="003B6445">
        <w:t>-20 consider</w:t>
      </w:r>
      <w:r w:rsidRPr="003B6445">
        <w:t>ó (pero no adoptó) la propuesta de</w:t>
      </w:r>
      <w:r w:rsidR="00817DB7" w:rsidRPr="003B6445">
        <w:rPr>
          <w:b/>
          <w:highlight w:val="lightGray"/>
        </w:rPr>
        <w:t xml:space="preserve"> </w:t>
      </w:r>
      <w:r w:rsidR="00817DB7" w:rsidRPr="003B6445">
        <w:t>nueva Resolución [IAP-3] – Uso de las instancias presenciales y virtuales en las actividades del Sector de Normalización de las Telecomunicaciones de la UIT en igualdad de condiciones</w:t>
      </w:r>
      <w:r w:rsidR="00850BE3" w:rsidRPr="003B6445">
        <w:t>.</w:t>
      </w:r>
      <w:bookmarkEnd w:id="45"/>
      <w:r w:rsidR="00850BE3" w:rsidRPr="003B6445">
        <w:t xml:space="preserve"> </w:t>
      </w:r>
      <w:bookmarkStart w:id="46" w:name="lt_pId096"/>
      <w:r w:rsidRPr="003B6445">
        <w:t>La Asamblea se dijo consciente de los trabajos en curso del Grupo ad hoc del GANT sobre gobernanza y gestión de las reuniones por medios electrónicos (GAH-GRE del GANT</w:t>
      </w:r>
      <w:r w:rsidR="00850BE3" w:rsidRPr="003B6445">
        <w:t xml:space="preserve">), </w:t>
      </w:r>
      <w:r w:rsidRPr="003B6445">
        <w:t>pero también de las eventuales repercusiones de orden financiero, operativo y jurídico, que son ámbito de competencia del Consejo y la Conferencia de Plenipotenciarios en cuanto a las posibles modificaciones que hubiese que realizar en el Reglamento General como resultado de esta propuesta concreta</w:t>
      </w:r>
      <w:r w:rsidR="00850BE3" w:rsidRPr="003B6445">
        <w:t>.</w:t>
      </w:r>
      <w:bookmarkEnd w:id="46"/>
    </w:p>
    <w:p w14:paraId="24826DA8" w14:textId="5003E453" w:rsidR="00850BE3" w:rsidRPr="003B6445" w:rsidRDefault="00EB13EF" w:rsidP="00B1479B">
      <w:bookmarkStart w:id="47" w:name="lt_pId097"/>
      <w:r w:rsidRPr="003B6445">
        <w:t>La AMNT</w:t>
      </w:r>
      <w:r w:rsidR="00850BE3" w:rsidRPr="003B6445">
        <w:t xml:space="preserve">-20 </w:t>
      </w:r>
      <w:r w:rsidRPr="003B6445">
        <w:t>pidió al Director de la TSB que ponga esta propuesta en conocimiento del Grupo</w:t>
      </w:r>
      <w:r w:rsidR="00B61CC0">
        <w:t> </w:t>
      </w:r>
      <w:r w:rsidRPr="003B6445">
        <w:t>ad</w:t>
      </w:r>
      <w:r w:rsidR="00B61CC0">
        <w:t> </w:t>
      </w:r>
      <w:r w:rsidRPr="003B6445">
        <w:t>hoc del GANT sobre gobernanza y gestión de las reuniones por medios electrónicos, del Consejo y de la Conferencia de Plenipotenciarios</w:t>
      </w:r>
      <w:r w:rsidR="00850BE3" w:rsidRPr="003B6445">
        <w:t>.</w:t>
      </w:r>
      <w:bookmarkEnd w:id="47"/>
    </w:p>
    <w:p w14:paraId="55F84B26" w14:textId="172C111C" w:rsidR="00B1479B" w:rsidRDefault="00EB13EF" w:rsidP="00B1479B">
      <w:bookmarkStart w:id="48" w:name="lt_pId098"/>
      <w:r w:rsidRPr="003B6445">
        <w:t>La AMNT</w:t>
      </w:r>
      <w:r w:rsidR="00850BE3" w:rsidRPr="003B6445">
        <w:t>-20 invit</w:t>
      </w:r>
      <w:r w:rsidRPr="003B6445">
        <w:t>ó a la Conferencia de Plenipotenciarios a considerar la propuesta de nueva Resolución</w:t>
      </w:r>
      <w:r w:rsidR="00850BE3" w:rsidRPr="003B6445">
        <w:t xml:space="preserve"> [IAP-3] </w:t>
      </w:r>
      <w:r w:rsidRPr="003B6445">
        <w:t xml:space="preserve">y </w:t>
      </w:r>
      <w:r w:rsidR="00563696" w:rsidRPr="003B6445">
        <w:t>a tomar las medidas que considere necesarias</w:t>
      </w:r>
      <w:r w:rsidR="00850BE3" w:rsidRPr="003B6445">
        <w:t>.</w:t>
      </w:r>
      <w:bookmarkEnd w:id="48"/>
    </w:p>
    <w:p w14:paraId="5FB18AD5" w14:textId="0A009944" w:rsidR="00A068D1" w:rsidRDefault="00A068D1" w:rsidP="00A068D1">
      <w:pPr>
        <w:pStyle w:val="Heading2"/>
      </w:pPr>
      <w:r w:rsidRPr="00A068D1">
        <w:lastRenderedPageBreak/>
        <w:t>2.5</w:t>
      </w:r>
      <w:r w:rsidRPr="00A068D1">
        <w:tab/>
        <w:t>Función de las telecomunicaciones/tecnologías de la información y la comunicación en la mitigación de pandemias</w:t>
      </w:r>
    </w:p>
    <w:p w14:paraId="479135E1" w14:textId="1A3E5513" w:rsidR="00A068D1" w:rsidRDefault="00A068D1" w:rsidP="00A068D1">
      <w:r>
        <w:t>La AMNT-20 acordó incluir el texto del proyecto de nueva Resolución sobre pandemias en el informe final de la AMNT, e invitó a la Conferencia de Plenipotenciarios a examinar dicho texto y, en su caso, a tomar las medidas necesarias al respecto.</w:t>
      </w:r>
    </w:p>
    <w:p w14:paraId="10992F20" w14:textId="3C8F75EB" w:rsidR="00A068D1" w:rsidRPr="003B6445" w:rsidRDefault="00A068D1" w:rsidP="00A068D1">
      <w:r>
        <w:t>La AMNT-20 también encargó al Director de la TSB que informara a los Directores de las otras dos</w:t>
      </w:r>
      <w:r w:rsidR="0032319A">
        <w:t> </w:t>
      </w:r>
      <w:r>
        <w:t xml:space="preserve">Oficinas </w:t>
      </w:r>
      <w:r w:rsidR="00D2109D">
        <w:t>de</w:t>
      </w:r>
      <w:r>
        <w:t xml:space="preserve"> la mencionada solicitud a la Conferencia de Plenipotenciarios </w:t>
      </w:r>
      <w:r w:rsidR="00D2109D" w:rsidRPr="00D2109D">
        <w:t>a fin de facilitar la coordinación pertinente</w:t>
      </w:r>
    </w:p>
    <w:p w14:paraId="2AE01066" w14:textId="21242894" w:rsidR="00817DB7" w:rsidRPr="003B6445" w:rsidRDefault="00817DB7" w:rsidP="00B1479B">
      <w:pPr>
        <w:pStyle w:val="Heading1"/>
        <w:rPr>
          <w:b w:val="0"/>
        </w:rPr>
      </w:pPr>
      <w:r w:rsidRPr="003B6445">
        <w:t>3.</w:t>
      </w:r>
      <w:r w:rsidRPr="003B6445">
        <w:tab/>
      </w:r>
      <w:bookmarkStart w:id="49" w:name="lt_pId100"/>
      <w:r w:rsidR="00563696" w:rsidRPr="003B6445">
        <w:t xml:space="preserve">Evento </w:t>
      </w:r>
      <w:r w:rsidRPr="003B6445">
        <w:t>WISE</w:t>
      </w:r>
      <w:bookmarkEnd w:id="49"/>
    </w:p>
    <w:p w14:paraId="6ED7DCEE" w14:textId="77777777" w:rsidR="009D6ED5" w:rsidRDefault="00817DB7" w:rsidP="00B1479B">
      <w:r w:rsidRPr="003B6445">
        <w:t>3.1</w:t>
      </w:r>
      <w:r w:rsidRPr="003B6445">
        <w:tab/>
      </w:r>
      <w:bookmarkStart w:id="50" w:name="lt_pId102"/>
      <w:r w:rsidR="00563696" w:rsidRPr="003B6445">
        <w:t>El segundo evento del Grupo de Expertos sobre las Mujeres en la Normalización</w:t>
      </w:r>
      <w:r w:rsidRPr="003B6445">
        <w:t xml:space="preserve"> (WISE) </w:t>
      </w:r>
      <w:r w:rsidR="00563696" w:rsidRPr="003B6445">
        <w:t>se celebró el 8 de marzo de</w:t>
      </w:r>
      <w:r w:rsidRPr="003B6445">
        <w:t xml:space="preserve"> 2022</w:t>
      </w:r>
      <w:r w:rsidR="00563696" w:rsidRPr="003B6445">
        <w:t xml:space="preserve"> en el marco de la Asamblea Mundial de Normalización de las Telecomunicaciones (AMNT) en Ginebra</w:t>
      </w:r>
      <w:r w:rsidRPr="003B6445">
        <w:t>.</w:t>
      </w:r>
      <w:bookmarkEnd w:id="50"/>
    </w:p>
    <w:p w14:paraId="222846CE" w14:textId="38968CCA" w:rsidR="00817DB7" w:rsidRPr="0047190A" w:rsidRDefault="00817DB7" w:rsidP="00B1479B">
      <w:pPr>
        <w:rPr>
          <w:szCs w:val="24"/>
        </w:rPr>
      </w:pPr>
      <w:r w:rsidRPr="0047190A">
        <w:rPr>
          <w:szCs w:val="24"/>
        </w:rPr>
        <w:t>3.2</w:t>
      </w:r>
      <w:r w:rsidRPr="0047190A">
        <w:rPr>
          <w:szCs w:val="24"/>
        </w:rPr>
        <w:tab/>
      </w:r>
      <w:bookmarkStart w:id="51" w:name="lt_pId104"/>
      <w:r w:rsidR="00563696" w:rsidRPr="0047190A">
        <w:rPr>
          <w:szCs w:val="24"/>
        </w:rPr>
        <w:t>El evento consistió en la ceremonia de firma de un memorando de entendimiento (</w:t>
      </w:r>
      <w:proofErr w:type="spellStart"/>
      <w:r w:rsidRPr="0047190A">
        <w:rPr>
          <w:szCs w:val="24"/>
        </w:rPr>
        <w:t>MoU</w:t>
      </w:r>
      <w:proofErr w:type="spellEnd"/>
      <w:r w:rsidR="00563696" w:rsidRPr="0047190A">
        <w:rPr>
          <w:szCs w:val="24"/>
        </w:rPr>
        <w:t>)</w:t>
      </w:r>
      <w:r w:rsidRPr="0047190A">
        <w:rPr>
          <w:szCs w:val="24"/>
        </w:rPr>
        <w:t xml:space="preserve"> </w:t>
      </w:r>
      <w:r w:rsidR="00563696" w:rsidRPr="0047190A">
        <w:rPr>
          <w:szCs w:val="24"/>
        </w:rPr>
        <w:t>entre</w:t>
      </w:r>
      <w:r w:rsidRPr="0047190A">
        <w:rPr>
          <w:szCs w:val="24"/>
        </w:rPr>
        <w:t xml:space="preserve"> Australia </w:t>
      </w:r>
      <w:r w:rsidR="00563696" w:rsidRPr="0047190A">
        <w:rPr>
          <w:szCs w:val="24"/>
        </w:rPr>
        <w:t>y la UIT, en virtud del cual se establece una asociación para cerrar la brecha digital de género y para propiciar el empoderamiento de las mujeres y su participación en la toma de decisiones de la Conferencia de Plenipotenciarios de la UIT, seguida de una ceremonia de reconocimiento a las entidades que han contribuido de manera sobresaliente en la labor normalizadora del UIT-T en términos de liderazgo, continuidad e impacto. Por último, se celebró una mesa redonda sobre</w:t>
      </w:r>
      <w:r w:rsidRPr="0047190A">
        <w:rPr>
          <w:szCs w:val="24"/>
        </w:rPr>
        <w:t xml:space="preserve"> </w:t>
      </w:r>
      <w:r w:rsidR="00480311" w:rsidRPr="0047190A">
        <w:rPr>
          <w:szCs w:val="24"/>
        </w:rPr>
        <w:t>"</w:t>
      </w:r>
      <w:r w:rsidR="008D208A" w:rsidRPr="0047190A">
        <w:rPr>
          <w:rFonts w:cs="Calibri"/>
          <w:szCs w:val="24"/>
        </w:rPr>
        <w:t>La importancia del género para la formulación de normas</w:t>
      </w:r>
      <w:r w:rsidR="00B61CC0" w:rsidRPr="0047190A">
        <w:rPr>
          <w:rFonts w:cs="Calibri"/>
          <w:szCs w:val="24"/>
        </w:rPr>
        <w:t>"</w:t>
      </w:r>
      <w:r w:rsidRPr="0047190A">
        <w:rPr>
          <w:szCs w:val="24"/>
        </w:rPr>
        <w:t>.</w:t>
      </w:r>
      <w:bookmarkEnd w:id="51"/>
      <w:r w:rsidRPr="0047190A">
        <w:rPr>
          <w:szCs w:val="24"/>
        </w:rPr>
        <w:t xml:space="preserve"> </w:t>
      </w:r>
      <w:bookmarkStart w:id="52" w:name="lt_pId105"/>
      <w:r w:rsidR="00513A0B" w:rsidRPr="0047190A">
        <w:rPr>
          <w:szCs w:val="24"/>
        </w:rPr>
        <w:t>En los debates también se habló de cómo las tecnologías de vanguardia, como la IA y el aprendizaje automático, pueden utilizarse para entender el sesgo de género y la equidad de género</w:t>
      </w:r>
      <w:bookmarkEnd w:id="52"/>
      <w:r w:rsidR="008D208A" w:rsidRPr="0047190A">
        <w:rPr>
          <w:szCs w:val="24"/>
        </w:rPr>
        <w:t>.</w:t>
      </w:r>
      <w:r w:rsidRPr="0047190A">
        <w:rPr>
          <w:rFonts w:cs="Calibri"/>
          <w:b/>
          <w:color w:val="800000"/>
          <w:szCs w:val="24"/>
        </w:rPr>
        <w:t xml:space="preserve"> </w:t>
      </w:r>
    </w:p>
    <w:p w14:paraId="1238B037" w14:textId="7487305D" w:rsidR="00553613" w:rsidRDefault="00817DB7" w:rsidP="00B1479B">
      <w:r w:rsidRPr="003B6445">
        <w:t>3.3</w:t>
      </w:r>
      <w:r w:rsidRPr="003B6445">
        <w:tab/>
      </w:r>
      <w:bookmarkStart w:id="53" w:name="lt_pId107"/>
      <w:r w:rsidR="008D208A" w:rsidRPr="003B6445">
        <w:t xml:space="preserve">Resolución 55: </w:t>
      </w:r>
      <w:r w:rsidR="00513A0B" w:rsidRPr="003B6445">
        <w:t xml:space="preserve">La AMNT-20 también reafirmó la Resolución 55 de la AMNT, </w:t>
      </w:r>
      <w:r w:rsidR="008D208A" w:rsidRPr="003B6445">
        <w:t>Promoción de la igualdad de género en las actividades del Sector de Normalización de las Telecomunicaciones de la</w:t>
      </w:r>
      <w:r w:rsidR="003B5C69">
        <w:t> </w:t>
      </w:r>
      <w:r w:rsidR="008D208A" w:rsidRPr="003B6445">
        <w:t>UIT</w:t>
      </w:r>
      <w:r w:rsidRPr="003B6445">
        <w:t xml:space="preserve">, </w:t>
      </w:r>
      <w:r w:rsidR="00513A0B" w:rsidRPr="003B6445">
        <w:t>en virtud de la cual el UIT-T se compromete a seguir tomando medidas para fomentar la igualdad de género y aumentar el número de mujeres que ocupan puestos decisorios en el UIT-T y la</w:t>
      </w:r>
      <w:r w:rsidRPr="003B6445">
        <w:t xml:space="preserve"> TSB.</w:t>
      </w:r>
      <w:bookmarkEnd w:id="53"/>
    </w:p>
    <w:p w14:paraId="0157537B" w14:textId="04209FC8" w:rsidR="004746EC" w:rsidRDefault="004746EC" w:rsidP="00B1479B">
      <w:r>
        <w:br w:type="page"/>
      </w:r>
    </w:p>
    <w:p w14:paraId="4F212BCF" w14:textId="6801897E" w:rsidR="00850BE3" w:rsidRPr="0087054D" w:rsidRDefault="0087054D" w:rsidP="00B1479B">
      <w:pPr>
        <w:pStyle w:val="Annextitle"/>
        <w:rPr>
          <w:lang w:val="es-ES"/>
        </w:rPr>
      </w:pPr>
      <w:bookmarkStart w:id="54" w:name="lt_pId082"/>
      <w:r w:rsidRPr="002250A7">
        <w:lastRenderedPageBreak/>
        <w:t>Anexo – Lista de las Resoluciones</w:t>
      </w:r>
      <w:r w:rsidR="00513A0B">
        <w:t xml:space="preserve"> y</w:t>
      </w:r>
      <w:r w:rsidRPr="002250A7">
        <w:t xml:space="preserve"> la Opinión</w:t>
      </w:r>
      <w:r w:rsidR="00513A0B">
        <w:t xml:space="preserve"> de la AMNT</w:t>
      </w:r>
      <w:r w:rsidR="00B1479B">
        <w:br/>
      </w:r>
      <w:r w:rsidR="00513A0B">
        <w:t xml:space="preserve">y de </w:t>
      </w:r>
      <w:r w:rsidRPr="002250A7">
        <w:t>las</w:t>
      </w:r>
      <w:r>
        <w:t xml:space="preserve"> </w:t>
      </w:r>
      <w:r w:rsidRPr="002250A7">
        <w:t>Recomendaciones</w:t>
      </w:r>
      <w:r>
        <w:t xml:space="preserve"> </w:t>
      </w:r>
      <w:r w:rsidR="00513A0B">
        <w:t>UIT-T aprobadas</w:t>
      </w:r>
      <w:bookmarkEnd w:id="54"/>
    </w:p>
    <w:tbl>
      <w:tblPr>
        <w:tblW w:w="96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91"/>
        <w:gridCol w:w="1247"/>
      </w:tblGrid>
      <w:tr w:rsidR="0087054D" w:rsidRPr="002250A7" w14:paraId="77407DCF" w14:textId="77777777" w:rsidTr="009D6ED5">
        <w:trPr>
          <w:cantSplit/>
          <w:trHeight w:val="20"/>
          <w:tblHeader/>
          <w:jc w:val="center"/>
        </w:trPr>
        <w:tc>
          <w:tcPr>
            <w:tcW w:w="8391" w:type="dxa"/>
            <w:tcBorders>
              <w:top w:val="single" w:sz="12" w:space="0" w:color="auto"/>
              <w:right w:val="single" w:sz="12" w:space="0" w:color="auto"/>
            </w:tcBorders>
            <w:shd w:val="clear" w:color="auto" w:fill="DAEEF3" w:themeFill="accent5" w:themeFillTint="33"/>
            <w:vAlign w:val="center"/>
          </w:tcPr>
          <w:p w14:paraId="1290B040" w14:textId="76411FCF" w:rsidR="0087054D" w:rsidRPr="008B0D32" w:rsidRDefault="00915975" w:rsidP="007F4ECC">
            <w:pPr>
              <w:pStyle w:val="Tablehead"/>
            </w:pPr>
            <w:r w:rsidRPr="008B0D32">
              <w:t>Resoluciones</w:t>
            </w:r>
          </w:p>
        </w:tc>
        <w:tc>
          <w:tcPr>
            <w:tcW w:w="1247" w:type="dxa"/>
            <w:tcBorders>
              <w:top w:val="single" w:sz="12" w:space="0" w:color="auto"/>
              <w:right w:val="single" w:sz="12" w:space="0" w:color="auto"/>
            </w:tcBorders>
            <w:shd w:val="clear" w:color="auto" w:fill="DAEEF3" w:themeFill="accent5" w:themeFillTint="33"/>
            <w:vAlign w:val="center"/>
          </w:tcPr>
          <w:p w14:paraId="53C63DDF" w14:textId="77777777" w:rsidR="0087054D" w:rsidRPr="002250A7" w:rsidRDefault="0087054D" w:rsidP="007F4ECC">
            <w:pPr>
              <w:pStyle w:val="Tablehead"/>
            </w:pPr>
            <w:r w:rsidRPr="002250A7">
              <w:t>Situación</w:t>
            </w:r>
          </w:p>
        </w:tc>
      </w:tr>
      <w:tr w:rsidR="0087054D" w:rsidRPr="002250A7" w14:paraId="01714BEC" w14:textId="77777777" w:rsidTr="009D6ED5">
        <w:trPr>
          <w:cantSplit/>
          <w:trHeight w:val="20"/>
          <w:jc w:val="center"/>
        </w:trPr>
        <w:tc>
          <w:tcPr>
            <w:tcW w:w="8391" w:type="dxa"/>
            <w:tcBorders>
              <w:top w:val="single" w:sz="12" w:space="0" w:color="auto"/>
              <w:right w:val="single" w:sz="12" w:space="0" w:color="auto"/>
            </w:tcBorders>
            <w:shd w:val="clear" w:color="auto" w:fill="auto"/>
          </w:tcPr>
          <w:p w14:paraId="00275A53" w14:textId="0A042D20" w:rsidR="0087054D" w:rsidRPr="008B0D32" w:rsidRDefault="0087054D" w:rsidP="007F4ECC">
            <w:pPr>
              <w:pStyle w:val="Tabletext"/>
            </w:pPr>
            <w:bookmarkStart w:id="55" w:name="lt_pId085"/>
            <w:r w:rsidRPr="008B0D32">
              <w:t xml:space="preserve">Resolución 1 – </w:t>
            </w:r>
            <w:r w:rsidRPr="004725A0">
              <w:rPr>
                <w:rFonts w:asciiTheme="minorHAnsi" w:hAnsiTheme="minorHAnsi" w:cstheme="majorBidi"/>
                <w:i/>
                <w:iCs/>
                <w:szCs w:val="22"/>
              </w:rPr>
              <w:t>Reglamento Interno del Sector de Normalización de las Telecomunicaciones de la UIT</w:t>
            </w:r>
            <w:bookmarkEnd w:id="55"/>
          </w:p>
        </w:tc>
        <w:tc>
          <w:tcPr>
            <w:tcW w:w="1247" w:type="dxa"/>
            <w:tcBorders>
              <w:top w:val="single" w:sz="12" w:space="0" w:color="auto"/>
              <w:right w:val="single" w:sz="12" w:space="0" w:color="auto"/>
            </w:tcBorders>
          </w:tcPr>
          <w:p w14:paraId="00C0D9D4" w14:textId="0E6D57E0"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bookmarkStart w:id="56" w:name="lt_pId087"/>
      <w:tr w:rsidR="0087054D" w:rsidRPr="002250A7" w14:paraId="0560F732" w14:textId="77777777" w:rsidTr="009D6ED5">
        <w:trPr>
          <w:cantSplit/>
          <w:trHeight w:val="20"/>
          <w:jc w:val="center"/>
        </w:trPr>
        <w:tc>
          <w:tcPr>
            <w:tcW w:w="8391" w:type="dxa"/>
            <w:tcBorders>
              <w:right w:val="single" w:sz="12" w:space="0" w:color="auto"/>
            </w:tcBorders>
            <w:shd w:val="clear" w:color="auto" w:fill="auto"/>
          </w:tcPr>
          <w:p w14:paraId="727A5D88" w14:textId="4339E7CC" w:rsidR="0087054D" w:rsidRPr="008B0D32" w:rsidRDefault="0087054D" w:rsidP="007F4ECC">
            <w:pPr>
              <w:pStyle w:val="Tabletext"/>
            </w:pPr>
            <w:r w:rsidRPr="008B0D32">
              <w:fldChar w:fldCharType="begin"/>
            </w:r>
            <w:r w:rsidRPr="008B0D32">
              <w:instrText>HYPERLINK "http://www.itu.int/pub/publications.aspx?lang=en&amp;parent=T-RES-T.2-2016"</w:instrText>
            </w:r>
            <w:r w:rsidRPr="008B0D32">
              <w:fldChar w:fldCharType="separate"/>
            </w:r>
            <w:r w:rsidRPr="008B0D32">
              <w:t>Resolución</w:t>
            </w:r>
            <w:r w:rsidRPr="008B0D32">
              <w:fldChar w:fldCharType="end"/>
            </w:r>
            <w:r w:rsidRPr="008B0D32">
              <w:t xml:space="preserve"> 2 – </w:t>
            </w:r>
            <w:r w:rsidRPr="004725A0">
              <w:rPr>
                <w:rFonts w:asciiTheme="minorHAnsi" w:hAnsiTheme="minorHAnsi" w:cstheme="majorBidi"/>
                <w:i/>
                <w:iCs/>
                <w:szCs w:val="22"/>
              </w:rPr>
              <w:t>Responsabilidad y mandato de las Comisiones de Estudio del Sector de Normalización de las Telecomunicaciones de la UIT</w:t>
            </w:r>
            <w:bookmarkEnd w:id="56"/>
          </w:p>
        </w:tc>
        <w:tc>
          <w:tcPr>
            <w:tcW w:w="1247" w:type="dxa"/>
            <w:tcBorders>
              <w:right w:val="single" w:sz="12" w:space="0" w:color="auto"/>
            </w:tcBorders>
          </w:tcPr>
          <w:p w14:paraId="5B6323CB" w14:textId="0BD00EB4"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tr w:rsidR="0087054D" w:rsidRPr="002250A7" w14:paraId="0092CC03" w14:textId="77777777" w:rsidTr="009D6ED5">
        <w:trPr>
          <w:cantSplit/>
          <w:trHeight w:val="20"/>
          <w:jc w:val="center"/>
        </w:trPr>
        <w:tc>
          <w:tcPr>
            <w:tcW w:w="8391" w:type="dxa"/>
            <w:tcBorders>
              <w:right w:val="single" w:sz="12" w:space="0" w:color="auto"/>
            </w:tcBorders>
            <w:shd w:val="clear" w:color="auto" w:fill="auto"/>
          </w:tcPr>
          <w:p w14:paraId="73F7E179" w14:textId="41F7D001" w:rsidR="0087054D" w:rsidRPr="008B0D32" w:rsidRDefault="0087054D" w:rsidP="007F4ECC">
            <w:pPr>
              <w:pStyle w:val="Tabletext"/>
            </w:pPr>
            <w:bookmarkStart w:id="57" w:name="lt_pId089"/>
            <w:r w:rsidRPr="008B0D32">
              <w:t xml:space="preserve">Resolución 7 – </w:t>
            </w:r>
            <w:r w:rsidRPr="004725A0">
              <w:rPr>
                <w:rFonts w:asciiTheme="minorHAnsi" w:hAnsiTheme="minorHAnsi" w:cstheme="majorBidi"/>
                <w:i/>
                <w:iCs/>
                <w:szCs w:val="22"/>
              </w:rPr>
              <w:t>Colaboración con la Organización Internacional de Normalización y la Comisión Electrotécnica Internacional</w:t>
            </w:r>
            <w:bookmarkEnd w:id="57"/>
          </w:p>
        </w:tc>
        <w:tc>
          <w:tcPr>
            <w:tcW w:w="1247" w:type="dxa"/>
            <w:tcBorders>
              <w:right w:val="single" w:sz="12" w:space="0" w:color="auto"/>
            </w:tcBorders>
          </w:tcPr>
          <w:p w14:paraId="0791D486" w14:textId="3309B5F3"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bookmarkStart w:id="58" w:name="lt_pId091"/>
      <w:tr w:rsidR="0087054D" w:rsidRPr="002250A7" w14:paraId="26E9E37B" w14:textId="77777777" w:rsidTr="009D6ED5">
        <w:trPr>
          <w:cantSplit/>
          <w:trHeight w:val="20"/>
          <w:jc w:val="center"/>
        </w:trPr>
        <w:tc>
          <w:tcPr>
            <w:tcW w:w="8391" w:type="dxa"/>
            <w:tcBorders>
              <w:right w:val="single" w:sz="12" w:space="0" w:color="auto"/>
            </w:tcBorders>
            <w:shd w:val="clear" w:color="auto" w:fill="auto"/>
          </w:tcPr>
          <w:p w14:paraId="1AA92C77" w14:textId="7AAA4161" w:rsidR="0087054D" w:rsidRPr="008B0D32" w:rsidRDefault="0087054D" w:rsidP="007F4ECC">
            <w:pPr>
              <w:pStyle w:val="Tabletext"/>
            </w:pPr>
            <w:r w:rsidRPr="008B0D32">
              <w:fldChar w:fldCharType="begin"/>
            </w:r>
            <w:r w:rsidRPr="008B0D32">
              <w:instrText xml:space="preserve"> HYPERLINK "http://www.itu.int/pub/publications.aspx?lang=en&amp;parent=T-RES-T.11-2016" </w:instrText>
            </w:r>
            <w:r w:rsidRPr="008B0D32">
              <w:fldChar w:fldCharType="separate"/>
            </w:r>
            <w:r w:rsidRPr="008B0D32">
              <w:t>Resolución</w:t>
            </w:r>
            <w:r w:rsidRPr="008B0D32">
              <w:fldChar w:fldCharType="end"/>
            </w:r>
            <w:r w:rsidRPr="008B0D32">
              <w:t xml:space="preserve"> 11 – </w:t>
            </w:r>
            <w:r w:rsidRPr="004725A0">
              <w:rPr>
                <w:rFonts w:asciiTheme="minorHAnsi" w:hAnsiTheme="minorHAnsi" w:cstheme="majorBidi"/>
                <w:i/>
                <w:iCs/>
                <w:szCs w:val="22"/>
              </w:rPr>
              <w:t>Colaboración con el Consejo de Explotación Postal de la Unión Postal Universal sobre el estudio de servicios que interesan a la vez a los sectores postal y de telecomunicaciones</w:t>
            </w:r>
            <w:bookmarkEnd w:id="58"/>
          </w:p>
        </w:tc>
        <w:tc>
          <w:tcPr>
            <w:tcW w:w="1247" w:type="dxa"/>
            <w:tcBorders>
              <w:right w:val="single" w:sz="12" w:space="0" w:color="auto"/>
            </w:tcBorders>
          </w:tcPr>
          <w:p w14:paraId="671B8C7F" w14:textId="20EE5308" w:rsidR="0087054D" w:rsidRPr="002250A7" w:rsidRDefault="0087054D" w:rsidP="007F4ECC">
            <w:pPr>
              <w:pStyle w:val="Tabletext"/>
              <w:jc w:val="center"/>
              <w:rPr>
                <w:rFonts w:asciiTheme="minorHAnsi" w:hAnsiTheme="minorHAnsi"/>
                <w:szCs w:val="22"/>
              </w:rPr>
            </w:pPr>
            <w:r>
              <w:rPr>
                <w:rFonts w:asciiTheme="minorHAnsi" w:hAnsiTheme="minorHAnsi"/>
                <w:szCs w:val="22"/>
              </w:rPr>
              <w:t>No cambia</w:t>
            </w:r>
          </w:p>
        </w:tc>
      </w:tr>
      <w:bookmarkStart w:id="59" w:name="lt_pId093"/>
      <w:tr w:rsidR="0087054D" w:rsidRPr="002250A7" w14:paraId="7DC6DA18" w14:textId="77777777" w:rsidTr="009D6ED5">
        <w:trPr>
          <w:cantSplit/>
          <w:trHeight w:val="20"/>
          <w:jc w:val="center"/>
        </w:trPr>
        <w:tc>
          <w:tcPr>
            <w:tcW w:w="8391" w:type="dxa"/>
            <w:tcBorders>
              <w:right w:val="single" w:sz="12" w:space="0" w:color="auto"/>
            </w:tcBorders>
            <w:shd w:val="clear" w:color="auto" w:fill="auto"/>
          </w:tcPr>
          <w:p w14:paraId="75C8A0B9" w14:textId="0D363F85" w:rsidR="0087054D" w:rsidRPr="008B0D32" w:rsidRDefault="0087054D" w:rsidP="009D6ED5">
            <w:pPr>
              <w:pStyle w:val="Tabletext"/>
              <w:ind w:right="-57"/>
            </w:pPr>
            <w:r w:rsidRPr="008B0D32">
              <w:fldChar w:fldCharType="begin"/>
            </w:r>
            <w:r w:rsidRPr="008B0D32">
              <w:instrText xml:space="preserve"> HYPERLINK "http://www.itu.int/pub/publications.aspx?lang=en&amp;parent=T-RES-T.18-2016" </w:instrText>
            </w:r>
            <w:r w:rsidRPr="008B0D32">
              <w:fldChar w:fldCharType="separate"/>
            </w:r>
            <w:r w:rsidRPr="008B0D32">
              <w:t>Resolución</w:t>
            </w:r>
            <w:r w:rsidRPr="008B0D32">
              <w:fldChar w:fldCharType="end"/>
            </w:r>
            <w:r w:rsidRPr="008B0D32">
              <w:t xml:space="preserve"> 18 – </w:t>
            </w:r>
            <w:r w:rsidRPr="004725A0">
              <w:rPr>
                <w:rFonts w:asciiTheme="minorHAnsi" w:hAnsiTheme="minorHAnsi" w:cstheme="majorBidi"/>
                <w:i/>
                <w:iCs/>
                <w:szCs w:val="22"/>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bookmarkEnd w:id="59"/>
          </w:p>
        </w:tc>
        <w:tc>
          <w:tcPr>
            <w:tcW w:w="1247" w:type="dxa"/>
            <w:tcBorders>
              <w:right w:val="single" w:sz="12" w:space="0" w:color="auto"/>
            </w:tcBorders>
          </w:tcPr>
          <w:p w14:paraId="2CCADE82" w14:textId="1503EAC1"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tr w:rsidR="0087054D" w:rsidRPr="002250A7" w14:paraId="4F145175" w14:textId="77777777" w:rsidTr="009D6ED5">
        <w:trPr>
          <w:cantSplit/>
          <w:trHeight w:val="20"/>
          <w:jc w:val="center"/>
        </w:trPr>
        <w:tc>
          <w:tcPr>
            <w:tcW w:w="8391" w:type="dxa"/>
            <w:tcBorders>
              <w:right w:val="single" w:sz="12" w:space="0" w:color="auto"/>
            </w:tcBorders>
            <w:shd w:val="clear" w:color="auto" w:fill="auto"/>
          </w:tcPr>
          <w:p w14:paraId="50A9C5C0" w14:textId="5251A7CF" w:rsidR="0087054D" w:rsidRPr="008B0D32" w:rsidRDefault="0043054B" w:rsidP="007F4ECC">
            <w:pPr>
              <w:pStyle w:val="Tabletext"/>
            </w:pPr>
            <w:hyperlink r:id="rId17" w:history="1">
              <w:r w:rsidR="0087054D" w:rsidRPr="008B0D32">
                <w:t>Resolución</w:t>
              </w:r>
            </w:hyperlink>
            <w:r w:rsidR="0087054D" w:rsidRPr="008B0D32">
              <w:t xml:space="preserve"> 20 – </w:t>
            </w:r>
            <w:r w:rsidR="0087054D" w:rsidRPr="004725A0">
              <w:rPr>
                <w:rFonts w:asciiTheme="minorHAnsi" w:hAnsiTheme="minorHAnsi" w:cstheme="majorBidi"/>
                <w:i/>
                <w:iCs/>
                <w:szCs w:val="22"/>
              </w:rPr>
              <w:t>Procedimientos para la atribución y gestión de los recursos de numeración, denominación, direccionamiento e identificación internacionales de telecomunicaciones</w:t>
            </w:r>
          </w:p>
        </w:tc>
        <w:tc>
          <w:tcPr>
            <w:tcW w:w="1247" w:type="dxa"/>
            <w:tcBorders>
              <w:right w:val="single" w:sz="12" w:space="0" w:color="auto"/>
            </w:tcBorders>
          </w:tcPr>
          <w:p w14:paraId="1C143A7B" w14:textId="219F84CC"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tr w:rsidR="0087054D" w:rsidRPr="002250A7" w14:paraId="1DABC7AF" w14:textId="77777777" w:rsidTr="009D6ED5">
        <w:trPr>
          <w:cantSplit/>
          <w:trHeight w:val="20"/>
          <w:jc w:val="center"/>
        </w:trPr>
        <w:tc>
          <w:tcPr>
            <w:tcW w:w="8391" w:type="dxa"/>
            <w:tcBorders>
              <w:right w:val="single" w:sz="12" w:space="0" w:color="auto"/>
            </w:tcBorders>
            <w:shd w:val="clear" w:color="auto" w:fill="auto"/>
          </w:tcPr>
          <w:p w14:paraId="5985C800" w14:textId="2499F37F" w:rsidR="0087054D" w:rsidRPr="008B0D32" w:rsidRDefault="0043054B" w:rsidP="007F4ECC">
            <w:pPr>
              <w:pStyle w:val="Tabletext"/>
            </w:pPr>
            <w:hyperlink r:id="rId18" w:history="1">
              <w:r w:rsidR="0087054D" w:rsidRPr="008B0D32">
                <w:t>Resolución</w:t>
              </w:r>
            </w:hyperlink>
            <w:r w:rsidR="0087054D" w:rsidRPr="008B0D32">
              <w:t xml:space="preserve"> 22 – </w:t>
            </w:r>
            <w:r w:rsidR="0087054D" w:rsidRPr="004725A0">
              <w:rPr>
                <w:rFonts w:asciiTheme="minorHAnsi" w:hAnsiTheme="minorHAnsi" w:cstheme="majorBidi"/>
                <w:i/>
                <w:iCs/>
                <w:szCs w:val="22"/>
              </w:rPr>
              <w:t>Autorización para que el Grupo Asesor de Normalización de las Telecomunicaciones actúe en el periodo entre Asambleas Mundiales de Normalización de</w:t>
            </w:r>
            <w:r w:rsidR="000F10B0" w:rsidRPr="004725A0">
              <w:rPr>
                <w:rFonts w:asciiTheme="minorHAnsi" w:hAnsiTheme="minorHAnsi" w:cstheme="majorBidi"/>
                <w:i/>
                <w:iCs/>
                <w:szCs w:val="22"/>
              </w:rPr>
              <w:t> </w:t>
            </w:r>
            <w:r w:rsidR="0087054D" w:rsidRPr="004725A0">
              <w:rPr>
                <w:rFonts w:asciiTheme="minorHAnsi" w:hAnsiTheme="minorHAnsi" w:cstheme="majorBidi"/>
                <w:i/>
                <w:iCs/>
                <w:szCs w:val="22"/>
              </w:rPr>
              <w:t>las Telecomunicaciones</w:t>
            </w:r>
          </w:p>
        </w:tc>
        <w:tc>
          <w:tcPr>
            <w:tcW w:w="1247" w:type="dxa"/>
            <w:tcBorders>
              <w:right w:val="single" w:sz="12" w:space="0" w:color="auto"/>
            </w:tcBorders>
          </w:tcPr>
          <w:p w14:paraId="7C568150" w14:textId="391EC0E5" w:rsidR="0087054D" w:rsidRPr="002250A7" w:rsidRDefault="007F4ECC"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bookmarkStart w:id="60" w:name="lt_pId099"/>
      <w:tr w:rsidR="0087054D" w:rsidRPr="002250A7" w14:paraId="7F725688" w14:textId="77777777" w:rsidTr="009D6ED5">
        <w:trPr>
          <w:cantSplit/>
          <w:trHeight w:val="20"/>
          <w:jc w:val="center"/>
        </w:trPr>
        <w:tc>
          <w:tcPr>
            <w:tcW w:w="8391" w:type="dxa"/>
            <w:tcBorders>
              <w:right w:val="single" w:sz="12" w:space="0" w:color="auto"/>
            </w:tcBorders>
            <w:shd w:val="clear" w:color="auto" w:fill="auto"/>
          </w:tcPr>
          <w:p w14:paraId="62185485" w14:textId="4486E50A" w:rsidR="0087054D" w:rsidRPr="008B0D32" w:rsidRDefault="0087054D" w:rsidP="007F4ECC">
            <w:pPr>
              <w:pStyle w:val="Tabletext"/>
            </w:pPr>
            <w:r w:rsidRPr="008B0D32">
              <w:fldChar w:fldCharType="begin"/>
            </w:r>
            <w:r w:rsidRPr="008B0D32">
              <w:instrText xml:space="preserve"> HYPERLINK "http://www.itu.int/pub/publications.aspx?lang=en&amp;parent=T-RES-T.29-2016" </w:instrText>
            </w:r>
            <w:r w:rsidRPr="008B0D32">
              <w:fldChar w:fldCharType="separate"/>
            </w:r>
            <w:r w:rsidRPr="008B0D32">
              <w:t>Resolución</w:t>
            </w:r>
            <w:r w:rsidRPr="008B0D32">
              <w:fldChar w:fldCharType="end"/>
            </w:r>
            <w:r w:rsidRPr="008B0D32">
              <w:t xml:space="preserve"> 29 – </w:t>
            </w:r>
            <w:r w:rsidRPr="004725A0">
              <w:rPr>
                <w:rFonts w:asciiTheme="minorHAnsi" w:hAnsiTheme="minorHAnsi" w:cstheme="majorBidi"/>
                <w:i/>
                <w:iCs/>
                <w:szCs w:val="22"/>
              </w:rPr>
              <w:t>Procedimientos alternativos de llamada en las redes internacionales de telecomunicación</w:t>
            </w:r>
            <w:bookmarkEnd w:id="60"/>
          </w:p>
        </w:tc>
        <w:tc>
          <w:tcPr>
            <w:tcW w:w="1247" w:type="dxa"/>
            <w:tcBorders>
              <w:right w:val="single" w:sz="12" w:space="0" w:color="auto"/>
            </w:tcBorders>
          </w:tcPr>
          <w:p w14:paraId="5A6F6B40" w14:textId="3D25312C"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tr w:rsidR="0087054D" w:rsidRPr="002250A7" w14:paraId="5492B57D" w14:textId="77777777" w:rsidTr="009D6ED5">
        <w:trPr>
          <w:cantSplit/>
          <w:trHeight w:val="20"/>
          <w:jc w:val="center"/>
        </w:trPr>
        <w:tc>
          <w:tcPr>
            <w:tcW w:w="8391" w:type="dxa"/>
            <w:tcBorders>
              <w:right w:val="single" w:sz="12" w:space="0" w:color="auto"/>
            </w:tcBorders>
            <w:shd w:val="clear" w:color="auto" w:fill="auto"/>
          </w:tcPr>
          <w:p w14:paraId="606E88E7" w14:textId="53AE5FAB" w:rsidR="0087054D" w:rsidRPr="008B0D32" w:rsidRDefault="0087054D" w:rsidP="007F4ECC">
            <w:pPr>
              <w:pStyle w:val="Tabletext"/>
            </w:pPr>
            <w:bookmarkStart w:id="61" w:name="lt_pId101"/>
            <w:r w:rsidRPr="008B0D32">
              <w:t xml:space="preserve">Resolución 31 – </w:t>
            </w:r>
            <w:bookmarkEnd w:id="61"/>
            <w:r w:rsidRPr="004725A0">
              <w:rPr>
                <w:rFonts w:asciiTheme="minorHAnsi" w:hAnsiTheme="minorHAnsi" w:cstheme="majorBidi"/>
                <w:i/>
                <w:iCs/>
                <w:szCs w:val="22"/>
              </w:rPr>
              <w:t>Admisión de entidades u organizaciones para participar como Asociados en los trabajos del Sector de Normalización de las Telecomunicaciones de la UIT</w:t>
            </w:r>
          </w:p>
        </w:tc>
        <w:tc>
          <w:tcPr>
            <w:tcW w:w="1247" w:type="dxa"/>
            <w:tcBorders>
              <w:right w:val="single" w:sz="12" w:space="0" w:color="auto"/>
            </w:tcBorders>
          </w:tcPr>
          <w:p w14:paraId="0B86FC88" w14:textId="3FC7E3F7" w:rsidR="0087054D" w:rsidRPr="00ED048D" w:rsidRDefault="0087054D" w:rsidP="007F4ECC">
            <w:pPr>
              <w:pStyle w:val="Tabletext"/>
              <w:jc w:val="center"/>
              <w:rPr>
                <w:rFonts w:asciiTheme="minorHAnsi" w:hAnsiTheme="minorHAnsi"/>
                <w:szCs w:val="22"/>
              </w:rPr>
            </w:pPr>
            <w:r>
              <w:rPr>
                <w:rFonts w:asciiTheme="minorHAnsi" w:hAnsiTheme="minorHAnsi"/>
                <w:szCs w:val="22"/>
              </w:rPr>
              <w:t>N</w:t>
            </w:r>
            <w:r w:rsidRPr="00ED048D">
              <w:rPr>
                <w:rFonts w:asciiTheme="minorHAnsi" w:hAnsiTheme="minorHAnsi"/>
                <w:szCs w:val="22"/>
              </w:rPr>
              <w:t>o cambia</w:t>
            </w:r>
          </w:p>
        </w:tc>
      </w:tr>
      <w:tr w:rsidR="0087054D" w:rsidRPr="002250A7" w14:paraId="47FB17C6" w14:textId="77777777" w:rsidTr="009D6ED5">
        <w:trPr>
          <w:cantSplit/>
          <w:trHeight w:val="20"/>
          <w:jc w:val="center"/>
        </w:trPr>
        <w:tc>
          <w:tcPr>
            <w:tcW w:w="8391" w:type="dxa"/>
            <w:tcBorders>
              <w:right w:val="single" w:sz="12" w:space="0" w:color="auto"/>
            </w:tcBorders>
            <w:shd w:val="clear" w:color="auto" w:fill="auto"/>
          </w:tcPr>
          <w:p w14:paraId="1B494C36" w14:textId="489B8B69" w:rsidR="0087054D" w:rsidRPr="008B0D32" w:rsidRDefault="0087054D" w:rsidP="007F4ECC">
            <w:pPr>
              <w:pStyle w:val="Tabletext"/>
            </w:pPr>
            <w:bookmarkStart w:id="62" w:name="lt_pId103"/>
            <w:r w:rsidRPr="008B0D32">
              <w:t xml:space="preserve">Resolución 32 – </w:t>
            </w:r>
            <w:bookmarkEnd w:id="62"/>
            <w:r w:rsidRPr="004725A0">
              <w:rPr>
                <w:rFonts w:asciiTheme="minorHAnsi" w:hAnsiTheme="minorHAnsi" w:cstheme="majorBidi"/>
                <w:i/>
                <w:iCs/>
                <w:szCs w:val="22"/>
              </w:rPr>
              <w:t>Fortalecimiento de los métodos de trabajo electrónicos del Sector de Normalización de las Telecomunicaciones de la UIT</w:t>
            </w:r>
          </w:p>
        </w:tc>
        <w:tc>
          <w:tcPr>
            <w:tcW w:w="1247" w:type="dxa"/>
            <w:tcBorders>
              <w:right w:val="single" w:sz="12" w:space="0" w:color="auto"/>
            </w:tcBorders>
          </w:tcPr>
          <w:p w14:paraId="65FD7840" w14:textId="47BF5BB9" w:rsidR="0087054D" w:rsidRPr="002250A7" w:rsidRDefault="0087054D" w:rsidP="007F4ECC">
            <w:pPr>
              <w:pStyle w:val="Tabletext"/>
              <w:jc w:val="center"/>
              <w:rPr>
                <w:rFonts w:asciiTheme="minorHAnsi" w:hAnsiTheme="minorHAnsi"/>
                <w:szCs w:val="22"/>
              </w:rPr>
            </w:pPr>
            <w:r>
              <w:rPr>
                <w:rFonts w:asciiTheme="minorHAnsi" w:hAnsiTheme="minorHAnsi"/>
                <w:szCs w:val="22"/>
              </w:rPr>
              <w:t>No cambia</w:t>
            </w:r>
          </w:p>
        </w:tc>
      </w:tr>
      <w:tr w:rsidR="0087054D" w:rsidRPr="002250A7" w14:paraId="739299A2" w14:textId="77777777" w:rsidTr="009D6ED5">
        <w:trPr>
          <w:cantSplit/>
          <w:trHeight w:val="20"/>
          <w:jc w:val="center"/>
        </w:trPr>
        <w:tc>
          <w:tcPr>
            <w:tcW w:w="8391" w:type="dxa"/>
            <w:tcBorders>
              <w:right w:val="single" w:sz="12" w:space="0" w:color="auto"/>
            </w:tcBorders>
            <w:shd w:val="clear" w:color="auto" w:fill="auto"/>
          </w:tcPr>
          <w:p w14:paraId="4E73DFCC" w14:textId="2C11EBF0" w:rsidR="0087054D" w:rsidRPr="008B0D32" w:rsidRDefault="0043054B" w:rsidP="007F4ECC">
            <w:pPr>
              <w:pStyle w:val="Tabletext"/>
            </w:pPr>
            <w:hyperlink r:id="rId19" w:history="1">
              <w:r w:rsidR="0087054D" w:rsidRPr="008B0D32">
                <w:t>Resolución</w:t>
              </w:r>
            </w:hyperlink>
            <w:r w:rsidR="0087054D" w:rsidRPr="008B0D32">
              <w:t xml:space="preserve"> 34 – </w:t>
            </w:r>
            <w:r w:rsidR="0087054D" w:rsidRPr="004725A0">
              <w:rPr>
                <w:rFonts w:asciiTheme="minorHAnsi" w:hAnsiTheme="minorHAnsi" w:cstheme="majorBidi"/>
                <w:i/>
                <w:iCs/>
                <w:szCs w:val="22"/>
              </w:rPr>
              <w:t>Contribuciones voluntarias</w:t>
            </w:r>
          </w:p>
        </w:tc>
        <w:tc>
          <w:tcPr>
            <w:tcW w:w="1247" w:type="dxa"/>
            <w:tcBorders>
              <w:right w:val="single" w:sz="12" w:space="0" w:color="auto"/>
            </w:tcBorders>
          </w:tcPr>
          <w:p w14:paraId="4E5D7D09" w14:textId="4695301A" w:rsidR="0087054D" w:rsidRPr="002250A7" w:rsidRDefault="0087054D" w:rsidP="007F4ECC">
            <w:pPr>
              <w:pStyle w:val="Tabletext"/>
              <w:jc w:val="center"/>
              <w:rPr>
                <w:rFonts w:asciiTheme="minorHAnsi" w:hAnsiTheme="minorHAnsi"/>
                <w:szCs w:val="22"/>
              </w:rPr>
            </w:pPr>
            <w:r>
              <w:rPr>
                <w:rFonts w:asciiTheme="minorHAnsi" w:hAnsiTheme="minorHAnsi"/>
                <w:szCs w:val="22"/>
              </w:rPr>
              <w:t>Revisada</w:t>
            </w:r>
          </w:p>
        </w:tc>
      </w:tr>
      <w:bookmarkStart w:id="63" w:name="lt_pId109"/>
      <w:tr w:rsidR="0087054D" w:rsidRPr="002250A7" w14:paraId="3040B154" w14:textId="77777777" w:rsidTr="009D6ED5">
        <w:trPr>
          <w:cantSplit/>
          <w:trHeight w:val="20"/>
          <w:jc w:val="center"/>
        </w:trPr>
        <w:tc>
          <w:tcPr>
            <w:tcW w:w="8391" w:type="dxa"/>
            <w:tcBorders>
              <w:right w:val="single" w:sz="12" w:space="0" w:color="auto"/>
            </w:tcBorders>
            <w:shd w:val="clear" w:color="auto" w:fill="auto"/>
          </w:tcPr>
          <w:p w14:paraId="5A1CD41C" w14:textId="313AC968" w:rsidR="0087054D" w:rsidRPr="008B0D32" w:rsidRDefault="0087054D" w:rsidP="007F4ECC">
            <w:pPr>
              <w:pStyle w:val="Tabletext"/>
            </w:pPr>
            <w:r w:rsidRPr="008B0D32">
              <w:fldChar w:fldCharType="begin"/>
            </w:r>
            <w:r w:rsidRPr="008B0D32">
              <w:instrText xml:space="preserve"> HYPERLINK "http://www.itu.int/pub/publications.aspx?lang=en&amp;parent=T-RES-T.35-2016" </w:instrText>
            </w:r>
            <w:r w:rsidRPr="008B0D32">
              <w:fldChar w:fldCharType="separate"/>
            </w:r>
            <w:r w:rsidRPr="008B0D32">
              <w:t>Resolución</w:t>
            </w:r>
            <w:r w:rsidRPr="008B0D32">
              <w:fldChar w:fldCharType="end"/>
            </w:r>
            <w:r w:rsidRPr="008B0D32">
              <w:t xml:space="preserve"> 35 – </w:t>
            </w:r>
            <w:bookmarkEnd w:id="63"/>
            <w:r w:rsidRPr="004725A0">
              <w:rPr>
                <w:rFonts w:asciiTheme="minorHAnsi" w:hAnsiTheme="minorHAnsi" w:cstheme="majorBidi"/>
                <w:i/>
                <w:iCs/>
                <w:szCs w:val="22"/>
              </w:rPr>
              <w:t xml:space="preserve">Nombramiento y duración máxima del mandato de los </w:t>
            </w:r>
            <w:proofErr w:type="gramStart"/>
            <w:r w:rsidRPr="004725A0">
              <w:rPr>
                <w:rFonts w:asciiTheme="minorHAnsi" w:hAnsiTheme="minorHAnsi" w:cstheme="majorBidi"/>
                <w:i/>
                <w:iCs/>
                <w:szCs w:val="22"/>
              </w:rPr>
              <w:t>Presidentes</w:t>
            </w:r>
            <w:proofErr w:type="gramEnd"/>
            <w:r w:rsidRPr="004725A0">
              <w:rPr>
                <w:rFonts w:asciiTheme="minorHAnsi" w:hAnsiTheme="minorHAnsi" w:cstheme="majorBidi"/>
                <w:i/>
                <w:iCs/>
                <w:szCs w:val="22"/>
              </w:rPr>
              <w:t xml:space="preserve"> y Vicepresidentes de las Comisiones de Estudio del Sector de Normalización de las Telecomunicaciones de la UIT y del Grupo Asesor de Normalización de las Telecomunicaciones</w:t>
            </w:r>
          </w:p>
        </w:tc>
        <w:tc>
          <w:tcPr>
            <w:tcW w:w="1247" w:type="dxa"/>
            <w:tcBorders>
              <w:right w:val="single" w:sz="12" w:space="0" w:color="auto"/>
            </w:tcBorders>
          </w:tcPr>
          <w:p w14:paraId="1F02248B" w14:textId="1B91D3DA" w:rsidR="0087054D" w:rsidRPr="002250A7" w:rsidRDefault="0087054D" w:rsidP="007F4ECC">
            <w:pPr>
              <w:pStyle w:val="Tabletext"/>
              <w:jc w:val="center"/>
              <w:rPr>
                <w:rFonts w:asciiTheme="minorHAnsi" w:hAnsiTheme="minorHAnsi"/>
                <w:szCs w:val="22"/>
              </w:rPr>
            </w:pPr>
            <w:r>
              <w:rPr>
                <w:rFonts w:asciiTheme="minorHAnsi" w:hAnsiTheme="minorHAnsi"/>
                <w:szCs w:val="22"/>
              </w:rPr>
              <w:t>Suprimida</w:t>
            </w:r>
          </w:p>
        </w:tc>
      </w:tr>
      <w:bookmarkStart w:id="64" w:name="lt_pId113"/>
      <w:tr w:rsidR="0087054D" w:rsidRPr="002250A7" w14:paraId="4999E979" w14:textId="77777777" w:rsidTr="009D6ED5">
        <w:trPr>
          <w:cantSplit/>
          <w:trHeight w:val="20"/>
          <w:jc w:val="center"/>
        </w:trPr>
        <w:tc>
          <w:tcPr>
            <w:tcW w:w="8391" w:type="dxa"/>
            <w:tcBorders>
              <w:right w:val="single" w:sz="12" w:space="0" w:color="auto"/>
            </w:tcBorders>
            <w:shd w:val="clear" w:color="auto" w:fill="auto"/>
          </w:tcPr>
          <w:p w14:paraId="38849839" w14:textId="30468D5D" w:rsidR="0087054D" w:rsidRPr="008B0D32" w:rsidRDefault="0087054D" w:rsidP="007F4ECC">
            <w:pPr>
              <w:pStyle w:val="Tabletext"/>
            </w:pPr>
            <w:r w:rsidRPr="008B0D32">
              <w:fldChar w:fldCharType="begin"/>
            </w:r>
            <w:r w:rsidRPr="008B0D32">
              <w:instrText xml:space="preserve"> HYPERLINK "http://www.itu.int/pub/publications.aspx?lang=en&amp;parent=T-RES-T.40-2016" </w:instrText>
            </w:r>
            <w:r w:rsidRPr="008B0D32">
              <w:fldChar w:fldCharType="separate"/>
            </w:r>
            <w:r w:rsidRPr="008B0D32">
              <w:t>Resolución</w:t>
            </w:r>
            <w:r w:rsidRPr="008B0D32">
              <w:fldChar w:fldCharType="end"/>
            </w:r>
            <w:r w:rsidRPr="008B0D32">
              <w:t xml:space="preserve"> 40 – </w:t>
            </w:r>
            <w:r w:rsidRPr="004725A0">
              <w:rPr>
                <w:rFonts w:asciiTheme="minorHAnsi" w:hAnsiTheme="minorHAnsi" w:cstheme="majorBidi"/>
                <w:i/>
                <w:iCs/>
                <w:szCs w:val="22"/>
              </w:rPr>
              <w:t>Aspectos reglamentarios de la labor del Sector de Normalización de las Telecomunicaciones de la UIT</w:t>
            </w:r>
            <w:bookmarkEnd w:id="64"/>
          </w:p>
        </w:tc>
        <w:tc>
          <w:tcPr>
            <w:tcW w:w="1247" w:type="dxa"/>
            <w:tcBorders>
              <w:right w:val="single" w:sz="12" w:space="0" w:color="auto"/>
            </w:tcBorders>
          </w:tcPr>
          <w:p w14:paraId="51D092BB" w14:textId="0E6EA0C7"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tr w:rsidR="0087054D" w:rsidRPr="002250A7" w14:paraId="6DD23BA7" w14:textId="77777777" w:rsidTr="009D6ED5">
        <w:trPr>
          <w:cantSplit/>
          <w:trHeight w:val="20"/>
          <w:jc w:val="center"/>
        </w:trPr>
        <w:tc>
          <w:tcPr>
            <w:tcW w:w="8391" w:type="dxa"/>
            <w:tcBorders>
              <w:right w:val="single" w:sz="12" w:space="0" w:color="auto"/>
            </w:tcBorders>
            <w:shd w:val="clear" w:color="auto" w:fill="auto"/>
          </w:tcPr>
          <w:p w14:paraId="309EA31F" w14:textId="0A69F461" w:rsidR="0087054D" w:rsidRPr="008B0D32" w:rsidRDefault="0087054D" w:rsidP="007F4ECC">
            <w:pPr>
              <w:pStyle w:val="Tabletext"/>
            </w:pPr>
            <w:bookmarkStart w:id="65" w:name="lt_pId115"/>
            <w:r w:rsidRPr="008B0D32">
              <w:t xml:space="preserve">Resolución 43 – </w:t>
            </w:r>
            <w:bookmarkEnd w:id="65"/>
            <w:r w:rsidRPr="004725A0">
              <w:rPr>
                <w:rFonts w:asciiTheme="minorHAnsi" w:hAnsiTheme="minorHAnsi" w:cstheme="majorBidi"/>
                <w:i/>
                <w:iCs/>
                <w:szCs w:val="22"/>
              </w:rPr>
              <w:t>Preparativos regionales para las Asambleas Mundiales de Normalización de las Telecomunicaciones</w:t>
            </w:r>
          </w:p>
        </w:tc>
        <w:tc>
          <w:tcPr>
            <w:tcW w:w="1247" w:type="dxa"/>
            <w:tcBorders>
              <w:right w:val="single" w:sz="12" w:space="0" w:color="auto"/>
            </w:tcBorders>
          </w:tcPr>
          <w:p w14:paraId="50E49FC5" w14:textId="71AEAE39" w:rsidR="0087054D" w:rsidRPr="002250A7" w:rsidRDefault="0087054D" w:rsidP="007F4ECC">
            <w:pPr>
              <w:pStyle w:val="Tabletext"/>
              <w:jc w:val="center"/>
              <w:rPr>
                <w:rFonts w:asciiTheme="minorHAnsi" w:hAnsiTheme="minorHAnsi"/>
                <w:szCs w:val="22"/>
              </w:rPr>
            </w:pPr>
            <w:r>
              <w:rPr>
                <w:rFonts w:asciiTheme="minorHAnsi" w:hAnsiTheme="minorHAnsi"/>
                <w:szCs w:val="22"/>
              </w:rPr>
              <w:t>Revisada</w:t>
            </w:r>
          </w:p>
        </w:tc>
      </w:tr>
      <w:bookmarkStart w:id="66" w:name="lt_pId117"/>
      <w:tr w:rsidR="00DA0CC6" w:rsidRPr="002250A7" w14:paraId="3EF63A10" w14:textId="77777777" w:rsidTr="009D6ED5">
        <w:trPr>
          <w:cantSplit/>
          <w:trHeight w:val="20"/>
          <w:jc w:val="center"/>
        </w:trPr>
        <w:tc>
          <w:tcPr>
            <w:tcW w:w="8391" w:type="dxa"/>
            <w:tcBorders>
              <w:right w:val="single" w:sz="12" w:space="0" w:color="auto"/>
            </w:tcBorders>
            <w:shd w:val="clear" w:color="auto" w:fill="auto"/>
          </w:tcPr>
          <w:p w14:paraId="4D818F1F" w14:textId="3638C498" w:rsidR="00DA0CC6" w:rsidRPr="008B0D32" w:rsidRDefault="00DA0CC6" w:rsidP="007F4ECC">
            <w:pPr>
              <w:pStyle w:val="Tabletext"/>
            </w:pPr>
            <w:r w:rsidRPr="008B0D32">
              <w:fldChar w:fldCharType="begin"/>
            </w:r>
            <w:r w:rsidRPr="008B0D32">
              <w:instrText xml:space="preserve"> HYPERLINK "http://www.itu.int/pub/publications.aspx?lang=en&amp;parent=T-RES-T.44-2016" </w:instrText>
            </w:r>
            <w:r w:rsidRPr="008B0D32">
              <w:fldChar w:fldCharType="separate"/>
            </w:r>
            <w:r w:rsidRPr="008B0D32">
              <w:t>Resolución</w:t>
            </w:r>
            <w:r w:rsidRPr="008B0D32">
              <w:fldChar w:fldCharType="end"/>
            </w:r>
            <w:r w:rsidRPr="008B0D32">
              <w:t xml:space="preserve"> 44 – </w:t>
            </w:r>
            <w:r w:rsidRPr="004725A0">
              <w:rPr>
                <w:rFonts w:asciiTheme="minorHAnsi" w:hAnsiTheme="minorHAnsi" w:cstheme="majorBidi"/>
                <w:i/>
                <w:iCs/>
                <w:szCs w:val="22"/>
              </w:rPr>
              <w:t>Reducción de la disparidad entre los países en desarrollo y desarrollados en materia de normalización</w:t>
            </w:r>
            <w:bookmarkEnd w:id="66"/>
          </w:p>
        </w:tc>
        <w:tc>
          <w:tcPr>
            <w:tcW w:w="1247" w:type="dxa"/>
            <w:tcBorders>
              <w:right w:val="single" w:sz="12" w:space="0" w:color="auto"/>
            </w:tcBorders>
          </w:tcPr>
          <w:p w14:paraId="7E5C88BA" w14:textId="75158DB8" w:rsidR="00DA0CC6" w:rsidRDefault="00DA0CC6"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bookmarkStart w:id="67" w:name="lt_pId119"/>
      <w:tr w:rsidR="0087054D" w:rsidRPr="002250A7" w14:paraId="39599BD6" w14:textId="77777777" w:rsidTr="009D6ED5">
        <w:trPr>
          <w:cantSplit/>
          <w:trHeight w:val="20"/>
          <w:jc w:val="center"/>
        </w:trPr>
        <w:tc>
          <w:tcPr>
            <w:tcW w:w="8391" w:type="dxa"/>
            <w:tcBorders>
              <w:right w:val="single" w:sz="12" w:space="0" w:color="auto"/>
            </w:tcBorders>
            <w:shd w:val="clear" w:color="auto" w:fill="auto"/>
          </w:tcPr>
          <w:p w14:paraId="354775DF" w14:textId="78E9C802" w:rsidR="0087054D" w:rsidRPr="008B0D32" w:rsidRDefault="00DA0CC6" w:rsidP="007F4ECC">
            <w:pPr>
              <w:pStyle w:val="Tabletext"/>
            </w:pPr>
            <w:r w:rsidRPr="008B0D32">
              <w:fldChar w:fldCharType="begin"/>
            </w:r>
            <w:r w:rsidRPr="008B0D32">
              <w:instrText xml:space="preserve"> HYPERLINK "http://www.itu.int/pub/publications.aspx?lang=en&amp;parent=T-RES-T.45-2016" </w:instrText>
            </w:r>
            <w:r w:rsidRPr="008B0D32">
              <w:fldChar w:fldCharType="separate"/>
            </w:r>
            <w:r w:rsidRPr="008B0D32">
              <w:t>Resolución</w:t>
            </w:r>
            <w:r w:rsidRPr="008B0D32">
              <w:fldChar w:fldCharType="end"/>
            </w:r>
            <w:r w:rsidRPr="008B0D32">
              <w:t xml:space="preserve"> 45 – </w:t>
            </w:r>
            <w:r w:rsidRPr="004725A0">
              <w:rPr>
                <w:rFonts w:asciiTheme="minorHAnsi" w:hAnsiTheme="minorHAnsi" w:cstheme="majorBidi"/>
                <w:i/>
                <w:iCs/>
                <w:szCs w:val="22"/>
              </w:rPr>
              <w:t>Coordinación eficaz de la labor de normalización en las Comisiones de Estudio del Sector de Normalización de las Telecomunicaciones de la UIT, y cometido del Grupo Asesor de Normalización de las Telecomunicaciones</w:t>
            </w:r>
            <w:bookmarkEnd w:id="67"/>
          </w:p>
        </w:tc>
        <w:tc>
          <w:tcPr>
            <w:tcW w:w="1247" w:type="dxa"/>
            <w:tcBorders>
              <w:right w:val="single" w:sz="12" w:space="0" w:color="auto"/>
            </w:tcBorders>
          </w:tcPr>
          <w:p w14:paraId="1181BDC3" w14:textId="3D9E9030" w:rsidR="0087054D" w:rsidRPr="002250A7" w:rsidRDefault="00DA0CC6" w:rsidP="007F4ECC">
            <w:pPr>
              <w:pStyle w:val="Tabletext"/>
              <w:jc w:val="center"/>
              <w:rPr>
                <w:rFonts w:asciiTheme="minorHAnsi" w:hAnsiTheme="minorHAnsi"/>
                <w:szCs w:val="22"/>
              </w:rPr>
            </w:pPr>
            <w:r>
              <w:rPr>
                <w:rFonts w:asciiTheme="minorHAnsi" w:hAnsiTheme="minorHAnsi"/>
                <w:szCs w:val="22"/>
              </w:rPr>
              <w:t>Suprimida</w:t>
            </w:r>
          </w:p>
        </w:tc>
      </w:tr>
      <w:bookmarkStart w:id="68" w:name="lt_pId121"/>
      <w:tr w:rsidR="00DA0CC6" w:rsidRPr="002250A7" w14:paraId="08CF6FA1" w14:textId="77777777" w:rsidTr="000A7E43">
        <w:trPr>
          <w:cantSplit/>
          <w:trHeight w:val="20"/>
          <w:jc w:val="center"/>
        </w:trPr>
        <w:tc>
          <w:tcPr>
            <w:tcW w:w="8391" w:type="dxa"/>
            <w:tcBorders>
              <w:top w:val="single" w:sz="12" w:space="0" w:color="auto"/>
              <w:right w:val="single" w:sz="12" w:space="0" w:color="auto"/>
            </w:tcBorders>
            <w:shd w:val="clear" w:color="auto" w:fill="auto"/>
          </w:tcPr>
          <w:p w14:paraId="7C816D9E" w14:textId="0D16A1EF" w:rsidR="00DA0CC6" w:rsidRPr="008B0D32" w:rsidRDefault="00DA0CC6" w:rsidP="000A7E43">
            <w:pPr>
              <w:pStyle w:val="Tabletext"/>
            </w:pPr>
            <w:r w:rsidRPr="008B0D32">
              <w:lastRenderedPageBreak/>
              <w:fldChar w:fldCharType="begin"/>
            </w:r>
            <w:r w:rsidRPr="008B0D32">
              <w:instrText xml:space="preserve"> HYPERLINK "http://www.itu.int/pub/publications.aspx?lang=en&amp;parent=T-RES-T.47-2016" </w:instrText>
            </w:r>
            <w:r w:rsidRPr="008B0D32">
              <w:fldChar w:fldCharType="separate"/>
            </w:r>
            <w:r w:rsidRPr="008B0D32">
              <w:t>Resolución</w:t>
            </w:r>
            <w:r w:rsidRPr="008B0D32">
              <w:fldChar w:fldCharType="end"/>
            </w:r>
            <w:r w:rsidRPr="008B0D32">
              <w:t xml:space="preserve"> 47 – </w:t>
            </w:r>
            <w:bookmarkEnd w:id="68"/>
            <w:r w:rsidRPr="004725A0">
              <w:rPr>
                <w:rFonts w:asciiTheme="minorHAnsi" w:hAnsiTheme="minorHAnsi" w:cstheme="majorBidi"/>
                <w:i/>
                <w:iCs/>
                <w:szCs w:val="22"/>
              </w:rPr>
              <w:t>Nombres de dominio de nivel superior de código de país</w:t>
            </w:r>
          </w:p>
        </w:tc>
        <w:tc>
          <w:tcPr>
            <w:tcW w:w="1247" w:type="dxa"/>
            <w:tcBorders>
              <w:top w:val="single" w:sz="12" w:space="0" w:color="auto"/>
              <w:right w:val="single" w:sz="12" w:space="0" w:color="auto"/>
            </w:tcBorders>
          </w:tcPr>
          <w:p w14:paraId="0C57366B" w14:textId="566C2126" w:rsidR="00DA0CC6" w:rsidRPr="002250A7" w:rsidRDefault="00DA0CC6" w:rsidP="000A7E43">
            <w:pPr>
              <w:pStyle w:val="Tabletext"/>
              <w:jc w:val="center"/>
              <w:rPr>
                <w:rFonts w:asciiTheme="minorHAnsi" w:hAnsiTheme="minorHAnsi"/>
                <w:szCs w:val="22"/>
              </w:rPr>
            </w:pPr>
            <w:r>
              <w:rPr>
                <w:rFonts w:asciiTheme="minorHAnsi" w:hAnsiTheme="minorHAnsi"/>
                <w:szCs w:val="22"/>
              </w:rPr>
              <w:t>N</w:t>
            </w:r>
            <w:r w:rsidRPr="002250A7">
              <w:rPr>
                <w:rFonts w:asciiTheme="minorHAnsi" w:hAnsiTheme="minorHAnsi"/>
                <w:szCs w:val="22"/>
              </w:rPr>
              <w:t>o cambia</w:t>
            </w:r>
          </w:p>
        </w:tc>
      </w:tr>
      <w:tr w:rsidR="0087054D" w:rsidRPr="002250A7" w14:paraId="4E7BCCBC" w14:textId="77777777" w:rsidTr="009D6ED5">
        <w:trPr>
          <w:cantSplit/>
          <w:trHeight w:val="20"/>
          <w:jc w:val="center"/>
        </w:trPr>
        <w:tc>
          <w:tcPr>
            <w:tcW w:w="8391" w:type="dxa"/>
            <w:tcBorders>
              <w:right w:val="single" w:sz="12" w:space="0" w:color="auto"/>
            </w:tcBorders>
            <w:shd w:val="clear" w:color="auto" w:fill="auto"/>
          </w:tcPr>
          <w:p w14:paraId="48C3EA74" w14:textId="1608969F" w:rsidR="0087054D" w:rsidRPr="008B0D32" w:rsidRDefault="0003378E" w:rsidP="007F4ECC">
            <w:pPr>
              <w:pStyle w:val="Tabletext"/>
            </w:pPr>
            <w:bookmarkStart w:id="69" w:name="lt_pId123"/>
            <w:r w:rsidRPr="008B0D32">
              <w:t>Resolución 48</w:t>
            </w:r>
            <w:r w:rsidR="0087054D" w:rsidRPr="008B0D32">
              <w:t xml:space="preserve"> – </w:t>
            </w:r>
            <w:r w:rsidR="0087054D" w:rsidRPr="004725A0">
              <w:rPr>
                <w:rFonts w:asciiTheme="minorHAnsi" w:hAnsiTheme="minorHAnsi" w:cstheme="majorBidi"/>
                <w:i/>
                <w:iCs/>
                <w:szCs w:val="22"/>
              </w:rPr>
              <w:t>Nombres de dominio internacionalizados (y multilingües)</w:t>
            </w:r>
            <w:bookmarkEnd w:id="69"/>
          </w:p>
        </w:tc>
        <w:tc>
          <w:tcPr>
            <w:tcW w:w="1247" w:type="dxa"/>
            <w:tcBorders>
              <w:right w:val="single" w:sz="12" w:space="0" w:color="auto"/>
            </w:tcBorders>
          </w:tcPr>
          <w:p w14:paraId="1F06446D" w14:textId="2A2CC883" w:rsidR="0087054D" w:rsidRPr="002250A7" w:rsidRDefault="0003378E" w:rsidP="007F4ECC">
            <w:pPr>
              <w:pStyle w:val="Tabletext"/>
              <w:jc w:val="center"/>
              <w:rPr>
                <w:rFonts w:asciiTheme="minorHAnsi" w:hAnsiTheme="minorHAnsi"/>
                <w:szCs w:val="22"/>
              </w:rPr>
            </w:pPr>
            <w:r>
              <w:rPr>
                <w:rFonts w:asciiTheme="minorHAnsi" w:hAnsiTheme="minorHAnsi"/>
                <w:szCs w:val="22"/>
              </w:rPr>
              <w:t>Revisada</w:t>
            </w:r>
          </w:p>
        </w:tc>
      </w:tr>
      <w:bookmarkStart w:id="70" w:name="lt_pId125"/>
      <w:tr w:rsidR="0087054D" w:rsidRPr="002250A7" w14:paraId="76453F7F" w14:textId="77777777" w:rsidTr="009D6ED5">
        <w:trPr>
          <w:cantSplit/>
          <w:trHeight w:val="20"/>
          <w:jc w:val="center"/>
        </w:trPr>
        <w:tc>
          <w:tcPr>
            <w:tcW w:w="8391" w:type="dxa"/>
            <w:tcBorders>
              <w:right w:val="single" w:sz="12" w:space="0" w:color="auto"/>
            </w:tcBorders>
            <w:shd w:val="clear" w:color="auto" w:fill="auto"/>
          </w:tcPr>
          <w:p w14:paraId="7E6A188B" w14:textId="08E72676" w:rsidR="0087054D" w:rsidRPr="008B0D32" w:rsidRDefault="0003378E" w:rsidP="007F4ECC">
            <w:pPr>
              <w:pStyle w:val="Tabletext"/>
            </w:pPr>
            <w:r w:rsidRPr="008B0D32">
              <w:fldChar w:fldCharType="begin"/>
            </w:r>
            <w:r w:rsidRPr="008B0D32">
              <w:instrText xml:space="preserve"> HYPERLINK "http://www.itu.int/pub/publications.aspx?lang=en&amp;parent=T-RES-T.49-2016" </w:instrText>
            </w:r>
            <w:r w:rsidRPr="008B0D32">
              <w:fldChar w:fldCharType="separate"/>
            </w:r>
            <w:r w:rsidRPr="008B0D32">
              <w:t>Resolución</w:t>
            </w:r>
            <w:r w:rsidRPr="008B0D32">
              <w:fldChar w:fldCharType="end"/>
            </w:r>
            <w:r w:rsidRPr="008B0D32">
              <w:t xml:space="preserve"> 49</w:t>
            </w:r>
            <w:r w:rsidR="0087054D" w:rsidRPr="008B0D32">
              <w:t xml:space="preserve"> – </w:t>
            </w:r>
            <w:r w:rsidR="0087054D" w:rsidRPr="004725A0">
              <w:rPr>
                <w:rFonts w:asciiTheme="minorHAnsi" w:hAnsiTheme="minorHAnsi" w:cstheme="majorBidi"/>
                <w:i/>
                <w:iCs/>
                <w:szCs w:val="22"/>
              </w:rPr>
              <w:t>ENUM</w:t>
            </w:r>
            <w:bookmarkEnd w:id="70"/>
          </w:p>
        </w:tc>
        <w:tc>
          <w:tcPr>
            <w:tcW w:w="1247" w:type="dxa"/>
            <w:tcBorders>
              <w:right w:val="single" w:sz="12" w:space="0" w:color="auto"/>
            </w:tcBorders>
          </w:tcPr>
          <w:p w14:paraId="473C7AF1" w14:textId="30C02A66" w:rsidR="0087054D" w:rsidRPr="002250A7" w:rsidRDefault="0003378E" w:rsidP="007F4ECC">
            <w:pPr>
              <w:pStyle w:val="Tabletext"/>
              <w:jc w:val="center"/>
              <w:rPr>
                <w:rFonts w:asciiTheme="minorHAnsi" w:hAnsiTheme="minorHAnsi"/>
                <w:szCs w:val="22"/>
              </w:rPr>
            </w:pPr>
            <w:r>
              <w:rPr>
                <w:rFonts w:asciiTheme="minorHAnsi" w:hAnsiTheme="minorHAnsi"/>
                <w:szCs w:val="22"/>
              </w:rPr>
              <w:t>No cambia</w:t>
            </w:r>
          </w:p>
        </w:tc>
      </w:tr>
      <w:bookmarkStart w:id="71" w:name="lt_pId127"/>
      <w:tr w:rsidR="0087054D" w:rsidRPr="002250A7" w14:paraId="40F62F88" w14:textId="77777777" w:rsidTr="009D6ED5">
        <w:trPr>
          <w:cantSplit/>
          <w:trHeight w:val="20"/>
          <w:jc w:val="center"/>
        </w:trPr>
        <w:tc>
          <w:tcPr>
            <w:tcW w:w="8391" w:type="dxa"/>
            <w:tcBorders>
              <w:right w:val="single" w:sz="12" w:space="0" w:color="auto"/>
            </w:tcBorders>
            <w:shd w:val="clear" w:color="auto" w:fill="auto"/>
          </w:tcPr>
          <w:p w14:paraId="59A1E412" w14:textId="7BAE183F" w:rsidR="0087054D" w:rsidRPr="008B0D32" w:rsidRDefault="0003378E" w:rsidP="007F4ECC">
            <w:pPr>
              <w:pStyle w:val="Tabletext"/>
            </w:pPr>
            <w:r w:rsidRPr="008B0D32">
              <w:fldChar w:fldCharType="begin"/>
            </w:r>
            <w:r w:rsidRPr="008B0D32">
              <w:instrText xml:space="preserve"> HYPERLINK "http://www.itu.int/pub/publications.aspx?lang=en&amp;parent=T-RES-T.50-2016" </w:instrText>
            </w:r>
            <w:r w:rsidRPr="008B0D32">
              <w:fldChar w:fldCharType="separate"/>
            </w:r>
            <w:r w:rsidRPr="008B0D32">
              <w:t>Resolució</w:t>
            </w:r>
            <w:r w:rsidRPr="008B0D32">
              <w:fldChar w:fldCharType="end"/>
            </w:r>
            <w:r w:rsidRPr="008B0D32">
              <w:t>n 50</w:t>
            </w:r>
            <w:r w:rsidR="0087054D" w:rsidRPr="008B0D32">
              <w:t xml:space="preserve"> – </w:t>
            </w:r>
            <w:r w:rsidR="0087054D" w:rsidRPr="004725A0">
              <w:rPr>
                <w:rFonts w:asciiTheme="minorHAnsi" w:hAnsiTheme="minorHAnsi" w:cstheme="majorBidi"/>
                <w:i/>
                <w:iCs/>
                <w:szCs w:val="22"/>
              </w:rPr>
              <w:t>Ciberseguridad</w:t>
            </w:r>
            <w:bookmarkEnd w:id="71"/>
          </w:p>
        </w:tc>
        <w:tc>
          <w:tcPr>
            <w:tcW w:w="1247" w:type="dxa"/>
            <w:tcBorders>
              <w:right w:val="single" w:sz="12" w:space="0" w:color="auto"/>
            </w:tcBorders>
          </w:tcPr>
          <w:p w14:paraId="32B766F9" w14:textId="7F593F6D" w:rsidR="0087054D" w:rsidRPr="002250A7" w:rsidRDefault="0003378E"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72" w:name="lt_pId129"/>
      <w:tr w:rsidR="0087054D" w:rsidRPr="002250A7" w14:paraId="6BBB0D5C" w14:textId="77777777" w:rsidTr="009D6ED5">
        <w:trPr>
          <w:cantSplit/>
          <w:trHeight w:val="20"/>
          <w:jc w:val="center"/>
        </w:trPr>
        <w:tc>
          <w:tcPr>
            <w:tcW w:w="8391" w:type="dxa"/>
            <w:tcBorders>
              <w:right w:val="single" w:sz="12" w:space="0" w:color="auto"/>
            </w:tcBorders>
            <w:shd w:val="clear" w:color="auto" w:fill="auto"/>
          </w:tcPr>
          <w:p w14:paraId="3F8A3C6A" w14:textId="2C4123A4" w:rsidR="0087054D" w:rsidRPr="008B0D32" w:rsidRDefault="0003378E" w:rsidP="007F4ECC">
            <w:pPr>
              <w:pStyle w:val="Tabletext"/>
            </w:pPr>
            <w:r w:rsidRPr="008B0D32">
              <w:fldChar w:fldCharType="begin"/>
            </w:r>
            <w:r w:rsidRPr="008B0D32">
              <w:instrText xml:space="preserve"> HYPERLINK "http://www.itu.int/pub/publications.aspx?lang=en&amp;parent=T-RES-T.52-2016" </w:instrText>
            </w:r>
            <w:r w:rsidRPr="008B0D32">
              <w:fldChar w:fldCharType="separate"/>
            </w:r>
            <w:r w:rsidRPr="008B0D32">
              <w:t>Resolución</w:t>
            </w:r>
            <w:r w:rsidRPr="008B0D32">
              <w:fldChar w:fldCharType="end"/>
            </w:r>
            <w:r w:rsidRPr="008B0D32">
              <w:t xml:space="preserve"> 52</w:t>
            </w:r>
            <w:r w:rsidR="0087054D" w:rsidRPr="008B0D32">
              <w:t xml:space="preserve"> – </w:t>
            </w:r>
            <w:r w:rsidR="0087054D" w:rsidRPr="004725A0">
              <w:rPr>
                <w:rFonts w:asciiTheme="minorHAnsi" w:hAnsiTheme="minorHAnsi" w:cstheme="majorBidi"/>
                <w:i/>
                <w:iCs/>
                <w:szCs w:val="22"/>
              </w:rPr>
              <w:t xml:space="preserve">Respuesta y lucha contra el </w:t>
            </w:r>
            <w:bookmarkEnd w:id="72"/>
            <w:r w:rsidR="0087054D" w:rsidRPr="004725A0">
              <w:rPr>
                <w:rFonts w:asciiTheme="minorHAnsi" w:hAnsiTheme="minorHAnsi" w:cstheme="majorBidi"/>
                <w:i/>
                <w:iCs/>
                <w:szCs w:val="22"/>
              </w:rPr>
              <w:t>spam</w:t>
            </w:r>
          </w:p>
        </w:tc>
        <w:tc>
          <w:tcPr>
            <w:tcW w:w="1247" w:type="dxa"/>
            <w:tcBorders>
              <w:right w:val="single" w:sz="12" w:space="0" w:color="auto"/>
            </w:tcBorders>
          </w:tcPr>
          <w:p w14:paraId="353C7757" w14:textId="2A5754A3" w:rsidR="0087054D" w:rsidRPr="002250A7" w:rsidRDefault="0003378E" w:rsidP="007F4ECC">
            <w:pPr>
              <w:pStyle w:val="Tabletext"/>
              <w:jc w:val="center"/>
              <w:rPr>
                <w:rFonts w:asciiTheme="minorHAnsi" w:hAnsiTheme="minorHAnsi"/>
                <w:szCs w:val="22"/>
              </w:rPr>
            </w:pPr>
            <w:r>
              <w:rPr>
                <w:rFonts w:asciiTheme="minorHAnsi" w:hAnsiTheme="minorHAnsi"/>
                <w:szCs w:val="22"/>
              </w:rPr>
              <w:t>No cambia</w:t>
            </w:r>
          </w:p>
        </w:tc>
      </w:tr>
      <w:tr w:rsidR="0087054D" w:rsidRPr="002250A7" w14:paraId="20A23558" w14:textId="77777777" w:rsidTr="009D6ED5">
        <w:trPr>
          <w:cantSplit/>
          <w:trHeight w:val="20"/>
          <w:jc w:val="center"/>
        </w:trPr>
        <w:tc>
          <w:tcPr>
            <w:tcW w:w="8391" w:type="dxa"/>
            <w:tcBorders>
              <w:right w:val="single" w:sz="12" w:space="0" w:color="auto"/>
            </w:tcBorders>
            <w:shd w:val="clear" w:color="auto" w:fill="auto"/>
          </w:tcPr>
          <w:p w14:paraId="01FC6A94" w14:textId="2BCB145E" w:rsidR="0087054D" w:rsidRPr="008B0D32" w:rsidRDefault="0003378E" w:rsidP="007F4ECC">
            <w:pPr>
              <w:pStyle w:val="Tabletext"/>
            </w:pPr>
            <w:bookmarkStart w:id="73" w:name="lt_pId131"/>
            <w:r w:rsidRPr="008B0D32">
              <w:t xml:space="preserve">Resolución 54 </w:t>
            </w:r>
            <w:r w:rsidR="0087054D" w:rsidRPr="008B0D32">
              <w:t xml:space="preserve">– </w:t>
            </w:r>
            <w:bookmarkStart w:id="74" w:name="_Toc477787148"/>
            <w:r w:rsidRPr="004725A0">
              <w:rPr>
                <w:rFonts w:asciiTheme="minorHAnsi" w:hAnsiTheme="minorHAnsi" w:cstheme="majorBidi"/>
                <w:i/>
                <w:iCs/>
                <w:szCs w:val="22"/>
              </w:rPr>
              <w:t xml:space="preserve">Grupos Regionales </w:t>
            </w:r>
            <w:bookmarkEnd w:id="74"/>
            <w:r w:rsidRPr="004725A0">
              <w:rPr>
                <w:rFonts w:asciiTheme="minorHAnsi" w:hAnsiTheme="minorHAnsi" w:cstheme="majorBidi"/>
                <w:i/>
                <w:iCs/>
                <w:szCs w:val="22"/>
              </w:rPr>
              <w:t>de las Comisiones de Estudio del Sector de Normalización de las Telecomunicaciones de la UIT</w:t>
            </w:r>
            <w:bookmarkEnd w:id="73"/>
          </w:p>
        </w:tc>
        <w:tc>
          <w:tcPr>
            <w:tcW w:w="1247" w:type="dxa"/>
            <w:tcBorders>
              <w:right w:val="single" w:sz="12" w:space="0" w:color="auto"/>
            </w:tcBorders>
          </w:tcPr>
          <w:p w14:paraId="4B914F76" w14:textId="5302FFA9" w:rsidR="0087054D" w:rsidRPr="002250A7" w:rsidRDefault="0003378E"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75" w:name="lt_pId133"/>
      <w:tr w:rsidR="0087054D" w:rsidRPr="002250A7" w14:paraId="15098C5B" w14:textId="77777777" w:rsidTr="009D6ED5">
        <w:trPr>
          <w:cantSplit/>
          <w:trHeight w:val="20"/>
          <w:jc w:val="center"/>
        </w:trPr>
        <w:tc>
          <w:tcPr>
            <w:tcW w:w="8391" w:type="dxa"/>
            <w:tcBorders>
              <w:right w:val="single" w:sz="12" w:space="0" w:color="auto"/>
            </w:tcBorders>
            <w:shd w:val="clear" w:color="auto" w:fill="auto"/>
          </w:tcPr>
          <w:p w14:paraId="36665E94" w14:textId="14ABF134" w:rsidR="0087054D" w:rsidRPr="008B0D32" w:rsidRDefault="0003378E" w:rsidP="007F4ECC">
            <w:pPr>
              <w:pStyle w:val="Tabletext"/>
            </w:pPr>
            <w:r w:rsidRPr="008B0D32">
              <w:fldChar w:fldCharType="begin"/>
            </w:r>
            <w:r w:rsidRPr="008B0D32">
              <w:instrText xml:space="preserve"> HYPERLINK "http://www.itu.int/pub/publications.aspx?lang=en&amp;parent=T-RES-T.55-2016" </w:instrText>
            </w:r>
            <w:r w:rsidRPr="008B0D32">
              <w:fldChar w:fldCharType="separate"/>
            </w:r>
            <w:r w:rsidRPr="008B0D32">
              <w:t>Resolución</w:t>
            </w:r>
            <w:r w:rsidRPr="008B0D32">
              <w:fldChar w:fldCharType="end"/>
            </w:r>
            <w:r w:rsidRPr="008B0D32">
              <w:t xml:space="preserve"> 55</w:t>
            </w:r>
            <w:r w:rsidR="0087054D" w:rsidRPr="008B0D32">
              <w:t xml:space="preserve"> – </w:t>
            </w:r>
            <w:r w:rsidR="0087054D" w:rsidRPr="004725A0">
              <w:rPr>
                <w:rFonts w:asciiTheme="minorHAnsi" w:hAnsiTheme="minorHAnsi" w:cstheme="majorBidi"/>
                <w:i/>
                <w:iCs/>
                <w:szCs w:val="22"/>
              </w:rPr>
              <w:t>Promoción de la igualdad de género en las actividades del Sector de</w:t>
            </w:r>
            <w:r w:rsidRPr="004725A0">
              <w:rPr>
                <w:rFonts w:asciiTheme="minorHAnsi" w:hAnsiTheme="minorHAnsi" w:cstheme="majorBidi"/>
                <w:i/>
                <w:iCs/>
                <w:szCs w:val="22"/>
              </w:rPr>
              <w:t xml:space="preserve"> </w:t>
            </w:r>
            <w:r w:rsidR="0087054D" w:rsidRPr="004725A0">
              <w:rPr>
                <w:rFonts w:asciiTheme="minorHAnsi" w:hAnsiTheme="minorHAnsi" w:cstheme="majorBidi"/>
                <w:i/>
                <w:iCs/>
                <w:szCs w:val="22"/>
              </w:rPr>
              <w:t>Normalización de las Telecomunicaciones de la UIT</w:t>
            </w:r>
            <w:bookmarkEnd w:id="75"/>
          </w:p>
        </w:tc>
        <w:tc>
          <w:tcPr>
            <w:tcW w:w="1247" w:type="dxa"/>
            <w:tcBorders>
              <w:right w:val="single" w:sz="12" w:space="0" w:color="auto"/>
            </w:tcBorders>
          </w:tcPr>
          <w:p w14:paraId="10472956" w14:textId="1E030C31" w:rsidR="0087054D" w:rsidRPr="002250A7" w:rsidRDefault="0003378E"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76" w:name="lt_pId137"/>
      <w:tr w:rsidR="0087054D" w:rsidRPr="002250A7" w14:paraId="10DC3F82" w14:textId="77777777" w:rsidTr="009D6ED5">
        <w:trPr>
          <w:cantSplit/>
          <w:trHeight w:val="20"/>
          <w:jc w:val="center"/>
        </w:trPr>
        <w:tc>
          <w:tcPr>
            <w:tcW w:w="8391" w:type="dxa"/>
            <w:tcBorders>
              <w:right w:val="single" w:sz="12" w:space="0" w:color="auto"/>
            </w:tcBorders>
            <w:shd w:val="clear" w:color="auto" w:fill="auto"/>
          </w:tcPr>
          <w:p w14:paraId="70541BD5" w14:textId="29E37CD8" w:rsidR="0087054D" w:rsidRPr="008B0D32" w:rsidRDefault="00DD7EB8" w:rsidP="007F4ECC">
            <w:pPr>
              <w:pStyle w:val="Tabletext"/>
            </w:pPr>
            <w:r w:rsidRPr="008B0D32">
              <w:fldChar w:fldCharType="begin"/>
            </w:r>
            <w:r w:rsidRPr="008B0D32">
              <w:instrText xml:space="preserve"> HYPERLINK "http://www.itu.int/pub/publications.aspx?lang=en&amp;parent=T-RES-T.58-2016" </w:instrText>
            </w:r>
            <w:r w:rsidRPr="008B0D32">
              <w:fldChar w:fldCharType="separate"/>
            </w:r>
            <w:r w:rsidRPr="008B0D32">
              <w:t>Resolución</w:t>
            </w:r>
            <w:r w:rsidRPr="008B0D32">
              <w:fldChar w:fldCharType="end"/>
            </w:r>
            <w:r w:rsidRPr="008B0D32">
              <w:t xml:space="preserve"> 58</w:t>
            </w:r>
            <w:r w:rsidR="0087054D" w:rsidRPr="008B0D32">
              <w:t xml:space="preserve"> – </w:t>
            </w:r>
            <w:bookmarkEnd w:id="76"/>
            <w:r w:rsidR="0087054D" w:rsidRPr="004725A0">
              <w:rPr>
                <w:rFonts w:asciiTheme="minorHAnsi" w:hAnsiTheme="minorHAnsi" w:cstheme="majorBidi"/>
                <w:i/>
                <w:iCs/>
                <w:szCs w:val="22"/>
              </w:rPr>
              <w:t>Fomento de la creación de equipos nacionales de intervención en caso de incidente informático, especialmente para los países en desarrollo</w:t>
            </w:r>
          </w:p>
        </w:tc>
        <w:tc>
          <w:tcPr>
            <w:tcW w:w="1247" w:type="dxa"/>
            <w:tcBorders>
              <w:right w:val="single" w:sz="12" w:space="0" w:color="auto"/>
            </w:tcBorders>
          </w:tcPr>
          <w:p w14:paraId="65BCA394" w14:textId="69EB45A5" w:rsidR="0087054D" w:rsidRPr="002250A7" w:rsidRDefault="00DD7EB8" w:rsidP="007F4ECC">
            <w:pPr>
              <w:pStyle w:val="Tabletext"/>
              <w:jc w:val="center"/>
              <w:rPr>
                <w:rFonts w:asciiTheme="minorHAnsi" w:hAnsiTheme="minorHAnsi"/>
                <w:szCs w:val="22"/>
              </w:rPr>
            </w:pPr>
            <w:r>
              <w:rPr>
                <w:rFonts w:asciiTheme="minorHAnsi" w:hAnsiTheme="minorHAnsi"/>
                <w:szCs w:val="22"/>
              </w:rPr>
              <w:t>Revisada</w:t>
            </w:r>
          </w:p>
        </w:tc>
      </w:tr>
      <w:bookmarkStart w:id="77" w:name="lt_pId139"/>
      <w:tr w:rsidR="0087054D" w:rsidRPr="002250A7" w14:paraId="40B84F23" w14:textId="77777777" w:rsidTr="009D6ED5">
        <w:trPr>
          <w:cantSplit/>
          <w:trHeight w:val="20"/>
          <w:jc w:val="center"/>
        </w:trPr>
        <w:tc>
          <w:tcPr>
            <w:tcW w:w="8391" w:type="dxa"/>
            <w:tcBorders>
              <w:right w:val="single" w:sz="12" w:space="0" w:color="auto"/>
            </w:tcBorders>
            <w:shd w:val="clear" w:color="auto" w:fill="auto"/>
          </w:tcPr>
          <w:p w14:paraId="6C7D106D" w14:textId="35120442" w:rsidR="0087054D" w:rsidRPr="008B0D32" w:rsidRDefault="00DD7EB8" w:rsidP="007F4ECC">
            <w:pPr>
              <w:pStyle w:val="Tabletext"/>
            </w:pPr>
            <w:r w:rsidRPr="008B0D32">
              <w:fldChar w:fldCharType="begin"/>
            </w:r>
            <w:r w:rsidRPr="008B0D32">
              <w:instrText xml:space="preserve"> HYPERLINK "http://www.itu.int/pub/publications.aspx?lang=en&amp;parent=T-RES-T.59-2016" </w:instrText>
            </w:r>
            <w:r w:rsidRPr="008B0D32">
              <w:fldChar w:fldCharType="separate"/>
            </w:r>
            <w:r w:rsidRPr="008B0D32">
              <w:t>Resolución</w:t>
            </w:r>
            <w:r w:rsidRPr="008B0D32">
              <w:fldChar w:fldCharType="end"/>
            </w:r>
            <w:r w:rsidRPr="008B0D32">
              <w:t xml:space="preserve"> 59</w:t>
            </w:r>
            <w:r w:rsidR="0087054D" w:rsidRPr="008B0D32">
              <w:t xml:space="preserve"> – </w:t>
            </w:r>
            <w:r w:rsidR="0087054D" w:rsidRPr="004725A0">
              <w:rPr>
                <w:rFonts w:asciiTheme="minorHAnsi" w:hAnsiTheme="minorHAnsi" w:cstheme="majorBidi"/>
                <w:i/>
                <w:iCs/>
                <w:szCs w:val="22"/>
              </w:rPr>
              <w:t>Mejorar la participación de los operadores de telecomunicaciones de los países en desarrollo</w:t>
            </w:r>
            <w:bookmarkEnd w:id="77"/>
          </w:p>
        </w:tc>
        <w:tc>
          <w:tcPr>
            <w:tcW w:w="1247" w:type="dxa"/>
            <w:tcBorders>
              <w:right w:val="single" w:sz="12" w:space="0" w:color="auto"/>
            </w:tcBorders>
          </w:tcPr>
          <w:p w14:paraId="14EC1A44" w14:textId="42BF3F55" w:rsidR="0087054D" w:rsidRPr="002250A7" w:rsidRDefault="00DD7EB8" w:rsidP="007F4ECC">
            <w:pPr>
              <w:pStyle w:val="Tabletext"/>
              <w:jc w:val="center"/>
              <w:rPr>
                <w:rFonts w:asciiTheme="minorHAnsi" w:hAnsiTheme="minorHAnsi"/>
                <w:szCs w:val="22"/>
              </w:rPr>
            </w:pPr>
            <w:r>
              <w:rPr>
                <w:rFonts w:asciiTheme="minorHAnsi" w:hAnsiTheme="minorHAnsi"/>
                <w:szCs w:val="22"/>
              </w:rPr>
              <w:t>Suprimida</w:t>
            </w:r>
          </w:p>
        </w:tc>
      </w:tr>
      <w:bookmarkStart w:id="78" w:name="lt_pId141"/>
      <w:tr w:rsidR="0087054D" w:rsidRPr="002250A7" w14:paraId="16FF6784" w14:textId="77777777" w:rsidTr="009D6ED5">
        <w:trPr>
          <w:cantSplit/>
          <w:trHeight w:val="20"/>
          <w:jc w:val="center"/>
        </w:trPr>
        <w:tc>
          <w:tcPr>
            <w:tcW w:w="8391" w:type="dxa"/>
            <w:tcBorders>
              <w:right w:val="single" w:sz="12" w:space="0" w:color="auto"/>
            </w:tcBorders>
            <w:shd w:val="clear" w:color="auto" w:fill="auto"/>
          </w:tcPr>
          <w:p w14:paraId="79C0C089" w14:textId="0C34E603" w:rsidR="0087054D" w:rsidRPr="008B0D32" w:rsidRDefault="001C2B01" w:rsidP="007F4ECC">
            <w:pPr>
              <w:pStyle w:val="Tabletext"/>
            </w:pPr>
            <w:r w:rsidRPr="008B0D32">
              <w:fldChar w:fldCharType="begin"/>
            </w:r>
            <w:r w:rsidRPr="008B0D32">
              <w:instrText xml:space="preserve"> HYPERLINK "http://www.itu.int/pub/publications.aspx?lang=en&amp;parent=T-RES-T.60-2016" </w:instrText>
            </w:r>
            <w:r w:rsidRPr="008B0D32">
              <w:fldChar w:fldCharType="separate"/>
            </w:r>
            <w:r w:rsidRPr="008B0D32">
              <w:t>Resolución</w:t>
            </w:r>
            <w:r w:rsidRPr="008B0D32">
              <w:fldChar w:fldCharType="end"/>
            </w:r>
            <w:r w:rsidRPr="008B0D32">
              <w:t xml:space="preserve"> 60</w:t>
            </w:r>
            <w:r w:rsidR="0087054D" w:rsidRPr="008B0D32">
              <w:t xml:space="preserve"> – </w:t>
            </w:r>
            <w:r w:rsidR="0087054D" w:rsidRPr="004725A0">
              <w:rPr>
                <w:rFonts w:asciiTheme="minorHAnsi" w:hAnsiTheme="minorHAnsi" w:cstheme="majorBidi"/>
                <w:i/>
                <w:iCs/>
                <w:szCs w:val="22"/>
              </w:rPr>
              <w:t>Respuesta a los desafíos que plantea la evolución del sistema de identificación/numeración y su convergencia con los sistemas/</w:t>
            </w:r>
            <w:proofErr w:type="gramStart"/>
            <w:r w:rsidR="0087054D" w:rsidRPr="004725A0">
              <w:rPr>
                <w:rFonts w:asciiTheme="minorHAnsi" w:hAnsiTheme="minorHAnsi" w:cstheme="majorBidi"/>
                <w:i/>
                <w:iCs/>
                <w:szCs w:val="22"/>
              </w:rPr>
              <w:t>redes basados</w:t>
            </w:r>
            <w:proofErr w:type="gramEnd"/>
            <w:r w:rsidR="0087054D" w:rsidRPr="004725A0">
              <w:rPr>
                <w:rFonts w:asciiTheme="minorHAnsi" w:hAnsiTheme="minorHAnsi" w:cstheme="majorBidi"/>
                <w:i/>
                <w:iCs/>
                <w:szCs w:val="22"/>
              </w:rPr>
              <w:t xml:space="preserve"> en IP</w:t>
            </w:r>
            <w:bookmarkEnd w:id="78"/>
          </w:p>
        </w:tc>
        <w:tc>
          <w:tcPr>
            <w:tcW w:w="1247" w:type="dxa"/>
            <w:tcBorders>
              <w:right w:val="single" w:sz="12" w:space="0" w:color="auto"/>
            </w:tcBorders>
          </w:tcPr>
          <w:p w14:paraId="72A74B44" w14:textId="7E347FC0" w:rsidR="0087054D" w:rsidRPr="002250A7" w:rsidRDefault="001C2B01" w:rsidP="007F4ECC">
            <w:pPr>
              <w:pStyle w:val="Tabletext"/>
              <w:jc w:val="center"/>
              <w:rPr>
                <w:rFonts w:asciiTheme="minorHAnsi" w:hAnsiTheme="minorHAnsi"/>
                <w:szCs w:val="22"/>
              </w:rPr>
            </w:pPr>
            <w:r>
              <w:rPr>
                <w:rFonts w:asciiTheme="minorHAnsi" w:hAnsiTheme="minorHAnsi"/>
                <w:szCs w:val="22"/>
              </w:rPr>
              <w:t>Revisada</w:t>
            </w:r>
          </w:p>
        </w:tc>
      </w:tr>
      <w:bookmarkStart w:id="79" w:name="lt_pId143"/>
      <w:tr w:rsidR="0087054D" w:rsidRPr="002250A7" w14:paraId="71B2FE4F" w14:textId="77777777" w:rsidTr="009D6ED5">
        <w:trPr>
          <w:cantSplit/>
          <w:trHeight w:val="20"/>
          <w:jc w:val="center"/>
        </w:trPr>
        <w:tc>
          <w:tcPr>
            <w:tcW w:w="8391" w:type="dxa"/>
            <w:tcBorders>
              <w:right w:val="single" w:sz="12" w:space="0" w:color="auto"/>
            </w:tcBorders>
            <w:shd w:val="clear" w:color="auto" w:fill="auto"/>
          </w:tcPr>
          <w:p w14:paraId="5F32F783" w14:textId="6D66D503" w:rsidR="0087054D" w:rsidRPr="008B0D32" w:rsidRDefault="001C2B01" w:rsidP="007F4ECC">
            <w:pPr>
              <w:pStyle w:val="Tabletext"/>
            </w:pPr>
            <w:r w:rsidRPr="008B0D32">
              <w:fldChar w:fldCharType="begin"/>
            </w:r>
            <w:r w:rsidRPr="008B0D32">
              <w:instrText xml:space="preserve"> HYPERLINK "http://www.itu.int/pub/publications.aspx?lang=en&amp;parent=T-RES-T.61-2016" </w:instrText>
            </w:r>
            <w:r w:rsidRPr="008B0D32">
              <w:fldChar w:fldCharType="separate"/>
            </w:r>
            <w:r w:rsidRPr="008B0D32">
              <w:t>Resolución</w:t>
            </w:r>
            <w:r w:rsidRPr="008B0D32">
              <w:fldChar w:fldCharType="end"/>
            </w:r>
            <w:r w:rsidRPr="008B0D32">
              <w:t xml:space="preserve"> 61</w:t>
            </w:r>
            <w:r w:rsidR="0087054D" w:rsidRPr="008B0D32">
              <w:t xml:space="preserve"> – </w:t>
            </w:r>
            <w:r w:rsidR="0087054D" w:rsidRPr="004725A0">
              <w:rPr>
                <w:rFonts w:asciiTheme="minorHAnsi" w:hAnsiTheme="minorHAnsi" w:cstheme="majorBidi"/>
                <w:i/>
                <w:iCs/>
                <w:szCs w:val="22"/>
              </w:rPr>
              <w:t>Respuesta y lucha contra la apropiación y uso indebidos de recursos internacionales de numeración para las telecomunicaciones</w:t>
            </w:r>
            <w:bookmarkEnd w:id="79"/>
          </w:p>
        </w:tc>
        <w:tc>
          <w:tcPr>
            <w:tcW w:w="1247" w:type="dxa"/>
            <w:tcBorders>
              <w:right w:val="single" w:sz="12" w:space="0" w:color="auto"/>
            </w:tcBorders>
          </w:tcPr>
          <w:p w14:paraId="414E3E26" w14:textId="26151B34" w:rsidR="0087054D" w:rsidRPr="002250A7" w:rsidRDefault="001C2B01" w:rsidP="007F4ECC">
            <w:pPr>
              <w:pStyle w:val="Tabletext"/>
              <w:jc w:val="center"/>
              <w:rPr>
                <w:rFonts w:asciiTheme="minorHAnsi" w:hAnsiTheme="minorHAnsi"/>
                <w:szCs w:val="22"/>
              </w:rPr>
            </w:pPr>
            <w:r>
              <w:rPr>
                <w:rFonts w:asciiTheme="minorHAnsi" w:hAnsiTheme="minorHAnsi"/>
                <w:szCs w:val="22"/>
              </w:rPr>
              <w:t>Revisada</w:t>
            </w:r>
          </w:p>
        </w:tc>
      </w:tr>
      <w:bookmarkStart w:id="80" w:name="lt_pId145"/>
      <w:tr w:rsidR="0087054D" w:rsidRPr="002250A7" w14:paraId="688BA795" w14:textId="77777777" w:rsidTr="009D6ED5">
        <w:trPr>
          <w:cantSplit/>
          <w:trHeight w:val="20"/>
          <w:jc w:val="center"/>
        </w:trPr>
        <w:tc>
          <w:tcPr>
            <w:tcW w:w="8391" w:type="dxa"/>
            <w:tcBorders>
              <w:right w:val="single" w:sz="12" w:space="0" w:color="auto"/>
            </w:tcBorders>
            <w:shd w:val="clear" w:color="auto" w:fill="auto"/>
          </w:tcPr>
          <w:p w14:paraId="7AD319FA" w14:textId="6F7AA072" w:rsidR="0087054D" w:rsidRPr="008B0D32" w:rsidRDefault="001C2B01" w:rsidP="007F4ECC">
            <w:pPr>
              <w:pStyle w:val="Tabletext"/>
            </w:pPr>
            <w:r w:rsidRPr="008B0D32">
              <w:fldChar w:fldCharType="begin"/>
            </w:r>
            <w:r w:rsidRPr="008B0D32">
              <w:instrText xml:space="preserve"> HYPERLINK "http://www.itu.int/pub/publications.aspx?lang=en&amp;parent=T-RES-T.62-2016" </w:instrText>
            </w:r>
            <w:r w:rsidRPr="008B0D32">
              <w:fldChar w:fldCharType="separate"/>
            </w:r>
            <w:r w:rsidRPr="008B0D32">
              <w:t>Resolución</w:t>
            </w:r>
            <w:r w:rsidRPr="008B0D32">
              <w:fldChar w:fldCharType="end"/>
            </w:r>
            <w:r w:rsidRPr="008B0D32">
              <w:t xml:space="preserve"> 62</w:t>
            </w:r>
            <w:r w:rsidR="0087054D" w:rsidRPr="008B0D32">
              <w:t xml:space="preserve"> – </w:t>
            </w:r>
            <w:r w:rsidR="0087054D" w:rsidRPr="004725A0">
              <w:rPr>
                <w:rFonts w:asciiTheme="minorHAnsi" w:hAnsiTheme="minorHAnsi" w:cstheme="majorBidi"/>
                <w:i/>
                <w:iCs/>
                <w:szCs w:val="22"/>
              </w:rPr>
              <w:t>Solución de controversias</w:t>
            </w:r>
            <w:bookmarkEnd w:id="80"/>
          </w:p>
        </w:tc>
        <w:tc>
          <w:tcPr>
            <w:tcW w:w="1247" w:type="dxa"/>
            <w:tcBorders>
              <w:right w:val="single" w:sz="12" w:space="0" w:color="auto"/>
            </w:tcBorders>
          </w:tcPr>
          <w:p w14:paraId="0F9880A3" w14:textId="7EF47C15" w:rsidR="0087054D" w:rsidRPr="002250A7" w:rsidRDefault="001C2B01" w:rsidP="007F4ECC">
            <w:pPr>
              <w:pStyle w:val="Tabletext"/>
              <w:jc w:val="center"/>
              <w:rPr>
                <w:rFonts w:asciiTheme="minorHAnsi" w:hAnsiTheme="minorHAnsi"/>
                <w:szCs w:val="22"/>
              </w:rPr>
            </w:pPr>
            <w:r>
              <w:rPr>
                <w:rFonts w:asciiTheme="minorHAnsi" w:hAnsiTheme="minorHAnsi"/>
                <w:szCs w:val="22"/>
              </w:rPr>
              <w:t>N</w:t>
            </w:r>
            <w:r w:rsidR="0087054D" w:rsidRPr="002250A7">
              <w:rPr>
                <w:rFonts w:asciiTheme="minorHAnsi" w:hAnsiTheme="minorHAnsi"/>
                <w:szCs w:val="22"/>
              </w:rPr>
              <w:t>o cambia</w:t>
            </w:r>
          </w:p>
        </w:tc>
      </w:tr>
      <w:bookmarkStart w:id="81" w:name="lt_pId147"/>
      <w:tr w:rsidR="0087054D" w:rsidRPr="002250A7" w14:paraId="63C179B6" w14:textId="77777777" w:rsidTr="009D6ED5">
        <w:trPr>
          <w:cantSplit/>
          <w:trHeight w:val="20"/>
          <w:jc w:val="center"/>
        </w:trPr>
        <w:tc>
          <w:tcPr>
            <w:tcW w:w="8391" w:type="dxa"/>
            <w:tcBorders>
              <w:right w:val="single" w:sz="12" w:space="0" w:color="auto"/>
            </w:tcBorders>
            <w:shd w:val="clear" w:color="auto" w:fill="auto"/>
          </w:tcPr>
          <w:p w14:paraId="50A8EC13" w14:textId="4E81EDEF" w:rsidR="0087054D" w:rsidRPr="008B0D32" w:rsidRDefault="001C2B01" w:rsidP="007F4ECC">
            <w:pPr>
              <w:pStyle w:val="Tabletext"/>
            </w:pPr>
            <w:r w:rsidRPr="008B0D32">
              <w:fldChar w:fldCharType="begin"/>
            </w:r>
            <w:r w:rsidRPr="008B0D32">
              <w:instrText xml:space="preserve"> HYPERLINK "http://www.itu.int/pub/publications.aspx?lang=en&amp;parent=T-RES-T.64-2016" </w:instrText>
            </w:r>
            <w:r w:rsidRPr="008B0D32">
              <w:fldChar w:fldCharType="separate"/>
            </w:r>
            <w:r w:rsidRPr="008B0D32">
              <w:t>Resolución</w:t>
            </w:r>
            <w:r w:rsidRPr="008B0D32">
              <w:fldChar w:fldCharType="end"/>
            </w:r>
            <w:r w:rsidRPr="008B0D32">
              <w:t xml:space="preserve"> 64</w:t>
            </w:r>
            <w:r w:rsidR="0087054D" w:rsidRPr="008B0D32">
              <w:t xml:space="preserve"> – </w:t>
            </w:r>
            <w:bookmarkEnd w:id="81"/>
            <w:r w:rsidR="0087054D" w:rsidRPr="004725A0">
              <w:rPr>
                <w:rFonts w:asciiTheme="minorHAnsi" w:hAnsiTheme="minorHAnsi" w:cstheme="majorBidi"/>
                <w:i/>
                <w:iCs/>
                <w:szCs w:val="22"/>
              </w:rPr>
              <w:t>Asignación de direcciones IP y medidas encaminadas a facilitar la transición a IPv6 y su implantación</w:t>
            </w:r>
          </w:p>
        </w:tc>
        <w:tc>
          <w:tcPr>
            <w:tcW w:w="1247" w:type="dxa"/>
            <w:tcBorders>
              <w:right w:val="single" w:sz="12" w:space="0" w:color="auto"/>
            </w:tcBorders>
          </w:tcPr>
          <w:p w14:paraId="7B7572C9" w14:textId="59AF2DD5" w:rsidR="0087054D" w:rsidRPr="002250A7" w:rsidRDefault="001C2B01"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82" w:name="lt_pId149"/>
      <w:tr w:rsidR="0087054D" w:rsidRPr="002250A7" w14:paraId="176F97BE" w14:textId="77777777" w:rsidTr="009D6ED5">
        <w:trPr>
          <w:cantSplit/>
          <w:trHeight w:val="20"/>
          <w:jc w:val="center"/>
        </w:trPr>
        <w:tc>
          <w:tcPr>
            <w:tcW w:w="8391" w:type="dxa"/>
            <w:tcBorders>
              <w:right w:val="single" w:sz="12" w:space="0" w:color="auto"/>
            </w:tcBorders>
            <w:shd w:val="clear" w:color="auto" w:fill="auto"/>
          </w:tcPr>
          <w:p w14:paraId="10671C27" w14:textId="6F6B8C21" w:rsidR="0087054D" w:rsidRPr="008B0D32" w:rsidRDefault="001C2B01" w:rsidP="007F4ECC">
            <w:pPr>
              <w:pStyle w:val="Tabletext"/>
            </w:pPr>
            <w:r w:rsidRPr="008B0D32">
              <w:fldChar w:fldCharType="begin"/>
            </w:r>
            <w:r w:rsidRPr="008B0D32">
              <w:instrText xml:space="preserve"> HYPERLINK "http://www.itu.int/pub/publications.aspx?lang=en&amp;parent=T-RES-T.65-2016" </w:instrText>
            </w:r>
            <w:r w:rsidRPr="008B0D32">
              <w:fldChar w:fldCharType="separate"/>
            </w:r>
            <w:r w:rsidRPr="008B0D32">
              <w:t>Resolución</w:t>
            </w:r>
            <w:r w:rsidRPr="008B0D32">
              <w:fldChar w:fldCharType="end"/>
            </w:r>
            <w:r w:rsidRPr="008B0D32">
              <w:t xml:space="preserve"> 65</w:t>
            </w:r>
            <w:r w:rsidR="0087054D" w:rsidRPr="008B0D32">
              <w:t xml:space="preserve"> – </w:t>
            </w:r>
            <w:r w:rsidR="0087054D" w:rsidRPr="004725A0">
              <w:rPr>
                <w:rFonts w:asciiTheme="minorHAnsi" w:hAnsiTheme="minorHAnsi" w:cstheme="majorBidi"/>
                <w:i/>
                <w:iCs/>
                <w:szCs w:val="22"/>
              </w:rPr>
              <w:t>Comunicación del número de la parte llamante, identificación de la línea llamante e información sobre la identificación del origen</w:t>
            </w:r>
            <w:bookmarkEnd w:id="82"/>
          </w:p>
        </w:tc>
        <w:tc>
          <w:tcPr>
            <w:tcW w:w="1247" w:type="dxa"/>
            <w:tcBorders>
              <w:right w:val="single" w:sz="12" w:space="0" w:color="auto"/>
            </w:tcBorders>
          </w:tcPr>
          <w:p w14:paraId="5EAFC042" w14:textId="234D4885" w:rsidR="0087054D" w:rsidRPr="002250A7" w:rsidRDefault="001C2B01"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tr w:rsidR="0087054D" w:rsidRPr="002250A7" w14:paraId="5A0D5ED7" w14:textId="77777777" w:rsidTr="009D6ED5">
        <w:trPr>
          <w:cantSplit/>
          <w:trHeight w:val="20"/>
          <w:jc w:val="center"/>
        </w:trPr>
        <w:tc>
          <w:tcPr>
            <w:tcW w:w="8391" w:type="dxa"/>
            <w:tcBorders>
              <w:right w:val="single" w:sz="12" w:space="0" w:color="auto"/>
            </w:tcBorders>
            <w:shd w:val="clear" w:color="auto" w:fill="auto"/>
          </w:tcPr>
          <w:p w14:paraId="2F1D1FDA" w14:textId="3D66560B" w:rsidR="0087054D" w:rsidRPr="008B0D32" w:rsidRDefault="001C2B01" w:rsidP="007F4ECC">
            <w:pPr>
              <w:pStyle w:val="Tabletext"/>
            </w:pPr>
            <w:bookmarkStart w:id="83" w:name="lt_pId151"/>
            <w:r w:rsidRPr="008B0D32">
              <w:t>Resolución 66</w:t>
            </w:r>
            <w:r w:rsidR="0087054D" w:rsidRPr="008B0D32">
              <w:t xml:space="preserve"> – </w:t>
            </w:r>
            <w:bookmarkEnd w:id="83"/>
            <w:r w:rsidR="0087054D" w:rsidRPr="004725A0">
              <w:rPr>
                <w:rFonts w:asciiTheme="minorHAnsi" w:hAnsiTheme="minorHAnsi" w:cstheme="majorBidi"/>
                <w:i/>
                <w:iCs/>
                <w:szCs w:val="22"/>
              </w:rPr>
              <w:t>Observatorio tecnológico en la Oficina de Normalización de las Telecomunicaciones</w:t>
            </w:r>
          </w:p>
        </w:tc>
        <w:tc>
          <w:tcPr>
            <w:tcW w:w="1247" w:type="dxa"/>
            <w:tcBorders>
              <w:right w:val="single" w:sz="12" w:space="0" w:color="auto"/>
            </w:tcBorders>
          </w:tcPr>
          <w:p w14:paraId="0B5BC125" w14:textId="5E7AF1CC" w:rsidR="0087054D" w:rsidRPr="002250A7" w:rsidRDefault="001C2B01" w:rsidP="007F4ECC">
            <w:pPr>
              <w:pStyle w:val="Tabletext"/>
              <w:jc w:val="center"/>
              <w:rPr>
                <w:rFonts w:asciiTheme="minorHAnsi" w:hAnsiTheme="minorHAnsi"/>
                <w:szCs w:val="22"/>
              </w:rPr>
            </w:pPr>
            <w:r>
              <w:rPr>
                <w:rFonts w:asciiTheme="minorHAnsi" w:hAnsiTheme="minorHAnsi"/>
                <w:szCs w:val="22"/>
              </w:rPr>
              <w:t>Suprimida</w:t>
            </w:r>
          </w:p>
        </w:tc>
      </w:tr>
      <w:tr w:rsidR="0087054D" w:rsidRPr="002250A7" w14:paraId="4F90D719" w14:textId="77777777" w:rsidTr="009D6ED5">
        <w:trPr>
          <w:cantSplit/>
          <w:trHeight w:val="20"/>
          <w:jc w:val="center"/>
        </w:trPr>
        <w:tc>
          <w:tcPr>
            <w:tcW w:w="8391" w:type="dxa"/>
            <w:tcBorders>
              <w:right w:val="single" w:sz="12" w:space="0" w:color="auto"/>
            </w:tcBorders>
            <w:shd w:val="clear" w:color="auto" w:fill="auto"/>
          </w:tcPr>
          <w:p w14:paraId="4DFC3300" w14:textId="59425BEE" w:rsidR="0087054D" w:rsidRPr="008B0D32" w:rsidRDefault="001C2B01" w:rsidP="007F4ECC">
            <w:pPr>
              <w:pStyle w:val="Tabletext"/>
            </w:pPr>
            <w:bookmarkStart w:id="84" w:name="lt_pId153"/>
            <w:r w:rsidRPr="008B0D32">
              <w:t>Resolución 67</w:t>
            </w:r>
            <w:r w:rsidR="0087054D" w:rsidRPr="008B0D32">
              <w:t xml:space="preserve"> – </w:t>
            </w:r>
            <w:bookmarkEnd w:id="84"/>
            <w:r w:rsidR="0087054D" w:rsidRPr="004725A0">
              <w:rPr>
                <w:rFonts w:asciiTheme="minorHAnsi" w:hAnsiTheme="minorHAnsi" w:cstheme="majorBidi"/>
                <w:i/>
                <w:iCs/>
                <w:szCs w:val="22"/>
              </w:rPr>
              <w:t>Utilización en el Sector de Normalización de las Telecomunicaciones de la UIT de los idiomas de la Unión en igualdad de condiciones</w:t>
            </w:r>
          </w:p>
        </w:tc>
        <w:tc>
          <w:tcPr>
            <w:tcW w:w="1247" w:type="dxa"/>
            <w:tcBorders>
              <w:right w:val="single" w:sz="12" w:space="0" w:color="auto"/>
            </w:tcBorders>
          </w:tcPr>
          <w:p w14:paraId="5F3D591F" w14:textId="3B8D2A6C" w:rsidR="0087054D" w:rsidRPr="002250A7" w:rsidRDefault="007405E8"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85" w:name="lt_pId155"/>
      <w:tr w:rsidR="0087054D" w:rsidRPr="002250A7" w14:paraId="17103839" w14:textId="77777777" w:rsidTr="009D6ED5">
        <w:trPr>
          <w:cantSplit/>
          <w:trHeight w:val="20"/>
          <w:jc w:val="center"/>
        </w:trPr>
        <w:tc>
          <w:tcPr>
            <w:tcW w:w="8391" w:type="dxa"/>
            <w:tcBorders>
              <w:right w:val="single" w:sz="12" w:space="0" w:color="auto"/>
            </w:tcBorders>
            <w:shd w:val="clear" w:color="auto" w:fill="auto"/>
          </w:tcPr>
          <w:p w14:paraId="0298B5F3" w14:textId="38DDF0BB" w:rsidR="0087054D" w:rsidRPr="008B0D32" w:rsidRDefault="007405E8" w:rsidP="007F4ECC">
            <w:pPr>
              <w:pStyle w:val="Tabletext"/>
            </w:pPr>
            <w:r w:rsidRPr="008B0D32">
              <w:fldChar w:fldCharType="begin"/>
            </w:r>
            <w:r w:rsidRPr="008B0D32">
              <w:instrText xml:space="preserve"> HYPERLINK "http://www.itu.int/pub/publications.aspx?lang=en&amp;parent=T-RES-T.68-2016" </w:instrText>
            </w:r>
            <w:r w:rsidRPr="008B0D32">
              <w:fldChar w:fldCharType="separate"/>
            </w:r>
            <w:r w:rsidRPr="008B0D32">
              <w:t>Resolución</w:t>
            </w:r>
            <w:r w:rsidRPr="008B0D32">
              <w:fldChar w:fldCharType="end"/>
            </w:r>
            <w:r w:rsidRPr="008B0D32">
              <w:t xml:space="preserve"> 68</w:t>
            </w:r>
            <w:r w:rsidR="0087054D" w:rsidRPr="008B0D32">
              <w:t xml:space="preserve"> – </w:t>
            </w:r>
            <w:r w:rsidR="0087054D" w:rsidRPr="004725A0">
              <w:rPr>
                <w:rFonts w:asciiTheme="minorHAnsi" w:hAnsiTheme="minorHAnsi" w:cstheme="majorBidi"/>
                <w:i/>
                <w:iCs/>
                <w:szCs w:val="22"/>
              </w:rPr>
              <w:t>Evolución del papel de la industria en el Sector de Normalización de las Telecomunicaciones de la UIT</w:t>
            </w:r>
            <w:bookmarkEnd w:id="85"/>
          </w:p>
        </w:tc>
        <w:tc>
          <w:tcPr>
            <w:tcW w:w="1247" w:type="dxa"/>
            <w:tcBorders>
              <w:right w:val="single" w:sz="12" w:space="0" w:color="auto"/>
            </w:tcBorders>
          </w:tcPr>
          <w:p w14:paraId="3788D2EA" w14:textId="0E04A62E" w:rsidR="0087054D" w:rsidRPr="002250A7" w:rsidRDefault="007405E8" w:rsidP="007F4ECC">
            <w:pPr>
              <w:pStyle w:val="Tabletext"/>
              <w:jc w:val="center"/>
              <w:rPr>
                <w:rFonts w:asciiTheme="minorHAnsi" w:hAnsiTheme="minorHAnsi"/>
                <w:szCs w:val="22"/>
              </w:rPr>
            </w:pPr>
            <w:r>
              <w:rPr>
                <w:rFonts w:asciiTheme="minorHAnsi" w:hAnsiTheme="minorHAnsi"/>
                <w:szCs w:val="22"/>
              </w:rPr>
              <w:t>No cambia</w:t>
            </w:r>
          </w:p>
        </w:tc>
      </w:tr>
      <w:bookmarkStart w:id="86" w:name="lt_pId157"/>
      <w:tr w:rsidR="0087054D" w:rsidRPr="002250A7" w14:paraId="007DE167" w14:textId="77777777" w:rsidTr="009D6ED5">
        <w:trPr>
          <w:cantSplit/>
          <w:trHeight w:val="20"/>
          <w:jc w:val="center"/>
        </w:trPr>
        <w:tc>
          <w:tcPr>
            <w:tcW w:w="8391" w:type="dxa"/>
            <w:tcBorders>
              <w:right w:val="single" w:sz="12" w:space="0" w:color="auto"/>
            </w:tcBorders>
            <w:shd w:val="clear" w:color="auto" w:fill="auto"/>
          </w:tcPr>
          <w:p w14:paraId="6449ABAF" w14:textId="7710FDBA" w:rsidR="0087054D" w:rsidRPr="008B0D32" w:rsidRDefault="007405E8" w:rsidP="007F4ECC">
            <w:pPr>
              <w:pStyle w:val="Tabletext"/>
            </w:pPr>
            <w:r w:rsidRPr="008B0D32">
              <w:fldChar w:fldCharType="begin"/>
            </w:r>
            <w:r w:rsidRPr="008B0D32">
              <w:instrText xml:space="preserve"> HYPERLINK "http://www.itu.int/pub/publications.aspx?lang=en&amp;parent=T-RES-T.69-2016" </w:instrText>
            </w:r>
            <w:r w:rsidRPr="008B0D32">
              <w:fldChar w:fldCharType="separate"/>
            </w:r>
            <w:r w:rsidRPr="008B0D32">
              <w:t>Resolución</w:t>
            </w:r>
            <w:r w:rsidRPr="008B0D32">
              <w:fldChar w:fldCharType="end"/>
            </w:r>
            <w:r w:rsidRPr="008B0D32">
              <w:t xml:space="preserve"> 69</w:t>
            </w:r>
            <w:r w:rsidR="0087054D" w:rsidRPr="008B0D32">
              <w:t xml:space="preserve"> – </w:t>
            </w:r>
            <w:r w:rsidR="0087054D" w:rsidRPr="004725A0">
              <w:rPr>
                <w:rFonts w:asciiTheme="minorHAnsi" w:hAnsiTheme="minorHAnsi" w:cstheme="majorBidi"/>
                <w:i/>
                <w:iCs/>
                <w:szCs w:val="22"/>
              </w:rPr>
              <w:t>Acceso y utilización no discriminatorios de los recursos de Internet y de telecomunicaciones/tecnologías de la información y la comunicación</w:t>
            </w:r>
            <w:bookmarkEnd w:id="86"/>
          </w:p>
        </w:tc>
        <w:tc>
          <w:tcPr>
            <w:tcW w:w="1247" w:type="dxa"/>
            <w:tcBorders>
              <w:right w:val="single" w:sz="12" w:space="0" w:color="auto"/>
            </w:tcBorders>
          </w:tcPr>
          <w:p w14:paraId="794C55A0" w14:textId="77BD6C8E" w:rsidR="0087054D" w:rsidRPr="002250A7" w:rsidRDefault="007405E8" w:rsidP="007F4ECC">
            <w:pPr>
              <w:pStyle w:val="Tabletext"/>
              <w:jc w:val="center"/>
              <w:rPr>
                <w:rFonts w:asciiTheme="minorHAnsi" w:hAnsiTheme="minorHAnsi"/>
                <w:szCs w:val="22"/>
              </w:rPr>
            </w:pPr>
            <w:r>
              <w:rPr>
                <w:rFonts w:asciiTheme="minorHAnsi" w:hAnsiTheme="minorHAnsi"/>
                <w:szCs w:val="22"/>
              </w:rPr>
              <w:t>No cambia</w:t>
            </w:r>
          </w:p>
        </w:tc>
      </w:tr>
      <w:bookmarkStart w:id="87" w:name="lt_pId159"/>
      <w:tr w:rsidR="0087054D" w:rsidRPr="002250A7" w14:paraId="6D5D9034" w14:textId="77777777" w:rsidTr="009D6ED5">
        <w:trPr>
          <w:cantSplit/>
          <w:trHeight w:val="20"/>
          <w:jc w:val="center"/>
        </w:trPr>
        <w:tc>
          <w:tcPr>
            <w:tcW w:w="8391" w:type="dxa"/>
            <w:tcBorders>
              <w:right w:val="single" w:sz="12" w:space="0" w:color="auto"/>
            </w:tcBorders>
            <w:shd w:val="clear" w:color="auto" w:fill="auto"/>
          </w:tcPr>
          <w:p w14:paraId="783CCCB5" w14:textId="77CA921F" w:rsidR="0087054D" w:rsidRPr="008B0D32" w:rsidRDefault="007405E8" w:rsidP="007F4ECC">
            <w:pPr>
              <w:pStyle w:val="Tabletext"/>
            </w:pPr>
            <w:r w:rsidRPr="008B0D32">
              <w:fldChar w:fldCharType="begin"/>
            </w:r>
            <w:r w:rsidRPr="008B0D32">
              <w:instrText xml:space="preserve"> HYPERLINK "http://www.itu.int/pub/publications.aspx?lang=en&amp;parent=T-RES-T.70-2016" </w:instrText>
            </w:r>
            <w:r w:rsidRPr="008B0D32">
              <w:fldChar w:fldCharType="separate"/>
            </w:r>
            <w:r w:rsidRPr="008B0D32">
              <w:t>Resolución</w:t>
            </w:r>
            <w:r w:rsidRPr="008B0D32">
              <w:fldChar w:fldCharType="end"/>
            </w:r>
            <w:r w:rsidRPr="008B0D32">
              <w:t xml:space="preserve"> 70</w:t>
            </w:r>
            <w:r w:rsidR="0087054D" w:rsidRPr="008B0D32">
              <w:t xml:space="preserve"> – </w:t>
            </w:r>
            <w:r w:rsidR="0087054D" w:rsidRPr="004725A0">
              <w:rPr>
                <w:rFonts w:asciiTheme="minorHAnsi" w:hAnsiTheme="minorHAnsi" w:cstheme="majorBidi"/>
                <w:i/>
                <w:iCs/>
                <w:szCs w:val="22"/>
              </w:rPr>
              <w:t>Accesibilidad de las telecomunicaciones/tecnologías de la información y la comunicación para las personas con discapacidad y personas con necesidades especiales</w:t>
            </w:r>
            <w:bookmarkEnd w:id="87"/>
          </w:p>
        </w:tc>
        <w:tc>
          <w:tcPr>
            <w:tcW w:w="1247" w:type="dxa"/>
            <w:tcBorders>
              <w:right w:val="single" w:sz="12" w:space="0" w:color="auto"/>
            </w:tcBorders>
          </w:tcPr>
          <w:p w14:paraId="4F8646F9" w14:textId="7A1E4BAC" w:rsidR="0087054D" w:rsidRPr="002250A7" w:rsidRDefault="007405E8"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88" w:name="lt_pId163"/>
      <w:tr w:rsidR="0087054D" w:rsidRPr="002250A7" w14:paraId="35B145BA" w14:textId="77777777" w:rsidTr="009D6ED5">
        <w:trPr>
          <w:cantSplit/>
          <w:trHeight w:val="20"/>
          <w:jc w:val="center"/>
        </w:trPr>
        <w:tc>
          <w:tcPr>
            <w:tcW w:w="8391" w:type="dxa"/>
            <w:tcBorders>
              <w:right w:val="single" w:sz="12" w:space="0" w:color="auto"/>
            </w:tcBorders>
            <w:shd w:val="clear" w:color="auto" w:fill="auto"/>
          </w:tcPr>
          <w:p w14:paraId="723630AC" w14:textId="3AE7DA6B" w:rsidR="0087054D" w:rsidRPr="008B0D32" w:rsidRDefault="007405E8" w:rsidP="007F4ECC">
            <w:pPr>
              <w:pStyle w:val="Tabletext"/>
            </w:pPr>
            <w:r w:rsidRPr="008B0D32">
              <w:fldChar w:fldCharType="begin"/>
            </w:r>
            <w:r w:rsidRPr="008B0D32">
              <w:instrText xml:space="preserve"> HYPERLINK "http://www.itu.int/pub/publications.aspx?lang=en&amp;parent=T-RES-T.72-2016" </w:instrText>
            </w:r>
            <w:r w:rsidRPr="008B0D32">
              <w:fldChar w:fldCharType="separate"/>
            </w:r>
            <w:r w:rsidRPr="008B0D32">
              <w:t>Resolución</w:t>
            </w:r>
            <w:r w:rsidRPr="008B0D32">
              <w:fldChar w:fldCharType="end"/>
            </w:r>
            <w:r w:rsidRPr="008B0D32">
              <w:t xml:space="preserve"> 72</w:t>
            </w:r>
            <w:r w:rsidR="0087054D" w:rsidRPr="008B0D32">
              <w:t xml:space="preserve"> – </w:t>
            </w:r>
            <w:r w:rsidR="0087054D" w:rsidRPr="004725A0">
              <w:rPr>
                <w:rFonts w:asciiTheme="minorHAnsi" w:hAnsiTheme="minorHAnsi" w:cstheme="majorBidi"/>
                <w:i/>
                <w:iCs/>
                <w:szCs w:val="22"/>
              </w:rPr>
              <w:t>Problemas de medición y evaluación relativos a la exposición de las personas a los campos electromagnéticos</w:t>
            </w:r>
            <w:bookmarkEnd w:id="88"/>
          </w:p>
        </w:tc>
        <w:tc>
          <w:tcPr>
            <w:tcW w:w="1247" w:type="dxa"/>
            <w:tcBorders>
              <w:right w:val="single" w:sz="12" w:space="0" w:color="auto"/>
            </w:tcBorders>
          </w:tcPr>
          <w:p w14:paraId="23F629E0" w14:textId="12BFF131" w:rsidR="0087054D" w:rsidRPr="002250A7" w:rsidRDefault="007405E8"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89" w:name="lt_pId165"/>
      <w:tr w:rsidR="0087054D" w:rsidRPr="002250A7" w14:paraId="4CE7E85D" w14:textId="77777777" w:rsidTr="009D6ED5">
        <w:trPr>
          <w:cantSplit/>
          <w:trHeight w:val="20"/>
          <w:jc w:val="center"/>
        </w:trPr>
        <w:tc>
          <w:tcPr>
            <w:tcW w:w="8391" w:type="dxa"/>
            <w:tcBorders>
              <w:right w:val="single" w:sz="12" w:space="0" w:color="auto"/>
            </w:tcBorders>
            <w:shd w:val="clear" w:color="auto" w:fill="auto"/>
          </w:tcPr>
          <w:p w14:paraId="6CCCB1C1" w14:textId="05330CE2" w:rsidR="0087054D" w:rsidRPr="008B0D32" w:rsidRDefault="007405E8" w:rsidP="007F4ECC">
            <w:pPr>
              <w:pStyle w:val="Tabletext"/>
            </w:pPr>
            <w:r w:rsidRPr="008B0D32">
              <w:fldChar w:fldCharType="begin"/>
            </w:r>
            <w:r w:rsidRPr="008B0D32">
              <w:instrText xml:space="preserve"> HYPERLINK "http://www.itu.int/pub/publications.aspx?lang=en&amp;parent=T-RES-T.73-2016" </w:instrText>
            </w:r>
            <w:r w:rsidRPr="008B0D32">
              <w:fldChar w:fldCharType="separate"/>
            </w:r>
            <w:r w:rsidRPr="008B0D32">
              <w:t>Resolución</w:t>
            </w:r>
            <w:r w:rsidRPr="008B0D32">
              <w:fldChar w:fldCharType="end"/>
            </w:r>
            <w:r w:rsidRPr="008B0D32">
              <w:t xml:space="preserve"> 73</w:t>
            </w:r>
            <w:r w:rsidR="0087054D" w:rsidRPr="008B0D32">
              <w:t xml:space="preserve"> – </w:t>
            </w:r>
            <w:r w:rsidR="0087054D" w:rsidRPr="004725A0">
              <w:rPr>
                <w:rFonts w:asciiTheme="minorHAnsi" w:hAnsiTheme="minorHAnsi" w:cstheme="majorBidi"/>
                <w:i/>
                <w:iCs/>
                <w:szCs w:val="22"/>
              </w:rPr>
              <w:t>Tecnologías de la información y la comunicación, medio ambiente</w:t>
            </w:r>
            <w:r w:rsidR="00D77DC8" w:rsidRPr="004725A0">
              <w:rPr>
                <w:rFonts w:asciiTheme="minorHAnsi" w:hAnsiTheme="minorHAnsi" w:cstheme="majorBidi"/>
                <w:i/>
                <w:iCs/>
                <w:szCs w:val="22"/>
              </w:rPr>
              <w:t>,</w:t>
            </w:r>
            <w:r w:rsidR="0087054D" w:rsidRPr="004725A0">
              <w:rPr>
                <w:rFonts w:asciiTheme="minorHAnsi" w:hAnsiTheme="minorHAnsi" w:cstheme="majorBidi"/>
                <w:i/>
                <w:iCs/>
                <w:szCs w:val="22"/>
              </w:rPr>
              <w:t xml:space="preserve"> cambio climático</w:t>
            </w:r>
            <w:bookmarkEnd w:id="89"/>
            <w:r w:rsidR="00D77DC8" w:rsidRPr="004725A0">
              <w:rPr>
                <w:rFonts w:asciiTheme="minorHAnsi" w:hAnsiTheme="minorHAnsi" w:cstheme="majorBidi"/>
                <w:i/>
                <w:iCs/>
                <w:szCs w:val="22"/>
              </w:rPr>
              <w:t xml:space="preserve"> y economía circular</w:t>
            </w:r>
          </w:p>
        </w:tc>
        <w:tc>
          <w:tcPr>
            <w:tcW w:w="1247" w:type="dxa"/>
            <w:tcBorders>
              <w:right w:val="single" w:sz="12" w:space="0" w:color="auto"/>
            </w:tcBorders>
          </w:tcPr>
          <w:p w14:paraId="03CC3A5E" w14:textId="3099FA65" w:rsidR="0087054D" w:rsidRPr="002250A7" w:rsidRDefault="007405E8"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90" w:name="lt_pId167"/>
      <w:tr w:rsidR="00DA0CC6" w:rsidRPr="002250A7" w14:paraId="64B52859" w14:textId="77777777" w:rsidTr="009D6ED5">
        <w:trPr>
          <w:cantSplit/>
          <w:trHeight w:val="20"/>
          <w:jc w:val="center"/>
        </w:trPr>
        <w:tc>
          <w:tcPr>
            <w:tcW w:w="8391" w:type="dxa"/>
            <w:tcBorders>
              <w:right w:val="single" w:sz="12" w:space="0" w:color="auto"/>
            </w:tcBorders>
            <w:shd w:val="clear" w:color="auto" w:fill="auto"/>
          </w:tcPr>
          <w:p w14:paraId="60C62D34" w14:textId="76BA27F8" w:rsidR="00DA0CC6" w:rsidRPr="008B0D32" w:rsidRDefault="00DA0CC6" w:rsidP="007F4ECC">
            <w:pPr>
              <w:pStyle w:val="Tabletext"/>
            </w:pPr>
            <w:r w:rsidRPr="008B0D32">
              <w:fldChar w:fldCharType="begin"/>
            </w:r>
            <w:r w:rsidRPr="008B0D32">
              <w:instrText xml:space="preserve"> HYPERLINK "http://www.itu.int/pub/publications.aspx?lang=en&amp;parent=T-RES-T.74-2016" </w:instrText>
            </w:r>
            <w:r w:rsidRPr="008B0D32">
              <w:fldChar w:fldCharType="separate"/>
            </w:r>
            <w:r w:rsidRPr="008B0D32">
              <w:t>Resolución</w:t>
            </w:r>
            <w:r w:rsidRPr="008B0D32">
              <w:fldChar w:fldCharType="end"/>
            </w:r>
            <w:r w:rsidRPr="008B0D32">
              <w:t xml:space="preserve"> 74 – </w:t>
            </w:r>
            <w:bookmarkEnd w:id="90"/>
            <w:r w:rsidRPr="004725A0">
              <w:rPr>
                <w:rFonts w:asciiTheme="minorHAnsi" w:hAnsiTheme="minorHAnsi" w:cstheme="majorBidi"/>
                <w:i/>
                <w:iCs/>
                <w:szCs w:val="22"/>
              </w:rPr>
              <w:t>Aumento de la participación de Miembros de Sector de los países en desarrollo en la labor del Sector de Normalización de las Telecomunicaciones de la UIT</w:t>
            </w:r>
          </w:p>
        </w:tc>
        <w:tc>
          <w:tcPr>
            <w:tcW w:w="1247" w:type="dxa"/>
            <w:tcBorders>
              <w:right w:val="single" w:sz="12" w:space="0" w:color="auto"/>
            </w:tcBorders>
          </w:tcPr>
          <w:p w14:paraId="2DC11E53" w14:textId="67250EF0" w:rsidR="00DA0CC6" w:rsidRDefault="00DA0CC6"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tr w:rsidR="0087054D" w:rsidRPr="002250A7" w14:paraId="2FD6C846" w14:textId="77777777" w:rsidTr="00487221">
        <w:trPr>
          <w:cantSplit/>
          <w:trHeight w:val="20"/>
          <w:jc w:val="center"/>
        </w:trPr>
        <w:tc>
          <w:tcPr>
            <w:tcW w:w="8391" w:type="dxa"/>
            <w:tcBorders>
              <w:top w:val="single" w:sz="12" w:space="0" w:color="auto"/>
              <w:bottom w:val="single" w:sz="4" w:space="0" w:color="auto"/>
              <w:right w:val="single" w:sz="12" w:space="0" w:color="auto"/>
            </w:tcBorders>
            <w:shd w:val="clear" w:color="auto" w:fill="auto"/>
          </w:tcPr>
          <w:p w14:paraId="77CA04CF" w14:textId="6015655B" w:rsidR="0087054D" w:rsidRPr="008B0D32" w:rsidRDefault="00DA0CC6" w:rsidP="007F4ECC">
            <w:pPr>
              <w:pStyle w:val="Tabletext"/>
            </w:pPr>
            <w:bookmarkStart w:id="91" w:name="lt_pId169"/>
            <w:r w:rsidRPr="008B0D32">
              <w:lastRenderedPageBreak/>
              <w:t xml:space="preserve">Resolución 75 – </w:t>
            </w:r>
            <w:bookmarkEnd w:id="91"/>
            <w:r w:rsidRPr="004725A0">
              <w:rPr>
                <w:rFonts w:asciiTheme="minorHAnsi" w:hAnsiTheme="minorHAnsi" w:cstheme="majorBidi"/>
                <w:i/>
                <w:iCs/>
                <w:szCs w:val="22"/>
              </w:rPr>
              <w:t>Contribución del Sector de Normalización de las Telecomunicaciones de la UIT a la puesta en práctica de los resultados de la Cumbre Mundial sobre la Sociedad de la Información, teniendo en cuenta la Agenda 2030 para el Desarrollo Sostenible</w:t>
            </w:r>
          </w:p>
        </w:tc>
        <w:tc>
          <w:tcPr>
            <w:tcW w:w="1247" w:type="dxa"/>
            <w:tcBorders>
              <w:top w:val="single" w:sz="12" w:space="0" w:color="auto"/>
              <w:bottom w:val="single" w:sz="4" w:space="0" w:color="auto"/>
              <w:right w:val="single" w:sz="12" w:space="0" w:color="auto"/>
            </w:tcBorders>
          </w:tcPr>
          <w:p w14:paraId="1C276EEA" w14:textId="2BD3773D" w:rsidR="0087054D" w:rsidRPr="002250A7" w:rsidRDefault="007405E8" w:rsidP="007F4ECC">
            <w:pPr>
              <w:pStyle w:val="Tabletext"/>
              <w:jc w:val="center"/>
              <w:rPr>
                <w:rFonts w:asciiTheme="minorHAnsi" w:hAnsiTheme="minorHAnsi"/>
                <w:szCs w:val="22"/>
              </w:rPr>
            </w:pPr>
            <w:r>
              <w:rPr>
                <w:rFonts w:asciiTheme="minorHAnsi" w:hAnsiTheme="minorHAnsi"/>
                <w:szCs w:val="22"/>
              </w:rPr>
              <w:t>Revisada</w:t>
            </w:r>
          </w:p>
        </w:tc>
      </w:tr>
      <w:bookmarkStart w:id="92" w:name="lt_pId171"/>
      <w:tr w:rsidR="0087054D" w:rsidRPr="002250A7" w14:paraId="78A61AC6" w14:textId="77777777" w:rsidTr="009D6ED5">
        <w:trPr>
          <w:cantSplit/>
          <w:trHeight w:val="20"/>
          <w:jc w:val="center"/>
        </w:trPr>
        <w:tc>
          <w:tcPr>
            <w:tcW w:w="8391" w:type="dxa"/>
            <w:tcBorders>
              <w:right w:val="single" w:sz="12" w:space="0" w:color="auto"/>
            </w:tcBorders>
            <w:shd w:val="clear" w:color="auto" w:fill="auto"/>
          </w:tcPr>
          <w:p w14:paraId="04C53DD5" w14:textId="41A1CD3E" w:rsidR="0087054D" w:rsidRPr="008B0D32" w:rsidRDefault="00DF69E7" w:rsidP="007F4ECC">
            <w:pPr>
              <w:pStyle w:val="Tabletext"/>
            </w:pPr>
            <w:r w:rsidRPr="008B0D32">
              <w:fldChar w:fldCharType="begin"/>
            </w:r>
            <w:r w:rsidRPr="008B0D32">
              <w:instrText xml:space="preserve"> HYPERLINK "http://www.itu.int/pub/publications.aspx?lang=en&amp;parent=T-RES-T.76-2016" </w:instrText>
            </w:r>
            <w:r w:rsidRPr="008B0D32">
              <w:fldChar w:fldCharType="separate"/>
            </w:r>
            <w:r w:rsidRPr="008B0D32">
              <w:t>Resolución</w:t>
            </w:r>
            <w:r w:rsidRPr="008B0D32">
              <w:fldChar w:fldCharType="end"/>
            </w:r>
            <w:r w:rsidRPr="008B0D32">
              <w:t xml:space="preserve"> 76</w:t>
            </w:r>
            <w:r w:rsidR="0087054D" w:rsidRPr="008B0D32">
              <w:t xml:space="preserve"> – </w:t>
            </w:r>
            <w:r w:rsidR="0087054D" w:rsidRPr="004725A0">
              <w:rPr>
                <w:rFonts w:asciiTheme="minorHAnsi" w:hAnsiTheme="minorHAnsi" w:cstheme="majorBidi"/>
                <w:i/>
                <w:iCs/>
                <w:szCs w:val="22"/>
              </w:rPr>
              <w:t>Estudios relacionados con las pruebas de conformidad e interoperabilidad, la asistencia a los países en desarrollo y un posible futuro programa relativo a la Marca UIT</w:t>
            </w:r>
            <w:bookmarkEnd w:id="92"/>
          </w:p>
        </w:tc>
        <w:tc>
          <w:tcPr>
            <w:tcW w:w="1247" w:type="dxa"/>
            <w:tcBorders>
              <w:right w:val="single" w:sz="12" w:space="0" w:color="auto"/>
            </w:tcBorders>
          </w:tcPr>
          <w:p w14:paraId="1DE1C097" w14:textId="109F9D99" w:rsidR="0087054D" w:rsidRPr="002250A7" w:rsidRDefault="00DF69E7"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93" w:name="lt_pId173"/>
      <w:tr w:rsidR="0087054D" w:rsidRPr="002250A7" w14:paraId="4AFFFAB3" w14:textId="77777777" w:rsidTr="009D6ED5">
        <w:trPr>
          <w:cantSplit/>
          <w:trHeight w:val="20"/>
          <w:jc w:val="center"/>
        </w:trPr>
        <w:tc>
          <w:tcPr>
            <w:tcW w:w="8391" w:type="dxa"/>
            <w:tcBorders>
              <w:right w:val="single" w:sz="12" w:space="0" w:color="auto"/>
            </w:tcBorders>
            <w:shd w:val="clear" w:color="auto" w:fill="auto"/>
          </w:tcPr>
          <w:p w14:paraId="175E076E" w14:textId="4DE20E32" w:rsidR="0087054D" w:rsidRPr="008B0D32" w:rsidRDefault="00DF69E7" w:rsidP="007F4ECC">
            <w:pPr>
              <w:pStyle w:val="Tabletext"/>
            </w:pPr>
            <w:r w:rsidRPr="008B0D32">
              <w:fldChar w:fldCharType="begin"/>
            </w:r>
            <w:r w:rsidRPr="008B0D32">
              <w:instrText xml:space="preserve"> HYPERLINK "http://www.itu.int/pub/publications.aspx?lang=en&amp;parent=T-RES-T.77-2016" </w:instrText>
            </w:r>
            <w:r w:rsidRPr="008B0D32">
              <w:fldChar w:fldCharType="separate"/>
            </w:r>
            <w:r w:rsidRPr="008B0D32">
              <w:t>Resolución</w:t>
            </w:r>
            <w:r w:rsidRPr="008B0D32">
              <w:fldChar w:fldCharType="end"/>
            </w:r>
            <w:r w:rsidRPr="008B0D32">
              <w:t xml:space="preserve"> 77</w:t>
            </w:r>
            <w:r w:rsidR="0087054D" w:rsidRPr="008B0D32">
              <w:t xml:space="preserve"> – </w:t>
            </w:r>
            <w:r w:rsidR="0087054D" w:rsidRPr="004725A0">
              <w:rPr>
                <w:rFonts w:asciiTheme="minorHAnsi" w:hAnsiTheme="minorHAnsi" w:cstheme="majorBidi"/>
                <w:i/>
                <w:iCs/>
                <w:szCs w:val="22"/>
              </w:rPr>
              <w:t>Fortalecimiento de la normalización de las redes definidas por software en el Sector de Normalización de las Telecomunicaciones de la UIT</w:t>
            </w:r>
            <w:bookmarkEnd w:id="93"/>
          </w:p>
        </w:tc>
        <w:tc>
          <w:tcPr>
            <w:tcW w:w="1247" w:type="dxa"/>
            <w:tcBorders>
              <w:right w:val="single" w:sz="12" w:space="0" w:color="auto"/>
            </w:tcBorders>
          </w:tcPr>
          <w:p w14:paraId="0D4FD736" w14:textId="7AA95404" w:rsidR="0087054D" w:rsidRPr="002250A7" w:rsidRDefault="00DF69E7" w:rsidP="007F4ECC">
            <w:pPr>
              <w:pStyle w:val="Tabletext"/>
              <w:jc w:val="center"/>
              <w:rPr>
                <w:rFonts w:asciiTheme="minorHAnsi" w:hAnsiTheme="minorHAnsi"/>
                <w:szCs w:val="22"/>
              </w:rPr>
            </w:pPr>
            <w:r>
              <w:rPr>
                <w:rFonts w:asciiTheme="minorHAnsi" w:hAnsiTheme="minorHAnsi"/>
                <w:szCs w:val="22"/>
              </w:rPr>
              <w:t>No cambia</w:t>
            </w:r>
          </w:p>
        </w:tc>
      </w:tr>
      <w:bookmarkStart w:id="94" w:name="lt_pId175"/>
      <w:tr w:rsidR="0087054D" w:rsidRPr="002250A7" w14:paraId="09B1A1D5" w14:textId="77777777" w:rsidTr="009D6ED5">
        <w:trPr>
          <w:cantSplit/>
          <w:trHeight w:val="20"/>
          <w:jc w:val="center"/>
        </w:trPr>
        <w:tc>
          <w:tcPr>
            <w:tcW w:w="8391" w:type="dxa"/>
            <w:tcBorders>
              <w:right w:val="single" w:sz="12" w:space="0" w:color="auto"/>
            </w:tcBorders>
            <w:shd w:val="clear" w:color="auto" w:fill="auto"/>
          </w:tcPr>
          <w:p w14:paraId="594174D3" w14:textId="440323C2" w:rsidR="0087054D" w:rsidRPr="008B0D32" w:rsidRDefault="00DF69E7" w:rsidP="007F4ECC">
            <w:pPr>
              <w:pStyle w:val="Tabletext"/>
            </w:pPr>
            <w:r w:rsidRPr="008B0D32">
              <w:fldChar w:fldCharType="begin"/>
            </w:r>
            <w:r w:rsidRPr="008B0D32">
              <w:instrText xml:space="preserve"> HYPERLINK "http://www.itu.int/pub/publications.aspx?lang=en&amp;parent=T-RES-T.78-2016" </w:instrText>
            </w:r>
            <w:r w:rsidRPr="008B0D32">
              <w:fldChar w:fldCharType="separate"/>
            </w:r>
            <w:r w:rsidRPr="008B0D32">
              <w:t>Resolución</w:t>
            </w:r>
            <w:r w:rsidRPr="008B0D32">
              <w:fldChar w:fldCharType="end"/>
            </w:r>
            <w:r w:rsidRPr="008B0D32">
              <w:t xml:space="preserve"> 78</w:t>
            </w:r>
            <w:r w:rsidR="0087054D" w:rsidRPr="008B0D32">
              <w:t xml:space="preserve"> – </w:t>
            </w:r>
            <w:r w:rsidR="0087054D" w:rsidRPr="004725A0">
              <w:rPr>
                <w:rFonts w:asciiTheme="minorHAnsi" w:hAnsiTheme="minorHAnsi" w:cstheme="majorBidi"/>
                <w:i/>
                <w:iCs/>
                <w:szCs w:val="22"/>
              </w:rPr>
              <w:t xml:space="preserve">Aplicaciones y normas de las tecnologías de la información y la comunicación para mejorar el acceso a los servicios de </w:t>
            </w:r>
            <w:proofErr w:type="spellStart"/>
            <w:r w:rsidR="0087054D" w:rsidRPr="004725A0">
              <w:rPr>
                <w:rFonts w:asciiTheme="minorHAnsi" w:hAnsiTheme="minorHAnsi" w:cstheme="majorBidi"/>
                <w:i/>
                <w:iCs/>
                <w:szCs w:val="22"/>
              </w:rPr>
              <w:t>cibersalud</w:t>
            </w:r>
            <w:bookmarkEnd w:id="94"/>
            <w:proofErr w:type="spellEnd"/>
          </w:p>
        </w:tc>
        <w:tc>
          <w:tcPr>
            <w:tcW w:w="1247" w:type="dxa"/>
            <w:tcBorders>
              <w:right w:val="single" w:sz="12" w:space="0" w:color="auto"/>
            </w:tcBorders>
          </w:tcPr>
          <w:p w14:paraId="3F2BADA6" w14:textId="76693947" w:rsidR="0087054D" w:rsidRPr="002250A7" w:rsidRDefault="00DF69E7"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95" w:name="lt_pId177"/>
      <w:tr w:rsidR="0087054D" w:rsidRPr="002250A7" w14:paraId="4B866B24" w14:textId="77777777" w:rsidTr="009D6ED5">
        <w:trPr>
          <w:cantSplit/>
          <w:trHeight w:val="20"/>
          <w:jc w:val="center"/>
        </w:trPr>
        <w:tc>
          <w:tcPr>
            <w:tcW w:w="8391" w:type="dxa"/>
            <w:tcBorders>
              <w:right w:val="single" w:sz="12" w:space="0" w:color="auto"/>
            </w:tcBorders>
            <w:shd w:val="clear" w:color="auto" w:fill="auto"/>
          </w:tcPr>
          <w:p w14:paraId="7E9A2AC3" w14:textId="79F4F5D2" w:rsidR="0087054D" w:rsidRPr="008B0D32" w:rsidRDefault="00DF69E7" w:rsidP="007F4ECC">
            <w:pPr>
              <w:pStyle w:val="Tabletext"/>
            </w:pPr>
            <w:r w:rsidRPr="008B0D32">
              <w:fldChar w:fldCharType="begin"/>
            </w:r>
            <w:r w:rsidRPr="008B0D32">
              <w:instrText xml:space="preserve"> HYPERLINK \l "http://www.itu.int/pub/publications.aspx?lang=en&amp;parent=T-RES-T.79-2016" </w:instrText>
            </w:r>
            <w:r w:rsidRPr="008B0D32">
              <w:fldChar w:fldCharType="separate"/>
            </w:r>
            <w:r w:rsidRPr="008B0D32">
              <w:t>Resolución</w:t>
            </w:r>
            <w:r w:rsidRPr="008B0D32">
              <w:fldChar w:fldCharType="end"/>
            </w:r>
            <w:r w:rsidRPr="008B0D32">
              <w:t xml:space="preserve"> 79</w:t>
            </w:r>
            <w:r w:rsidR="0087054D" w:rsidRPr="008B0D32">
              <w:t xml:space="preserve"> – </w:t>
            </w:r>
            <w:bookmarkEnd w:id="95"/>
            <w:r w:rsidR="0087054D" w:rsidRPr="004725A0">
              <w:rPr>
                <w:rFonts w:asciiTheme="minorHAnsi" w:hAnsiTheme="minorHAnsi" w:cstheme="majorBidi"/>
                <w:i/>
                <w:iCs/>
                <w:szCs w:val="22"/>
              </w:rPr>
              <w:t>Función de las telecomunicaciones/tecnologías de la información y la comunicación en el tratamiento y el control de residuos electrónicos de equipos de telecomunicaciones y tecnologías de la información, y métodos para su procesamiento</w:t>
            </w:r>
          </w:p>
        </w:tc>
        <w:tc>
          <w:tcPr>
            <w:tcW w:w="1247" w:type="dxa"/>
            <w:tcBorders>
              <w:right w:val="single" w:sz="12" w:space="0" w:color="auto"/>
            </w:tcBorders>
          </w:tcPr>
          <w:p w14:paraId="7B67787E" w14:textId="2DC57CEE" w:rsidR="0087054D" w:rsidRPr="002250A7" w:rsidRDefault="00DF69E7" w:rsidP="007F4ECC">
            <w:pPr>
              <w:pStyle w:val="Tabletext"/>
              <w:jc w:val="center"/>
              <w:rPr>
                <w:rFonts w:asciiTheme="minorHAnsi" w:hAnsiTheme="minorHAnsi"/>
                <w:szCs w:val="22"/>
              </w:rPr>
            </w:pPr>
            <w:r>
              <w:rPr>
                <w:rFonts w:asciiTheme="minorHAnsi" w:hAnsiTheme="minorHAnsi"/>
                <w:szCs w:val="22"/>
              </w:rPr>
              <w:t>Revisada</w:t>
            </w:r>
          </w:p>
        </w:tc>
      </w:tr>
      <w:bookmarkStart w:id="96" w:name="lt_pId179"/>
      <w:tr w:rsidR="0087054D" w:rsidRPr="002250A7" w14:paraId="01674F3B" w14:textId="77777777" w:rsidTr="009D6ED5">
        <w:trPr>
          <w:cantSplit/>
          <w:trHeight w:val="20"/>
          <w:jc w:val="center"/>
        </w:trPr>
        <w:tc>
          <w:tcPr>
            <w:tcW w:w="8391" w:type="dxa"/>
            <w:tcBorders>
              <w:right w:val="single" w:sz="12" w:space="0" w:color="auto"/>
            </w:tcBorders>
            <w:shd w:val="clear" w:color="auto" w:fill="auto"/>
          </w:tcPr>
          <w:p w14:paraId="7EC9172C" w14:textId="1B2F2A4B" w:rsidR="0087054D" w:rsidRPr="008B0D32" w:rsidRDefault="00DF69E7" w:rsidP="007F4ECC">
            <w:pPr>
              <w:pStyle w:val="Tabletext"/>
            </w:pPr>
            <w:r w:rsidRPr="008B0D32">
              <w:fldChar w:fldCharType="begin"/>
            </w:r>
            <w:r w:rsidRPr="008B0D32">
              <w:instrText xml:space="preserve"> HYPERLINK "http://www.itu.int/pub/publications.aspx?lang=en&amp;parent=T-RES-T.80-2016" </w:instrText>
            </w:r>
            <w:r w:rsidRPr="008B0D32">
              <w:fldChar w:fldCharType="separate"/>
            </w:r>
            <w:r w:rsidRPr="008B0D32">
              <w:t>Resolución</w:t>
            </w:r>
            <w:r w:rsidRPr="008B0D32">
              <w:fldChar w:fldCharType="end"/>
            </w:r>
            <w:r w:rsidRPr="008B0D32">
              <w:t xml:space="preserve"> 80</w:t>
            </w:r>
            <w:r w:rsidR="0087054D" w:rsidRPr="008B0D32">
              <w:t xml:space="preserve"> – </w:t>
            </w:r>
            <w:bookmarkEnd w:id="96"/>
            <w:r w:rsidR="0087054D" w:rsidRPr="004725A0">
              <w:rPr>
                <w:rFonts w:asciiTheme="minorHAnsi" w:hAnsiTheme="minorHAnsi" w:cstheme="majorBidi"/>
                <w:i/>
                <w:iCs/>
                <w:szCs w:val="22"/>
              </w:rPr>
              <w:t xml:space="preserve">Reconocimiento de la </w:t>
            </w:r>
            <w:proofErr w:type="gramStart"/>
            <w:r w:rsidR="0087054D" w:rsidRPr="004725A0">
              <w:rPr>
                <w:rFonts w:asciiTheme="minorHAnsi" w:hAnsiTheme="minorHAnsi" w:cstheme="majorBidi"/>
                <w:i/>
                <w:iCs/>
                <w:szCs w:val="22"/>
              </w:rPr>
              <w:t>participación activa</w:t>
            </w:r>
            <w:proofErr w:type="gramEnd"/>
            <w:r w:rsidR="0087054D" w:rsidRPr="004725A0">
              <w:rPr>
                <w:rFonts w:asciiTheme="minorHAnsi" w:hAnsiTheme="minorHAnsi" w:cstheme="majorBidi"/>
                <w:i/>
                <w:iCs/>
                <w:szCs w:val="22"/>
              </w:rPr>
              <w:t xml:space="preserve"> de los Miembros en los resultados del Sector de Normalización de las Telecomunicaciones de la UIT</w:t>
            </w:r>
          </w:p>
        </w:tc>
        <w:tc>
          <w:tcPr>
            <w:tcW w:w="1247" w:type="dxa"/>
            <w:tcBorders>
              <w:right w:val="single" w:sz="12" w:space="0" w:color="auto"/>
            </w:tcBorders>
          </w:tcPr>
          <w:p w14:paraId="038ADDB0" w14:textId="2BD9EAAB" w:rsidR="0087054D" w:rsidRPr="002250A7" w:rsidRDefault="00DF69E7"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97" w:name="lt_pId185"/>
      <w:tr w:rsidR="0087054D" w:rsidRPr="002250A7" w14:paraId="34138C40" w14:textId="77777777" w:rsidTr="009D6ED5">
        <w:trPr>
          <w:cantSplit/>
          <w:trHeight w:val="20"/>
          <w:jc w:val="center"/>
        </w:trPr>
        <w:tc>
          <w:tcPr>
            <w:tcW w:w="8391" w:type="dxa"/>
            <w:tcBorders>
              <w:right w:val="single" w:sz="12" w:space="0" w:color="auto"/>
            </w:tcBorders>
            <w:shd w:val="clear" w:color="auto" w:fill="auto"/>
          </w:tcPr>
          <w:p w14:paraId="661DC162" w14:textId="3AE3D294" w:rsidR="0087054D" w:rsidRPr="008B0D32" w:rsidRDefault="00DF69E7" w:rsidP="007F4ECC">
            <w:pPr>
              <w:pStyle w:val="Tabletext"/>
            </w:pPr>
            <w:r w:rsidRPr="008B0D32">
              <w:fldChar w:fldCharType="begin"/>
            </w:r>
            <w:r w:rsidRPr="008B0D32">
              <w:instrText xml:space="preserve"> HYPERLINK "http://www.itu.int/pub/publications.aspx?lang=en&amp;parent=T-RES-T.83-2016" </w:instrText>
            </w:r>
            <w:r w:rsidRPr="008B0D32">
              <w:fldChar w:fldCharType="separate"/>
            </w:r>
            <w:r w:rsidRPr="008B0D32">
              <w:t>Resolución</w:t>
            </w:r>
            <w:r w:rsidRPr="008B0D32">
              <w:fldChar w:fldCharType="end"/>
            </w:r>
            <w:r w:rsidRPr="008B0D32">
              <w:t xml:space="preserve"> 83</w:t>
            </w:r>
            <w:r w:rsidR="0087054D" w:rsidRPr="008B0D32">
              <w:t xml:space="preserve"> – </w:t>
            </w:r>
            <w:r w:rsidR="0087054D" w:rsidRPr="004725A0">
              <w:rPr>
                <w:rFonts w:asciiTheme="minorHAnsi" w:hAnsiTheme="minorHAnsi" w:cstheme="majorBidi"/>
                <w:i/>
                <w:iCs/>
                <w:szCs w:val="22"/>
              </w:rPr>
              <w:t>Evaluación de la aplicación de las Resoluciones de la Asamblea Mundial de Normalización de las Telecomunicaciones</w:t>
            </w:r>
            <w:bookmarkEnd w:id="97"/>
          </w:p>
        </w:tc>
        <w:tc>
          <w:tcPr>
            <w:tcW w:w="1247" w:type="dxa"/>
            <w:tcBorders>
              <w:right w:val="single" w:sz="12" w:space="0" w:color="auto"/>
            </w:tcBorders>
          </w:tcPr>
          <w:p w14:paraId="1E90CCF5" w14:textId="6FF83B49" w:rsidR="0087054D" w:rsidRPr="002250A7" w:rsidRDefault="00DF69E7" w:rsidP="007F4ECC">
            <w:pPr>
              <w:pStyle w:val="Tabletext"/>
              <w:jc w:val="center"/>
              <w:rPr>
                <w:rFonts w:asciiTheme="minorHAnsi" w:hAnsiTheme="minorHAnsi"/>
                <w:szCs w:val="22"/>
              </w:rPr>
            </w:pPr>
            <w:r>
              <w:rPr>
                <w:rFonts w:asciiTheme="minorHAnsi" w:hAnsiTheme="minorHAnsi"/>
                <w:szCs w:val="22"/>
              </w:rPr>
              <w:t>No cambia</w:t>
            </w:r>
          </w:p>
        </w:tc>
      </w:tr>
      <w:bookmarkStart w:id="98" w:name="lt_pId187"/>
      <w:tr w:rsidR="0087054D" w:rsidRPr="002250A7" w14:paraId="34F413C4" w14:textId="77777777" w:rsidTr="009D6ED5">
        <w:trPr>
          <w:cantSplit/>
          <w:trHeight w:val="20"/>
          <w:jc w:val="center"/>
        </w:trPr>
        <w:tc>
          <w:tcPr>
            <w:tcW w:w="8391" w:type="dxa"/>
            <w:tcBorders>
              <w:right w:val="single" w:sz="12" w:space="0" w:color="auto"/>
            </w:tcBorders>
            <w:shd w:val="clear" w:color="auto" w:fill="auto"/>
            <w:vAlign w:val="center"/>
          </w:tcPr>
          <w:p w14:paraId="6CF84465" w14:textId="6EF6DEA6" w:rsidR="0087054D" w:rsidRPr="008B0D32" w:rsidRDefault="00DF69E7" w:rsidP="007F4ECC">
            <w:pPr>
              <w:pStyle w:val="Tabletext"/>
            </w:pPr>
            <w:r w:rsidRPr="008B0D32">
              <w:fldChar w:fldCharType="begin"/>
            </w:r>
            <w:r w:rsidRPr="008B0D32">
              <w:instrText xml:space="preserve"> HYPERLINK "http://www.itu.int/pub/publications.aspx?lang=en&amp;parent=T-RES-T.84-2016" </w:instrText>
            </w:r>
            <w:r w:rsidRPr="008B0D32">
              <w:fldChar w:fldCharType="separate"/>
            </w:r>
            <w:r w:rsidRPr="008B0D32">
              <w:t>Resolución</w:t>
            </w:r>
            <w:r w:rsidRPr="008B0D32">
              <w:fldChar w:fldCharType="end"/>
            </w:r>
            <w:r w:rsidRPr="008B0D32">
              <w:t xml:space="preserve"> 84</w:t>
            </w:r>
            <w:r w:rsidR="0087054D" w:rsidRPr="008B0D32">
              <w:t xml:space="preserve"> – </w:t>
            </w:r>
            <w:r w:rsidR="0087054D" w:rsidRPr="004725A0">
              <w:rPr>
                <w:rFonts w:asciiTheme="minorHAnsi" w:hAnsiTheme="minorHAnsi" w:cstheme="majorBidi"/>
                <w:i/>
                <w:iCs/>
                <w:szCs w:val="22"/>
              </w:rPr>
              <w:t>Estudios relativos a la protección del usuario de los servicios de telecomunicaciones/TIC</w:t>
            </w:r>
            <w:bookmarkEnd w:id="98"/>
          </w:p>
        </w:tc>
        <w:tc>
          <w:tcPr>
            <w:tcW w:w="1247" w:type="dxa"/>
            <w:tcBorders>
              <w:right w:val="single" w:sz="12" w:space="0" w:color="auto"/>
            </w:tcBorders>
          </w:tcPr>
          <w:p w14:paraId="0B64CC08" w14:textId="0CE44E3A" w:rsidR="0087054D" w:rsidRPr="002250A7" w:rsidRDefault="00DF69E7" w:rsidP="007F4ECC">
            <w:pPr>
              <w:pStyle w:val="Tabletext"/>
              <w:jc w:val="center"/>
              <w:rPr>
                <w:rFonts w:asciiTheme="minorHAnsi" w:hAnsiTheme="minorHAnsi"/>
                <w:szCs w:val="22"/>
              </w:rPr>
            </w:pPr>
            <w:r>
              <w:rPr>
                <w:rFonts w:asciiTheme="minorHAnsi" w:hAnsiTheme="minorHAnsi"/>
                <w:szCs w:val="22"/>
              </w:rPr>
              <w:t>Revisada</w:t>
            </w:r>
          </w:p>
        </w:tc>
      </w:tr>
      <w:bookmarkStart w:id="99" w:name="lt_pId189"/>
      <w:tr w:rsidR="0087054D" w:rsidRPr="002250A7" w14:paraId="0CBC868F" w14:textId="77777777" w:rsidTr="009D6ED5">
        <w:trPr>
          <w:cantSplit/>
          <w:trHeight w:val="20"/>
          <w:jc w:val="center"/>
        </w:trPr>
        <w:tc>
          <w:tcPr>
            <w:tcW w:w="8391" w:type="dxa"/>
            <w:tcBorders>
              <w:right w:val="single" w:sz="12" w:space="0" w:color="auto"/>
            </w:tcBorders>
            <w:shd w:val="clear" w:color="auto" w:fill="auto"/>
            <w:vAlign w:val="center"/>
          </w:tcPr>
          <w:p w14:paraId="12A71D46" w14:textId="727AE2EE" w:rsidR="0087054D" w:rsidRPr="008B0D32" w:rsidRDefault="00DF69E7" w:rsidP="007F4ECC">
            <w:pPr>
              <w:pStyle w:val="Tabletext"/>
            </w:pPr>
            <w:r w:rsidRPr="008B0D32">
              <w:fldChar w:fldCharType="begin"/>
            </w:r>
            <w:r w:rsidRPr="008B0D32">
              <w:instrText xml:space="preserve"> HYPERLINK "http://www.itu.int/pub/publications.aspx?lang=en&amp;parent=T-RES-T.85-2016" </w:instrText>
            </w:r>
            <w:r w:rsidRPr="008B0D32">
              <w:fldChar w:fldCharType="separate"/>
            </w:r>
            <w:r w:rsidRPr="008B0D32">
              <w:t>Resolución</w:t>
            </w:r>
            <w:r w:rsidRPr="008B0D32">
              <w:fldChar w:fldCharType="end"/>
            </w:r>
            <w:r w:rsidRPr="008B0D32">
              <w:t xml:space="preserve"> 85</w:t>
            </w:r>
            <w:r w:rsidR="0087054D" w:rsidRPr="008B0D32">
              <w:t xml:space="preserve"> – </w:t>
            </w:r>
            <w:r w:rsidR="0087054D" w:rsidRPr="004725A0">
              <w:rPr>
                <w:rFonts w:asciiTheme="minorHAnsi" w:hAnsiTheme="minorHAnsi" w:cstheme="majorBidi"/>
                <w:i/>
                <w:iCs/>
                <w:szCs w:val="22"/>
              </w:rPr>
              <w:t>Fortalecimiento y diversificación de los recursos del Sector de Normalización de las Telecomunicaciones de la UIT</w:t>
            </w:r>
            <w:bookmarkEnd w:id="99"/>
          </w:p>
        </w:tc>
        <w:tc>
          <w:tcPr>
            <w:tcW w:w="1247" w:type="dxa"/>
            <w:tcBorders>
              <w:right w:val="single" w:sz="12" w:space="0" w:color="auto"/>
            </w:tcBorders>
          </w:tcPr>
          <w:p w14:paraId="301ABC74" w14:textId="38448BAC" w:rsidR="0087054D" w:rsidRPr="002250A7" w:rsidRDefault="00DF69E7" w:rsidP="007F4ECC">
            <w:pPr>
              <w:pStyle w:val="Tabletext"/>
              <w:jc w:val="center"/>
              <w:rPr>
                <w:rFonts w:asciiTheme="minorHAnsi" w:hAnsiTheme="minorHAnsi"/>
                <w:szCs w:val="22"/>
              </w:rPr>
            </w:pPr>
            <w:r>
              <w:rPr>
                <w:rFonts w:asciiTheme="minorHAnsi" w:hAnsiTheme="minorHAnsi"/>
                <w:szCs w:val="22"/>
              </w:rPr>
              <w:t>No cambia</w:t>
            </w:r>
          </w:p>
        </w:tc>
      </w:tr>
      <w:bookmarkStart w:id="100" w:name="lt_pId191"/>
      <w:tr w:rsidR="0087054D" w:rsidRPr="002250A7" w14:paraId="794F07A6" w14:textId="77777777" w:rsidTr="009D6ED5">
        <w:trPr>
          <w:cantSplit/>
          <w:trHeight w:val="20"/>
          <w:jc w:val="center"/>
        </w:trPr>
        <w:tc>
          <w:tcPr>
            <w:tcW w:w="8391" w:type="dxa"/>
            <w:tcBorders>
              <w:right w:val="single" w:sz="12" w:space="0" w:color="auto"/>
            </w:tcBorders>
            <w:shd w:val="clear" w:color="auto" w:fill="auto"/>
            <w:vAlign w:val="center"/>
          </w:tcPr>
          <w:p w14:paraId="3782DC50" w14:textId="318EBB8D" w:rsidR="0087054D" w:rsidRPr="008B0D32" w:rsidRDefault="00DF69E7" w:rsidP="007F4ECC">
            <w:pPr>
              <w:pStyle w:val="Tabletext"/>
            </w:pPr>
            <w:r w:rsidRPr="008B0D32">
              <w:fldChar w:fldCharType="begin"/>
            </w:r>
            <w:r w:rsidRPr="008B0D32">
              <w:instrText xml:space="preserve"> HYPERLINK "http://www.itu.int/pub/publications.aspx?lang=en&amp;parent=T-RES-T.86-2016" </w:instrText>
            </w:r>
            <w:r w:rsidRPr="008B0D32">
              <w:fldChar w:fldCharType="separate"/>
            </w:r>
            <w:r w:rsidRPr="008B0D32">
              <w:t>Resolución</w:t>
            </w:r>
            <w:r w:rsidRPr="008B0D32">
              <w:fldChar w:fldCharType="end"/>
            </w:r>
            <w:r w:rsidRPr="008B0D32">
              <w:t xml:space="preserve"> 86</w:t>
            </w:r>
            <w:r w:rsidR="0087054D" w:rsidRPr="008B0D32">
              <w:t xml:space="preserve"> – </w:t>
            </w:r>
            <w:r w:rsidR="0087054D" w:rsidRPr="004725A0">
              <w:rPr>
                <w:rFonts w:asciiTheme="minorHAnsi" w:hAnsiTheme="minorHAnsi" w:cstheme="majorBidi"/>
                <w:i/>
                <w:iCs/>
                <w:szCs w:val="22"/>
              </w:rPr>
              <w:t xml:space="preserve">Facilitar la aplicación del Manifiesto Smart </w:t>
            </w:r>
            <w:proofErr w:type="spellStart"/>
            <w:r w:rsidR="0087054D" w:rsidRPr="004725A0">
              <w:rPr>
                <w:rFonts w:asciiTheme="minorHAnsi" w:hAnsiTheme="minorHAnsi" w:cstheme="majorBidi"/>
                <w:i/>
                <w:iCs/>
                <w:szCs w:val="22"/>
              </w:rPr>
              <w:t>Africa</w:t>
            </w:r>
            <w:bookmarkEnd w:id="100"/>
            <w:proofErr w:type="spellEnd"/>
          </w:p>
        </w:tc>
        <w:tc>
          <w:tcPr>
            <w:tcW w:w="1247" w:type="dxa"/>
            <w:tcBorders>
              <w:right w:val="single" w:sz="12" w:space="0" w:color="auto"/>
            </w:tcBorders>
          </w:tcPr>
          <w:p w14:paraId="324AC407" w14:textId="68487F51" w:rsidR="0087054D" w:rsidRPr="002250A7" w:rsidRDefault="00DF69E7" w:rsidP="007F4ECC">
            <w:pPr>
              <w:pStyle w:val="Tabletext"/>
              <w:jc w:val="center"/>
              <w:rPr>
                <w:rFonts w:asciiTheme="minorHAnsi" w:hAnsiTheme="minorHAnsi"/>
                <w:szCs w:val="22"/>
              </w:rPr>
            </w:pPr>
            <w:r>
              <w:rPr>
                <w:rFonts w:asciiTheme="minorHAnsi" w:hAnsiTheme="minorHAnsi"/>
                <w:szCs w:val="22"/>
              </w:rPr>
              <w:t>No cambia</w:t>
            </w:r>
          </w:p>
        </w:tc>
      </w:tr>
      <w:bookmarkStart w:id="101" w:name="lt_pId193"/>
      <w:tr w:rsidR="0087054D" w:rsidRPr="002250A7" w14:paraId="1F94FCD3" w14:textId="77777777" w:rsidTr="009D6ED5">
        <w:trPr>
          <w:cantSplit/>
          <w:trHeight w:val="20"/>
          <w:jc w:val="center"/>
        </w:trPr>
        <w:tc>
          <w:tcPr>
            <w:tcW w:w="8391" w:type="dxa"/>
            <w:tcBorders>
              <w:right w:val="single" w:sz="12" w:space="0" w:color="auto"/>
            </w:tcBorders>
            <w:shd w:val="clear" w:color="auto" w:fill="auto"/>
            <w:vAlign w:val="center"/>
          </w:tcPr>
          <w:p w14:paraId="67E5539A" w14:textId="7F8D3177" w:rsidR="0087054D" w:rsidRPr="008B0D32" w:rsidRDefault="00DF69E7" w:rsidP="007F4ECC">
            <w:pPr>
              <w:pStyle w:val="Tabletext"/>
            </w:pPr>
            <w:r w:rsidRPr="008B0D32">
              <w:fldChar w:fldCharType="begin"/>
            </w:r>
            <w:r w:rsidRPr="008B0D32">
              <w:instrText xml:space="preserve"> HYPERLINK "http://www.itu.int/pub/publications.aspx?lang=en&amp;parent=T-RES-T.87-2016" </w:instrText>
            </w:r>
            <w:r w:rsidRPr="008B0D32">
              <w:fldChar w:fldCharType="separate"/>
            </w:r>
            <w:r w:rsidRPr="008B0D32">
              <w:t>Resolución</w:t>
            </w:r>
            <w:r w:rsidRPr="008B0D32">
              <w:fldChar w:fldCharType="end"/>
            </w:r>
            <w:r w:rsidRPr="008B0D32">
              <w:t xml:space="preserve"> 87</w:t>
            </w:r>
            <w:r w:rsidR="0087054D" w:rsidRPr="008B0D32">
              <w:t xml:space="preserve"> – </w:t>
            </w:r>
            <w:r w:rsidR="0087054D" w:rsidRPr="004725A0">
              <w:rPr>
                <w:rFonts w:asciiTheme="minorHAnsi" w:hAnsiTheme="minorHAnsi" w:cstheme="majorBidi"/>
                <w:i/>
                <w:iCs/>
                <w:szCs w:val="22"/>
              </w:rPr>
              <w:t>Participación del Sector de Normalización de las Telecomunicaciones de la</w:t>
            </w:r>
            <w:r w:rsidR="000F10B0" w:rsidRPr="004725A0">
              <w:rPr>
                <w:rFonts w:asciiTheme="minorHAnsi" w:hAnsiTheme="minorHAnsi" w:cstheme="majorBidi"/>
                <w:i/>
                <w:iCs/>
                <w:szCs w:val="22"/>
              </w:rPr>
              <w:t> </w:t>
            </w:r>
            <w:r w:rsidR="0087054D" w:rsidRPr="004725A0">
              <w:rPr>
                <w:rFonts w:asciiTheme="minorHAnsi" w:hAnsiTheme="minorHAnsi" w:cstheme="majorBidi"/>
                <w:i/>
                <w:iCs/>
                <w:szCs w:val="22"/>
              </w:rPr>
              <w:t>UIT en el examen y la revisión periódicos del Reglamento de las Telecomunicaciones Internacionales</w:t>
            </w:r>
            <w:bookmarkEnd w:id="101"/>
          </w:p>
        </w:tc>
        <w:tc>
          <w:tcPr>
            <w:tcW w:w="1247" w:type="dxa"/>
            <w:tcBorders>
              <w:right w:val="single" w:sz="12" w:space="0" w:color="auto"/>
            </w:tcBorders>
          </w:tcPr>
          <w:p w14:paraId="63C53527" w14:textId="25BE6880" w:rsidR="0087054D" w:rsidRPr="002250A7" w:rsidRDefault="00DF69E7" w:rsidP="007F4ECC">
            <w:pPr>
              <w:pStyle w:val="Tabletext"/>
              <w:jc w:val="center"/>
              <w:rPr>
                <w:rFonts w:asciiTheme="minorHAnsi" w:hAnsiTheme="minorHAnsi"/>
                <w:szCs w:val="22"/>
              </w:rPr>
            </w:pPr>
            <w:r>
              <w:rPr>
                <w:rFonts w:asciiTheme="minorHAnsi" w:hAnsiTheme="minorHAnsi"/>
                <w:szCs w:val="22"/>
              </w:rPr>
              <w:t>No cambia</w:t>
            </w:r>
          </w:p>
        </w:tc>
      </w:tr>
      <w:bookmarkStart w:id="102" w:name="lt_pId195"/>
      <w:tr w:rsidR="0087054D" w:rsidRPr="002250A7" w14:paraId="64A29533" w14:textId="77777777" w:rsidTr="009D6ED5">
        <w:trPr>
          <w:cantSplit/>
          <w:trHeight w:val="20"/>
          <w:jc w:val="center"/>
        </w:trPr>
        <w:tc>
          <w:tcPr>
            <w:tcW w:w="8391" w:type="dxa"/>
            <w:tcBorders>
              <w:right w:val="single" w:sz="12" w:space="0" w:color="auto"/>
            </w:tcBorders>
            <w:shd w:val="clear" w:color="auto" w:fill="auto"/>
            <w:vAlign w:val="center"/>
          </w:tcPr>
          <w:p w14:paraId="31B3F475" w14:textId="16367CA4" w:rsidR="0087054D" w:rsidRPr="008B0D32" w:rsidRDefault="00DF69E7" w:rsidP="007F4ECC">
            <w:pPr>
              <w:pStyle w:val="Tabletext"/>
            </w:pPr>
            <w:r w:rsidRPr="008B0D32">
              <w:fldChar w:fldCharType="begin"/>
            </w:r>
            <w:r w:rsidRPr="008B0D32">
              <w:instrText xml:space="preserve"> HYPERLINK "http://www.itu.int/pub/publications.aspx?lang=en&amp;parent=T-RES-T.88-2016" </w:instrText>
            </w:r>
            <w:r w:rsidRPr="008B0D32">
              <w:fldChar w:fldCharType="separate"/>
            </w:r>
            <w:r w:rsidRPr="008B0D32">
              <w:t>Resolución</w:t>
            </w:r>
            <w:r w:rsidRPr="008B0D32">
              <w:fldChar w:fldCharType="end"/>
            </w:r>
            <w:r w:rsidRPr="008B0D32">
              <w:t xml:space="preserve"> 88</w:t>
            </w:r>
            <w:r w:rsidR="0087054D" w:rsidRPr="008B0D32">
              <w:t xml:space="preserve"> – </w:t>
            </w:r>
            <w:r w:rsidR="0087054D" w:rsidRPr="004725A0">
              <w:rPr>
                <w:rFonts w:asciiTheme="minorHAnsi" w:hAnsiTheme="minorHAnsi" w:cstheme="majorBidi"/>
                <w:i/>
                <w:iCs/>
                <w:szCs w:val="22"/>
              </w:rPr>
              <w:t>Itinerancia Móvil Internacional</w:t>
            </w:r>
            <w:bookmarkEnd w:id="102"/>
          </w:p>
        </w:tc>
        <w:tc>
          <w:tcPr>
            <w:tcW w:w="1247" w:type="dxa"/>
            <w:tcBorders>
              <w:right w:val="single" w:sz="12" w:space="0" w:color="auto"/>
            </w:tcBorders>
          </w:tcPr>
          <w:p w14:paraId="5FB6031F" w14:textId="6140DC30" w:rsidR="0087054D" w:rsidRPr="002250A7" w:rsidRDefault="00DF69E7" w:rsidP="007F4ECC">
            <w:pPr>
              <w:pStyle w:val="Tabletext"/>
              <w:jc w:val="center"/>
              <w:rPr>
                <w:rFonts w:asciiTheme="minorHAnsi" w:hAnsiTheme="minorHAnsi"/>
                <w:szCs w:val="22"/>
              </w:rPr>
            </w:pPr>
            <w:r>
              <w:rPr>
                <w:rFonts w:asciiTheme="minorHAnsi" w:hAnsiTheme="minorHAnsi"/>
                <w:szCs w:val="22"/>
              </w:rPr>
              <w:t>No cambia</w:t>
            </w:r>
          </w:p>
        </w:tc>
      </w:tr>
      <w:bookmarkStart w:id="103" w:name="lt_pId197"/>
      <w:tr w:rsidR="0087054D" w:rsidRPr="002250A7" w14:paraId="1A78B7AD" w14:textId="77777777" w:rsidTr="009D6ED5">
        <w:trPr>
          <w:cantSplit/>
          <w:trHeight w:val="20"/>
          <w:jc w:val="center"/>
        </w:trPr>
        <w:tc>
          <w:tcPr>
            <w:tcW w:w="8391" w:type="dxa"/>
            <w:tcBorders>
              <w:right w:val="single" w:sz="12" w:space="0" w:color="auto"/>
            </w:tcBorders>
            <w:shd w:val="clear" w:color="auto" w:fill="auto"/>
            <w:vAlign w:val="center"/>
          </w:tcPr>
          <w:p w14:paraId="4C42B6AB" w14:textId="0F38564E" w:rsidR="0087054D" w:rsidRPr="008B0D32" w:rsidRDefault="00DF69E7" w:rsidP="007F4ECC">
            <w:pPr>
              <w:pStyle w:val="Tabletext"/>
            </w:pPr>
            <w:r w:rsidRPr="008B0D32">
              <w:fldChar w:fldCharType="begin"/>
            </w:r>
            <w:r w:rsidRPr="008B0D32">
              <w:instrText xml:space="preserve"> HYPERLINK "http://www.itu.int/pub/publications.aspx?lang=en&amp;parent=T-RES-T.89-2016" </w:instrText>
            </w:r>
            <w:r w:rsidRPr="008B0D32">
              <w:fldChar w:fldCharType="separate"/>
            </w:r>
            <w:r w:rsidRPr="008B0D32">
              <w:t>Resolución</w:t>
            </w:r>
            <w:r w:rsidRPr="008B0D32">
              <w:fldChar w:fldCharType="end"/>
            </w:r>
            <w:r w:rsidRPr="008B0D32">
              <w:t xml:space="preserve"> 89</w:t>
            </w:r>
            <w:r w:rsidR="0087054D" w:rsidRPr="008B0D32">
              <w:t xml:space="preserve"> – </w:t>
            </w:r>
            <w:r w:rsidR="0087054D" w:rsidRPr="004725A0">
              <w:rPr>
                <w:rFonts w:asciiTheme="minorHAnsi" w:hAnsiTheme="minorHAnsi" w:cstheme="majorBidi"/>
                <w:i/>
                <w:iCs/>
                <w:szCs w:val="22"/>
              </w:rPr>
              <w:t>Promoción de la utilización de las tecnologías de la información y la comunicación para reducir la brecha de inclusión financiera</w:t>
            </w:r>
            <w:bookmarkEnd w:id="103"/>
          </w:p>
        </w:tc>
        <w:tc>
          <w:tcPr>
            <w:tcW w:w="1247" w:type="dxa"/>
            <w:tcBorders>
              <w:right w:val="single" w:sz="12" w:space="0" w:color="auto"/>
            </w:tcBorders>
          </w:tcPr>
          <w:p w14:paraId="3666A29A" w14:textId="4E87F833" w:rsidR="0087054D" w:rsidRPr="002250A7" w:rsidRDefault="008D5B4F" w:rsidP="007F4ECC">
            <w:pPr>
              <w:pStyle w:val="Tabletext"/>
              <w:jc w:val="center"/>
              <w:rPr>
                <w:rFonts w:asciiTheme="minorHAnsi" w:hAnsiTheme="minorHAnsi"/>
                <w:szCs w:val="22"/>
              </w:rPr>
            </w:pPr>
            <w:r>
              <w:rPr>
                <w:rFonts w:asciiTheme="minorHAnsi" w:hAnsiTheme="minorHAnsi"/>
                <w:szCs w:val="22"/>
              </w:rPr>
              <w:t>Revisada</w:t>
            </w:r>
          </w:p>
        </w:tc>
      </w:tr>
      <w:bookmarkStart w:id="104" w:name="lt_pId199"/>
      <w:tr w:rsidR="0087054D" w:rsidRPr="002250A7" w14:paraId="0831CEEF" w14:textId="77777777" w:rsidTr="009D6ED5">
        <w:trPr>
          <w:cantSplit/>
          <w:trHeight w:val="20"/>
          <w:jc w:val="center"/>
        </w:trPr>
        <w:tc>
          <w:tcPr>
            <w:tcW w:w="8391" w:type="dxa"/>
            <w:tcBorders>
              <w:right w:val="single" w:sz="12" w:space="0" w:color="auto"/>
            </w:tcBorders>
            <w:shd w:val="clear" w:color="auto" w:fill="auto"/>
            <w:vAlign w:val="center"/>
          </w:tcPr>
          <w:p w14:paraId="242B3780" w14:textId="799D56B0" w:rsidR="0087054D" w:rsidRPr="008B0D32" w:rsidRDefault="008D5B4F" w:rsidP="007F4ECC">
            <w:pPr>
              <w:pStyle w:val="Tabletext"/>
            </w:pPr>
            <w:r w:rsidRPr="008B0D32">
              <w:fldChar w:fldCharType="begin"/>
            </w:r>
            <w:r w:rsidRPr="008B0D32">
              <w:instrText xml:space="preserve"> HYPERLINK "http://www.itu.int/pub/publications.aspx?lang=en&amp;parent=T-RES-T.90-2016" </w:instrText>
            </w:r>
            <w:r w:rsidRPr="008B0D32">
              <w:fldChar w:fldCharType="separate"/>
            </w:r>
            <w:r w:rsidRPr="008B0D32">
              <w:t>Resolución</w:t>
            </w:r>
            <w:r w:rsidRPr="008B0D32">
              <w:fldChar w:fldCharType="end"/>
            </w:r>
            <w:r w:rsidRPr="008B0D32">
              <w:t xml:space="preserve"> 90</w:t>
            </w:r>
            <w:r w:rsidR="0087054D" w:rsidRPr="008B0D32">
              <w:t xml:space="preserve"> – </w:t>
            </w:r>
            <w:r w:rsidR="0087054D" w:rsidRPr="004725A0">
              <w:rPr>
                <w:rFonts w:asciiTheme="minorHAnsi" w:hAnsiTheme="minorHAnsi" w:cstheme="majorBidi"/>
                <w:i/>
                <w:iCs/>
                <w:szCs w:val="22"/>
              </w:rPr>
              <w:t>Código abierto en el Sector de Normalización de las Telecomunicaciones de la UIT</w:t>
            </w:r>
            <w:bookmarkEnd w:id="104"/>
          </w:p>
        </w:tc>
        <w:tc>
          <w:tcPr>
            <w:tcW w:w="1247" w:type="dxa"/>
            <w:tcBorders>
              <w:right w:val="single" w:sz="12" w:space="0" w:color="auto"/>
            </w:tcBorders>
          </w:tcPr>
          <w:p w14:paraId="28FCE033" w14:textId="68DA73B0" w:rsidR="0087054D" w:rsidRPr="002250A7" w:rsidRDefault="008D5B4F" w:rsidP="007F4ECC">
            <w:pPr>
              <w:pStyle w:val="Tabletext"/>
              <w:jc w:val="center"/>
              <w:rPr>
                <w:rFonts w:asciiTheme="minorHAnsi" w:hAnsiTheme="minorHAnsi"/>
                <w:szCs w:val="22"/>
              </w:rPr>
            </w:pPr>
            <w:r>
              <w:rPr>
                <w:rFonts w:asciiTheme="minorHAnsi" w:hAnsiTheme="minorHAnsi"/>
                <w:szCs w:val="22"/>
              </w:rPr>
              <w:t>No cambia</w:t>
            </w:r>
          </w:p>
        </w:tc>
      </w:tr>
      <w:bookmarkStart w:id="105" w:name="lt_pId201"/>
      <w:tr w:rsidR="0087054D" w:rsidRPr="002250A7" w14:paraId="7CF179BD" w14:textId="77777777" w:rsidTr="009D6ED5">
        <w:trPr>
          <w:cantSplit/>
          <w:trHeight w:val="20"/>
          <w:jc w:val="center"/>
        </w:trPr>
        <w:tc>
          <w:tcPr>
            <w:tcW w:w="8391" w:type="dxa"/>
            <w:tcBorders>
              <w:right w:val="single" w:sz="12" w:space="0" w:color="auto"/>
            </w:tcBorders>
            <w:shd w:val="clear" w:color="auto" w:fill="auto"/>
            <w:vAlign w:val="center"/>
          </w:tcPr>
          <w:p w14:paraId="79DC6875" w14:textId="08FE181B" w:rsidR="0087054D" w:rsidRPr="008B0D32" w:rsidRDefault="008D5B4F" w:rsidP="007F4ECC">
            <w:pPr>
              <w:pStyle w:val="Tabletext"/>
            </w:pPr>
            <w:r w:rsidRPr="008B0D32">
              <w:fldChar w:fldCharType="begin"/>
            </w:r>
            <w:r w:rsidRPr="008B0D32">
              <w:instrText xml:space="preserve"> HYPERLINK "http://www.itu.int/pub/publications.aspx?lang=en&amp;parent=T-RES-T.91-2016" </w:instrText>
            </w:r>
            <w:r w:rsidRPr="008B0D32">
              <w:fldChar w:fldCharType="separate"/>
            </w:r>
            <w:r w:rsidRPr="008B0D32">
              <w:t>Resolución</w:t>
            </w:r>
            <w:r w:rsidRPr="008B0D32">
              <w:fldChar w:fldCharType="end"/>
            </w:r>
            <w:r w:rsidRPr="008B0D32">
              <w:t xml:space="preserve"> 91</w:t>
            </w:r>
            <w:r w:rsidR="0087054D" w:rsidRPr="008B0D32">
              <w:t xml:space="preserve"> – </w:t>
            </w:r>
            <w:r w:rsidR="0087054D" w:rsidRPr="004725A0">
              <w:rPr>
                <w:rFonts w:asciiTheme="minorHAnsi" w:hAnsiTheme="minorHAnsi" w:cstheme="majorBidi"/>
                <w:i/>
                <w:iCs/>
                <w:szCs w:val="22"/>
              </w:rPr>
              <w:t>Mejora del acceso a un repositorio electrónico de información sobre planes de numeración publicados por el UIT-T</w:t>
            </w:r>
            <w:bookmarkEnd w:id="105"/>
          </w:p>
        </w:tc>
        <w:tc>
          <w:tcPr>
            <w:tcW w:w="1247" w:type="dxa"/>
            <w:tcBorders>
              <w:right w:val="single" w:sz="12" w:space="0" w:color="auto"/>
            </w:tcBorders>
          </w:tcPr>
          <w:p w14:paraId="17A05534" w14:textId="45621068" w:rsidR="0087054D" w:rsidRPr="002250A7" w:rsidRDefault="008D5B4F" w:rsidP="007F4ECC">
            <w:pPr>
              <w:pStyle w:val="Tabletext"/>
              <w:jc w:val="center"/>
              <w:rPr>
                <w:rFonts w:asciiTheme="minorHAnsi" w:hAnsiTheme="minorHAnsi"/>
                <w:szCs w:val="22"/>
              </w:rPr>
            </w:pPr>
            <w:r>
              <w:rPr>
                <w:rFonts w:asciiTheme="minorHAnsi" w:hAnsiTheme="minorHAnsi"/>
                <w:szCs w:val="22"/>
              </w:rPr>
              <w:t>Revisada</w:t>
            </w:r>
          </w:p>
        </w:tc>
      </w:tr>
      <w:bookmarkStart w:id="106" w:name="lt_pId203"/>
      <w:tr w:rsidR="0087054D" w:rsidRPr="002250A7" w14:paraId="64D38F8D" w14:textId="77777777" w:rsidTr="009D6ED5">
        <w:trPr>
          <w:cantSplit/>
          <w:trHeight w:val="20"/>
          <w:jc w:val="center"/>
        </w:trPr>
        <w:tc>
          <w:tcPr>
            <w:tcW w:w="8391" w:type="dxa"/>
            <w:tcBorders>
              <w:right w:val="single" w:sz="12" w:space="0" w:color="auto"/>
            </w:tcBorders>
            <w:shd w:val="clear" w:color="auto" w:fill="auto"/>
            <w:vAlign w:val="center"/>
          </w:tcPr>
          <w:p w14:paraId="56D83D4C" w14:textId="7D87C633" w:rsidR="0087054D" w:rsidRPr="008B0D32" w:rsidRDefault="008D5B4F" w:rsidP="007F4ECC">
            <w:pPr>
              <w:pStyle w:val="Tabletext"/>
            </w:pPr>
            <w:r w:rsidRPr="008B0D32">
              <w:fldChar w:fldCharType="begin"/>
            </w:r>
            <w:r w:rsidRPr="008B0D32">
              <w:instrText xml:space="preserve"> HYPERLINK "http://www.itu.int/pub/publications.aspx?lang=en&amp;parent=T-RES-T.92-2016" </w:instrText>
            </w:r>
            <w:r w:rsidRPr="008B0D32">
              <w:fldChar w:fldCharType="separate"/>
            </w:r>
            <w:r w:rsidRPr="008B0D32">
              <w:t>Resolución</w:t>
            </w:r>
            <w:r w:rsidRPr="008B0D32">
              <w:fldChar w:fldCharType="end"/>
            </w:r>
            <w:r w:rsidRPr="008B0D32">
              <w:t xml:space="preserve"> 92</w:t>
            </w:r>
            <w:r w:rsidR="0087054D" w:rsidRPr="008B0D32">
              <w:t xml:space="preserve"> – </w:t>
            </w:r>
            <w:r w:rsidR="0087054D" w:rsidRPr="004725A0">
              <w:rPr>
                <w:rFonts w:asciiTheme="minorHAnsi" w:hAnsiTheme="minorHAnsi" w:cstheme="majorBidi"/>
                <w:i/>
                <w:iCs/>
                <w:szCs w:val="22"/>
              </w:rPr>
              <w:t>Fortalecimiento de las actividades de normalización del Sector de Normalización de las Telecomunicaciones de la UIT sobre aspectos no radioeléctricos de las telecomunicaciones móviles internacionales</w:t>
            </w:r>
            <w:bookmarkEnd w:id="106"/>
          </w:p>
        </w:tc>
        <w:tc>
          <w:tcPr>
            <w:tcW w:w="1247" w:type="dxa"/>
            <w:tcBorders>
              <w:right w:val="single" w:sz="12" w:space="0" w:color="auto"/>
            </w:tcBorders>
          </w:tcPr>
          <w:p w14:paraId="40B46D58" w14:textId="48F4E838" w:rsidR="0087054D" w:rsidRPr="002250A7" w:rsidRDefault="008D5B4F" w:rsidP="007F4ECC">
            <w:pPr>
              <w:pStyle w:val="Tabletext"/>
              <w:jc w:val="center"/>
              <w:rPr>
                <w:rFonts w:asciiTheme="minorHAnsi" w:hAnsiTheme="minorHAnsi"/>
                <w:szCs w:val="22"/>
              </w:rPr>
            </w:pPr>
            <w:r>
              <w:rPr>
                <w:rFonts w:asciiTheme="minorHAnsi" w:hAnsiTheme="minorHAnsi"/>
                <w:szCs w:val="22"/>
              </w:rPr>
              <w:t>Revisada</w:t>
            </w:r>
          </w:p>
        </w:tc>
      </w:tr>
      <w:bookmarkStart w:id="107" w:name="lt_pId205"/>
      <w:tr w:rsidR="0087054D" w:rsidRPr="002250A7" w14:paraId="3A819D88" w14:textId="77777777" w:rsidTr="009D6ED5">
        <w:trPr>
          <w:cantSplit/>
          <w:trHeight w:val="20"/>
          <w:jc w:val="center"/>
        </w:trPr>
        <w:tc>
          <w:tcPr>
            <w:tcW w:w="8391" w:type="dxa"/>
            <w:tcBorders>
              <w:right w:val="single" w:sz="12" w:space="0" w:color="auto"/>
            </w:tcBorders>
            <w:shd w:val="clear" w:color="auto" w:fill="auto"/>
            <w:vAlign w:val="center"/>
          </w:tcPr>
          <w:p w14:paraId="2336F21C" w14:textId="2FE43CDE" w:rsidR="0087054D" w:rsidRPr="008B0D32" w:rsidRDefault="00FC28D4" w:rsidP="007F4ECC">
            <w:pPr>
              <w:pStyle w:val="Tabletext"/>
            </w:pPr>
            <w:r w:rsidRPr="008B0D32">
              <w:fldChar w:fldCharType="begin"/>
            </w:r>
            <w:r w:rsidRPr="008B0D32">
              <w:instrText xml:space="preserve"> HYPERLINK "http://www.itu.int/pub/publications.aspx?lang=en&amp;parent=T-RES-T.93-2016" </w:instrText>
            </w:r>
            <w:r w:rsidRPr="008B0D32">
              <w:fldChar w:fldCharType="separate"/>
            </w:r>
            <w:r w:rsidRPr="008B0D32">
              <w:t>Resolución</w:t>
            </w:r>
            <w:r w:rsidRPr="008B0D32">
              <w:fldChar w:fldCharType="end"/>
            </w:r>
            <w:r w:rsidRPr="008B0D32">
              <w:t xml:space="preserve"> 93</w:t>
            </w:r>
            <w:r w:rsidR="0087054D" w:rsidRPr="008B0D32">
              <w:t xml:space="preserve"> – </w:t>
            </w:r>
            <w:r w:rsidR="0087054D" w:rsidRPr="004725A0">
              <w:rPr>
                <w:rFonts w:asciiTheme="minorHAnsi" w:hAnsiTheme="minorHAnsi" w:cstheme="majorBidi"/>
                <w:i/>
                <w:iCs/>
                <w:szCs w:val="22"/>
              </w:rPr>
              <w:t>Interconexión de redes 4G, IMT-2020 y posteriores</w:t>
            </w:r>
            <w:bookmarkEnd w:id="107"/>
          </w:p>
        </w:tc>
        <w:tc>
          <w:tcPr>
            <w:tcW w:w="1247" w:type="dxa"/>
            <w:tcBorders>
              <w:right w:val="single" w:sz="12" w:space="0" w:color="auto"/>
            </w:tcBorders>
          </w:tcPr>
          <w:p w14:paraId="0DF2E681" w14:textId="770DD77A" w:rsidR="0087054D" w:rsidRPr="002250A7" w:rsidRDefault="00FC28D4" w:rsidP="007F4ECC">
            <w:pPr>
              <w:pStyle w:val="Tabletext"/>
              <w:jc w:val="center"/>
              <w:rPr>
                <w:rFonts w:asciiTheme="minorHAnsi" w:hAnsiTheme="minorHAnsi"/>
                <w:szCs w:val="22"/>
              </w:rPr>
            </w:pPr>
            <w:r>
              <w:rPr>
                <w:rFonts w:asciiTheme="minorHAnsi" w:hAnsiTheme="minorHAnsi"/>
                <w:szCs w:val="22"/>
              </w:rPr>
              <w:t>No cambia</w:t>
            </w:r>
          </w:p>
        </w:tc>
      </w:tr>
      <w:bookmarkStart w:id="108" w:name="lt_pId207"/>
      <w:tr w:rsidR="0087054D" w:rsidRPr="002250A7" w14:paraId="727C36C3" w14:textId="77777777" w:rsidTr="009D6ED5">
        <w:trPr>
          <w:cantSplit/>
          <w:trHeight w:val="20"/>
          <w:jc w:val="center"/>
        </w:trPr>
        <w:tc>
          <w:tcPr>
            <w:tcW w:w="8391" w:type="dxa"/>
            <w:tcBorders>
              <w:right w:val="single" w:sz="12" w:space="0" w:color="auto"/>
            </w:tcBorders>
            <w:shd w:val="clear" w:color="auto" w:fill="auto"/>
            <w:vAlign w:val="center"/>
          </w:tcPr>
          <w:p w14:paraId="19854CDD" w14:textId="579E505B" w:rsidR="0087054D" w:rsidRPr="008B0D32" w:rsidRDefault="00612C1E" w:rsidP="007F4ECC">
            <w:pPr>
              <w:pStyle w:val="Tabletext"/>
            </w:pPr>
            <w:r w:rsidRPr="008B0D32">
              <w:fldChar w:fldCharType="begin"/>
            </w:r>
            <w:r w:rsidRPr="008B0D32">
              <w:instrText xml:space="preserve"> HYPERLINK "http://www.itu.int/pub/publications.aspx?lang=en&amp;parent=T-RES-T.94-2016" </w:instrText>
            </w:r>
            <w:r w:rsidRPr="008B0D32">
              <w:fldChar w:fldCharType="separate"/>
            </w:r>
            <w:r w:rsidRPr="008B0D32">
              <w:t>Resolución</w:t>
            </w:r>
            <w:r w:rsidRPr="008B0D32">
              <w:fldChar w:fldCharType="end"/>
            </w:r>
            <w:r w:rsidRPr="008B0D32">
              <w:t xml:space="preserve"> 94</w:t>
            </w:r>
            <w:r w:rsidR="0087054D" w:rsidRPr="008B0D32">
              <w:t xml:space="preserve"> – </w:t>
            </w:r>
            <w:r w:rsidR="0087054D" w:rsidRPr="004725A0">
              <w:rPr>
                <w:rFonts w:asciiTheme="minorHAnsi" w:hAnsiTheme="minorHAnsi" w:cstheme="majorBidi"/>
                <w:i/>
                <w:iCs/>
                <w:szCs w:val="22"/>
              </w:rPr>
              <w:t>Labor de normalización en el Sector de Normalización de las Telecomunicaciones de la UIT para tecnologías de datos de eventos basadas en la nube</w:t>
            </w:r>
            <w:bookmarkEnd w:id="108"/>
          </w:p>
        </w:tc>
        <w:tc>
          <w:tcPr>
            <w:tcW w:w="1247" w:type="dxa"/>
            <w:tcBorders>
              <w:right w:val="single" w:sz="12" w:space="0" w:color="auto"/>
            </w:tcBorders>
          </w:tcPr>
          <w:p w14:paraId="29E287B0" w14:textId="79B6C76F" w:rsidR="0087054D" w:rsidRPr="002250A7" w:rsidRDefault="00612C1E" w:rsidP="007F4ECC">
            <w:pPr>
              <w:pStyle w:val="Tabletext"/>
              <w:jc w:val="center"/>
              <w:rPr>
                <w:rFonts w:asciiTheme="minorHAnsi" w:hAnsiTheme="minorHAnsi"/>
                <w:szCs w:val="22"/>
              </w:rPr>
            </w:pPr>
            <w:r>
              <w:rPr>
                <w:rFonts w:asciiTheme="minorHAnsi" w:hAnsiTheme="minorHAnsi"/>
                <w:szCs w:val="22"/>
              </w:rPr>
              <w:t>No cambia</w:t>
            </w:r>
          </w:p>
        </w:tc>
      </w:tr>
      <w:bookmarkStart w:id="109" w:name="lt_pId209"/>
      <w:tr w:rsidR="00DA0CC6" w:rsidRPr="002250A7" w14:paraId="13C4770A" w14:textId="77777777" w:rsidTr="009D6ED5">
        <w:trPr>
          <w:cantSplit/>
          <w:trHeight w:val="20"/>
          <w:jc w:val="center"/>
        </w:trPr>
        <w:tc>
          <w:tcPr>
            <w:tcW w:w="8391" w:type="dxa"/>
            <w:tcBorders>
              <w:right w:val="single" w:sz="12" w:space="0" w:color="auto"/>
            </w:tcBorders>
            <w:shd w:val="clear" w:color="auto" w:fill="auto"/>
            <w:vAlign w:val="center"/>
          </w:tcPr>
          <w:p w14:paraId="457B2D34" w14:textId="26508E61" w:rsidR="00DA0CC6" w:rsidRPr="008B0D32" w:rsidRDefault="00DA0CC6" w:rsidP="007F4ECC">
            <w:pPr>
              <w:pStyle w:val="Tabletext"/>
            </w:pPr>
            <w:r w:rsidRPr="008B0D32">
              <w:fldChar w:fldCharType="begin"/>
            </w:r>
            <w:r w:rsidRPr="008B0D32">
              <w:instrText xml:space="preserve"> HYPERLINK "http://www.itu.int/pub/publications.aspx?lang=en&amp;parent=T-RES-T.95-2016" </w:instrText>
            </w:r>
            <w:r w:rsidRPr="008B0D32">
              <w:fldChar w:fldCharType="separate"/>
            </w:r>
            <w:r w:rsidRPr="008B0D32">
              <w:t>Resolución</w:t>
            </w:r>
            <w:r w:rsidRPr="008B0D32">
              <w:fldChar w:fldCharType="end"/>
            </w:r>
            <w:r w:rsidRPr="008B0D32">
              <w:t xml:space="preserve"> 95 – </w:t>
            </w:r>
            <w:r w:rsidRPr="004725A0">
              <w:rPr>
                <w:rFonts w:asciiTheme="minorHAnsi" w:hAnsiTheme="minorHAnsi" w:cstheme="majorBidi"/>
                <w:i/>
                <w:iCs/>
                <w:szCs w:val="22"/>
              </w:rPr>
              <w:t>Iniciativas del Sector de Normalización de las Telecomunicaciones de la UIT para sensibilizar sobre prácticas idóneas y políticas relacionadas con la calidad de servicio</w:t>
            </w:r>
            <w:bookmarkEnd w:id="109"/>
          </w:p>
        </w:tc>
        <w:tc>
          <w:tcPr>
            <w:tcW w:w="1247" w:type="dxa"/>
            <w:tcBorders>
              <w:right w:val="single" w:sz="12" w:space="0" w:color="auto"/>
            </w:tcBorders>
          </w:tcPr>
          <w:p w14:paraId="21820347" w14:textId="6B37928E" w:rsidR="00DA0CC6" w:rsidRDefault="00DA0CC6" w:rsidP="007F4ECC">
            <w:pPr>
              <w:pStyle w:val="Tabletext"/>
              <w:jc w:val="center"/>
              <w:rPr>
                <w:rFonts w:asciiTheme="minorHAnsi" w:hAnsiTheme="minorHAnsi"/>
                <w:szCs w:val="22"/>
              </w:rPr>
            </w:pPr>
            <w:r>
              <w:rPr>
                <w:rFonts w:asciiTheme="minorHAnsi" w:hAnsiTheme="minorHAnsi"/>
                <w:szCs w:val="22"/>
              </w:rPr>
              <w:t>Revisada</w:t>
            </w:r>
          </w:p>
        </w:tc>
      </w:tr>
      <w:bookmarkStart w:id="110" w:name="lt_pId211"/>
      <w:tr w:rsidR="0087054D" w:rsidRPr="002250A7" w14:paraId="439F5571" w14:textId="77777777" w:rsidTr="00487221">
        <w:trPr>
          <w:cantSplit/>
          <w:trHeight w:val="20"/>
          <w:jc w:val="center"/>
        </w:trPr>
        <w:tc>
          <w:tcPr>
            <w:tcW w:w="8391" w:type="dxa"/>
            <w:tcBorders>
              <w:top w:val="single" w:sz="12" w:space="0" w:color="auto"/>
              <w:bottom w:val="single" w:sz="4" w:space="0" w:color="auto"/>
              <w:right w:val="single" w:sz="12" w:space="0" w:color="auto"/>
            </w:tcBorders>
            <w:shd w:val="clear" w:color="auto" w:fill="auto"/>
            <w:vAlign w:val="center"/>
          </w:tcPr>
          <w:p w14:paraId="224DD027" w14:textId="2A03B756" w:rsidR="0087054D" w:rsidRPr="008B0D32" w:rsidRDefault="00DA0CC6" w:rsidP="007F4ECC">
            <w:pPr>
              <w:pStyle w:val="Tabletext"/>
            </w:pPr>
            <w:r w:rsidRPr="008B0D32">
              <w:lastRenderedPageBreak/>
              <w:fldChar w:fldCharType="begin"/>
            </w:r>
            <w:r w:rsidRPr="008B0D32">
              <w:instrText xml:space="preserve"> HYPERLINK "http://www.itu.int/pub/publications.aspx?lang=en&amp;parent=T-RES-T.96-2016" </w:instrText>
            </w:r>
            <w:r w:rsidRPr="008B0D32">
              <w:fldChar w:fldCharType="separate"/>
            </w:r>
            <w:r w:rsidRPr="008B0D32">
              <w:t>Resolución</w:t>
            </w:r>
            <w:r w:rsidRPr="008B0D32">
              <w:fldChar w:fldCharType="end"/>
            </w:r>
            <w:r w:rsidRPr="008B0D32">
              <w:t xml:space="preserve"> 96 – </w:t>
            </w:r>
            <w:r w:rsidRPr="004725A0">
              <w:rPr>
                <w:rFonts w:asciiTheme="minorHAnsi" w:hAnsiTheme="minorHAnsi" w:cstheme="majorBidi"/>
                <w:i/>
                <w:iCs/>
                <w:szCs w:val="22"/>
              </w:rPr>
              <w:t>Estudios del Sector de Normalización de las Telecomunicaciones de la UIT para luchar contra la falsificación de dispositivos de telecomunicaciones/tecnologías de la información y la comunicación</w:t>
            </w:r>
            <w:bookmarkEnd w:id="110"/>
          </w:p>
        </w:tc>
        <w:tc>
          <w:tcPr>
            <w:tcW w:w="1247" w:type="dxa"/>
            <w:tcBorders>
              <w:top w:val="single" w:sz="12" w:space="0" w:color="auto"/>
              <w:bottom w:val="single" w:sz="4" w:space="0" w:color="auto"/>
              <w:right w:val="single" w:sz="12" w:space="0" w:color="auto"/>
            </w:tcBorders>
          </w:tcPr>
          <w:p w14:paraId="1E371EA5" w14:textId="48DB783A" w:rsidR="0087054D" w:rsidRPr="002250A7" w:rsidRDefault="00DA0CC6" w:rsidP="007F4ECC">
            <w:pPr>
              <w:pStyle w:val="Tabletext"/>
              <w:jc w:val="center"/>
              <w:rPr>
                <w:rFonts w:asciiTheme="minorHAnsi" w:hAnsiTheme="minorHAnsi"/>
                <w:szCs w:val="22"/>
              </w:rPr>
            </w:pPr>
            <w:r>
              <w:rPr>
                <w:rFonts w:asciiTheme="minorHAnsi" w:hAnsiTheme="minorHAnsi"/>
                <w:szCs w:val="22"/>
              </w:rPr>
              <w:t>No cambia</w:t>
            </w:r>
          </w:p>
        </w:tc>
      </w:tr>
      <w:bookmarkStart w:id="111" w:name="lt_pId213"/>
      <w:tr w:rsidR="0087054D" w:rsidRPr="002250A7" w14:paraId="4FF061DD" w14:textId="77777777" w:rsidTr="009D6ED5">
        <w:trPr>
          <w:cantSplit/>
          <w:trHeight w:val="20"/>
          <w:jc w:val="center"/>
        </w:trPr>
        <w:tc>
          <w:tcPr>
            <w:tcW w:w="8391" w:type="dxa"/>
            <w:tcBorders>
              <w:right w:val="single" w:sz="12" w:space="0" w:color="auto"/>
            </w:tcBorders>
            <w:shd w:val="clear" w:color="auto" w:fill="auto"/>
            <w:vAlign w:val="center"/>
          </w:tcPr>
          <w:p w14:paraId="4DCE2D04" w14:textId="7B98B4EE" w:rsidR="0087054D" w:rsidRPr="008B0D32" w:rsidRDefault="00612C1E" w:rsidP="007F4ECC">
            <w:pPr>
              <w:pStyle w:val="Tabletext"/>
            </w:pPr>
            <w:r w:rsidRPr="008B0D32">
              <w:fldChar w:fldCharType="begin"/>
            </w:r>
            <w:r w:rsidRPr="008B0D32">
              <w:instrText xml:space="preserve"> HYPERLINK "http://www.itu.int/pub/publications.aspx?lang=en&amp;parent=T-RES-T.97-2016" </w:instrText>
            </w:r>
            <w:r w:rsidRPr="008B0D32">
              <w:fldChar w:fldCharType="separate"/>
            </w:r>
            <w:r w:rsidRPr="008B0D32">
              <w:t>Resolución</w:t>
            </w:r>
            <w:r w:rsidRPr="008B0D32">
              <w:fldChar w:fldCharType="end"/>
            </w:r>
            <w:r w:rsidRPr="008B0D32">
              <w:t xml:space="preserve"> 97</w:t>
            </w:r>
            <w:r w:rsidR="0087054D" w:rsidRPr="008B0D32">
              <w:t xml:space="preserve"> –</w:t>
            </w:r>
            <w:bookmarkEnd w:id="111"/>
            <w:r w:rsidR="000F10B0">
              <w:t xml:space="preserve"> </w:t>
            </w:r>
            <w:r w:rsidR="0087054D" w:rsidRPr="004725A0">
              <w:rPr>
                <w:rFonts w:asciiTheme="minorHAnsi" w:hAnsiTheme="minorHAnsi" w:cstheme="majorBidi"/>
                <w:i/>
                <w:iCs/>
                <w:szCs w:val="22"/>
              </w:rPr>
              <w:t>Lucha contra el robo de dispositivos móviles de telecomunicaciones</w:t>
            </w:r>
          </w:p>
        </w:tc>
        <w:tc>
          <w:tcPr>
            <w:tcW w:w="1247" w:type="dxa"/>
            <w:tcBorders>
              <w:right w:val="single" w:sz="12" w:space="0" w:color="auto"/>
            </w:tcBorders>
          </w:tcPr>
          <w:p w14:paraId="79A1D189" w14:textId="7370D5E3" w:rsidR="0087054D" w:rsidRPr="002250A7" w:rsidRDefault="00612C1E" w:rsidP="007F4ECC">
            <w:pPr>
              <w:pStyle w:val="Tabletext"/>
              <w:jc w:val="center"/>
              <w:rPr>
                <w:rFonts w:asciiTheme="minorHAnsi" w:hAnsiTheme="minorHAnsi"/>
                <w:szCs w:val="22"/>
              </w:rPr>
            </w:pPr>
            <w:r>
              <w:rPr>
                <w:rFonts w:asciiTheme="minorHAnsi" w:hAnsiTheme="minorHAnsi"/>
                <w:szCs w:val="22"/>
              </w:rPr>
              <w:t>Revisada</w:t>
            </w:r>
          </w:p>
        </w:tc>
      </w:tr>
      <w:bookmarkStart w:id="112" w:name="lt_pId215"/>
      <w:tr w:rsidR="0087054D" w:rsidRPr="002250A7" w14:paraId="0D7928C3" w14:textId="77777777" w:rsidTr="009D6ED5">
        <w:trPr>
          <w:cantSplit/>
          <w:trHeight w:val="20"/>
          <w:jc w:val="center"/>
        </w:trPr>
        <w:tc>
          <w:tcPr>
            <w:tcW w:w="8391" w:type="dxa"/>
            <w:tcBorders>
              <w:right w:val="single" w:sz="12" w:space="0" w:color="auto"/>
            </w:tcBorders>
            <w:shd w:val="clear" w:color="auto" w:fill="auto"/>
            <w:vAlign w:val="center"/>
          </w:tcPr>
          <w:p w14:paraId="53E7471B" w14:textId="6151812B" w:rsidR="0087054D" w:rsidRPr="008B0D32" w:rsidRDefault="00612C1E" w:rsidP="007F4ECC">
            <w:pPr>
              <w:pStyle w:val="Tabletext"/>
            </w:pPr>
            <w:r w:rsidRPr="008B0D32">
              <w:fldChar w:fldCharType="begin"/>
            </w:r>
            <w:r w:rsidRPr="008B0D32">
              <w:instrText xml:space="preserve"> HYPERLINK "http://www.itu.int/pub/publications.aspx?lang=en&amp;parent=T-RES-T.98-2016" </w:instrText>
            </w:r>
            <w:r w:rsidRPr="008B0D32">
              <w:fldChar w:fldCharType="separate"/>
            </w:r>
            <w:r w:rsidRPr="008B0D32">
              <w:t>Resolución</w:t>
            </w:r>
            <w:r w:rsidRPr="008B0D32">
              <w:fldChar w:fldCharType="end"/>
            </w:r>
            <w:r w:rsidRPr="008B0D32">
              <w:t xml:space="preserve"> 98</w:t>
            </w:r>
            <w:r w:rsidR="0087054D" w:rsidRPr="008B0D32">
              <w:t xml:space="preserve"> – </w:t>
            </w:r>
            <w:r w:rsidR="0087054D" w:rsidRPr="004725A0">
              <w:rPr>
                <w:rFonts w:asciiTheme="minorHAnsi" w:hAnsiTheme="minorHAnsi" w:cstheme="majorBidi"/>
                <w:i/>
                <w:iCs/>
                <w:szCs w:val="22"/>
              </w:rPr>
              <w:t>Refuerzo de la normalización sobre Internet de las cosas y las ciudades y comunidades inteligentes para el desarrollo mundial</w:t>
            </w:r>
            <w:bookmarkEnd w:id="112"/>
          </w:p>
        </w:tc>
        <w:tc>
          <w:tcPr>
            <w:tcW w:w="1247" w:type="dxa"/>
            <w:tcBorders>
              <w:right w:val="single" w:sz="12" w:space="0" w:color="auto"/>
            </w:tcBorders>
          </w:tcPr>
          <w:p w14:paraId="6A9FBF42" w14:textId="210D9738" w:rsidR="0087054D" w:rsidRPr="002250A7" w:rsidRDefault="00612C1E" w:rsidP="007F4ECC">
            <w:pPr>
              <w:pStyle w:val="Tabletext"/>
              <w:jc w:val="center"/>
              <w:rPr>
                <w:rFonts w:asciiTheme="minorHAnsi" w:hAnsiTheme="minorHAnsi"/>
                <w:szCs w:val="22"/>
              </w:rPr>
            </w:pPr>
            <w:r>
              <w:rPr>
                <w:rFonts w:asciiTheme="minorHAnsi" w:hAnsiTheme="minorHAnsi"/>
                <w:szCs w:val="22"/>
              </w:rPr>
              <w:t>Revisada</w:t>
            </w:r>
          </w:p>
        </w:tc>
      </w:tr>
      <w:tr w:rsidR="0087054D" w:rsidRPr="002250A7" w14:paraId="710A5D3F" w14:textId="77777777" w:rsidTr="009D6ED5">
        <w:trPr>
          <w:cantSplit/>
          <w:trHeight w:val="20"/>
          <w:jc w:val="center"/>
        </w:trPr>
        <w:tc>
          <w:tcPr>
            <w:tcW w:w="8391" w:type="dxa"/>
            <w:tcBorders>
              <w:right w:val="single" w:sz="12" w:space="0" w:color="auto"/>
            </w:tcBorders>
            <w:shd w:val="clear" w:color="auto" w:fill="auto"/>
          </w:tcPr>
          <w:p w14:paraId="7C1D75E3" w14:textId="44855056" w:rsidR="00601143" w:rsidRPr="008B0D32" w:rsidRDefault="00601143" w:rsidP="007F4ECC">
            <w:pPr>
              <w:pStyle w:val="Tabletext"/>
            </w:pPr>
            <w:r w:rsidRPr="008B0D32">
              <w:t xml:space="preserve">Resolución 99 – </w:t>
            </w:r>
            <w:r w:rsidRPr="004725A0">
              <w:rPr>
                <w:rFonts w:asciiTheme="minorHAnsi" w:hAnsiTheme="minorHAnsi" w:cstheme="majorBidi"/>
                <w:i/>
                <w:iCs/>
                <w:szCs w:val="22"/>
              </w:rPr>
              <w:t>Examen de la reforma organizativa de las Comisiones de Estudio del Sector de Normalización de la UIT</w:t>
            </w:r>
          </w:p>
        </w:tc>
        <w:tc>
          <w:tcPr>
            <w:tcW w:w="1247" w:type="dxa"/>
            <w:tcBorders>
              <w:right w:val="single" w:sz="12" w:space="0" w:color="auto"/>
            </w:tcBorders>
          </w:tcPr>
          <w:p w14:paraId="11407663" w14:textId="7618407A" w:rsidR="0087054D" w:rsidRPr="00ED048D" w:rsidRDefault="00601143" w:rsidP="007F4ECC">
            <w:pPr>
              <w:pStyle w:val="Tabletext"/>
              <w:jc w:val="center"/>
              <w:rPr>
                <w:rFonts w:asciiTheme="minorHAnsi" w:hAnsiTheme="minorHAnsi"/>
                <w:szCs w:val="22"/>
              </w:rPr>
            </w:pPr>
            <w:r>
              <w:rPr>
                <w:rFonts w:asciiTheme="minorHAnsi" w:hAnsiTheme="minorHAnsi"/>
                <w:szCs w:val="22"/>
              </w:rPr>
              <w:t>Nueva</w:t>
            </w:r>
          </w:p>
        </w:tc>
      </w:tr>
      <w:tr w:rsidR="00601143" w:rsidRPr="002250A7" w14:paraId="34C1F8C0" w14:textId="77777777" w:rsidTr="009D6ED5">
        <w:trPr>
          <w:cantSplit/>
          <w:trHeight w:val="20"/>
          <w:jc w:val="center"/>
        </w:trPr>
        <w:tc>
          <w:tcPr>
            <w:tcW w:w="8391" w:type="dxa"/>
            <w:tcBorders>
              <w:right w:val="single" w:sz="12" w:space="0" w:color="auto"/>
            </w:tcBorders>
            <w:shd w:val="clear" w:color="auto" w:fill="auto"/>
          </w:tcPr>
          <w:p w14:paraId="5878B990" w14:textId="434ADF68" w:rsidR="00601143" w:rsidRPr="008B0D32" w:rsidRDefault="00601143" w:rsidP="007F4ECC">
            <w:pPr>
              <w:pStyle w:val="Tabletext"/>
            </w:pPr>
            <w:r w:rsidRPr="008B0D32">
              <w:t xml:space="preserve">Resolución 100 – </w:t>
            </w:r>
            <w:r w:rsidRPr="004725A0">
              <w:rPr>
                <w:rFonts w:asciiTheme="minorHAnsi" w:hAnsiTheme="minorHAnsi" w:cstheme="majorBidi"/>
                <w:i/>
                <w:iCs/>
                <w:szCs w:val="22"/>
              </w:rPr>
              <w:t>Número de emergencia común para África</w:t>
            </w:r>
          </w:p>
        </w:tc>
        <w:tc>
          <w:tcPr>
            <w:tcW w:w="1247" w:type="dxa"/>
            <w:tcBorders>
              <w:right w:val="single" w:sz="12" w:space="0" w:color="auto"/>
            </w:tcBorders>
          </w:tcPr>
          <w:p w14:paraId="2A73BA62" w14:textId="66D383BD" w:rsidR="00601143" w:rsidRPr="00ED048D" w:rsidRDefault="00601143" w:rsidP="007F4ECC">
            <w:pPr>
              <w:pStyle w:val="Tabletext"/>
              <w:jc w:val="center"/>
              <w:rPr>
                <w:rFonts w:asciiTheme="minorHAnsi" w:hAnsiTheme="minorHAnsi"/>
                <w:szCs w:val="22"/>
              </w:rPr>
            </w:pPr>
            <w:r>
              <w:rPr>
                <w:rFonts w:asciiTheme="minorHAnsi" w:hAnsiTheme="minorHAnsi"/>
                <w:szCs w:val="22"/>
              </w:rPr>
              <w:t>Nueva</w:t>
            </w:r>
          </w:p>
        </w:tc>
      </w:tr>
    </w:tbl>
    <w:p w14:paraId="09E09DE3" w14:textId="0C7A57D7" w:rsidR="009D6ED5" w:rsidRDefault="009D6ED5" w:rsidP="0032319A">
      <w:pPr>
        <w:rPr>
          <w:lang w:val="es-ES"/>
        </w:rPr>
      </w:pPr>
    </w:p>
    <w:p w14:paraId="4C889471" w14:textId="77777777" w:rsidR="0032319A" w:rsidRDefault="0032319A" w:rsidP="0032319A">
      <w:pPr>
        <w:spacing w:before="0"/>
        <w:rPr>
          <w:lang w:val="es-ES"/>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91"/>
        <w:gridCol w:w="1248"/>
      </w:tblGrid>
      <w:tr w:rsidR="006F4062" w14:paraId="16938395" w14:textId="77777777" w:rsidTr="003B5C69">
        <w:trPr>
          <w:cantSplit/>
          <w:trHeight w:val="20"/>
          <w:tblHeader/>
          <w:jc w:val="center"/>
        </w:trPr>
        <w:tc>
          <w:tcPr>
            <w:tcW w:w="8391" w:type="dxa"/>
            <w:tcBorders>
              <w:top w:val="single" w:sz="12" w:space="0" w:color="auto"/>
              <w:bottom w:val="single" w:sz="12" w:space="0" w:color="auto"/>
              <w:right w:val="single" w:sz="12" w:space="0" w:color="auto"/>
            </w:tcBorders>
            <w:shd w:val="clear" w:color="auto" w:fill="DAEEF3" w:themeFill="accent5" w:themeFillTint="33"/>
            <w:vAlign w:val="center"/>
          </w:tcPr>
          <w:p w14:paraId="0A694381" w14:textId="23820E2C" w:rsidR="006F4062" w:rsidRPr="00C05D10" w:rsidRDefault="006F4062" w:rsidP="001A0470">
            <w:pPr>
              <w:pStyle w:val="Tablehead"/>
              <w:spacing w:before="64" w:after="64"/>
            </w:pPr>
            <w:bookmarkStart w:id="113" w:name="lt_pId235"/>
            <w:r w:rsidRPr="00C05D10">
              <w:t>Opini</w:t>
            </w:r>
            <w:r>
              <w:t>ó</w:t>
            </w:r>
            <w:r w:rsidRPr="00C05D10">
              <w:t>n</w:t>
            </w:r>
            <w:bookmarkEnd w:id="113"/>
          </w:p>
        </w:tc>
        <w:tc>
          <w:tcPr>
            <w:tcW w:w="1248" w:type="dxa"/>
            <w:tcBorders>
              <w:top w:val="single" w:sz="12" w:space="0" w:color="auto"/>
              <w:bottom w:val="single" w:sz="12" w:space="0" w:color="auto"/>
              <w:right w:val="single" w:sz="12" w:space="0" w:color="auto"/>
            </w:tcBorders>
            <w:shd w:val="clear" w:color="auto" w:fill="DAEEF3" w:themeFill="accent5" w:themeFillTint="33"/>
            <w:vAlign w:val="center"/>
          </w:tcPr>
          <w:p w14:paraId="034F5C45" w14:textId="34662D51" w:rsidR="006F4062" w:rsidRPr="00C05D10" w:rsidRDefault="006F4062" w:rsidP="001A0470">
            <w:pPr>
              <w:pStyle w:val="Tablehead"/>
              <w:spacing w:before="64" w:after="64"/>
            </w:pPr>
            <w:r>
              <w:t>Situación</w:t>
            </w:r>
          </w:p>
        </w:tc>
      </w:tr>
      <w:tr w:rsidR="003B5C69" w:rsidRPr="002250A7" w14:paraId="7D019452" w14:textId="77777777" w:rsidTr="003B5C69">
        <w:trPr>
          <w:cantSplit/>
          <w:trHeight w:val="20"/>
          <w:jc w:val="center"/>
        </w:trPr>
        <w:tc>
          <w:tcPr>
            <w:tcW w:w="8391" w:type="dxa"/>
            <w:tcBorders>
              <w:top w:val="single" w:sz="12" w:space="0" w:color="auto"/>
              <w:right w:val="single" w:sz="12" w:space="0" w:color="auto"/>
            </w:tcBorders>
            <w:shd w:val="clear" w:color="auto" w:fill="auto"/>
          </w:tcPr>
          <w:p w14:paraId="1CD40E2E" w14:textId="284CF6EA" w:rsidR="009D6ED5" w:rsidRPr="008B0D32" w:rsidRDefault="0043054B" w:rsidP="000A7E43">
            <w:pPr>
              <w:pStyle w:val="Tabletext"/>
            </w:pPr>
            <w:hyperlink r:id="rId20" w:history="1">
              <w:r w:rsidR="009D6ED5" w:rsidRPr="0031553C">
                <w:rPr>
                  <w:rFonts w:cstheme="majorBidi"/>
                </w:rPr>
                <w:t>Opinión 1</w:t>
              </w:r>
            </w:hyperlink>
            <w:r w:rsidR="009D6ED5" w:rsidRPr="0031553C">
              <w:rPr>
                <w:rFonts w:asciiTheme="minorHAnsi" w:hAnsiTheme="minorHAnsi" w:cstheme="majorBidi"/>
                <w:szCs w:val="22"/>
              </w:rPr>
              <w:t xml:space="preserve"> – </w:t>
            </w:r>
            <w:r w:rsidR="009D6ED5" w:rsidRPr="009F1032">
              <w:rPr>
                <w:rFonts w:asciiTheme="minorHAnsi" w:hAnsiTheme="minorHAnsi" w:cstheme="majorBidi"/>
                <w:i/>
                <w:iCs/>
                <w:szCs w:val="22"/>
              </w:rPr>
              <w:t>Aplicación efectiva de la prima de externalidad de red</w:t>
            </w:r>
          </w:p>
        </w:tc>
        <w:tc>
          <w:tcPr>
            <w:tcW w:w="1247" w:type="dxa"/>
            <w:tcBorders>
              <w:top w:val="single" w:sz="12" w:space="0" w:color="auto"/>
              <w:right w:val="single" w:sz="12" w:space="0" w:color="auto"/>
            </w:tcBorders>
          </w:tcPr>
          <w:p w14:paraId="0E30B0F6" w14:textId="058F9EC1" w:rsidR="009D6ED5" w:rsidRPr="00ED048D" w:rsidRDefault="009D6ED5" w:rsidP="000A7E43">
            <w:pPr>
              <w:pStyle w:val="Tabletext"/>
              <w:jc w:val="center"/>
              <w:rPr>
                <w:rFonts w:asciiTheme="minorHAnsi" w:hAnsiTheme="minorHAnsi"/>
                <w:szCs w:val="22"/>
              </w:rPr>
            </w:pPr>
            <w:r>
              <w:t>No cambia</w:t>
            </w:r>
          </w:p>
        </w:tc>
      </w:tr>
    </w:tbl>
    <w:p w14:paraId="22E82B9B" w14:textId="2EB39BE0" w:rsidR="009D6ED5" w:rsidRDefault="009D6ED5" w:rsidP="0032319A">
      <w:pPr>
        <w:rPr>
          <w:lang w:val="es-ES"/>
        </w:rPr>
      </w:pPr>
    </w:p>
    <w:p w14:paraId="3B6FBEA3" w14:textId="77777777" w:rsidR="0032319A" w:rsidRDefault="0032319A" w:rsidP="0032319A">
      <w:pPr>
        <w:spacing w:before="0"/>
        <w:rPr>
          <w:lang w:val="es-ES"/>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91"/>
        <w:gridCol w:w="1247"/>
      </w:tblGrid>
      <w:tr w:rsidR="0031553C" w:rsidRPr="0031553C" w14:paraId="53290839" w14:textId="77777777" w:rsidTr="003B5C69">
        <w:trPr>
          <w:cantSplit/>
          <w:trHeight w:val="20"/>
          <w:tblHeader/>
          <w:jc w:val="center"/>
        </w:trPr>
        <w:tc>
          <w:tcPr>
            <w:tcW w:w="8391" w:type="dxa"/>
            <w:tcBorders>
              <w:top w:val="single" w:sz="12" w:space="0" w:color="auto"/>
              <w:bottom w:val="single" w:sz="12" w:space="0" w:color="auto"/>
              <w:right w:val="single" w:sz="12" w:space="0" w:color="auto"/>
            </w:tcBorders>
            <w:shd w:val="clear" w:color="auto" w:fill="DAEEF3" w:themeFill="accent5" w:themeFillTint="33"/>
            <w:vAlign w:val="center"/>
          </w:tcPr>
          <w:p w14:paraId="4283A2FE" w14:textId="1E95C8EC" w:rsidR="0031553C" w:rsidRPr="009D6ED5" w:rsidRDefault="008B0D32" w:rsidP="009D6ED5">
            <w:pPr>
              <w:pStyle w:val="Tablehead"/>
              <w:spacing w:before="64" w:after="64"/>
            </w:pPr>
            <w:r w:rsidRPr="009D6ED5">
              <w:t>Recomendaciones UIT-T</w:t>
            </w:r>
          </w:p>
        </w:tc>
        <w:tc>
          <w:tcPr>
            <w:tcW w:w="1247" w:type="dxa"/>
            <w:tcBorders>
              <w:top w:val="single" w:sz="12" w:space="0" w:color="auto"/>
              <w:bottom w:val="single" w:sz="12" w:space="0" w:color="auto"/>
              <w:right w:val="single" w:sz="12" w:space="0" w:color="auto"/>
            </w:tcBorders>
            <w:shd w:val="clear" w:color="auto" w:fill="DAEEF3" w:themeFill="accent5" w:themeFillTint="33"/>
            <w:vAlign w:val="center"/>
          </w:tcPr>
          <w:p w14:paraId="4F10D0DA" w14:textId="585C7401" w:rsidR="0031553C" w:rsidRPr="009D6ED5" w:rsidRDefault="009D6ED5" w:rsidP="009D6ED5">
            <w:pPr>
              <w:tabs>
                <w:tab w:val="clear" w:pos="567"/>
                <w:tab w:val="clear" w:pos="1134"/>
                <w:tab w:val="clear" w:pos="1701"/>
                <w:tab w:val="clear" w:pos="2268"/>
                <w:tab w:val="clear" w:pos="2835"/>
              </w:tabs>
              <w:spacing w:before="64" w:after="64"/>
              <w:jc w:val="center"/>
              <w:rPr>
                <w:b/>
                <w:bCs/>
                <w:sz w:val="22"/>
                <w:szCs w:val="22"/>
              </w:rPr>
            </w:pPr>
            <w:r w:rsidRPr="009D6ED5">
              <w:rPr>
                <w:b/>
                <w:bCs/>
                <w:sz w:val="22"/>
                <w:szCs w:val="22"/>
              </w:rPr>
              <w:t>Situación</w:t>
            </w:r>
          </w:p>
        </w:tc>
      </w:tr>
      <w:tr w:rsidR="0031553C" w:rsidRPr="000F10B0" w14:paraId="1CDB1A1B" w14:textId="77777777" w:rsidTr="003B5C69">
        <w:trPr>
          <w:cantSplit/>
          <w:jc w:val="center"/>
        </w:trPr>
        <w:tc>
          <w:tcPr>
            <w:tcW w:w="8391" w:type="dxa"/>
            <w:tcBorders>
              <w:top w:val="single" w:sz="12" w:space="0" w:color="auto"/>
              <w:left w:val="single" w:sz="12" w:space="0" w:color="auto"/>
              <w:bottom w:val="single" w:sz="4" w:space="0" w:color="auto"/>
              <w:right w:val="single" w:sz="12" w:space="0" w:color="auto"/>
            </w:tcBorders>
          </w:tcPr>
          <w:p w14:paraId="682D420E" w14:textId="146BA376" w:rsidR="0031553C" w:rsidRPr="000F10B0" w:rsidRDefault="0031553C" w:rsidP="0031553C">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cstheme="majorBidi"/>
                <w:szCs w:val="22"/>
              </w:rPr>
            </w:pPr>
            <w:r w:rsidRPr="000F10B0">
              <w:rPr>
                <w:rFonts w:asciiTheme="minorHAnsi" w:hAnsiTheme="minorHAnsi" w:cstheme="majorBidi"/>
                <w:szCs w:val="22"/>
              </w:rPr>
              <w:t xml:space="preserve">Recomendación UIT-T A.1 – </w:t>
            </w:r>
            <w:r w:rsidRPr="009F1032">
              <w:rPr>
                <w:rFonts w:asciiTheme="minorHAnsi" w:hAnsiTheme="minorHAnsi" w:cstheme="majorBidi"/>
                <w:i/>
                <w:iCs/>
                <w:szCs w:val="22"/>
              </w:rPr>
              <w:t>Métodos de trabajo de las Comisiones de Estudio del Sector de Normalización de las Telecomunicaciones de la UIT</w:t>
            </w:r>
          </w:p>
        </w:tc>
        <w:tc>
          <w:tcPr>
            <w:tcW w:w="1247" w:type="dxa"/>
            <w:tcBorders>
              <w:top w:val="single" w:sz="12" w:space="0" w:color="auto"/>
              <w:left w:val="single" w:sz="12" w:space="0" w:color="auto"/>
              <w:bottom w:val="single" w:sz="4" w:space="0" w:color="auto"/>
              <w:right w:val="single" w:sz="12" w:space="0" w:color="auto"/>
            </w:tcBorders>
          </w:tcPr>
          <w:p w14:paraId="2B4BFAA3" w14:textId="55B980EA" w:rsidR="0031553C" w:rsidRPr="000F10B0" w:rsidRDefault="0031553C" w:rsidP="0031553C">
            <w:pPr>
              <w:tabs>
                <w:tab w:val="clear" w:pos="567"/>
                <w:tab w:val="clear" w:pos="1701"/>
                <w:tab w:val="clear" w:pos="2268"/>
                <w:tab w:val="clear" w:pos="2835"/>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 w:val="22"/>
                <w:szCs w:val="22"/>
              </w:rPr>
            </w:pPr>
            <w:r w:rsidRPr="000F10B0">
              <w:rPr>
                <w:rFonts w:asciiTheme="minorHAnsi" w:hAnsiTheme="minorHAnsi"/>
                <w:sz w:val="22"/>
                <w:szCs w:val="22"/>
              </w:rPr>
              <w:t>No cambia</w:t>
            </w:r>
          </w:p>
        </w:tc>
      </w:tr>
      <w:tr w:rsidR="0031553C" w:rsidRPr="000F10B0" w14:paraId="0EBE0BB7" w14:textId="77777777" w:rsidTr="003B5C69">
        <w:trPr>
          <w:cantSplit/>
          <w:jc w:val="center"/>
        </w:trPr>
        <w:tc>
          <w:tcPr>
            <w:tcW w:w="8391" w:type="dxa"/>
            <w:tcBorders>
              <w:top w:val="single" w:sz="4" w:space="0" w:color="auto"/>
              <w:left w:val="single" w:sz="12" w:space="0" w:color="auto"/>
              <w:bottom w:val="single" w:sz="4" w:space="0" w:color="auto"/>
              <w:right w:val="single" w:sz="12" w:space="0" w:color="auto"/>
            </w:tcBorders>
          </w:tcPr>
          <w:p w14:paraId="1C853DF3" w14:textId="15588D55" w:rsidR="0031553C" w:rsidRPr="000F10B0" w:rsidRDefault="0031553C" w:rsidP="0031553C">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cstheme="majorBidi"/>
                <w:szCs w:val="22"/>
              </w:rPr>
            </w:pPr>
            <w:r w:rsidRPr="000F10B0">
              <w:rPr>
                <w:rFonts w:asciiTheme="minorHAnsi" w:hAnsiTheme="minorHAnsi" w:cstheme="majorBidi"/>
                <w:szCs w:val="22"/>
              </w:rPr>
              <w:t xml:space="preserve">Recomendación UIT-T A.2 – </w:t>
            </w:r>
            <w:r w:rsidRPr="009F1032">
              <w:rPr>
                <w:rFonts w:asciiTheme="minorHAnsi" w:hAnsiTheme="minorHAnsi" w:cstheme="majorBidi"/>
                <w:i/>
                <w:iCs/>
                <w:szCs w:val="22"/>
              </w:rPr>
              <w:t>Presentación de contribuciones al Sector de Normalización de las Telecomunicaciones de la UIT</w:t>
            </w:r>
          </w:p>
        </w:tc>
        <w:tc>
          <w:tcPr>
            <w:tcW w:w="1247" w:type="dxa"/>
            <w:tcBorders>
              <w:top w:val="single" w:sz="4" w:space="0" w:color="auto"/>
              <w:left w:val="single" w:sz="12" w:space="0" w:color="auto"/>
              <w:bottom w:val="single" w:sz="4" w:space="0" w:color="auto"/>
              <w:right w:val="single" w:sz="12" w:space="0" w:color="auto"/>
            </w:tcBorders>
          </w:tcPr>
          <w:p w14:paraId="3EA65956" w14:textId="057688D5" w:rsidR="0031553C" w:rsidRPr="000F10B0" w:rsidRDefault="0031553C" w:rsidP="0031553C">
            <w:pPr>
              <w:tabs>
                <w:tab w:val="clear" w:pos="567"/>
                <w:tab w:val="clear" w:pos="1701"/>
                <w:tab w:val="clear" w:pos="2268"/>
                <w:tab w:val="clear" w:pos="2835"/>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 w:val="22"/>
                <w:szCs w:val="22"/>
              </w:rPr>
            </w:pPr>
            <w:r w:rsidRPr="000F10B0">
              <w:rPr>
                <w:rFonts w:asciiTheme="minorHAnsi" w:hAnsiTheme="minorHAnsi"/>
                <w:sz w:val="22"/>
                <w:szCs w:val="22"/>
              </w:rPr>
              <w:t>No cambia</w:t>
            </w:r>
          </w:p>
        </w:tc>
      </w:tr>
      <w:tr w:rsidR="0031553C" w:rsidRPr="000F10B0" w14:paraId="68FC5CC6" w14:textId="77777777" w:rsidTr="003B5C69">
        <w:trPr>
          <w:cantSplit/>
          <w:jc w:val="center"/>
        </w:trPr>
        <w:tc>
          <w:tcPr>
            <w:tcW w:w="8391" w:type="dxa"/>
            <w:tcBorders>
              <w:top w:val="single" w:sz="4" w:space="0" w:color="auto"/>
              <w:left w:val="single" w:sz="12" w:space="0" w:color="auto"/>
              <w:bottom w:val="single" w:sz="4" w:space="0" w:color="auto"/>
              <w:right w:val="single" w:sz="12" w:space="0" w:color="auto"/>
            </w:tcBorders>
          </w:tcPr>
          <w:p w14:paraId="2BD42C4C" w14:textId="110D946C" w:rsidR="0031553C" w:rsidRPr="000F10B0" w:rsidRDefault="0031553C" w:rsidP="0031553C">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cstheme="majorBidi"/>
                <w:szCs w:val="22"/>
              </w:rPr>
            </w:pPr>
            <w:r w:rsidRPr="000F10B0">
              <w:rPr>
                <w:rFonts w:asciiTheme="minorHAnsi" w:hAnsiTheme="minorHAnsi" w:cstheme="majorBidi"/>
                <w:szCs w:val="22"/>
              </w:rPr>
              <w:t xml:space="preserve">Recomendación UIT-T A.5 – </w:t>
            </w:r>
            <w:r w:rsidRPr="009F1032">
              <w:rPr>
                <w:rFonts w:asciiTheme="minorHAnsi" w:hAnsiTheme="minorHAnsi" w:cstheme="majorBidi"/>
                <w:i/>
                <w:iCs/>
                <w:szCs w:val="22"/>
              </w:rPr>
              <w:t>Procedimientos genéricos para la inclusión de referencias a documentos de otras organizaciones en las Recomendaciones del UIT</w:t>
            </w:r>
            <w:r w:rsidRPr="009F1032">
              <w:rPr>
                <w:rFonts w:asciiTheme="minorHAnsi" w:hAnsiTheme="minorHAnsi" w:cstheme="majorBidi"/>
                <w:i/>
                <w:iCs/>
                <w:szCs w:val="22"/>
              </w:rPr>
              <w:noBreakHyphen/>
              <w:t>T</w:t>
            </w:r>
          </w:p>
        </w:tc>
        <w:tc>
          <w:tcPr>
            <w:tcW w:w="1247" w:type="dxa"/>
            <w:tcBorders>
              <w:top w:val="single" w:sz="4" w:space="0" w:color="auto"/>
              <w:left w:val="single" w:sz="12" w:space="0" w:color="auto"/>
              <w:bottom w:val="single" w:sz="4" w:space="0" w:color="auto"/>
              <w:right w:val="single" w:sz="12" w:space="0" w:color="auto"/>
            </w:tcBorders>
          </w:tcPr>
          <w:p w14:paraId="05B417A9" w14:textId="17C98B57" w:rsidR="0031553C" w:rsidRPr="000F10B0" w:rsidRDefault="0031553C" w:rsidP="0031553C">
            <w:pPr>
              <w:tabs>
                <w:tab w:val="clear" w:pos="567"/>
                <w:tab w:val="clear" w:pos="1701"/>
                <w:tab w:val="clear" w:pos="2268"/>
                <w:tab w:val="clear" w:pos="2835"/>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 w:val="22"/>
                <w:szCs w:val="22"/>
              </w:rPr>
            </w:pPr>
            <w:r w:rsidRPr="000F10B0">
              <w:rPr>
                <w:rFonts w:asciiTheme="minorHAnsi" w:hAnsiTheme="minorHAnsi"/>
                <w:sz w:val="22"/>
                <w:szCs w:val="22"/>
              </w:rPr>
              <w:t>Revisada</w:t>
            </w:r>
          </w:p>
        </w:tc>
      </w:tr>
      <w:tr w:rsidR="0031553C" w:rsidRPr="000F10B0" w14:paraId="4E190F2B" w14:textId="77777777" w:rsidTr="003B5C69">
        <w:trPr>
          <w:cantSplit/>
          <w:jc w:val="center"/>
        </w:trPr>
        <w:tc>
          <w:tcPr>
            <w:tcW w:w="8391" w:type="dxa"/>
            <w:tcBorders>
              <w:top w:val="single" w:sz="4" w:space="0" w:color="auto"/>
              <w:left w:val="single" w:sz="12" w:space="0" w:color="auto"/>
              <w:bottom w:val="single" w:sz="4" w:space="0" w:color="auto"/>
              <w:right w:val="single" w:sz="12" w:space="0" w:color="auto"/>
            </w:tcBorders>
          </w:tcPr>
          <w:p w14:paraId="3480027B" w14:textId="05BD4A21" w:rsidR="0031553C" w:rsidRPr="000F10B0" w:rsidRDefault="0031553C" w:rsidP="0031553C">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cstheme="majorBidi"/>
                <w:szCs w:val="22"/>
              </w:rPr>
            </w:pPr>
            <w:r w:rsidRPr="000F10B0">
              <w:rPr>
                <w:rFonts w:asciiTheme="minorHAnsi" w:hAnsiTheme="minorHAnsi" w:cstheme="majorBidi"/>
                <w:szCs w:val="22"/>
              </w:rPr>
              <w:t xml:space="preserve">Recomendación UIT-T A.7 – </w:t>
            </w:r>
            <w:r w:rsidRPr="009F1032">
              <w:rPr>
                <w:rFonts w:asciiTheme="minorHAnsi" w:hAnsiTheme="minorHAnsi" w:cstheme="majorBidi"/>
                <w:i/>
                <w:iCs/>
                <w:szCs w:val="22"/>
              </w:rPr>
              <w:t>Grupos Temáticos: Creación y procedimientos de</w:t>
            </w:r>
            <w:r w:rsidR="000F10B0" w:rsidRPr="009F1032">
              <w:rPr>
                <w:rFonts w:asciiTheme="minorHAnsi" w:hAnsiTheme="minorHAnsi" w:cstheme="majorBidi"/>
                <w:i/>
                <w:iCs/>
                <w:szCs w:val="22"/>
              </w:rPr>
              <w:t xml:space="preserve"> </w:t>
            </w:r>
            <w:r w:rsidRPr="009F1032">
              <w:rPr>
                <w:rFonts w:asciiTheme="minorHAnsi" w:hAnsiTheme="minorHAnsi" w:cstheme="majorBidi"/>
                <w:i/>
                <w:iCs/>
                <w:szCs w:val="22"/>
              </w:rPr>
              <w:t>trabajo</w:t>
            </w:r>
          </w:p>
        </w:tc>
        <w:tc>
          <w:tcPr>
            <w:tcW w:w="1247" w:type="dxa"/>
            <w:tcBorders>
              <w:top w:val="single" w:sz="4" w:space="0" w:color="auto"/>
              <w:left w:val="single" w:sz="12" w:space="0" w:color="auto"/>
              <w:bottom w:val="single" w:sz="4" w:space="0" w:color="auto"/>
              <w:right w:val="single" w:sz="12" w:space="0" w:color="auto"/>
            </w:tcBorders>
          </w:tcPr>
          <w:p w14:paraId="2DEBE766" w14:textId="117210E4" w:rsidR="0031553C" w:rsidRPr="000F10B0" w:rsidRDefault="0031553C" w:rsidP="0031553C">
            <w:pPr>
              <w:tabs>
                <w:tab w:val="clear" w:pos="567"/>
                <w:tab w:val="clear" w:pos="1701"/>
                <w:tab w:val="clear" w:pos="2268"/>
                <w:tab w:val="clear" w:pos="2835"/>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 w:val="22"/>
                <w:szCs w:val="22"/>
              </w:rPr>
            </w:pPr>
            <w:r w:rsidRPr="000F10B0">
              <w:rPr>
                <w:rFonts w:asciiTheme="minorHAnsi" w:hAnsiTheme="minorHAnsi"/>
                <w:sz w:val="22"/>
                <w:szCs w:val="22"/>
              </w:rPr>
              <w:t>No cambia</w:t>
            </w:r>
          </w:p>
        </w:tc>
      </w:tr>
      <w:tr w:rsidR="0031553C" w:rsidRPr="000F10B0" w14:paraId="5755BC85" w14:textId="77777777" w:rsidTr="003B5C69">
        <w:trPr>
          <w:cantSplit/>
          <w:jc w:val="center"/>
        </w:trPr>
        <w:tc>
          <w:tcPr>
            <w:tcW w:w="8391" w:type="dxa"/>
            <w:tcBorders>
              <w:top w:val="single" w:sz="4" w:space="0" w:color="auto"/>
              <w:left w:val="single" w:sz="12" w:space="0" w:color="auto"/>
              <w:bottom w:val="single" w:sz="4" w:space="0" w:color="auto"/>
              <w:right w:val="single" w:sz="12" w:space="0" w:color="auto"/>
            </w:tcBorders>
          </w:tcPr>
          <w:p w14:paraId="3267B9AA" w14:textId="5FD86A7E" w:rsidR="0031553C" w:rsidRPr="000F10B0" w:rsidRDefault="0031553C" w:rsidP="0031553C">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cstheme="majorBidi"/>
                <w:szCs w:val="22"/>
              </w:rPr>
            </w:pPr>
            <w:r w:rsidRPr="000F10B0">
              <w:rPr>
                <w:rFonts w:asciiTheme="minorHAnsi" w:hAnsiTheme="minorHAnsi" w:cstheme="majorBidi"/>
                <w:szCs w:val="22"/>
              </w:rPr>
              <w:t xml:space="preserve">Recomendación UIT-T A.8 – </w:t>
            </w:r>
            <w:r w:rsidRPr="009F1032">
              <w:rPr>
                <w:rFonts w:asciiTheme="minorHAnsi" w:hAnsiTheme="minorHAnsi" w:cstheme="majorBidi"/>
                <w:i/>
                <w:iCs/>
                <w:szCs w:val="22"/>
              </w:rPr>
              <w:t>Proceso de aprobación alternativo para las Recomendaciones</w:t>
            </w:r>
            <w:r w:rsidR="0032319A">
              <w:rPr>
                <w:rFonts w:asciiTheme="minorHAnsi" w:hAnsiTheme="minorHAnsi" w:cstheme="majorBidi"/>
                <w:i/>
                <w:iCs/>
                <w:szCs w:val="22"/>
              </w:rPr>
              <w:t xml:space="preserve"> </w:t>
            </w:r>
            <w:r w:rsidRPr="009F1032">
              <w:rPr>
                <w:rFonts w:asciiTheme="minorHAnsi" w:hAnsiTheme="minorHAnsi" w:cstheme="majorBidi"/>
                <w:i/>
                <w:iCs/>
                <w:szCs w:val="22"/>
              </w:rPr>
              <w:t>UIT-T nuevas y revisadas</w:t>
            </w:r>
          </w:p>
        </w:tc>
        <w:tc>
          <w:tcPr>
            <w:tcW w:w="1247" w:type="dxa"/>
            <w:tcBorders>
              <w:top w:val="single" w:sz="4" w:space="0" w:color="auto"/>
              <w:left w:val="single" w:sz="12" w:space="0" w:color="auto"/>
              <w:bottom w:val="single" w:sz="4" w:space="0" w:color="auto"/>
              <w:right w:val="single" w:sz="12" w:space="0" w:color="auto"/>
            </w:tcBorders>
          </w:tcPr>
          <w:p w14:paraId="504A8ED1" w14:textId="3E0533F7" w:rsidR="0031553C" w:rsidRPr="000F10B0" w:rsidRDefault="0031553C" w:rsidP="0031553C">
            <w:pPr>
              <w:tabs>
                <w:tab w:val="clear" w:pos="567"/>
                <w:tab w:val="clear" w:pos="1701"/>
                <w:tab w:val="clear" w:pos="2268"/>
                <w:tab w:val="clear" w:pos="2835"/>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 w:val="22"/>
                <w:szCs w:val="22"/>
              </w:rPr>
            </w:pPr>
            <w:r w:rsidRPr="000F10B0">
              <w:rPr>
                <w:rFonts w:asciiTheme="minorHAnsi" w:hAnsiTheme="minorHAnsi"/>
                <w:sz w:val="22"/>
                <w:szCs w:val="22"/>
              </w:rPr>
              <w:t>Revisada</w:t>
            </w:r>
          </w:p>
        </w:tc>
      </w:tr>
      <w:tr w:rsidR="0031553C" w:rsidRPr="000F10B0" w14:paraId="07E9363D" w14:textId="77777777" w:rsidTr="003B5C69">
        <w:trPr>
          <w:cantSplit/>
          <w:jc w:val="center"/>
        </w:trPr>
        <w:tc>
          <w:tcPr>
            <w:tcW w:w="8391" w:type="dxa"/>
            <w:tcBorders>
              <w:top w:val="single" w:sz="4" w:space="0" w:color="auto"/>
              <w:left w:val="single" w:sz="12" w:space="0" w:color="auto"/>
              <w:bottom w:val="single" w:sz="12" w:space="0" w:color="auto"/>
              <w:right w:val="single" w:sz="12" w:space="0" w:color="auto"/>
            </w:tcBorders>
          </w:tcPr>
          <w:p w14:paraId="0F2E16EE" w14:textId="3A363198" w:rsidR="0031553C" w:rsidRPr="000F10B0" w:rsidRDefault="0031553C" w:rsidP="0031553C">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cstheme="majorBidi"/>
                <w:szCs w:val="22"/>
              </w:rPr>
            </w:pPr>
            <w:r w:rsidRPr="000F10B0">
              <w:rPr>
                <w:rFonts w:asciiTheme="minorHAnsi" w:hAnsiTheme="minorHAnsi" w:cstheme="majorBidi"/>
                <w:szCs w:val="22"/>
              </w:rPr>
              <w:t>Recomendación UIT</w:t>
            </w:r>
            <w:r w:rsidRPr="000F10B0">
              <w:rPr>
                <w:rFonts w:asciiTheme="minorHAnsi" w:hAnsiTheme="minorHAnsi" w:cstheme="majorBidi"/>
                <w:szCs w:val="22"/>
              </w:rPr>
              <w:noBreakHyphen/>
              <w:t xml:space="preserve">T A.25 – </w:t>
            </w:r>
            <w:r w:rsidRPr="009F1032">
              <w:rPr>
                <w:rFonts w:asciiTheme="minorHAnsi" w:hAnsiTheme="minorHAnsi" w:cstheme="majorBidi"/>
                <w:i/>
                <w:iCs/>
                <w:szCs w:val="22"/>
              </w:rPr>
              <w:t>Procedimientos genéricos para la incorporación de textos entre el UIT-T y otras organizaciones</w:t>
            </w:r>
          </w:p>
        </w:tc>
        <w:tc>
          <w:tcPr>
            <w:tcW w:w="1247" w:type="dxa"/>
            <w:tcBorders>
              <w:top w:val="single" w:sz="4" w:space="0" w:color="auto"/>
              <w:left w:val="single" w:sz="12" w:space="0" w:color="auto"/>
              <w:bottom w:val="single" w:sz="12" w:space="0" w:color="auto"/>
              <w:right w:val="single" w:sz="12" w:space="0" w:color="auto"/>
            </w:tcBorders>
          </w:tcPr>
          <w:p w14:paraId="76326F6A" w14:textId="000183E4" w:rsidR="0031553C" w:rsidRPr="000F10B0" w:rsidRDefault="0031553C" w:rsidP="0031553C">
            <w:pPr>
              <w:tabs>
                <w:tab w:val="clear" w:pos="567"/>
                <w:tab w:val="clear" w:pos="1701"/>
                <w:tab w:val="clear" w:pos="2268"/>
                <w:tab w:val="clear" w:pos="2835"/>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 w:val="22"/>
                <w:szCs w:val="22"/>
              </w:rPr>
            </w:pPr>
            <w:r w:rsidRPr="000F10B0">
              <w:rPr>
                <w:rFonts w:asciiTheme="minorHAnsi" w:hAnsiTheme="minorHAnsi"/>
                <w:sz w:val="22"/>
                <w:szCs w:val="22"/>
              </w:rPr>
              <w:t>Revisada</w:t>
            </w:r>
          </w:p>
        </w:tc>
      </w:tr>
    </w:tbl>
    <w:p w14:paraId="72BF5DDD" w14:textId="77777777" w:rsidR="00950B4F" w:rsidRDefault="00950B4F" w:rsidP="00950B4F">
      <w:pPr>
        <w:pStyle w:val="Reasons"/>
        <w:rPr>
          <w:lang w:val="en-GB"/>
        </w:rPr>
      </w:pPr>
    </w:p>
    <w:p w14:paraId="791EA4F9" w14:textId="01ECC146" w:rsidR="00950B4F" w:rsidRPr="000A7D37" w:rsidRDefault="00950B4F" w:rsidP="00950B4F">
      <w:pPr>
        <w:tabs>
          <w:tab w:val="clear" w:pos="567"/>
          <w:tab w:val="clear" w:pos="1134"/>
          <w:tab w:val="left" w:pos="0"/>
          <w:tab w:val="left" w:pos="851"/>
        </w:tabs>
        <w:spacing w:before="0"/>
        <w:jc w:val="center"/>
      </w:pPr>
      <w:r w:rsidRPr="000A7D37">
        <w:t>_______________</w:t>
      </w:r>
    </w:p>
    <w:sectPr w:rsidR="00950B4F" w:rsidRPr="000A7D37" w:rsidSect="003B5C69">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7788" w14:textId="77777777" w:rsidR="00E4109D" w:rsidRDefault="00E4109D">
      <w:r>
        <w:separator/>
      </w:r>
    </w:p>
  </w:endnote>
  <w:endnote w:type="continuationSeparator" w:id="0">
    <w:p w14:paraId="02011629" w14:textId="77777777" w:rsidR="00E4109D" w:rsidRDefault="00E4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9FC0" w14:textId="39AC146E" w:rsidR="00760F1C" w:rsidRPr="00FA2684" w:rsidRDefault="00D50A36">
    <w:pPr>
      <w:pStyle w:val="Footer"/>
      <w:rPr>
        <w:lang w:val="fr-CH"/>
      </w:rPr>
    </w:pPr>
    <w:r w:rsidRPr="0043054B">
      <w:rPr>
        <w:color w:val="F2F2F2" w:themeColor="background1" w:themeShade="F2"/>
      </w:rPr>
      <w:fldChar w:fldCharType="begin"/>
    </w:r>
    <w:r w:rsidRPr="0043054B">
      <w:rPr>
        <w:color w:val="F2F2F2" w:themeColor="background1" w:themeShade="F2"/>
        <w:lang w:val="fr-CH"/>
      </w:rPr>
      <w:instrText xml:space="preserve"> FILENAME \p \* MERGEFORMAT </w:instrText>
    </w:r>
    <w:r w:rsidRPr="0043054B">
      <w:rPr>
        <w:color w:val="F2F2F2" w:themeColor="background1" w:themeShade="F2"/>
      </w:rPr>
      <w:fldChar w:fldCharType="separate"/>
    </w:r>
    <w:r w:rsidR="00FA2684" w:rsidRPr="0043054B">
      <w:rPr>
        <w:color w:val="F2F2F2" w:themeColor="background1" w:themeShade="F2"/>
        <w:lang w:val="fr-CH"/>
      </w:rPr>
      <w:t>P:\ESP\SG\CONSEIL\C22\000\024REV1S.docx</w:t>
    </w:r>
    <w:r w:rsidRPr="0043054B">
      <w:rPr>
        <w:color w:val="F2F2F2" w:themeColor="background1" w:themeShade="F2"/>
        <w:lang w:val="en-US"/>
      </w:rPr>
      <w:fldChar w:fldCharType="end"/>
    </w:r>
    <w:r w:rsidR="00E400BA" w:rsidRPr="0043054B">
      <w:rPr>
        <w:color w:val="F2F2F2" w:themeColor="background1" w:themeShade="F2"/>
        <w:lang w:val="fr-CH"/>
      </w:rPr>
      <w:t xml:space="preserve"> (</w:t>
    </w:r>
    <w:r w:rsidR="00FA2684" w:rsidRPr="0043054B">
      <w:rPr>
        <w:color w:val="F2F2F2" w:themeColor="background1" w:themeShade="F2"/>
        <w:lang w:val="fr-CH"/>
      </w:rPr>
      <w:t>502933</w:t>
    </w:r>
    <w:r w:rsidR="00E400BA" w:rsidRPr="0043054B">
      <w:rPr>
        <w:color w:val="F2F2F2" w:themeColor="background1" w:themeShade="F2"/>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E362"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71C1" w14:textId="77777777" w:rsidR="00E4109D" w:rsidRDefault="00E4109D">
      <w:r>
        <w:t>____________________</w:t>
      </w:r>
    </w:p>
  </w:footnote>
  <w:footnote w:type="continuationSeparator" w:id="0">
    <w:p w14:paraId="62D827DC" w14:textId="77777777" w:rsidR="00E4109D" w:rsidRDefault="00E4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758"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EDA278C" w14:textId="22A267FA" w:rsidR="00760F1C" w:rsidRDefault="00760F1C" w:rsidP="00C2727F">
    <w:pPr>
      <w:pStyle w:val="Header"/>
    </w:pPr>
    <w:r>
      <w:t>C</w:t>
    </w:r>
    <w:r w:rsidR="007955DA">
      <w:t>2</w:t>
    </w:r>
    <w:r w:rsidR="00D50A36">
      <w:t>2</w:t>
    </w:r>
    <w:r>
      <w:t>/</w:t>
    </w:r>
    <w:r w:rsidR="00E400BA">
      <w:t>24</w:t>
    </w:r>
    <w:r w:rsidR="00EA3389">
      <w:t>(Rev.1)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49"/>
    <w:rsid w:val="000007D1"/>
    <w:rsid w:val="0003378E"/>
    <w:rsid w:val="00093EEB"/>
    <w:rsid w:val="000A7D37"/>
    <w:rsid w:val="000B0D00"/>
    <w:rsid w:val="000B7C15"/>
    <w:rsid w:val="000C39BE"/>
    <w:rsid w:val="000D1D0F"/>
    <w:rsid w:val="000F10B0"/>
    <w:rsid w:val="000F5290"/>
    <w:rsid w:val="0010165C"/>
    <w:rsid w:val="00146BFB"/>
    <w:rsid w:val="001709BA"/>
    <w:rsid w:val="001C2B01"/>
    <w:rsid w:val="001F14A2"/>
    <w:rsid w:val="0026058A"/>
    <w:rsid w:val="002643B3"/>
    <w:rsid w:val="0027755E"/>
    <w:rsid w:val="002801AA"/>
    <w:rsid w:val="002A6506"/>
    <w:rsid w:val="002C4676"/>
    <w:rsid w:val="002C6CA0"/>
    <w:rsid w:val="002C70B0"/>
    <w:rsid w:val="002F3CC4"/>
    <w:rsid w:val="0031553C"/>
    <w:rsid w:val="0032319A"/>
    <w:rsid w:val="003926F0"/>
    <w:rsid w:val="003A1149"/>
    <w:rsid w:val="003B5C69"/>
    <w:rsid w:val="003B6445"/>
    <w:rsid w:val="00404436"/>
    <w:rsid w:val="0043054B"/>
    <w:rsid w:val="0047190A"/>
    <w:rsid w:val="004725A0"/>
    <w:rsid w:val="004746EC"/>
    <w:rsid w:val="004764DC"/>
    <w:rsid w:val="00480311"/>
    <w:rsid w:val="00487221"/>
    <w:rsid w:val="004D23F3"/>
    <w:rsid w:val="00513630"/>
    <w:rsid w:val="00513A0B"/>
    <w:rsid w:val="00553613"/>
    <w:rsid w:val="00560125"/>
    <w:rsid w:val="00563696"/>
    <w:rsid w:val="00585553"/>
    <w:rsid w:val="005B34D9"/>
    <w:rsid w:val="005C23BA"/>
    <w:rsid w:val="005D0CCF"/>
    <w:rsid w:val="005F3BCB"/>
    <w:rsid w:val="005F410F"/>
    <w:rsid w:val="00601143"/>
    <w:rsid w:val="0060149A"/>
    <w:rsid w:val="00601924"/>
    <w:rsid w:val="00612C1E"/>
    <w:rsid w:val="006447EA"/>
    <w:rsid w:val="0064731F"/>
    <w:rsid w:val="00664572"/>
    <w:rsid w:val="006710F6"/>
    <w:rsid w:val="006C1B56"/>
    <w:rsid w:val="006D4761"/>
    <w:rsid w:val="006F4062"/>
    <w:rsid w:val="00715A77"/>
    <w:rsid w:val="00716F7F"/>
    <w:rsid w:val="00726872"/>
    <w:rsid w:val="007405E8"/>
    <w:rsid w:val="00760F1C"/>
    <w:rsid w:val="007657F0"/>
    <w:rsid w:val="0077252D"/>
    <w:rsid w:val="00780307"/>
    <w:rsid w:val="007955DA"/>
    <w:rsid w:val="007E5DD3"/>
    <w:rsid w:val="007F350B"/>
    <w:rsid w:val="007F4ECC"/>
    <w:rsid w:val="00817DB7"/>
    <w:rsid w:val="00820BE4"/>
    <w:rsid w:val="00822C18"/>
    <w:rsid w:val="008451E8"/>
    <w:rsid w:val="00850BE3"/>
    <w:rsid w:val="0087054D"/>
    <w:rsid w:val="00881305"/>
    <w:rsid w:val="008B0D32"/>
    <w:rsid w:val="008D208A"/>
    <w:rsid w:val="008D5B4F"/>
    <w:rsid w:val="00913B9C"/>
    <w:rsid w:val="00915975"/>
    <w:rsid w:val="00950B4F"/>
    <w:rsid w:val="00956E77"/>
    <w:rsid w:val="009D6ED5"/>
    <w:rsid w:val="009F1032"/>
    <w:rsid w:val="009F4811"/>
    <w:rsid w:val="00A068D1"/>
    <w:rsid w:val="00A555FB"/>
    <w:rsid w:val="00AA390C"/>
    <w:rsid w:val="00AE79E7"/>
    <w:rsid w:val="00B0200A"/>
    <w:rsid w:val="00B1479B"/>
    <w:rsid w:val="00B31F5F"/>
    <w:rsid w:val="00B574DB"/>
    <w:rsid w:val="00B61CC0"/>
    <w:rsid w:val="00B826C2"/>
    <w:rsid w:val="00B8298E"/>
    <w:rsid w:val="00B92F08"/>
    <w:rsid w:val="00BA149F"/>
    <w:rsid w:val="00BD0723"/>
    <w:rsid w:val="00BD2518"/>
    <w:rsid w:val="00BF1D1C"/>
    <w:rsid w:val="00C20C59"/>
    <w:rsid w:val="00C2727F"/>
    <w:rsid w:val="00C55B1F"/>
    <w:rsid w:val="00CA0D35"/>
    <w:rsid w:val="00CD2F7C"/>
    <w:rsid w:val="00CF1A67"/>
    <w:rsid w:val="00CF28F4"/>
    <w:rsid w:val="00D2109D"/>
    <w:rsid w:val="00D2750E"/>
    <w:rsid w:val="00D50A36"/>
    <w:rsid w:val="00D62446"/>
    <w:rsid w:val="00D77DC8"/>
    <w:rsid w:val="00D870C6"/>
    <w:rsid w:val="00D95270"/>
    <w:rsid w:val="00DA0CC6"/>
    <w:rsid w:val="00DA4EA2"/>
    <w:rsid w:val="00DC3D3E"/>
    <w:rsid w:val="00DD7EB8"/>
    <w:rsid w:val="00DE2C90"/>
    <w:rsid w:val="00DE3B24"/>
    <w:rsid w:val="00DF69E7"/>
    <w:rsid w:val="00E06947"/>
    <w:rsid w:val="00E27A3E"/>
    <w:rsid w:val="00E3592D"/>
    <w:rsid w:val="00E400BA"/>
    <w:rsid w:val="00E4109D"/>
    <w:rsid w:val="00E92DE8"/>
    <w:rsid w:val="00EA3389"/>
    <w:rsid w:val="00EB1212"/>
    <w:rsid w:val="00EB13EF"/>
    <w:rsid w:val="00ED65AB"/>
    <w:rsid w:val="00EF0FFF"/>
    <w:rsid w:val="00F12850"/>
    <w:rsid w:val="00F33BF4"/>
    <w:rsid w:val="00F55E6F"/>
    <w:rsid w:val="00F65478"/>
    <w:rsid w:val="00F7105E"/>
    <w:rsid w:val="00F75F57"/>
    <w:rsid w:val="00F82FEE"/>
    <w:rsid w:val="00FA1A79"/>
    <w:rsid w:val="00FA2684"/>
    <w:rsid w:val="00FC28D4"/>
    <w:rsid w:val="00FD57D3"/>
    <w:rsid w:val="00FF11BD"/>
    <w:rsid w:val="00FF5B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7306AD"/>
  <w15:docId w15:val="{92E42EC2-56CA-448D-B035-D8E355E3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CommentReference">
    <w:name w:val="annotation reference"/>
    <w:basedOn w:val="DefaultParagraphFont"/>
    <w:semiHidden/>
    <w:unhideWhenUsed/>
    <w:rsid w:val="003A1149"/>
    <w:rPr>
      <w:sz w:val="16"/>
      <w:szCs w:val="16"/>
    </w:rPr>
  </w:style>
  <w:style w:type="paragraph" w:styleId="CommentText">
    <w:name w:val="annotation text"/>
    <w:basedOn w:val="Normal"/>
    <w:link w:val="CommentTextChar"/>
    <w:semiHidden/>
    <w:unhideWhenUsed/>
    <w:rsid w:val="003A1149"/>
    <w:rPr>
      <w:sz w:val="20"/>
    </w:rPr>
  </w:style>
  <w:style w:type="character" w:customStyle="1" w:styleId="CommentTextChar">
    <w:name w:val="Comment Text Char"/>
    <w:basedOn w:val="DefaultParagraphFont"/>
    <w:link w:val="CommentText"/>
    <w:semiHidden/>
    <w:rsid w:val="003A1149"/>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3A1149"/>
    <w:rPr>
      <w:b/>
      <w:bCs/>
    </w:rPr>
  </w:style>
  <w:style w:type="character" w:customStyle="1" w:styleId="CommentSubjectChar">
    <w:name w:val="Comment Subject Char"/>
    <w:basedOn w:val="CommentTextChar"/>
    <w:link w:val="CommentSubject"/>
    <w:semiHidden/>
    <w:rsid w:val="003A1149"/>
    <w:rPr>
      <w:rFonts w:ascii="Calibri" w:hAnsi="Calibri"/>
      <w:b/>
      <w:bCs/>
      <w:lang w:val="es-ES_tradnl" w:eastAsia="en-US"/>
    </w:rPr>
  </w:style>
  <w:style w:type="character" w:styleId="UnresolvedMention">
    <w:name w:val="Unresolved Mention"/>
    <w:basedOn w:val="DefaultParagraphFont"/>
    <w:uiPriority w:val="99"/>
    <w:semiHidden/>
    <w:unhideWhenUsed/>
    <w:rsid w:val="002643B3"/>
    <w:rPr>
      <w:color w:val="605E5C"/>
      <w:shd w:val="clear" w:color="auto" w:fill="E1DFDD"/>
    </w:rPr>
  </w:style>
  <w:style w:type="paragraph" w:styleId="ListParagraph">
    <w:name w:val="List Paragraph"/>
    <w:basedOn w:val="Normal"/>
    <w:link w:val="ListParagraphChar"/>
    <w:uiPriority w:val="34"/>
    <w:qFormat/>
    <w:rsid w:val="002643B3"/>
    <w:pPr>
      <w:ind w:left="720"/>
      <w:contextualSpacing/>
    </w:pPr>
    <w:rPr>
      <w:lang w:val="en-GB"/>
    </w:rPr>
  </w:style>
  <w:style w:type="character" w:customStyle="1" w:styleId="ListParagraphChar">
    <w:name w:val="List Paragraph Char"/>
    <w:link w:val="ListParagraph"/>
    <w:uiPriority w:val="34"/>
    <w:qFormat/>
    <w:rsid w:val="002643B3"/>
    <w:rPr>
      <w:rFonts w:ascii="Calibri" w:hAnsi="Calibri"/>
      <w:sz w:val="24"/>
      <w:lang w:val="en-GB" w:eastAsia="en-US"/>
    </w:rPr>
  </w:style>
  <w:style w:type="paragraph" w:styleId="Revision">
    <w:name w:val="Revision"/>
    <w:hidden/>
    <w:uiPriority w:val="99"/>
    <w:semiHidden/>
    <w:rsid w:val="00715A77"/>
    <w:rPr>
      <w:rFonts w:ascii="Calibri" w:hAnsi="Calibri"/>
      <w:sz w:val="24"/>
      <w:lang w:val="es-ES_tradnl" w:eastAsia="en-US"/>
    </w:rPr>
  </w:style>
  <w:style w:type="table" w:styleId="TableGrid">
    <w:name w:val="Table Grid"/>
    <w:basedOn w:val="TableNormal"/>
    <w:uiPriority w:val="59"/>
    <w:rsid w:val="0031553C"/>
    <w:pPr>
      <w:tabs>
        <w:tab w:val="left" w:pos="794"/>
        <w:tab w:val="left" w:pos="1191"/>
        <w:tab w:val="left" w:pos="1588"/>
        <w:tab w:val="left" w:pos="1985"/>
      </w:tabs>
      <w:overflowPunct w:val="0"/>
      <w:autoSpaceDE w:val="0"/>
      <w:autoSpaceDN w:val="0"/>
      <w:adjustRightInd w:val="0"/>
      <w:spacing w:before="12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22C1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22C1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17-WTSA.20-C-0055/es" TargetMode="External"/><Relationship Id="rId13" Type="http://schemas.openxmlformats.org/officeDocument/2006/relationships/hyperlink" Target="https://unfccc.int/es/node/310475" TargetMode="External"/><Relationship Id="rId18" Type="http://schemas.openxmlformats.org/officeDocument/2006/relationships/hyperlink" Target="http://www.itu.int/pub/publications.aspx?lang=en&amp;parent=T-RES-T.22-2016"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itu.int/es/ITU-T/wtsa20/Pages/default.aspx" TargetMode="External"/><Relationship Id="rId12" Type="http://schemas.openxmlformats.org/officeDocument/2006/relationships/hyperlink" Target="https://www.un.org/sustainabledevelopment/es/" TargetMode="External"/><Relationship Id="rId17" Type="http://schemas.openxmlformats.org/officeDocument/2006/relationships/hyperlink" Target="http://www.itu.int/pub/publications.aspx?lang=en&amp;parent=T-RES-T.20-201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u4ssc.itu.int/case-studies/" TargetMode="External"/><Relationship Id="rId20" Type="http://schemas.openxmlformats.org/officeDocument/2006/relationships/hyperlink" Target="http://www.itu.int/pub/publications.aspx?lang=en&amp;parent=T-RES-T.1000-2016"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T17-WTSA.20-C-0043/e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en/itu-wsis/Pages/default.aspx" TargetMode="External"/><Relationship Id="rId23" Type="http://schemas.openxmlformats.org/officeDocument/2006/relationships/footer" Target="footer2.xml"/><Relationship Id="rId10" Type="http://schemas.openxmlformats.org/officeDocument/2006/relationships/hyperlink" Target="https://gss.itu.int/" TargetMode="External"/><Relationship Id="rId19" Type="http://schemas.openxmlformats.org/officeDocument/2006/relationships/hyperlink" Target="http://www.itu.int/pub/publications.aspx?lang=en&amp;parent=T-RES-T.34-2016" TargetMode="External"/><Relationship Id="rId4" Type="http://schemas.openxmlformats.org/officeDocument/2006/relationships/footnotes" Target="footnotes.xml"/><Relationship Id="rId9" Type="http://schemas.openxmlformats.org/officeDocument/2006/relationships/hyperlink" Target="https://www.itu.int/md/S22-CL-INF-0014/es" TargetMode="External"/><Relationship Id="rId14" Type="http://schemas.openxmlformats.org/officeDocument/2006/relationships/hyperlink" Target="https://unfccc.int/es/process-and-meetings/the-paris-agreement/el-acuerdo-de-pari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elac\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9</Pages>
  <Words>3655</Words>
  <Characters>25527</Characters>
  <Application>Microsoft Office Word</Application>
  <DocSecurity>4</DocSecurity>
  <Lines>212</Lines>
  <Paragraphs>58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sobre el Simposio Mundial de Normalización (SMN-20) y la Asamblea Mundial de Normalización de las Telecomunicaciones (AMNT-20)</vt:lpstr>
    </vt:vector>
  </TitlesOfParts>
  <Manager>Secretaría General - Pool</Manager>
  <Company>Unión Internacional de Telecomunicaciones (UIT)</Company>
  <LinksUpToDate>false</LinksUpToDate>
  <CharactersWithSpaces>29124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el Simposio Mundial de Normalización (SMN-20) y la Asamblea Mundial de Normalización de las Telecomunicaciones (AMNT-20)</dc:title>
  <dc:subject>Consejo 2022</dc:subject>
  <dc:creator>SPANISH</dc:creator>
  <cp:keywords>C2022, C22</cp:keywords>
  <dc:description/>
  <cp:lastModifiedBy>Xue, Kun</cp:lastModifiedBy>
  <cp:revision>2</cp:revision>
  <cp:lastPrinted>2006-03-24T09:51:00Z</cp:lastPrinted>
  <dcterms:created xsi:type="dcterms:W3CDTF">2022-03-22T14:30:00Z</dcterms:created>
  <dcterms:modified xsi:type="dcterms:W3CDTF">2022-03-22T14:30:00Z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