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844BA" w14:paraId="3E96AC17" w14:textId="77777777">
        <w:trPr>
          <w:cantSplit/>
        </w:trPr>
        <w:tc>
          <w:tcPr>
            <w:tcW w:w="6911" w:type="dxa"/>
          </w:tcPr>
          <w:p w14:paraId="743B4F97" w14:textId="1F708587" w:rsidR="00BC7BC0" w:rsidRPr="006844BA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844B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844B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C538B7" w:rsidRPr="006844B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6844B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C538B7" w:rsidRPr="006844BA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6844BA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C538B7" w:rsidRPr="006844BA"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5B3DEC" w:rsidRPr="006844BA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C538B7" w:rsidRPr="006844BA">
              <w:rPr>
                <w:b/>
                <w:bCs/>
                <w:sz w:val="24"/>
                <w:szCs w:val="24"/>
                <w:lang w:val="ru-RU"/>
              </w:rPr>
              <w:t>31</w:t>
            </w:r>
            <w:r w:rsidR="005B3DEC" w:rsidRPr="006844B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538B7" w:rsidRPr="006844BA">
              <w:rPr>
                <w:b/>
                <w:bCs/>
                <w:sz w:val="24"/>
                <w:szCs w:val="24"/>
                <w:lang w:val="ru-RU"/>
              </w:rPr>
              <w:t>марта</w:t>
            </w:r>
            <w:r w:rsidR="005B3DEC" w:rsidRPr="006844B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25368" w:rsidRPr="006844BA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6844BA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C538B7" w:rsidRPr="006844BA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25368" w:rsidRPr="006844BA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2695961" w14:textId="77777777" w:rsidR="00BC7BC0" w:rsidRPr="006844BA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844BA">
              <w:rPr>
                <w:noProof/>
                <w:lang w:val="en-US"/>
              </w:rPr>
              <w:drawing>
                <wp:inline distT="0" distB="0" distL="0" distR="0" wp14:anchorId="45A1BFD9" wp14:editId="6949BD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844BA" w14:paraId="67B8538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554BDA1" w14:textId="77777777" w:rsidR="00BC7BC0" w:rsidRPr="006844B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FBAA13" w14:textId="77777777" w:rsidR="00BC7BC0" w:rsidRPr="006844B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844BA" w14:paraId="6387297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6A07FD" w14:textId="77777777" w:rsidR="00BC7BC0" w:rsidRPr="006844B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C13E7D" w14:textId="77777777" w:rsidR="00BC7BC0" w:rsidRPr="006844B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844BA" w14:paraId="2BC4B44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34F5F6D" w14:textId="10709025" w:rsidR="00BC7BC0" w:rsidRPr="006844BA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844BA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6E4784" w:rsidRPr="006844BA">
              <w:rPr>
                <w:b/>
                <w:sz w:val="24"/>
                <w:lang w:val="ru-RU"/>
              </w:rPr>
              <w:t xml:space="preserve"> </w:t>
            </w:r>
            <w:r w:rsidR="006E4784" w:rsidRPr="006844BA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ADM </w:t>
            </w:r>
            <w:r w:rsidR="008B1DEC">
              <w:rPr>
                <w:b/>
                <w:bCs/>
                <w:caps/>
                <w:color w:val="000000"/>
                <w:szCs w:val="22"/>
                <w:lang w:val="ru-RU"/>
              </w:rPr>
              <w:t>16</w:t>
            </w:r>
          </w:p>
        </w:tc>
        <w:tc>
          <w:tcPr>
            <w:tcW w:w="3120" w:type="dxa"/>
          </w:tcPr>
          <w:p w14:paraId="270CA939" w14:textId="22CBDC8B" w:rsidR="00BC7BC0" w:rsidRPr="006844BA" w:rsidRDefault="00E4069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6844BA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6844BA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6844BA">
              <w:rPr>
                <w:b/>
                <w:bCs/>
                <w:szCs w:val="22"/>
                <w:lang w:val="ru-RU"/>
              </w:rPr>
              <w:t>2</w:t>
            </w:r>
            <w:r w:rsidR="00C538B7" w:rsidRPr="006844BA">
              <w:rPr>
                <w:b/>
                <w:bCs/>
                <w:szCs w:val="22"/>
                <w:lang w:val="ru-RU"/>
              </w:rPr>
              <w:t>2</w:t>
            </w:r>
            <w:r w:rsidR="00BC7BC0" w:rsidRPr="006844BA">
              <w:rPr>
                <w:b/>
                <w:bCs/>
                <w:szCs w:val="22"/>
                <w:lang w:val="ru-RU"/>
              </w:rPr>
              <w:t>/</w:t>
            </w:r>
            <w:r w:rsidR="00B9608B" w:rsidRPr="006844BA">
              <w:rPr>
                <w:b/>
                <w:bCs/>
                <w:szCs w:val="22"/>
                <w:lang w:val="ru-RU"/>
              </w:rPr>
              <w:t>38</w:t>
            </w:r>
            <w:r w:rsidR="00BC7BC0" w:rsidRPr="006844B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844BA" w14:paraId="743591BF" w14:textId="77777777">
        <w:trPr>
          <w:cantSplit/>
          <w:trHeight w:val="23"/>
        </w:trPr>
        <w:tc>
          <w:tcPr>
            <w:tcW w:w="6911" w:type="dxa"/>
            <w:vMerge/>
          </w:tcPr>
          <w:p w14:paraId="34447643" w14:textId="77777777" w:rsidR="00BC7BC0" w:rsidRPr="006844B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179AED9" w14:textId="31851D28" w:rsidR="00BC7BC0" w:rsidRPr="006844BA" w:rsidRDefault="00C538B7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844BA">
              <w:rPr>
                <w:b/>
                <w:bCs/>
                <w:szCs w:val="22"/>
                <w:lang w:val="ru-RU"/>
              </w:rPr>
              <w:t>23</w:t>
            </w:r>
            <w:r w:rsidR="00BC7BC0" w:rsidRPr="006844BA">
              <w:rPr>
                <w:b/>
                <w:bCs/>
                <w:szCs w:val="22"/>
                <w:lang w:val="ru-RU"/>
              </w:rPr>
              <w:t xml:space="preserve"> </w:t>
            </w:r>
            <w:r w:rsidRPr="006844BA">
              <w:rPr>
                <w:b/>
                <w:bCs/>
                <w:szCs w:val="22"/>
                <w:lang w:val="ru-RU"/>
              </w:rPr>
              <w:t>ноября</w:t>
            </w:r>
            <w:r w:rsidR="00EB4FCB" w:rsidRPr="006844B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844BA">
              <w:rPr>
                <w:b/>
                <w:bCs/>
                <w:szCs w:val="22"/>
                <w:lang w:val="ru-RU"/>
              </w:rPr>
              <w:t>20</w:t>
            </w:r>
            <w:r w:rsidR="00442515" w:rsidRPr="006844BA">
              <w:rPr>
                <w:b/>
                <w:bCs/>
                <w:szCs w:val="22"/>
                <w:lang w:val="ru-RU"/>
              </w:rPr>
              <w:t>2</w:t>
            </w:r>
            <w:r w:rsidR="001E7F50" w:rsidRPr="006844BA">
              <w:rPr>
                <w:b/>
                <w:bCs/>
                <w:szCs w:val="22"/>
                <w:lang w:val="ru-RU"/>
              </w:rPr>
              <w:t>1</w:t>
            </w:r>
            <w:r w:rsidR="00BC7BC0" w:rsidRPr="006844B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844BA" w14:paraId="10862AED" w14:textId="77777777">
        <w:trPr>
          <w:cantSplit/>
          <w:trHeight w:val="23"/>
        </w:trPr>
        <w:tc>
          <w:tcPr>
            <w:tcW w:w="6911" w:type="dxa"/>
            <w:vMerge/>
          </w:tcPr>
          <w:p w14:paraId="46254133" w14:textId="77777777" w:rsidR="00BC7BC0" w:rsidRPr="006844B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E432243" w14:textId="77777777" w:rsidR="00BC7BC0" w:rsidRPr="006844B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844B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844BA" w14:paraId="00C50718" w14:textId="77777777">
        <w:trPr>
          <w:cantSplit/>
        </w:trPr>
        <w:tc>
          <w:tcPr>
            <w:tcW w:w="10031" w:type="dxa"/>
            <w:gridSpan w:val="2"/>
          </w:tcPr>
          <w:p w14:paraId="06297DA0" w14:textId="0752324D" w:rsidR="00BC7BC0" w:rsidRPr="006844BA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844BA">
              <w:rPr>
                <w:lang w:val="ru-RU"/>
              </w:rPr>
              <w:t>Отчет</w:t>
            </w:r>
            <w:r w:rsidR="00C538B7" w:rsidRPr="006844BA">
              <w:rPr>
                <w:lang w:val="ru-RU"/>
              </w:rPr>
              <w:t xml:space="preserve"> </w:t>
            </w:r>
            <w:r w:rsidRPr="006844BA">
              <w:rPr>
                <w:lang w:val="ru-RU"/>
              </w:rPr>
              <w:t>Генерального секретаря</w:t>
            </w:r>
          </w:p>
        </w:tc>
      </w:tr>
      <w:tr w:rsidR="00BC7BC0" w:rsidRPr="00846B5C" w14:paraId="26395E6C" w14:textId="77777777">
        <w:trPr>
          <w:cantSplit/>
        </w:trPr>
        <w:tc>
          <w:tcPr>
            <w:tcW w:w="10031" w:type="dxa"/>
            <w:gridSpan w:val="2"/>
          </w:tcPr>
          <w:p w14:paraId="21ADDE64" w14:textId="31B62559" w:rsidR="00BC7BC0" w:rsidRPr="006844BA" w:rsidRDefault="00827D16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844BA">
              <w:rPr>
                <w:lang w:val="ru-RU" w:bidi="ru-RU"/>
              </w:rPr>
              <w:t>ОТЧЕТ О ВЫПОЛНЕНИИ РЕЗОЛЮЦИИ 191 (Пересм. дубай, 2018 г.)</w:t>
            </w:r>
            <w:r w:rsidRPr="006844BA">
              <w:rPr>
                <w:lang w:val="ru-RU" w:bidi="ru-RU"/>
              </w:rPr>
              <w:br/>
              <w:t>"СТРАТЕГИЯ КООРДИНАЦИИ УСИЛИЙ ТРЕХ СЕКТОРОВ СОЮЗА"</w:t>
            </w:r>
          </w:p>
        </w:tc>
      </w:tr>
      <w:bookmarkEnd w:id="2"/>
    </w:tbl>
    <w:p w14:paraId="01E82E24" w14:textId="77777777" w:rsidR="002D2F57" w:rsidRPr="006844B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46B5C" w14:paraId="0DD8FD6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ECF31" w14:textId="77777777" w:rsidR="002D2F57" w:rsidRPr="006844BA" w:rsidRDefault="002D2F57">
            <w:pPr>
              <w:pStyle w:val="Headingb"/>
              <w:rPr>
                <w:szCs w:val="22"/>
                <w:lang w:val="ru-RU"/>
              </w:rPr>
            </w:pPr>
            <w:r w:rsidRPr="006844BA">
              <w:rPr>
                <w:szCs w:val="22"/>
                <w:lang w:val="ru-RU"/>
              </w:rPr>
              <w:t>Резюме</w:t>
            </w:r>
          </w:p>
          <w:p w14:paraId="5B9F5E29" w14:textId="37BD5645" w:rsidR="002D2F57" w:rsidRPr="006844BA" w:rsidRDefault="00827D16">
            <w:pPr>
              <w:rPr>
                <w:szCs w:val="22"/>
                <w:lang w:val="ru-RU"/>
              </w:rPr>
            </w:pPr>
            <w:r w:rsidRPr="006844BA">
              <w:rPr>
                <w:szCs w:val="22"/>
                <w:lang w:val="ru-RU" w:bidi="ru-RU"/>
              </w:rPr>
              <w:t>В настоящем документе представлен отчет о выполнении Резолюции 191 (Пересм.</w:t>
            </w:r>
            <w:r w:rsidR="00CE6372">
              <w:rPr>
                <w:szCs w:val="22"/>
                <w:lang w:val="en-US" w:bidi="ru-RU"/>
              </w:rPr>
              <w:t> </w:t>
            </w:r>
            <w:r w:rsidRPr="006844BA">
              <w:rPr>
                <w:szCs w:val="22"/>
                <w:lang w:val="ru-RU" w:bidi="ru-RU"/>
              </w:rPr>
              <w:t>Дубай, 2018 г.) о стратегии координации усилий трех Секторов Союза.</w:t>
            </w:r>
          </w:p>
          <w:p w14:paraId="0BEC2B68" w14:textId="77777777" w:rsidR="002D2F57" w:rsidRPr="006844BA" w:rsidRDefault="002D2F57" w:rsidP="00E55121">
            <w:pPr>
              <w:pStyle w:val="Headingb"/>
              <w:rPr>
                <w:lang w:val="ru-RU"/>
              </w:rPr>
            </w:pPr>
            <w:r w:rsidRPr="006844BA">
              <w:rPr>
                <w:lang w:val="ru-RU"/>
              </w:rPr>
              <w:t xml:space="preserve">Необходимые </w:t>
            </w:r>
            <w:r w:rsidR="00F5225B" w:rsidRPr="006844BA">
              <w:rPr>
                <w:lang w:val="ru-RU"/>
              </w:rPr>
              <w:t>действия</w:t>
            </w:r>
          </w:p>
          <w:p w14:paraId="7E49E675" w14:textId="2480717E" w:rsidR="002D2F57" w:rsidRPr="006844BA" w:rsidRDefault="00827D16">
            <w:pPr>
              <w:rPr>
                <w:szCs w:val="22"/>
                <w:lang w:val="ru-RU"/>
              </w:rPr>
            </w:pPr>
            <w:r w:rsidRPr="006844BA">
              <w:rPr>
                <w:szCs w:val="22"/>
                <w:lang w:val="ru-RU" w:bidi="ru-RU"/>
              </w:rPr>
              <w:t xml:space="preserve">Совету предлагается </w:t>
            </w:r>
            <w:r w:rsidRPr="006844BA">
              <w:rPr>
                <w:b/>
                <w:szCs w:val="22"/>
                <w:lang w:val="ru-RU" w:bidi="ru-RU"/>
              </w:rPr>
              <w:t>принять к сведению</w:t>
            </w:r>
            <w:r w:rsidRPr="006844BA">
              <w:rPr>
                <w:szCs w:val="22"/>
                <w:lang w:val="ru-RU" w:bidi="ru-RU"/>
              </w:rPr>
              <w:t xml:space="preserve"> настоящий отчет</w:t>
            </w:r>
            <w:r w:rsidR="006E4784" w:rsidRPr="006844BA">
              <w:rPr>
                <w:szCs w:val="22"/>
                <w:lang w:val="ru-RU"/>
              </w:rPr>
              <w:t>.</w:t>
            </w:r>
          </w:p>
          <w:p w14:paraId="741B00C0" w14:textId="77777777" w:rsidR="002D2F57" w:rsidRPr="006844BA" w:rsidRDefault="002D2F57" w:rsidP="005326E2">
            <w:pPr>
              <w:spacing w:before="240"/>
              <w:jc w:val="center"/>
              <w:rPr>
                <w:caps/>
                <w:szCs w:val="22"/>
                <w:lang w:val="ru-RU"/>
              </w:rPr>
            </w:pPr>
            <w:r w:rsidRPr="006844BA">
              <w:rPr>
                <w:caps/>
                <w:szCs w:val="22"/>
                <w:lang w:val="ru-RU"/>
              </w:rPr>
              <w:t>____________</w:t>
            </w:r>
          </w:p>
          <w:p w14:paraId="4AF8B578" w14:textId="77777777" w:rsidR="002D2F57" w:rsidRPr="006844BA" w:rsidRDefault="002D2F57">
            <w:pPr>
              <w:pStyle w:val="Headingb"/>
              <w:rPr>
                <w:szCs w:val="22"/>
                <w:lang w:val="ru-RU"/>
              </w:rPr>
            </w:pPr>
            <w:r w:rsidRPr="006844BA">
              <w:rPr>
                <w:szCs w:val="22"/>
                <w:lang w:val="ru-RU"/>
              </w:rPr>
              <w:t>Справочные материалы</w:t>
            </w:r>
          </w:p>
          <w:p w14:paraId="42568FD7" w14:textId="2CA45744" w:rsidR="00C538B7" w:rsidRPr="006844BA" w:rsidRDefault="00D3182D" w:rsidP="00093F7B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AC020E" w:rsidRPr="006844BA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6E4784" w:rsidRPr="006844BA">
                <w:rPr>
                  <w:rStyle w:val="Hyperlink"/>
                  <w:i/>
                  <w:iCs/>
                  <w:lang w:val="ru-RU"/>
                </w:rPr>
                <w:t xml:space="preserve"> 191 (</w:t>
              </w:r>
              <w:r w:rsidR="00AC020E" w:rsidRPr="006844BA">
                <w:rPr>
                  <w:rStyle w:val="Hyperlink"/>
                  <w:i/>
                  <w:iCs/>
                  <w:lang w:val="ru-RU"/>
                </w:rPr>
                <w:t>Пересм</w:t>
              </w:r>
              <w:r w:rsidR="006E4784" w:rsidRPr="006844BA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r w:rsidR="00AC020E" w:rsidRPr="006844BA">
                <w:rPr>
                  <w:rStyle w:val="Hyperlink"/>
                  <w:i/>
                  <w:iCs/>
                  <w:lang w:val="ru-RU"/>
                </w:rPr>
                <w:t>Дубай</w:t>
              </w:r>
              <w:r w:rsidR="006E4784" w:rsidRPr="006844BA">
                <w:rPr>
                  <w:rStyle w:val="Hyperlink"/>
                  <w:i/>
                  <w:iCs/>
                  <w:lang w:val="ru-RU"/>
                </w:rPr>
                <w:t>, 2018</w:t>
              </w:r>
              <w:r w:rsidR="00AC020E" w:rsidRPr="006844BA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6E4784" w:rsidRPr="006844BA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6E4784" w:rsidRPr="006844BA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6E4784" w:rsidRPr="006844BA">
                <w:rPr>
                  <w:rStyle w:val="Hyperlink"/>
                  <w:i/>
                  <w:iCs/>
                  <w:lang w:val="ru-RU"/>
                </w:rPr>
                <w:t>C20/38</w:t>
              </w:r>
            </w:hyperlink>
            <w:r w:rsidR="006E4784" w:rsidRPr="006844BA">
              <w:rPr>
                <w:lang w:val="ru-RU"/>
              </w:rPr>
              <w:t xml:space="preserve">, </w:t>
            </w:r>
            <w:hyperlink r:id="rId10" w:history="1">
              <w:r w:rsidR="006E4784" w:rsidRPr="006844BA">
                <w:rPr>
                  <w:rStyle w:val="Hyperlink"/>
                  <w:i/>
                  <w:iCs/>
                  <w:lang w:val="ru-RU"/>
                </w:rPr>
                <w:t>C21/38</w:t>
              </w:r>
            </w:hyperlink>
            <w:r w:rsidR="006E4784" w:rsidRPr="006844BA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="006E4784" w:rsidRPr="006844BA">
                <w:rPr>
                  <w:rStyle w:val="Hyperlink"/>
                  <w:i/>
                  <w:iCs/>
                  <w:lang w:val="ru-RU"/>
                </w:rPr>
                <w:t>C21/INF/11</w:t>
              </w:r>
            </w:hyperlink>
          </w:p>
        </w:tc>
      </w:tr>
    </w:tbl>
    <w:p w14:paraId="7121DBAA" w14:textId="1DFBA3D4" w:rsidR="006E4784" w:rsidRPr="006844BA" w:rsidRDefault="006E4784" w:rsidP="006E4784">
      <w:pPr>
        <w:pStyle w:val="Heading1"/>
        <w:rPr>
          <w:lang w:val="ru-RU"/>
        </w:rPr>
      </w:pPr>
      <w:r w:rsidRPr="006844BA">
        <w:rPr>
          <w:lang w:val="ru-RU"/>
        </w:rPr>
        <w:t>1</w:t>
      </w:r>
      <w:r w:rsidRPr="006844BA">
        <w:rPr>
          <w:lang w:val="ru-RU"/>
        </w:rPr>
        <w:tab/>
        <w:t>Введение</w:t>
      </w:r>
    </w:p>
    <w:p w14:paraId="3AF4FCD3" w14:textId="23E02194" w:rsidR="006E4784" w:rsidRPr="006844BA" w:rsidRDefault="00827D16" w:rsidP="006E4784">
      <w:pPr>
        <w:rPr>
          <w:lang w:val="ru-RU"/>
        </w:rPr>
      </w:pPr>
      <w:r w:rsidRPr="006844BA">
        <w:rPr>
          <w:lang w:val="ru-RU"/>
        </w:rPr>
        <w:t>После пересмотра Резолюции 191 (Пересм. Дубай, 2018 г.) "Стратегия координации усилий трех Секторов Союза" отчеты о межсекторальной координации деятельности регулярно предоставлялись Совету, Рабочей группе Совета по финансовым и людским ресурсам (РГС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>ФЛР), а также всем трем консультативным группам Секторов. Обеспечена более высокая эффективность механизмов и усилий по дальнейшему совершенствованию межсекторальной координации, и удалось добиться более тесной координации деятельности между Межсекторальной целевой группой по координации (ЦГ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>МСК) секретариата и Межсекторальной координационной группой (МСКГ) МСЭ.</w:t>
      </w:r>
    </w:p>
    <w:p w14:paraId="6393EC10" w14:textId="77B76566" w:rsidR="006E4784" w:rsidRPr="006844BA" w:rsidRDefault="006E4784" w:rsidP="006E4784">
      <w:pPr>
        <w:pStyle w:val="Heading1"/>
        <w:rPr>
          <w:bCs/>
          <w:lang w:val="ru-RU"/>
        </w:rPr>
      </w:pPr>
      <w:r w:rsidRPr="006844BA">
        <w:rPr>
          <w:lang w:val="ru-RU"/>
        </w:rPr>
        <w:t>2</w:t>
      </w:r>
      <w:r w:rsidRPr="006844BA">
        <w:rPr>
          <w:lang w:val="ru-RU"/>
        </w:rPr>
        <w:tab/>
      </w:r>
      <w:r w:rsidR="00827D16" w:rsidRPr="006844BA">
        <w:rPr>
          <w:lang w:val="ru-RU"/>
        </w:rPr>
        <w:t>Координация в рамках секретариата</w:t>
      </w:r>
    </w:p>
    <w:p w14:paraId="3CD4119B" w14:textId="7C81C612" w:rsidR="006E4784" w:rsidRPr="006844BA" w:rsidRDefault="0099318A" w:rsidP="006E4784">
      <w:pPr>
        <w:rPr>
          <w:lang w:val="ru-RU"/>
        </w:rPr>
      </w:pPr>
      <w:r w:rsidRPr="006844BA">
        <w:rPr>
          <w:lang w:val="ru-RU"/>
        </w:rPr>
        <w:t>2.1</w:t>
      </w:r>
      <w:r w:rsidRPr="006844BA">
        <w:rPr>
          <w:lang w:val="ru-RU"/>
        </w:rPr>
        <w:tab/>
      </w:r>
      <w:r w:rsidR="00827D16" w:rsidRPr="006844BA">
        <w:rPr>
          <w:lang w:val="ru-RU"/>
        </w:rPr>
        <w:t>Межсекторальная целевая группа по координации (ЦГ</w:t>
      </w:r>
      <w:r w:rsidR="00852735" w:rsidRPr="006844BA">
        <w:rPr>
          <w:lang w:val="ru-RU"/>
        </w:rPr>
        <w:noBreakHyphen/>
      </w:r>
      <w:r w:rsidR="00827D16" w:rsidRPr="006844BA">
        <w:rPr>
          <w:lang w:val="ru-RU"/>
        </w:rPr>
        <w:t>МСК) была создана для укрепления координации и сотрудничества между тремя Бюро и Генеральным секретариатом, с тем чтобы не допускать внутреннего дублирования усилий и оптимизировать использование ресурсов. Круг ведения ЦГ</w:t>
      </w:r>
      <w:r w:rsidR="00852735" w:rsidRPr="006844BA">
        <w:rPr>
          <w:lang w:val="ru-RU"/>
        </w:rPr>
        <w:noBreakHyphen/>
      </w:r>
      <w:r w:rsidR="00827D16" w:rsidRPr="006844BA">
        <w:rPr>
          <w:lang w:val="ru-RU"/>
        </w:rPr>
        <w:t xml:space="preserve">МСК определен в </w:t>
      </w:r>
      <w:hyperlink r:id="rId12" w:history="1">
        <w:r w:rsidR="00827D16" w:rsidRPr="006844BA">
          <w:rPr>
            <w:rStyle w:val="Hyperlink"/>
            <w:lang w:val="ru-RU"/>
          </w:rPr>
          <w:t>Служебном приказе № 16/13</w:t>
        </w:r>
      </w:hyperlink>
      <w:r w:rsidR="006E4784" w:rsidRPr="006844BA">
        <w:rPr>
          <w:lang w:val="ru-RU"/>
        </w:rPr>
        <w:t>.</w:t>
      </w:r>
    </w:p>
    <w:p w14:paraId="2EB44173" w14:textId="36E249F4" w:rsidR="006E4784" w:rsidRPr="006844BA" w:rsidRDefault="0099318A" w:rsidP="006E4784">
      <w:pPr>
        <w:rPr>
          <w:lang w:val="ru-RU"/>
        </w:rPr>
      </w:pPr>
      <w:r w:rsidRPr="006844BA">
        <w:rPr>
          <w:lang w:val="ru-RU"/>
        </w:rPr>
        <w:t>2.2</w:t>
      </w:r>
      <w:r w:rsidRPr="006844BA">
        <w:rPr>
          <w:lang w:val="ru-RU"/>
        </w:rPr>
        <w:tab/>
      </w:r>
      <w:r w:rsidR="00827D16" w:rsidRPr="006844BA">
        <w:rPr>
          <w:lang w:val="ru-RU"/>
        </w:rPr>
        <w:t>За период со времени представления своего предыдущего отчета</w:t>
      </w:r>
      <w:r w:rsidR="004C0B66">
        <w:rPr>
          <w:lang w:val="ru-RU"/>
        </w:rPr>
        <w:t xml:space="preserve"> </w:t>
      </w:r>
      <w:r w:rsidR="004C0B66" w:rsidRPr="006844BA">
        <w:rPr>
          <w:lang w:val="ru-RU"/>
        </w:rPr>
        <w:t>виртуальны</w:t>
      </w:r>
      <w:r w:rsidR="004C0B66">
        <w:rPr>
          <w:lang w:val="ru-RU"/>
        </w:rPr>
        <w:t>м</w:t>
      </w:r>
      <w:r w:rsidR="004C0B66" w:rsidRPr="006844BA">
        <w:rPr>
          <w:lang w:val="ru-RU"/>
        </w:rPr>
        <w:t xml:space="preserve"> консультаци</w:t>
      </w:r>
      <w:r w:rsidR="004C0B66">
        <w:rPr>
          <w:lang w:val="ru-RU"/>
        </w:rPr>
        <w:t>ям</w:t>
      </w:r>
      <w:r w:rsidR="004C0B66" w:rsidRPr="006844BA">
        <w:rPr>
          <w:lang w:val="ru-RU"/>
        </w:rPr>
        <w:t xml:space="preserve"> советников, </w:t>
      </w:r>
      <w:r w:rsidR="004C0B66" w:rsidRPr="006844BA">
        <w:rPr>
          <w:bCs/>
          <w:lang w:val="ru-RU"/>
        </w:rPr>
        <w:t>8–18 июня 2021 года (C21/VCC</w:t>
      </w:r>
      <w:r w:rsidR="004C0B66" w:rsidRPr="006844BA">
        <w:rPr>
          <w:bCs/>
          <w:lang w:val="ru-RU"/>
        </w:rPr>
        <w:noBreakHyphen/>
        <w:t>1)</w:t>
      </w:r>
      <w:r w:rsidR="004C0B66">
        <w:rPr>
          <w:bCs/>
          <w:lang w:val="ru-RU"/>
        </w:rPr>
        <w:t>,</w:t>
      </w:r>
      <w:r w:rsidR="00827D16" w:rsidRPr="006844BA">
        <w:rPr>
          <w:lang w:val="ru-RU"/>
        </w:rPr>
        <w:t xml:space="preserve"> ЦГ-МСК провела (по</w:t>
      </w:r>
      <w:r w:rsidR="00852735" w:rsidRPr="006844BA">
        <w:rPr>
          <w:lang w:val="ru-RU"/>
        </w:rPr>
        <w:t> </w:t>
      </w:r>
      <w:r w:rsidR="00827D16" w:rsidRPr="006844BA">
        <w:rPr>
          <w:lang w:val="ru-RU"/>
        </w:rPr>
        <w:t>состоянию на 9</w:t>
      </w:r>
      <w:r w:rsidR="004C0B66">
        <w:rPr>
          <w:lang w:val="ru-RU"/>
        </w:rPr>
        <w:t> </w:t>
      </w:r>
      <w:r w:rsidR="00827D16" w:rsidRPr="006844BA">
        <w:rPr>
          <w:lang w:val="ru-RU"/>
        </w:rPr>
        <w:t>ноября 2021 г.) три собрания</w:t>
      </w:r>
      <w:r w:rsidR="00827D16" w:rsidRPr="006844BA">
        <w:rPr>
          <w:bCs/>
          <w:lang w:val="ru-RU"/>
        </w:rPr>
        <w:t xml:space="preserve">, </w:t>
      </w:r>
      <w:r w:rsidR="00827D16" w:rsidRPr="006844BA">
        <w:rPr>
          <w:lang w:val="ru-RU"/>
        </w:rPr>
        <w:t xml:space="preserve">то есть с момента своего образования в марте 2015 года ею проведено в общей сложности 42 собрания. Председателем ЦГ-МСК является заместитель Генерального секретаря, а в ее работе участвуют заместители Директоров трех Бюро; руководители </w:t>
      </w:r>
      <w:r w:rsidR="00827D16" w:rsidRPr="006844BA">
        <w:rPr>
          <w:lang w:val="ru-RU"/>
        </w:rPr>
        <w:lastRenderedPageBreak/>
        <w:t>Департаментов Генерального секретариата; межсекторальные координаторы, отвечающие за определенные тематические области; директора региональных отделений; руководитель Службы внутреннего аудита, в качестве наблюдателя, а также руководители департаментов Бюро –</w:t>
      </w:r>
      <w:r w:rsidR="00852735" w:rsidRPr="006844BA">
        <w:rPr>
          <w:lang w:val="ru-RU"/>
        </w:rPr>
        <w:t> </w:t>
      </w:r>
      <w:r w:rsidR="00827D16" w:rsidRPr="006844BA">
        <w:rPr>
          <w:lang w:val="ru-RU"/>
        </w:rPr>
        <w:t>по приглашению председателя.</w:t>
      </w:r>
    </w:p>
    <w:p w14:paraId="543F9FF5" w14:textId="7262594C" w:rsidR="006E4784" w:rsidRPr="006844BA" w:rsidRDefault="00827D16" w:rsidP="006E4784">
      <w:pPr>
        <w:rPr>
          <w:lang w:val="ru-RU"/>
        </w:rPr>
      </w:pPr>
      <w:r w:rsidRPr="006844BA">
        <w:rPr>
          <w:lang w:val="ru-RU"/>
        </w:rPr>
        <w:t>2.3</w:t>
      </w:r>
      <w:r w:rsidRPr="006844BA">
        <w:rPr>
          <w:lang w:val="ru-RU"/>
        </w:rPr>
        <w:tab/>
      </w:r>
      <w:r w:rsidR="008D2E2E" w:rsidRPr="006844BA">
        <w:rPr>
          <w:lang w:val="ru-RU"/>
        </w:rPr>
        <w:t>Области, представляющие межсекторальный интерес, в которых ЦГ-МСК осуществляет координацию, охватывают следующие темы: доступность, возникающие тенденции и искусственный интеллект, преодоление разрыва в стандартизации</w:t>
      </w:r>
      <w:r w:rsidR="0036080C">
        <w:rPr>
          <w:lang w:val="ru-RU"/>
        </w:rPr>
        <w:t>,</w:t>
      </w:r>
      <w:r w:rsidR="001F3B02" w:rsidRPr="006844BA">
        <w:rPr>
          <w:lang w:val="ru-RU"/>
        </w:rPr>
        <w:t xml:space="preserve"> коммуникации</w:t>
      </w:r>
      <w:r w:rsidR="008D2E2E" w:rsidRPr="006844BA">
        <w:rPr>
          <w:lang w:val="ru-RU"/>
        </w:rPr>
        <w:t xml:space="preserve"> </w:t>
      </w:r>
      <w:r w:rsidR="004C0B66">
        <w:rPr>
          <w:lang w:val="ru-RU"/>
        </w:rPr>
        <w:t xml:space="preserve">и </w:t>
      </w:r>
      <w:r w:rsidR="004C0B66" w:rsidRPr="0036080C">
        <w:rPr>
          <w:color w:val="000000"/>
          <w:lang w:val="ru-RU"/>
        </w:rPr>
        <w:t>редакционный совет веб-сайта</w:t>
      </w:r>
      <w:r w:rsidR="008D2E2E" w:rsidRPr="0036080C">
        <w:rPr>
          <w:lang w:val="ru-RU"/>
        </w:rPr>
        <w:t>, коллективные сети, электросвязь в чрезвычайных ситуациях, окружающая среда и "умные" устойчивые сообщества, координация мероприятий, гендерные вопросы, геопространственная</w:t>
      </w:r>
      <w:r w:rsidR="008D2E2E" w:rsidRPr="006844BA">
        <w:rPr>
          <w:lang w:val="ru-RU"/>
        </w:rPr>
        <w:t xml:space="preserve"> деятельность, членство, мобилизация ресурсов и МСП, а также многоязычие.</w:t>
      </w:r>
    </w:p>
    <w:p w14:paraId="27E86946" w14:textId="3059815C" w:rsidR="006E4784" w:rsidRPr="006844BA" w:rsidRDefault="0099318A" w:rsidP="006E4784">
      <w:pPr>
        <w:rPr>
          <w:lang w:val="ru-RU"/>
        </w:rPr>
      </w:pPr>
      <w:r w:rsidRPr="006844BA">
        <w:rPr>
          <w:lang w:val="ru-RU"/>
        </w:rPr>
        <w:t>2.4</w:t>
      </w:r>
      <w:r w:rsidRPr="006844BA">
        <w:rPr>
          <w:lang w:val="ru-RU"/>
        </w:rPr>
        <w:tab/>
      </w:r>
      <w:r w:rsidR="004C0B66">
        <w:rPr>
          <w:lang w:val="ru-RU"/>
        </w:rPr>
        <w:t>П</w:t>
      </w:r>
      <w:r w:rsidR="008D2E2E" w:rsidRPr="006844BA">
        <w:rPr>
          <w:lang w:val="ru-RU"/>
        </w:rPr>
        <w:t>осле представления своего последнего отчета C21/VCC</w:t>
      </w:r>
      <w:r w:rsidR="00852735" w:rsidRPr="006844BA">
        <w:rPr>
          <w:lang w:val="ru-RU"/>
        </w:rPr>
        <w:noBreakHyphen/>
      </w:r>
      <w:r w:rsidR="008D2E2E" w:rsidRPr="006844BA">
        <w:rPr>
          <w:lang w:val="ru-RU"/>
        </w:rPr>
        <w:t>1 Целевая группа продолжала:</w:t>
      </w:r>
    </w:p>
    <w:p w14:paraId="69680954" w14:textId="0E3386A3" w:rsidR="008D2E2E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–</w:t>
      </w:r>
      <w:r w:rsidRPr="006844BA">
        <w:rPr>
          <w:lang w:val="ru-RU"/>
        </w:rPr>
        <w:tab/>
        <w:t>содействовать обмену информацией между Секторами и Генеральным секретариатом по перечисленным выше тематическим областям, предоставляя участникам Целевой группы обновленн</w:t>
      </w:r>
      <w:r w:rsidR="00EB1697">
        <w:rPr>
          <w:lang w:val="ru-RU"/>
        </w:rPr>
        <w:t>ые сведения</w:t>
      </w:r>
      <w:r w:rsidRPr="006844BA">
        <w:rPr>
          <w:lang w:val="ru-RU"/>
        </w:rPr>
        <w:t xml:space="preserve"> об изменениях и прогрессе, достигнутом в каждой из областей;</w:t>
      </w:r>
    </w:p>
    <w:p w14:paraId="573ADD11" w14:textId="77777777" w:rsidR="008D2E2E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–</w:t>
      </w:r>
      <w:r w:rsidRPr="006844BA">
        <w:rPr>
          <w:lang w:val="ru-RU"/>
        </w:rPr>
        <w:tab/>
        <w:t>обсуждать и предлагать решения по ключевым вопросам, поднимаемым координаторами, передавая данные вопросы выше по инстанции, если невозможно было принять решение или разрешить вопрос на уровне координатора;</w:t>
      </w:r>
    </w:p>
    <w:p w14:paraId="083FB131" w14:textId="1E7819EA" w:rsidR="008D2E2E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–</w:t>
      </w:r>
      <w:r w:rsidRPr="006844BA">
        <w:rPr>
          <w:lang w:val="ru-RU"/>
        </w:rPr>
        <w:tab/>
        <w:t>использовать участие и вклады региональных отделений, которые участвовали в обсуждениях в рамках ЦГ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>МСК;</w:t>
      </w:r>
    </w:p>
    <w:p w14:paraId="0E7D5A61" w14:textId="77777777" w:rsidR="008D2E2E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–</w:t>
      </w:r>
      <w:r w:rsidRPr="006844BA">
        <w:rPr>
          <w:lang w:val="ru-RU"/>
        </w:rPr>
        <w:tab/>
        <w:t>координировать участие МСЭ в конференциях и форумах с целью рационализации направления делегаций/участия МСЭ, обеспечивая при этом представленность межсекторальных интересов;</w:t>
      </w:r>
    </w:p>
    <w:p w14:paraId="7A00E9D7" w14:textId="77777777" w:rsidR="008D2E2E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–</w:t>
      </w:r>
      <w:r w:rsidRPr="006844BA">
        <w:rPr>
          <w:lang w:val="ru-RU"/>
        </w:rPr>
        <w:tab/>
        <w:t>способствовать лучшей координации при организации мероприятий и собраний МСЭ, благодаря работе, проводимой в этой конкретной области; а также</w:t>
      </w:r>
    </w:p>
    <w:p w14:paraId="06096485" w14:textId="1017DC90" w:rsidR="006E4784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−</w:t>
      </w:r>
      <w:r w:rsidRPr="006844BA">
        <w:rPr>
          <w:lang w:val="ru-RU"/>
        </w:rPr>
        <w:tab/>
        <w:t xml:space="preserve">координировать процесс публикации и обновления информации о работе МСЭ по тематическим областям на соответствующих веб-страницах МСЭ, основываясь на принципах открытости и прозрачности, в том числе сводной информации о межсекторальной деятельности на общей </w:t>
      </w:r>
      <w:hyperlink r:id="rId13" w:history="1">
        <w:r w:rsidRPr="006844BA">
          <w:rPr>
            <w:rStyle w:val="Hyperlink"/>
            <w:lang w:val="ru-RU"/>
          </w:rPr>
          <w:t>веб-странице по межсекторальной координации</w:t>
        </w:r>
      </w:hyperlink>
      <w:r w:rsidRPr="006844BA">
        <w:rPr>
          <w:lang w:val="ru-RU"/>
        </w:rPr>
        <w:t>.</w:t>
      </w:r>
    </w:p>
    <w:p w14:paraId="3161E622" w14:textId="425CEC5B" w:rsidR="006E4784" w:rsidRPr="006844BA" w:rsidRDefault="0099318A" w:rsidP="006E4784">
      <w:pPr>
        <w:rPr>
          <w:lang w:val="ru-RU"/>
        </w:rPr>
      </w:pPr>
      <w:r w:rsidRPr="006844BA">
        <w:rPr>
          <w:lang w:val="ru-RU"/>
        </w:rPr>
        <w:t>2.5</w:t>
      </w:r>
      <w:r w:rsidRPr="006844BA">
        <w:rPr>
          <w:lang w:val="ru-RU"/>
        </w:rPr>
        <w:tab/>
      </w:r>
      <w:r w:rsidR="008D2E2E" w:rsidRPr="006844BA">
        <w:rPr>
          <w:lang w:val="ru-RU"/>
        </w:rPr>
        <w:t xml:space="preserve">Наряду с этим Группа достигла следующих результатов </w:t>
      </w:r>
      <w:r w:rsidR="00534B2B" w:rsidRPr="006844BA">
        <w:rPr>
          <w:lang w:val="ru-RU"/>
        </w:rPr>
        <w:t xml:space="preserve">в течение </w:t>
      </w:r>
      <w:r w:rsidR="00EB1697">
        <w:rPr>
          <w:lang w:val="ru-RU"/>
        </w:rPr>
        <w:t>данного периода.</w:t>
      </w:r>
    </w:p>
    <w:p w14:paraId="13C67973" w14:textId="3491B438" w:rsidR="006E4784" w:rsidRPr="006844BA" w:rsidRDefault="00F1046D" w:rsidP="006E4784">
      <w:pPr>
        <w:pStyle w:val="enumlev1"/>
        <w:rPr>
          <w:lang w:val="ru-RU"/>
        </w:rPr>
      </w:pPr>
      <w:r w:rsidRPr="006844BA">
        <w:rPr>
          <w:lang w:val="ru-RU"/>
        </w:rPr>
        <w:t>−</w:t>
      </w:r>
      <w:r w:rsidRPr="006844BA">
        <w:rPr>
          <w:lang w:val="ru-RU"/>
        </w:rPr>
        <w:tab/>
      </w:r>
      <w:r w:rsidRPr="006844BA">
        <w:rPr>
          <w:i/>
          <w:iCs/>
          <w:lang w:val="ru-RU"/>
        </w:rPr>
        <w:t>Стратегия межсекторальной координации</w:t>
      </w:r>
      <w:r w:rsidRPr="006844BA">
        <w:rPr>
          <w:lang w:val="ru-RU"/>
        </w:rPr>
        <w:t>: секретариат продолжал деятельность в целях дальнейшего совершенствования существующей модели</w:t>
      </w:r>
      <w:r w:rsidR="00961A8B">
        <w:rPr>
          <w:lang w:val="ru-RU"/>
        </w:rPr>
        <w:t>,</w:t>
      </w:r>
      <w:r w:rsidRPr="006844BA">
        <w:rPr>
          <w:lang w:val="ru-RU"/>
        </w:rPr>
        <w:t xml:space="preserve"> удел</w:t>
      </w:r>
      <w:r w:rsidR="00961A8B">
        <w:rPr>
          <w:lang w:val="ru-RU"/>
        </w:rPr>
        <w:t>яя</w:t>
      </w:r>
      <w:r w:rsidRPr="006844BA">
        <w:rPr>
          <w:lang w:val="ru-RU"/>
        </w:rPr>
        <w:t xml:space="preserve"> больше внимания общим тематическим направлениям работы, представленным в ежегодном отчете о деятельности МСЭ (Документ C22/35); а также координации деятельности с МСКГ путем определения "тем", по которым все участники могли бы внести вклад и совместно работать, чтобы предложить методы более эффективного сотрудничества (соответствующая информация представлена ниже, в разделе, посвященном МСКГ).</w:t>
      </w:r>
    </w:p>
    <w:p w14:paraId="402DF51D" w14:textId="22287830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EB1697">
        <w:rPr>
          <w:i/>
          <w:iCs/>
          <w:lang w:val="ru-RU"/>
        </w:rPr>
        <w:t xml:space="preserve">Отчет </w:t>
      </w:r>
      <w:r w:rsidR="00EB1697" w:rsidRPr="00EB1697">
        <w:rPr>
          <w:i/>
          <w:iCs/>
          <w:color w:val="000000"/>
          <w:lang w:val="ru-RU"/>
        </w:rPr>
        <w:t>Межсекторальной целевой группы МСЭ по координации</w:t>
      </w:r>
      <w:r w:rsidRPr="00EB1697">
        <w:rPr>
          <w:lang w:val="ru-RU"/>
        </w:rPr>
        <w:t xml:space="preserve">: </w:t>
      </w:r>
      <w:r w:rsidR="00EB1697" w:rsidRPr="00EB1697">
        <w:rPr>
          <w:lang w:val="ru-RU"/>
        </w:rPr>
        <w:t xml:space="preserve">отчет ЦГ-МСК по тематическим областям работы теперь размещается после каждого собрания Целевой группы на </w:t>
      </w:r>
      <w:r w:rsidR="00EB1697" w:rsidRPr="00EB1697">
        <w:rPr>
          <w:color w:val="000000"/>
          <w:lang w:val="ru-RU"/>
        </w:rPr>
        <w:t>веб-странице межсекторальной координации, и</w:t>
      </w:r>
      <w:r w:rsidR="00EB1697">
        <w:rPr>
          <w:color w:val="000000"/>
          <w:lang w:val="ru-RU"/>
        </w:rPr>
        <w:t xml:space="preserve"> доступ к нему можно получить по учетной записи пользователя МСЭ с доступом </w:t>
      </w:r>
      <w:r w:rsidRPr="006844BA">
        <w:rPr>
          <w:lang w:val="ru-RU"/>
        </w:rPr>
        <w:t>TIES</w:t>
      </w:r>
      <w:r w:rsidR="00534B2B" w:rsidRPr="006844BA">
        <w:rPr>
          <w:lang w:val="ru-RU"/>
        </w:rPr>
        <w:t>.</w:t>
      </w:r>
    </w:p>
    <w:p w14:paraId="3E212630" w14:textId="2F29D82D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EB1697">
        <w:rPr>
          <w:i/>
          <w:iCs/>
          <w:lang w:val="ru-RU"/>
        </w:rPr>
        <w:t>Дистанционное участие</w:t>
      </w:r>
      <w:r w:rsidRPr="006844BA">
        <w:rPr>
          <w:lang w:val="ru-RU"/>
        </w:rPr>
        <w:t xml:space="preserve">: </w:t>
      </w:r>
      <w:r w:rsidR="00925F94" w:rsidRPr="006844BA">
        <w:rPr>
          <w:lang w:val="ru-RU"/>
        </w:rPr>
        <w:t xml:space="preserve">платформа Zoom теперь интегрирована в систему регистрации, проверки подлинности и контроля доступа </w:t>
      </w:r>
      <w:r w:rsidR="00EB1697">
        <w:rPr>
          <w:lang w:val="ru-RU"/>
        </w:rPr>
        <w:t xml:space="preserve">МСЭ </w:t>
      </w:r>
      <w:r w:rsidR="00925F94" w:rsidRPr="006844BA">
        <w:rPr>
          <w:lang w:val="ru-RU"/>
        </w:rPr>
        <w:t>(CRM)</w:t>
      </w:r>
      <w:r w:rsidR="00534B2B" w:rsidRPr="006844BA">
        <w:rPr>
          <w:lang w:val="ru-RU"/>
        </w:rPr>
        <w:t xml:space="preserve">, </w:t>
      </w:r>
      <w:r w:rsidR="009E1F11">
        <w:rPr>
          <w:lang w:val="ru-RU"/>
        </w:rPr>
        <w:t>обеспечивая глобальный доступ посредством пользовательской учетной записи МСЭ</w:t>
      </w:r>
      <w:r w:rsidR="00534B2B" w:rsidRPr="006844BA">
        <w:rPr>
          <w:lang w:val="ru-RU"/>
        </w:rPr>
        <w:t>.</w:t>
      </w:r>
      <w:r w:rsidRPr="006844BA">
        <w:rPr>
          <w:lang w:val="ru-RU"/>
        </w:rPr>
        <w:t xml:space="preserve"> </w:t>
      </w:r>
      <w:r w:rsidR="009E1F11">
        <w:rPr>
          <w:lang w:val="ru-RU"/>
        </w:rPr>
        <w:t>Вследствие этого МСЭ начал использовать платформу</w:t>
      </w:r>
      <w:r w:rsidRPr="006844BA">
        <w:rPr>
          <w:lang w:val="ru-RU"/>
        </w:rPr>
        <w:t xml:space="preserve"> Zoom </w:t>
      </w:r>
      <w:r w:rsidR="009E1F11">
        <w:rPr>
          <w:lang w:val="ru-RU"/>
        </w:rPr>
        <w:t xml:space="preserve">для всех виртуальных мероприятий </w:t>
      </w:r>
      <w:r w:rsidRPr="006844BA">
        <w:rPr>
          <w:lang w:val="ru-RU"/>
        </w:rPr>
        <w:t>(</w:t>
      </w:r>
      <w:r w:rsidR="009E1F11">
        <w:rPr>
          <w:lang w:val="ru-RU"/>
        </w:rPr>
        <w:t>например,</w:t>
      </w:r>
      <w:r w:rsidR="00534B2B" w:rsidRPr="006844BA">
        <w:rPr>
          <w:lang w:val="ru-RU"/>
        </w:rPr>
        <w:t> </w:t>
      </w:r>
      <w:r w:rsidRPr="006844BA">
        <w:rPr>
          <w:lang w:val="ru-RU"/>
        </w:rPr>
        <w:t>C21/VCC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 xml:space="preserve">1, </w:t>
      </w:r>
      <w:r w:rsidR="00534B2B" w:rsidRPr="006844BA">
        <w:rPr>
          <w:lang w:val="ru-RU"/>
        </w:rPr>
        <w:t>МСКГ</w:t>
      </w:r>
      <w:r w:rsidRPr="006844BA">
        <w:rPr>
          <w:lang w:val="ru-RU"/>
        </w:rPr>
        <w:t xml:space="preserve">, </w:t>
      </w:r>
      <w:r w:rsidR="009E1F11">
        <w:rPr>
          <w:lang w:val="ru-RU"/>
        </w:rPr>
        <w:t>собраний консультативных групп</w:t>
      </w:r>
      <w:r w:rsidRPr="006844BA">
        <w:rPr>
          <w:lang w:val="ru-RU"/>
        </w:rPr>
        <w:t xml:space="preserve">). </w:t>
      </w:r>
      <w:r w:rsidR="009E1F11">
        <w:rPr>
          <w:lang w:val="ru-RU"/>
        </w:rPr>
        <w:t xml:space="preserve">БСЭ продолжит использовать две различные платформы </w:t>
      </w:r>
      <w:r w:rsidRPr="006844BA">
        <w:rPr>
          <w:lang w:val="ru-RU"/>
        </w:rPr>
        <w:t xml:space="preserve">(Zoom </w:t>
      </w:r>
      <w:r w:rsidR="009E1F11">
        <w:rPr>
          <w:lang w:val="ru-RU"/>
        </w:rPr>
        <w:t>и</w:t>
      </w:r>
      <w:r w:rsidRPr="006844BA">
        <w:rPr>
          <w:lang w:val="ru-RU"/>
        </w:rPr>
        <w:t xml:space="preserve"> MyMeetings) </w:t>
      </w:r>
      <w:r w:rsidR="009E1F11">
        <w:rPr>
          <w:lang w:val="ru-RU"/>
        </w:rPr>
        <w:t>ввиду числа мероприятий, для которых на платформе</w:t>
      </w:r>
      <w:r w:rsidRPr="006844BA">
        <w:rPr>
          <w:lang w:val="ru-RU"/>
        </w:rPr>
        <w:t xml:space="preserve"> </w:t>
      </w:r>
      <w:r w:rsidRPr="006844BA">
        <w:rPr>
          <w:lang w:val="ru-RU"/>
        </w:rPr>
        <w:lastRenderedPageBreak/>
        <w:t xml:space="preserve">MyMeetings </w:t>
      </w:r>
      <w:r w:rsidR="009E1F11">
        <w:rPr>
          <w:lang w:val="ru-RU"/>
        </w:rPr>
        <w:t>не требуются многочисленные лицензии</w:t>
      </w:r>
      <w:r w:rsidRPr="006844BA">
        <w:rPr>
          <w:lang w:val="ru-RU"/>
        </w:rPr>
        <w:t xml:space="preserve">. </w:t>
      </w:r>
      <w:r w:rsidR="009E1F11">
        <w:rPr>
          <w:lang w:val="ru-RU"/>
        </w:rPr>
        <w:t>Доступ ко всем мероприятиям МС</w:t>
      </w:r>
      <w:r w:rsidR="000A0392">
        <w:rPr>
          <w:lang w:val="ru-RU"/>
        </w:rPr>
        <w:t>Э можно получить через портал</w:t>
      </w:r>
      <w:r w:rsidRPr="006844BA">
        <w:rPr>
          <w:lang w:val="ru-RU"/>
        </w:rPr>
        <w:t xml:space="preserve"> </w:t>
      </w:r>
      <w:hyperlink r:id="rId14" w:history="1">
        <w:r w:rsidRPr="006844BA">
          <w:rPr>
            <w:color w:val="0000FF"/>
            <w:u w:val="single"/>
            <w:lang w:val="ru-RU"/>
          </w:rPr>
          <w:t xml:space="preserve">Events </w:t>
        </w:r>
        <w:proofErr w:type="spellStart"/>
        <w:r w:rsidRPr="006844BA">
          <w:rPr>
            <w:color w:val="0000FF"/>
            <w:u w:val="single"/>
            <w:lang w:val="ru-RU"/>
          </w:rPr>
          <w:t>Overview</w:t>
        </w:r>
        <w:proofErr w:type="spellEnd"/>
      </w:hyperlink>
      <w:r w:rsidR="00534B2B" w:rsidRPr="006844BA">
        <w:rPr>
          <w:lang w:val="ru-RU"/>
        </w:rPr>
        <w:t>.</w:t>
      </w:r>
    </w:p>
    <w:p w14:paraId="18C2D250" w14:textId="36C40BE3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2A620F">
        <w:rPr>
          <w:i/>
          <w:iCs/>
          <w:lang w:val="ru-RU"/>
        </w:rPr>
        <w:t>Объединенная инспекционная группа системы ООН (ОИГ)</w:t>
      </w:r>
      <w:r w:rsidRPr="006844BA">
        <w:rPr>
          <w:lang w:val="ru-RU"/>
        </w:rPr>
        <w:t xml:space="preserve">: </w:t>
      </w:r>
      <w:r w:rsidR="002A620F">
        <w:rPr>
          <w:lang w:val="ru-RU"/>
        </w:rPr>
        <w:t xml:space="preserve">все полученные рекомендации одобряются и поддерживаются Целевой группой, и полный отчет об их выполнении будет представлен РГС-ФЛР </w:t>
      </w:r>
      <w:r w:rsidR="0099318A" w:rsidRPr="006844BA">
        <w:rPr>
          <w:lang w:val="ru-RU"/>
        </w:rPr>
        <w:t>в январе</w:t>
      </w:r>
      <w:r w:rsidRPr="006844BA">
        <w:rPr>
          <w:lang w:val="ru-RU"/>
        </w:rPr>
        <w:t xml:space="preserve"> 2022</w:t>
      </w:r>
      <w:r w:rsidR="0099318A" w:rsidRPr="006844BA">
        <w:rPr>
          <w:lang w:val="ru-RU"/>
        </w:rPr>
        <w:t> года</w:t>
      </w:r>
      <w:r w:rsidR="00534B2B" w:rsidRPr="006844BA">
        <w:rPr>
          <w:lang w:val="ru-RU"/>
        </w:rPr>
        <w:t>.</w:t>
      </w:r>
    </w:p>
    <w:p w14:paraId="050AF67F" w14:textId="0990F321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DA7DFB">
        <w:rPr>
          <w:i/>
          <w:iCs/>
          <w:lang w:val="ru-RU"/>
        </w:rPr>
        <w:t>Меморандум о взаимопонимании</w:t>
      </w:r>
      <w:r w:rsidRPr="006844BA">
        <w:rPr>
          <w:i/>
          <w:iCs/>
          <w:lang w:val="ru-RU"/>
        </w:rPr>
        <w:t xml:space="preserve"> (</w:t>
      </w:r>
      <w:r w:rsidR="00DA7DFB">
        <w:rPr>
          <w:i/>
          <w:iCs/>
          <w:lang w:val="ru-RU"/>
        </w:rPr>
        <w:t>МоВ</w:t>
      </w:r>
      <w:r w:rsidRPr="006844BA">
        <w:rPr>
          <w:i/>
          <w:iCs/>
          <w:lang w:val="ru-RU"/>
        </w:rPr>
        <w:t>)</w:t>
      </w:r>
      <w:r w:rsidRPr="006844BA">
        <w:rPr>
          <w:lang w:val="ru-RU"/>
        </w:rPr>
        <w:t xml:space="preserve">: </w:t>
      </w:r>
      <w:r w:rsidR="008E4523">
        <w:rPr>
          <w:lang w:val="ru-RU"/>
        </w:rPr>
        <w:t>была создана информационная панель, на которой размещается информация о МоВ, имеющи</w:t>
      </w:r>
      <w:r w:rsidR="00A93F6C">
        <w:rPr>
          <w:lang w:val="ru-RU"/>
        </w:rPr>
        <w:t>х</w:t>
      </w:r>
      <w:r w:rsidR="008E4523">
        <w:rPr>
          <w:lang w:val="ru-RU"/>
        </w:rPr>
        <w:t xml:space="preserve"> </w:t>
      </w:r>
      <w:r w:rsidR="008E4523" w:rsidRPr="008E4523">
        <w:rPr>
          <w:color w:val="000000"/>
          <w:lang w:val="ru-RU"/>
        </w:rPr>
        <w:t>последствия финансового и/или стратегического характера</w:t>
      </w:r>
      <w:r w:rsidR="008E4523" w:rsidRPr="006844BA">
        <w:rPr>
          <w:lang w:val="ru-RU"/>
        </w:rPr>
        <w:t xml:space="preserve"> </w:t>
      </w:r>
      <w:r w:rsidR="008E4523">
        <w:rPr>
          <w:lang w:val="ru-RU"/>
        </w:rPr>
        <w:t>для Союза</w:t>
      </w:r>
      <w:r w:rsidR="00534B2B" w:rsidRPr="006844BA">
        <w:rPr>
          <w:lang w:val="ru-RU"/>
        </w:rPr>
        <w:t>.</w:t>
      </w:r>
    </w:p>
    <w:p w14:paraId="109F18CB" w14:textId="18CBEFFD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8E4523" w:rsidRPr="008E4523">
        <w:rPr>
          <w:i/>
          <w:iCs/>
          <w:color w:val="000000"/>
          <w:lang w:val="ru-RU"/>
        </w:rPr>
        <w:t>Система управления рисками МСЭ</w:t>
      </w:r>
      <w:r w:rsidR="008E4523" w:rsidRPr="008E4523">
        <w:rPr>
          <w:i/>
          <w:iCs/>
          <w:lang w:val="ru-RU"/>
        </w:rPr>
        <w:t xml:space="preserve"> и </w:t>
      </w:r>
      <w:r w:rsidR="008E4523" w:rsidRPr="008E4523">
        <w:rPr>
          <w:i/>
          <w:iCs/>
          <w:color w:val="000000"/>
          <w:lang w:val="ru-RU"/>
        </w:rPr>
        <w:t>информационная панель МСЭ по вопросам соблюдения</w:t>
      </w:r>
      <w:r w:rsidRPr="006844BA">
        <w:rPr>
          <w:lang w:val="ru-RU"/>
        </w:rPr>
        <w:t xml:space="preserve">: </w:t>
      </w:r>
      <w:r w:rsidR="003B2593">
        <w:rPr>
          <w:lang w:val="ru-RU"/>
        </w:rPr>
        <w:t xml:space="preserve">в результате выполнения Плана действий для укрепления системы управления рисками МСЭ, </w:t>
      </w:r>
      <w:r w:rsidR="003B2593" w:rsidRPr="00C20CBF">
        <w:rPr>
          <w:color w:val="000000"/>
          <w:lang w:val="ru-RU"/>
        </w:rPr>
        <w:t>реестр рисков всего</w:t>
      </w:r>
      <w:r w:rsidR="003B2593" w:rsidRPr="00CE6372">
        <w:rPr>
          <w:color w:val="000000"/>
          <w:lang w:val="ru-RU"/>
        </w:rPr>
        <w:t xml:space="preserve"> МСЭ</w:t>
      </w:r>
      <w:r w:rsidR="003B2593" w:rsidRPr="006844BA">
        <w:rPr>
          <w:lang w:val="ru-RU"/>
        </w:rPr>
        <w:t xml:space="preserve"> </w:t>
      </w:r>
      <w:r w:rsidR="003B2593">
        <w:rPr>
          <w:lang w:val="ru-RU"/>
        </w:rPr>
        <w:t>действует и будет регулярно обновляться координаторами Бюро и департаментов Генерального секретариата по управлению рисками</w:t>
      </w:r>
      <w:r w:rsidRPr="006844BA">
        <w:rPr>
          <w:lang w:val="ru-RU"/>
        </w:rPr>
        <w:t xml:space="preserve">. </w:t>
      </w:r>
      <w:r w:rsidR="007203A5">
        <w:rPr>
          <w:lang w:val="ru-RU"/>
        </w:rPr>
        <w:t>В д</w:t>
      </w:r>
      <w:r w:rsidR="003B2593">
        <w:rPr>
          <w:lang w:val="ru-RU"/>
        </w:rPr>
        <w:t>ополн</w:t>
      </w:r>
      <w:r w:rsidR="007203A5">
        <w:rPr>
          <w:lang w:val="ru-RU"/>
        </w:rPr>
        <w:t xml:space="preserve">ение к </w:t>
      </w:r>
      <w:r w:rsidR="003B2593">
        <w:rPr>
          <w:lang w:val="ru-RU"/>
        </w:rPr>
        <w:t>реестр</w:t>
      </w:r>
      <w:r w:rsidR="007203A5">
        <w:rPr>
          <w:lang w:val="ru-RU"/>
        </w:rPr>
        <w:t>у</w:t>
      </w:r>
      <w:r w:rsidR="003B2593">
        <w:rPr>
          <w:lang w:val="ru-RU"/>
        </w:rPr>
        <w:t xml:space="preserve"> рисков МС</w:t>
      </w:r>
      <w:r w:rsidR="00EB4093">
        <w:rPr>
          <w:lang w:val="ru-RU"/>
        </w:rPr>
        <w:t>Э</w:t>
      </w:r>
      <w:r w:rsidR="003B2593">
        <w:rPr>
          <w:lang w:val="ru-RU"/>
        </w:rPr>
        <w:t xml:space="preserve">, </w:t>
      </w:r>
      <w:r w:rsidR="00EE2141">
        <w:rPr>
          <w:lang w:val="ru-RU"/>
        </w:rPr>
        <w:t xml:space="preserve">в </w:t>
      </w:r>
      <w:r w:rsidR="003B2593" w:rsidRPr="003B2593">
        <w:rPr>
          <w:color w:val="000000"/>
          <w:lang w:val="ru-RU"/>
        </w:rPr>
        <w:t>информационн</w:t>
      </w:r>
      <w:r w:rsidR="00EE2141">
        <w:rPr>
          <w:color w:val="000000"/>
          <w:lang w:val="ru-RU"/>
        </w:rPr>
        <w:t>ой</w:t>
      </w:r>
      <w:r w:rsidR="003B2593" w:rsidRPr="003B2593">
        <w:rPr>
          <w:color w:val="000000"/>
          <w:lang w:val="ru-RU"/>
        </w:rPr>
        <w:t xml:space="preserve"> панел</w:t>
      </w:r>
      <w:r w:rsidR="00EE2141">
        <w:rPr>
          <w:color w:val="000000"/>
          <w:lang w:val="ru-RU"/>
        </w:rPr>
        <w:t>и</w:t>
      </w:r>
      <w:r w:rsidR="003B2593" w:rsidRPr="003B2593">
        <w:rPr>
          <w:color w:val="000000"/>
          <w:lang w:val="ru-RU"/>
        </w:rPr>
        <w:t xml:space="preserve"> МСЭ по вопросам соблюдения</w:t>
      </w:r>
      <w:r w:rsidR="00EE2141">
        <w:rPr>
          <w:color w:val="000000"/>
          <w:lang w:val="ru-RU"/>
        </w:rPr>
        <w:t xml:space="preserve"> ведется мониторинг выполнения всех рекомендаций внутренних и </w:t>
      </w:r>
      <w:r w:rsidR="00B90A23">
        <w:rPr>
          <w:color w:val="000000"/>
          <w:lang w:val="ru-RU"/>
        </w:rPr>
        <w:t>внешних</w:t>
      </w:r>
      <w:r w:rsidR="00EE2141">
        <w:rPr>
          <w:color w:val="000000"/>
          <w:lang w:val="ru-RU"/>
        </w:rPr>
        <w:t xml:space="preserve"> надзорных органов</w:t>
      </w:r>
      <w:r w:rsidR="00B90A23">
        <w:rPr>
          <w:color w:val="000000"/>
          <w:lang w:val="ru-RU"/>
        </w:rPr>
        <w:t xml:space="preserve"> (Внешнего аудитора</w:t>
      </w:r>
      <w:r w:rsidRPr="006844BA">
        <w:rPr>
          <w:lang w:val="ru-RU"/>
        </w:rPr>
        <w:t xml:space="preserve">, IMAC, </w:t>
      </w:r>
      <w:r w:rsidR="00B90A23">
        <w:rPr>
          <w:lang w:val="ru-RU"/>
        </w:rPr>
        <w:t xml:space="preserve">ОИГ и </w:t>
      </w:r>
      <w:r w:rsidR="00EB4093">
        <w:rPr>
          <w:lang w:val="ru-RU"/>
        </w:rPr>
        <w:t>С</w:t>
      </w:r>
      <w:r w:rsidR="00B90A23">
        <w:rPr>
          <w:lang w:val="ru-RU"/>
        </w:rPr>
        <w:t>лужбы внутреннего аудита</w:t>
      </w:r>
      <w:r w:rsidRPr="006844BA">
        <w:rPr>
          <w:lang w:val="ru-RU"/>
        </w:rPr>
        <w:t xml:space="preserve">), </w:t>
      </w:r>
      <w:r w:rsidR="00BA37A7">
        <w:rPr>
          <w:lang w:val="ru-RU"/>
        </w:rPr>
        <w:t xml:space="preserve">и она была укреплена для мониторинга рекомендуемых последующих действий </w:t>
      </w:r>
      <w:r w:rsidR="00E947BE">
        <w:rPr>
          <w:lang w:val="ru-RU"/>
        </w:rPr>
        <w:t>на основании отчета о судебно-бухгалтерской экспертизе, проведенно</w:t>
      </w:r>
      <w:r w:rsidR="00EB4093">
        <w:rPr>
          <w:lang w:val="ru-RU"/>
        </w:rPr>
        <w:t>й</w:t>
      </w:r>
      <w:r w:rsidR="00E947BE">
        <w:rPr>
          <w:lang w:val="ru-RU"/>
        </w:rPr>
        <w:t xml:space="preserve"> компанией</w:t>
      </w:r>
      <w:r w:rsidRPr="006844BA">
        <w:rPr>
          <w:lang w:val="ru-RU"/>
        </w:rPr>
        <w:t xml:space="preserve"> PWC</w:t>
      </w:r>
      <w:r w:rsidR="00534B2B" w:rsidRPr="006844BA">
        <w:rPr>
          <w:lang w:val="ru-RU"/>
        </w:rPr>
        <w:t>.</w:t>
      </w:r>
    </w:p>
    <w:p w14:paraId="4286CF21" w14:textId="081D4CA6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E947BE">
        <w:rPr>
          <w:i/>
          <w:iCs/>
          <w:lang w:val="ru-RU"/>
        </w:rPr>
        <w:t>Доступность</w:t>
      </w:r>
      <w:r w:rsidRPr="006844BA">
        <w:rPr>
          <w:lang w:val="ru-RU"/>
        </w:rPr>
        <w:t xml:space="preserve">: </w:t>
      </w:r>
      <w:r w:rsidR="00E947BE">
        <w:rPr>
          <w:lang w:val="ru-RU"/>
        </w:rPr>
        <w:t>политика МСЭ в области доступности была принята</w:t>
      </w:r>
      <w:r w:rsidRPr="006844BA">
        <w:rPr>
          <w:lang w:val="ru-RU"/>
        </w:rPr>
        <w:t xml:space="preserve"> C21/VCC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 xml:space="preserve">1, </w:t>
      </w:r>
      <w:r w:rsidR="00E947BE">
        <w:rPr>
          <w:lang w:val="ru-RU"/>
        </w:rPr>
        <w:t xml:space="preserve">и были разработаны стратегия доступности и план работы на </w:t>
      </w:r>
      <w:r w:rsidRPr="006844BA">
        <w:rPr>
          <w:lang w:val="ru-RU"/>
        </w:rPr>
        <w:t>2021</w:t>
      </w:r>
      <w:r w:rsidR="00D76FB5" w:rsidRPr="006844BA">
        <w:rPr>
          <w:lang w:val="ru-RU"/>
        </w:rPr>
        <w:t>–</w:t>
      </w:r>
      <w:r w:rsidRPr="006844BA">
        <w:rPr>
          <w:lang w:val="ru-RU"/>
        </w:rPr>
        <w:t>2022</w:t>
      </w:r>
      <w:r w:rsidR="00D76FB5" w:rsidRPr="006844BA">
        <w:rPr>
          <w:lang w:val="ru-RU"/>
        </w:rPr>
        <w:t xml:space="preserve"> год</w:t>
      </w:r>
      <w:r w:rsidR="00E947BE">
        <w:rPr>
          <w:lang w:val="ru-RU"/>
        </w:rPr>
        <w:t>ы</w:t>
      </w:r>
      <w:r w:rsidRPr="006844BA">
        <w:rPr>
          <w:lang w:val="ru-RU"/>
        </w:rPr>
        <w:t xml:space="preserve">. </w:t>
      </w:r>
      <w:r w:rsidR="00E947BE" w:rsidRPr="006844BA">
        <w:rPr>
          <w:lang w:val="ru-RU"/>
        </w:rPr>
        <w:t>В</w:t>
      </w:r>
      <w:r w:rsidR="00E947BE">
        <w:rPr>
          <w:lang w:val="ru-RU"/>
        </w:rPr>
        <w:t xml:space="preserve"> </w:t>
      </w:r>
      <w:r w:rsidR="00E947BE" w:rsidRPr="006844BA">
        <w:rPr>
          <w:lang w:val="ru-RU"/>
        </w:rPr>
        <w:t xml:space="preserve">ноябре 2021 года </w:t>
      </w:r>
      <w:r w:rsidR="00C20CBF">
        <w:rPr>
          <w:lang w:val="ru-RU"/>
        </w:rPr>
        <w:t xml:space="preserve">при координации со стороны ЦГ-МСК (совместно с ЮНОГ) </w:t>
      </w:r>
      <w:r w:rsidR="00E947BE">
        <w:rPr>
          <w:lang w:val="ru-RU"/>
        </w:rPr>
        <w:t xml:space="preserve">завершилась разработка процедуры проведения конкурса для отбора </w:t>
      </w:r>
      <w:r w:rsidR="00920B26">
        <w:rPr>
          <w:lang w:val="ru-RU"/>
        </w:rPr>
        <w:t>поставщиков услуг субтитров</w:t>
      </w:r>
      <w:r w:rsidRPr="006844BA">
        <w:rPr>
          <w:lang w:val="ru-RU"/>
        </w:rPr>
        <w:t xml:space="preserve">. </w:t>
      </w:r>
      <w:r w:rsidR="00C20CBF">
        <w:rPr>
          <w:lang w:val="ru-RU"/>
        </w:rPr>
        <w:t>ЦГ-МСК координировала процесс предоставления отчетности ЮНДИС</w:t>
      </w:r>
      <w:r w:rsidRPr="006844BA">
        <w:rPr>
          <w:lang w:val="ru-RU"/>
        </w:rPr>
        <w:t xml:space="preserve">. </w:t>
      </w:r>
      <w:r w:rsidR="00C20CBF">
        <w:rPr>
          <w:lang w:val="ru-RU"/>
        </w:rPr>
        <w:t>Наблюдается значительное улучшение показателей МСЭ в этой системе</w:t>
      </w:r>
      <w:r w:rsidR="00534B2B" w:rsidRPr="006844BA">
        <w:rPr>
          <w:lang w:val="ru-RU"/>
        </w:rPr>
        <w:t>.</w:t>
      </w:r>
    </w:p>
    <w:p w14:paraId="48C50559" w14:textId="08252142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DC13E7" w:rsidRPr="00EB4093">
        <w:rPr>
          <w:i/>
          <w:iCs/>
          <w:color w:val="000000"/>
          <w:lang w:val="ru-RU"/>
        </w:rPr>
        <w:t>Коммуникаци</w:t>
      </w:r>
      <w:r w:rsidR="00EB4093" w:rsidRPr="00EB4093">
        <w:rPr>
          <w:i/>
          <w:iCs/>
          <w:color w:val="000000"/>
          <w:lang w:val="ru-RU"/>
        </w:rPr>
        <w:t>и</w:t>
      </w:r>
      <w:r w:rsidR="00DC13E7" w:rsidRPr="00EB4093">
        <w:rPr>
          <w:i/>
          <w:iCs/>
          <w:color w:val="000000"/>
          <w:lang w:val="ru-RU"/>
        </w:rPr>
        <w:t xml:space="preserve"> и редакционный совет веб-сайта</w:t>
      </w:r>
      <w:r w:rsidRPr="006844BA">
        <w:rPr>
          <w:lang w:val="ru-RU"/>
        </w:rPr>
        <w:t>:</w:t>
      </w:r>
      <w:r w:rsidRPr="006844BA">
        <w:rPr>
          <w:i/>
          <w:iCs/>
          <w:lang w:val="ru-RU"/>
        </w:rPr>
        <w:t xml:space="preserve"> </w:t>
      </w:r>
      <w:r w:rsidR="001F71C7" w:rsidRPr="00892B87">
        <w:rPr>
          <w:lang w:val="ru-RU"/>
        </w:rPr>
        <w:t>был начат процесс консультаций для разработки нового</w:t>
      </w:r>
      <w:r w:rsidR="00892B87">
        <w:rPr>
          <w:lang w:val="ru-RU"/>
        </w:rPr>
        <w:t xml:space="preserve"> </w:t>
      </w:r>
      <w:r w:rsidR="001F71C7" w:rsidRPr="00892B87">
        <w:rPr>
          <w:lang w:val="ru-RU"/>
        </w:rPr>
        <w:t>веб-сайта</w:t>
      </w:r>
      <w:r w:rsidR="00892B87">
        <w:rPr>
          <w:lang w:val="ru-RU"/>
        </w:rPr>
        <w:t xml:space="preserve"> "Единый МСЭ", и предлагается начать работу с сайтов</w:t>
      </w:r>
      <w:r w:rsidRPr="006844BA">
        <w:rPr>
          <w:lang w:val="ru-RU"/>
        </w:rPr>
        <w:t xml:space="preserve"> </w:t>
      </w:r>
      <w:r w:rsidR="00D76FB5" w:rsidRPr="006844BA">
        <w:rPr>
          <w:lang w:val="ru-RU"/>
        </w:rPr>
        <w:t>ПК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 xml:space="preserve">22 </w:t>
      </w:r>
      <w:r w:rsidR="00D76FB5" w:rsidRPr="006844BA">
        <w:rPr>
          <w:lang w:val="ru-RU"/>
        </w:rPr>
        <w:t>и</w:t>
      </w:r>
      <w:r w:rsidRPr="006844BA">
        <w:rPr>
          <w:lang w:val="ru-RU"/>
        </w:rPr>
        <w:t xml:space="preserve"> </w:t>
      </w:r>
      <w:r w:rsidR="00D76FB5" w:rsidRPr="006844BA">
        <w:rPr>
          <w:lang w:val="ru-RU"/>
        </w:rPr>
        <w:t>КГРЭ</w:t>
      </w:r>
      <w:r w:rsidR="00534B2B" w:rsidRPr="006844BA">
        <w:rPr>
          <w:lang w:val="ru-RU"/>
        </w:rPr>
        <w:t>.</w:t>
      </w:r>
    </w:p>
    <w:p w14:paraId="496AF170" w14:textId="7C949512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892B87" w:rsidRPr="00EB4093">
        <w:rPr>
          <w:i/>
          <w:iCs/>
          <w:lang w:val="ru-RU"/>
        </w:rPr>
        <w:t>Г</w:t>
      </w:r>
      <w:r w:rsidR="00892B87" w:rsidRPr="00EB4093">
        <w:rPr>
          <w:i/>
          <w:iCs/>
          <w:color w:val="000000"/>
          <w:lang w:val="ru-RU"/>
        </w:rPr>
        <w:t>еопространственная деятельность</w:t>
      </w:r>
      <w:r w:rsidRPr="00EB4093">
        <w:rPr>
          <w:lang w:val="ru-RU"/>
        </w:rPr>
        <w:t xml:space="preserve">: </w:t>
      </w:r>
      <w:r w:rsidR="00D76FB5" w:rsidRPr="00EB4093">
        <w:rPr>
          <w:lang w:val="ru-RU"/>
        </w:rPr>
        <w:t>МСЭ</w:t>
      </w:r>
      <w:r w:rsidRPr="00EB4093">
        <w:rPr>
          <w:lang w:val="ru-RU"/>
        </w:rPr>
        <w:t xml:space="preserve"> </w:t>
      </w:r>
      <w:r w:rsidR="00892B87" w:rsidRPr="00EB4093">
        <w:rPr>
          <w:lang w:val="ru-RU"/>
        </w:rPr>
        <w:t xml:space="preserve">второй раз назначен в Руководящий комитет </w:t>
      </w:r>
      <w:r w:rsidR="00892B87" w:rsidRPr="00EB4093">
        <w:rPr>
          <w:color w:val="000000"/>
          <w:lang w:val="ru-RU"/>
        </w:rPr>
        <w:t>Сети ООН по управлению геопространственной информацией и продолжает участвовать в Комитете экспертов ООН по глобальному управлению геопространственной информацией</w:t>
      </w:r>
      <w:r w:rsidR="00892B87" w:rsidRPr="00CE6372">
        <w:rPr>
          <w:color w:val="000000"/>
          <w:lang w:val="ru-RU"/>
        </w:rPr>
        <w:t xml:space="preserve"> (ГУГИ ООН</w:t>
      </w:r>
      <w:r w:rsidR="00892B87">
        <w:rPr>
          <w:color w:val="000000"/>
          <w:lang w:val="ru-RU"/>
        </w:rPr>
        <w:t>)</w:t>
      </w:r>
      <w:r w:rsidR="00534B2B" w:rsidRPr="006844BA">
        <w:rPr>
          <w:lang w:val="ru-RU"/>
        </w:rPr>
        <w:t>.</w:t>
      </w:r>
    </w:p>
    <w:p w14:paraId="26BD21D1" w14:textId="5B687553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892B87">
        <w:rPr>
          <w:i/>
          <w:iCs/>
          <w:lang w:val="ru-RU"/>
        </w:rPr>
        <w:t>Членство, мобилизация ресурсов, МСП</w:t>
      </w:r>
      <w:r w:rsidRPr="006844BA">
        <w:rPr>
          <w:lang w:val="ru-RU"/>
        </w:rPr>
        <w:t>:</w:t>
      </w:r>
      <w:r w:rsidRPr="006844BA">
        <w:rPr>
          <w:i/>
          <w:iCs/>
          <w:lang w:val="ru-RU"/>
        </w:rPr>
        <w:t xml:space="preserve"> </w:t>
      </w:r>
      <w:r w:rsidR="00C46AF6" w:rsidRPr="00EB4093">
        <w:rPr>
          <w:color w:val="000000"/>
          <w:lang w:val="ru-RU"/>
        </w:rPr>
        <w:t>Группа по координации спонсорской поддержки</w:t>
      </w:r>
      <w:r w:rsidR="00C46AF6" w:rsidRPr="00CE6372">
        <w:rPr>
          <w:color w:val="000000"/>
          <w:lang w:val="ru-RU"/>
        </w:rPr>
        <w:t xml:space="preserve"> </w:t>
      </w:r>
      <w:r w:rsidR="00C46AF6">
        <w:rPr>
          <w:color w:val="000000"/>
          <w:lang w:val="ru-RU"/>
        </w:rPr>
        <w:t>предложила рекомендуемые действия по реагированию на отчет о</w:t>
      </w:r>
      <w:r w:rsidR="00A93F6C">
        <w:rPr>
          <w:color w:val="000000"/>
          <w:lang w:val="ru-RU"/>
        </w:rPr>
        <w:t>б</w:t>
      </w:r>
      <w:r w:rsidR="00C46AF6">
        <w:rPr>
          <w:color w:val="000000"/>
          <w:lang w:val="ru-RU"/>
        </w:rPr>
        <w:t xml:space="preserve"> аудит</w:t>
      </w:r>
      <w:r w:rsidR="00A93F6C">
        <w:rPr>
          <w:color w:val="000000"/>
          <w:lang w:val="ru-RU"/>
        </w:rPr>
        <w:t>е</w:t>
      </w:r>
      <w:r w:rsidR="00C46AF6">
        <w:rPr>
          <w:color w:val="000000"/>
          <w:lang w:val="ru-RU"/>
        </w:rPr>
        <w:t xml:space="preserve"> спонсорской поддержки, в том числе </w:t>
      </w:r>
      <w:r w:rsidR="00A93F6C">
        <w:rPr>
          <w:color w:val="000000"/>
          <w:lang w:val="ru-RU"/>
        </w:rPr>
        <w:t>п</w:t>
      </w:r>
      <w:r w:rsidR="00C46AF6">
        <w:rPr>
          <w:color w:val="000000"/>
          <w:lang w:val="ru-RU"/>
        </w:rPr>
        <w:t xml:space="preserve">о </w:t>
      </w:r>
      <w:r w:rsidR="00ED0B52">
        <w:rPr>
          <w:color w:val="000000"/>
          <w:lang w:val="ru-RU"/>
        </w:rPr>
        <w:t>профессиональной подготовке, совершенствованию представления данных и отчетности</w:t>
      </w:r>
      <w:r w:rsidR="00ED0B52">
        <w:rPr>
          <w:lang w:val="ru-RU"/>
        </w:rPr>
        <w:t>, а также новый служебный приказ об анализе надлежащего исполнения применительно к нечленам МСЭ</w:t>
      </w:r>
      <w:r w:rsidRPr="006844BA">
        <w:rPr>
          <w:lang w:val="ru-RU"/>
        </w:rPr>
        <w:t xml:space="preserve">. </w:t>
      </w:r>
      <w:r w:rsidR="00145D95">
        <w:rPr>
          <w:lang w:val="ru-RU"/>
        </w:rPr>
        <w:t>Кроме того, эта п</w:t>
      </w:r>
      <w:r w:rsidR="00ED0B52">
        <w:rPr>
          <w:lang w:val="ru-RU"/>
        </w:rPr>
        <w:t xml:space="preserve">одгруппа продолжит работать </w:t>
      </w:r>
      <w:r w:rsidR="007203A5">
        <w:rPr>
          <w:lang w:val="ru-RU"/>
        </w:rPr>
        <w:t xml:space="preserve">над </w:t>
      </w:r>
      <w:r w:rsidR="00ED0B52">
        <w:rPr>
          <w:lang w:val="ru-RU"/>
        </w:rPr>
        <w:t>вопросам</w:t>
      </w:r>
      <w:r w:rsidR="007203A5">
        <w:rPr>
          <w:lang w:val="ru-RU"/>
        </w:rPr>
        <w:t>и</w:t>
      </w:r>
      <w:r w:rsidR="00ED0B52">
        <w:rPr>
          <w:lang w:val="ru-RU"/>
        </w:rPr>
        <w:t xml:space="preserve"> маркетинга</w:t>
      </w:r>
      <w:r w:rsidR="00660C53">
        <w:rPr>
          <w:lang w:val="ru-RU"/>
        </w:rPr>
        <w:t>, информационно-пропагандистской деятельности и привлечения для поддержания чистого прироста членского состава</w:t>
      </w:r>
      <w:r w:rsidR="00145D95">
        <w:rPr>
          <w:lang w:val="ru-RU"/>
        </w:rPr>
        <w:t>,</w:t>
      </w:r>
      <w:r w:rsidRPr="006844BA">
        <w:rPr>
          <w:lang w:val="ru-RU"/>
        </w:rPr>
        <w:t xml:space="preserve"> </w:t>
      </w:r>
      <w:r w:rsidR="007203A5">
        <w:rPr>
          <w:lang w:val="ru-RU"/>
        </w:rPr>
        <w:t xml:space="preserve">а также </w:t>
      </w:r>
      <w:r w:rsidR="00660C53">
        <w:rPr>
          <w:lang w:val="ru-RU"/>
        </w:rPr>
        <w:t>рассм</w:t>
      </w:r>
      <w:r w:rsidR="007203A5">
        <w:rPr>
          <w:lang w:val="ru-RU"/>
        </w:rPr>
        <w:t>а</w:t>
      </w:r>
      <w:r w:rsidR="00660C53">
        <w:rPr>
          <w:lang w:val="ru-RU"/>
        </w:rPr>
        <w:t>тр</w:t>
      </w:r>
      <w:r w:rsidR="007203A5">
        <w:rPr>
          <w:lang w:val="ru-RU"/>
        </w:rPr>
        <w:t xml:space="preserve">ивать </w:t>
      </w:r>
      <w:r w:rsidR="00660C53">
        <w:rPr>
          <w:lang w:val="ru-RU"/>
        </w:rPr>
        <w:t>списк</w:t>
      </w:r>
      <w:r w:rsidR="007203A5">
        <w:rPr>
          <w:lang w:val="ru-RU"/>
        </w:rPr>
        <w:t>и</w:t>
      </w:r>
      <w:r w:rsidR="00660C53">
        <w:rPr>
          <w:lang w:val="ru-RU"/>
        </w:rPr>
        <w:t xml:space="preserve"> тысяч экспертов, участвовавших в виртуальных мероприятиях, </w:t>
      </w:r>
      <w:r w:rsidR="007203A5">
        <w:rPr>
          <w:lang w:val="ru-RU"/>
        </w:rPr>
        <w:t xml:space="preserve">и определять </w:t>
      </w:r>
      <w:r w:rsidR="00660C53">
        <w:rPr>
          <w:lang w:val="ru-RU"/>
        </w:rPr>
        <w:t>перспектив</w:t>
      </w:r>
      <w:r w:rsidR="007203A5">
        <w:rPr>
          <w:lang w:val="ru-RU"/>
        </w:rPr>
        <w:t>ы</w:t>
      </w:r>
      <w:r w:rsidR="00660C53">
        <w:rPr>
          <w:lang w:val="ru-RU"/>
        </w:rPr>
        <w:t xml:space="preserve"> членства и перекрестного предложения публикаций для повышения доходов</w:t>
      </w:r>
      <w:r w:rsidR="00534B2B" w:rsidRPr="006844BA">
        <w:rPr>
          <w:lang w:val="ru-RU"/>
        </w:rPr>
        <w:t>.</w:t>
      </w:r>
    </w:p>
    <w:p w14:paraId="40C71762" w14:textId="3A6E93BB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660C53">
        <w:rPr>
          <w:i/>
          <w:iCs/>
          <w:lang w:val="ru-RU"/>
        </w:rPr>
        <w:t>Многоязычие</w:t>
      </w:r>
      <w:r w:rsidRPr="006844BA">
        <w:rPr>
          <w:lang w:val="ru-RU"/>
        </w:rPr>
        <w:t xml:space="preserve">: </w:t>
      </w:r>
      <w:r w:rsidR="00660C53">
        <w:rPr>
          <w:lang w:val="ru-RU"/>
        </w:rPr>
        <w:t xml:space="preserve">проект </w:t>
      </w:r>
      <w:r w:rsidR="00145D95">
        <w:rPr>
          <w:lang w:val="ru-RU"/>
        </w:rPr>
        <w:t>основ</w:t>
      </w:r>
      <w:r w:rsidR="00660C53">
        <w:rPr>
          <w:lang w:val="ru-RU"/>
        </w:rPr>
        <w:t xml:space="preserve"> политики многоязычия в</w:t>
      </w:r>
      <w:r w:rsidRPr="006844BA">
        <w:rPr>
          <w:lang w:val="ru-RU"/>
        </w:rPr>
        <w:t xml:space="preserve"> </w:t>
      </w:r>
      <w:r w:rsidR="00852735" w:rsidRPr="006844BA">
        <w:rPr>
          <w:lang w:val="ru-RU"/>
        </w:rPr>
        <w:t>МСЭ</w:t>
      </w:r>
      <w:r w:rsidRPr="006844BA">
        <w:rPr>
          <w:lang w:val="ru-RU"/>
        </w:rPr>
        <w:t xml:space="preserve"> </w:t>
      </w:r>
      <w:r w:rsidR="00660C53">
        <w:rPr>
          <w:lang w:val="ru-RU"/>
        </w:rPr>
        <w:t xml:space="preserve">будет представлен РГС-Яз </w:t>
      </w:r>
      <w:r w:rsidR="00D76FB5" w:rsidRPr="006844BA">
        <w:rPr>
          <w:lang w:val="ru-RU"/>
        </w:rPr>
        <w:t>в январе</w:t>
      </w:r>
      <w:r w:rsidRPr="006844BA">
        <w:rPr>
          <w:lang w:val="ru-RU"/>
        </w:rPr>
        <w:t xml:space="preserve"> 2022</w:t>
      </w:r>
      <w:r w:rsidR="00D76FB5" w:rsidRPr="006844BA">
        <w:rPr>
          <w:lang w:val="ru-RU"/>
        </w:rPr>
        <w:t> года</w:t>
      </w:r>
      <w:r w:rsidR="00534B2B" w:rsidRPr="006844BA">
        <w:rPr>
          <w:lang w:val="ru-RU"/>
        </w:rPr>
        <w:t>.</w:t>
      </w:r>
    </w:p>
    <w:p w14:paraId="30D8D6E1" w14:textId="76725A02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660C53">
        <w:rPr>
          <w:i/>
          <w:iCs/>
          <w:lang w:val="ru-RU"/>
        </w:rPr>
        <w:t>Веб-страницы по темам</w:t>
      </w:r>
      <w:r w:rsidRPr="006844BA">
        <w:rPr>
          <w:lang w:val="ru-RU"/>
        </w:rPr>
        <w:t xml:space="preserve">: </w:t>
      </w:r>
      <w:r w:rsidR="00660C53">
        <w:rPr>
          <w:lang w:val="ru-RU"/>
        </w:rPr>
        <w:t xml:space="preserve">консолидируется и обновляется информация о деятельности в </w:t>
      </w:r>
      <w:r w:rsidR="00D76FB5" w:rsidRPr="006844BA">
        <w:rPr>
          <w:lang w:val="ru-RU"/>
        </w:rPr>
        <w:t>МСЭ</w:t>
      </w:r>
      <w:r w:rsidRPr="006844BA">
        <w:rPr>
          <w:lang w:val="ru-RU"/>
        </w:rPr>
        <w:t xml:space="preserve"> </w:t>
      </w:r>
      <w:r w:rsidR="00660C53">
        <w:rPr>
          <w:lang w:val="ru-RU"/>
        </w:rPr>
        <w:t>в областях</w:t>
      </w:r>
      <w:r w:rsidRPr="006844BA">
        <w:rPr>
          <w:lang w:val="ru-RU"/>
        </w:rPr>
        <w:t xml:space="preserve"> </w:t>
      </w:r>
      <w:hyperlink r:id="rId15" w:history="1">
        <w:r w:rsidR="00660C53">
          <w:rPr>
            <w:color w:val="0000FF"/>
            <w:u w:val="single"/>
            <w:lang w:val="ru-RU"/>
          </w:rPr>
          <w:t xml:space="preserve">электросвязи в чрезвычайных ситуациях </w:t>
        </w:r>
      </w:hyperlink>
      <w:r w:rsidRPr="006844BA">
        <w:rPr>
          <w:lang w:val="ru-RU"/>
        </w:rPr>
        <w:t xml:space="preserve">, </w:t>
      </w:r>
      <w:hyperlink r:id="rId16" w:history="1">
        <w:r w:rsidR="00660C53">
          <w:rPr>
            <w:color w:val="0000FF"/>
            <w:u w:val="single"/>
            <w:lang w:val="ru-RU"/>
          </w:rPr>
          <w:t>окружающей среды и изменения климата</w:t>
        </w:r>
      </w:hyperlink>
      <w:r w:rsidRPr="006844BA">
        <w:rPr>
          <w:lang w:val="ru-RU"/>
        </w:rPr>
        <w:t xml:space="preserve">, </w:t>
      </w:r>
      <w:hyperlink r:id="rId17" w:history="1">
        <w:r w:rsidR="00B37BEC">
          <w:rPr>
            <w:color w:val="0000FF"/>
            <w:u w:val="single"/>
            <w:lang w:val="ru-RU"/>
          </w:rPr>
          <w:t>гендерного равенства и учета гендерных аспектов</w:t>
        </w:r>
      </w:hyperlink>
      <w:r w:rsidRPr="006844BA">
        <w:rPr>
          <w:lang w:val="ru-RU"/>
        </w:rPr>
        <w:t xml:space="preserve"> (</w:t>
      </w:r>
      <w:r w:rsidR="00B37BEC">
        <w:rPr>
          <w:lang w:val="ru-RU"/>
        </w:rPr>
        <w:t>соответствующая информация приводится в Документе </w:t>
      </w:r>
      <w:hyperlink r:id="rId18" w:history="1">
        <w:r w:rsidRPr="006844BA">
          <w:rPr>
            <w:rStyle w:val="Hyperlink"/>
            <w:lang w:val="ru-RU"/>
          </w:rPr>
          <w:t>C22/35</w:t>
        </w:r>
      </w:hyperlink>
      <w:r w:rsidRPr="006844BA">
        <w:rPr>
          <w:lang w:val="ru-RU"/>
        </w:rPr>
        <w:t>)</w:t>
      </w:r>
      <w:r w:rsidR="00534B2B" w:rsidRPr="006844BA">
        <w:rPr>
          <w:lang w:val="ru-RU"/>
        </w:rPr>
        <w:t>.</w:t>
      </w:r>
    </w:p>
    <w:p w14:paraId="09B84C22" w14:textId="1953688D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lastRenderedPageBreak/>
        <w:t>–</w:t>
      </w:r>
      <w:r w:rsidRPr="006844BA">
        <w:rPr>
          <w:i/>
          <w:iCs/>
          <w:lang w:val="ru-RU"/>
        </w:rPr>
        <w:tab/>
      </w:r>
      <w:r w:rsidR="00B37BEC">
        <w:rPr>
          <w:i/>
          <w:iCs/>
          <w:lang w:val="ru-RU"/>
        </w:rPr>
        <w:t>Новая инициатива</w:t>
      </w:r>
      <w:r w:rsidRPr="006844BA">
        <w:rPr>
          <w:lang w:val="ru-RU"/>
        </w:rPr>
        <w:t xml:space="preserve">: </w:t>
      </w:r>
      <w:r w:rsidR="00925F94" w:rsidRPr="006844BA">
        <w:rPr>
          <w:lang w:val="ru-RU"/>
        </w:rPr>
        <w:t>Координационная группа по вопросам конференций (КГК)</w:t>
      </w:r>
      <w:r w:rsidR="00534B2B" w:rsidRPr="006844BA">
        <w:rPr>
          <w:lang w:val="ru-RU"/>
        </w:rPr>
        <w:t xml:space="preserve"> </w:t>
      </w:r>
      <w:r w:rsidR="00B37BEC">
        <w:rPr>
          <w:lang w:val="ru-RU"/>
        </w:rPr>
        <w:t>была создана в рамках секретариата МСЭ</w:t>
      </w:r>
      <w:r w:rsidR="00925F94" w:rsidRPr="006844BA">
        <w:rPr>
          <w:lang w:val="ru-RU"/>
        </w:rPr>
        <w:t xml:space="preserve"> с целью улучшения сотрудничества, координации и согласования усилий при подготовке основных конференций, запланированных на 2022 год</w:t>
      </w:r>
      <w:r w:rsidR="00534B2B" w:rsidRPr="006844BA">
        <w:rPr>
          <w:lang w:val="ru-RU"/>
        </w:rPr>
        <w:t>.</w:t>
      </w:r>
    </w:p>
    <w:p w14:paraId="7E4D7862" w14:textId="3D089E92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2C6118">
        <w:rPr>
          <w:i/>
          <w:iCs/>
          <w:lang w:val="ru-RU"/>
        </w:rPr>
        <w:t>Стратегический план Союза на</w:t>
      </w:r>
      <w:r w:rsidRPr="006844BA">
        <w:rPr>
          <w:i/>
          <w:iCs/>
          <w:lang w:val="ru-RU"/>
        </w:rPr>
        <w:t xml:space="preserve"> 2024</w:t>
      </w:r>
      <w:r w:rsidR="00D76FB5"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>2027</w:t>
      </w:r>
      <w:r w:rsidR="00534B2B" w:rsidRPr="006844BA">
        <w:rPr>
          <w:i/>
          <w:iCs/>
          <w:lang w:val="ru-RU"/>
        </w:rPr>
        <w:t xml:space="preserve"> год</w:t>
      </w:r>
      <w:r w:rsidR="002C6118">
        <w:rPr>
          <w:i/>
          <w:iCs/>
          <w:lang w:val="ru-RU"/>
        </w:rPr>
        <w:t>ы</w:t>
      </w:r>
      <w:r w:rsidRPr="006844BA">
        <w:rPr>
          <w:lang w:val="ru-RU"/>
        </w:rPr>
        <w:t xml:space="preserve">: </w:t>
      </w:r>
      <w:r w:rsidR="002C6118">
        <w:rPr>
          <w:lang w:val="ru-RU"/>
        </w:rPr>
        <w:t xml:space="preserve">была </w:t>
      </w:r>
      <w:r w:rsidR="00A93F6C">
        <w:rPr>
          <w:lang w:val="ru-RU"/>
        </w:rPr>
        <w:t>учреждена</w:t>
      </w:r>
      <w:r w:rsidR="002C6118">
        <w:rPr>
          <w:lang w:val="ru-RU"/>
        </w:rPr>
        <w:t xml:space="preserve"> межсекторальная рабочая группа </w:t>
      </w:r>
      <w:r w:rsidR="00570726">
        <w:rPr>
          <w:lang w:val="ru-RU"/>
        </w:rPr>
        <w:t xml:space="preserve">Секретариата </w:t>
      </w:r>
      <w:r w:rsidR="002C6118">
        <w:rPr>
          <w:lang w:val="ru-RU"/>
        </w:rPr>
        <w:t>под руководством Директора БР</w:t>
      </w:r>
      <w:r w:rsidR="006C6B41">
        <w:rPr>
          <w:lang w:val="ru-RU"/>
        </w:rPr>
        <w:t xml:space="preserve"> для сбора исходных ресурсов от Бюро и ГС и для поддержки работы РГС по </w:t>
      </w:r>
      <w:r w:rsidR="006C6B41" w:rsidRPr="00EB4093">
        <w:rPr>
          <w:color w:val="000000"/>
          <w:lang w:val="ru-RU"/>
        </w:rPr>
        <w:t>разработке проектов Стратегического и Финансового планов</w:t>
      </w:r>
      <w:r w:rsidR="006C6B41">
        <w:rPr>
          <w:color w:val="000000"/>
          <w:lang w:val="ru-RU"/>
        </w:rPr>
        <w:t>, которая была создана</w:t>
      </w:r>
      <w:r w:rsidRPr="006844BA">
        <w:rPr>
          <w:lang w:val="ru-RU"/>
        </w:rPr>
        <w:t xml:space="preserve"> C21</w:t>
      </w:r>
      <w:r w:rsidR="00570726">
        <w:rPr>
          <w:lang w:val="ru-RU"/>
        </w:rPr>
        <w:t>/</w:t>
      </w:r>
      <w:r w:rsidRPr="006844BA">
        <w:rPr>
          <w:lang w:val="ru-RU"/>
        </w:rPr>
        <w:t>VCC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>1.</w:t>
      </w:r>
    </w:p>
    <w:p w14:paraId="7D10451A" w14:textId="6A5136B1" w:rsidR="006E4784" w:rsidRPr="006844BA" w:rsidRDefault="006E4784" w:rsidP="006E4784">
      <w:pPr>
        <w:pStyle w:val="Heading1"/>
        <w:rPr>
          <w:lang w:val="ru-RU"/>
        </w:rPr>
      </w:pPr>
      <w:r w:rsidRPr="006844BA">
        <w:rPr>
          <w:lang w:val="ru-RU"/>
        </w:rPr>
        <w:t>3</w:t>
      </w:r>
      <w:r w:rsidRPr="006844BA">
        <w:rPr>
          <w:lang w:val="ru-RU"/>
        </w:rPr>
        <w:tab/>
      </w:r>
      <w:r w:rsidR="00F1046D" w:rsidRPr="006844BA">
        <w:rPr>
          <w:lang w:val="ru-RU"/>
        </w:rPr>
        <w:t>Координация членского состава</w:t>
      </w:r>
    </w:p>
    <w:p w14:paraId="7438003C" w14:textId="5687F365" w:rsidR="006E4784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3.1</w:t>
      </w:r>
      <w:r w:rsidRPr="006844BA">
        <w:rPr>
          <w:lang w:val="ru-RU"/>
        </w:rPr>
        <w:tab/>
      </w:r>
      <w:hyperlink r:id="rId19" w:history="1">
        <w:proofErr w:type="spellStart"/>
        <w:r w:rsidR="00F1046D" w:rsidRPr="006844BA">
          <w:rPr>
            <w:rStyle w:val="Hyperlink"/>
            <w:lang w:val="ru-RU"/>
          </w:rPr>
          <w:t>Межсекторальная</w:t>
        </w:r>
        <w:proofErr w:type="spellEnd"/>
        <w:r w:rsidR="00F1046D" w:rsidRPr="006844BA">
          <w:rPr>
            <w:rStyle w:val="Hyperlink"/>
            <w:lang w:val="ru-RU"/>
          </w:rPr>
          <w:t xml:space="preserve"> координационная группа (МСКГ) по вопросам, представляющим взаимный интерес</w:t>
        </w:r>
      </w:hyperlink>
      <w:r w:rsidR="00F1046D" w:rsidRPr="006844BA">
        <w:rPr>
          <w:lang w:val="ru-RU"/>
        </w:rPr>
        <w:t>, была учреждена совместно Консультативной группой по радиосвязи (КГР), Консультативной группой по стандартизации электросвязи (КГСЭ) и Консультативной группой по развитию электросвязи (КГРЭ).</w:t>
      </w:r>
    </w:p>
    <w:p w14:paraId="236DFF80" w14:textId="2D253D68" w:rsidR="006E4784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3.2</w:t>
      </w:r>
      <w:r w:rsidRPr="006844BA">
        <w:rPr>
          <w:lang w:val="ru-RU"/>
        </w:rPr>
        <w:tab/>
      </w:r>
      <w:r w:rsidR="00F1046D" w:rsidRPr="006844BA">
        <w:rPr>
          <w:lang w:val="ru-RU"/>
        </w:rPr>
        <w:t>МСКГ определяет темы, общие для всех трех Секторов и Генерального секретариата, либо общие на двустороннем уровне, и рассматривает (подготовленный секретариатом) обновленный перечень областей, представляющих взаимный интерес для трех Секторов и Генерального секретариата, в соответствии с мандатами, определенными каждой ассамблеей или конференцией МСЭ. МСКГ также определяет необходимые механизмы укрепления сотрудничества и совместной деятельности между тремя Секторами и Генеральным секретариатом по вопросам, представляющим взаимный интерес.</w:t>
      </w:r>
    </w:p>
    <w:p w14:paraId="4DEF9529" w14:textId="0749109B" w:rsidR="006E4784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3.3</w:t>
      </w:r>
      <w:r w:rsidRPr="006844BA">
        <w:rPr>
          <w:lang w:val="ru-RU"/>
        </w:rPr>
        <w:tab/>
      </w:r>
      <w:r w:rsidR="00F1046D" w:rsidRPr="006844BA">
        <w:rPr>
          <w:lang w:val="ru-RU"/>
        </w:rPr>
        <w:t xml:space="preserve">МСКГ провела два собрания </w:t>
      </w:r>
      <w:r w:rsidR="00E939F9" w:rsidRPr="006844BA">
        <w:rPr>
          <w:lang w:val="ru-RU"/>
        </w:rPr>
        <w:t xml:space="preserve">в </w:t>
      </w:r>
      <w:r w:rsidR="00F1046D" w:rsidRPr="006844BA">
        <w:rPr>
          <w:lang w:val="ru-RU"/>
        </w:rPr>
        <w:t>2021 год</w:t>
      </w:r>
      <w:r w:rsidR="00E939F9" w:rsidRPr="006844BA">
        <w:rPr>
          <w:lang w:val="ru-RU"/>
        </w:rPr>
        <w:t>у</w:t>
      </w:r>
      <w:r w:rsidR="00F1046D" w:rsidRPr="006844BA">
        <w:rPr>
          <w:lang w:val="ru-RU"/>
        </w:rPr>
        <w:t>. За этот период Группа представила отчеты консультативным группам трех Секторов.</w:t>
      </w:r>
    </w:p>
    <w:p w14:paraId="7B3A208E" w14:textId="7EC0EA26" w:rsidR="006E4784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3.4</w:t>
      </w:r>
      <w:r w:rsidRPr="006844BA">
        <w:rPr>
          <w:lang w:val="ru-RU"/>
        </w:rPr>
        <w:tab/>
      </w:r>
      <w:r w:rsidR="00E939F9" w:rsidRPr="006844BA">
        <w:rPr>
          <w:lang w:val="ru-RU"/>
        </w:rPr>
        <w:t xml:space="preserve">Члены МСКГ поддержали идею определения "тем" для межсекторальной координации, по которым все участники (в том числе консультативные группы Секторов, исследовательские комиссии МСЭ-R, МСЭ-T и МСЭ-D, советники исследовательских комиссий и </w:t>
      </w:r>
      <w:r w:rsidR="006C6B41">
        <w:rPr>
          <w:lang w:val="ru-RU"/>
        </w:rPr>
        <w:t>с</w:t>
      </w:r>
      <w:r w:rsidR="00E939F9" w:rsidRPr="006844BA">
        <w:rPr>
          <w:lang w:val="ru-RU"/>
        </w:rPr>
        <w:t>екретариат) должны будут внести вклад с целью определения методов более эффективного сотрудничества, чтобы исключить дублирование работы и внести предложения по направлениям дальнейших действий.</w:t>
      </w:r>
    </w:p>
    <w:p w14:paraId="7FFFDF8B" w14:textId="15AC55BF" w:rsidR="006E4784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3.5</w:t>
      </w:r>
      <w:r w:rsidRPr="006844BA">
        <w:rPr>
          <w:lang w:val="ru-RU"/>
        </w:rPr>
        <w:tab/>
      </w:r>
      <w:r w:rsidR="00045914">
        <w:rPr>
          <w:lang w:val="ru-RU"/>
        </w:rPr>
        <w:t>В рамках экспериментальной темы изменения климата секретариат</w:t>
      </w:r>
      <w:r w:rsidRPr="006844BA">
        <w:rPr>
          <w:lang w:val="ru-RU"/>
        </w:rPr>
        <w:t xml:space="preserve"> </w:t>
      </w:r>
      <w:r w:rsidR="00852735" w:rsidRPr="006844BA">
        <w:rPr>
          <w:lang w:val="ru-RU"/>
        </w:rPr>
        <w:t>МСЭ</w:t>
      </w:r>
      <w:r w:rsidRPr="006844BA">
        <w:rPr>
          <w:lang w:val="ru-RU"/>
        </w:rPr>
        <w:t xml:space="preserve"> </w:t>
      </w:r>
      <w:r w:rsidR="00045914">
        <w:rPr>
          <w:lang w:val="ru-RU"/>
        </w:rPr>
        <w:t xml:space="preserve">представил информационный документ </w:t>
      </w:r>
      <w:r w:rsidR="007E6094">
        <w:rPr>
          <w:lang w:val="ru-RU"/>
        </w:rPr>
        <w:t>п</w:t>
      </w:r>
      <w:r w:rsidR="00045914">
        <w:rPr>
          <w:lang w:val="ru-RU"/>
        </w:rPr>
        <w:t>о последни</w:t>
      </w:r>
      <w:r w:rsidR="007E6094">
        <w:rPr>
          <w:lang w:val="ru-RU"/>
        </w:rPr>
        <w:t>м</w:t>
      </w:r>
      <w:r w:rsidR="00045914">
        <w:rPr>
          <w:lang w:val="ru-RU"/>
        </w:rPr>
        <w:t xml:space="preserve"> тенденция</w:t>
      </w:r>
      <w:r w:rsidR="007E6094">
        <w:rPr>
          <w:lang w:val="ru-RU"/>
        </w:rPr>
        <w:t>м</w:t>
      </w:r>
      <w:r w:rsidR="00045914">
        <w:rPr>
          <w:lang w:val="ru-RU"/>
        </w:rPr>
        <w:t xml:space="preserve"> </w:t>
      </w:r>
      <w:r w:rsidR="00253DA9">
        <w:rPr>
          <w:lang w:val="ru-RU"/>
        </w:rPr>
        <w:t>внутренней работы</w:t>
      </w:r>
      <w:r w:rsidRPr="006844BA">
        <w:rPr>
          <w:lang w:val="ru-RU"/>
        </w:rPr>
        <w:t xml:space="preserve"> </w:t>
      </w:r>
      <w:r w:rsidR="00852735" w:rsidRPr="006844BA">
        <w:rPr>
          <w:lang w:val="ru-RU"/>
        </w:rPr>
        <w:t>МСЭ</w:t>
      </w:r>
      <w:r w:rsidR="00253DA9">
        <w:rPr>
          <w:lang w:val="ru-RU"/>
        </w:rPr>
        <w:t xml:space="preserve">, направленной </w:t>
      </w:r>
      <w:r w:rsidR="00253DA9" w:rsidRPr="00253DA9">
        <w:rPr>
          <w:color w:val="000000"/>
          <w:lang w:val="ru-RU"/>
        </w:rPr>
        <w:t>на его преобразование в более экологичную организацию</w:t>
      </w:r>
      <w:r w:rsidRPr="006844BA">
        <w:rPr>
          <w:spacing w:val="-2"/>
          <w:lang w:val="ru-RU"/>
        </w:rPr>
        <w:t xml:space="preserve"> </w:t>
      </w:r>
      <w:r w:rsidR="00E939F9" w:rsidRPr="006844BA">
        <w:rPr>
          <w:spacing w:val="-2"/>
          <w:lang w:val="ru-RU"/>
        </w:rPr>
        <w:t>(</w:t>
      </w:r>
      <w:r w:rsidR="00253DA9">
        <w:rPr>
          <w:spacing w:val="-2"/>
          <w:lang w:val="ru-RU"/>
        </w:rPr>
        <w:t>информация по этой тематической области работы представлена в разделе по ЦГ-МСК, выше</w:t>
      </w:r>
      <w:r w:rsidR="00E939F9" w:rsidRPr="006844BA">
        <w:rPr>
          <w:spacing w:val="-2"/>
          <w:lang w:val="ru-RU"/>
        </w:rPr>
        <w:t>).</w:t>
      </w:r>
    </w:p>
    <w:p w14:paraId="42331FF6" w14:textId="201CE8F5" w:rsidR="00E939F9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3.6</w:t>
      </w:r>
      <w:r w:rsidRPr="006844BA">
        <w:rPr>
          <w:lang w:val="ru-RU"/>
        </w:rPr>
        <w:tab/>
      </w:r>
      <w:r w:rsidR="00EB4093">
        <w:rPr>
          <w:lang w:val="ru-RU"/>
        </w:rPr>
        <w:t>На</w:t>
      </w:r>
      <w:r w:rsidR="00E939F9" w:rsidRPr="006844BA">
        <w:rPr>
          <w:lang w:val="ru-RU"/>
        </w:rPr>
        <w:t xml:space="preserve"> свое</w:t>
      </w:r>
      <w:r w:rsidR="00EB4093">
        <w:rPr>
          <w:lang w:val="ru-RU"/>
        </w:rPr>
        <w:t>м</w:t>
      </w:r>
      <w:r w:rsidR="00E939F9" w:rsidRPr="006844BA">
        <w:rPr>
          <w:lang w:val="ru-RU"/>
        </w:rPr>
        <w:t xml:space="preserve"> собрани</w:t>
      </w:r>
      <w:r w:rsidR="00EB4093">
        <w:rPr>
          <w:lang w:val="ru-RU"/>
        </w:rPr>
        <w:t>и</w:t>
      </w:r>
      <w:r w:rsidR="00E939F9" w:rsidRPr="006844BA">
        <w:rPr>
          <w:lang w:val="ru-RU"/>
        </w:rPr>
        <w:t xml:space="preserve"> в марте 2021 года МСКГ решила, что вопрос о "доступности" будет рассматриваться группой в качестве новой темы и что члены определят методы, предназначенные для улучшения и укрепления сотрудничества. </w:t>
      </w:r>
      <w:r w:rsidR="00253DA9">
        <w:rPr>
          <w:lang w:val="ru-RU"/>
        </w:rPr>
        <w:t>Секретариат представил отчет о</w:t>
      </w:r>
      <w:r w:rsidR="00E04944">
        <w:rPr>
          <w:lang w:val="ru-RU"/>
        </w:rPr>
        <w:t xml:space="preserve"> деятельности, связанной с </w:t>
      </w:r>
      <w:r w:rsidR="00253DA9">
        <w:rPr>
          <w:lang w:val="ru-RU"/>
        </w:rPr>
        <w:t>доступност</w:t>
      </w:r>
      <w:r w:rsidR="00E04944">
        <w:rPr>
          <w:lang w:val="ru-RU"/>
        </w:rPr>
        <w:t>ью</w:t>
      </w:r>
      <w:r w:rsidR="004C7270">
        <w:rPr>
          <w:lang w:val="ru-RU"/>
        </w:rPr>
        <w:t>,</w:t>
      </w:r>
      <w:r w:rsidR="00E04944">
        <w:rPr>
          <w:lang w:val="ru-RU"/>
        </w:rPr>
        <w:t xml:space="preserve"> и </w:t>
      </w:r>
      <w:r w:rsidR="007E6094">
        <w:rPr>
          <w:lang w:val="ru-RU"/>
        </w:rPr>
        <w:t>о</w:t>
      </w:r>
      <w:r w:rsidR="00E04944">
        <w:rPr>
          <w:lang w:val="ru-RU"/>
        </w:rPr>
        <w:t xml:space="preserve"> ее координации в ЦГ-МСК</w:t>
      </w:r>
      <w:r w:rsidR="00E939F9" w:rsidRPr="006844BA">
        <w:rPr>
          <w:lang w:val="ru-RU"/>
        </w:rPr>
        <w:t xml:space="preserve">. </w:t>
      </w:r>
      <w:r w:rsidR="004C7270">
        <w:rPr>
          <w:lang w:val="ru-RU"/>
        </w:rPr>
        <w:t xml:space="preserve">В частности, была принята Стратегия МСЭ по обеспечению доступности для дополнения принятой </w:t>
      </w:r>
      <w:r w:rsidR="00405E9F">
        <w:rPr>
          <w:lang w:val="ru-RU"/>
        </w:rPr>
        <w:t>Политик</w:t>
      </w:r>
      <w:r w:rsidR="00EB4093">
        <w:rPr>
          <w:lang w:val="ru-RU"/>
        </w:rPr>
        <w:t>и</w:t>
      </w:r>
      <w:r w:rsidR="00405E9F">
        <w:rPr>
          <w:lang w:val="ru-RU"/>
        </w:rPr>
        <w:t xml:space="preserve"> доступности МСЭ</w:t>
      </w:r>
      <w:r w:rsidR="00E939F9" w:rsidRPr="006844BA">
        <w:rPr>
          <w:lang w:val="ru-RU"/>
        </w:rPr>
        <w:t xml:space="preserve">. </w:t>
      </w:r>
    </w:p>
    <w:p w14:paraId="442F5B4E" w14:textId="32AC299E" w:rsidR="00655117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3.7</w:t>
      </w:r>
      <w:r w:rsidRPr="006844BA">
        <w:rPr>
          <w:lang w:val="ru-RU"/>
        </w:rPr>
        <w:tab/>
      </w:r>
      <w:bookmarkStart w:id="3" w:name="_Hlk88672794"/>
      <w:r w:rsidR="00655117" w:rsidRPr="006844BA">
        <w:rPr>
          <w:lang w:val="ru-RU"/>
        </w:rPr>
        <w:t xml:space="preserve">МСКГ также </w:t>
      </w:r>
      <w:r w:rsidR="00405E9F">
        <w:rPr>
          <w:lang w:val="ru-RU"/>
        </w:rPr>
        <w:t xml:space="preserve">предложила </w:t>
      </w:r>
      <w:r w:rsidR="00655117" w:rsidRPr="006844BA">
        <w:rPr>
          <w:lang w:val="ru-RU"/>
        </w:rPr>
        <w:t>секретариат</w:t>
      </w:r>
      <w:r w:rsidR="00405E9F">
        <w:rPr>
          <w:lang w:val="ru-RU"/>
        </w:rPr>
        <w:t>у</w:t>
      </w:r>
      <w:r w:rsidR="00655117" w:rsidRPr="006844BA">
        <w:rPr>
          <w:lang w:val="ru-RU"/>
        </w:rPr>
        <w:t xml:space="preserve"> продолжать представлять отчеты по другим темам, таким как разработка нового веб-сайта МСЭ, включая </w:t>
      </w:r>
      <w:r w:rsidR="00405E9F">
        <w:rPr>
          <w:lang w:val="ru-RU"/>
        </w:rPr>
        <w:t xml:space="preserve">согласование </w:t>
      </w:r>
      <w:r w:rsidR="00655117" w:rsidRPr="006844BA">
        <w:rPr>
          <w:lang w:val="ru-RU"/>
        </w:rPr>
        <w:t xml:space="preserve">унификацию </w:t>
      </w:r>
      <w:bookmarkEnd w:id="3"/>
      <w:r w:rsidR="00405E9F">
        <w:rPr>
          <w:lang w:val="ru-RU"/>
        </w:rPr>
        <w:t>структуры веб</w:t>
      </w:r>
      <w:r w:rsidR="00EB4093">
        <w:rPr>
          <w:lang w:val="ru-RU"/>
        </w:rPr>
        <w:noBreakHyphen/>
      </w:r>
      <w:r w:rsidR="00405E9F">
        <w:rPr>
          <w:lang w:val="ru-RU"/>
        </w:rPr>
        <w:t xml:space="preserve">сайтов трех консультативных групп, в частности, того, где </w:t>
      </w:r>
      <w:r w:rsidR="00EB4093">
        <w:rPr>
          <w:lang w:val="ru-RU"/>
        </w:rPr>
        <w:t>размещено</w:t>
      </w:r>
      <w:r w:rsidR="00405E9F">
        <w:rPr>
          <w:lang w:val="ru-RU"/>
        </w:rPr>
        <w:t xml:space="preserve"> указание на веб-страницу</w:t>
      </w:r>
      <w:r w:rsidR="00655117" w:rsidRPr="006844BA">
        <w:rPr>
          <w:lang w:val="ru-RU"/>
        </w:rPr>
        <w:t xml:space="preserve"> </w:t>
      </w:r>
      <w:r w:rsidR="002E03B8" w:rsidRPr="006844BA">
        <w:rPr>
          <w:lang w:val="ru-RU"/>
        </w:rPr>
        <w:t>МСКГ</w:t>
      </w:r>
      <w:r w:rsidR="00655117" w:rsidRPr="006844BA">
        <w:rPr>
          <w:lang w:val="ru-RU"/>
        </w:rPr>
        <w:t>. Кроме того, поступила просьба о согласовании процесса представления вкладов, который является разным в трех Секторах.</w:t>
      </w:r>
    </w:p>
    <w:p w14:paraId="4A3F6601" w14:textId="47DD257B" w:rsidR="006E4784" w:rsidRPr="006844BA" w:rsidRDefault="006E4784" w:rsidP="006E4784">
      <w:pPr>
        <w:rPr>
          <w:rFonts w:cstheme="minorHAnsi"/>
          <w:lang w:val="ru-RU"/>
        </w:rPr>
      </w:pPr>
      <w:r w:rsidRPr="006844BA">
        <w:rPr>
          <w:lang w:val="ru-RU"/>
        </w:rPr>
        <w:t>3.8</w:t>
      </w:r>
      <w:r w:rsidRPr="006844BA">
        <w:rPr>
          <w:lang w:val="ru-RU"/>
        </w:rPr>
        <w:tab/>
      </w:r>
      <w:r w:rsidR="00405E9F">
        <w:rPr>
          <w:lang w:val="ru-RU"/>
        </w:rPr>
        <w:t>Интерес также представляет использование автоматического перевода документов, поэтому координатору ЦГ МСК по вопросам многоязычия было предложено</w:t>
      </w:r>
      <w:r w:rsidR="00405E9F">
        <w:rPr>
          <w:rFonts w:cstheme="minorHAnsi"/>
          <w:lang w:val="ru-RU"/>
        </w:rPr>
        <w:t xml:space="preserve"> подготовить отчет для следующего собрания</w:t>
      </w:r>
      <w:r w:rsidR="00655117" w:rsidRPr="006844BA">
        <w:rPr>
          <w:rFonts w:cstheme="minorHAnsi"/>
          <w:lang w:val="ru-RU"/>
        </w:rPr>
        <w:t xml:space="preserve"> </w:t>
      </w:r>
      <w:r w:rsidR="002E03B8" w:rsidRPr="006844BA">
        <w:rPr>
          <w:lang w:val="ru-RU"/>
        </w:rPr>
        <w:t>МСКГ</w:t>
      </w:r>
      <w:r w:rsidR="00655117" w:rsidRPr="006844BA">
        <w:rPr>
          <w:rFonts w:cstheme="minorHAnsi"/>
          <w:lang w:val="ru-RU"/>
        </w:rPr>
        <w:t xml:space="preserve"> </w:t>
      </w:r>
      <w:r w:rsidR="00405E9F">
        <w:rPr>
          <w:rFonts w:cstheme="minorHAnsi"/>
          <w:lang w:val="ru-RU"/>
        </w:rPr>
        <w:t>в</w:t>
      </w:r>
      <w:r w:rsidR="00655117" w:rsidRPr="006844BA">
        <w:rPr>
          <w:rFonts w:cstheme="minorHAnsi"/>
          <w:lang w:val="ru-RU"/>
        </w:rPr>
        <w:t xml:space="preserve"> 2022</w:t>
      </w:r>
      <w:r w:rsidR="002E03B8" w:rsidRPr="006844BA">
        <w:rPr>
          <w:rFonts w:cstheme="minorHAnsi"/>
          <w:lang w:val="ru-RU"/>
        </w:rPr>
        <w:t> году</w:t>
      </w:r>
      <w:r w:rsidR="00655117" w:rsidRPr="006844BA">
        <w:rPr>
          <w:rFonts w:cstheme="minorHAnsi"/>
          <w:lang w:val="ru-RU"/>
        </w:rPr>
        <w:t>.</w:t>
      </w:r>
    </w:p>
    <w:p w14:paraId="7D39001D" w14:textId="37C9F7FF" w:rsidR="006E4784" w:rsidRPr="006844BA" w:rsidRDefault="006E4784" w:rsidP="006E4784">
      <w:pPr>
        <w:rPr>
          <w:rFonts w:cstheme="minorHAnsi"/>
          <w:lang w:val="ru-RU"/>
        </w:rPr>
      </w:pPr>
      <w:r w:rsidRPr="006844BA">
        <w:rPr>
          <w:lang w:val="ru-RU"/>
        </w:rPr>
        <w:t>3.9</w:t>
      </w:r>
      <w:r w:rsidRPr="006844BA">
        <w:rPr>
          <w:lang w:val="ru-RU"/>
        </w:rPr>
        <w:tab/>
      </w:r>
      <w:r w:rsidR="001F11A9" w:rsidRPr="006D4A7F">
        <w:rPr>
          <w:szCs w:val="24"/>
          <w:lang w:val="ru-RU"/>
        </w:rPr>
        <w:t>МСКГ</w:t>
      </w:r>
      <w:r w:rsidR="001F11A9" w:rsidRPr="006D4A7F">
        <w:rPr>
          <w:lang w:val="ru-RU"/>
        </w:rPr>
        <w:t xml:space="preserve"> также постоянно обновляет таблицы сопоставления и размещает их на своем веб</w:t>
      </w:r>
      <w:r w:rsidR="007648AC">
        <w:rPr>
          <w:lang w:val="ru-RU"/>
        </w:rPr>
        <w:noBreakHyphen/>
      </w:r>
      <w:r w:rsidR="001F11A9" w:rsidRPr="006D4A7F">
        <w:rPr>
          <w:lang w:val="ru-RU"/>
        </w:rPr>
        <w:t>сайте</w:t>
      </w:r>
      <w:r w:rsidRPr="006844BA">
        <w:rPr>
          <w:lang w:val="ru-RU"/>
        </w:rPr>
        <w:t>,</w:t>
      </w:r>
      <w:r w:rsidR="001F11A9">
        <w:rPr>
          <w:lang w:val="ru-RU"/>
        </w:rPr>
        <w:t xml:space="preserve"> включая сопоставление Резолюций для подготовки к Полномочной конференции</w:t>
      </w:r>
      <w:r w:rsidRPr="006844BA">
        <w:rPr>
          <w:lang w:val="ru-RU"/>
        </w:rPr>
        <w:t xml:space="preserve">. </w:t>
      </w:r>
      <w:r w:rsidR="001F11A9" w:rsidRPr="006D4A7F">
        <w:rPr>
          <w:lang w:val="ru-RU"/>
        </w:rPr>
        <w:t xml:space="preserve">Цель </w:t>
      </w:r>
      <w:r w:rsidR="001F11A9" w:rsidRPr="006D4A7F">
        <w:rPr>
          <w:lang w:val="ru-RU"/>
        </w:rPr>
        <w:lastRenderedPageBreak/>
        <w:t>работы по сопоставлению состоит в выявлении тем, представляющих взаимный интерес, и определении подразделений, ответственных за эти темы в трех Секторах Союза</w:t>
      </w:r>
      <w:r w:rsidRPr="006844BA">
        <w:rPr>
          <w:lang w:val="ru-RU"/>
        </w:rPr>
        <w:t xml:space="preserve">. </w:t>
      </w:r>
      <w:r w:rsidR="001F11A9" w:rsidRPr="006D4A7F">
        <w:rPr>
          <w:lang w:val="ru-RU"/>
        </w:rPr>
        <w:t xml:space="preserve">Результат работы по сопоставлению служит в качестве руководства, призванного </w:t>
      </w:r>
      <w:r w:rsidR="001F11A9">
        <w:rPr>
          <w:lang w:val="ru-RU"/>
        </w:rPr>
        <w:t>упрости</w:t>
      </w:r>
      <w:r w:rsidR="001F11A9" w:rsidRPr="006D4A7F">
        <w:rPr>
          <w:lang w:val="ru-RU"/>
        </w:rPr>
        <w:t>ть непрерывный обмен информацией в рамках Союза по определенным темам, представляющим взаимный интерес</w:t>
      </w:r>
      <w:r w:rsidRPr="006844BA">
        <w:rPr>
          <w:lang w:val="ru-RU"/>
        </w:rPr>
        <w:t>.</w:t>
      </w:r>
    </w:p>
    <w:p w14:paraId="0EC64AE1" w14:textId="1B2C9D2B" w:rsidR="006E4784" w:rsidRPr="006844BA" w:rsidRDefault="006E4784" w:rsidP="006E4784">
      <w:pPr>
        <w:rPr>
          <w:rFonts w:cstheme="minorHAnsi"/>
          <w:lang w:val="ru-RU"/>
        </w:rPr>
      </w:pPr>
      <w:r w:rsidRPr="006844BA">
        <w:rPr>
          <w:lang w:val="ru-RU"/>
        </w:rPr>
        <w:t>3.10</w:t>
      </w:r>
      <w:r w:rsidRPr="006844BA">
        <w:rPr>
          <w:lang w:val="ru-RU"/>
        </w:rPr>
        <w:tab/>
      </w:r>
      <w:r w:rsidR="000447A7" w:rsidRPr="006844BA">
        <w:rPr>
          <w:rFonts w:cstheme="minorHAnsi"/>
          <w:lang w:val="ru-RU"/>
        </w:rPr>
        <w:t>В число тем, предлагаемых к рассмотрению МСКГ, входят:</w:t>
      </w:r>
    </w:p>
    <w:p w14:paraId="68335468" w14:textId="674FF263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lang w:val="ru-RU"/>
        </w:rPr>
        <w:t>•</w:t>
      </w:r>
      <w:r w:rsidRPr="006844BA">
        <w:rPr>
          <w:lang w:val="ru-RU"/>
        </w:rPr>
        <w:tab/>
      </w:r>
      <w:r w:rsidR="000447A7" w:rsidRPr="006844BA">
        <w:rPr>
          <w:lang w:val="ru-RU"/>
        </w:rPr>
        <w:t xml:space="preserve">согласование способа доступа к документам по межсекторальной деятельности и </w:t>
      </w:r>
      <w:r w:rsidR="007648AC">
        <w:rPr>
          <w:lang w:val="ru-RU"/>
        </w:rPr>
        <w:t xml:space="preserve">совместного их использования </w:t>
      </w:r>
      <w:r w:rsidR="000447A7" w:rsidRPr="006844BA">
        <w:rPr>
          <w:lang w:val="ru-RU"/>
        </w:rPr>
        <w:t>тре</w:t>
      </w:r>
      <w:r w:rsidR="007648AC">
        <w:rPr>
          <w:lang w:val="ru-RU"/>
        </w:rPr>
        <w:t>мя</w:t>
      </w:r>
      <w:r w:rsidR="000447A7" w:rsidRPr="006844BA">
        <w:rPr>
          <w:lang w:val="ru-RU"/>
        </w:rPr>
        <w:t xml:space="preserve"> Сектор</w:t>
      </w:r>
      <w:r w:rsidR="007648AC">
        <w:rPr>
          <w:lang w:val="ru-RU"/>
        </w:rPr>
        <w:t>ами</w:t>
      </w:r>
      <w:r w:rsidR="002E03B8" w:rsidRPr="006844BA">
        <w:rPr>
          <w:lang w:val="ru-RU"/>
        </w:rPr>
        <w:t>.</w:t>
      </w:r>
      <w:r w:rsidR="000447A7" w:rsidRPr="006844BA">
        <w:rPr>
          <w:lang w:val="ru-RU"/>
        </w:rPr>
        <w:t xml:space="preserve"> </w:t>
      </w:r>
      <w:r w:rsidR="001F11A9">
        <w:rPr>
          <w:lang w:val="ru-RU"/>
        </w:rPr>
        <w:t xml:space="preserve">В настоящее время документы, касающиеся </w:t>
      </w:r>
      <w:r w:rsidR="001F11A9" w:rsidRPr="006844BA">
        <w:rPr>
          <w:lang w:val="ru-RU"/>
        </w:rPr>
        <w:t>межсекторальной деятельности</w:t>
      </w:r>
      <w:r w:rsidR="001F11A9">
        <w:rPr>
          <w:lang w:val="ru-RU"/>
        </w:rPr>
        <w:t xml:space="preserve">, можно размещать на веб-странице МСКГ, </w:t>
      </w:r>
      <w:r w:rsidR="00F142F5">
        <w:rPr>
          <w:lang w:val="ru-RU"/>
        </w:rPr>
        <w:t>и может быть создана ссылка для обеспечения доступа всем членам посредством их пользовательской учетной записи МСЭ с доступом</w:t>
      </w:r>
      <w:r w:rsidRPr="006844BA">
        <w:rPr>
          <w:lang w:val="ru-RU"/>
        </w:rPr>
        <w:t xml:space="preserve"> TIES, </w:t>
      </w:r>
      <w:r w:rsidR="00F142F5">
        <w:rPr>
          <w:lang w:val="ru-RU"/>
        </w:rPr>
        <w:t>вне зависимости от категории членов и/или их принадлежности</w:t>
      </w:r>
      <w:r w:rsidRPr="006844BA">
        <w:rPr>
          <w:lang w:val="ru-RU"/>
        </w:rPr>
        <w:t>;</w:t>
      </w:r>
    </w:p>
    <w:p w14:paraId="1439FC3D" w14:textId="6EA842DF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lang w:val="ru-RU"/>
        </w:rPr>
        <w:t>•</w:t>
      </w:r>
      <w:r w:rsidRPr="006844BA">
        <w:rPr>
          <w:lang w:val="ru-RU"/>
        </w:rPr>
        <w:tab/>
      </w:r>
      <w:r w:rsidR="0074518F">
        <w:rPr>
          <w:lang w:val="ru-RU"/>
        </w:rPr>
        <w:t>на последнем собрании КГР было предложено проанализировать,</w:t>
      </w:r>
      <w:r w:rsidRPr="006844BA">
        <w:rPr>
          <w:lang w:val="ru-RU"/>
        </w:rPr>
        <w:t xml:space="preserve"> </w:t>
      </w:r>
      <w:r w:rsidR="000447A7" w:rsidRPr="006844BA">
        <w:rPr>
          <w:lang w:val="ru-RU"/>
        </w:rPr>
        <w:t>как согласовать руководящие принципы, отразив в них основные достижения/разработки Секторов МСЭ-R и МСЭ-T, которые МСЭ-D следует принять во внимание с целью поддержки их деятельности, а также темы, которые представляют особый интерес для развивающихся стран</w:t>
      </w:r>
      <w:r w:rsidRPr="006844BA">
        <w:rPr>
          <w:lang w:val="ru-RU"/>
        </w:rPr>
        <w:t>;</w:t>
      </w:r>
    </w:p>
    <w:p w14:paraId="0F8E7D90" w14:textId="5B8298E2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lang w:val="ru-RU"/>
        </w:rPr>
        <w:t>•</w:t>
      </w:r>
      <w:r w:rsidRPr="006844BA">
        <w:rPr>
          <w:lang w:val="ru-RU"/>
        </w:rPr>
        <w:tab/>
      </w:r>
      <w:r w:rsidR="0074518F">
        <w:rPr>
          <w:lang w:val="ru-RU"/>
        </w:rPr>
        <w:t>на</w:t>
      </w:r>
      <w:r w:rsidR="000447A7" w:rsidRPr="006844BA">
        <w:rPr>
          <w:lang w:val="ru-RU"/>
        </w:rPr>
        <w:t xml:space="preserve"> собрани</w:t>
      </w:r>
      <w:r w:rsidR="0074518F">
        <w:rPr>
          <w:lang w:val="ru-RU"/>
        </w:rPr>
        <w:t>и</w:t>
      </w:r>
      <w:r w:rsidR="000447A7" w:rsidRPr="006844BA">
        <w:rPr>
          <w:lang w:val="ru-RU"/>
        </w:rPr>
        <w:t xml:space="preserve"> КГРЭ было предложено включить соответствие и функциональную совместимость как отдельную тем</w:t>
      </w:r>
      <w:r w:rsidR="0074518F">
        <w:rPr>
          <w:lang w:val="ru-RU"/>
        </w:rPr>
        <w:t>у</w:t>
      </w:r>
      <w:r w:rsidR="000447A7" w:rsidRPr="006844BA">
        <w:rPr>
          <w:lang w:val="ru-RU"/>
        </w:rPr>
        <w:t xml:space="preserve"> для рассмотрения МСКГ</w:t>
      </w:r>
      <w:r w:rsidR="008364A6" w:rsidRPr="006844BA">
        <w:rPr>
          <w:lang w:val="ru-RU"/>
        </w:rPr>
        <w:t>;</w:t>
      </w:r>
      <w:r w:rsidRPr="006844BA">
        <w:rPr>
          <w:lang w:val="ru-RU"/>
        </w:rPr>
        <w:t xml:space="preserve"> </w:t>
      </w:r>
    </w:p>
    <w:p w14:paraId="6873C923" w14:textId="058A00EC" w:rsidR="006E4784" w:rsidRDefault="006E4784" w:rsidP="006E4784">
      <w:pPr>
        <w:pStyle w:val="enumlev1"/>
        <w:rPr>
          <w:lang w:val="ru-RU"/>
        </w:rPr>
      </w:pPr>
      <w:r w:rsidRPr="006844BA">
        <w:rPr>
          <w:lang w:val="ru-RU"/>
        </w:rPr>
        <w:t>•</w:t>
      </w:r>
      <w:r w:rsidRPr="006844BA">
        <w:rPr>
          <w:lang w:val="ru-RU"/>
        </w:rPr>
        <w:tab/>
      </w:r>
      <w:r w:rsidR="000447A7" w:rsidRPr="006844BA">
        <w:rPr>
          <w:lang w:val="ru-RU"/>
        </w:rPr>
        <w:t>значение совместного использования ресурсов для межсекторальной деятельности.</w:t>
      </w:r>
    </w:p>
    <w:p w14:paraId="1A5206DF" w14:textId="600CF82B" w:rsidR="00E40690" w:rsidRDefault="00E40690" w:rsidP="008A0F81">
      <w:pPr>
        <w:pStyle w:val="Heading1"/>
        <w:rPr>
          <w:lang w:val="ru-RU"/>
        </w:rPr>
      </w:pPr>
      <w:r w:rsidRPr="008A0F81">
        <w:rPr>
          <w:lang w:val="ru-RU"/>
        </w:rPr>
        <w:t>4</w:t>
      </w:r>
      <w:r w:rsidRPr="008A0F81">
        <w:rPr>
          <w:lang w:val="ru-RU"/>
        </w:rPr>
        <w:tab/>
      </w:r>
      <w:r w:rsidRPr="00E40690">
        <w:rPr>
          <w:lang w:val="ru-RU"/>
        </w:rPr>
        <w:t>Координационная группа по вопросам конференций</w:t>
      </w:r>
    </w:p>
    <w:p w14:paraId="5EFA947B" w14:textId="04B479E7" w:rsidR="00E40690" w:rsidRPr="001C5AB3" w:rsidRDefault="00E40690" w:rsidP="008A0F81">
      <w:pPr>
        <w:rPr>
          <w:lang w:val="ru-RU"/>
        </w:rPr>
      </w:pPr>
      <w:r w:rsidRPr="00EF56E7">
        <w:rPr>
          <w:lang w:val="ru-RU"/>
        </w:rPr>
        <w:t>4.1</w:t>
      </w:r>
      <w:r w:rsidRPr="00EF56E7">
        <w:rPr>
          <w:lang w:val="ru-RU"/>
        </w:rPr>
        <w:tab/>
      </w:r>
      <w:r w:rsidRPr="001C5AB3">
        <w:rPr>
          <w:lang w:val="ru-RU"/>
        </w:rPr>
        <w:t>Для упрощения задачи секретариата по подготовке к трем всемирным конференциям в 2022</w:t>
      </w:r>
      <w:r w:rsidRPr="001C5AB3">
        <w:t> </w:t>
      </w:r>
      <w:r w:rsidRPr="001C5AB3">
        <w:rPr>
          <w:lang w:val="ru-RU"/>
        </w:rPr>
        <w:t>году</w:t>
      </w:r>
      <w:r w:rsidR="001C5AB3" w:rsidRPr="001C5AB3">
        <w:rPr>
          <w:lang w:val="ru-RU"/>
        </w:rPr>
        <w:t xml:space="preserve"> в июле 2021 года была создана внутренняя Координационная группа по вопросам конференций (КГК) с целью улучшения сотрудничества, координации и согласования усилий Бюро и Генерального секретариата и создания единой команды для поддержки всех трех конференций.</w:t>
      </w:r>
    </w:p>
    <w:p w14:paraId="4E1F1164" w14:textId="022D2FB3" w:rsidR="00E40690" w:rsidRPr="00EF56E7" w:rsidRDefault="001C5AB3" w:rsidP="008A0F81">
      <w:pPr>
        <w:rPr>
          <w:szCs w:val="18"/>
          <w:lang w:val="ru-RU"/>
        </w:rPr>
      </w:pPr>
      <w:r w:rsidRPr="00EF56E7">
        <w:rPr>
          <w:szCs w:val="18"/>
          <w:lang w:val="ru-RU"/>
        </w:rPr>
        <w:t>После создания группы значительно укрепилась межсекторальная координация и сотрудничество</w:t>
      </w:r>
      <w:r w:rsidR="00EF56E7" w:rsidRPr="00EF56E7">
        <w:rPr>
          <w:szCs w:val="18"/>
          <w:lang w:val="ru-RU"/>
        </w:rPr>
        <w:t>, улучшилось использование ресурсов Бюро и Генерального секретариата и удавалось избегать дублирования усилий</w:t>
      </w:r>
      <w:r w:rsidR="00E40690" w:rsidRPr="00EF56E7">
        <w:rPr>
          <w:szCs w:val="18"/>
          <w:lang w:val="ru-RU"/>
        </w:rPr>
        <w:t>.</w:t>
      </w:r>
    </w:p>
    <w:p w14:paraId="18EB19F3" w14:textId="1ADC5AA4" w:rsidR="00E40690" w:rsidRPr="00EF56E7" w:rsidRDefault="00E40690" w:rsidP="008A0F81">
      <w:pPr>
        <w:rPr>
          <w:lang w:val="ru-RU"/>
        </w:rPr>
      </w:pPr>
      <w:r w:rsidRPr="00EF56E7">
        <w:rPr>
          <w:lang w:val="ru-RU"/>
        </w:rPr>
        <w:t>4.2</w:t>
      </w:r>
      <w:r w:rsidRPr="00EF56E7">
        <w:rPr>
          <w:rFonts w:ascii="SimSun" w:hAnsi="SimSun" w:cs="SimSun"/>
          <w:lang w:val="ru-RU"/>
        </w:rPr>
        <w:tab/>
      </w:r>
      <w:r w:rsidR="00EF56E7" w:rsidRPr="00EF56E7">
        <w:rPr>
          <w:lang w:val="ru-RU"/>
        </w:rPr>
        <w:t>КГК возглавляет заместитель Генерального секретаря при участии заместителей Директоров трех Бюро, руководителей департаментов Генерального секретариата и директоров региональных отделений</w:t>
      </w:r>
      <w:r w:rsidRPr="00EF56E7">
        <w:rPr>
          <w:lang w:val="ru-RU"/>
        </w:rPr>
        <w:t>.</w:t>
      </w:r>
    </w:p>
    <w:p w14:paraId="0E4F32FB" w14:textId="604A4BBD" w:rsidR="00E40690" w:rsidRPr="00BA3ECC" w:rsidRDefault="00E40690" w:rsidP="008A0F81">
      <w:pPr>
        <w:rPr>
          <w:lang w:val="ru-RU"/>
        </w:rPr>
      </w:pPr>
      <w:r w:rsidRPr="00BA3ECC">
        <w:rPr>
          <w:lang w:val="ru-RU"/>
        </w:rPr>
        <w:t>4.3</w:t>
      </w:r>
      <w:r w:rsidRPr="00BA3ECC">
        <w:rPr>
          <w:rFonts w:ascii="SimSun" w:hAnsi="SimSun" w:cs="SimSun"/>
          <w:lang w:val="ru-RU"/>
        </w:rPr>
        <w:tab/>
      </w:r>
      <w:r w:rsidR="00E5070E" w:rsidRPr="00BA3ECC">
        <w:rPr>
          <w:lang w:val="ru-RU"/>
        </w:rPr>
        <w:t>КГК создала 14 подгрупп, на которые возложена ответственность по следующим ключевым вопросам: связь, регистрация, аккредитация, управление документами, устный перевод, поддержка ИТ и аудиовизуальных средств</w:t>
      </w:r>
      <w:r w:rsidRPr="00BA3ECC">
        <w:rPr>
          <w:lang w:val="ru-RU"/>
        </w:rPr>
        <w:t xml:space="preserve">, </w:t>
      </w:r>
      <w:r w:rsidR="00E5070E" w:rsidRPr="00BA3ECC">
        <w:rPr>
          <w:lang w:val="ru-RU"/>
        </w:rPr>
        <w:t>безопасность и защищенность</w:t>
      </w:r>
      <w:r w:rsidR="00BA3ECC" w:rsidRPr="00BA3ECC">
        <w:rPr>
          <w:lang w:val="ru-RU"/>
        </w:rPr>
        <w:t>, редакционная работа, правовая работа, материально-техническое обеспечение, содействие и управление по вопросам членского состава</w:t>
      </w:r>
      <w:r w:rsidRPr="00BA3ECC">
        <w:rPr>
          <w:lang w:val="ru-RU"/>
        </w:rPr>
        <w:t xml:space="preserve">, </w:t>
      </w:r>
      <w:r w:rsidR="00BA3ECC" w:rsidRPr="00BA3ECC">
        <w:rPr>
          <w:lang w:val="ru-RU"/>
        </w:rPr>
        <w:t>протокол, публикации, финансы и служебные командировки</w:t>
      </w:r>
      <w:r w:rsidRPr="00BA3ECC">
        <w:rPr>
          <w:lang w:val="ru-RU"/>
        </w:rPr>
        <w:t xml:space="preserve">. </w:t>
      </w:r>
    </w:p>
    <w:p w14:paraId="0F638767" w14:textId="42411421" w:rsidR="00E40690" w:rsidRPr="00BA3ECC" w:rsidRDefault="00E40690" w:rsidP="008A0F81">
      <w:pPr>
        <w:rPr>
          <w:lang w:val="ru-RU"/>
        </w:rPr>
      </w:pPr>
      <w:r w:rsidRPr="00BA3ECC">
        <w:rPr>
          <w:lang w:val="ru-RU"/>
        </w:rPr>
        <w:t>4.4</w:t>
      </w:r>
      <w:r w:rsidRPr="00BA3ECC">
        <w:rPr>
          <w:rFonts w:ascii="SimSun" w:hAnsi="SimSun" w:cs="SimSun"/>
          <w:lang w:val="ru-RU"/>
        </w:rPr>
        <w:tab/>
      </w:r>
      <w:r w:rsidR="00BA3ECC" w:rsidRPr="00BA3ECC">
        <w:rPr>
          <w:lang w:val="ru-RU"/>
        </w:rPr>
        <w:t>КГК разработала эффективные методы работы и ориентированные на действия планы работы</w:t>
      </w:r>
      <w:r w:rsidRPr="00BA3ECC">
        <w:rPr>
          <w:lang w:val="ru-RU"/>
        </w:rPr>
        <w:t xml:space="preserve">. </w:t>
      </w:r>
      <w:r w:rsidR="00BA3ECC" w:rsidRPr="00BA3ECC">
        <w:rPr>
          <w:lang w:val="ru-RU"/>
        </w:rPr>
        <w:t>КГК</w:t>
      </w:r>
      <w:r w:rsidRPr="00BA3ECC">
        <w:rPr>
          <w:lang w:val="ru-RU"/>
        </w:rPr>
        <w:t xml:space="preserve"> </w:t>
      </w:r>
      <w:r w:rsidR="00BA3ECC" w:rsidRPr="00BA3ECC">
        <w:rPr>
          <w:lang w:val="ru-RU"/>
        </w:rPr>
        <w:t xml:space="preserve">ведет таблицу по последующим мерам, обновляемую и совместно используемую </w:t>
      </w:r>
      <w:r w:rsidR="00EB3FD6">
        <w:rPr>
          <w:lang w:val="ru-RU"/>
        </w:rPr>
        <w:t xml:space="preserve">в рамках </w:t>
      </w:r>
      <w:r w:rsidR="00BA3ECC" w:rsidRPr="00BA3ECC">
        <w:rPr>
          <w:lang w:val="ru-RU"/>
        </w:rPr>
        <w:t>КГК для содействия ходу работы каждой подгруппы, определяя необходимые ресурсы и своевременно избегая дублирования</w:t>
      </w:r>
      <w:r w:rsidRPr="00BA3ECC">
        <w:rPr>
          <w:lang w:val="ru-RU"/>
        </w:rPr>
        <w:t>.</w:t>
      </w:r>
    </w:p>
    <w:p w14:paraId="507F22D8" w14:textId="77777777" w:rsidR="00823C83" w:rsidRPr="006844BA" w:rsidRDefault="00823C83" w:rsidP="006844BA">
      <w:pPr>
        <w:spacing w:before="720"/>
        <w:jc w:val="center"/>
        <w:rPr>
          <w:lang w:val="ru-RU"/>
        </w:rPr>
      </w:pPr>
      <w:r w:rsidRPr="006844BA">
        <w:rPr>
          <w:lang w:val="ru-RU"/>
        </w:rPr>
        <w:t>______________</w:t>
      </w:r>
    </w:p>
    <w:sectPr w:rsidR="00823C83" w:rsidRPr="006844BA" w:rsidSect="00CF62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EA7A" w14:textId="77777777" w:rsidR="00C538B7" w:rsidRDefault="00C538B7">
      <w:r>
        <w:separator/>
      </w:r>
    </w:p>
  </w:endnote>
  <w:endnote w:type="continuationSeparator" w:id="0">
    <w:p w14:paraId="5FDAB581" w14:textId="77777777" w:rsidR="00C538B7" w:rsidRDefault="00C5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AD7F" w14:textId="77777777" w:rsidR="00D3182D" w:rsidRDefault="00D31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7B6F" w14:textId="3D2B34DE" w:rsidR="000E568E" w:rsidRPr="008A0F81" w:rsidRDefault="00846B5C" w:rsidP="009B0BAE">
    <w:pPr>
      <w:pStyle w:val="Footer"/>
      <w:rPr>
        <w:sz w:val="18"/>
        <w:szCs w:val="18"/>
      </w:rPr>
    </w:pPr>
    <w:r w:rsidRPr="00D3182D">
      <w:rPr>
        <w:color w:val="F2F2F2" w:themeColor="background1" w:themeShade="F2"/>
      </w:rPr>
      <w:fldChar w:fldCharType="begin"/>
    </w:r>
    <w:r w:rsidRPr="00D3182D">
      <w:rPr>
        <w:color w:val="F2F2F2" w:themeColor="background1" w:themeShade="F2"/>
      </w:rPr>
      <w:instrText xml:space="preserve"> FILENAME \p  \* MERGEFORMAT </w:instrText>
    </w:r>
    <w:r w:rsidRPr="00D3182D">
      <w:rPr>
        <w:color w:val="F2F2F2" w:themeColor="background1" w:themeShade="F2"/>
      </w:rPr>
      <w:fldChar w:fldCharType="separate"/>
    </w:r>
    <w:r w:rsidR="008A0F81" w:rsidRPr="00D3182D">
      <w:rPr>
        <w:color w:val="F2F2F2" w:themeColor="background1" w:themeShade="F2"/>
      </w:rPr>
      <w:t>P:\RUS\SG\CONSEIL\C22\000\038REV1R.docx</w:t>
    </w:r>
    <w:r w:rsidRPr="00D3182D">
      <w:rPr>
        <w:color w:val="F2F2F2" w:themeColor="background1" w:themeShade="F2"/>
      </w:rPr>
      <w:fldChar w:fldCharType="end"/>
    </w:r>
    <w:r w:rsidR="000E568E" w:rsidRPr="00D3182D">
      <w:rPr>
        <w:color w:val="F2F2F2" w:themeColor="background1" w:themeShade="F2"/>
      </w:rPr>
      <w:t xml:space="preserve"> (</w:t>
    </w:r>
    <w:r w:rsidR="008A0F81" w:rsidRPr="00D3182D">
      <w:rPr>
        <w:color w:val="F2F2F2" w:themeColor="background1" w:themeShade="F2"/>
      </w:rPr>
      <w:t>502801</w:t>
    </w:r>
    <w:r w:rsidR="000E568E" w:rsidRPr="00D3182D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C944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5447" w14:textId="77777777" w:rsidR="00C538B7" w:rsidRDefault="00C538B7">
      <w:r>
        <w:t>____________________</w:t>
      </w:r>
    </w:p>
  </w:footnote>
  <w:footnote w:type="continuationSeparator" w:id="0">
    <w:p w14:paraId="292E670A" w14:textId="77777777" w:rsidR="00C538B7" w:rsidRDefault="00C5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61C2" w14:textId="77777777" w:rsidR="00D3182D" w:rsidRDefault="00D31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C14D" w14:textId="1631A283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A0F81">
      <w:rPr>
        <w:noProof/>
      </w:rPr>
      <w:t>2</w:t>
    </w:r>
    <w:r>
      <w:rPr>
        <w:noProof/>
      </w:rPr>
      <w:fldChar w:fldCharType="end"/>
    </w:r>
  </w:p>
  <w:p w14:paraId="67AD4DEF" w14:textId="4D565F12" w:rsidR="000E568E" w:rsidRDefault="000E568E" w:rsidP="005B3DEC">
    <w:pPr>
      <w:pStyle w:val="Header"/>
      <w:spacing w:after="480"/>
    </w:pPr>
    <w:r>
      <w:t>C</w:t>
    </w:r>
    <w:r w:rsidR="00442515">
      <w:t>2</w:t>
    </w:r>
    <w:r w:rsidR="00E37404">
      <w:rPr>
        <w:lang w:val="ru-RU"/>
      </w:rPr>
      <w:t>2</w:t>
    </w:r>
    <w:r>
      <w:t>/</w:t>
    </w:r>
    <w:r w:rsidR="00B9608B">
      <w:rPr>
        <w:lang w:val="ru-RU"/>
      </w:rPr>
      <w:t>38</w:t>
    </w:r>
    <w:r w:rsidR="00E40690">
      <w:rPr>
        <w:lang w:val="ru-RU"/>
      </w:rPr>
      <w:t>(</w:t>
    </w:r>
    <w:r w:rsidR="00E40690">
      <w:rPr>
        <w:lang w:val="en-US"/>
      </w:rPr>
      <w:t>Rev.</w:t>
    </w:r>
    <w:r w:rsidR="00E40690">
      <w:rPr>
        <w:lang w:val="ru-RU"/>
      </w:rPr>
      <w:t>1)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53C4" w14:textId="77777777" w:rsidR="00D3182D" w:rsidRDefault="00D3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67BF4"/>
    <w:multiLevelType w:val="hybridMultilevel"/>
    <w:tmpl w:val="4244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890"/>
    <w:multiLevelType w:val="hybridMultilevel"/>
    <w:tmpl w:val="BEBA9DC0"/>
    <w:lvl w:ilvl="0" w:tplc="D7660658">
      <w:start w:val="1"/>
      <w:numFmt w:val="bullet"/>
      <w:lvlText w:val="-"/>
      <w:lvlJc w:val="left"/>
      <w:pPr>
        <w:ind w:left="5039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2D51487D"/>
    <w:multiLevelType w:val="multilevel"/>
    <w:tmpl w:val="8BDA91A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CB1B3F"/>
    <w:multiLevelType w:val="hybridMultilevel"/>
    <w:tmpl w:val="EB386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8A4"/>
    <w:multiLevelType w:val="hybridMultilevel"/>
    <w:tmpl w:val="A53EA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95DF4"/>
    <w:multiLevelType w:val="hybridMultilevel"/>
    <w:tmpl w:val="683E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F12E73"/>
    <w:multiLevelType w:val="hybridMultilevel"/>
    <w:tmpl w:val="201429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B7"/>
    <w:rsid w:val="0002183E"/>
    <w:rsid w:val="000447A7"/>
    <w:rsid w:val="00045914"/>
    <w:rsid w:val="000569B4"/>
    <w:rsid w:val="00063EFB"/>
    <w:rsid w:val="00080E82"/>
    <w:rsid w:val="00093F7B"/>
    <w:rsid w:val="000A0392"/>
    <w:rsid w:val="000B1E74"/>
    <w:rsid w:val="000D1C07"/>
    <w:rsid w:val="000E568E"/>
    <w:rsid w:val="001219DC"/>
    <w:rsid w:val="00145D95"/>
    <w:rsid w:val="0014734F"/>
    <w:rsid w:val="001511E0"/>
    <w:rsid w:val="0015710D"/>
    <w:rsid w:val="00163A32"/>
    <w:rsid w:val="00192B41"/>
    <w:rsid w:val="001B7B09"/>
    <w:rsid w:val="001C5AB3"/>
    <w:rsid w:val="001E6719"/>
    <w:rsid w:val="001E7F50"/>
    <w:rsid w:val="001F11A9"/>
    <w:rsid w:val="001F3B02"/>
    <w:rsid w:val="001F71C7"/>
    <w:rsid w:val="00214897"/>
    <w:rsid w:val="00225368"/>
    <w:rsid w:val="00227FF0"/>
    <w:rsid w:val="00231B2C"/>
    <w:rsid w:val="00253DA9"/>
    <w:rsid w:val="0027262A"/>
    <w:rsid w:val="00291EB6"/>
    <w:rsid w:val="002A620F"/>
    <w:rsid w:val="002C6118"/>
    <w:rsid w:val="002D2F57"/>
    <w:rsid w:val="002D48C5"/>
    <w:rsid w:val="002E03B8"/>
    <w:rsid w:val="0036080C"/>
    <w:rsid w:val="003B2593"/>
    <w:rsid w:val="003F099E"/>
    <w:rsid w:val="003F235E"/>
    <w:rsid w:val="004023E0"/>
    <w:rsid w:val="00403DD8"/>
    <w:rsid w:val="00405E9F"/>
    <w:rsid w:val="00416740"/>
    <w:rsid w:val="00433856"/>
    <w:rsid w:val="00442515"/>
    <w:rsid w:val="0045686C"/>
    <w:rsid w:val="004918C4"/>
    <w:rsid w:val="00497703"/>
    <w:rsid w:val="004A0374"/>
    <w:rsid w:val="004A45B5"/>
    <w:rsid w:val="004C0B66"/>
    <w:rsid w:val="004C7270"/>
    <w:rsid w:val="004D0129"/>
    <w:rsid w:val="005326E2"/>
    <w:rsid w:val="00534B2B"/>
    <w:rsid w:val="00570726"/>
    <w:rsid w:val="005A64D5"/>
    <w:rsid w:val="005B3DEC"/>
    <w:rsid w:val="005C3C84"/>
    <w:rsid w:val="00601994"/>
    <w:rsid w:val="00647A34"/>
    <w:rsid w:val="00655117"/>
    <w:rsid w:val="00660C53"/>
    <w:rsid w:val="006844BA"/>
    <w:rsid w:val="006C6B41"/>
    <w:rsid w:val="006E2D42"/>
    <w:rsid w:val="006E4784"/>
    <w:rsid w:val="00703676"/>
    <w:rsid w:val="00707304"/>
    <w:rsid w:val="007203A5"/>
    <w:rsid w:val="00723211"/>
    <w:rsid w:val="00732269"/>
    <w:rsid w:val="0074518F"/>
    <w:rsid w:val="007648AC"/>
    <w:rsid w:val="00785ABD"/>
    <w:rsid w:val="007A2DD4"/>
    <w:rsid w:val="007D38B5"/>
    <w:rsid w:val="007E6094"/>
    <w:rsid w:val="007E7EA0"/>
    <w:rsid w:val="00807255"/>
    <w:rsid w:val="0081023E"/>
    <w:rsid w:val="008173AA"/>
    <w:rsid w:val="00823C83"/>
    <w:rsid w:val="00827D16"/>
    <w:rsid w:val="008364A6"/>
    <w:rsid w:val="00840A14"/>
    <w:rsid w:val="00846B5C"/>
    <w:rsid w:val="00852735"/>
    <w:rsid w:val="00892B87"/>
    <w:rsid w:val="008A0F81"/>
    <w:rsid w:val="008B0584"/>
    <w:rsid w:val="008B1DEC"/>
    <w:rsid w:val="008B62B4"/>
    <w:rsid w:val="008D2D7B"/>
    <w:rsid w:val="008D2E2E"/>
    <w:rsid w:val="008E0737"/>
    <w:rsid w:val="008E4523"/>
    <w:rsid w:val="008F7C2C"/>
    <w:rsid w:val="00920B26"/>
    <w:rsid w:val="00925F94"/>
    <w:rsid w:val="00940E96"/>
    <w:rsid w:val="00961A8B"/>
    <w:rsid w:val="0099318A"/>
    <w:rsid w:val="009B0BAE"/>
    <w:rsid w:val="009C1C89"/>
    <w:rsid w:val="009E1F11"/>
    <w:rsid w:val="009F3448"/>
    <w:rsid w:val="00A01CF9"/>
    <w:rsid w:val="00A35AA2"/>
    <w:rsid w:val="00A71773"/>
    <w:rsid w:val="00A93F6C"/>
    <w:rsid w:val="00AC020E"/>
    <w:rsid w:val="00AE2C85"/>
    <w:rsid w:val="00B12A37"/>
    <w:rsid w:val="00B37BEC"/>
    <w:rsid w:val="00B63EF2"/>
    <w:rsid w:val="00B6583E"/>
    <w:rsid w:val="00B90A23"/>
    <w:rsid w:val="00B9608B"/>
    <w:rsid w:val="00BA37A7"/>
    <w:rsid w:val="00BA3ECC"/>
    <w:rsid w:val="00BA7D89"/>
    <w:rsid w:val="00BC0D39"/>
    <w:rsid w:val="00BC7BC0"/>
    <w:rsid w:val="00BD57B7"/>
    <w:rsid w:val="00BE63E2"/>
    <w:rsid w:val="00C20CBF"/>
    <w:rsid w:val="00C46AF6"/>
    <w:rsid w:val="00C538B7"/>
    <w:rsid w:val="00CD2009"/>
    <w:rsid w:val="00CD3E6F"/>
    <w:rsid w:val="00CE6372"/>
    <w:rsid w:val="00CF629C"/>
    <w:rsid w:val="00D004BD"/>
    <w:rsid w:val="00D01374"/>
    <w:rsid w:val="00D1068B"/>
    <w:rsid w:val="00D3182D"/>
    <w:rsid w:val="00D76FB5"/>
    <w:rsid w:val="00D92EEA"/>
    <w:rsid w:val="00DA5D4E"/>
    <w:rsid w:val="00DA7DFB"/>
    <w:rsid w:val="00DC13E7"/>
    <w:rsid w:val="00E04944"/>
    <w:rsid w:val="00E176BA"/>
    <w:rsid w:val="00E37404"/>
    <w:rsid w:val="00E40690"/>
    <w:rsid w:val="00E423EC"/>
    <w:rsid w:val="00E5070E"/>
    <w:rsid w:val="00E55121"/>
    <w:rsid w:val="00E939F9"/>
    <w:rsid w:val="00E947BE"/>
    <w:rsid w:val="00EB1697"/>
    <w:rsid w:val="00EB3FD6"/>
    <w:rsid w:val="00EB4093"/>
    <w:rsid w:val="00EB4FCB"/>
    <w:rsid w:val="00EC6BC5"/>
    <w:rsid w:val="00ED0B52"/>
    <w:rsid w:val="00EE2141"/>
    <w:rsid w:val="00EF56E7"/>
    <w:rsid w:val="00F1046D"/>
    <w:rsid w:val="00F142F5"/>
    <w:rsid w:val="00F35898"/>
    <w:rsid w:val="00F5225B"/>
    <w:rsid w:val="00F56D7C"/>
    <w:rsid w:val="00F72F94"/>
    <w:rsid w:val="00F7589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138A7"/>
  <w15:docId w15:val="{00A837AC-3A28-4919-8026-EE10655B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C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262A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31B2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8B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38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38B7"/>
    <w:rPr>
      <w:rFonts w:ascii="Calibri" w:eastAsia="SimSun" w:hAnsi="Calibr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C538B7"/>
  </w:style>
  <w:style w:type="paragraph" w:styleId="Revision">
    <w:name w:val="Revision"/>
    <w:hidden/>
    <w:uiPriority w:val="99"/>
    <w:semiHidden/>
    <w:rsid w:val="008D2E2E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link w:val="enumlev1"/>
    <w:rsid w:val="008D2E2E"/>
    <w:rPr>
      <w:rFonts w:ascii="Calibri" w:hAnsi="Calibri"/>
      <w:sz w:val="22"/>
      <w:lang w:val="en-GB" w:eastAsia="en-US"/>
    </w:rPr>
  </w:style>
  <w:style w:type="paragraph" w:customStyle="1" w:styleId="paragraph">
    <w:name w:val="paragraph"/>
    <w:basedOn w:val="Normal"/>
    <w:rsid w:val="00E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91-R.pdf" TargetMode="External"/><Relationship Id="rId13" Type="http://schemas.openxmlformats.org/officeDocument/2006/relationships/hyperlink" Target="https://www.itu.int/en/general-secretariat/Pages/intersectoral-coordination.aspx" TargetMode="External"/><Relationship Id="rId18" Type="http://schemas.openxmlformats.org/officeDocument/2006/relationships/hyperlink" Target="https://www.itu.int/md/S22-CL-C-0035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INF-0019/en" TargetMode="External"/><Relationship Id="rId17" Type="http://schemas.openxmlformats.org/officeDocument/2006/relationships/hyperlink" Target="https://www.itu.int/en/action/gender-equality/Pages/default.aspx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tu.int/en/action/environment-and-climate-change/Pages/default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L-INF-0011/en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action/emergency/Pages/default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1-CL-C-0038/en" TargetMode="External"/><Relationship Id="rId19" Type="http://schemas.openxmlformats.org/officeDocument/2006/relationships/hyperlink" Target="https://www.itu.int/en/general-secretariat/Pages/ISCG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38/en" TargetMode="External"/><Relationship Id="rId14" Type="http://schemas.openxmlformats.org/officeDocument/2006/relationships/hyperlink" Target="https://www.itu.int/en/events/Pages/default.asp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5</Pages>
  <Words>1851</Words>
  <Characters>14134</Characters>
  <Application>Microsoft Office Word</Application>
  <DocSecurity>4</DocSecurity>
  <Lines>117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the implementation of Resolution 191 (Rev. Dubai, 2018) “Strategy for the coordination of efforts among the three Sectors of the Union”</vt:lpstr>
    </vt:vector>
  </TitlesOfParts>
  <Manager>General Secretariat - Pool</Manager>
  <Company>International Telecommunication Union (ITU)</Company>
  <LinksUpToDate>false</LinksUpToDate>
  <CharactersWithSpaces>15954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Resolution 191 (Rev. Dubai, 2018) “Strategy for the coordination of efforts among the three Sectors of the Union”</dc:title>
  <dc:subject>Council 2022</dc:subject>
  <dc:creator>Sikacheva, Violetta</dc:creator>
  <cp:keywords>C2022, C22, Council-22</cp:keywords>
  <dc:description/>
  <cp:lastModifiedBy>Xue, Kun</cp:lastModifiedBy>
  <cp:revision>2</cp:revision>
  <cp:lastPrinted>2006-03-28T16:12:00Z</cp:lastPrinted>
  <dcterms:created xsi:type="dcterms:W3CDTF">2022-03-22T11:41:00Z</dcterms:created>
  <dcterms:modified xsi:type="dcterms:W3CDTF">2022-03-22T11:41:00Z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